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B5EBA" w14:paraId="2A131A54" w14:textId="77777777" w:rsidTr="00C016EF">
        <w:trPr>
          <w:trHeight w:val="852"/>
          <w:jc w:val="center"/>
        </w:trPr>
        <w:tc>
          <w:tcPr>
            <w:tcW w:w="6940" w:type="dxa"/>
            <w:vMerge w:val="restart"/>
            <w:tcBorders>
              <w:right w:val="single" w:sz="4" w:space="0" w:color="auto"/>
            </w:tcBorders>
          </w:tcPr>
          <w:p w14:paraId="38C3D2BA" w14:textId="77777777" w:rsidR="000A03B2" w:rsidRPr="004B5EBA" w:rsidRDefault="000A03B2" w:rsidP="00DE264A">
            <w:pPr>
              <w:tabs>
                <w:tab w:val="left" w:pos="-108"/>
              </w:tabs>
              <w:ind w:left="-108"/>
              <w:jc w:val="left"/>
              <w:rPr>
                <w:rFonts w:cs="Arial"/>
                <w:b/>
                <w:bCs/>
                <w:i/>
                <w:iCs/>
                <w:color w:val="000066"/>
                <w:sz w:val="12"/>
                <w:szCs w:val="12"/>
                <w:lang w:eastAsia="it-IT"/>
              </w:rPr>
            </w:pPr>
            <w:bookmarkStart w:id="0" w:name="_Hlk145068772"/>
            <w:r w:rsidRPr="004B5EBA">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B5EBA">
              <w:rPr>
                <w:rFonts w:ascii="AdvP6960" w:hAnsi="AdvP6960" w:cs="AdvP6960"/>
                <w:color w:val="241F20"/>
                <w:szCs w:val="18"/>
                <w:lang w:eastAsia="it-IT"/>
              </w:rPr>
              <w:t xml:space="preserve"> </w:t>
            </w:r>
            <w:r w:rsidRPr="004B5EBA">
              <w:rPr>
                <w:rFonts w:cs="Arial"/>
                <w:b/>
                <w:bCs/>
                <w:i/>
                <w:iCs/>
                <w:color w:val="000066"/>
                <w:sz w:val="24"/>
                <w:szCs w:val="24"/>
                <w:lang w:eastAsia="it-IT"/>
              </w:rPr>
              <w:t>CHEMICAL ENGINEERING</w:t>
            </w:r>
            <w:r w:rsidRPr="004B5EBA">
              <w:rPr>
                <w:rFonts w:cs="Arial"/>
                <w:b/>
                <w:bCs/>
                <w:i/>
                <w:iCs/>
                <w:color w:val="0033FF"/>
                <w:sz w:val="24"/>
                <w:szCs w:val="24"/>
                <w:lang w:eastAsia="it-IT"/>
              </w:rPr>
              <w:t xml:space="preserve"> </w:t>
            </w:r>
            <w:r w:rsidRPr="004B5EBA">
              <w:rPr>
                <w:rFonts w:cs="Arial"/>
                <w:b/>
                <w:bCs/>
                <w:i/>
                <w:iCs/>
                <w:color w:val="666666"/>
                <w:sz w:val="24"/>
                <w:szCs w:val="24"/>
                <w:lang w:eastAsia="it-IT"/>
              </w:rPr>
              <w:t>TRANSACTIONS</w:t>
            </w:r>
            <w:r w:rsidRPr="004B5EBA">
              <w:rPr>
                <w:color w:val="333333"/>
                <w:sz w:val="24"/>
                <w:szCs w:val="24"/>
                <w:lang w:eastAsia="it-IT"/>
              </w:rPr>
              <w:t xml:space="preserve"> </w:t>
            </w:r>
            <w:r w:rsidRPr="004B5EBA">
              <w:rPr>
                <w:rFonts w:cs="Arial"/>
                <w:b/>
                <w:bCs/>
                <w:i/>
                <w:iCs/>
                <w:color w:val="000066"/>
                <w:sz w:val="27"/>
                <w:szCs w:val="27"/>
                <w:lang w:eastAsia="it-IT"/>
              </w:rPr>
              <w:br/>
            </w:r>
          </w:p>
          <w:p w14:paraId="4B780582" w14:textId="753620B8" w:rsidR="000A03B2" w:rsidRPr="004B5EBA" w:rsidRDefault="00A76EFC" w:rsidP="001D21AF">
            <w:pPr>
              <w:tabs>
                <w:tab w:val="left" w:pos="-108"/>
              </w:tabs>
              <w:ind w:left="-108"/>
              <w:rPr>
                <w:rFonts w:cs="Arial"/>
                <w:b/>
                <w:bCs/>
                <w:i/>
                <w:iCs/>
                <w:color w:val="000066"/>
                <w:sz w:val="22"/>
                <w:szCs w:val="22"/>
                <w:lang w:eastAsia="it-IT"/>
              </w:rPr>
            </w:pPr>
            <w:r w:rsidRPr="004B5EBA">
              <w:rPr>
                <w:rFonts w:cs="Arial"/>
                <w:b/>
                <w:bCs/>
                <w:i/>
                <w:iCs/>
                <w:color w:val="000066"/>
                <w:sz w:val="22"/>
                <w:szCs w:val="22"/>
                <w:lang w:eastAsia="it-IT"/>
              </w:rPr>
              <w:t>VOL.</w:t>
            </w:r>
            <w:r w:rsidR="00785BF9" w:rsidRPr="004B5EBA">
              <w:rPr>
                <w:rFonts w:cs="Arial"/>
                <w:b/>
                <w:bCs/>
                <w:i/>
                <w:iCs/>
                <w:color w:val="000066"/>
                <w:sz w:val="22"/>
                <w:szCs w:val="22"/>
                <w:lang w:eastAsia="it-IT"/>
              </w:rPr>
              <w:t xml:space="preserve"> </w:t>
            </w:r>
            <w:r w:rsidR="00AD0278" w:rsidRPr="004B5EBA">
              <w:rPr>
                <w:rFonts w:cs="Arial"/>
                <w:b/>
                <w:bCs/>
                <w:i/>
                <w:iCs/>
                <w:color w:val="000066"/>
                <w:sz w:val="22"/>
                <w:szCs w:val="22"/>
                <w:lang w:eastAsia="it-IT"/>
              </w:rPr>
              <w:t>xxx</w:t>
            </w:r>
            <w:r w:rsidR="007B48F9" w:rsidRPr="004B5EBA">
              <w:rPr>
                <w:rFonts w:cs="Arial"/>
                <w:b/>
                <w:bCs/>
                <w:i/>
                <w:iCs/>
                <w:color w:val="000066"/>
                <w:sz w:val="22"/>
                <w:szCs w:val="22"/>
                <w:lang w:eastAsia="it-IT"/>
              </w:rPr>
              <w:t>,</w:t>
            </w:r>
            <w:r w:rsidR="00FA5F5F" w:rsidRPr="004B5EBA">
              <w:rPr>
                <w:rFonts w:cs="Arial"/>
                <w:b/>
                <w:bCs/>
                <w:i/>
                <w:iCs/>
                <w:color w:val="000066"/>
                <w:sz w:val="22"/>
                <w:szCs w:val="22"/>
                <w:lang w:eastAsia="it-IT"/>
              </w:rPr>
              <w:t xml:space="preserve"> </w:t>
            </w:r>
            <w:r w:rsidR="0030152C" w:rsidRPr="004B5EBA">
              <w:rPr>
                <w:rFonts w:cs="Arial"/>
                <w:b/>
                <w:bCs/>
                <w:i/>
                <w:iCs/>
                <w:color w:val="000066"/>
                <w:sz w:val="22"/>
                <w:szCs w:val="22"/>
                <w:lang w:eastAsia="it-IT"/>
              </w:rPr>
              <w:t>202</w:t>
            </w:r>
            <w:r w:rsidR="00AD0278" w:rsidRPr="004B5EBA">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4B5EBA" w:rsidRDefault="000A03B2" w:rsidP="00CD5FE2">
            <w:pPr>
              <w:spacing w:line="140" w:lineRule="atLeast"/>
              <w:jc w:val="right"/>
              <w:rPr>
                <w:rFonts w:cs="Arial"/>
                <w:sz w:val="14"/>
                <w:szCs w:val="14"/>
              </w:rPr>
            </w:pPr>
            <w:r w:rsidRPr="004B5EBA">
              <w:rPr>
                <w:rFonts w:cs="Arial"/>
                <w:sz w:val="14"/>
                <w:szCs w:val="14"/>
              </w:rPr>
              <w:t>A publication of</w:t>
            </w:r>
          </w:p>
          <w:p w14:paraId="599E5441" w14:textId="77777777" w:rsidR="000A03B2" w:rsidRPr="004B5EBA" w:rsidRDefault="000A03B2" w:rsidP="00CD5FE2">
            <w:pPr>
              <w:jc w:val="right"/>
            </w:pPr>
            <w:r w:rsidRPr="004B5EBA">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B5EBA" w14:paraId="380FA3CD" w14:textId="77777777" w:rsidTr="00C016EF">
        <w:trPr>
          <w:trHeight w:val="567"/>
          <w:jc w:val="center"/>
        </w:trPr>
        <w:tc>
          <w:tcPr>
            <w:tcW w:w="6940" w:type="dxa"/>
            <w:vMerge/>
            <w:tcBorders>
              <w:right w:val="single" w:sz="4" w:space="0" w:color="auto"/>
            </w:tcBorders>
          </w:tcPr>
          <w:p w14:paraId="39E5E4C1" w14:textId="77777777" w:rsidR="000A03B2" w:rsidRPr="004B5EBA"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4B5EBA" w:rsidRDefault="000A03B2" w:rsidP="00CD5FE2">
            <w:pPr>
              <w:spacing w:line="140" w:lineRule="atLeast"/>
              <w:jc w:val="right"/>
              <w:rPr>
                <w:rFonts w:cs="Arial"/>
                <w:sz w:val="14"/>
                <w:szCs w:val="14"/>
              </w:rPr>
            </w:pPr>
            <w:r w:rsidRPr="004B5EBA">
              <w:rPr>
                <w:rFonts w:cs="Arial"/>
                <w:sz w:val="14"/>
                <w:szCs w:val="14"/>
              </w:rPr>
              <w:t>The Italian Association</w:t>
            </w:r>
          </w:p>
          <w:p w14:paraId="7522B1D2" w14:textId="77777777" w:rsidR="000A03B2" w:rsidRPr="004B5EBA" w:rsidRDefault="000A03B2" w:rsidP="00CD5FE2">
            <w:pPr>
              <w:spacing w:line="140" w:lineRule="atLeast"/>
              <w:jc w:val="right"/>
              <w:rPr>
                <w:rFonts w:cs="Arial"/>
                <w:sz w:val="14"/>
                <w:szCs w:val="14"/>
              </w:rPr>
            </w:pPr>
            <w:r w:rsidRPr="004B5EBA">
              <w:rPr>
                <w:rFonts w:cs="Arial"/>
                <w:sz w:val="14"/>
                <w:szCs w:val="14"/>
              </w:rPr>
              <w:t>of Chemical Engineering</w:t>
            </w:r>
          </w:p>
          <w:p w14:paraId="4F0CC5DE" w14:textId="47FDB2FC" w:rsidR="000A03B2" w:rsidRPr="004B5EBA" w:rsidRDefault="000D0268" w:rsidP="00CD5FE2">
            <w:pPr>
              <w:spacing w:line="140" w:lineRule="atLeast"/>
              <w:jc w:val="right"/>
              <w:rPr>
                <w:rFonts w:cs="Arial"/>
                <w:sz w:val="13"/>
                <w:szCs w:val="13"/>
              </w:rPr>
            </w:pPr>
            <w:r w:rsidRPr="004B5EBA">
              <w:rPr>
                <w:rFonts w:cs="Arial"/>
                <w:sz w:val="13"/>
                <w:szCs w:val="13"/>
              </w:rPr>
              <w:t>Online at www.cetjournal.it</w:t>
            </w:r>
          </w:p>
        </w:tc>
      </w:tr>
      <w:tr w:rsidR="000A03B2" w:rsidRPr="004B5EBA" w14:paraId="2D1B7169" w14:textId="77777777" w:rsidTr="00C016EF">
        <w:trPr>
          <w:trHeight w:val="68"/>
          <w:jc w:val="center"/>
        </w:trPr>
        <w:tc>
          <w:tcPr>
            <w:tcW w:w="8782" w:type="dxa"/>
            <w:gridSpan w:val="2"/>
          </w:tcPr>
          <w:p w14:paraId="1D8DD3C9" w14:textId="775EC904" w:rsidR="00AA7D26" w:rsidRPr="00252301" w:rsidRDefault="004A5E57" w:rsidP="007A6DF8">
            <w:pPr>
              <w:ind w:left="-107"/>
              <w:outlineLvl w:val="2"/>
              <w:rPr>
                <w:rFonts w:ascii="Tahoma" w:hAnsi="Tahoma" w:cs="Tahoma"/>
                <w:color w:val="000000"/>
                <w:sz w:val="14"/>
                <w:szCs w:val="14"/>
                <w:shd w:val="clear" w:color="auto" w:fill="FFFFFF"/>
                <w:lang w:val="it-IT"/>
              </w:rPr>
            </w:pPr>
            <w:r w:rsidRPr="00252301">
              <w:rPr>
                <w:rFonts w:ascii="Tahoma" w:hAnsi="Tahoma" w:cs="Tahoma"/>
                <w:iCs/>
                <w:color w:val="333333"/>
                <w:sz w:val="14"/>
                <w:szCs w:val="14"/>
                <w:lang w:val="it-IT" w:eastAsia="it-IT"/>
              </w:rPr>
              <w:t>Guest Editors:</w:t>
            </w:r>
            <w:r w:rsidRPr="00252301">
              <w:rPr>
                <w:rFonts w:ascii="Tahoma" w:hAnsi="Tahoma" w:cs="Tahoma"/>
                <w:color w:val="000000"/>
                <w:sz w:val="14"/>
                <w:szCs w:val="14"/>
                <w:shd w:val="clear" w:color="auto" w:fill="FFFFFF"/>
                <w:lang w:val="it-IT"/>
              </w:rPr>
              <w:t xml:space="preserve"> </w:t>
            </w:r>
            <w:r w:rsidR="007A6DF8" w:rsidRPr="00252301">
              <w:rPr>
                <w:rFonts w:ascii="Tahoma" w:hAnsi="Tahoma" w:cs="Tahoma"/>
                <w:color w:val="000000"/>
                <w:sz w:val="14"/>
                <w:szCs w:val="14"/>
                <w:shd w:val="clear" w:color="auto" w:fill="FFFFFF"/>
                <w:lang w:val="it-IT"/>
              </w:rPr>
              <w:t>Valerio Cozzani, Bruno Fabiano, Genserik Reniers</w:t>
            </w:r>
          </w:p>
          <w:p w14:paraId="1B0F1814" w14:textId="710B7B96" w:rsidR="000A03B2" w:rsidRPr="004B5EBA" w:rsidRDefault="00AA7D26" w:rsidP="00AA7D26">
            <w:pPr>
              <w:tabs>
                <w:tab w:val="left" w:pos="-108"/>
              </w:tabs>
              <w:spacing w:line="140" w:lineRule="atLeast"/>
              <w:ind w:left="-107"/>
              <w:jc w:val="left"/>
            </w:pPr>
            <w:r w:rsidRPr="004B5EBA">
              <w:rPr>
                <w:rFonts w:ascii="Tahoma" w:hAnsi="Tahoma" w:cs="Tahoma"/>
                <w:iCs/>
                <w:color w:val="333333"/>
                <w:sz w:val="14"/>
                <w:szCs w:val="14"/>
                <w:lang w:eastAsia="it-IT"/>
              </w:rPr>
              <w:t>Copyright © 202</w:t>
            </w:r>
            <w:r w:rsidR="00005884" w:rsidRPr="004B5EBA">
              <w:rPr>
                <w:rFonts w:ascii="Tahoma" w:hAnsi="Tahoma" w:cs="Tahoma"/>
                <w:iCs/>
                <w:color w:val="333333"/>
                <w:sz w:val="14"/>
                <w:szCs w:val="14"/>
                <w:lang w:eastAsia="it-IT"/>
              </w:rPr>
              <w:t>6</w:t>
            </w:r>
            <w:r w:rsidRPr="004B5EBA">
              <w:rPr>
                <w:rFonts w:ascii="Tahoma" w:hAnsi="Tahoma" w:cs="Tahoma"/>
                <w:iCs/>
                <w:color w:val="333333"/>
                <w:sz w:val="14"/>
                <w:szCs w:val="14"/>
                <w:lang w:eastAsia="it-IT"/>
              </w:rPr>
              <w:t>, AIDIC Servizi S.r.l.</w:t>
            </w:r>
            <w:r w:rsidRPr="004B5EBA">
              <w:rPr>
                <w:rFonts w:ascii="Tahoma" w:hAnsi="Tahoma" w:cs="Tahoma"/>
                <w:iCs/>
                <w:color w:val="333333"/>
                <w:sz w:val="14"/>
                <w:szCs w:val="14"/>
                <w:lang w:eastAsia="it-IT"/>
              </w:rPr>
              <w:br/>
            </w:r>
            <w:r w:rsidRPr="004B5EBA">
              <w:rPr>
                <w:rFonts w:ascii="Tahoma" w:hAnsi="Tahoma" w:cs="Tahoma"/>
                <w:b/>
                <w:iCs/>
                <w:color w:val="000000"/>
                <w:sz w:val="14"/>
                <w:szCs w:val="14"/>
                <w:lang w:eastAsia="it-IT"/>
              </w:rPr>
              <w:t>ISBN</w:t>
            </w:r>
            <w:r w:rsidRPr="004B5EBA">
              <w:rPr>
                <w:rFonts w:ascii="Tahoma" w:hAnsi="Tahoma" w:cs="Tahoma"/>
                <w:iCs/>
                <w:color w:val="000000"/>
                <w:sz w:val="14"/>
                <w:szCs w:val="14"/>
                <w:lang w:eastAsia="it-IT"/>
              </w:rPr>
              <w:t xml:space="preserve"> </w:t>
            </w:r>
            <w:r w:rsidR="00D2582C" w:rsidRPr="004B5EBA">
              <w:rPr>
                <w:rFonts w:ascii="Tahoma" w:hAnsi="Tahoma" w:cs="Tahoma"/>
                <w:sz w:val="14"/>
                <w:szCs w:val="14"/>
              </w:rPr>
              <w:t>979-12-81206-</w:t>
            </w:r>
            <w:r w:rsidR="00005884" w:rsidRPr="004B5EBA">
              <w:rPr>
                <w:rFonts w:ascii="Tahoma" w:hAnsi="Tahoma" w:cs="Tahoma"/>
                <w:sz w:val="14"/>
                <w:szCs w:val="14"/>
              </w:rPr>
              <w:t>xx</w:t>
            </w:r>
            <w:r w:rsidR="009041F8" w:rsidRPr="004B5EBA">
              <w:rPr>
                <w:rFonts w:ascii="Tahoma" w:hAnsi="Tahoma" w:cs="Tahoma"/>
                <w:sz w:val="14"/>
                <w:szCs w:val="14"/>
              </w:rPr>
              <w:t>-</w:t>
            </w:r>
            <w:r w:rsidR="00005884" w:rsidRPr="004B5EBA">
              <w:rPr>
                <w:rFonts w:ascii="Tahoma" w:hAnsi="Tahoma" w:cs="Tahoma"/>
                <w:sz w:val="14"/>
                <w:szCs w:val="14"/>
              </w:rPr>
              <w:t>x</w:t>
            </w:r>
            <w:r w:rsidRPr="004B5EBA">
              <w:rPr>
                <w:rFonts w:ascii="Tahoma" w:hAnsi="Tahoma" w:cs="Tahoma"/>
                <w:iCs/>
                <w:color w:val="333333"/>
                <w:sz w:val="14"/>
                <w:szCs w:val="14"/>
                <w:lang w:eastAsia="it-IT"/>
              </w:rPr>
              <w:t xml:space="preserve">; </w:t>
            </w:r>
            <w:r w:rsidRPr="004B5EBA">
              <w:rPr>
                <w:rFonts w:ascii="Tahoma" w:hAnsi="Tahoma" w:cs="Tahoma"/>
                <w:b/>
                <w:iCs/>
                <w:color w:val="333333"/>
                <w:sz w:val="14"/>
                <w:szCs w:val="14"/>
                <w:lang w:eastAsia="it-IT"/>
              </w:rPr>
              <w:t>ISSN</w:t>
            </w:r>
            <w:r w:rsidRPr="004B5EBA">
              <w:rPr>
                <w:rFonts w:ascii="Tahoma" w:hAnsi="Tahoma" w:cs="Tahoma"/>
                <w:iCs/>
                <w:color w:val="333333"/>
                <w:sz w:val="14"/>
                <w:szCs w:val="14"/>
                <w:lang w:eastAsia="it-IT"/>
              </w:rPr>
              <w:t xml:space="preserve"> 2283-9216</w:t>
            </w:r>
          </w:p>
        </w:tc>
      </w:tr>
    </w:tbl>
    <w:bookmarkEnd w:id="0"/>
    <w:p w14:paraId="2E667253" w14:textId="693B688B" w:rsidR="00E978D0" w:rsidRPr="004B5EBA" w:rsidRDefault="00057072" w:rsidP="00E978D0">
      <w:pPr>
        <w:pStyle w:val="CETTitle"/>
      </w:pPr>
      <w:r w:rsidRPr="004B5EBA">
        <w:t xml:space="preserve">A refined </w:t>
      </w:r>
      <w:r w:rsidR="00C97E02">
        <w:t xml:space="preserve">divergence-based </w:t>
      </w:r>
      <w:r w:rsidRPr="004B5EBA">
        <w:t xml:space="preserve">runaway detection </w:t>
      </w:r>
      <w:r w:rsidR="00252301" w:rsidRPr="004B5EBA">
        <w:t>criterion</w:t>
      </w:r>
      <w:r w:rsidRPr="004B5EBA">
        <w:t xml:space="preserve"> </w:t>
      </w:r>
      <w:r w:rsidR="00C016EF" w:rsidRPr="004B5EBA">
        <w:t xml:space="preserve">for </w:t>
      </w:r>
      <w:r w:rsidR="00CD1BC7">
        <w:t>tubular</w:t>
      </w:r>
      <w:r w:rsidRPr="004B5EBA">
        <w:t xml:space="preserve"> reactors</w:t>
      </w:r>
    </w:p>
    <w:p w14:paraId="0488FED2" w14:textId="1A9CCE32" w:rsidR="00B57E6F" w:rsidRPr="00252301" w:rsidRDefault="00C016EF" w:rsidP="00B57E6F">
      <w:pPr>
        <w:pStyle w:val="CETAuthors"/>
        <w:rPr>
          <w:noProof w:val="0"/>
          <w:lang w:val="it-IT"/>
        </w:rPr>
      </w:pPr>
      <w:r w:rsidRPr="00252301">
        <w:rPr>
          <w:noProof w:val="0"/>
          <w:lang w:val="it-IT"/>
        </w:rPr>
        <w:t>Giuseppe Andriani</w:t>
      </w:r>
      <w:r w:rsidRPr="00252301">
        <w:rPr>
          <w:noProof w:val="0"/>
          <w:vertAlign w:val="superscript"/>
          <w:lang w:val="it-IT"/>
        </w:rPr>
        <w:t>a</w:t>
      </w:r>
      <w:r w:rsidRPr="00252301">
        <w:rPr>
          <w:noProof w:val="0"/>
          <w:lang w:val="it-IT"/>
        </w:rPr>
        <w:t>, Gianmaria Pio</w:t>
      </w:r>
      <w:r w:rsidRPr="00252301">
        <w:rPr>
          <w:noProof w:val="0"/>
          <w:vertAlign w:val="superscript"/>
          <w:lang w:val="it-IT"/>
        </w:rPr>
        <w:t>b</w:t>
      </w:r>
      <w:r w:rsidRPr="00252301">
        <w:rPr>
          <w:noProof w:val="0"/>
          <w:lang w:val="it-IT"/>
        </w:rPr>
        <w:t>, Chiara Vianello</w:t>
      </w:r>
      <w:r w:rsidRPr="00252301">
        <w:rPr>
          <w:noProof w:val="0"/>
          <w:vertAlign w:val="superscript"/>
          <w:lang w:val="it-IT"/>
        </w:rPr>
        <w:t>a</w:t>
      </w:r>
      <w:r w:rsidRPr="00252301">
        <w:rPr>
          <w:noProof w:val="0"/>
          <w:lang w:val="it-IT"/>
        </w:rPr>
        <w:t>, Ernesto Salzano</w:t>
      </w:r>
      <w:r w:rsidRPr="00252301">
        <w:rPr>
          <w:noProof w:val="0"/>
          <w:vertAlign w:val="superscript"/>
          <w:lang w:val="it-IT"/>
        </w:rPr>
        <w:t>b</w:t>
      </w:r>
      <w:r w:rsidRPr="00252301">
        <w:rPr>
          <w:noProof w:val="0"/>
          <w:lang w:val="it-IT"/>
        </w:rPr>
        <w:t>, Paolo Mocellin</w:t>
      </w:r>
      <w:r w:rsidRPr="00252301">
        <w:rPr>
          <w:noProof w:val="0"/>
          <w:vertAlign w:val="superscript"/>
          <w:lang w:val="it-IT"/>
        </w:rPr>
        <w:t>a,c,*</w:t>
      </w:r>
    </w:p>
    <w:p w14:paraId="250E6130" w14:textId="77777777" w:rsidR="00C016EF" w:rsidRPr="00252301" w:rsidRDefault="00B57E6F" w:rsidP="00B57E6F">
      <w:pPr>
        <w:pStyle w:val="CETAddress"/>
        <w:rPr>
          <w:noProof w:val="0"/>
          <w:lang w:val="it-IT"/>
        </w:rPr>
      </w:pPr>
      <w:r w:rsidRPr="00252301">
        <w:rPr>
          <w:noProof w:val="0"/>
          <w:vertAlign w:val="superscript"/>
          <w:lang w:val="it-IT"/>
        </w:rPr>
        <w:t>a</w:t>
      </w:r>
      <w:r w:rsidR="00C016EF" w:rsidRPr="00252301">
        <w:rPr>
          <w:noProof w:val="0"/>
          <w:lang w:val="it-IT"/>
        </w:rPr>
        <w:t xml:space="preserve"> Università degli Studi di Padova, Dipartimento di Ingegneria Industriale, Via Marzolo 9, 35131 Padova, Italia.</w:t>
      </w:r>
    </w:p>
    <w:p w14:paraId="3D72B0B0" w14:textId="129D2E0D" w:rsidR="00B57E6F" w:rsidRPr="00252301" w:rsidRDefault="00B57E6F" w:rsidP="00B57E6F">
      <w:pPr>
        <w:pStyle w:val="CETAddress"/>
        <w:rPr>
          <w:noProof w:val="0"/>
          <w:lang w:val="it-IT"/>
        </w:rPr>
      </w:pPr>
      <w:r w:rsidRPr="00252301">
        <w:rPr>
          <w:noProof w:val="0"/>
          <w:vertAlign w:val="superscript"/>
          <w:lang w:val="it-IT"/>
        </w:rPr>
        <w:t>b</w:t>
      </w:r>
      <w:r w:rsidR="00C016EF" w:rsidRPr="00252301">
        <w:rPr>
          <w:noProof w:val="0"/>
          <w:vertAlign w:val="superscript"/>
          <w:lang w:val="it-IT"/>
        </w:rPr>
        <w:t xml:space="preserve"> </w:t>
      </w:r>
      <w:r w:rsidR="00C016EF" w:rsidRPr="00252301">
        <w:rPr>
          <w:noProof w:val="0"/>
          <w:lang w:val="it-IT"/>
        </w:rPr>
        <w:t>Università di Bologna, Dipartimento di Ingegneria Civile, Chimica, Ambientale e dei Materiali, Via Terracini 28, 40131 Bologna, Italia.</w:t>
      </w:r>
    </w:p>
    <w:p w14:paraId="1141566C" w14:textId="30F49797" w:rsidR="00C016EF" w:rsidRPr="00252301" w:rsidRDefault="00C016EF" w:rsidP="00B57E6F">
      <w:pPr>
        <w:pStyle w:val="CETAddress"/>
        <w:rPr>
          <w:noProof w:val="0"/>
          <w:lang w:val="it-IT"/>
        </w:rPr>
      </w:pPr>
      <w:r w:rsidRPr="00252301">
        <w:rPr>
          <w:noProof w:val="0"/>
          <w:vertAlign w:val="superscript"/>
          <w:lang w:val="it-IT"/>
        </w:rPr>
        <w:t>c</w:t>
      </w:r>
      <w:r w:rsidRPr="00252301">
        <w:rPr>
          <w:noProof w:val="0"/>
          <w:lang w:val="it-IT"/>
        </w:rPr>
        <w:t xml:space="preserve"> Università degli Studi di Padova, Dipartimento di Ingegneria Civile, Edile e Ambientale, Via Marzolo 9, 35131 Padova, Italia.</w:t>
      </w:r>
    </w:p>
    <w:p w14:paraId="73F1267A" w14:textId="5CEFE65F" w:rsidR="00B57E6F" w:rsidRPr="004B5EBA" w:rsidRDefault="00C016EF" w:rsidP="00B57E6F">
      <w:pPr>
        <w:pStyle w:val="CETemail"/>
        <w:rPr>
          <w:noProof w:val="0"/>
        </w:rPr>
      </w:pPr>
      <w:hyperlink r:id="rId10" w:history="1">
        <w:r w:rsidRPr="004B5EBA">
          <w:rPr>
            <w:rStyle w:val="Collegamentoipertestuale"/>
            <w:noProof w:val="0"/>
          </w:rPr>
          <w:t>paolo.mocellin@unipd.it</w:t>
        </w:r>
      </w:hyperlink>
      <w:r w:rsidRPr="004B5EBA">
        <w:rPr>
          <w:noProof w:val="0"/>
        </w:rPr>
        <w:t xml:space="preserve"> </w:t>
      </w:r>
    </w:p>
    <w:p w14:paraId="52AB096B" w14:textId="6F405AA5" w:rsidR="00A76931" w:rsidRPr="004B5EBA" w:rsidRDefault="00A76931" w:rsidP="0038500D">
      <w:pPr>
        <w:pStyle w:val="CETnumberingbullets"/>
        <w:numPr>
          <w:ilvl w:val="0"/>
          <w:numId w:val="0"/>
        </w:numPr>
        <w:jc w:val="both"/>
      </w:pPr>
      <w:r w:rsidRPr="004B5EBA">
        <w:t>The thermal management of highly exothermic reactions in tubular reactors is a critical issue in chemical process design and operation. Classical intrinsic stability criteria, such as the Strozzi–Zaldivar criterion, have been extensively applied to batch systems to detect the onset of runaway conditions, whereas their application to plug flow reactors (PFRs) remains limited, despite the well-known structural analogy between batch time evolution and steady axial behaviour in PFRs.</w:t>
      </w:r>
    </w:p>
    <w:p w14:paraId="1FA07351" w14:textId="090EC63A" w:rsidR="00FC0CAD" w:rsidRPr="004B5EBA" w:rsidRDefault="00FC0CAD" w:rsidP="0038500D">
      <w:pPr>
        <w:pStyle w:val="CETnumberingbullets"/>
        <w:numPr>
          <w:ilvl w:val="0"/>
          <w:numId w:val="0"/>
        </w:numPr>
        <w:jc w:val="both"/>
      </w:pPr>
      <w:r w:rsidRPr="004B5EBA">
        <w:t>This work aims to: (i) extend the Strozzi–Zaldivar criterion to plug flow reactors; (ii) formulate a divergence-based indicator based on the local Jacobian trace to detect runaway-prone regions along the reactor length; and (iii) evaluate its suitability as a foundation for future real-time model-based control strategies for runaway prevention.</w:t>
      </w:r>
    </w:p>
    <w:p w14:paraId="37A61FCE" w14:textId="12E26088" w:rsidR="00DA24C6" w:rsidRPr="004B5EBA" w:rsidRDefault="00FC0CAD" w:rsidP="0038500D">
      <w:pPr>
        <w:pStyle w:val="CETnumberingbullets"/>
        <w:numPr>
          <w:ilvl w:val="0"/>
          <w:numId w:val="0"/>
        </w:numPr>
        <w:jc w:val="both"/>
      </w:pPr>
      <w:r w:rsidRPr="004B5EBA">
        <w:t>The methodology is applied to a fixed-bed CO</w:t>
      </w:r>
      <w:r w:rsidRPr="004B5EBA">
        <w:rPr>
          <w:rFonts w:ascii="Cambria Math" w:hAnsi="Cambria Math" w:cs="Cambria Math"/>
        </w:rPr>
        <w:t>₂</w:t>
      </w:r>
      <w:r w:rsidRPr="004B5EBA">
        <w:t xml:space="preserve"> methanation reactor, a strongly exothermic system of interest for synthetic natural gas production. Results show that the batch</w:t>
      </w:r>
      <w:r w:rsidRPr="004B5EBA">
        <w:rPr>
          <w:rFonts w:cs="Arial"/>
        </w:rPr>
        <w:t>–</w:t>
      </w:r>
      <w:r w:rsidRPr="004B5EBA">
        <w:t xml:space="preserve">PFR analogy enables a pointwise assessment of thermal stability and that the divergence-based indicator provides a computationally efficient and predictive tool for early runaway detection in spatially distributed reactors. </w:t>
      </w:r>
    </w:p>
    <w:p w14:paraId="476B2F2E" w14:textId="77777777" w:rsidR="00600535" w:rsidRPr="004B5EBA" w:rsidRDefault="00600535" w:rsidP="00600535">
      <w:pPr>
        <w:pStyle w:val="CETHeading1"/>
        <w:rPr>
          <w:lang w:val="en-GB"/>
        </w:rPr>
      </w:pPr>
      <w:r w:rsidRPr="004B5EBA">
        <w:rPr>
          <w:lang w:val="en-GB"/>
        </w:rPr>
        <w:t>Introduction</w:t>
      </w:r>
    </w:p>
    <w:p w14:paraId="7F64F4C8" w14:textId="5C7A8E7D" w:rsidR="006B39E4" w:rsidRPr="004B5EBA" w:rsidRDefault="00FE044A" w:rsidP="00331F1F">
      <w:pPr>
        <w:pStyle w:val="CETnumberingbullets"/>
        <w:numPr>
          <w:ilvl w:val="0"/>
          <w:numId w:val="0"/>
        </w:numPr>
        <w:jc w:val="both"/>
      </w:pPr>
      <w:r w:rsidRPr="004B5EBA">
        <w:t>The thermal management of chemical equipment operating under highly exothermic conditions is a fundamental challenge in chemical reaction engineering</w:t>
      </w:r>
      <w:r w:rsidR="00320CB9">
        <w:t xml:space="preserve"> </w:t>
      </w:r>
      <w:sdt>
        <w:sdtPr>
          <w:rPr>
            <w:rFonts w:cs="Arial"/>
            <w:color w:val="000000"/>
          </w:rPr>
          <w:tag w:val="MENDELEY_CITATION_v3_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"/>
          <w:id w:val="1567378869"/>
          <w:placeholder>
            <w:docPart w:val="DefaultPlaceholder_-1854013440"/>
          </w:placeholder>
        </w:sdtPr>
        <w:sdtContent>
          <w:r w:rsidR="00320CB9" w:rsidRPr="00320CB9">
            <w:rPr>
              <w:rFonts w:cs="Arial"/>
              <w:color w:val="000000"/>
            </w:rPr>
            <w:t>(Andriani et al., 2024a)</w:t>
          </w:r>
        </w:sdtContent>
      </w:sdt>
      <w:r w:rsidRPr="004B5EBA">
        <w:t xml:space="preserve">. When the rate of heat generation exceeds the system’s capacity for heat removal, uncontrolled temperature rises may occur, leading to thermal excursions that can ultimately evolve into full thermal runaway </w:t>
      </w:r>
      <w:sdt>
        <w:sdtPr>
          <w:rPr>
            <w:rFonts w:cs="Arial"/>
            <w:color w:val="000000"/>
          </w:rPr>
          <w:tag w:val="MENDELEY_CITATION_v3_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"/>
          <w:id w:val="1851441974"/>
          <w:placeholder>
            <w:docPart w:val="7EB34E23321805458E9C6926DD53825B"/>
          </w:placeholder>
        </w:sdtPr>
        <w:sdtContent>
          <w:r w:rsidR="004B5F39" w:rsidRPr="004B5F39">
            <w:rPr>
              <w:rFonts w:cs="Arial"/>
              <w:color w:val="000000"/>
            </w:rPr>
            <w:t>(Andriani et al., 2025)</w:t>
          </w:r>
        </w:sdtContent>
      </w:sdt>
      <w:r w:rsidR="006B39E4" w:rsidRPr="004B5EBA">
        <w:t>.</w:t>
      </w:r>
    </w:p>
    <w:p w14:paraId="538118EE" w14:textId="7614EDDD" w:rsidR="00331F1F" w:rsidRPr="004B5EBA" w:rsidRDefault="00CA39C5" w:rsidP="00331F1F">
      <w:pPr>
        <w:pStyle w:val="CETnumberingbullets"/>
        <w:numPr>
          <w:ilvl w:val="0"/>
          <w:numId w:val="0"/>
        </w:numPr>
        <w:jc w:val="both"/>
      </w:pPr>
      <w:r w:rsidRPr="004B5EBA">
        <w:t xml:space="preserve">Runaway phenomena have been extensively investigated in lumped-parameter systems, particularly batch reactors, where stability is assessed by analysing the temporal evolution of reacting mixtures under confined conditions. Among intrinsic stability criteria, the Strozzi–Zaldívar (S&amp;Z) criterion has gained significant attention due to its ability to detect the loss of thermal stability through the sign change of the Jacobian trace of the coupled kinetic–thermal system </w:t>
      </w:r>
      <w:sdt>
        <w:sdtPr>
          <w:rPr>
            <w:rFonts w:cs="Arial"/>
            <w:color w:val="000000"/>
          </w:rPr>
          <w:tag w:val="MENDELEY_CITATION_v3_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"/>
          <w:id w:val="-538358012"/>
          <w:placeholder>
            <w:docPart w:val="DefaultPlaceholder_-1854013440"/>
          </w:placeholder>
        </w:sdtPr>
        <w:sdtContent>
          <w:r w:rsidR="004B5F39" w:rsidRPr="004B5F39">
            <w:rPr>
              <w:rFonts w:cs="Arial"/>
              <w:color w:val="000000"/>
            </w:rPr>
            <w:t>(Schmidt et al., 2025)</w:t>
          </w:r>
        </w:sdtContent>
      </w:sdt>
      <w:r w:rsidR="00331F1F" w:rsidRPr="004B5EBA">
        <w:t xml:space="preserve">. </w:t>
      </w:r>
      <w:r w:rsidRPr="004B5EBA">
        <w:t xml:space="preserve">In contrast, plug flow reactors (PFRs), governed by distributed-parameter models and evolving along a spatial coordinate rather than time, have received comparatively less attention in the context of pointwise intrinsic runaway detection </w:t>
      </w:r>
      <w:sdt>
        <w:sdtPr>
          <w:rPr>
            <w:rFonts w:cs="Arial"/>
            <w:color w:val="000000"/>
          </w:rPr>
          <w:tag w:val="MENDELEY_CITATION_v3_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"/>
          <w:id w:val="1508334204"/>
          <w:placeholder>
            <w:docPart w:val="DefaultPlaceholder_-1854013440"/>
          </w:placeholder>
        </w:sdtPr>
        <w:sdtContent>
          <w:r w:rsidR="004B5F39" w:rsidRPr="004B5F39">
            <w:rPr>
              <w:rFonts w:cs="Arial"/>
              <w:color w:val="000000"/>
            </w:rPr>
            <w:t>(Varma et al., 1999)</w:t>
          </w:r>
        </w:sdtContent>
      </w:sdt>
      <w:r w:rsidR="00331F1F" w:rsidRPr="004B5EBA">
        <w:t xml:space="preserve">. </w:t>
      </w:r>
      <w:r w:rsidR="00675E4B" w:rsidRPr="004B5EBA">
        <w:t xml:space="preserve">Nevertheless, a strong analogy exists between batch and PFR systems: under steady-state operation, the axial spatial evolution in a PFR mathematically mirrors the temporal evolution of a batch reactor </w:t>
      </w:r>
      <w:sdt>
        <w:sdtPr>
          <w:rPr>
            <w:rFonts w:cs="Arial"/>
            <w:color w:val="000000"/>
          </w:rPr>
          <w:tag w:val="MENDELEY_CITATION_v3_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"/>
          <w:id w:val="-972297907"/>
          <w:placeholder>
            <w:docPart w:val="DefaultPlaceholder_-1854013440"/>
          </w:placeholder>
        </w:sdtPr>
        <w:sdtContent>
          <w:r w:rsidR="004B5F39" w:rsidRPr="004B5F39">
            <w:rPr>
              <w:rFonts w:cs="Arial"/>
              <w:color w:val="000000"/>
            </w:rPr>
            <w:t>(Levenspiel, 1999)</w:t>
          </w:r>
        </w:sdtContent>
      </w:sdt>
      <w:r w:rsidR="00331F1F" w:rsidRPr="004B5EBA">
        <w:t xml:space="preserve">. </w:t>
      </w:r>
      <w:r w:rsidR="00675E4B" w:rsidRPr="004B5EBA">
        <w:t>This analogy suggests that intrinsic stability concepts originally developed for temporal systems can be reformulated to enable local stability assessment along the reactor length</w:t>
      </w:r>
      <w:r w:rsidR="00331F1F" w:rsidRPr="004B5EBA">
        <w:t>.</w:t>
      </w:r>
    </w:p>
    <w:p w14:paraId="522B6178" w14:textId="12077910" w:rsidR="00BE76D8" w:rsidRPr="004B5EBA" w:rsidRDefault="00AD07E3" w:rsidP="00331F1F">
      <w:pPr>
        <w:pStyle w:val="CETnumberingbullets"/>
        <w:numPr>
          <w:ilvl w:val="0"/>
          <w:numId w:val="0"/>
        </w:numPr>
        <w:jc w:val="both"/>
      </w:pPr>
      <w:r w:rsidRPr="004B5EBA">
        <w:t>This gap is particularly relevant for fixed-bed catalytic CO</w:t>
      </w:r>
      <w:r w:rsidRPr="004B5EBA">
        <w:rPr>
          <w:rFonts w:ascii="Cambria Math" w:hAnsi="Cambria Math" w:cs="Cambria Math"/>
        </w:rPr>
        <w:t>₂</w:t>
      </w:r>
      <w:r w:rsidRPr="004B5EBA">
        <w:t xml:space="preserve"> methanation reactors, where strong reaction exothermicity, high conversion levels, and sharp temperature fronts are frequently observed </w:t>
      </w:r>
      <w:sdt>
        <w:sdtPr>
          <w:rPr>
            <w:rFonts w:cs="Arial"/>
            <w:color w:val="000000"/>
          </w:rPr>
          <w:tag w:val="MENDELEY_CITATION_v3_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"/>
          <w:id w:val="1616335169"/>
          <w:placeholder>
            <w:docPart w:val="DefaultPlaceholder_-1854013440"/>
          </w:placeholder>
        </w:sdtPr>
        <w:sdtContent>
          <w:r w:rsidR="004B5F39" w:rsidRPr="004B5F39">
            <w:rPr>
              <w:rFonts w:cs="Arial"/>
              <w:color w:val="000000"/>
            </w:rPr>
            <w:t>(Er-</w:t>
          </w:r>
          <w:proofErr w:type="spellStart"/>
          <w:r w:rsidR="004B5F39" w:rsidRPr="004B5F39">
            <w:rPr>
              <w:rFonts w:cs="Arial"/>
              <w:color w:val="000000"/>
            </w:rPr>
            <w:t>rbib</w:t>
          </w:r>
          <w:proofErr w:type="spellEnd"/>
          <w:r w:rsidR="004B5F39" w:rsidRPr="004B5F39">
            <w:rPr>
              <w:rFonts w:cs="Arial"/>
              <w:color w:val="000000"/>
            </w:rPr>
            <w:t xml:space="preserve"> &amp; </w:t>
          </w:r>
          <w:proofErr w:type="spellStart"/>
          <w:r w:rsidR="004B5F39" w:rsidRPr="004B5F39">
            <w:rPr>
              <w:rFonts w:cs="Arial"/>
              <w:color w:val="000000"/>
            </w:rPr>
            <w:t>Bouallou</w:t>
          </w:r>
          <w:proofErr w:type="spellEnd"/>
          <w:r w:rsidR="004B5F39" w:rsidRPr="004B5F39">
            <w:rPr>
              <w:rFonts w:cs="Arial"/>
              <w:color w:val="000000"/>
            </w:rPr>
            <w:t>, 2013)</w:t>
          </w:r>
        </w:sdtContent>
      </w:sdt>
      <w:r w:rsidR="00331F1F" w:rsidRPr="004B5EBA">
        <w:t xml:space="preserve">. </w:t>
      </w:r>
      <w:r w:rsidR="00BE76D8" w:rsidRPr="004B5EBA">
        <w:t xml:space="preserve">Although industrial methanation reactors typically rely on conservative thermal design and external </w:t>
      </w:r>
      <w:r w:rsidR="00BE76D8" w:rsidRPr="004B5EBA">
        <w:lastRenderedPageBreak/>
        <w:t>cooling strategies, local intrinsic runaway risks may still arise, especially under feed disturbances, heat-transfer degradation, or catalyst aging. In this context, the identification of runaway-prone regions in a PFR is valuable not only for design-stage safety assessment, but also as a foundation for model-based control (MBC) and supervision strategies</w:t>
      </w:r>
      <w:r w:rsidR="0035051B" w:rsidRPr="004B5EBA">
        <w:t>.</w:t>
      </w:r>
      <w:r w:rsidR="00B269A0" w:rsidRPr="004B5EBA">
        <w:t xml:space="preserve"> Unlike global criteria, a local divergence-based indicator can be evaluated pointwise along the reactor domain with limited computational overhead, making it suitable for future integration into real-time monitoring frameworks</w:t>
      </w:r>
      <w:r w:rsidR="004B5F39">
        <w:t xml:space="preserve"> </w:t>
      </w:r>
      <w:sdt>
        <w:sdtPr>
          <w:rPr>
            <w:rFonts w:cs="Arial"/>
            <w:color w:val="000000"/>
          </w:rPr>
          <w:tag w:val="MENDELEY_CITATION_v3_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"/>
          <w:id w:val="-1245561467"/>
          <w:placeholder>
            <w:docPart w:val="DefaultPlaceholder_-1854013440"/>
          </w:placeholder>
        </w:sdtPr>
        <w:sdtContent>
          <w:r w:rsidR="00320CB9" w:rsidRPr="00320CB9">
            <w:rPr>
              <w:rFonts w:cs="Arial"/>
              <w:color w:val="000000"/>
            </w:rPr>
            <w:t>(Andriani et al., 2024b)</w:t>
          </w:r>
        </w:sdtContent>
      </w:sdt>
      <w:r w:rsidR="00B269A0" w:rsidRPr="004B5EBA">
        <w:t>. However, the high dimensionality of full PFR models generally precludes their direct use in online optimization</w:t>
      </w:r>
      <w:r w:rsidR="00C345DD">
        <w:t xml:space="preserve"> </w:t>
      </w:r>
      <w:sdt>
        <w:sdtPr>
          <w:rPr>
            <w:rFonts w:cs="Arial"/>
            <w:color w:val="000000"/>
          </w:rPr>
          <w:tag w:val="MENDELEY_CITATION_v3_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"/>
          <w:id w:val="1284393216"/>
          <w:placeholder>
            <w:docPart w:val="DefaultPlaceholder_-1854013440"/>
          </w:placeholder>
        </w:sdtPr>
        <w:sdtContent>
          <w:r w:rsidR="004B5F39" w:rsidRPr="004B5F39">
            <w:rPr>
              <w:rFonts w:cs="Arial"/>
              <w:color w:val="000000"/>
            </w:rPr>
            <w:t>(Sánchez et al., 2026)</w:t>
          </w:r>
        </w:sdtContent>
      </w:sdt>
      <w:r w:rsidR="00B269A0" w:rsidRPr="004B5EBA">
        <w:t>, motivating the coupling of stability indicators with model order reduction (MOR) techniques</w:t>
      </w:r>
      <w:r w:rsidR="000A0884" w:rsidRPr="004B5EBA">
        <w:t>.</w:t>
      </w:r>
    </w:p>
    <w:p w14:paraId="1AED3853" w14:textId="44FB3D05" w:rsidR="00600535" w:rsidRPr="004B5EBA" w:rsidRDefault="000A0884" w:rsidP="00331F1F">
      <w:pPr>
        <w:pStyle w:val="CETnumberingbullets"/>
        <w:numPr>
          <w:ilvl w:val="0"/>
          <w:numId w:val="0"/>
        </w:numPr>
        <w:jc w:val="both"/>
      </w:pPr>
      <w:r w:rsidRPr="004B5EBA">
        <w:t>Motivated by these considerations, this work proposes a spatial reformulation of the Strozzi–Zaldívar criterion for plug flow reactors, introduces a Jacobian-trace divergence indicator to detect local thermal instability along the reactor axis, and evaluates its potential as a computationally efficient predictive tool to support the future development of control-oriented and supervisory architectures based on reduced-order reactor models.</w:t>
      </w:r>
    </w:p>
    <w:p w14:paraId="5741900F" w14:textId="5BEC6B26" w:rsidR="00453E24" w:rsidRPr="004B5EBA" w:rsidRDefault="001A263E" w:rsidP="00453E24">
      <w:pPr>
        <w:pStyle w:val="CETHeading1"/>
        <w:rPr>
          <w:lang w:val="en-GB"/>
        </w:rPr>
      </w:pPr>
      <w:r w:rsidRPr="004B5EBA">
        <w:rPr>
          <w:lang w:val="en-GB"/>
        </w:rPr>
        <w:t>Methodology</w:t>
      </w:r>
    </w:p>
    <w:p w14:paraId="09406386" w14:textId="71A7F269" w:rsidR="00453E24" w:rsidRPr="004B5EBA" w:rsidRDefault="00ED5B88" w:rsidP="00453E24">
      <w:pPr>
        <w:pStyle w:val="CETBodytext"/>
        <w:rPr>
          <w:lang w:val="en-GB"/>
        </w:rPr>
      </w:pPr>
      <w:r w:rsidRPr="004B5EBA">
        <w:rPr>
          <w:lang w:val="en-GB"/>
        </w:rPr>
        <w:t>This section outlines the modelling-oriented analysis workflow adopted in this study. The methodology combines a mechanistic reaction network description (Section 2.1), a one-dimensional non-isothermal plug flow reactor model (Section 2.2), the numerical evaluation of a local Jacobian-trace divergence indicator for runaway detection (Section 2.3), and a continuation analysis to assess reactor sensitivity under progressive feed perturbations (Section 2.4)</w:t>
      </w:r>
      <w:r w:rsidR="0024088F" w:rsidRPr="004B5EBA">
        <w:rPr>
          <w:lang w:val="en-GB"/>
        </w:rPr>
        <w:t>.</w:t>
      </w:r>
    </w:p>
    <w:p w14:paraId="691D6544" w14:textId="083AE236" w:rsidR="000A6662" w:rsidRPr="004B5EBA" w:rsidRDefault="000A6662" w:rsidP="000A6662">
      <w:pPr>
        <w:pStyle w:val="CETheadingx"/>
        <w:rPr>
          <w:lang w:val="en-GB"/>
        </w:rPr>
      </w:pPr>
      <w:r w:rsidRPr="004B5EBA">
        <w:rPr>
          <w:lang w:val="en-GB"/>
        </w:rPr>
        <w:t>Reactor model and reaction kinetics</w:t>
      </w:r>
    </w:p>
    <w:p w14:paraId="3C719A27" w14:textId="6559A553" w:rsidR="00491B2E" w:rsidRPr="004B5EBA" w:rsidRDefault="00491B2E" w:rsidP="000A6662">
      <w:pPr>
        <w:pStyle w:val="CETBodytext"/>
        <w:rPr>
          <w:rFonts w:cs="Arial"/>
          <w:color w:val="000000"/>
          <w:lang w:val="en-GB"/>
        </w:rPr>
      </w:pPr>
      <w:r w:rsidRPr="004B5EBA">
        <w:rPr>
          <w:lang w:val="en-GB"/>
        </w:rPr>
        <w:t xml:space="preserve">A one-dimensional, steady-state model of a catalytic multitubular plug flow reactor is developed to describe the axial evolution of the reacting gases </w:t>
      </w:r>
      <w:sdt>
        <w:sdtPr>
          <w:rPr>
            <w:rFonts w:cs="Arial"/>
            <w:color w:val="000000"/>
            <w:lang w:val="en-GB"/>
          </w:rPr>
          <w:tag w:val="MENDELEY_CITATION_v3_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"/>
          <w:id w:val="-353505095"/>
          <w:placeholder>
            <w:docPart w:val="C2829F10F75546D3A609DAB1180D97A0"/>
          </w:placeholder>
        </w:sdtPr>
        <w:sdtContent>
          <w:r w:rsidR="004B5F39" w:rsidRPr="004B5F39">
            <w:rPr>
              <w:rFonts w:cs="Arial"/>
              <w:color w:val="000000"/>
              <w:lang w:val="en-GB"/>
            </w:rPr>
            <w:t>(</w:t>
          </w:r>
          <w:proofErr w:type="spellStart"/>
          <w:r w:rsidR="004B5F39" w:rsidRPr="004B5F39">
            <w:rPr>
              <w:rFonts w:cs="Arial"/>
              <w:color w:val="000000"/>
              <w:lang w:val="en-GB"/>
            </w:rPr>
            <w:t>Costamagna</w:t>
          </w:r>
          <w:proofErr w:type="spellEnd"/>
          <w:r w:rsidR="004B5F39" w:rsidRPr="004B5F39">
            <w:rPr>
              <w:rFonts w:cs="Arial"/>
              <w:color w:val="000000"/>
              <w:lang w:val="en-GB"/>
            </w:rPr>
            <w:t xml:space="preserve"> et al., 2020)</w:t>
          </w:r>
        </w:sdtContent>
      </w:sdt>
      <w:r w:rsidRPr="004B5EBA">
        <w:rPr>
          <w:rFonts w:cs="Arial"/>
          <w:color w:val="000000"/>
          <w:lang w:val="en-GB"/>
        </w:rPr>
        <w:t>.</w:t>
      </w:r>
      <w:r w:rsidR="006D4D97" w:rsidRPr="004B5EBA">
        <w:rPr>
          <w:rFonts w:cs="Arial"/>
          <w:color w:val="000000"/>
          <w:lang w:val="en-GB"/>
        </w:rPr>
        <w:t xml:space="preserve"> The reactor operates under co-current shell-side cooling with circulating diathermic oil, selected to enhance heat removal and mitigate the strong exothermicity of CO</w:t>
      </w:r>
      <w:r w:rsidR="006D4D97" w:rsidRPr="004B5EBA">
        <w:rPr>
          <w:rFonts w:ascii="Cambria Math" w:hAnsi="Cambria Math" w:cs="Cambria Math"/>
          <w:color w:val="000000"/>
          <w:lang w:val="en-GB"/>
        </w:rPr>
        <w:t>₂</w:t>
      </w:r>
      <w:r w:rsidR="006D4D97" w:rsidRPr="004B5EBA">
        <w:rPr>
          <w:rFonts w:cs="Arial"/>
          <w:color w:val="000000"/>
          <w:lang w:val="en-GB"/>
        </w:rPr>
        <w:t xml:space="preserve"> methanation. The model </w:t>
      </w:r>
      <w:r w:rsidR="003A1CBF" w:rsidRPr="004B5EBA">
        <w:rPr>
          <w:rFonts w:cs="Arial"/>
          <w:color w:val="000000"/>
          <w:lang w:val="en-GB"/>
        </w:rPr>
        <w:t xml:space="preserve">illustrated in Equations 1-3 </w:t>
      </w:r>
      <w:r w:rsidR="006D4D97" w:rsidRPr="004B5EBA">
        <w:rPr>
          <w:rFonts w:cs="Arial"/>
          <w:color w:val="000000"/>
          <w:lang w:val="en-GB"/>
        </w:rPr>
        <w:t xml:space="preserve">solves coupled mass, energy, and momentum balances, enabling spatially resolved prediction of species conversion, temperature profiles, and pressure drop </w:t>
      </w:r>
      <w:sdt>
        <w:sdtPr>
          <w:rPr>
            <w:rFonts w:cs="Arial"/>
            <w:color w:val="000000"/>
            <w:lang w:val="en-GB"/>
          </w:rPr>
          <w:tag w:val="MENDELEY_CITATION_v3_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"/>
          <w:id w:val="1592275335"/>
          <w:placeholder>
            <w:docPart w:val="4BD1C58E50B543CF821F40DEDB655636"/>
          </w:placeholder>
        </w:sdtPr>
        <w:sdtContent>
          <w:r w:rsidR="004B5F39" w:rsidRPr="004B5F39">
            <w:rPr>
              <w:rFonts w:cs="Arial"/>
              <w:color w:val="000000"/>
              <w:lang w:val="en-GB"/>
            </w:rPr>
            <w:t>(Froment et al., 2011)</w:t>
          </w:r>
        </w:sdtContent>
      </w:sdt>
      <w:r w:rsidR="006D4D97" w:rsidRPr="004B5EBA">
        <w:rPr>
          <w:rFonts w:cs="Arial"/>
          <w:color w:val="000000"/>
          <w:lang w:val="en-GB"/>
        </w:rPr>
        <w:t>.</w:t>
      </w:r>
    </w:p>
    <w:tbl>
      <w:tblPr>
        <w:tblW w:w="4991" w:type="pct"/>
        <w:tblInd w:w="15" w:type="dxa"/>
        <w:tblLook w:val="04A0" w:firstRow="1" w:lastRow="0" w:firstColumn="1" w:lastColumn="0" w:noHBand="0" w:noVBand="1"/>
      </w:tblPr>
      <w:tblGrid>
        <w:gridCol w:w="7081"/>
        <w:gridCol w:w="1690"/>
      </w:tblGrid>
      <w:tr w:rsidR="003A1CBF" w:rsidRPr="004B5EBA" w14:paraId="41F4BCBF" w14:textId="77777777" w:rsidTr="00465C94">
        <w:tc>
          <w:tcPr>
            <w:tcW w:w="7081" w:type="dxa"/>
            <w:vAlign w:val="center"/>
          </w:tcPr>
          <w:p w14:paraId="649AA6F0" w14:textId="77777777" w:rsidR="003A1CBF" w:rsidRPr="004B5EBA" w:rsidRDefault="003A1CBF" w:rsidP="00465C94">
            <w:pPr>
              <w:rPr>
                <w:rFonts w:ascii="Times New Roman" w:eastAsiaTheme="minorEastAsia" w:hAnsi="Times New Roman"/>
                <w:szCs w:val="18"/>
              </w:rPr>
            </w:pPr>
            <w:r w:rsidRPr="004B5EBA">
              <w:rPr>
                <w:szCs w:val="18"/>
              </w:rPr>
              <w:t xml:space="preserve"> </w:t>
            </w:r>
            <m:oMath>
              <m:f>
                <m:fPr>
                  <m:ctrlPr>
                    <w:rPr>
                      <w:rFonts w:ascii="Cambria Math" w:hAnsi="Cambria Math"/>
                      <w:i/>
                      <w:szCs w:val="18"/>
                    </w:rPr>
                  </m:ctrlPr>
                </m:fPr>
                <m:num>
                  <m:r>
                    <w:rPr>
                      <w:rFonts w:ascii="Cambria Math" w:hAnsi="Cambria Math"/>
                      <w:szCs w:val="18"/>
                    </w:rPr>
                    <m:t>d</m:t>
                  </m:r>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n</m:t>
                          </m:r>
                        </m:e>
                      </m:acc>
                    </m:e>
                    <m:sub>
                      <m:r>
                        <w:rPr>
                          <w:rFonts w:ascii="Cambria Math" w:hAnsi="Cambria Math"/>
                          <w:szCs w:val="18"/>
                        </w:rPr>
                        <m:t>i</m:t>
                      </m:r>
                    </m:sub>
                  </m:sSub>
                </m:num>
                <m:den>
                  <m:r>
                    <w:rPr>
                      <w:rFonts w:ascii="Cambria Math" w:hAnsi="Cambria Math"/>
                      <w:szCs w:val="18"/>
                    </w:rPr>
                    <m:t>dz</m:t>
                  </m:r>
                </m:den>
              </m:f>
              <m:r>
                <w:rPr>
                  <w:rFonts w:ascii="Cambria Math" w:hAnsi="Cambria Math"/>
                  <w:szCs w:val="18"/>
                </w:rPr>
                <m:t>=</m:t>
              </m:r>
              <m:nary>
                <m:naryPr>
                  <m:chr m:val="∑"/>
                  <m:limLoc m:val="undOvr"/>
                  <m:subHide m:val="1"/>
                  <m:supHide m:val="1"/>
                  <m:ctrlPr>
                    <w:rPr>
                      <w:rFonts w:ascii="Cambria Math" w:hAnsi="Cambria Math"/>
                      <w:i/>
                      <w:szCs w:val="18"/>
                    </w:rPr>
                  </m:ctrlPr>
                </m:naryPr>
                <m:sub/>
                <m:sup/>
                <m:e>
                  <m:sSub>
                    <m:sSubPr>
                      <m:ctrlPr>
                        <w:rPr>
                          <w:rFonts w:ascii="Cambria Math" w:hAnsi="Cambria Math"/>
                          <w:i/>
                          <w:szCs w:val="18"/>
                        </w:rPr>
                      </m:ctrlPr>
                    </m:sSubPr>
                    <m:e>
                      <m:r>
                        <w:rPr>
                          <w:rFonts w:ascii="Cambria Math" w:hAnsi="Cambria Math"/>
                          <w:szCs w:val="18"/>
                        </w:rPr>
                        <m:t>ν</m:t>
                      </m:r>
                    </m:e>
                    <m:sub>
                      <m:r>
                        <w:rPr>
                          <w:rFonts w:ascii="Cambria Math" w:hAnsi="Cambria Math"/>
                          <w:szCs w:val="18"/>
                        </w:rPr>
                        <m:t>i,r</m:t>
                      </m:r>
                    </m:sub>
                  </m:sSub>
                  <m:sSub>
                    <m:sSubPr>
                      <m:ctrlPr>
                        <w:rPr>
                          <w:rFonts w:ascii="Cambria Math" w:hAnsi="Cambria Math"/>
                          <w:i/>
                          <w:szCs w:val="18"/>
                        </w:rPr>
                      </m:ctrlPr>
                    </m:sSubPr>
                    <m:e>
                      <m:r>
                        <w:rPr>
                          <w:rFonts w:ascii="Cambria Math" w:hAnsi="Cambria Math"/>
                          <w:szCs w:val="18"/>
                        </w:rPr>
                        <m:t>ρ</m:t>
                      </m:r>
                    </m:e>
                    <m:sub>
                      <m:r>
                        <w:rPr>
                          <w:rFonts w:ascii="Cambria Math" w:hAnsi="Cambria Math"/>
                          <w:szCs w:val="18"/>
                        </w:rPr>
                        <m:t>b</m:t>
                      </m:r>
                    </m:sub>
                  </m:sSub>
                  <m:sSub>
                    <m:sSubPr>
                      <m:ctrlPr>
                        <w:rPr>
                          <w:rFonts w:ascii="Cambria Math" w:hAnsi="Cambria Math"/>
                          <w:i/>
                          <w:szCs w:val="18"/>
                        </w:rPr>
                      </m:ctrlPr>
                    </m:sSubPr>
                    <m:e>
                      <m:acc>
                        <m:accPr>
                          <m:ctrlPr>
                            <w:rPr>
                              <w:rFonts w:ascii="Cambria Math" w:hAnsi="Cambria Math"/>
                              <w:i/>
                              <w:szCs w:val="18"/>
                            </w:rPr>
                          </m:ctrlPr>
                        </m:accPr>
                        <m:e>
                          <m:r>
                            <m:rPr>
                              <m:scr m:val="script"/>
                            </m:rPr>
                            <w:rPr>
                              <w:rFonts w:ascii="Cambria Math" w:hAnsi="Cambria Math"/>
                              <w:szCs w:val="18"/>
                            </w:rPr>
                            <m:t>R</m:t>
                          </m:r>
                        </m:e>
                      </m:acc>
                    </m:e>
                    <m:sub>
                      <m:r>
                        <w:rPr>
                          <w:rFonts w:ascii="Cambria Math" w:hAnsi="Cambria Math"/>
                          <w:szCs w:val="18"/>
                        </w:rPr>
                        <m:t>r</m:t>
                      </m:r>
                    </m:sub>
                  </m:sSub>
                  <m:sSub>
                    <m:sSubPr>
                      <m:ctrlPr>
                        <w:rPr>
                          <w:rFonts w:ascii="Cambria Math" w:hAnsi="Cambria Math"/>
                          <w:i/>
                          <w:szCs w:val="18"/>
                        </w:rPr>
                      </m:ctrlPr>
                    </m:sSubPr>
                    <m:e>
                      <m:r>
                        <w:rPr>
                          <w:rFonts w:ascii="Cambria Math" w:hAnsi="Cambria Math"/>
                          <w:szCs w:val="18"/>
                        </w:rPr>
                        <m:t>A</m:t>
                      </m:r>
                    </m:e>
                    <m:sub>
                      <m:r>
                        <w:rPr>
                          <w:rFonts w:ascii="Cambria Math" w:hAnsi="Cambria Math"/>
                          <w:szCs w:val="18"/>
                        </w:rPr>
                        <m:t>cs</m:t>
                      </m:r>
                    </m:sub>
                  </m:sSub>
                </m:e>
              </m:nary>
            </m:oMath>
          </w:p>
        </w:tc>
        <w:tc>
          <w:tcPr>
            <w:tcW w:w="1690" w:type="dxa"/>
            <w:vAlign w:val="center"/>
          </w:tcPr>
          <w:p w14:paraId="1C033429" w14:textId="77777777" w:rsidR="003A1CBF" w:rsidRPr="004B5EBA" w:rsidRDefault="003A1CBF" w:rsidP="00465C94">
            <w:pPr>
              <w:pStyle w:val="CETEquation"/>
              <w:jc w:val="right"/>
              <w:rPr>
                <w:szCs w:val="18"/>
              </w:rPr>
            </w:pPr>
            <w:r w:rsidRPr="004B5EBA">
              <w:rPr>
                <w:szCs w:val="18"/>
              </w:rPr>
              <w:t>(1)</w:t>
            </w:r>
          </w:p>
        </w:tc>
      </w:tr>
      <w:tr w:rsidR="003A1CBF" w:rsidRPr="004B5EBA" w14:paraId="19E9B279" w14:textId="77777777" w:rsidTr="00465C94">
        <w:tc>
          <w:tcPr>
            <w:tcW w:w="7081" w:type="dxa"/>
            <w:vAlign w:val="center"/>
          </w:tcPr>
          <w:p w14:paraId="64F9B989" w14:textId="77777777" w:rsidR="003A1CBF" w:rsidRPr="004B5EBA" w:rsidRDefault="003A1CBF" w:rsidP="00465C94">
            <w:pPr>
              <w:rPr>
                <w:rFonts w:ascii="Times New Roman" w:eastAsiaTheme="minorEastAsia" w:hAnsi="Times New Roman"/>
                <w:szCs w:val="18"/>
              </w:rPr>
            </w:pPr>
            <w:r w:rsidRPr="004B5EBA">
              <w:rPr>
                <w:szCs w:val="18"/>
              </w:rPr>
              <w:t xml:space="preserve"> </w:t>
            </w:r>
            <m:oMath>
              <m:d>
                <m:dPr>
                  <m:ctrlPr>
                    <w:rPr>
                      <w:rFonts w:ascii="Cambria Math" w:eastAsiaTheme="minorEastAsia" w:hAnsi="Cambria Math"/>
                      <w:i/>
                      <w:szCs w:val="18"/>
                    </w:rPr>
                  </m:ctrlPr>
                </m:dPr>
                <m:e>
                  <m:nary>
                    <m:naryPr>
                      <m:chr m:val="∑"/>
                      <m:limLoc m:val="undOvr"/>
                      <m:subHide m:val="1"/>
                      <m:supHide m:val="1"/>
                      <m:ctrlPr>
                        <w:rPr>
                          <w:rFonts w:ascii="Cambria Math" w:eastAsiaTheme="minorEastAsia" w:hAnsi="Cambria Math"/>
                          <w:i/>
                          <w:szCs w:val="18"/>
                        </w:rPr>
                      </m:ctrlPr>
                    </m:naryPr>
                    <m:sub/>
                    <m:sup/>
                    <m:e>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n</m:t>
                              </m:r>
                            </m:e>
                          </m:acc>
                        </m:e>
                        <m:sub>
                          <m:r>
                            <w:rPr>
                              <w:rFonts w:ascii="Cambria Math" w:hAnsi="Cambria Math"/>
                              <w:szCs w:val="18"/>
                            </w:rPr>
                            <m:t>i</m:t>
                          </m:r>
                        </m:sub>
                      </m:sSub>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C</m:t>
                              </m:r>
                            </m:e>
                          </m:acc>
                        </m:e>
                        <m:sub>
                          <m:r>
                            <w:rPr>
                              <w:rFonts w:ascii="Cambria Math" w:hAnsi="Cambria Math"/>
                              <w:szCs w:val="18"/>
                            </w:rPr>
                            <m:t>pi</m:t>
                          </m:r>
                        </m:sub>
                      </m:sSub>
                    </m:e>
                  </m:nary>
                </m:e>
              </m:d>
              <m:f>
                <m:fPr>
                  <m:ctrlPr>
                    <w:rPr>
                      <w:rFonts w:ascii="Cambria Math" w:eastAsiaTheme="minorEastAsia" w:hAnsi="Cambria Math"/>
                      <w:i/>
                      <w:szCs w:val="18"/>
                    </w:rPr>
                  </m:ctrlPr>
                </m:fPr>
                <m:num>
                  <m:r>
                    <w:rPr>
                      <w:rFonts w:ascii="Cambria Math" w:eastAsiaTheme="minorEastAsia" w:hAnsi="Cambria Math"/>
                      <w:szCs w:val="18"/>
                    </w:rPr>
                    <m:t>dT</m:t>
                  </m:r>
                </m:num>
                <m:den>
                  <m:r>
                    <w:rPr>
                      <w:rFonts w:ascii="Cambria Math" w:eastAsiaTheme="minorEastAsia" w:hAnsi="Cambria Math"/>
                      <w:szCs w:val="18"/>
                    </w:rPr>
                    <m:t>dz</m:t>
                  </m:r>
                </m:den>
              </m:f>
              <m:r>
                <w:rPr>
                  <w:rFonts w:ascii="Cambria Math" w:eastAsiaTheme="minorEastAsia" w:hAnsi="Cambria Math"/>
                  <w:szCs w:val="18"/>
                </w:rPr>
                <m:t>=</m:t>
              </m:r>
              <m:d>
                <m:dPr>
                  <m:ctrlPr>
                    <w:rPr>
                      <w:rFonts w:ascii="Cambria Math" w:hAnsi="Cambria Math"/>
                      <w:i/>
                      <w:szCs w:val="18"/>
                    </w:rPr>
                  </m:ctrlPr>
                </m:dPr>
                <m:e>
                  <m:nary>
                    <m:naryPr>
                      <m:chr m:val="∑"/>
                      <m:limLoc m:val="undOvr"/>
                      <m:subHide m:val="1"/>
                      <m:supHide m:val="1"/>
                      <m:ctrlPr>
                        <w:rPr>
                          <w:rFonts w:ascii="Cambria Math" w:hAnsi="Cambria Math"/>
                          <w:i/>
                          <w:szCs w:val="18"/>
                        </w:rPr>
                      </m:ctrlPr>
                    </m:naryPr>
                    <m:sub/>
                    <m:sup/>
                    <m:e>
                      <m:d>
                        <m:dPr>
                          <m:ctrlPr>
                            <w:rPr>
                              <w:rFonts w:ascii="Cambria Math" w:hAnsi="Cambria Math"/>
                              <w:i/>
                              <w:szCs w:val="18"/>
                            </w:rPr>
                          </m:ctrlPr>
                        </m:dPr>
                        <m:e>
                          <m:r>
                            <w:rPr>
                              <w:rFonts w:ascii="Cambria Math" w:hAnsi="Cambria Math"/>
                              <w:szCs w:val="18"/>
                            </w:rPr>
                            <m:t>-∆</m:t>
                          </m:r>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H</m:t>
                                  </m:r>
                                </m:e>
                              </m:acc>
                            </m:e>
                            <m:sub>
                              <m:r>
                                <w:rPr>
                                  <w:rFonts w:ascii="Cambria Math" w:hAnsi="Cambria Math"/>
                                  <w:szCs w:val="18"/>
                                </w:rPr>
                                <m:t>r</m:t>
                              </m:r>
                            </m:sub>
                          </m:sSub>
                        </m:e>
                      </m:d>
                      <m:sSub>
                        <m:sSubPr>
                          <m:ctrlPr>
                            <w:rPr>
                              <w:rFonts w:ascii="Cambria Math" w:hAnsi="Cambria Math"/>
                              <w:i/>
                              <w:szCs w:val="18"/>
                            </w:rPr>
                          </m:ctrlPr>
                        </m:sSubPr>
                        <m:e>
                          <m:acc>
                            <m:accPr>
                              <m:ctrlPr>
                                <w:rPr>
                                  <w:rFonts w:ascii="Cambria Math" w:hAnsi="Cambria Math"/>
                                  <w:i/>
                                  <w:szCs w:val="18"/>
                                </w:rPr>
                              </m:ctrlPr>
                            </m:accPr>
                            <m:e>
                              <m:r>
                                <m:rPr>
                                  <m:scr m:val="script"/>
                                </m:rPr>
                                <w:rPr>
                                  <w:rFonts w:ascii="Cambria Math" w:hAnsi="Cambria Math"/>
                                  <w:szCs w:val="18"/>
                                </w:rPr>
                                <m:t>R</m:t>
                              </m:r>
                            </m:e>
                          </m:acc>
                        </m:e>
                        <m:sub>
                          <m:r>
                            <w:rPr>
                              <w:rFonts w:ascii="Cambria Math" w:hAnsi="Cambria Math"/>
                              <w:szCs w:val="18"/>
                            </w:rPr>
                            <m:t>r</m:t>
                          </m:r>
                        </m:sub>
                      </m:sSub>
                      <m:sSub>
                        <m:sSubPr>
                          <m:ctrlPr>
                            <w:rPr>
                              <w:rFonts w:ascii="Cambria Math" w:hAnsi="Cambria Math"/>
                              <w:i/>
                              <w:szCs w:val="18"/>
                            </w:rPr>
                          </m:ctrlPr>
                        </m:sSubPr>
                        <m:e>
                          <m:r>
                            <w:rPr>
                              <w:rFonts w:ascii="Cambria Math" w:hAnsi="Cambria Math"/>
                              <w:szCs w:val="18"/>
                            </w:rPr>
                            <m:t>ρ</m:t>
                          </m:r>
                        </m:e>
                        <m:sub>
                          <m:r>
                            <w:rPr>
                              <w:rFonts w:ascii="Cambria Math" w:hAnsi="Cambria Math"/>
                              <w:szCs w:val="18"/>
                            </w:rPr>
                            <m:t>b</m:t>
                          </m:r>
                        </m:sub>
                      </m:sSub>
                      <m:sSub>
                        <m:sSubPr>
                          <m:ctrlPr>
                            <w:rPr>
                              <w:rFonts w:ascii="Cambria Math" w:hAnsi="Cambria Math"/>
                              <w:i/>
                              <w:szCs w:val="18"/>
                            </w:rPr>
                          </m:ctrlPr>
                        </m:sSubPr>
                        <m:e>
                          <m:r>
                            <w:rPr>
                              <w:rFonts w:ascii="Cambria Math" w:hAnsi="Cambria Math"/>
                              <w:szCs w:val="18"/>
                            </w:rPr>
                            <m:t>A</m:t>
                          </m:r>
                        </m:e>
                        <m:sub>
                          <m:r>
                            <w:rPr>
                              <w:rFonts w:ascii="Cambria Math" w:hAnsi="Cambria Math"/>
                              <w:szCs w:val="18"/>
                            </w:rPr>
                            <m:t>cs</m:t>
                          </m:r>
                        </m:sub>
                      </m:sSub>
                    </m:e>
                  </m:nary>
                </m:e>
              </m:d>
              <m:r>
                <w:rPr>
                  <w:rFonts w:ascii="Cambria Math" w:hAnsi="Cambria Math"/>
                  <w:szCs w:val="18"/>
                </w:rPr>
                <m:t>-π</m:t>
              </m:r>
              <m:sSub>
                <m:sSubPr>
                  <m:ctrlPr>
                    <w:rPr>
                      <w:rFonts w:ascii="Cambria Math" w:hAnsi="Cambria Math"/>
                      <w:i/>
                      <w:szCs w:val="18"/>
                    </w:rPr>
                  </m:ctrlPr>
                </m:sSubPr>
                <m:e>
                  <m:r>
                    <w:rPr>
                      <w:rFonts w:ascii="Cambria Math" w:hAnsi="Cambria Math"/>
                      <w:szCs w:val="18"/>
                    </w:rPr>
                    <m:t>d</m:t>
                  </m:r>
                </m:e>
                <m:sub>
                  <m:r>
                    <w:rPr>
                      <w:rFonts w:ascii="Cambria Math" w:hAnsi="Cambria Math"/>
                      <w:szCs w:val="18"/>
                    </w:rPr>
                    <m:t>int</m:t>
                  </m:r>
                </m:sub>
              </m:sSub>
              <m:r>
                <w:rPr>
                  <w:rFonts w:ascii="Cambria Math" w:hAnsi="Cambria Math"/>
                  <w:szCs w:val="18"/>
                </w:rPr>
                <m:t>U</m:t>
              </m:r>
              <m:d>
                <m:dPr>
                  <m:ctrlPr>
                    <w:rPr>
                      <w:rFonts w:ascii="Cambria Math" w:hAnsi="Cambria Math"/>
                      <w:i/>
                      <w:szCs w:val="18"/>
                    </w:rPr>
                  </m:ctrlPr>
                </m:dPr>
                <m:e>
                  <m:r>
                    <w:rPr>
                      <w:rFonts w:ascii="Cambria Math" w:hAnsi="Cambria Math"/>
                      <w:szCs w:val="18"/>
                    </w:rPr>
                    <m:t>T-</m:t>
                  </m:r>
                  <m:sSub>
                    <m:sSubPr>
                      <m:ctrlPr>
                        <w:rPr>
                          <w:rFonts w:ascii="Cambria Math" w:hAnsi="Cambria Math"/>
                          <w:i/>
                          <w:szCs w:val="18"/>
                        </w:rPr>
                      </m:ctrlPr>
                    </m:sSubPr>
                    <m:e>
                      <m:r>
                        <w:rPr>
                          <w:rFonts w:ascii="Cambria Math" w:hAnsi="Cambria Math"/>
                          <w:szCs w:val="18"/>
                        </w:rPr>
                        <m:t>T</m:t>
                      </m:r>
                    </m:e>
                    <m:sub>
                      <m:r>
                        <w:rPr>
                          <w:rFonts w:ascii="Cambria Math" w:hAnsi="Cambria Math"/>
                          <w:szCs w:val="18"/>
                        </w:rPr>
                        <m:t>serv</m:t>
                      </m:r>
                    </m:sub>
                  </m:sSub>
                </m:e>
              </m:d>
            </m:oMath>
          </w:p>
        </w:tc>
        <w:tc>
          <w:tcPr>
            <w:tcW w:w="1690" w:type="dxa"/>
            <w:vAlign w:val="center"/>
          </w:tcPr>
          <w:p w14:paraId="5B4FA7EA" w14:textId="77777777" w:rsidR="003A1CBF" w:rsidRPr="004B5EBA" w:rsidRDefault="003A1CBF" w:rsidP="00465C94">
            <w:pPr>
              <w:pStyle w:val="CETEquation"/>
              <w:jc w:val="right"/>
              <w:rPr>
                <w:szCs w:val="18"/>
              </w:rPr>
            </w:pPr>
            <w:r w:rsidRPr="004B5EBA">
              <w:rPr>
                <w:szCs w:val="18"/>
              </w:rPr>
              <w:t>(2)</w:t>
            </w:r>
          </w:p>
        </w:tc>
      </w:tr>
      <w:tr w:rsidR="003A1CBF" w:rsidRPr="004B5EBA" w14:paraId="6E895E4B" w14:textId="77777777" w:rsidTr="00465C94">
        <w:tc>
          <w:tcPr>
            <w:tcW w:w="7081" w:type="dxa"/>
            <w:vAlign w:val="center"/>
          </w:tcPr>
          <w:p w14:paraId="3570861A" w14:textId="77777777" w:rsidR="003A1CBF" w:rsidRPr="004B5EBA" w:rsidRDefault="003A1CBF" w:rsidP="00465C94">
            <w:pPr>
              <w:rPr>
                <w:rFonts w:ascii="Times New Roman" w:eastAsiaTheme="minorEastAsia" w:hAnsi="Times New Roman"/>
                <w:szCs w:val="18"/>
              </w:rPr>
            </w:pPr>
            <w:r w:rsidRPr="004B5EBA">
              <w:rPr>
                <w:szCs w:val="18"/>
              </w:rPr>
              <w:t xml:space="preserve">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serv</m:t>
                  </m:r>
                </m:sub>
              </m:sSub>
              <m:sSub>
                <m:sSubPr>
                  <m:ctrlPr>
                    <w:rPr>
                      <w:rFonts w:ascii="Cambria Math" w:hAnsi="Cambria Math"/>
                      <w:i/>
                      <w:szCs w:val="18"/>
                    </w:rPr>
                  </m:ctrlPr>
                </m:sSubPr>
                <m:e>
                  <m:acc>
                    <m:accPr>
                      <m:ctrlPr>
                        <w:rPr>
                          <w:rFonts w:ascii="Cambria Math" w:hAnsi="Cambria Math"/>
                          <w:i/>
                          <w:szCs w:val="18"/>
                        </w:rPr>
                      </m:ctrlPr>
                    </m:accPr>
                    <m:e>
                      <m:r>
                        <w:rPr>
                          <w:rFonts w:ascii="Cambria Math" w:hAnsi="Cambria Math"/>
                          <w:szCs w:val="18"/>
                        </w:rPr>
                        <m:t>C</m:t>
                      </m:r>
                    </m:e>
                  </m:acc>
                </m:e>
                <m:sub>
                  <m:r>
                    <w:rPr>
                      <w:rFonts w:ascii="Cambria Math" w:hAnsi="Cambria Math"/>
                      <w:szCs w:val="18"/>
                    </w:rPr>
                    <m:t>p,serv</m:t>
                  </m:r>
                </m:sub>
              </m:sSub>
              <m:f>
                <m:fPr>
                  <m:ctrlPr>
                    <w:rPr>
                      <w:rFonts w:ascii="Cambria Math" w:hAnsi="Cambria Math"/>
                      <w:i/>
                      <w:szCs w:val="18"/>
                    </w:rPr>
                  </m:ctrlPr>
                </m:fPr>
                <m:num>
                  <m:r>
                    <w:rPr>
                      <w:rFonts w:ascii="Cambria Math" w:hAnsi="Cambria Math"/>
                      <w:szCs w:val="18"/>
                    </w:rPr>
                    <m:t>d</m:t>
                  </m:r>
                  <m:sSub>
                    <m:sSubPr>
                      <m:ctrlPr>
                        <w:rPr>
                          <w:rFonts w:ascii="Cambria Math" w:hAnsi="Cambria Math"/>
                          <w:i/>
                          <w:szCs w:val="18"/>
                        </w:rPr>
                      </m:ctrlPr>
                    </m:sSubPr>
                    <m:e>
                      <m:r>
                        <w:rPr>
                          <w:rFonts w:ascii="Cambria Math" w:hAnsi="Cambria Math"/>
                          <w:szCs w:val="18"/>
                        </w:rPr>
                        <m:t>T</m:t>
                      </m:r>
                    </m:e>
                    <m:sub>
                      <m:r>
                        <w:rPr>
                          <w:rFonts w:ascii="Cambria Math" w:hAnsi="Cambria Math"/>
                          <w:szCs w:val="18"/>
                        </w:rPr>
                        <m:t>serv</m:t>
                      </m:r>
                    </m:sub>
                  </m:sSub>
                </m:num>
                <m:den>
                  <m:r>
                    <w:rPr>
                      <w:rFonts w:ascii="Cambria Math" w:hAnsi="Cambria Math"/>
                      <w:szCs w:val="18"/>
                    </w:rPr>
                    <m:t>dz</m:t>
                  </m:r>
                </m:den>
              </m:f>
              <m:r>
                <w:rPr>
                  <w:rFonts w:ascii="Cambria Math" w:hAnsi="Cambria Math"/>
                  <w:szCs w:val="18"/>
                </w:rPr>
                <m:t>=π</m:t>
              </m:r>
              <m:sSub>
                <m:sSubPr>
                  <m:ctrlPr>
                    <w:rPr>
                      <w:rFonts w:ascii="Cambria Math" w:hAnsi="Cambria Math"/>
                      <w:i/>
                      <w:szCs w:val="18"/>
                    </w:rPr>
                  </m:ctrlPr>
                </m:sSubPr>
                <m:e>
                  <m:r>
                    <w:rPr>
                      <w:rFonts w:ascii="Cambria Math" w:hAnsi="Cambria Math"/>
                      <w:szCs w:val="18"/>
                    </w:rPr>
                    <m:t>d</m:t>
                  </m:r>
                </m:e>
                <m:sub>
                  <m:r>
                    <w:rPr>
                      <w:rFonts w:ascii="Cambria Math" w:hAnsi="Cambria Math"/>
                      <w:szCs w:val="18"/>
                    </w:rPr>
                    <m:t>ext</m:t>
                  </m:r>
                </m:sub>
              </m:sSub>
              <m:sSub>
                <m:sSubPr>
                  <m:ctrlPr>
                    <w:rPr>
                      <w:rFonts w:ascii="Cambria Math" w:hAnsi="Cambria Math"/>
                      <w:i/>
                      <w:szCs w:val="18"/>
                    </w:rPr>
                  </m:ctrlPr>
                </m:sSubPr>
                <m:e>
                  <m:r>
                    <w:rPr>
                      <w:rFonts w:ascii="Cambria Math" w:hAnsi="Cambria Math"/>
                      <w:szCs w:val="18"/>
                    </w:rPr>
                    <m:t>N</m:t>
                  </m:r>
                </m:e>
                <m:sub>
                  <m:r>
                    <w:rPr>
                      <w:rFonts w:ascii="Cambria Math" w:hAnsi="Cambria Math"/>
                      <w:szCs w:val="18"/>
                    </w:rPr>
                    <m:t>t</m:t>
                  </m:r>
                </m:sub>
              </m:sSub>
              <m:r>
                <w:rPr>
                  <w:rFonts w:ascii="Cambria Math" w:hAnsi="Cambria Math"/>
                  <w:szCs w:val="18"/>
                </w:rPr>
                <m:t>U</m:t>
              </m:r>
              <m:d>
                <m:dPr>
                  <m:ctrlPr>
                    <w:rPr>
                      <w:rFonts w:ascii="Cambria Math" w:hAnsi="Cambria Math"/>
                      <w:i/>
                      <w:szCs w:val="18"/>
                    </w:rPr>
                  </m:ctrlPr>
                </m:dPr>
                <m:e>
                  <m:r>
                    <w:rPr>
                      <w:rFonts w:ascii="Cambria Math" w:hAnsi="Cambria Math"/>
                      <w:szCs w:val="18"/>
                    </w:rPr>
                    <m:t>T-</m:t>
                  </m:r>
                  <m:sSub>
                    <m:sSubPr>
                      <m:ctrlPr>
                        <w:rPr>
                          <w:rFonts w:ascii="Cambria Math" w:hAnsi="Cambria Math"/>
                          <w:i/>
                          <w:szCs w:val="18"/>
                        </w:rPr>
                      </m:ctrlPr>
                    </m:sSubPr>
                    <m:e>
                      <m:r>
                        <w:rPr>
                          <w:rFonts w:ascii="Cambria Math" w:hAnsi="Cambria Math"/>
                          <w:szCs w:val="18"/>
                        </w:rPr>
                        <m:t>T</m:t>
                      </m:r>
                    </m:e>
                    <m:sub>
                      <m:r>
                        <w:rPr>
                          <w:rFonts w:ascii="Cambria Math" w:hAnsi="Cambria Math"/>
                          <w:szCs w:val="18"/>
                        </w:rPr>
                        <m:t>serv</m:t>
                      </m:r>
                    </m:sub>
                  </m:sSub>
                </m:e>
              </m:d>
            </m:oMath>
          </w:p>
        </w:tc>
        <w:tc>
          <w:tcPr>
            <w:tcW w:w="1690" w:type="dxa"/>
            <w:vAlign w:val="center"/>
          </w:tcPr>
          <w:p w14:paraId="38D56B7D" w14:textId="77777777" w:rsidR="003A1CBF" w:rsidRPr="004B5EBA" w:rsidRDefault="003A1CBF" w:rsidP="00465C94">
            <w:pPr>
              <w:pStyle w:val="CETEquation"/>
              <w:jc w:val="right"/>
              <w:rPr>
                <w:szCs w:val="18"/>
              </w:rPr>
            </w:pPr>
            <w:r w:rsidRPr="004B5EBA">
              <w:rPr>
                <w:szCs w:val="18"/>
              </w:rPr>
              <w:t>(3)</w:t>
            </w:r>
          </w:p>
        </w:tc>
      </w:tr>
    </w:tbl>
    <w:p w14:paraId="45E01881" w14:textId="784272A9" w:rsidR="003A1CBF" w:rsidRPr="004B5EBA" w:rsidRDefault="004E019B" w:rsidP="000A6662">
      <w:pPr>
        <w:pStyle w:val="CETBodytext"/>
        <w:rPr>
          <w:rFonts w:cs="Arial"/>
          <w:color w:val="000000"/>
          <w:lang w:val="en-GB"/>
        </w:rPr>
      </w:pPr>
      <w:r w:rsidRPr="004B5EBA">
        <w:rPr>
          <w:rFonts w:cs="Arial"/>
          <w:color w:val="000000"/>
          <w:lang w:val="en-GB"/>
        </w:rPr>
        <w:t>Mass balances are written for each gaseous species involved in the methanation network (CO</w:t>
      </w:r>
      <w:r w:rsidRPr="004B5EBA">
        <w:rPr>
          <w:rFonts w:ascii="Cambria Math" w:hAnsi="Cambria Math" w:cs="Cambria Math"/>
          <w:color w:val="000000"/>
          <w:lang w:val="en-GB"/>
        </w:rPr>
        <w:t>₂</w:t>
      </w:r>
      <w:r w:rsidRPr="004B5EBA">
        <w:rPr>
          <w:rFonts w:cs="Arial"/>
          <w:color w:val="000000"/>
          <w:lang w:val="en-GB"/>
        </w:rPr>
        <w:t>, CO, H</w:t>
      </w:r>
      <w:r w:rsidRPr="004B5EBA">
        <w:rPr>
          <w:rFonts w:ascii="Cambria Math" w:hAnsi="Cambria Math" w:cs="Cambria Math"/>
          <w:color w:val="000000"/>
          <w:lang w:val="en-GB"/>
        </w:rPr>
        <w:t>₂</w:t>
      </w:r>
      <w:r w:rsidRPr="004B5EBA">
        <w:rPr>
          <w:rFonts w:cs="Arial"/>
          <w:color w:val="000000"/>
          <w:lang w:val="en-GB"/>
        </w:rPr>
        <w:t>, CH</w:t>
      </w:r>
      <w:r w:rsidRPr="004B5EBA">
        <w:rPr>
          <w:rFonts w:ascii="Cambria Math" w:hAnsi="Cambria Math" w:cs="Cambria Math"/>
          <w:color w:val="000000"/>
          <w:lang w:val="en-GB"/>
        </w:rPr>
        <w:t>₄</w:t>
      </w:r>
      <w:r w:rsidRPr="004B5EBA">
        <w:rPr>
          <w:rFonts w:cs="Arial"/>
          <w:color w:val="000000"/>
          <w:lang w:val="en-GB"/>
        </w:rPr>
        <w:t>, and H</w:t>
      </w:r>
      <w:r w:rsidRPr="004B5EBA">
        <w:rPr>
          <w:rFonts w:ascii="Cambria Math" w:hAnsi="Cambria Math" w:cs="Cambria Math"/>
          <w:color w:val="000000"/>
          <w:lang w:val="en-GB"/>
        </w:rPr>
        <w:t>₂</w:t>
      </w:r>
      <w:r w:rsidRPr="004B5EBA">
        <w:rPr>
          <w:rFonts w:cs="Arial"/>
          <w:color w:val="000000"/>
          <w:lang w:val="en-GB"/>
        </w:rPr>
        <w:t>O) (Equation 1), while the reactor-side and service-fluid energy balances are reported in Equations 2 and 3; axial pressure variations across the packed bed are described by the Ergun equation. The resulting nonlinear system of ODEs is discretized and solved to generate axial profiles and spatial gradients, which are then used for the local Jacobian-trace evaluation and runaway-risk analysis. All model variables, symbols, and units are reported in the Nomenclature.</w:t>
      </w:r>
    </w:p>
    <w:p w14:paraId="15405331" w14:textId="20471900" w:rsidR="00C20263" w:rsidRPr="00AF5614" w:rsidRDefault="00C20263" w:rsidP="00492F67">
      <w:pPr>
        <w:pStyle w:val="CETBodytext"/>
        <w:rPr>
          <w:rFonts w:cs="Arial"/>
          <w:lang w:val="en-GB"/>
        </w:rPr>
      </w:pPr>
      <w:r w:rsidRPr="004B5EBA">
        <w:rPr>
          <w:rFonts w:cs="Arial"/>
          <w:color w:val="000000"/>
          <w:lang w:val="en-GB"/>
        </w:rPr>
        <w:t>CO</w:t>
      </w:r>
      <w:r w:rsidRPr="004B5EBA">
        <w:rPr>
          <w:rFonts w:ascii="Cambria Math" w:hAnsi="Cambria Math" w:cs="Cambria Math"/>
          <w:color w:val="000000"/>
          <w:lang w:val="en-GB"/>
        </w:rPr>
        <w:t>₂</w:t>
      </w:r>
      <w:r w:rsidRPr="004B5EBA">
        <w:rPr>
          <w:rFonts w:cs="Arial"/>
          <w:color w:val="000000"/>
          <w:lang w:val="en-GB"/>
        </w:rPr>
        <w:t xml:space="preserve"> methanation is modelled over a Ni/Al</w:t>
      </w:r>
      <w:r w:rsidRPr="004B5EBA">
        <w:rPr>
          <w:rFonts w:ascii="Cambria Math" w:hAnsi="Cambria Math" w:cs="Cambria Math"/>
          <w:color w:val="000000"/>
          <w:lang w:val="en-GB"/>
        </w:rPr>
        <w:t>₂</w:t>
      </w:r>
      <w:r w:rsidRPr="004B5EBA">
        <w:rPr>
          <w:rFonts w:cs="Arial"/>
          <w:color w:val="000000"/>
          <w:lang w:val="en-GB"/>
        </w:rPr>
        <w:t>O</w:t>
      </w:r>
      <w:r w:rsidRPr="004B5EBA">
        <w:rPr>
          <w:rFonts w:ascii="Cambria Math" w:hAnsi="Cambria Math" w:cs="Cambria Math"/>
          <w:color w:val="000000"/>
          <w:lang w:val="en-GB"/>
        </w:rPr>
        <w:t>₃</w:t>
      </w:r>
      <w:r w:rsidRPr="004B5EBA">
        <w:rPr>
          <w:rFonts w:cs="Arial"/>
          <w:color w:val="000000"/>
          <w:lang w:val="en-GB"/>
        </w:rPr>
        <w:t xml:space="preserve"> catalyst, which represents an industrial benchmark due to its high activity and robustness under hydrogen-rich conditions </w:t>
      </w:r>
      <w:sdt>
        <w:sdtPr>
          <w:rPr>
            <w:rFonts w:cs="Arial"/>
            <w:color w:val="000000"/>
            <w:lang w:val="en-GB"/>
          </w:rPr>
          <w:tag w:val="MENDELEY_CITATION_v3_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"/>
          <w:id w:val="-2056999108"/>
          <w:placeholder>
            <w:docPart w:val="FA9EEF4BCC4D49F6850803DC91BDD53B"/>
          </w:placeholder>
        </w:sdtPr>
        <w:sdtContent>
          <w:r w:rsidR="004B5F39" w:rsidRPr="004B5F39">
            <w:rPr>
              <w:rFonts w:cs="Arial"/>
              <w:color w:val="000000"/>
              <w:lang w:val="en-GB"/>
            </w:rPr>
            <w:t>(Omar et al., 2023)</w:t>
          </w:r>
        </w:sdtContent>
      </w:sdt>
      <w:r w:rsidRPr="004B5EBA">
        <w:rPr>
          <w:rFonts w:cs="Arial"/>
          <w:color w:val="000000"/>
          <w:lang w:val="en-GB"/>
        </w:rPr>
        <w:t>.</w:t>
      </w:r>
      <w:r w:rsidR="003C76C0" w:rsidRPr="004B5EBA">
        <w:rPr>
          <w:rFonts w:cs="Arial"/>
          <w:color w:val="000000"/>
          <w:lang w:val="en-GB"/>
        </w:rPr>
        <w:t xml:space="preserve"> Given the strong reaction exothermicity and the potential for local hot spots, a reliable kinetic </w:t>
      </w:r>
      <w:r w:rsidR="003C76C0" w:rsidRPr="00AF5614">
        <w:rPr>
          <w:rFonts w:cs="Arial"/>
          <w:lang w:val="en-GB"/>
        </w:rPr>
        <w:t xml:space="preserve">description is required to support intrinsic thermal stability assessment </w:t>
      </w:r>
      <w:sdt>
        <w:sdtPr>
          <w:rPr>
            <w:rFonts w:cs="Arial"/>
            <w:color w:val="000000"/>
            <w:lang w:val="en-GB"/>
          </w:rPr>
          <w:tag w:val="MENDELEY_CITATION_v3_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"/>
          <w:id w:val="845830849"/>
          <w:placeholder>
            <w:docPart w:val="8928D9EDA66C45D6A4121F265C4A9610"/>
          </w:placeholder>
        </w:sdtPr>
        <w:sdtContent>
          <w:r w:rsidR="004B5F39" w:rsidRPr="004B5F39">
            <w:rPr>
              <w:rFonts w:cs="Arial"/>
              <w:color w:val="000000"/>
              <w:lang w:val="en-GB"/>
            </w:rPr>
            <w:t>(Di Nardo et al., 2021)</w:t>
          </w:r>
        </w:sdtContent>
      </w:sdt>
      <w:sdt>
        <w:sdtPr>
          <w:rPr>
            <w:rFonts w:cs="Arial"/>
            <w:color w:val="000000"/>
            <w:lang w:val="en-GB"/>
          </w:rPr>
          <w:tag w:val="MENDELEY_CITATION_v3_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"/>
          <w:id w:val="-918947028"/>
          <w:placeholder>
            <w:docPart w:val="C4B805F1650B4A8AAFC11C7F6F9E5258"/>
          </w:placeholder>
        </w:sdtPr>
        <w:sdtContent>
          <w:r w:rsidR="004B5F39" w:rsidRPr="004B5F39">
            <w:rPr>
              <w:rFonts w:cs="Arial"/>
              <w:color w:val="000000"/>
              <w:lang w:val="en-GB"/>
            </w:rPr>
            <w:t>(Frontera et al., 2017)</w:t>
          </w:r>
        </w:sdtContent>
      </w:sdt>
      <w:r w:rsidR="00492F67" w:rsidRPr="00AF5614">
        <w:rPr>
          <w:rFonts w:cs="Arial"/>
          <w:lang w:val="en-GB"/>
        </w:rPr>
        <w:t>. Equation 4 reports the CO</w:t>
      </w:r>
      <w:r w:rsidR="00492F67" w:rsidRPr="00AF5614">
        <w:rPr>
          <w:rFonts w:cs="Arial"/>
          <w:vertAlign w:val="subscript"/>
          <w:lang w:val="en-GB"/>
        </w:rPr>
        <w:t>2</w:t>
      </w:r>
      <w:r w:rsidR="00492F67" w:rsidRPr="00AF5614">
        <w:rPr>
          <w:rFonts w:cs="Arial"/>
          <w:lang w:val="en-GB"/>
        </w:rPr>
        <w:t xml:space="preserve"> methanation reaction together with its molar reaction enthalpy. To complete the kinetic model, this reaction is coupled with the CO methanation and the reverse water–gas shift reactions.</w:t>
      </w:r>
    </w:p>
    <w:tbl>
      <w:tblPr>
        <w:tblW w:w="4991" w:type="pct"/>
        <w:tblInd w:w="15" w:type="dxa"/>
        <w:tblLook w:val="04A0" w:firstRow="1" w:lastRow="0" w:firstColumn="1" w:lastColumn="0" w:noHBand="0" w:noVBand="1"/>
      </w:tblPr>
      <w:tblGrid>
        <w:gridCol w:w="7081"/>
        <w:gridCol w:w="1690"/>
      </w:tblGrid>
      <w:tr w:rsidR="00AF5614" w:rsidRPr="00AF5614" w14:paraId="1FF930C5" w14:textId="77777777" w:rsidTr="008340F8">
        <w:tc>
          <w:tcPr>
            <w:tcW w:w="7081" w:type="dxa"/>
            <w:vAlign w:val="center"/>
          </w:tcPr>
          <w:p w14:paraId="368E8759" w14:textId="57087149" w:rsidR="00337AD7" w:rsidRPr="00AF5614" w:rsidRDefault="00337AD7" w:rsidP="008340F8">
            <w:pPr>
              <w:rPr>
                <w:rFonts w:ascii="Times New Roman" w:eastAsiaTheme="minorEastAsia" w:hAnsi="Times New Roman"/>
                <w:szCs w:val="18"/>
              </w:rPr>
            </w:pPr>
            <w:r w:rsidRPr="00AF5614">
              <w:rPr>
                <w:rFonts w:cs="Arial"/>
                <w:szCs w:val="18"/>
              </w:rPr>
              <w:t xml:space="preserve"> </w:t>
            </w:r>
            <m:oMath>
              <m:r>
                <w:rPr>
                  <w:rFonts w:ascii="Cambria Math" w:eastAsiaTheme="minorEastAsia" w:hAnsi="Cambria Math"/>
                  <w:szCs w:val="18"/>
                </w:rPr>
                <m:t>C</m:t>
              </m:r>
              <m:sSub>
                <m:sSubPr>
                  <m:ctrlPr>
                    <w:rPr>
                      <w:rFonts w:ascii="Cambria Math" w:eastAsiaTheme="minorEastAsia" w:hAnsi="Cambria Math"/>
                      <w:i/>
                      <w:szCs w:val="18"/>
                    </w:rPr>
                  </m:ctrlPr>
                </m:sSubPr>
                <m:e>
                  <m:r>
                    <w:rPr>
                      <w:rFonts w:ascii="Cambria Math" w:eastAsiaTheme="minorEastAsia" w:hAnsi="Cambria Math"/>
                      <w:szCs w:val="18"/>
                    </w:rPr>
                    <m:t>O</m:t>
                  </m:r>
                </m:e>
                <m:sub>
                  <m:r>
                    <w:rPr>
                      <w:rFonts w:ascii="Cambria Math" w:eastAsiaTheme="minorEastAsia" w:hAnsi="Cambria Math"/>
                      <w:szCs w:val="18"/>
                    </w:rPr>
                    <m:t>2</m:t>
                  </m:r>
                </m:sub>
              </m:sSub>
              <m:r>
                <w:rPr>
                  <w:rFonts w:ascii="Cambria Math" w:eastAsiaTheme="minorEastAsia" w:hAnsi="Cambria Math"/>
                  <w:szCs w:val="18"/>
                </w:rPr>
                <m:t>+4</m:t>
              </m:r>
              <m:sSub>
                <m:sSubPr>
                  <m:ctrlPr>
                    <w:rPr>
                      <w:rFonts w:ascii="Cambria Math" w:eastAsiaTheme="minorEastAsia" w:hAnsi="Cambria Math"/>
                      <w:i/>
                      <w:szCs w:val="18"/>
                    </w:rPr>
                  </m:ctrlPr>
                </m:sSubPr>
                <m:e>
                  <m:r>
                    <w:rPr>
                      <w:rFonts w:ascii="Cambria Math" w:eastAsiaTheme="minorEastAsia" w:hAnsi="Cambria Math"/>
                      <w:szCs w:val="18"/>
                    </w:rPr>
                    <m:t>H</m:t>
                  </m:r>
                </m:e>
                <m:sub>
                  <m:r>
                    <w:rPr>
                      <w:rFonts w:ascii="Cambria Math" w:eastAsiaTheme="minorEastAsia" w:hAnsi="Cambria Math"/>
                      <w:szCs w:val="18"/>
                    </w:rPr>
                    <m:t>2</m:t>
                  </m:r>
                </m:sub>
              </m:sSub>
              <m:r>
                <w:rPr>
                  <w:rFonts w:ascii="Cambria Math" w:eastAsiaTheme="minorEastAsia" w:hAnsi="Cambria Math"/>
                  <w:szCs w:val="18"/>
                </w:rPr>
                <m:t>⇄</m:t>
              </m:r>
              <m:r>
                <w:rPr>
                  <w:rFonts w:ascii="Cambria Math" w:hAnsi="Cambria Math"/>
                  <w:szCs w:val="18"/>
                </w:rPr>
                <m:t>C</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4</m:t>
                  </m:r>
                </m:sub>
              </m:sSub>
              <m:r>
                <w:rPr>
                  <w:rFonts w:ascii="Cambria Math" w:hAnsi="Cambria Math"/>
                  <w:szCs w:val="18"/>
                </w:rPr>
                <m:t>+2</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2</m:t>
                  </m:r>
                </m:sub>
              </m:sSub>
              <m:r>
                <w:rPr>
                  <w:rFonts w:ascii="Cambria Math" w:hAnsi="Cambria Math"/>
                  <w:szCs w:val="18"/>
                </w:rPr>
                <m:t>O                    ∆</m:t>
              </m:r>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H</m:t>
                      </m:r>
                    </m:e>
                  </m:acc>
                </m:e>
                <m:sub>
                  <m:r>
                    <w:rPr>
                      <w:rFonts w:ascii="Cambria Math" w:hAnsi="Cambria Math"/>
                      <w:szCs w:val="18"/>
                    </w:rPr>
                    <m:t>r</m:t>
                  </m:r>
                </m:sub>
              </m:sSub>
              <m:r>
                <w:rPr>
                  <w:rFonts w:ascii="Cambria Math" w:hAnsi="Cambria Math"/>
                  <w:szCs w:val="18"/>
                </w:rPr>
                <m:t>=-165 kJ mo</m:t>
              </m:r>
              <m:sSup>
                <m:sSupPr>
                  <m:ctrlPr>
                    <w:rPr>
                      <w:rFonts w:ascii="Cambria Math" w:hAnsi="Cambria Math"/>
                      <w:i/>
                      <w:szCs w:val="18"/>
                    </w:rPr>
                  </m:ctrlPr>
                </m:sSupPr>
                <m:e>
                  <m:r>
                    <w:rPr>
                      <w:rFonts w:ascii="Cambria Math" w:hAnsi="Cambria Math"/>
                      <w:szCs w:val="18"/>
                    </w:rPr>
                    <m:t>l</m:t>
                  </m:r>
                </m:e>
                <m:sup>
                  <m:r>
                    <w:rPr>
                      <w:rFonts w:ascii="Cambria Math" w:hAnsi="Cambria Math"/>
                      <w:szCs w:val="18"/>
                    </w:rPr>
                    <m:t>-1</m:t>
                  </m:r>
                </m:sup>
              </m:sSup>
            </m:oMath>
          </w:p>
        </w:tc>
        <w:tc>
          <w:tcPr>
            <w:tcW w:w="1690" w:type="dxa"/>
            <w:vAlign w:val="center"/>
          </w:tcPr>
          <w:p w14:paraId="14EB3FBF" w14:textId="2372DFD5" w:rsidR="00337AD7" w:rsidRPr="00AF5614" w:rsidRDefault="00337AD7" w:rsidP="008340F8">
            <w:pPr>
              <w:pStyle w:val="CETEquation"/>
              <w:jc w:val="right"/>
              <w:rPr>
                <w:szCs w:val="18"/>
              </w:rPr>
            </w:pPr>
            <w:r w:rsidRPr="00AF5614">
              <w:rPr>
                <w:szCs w:val="18"/>
              </w:rPr>
              <w:t>(4)</w:t>
            </w:r>
          </w:p>
        </w:tc>
      </w:tr>
    </w:tbl>
    <w:p w14:paraId="56A68EC8" w14:textId="0D4057A7" w:rsidR="00D673B0" w:rsidRPr="004B5EBA" w:rsidRDefault="00D673B0" w:rsidP="000A6662">
      <w:pPr>
        <w:pStyle w:val="CETBodytext"/>
        <w:rPr>
          <w:rFonts w:cs="Arial"/>
          <w:color w:val="000000"/>
          <w:lang w:val="en-GB"/>
        </w:rPr>
      </w:pPr>
      <w:r w:rsidRPr="00AF5614">
        <w:rPr>
          <w:rFonts w:cs="Arial"/>
          <w:lang w:val="en-GB"/>
        </w:rPr>
        <w:t xml:space="preserve">In this work, the Xu and Froment mechanistic formulation is adopted as the kinetic basis for all simulations, providing a thermodynamically consistent description of Ni-catalysed gas-phase reactions relevant </w:t>
      </w:r>
      <w:r w:rsidRPr="004B5EBA">
        <w:rPr>
          <w:rFonts w:cs="Arial"/>
          <w:color w:val="000000"/>
          <w:lang w:val="en-GB"/>
        </w:rPr>
        <w:t>to CO</w:t>
      </w:r>
      <w:r w:rsidRPr="004B5EBA">
        <w:rPr>
          <w:rFonts w:ascii="Cambria Math" w:hAnsi="Cambria Math" w:cs="Cambria Math"/>
          <w:color w:val="000000"/>
          <w:lang w:val="en-GB"/>
        </w:rPr>
        <w:t>₂</w:t>
      </w:r>
      <w:r w:rsidRPr="004B5EBA">
        <w:rPr>
          <w:rFonts w:cs="Arial"/>
          <w:color w:val="000000"/>
          <w:lang w:val="en-GB"/>
        </w:rPr>
        <w:t xml:space="preserve"> methanation </w:t>
      </w:r>
      <w:sdt>
        <w:sdtPr>
          <w:rPr>
            <w:rFonts w:cs="Arial"/>
            <w:color w:val="000000"/>
            <w:lang w:val="en-GB"/>
          </w:rPr>
          <w:tag w:val="MENDELEY_CITATION_v3_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"/>
          <w:id w:val="-3681158"/>
          <w:placeholder>
            <w:docPart w:val="DC4961151A8C40E28A7169C8CE82AF54"/>
          </w:placeholder>
        </w:sdtPr>
        <w:sdtContent>
          <w:r w:rsidR="004B5F39" w:rsidRPr="004B5F39">
            <w:rPr>
              <w:rFonts w:cs="Arial"/>
              <w:color w:val="000000"/>
            </w:rPr>
            <w:t>(Xu &amp; Froment, 1989)</w:t>
          </w:r>
        </w:sdtContent>
      </w:sdt>
      <w:sdt>
        <w:sdtPr>
          <w:rPr>
            <w:rFonts w:cs="Arial"/>
            <w:color w:val="000000"/>
            <w:lang w:val="en-GB"/>
          </w:rPr>
          <w:tag w:val="MENDELEY_CITATION_v3_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"/>
          <w:id w:val="1064603158"/>
          <w:placeholder>
            <w:docPart w:val="3E950FC04BA2424783BCCDF0BDDCE68A"/>
          </w:placeholder>
        </w:sdtPr>
        <w:sdtContent>
          <w:r w:rsidR="004B5F39" w:rsidRPr="004B5F39">
            <w:rPr>
              <w:rFonts w:cs="Arial"/>
              <w:color w:val="000000"/>
              <w:lang w:val="en-GB"/>
            </w:rPr>
            <w:t>(</w:t>
          </w:r>
          <w:proofErr w:type="spellStart"/>
          <w:r w:rsidR="004B5F39" w:rsidRPr="004B5F39">
            <w:rPr>
              <w:rFonts w:cs="Arial"/>
              <w:color w:val="000000"/>
              <w:lang w:val="en-GB"/>
            </w:rPr>
            <w:t>Champon</w:t>
          </w:r>
          <w:proofErr w:type="spellEnd"/>
          <w:r w:rsidR="004B5F39" w:rsidRPr="004B5F39">
            <w:rPr>
              <w:rFonts w:cs="Arial"/>
              <w:color w:val="000000"/>
              <w:lang w:val="en-GB"/>
            </w:rPr>
            <w:t xml:space="preserve"> et al., 2019)</w:t>
          </w:r>
        </w:sdtContent>
      </w:sdt>
      <w:r w:rsidRPr="004B5EBA">
        <w:rPr>
          <w:rFonts w:cs="Arial"/>
          <w:color w:val="000000"/>
          <w:lang w:val="en-GB"/>
        </w:rPr>
        <w:t xml:space="preserve">. </w:t>
      </w:r>
    </w:p>
    <w:p w14:paraId="38790F15" w14:textId="38793162" w:rsidR="00907ED6" w:rsidRPr="004B5EBA" w:rsidRDefault="00EF1229" w:rsidP="00907ED6">
      <w:pPr>
        <w:pStyle w:val="CETheadingx"/>
        <w:rPr>
          <w:lang w:val="en-GB"/>
        </w:rPr>
      </w:pPr>
      <w:r w:rsidRPr="004B5EBA">
        <w:rPr>
          <w:lang w:val="en-GB"/>
        </w:rPr>
        <w:t>Runway detection</w:t>
      </w:r>
    </w:p>
    <w:p w14:paraId="4D93CF89" w14:textId="5F8ED636" w:rsidR="008D72E1" w:rsidRPr="004B5EBA" w:rsidRDefault="00A072D5" w:rsidP="008D72E1">
      <w:pPr>
        <w:pStyle w:val="CETBodytext"/>
        <w:rPr>
          <w:lang w:val="en-GB"/>
        </w:rPr>
      </w:pPr>
      <w:r w:rsidRPr="004B5EBA">
        <w:rPr>
          <w:lang w:val="en-GB"/>
        </w:rPr>
        <w:t xml:space="preserve">The intrinsic thermal stability of the reactor is analysed through a spatial reformulation of the Strozzi–Zaldívar (S&amp;Z) runaway criterion, originally developed for temporally evolving batch or discontinuous reactors </w:t>
      </w:r>
      <w:sdt>
        <w:sdtPr>
          <w:rPr>
            <w:rFonts w:cs="Arial"/>
            <w:color w:val="000000"/>
            <w:lang w:val="en-GB"/>
          </w:rPr>
          <w:tag w:val="MENDELEY_CITATION_v3_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"/>
          <w:id w:val="863167004"/>
          <w:placeholder>
            <w:docPart w:val="DefaultPlaceholder_-1854013440"/>
          </w:placeholder>
        </w:sdtPr>
        <w:sdtContent>
          <w:r w:rsidR="004B5F39" w:rsidRPr="004B5F39">
            <w:rPr>
              <w:rFonts w:cs="Arial"/>
              <w:color w:val="000000"/>
            </w:rPr>
            <w:t>(Zaldívar &amp; Strozzi, 2010)</w:t>
          </w:r>
        </w:sdtContent>
      </w:sdt>
      <w:r w:rsidR="008D72E1" w:rsidRPr="004B5EBA">
        <w:rPr>
          <w:lang w:val="en-GB"/>
        </w:rPr>
        <w:t xml:space="preserve">. </w:t>
      </w:r>
      <w:r w:rsidR="00453DA1" w:rsidRPr="004B5EBA">
        <w:rPr>
          <w:lang w:val="en-GB"/>
        </w:rPr>
        <w:t xml:space="preserve">Exploiting the mathematical analogy between batch dynamics and the steady axial evolution of a plug flow reactor (PFR), the criterion is expressed along the reactor axis, enabling a pointwise assessment of thermal stability. According to the S&amp;Z formulation, a positive trace of the Jacobian indicates the onset of thermally unstable behaviour and potential runaway conditions </w:t>
      </w:r>
      <w:sdt>
        <w:sdtPr>
          <w:rPr>
            <w:rFonts w:cs="Arial"/>
            <w:color w:val="000000"/>
            <w:lang w:val="en-GB"/>
          </w:rPr>
          <w:tag w:val="MENDELEY_CITATION_v3_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"/>
          <w:id w:val="1673070620"/>
          <w:placeholder>
            <w:docPart w:val="DefaultPlaceholder_-1854013440"/>
          </w:placeholder>
        </w:sdtPr>
        <w:sdtContent>
          <w:r w:rsidR="004B5F39" w:rsidRPr="004B5F39">
            <w:rPr>
              <w:rFonts w:cs="Arial"/>
              <w:color w:val="000000"/>
              <w:lang w:val="en-GB"/>
            </w:rPr>
            <w:t>(Zhang et al., 2025)</w:t>
          </w:r>
        </w:sdtContent>
      </w:sdt>
      <w:r w:rsidR="00E4592C" w:rsidRPr="004B5EBA">
        <w:rPr>
          <w:lang w:val="en-GB"/>
        </w:rPr>
        <w:t>.</w:t>
      </w:r>
    </w:p>
    <w:p w14:paraId="1C706F32" w14:textId="43984F91" w:rsidR="00453DA1" w:rsidRPr="004B5EBA" w:rsidRDefault="00453DA1" w:rsidP="008D72E1">
      <w:pPr>
        <w:pStyle w:val="CETBodytext"/>
        <w:rPr>
          <w:lang w:val="en-GB"/>
        </w:rPr>
      </w:pPr>
      <w:r w:rsidRPr="004B5EBA">
        <w:rPr>
          <w:lang w:val="en-GB"/>
        </w:rPr>
        <w:lastRenderedPageBreak/>
        <w:t xml:space="preserve">For tubular reactors, the PFR model—comprising species mass balances, a reactor-side energy balance, and a momentum balance—is interpreted as a spatially distributed dynamical system along the axial coordinate. Due to the strong nonlinearity of the governing equations, the Jacobian matrix is evaluated numerically at each axial position using a finite-difference approach. A central difference scheme is adopted, with component-wise adaptive perturbations defined as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max</m:t>
            </m:r>
          </m:fName>
          <m:e>
            <m:d>
              <m:dPr>
                <m:ctrlPr>
                  <w:rPr>
                    <w:rFonts w:ascii="Cambria Math" w:hAnsi="Cambria Math"/>
                    <w:i/>
                    <w:lang w:val="en-GB"/>
                  </w:rPr>
                </m:ctrlPr>
              </m:d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j</m:t>
                        </m:r>
                      </m:sub>
                    </m:sSub>
                  </m:e>
                </m:d>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rel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abs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min</m:t>
                    </m:r>
                  </m:sub>
                </m:sSub>
              </m:e>
            </m:d>
          </m:e>
        </m:func>
      </m:oMath>
      <w:r w:rsidRPr="004B5EBA">
        <w:rPr>
          <w:lang w:val="en-GB"/>
        </w:rPr>
        <w:t xml:space="preserve">, where </w:t>
      </w: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rel</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4B5EBA">
        <w:rPr>
          <w:lang w:val="en-GB"/>
        </w:rPr>
        <w:t xml:space="preserve">, </w:t>
      </w: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abs</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-9</m:t>
            </m:r>
          </m:sup>
        </m:sSup>
      </m:oMath>
      <w:r w:rsidRPr="004B5EBA">
        <w:rPr>
          <w:lang w:val="en-GB"/>
        </w:rPr>
        <w:t xml:space="preserve">, and </w:t>
      </w: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min</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-12</m:t>
            </m:r>
          </m:sup>
        </m:sSup>
      </m:oMath>
      <w:r w:rsidRPr="004B5EBA">
        <w:rPr>
          <w:lang w:val="en-GB"/>
        </w:rPr>
        <w:t xml:space="preserve">. </w:t>
      </w:r>
    </w:p>
    <w:p w14:paraId="7F8F0CCD" w14:textId="0E4AE061" w:rsidR="00453DA1" w:rsidRPr="004B5EBA" w:rsidRDefault="00935027" w:rsidP="008D72E1">
      <w:pPr>
        <w:pStyle w:val="CETBodytext"/>
        <w:rPr>
          <w:lang w:val="en-GB"/>
        </w:rPr>
      </w:pPr>
      <w:r w:rsidRPr="004B5EBA">
        <w:rPr>
          <w:lang w:val="en-GB"/>
        </w:rPr>
        <w:t>This adaptive strategy ensures scale-consistent perturbations for state variables spanning different orders of magnitude, while maintaining numerical robustness near zero. The selected parameters were empirically verified to yield stable Jacobian traces with negligible influence on the simulation outcomes over the investigated operating range. Overall, the numerical Jacobian evaluation is model-agnostic, does not require analytical derivatives, and remains compatible with reduced-order modeling, supporting its potential use in real-time monitoring and control-oriented applications.</w:t>
      </w:r>
    </w:p>
    <w:p w14:paraId="5202F896" w14:textId="40B45B70" w:rsidR="00EF1229" w:rsidRPr="004B5EBA" w:rsidRDefault="004351B7" w:rsidP="00EF1229">
      <w:pPr>
        <w:pStyle w:val="CETheadingx"/>
        <w:rPr>
          <w:lang w:val="en-GB"/>
        </w:rPr>
      </w:pPr>
      <w:r w:rsidRPr="004B5EBA">
        <w:rPr>
          <w:lang w:val="en-GB"/>
        </w:rPr>
        <w:t>Baseline operating conditions</w:t>
      </w:r>
    </w:p>
    <w:p w14:paraId="4D5C4FF4" w14:textId="77777777" w:rsidR="00362AC4" w:rsidRPr="004B5EBA" w:rsidRDefault="00362AC4" w:rsidP="00362AC4">
      <w:pPr>
        <w:pStyle w:val="CETBodytext"/>
        <w:rPr>
          <w:lang w:val="en-GB"/>
        </w:rPr>
      </w:pPr>
      <w:r w:rsidRPr="004B5EBA">
        <w:rPr>
          <w:lang w:val="en-GB"/>
        </w:rPr>
        <w:t>The plug flow reactor is modelled as a one-pass multitubular fixed-bed system, in which reactor geometry and operating conditions jointly affect conversion and thermal stability. Each tube is assumed to be cylindrical, with uniform internal diameter and packed with spherical Ni/Al</w:t>
      </w:r>
      <w:r w:rsidRPr="004B5EBA">
        <w:rPr>
          <w:rFonts w:ascii="Cambria Math" w:hAnsi="Cambria Math" w:cs="Cambria Math"/>
          <w:lang w:val="en-GB"/>
        </w:rPr>
        <w:t>₂</w:t>
      </w:r>
      <w:r w:rsidRPr="004B5EBA">
        <w:rPr>
          <w:lang w:val="en-GB"/>
        </w:rPr>
        <w:t>O</w:t>
      </w:r>
      <w:r w:rsidRPr="004B5EBA">
        <w:rPr>
          <w:rFonts w:ascii="Cambria Math" w:hAnsi="Cambria Math" w:cs="Cambria Math"/>
          <w:lang w:val="en-GB"/>
        </w:rPr>
        <w:t>₃</w:t>
      </w:r>
      <w:r w:rsidRPr="004B5EBA">
        <w:rPr>
          <w:lang w:val="en-GB"/>
        </w:rPr>
        <w:t xml:space="preserve"> catalyst particles. The key geometric parameters and inlet conditions defining the baseline operating point are reported in Table 1 and provide the basis for the momentum and energy balance calculations.</w:t>
      </w:r>
    </w:p>
    <w:p w14:paraId="5F59E19B" w14:textId="23DB6973" w:rsidR="00156346" w:rsidRPr="004B5EBA" w:rsidRDefault="00362AC4" w:rsidP="00362AC4">
      <w:pPr>
        <w:pStyle w:val="CETBodytext"/>
        <w:rPr>
          <w:lang w:val="en-GB"/>
        </w:rPr>
      </w:pPr>
      <w:r w:rsidRPr="004B5EBA">
        <w:rPr>
          <w:lang w:val="en-GB"/>
        </w:rPr>
        <w:t xml:space="preserve">Thermophysical properties of the reacting gas mixture are evaluated using standard literature correlations </w:t>
      </w:r>
      <w:sdt>
        <w:sdtPr>
          <w:rPr>
            <w:rFonts w:cs="Arial"/>
            <w:color w:val="000000"/>
            <w:lang w:val="en-GB"/>
          </w:rPr>
          <w:tag w:val="MENDELEY_CITATION_v3_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"/>
          <w:id w:val="1966073132"/>
          <w:placeholder>
            <w:docPart w:val="A1132B07CB8F423D9169FEAC6B88B709"/>
          </w:placeholder>
        </w:sdtPr>
        <w:sdtContent>
          <w:r w:rsidR="004B5F39" w:rsidRPr="004B5F39">
            <w:rPr>
              <w:rFonts w:cs="Arial"/>
              <w:color w:val="000000"/>
            </w:rPr>
            <w:t>(Green &amp; Southard, 2019)</w:t>
          </w:r>
        </w:sdtContent>
      </w:sdt>
      <w:r w:rsidRPr="004B5EBA">
        <w:rPr>
          <w:rFonts w:cs="Arial"/>
          <w:color w:val="000000"/>
          <w:lang w:val="en-GB"/>
        </w:rPr>
        <w:t>.</w:t>
      </w:r>
      <w:r w:rsidR="0046385C" w:rsidRPr="004B5EBA">
        <w:rPr>
          <w:rFonts w:cs="Arial"/>
          <w:color w:val="000000"/>
          <w:lang w:val="en-GB"/>
        </w:rPr>
        <w:t xml:space="preserve"> The </w:t>
      </w:r>
      <w:r w:rsidR="0046385C" w:rsidRPr="004B5EBA">
        <w:rPr>
          <w:rFonts w:cs="Arial"/>
          <w:lang w:val="en-GB"/>
        </w:rPr>
        <w:t xml:space="preserve">overall heat transfer coefficient is determined by adopting the Gunn correlation for convective heat transfer on the packed-bed tube side, while conventional shell-and-tube correlations are used to model heat transfer on the shell side </w:t>
      </w:r>
      <w:sdt>
        <w:sdtPr>
          <w:rPr>
            <w:rFonts w:cs="Arial"/>
            <w:color w:val="000000"/>
            <w:lang w:val="en-GB"/>
          </w:rPr>
          <w:tag w:val="MENDELEY_CITATION_v3_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"/>
          <w:id w:val="174314473"/>
          <w:placeholder>
            <w:docPart w:val="76AA92FBE76A4223856153278067EDF5"/>
          </w:placeholder>
        </w:sdtPr>
        <w:sdtContent>
          <w:r w:rsidR="004B5F39" w:rsidRPr="004B5F39">
            <w:rPr>
              <w:rFonts w:cs="Arial"/>
              <w:color w:val="000000"/>
            </w:rPr>
            <w:t>(Green &amp; Southard, 2019)</w:t>
          </w:r>
        </w:sdtContent>
      </w:sdt>
      <w:r w:rsidR="0046385C" w:rsidRPr="004B5EBA">
        <w:rPr>
          <w:rFonts w:cs="Arial"/>
          <w:lang w:val="en-GB"/>
        </w:rPr>
        <w:t xml:space="preserve">. </w:t>
      </w:r>
      <w:r w:rsidR="001806C0" w:rsidRPr="004B5EBA">
        <w:rPr>
          <w:rFonts w:cs="Arial"/>
          <w:lang w:val="en-GB"/>
        </w:rPr>
        <w:t>A co-current shell-side flow of diathermic oil is assumed, with inlet temperature and mass flow rate set according to Table 1 to ensure uniform cooling along the reactor axis. The inlet flow is considered uniformly distributed among the tubes, which are arranged in a triangular pitch layout with a pitch-to-diameter ratio of 1.25, following standard shell-and-tube design practice</w:t>
      </w:r>
    </w:p>
    <w:p w14:paraId="505B0ABE" w14:textId="50BE7D24" w:rsidR="00B474FB" w:rsidRPr="004B5EBA" w:rsidRDefault="00B474FB" w:rsidP="00B474FB">
      <w:pPr>
        <w:pStyle w:val="CETTabletitle"/>
      </w:pPr>
      <w:r w:rsidRPr="004B5EBA">
        <w:t xml:space="preserve">Table 1: </w:t>
      </w:r>
      <w:r w:rsidR="00EF5CA2" w:rsidRPr="004B5EBA">
        <w:t>Baseline geometrical and inlet operating conditions</w:t>
      </w:r>
      <w:r w:rsidR="00D40680" w:rsidRPr="004B5EBA">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48"/>
        <w:gridCol w:w="1061"/>
        <w:gridCol w:w="880"/>
        <w:gridCol w:w="879"/>
        <w:gridCol w:w="1005"/>
        <w:gridCol w:w="879"/>
        <w:gridCol w:w="1130"/>
        <w:gridCol w:w="1003"/>
        <w:gridCol w:w="1002"/>
      </w:tblGrid>
      <w:tr w:rsidR="00C04422" w:rsidRPr="004B5EBA" w14:paraId="6A5E93E5" w14:textId="47E7DF66" w:rsidTr="00C04422">
        <w:tc>
          <w:tcPr>
            <w:tcW w:w="539" w:type="pct"/>
            <w:tcBorders>
              <w:top w:val="single" w:sz="12" w:space="0" w:color="008001"/>
              <w:bottom w:val="nil"/>
            </w:tcBorders>
            <w:shd w:val="clear" w:color="auto" w:fill="FFFFFF"/>
          </w:tcPr>
          <w:p w14:paraId="4FB8063F" w14:textId="757A2AD6" w:rsidR="00C04422" w:rsidRPr="004B5EBA" w:rsidRDefault="00C04422" w:rsidP="00C04422">
            <w:pPr>
              <w:pStyle w:val="CETBodytext"/>
              <w:rPr>
                <w:b/>
                <w:bCs/>
                <w:lang w:val="en-GB"/>
              </w:rPr>
            </w:pPr>
            <w:r w:rsidRPr="004B5EBA">
              <w:rPr>
                <w:b/>
                <w:bCs/>
                <w:lang w:val="en-GB"/>
              </w:rPr>
              <w:t>Geometry</w:t>
            </w:r>
          </w:p>
        </w:tc>
        <w:tc>
          <w:tcPr>
            <w:tcW w:w="604" w:type="pct"/>
            <w:tcBorders>
              <w:top w:val="single" w:sz="12" w:space="0" w:color="008001"/>
              <w:bottom w:val="nil"/>
            </w:tcBorders>
            <w:shd w:val="clear" w:color="auto" w:fill="FFFFFF"/>
          </w:tcPr>
          <w:p w14:paraId="61D475F4" w14:textId="35A0E9A1" w:rsidR="00C04422" w:rsidRPr="004B5EBA" w:rsidRDefault="00C04422" w:rsidP="00C04422">
            <w:pPr>
              <w:pStyle w:val="CETBodytext"/>
              <w:rPr>
                <w:lang w:val="en-GB"/>
              </w:rPr>
            </w:pPr>
            <w:r w:rsidRPr="004B5EBA">
              <w:rPr>
                <w:lang w:val="en-GB"/>
              </w:rPr>
              <w:t>L [m]</w:t>
            </w:r>
          </w:p>
        </w:tc>
        <w:tc>
          <w:tcPr>
            <w:tcW w:w="501" w:type="pct"/>
            <w:tcBorders>
              <w:top w:val="single" w:sz="12" w:space="0" w:color="008001"/>
              <w:bottom w:val="nil"/>
            </w:tcBorders>
            <w:shd w:val="clear" w:color="auto" w:fill="FFFFFF"/>
          </w:tcPr>
          <w:p w14:paraId="2EBDEE07" w14:textId="4FB21A54" w:rsidR="00C04422" w:rsidRPr="004B5EBA" w:rsidRDefault="00C04422" w:rsidP="00C04422">
            <w:pPr>
              <w:pStyle w:val="CETBodytext"/>
              <w:rPr>
                <w:lang w:val="en-GB"/>
              </w:rPr>
            </w:pPr>
            <w:r w:rsidRPr="004B5EBA">
              <w:rPr>
                <w:lang w:val="en-GB"/>
              </w:rPr>
              <w:t>d</w:t>
            </w:r>
            <w:r w:rsidRPr="004B5EBA">
              <w:rPr>
                <w:vertAlign w:val="subscript"/>
                <w:lang w:val="en-GB"/>
              </w:rPr>
              <w:t>ext</w:t>
            </w:r>
            <w:r w:rsidRPr="004B5EBA">
              <w:rPr>
                <w:lang w:val="en-GB"/>
              </w:rPr>
              <w:t xml:space="preserve"> [mm]</w:t>
            </w:r>
          </w:p>
        </w:tc>
        <w:tc>
          <w:tcPr>
            <w:tcW w:w="500" w:type="pct"/>
            <w:tcBorders>
              <w:top w:val="single" w:sz="12" w:space="0" w:color="008001"/>
              <w:bottom w:val="nil"/>
            </w:tcBorders>
            <w:shd w:val="clear" w:color="auto" w:fill="FFFFFF"/>
          </w:tcPr>
          <w:p w14:paraId="47615AF5" w14:textId="17E88E91" w:rsidR="00C04422" w:rsidRPr="004B5EBA" w:rsidRDefault="00C04422" w:rsidP="00C04422">
            <w:pPr>
              <w:pStyle w:val="CETBodytext"/>
              <w:ind w:right="-1"/>
              <w:rPr>
                <w:rFonts w:cs="Arial"/>
                <w:szCs w:val="18"/>
                <w:lang w:val="en-GB"/>
              </w:rPr>
            </w:pPr>
            <w:r w:rsidRPr="004B5EBA">
              <w:rPr>
                <w:rFonts w:cs="Arial"/>
                <w:szCs w:val="18"/>
                <w:lang w:val="en-GB"/>
              </w:rPr>
              <w:t>t</w:t>
            </w:r>
            <w:r w:rsidRPr="004B5EBA">
              <w:rPr>
                <w:rFonts w:cs="Arial"/>
                <w:szCs w:val="18"/>
                <w:vertAlign w:val="subscript"/>
                <w:lang w:val="en-GB"/>
              </w:rPr>
              <w:t>w</w:t>
            </w:r>
            <w:r w:rsidRPr="004B5EBA">
              <w:rPr>
                <w:rFonts w:cs="Arial"/>
                <w:szCs w:val="18"/>
                <w:lang w:val="en-GB"/>
              </w:rPr>
              <w:t xml:space="preserve"> [mm]</w:t>
            </w:r>
          </w:p>
        </w:tc>
        <w:tc>
          <w:tcPr>
            <w:tcW w:w="572" w:type="pct"/>
            <w:tcBorders>
              <w:top w:val="single" w:sz="12" w:space="0" w:color="008001"/>
              <w:bottom w:val="nil"/>
            </w:tcBorders>
            <w:shd w:val="clear" w:color="auto" w:fill="FFFFFF"/>
          </w:tcPr>
          <w:p w14:paraId="7CEB4FBA" w14:textId="5929E691" w:rsidR="00C04422" w:rsidRPr="004B5EBA" w:rsidRDefault="00C04422" w:rsidP="00C04422">
            <w:pPr>
              <w:pStyle w:val="CETBodytext"/>
              <w:ind w:right="-1"/>
              <w:rPr>
                <w:rFonts w:cs="Arial"/>
                <w:szCs w:val="18"/>
                <w:lang w:val="en-GB"/>
              </w:rPr>
            </w:pPr>
            <w:r w:rsidRPr="004B5EBA">
              <w:rPr>
                <w:rFonts w:cs="Arial"/>
                <w:szCs w:val="18"/>
                <w:lang w:val="en-GB"/>
              </w:rPr>
              <w:t>d</w:t>
            </w:r>
            <w:r w:rsidRPr="004B5EBA">
              <w:rPr>
                <w:rFonts w:cs="Arial"/>
                <w:szCs w:val="18"/>
                <w:vertAlign w:val="subscript"/>
                <w:lang w:val="en-GB"/>
              </w:rPr>
              <w:t>part</w:t>
            </w:r>
            <w:r w:rsidRPr="004B5EBA">
              <w:rPr>
                <w:rFonts w:cs="Arial"/>
                <w:szCs w:val="18"/>
                <w:lang w:val="en-GB"/>
              </w:rPr>
              <w:t xml:space="preserve"> [mm]</w:t>
            </w:r>
          </w:p>
        </w:tc>
        <w:tc>
          <w:tcPr>
            <w:tcW w:w="500" w:type="pct"/>
            <w:tcBorders>
              <w:top w:val="single" w:sz="12" w:space="0" w:color="008001"/>
              <w:bottom w:val="nil"/>
            </w:tcBorders>
          </w:tcPr>
          <w:p w14:paraId="0E9ABF00" w14:textId="627EC857" w:rsidR="00C04422" w:rsidRPr="004B5EBA" w:rsidRDefault="00000000" w:rsidP="00C04422">
            <w:pPr>
              <w:pStyle w:val="CETBodytext"/>
              <w:ind w:right="-1"/>
              <w:rPr>
                <w:rFonts w:cs="Arial"/>
                <w:szCs w:val="18"/>
                <w:lang w:val="en-GB"/>
              </w:rPr>
            </w:pPr>
            <m:oMath>
              <m:sSub>
                <m:sSubPr>
                  <m:ctrlPr>
                    <w:rPr>
                      <w:rFonts w:ascii="Cambria Math" w:eastAsiaTheme="minorEastAsia" w:hAnsi="Cambria Math"/>
                      <w:i/>
                      <w:szCs w:val="18"/>
                      <w:lang w:val="en-GB"/>
                    </w:rPr>
                  </m:ctrlPr>
                </m:sSubPr>
                <m:e>
                  <m:r>
                    <w:rPr>
                      <w:rFonts w:ascii="Cambria Math" w:eastAsiaTheme="minorEastAsia" w:hAnsi="Cambria Math"/>
                      <w:szCs w:val="18"/>
                      <w:lang w:val="en-GB"/>
                    </w:rPr>
                    <m:t>ε</m:t>
                  </m:r>
                </m:e>
                <m:sub>
                  <m:r>
                    <w:rPr>
                      <w:rFonts w:ascii="Cambria Math" w:eastAsiaTheme="minorEastAsia" w:hAnsi="Cambria Math"/>
                      <w:szCs w:val="18"/>
                      <w:lang w:val="en-GB"/>
                    </w:rPr>
                    <m:t>bed</m:t>
                  </m:r>
                </m:sub>
              </m:sSub>
            </m:oMath>
            <w:r w:rsidR="00C04422" w:rsidRPr="004B5EBA">
              <w:rPr>
                <w:rFonts w:cs="Arial"/>
                <w:szCs w:val="18"/>
                <w:lang w:val="en-GB"/>
              </w:rPr>
              <w:t xml:space="preserve"> [-]</w:t>
            </w:r>
          </w:p>
        </w:tc>
        <w:tc>
          <w:tcPr>
            <w:tcW w:w="643" w:type="pct"/>
            <w:tcBorders>
              <w:top w:val="single" w:sz="12" w:space="0" w:color="008001"/>
              <w:bottom w:val="nil"/>
            </w:tcBorders>
          </w:tcPr>
          <w:p w14:paraId="619E2802" w14:textId="2B5FCB77" w:rsidR="00C04422" w:rsidRPr="004B5EBA" w:rsidRDefault="00C04422" w:rsidP="00C04422">
            <w:pPr>
              <w:pStyle w:val="CETBodytext"/>
              <w:ind w:right="-1"/>
              <w:rPr>
                <w:rFonts w:cs="Arial"/>
                <w:szCs w:val="18"/>
                <w:lang w:val="en-GB"/>
              </w:rPr>
            </w:pPr>
            <w:r w:rsidRPr="004B5EBA">
              <w:rPr>
                <w:rFonts w:cs="Arial"/>
                <w:szCs w:val="18"/>
                <w:lang w:val="en-GB"/>
              </w:rPr>
              <w:sym w:font="Symbol" w:char="F072"/>
            </w:r>
            <w:r w:rsidRPr="004B5EBA">
              <w:rPr>
                <w:rFonts w:cs="Arial"/>
                <w:szCs w:val="18"/>
                <w:vertAlign w:val="subscript"/>
                <w:lang w:val="en-GB"/>
              </w:rPr>
              <w:t>b</w:t>
            </w:r>
            <w:r w:rsidRPr="004B5EBA">
              <w:rPr>
                <w:rFonts w:cs="Arial"/>
                <w:szCs w:val="18"/>
                <w:lang w:val="en-GB"/>
              </w:rPr>
              <w:t xml:space="preserve"> [kg</w:t>
            </w:r>
            <w:r w:rsidR="003E28DD" w:rsidRPr="004B5EBA">
              <w:rPr>
                <w:rFonts w:cs="Arial"/>
                <w:szCs w:val="18"/>
                <w:lang w:val="en-GB"/>
              </w:rPr>
              <w:t>/</w:t>
            </w:r>
            <w:r w:rsidRPr="004B5EBA">
              <w:rPr>
                <w:rFonts w:cs="Arial"/>
                <w:szCs w:val="18"/>
                <w:lang w:val="en-GB"/>
              </w:rPr>
              <w:t>m</w:t>
            </w:r>
            <w:r w:rsidRPr="004B5EBA">
              <w:rPr>
                <w:rFonts w:cs="Arial"/>
                <w:szCs w:val="18"/>
                <w:vertAlign w:val="superscript"/>
                <w:lang w:val="en-GB"/>
              </w:rPr>
              <w:t>3</w:t>
            </w:r>
            <w:r w:rsidRPr="004B5EBA">
              <w:rPr>
                <w:rFonts w:cs="Arial"/>
                <w:szCs w:val="18"/>
                <w:lang w:val="en-GB"/>
              </w:rPr>
              <w:t>]</w:t>
            </w:r>
          </w:p>
        </w:tc>
        <w:tc>
          <w:tcPr>
            <w:tcW w:w="571" w:type="pct"/>
            <w:tcBorders>
              <w:top w:val="single" w:sz="12" w:space="0" w:color="008001"/>
              <w:bottom w:val="nil"/>
            </w:tcBorders>
          </w:tcPr>
          <w:p w14:paraId="0B71B9BC" w14:textId="745D7789" w:rsidR="00C04422" w:rsidRPr="004B5EBA" w:rsidRDefault="00C04422" w:rsidP="00C04422">
            <w:pPr>
              <w:pStyle w:val="CETBodytext"/>
              <w:ind w:right="-1"/>
              <w:rPr>
                <w:rFonts w:cs="Arial"/>
                <w:szCs w:val="18"/>
                <w:lang w:val="en-GB"/>
              </w:rPr>
            </w:pPr>
            <w:r w:rsidRPr="004B5EBA">
              <w:rPr>
                <w:rFonts w:cs="Arial"/>
                <w:szCs w:val="18"/>
                <w:lang w:val="en-GB"/>
              </w:rPr>
              <w:t>N</w:t>
            </w:r>
            <w:r w:rsidRPr="004B5EBA">
              <w:rPr>
                <w:rFonts w:cs="Arial"/>
                <w:szCs w:val="18"/>
                <w:vertAlign w:val="subscript"/>
                <w:lang w:val="en-GB"/>
              </w:rPr>
              <w:t>t</w:t>
            </w:r>
            <w:r w:rsidRPr="004B5EBA">
              <w:rPr>
                <w:rFonts w:cs="Arial"/>
                <w:szCs w:val="18"/>
                <w:lang w:val="en-GB"/>
              </w:rPr>
              <w:t xml:space="preserve"> [-]</w:t>
            </w:r>
          </w:p>
        </w:tc>
        <w:tc>
          <w:tcPr>
            <w:tcW w:w="570" w:type="pct"/>
          </w:tcPr>
          <w:p w14:paraId="25722B84" w14:textId="4CD40E4F" w:rsidR="00C04422" w:rsidRPr="004B5EBA" w:rsidRDefault="00C04422" w:rsidP="00C04422">
            <w:pPr>
              <w:pStyle w:val="CETBodytext"/>
              <w:ind w:right="-1"/>
              <w:rPr>
                <w:rFonts w:cs="Arial"/>
                <w:szCs w:val="18"/>
                <w:lang w:val="en-GB"/>
              </w:rPr>
            </w:pPr>
            <w:r w:rsidRPr="004B5EBA">
              <w:rPr>
                <w:rFonts w:cs="Arial"/>
                <w:szCs w:val="18"/>
                <w:lang w:val="en-GB"/>
              </w:rPr>
              <w:t>N</w:t>
            </w:r>
            <w:r w:rsidRPr="004B5EBA">
              <w:rPr>
                <w:rFonts w:cs="Arial"/>
                <w:szCs w:val="18"/>
                <w:vertAlign w:val="subscript"/>
                <w:lang w:val="en-GB"/>
              </w:rPr>
              <w:t>b</w:t>
            </w:r>
            <w:r w:rsidRPr="004B5EBA">
              <w:rPr>
                <w:rFonts w:cs="Arial"/>
                <w:szCs w:val="18"/>
                <w:lang w:val="en-GB"/>
              </w:rPr>
              <w:t xml:space="preserve"> [-]</w:t>
            </w:r>
          </w:p>
        </w:tc>
      </w:tr>
      <w:tr w:rsidR="00C04422" w:rsidRPr="004B5EBA" w14:paraId="39A47E02" w14:textId="27FC2A2A" w:rsidTr="00C04422">
        <w:tc>
          <w:tcPr>
            <w:tcW w:w="539" w:type="pct"/>
            <w:tcBorders>
              <w:top w:val="nil"/>
              <w:bottom w:val="single" w:sz="12" w:space="0" w:color="008001"/>
            </w:tcBorders>
            <w:shd w:val="clear" w:color="auto" w:fill="FFFFFF"/>
          </w:tcPr>
          <w:p w14:paraId="495CA5D0" w14:textId="19BF09DF" w:rsidR="00C04422" w:rsidRPr="004B5EBA" w:rsidRDefault="00C04422" w:rsidP="00C04422">
            <w:pPr>
              <w:pStyle w:val="CETBodytext"/>
              <w:rPr>
                <w:lang w:val="en-GB"/>
              </w:rPr>
            </w:pPr>
          </w:p>
        </w:tc>
        <w:tc>
          <w:tcPr>
            <w:tcW w:w="604" w:type="pct"/>
            <w:tcBorders>
              <w:top w:val="nil"/>
              <w:bottom w:val="single" w:sz="12" w:space="0" w:color="008001"/>
            </w:tcBorders>
            <w:shd w:val="clear" w:color="auto" w:fill="FFFFFF"/>
          </w:tcPr>
          <w:p w14:paraId="0251EC71" w14:textId="0B3329E8" w:rsidR="00C04422" w:rsidRPr="004B5EBA" w:rsidRDefault="00C04422" w:rsidP="00C04422">
            <w:pPr>
              <w:pStyle w:val="CETBodytext"/>
              <w:rPr>
                <w:lang w:val="en-GB"/>
              </w:rPr>
            </w:pPr>
            <w:r w:rsidRPr="004B5EBA">
              <w:rPr>
                <w:lang w:val="en-GB"/>
              </w:rPr>
              <w:t>6</w:t>
            </w:r>
          </w:p>
        </w:tc>
        <w:tc>
          <w:tcPr>
            <w:tcW w:w="501" w:type="pct"/>
            <w:tcBorders>
              <w:top w:val="nil"/>
              <w:bottom w:val="single" w:sz="12" w:space="0" w:color="008001"/>
            </w:tcBorders>
            <w:shd w:val="clear" w:color="auto" w:fill="FFFFFF"/>
          </w:tcPr>
          <w:p w14:paraId="1BE8504B" w14:textId="2FBE81ED" w:rsidR="00C04422" w:rsidRPr="004B5EBA" w:rsidRDefault="00C04422" w:rsidP="00C04422">
            <w:pPr>
              <w:pStyle w:val="CETBodytext"/>
              <w:rPr>
                <w:lang w:val="en-GB"/>
              </w:rPr>
            </w:pPr>
            <w:r w:rsidRPr="004B5EBA">
              <w:rPr>
                <w:lang w:val="en-GB"/>
              </w:rPr>
              <w:t>25</w:t>
            </w:r>
          </w:p>
        </w:tc>
        <w:tc>
          <w:tcPr>
            <w:tcW w:w="500" w:type="pct"/>
            <w:tcBorders>
              <w:top w:val="nil"/>
              <w:bottom w:val="single" w:sz="12" w:space="0" w:color="008001"/>
            </w:tcBorders>
            <w:shd w:val="clear" w:color="auto" w:fill="FFFFFF"/>
          </w:tcPr>
          <w:p w14:paraId="3A5D0B4A" w14:textId="1C19A1AC" w:rsidR="00C04422" w:rsidRPr="004B5EBA" w:rsidRDefault="00C04422" w:rsidP="00C04422">
            <w:pPr>
              <w:pStyle w:val="CETBodytext"/>
              <w:ind w:right="-1"/>
              <w:rPr>
                <w:rFonts w:cs="Arial"/>
                <w:szCs w:val="18"/>
                <w:lang w:val="en-GB"/>
              </w:rPr>
            </w:pPr>
            <w:r w:rsidRPr="004B5EBA">
              <w:rPr>
                <w:rFonts w:cs="Arial"/>
                <w:szCs w:val="18"/>
                <w:lang w:val="en-GB"/>
              </w:rPr>
              <w:t>2.5</w:t>
            </w:r>
          </w:p>
        </w:tc>
        <w:tc>
          <w:tcPr>
            <w:tcW w:w="572" w:type="pct"/>
            <w:tcBorders>
              <w:top w:val="nil"/>
              <w:bottom w:val="single" w:sz="12" w:space="0" w:color="008001"/>
            </w:tcBorders>
            <w:shd w:val="clear" w:color="auto" w:fill="FFFFFF"/>
          </w:tcPr>
          <w:p w14:paraId="1E86EFA6" w14:textId="654AF4DC" w:rsidR="00C04422" w:rsidRPr="004B5EBA" w:rsidRDefault="00C04422" w:rsidP="00C04422">
            <w:pPr>
              <w:pStyle w:val="CETBodytext"/>
              <w:ind w:right="-1"/>
              <w:rPr>
                <w:rFonts w:cs="Arial"/>
                <w:szCs w:val="18"/>
                <w:lang w:val="en-GB"/>
              </w:rPr>
            </w:pPr>
            <w:r w:rsidRPr="004B5EBA">
              <w:rPr>
                <w:rFonts w:cs="Arial"/>
                <w:szCs w:val="18"/>
                <w:lang w:val="en-GB"/>
              </w:rPr>
              <w:t>1.5</w:t>
            </w:r>
          </w:p>
        </w:tc>
        <w:tc>
          <w:tcPr>
            <w:tcW w:w="500" w:type="pct"/>
            <w:tcBorders>
              <w:top w:val="nil"/>
              <w:bottom w:val="single" w:sz="12" w:space="0" w:color="008001"/>
            </w:tcBorders>
          </w:tcPr>
          <w:p w14:paraId="78B49AA4" w14:textId="6CE8BB14" w:rsidR="00C04422" w:rsidRPr="004B5EBA" w:rsidRDefault="00C04422" w:rsidP="00C04422">
            <w:pPr>
              <w:pStyle w:val="CETBodytext"/>
              <w:ind w:right="-1"/>
              <w:rPr>
                <w:rFonts w:cs="Arial"/>
                <w:szCs w:val="18"/>
                <w:lang w:val="en-GB"/>
              </w:rPr>
            </w:pPr>
            <w:r w:rsidRPr="004B5EBA">
              <w:rPr>
                <w:rFonts w:cs="Arial"/>
                <w:szCs w:val="18"/>
                <w:lang w:val="en-GB"/>
              </w:rPr>
              <w:t>0.4</w:t>
            </w:r>
          </w:p>
        </w:tc>
        <w:tc>
          <w:tcPr>
            <w:tcW w:w="643" w:type="pct"/>
            <w:tcBorders>
              <w:top w:val="nil"/>
              <w:bottom w:val="single" w:sz="12" w:space="0" w:color="008001"/>
            </w:tcBorders>
          </w:tcPr>
          <w:p w14:paraId="439D840F" w14:textId="7EF97210" w:rsidR="00C04422" w:rsidRPr="004B5EBA" w:rsidRDefault="00C04422" w:rsidP="00C04422">
            <w:pPr>
              <w:pStyle w:val="CETBodytext"/>
              <w:ind w:right="-1"/>
              <w:rPr>
                <w:rFonts w:cs="Arial"/>
                <w:szCs w:val="18"/>
                <w:lang w:val="en-GB"/>
              </w:rPr>
            </w:pPr>
            <w:r w:rsidRPr="004B5EBA">
              <w:rPr>
                <w:rFonts w:cs="Arial"/>
                <w:szCs w:val="18"/>
                <w:lang w:val="en-GB"/>
              </w:rPr>
              <w:t>1080</w:t>
            </w:r>
          </w:p>
        </w:tc>
        <w:tc>
          <w:tcPr>
            <w:tcW w:w="571" w:type="pct"/>
            <w:tcBorders>
              <w:top w:val="nil"/>
              <w:bottom w:val="single" w:sz="12" w:space="0" w:color="008001"/>
            </w:tcBorders>
          </w:tcPr>
          <w:p w14:paraId="0CE01562" w14:textId="00079FA9" w:rsidR="00C04422" w:rsidRPr="004B5EBA" w:rsidRDefault="00C04422" w:rsidP="00C04422">
            <w:pPr>
              <w:pStyle w:val="CETBodytext"/>
              <w:ind w:right="-1"/>
              <w:rPr>
                <w:rFonts w:cs="Arial"/>
                <w:szCs w:val="18"/>
                <w:lang w:val="en-GB"/>
              </w:rPr>
            </w:pPr>
            <w:r w:rsidRPr="004B5EBA">
              <w:rPr>
                <w:rFonts w:cs="Arial"/>
                <w:szCs w:val="18"/>
                <w:lang w:val="en-GB"/>
              </w:rPr>
              <w:t>400</w:t>
            </w:r>
          </w:p>
        </w:tc>
        <w:tc>
          <w:tcPr>
            <w:tcW w:w="570" w:type="pct"/>
            <w:tcBorders>
              <w:bottom w:val="single" w:sz="12" w:space="0" w:color="008001"/>
            </w:tcBorders>
          </w:tcPr>
          <w:p w14:paraId="0FEA647A" w14:textId="4AAEEFE0" w:rsidR="00C04422" w:rsidRPr="004B5EBA" w:rsidRDefault="00C04422" w:rsidP="00C04422">
            <w:pPr>
              <w:pStyle w:val="CETBodytext"/>
              <w:ind w:right="-1"/>
              <w:rPr>
                <w:rFonts w:cs="Arial"/>
                <w:szCs w:val="18"/>
                <w:lang w:val="en-GB"/>
              </w:rPr>
            </w:pPr>
            <w:r w:rsidRPr="004B5EBA">
              <w:rPr>
                <w:rFonts w:cs="Arial"/>
                <w:szCs w:val="18"/>
                <w:lang w:val="en-GB"/>
              </w:rPr>
              <w:t>13</w:t>
            </w:r>
          </w:p>
        </w:tc>
      </w:tr>
      <w:tr w:rsidR="00C04422" w:rsidRPr="004B5EBA" w14:paraId="34BE519B" w14:textId="2E1D6048" w:rsidTr="00C04422">
        <w:tc>
          <w:tcPr>
            <w:tcW w:w="539" w:type="pct"/>
            <w:tcBorders>
              <w:top w:val="single" w:sz="12" w:space="0" w:color="008001"/>
              <w:bottom w:val="nil"/>
            </w:tcBorders>
            <w:shd w:val="clear" w:color="auto" w:fill="FFFFFF"/>
          </w:tcPr>
          <w:p w14:paraId="7682F03C" w14:textId="7CB0C64E" w:rsidR="00C04422" w:rsidRPr="004B5EBA" w:rsidRDefault="00C04422" w:rsidP="00C04422">
            <w:pPr>
              <w:pStyle w:val="CETBodytext"/>
              <w:ind w:right="-1"/>
              <w:rPr>
                <w:rFonts w:cs="Arial"/>
                <w:b/>
                <w:bCs/>
                <w:szCs w:val="18"/>
                <w:lang w:val="en-GB"/>
              </w:rPr>
            </w:pPr>
            <w:r w:rsidRPr="004B5EBA">
              <w:rPr>
                <w:rFonts w:cs="Arial"/>
                <w:b/>
                <w:bCs/>
                <w:szCs w:val="18"/>
                <w:lang w:val="en-GB"/>
              </w:rPr>
              <w:t>Inlet</w:t>
            </w:r>
          </w:p>
        </w:tc>
        <w:tc>
          <w:tcPr>
            <w:tcW w:w="604" w:type="pct"/>
            <w:tcBorders>
              <w:top w:val="single" w:sz="12" w:space="0" w:color="008001"/>
              <w:bottom w:val="nil"/>
            </w:tcBorders>
            <w:shd w:val="clear" w:color="auto" w:fill="FFFFFF"/>
          </w:tcPr>
          <w:p w14:paraId="18472203" w14:textId="2DDB366F" w:rsidR="00C04422" w:rsidRPr="004B5EBA" w:rsidRDefault="00000000" w:rsidP="00C04422">
            <w:pPr>
              <w:pStyle w:val="CETBodytext"/>
              <w:ind w:right="-1"/>
              <w:rPr>
                <w:rFonts w:cs="Arial"/>
                <w:szCs w:val="18"/>
                <w:lang w:val="en-GB"/>
              </w:rPr>
            </w:pPr>
            <m:oMath>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n</m:t>
                      </m:r>
                    </m:e>
                  </m:acc>
                </m:e>
                <m:sub>
                  <m:r>
                    <w:rPr>
                      <w:rFonts w:ascii="Cambria Math" w:hAnsi="Cambria Math"/>
                      <w:szCs w:val="18"/>
                      <w:lang w:val="en-GB"/>
                    </w:rPr>
                    <m:t>in</m:t>
                  </m:r>
                </m:sub>
              </m:sSub>
            </m:oMath>
            <w:r w:rsidR="00C04422" w:rsidRPr="004B5EBA">
              <w:rPr>
                <w:rFonts w:cs="Arial"/>
                <w:szCs w:val="18"/>
                <w:lang w:val="en-GB"/>
              </w:rPr>
              <w:t xml:space="preserve"> [kmol/h]</w:t>
            </w:r>
          </w:p>
        </w:tc>
        <w:tc>
          <w:tcPr>
            <w:tcW w:w="501" w:type="pct"/>
            <w:tcBorders>
              <w:top w:val="single" w:sz="12" w:space="0" w:color="008001"/>
              <w:bottom w:val="nil"/>
            </w:tcBorders>
            <w:shd w:val="clear" w:color="auto" w:fill="FFFFFF"/>
          </w:tcPr>
          <w:p w14:paraId="7BF09C70" w14:textId="74C77955" w:rsidR="00C04422" w:rsidRPr="004B5EBA" w:rsidRDefault="00C04422" w:rsidP="00C04422">
            <w:pPr>
              <w:pStyle w:val="CETBodytext"/>
              <w:ind w:right="-1"/>
              <w:rPr>
                <w:rFonts w:cs="Arial"/>
                <w:szCs w:val="18"/>
                <w:lang w:val="en-GB"/>
              </w:rPr>
            </w:pPr>
            <w:r w:rsidRPr="004B5EBA">
              <w:rPr>
                <w:rFonts w:cs="Arial"/>
                <w:szCs w:val="18"/>
                <w:lang w:val="en-GB"/>
              </w:rPr>
              <w:t>y</w:t>
            </w:r>
            <w:r w:rsidRPr="004B5EBA">
              <w:rPr>
                <w:rFonts w:cs="Arial"/>
                <w:szCs w:val="18"/>
                <w:vertAlign w:val="subscript"/>
                <w:lang w:val="en-GB"/>
              </w:rPr>
              <w:t>CO2in</w:t>
            </w:r>
            <w:r w:rsidRPr="004B5EBA">
              <w:rPr>
                <w:rFonts w:cs="Arial"/>
                <w:szCs w:val="18"/>
                <w:lang w:val="en-GB"/>
              </w:rPr>
              <w:t xml:space="preserve"> [-]</w:t>
            </w:r>
          </w:p>
        </w:tc>
        <w:tc>
          <w:tcPr>
            <w:tcW w:w="500" w:type="pct"/>
            <w:tcBorders>
              <w:top w:val="single" w:sz="12" w:space="0" w:color="008001"/>
              <w:bottom w:val="nil"/>
            </w:tcBorders>
            <w:shd w:val="clear" w:color="auto" w:fill="FFFFFF"/>
          </w:tcPr>
          <w:p w14:paraId="58AE5C3D" w14:textId="6EE39F24" w:rsidR="00C04422" w:rsidRPr="004B5EBA" w:rsidRDefault="00C04422" w:rsidP="00C04422">
            <w:pPr>
              <w:pStyle w:val="CETBodytext"/>
              <w:ind w:right="-1"/>
              <w:rPr>
                <w:rFonts w:cs="Arial"/>
                <w:szCs w:val="18"/>
                <w:lang w:val="en-GB"/>
              </w:rPr>
            </w:pPr>
            <w:r w:rsidRPr="004B5EBA">
              <w:rPr>
                <w:rFonts w:cs="Arial"/>
                <w:szCs w:val="18"/>
                <w:lang w:val="en-GB"/>
              </w:rPr>
              <w:t>y</w:t>
            </w:r>
            <w:r w:rsidRPr="004B5EBA">
              <w:rPr>
                <w:rFonts w:cs="Arial"/>
                <w:szCs w:val="18"/>
                <w:vertAlign w:val="subscript"/>
                <w:lang w:val="en-GB"/>
              </w:rPr>
              <w:t>H2in</w:t>
            </w:r>
            <w:r w:rsidRPr="004B5EBA">
              <w:rPr>
                <w:rFonts w:cs="Arial"/>
                <w:szCs w:val="18"/>
                <w:lang w:val="en-GB"/>
              </w:rPr>
              <w:t xml:space="preserve"> [-]</w:t>
            </w:r>
          </w:p>
        </w:tc>
        <w:tc>
          <w:tcPr>
            <w:tcW w:w="572" w:type="pct"/>
            <w:tcBorders>
              <w:top w:val="single" w:sz="12" w:space="0" w:color="008001"/>
              <w:bottom w:val="nil"/>
            </w:tcBorders>
            <w:shd w:val="clear" w:color="auto" w:fill="FFFFFF"/>
          </w:tcPr>
          <w:p w14:paraId="34156B33" w14:textId="37590598" w:rsidR="00C04422" w:rsidRPr="004B5EBA" w:rsidRDefault="00C04422" w:rsidP="00C04422">
            <w:pPr>
              <w:pStyle w:val="CETBodytext"/>
              <w:ind w:right="-1"/>
              <w:rPr>
                <w:rFonts w:cs="Arial"/>
                <w:szCs w:val="18"/>
                <w:lang w:val="en-GB"/>
              </w:rPr>
            </w:pPr>
            <w:r w:rsidRPr="004B5EBA">
              <w:rPr>
                <w:rFonts w:cs="Arial"/>
                <w:szCs w:val="18"/>
                <w:lang w:val="en-GB"/>
              </w:rPr>
              <w:t>T</w:t>
            </w:r>
            <w:r w:rsidRPr="004B5EBA">
              <w:rPr>
                <w:rFonts w:cs="Arial"/>
                <w:szCs w:val="18"/>
                <w:vertAlign w:val="subscript"/>
                <w:lang w:val="en-GB"/>
              </w:rPr>
              <w:t>in</w:t>
            </w:r>
            <w:r w:rsidRPr="004B5EBA">
              <w:rPr>
                <w:rFonts w:cs="Arial"/>
                <w:szCs w:val="18"/>
                <w:lang w:val="en-GB"/>
              </w:rPr>
              <w:t xml:space="preserve"> [°C]</w:t>
            </w:r>
          </w:p>
        </w:tc>
        <w:tc>
          <w:tcPr>
            <w:tcW w:w="500" w:type="pct"/>
            <w:tcBorders>
              <w:top w:val="single" w:sz="12" w:space="0" w:color="008001"/>
              <w:bottom w:val="nil"/>
            </w:tcBorders>
          </w:tcPr>
          <w:p w14:paraId="711F23F1" w14:textId="0A72BE43" w:rsidR="00C04422" w:rsidRPr="004B5EBA" w:rsidRDefault="00C04422" w:rsidP="00C04422">
            <w:pPr>
              <w:pStyle w:val="CETBodytext"/>
              <w:ind w:right="-1"/>
              <w:rPr>
                <w:rFonts w:cs="Arial"/>
                <w:szCs w:val="18"/>
                <w:lang w:val="en-GB"/>
              </w:rPr>
            </w:pPr>
            <w:r w:rsidRPr="004B5EBA">
              <w:rPr>
                <w:rFonts w:cs="Arial"/>
                <w:szCs w:val="18"/>
                <w:lang w:val="en-GB"/>
              </w:rPr>
              <w:t>P</w:t>
            </w:r>
            <w:r w:rsidRPr="004B5EBA">
              <w:rPr>
                <w:rFonts w:cs="Arial"/>
                <w:szCs w:val="18"/>
                <w:vertAlign w:val="subscript"/>
                <w:lang w:val="en-GB"/>
              </w:rPr>
              <w:t>in</w:t>
            </w:r>
            <w:r w:rsidRPr="004B5EBA">
              <w:rPr>
                <w:rFonts w:cs="Arial"/>
                <w:szCs w:val="18"/>
                <w:lang w:val="en-GB"/>
              </w:rPr>
              <w:t xml:space="preserve"> [bar]</w:t>
            </w:r>
          </w:p>
        </w:tc>
        <w:tc>
          <w:tcPr>
            <w:tcW w:w="643" w:type="pct"/>
            <w:tcBorders>
              <w:top w:val="single" w:sz="12" w:space="0" w:color="008001"/>
              <w:bottom w:val="nil"/>
            </w:tcBorders>
          </w:tcPr>
          <w:p w14:paraId="52B2C9F6" w14:textId="1D7F8FD7" w:rsidR="00C04422" w:rsidRPr="004B5EBA" w:rsidRDefault="00000000" w:rsidP="00C04422">
            <w:pPr>
              <w:pStyle w:val="CETBodytext"/>
              <w:ind w:right="-1"/>
              <w:rPr>
                <w:rFonts w:cs="Arial"/>
                <w:szCs w:val="18"/>
                <w:lang w:val="en-GB"/>
              </w:rPr>
            </w:pPr>
            <m:oMath>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m</m:t>
                      </m:r>
                    </m:e>
                  </m:acc>
                </m:e>
                <m:sub>
                  <m:r>
                    <w:rPr>
                      <w:rFonts w:ascii="Cambria Math" w:hAnsi="Cambria Math"/>
                      <w:szCs w:val="18"/>
                      <w:lang w:val="en-GB"/>
                    </w:rPr>
                    <m:t>serv,in</m:t>
                  </m:r>
                </m:sub>
              </m:sSub>
            </m:oMath>
            <w:r w:rsidR="00C04422" w:rsidRPr="004B5EBA">
              <w:rPr>
                <w:rFonts w:cs="Arial"/>
                <w:szCs w:val="18"/>
                <w:lang w:val="en-GB"/>
              </w:rPr>
              <w:t xml:space="preserve"> [kg/s]</w:t>
            </w:r>
          </w:p>
        </w:tc>
        <w:tc>
          <w:tcPr>
            <w:tcW w:w="571" w:type="pct"/>
            <w:tcBorders>
              <w:top w:val="single" w:sz="12" w:space="0" w:color="008001"/>
              <w:bottom w:val="nil"/>
            </w:tcBorders>
          </w:tcPr>
          <w:p w14:paraId="2FFAD47C" w14:textId="14794D0E" w:rsidR="00C04422" w:rsidRPr="004B5EBA" w:rsidRDefault="00C04422" w:rsidP="00C04422">
            <w:pPr>
              <w:pStyle w:val="CETBodytext"/>
              <w:ind w:right="-1"/>
              <w:rPr>
                <w:rFonts w:cs="Arial"/>
                <w:szCs w:val="18"/>
                <w:lang w:val="en-GB"/>
              </w:rPr>
            </w:pPr>
            <w:r w:rsidRPr="004B5EBA">
              <w:rPr>
                <w:rFonts w:cs="Arial"/>
                <w:szCs w:val="18"/>
                <w:lang w:val="en-GB"/>
              </w:rPr>
              <w:t>T</w:t>
            </w:r>
            <w:r w:rsidRPr="004B5EBA">
              <w:rPr>
                <w:rFonts w:cs="Arial"/>
                <w:szCs w:val="18"/>
                <w:vertAlign w:val="subscript"/>
                <w:lang w:val="en-GB"/>
              </w:rPr>
              <w:t>serv,in</w:t>
            </w:r>
            <w:r w:rsidRPr="004B5EBA">
              <w:rPr>
                <w:rFonts w:cs="Arial"/>
                <w:szCs w:val="18"/>
                <w:lang w:val="en-GB"/>
              </w:rPr>
              <w:t xml:space="preserve"> [K]</w:t>
            </w:r>
          </w:p>
        </w:tc>
        <w:tc>
          <w:tcPr>
            <w:tcW w:w="570" w:type="pct"/>
            <w:tcBorders>
              <w:top w:val="single" w:sz="12" w:space="0" w:color="008001"/>
              <w:bottom w:val="nil"/>
            </w:tcBorders>
          </w:tcPr>
          <w:p w14:paraId="38037A55" w14:textId="77777777" w:rsidR="00C04422" w:rsidRPr="004B5EBA" w:rsidRDefault="00C04422" w:rsidP="00C04422">
            <w:pPr>
              <w:pStyle w:val="CETBodytext"/>
              <w:ind w:right="-1"/>
              <w:rPr>
                <w:rFonts w:cs="Arial"/>
                <w:szCs w:val="18"/>
                <w:lang w:val="en-GB"/>
              </w:rPr>
            </w:pPr>
          </w:p>
        </w:tc>
      </w:tr>
      <w:tr w:rsidR="00C04422" w:rsidRPr="004B5EBA" w14:paraId="7B57F73C" w14:textId="7878CFFD" w:rsidTr="00C04422">
        <w:tc>
          <w:tcPr>
            <w:tcW w:w="539" w:type="pct"/>
            <w:tcBorders>
              <w:top w:val="nil"/>
              <w:bottom w:val="single" w:sz="12" w:space="0" w:color="008001"/>
            </w:tcBorders>
            <w:shd w:val="clear" w:color="auto" w:fill="FFFFFF"/>
          </w:tcPr>
          <w:p w14:paraId="13567B62" w14:textId="77777777" w:rsidR="00C04422" w:rsidRPr="004B5EBA" w:rsidRDefault="00C04422" w:rsidP="00C04422">
            <w:pPr>
              <w:pStyle w:val="CETBodytext"/>
              <w:ind w:right="-1"/>
              <w:rPr>
                <w:rFonts w:cs="Arial"/>
                <w:szCs w:val="18"/>
                <w:lang w:val="en-GB"/>
              </w:rPr>
            </w:pPr>
          </w:p>
        </w:tc>
        <w:tc>
          <w:tcPr>
            <w:tcW w:w="604" w:type="pct"/>
            <w:tcBorders>
              <w:top w:val="nil"/>
              <w:bottom w:val="single" w:sz="12" w:space="0" w:color="008001"/>
            </w:tcBorders>
            <w:shd w:val="clear" w:color="auto" w:fill="FFFFFF"/>
          </w:tcPr>
          <w:p w14:paraId="77C80869" w14:textId="65071E26" w:rsidR="00C04422" w:rsidRPr="004B5EBA" w:rsidRDefault="00C04422" w:rsidP="00C04422">
            <w:pPr>
              <w:pStyle w:val="CETBodytext"/>
              <w:ind w:right="-1"/>
              <w:rPr>
                <w:rFonts w:cs="Arial"/>
                <w:szCs w:val="18"/>
                <w:lang w:val="en-GB"/>
              </w:rPr>
            </w:pPr>
            <w:r w:rsidRPr="004B5EBA">
              <w:rPr>
                <w:rFonts w:cs="Arial"/>
                <w:szCs w:val="18"/>
                <w:lang w:val="en-GB"/>
              </w:rPr>
              <w:t>0.3</w:t>
            </w:r>
          </w:p>
        </w:tc>
        <w:tc>
          <w:tcPr>
            <w:tcW w:w="501" w:type="pct"/>
            <w:tcBorders>
              <w:top w:val="nil"/>
              <w:bottom w:val="single" w:sz="12" w:space="0" w:color="008001"/>
            </w:tcBorders>
            <w:shd w:val="clear" w:color="auto" w:fill="FFFFFF"/>
          </w:tcPr>
          <w:p w14:paraId="4FF78B9F" w14:textId="7A5F68CD" w:rsidR="00C04422" w:rsidRPr="004B5EBA" w:rsidRDefault="00C04422" w:rsidP="00C04422">
            <w:pPr>
              <w:pStyle w:val="CETBodytext"/>
              <w:ind w:right="-1"/>
              <w:rPr>
                <w:rFonts w:cs="Arial"/>
                <w:szCs w:val="18"/>
                <w:lang w:val="en-GB"/>
              </w:rPr>
            </w:pPr>
            <w:r w:rsidRPr="004B5EBA">
              <w:rPr>
                <w:rFonts w:cs="Arial"/>
                <w:szCs w:val="18"/>
                <w:lang w:val="en-GB"/>
              </w:rPr>
              <w:t>0.2</w:t>
            </w:r>
          </w:p>
        </w:tc>
        <w:tc>
          <w:tcPr>
            <w:tcW w:w="500" w:type="pct"/>
            <w:tcBorders>
              <w:top w:val="nil"/>
              <w:bottom w:val="single" w:sz="12" w:space="0" w:color="008001"/>
            </w:tcBorders>
            <w:shd w:val="clear" w:color="auto" w:fill="FFFFFF"/>
          </w:tcPr>
          <w:p w14:paraId="66B426C1" w14:textId="70EFE95E" w:rsidR="00C04422" w:rsidRPr="004B5EBA" w:rsidRDefault="00C04422" w:rsidP="00C04422">
            <w:pPr>
              <w:pStyle w:val="CETBodytext"/>
              <w:ind w:right="-1"/>
              <w:rPr>
                <w:rFonts w:cs="Arial"/>
                <w:szCs w:val="18"/>
                <w:lang w:val="en-GB"/>
              </w:rPr>
            </w:pPr>
            <w:r w:rsidRPr="004B5EBA">
              <w:rPr>
                <w:rFonts w:cs="Arial"/>
                <w:szCs w:val="18"/>
                <w:lang w:val="en-GB"/>
              </w:rPr>
              <w:t>0.8</w:t>
            </w:r>
          </w:p>
        </w:tc>
        <w:tc>
          <w:tcPr>
            <w:tcW w:w="572" w:type="pct"/>
            <w:tcBorders>
              <w:top w:val="nil"/>
              <w:bottom w:val="single" w:sz="12" w:space="0" w:color="008001"/>
            </w:tcBorders>
            <w:shd w:val="clear" w:color="auto" w:fill="FFFFFF"/>
          </w:tcPr>
          <w:p w14:paraId="283FABB5" w14:textId="2AD3B41C" w:rsidR="00C04422" w:rsidRPr="004B5EBA" w:rsidRDefault="00C42C43" w:rsidP="00C04422">
            <w:pPr>
              <w:pStyle w:val="CETBodytext"/>
              <w:ind w:right="-1"/>
              <w:rPr>
                <w:rFonts w:cs="Arial"/>
                <w:szCs w:val="18"/>
                <w:lang w:val="en-GB"/>
              </w:rPr>
            </w:pPr>
            <w:r w:rsidRPr="004B5EBA">
              <w:rPr>
                <w:rFonts w:cs="Arial"/>
                <w:szCs w:val="18"/>
                <w:lang w:val="en-GB"/>
              </w:rPr>
              <w:t>32</w:t>
            </w:r>
            <w:r w:rsidR="00C04422" w:rsidRPr="004B5EBA">
              <w:rPr>
                <w:rFonts w:cs="Arial"/>
                <w:szCs w:val="18"/>
                <w:lang w:val="en-GB"/>
              </w:rPr>
              <w:t>0</w:t>
            </w:r>
          </w:p>
        </w:tc>
        <w:tc>
          <w:tcPr>
            <w:tcW w:w="500" w:type="pct"/>
            <w:tcBorders>
              <w:top w:val="nil"/>
              <w:bottom w:val="single" w:sz="12" w:space="0" w:color="008001"/>
            </w:tcBorders>
          </w:tcPr>
          <w:p w14:paraId="2DAB0051" w14:textId="7112DF4C" w:rsidR="00C04422" w:rsidRPr="004B5EBA" w:rsidRDefault="00C04422" w:rsidP="00C04422">
            <w:pPr>
              <w:pStyle w:val="CETBodytext"/>
              <w:ind w:right="-1"/>
              <w:rPr>
                <w:rFonts w:cs="Arial"/>
                <w:szCs w:val="18"/>
                <w:lang w:val="en-GB"/>
              </w:rPr>
            </w:pPr>
            <w:r w:rsidRPr="004B5EBA">
              <w:rPr>
                <w:rFonts w:cs="Arial"/>
                <w:szCs w:val="18"/>
                <w:lang w:val="en-GB"/>
              </w:rPr>
              <w:t>10</w:t>
            </w:r>
          </w:p>
        </w:tc>
        <w:tc>
          <w:tcPr>
            <w:tcW w:w="643" w:type="pct"/>
            <w:tcBorders>
              <w:top w:val="nil"/>
              <w:bottom w:val="single" w:sz="12" w:space="0" w:color="008001"/>
            </w:tcBorders>
          </w:tcPr>
          <w:p w14:paraId="1437FACC" w14:textId="5FED3178" w:rsidR="00C04422" w:rsidRPr="004B5EBA" w:rsidRDefault="00C42C43" w:rsidP="00C04422">
            <w:pPr>
              <w:pStyle w:val="CETBodytext"/>
              <w:ind w:right="-1"/>
              <w:rPr>
                <w:rFonts w:cs="Arial"/>
                <w:szCs w:val="18"/>
                <w:lang w:val="en-GB"/>
              </w:rPr>
            </w:pPr>
            <w:r w:rsidRPr="004B5EBA">
              <w:rPr>
                <w:rFonts w:cs="Arial"/>
                <w:szCs w:val="18"/>
                <w:lang w:val="en-GB"/>
              </w:rPr>
              <w:t>3</w:t>
            </w:r>
            <w:r w:rsidR="00C04422" w:rsidRPr="004B5EBA">
              <w:rPr>
                <w:rFonts w:cs="Arial"/>
                <w:szCs w:val="18"/>
                <w:lang w:val="en-GB"/>
              </w:rPr>
              <w:t>0</w:t>
            </w:r>
          </w:p>
        </w:tc>
        <w:tc>
          <w:tcPr>
            <w:tcW w:w="571" w:type="pct"/>
            <w:tcBorders>
              <w:top w:val="nil"/>
              <w:bottom w:val="single" w:sz="12" w:space="0" w:color="008001"/>
            </w:tcBorders>
          </w:tcPr>
          <w:p w14:paraId="429D0FA5" w14:textId="092502AD" w:rsidR="00C04422" w:rsidRPr="004B5EBA" w:rsidRDefault="00C42C43" w:rsidP="00C04422">
            <w:pPr>
              <w:pStyle w:val="CETBodytext"/>
              <w:ind w:right="-1"/>
              <w:rPr>
                <w:rFonts w:cs="Arial"/>
                <w:szCs w:val="18"/>
                <w:lang w:val="en-GB"/>
              </w:rPr>
            </w:pPr>
            <w:r w:rsidRPr="004B5EBA">
              <w:rPr>
                <w:rFonts w:cs="Arial"/>
                <w:szCs w:val="18"/>
                <w:lang w:val="en-GB"/>
              </w:rPr>
              <w:t>305</w:t>
            </w:r>
          </w:p>
        </w:tc>
        <w:tc>
          <w:tcPr>
            <w:tcW w:w="570" w:type="pct"/>
            <w:tcBorders>
              <w:top w:val="nil"/>
            </w:tcBorders>
          </w:tcPr>
          <w:p w14:paraId="4DD01731" w14:textId="77777777" w:rsidR="00C04422" w:rsidRPr="004B5EBA" w:rsidRDefault="00C04422" w:rsidP="00C04422">
            <w:pPr>
              <w:pStyle w:val="CETBodytext"/>
              <w:ind w:right="-1"/>
              <w:rPr>
                <w:rFonts w:cs="Arial"/>
                <w:szCs w:val="18"/>
                <w:lang w:val="en-GB"/>
              </w:rPr>
            </w:pPr>
          </w:p>
        </w:tc>
      </w:tr>
    </w:tbl>
    <w:p w14:paraId="677EBFF0" w14:textId="52F0F680" w:rsidR="00600535" w:rsidRPr="004B5EBA" w:rsidRDefault="00EF1229" w:rsidP="00600535">
      <w:pPr>
        <w:pStyle w:val="CETHeading1"/>
        <w:tabs>
          <w:tab w:val="clear" w:pos="360"/>
          <w:tab w:val="right" w:pos="7100"/>
        </w:tabs>
        <w:jc w:val="both"/>
        <w:rPr>
          <w:lang w:val="en-GB"/>
        </w:rPr>
      </w:pPr>
      <w:r w:rsidRPr="004B5EBA">
        <w:rPr>
          <w:lang w:val="en-GB"/>
        </w:rPr>
        <w:t>Results and discussions</w:t>
      </w:r>
    </w:p>
    <w:p w14:paraId="076DC498" w14:textId="2BECB79C" w:rsidR="00EF1229" w:rsidRPr="004B5EBA" w:rsidRDefault="00931D9F" w:rsidP="00EF1229">
      <w:pPr>
        <w:pStyle w:val="CETBodytext"/>
        <w:rPr>
          <w:lang w:val="en-GB"/>
        </w:rPr>
      </w:pPr>
      <w:r w:rsidRPr="004B5EBA">
        <w:rPr>
          <w:lang w:val="en-GB"/>
        </w:rPr>
        <w:t>This section summarizes the numerical results. Section 3.1 discusses nominal reactor performance and thermal management under baseline conditions, while Section 3.2 presents the continuation analysis, quantifying the effect of input perturbations and identifying stable and unstable operating regimes through continuation diagrams</w:t>
      </w:r>
      <w:r w:rsidR="0024088F" w:rsidRPr="004B5EBA">
        <w:rPr>
          <w:lang w:val="en-GB"/>
        </w:rPr>
        <w:t>.</w:t>
      </w:r>
    </w:p>
    <w:p w14:paraId="04963A06" w14:textId="2042414C" w:rsidR="00600535" w:rsidRPr="004B5EBA" w:rsidRDefault="00A05409" w:rsidP="00FA5F5F">
      <w:pPr>
        <w:pStyle w:val="CETheadingx"/>
        <w:rPr>
          <w:lang w:val="en-GB"/>
        </w:rPr>
      </w:pPr>
      <w:r w:rsidRPr="004B5EBA">
        <w:rPr>
          <w:lang w:val="en-GB"/>
        </w:rPr>
        <w:t>Nominal performances</w:t>
      </w:r>
    </w:p>
    <w:p w14:paraId="3FEC9DBC" w14:textId="513E4F89" w:rsidR="001F5381" w:rsidRPr="004B5EBA" w:rsidRDefault="00FB6C61" w:rsidP="004B1596">
      <w:pPr>
        <w:pStyle w:val="CETListbullets"/>
        <w:ind w:left="0" w:firstLine="0"/>
      </w:pPr>
      <w:r w:rsidRPr="004B5EBA">
        <w:t>Using the geometrical parameters and inlet conditions in Table 1, the reactor is simulated under baseline operation. Figure 1 reports the axial profiles of process temperature and species molar flow rates, together with the divergence profile, while the main performance indicators are summarized in Table 2.</w:t>
      </w:r>
    </w:p>
    <w:p w14:paraId="0717471D" w14:textId="10955920" w:rsidR="005A2F42" w:rsidRPr="004B5EBA" w:rsidRDefault="005A2F42" w:rsidP="004B1596">
      <w:pPr>
        <w:pStyle w:val="CETListbullets"/>
        <w:ind w:left="0" w:firstLine="0"/>
      </w:pPr>
      <w:r w:rsidRPr="004B5EBA">
        <w:t>As shown in Figure 1, the baseline configuration enables CO</w:t>
      </w:r>
      <w:r w:rsidRPr="004B5EBA">
        <w:rPr>
          <w:rFonts w:ascii="Cambria Math" w:hAnsi="Cambria Math" w:cs="Cambria Math"/>
        </w:rPr>
        <w:t>₂</w:t>
      </w:r>
      <w:r w:rsidRPr="004B5EBA">
        <w:t xml:space="preserve"> methanation with effective thermal management and without steep temperature gradients associated with ignition or runaway. The process-side temperature varies by approximately 10 </w:t>
      </w:r>
      <w:r w:rsidRPr="004B5EBA">
        <w:rPr>
          <w:rFonts w:cs="Arial"/>
        </w:rPr>
        <w:t>°</w:t>
      </w:r>
      <w:r w:rsidRPr="004B5EBA">
        <w:t>C and species profiles evolve smoothly, indicating stable operation. The divergence exhibits a local peak slightly upstream of the axial temperature maximum, consistent with the anticipatory behaviour reported for batch systems using the S&amp;Z criterion</w:t>
      </w:r>
      <w:r w:rsidR="00EC335C" w:rsidRPr="004B5EBA">
        <w:t>.</w:t>
      </w:r>
    </w:p>
    <w:p w14:paraId="1E72027C" w14:textId="75F9F56A" w:rsidR="00AA1369" w:rsidRPr="004B5EBA" w:rsidRDefault="00AA1369" w:rsidP="004B1596">
      <w:pPr>
        <w:pStyle w:val="CETListbullets"/>
        <w:ind w:left="0" w:firstLine="0"/>
      </w:pPr>
      <w:r w:rsidRPr="004B5EBA">
        <w:t>In a PFR, the criterion is not intended to precisely predict the hot-spot location; rather, it provides a predictive safety indicator for model-based control and supervision. By evaluating divergence under the current (or planned) inlet and cooling conditions, a controller or supervisory layer can assess—before implementing input changes—whether the incoming mixture is expected to approach thermally critical conditions and take preventive action (e.g., adjusting feed rate/composition or coolant flow).</w:t>
      </w:r>
    </w:p>
    <w:p w14:paraId="7AA841BF" w14:textId="76E29312" w:rsidR="00EC335C" w:rsidRPr="004B5EBA" w:rsidRDefault="00EC335C" w:rsidP="00EC335C">
      <w:pPr>
        <w:pStyle w:val="CETTabletitle"/>
      </w:pPr>
      <w:r w:rsidRPr="004B5EBA">
        <w:lastRenderedPageBreak/>
        <w:t xml:space="preserve">Table 2: </w:t>
      </w:r>
      <w:r w:rsidR="00AA1369" w:rsidRPr="004B5EBA">
        <w:t>Relevant p</w:t>
      </w:r>
      <w:r w:rsidRPr="004B5EBA">
        <w:t xml:space="preserve">erformance indicators </w:t>
      </w:r>
      <w:r w:rsidR="00AA1369" w:rsidRPr="004B5EBA">
        <w:t>calculated</w:t>
      </w:r>
      <w:r w:rsidRPr="004B5EBA">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276"/>
        <w:gridCol w:w="1701"/>
        <w:gridCol w:w="1986"/>
        <w:gridCol w:w="2123"/>
      </w:tblGrid>
      <w:tr w:rsidR="00EC335C" w:rsidRPr="004B5EBA" w14:paraId="61B4B072" w14:textId="77777777" w:rsidTr="00995284">
        <w:tc>
          <w:tcPr>
            <w:tcW w:w="968" w:type="pct"/>
            <w:tcBorders>
              <w:top w:val="single" w:sz="12" w:space="0" w:color="008001"/>
              <w:bottom w:val="nil"/>
            </w:tcBorders>
            <w:shd w:val="clear" w:color="auto" w:fill="FFFFFF"/>
          </w:tcPr>
          <w:p w14:paraId="23EF492E" w14:textId="77777777" w:rsidR="00EC335C" w:rsidRPr="004B5EBA" w:rsidRDefault="00EC335C" w:rsidP="00995284">
            <w:pPr>
              <w:pStyle w:val="CETBodytext"/>
              <w:rPr>
                <w:lang w:val="en-GB"/>
              </w:rPr>
            </w:pPr>
            <w:r w:rsidRPr="004B5EBA">
              <w:rPr>
                <w:lang w:val="en-GB"/>
              </w:rPr>
              <w:t>CO</w:t>
            </w:r>
            <w:r w:rsidRPr="004B5EBA">
              <w:rPr>
                <w:vertAlign w:val="subscript"/>
                <w:lang w:val="en-GB"/>
              </w:rPr>
              <w:t>2</w:t>
            </w:r>
            <w:r w:rsidRPr="004B5EBA">
              <w:rPr>
                <w:lang w:val="en-GB"/>
              </w:rPr>
              <w:t xml:space="preserve"> conversion [%]</w:t>
            </w:r>
          </w:p>
        </w:tc>
        <w:tc>
          <w:tcPr>
            <w:tcW w:w="726" w:type="pct"/>
            <w:tcBorders>
              <w:top w:val="single" w:sz="12" w:space="0" w:color="008001"/>
              <w:bottom w:val="nil"/>
            </w:tcBorders>
            <w:shd w:val="clear" w:color="auto" w:fill="FFFFFF"/>
          </w:tcPr>
          <w:p w14:paraId="2DD728E0" w14:textId="77777777" w:rsidR="00EC335C" w:rsidRPr="004B5EBA" w:rsidRDefault="00EC335C" w:rsidP="00995284">
            <w:pPr>
              <w:pStyle w:val="CETBodytext"/>
              <w:rPr>
                <w:lang w:val="en-GB"/>
              </w:rPr>
            </w:pPr>
            <w:r w:rsidRPr="004B5EBA">
              <w:rPr>
                <w:lang w:val="en-GB"/>
              </w:rPr>
              <w:t>CH</w:t>
            </w:r>
            <w:r w:rsidRPr="004B5EBA">
              <w:rPr>
                <w:vertAlign w:val="subscript"/>
                <w:lang w:val="en-GB"/>
              </w:rPr>
              <w:t>4</w:t>
            </w:r>
            <w:r w:rsidRPr="004B5EBA">
              <w:rPr>
                <w:lang w:val="en-GB"/>
              </w:rPr>
              <w:t xml:space="preserve"> yield [%]</w:t>
            </w:r>
          </w:p>
        </w:tc>
        <w:tc>
          <w:tcPr>
            <w:tcW w:w="968" w:type="pct"/>
            <w:tcBorders>
              <w:top w:val="single" w:sz="12" w:space="0" w:color="008001"/>
              <w:bottom w:val="nil"/>
            </w:tcBorders>
            <w:shd w:val="clear" w:color="auto" w:fill="FFFFFF"/>
          </w:tcPr>
          <w:p w14:paraId="3247F7F0" w14:textId="77777777" w:rsidR="00EC335C" w:rsidRPr="004B5EBA" w:rsidRDefault="00EC335C" w:rsidP="00995284">
            <w:pPr>
              <w:pStyle w:val="CETBodytext"/>
              <w:ind w:right="-1"/>
              <w:rPr>
                <w:rFonts w:cs="Arial"/>
                <w:szCs w:val="18"/>
                <w:lang w:val="en-GB"/>
              </w:rPr>
            </w:pPr>
            <w:r w:rsidRPr="004B5EBA">
              <w:rPr>
                <w:rFonts w:cs="Arial"/>
                <w:szCs w:val="18"/>
                <w:lang w:val="en-GB"/>
              </w:rPr>
              <w:t>CH</w:t>
            </w:r>
            <w:r w:rsidRPr="004B5EBA">
              <w:rPr>
                <w:rFonts w:cs="Arial"/>
                <w:szCs w:val="18"/>
                <w:vertAlign w:val="subscript"/>
                <w:lang w:val="en-GB"/>
              </w:rPr>
              <w:t>4</w:t>
            </w:r>
            <w:r w:rsidRPr="004B5EBA">
              <w:rPr>
                <w:rFonts w:cs="Arial"/>
                <w:szCs w:val="18"/>
                <w:lang w:val="en-GB"/>
              </w:rPr>
              <w:t xml:space="preserve"> selectivity [%]</w:t>
            </w:r>
          </w:p>
        </w:tc>
        <w:tc>
          <w:tcPr>
            <w:tcW w:w="1130" w:type="pct"/>
            <w:tcBorders>
              <w:top w:val="single" w:sz="12" w:space="0" w:color="008001"/>
              <w:bottom w:val="nil"/>
            </w:tcBorders>
            <w:shd w:val="clear" w:color="auto" w:fill="FFFFFF"/>
          </w:tcPr>
          <w:p w14:paraId="0DFF6E82" w14:textId="77777777" w:rsidR="00EC335C" w:rsidRPr="004B5EBA" w:rsidRDefault="00EC335C" w:rsidP="00995284">
            <w:pPr>
              <w:pStyle w:val="CETBodytext"/>
              <w:ind w:right="-1"/>
              <w:rPr>
                <w:rFonts w:cs="Arial"/>
                <w:szCs w:val="18"/>
                <w:lang w:val="en-GB"/>
              </w:rPr>
            </w:pPr>
            <w:r w:rsidRPr="004B5EBA">
              <w:rPr>
                <w:rFonts w:cs="Arial"/>
                <w:szCs w:val="18"/>
                <w:lang w:val="en-GB"/>
              </w:rPr>
              <w:t>Pressure drops [bar]</w:t>
            </w:r>
          </w:p>
        </w:tc>
        <w:tc>
          <w:tcPr>
            <w:tcW w:w="1209" w:type="pct"/>
            <w:tcBorders>
              <w:top w:val="single" w:sz="12" w:space="0" w:color="008001"/>
              <w:bottom w:val="nil"/>
            </w:tcBorders>
          </w:tcPr>
          <w:p w14:paraId="1B3F2D2C" w14:textId="375C076F" w:rsidR="00EC335C" w:rsidRPr="004B5EBA" w:rsidRDefault="00000000" w:rsidP="00995284">
            <w:pPr>
              <w:pStyle w:val="CETBodytext"/>
              <w:ind w:right="-1"/>
              <w:rPr>
                <w:rFonts w:cs="Arial"/>
                <w:szCs w:val="18"/>
                <w:lang w:val="en-GB"/>
              </w:rPr>
            </w:pPr>
            <m:oMath>
              <m:sSub>
                <m:sSubPr>
                  <m:ctrlPr>
                    <w:rPr>
                      <w:rFonts w:ascii="Cambria Math" w:hAnsi="Cambria Math"/>
                      <w:i/>
                      <w:lang w:val="en-GB"/>
                    </w:rPr>
                  </m:ctrlPr>
                </m:sSubPr>
                <m:e>
                  <m:r>
                    <w:rPr>
                      <w:rFonts w:ascii="Cambria Math" w:hAnsi="Cambria Math"/>
                      <w:lang w:val="en-GB"/>
                    </w:rPr>
                    <m:t>div</m:t>
                  </m:r>
                </m:e>
                <m:sub>
                  <m:r>
                    <w:rPr>
                      <w:rFonts w:ascii="Cambria Math" w:hAnsi="Cambria Math"/>
                      <w:lang w:val="en-GB"/>
                    </w:rPr>
                    <m:t>max</m:t>
                  </m:r>
                </m:sub>
              </m:sSub>
            </m:oMath>
            <w:r w:rsidR="00EC335C" w:rsidRPr="004B5EBA">
              <w:rPr>
                <w:rFonts w:cs="Arial"/>
                <w:szCs w:val="18"/>
                <w:lang w:val="en-GB"/>
              </w:rPr>
              <w:t xml:space="preserve"> [-]</w:t>
            </w:r>
          </w:p>
        </w:tc>
      </w:tr>
      <w:tr w:rsidR="00EC335C" w:rsidRPr="004B5EBA" w14:paraId="65A960AF" w14:textId="77777777" w:rsidTr="00995284">
        <w:tc>
          <w:tcPr>
            <w:tcW w:w="968" w:type="pct"/>
            <w:tcBorders>
              <w:top w:val="nil"/>
              <w:bottom w:val="single" w:sz="12" w:space="0" w:color="008001"/>
            </w:tcBorders>
            <w:shd w:val="clear" w:color="auto" w:fill="FFFFFF"/>
          </w:tcPr>
          <w:p w14:paraId="6BE1FFD8" w14:textId="77777777" w:rsidR="00EC335C" w:rsidRPr="004B5EBA" w:rsidRDefault="00EC335C" w:rsidP="00995284">
            <w:pPr>
              <w:pStyle w:val="CETBodytext"/>
              <w:rPr>
                <w:lang w:val="en-GB"/>
              </w:rPr>
            </w:pPr>
            <w:r w:rsidRPr="004B5EBA">
              <w:rPr>
                <w:lang w:val="en-GB"/>
              </w:rPr>
              <w:t>68.1</w:t>
            </w:r>
          </w:p>
        </w:tc>
        <w:tc>
          <w:tcPr>
            <w:tcW w:w="726" w:type="pct"/>
            <w:tcBorders>
              <w:top w:val="nil"/>
              <w:bottom w:val="single" w:sz="12" w:space="0" w:color="008001"/>
            </w:tcBorders>
            <w:shd w:val="clear" w:color="auto" w:fill="FFFFFF"/>
          </w:tcPr>
          <w:p w14:paraId="5820FA07" w14:textId="77777777" w:rsidR="00EC335C" w:rsidRPr="004B5EBA" w:rsidRDefault="00EC335C" w:rsidP="00995284">
            <w:pPr>
              <w:pStyle w:val="CETBodytext"/>
              <w:rPr>
                <w:lang w:val="en-GB"/>
              </w:rPr>
            </w:pPr>
            <w:r w:rsidRPr="004B5EBA">
              <w:rPr>
                <w:lang w:val="en-GB"/>
              </w:rPr>
              <w:t>68.0</w:t>
            </w:r>
          </w:p>
        </w:tc>
        <w:tc>
          <w:tcPr>
            <w:tcW w:w="968" w:type="pct"/>
            <w:tcBorders>
              <w:top w:val="nil"/>
              <w:bottom w:val="single" w:sz="12" w:space="0" w:color="008001"/>
            </w:tcBorders>
            <w:shd w:val="clear" w:color="auto" w:fill="FFFFFF"/>
          </w:tcPr>
          <w:p w14:paraId="0424C26D" w14:textId="77777777" w:rsidR="00EC335C" w:rsidRPr="004B5EBA" w:rsidRDefault="00EC335C" w:rsidP="00995284">
            <w:pPr>
              <w:pStyle w:val="CETBodytext"/>
              <w:ind w:right="-1"/>
              <w:rPr>
                <w:rFonts w:cs="Arial"/>
                <w:szCs w:val="18"/>
                <w:lang w:val="en-GB"/>
              </w:rPr>
            </w:pPr>
            <w:r w:rsidRPr="004B5EBA">
              <w:rPr>
                <w:rFonts w:cs="Arial"/>
                <w:szCs w:val="18"/>
                <w:lang w:val="en-GB"/>
              </w:rPr>
              <w:t>99.8</w:t>
            </w:r>
          </w:p>
        </w:tc>
        <w:tc>
          <w:tcPr>
            <w:tcW w:w="1130" w:type="pct"/>
            <w:tcBorders>
              <w:top w:val="nil"/>
              <w:bottom w:val="single" w:sz="12" w:space="0" w:color="008001"/>
            </w:tcBorders>
            <w:shd w:val="clear" w:color="auto" w:fill="FFFFFF"/>
          </w:tcPr>
          <w:p w14:paraId="114387F2" w14:textId="77777777" w:rsidR="00EC335C" w:rsidRPr="004B5EBA" w:rsidRDefault="00EC335C" w:rsidP="00995284">
            <w:pPr>
              <w:pStyle w:val="CETBodytext"/>
              <w:ind w:right="-1"/>
              <w:rPr>
                <w:rFonts w:cs="Arial"/>
                <w:szCs w:val="18"/>
                <w:lang w:val="en-GB"/>
              </w:rPr>
            </w:pPr>
            <w:r w:rsidRPr="004B5EBA">
              <w:rPr>
                <w:rFonts w:cs="Arial"/>
                <w:szCs w:val="18"/>
                <w:lang w:val="en-GB"/>
              </w:rPr>
              <w:t>1.43</w:t>
            </w:r>
          </w:p>
        </w:tc>
        <w:tc>
          <w:tcPr>
            <w:tcW w:w="1209" w:type="pct"/>
            <w:tcBorders>
              <w:top w:val="nil"/>
              <w:bottom w:val="single" w:sz="12" w:space="0" w:color="008001"/>
            </w:tcBorders>
          </w:tcPr>
          <w:p w14:paraId="66C3192A" w14:textId="77777777" w:rsidR="00EC335C" w:rsidRPr="004B5EBA" w:rsidRDefault="00EC335C" w:rsidP="00995284">
            <w:pPr>
              <w:pStyle w:val="CETBodytext"/>
              <w:ind w:right="-1"/>
              <w:rPr>
                <w:rFonts w:cs="Arial"/>
                <w:szCs w:val="18"/>
                <w:lang w:val="en-GB"/>
              </w:rPr>
            </w:pPr>
            <w:r w:rsidRPr="004B5EBA">
              <w:rPr>
                <w:rFonts w:cs="Arial"/>
                <w:szCs w:val="18"/>
                <w:lang w:val="en-GB"/>
              </w:rPr>
              <w:t>-1.66</w:t>
            </w:r>
          </w:p>
        </w:tc>
      </w:tr>
    </w:tbl>
    <w:p w14:paraId="13994993" w14:textId="77777777" w:rsidR="00EC335C" w:rsidRPr="004B5EBA" w:rsidRDefault="00EC335C" w:rsidP="004B1596">
      <w:pPr>
        <w:pStyle w:val="CETListbullets"/>
        <w:ind w:left="0" w:firstLine="0"/>
      </w:pPr>
    </w:p>
    <w:p w14:paraId="5DADED42" w14:textId="77777777" w:rsidR="00FB6C61" w:rsidRPr="004B5EBA" w:rsidRDefault="00FB6C61" w:rsidP="00FB6C61">
      <w:pPr>
        <w:pStyle w:val="CETCaption"/>
      </w:pPr>
      <w:r w:rsidRPr="004B5EBA">
        <w:rPr>
          <w:noProof/>
        </w:rPr>
        <w:drawing>
          <wp:inline distT="0" distB="0" distL="0" distR="0" wp14:anchorId="0C0A93F6" wp14:editId="0E9C173B">
            <wp:extent cx="5579745" cy="1972310"/>
            <wp:effectExtent l="0" t="0" r="1905" b="8890"/>
            <wp:docPr id="96721778" name="Immagine 1" descr="Immagine che contiene linea, Diagramma, diagramma, pend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7660" name="Immagine 1" descr="Immagine che contiene linea, Diagramma, diagramma, pendio&#10;&#10;Il contenuto generato dall'IA potrebbe non essere corretto."/>
                    <pic:cNvPicPr/>
                  </pic:nvPicPr>
                  <pic:blipFill>
                    <a:blip r:embed="rId11"/>
                    <a:stretch>
                      <a:fillRect/>
                    </a:stretch>
                  </pic:blipFill>
                  <pic:spPr>
                    <a:xfrm>
                      <a:off x="0" y="0"/>
                      <a:ext cx="5579745" cy="1972310"/>
                    </a:xfrm>
                    <a:prstGeom prst="rect">
                      <a:avLst/>
                    </a:prstGeom>
                  </pic:spPr>
                </pic:pic>
              </a:graphicData>
            </a:graphic>
          </wp:inline>
        </w:drawing>
      </w:r>
    </w:p>
    <w:p w14:paraId="7473EFEA" w14:textId="41D9A69F" w:rsidR="00FB6C61" w:rsidRPr="004B5EBA" w:rsidRDefault="00FB6C61" w:rsidP="00FB6C61">
      <w:pPr>
        <w:pStyle w:val="CETCaption"/>
        <w:spacing w:before="0"/>
      </w:pPr>
      <w:r w:rsidRPr="004B5EBA">
        <w:rPr>
          <w:rStyle w:val="CETCaptionCarattere"/>
          <w:i/>
        </w:rPr>
        <w:t>Figure 1: Temperatures</w:t>
      </w:r>
      <w:r w:rsidR="00AA1369" w:rsidRPr="004B5EBA">
        <w:rPr>
          <w:rStyle w:val="CETCaptionCarattere"/>
          <w:i/>
        </w:rPr>
        <w:t xml:space="preserve">, </w:t>
      </w:r>
      <w:r w:rsidRPr="004B5EBA">
        <w:rPr>
          <w:rStyle w:val="CETCaptionCarattere"/>
          <w:i/>
        </w:rPr>
        <w:t xml:space="preserve">species molar flows </w:t>
      </w:r>
      <w:r w:rsidR="00AA1369" w:rsidRPr="004B5EBA">
        <w:rPr>
          <w:rStyle w:val="CETCaptionCarattere"/>
          <w:i/>
        </w:rPr>
        <w:t>and calculated diverge along the reactor axis.</w:t>
      </w:r>
    </w:p>
    <w:p w14:paraId="3C1011BB" w14:textId="507606B6" w:rsidR="00B16D36" w:rsidRPr="004B5EBA" w:rsidRDefault="00B16D36" w:rsidP="00B16D36">
      <w:pPr>
        <w:pStyle w:val="CETListbullets"/>
        <w:ind w:left="0" w:firstLine="0"/>
      </w:pPr>
      <w:r w:rsidRPr="004B5EBA">
        <w:t>Consistently, the negative value recorded during the heating phase (</w:t>
      </w:r>
      <m:oMath>
        <m:sSub>
          <m:sSubPr>
            <m:ctrlPr>
              <w:rPr>
                <w:rFonts w:ascii="Cambria Math" w:hAnsi="Cambria Math"/>
                <w:i/>
              </w:rPr>
            </m:ctrlPr>
          </m:sSubPr>
          <m:e>
            <m:r>
              <w:rPr>
                <w:rFonts w:ascii="Cambria Math" w:hAnsi="Cambria Math"/>
              </w:rPr>
              <m:t>div</m:t>
            </m:r>
          </m:e>
          <m:sub>
            <m:r>
              <w:rPr>
                <w:rFonts w:ascii="Cambria Math" w:hAnsi="Cambria Math"/>
              </w:rPr>
              <m:t>max</m:t>
            </m:r>
          </m:sub>
        </m:sSub>
      </m:oMath>
      <w:r w:rsidRPr="004B5EBA">
        <w:t xml:space="preserve"> &lt; 0, Table 2) indicates that heat removal dominates over heat generation under the investigated conditions, so perturbations are locally damped (state-space contraction) and the reactor remains intrinsically thermally stable. Beyond nominal assessment, this result supports the applicability of the spatially extended S&amp;Z divergence criterion to tubular reactors.</w:t>
      </w:r>
    </w:p>
    <w:p w14:paraId="63AB74EB" w14:textId="757BD565" w:rsidR="00E7187E" w:rsidRPr="004B5EBA" w:rsidRDefault="00E7187E" w:rsidP="00B16D36">
      <w:pPr>
        <w:pStyle w:val="CETListbullets"/>
        <w:ind w:left="0" w:firstLine="0"/>
      </w:pPr>
      <w:r w:rsidRPr="004B5EBA">
        <w:t>Finally, coupling the reactor model with model order reduction (MOR) could provide a computationally efficient surrogate suitable for online state forecasting. The predicted states can be processed by the divergence-based criterion to trigger alarms or constraint handling when sustained positive divergence is detected, signalling conditions that may evolve toward runaway.</w:t>
      </w:r>
    </w:p>
    <w:p w14:paraId="1F96CA21" w14:textId="096B42AA" w:rsidR="00600535" w:rsidRPr="004B5EBA" w:rsidRDefault="00A05409" w:rsidP="00FA5F5F">
      <w:pPr>
        <w:pStyle w:val="CETheadingx"/>
        <w:rPr>
          <w:lang w:val="en-GB"/>
        </w:rPr>
      </w:pPr>
      <w:r w:rsidRPr="004B5EBA">
        <w:rPr>
          <w:lang w:val="en-GB"/>
        </w:rPr>
        <w:t>Continuation study</w:t>
      </w:r>
    </w:p>
    <w:p w14:paraId="6A6B0201" w14:textId="4D210C3E" w:rsidR="00A46434" w:rsidRPr="004B5EBA" w:rsidRDefault="006D75B5" w:rsidP="00A05409">
      <w:pPr>
        <w:pStyle w:val="CETListbullets"/>
        <w:ind w:left="0" w:firstLine="0"/>
        <w:rPr>
          <w:szCs w:val="18"/>
        </w:rPr>
      </w:pPr>
      <w:r w:rsidRPr="004B5EBA">
        <w:rPr>
          <w:szCs w:val="18"/>
        </w:rPr>
        <w:t xml:space="preserve">To emulate unintended variations in operating conditions and quantify their impact on reactor behaviour and divergence, a continuation analysis is performed. The approach enables a sensitivity assessment by systematically perturbing selected input variables and monitoring the system response through appropriate indicators </w:t>
      </w:r>
      <w:sdt>
        <w:sdtPr>
          <w:rPr>
            <w:rFonts w:cs="Arial"/>
            <w:color w:val="000000"/>
            <w:szCs w:val="18"/>
          </w:rPr>
          <w:tag w:val="MENDELEY_CITATION_v3_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"/>
          <w:id w:val="-2024935262"/>
          <w:placeholder>
            <w:docPart w:val="DE04D8850FFF465B9D286BB77DE530F0"/>
          </w:placeholder>
        </w:sdtPr>
        <w:sdtContent>
          <w:r w:rsidR="00320CB9" w:rsidRPr="00320CB9">
            <w:rPr>
              <w:rFonts w:cs="Arial"/>
              <w:color w:val="000000"/>
              <w:szCs w:val="18"/>
            </w:rPr>
            <w:t>(Andriani et al., 2024c)</w:t>
          </w:r>
        </w:sdtContent>
      </w:sdt>
      <w:r w:rsidRPr="004B5EBA">
        <w:rPr>
          <w:rFonts w:cs="Arial"/>
          <w:color w:val="000000"/>
          <w:szCs w:val="18"/>
        </w:rPr>
        <w:t xml:space="preserve">. </w:t>
      </w:r>
    </w:p>
    <w:p w14:paraId="3F375E56" w14:textId="6FF2D87A" w:rsidR="00B2108F" w:rsidRPr="004B5EBA" w:rsidRDefault="00BE268A" w:rsidP="00B2108F">
      <w:pPr>
        <w:rPr>
          <w:szCs w:val="18"/>
        </w:rPr>
      </w:pPr>
      <w:r w:rsidRPr="004B5EBA">
        <w:rPr>
          <w:szCs w:val="18"/>
        </w:rPr>
        <w:t xml:space="preserve">In this study, reactor behaviour is characterised using the maximum temperature rise,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oMath>
      <w:r w:rsidRPr="004B5EBA">
        <w:t xml:space="preserve">, and the maximum divergence, </w:t>
      </w:r>
      <m:oMath>
        <m:sSub>
          <m:sSubPr>
            <m:ctrlPr>
              <w:rPr>
                <w:rFonts w:ascii="Cambria Math" w:hAnsi="Cambria Math"/>
                <w:i/>
              </w:rPr>
            </m:ctrlPr>
          </m:sSubPr>
          <m:e>
            <m:r>
              <w:rPr>
                <w:rFonts w:ascii="Cambria Math" w:hAnsi="Cambria Math"/>
              </w:rPr>
              <m:t>div</m:t>
            </m:r>
          </m:e>
          <m:sub>
            <m:r>
              <w:rPr>
                <w:rFonts w:ascii="Cambria Math" w:hAnsi="Cambria Math"/>
              </w:rPr>
              <m:t>max</m:t>
            </m:r>
          </m:sub>
        </m:sSub>
      </m:oMath>
      <w:r w:rsidR="00B2108F" w:rsidRPr="004B5EBA">
        <w:t xml:space="preserve">. The continuation variables, representing potential feed malfunctions, are the inlet </w:t>
      </w:r>
      <w:r w:rsidR="009B14BE">
        <w:t>mass</w:t>
      </w:r>
      <w:r w:rsidR="00B2108F" w:rsidRPr="004B5EBA">
        <w:t xml:space="preserve"> flow rates of the service stream and the reactant feed, denoted as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serv,in</m:t>
            </m:r>
          </m:sub>
        </m:sSub>
      </m:oMath>
      <w:r w:rsidR="00B2108F" w:rsidRPr="004B5EBA">
        <w:t xml:space="preserve"> and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in</m:t>
            </m:r>
          </m:sub>
        </m:sSub>
      </m:oMath>
      <w:r w:rsidR="00AF3CDB" w:rsidRPr="004B5EBA">
        <w:rPr>
          <w:szCs w:val="18"/>
        </w:rPr>
        <w:t>, respectively.</w:t>
      </w:r>
      <w:r w:rsidR="00B426F8" w:rsidRPr="004B5EBA">
        <w:rPr>
          <w:szCs w:val="18"/>
        </w:rPr>
        <w:t xml:space="preserve"> The results are reported in Figure 2. </w:t>
      </w:r>
      <w:r w:rsidR="00AF3CDB" w:rsidRPr="004B5EBA">
        <w:rPr>
          <w:szCs w:val="18"/>
        </w:rPr>
        <w:t xml:space="preserve"> </w:t>
      </w:r>
    </w:p>
    <w:p w14:paraId="64435A89" w14:textId="0AE4FAD2" w:rsidR="00B426F8" w:rsidRPr="004B5EBA" w:rsidRDefault="00251ACB" w:rsidP="00B426F8">
      <w:pPr>
        <w:pStyle w:val="CETCaption"/>
        <w:jc w:val="left"/>
      </w:pPr>
      <w:r>
        <w:rPr>
          <w:noProof/>
        </w:rPr>
        <w:drawing>
          <wp:inline distT="0" distB="0" distL="0" distR="0" wp14:anchorId="0D771020" wp14:editId="51017531">
            <wp:extent cx="5579745" cy="1972310"/>
            <wp:effectExtent l="0" t="0" r="0" b="0"/>
            <wp:docPr id="2014192298" name="Immagine 1" descr="Immagine che contiene linea, Diagramma, diagramma, pend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2298" name="Immagine 1" descr="Immagine che contiene linea, Diagramma, diagramma, pendio&#10;&#10;Il contenuto generato dall'IA potrebbe non essere corretto."/>
                    <pic:cNvPicPr/>
                  </pic:nvPicPr>
                  <pic:blipFill>
                    <a:blip r:embed="rId12"/>
                    <a:stretch>
                      <a:fillRect/>
                    </a:stretch>
                  </pic:blipFill>
                  <pic:spPr>
                    <a:xfrm>
                      <a:off x="0" y="0"/>
                      <a:ext cx="5579745" cy="1972310"/>
                    </a:xfrm>
                    <a:prstGeom prst="rect">
                      <a:avLst/>
                    </a:prstGeom>
                  </pic:spPr>
                </pic:pic>
              </a:graphicData>
            </a:graphic>
          </wp:inline>
        </w:drawing>
      </w:r>
    </w:p>
    <w:p w14:paraId="06F51B68" w14:textId="3FF9BB68" w:rsidR="00B426F8" w:rsidRPr="004B5EBA" w:rsidRDefault="00B426F8" w:rsidP="00B426F8">
      <w:pPr>
        <w:pStyle w:val="CETCaption"/>
        <w:jc w:val="left"/>
      </w:pPr>
      <w:r w:rsidRPr="004B5EBA">
        <w:rPr>
          <w:rStyle w:val="CETCaptionCarattere"/>
          <w:i/>
        </w:rPr>
        <w:t xml:space="preserve">Figure 2: </w:t>
      </w:r>
      <w:r w:rsidR="00C10666" w:rsidRPr="004B5EBA">
        <w:rPr>
          <w:rStyle w:val="CETCaptionCarattere"/>
          <w:i/>
        </w:rPr>
        <w:t xml:space="preserve">Continuation results using </w:t>
      </w:r>
      <m:oMath>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oMath>
      <w:r w:rsidRPr="004B5EBA">
        <w:t xml:space="preserve"> (left) and </w:t>
      </w:r>
      <m:oMath>
        <m:sSub>
          <m:sSubPr>
            <m:ctrlPr>
              <w:rPr>
                <w:rFonts w:ascii="Cambria Math" w:hAnsi="Cambria Math"/>
              </w:rPr>
            </m:ctrlPr>
          </m:sSubPr>
          <m:e>
            <m:r>
              <w:rPr>
                <w:rFonts w:ascii="Cambria Math" w:hAnsi="Cambria Math"/>
              </w:rPr>
              <m:t>div</m:t>
            </m:r>
          </m:e>
          <m:sub>
            <m:r>
              <w:rPr>
                <w:rFonts w:ascii="Cambria Math" w:hAnsi="Cambria Math"/>
              </w:rPr>
              <m:t>max</m:t>
            </m:r>
          </m:sub>
        </m:sSub>
      </m:oMath>
      <w:r w:rsidRPr="004B5EBA">
        <w:t xml:space="preserve"> (right) as observables.</w:t>
      </w:r>
      <w:r w:rsidR="00535D2E">
        <w:t xml:space="preserve"> Here </w:t>
      </w:r>
      <m:oMath>
        <m:sSub>
          <m:sSubPr>
            <m:ctrlPr>
              <w:rPr>
                <w:rFonts w:ascii="Cambria Math" w:hAnsi="Cambria Math"/>
                <w:szCs w:val="18"/>
              </w:rPr>
            </m:ctrlPr>
          </m:sSubPr>
          <m:e>
            <m:acc>
              <m:accPr>
                <m:chr m:val="̇"/>
                <m:ctrlPr>
                  <w:rPr>
                    <w:rFonts w:ascii="Cambria Math" w:hAnsi="Cambria Math"/>
                    <w:szCs w:val="18"/>
                  </w:rPr>
                </m:ctrlPr>
              </m:accPr>
              <m:e>
                <m:r>
                  <w:rPr>
                    <w:rFonts w:ascii="Cambria Math" w:hAnsi="Cambria Math"/>
                    <w:szCs w:val="18"/>
                  </w:rPr>
                  <m:t>m</m:t>
                </m:r>
              </m:e>
            </m:acc>
          </m:e>
          <m:sub>
            <m:r>
              <w:rPr>
                <w:rFonts w:ascii="Cambria Math" w:hAnsi="Cambria Math"/>
                <w:szCs w:val="18"/>
              </w:rPr>
              <m:t>serv,in</m:t>
            </m:r>
          </m:sub>
        </m:sSub>
      </m:oMath>
      <w:r w:rsidR="00535D2E">
        <w:rPr>
          <w:szCs w:val="18"/>
        </w:rPr>
        <w:t xml:space="preserve"> is referred to the inlet service side mass flow rate, whereas </w:t>
      </w:r>
      <m:oMath>
        <m:sSub>
          <m:sSubPr>
            <m:ctrlPr>
              <w:rPr>
                <w:rFonts w:ascii="Cambria Math" w:hAnsi="Cambria Math"/>
                <w:szCs w:val="18"/>
              </w:rPr>
            </m:ctrlPr>
          </m:sSubPr>
          <m:e>
            <m:acc>
              <m:accPr>
                <m:chr m:val="̇"/>
                <m:ctrlPr>
                  <w:rPr>
                    <w:rFonts w:ascii="Cambria Math" w:hAnsi="Cambria Math"/>
                    <w:szCs w:val="18"/>
                  </w:rPr>
                </m:ctrlPr>
              </m:accPr>
              <m:e>
                <m:r>
                  <w:rPr>
                    <w:rFonts w:ascii="Cambria Math" w:hAnsi="Cambria Math"/>
                    <w:szCs w:val="18"/>
                  </w:rPr>
                  <m:t>m</m:t>
                </m:r>
              </m:e>
            </m:acc>
          </m:e>
          <m:sub>
            <m:r>
              <w:rPr>
                <w:rFonts w:ascii="Cambria Math" w:hAnsi="Cambria Math"/>
                <w:szCs w:val="18"/>
              </w:rPr>
              <m:t>in</m:t>
            </m:r>
          </m:sub>
        </m:sSub>
      </m:oMath>
      <w:r w:rsidR="00535D2E">
        <w:rPr>
          <w:szCs w:val="18"/>
        </w:rPr>
        <w:t xml:space="preserve"> refers to the single tube inlet </w:t>
      </w:r>
      <w:r w:rsidR="009B14BE">
        <w:rPr>
          <w:szCs w:val="18"/>
        </w:rPr>
        <w:t>mass</w:t>
      </w:r>
      <w:r w:rsidR="00535D2E">
        <w:rPr>
          <w:szCs w:val="18"/>
        </w:rPr>
        <w:t xml:space="preserve"> flow rate.</w:t>
      </w:r>
      <w:r w:rsidR="009B14BE">
        <w:rPr>
          <w:szCs w:val="18"/>
        </w:rPr>
        <w:t xml:space="preserve"> </w:t>
      </w:r>
    </w:p>
    <w:p w14:paraId="6DD57A50" w14:textId="080BF0C9" w:rsidR="00A46434" w:rsidRDefault="007C542F" w:rsidP="00A05409">
      <w:pPr>
        <w:pStyle w:val="CETListbullets"/>
        <w:ind w:left="0" w:firstLine="0"/>
        <w:rPr>
          <w:szCs w:val="18"/>
        </w:rPr>
      </w:pPr>
      <w:r w:rsidRPr="004B5EBA">
        <w:rPr>
          <w:szCs w:val="18"/>
        </w:rPr>
        <w:lastRenderedPageBreak/>
        <w:t xml:space="preserve">As shown in Figure 2, progressive reductions in both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serv,in</m:t>
            </m:r>
          </m:sub>
        </m:sSub>
      </m:oMath>
      <w:r w:rsidRPr="004B5EBA">
        <w:t xml:space="preserve"> and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in</m:t>
            </m:r>
          </m:sub>
        </m:sSub>
      </m:oMath>
      <w:r w:rsidRPr="004B5EBA">
        <w:rPr>
          <w:szCs w:val="18"/>
        </w:rPr>
        <w:t xml:space="preserve"> </w:t>
      </w:r>
      <w:r w:rsidR="004B5EBA" w:rsidRPr="004B5EBA">
        <w:rPr>
          <w:szCs w:val="18"/>
        </w:rPr>
        <w:t xml:space="preserve">destabilise the reactive system. A decrease in cooling flow weakens convective heat transfer on the shell side, reducing the overall heat-transfer coefficient and limiting the reactor’s ability to dissipate reaction heat. Similarly, a reduction in the process inlet flow impairs heat-transfer performance and modifies residence time, increasing thermal exposure and the likelihood of temperature excursions. </w:t>
      </w:r>
    </w:p>
    <w:p w14:paraId="1F9BF366" w14:textId="08803BC2" w:rsidR="00BF17A7" w:rsidRDefault="00751BE2" w:rsidP="00A05409">
      <w:pPr>
        <w:pStyle w:val="CETListbullets"/>
        <w:ind w:left="0" w:firstLine="0"/>
        <w:rPr>
          <w:szCs w:val="18"/>
        </w:rPr>
      </w:pPr>
      <w:r w:rsidRPr="00751BE2">
        <w:rPr>
          <w:szCs w:val="18"/>
        </w:rPr>
        <w:t>Variations in</w:t>
      </w:r>
      <w:r>
        <w:rPr>
          <w:szCs w:val="18"/>
        </w:rPr>
        <w:t xml:space="preserve">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serv,in</m:t>
            </m:r>
          </m:sub>
        </m:sSub>
      </m:oMath>
      <w:r w:rsidRPr="004B5EBA">
        <w:t xml:space="preserve"> and </w:t>
      </w:r>
      <m:oMath>
        <m:sSub>
          <m:sSubPr>
            <m:ctrlPr>
              <w:rPr>
                <w:rFonts w:ascii="Cambria Math" w:hAnsi="Cambria Math"/>
                <w:i/>
                <w:szCs w:val="18"/>
              </w:rPr>
            </m:ctrlPr>
          </m:sSubPr>
          <m:e>
            <m:r>
              <w:rPr>
                <w:rFonts w:ascii="Cambria Math" w:hAnsi="Cambria Math"/>
                <w:szCs w:val="18"/>
              </w:rPr>
              <m:t>m</m:t>
            </m:r>
          </m:e>
          <m:sub>
            <m:r>
              <w:rPr>
                <w:rFonts w:ascii="Cambria Math" w:hAnsi="Cambria Math"/>
                <w:szCs w:val="18"/>
              </w:rPr>
              <m:t>in</m:t>
            </m:r>
          </m:sub>
        </m:sSub>
      </m:oMath>
      <w:r>
        <w:rPr>
          <w:szCs w:val="18"/>
        </w:rPr>
        <w:t xml:space="preserve"> </w:t>
      </w:r>
      <w:r w:rsidR="00AF55CD" w:rsidRPr="00AF55CD">
        <w:rPr>
          <w:szCs w:val="18"/>
        </w:rPr>
        <w:t>are therefore representative of several realistic failure scenarios. In particular, a decrease in</w:t>
      </w:r>
      <w:r w:rsidR="00AF55CD">
        <w:rPr>
          <w:szCs w:val="18"/>
        </w:rPr>
        <w:t xml:space="preserve"> </w:t>
      </w: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m</m:t>
                </m:r>
              </m:e>
            </m:acc>
          </m:e>
          <m:sub>
            <m:r>
              <w:rPr>
                <w:rFonts w:ascii="Cambria Math" w:hAnsi="Cambria Math"/>
                <w:szCs w:val="18"/>
              </w:rPr>
              <m:t>serv,in</m:t>
            </m:r>
          </m:sub>
        </m:sSub>
      </m:oMath>
      <w:r w:rsidR="00AF55CD">
        <w:rPr>
          <w:szCs w:val="18"/>
        </w:rPr>
        <w:t xml:space="preserve"> </w:t>
      </w:r>
      <w:r w:rsidR="00AF55CD" w:rsidRPr="00AF55CD">
        <w:rPr>
          <w:szCs w:val="18"/>
        </w:rPr>
        <w:t>has effects analogous to a reduction in the overall heat-transfer coefficient</w:t>
      </w:r>
      <w:r w:rsidR="00670AB9">
        <w:rPr>
          <w:szCs w:val="18"/>
        </w:rPr>
        <w:t xml:space="preserve"> </w:t>
      </w:r>
      <m:oMath>
        <m:r>
          <w:rPr>
            <w:rFonts w:ascii="Cambria Math" w:hAnsi="Cambria Math"/>
            <w:szCs w:val="18"/>
          </w:rPr>
          <m:t>U</m:t>
        </m:r>
      </m:oMath>
      <w:r w:rsidR="00FA6FE7" w:rsidRPr="00FA6FE7">
        <w:rPr>
          <w:szCs w:val="18"/>
        </w:rPr>
        <w:t>. Conversely, conditions that reduce reaction rates—such as catalyst ageing or lower inlet temperatures—decrease heat generation and enhance thermal safety, albeit at the expense of reactor performance</w:t>
      </w:r>
      <w:r w:rsidR="00FA6FE7">
        <w:rPr>
          <w:szCs w:val="18"/>
        </w:rPr>
        <w:t xml:space="preserve">. </w:t>
      </w:r>
    </w:p>
    <w:p w14:paraId="281EE8D3" w14:textId="130EDE07" w:rsidR="000F4E0B" w:rsidRDefault="00DA3446" w:rsidP="00A05409">
      <w:pPr>
        <w:pStyle w:val="CETListbullets"/>
        <w:ind w:left="0" w:firstLine="0"/>
      </w:pPr>
      <w:r w:rsidRPr="00DA3446">
        <w:rPr>
          <w:szCs w:val="18"/>
        </w:rPr>
        <w:t>The continuation diagrams in Figure 2 clearly capture these effects</w:t>
      </w:r>
      <w:r w:rsidR="00503848">
        <w:rPr>
          <w:szCs w:val="18"/>
        </w:rPr>
        <w:t xml:space="preserve">. </w:t>
      </w:r>
      <w:r w:rsidR="00503848">
        <w:t xml:space="preserve">The </w:t>
      </w:r>
      <m:oMath>
        <m:r>
          <w:rPr>
            <w:rFonts w:ascii="Cambria Math" w:hAnsi="Cambria Math"/>
          </w:rPr>
          <m:t>∆T</m:t>
        </m:r>
      </m:oMath>
      <w:r w:rsidR="00503848">
        <w:t xml:space="preserve"> </w:t>
      </w:r>
      <w:r w:rsidR="00AA6E1C" w:rsidRPr="00AA6E1C">
        <w:t>trends show that below a critical cooling-flow threshold the maximum temperature increases sharply, indicating a transition toward runaway conditions. Notably, the divergence indicator</w:t>
      </w:r>
      <w:r w:rsidR="00AA6E1C">
        <w:t xml:space="preserve"> </w:t>
      </w:r>
      <m:oMath>
        <m:sSub>
          <m:sSubPr>
            <m:ctrlPr>
              <w:rPr>
                <w:rFonts w:ascii="Cambria Math" w:hAnsi="Cambria Math"/>
                <w:i/>
              </w:rPr>
            </m:ctrlPr>
          </m:sSubPr>
          <m:e>
            <m:r>
              <w:rPr>
                <w:rFonts w:ascii="Cambria Math" w:hAnsi="Cambria Math"/>
              </w:rPr>
              <m:t>div</m:t>
            </m:r>
          </m:e>
          <m:sub>
            <m:r>
              <w:rPr>
                <w:rFonts w:ascii="Cambria Math" w:hAnsi="Cambria Math"/>
              </w:rPr>
              <m:t>max</m:t>
            </m:r>
          </m:sub>
        </m:sSub>
      </m:oMath>
      <w:r w:rsidR="00AA6E1C">
        <w:t xml:space="preserve"> </w:t>
      </w:r>
      <w:r w:rsidR="00A76204">
        <w:t xml:space="preserve">(Figure 2, right) </w:t>
      </w:r>
      <w:r w:rsidR="00A76204" w:rsidRPr="00A76204">
        <w:t>signals the onset of instability earlier than the temperature-based criterion</w:t>
      </w:r>
      <w:r w:rsidR="00A76204">
        <w:t xml:space="preserve">. </w:t>
      </w:r>
      <w:r w:rsidR="00A76204" w:rsidRPr="00A76204">
        <w:t>Three regimes can be identified: an intrinsically safe regime</w:t>
      </w:r>
      <w:r w:rsidR="00A76204">
        <w:t xml:space="preserve"> (</w:t>
      </w:r>
      <m:oMath>
        <m:sSub>
          <m:sSubPr>
            <m:ctrlPr>
              <w:rPr>
                <w:rFonts w:ascii="Cambria Math" w:hAnsi="Cambria Math"/>
                <w:i/>
              </w:rPr>
            </m:ctrlPr>
          </m:sSubPr>
          <m:e>
            <m:r>
              <w:rPr>
                <w:rFonts w:ascii="Cambria Math" w:hAnsi="Cambria Math"/>
              </w:rPr>
              <m:t>div</m:t>
            </m:r>
          </m:e>
          <m:sub>
            <m:r>
              <w:rPr>
                <w:rFonts w:ascii="Cambria Math" w:hAnsi="Cambria Math"/>
              </w:rPr>
              <m:t>max</m:t>
            </m:r>
          </m:sub>
        </m:sSub>
        <m:r>
          <w:rPr>
            <w:rFonts w:ascii="Cambria Math" w:hAnsi="Cambria Math"/>
          </w:rPr>
          <m:t>&lt;0</m:t>
        </m:r>
      </m:oMath>
      <w:r w:rsidR="00A76204">
        <w:t>)</w:t>
      </w:r>
      <w:r w:rsidR="00462627">
        <w:t xml:space="preserve"> where perturbations are damped; a mild runaway regime (</w:t>
      </w:r>
      <m:oMath>
        <m:r>
          <w:rPr>
            <w:rFonts w:ascii="Cambria Math" w:hAnsi="Cambria Math"/>
          </w:rPr>
          <m:t>0&lt;</m:t>
        </m:r>
        <m:sSub>
          <m:sSubPr>
            <m:ctrlPr>
              <w:rPr>
                <w:rFonts w:ascii="Cambria Math" w:hAnsi="Cambria Math"/>
                <w:i/>
              </w:rPr>
            </m:ctrlPr>
          </m:sSubPr>
          <m:e>
            <m:r>
              <w:rPr>
                <w:rFonts w:ascii="Cambria Math" w:hAnsi="Cambria Math"/>
              </w:rPr>
              <m:t>div</m:t>
            </m:r>
          </m:e>
          <m:sub>
            <m:r>
              <w:rPr>
                <w:rFonts w:ascii="Cambria Math" w:hAnsi="Cambria Math"/>
              </w:rPr>
              <m:t>max</m:t>
            </m:r>
          </m:sub>
        </m:sSub>
        <m:r>
          <w:rPr>
            <w:rFonts w:ascii="Cambria Math" w:hAnsi="Cambria Math"/>
          </w:rPr>
          <m:t>&lt;</m:t>
        </m:r>
        <m:sSub>
          <m:sSubPr>
            <m:ctrlPr>
              <w:rPr>
                <w:rFonts w:ascii="Cambria Math" w:hAnsi="Cambria Math"/>
                <w:i/>
              </w:rPr>
            </m:ctrlPr>
          </m:sSubPr>
          <m:e>
            <m:r>
              <w:rPr>
                <w:rFonts w:ascii="Cambria Math" w:hAnsi="Cambria Math"/>
              </w:rPr>
              <m:t>div</m:t>
            </m:r>
          </m:e>
          <m:sub>
            <m:r>
              <w:rPr>
                <w:rFonts w:ascii="Cambria Math" w:hAnsi="Cambria Math"/>
              </w:rPr>
              <m:t>max,crit</m:t>
            </m:r>
          </m:sub>
        </m:sSub>
      </m:oMath>
      <w:r w:rsidR="00462627">
        <w:t>)</w:t>
      </w:r>
      <w:r w:rsidR="00DF2C1B">
        <w:t xml:space="preserve">, </w:t>
      </w:r>
      <w:r w:rsidR="00DF2C1B" w:rsidRPr="00DF2C1B">
        <w:t>characterised by positive but bounded divergence; and a severe runaway regime</w:t>
      </w:r>
      <w:r w:rsidR="00DF2C1B">
        <w:t xml:space="preserve"> (</w:t>
      </w:r>
      <m:oMath>
        <m:sSub>
          <m:sSubPr>
            <m:ctrlPr>
              <w:rPr>
                <w:rFonts w:ascii="Cambria Math" w:hAnsi="Cambria Math"/>
                <w:i/>
              </w:rPr>
            </m:ctrlPr>
          </m:sSubPr>
          <m:e>
            <m:r>
              <w:rPr>
                <w:rFonts w:ascii="Cambria Math" w:hAnsi="Cambria Math"/>
              </w:rPr>
              <m:t>div</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div</m:t>
            </m:r>
          </m:e>
          <m:sub>
            <m:r>
              <w:rPr>
                <w:rFonts w:ascii="Cambria Math" w:hAnsi="Cambria Math"/>
              </w:rPr>
              <m:t>max,crit</m:t>
            </m:r>
          </m:sub>
        </m:sSub>
      </m:oMath>
      <w:r w:rsidR="00DF2C1B">
        <w:t>)</w:t>
      </w:r>
      <w:r w:rsidR="00145A10">
        <w:t xml:space="preserve">, </w:t>
      </w:r>
      <w:r w:rsidR="00145A10" w:rsidRPr="00145A10">
        <w:t>where both temperature and divergence grow rapidly</w:t>
      </w:r>
      <w:r w:rsidR="00145A10">
        <w:t xml:space="preserve">. </w:t>
      </w:r>
      <w:r w:rsidR="00260829" w:rsidRPr="00260829">
        <w:t>The threshold</w:t>
      </w:r>
      <w:r w:rsidR="00260829">
        <w:t xml:space="preserve"> </w:t>
      </w:r>
      <m:oMath>
        <m:sSub>
          <m:sSubPr>
            <m:ctrlPr>
              <w:rPr>
                <w:rFonts w:ascii="Cambria Math" w:hAnsi="Cambria Math"/>
                <w:i/>
              </w:rPr>
            </m:ctrlPr>
          </m:sSubPr>
          <m:e>
            <m:r>
              <w:rPr>
                <w:rFonts w:ascii="Cambria Math" w:hAnsi="Cambria Math"/>
              </w:rPr>
              <m:t>div</m:t>
            </m:r>
          </m:e>
          <m:sub>
            <m:r>
              <w:rPr>
                <w:rFonts w:ascii="Cambria Math" w:hAnsi="Cambria Math"/>
              </w:rPr>
              <m:t>max,crit</m:t>
            </m:r>
          </m:sub>
        </m:sSub>
      </m:oMath>
      <w:r w:rsidR="00260829">
        <w:t xml:space="preserve"> </w:t>
      </w:r>
      <w:r w:rsidR="000F4E0B" w:rsidRPr="000F4E0B">
        <w:t>is defined as the value at which</w:t>
      </w:r>
      <w:r w:rsidR="000F4E0B">
        <w:t xml:space="preserve"> </w:t>
      </w:r>
      <m:oMath>
        <m:r>
          <w:rPr>
            <w:rFonts w:ascii="Cambria Math" w:hAnsi="Cambria Math"/>
          </w:rPr>
          <m:t>∆T</m:t>
        </m:r>
      </m:oMath>
      <w:r w:rsidR="000F4E0B">
        <w:t xml:space="preserve"> </w:t>
      </w:r>
      <w:r w:rsidR="000F4E0B" w:rsidRPr="000F4E0B">
        <w:t>exhibits a sharp increase</w:t>
      </w:r>
      <w:r w:rsidR="000F4E0B">
        <w:t>.</w:t>
      </w:r>
    </w:p>
    <w:p w14:paraId="115F7FEE" w14:textId="0EECFE91" w:rsidR="00DA3446" w:rsidRPr="004B5EBA" w:rsidRDefault="000F4E0B" w:rsidP="00A05409">
      <w:pPr>
        <w:pStyle w:val="CETListbullets"/>
        <w:ind w:left="0" w:firstLine="0"/>
        <w:rPr>
          <w:szCs w:val="18"/>
        </w:rPr>
      </w:pPr>
      <w:r w:rsidRPr="000F4E0B">
        <w:t>Overall, these results confirm that the divergence-based criterion provides a conservative and early indicator of runaway onset in tubular reactors, extending the applicability of the modified S&amp;Z approach beyond batch systems. In this sense</w:t>
      </w:r>
      <w:r>
        <w:t xml:space="preserve">, </w:t>
      </w:r>
      <m:oMath>
        <m:sSub>
          <m:sSubPr>
            <m:ctrlPr>
              <w:rPr>
                <w:rFonts w:ascii="Cambria Math" w:hAnsi="Cambria Math"/>
                <w:i/>
              </w:rPr>
            </m:ctrlPr>
          </m:sSubPr>
          <m:e>
            <m:r>
              <w:rPr>
                <w:rFonts w:ascii="Cambria Math" w:hAnsi="Cambria Math"/>
              </w:rPr>
              <m:t>div</m:t>
            </m:r>
          </m:e>
          <m:sub>
            <m:r>
              <w:rPr>
                <w:rFonts w:ascii="Cambria Math" w:hAnsi="Cambria Math"/>
              </w:rPr>
              <m:t>max</m:t>
            </m:r>
          </m:sub>
        </m:sSub>
      </m:oMath>
      <w:r w:rsidR="00C14D9A">
        <w:t xml:space="preserve"> </w:t>
      </w:r>
      <w:r w:rsidR="00C14D9A" w:rsidRPr="00C14D9A">
        <w:t>naturally lends itself to use as a safety-supervision metric within model-based control frameworks, where early detection of hazardous operating transitions is essential</w:t>
      </w:r>
      <w:r w:rsidR="00C14D9A">
        <w:t xml:space="preserve">. </w:t>
      </w:r>
    </w:p>
    <w:p w14:paraId="68D26B83" w14:textId="77777777" w:rsidR="00600535" w:rsidRPr="004B5EBA" w:rsidRDefault="00600535" w:rsidP="00600535">
      <w:pPr>
        <w:pStyle w:val="CETHeading1"/>
        <w:rPr>
          <w:lang w:val="en-GB"/>
        </w:rPr>
      </w:pPr>
      <w:r w:rsidRPr="004B5EBA">
        <w:rPr>
          <w:lang w:val="en-GB"/>
        </w:rPr>
        <w:t>Conclusions</w:t>
      </w:r>
    </w:p>
    <w:p w14:paraId="5D891C44" w14:textId="77777777" w:rsidR="007C2093" w:rsidRPr="007C2093" w:rsidRDefault="007C2093" w:rsidP="007C2093">
      <w:pPr>
        <w:pStyle w:val="CETBodytext"/>
        <w:rPr>
          <w:lang w:val="en-GB"/>
        </w:rPr>
      </w:pPr>
      <w:r w:rsidRPr="007C2093">
        <w:rPr>
          <w:lang w:val="en-GB"/>
        </w:rPr>
        <w:t>This work proposed a spatial reformulation of the Strozzi–Zaldívar intrinsic thermal stability criterion for plug flow reactors, addressing a class of systems for which the application of divergence-based runaway indicators has so far been only marginally explored. By exploiting the batch–PFR analogy, the method enables pointwise stability assessment along the reactor axis in distributed reactor models, without requiring analytical derivatives or full nonlinear bifurcation analysis.</w:t>
      </w:r>
    </w:p>
    <w:p w14:paraId="6F714015" w14:textId="77777777" w:rsidR="007C2093" w:rsidRPr="00395FB3" w:rsidRDefault="007C2093" w:rsidP="007C2093">
      <w:pPr>
        <w:pStyle w:val="CETBodytext"/>
        <w:rPr>
          <w:lang w:val="en-GB"/>
        </w:rPr>
      </w:pPr>
      <w:r w:rsidRPr="007C2093">
        <w:rPr>
          <w:lang w:val="en-GB"/>
        </w:rPr>
        <w:t>The CO</w:t>
      </w:r>
      <w:r w:rsidRPr="007C2093">
        <w:rPr>
          <w:rFonts w:ascii="Cambria Math" w:hAnsi="Cambria Math" w:cs="Cambria Math"/>
          <w:lang w:val="en-GB"/>
        </w:rPr>
        <w:t>₂</w:t>
      </w:r>
      <w:r w:rsidRPr="007C2093">
        <w:rPr>
          <w:lang w:val="en-GB"/>
        </w:rPr>
        <w:t xml:space="preserve"> methanation case study demonstrated that the proposed multitubular fixed-bed configuration operates under safe </w:t>
      </w:r>
      <w:r w:rsidRPr="00395FB3">
        <w:rPr>
          <w:lang w:val="en-GB"/>
        </w:rPr>
        <w:t>thermal conditions at nominal operation, while the continuation analysis showed that the divergence indicator conservatively anticipates the onset of runaway and discriminates between stable, mildly unstable, and severe runaway regimes. These results highlight the suitability of the divergence-based criterion as a computationally efficient early-warning indicator for thermally critical operating transitions in tubular reactors.</w:t>
      </w:r>
    </w:p>
    <w:p w14:paraId="6E39CE15" w14:textId="0E29C25F" w:rsidR="00666CEA" w:rsidRPr="00395FB3" w:rsidRDefault="007C2093" w:rsidP="001F1C63">
      <w:pPr>
        <w:pStyle w:val="CETBodytext"/>
        <w:rPr>
          <w:lang w:val="en-GB"/>
        </w:rPr>
      </w:pPr>
      <w:r w:rsidRPr="00395FB3">
        <w:rPr>
          <w:lang w:val="en-GB"/>
        </w:rPr>
        <w:t>Overall, the study confirms that intrinsic thermal stability concepts originally developed for lumped systems can be successfully extended to spatially evolving catalytic PFRs. The proposed divergence indicator is lightweight, mechanistically consistent, and compatible with model order reduction, making it a promising building block for future real-time safety supervision and control-oriented reactor representations</w:t>
      </w:r>
      <w:r w:rsidR="00EC77A0" w:rsidRPr="00395FB3">
        <w:rPr>
          <w:lang w:val="en-GB"/>
        </w:rPr>
        <w:t>.</w:t>
      </w:r>
      <w:r w:rsidR="00C33ED1" w:rsidRPr="00395FB3">
        <w:rPr>
          <w:lang w:val="en-GB"/>
        </w:rPr>
        <w:t xml:space="preserve"> </w:t>
      </w:r>
      <w:r w:rsidR="00800E01" w:rsidRPr="00395FB3">
        <w:rPr>
          <w:lang w:val="en-GB"/>
        </w:rPr>
        <w:t>Although the proposed divergence-based criterion provides a computationally efficient early-warning indicator, the severe-runaway threshold</w:t>
      </w:r>
      <w:r w:rsidR="001F1C63" w:rsidRPr="00395FB3">
        <w:rPr>
          <w:lang w:val="en-GB"/>
        </w:rPr>
        <w:t xml:space="preserve"> </w:t>
      </w:r>
      <m:oMath>
        <m:sSub>
          <m:sSubPr>
            <m:ctrlPr>
              <w:rPr>
                <w:rFonts w:ascii="Cambria Math" w:hAnsi="Cambria Math"/>
                <w:i/>
              </w:rPr>
            </m:ctrlPr>
          </m:sSubPr>
          <m:e>
            <m:r>
              <w:rPr>
                <w:rFonts w:ascii="Cambria Math" w:hAnsi="Cambria Math"/>
              </w:rPr>
              <m:t>div</m:t>
            </m:r>
          </m:e>
          <m:sub>
            <m:r>
              <w:rPr>
                <w:rFonts w:ascii="Cambria Math" w:hAnsi="Cambria Math"/>
              </w:rPr>
              <m:t>max,crit</m:t>
            </m:r>
          </m:sub>
        </m:sSub>
      </m:oMath>
      <w:r w:rsidR="001F1C63" w:rsidRPr="00395FB3">
        <w:rPr>
          <w:lang w:val="en-GB"/>
        </w:rPr>
        <w:tab/>
        <w:t xml:space="preserve">, </w:t>
      </w:r>
      <w:r w:rsidR="00666CEA" w:rsidRPr="00395FB3">
        <w:rPr>
          <w:lang w:val="en-GB"/>
        </w:rPr>
        <w:t xml:space="preserve">is model- and system-dependent (state selection, scaling, and operating conditions), whereas mild runaway onset is identified by the absolute condition </w:t>
      </w:r>
      <m:oMath>
        <m:sSub>
          <m:sSubPr>
            <m:ctrlPr>
              <w:rPr>
                <w:rFonts w:ascii="Cambria Math" w:hAnsi="Cambria Math"/>
                <w:i/>
              </w:rPr>
            </m:ctrlPr>
          </m:sSubPr>
          <m:e>
            <m:r>
              <w:rPr>
                <w:rFonts w:ascii="Cambria Math" w:hAnsi="Cambria Math"/>
              </w:rPr>
              <m:t>div</m:t>
            </m:r>
          </m:e>
          <m:sub>
            <m:r>
              <w:rPr>
                <w:rFonts w:ascii="Cambria Math" w:hAnsi="Cambria Math"/>
              </w:rPr>
              <m:t>max</m:t>
            </m:r>
          </m:sub>
        </m:sSub>
        <m:r>
          <w:rPr>
            <w:rFonts w:ascii="Cambria Math" w:hAnsi="Cambria Math"/>
          </w:rPr>
          <m:t>&gt;0</m:t>
        </m:r>
      </m:oMath>
      <w:r w:rsidR="00666CEA" w:rsidRPr="00395FB3">
        <w:rPr>
          <w:lang w:val="en-GB"/>
        </w:rPr>
        <w:t xml:space="preserve">. </w:t>
      </w:r>
      <w:r w:rsidR="00395FB3" w:rsidRPr="00395FB3">
        <w:rPr>
          <w:lang w:val="en-GB"/>
        </w:rPr>
        <w:t>Therefore, the criterion is not intended to replace thermal design or comprehensive safety analyses, but to complement them as a predictive supervision metric supporting timely preventive actions rather than absolute stability guarantees.</w:t>
      </w:r>
    </w:p>
    <w:p w14:paraId="07A6D20F" w14:textId="0ECF229E" w:rsidR="00280FAF" w:rsidRPr="004B5EBA" w:rsidRDefault="00280FAF" w:rsidP="00280FAF">
      <w:pPr>
        <w:pStyle w:val="CETHeadingxx"/>
        <w:rPr>
          <w:lang w:val="en-GB"/>
        </w:rPr>
        <w:sectPr w:rsidR="00280FAF" w:rsidRPr="004B5EBA" w:rsidSect="008314D7">
          <w:type w:val="continuous"/>
          <w:pgSz w:w="11906" w:h="16838" w:code="9"/>
          <w:pgMar w:top="1701" w:right="1418" w:bottom="1701" w:left="1701" w:header="1701" w:footer="0" w:gutter="0"/>
          <w:cols w:space="708"/>
          <w:formProt w:val="0"/>
          <w:titlePg/>
          <w:docGrid w:linePitch="360"/>
        </w:sectPr>
      </w:pPr>
      <w:r w:rsidRPr="004B5EBA">
        <w:rPr>
          <w:lang w:val="en-GB"/>
        </w:rPr>
        <w:t>Nomenclature</w:t>
      </w:r>
    </w:p>
    <w:p w14:paraId="25D52BD8" w14:textId="1152D536"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n</m:t>
                </m:r>
              </m:e>
            </m:acc>
          </m:e>
          <m:sub>
            <m:r>
              <w:rPr>
                <w:rFonts w:ascii="Cambria Math" w:hAnsi="Cambria Math"/>
                <w:szCs w:val="18"/>
                <w:lang w:val="en-GB"/>
              </w:rPr>
              <m:t>i</m:t>
            </m:r>
          </m:sub>
        </m:sSub>
      </m:oMath>
      <w:r w:rsidR="00280FAF" w:rsidRPr="004B5EBA">
        <w:rPr>
          <w:rFonts w:eastAsia="SimSun"/>
          <w:lang w:val="en-GB"/>
        </w:rPr>
        <w:t xml:space="preserve"> – </w:t>
      </w:r>
      <w:r w:rsidR="00DF7E38" w:rsidRPr="004B5EBA">
        <w:rPr>
          <w:rFonts w:eastAsia="SimSun"/>
          <w:lang w:val="en-GB"/>
        </w:rPr>
        <w:t>i-th molar flow rate</w:t>
      </w:r>
      <w:r w:rsidR="00280FAF" w:rsidRPr="004B5EBA">
        <w:rPr>
          <w:rFonts w:eastAsia="SimSun"/>
          <w:lang w:val="en-GB"/>
        </w:rPr>
        <w:t xml:space="preserve">, </w:t>
      </w:r>
      <w:r w:rsidR="00E4592C" w:rsidRPr="004B5EBA">
        <w:rPr>
          <w:rFonts w:cs="Arial"/>
          <w:szCs w:val="18"/>
          <w:lang w:val="en-GB"/>
        </w:rPr>
        <w:t>mol s</w:t>
      </w:r>
      <w:r w:rsidR="00E4592C" w:rsidRPr="004B5EBA">
        <w:rPr>
          <w:rFonts w:cs="Arial"/>
          <w:szCs w:val="18"/>
          <w:vertAlign w:val="superscript"/>
          <w:lang w:val="en-GB"/>
        </w:rPr>
        <w:t>-1</w:t>
      </w:r>
    </w:p>
    <w:p w14:paraId="57590CE2" w14:textId="19D01151" w:rsidR="00280FAF" w:rsidRPr="004B5EBA" w:rsidRDefault="00DF7E38" w:rsidP="00280FAF">
      <w:pPr>
        <w:pStyle w:val="CETBodytext"/>
        <w:jc w:val="left"/>
        <w:rPr>
          <w:rFonts w:eastAsia="SimSun"/>
          <w:lang w:val="en-GB"/>
        </w:rPr>
      </w:pPr>
      <m:oMath>
        <m:r>
          <w:rPr>
            <w:rFonts w:ascii="Cambria Math" w:hAnsi="Cambria Math"/>
            <w:szCs w:val="18"/>
            <w:lang w:val="en-GB"/>
          </w:rPr>
          <m:t>z</m:t>
        </m:r>
      </m:oMath>
      <w:r w:rsidR="00280FAF" w:rsidRPr="004B5EBA">
        <w:rPr>
          <w:rFonts w:eastAsia="SimSun"/>
          <w:lang w:val="en-GB"/>
        </w:rPr>
        <w:t xml:space="preserve"> – </w:t>
      </w:r>
      <w:r w:rsidRPr="004B5EBA">
        <w:rPr>
          <w:rFonts w:eastAsia="SimSun"/>
          <w:lang w:val="en-GB"/>
        </w:rPr>
        <w:t>axial position</w:t>
      </w:r>
      <w:r w:rsidR="00280FAF" w:rsidRPr="004B5EBA">
        <w:rPr>
          <w:rFonts w:eastAsia="SimSun"/>
          <w:lang w:val="en-GB"/>
        </w:rPr>
        <w:t>,</w:t>
      </w:r>
      <w:r w:rsidRPr="004B5EBA">
        <w:rPr>
          <w:rFonts w:eastAsia="SimSun"/>
          <w:lang w:val="en-GB"/>
        </w:rPr>
        <w:t xml:space="preserve"> m</w:t>
      </w:r>
    </w:p>
    <w:p w14:paraId="0E502614" w14:textId="5770AB6F"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ν</m:t>
            </m:r>
          </m:e>
          <m:sub>
            <m:r>
              <w:rPr>
                <w:rFonts w:ascii="Cambria Math" w:hAnsi="Cambria Math"/>
                <w:szCs w:val="18"/>
                <w:lang w:val="en-GB"/>
              </w:rPr>
              <m:t>i,r</m:t>
            </m:r>
          </m:sub>
        </m:sSub>
      </m:oMath>
      <w:r w:rsidR="00280FAF" w:rsidRPr="004B5EBA">
        <w:rPr>
          <w:rFonts w:eastAsia="SimSun"/>
          <w:lang w:val="en-GB"/>
        </w:rPr>
        <w:t xml:space="preserve"> – </w:t>
      </w:r>
      <w:r w:rsidR="00DF7E38" w:rsidRPr="004B5EBA">
        <w:rPr>
          <w:rFonts w:eastAsia="SimSun"/>
          <w:lang w:val="en-GB"/>
        </w:rPr>
        <w:t>i-th stoichiometric coefficient in the r-th reaction, -</w:t>
      </w:r>
    </w:p>
    <w:p w14:paraId="33D176ED" w14:textId="70E682C9"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ρ</m:t>
            </m:r>
          </m:e>
          <m:sub>
            <m:r>
              <w:rPr>
                <w:rFonts w:ascii="Cambria Math" w:hAnsi="Cambria Math"/>
                <w:szCs w:val="18"/>
                <w:lang w:val="en-GB"/>
              </w:rPr>
              <m:t>b</m:t>
            </m:r>
          </m:sub>
        </m:sSub>
      </m:oMath>
      <w:r w:rsidR="00280FAF" w:rsidRPr="004B5EBA">
        <w:rPr>
          <w:rFonts w:eastAsia="SimSun"/>
          <w:lang w:val="en-GB"/>
        </w:rPr>
        <w:t xml:space="preserve"> – </w:t>
      </w:r>
      <w:r w:rsidR="00DF7E38" w:rsidRPr="004B5EBA">
        <w:rPr>
          <w:rFonts w:eastAsia="SimSun"/>
          <w:lang w:val="en-GB"/>
        </w:rPr>
        <w:t>bulk density</w:t>
      </w:r>
      <w:r w:rsidR="00280FAF" w:rsidRPr="004B5EBA">
        <w:rPr>
          <w:rFonts w:eastAsia="SimSun"/>
          <w:lang w:val="en-GB"/>
        </w:rPr>
        <w:t xml:space="preserve">, </w:t>
      </w:r>
      <w:r w:rsidR="00DF7E38" w:rsidRPr="004B5EBA">
        <w:rPr>
          <w:rFonts w:eastAsia="SimSun"/>
          <w:lang w:val="en-GB"/>
        </w:rPr>
        <w:t xml:space="preserve">kg </w:t>
      </w:r>
      <w:r w:rsidR="00280FAF" w:rsidRPr="004B5EBA">
        <w:rPr>
          <w:rFonts w:eastAsia="SimSun"/>
          <w:lang w:val="en-GB"/>
        </w:rPr>
        <w:t>m</w:t>
      </w:r>
      <w:r w:rsidR="00DF7E38" w:rsidRPr="004B5EBA">
        <w:rPr>
          <w:rFonts w:eastAsia="SimSun"/>
          <w:vertAlign w:val="superscript"/>
          <w:lang w:val="en-GB"/>
        </w:rPr>
        <w:t>-3</w:t>
      </w:r>
    </w:p>
    <w:p w14:paraId="05CC3BA4" w14:textId="76B975D9"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acc>
              <m:accPr>
                <m:ctrlPr>
                  <w:rPr>
                    <w:rFonts w:ascii="Cambria Math" w:hAnsi="Cambria Math"/>
                    <w:i/>
                    <w:szCs w:val="18"/>
                    <w:lang w:val="en-GB"/>
                  </w:rPr>
                </m:ctrlPr>
              </m:accPr>
              <m:e>
                <m:r>
                  <m:rPr>
                    <m:scr m:val="script"/>
                  </m:rPr>
                  <w:rPr>
                    <w:rFonts w:ascii="Cambria Math" w:hAnsi="Cambria Math"/>
                    <w:szCs w:val="18"/>
                    <w:lang w:val="en-GB"/>
                  </w:rPr>
                  <m:t>R</m:t>
                </m:r>
              </m:e>
            </m:acc>
          </m:e>
          <m:sub>
            <m:r>
              <w:rPr>
                <w:rFonts w:ascii="Cambria Math" w:hAnsi="Cambria Math"/>
                <w:szCs w:val="18"/>
                <w:lang w:val="en-GB"/>
              </w:rPr>
              <m:t>r</m:t>
            </m:r>
          </m:sub>
        </m:sSub>
      </m:oMath>
      <w:r w:rsidR="00280FAF" w:rsidRPr="004B5EBA">
        <w:rPr>
          <w:rFonts w:eastAsia="SimSun"/>
          <w:lang w:val="en-GB"/>
        </w:rPr>
        <w:t xml:space="preserve"> – </w:t>
      </w:r>
      <w:r w:rsidR="00DF7E38" w:rsidRPr="004B5EBA">
        <w:rPr>
          <w:rFonts w:eastAsia="SimSun"/>
          <w:lang w:val="en-GB"/>
        </w:rPr>
        <w:t>r-th reaction rate</w:t>
      </w:r>
      <w:r w:rsidR="00280FAF" w:rsidRPr="004B5EBA">
        <w:rPr>
          <w:rFonts w:eastAsia="SimSun"/>
          <w:lang w:val="en-GB"/>
        </w:rPr>
        <w:t xml:space="preserve">, </w:t>
      </w:r>
      <w:r w:rsidR="00DF7E38" w:rsidRPr="004B5EBA">
        <w:rPr>
          <w:rFonts w:eastAsia="SimSun"/>
          <w:lang w:val="en-GB"/>
        </w:rPr>
        <w:t>mol s</w:t>
      </w:r>
      <w:r w:rsidR="00DF7E38" w:rsidRPr="004B5EBA">
        <w:rPr>
          <w:rFonts w:eastAsia="SimSun"/>
          <w:vertAlign w:val="superscript"/>
          <w:lang w:val="en-GB"/>
        </w:rPr>
        <w:t>-1</w:t>
      </w:r>
      <w:r w:rsidR="00DF7E38" w:rsidRPr="004B5EBA">
        <w:rPr>
          <w:rFonts w:eastAsia="SimSun"/>
          <w:lang w:val="en-GB"/>
        </w:rPr>
        <w:t xml:space="preserve"> kg</w:t>
      </w:r>
      <w:r w:rsidR="00DF7E38" w:rsidRPr="004B5EBA">
        <w:rPr>
          <w:rFonts w:eastAsia="SimSun"/>
          <w:vertAlign w:val="superscript"/>
          <w:lang w:val="en-GB"/>
        </w:rPr>
        <w:t>-1</w:t>
      </w:r>
    </w:p>
    <w:p w14:paraId="0718B861" w14:textId="382FAAEA"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A</m:t>
            </m:r>
          </m:e>
          <m:sub>
            <m:r>
              <w:rPr>
                <w:rFonts w:ascii="Cambria Math" w:hAnsi="Cambria Math"/>
                <w:szCs w:val="18"/>
                <w:lang w:val="en-GB"/>
              </w:rPr>
              <m:t>cs</m:t>
            </m:r>
          </m:sub>
        </m:sSub>
      </m:oMath>
      <w:r w:rsidR="00DF7E38" w:rsidRPr="004B5EBA">
        <w:rPr>
          <w:rFonts w:eastAsia="SimSun"/>
          <w:szCs w:val="18"/>
          <w:lang w:val="en-GB"/>
        </w:rPr>
        <w:t xml:space="preserve"> </w:t>
      </w:r>
      <w:r w:rsidR="00280FAF" w:rsidRPr="004B5EBA">
        <w:rPr>
          <w:rFonts w:eastAsia="SimSun"/>
          <w:lang w:val="en-GB"/>
        </w:rPr>
        <w:t xml:space="preserve">– </w:t>
      </w:r>
      <w:r w:rsidR="00DF7E38" w:rsidRPr="004B5EBA">
        <w:rPr>
          <w:rFonts w:eastAsia="SimSun"/>
          <w:lang w:val="en-GB"/>
        </w:rPr>
        <w:t>cross section</w:t>
      </w:r>
      <w:r w:rsidR="00280FAF" w:rsidRPr="004B5EBA">
        <w:rPr>
          <w:rFonts w:eastAsia="SimSun"/>
          <w:lang w:val="en-GB"/>
        </w:rPr>
        <w:t>, m</w:t>
      </w:r>
      <w:r w:rsidR="00DF7E38" w:rsidRPr="004B5EBA">
        <w:rPr>
          <w:rFonts w:eastAsia="SimSun"/>
          <w:vertAlign w:val="superscript"/>
          <w:lang w:val="en-GB"/>
        </w:rPr>
        <w:t>2</w:t>
      </w:r>
    </w:p>
    <w:p w14:paraId="5A6624BF" w14:textId="02004B7C"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C</m:t>
                </m:r>
              </m:e>
            </m:acc>
          </m:e>
          <m:sub>
            <m:r>
              <w:rPr>
                <w:rFonts w:ascii="Cambria Math" w:hAnsi="Cambria Math"/>
                <w:szCs w:val="18"/>
                <w:lang w:val="en-GB"/>
              </w:rPr>
              <m:t>pi</m:t>
            </m:r>
          </m:sub>
        </m:sSub>
      </m:oMath>
      <w:r w:rsidR="00280FAF" w:rsidRPr="004B5EBA">
        <w:rPr>
          <w:rFonts w:eastAsia="SimSun"/>
          <w:lang w:val="en-GB"/>
        </w:rPr>
        <w:t xml:space="preserve"> – </w:t>
      </w:r>
      <w:r w:rsidR="00DF7E38" w:rsidRPr="004B5EBA">
        <w:rPr>
          <w:rFonts w:eastAsia="SimSun"/>
          <w:lang w:val="en-GB"/>
        </w:rPr>
        <w:t>i-th molar heat capacity</w:t>
      </w:r>
      <w:r w:rsidR="00280FAF" w:rsidRPr="004B5EBA">
        <w:rPr>
          <w:rFonts w:eastAsia="SimSun"/>
          <w:lang w:val="en-GB"/>
        </w:rPr>
        <w:t xml:space="preserve">, </w:t>
      </w:r>
      <w:r w:rsidR="00DF7E38" w:rsidRPr="004B5EBA">
        <w:rPr>
          <w:rFonts w:eastAsia="SimSun"/>
          <w:lang w:val="en-GB"/>
        </w:rPr>
        <w:t>J mol</w:t>
      </w:r>
      <w:r w:rsidR="00DF7E38" w:rsidRPr="004B5EBA">
        <w:rPr>
          <w:rFonts w:eastAsia="SimSun"/>
          <w:vertAlign w:val="superscript"/>
          <w:lang w:val="en-GB"/>
        </w:rPr>
        <w:t>-1</w:t>
      </w:r>
      <w:r w:rsidR="00DF7E38" w:rsidRPr="004B5EBA">
        <w:rPr>
          <w:rFonts w:eastAsia="SimSun"/>
          <w:lang w:val="en-GB"/>
        </w:rPr>
        <w:t xml:space="preserve"> K</w:t>
      </w:r>
      <w:r w:rsidR="00DF7E38" w:rsidRPr="004B5EBA">
        <w:rPr>
          <w:rFonts w:eastAsia="SimSun"/>
          <w:vertAlign w:val="superscript"/>
          <w:lang w:val="en-GB"/>
        </w:rPr>
        <w:t>-1</w:t>
      </w:r>
    </w:p>
    <w:p w14:paraId="1B9CA67B" w14:textId="3FDC5960" w:rsidR="00280FAF" w:rsidRPr="004B5EBA" w:rsidRDefault="00DF7E38" w:rsidP="00280FAF">
      <w:pPr>
        <w:pStyle w:val="CETBodytext"/>
        <w:jc w:val="left"/>
        <w:rPr>
          <w:rFonts w:eastAsia="SimSun"/>
          <w:lang w:val="en-GB"/>
        </w:rPr>
      </w:pPr>
      <m:oMath>
        <m:r>
          <w:rPr>
            <w:rFonts w:ascii="Cambria Math" w:hAnsi="Cambria Math"/>
            <w:szCs w:val="18"/>
            <w:lang w:val="en-GB"/>
          </w:rPr>
          <m:t>∆</m:t>
        </m:r>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H</m:t>
                </m:r>
              </m:e>
            </m:acc>
          </m:e>
          <m:sub>
            <m:r>
              <w:rPr>
                <w:rFonts w:ascii="Cambria Math" w:hAnsi="Cambria Math"/>
                <w:szCs w:val="18"/>
                <w:lang w:val="en-GB"/>
              </w:rPr>
              <m:t>r</m:t>
            </m:r>
          </m:sub>
        </m:sSub>
      </m:oMath>
      <w:r w:rsidR="00280FAF" w:rsidRPr="004B5EBA">
        <w:rPr>
          <w:rFonts w:eastAsia="SimSun"/>
          <w:lang w:val="en-GB"/>
        </w:rPr>
        <w:t xml:space="preserve"> – </w:t>
      </w:r>
      <w:r w:rsidRPr="004B5EBA">
        <w:rPr>
          <w:rFonts w:eastAsia="SimSun"/>
          <w:lang w:val="en-GB"/>
        </w:rPr>
        <w:t>r-th reaction enthalpy</w:t>
      </w:r>
      <w:r w:rsidR="00280FAF" w:rsidRPr="004B5EBA">
        <w:rPr>
          <w:rFonts w:eastAsia="SimSun"/>
          <w:lang w:val="en-GB"/>
        </w:rPr>
        <w:t xml:space="preserve">, </w:t>
      </w:r>
      <w:r w:rsidRPr="004B5EBA">
        <w:rPr>
          <w:rFonts w:eastAsia="SimSun"/>
          <w:lang w:val="en-GB"/>
        </w:rPr>
        <w:t>J mol</w:t>
      </w:r>
      <w:r w:rsidRPr="004B5EBA">
        <w:rPr>
          <w:rFonts w:eastAsia="SimSun"/>
          <w:vertAlign w:val="superscript"/>
          <w:lang w:val="en-GB"/>
        </w:rPr>
        <w:t>-1</w:t>
      </w:r>
    </w:p>
    <w:p w14:paraId="63AB7028" w14:textId="3D8A1A42"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d</m:t>
            </m:r>
          </m:e>
          <m:sub>
            <m:r>
              <w:rPr>
                <w:rFonts w:ascii="Cambria Math" w:hAnsi="Cambria Math"/>
                <w:szCs w:val="18"/>
                <w:lang w:val="en-GB"/>
              </w:rPr>
              <m:t>int</m:t>
            </m:r>
          </m:sub>
        </m:sSub>
      </m:oMath>
      <w:r w:rsidR="00280FAF" w:rsidRPr="004B5EBA">
        <w:rPr>
          <w:rFonts w:eastAsia="SimSun"/>
          <w:lang w:val="en-GB"/>
        </w:rPr>
        <w:t xml:space="preserve"> – </w:t>
      </w:r>
      <w:r w:rsidR="00DF7E38" w:rsidRPr="004B5EBA">
        <w:rPr>
          <w:rFonts w:eastAsia="SimSun"/>
          <w:lang w:val="en-GB"/>
        </w:rPr>
        <w:t>internal tube’s diameter</w:t>
      </w:r>
      <w:r w:rsidR="00280FAF" w:rsidRPr="004B5EBA">
        <w:rPr>
          <w:rFonts w:eastAsia="SimSun"/>
          <w:lang w:val="en-GB"/>
        </w:rPr>
        <w:t xml:space="preserve">, </w:t>
      </w:r>
      <w:r w:rsidR="00DF7E38" w:rsidRPr="004B5EBA">
        <w:rPr>
          <w:rFonts w:eastAsia="SimSun"/>
          <w:lang w:val="en-GB"/>
        </w:rPr>
        <w:t>m</w:t>
      </w:r>
    </w:p>
    <w:p w14:paraId="42FAA691" w14:textId="0DCEC779" w:rsidR="00280FAF" w:rsidRPr="004B5EBA" w:rsidRDefault="00DF7E38" w:rsidP="00280FAF">
      <w:pPr>
        <w:pStyle w:val="CETBodytext"/>
        <w:jc w:val="left"/>
        <w:rPr>
          <w:rFonts w:eastAsia="SimSun"/>
          <w:lang w:val="en-GB"/>
        </w:rPr>
      </w:pPr>
      <m:oMath>
        <m:r>
          <w:rPr>
            <w:rFonts w:ascii="Cambria Math" w:hAnsi="Cambria Math"/>
            <w:szCs w:val="18"/>
            <w:lang w:val="en-GB"/>
          </w:rPr>
          <m:t>U</m:t>
        </m:r>
      </m:oMath>
      <w:r w:rsidR="00280FAF" w:rsidRPr="004B5EBA">
        <w:rPr>
          <w:rFonts w:eastAsia="SimSun"/>
          <w:lang w:val="en-GB"/>
        </w:rPr>
        <w:t xml:space="preserve"> – </w:t>
      </w:r>
      <w:r w:rsidRPr="004B5EBA">
        <w:rPr>
          <w:rFonts w:eastAsia="SimSun"/>
          <w:lang w:val="en-GB"/>
        </w:rPr>
        <w:t>overall heat transfer coefficient</w:t>
      </w:r>
      <w:r w:rsidR="00280FAF" w:rsidRPr="004B5EBA">
        <w:rPr>
          <w:rFonts w:eastAsia="SimSun"/>
          <w:lang w:val="en-GB"/>
        </w:rPr>
        <w:t xml:space="preserve">, </w:t>
      </w:r>
      <w:r w:rsidRPr="004B5EBA">
        <w:rPr>
          <w:rFonts w:eastAsia="SimSun"/>
          <w:lang w:val="en-GB"/>
        </w:rPr>
        <w:t>W m</w:t>
      </w:r>
      <w:r w:rsidRPr="004B5EBA">
        <w:rPr>
          <w:rFonts w:eastAsia="SimSun"/>
          <w:vertAlign w:val="superscript"/>
          <w:lang w:val="en-GB"/>
        </w:rPr>
        <w:t>-2</w:t>
      </w:r>
      <w:r w:rsidRPr="004B5EBA">
        <w:rPr>
          <w:rFonts w:eastAsia="SimSun"/>
          <w:lang w:val="en-GB"/>
        </w:rPr>
        <w:t xml:space="preserve"> K</w:t>
      </w:r>
      <w:r w:rsidRPr="004B5EBA">
        <w:rPr>
          <w:rFonts w:eastAsia="SimSun"/>
          <w:vertAlign w:val="superscript"/>
          <w:lang w:val="en-GB"/>
        </w:rPr>
        <w:t>-1</w:t>
      </w:r>
    </w:p>
    <w:p w14:paraId="24D4E211" w14:textId="211C8B49" w:rsidR="00280FAF" w:rsidRPr="004B5EBA" w:rsidRDefault="00DF7E38" w:rsidP="00280FAF">
      <w:pPr>
        <w:pStyle w:val="CETBodytext"/>
        <w:jc w:val="left"/>
        <w:rPr>
          <w:rFonts w:eastAsia="SimSun"/>
          <w:lang w:val="en-GB"/>
        </w:rPr>
      </w:pPr>
      <m:oMath>
        <m:r>
          <w:rPr>
            <w:rFonts w:ascii="Cambria Math" w:hAnsi="Cambria Math"/>
            <w:szCs w:val="18"/>
            <w:lang w:val="en-GB"/>
          </w:rPr>
          <m:t>T</m:t>
        </m:r>
      </m:oMath>
      <w:r w:rsidR="00280FAF" w:rsidRPr="004B5EBA">
        <w:rPr>
          <w:rFonts w:eastAsia="SimSun"/>
          <w:lang w:val="en-GB"/>
        </w:rPr>
        <w:t xml:space="preserve"> – </w:t>
      </w:r>
      <w:r w:rsidRPr="004B5EBA">
        <w:rPr>
          <w:rFonts w:eastAsia="SimSun"/>
          <w:lang w:val="en-GB"/>
        </w:rPr>
        <w:t>process side temperature</w:t>
      </w:r>
      <w:r w:rsidR="00280FAF" w:rsidRPr="004B5EBA">
        <w:rPr>
          <w:rFonts w:eastAsia="SimSun"/>
          <w:lang w:val="en-GB"/>
        </w:rPr>
        <w:t>, K</w:t>
      </w:r>
    </w:p>
    <w:p w14:paraId="15F17467" w14:textId="1538FE60"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T</m:t>
            </m:r>
          </m:e>
          <m:sub>
            <m:r>
              <w:rPr>
                <w:rFonts w:ascii="Cambria Math" w:hAnsi="Cambria Math"/>
                <w:szCs w:val="18"/>
                <w:lang w:val="en-GB"/>
              </w:rPr>
              <m:t>serv</m:t>
            </m:r>
          </m:sub>
        </m:sSub>
      </m:oMath>
      <w:r w:rsidR="00280FAF" w:rsidRPr="004B5EBA">
        <w:rPr>
          <w:rFonts w:eastAsia="SimSun"/>
          <w:lang w:val="en-GB"/>
        </w:rPr>
        <w:t xml:space="preserve"> – </w:t>
      </w:r>
      <w:r w:rsidR="00DF7E38" w:rsidRPr="004B5EBA">
        <w:rPr>
          <w:rFonts w:eastAsia="SimSun"/>
          <w:lang w:val="en-GB"/>
        </w:rPr>
        <w:t>service side temperature</w:t>
      </w:r>
      <w:r w:rsidR="00280FAF" w:rsidRPr="004B5EBA">
        <w:rPr>
          <w:rFonts w:eastAsia="SimSun"/>
          <w:lang w:val="en-GB"/>
        </w:rPr>
        <w:t xml:space="preserve">, </w:t>
      </w:r>
      <w:r w:rsidR="00DF7E38" w:rsidRPr="004B5EBA">
        <w:rPr>
          <w:rFonts w:eastAsia="SimSun"/>
          <w:lang w:val="en-GB"/>
        </w:rPr>
        <w:t>K</w:t>
      </w:r>
    </w:p>
    <w:p w14:paraId="6B0B5F2B" w14:textId="05FB1535"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m</m:t>
                </m:r>
              </m:e>
            </m:acc>
          </m:e>
          <m:sub>
            <m:r>
              <w:rPr>
                <w:rFonts w:ascii="Cambria Math" w:hAnsi="Cambria Math"/>
                <w:szCs w:val="18"/>
                <w:lang w:val="en-GB"/>
              </w:rPr>
              <m:t>serv</m:t>
            </m:r>
          </m:sub>
        </m:sSub>
      </m:oMath>
      <w:r w:rsidR="00280FAF" w:rsidRPr="004B5EBA">
        <w:rPr>
          <w:rFonts w:eastAsia="SimSun"/>
          <w:lang w:val="en-GB"/>
        </w:rPr>
        <w:t xml:space="preserve"> – </w:t>
      </w:r>
      <w:r w:rsidR="00DF7E38" w:rsidRPr="004B5EBA">
        <w:rPr>
          <w:rFonts w:eastAsia="SimSun"/>
          <w:lang w:val="en-GB"/>
        </w:rPr>
        <w:t>service side flow rate, kg s</w:t>
      </w:r>
      <w:r w:rsidR="00DF7E38" w:rsidRPr="004B5EBA">
        <w:rPr>
          <w:rFonts w:eastAsia="SimSun"/>
          <w:vertAlign w:val="superscript"/>
          <w:lang w:val="en-GB"/>
        </w:rPr>
        <w:t>-1</w:t>
      </w:r>
    </w:p>
    <w:p w14:paraId="2E4EE6F7" w14:textId="5CF39774"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acc>
              <m:accPr>
                <m:ctrlPr>
                  <w:rPr>
                    <w:rFonts w:ascii="Cambria Math" w:hAnsi="Cambria Math"/>
                    <w:i/>
                    <w:szCs w:val="18"/>
                    <w:lang w:val="en-GB"/>
                  </w:rPr>
                </m:ctrlPr>
              </m:accPr>
              <m:e>
                <m:r>
                  <w:rPr>
                    <w:rFonts w:ascii="Cambria Math" w:hAnsi="Cambria Math"/>
                    <w:szCs w:val="18"/>
                    <w:lang w:val="en-GB"/>
                  </w:rPr>
                  <m:t>C</m:t>
                </m:r>
              </m:e>
            </m:acc>
          </m:e>
          <m:sub>
            <m:r>
              <w:rPr>
                <w:rFonts w:ascii="Cambria Math" w:hAnsi="Cambria Math"/>
                <w:szCs w:val="18"/>
                <w:lang w:val="en-GB"/>
              </w:rPr>
              <m:t>p,serv</m:t>
            </m:r>
          </m:sub>
        </m:sSub>
      </m:oMath>
      <w:r w:rsidR="00280FAF" w:rsidRPr="004B5EBA">
        <w:rPr>
          <w:rFonts w:eastAsia="SimSun"/>
          <w:lang w:val="en-GB"/>
        </w:rPr>
        <w:t xml:space="preserve"> </w:t>
      </w:r>
      <w:r w:rsidR="00DF7E38" w:rsidRPr="004B5EBA">
        <w:rPr>
          <w:rFonts w:eastAsia="SimSun"/>
          <w:lang w:val="en-GB"/>
        </w:rPr>
        <w:t>–</w:t>
      </w:r>
      <w:r w:rsidR="00280FAF" w:rsidRPr="004B5EBA">
        <w:rPr>
          <w:rFonts w:eastAsia="SimSun"/>
          <w:lang w:val="en-GB"/>
        </w:rPr>
        <w:t xml:space="preserve"> </w:t>
      </w:r>
      <w:r w:rsidR="00DF7E38" w:rsidRPr="004B5EBA">
        <w:rPr>
          <w:rFonts w:eastAsia="SimSun"/>
          <w:lang w:val="en-GB"/>
        </w:rPr>
        <w:t>service side heat capacity</w:t>
      </w:r>
      <w:r w:rsidR="00280FAF" w:rsidRPr="004B5EBA">
        <w:rPr>
          <w:rFonts w:eastAsia="SimSun"/>
          <w:lang w:val="en-GB"/>
        </w:rPr>
        <w:t xml:space="preserve">, </w:t>
      </w:r>
      <w:r w:rsidR="00DF7E38" w:rsidRPr="004B5EBA">
        <w:rPr>
          <w:rFonts w:eastAsia="SimSun"/>
          <w:lang w:val="en-GB"/>
        </w:rPr>
        <w:t>J kg</w:t>
      </w:r>
      <w:r w:rsidR="00DF7E38" w:rsidRPr="004B5EBA">
        <w:rPr>
          <w:rFonts w:eastAsia="SimSun"/>
          <w:vertAlign w:val="superscript"/>
          <w:lang w:val="en-GB"/>
        </w:rPr>
        <w:t>-1</w:t>
      </w:r>
      <w:r w:rsidR="00DF7E38" w:rsidRPr="004B5EBA">
        <w:rPr>
          <w:rFonts w:eastAsia="SimSun"/>
          <w:lang w:val="en-GB"/>
        </w:rPr>
        <w:t xml:space="preserve"> K</w:t>
      </w:r>
      <w:r w:rsidR="00DF7E38" w:rsidRPr="004B5EBA">
        <w:rPr>
          <w:rFonts w:eastAsia="SimSun"/>
          <w:vertAlign w:val="superscript"/>
          <w:lang w:val="en-GB"/>
        </w:rPr>
        <w:t>-1</w:t>
      </w:r>
    </w:p>
    <w:p w14:paraId="23FF4C40" w14:textId="4A554F9F"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d</m:t>
            </m:r>
          </m:e>
          <m:sub>
            <m:r>
              <w:rPr>
                <w:rFonts w:ascii="Cambria Math" w:hAnsi="Cambria Math"/>
                <w:szCs w:val="18"/>
                <w:lang w:val="en-GB"/>
              </w:rPr>
              <m:t>ext</m:t>
            </m:r>
          </m:sub>
        </m:sSub>
      </m:oMath>
      <w:r w:rsidR="00280FAF" w:rsidRPr="004B5EBA">
        <w:rPr>
          <w:rFonts w:eastAsia="SimSun"/>
          <w:lang w:val="en-GB"/>
        </w:rPr>
        <w:t xml:space="preserve"> – </w:t>
      </w:r>
      <w:r w:rsidR="00DF7E38" w:rsidRPr="004B5EBA">
        <w:rPr>
          <w:rFonts w:eastAsia="SimSun"/>
          <w:lang w:val="en-GB"/>
        </w:rPr>
        <w:t>external tube’s diameter</w:t>
      </w:r>
      <w:r w:rsidR="00280FAF" w:rsidRPr="004B5EBA">
        <w:rPr>
          <w:rFonts w:eastAsia="SimSun"/>
          <w:lang w:val="en-GB"/>
        </w:rPr>
        <w:t xml:space="preserve">, </w:t>
      </w:r>
      <w:r w:rsidR="00DF7E38" w:rsidRPr="004B5EBA">
        <w:rPr>
          <w:rFonts w:eastAsia="SimSun"/>
          <w:lang w:val="en-GB"/>
        </w:rPr>
        <w:t>m</w:t>
      </w:r>
    </w:p>
    <w:p w14:paraId="141D07C6" w14:textId="0EC1E4BE" w:rsidR="00280FAF" w:rsidRPr="004B5EBA" w:rsidRDefault="00000000" w:rsidP="00280FAF">
      <w:pPr>
        <w:pStyle w:val="CETBodytext"/>
        <w:jc w:val="left"/>
        <w:rPr>
          <w:rFonts w:eastAsia="SimSun"/>
          <w:lang w:val="en-GB"/>
        </w:rPr>
      </w:pPr>
      <m:oMath>
        <m:sSub>
          <m:sSubPr>
            <m:ctrlPr>
              <w:rPr>
                <w:rFonts w:ascii="Cambria Math" w:hAnsi="Cambria Math"/>
                <w:i/>
                <w:szCs w:val="18"/>
                <w:lang w:val="en-GB"/>
              </w:rPr>
            </m:ctrlPr>
          </m:sSubPr>
          <m:e>
            <m:r>
              <w:rPr>
                <w:rFonts w:ascii="Cambria Math" w:hAnsi="Cambria Math"/>
                <w:szCs w:val="18"/>
                <w:lang w:val="en-GB"/>
              </w:rPr>
              <m:t>N</m:t>
            </m:r>
          </m:e>
          <m:sub>
            <m:r>
              <w:rPr>
                <w:rFonts w:ascii="Cambria Math" w:hAnsi="Cambria Math"/>
                <w:szCs w:val="18"/>
                <w:lang w:val="en-GB"/>
              </w:rPr>
              <m:t>t</m:t>
            </m:r>
          </m:sub>
        </m:sSub>
      </m:oMath>
      <w:r w:rsidR="00280FAF" w:rsidRPr="004B5EBA">
        <w:rPr>
          <w:rFonts w:eastAsia="SimSun"/>
          <w:lang w:val="en-GB"/>
        </w:rPr>
        <w:t xml:space="preserve"> – </w:t>
      </w:r>
      <w:r w:rsidR="00DF7E38" w:rsidRPr="004B5EBA">
        <w:rPr>
          <w:rFonts w:eastAsia="SimSun"/>
          <w:lang w:val="en-GB"/>
        </w:rPr>
        <w:t>total number of tubes</w:t>
      </w:r>
      <w:r w:rsidR="00280FAF" w:rsidRPr="004B5EBA">
        <w:rPr>
          <w:rFonts w:eastAsia="SimSun"/>
          <w:lang w:val="en-GB"/>
        </w:rPr>
        <w:t xml:space="preserve">, </w:t>
      </w:r>
      <w:r w:rsidR="00DF7E38" w:rsidRPr="004B5EBA">
        <w:rPr>
          <w:rFonts w:eastAsia="SimSun"/>
          <w:lang w:val="en-GB"/>
        </w:rPr>
        <w:t>-</w:t>
      </w:r>
    </w:p>
    <w:p w14:paraId="7C8B64AB" w14:textId="20A105A5" w:rsidR="00DF7E38" w:rsidRPr="004B5EBA" w:rsidRDefault="00DF7E38" w:rsidP="00280FAF">
      <w:pPr>
        <w:pStyle w:val="CETBodytext"/>
        <w:jc w:val="left"/>
        <w:rPr>
          <w:rFonts w:eastAsia="SimSun"/>
          <w:lang w:val="en-GB"/>
        </w:rPr>
      </w:pPr>
      <m:oMath>
        <m:r>
          <w:rPr>
            <w:rFonts w:ascii="Cambria Math" w:eastAsiaTheme="minorEastAsia" w:hAnsi="Cambria Math"/>
            <w:szCs w:val="18"/>
            <w:lang w:val="en-GB"/>
          </w:rPr>
          <m:t>P</m:t>
        </m:r>
      </m:oMath>
      <w:r w:rsidR="00280FAF" w:rsidRPr="004B5EBA">
        <w:rPr>
          <w:rFonts w:eastAsia="SimSun"/>
          <w:lang w:val="en-GB"/>
        </w:rPr>
        <w:t xml:space="preserve"> – </w:t>
      </w:r>
      <w:r w:rsidRPr="004B5EBA">
        <w:rPr>
          <w:rFonts w:eastAsia="SimSun"/>
          <w:lang w:val="en-GB"/>
        </w:rPr>
        <w:t>process side pressure</w:t>
      </w:r>
      <w:r w:rsidR="00280FAF" w:rsidRPr="004B5EBA">
        <w:rPr>
          <w:rFonts w:eastAsia="SimSun"/>
          <w:lang w:val="en-GB"/>
        </w:rPr>
        <w:t xml:space="preserve">, </w:t>
      </w:r>
      <w:r w:rsidRPr="004B5EBA">
        <w:rPr>
          <w:rFonts w:eastAsia="SimSun"/>
          <w:lang w:val="en-GB"/>
        </w:rPr>
        <w:t>Pa</w:t>
      </w:r>
    </w:p>
    <w:p w14:paraId="03B3940E" w14:textId="4C464678" w:rsidR="00DF7E38" w:rsidRPr="004B5EBA" w:rsidRDefault="00000000" w:rsidP="00280FAF">
      <w:pPr>
        <w:pStyle w:val="CETBodytext"/>
        <w:jc w:val="left"/>
        <w:rPr>
          <w:rFonts w:eastAsia="SimSun"/>
          <w:lang w:val="en-GB"/>
        </w:rPr>
      </w:pPr>
      <m:oMath>
        <m:sSub>
          <m:sSubPr>
            <m:ctrlPr>
              <w:rPr>
                <w:rFonts w:ascii="Cambria Math" w:eastAsiaTheme="minorEastAsia" w:hAnsi="Cambria Math"/>
                <w:i/>
                <w:szCs w:val="18"/>
                <w:lang w:val="en-GB"/>
              </w:rPr>
            </m:ctrlPr>
          </m:sSubPr>
          <m:e>
            <m:r>
              <w:rPr>
                <w:rFonts w:ascii="Cambria Math" w:eastAsiaTheme="minorEastAsia" w:hAnsi="Cambria Math"/>
                <w:szCs w:val="18"/>
                <w:lang w:val="en-GB"/>
              </w:rPr>
              <m:t>v</m:t>
            </m:r>
          </m:e>
          <m:sub>
            <m:r>
              <w:rPr>
                <w:rFonts w:ascii="Cambria Math" w:eastAsiaTheme="minorEastAsia" w:hAnsi="Cambria Math"/>
                <w:szCs w:val="18"/>
                <w:lang w:val="en-GB"/>
              </w:rPr>
              <m:t>z</m:t>
            </m:r>
          </m:sub>
        </m:sSub>
      </m:oMath>
      <w:r w:rsidR="00DF7E38" w:rsidRPr="004B5EBA">
        <w:rPr>
          <w:rFonts w:eastAsia="SimSun"/>
          <w:szCs w:val="18"/>
          <w:lang w:val="en-GB"/>
        </w:rPr>
        <w:t xml:space="preserve"> – process side superficial velocity, m s</w:t>
      </w:r>
      <w:r w:rsidR="00DF7E38" w:rsidRPr="004B5EBA">
        <w:rPr>
          <w:rFonts w:eastAsia="SimSun"/>
          <w:szCs w:val="18"/>
          <w:vertAlign w:val="superscript"/>
          <w:lang w:val="en-GB"/>
        </w:rPr>
        <w:t>-1</w:t>
      </w:r>
    </w:p>
    <w:p w14:paraId="0C0A7F19" w14:textId="0BD46A63" w:rsidR="00DF7E38" w:rsidRPr="004B5EBA" w:rsidRDefault="00DF7E38" w:rsidP="00280FAF">
      <w:pPr>
        <w:pStyle w:val="CETBodytext"/>
        <w:jc w:val="left"/>
        <w:rPr>
          <w:rFonts w:eastAsia="SimSun"/>
          <w:lang w:val="en-GB"/>
        </w:rPr>
      </w:pPr>
      <m:oMath>
        <m:r>
          <w:rPr>
            <w:rFonts w:ascii="Cambria Math" w:eastAsiaTheme="minorEastAsia" w:hAnsi="Cambria Math"/>
            <w:szCs w:val="18"/>
            <w:lang w:val="en-GB"/>
          </w:rPr>
          <m:t>ρ</m:t>
        </m:r>
      </m:oMath>
      <w:r w:rsidRPr="004B5EBA">
        <w:rPr>
          <w:rFonts w:eastAsia="SimSun"/>
          <w:szCs w:val="18"/>
          <w:lang w:val="en-GB"/>
        </w:rPr>
        <w:t xml:space="preserve"> – process side density, kg m</w:t>
      </w:r>
      <w:r w:rsidRPr="004B5EBA">
        <w:rPr>
          <w:rFonts w:eastAsia="SimSun"/>
          <w:szCs w:val="18"/>
          <w:vertAlign w:val="superscript"/>
          <w:lang w:val="en-GB"/>
        </w:rPr>
        <w:t>-3</w:t>
      </w:r>
    </w:p>
    <w:p w14:paraId="55E3024D" w14:textId="4F04453B" w:rsidR="00DF7E38" w:rsidRPr="004B5EBA" w:rsidRDefault="00000000" w:rsidP="00280FAF">
      <w:pPr>
        <w:pStyle w:val="CETBodytext"/>
        <w:jc w:val="left"/>
        <w:rPr>
          <w:rFonts w:eastAsia="SimSun"/>
          <w:lang w:val="en-GB"/>
        </w:rPr>
      </w:pPr>
      <m:oMath>
        <m:sSub>
          <m:sSubPr>
            <m:ctrlPr>
              <w:rPr>
                <w:rFonts w:ascii="Cambria Math" w:eastAsiaTheme="minorEastAsia" w:hAnsi="Cambria Math"/>
                <w:i/>
                <w:szCs w:val="18"/>
                <w:lang w:val="en-GB"/>
              </w:rPr>
            </m:ctrlPr>
          </m:sSubPr>
          <m:e>
            <m:r>
              <w:rPr>
                <w:rFonts w:ascii="Cambria Math" w:eastAsiaTheme="minorEastAsia" w:hAnsi="Cambria Math"/>
                <w:szCs w:val="18"/>
                <w:lang w:val="en-GB"/>
              </w:rPr>
              <m:t>d</m:t>
            </m:r>
          </m:e>
          <m:sub>
            <m:r>
              <w:rPr>
                <w:rFonts w:ascii="Cambria Math" w:eastAsiaTheme="minorEastAsia" w:hAnsi="Cambria Math"/>
                <w:szCs w:val="18"/>
                <w:lang w:val="en-GB"/>
              </w:rPr>
              <m:t>part</m:t>
            </m:r>
          </m:sub>
        </m:sSub>
      </m:oMath>
      <w:r w:rsidR="00DF7E38" w:rsidRPr="004B5EBA">
        <w:rPr>
          <w:rFonts w:eastAsia="SimSun"/>
          <w:szCs w:val="18"/>
          <w:lang w:val="en-GB"/>
        </w:rPr>
        <w:t xml:space="preserve"> – particle diameter, m</w:t>
      </w:r>
    </w:p>
    <w:p w14:paraId="19A6CCC3" w14:textId="3E46671C" w:rsidR="00DF7E38" w:rsidRPr="004B5EBA" w:rsidRDefault="00000000" w:rsidP="00280FAF">
      <w:pPr>
        <w:pStyle w:val="CETBodytext"/>
        <w:jc w:val="left"/>
        <w:rPr>
          <w:rFonts w:eastAsia="SimSun"/>
          <w:lang w:val="en-GB"/>
        </w:rPr>
      </w:pPr>
      <m:oMath>
        <m:sSub>
          <m:sSubPr>
            <m:ctrlPr>
              <w:rPr>
                <w:rFonts w:ascii="Cambria Math" w:eastAsiaTheme="minorEastAsia" w:hAnsi="Cambria Math"/>
                <w:i/>
                <w:szCs w:val="18"/>
                <w:lang w:val="en-GB"/>
              </w:rPr>
            </m:ctrlPr>
          </m:sSubPr>
          <m:e>
            <m:r>
              <w:rPr>
                <w:rFonts w:ascii="Cambria Math" w:eastAsiaTheme="minorEastAsia" w:hAnsi="Cambria Math"/>
                <w:szCs w:val="18"/>
                <w:lang w:val="en-GB"/>
              </w:rPr>
              <m:t>ε</m:t>
            </m:r>
          </m:e>
          <m:sub>
            <m:r>
              <w:rPr>
                <w:rFonts w:ascii="Cambria Math" w:eastAsiaTheme="minorEastAsia" w:hAnsi="Cambria Math"/>
                <w:szCs w:val="18"/>
                <w:lang w:val="en-GB"/>
              </w:rPr>
              <m:t>bed</m:t>
            </m:r>
          </m:sub>
        </m:sSub>
      </m:oMath>
      <w:r w:rsidR="00DF7E38" w:rsidRPr="004B5EBA">
        <w:rPr>
          <w:rFonts w:eastAsia="SimSun"/>
          <w:szCs w:val="18"/>
          <w:lang w:val="en-GB"/>
        </w:rPr>
        <w:t xml:space="preserve"> – bed porosity, -</w:t>
      </w:r>
    </w:p>
    <w:p w14:paraId="2DEE141C" w14:textId="78F4F7E9" w:rsidR="00DF7E38" w:rsidRPr="004B5EBA" w:rsidRDefault="00DF7E38" w:rsidP="00280FAF">
      <w:pPr>
        <w:pStyle w:val="CETBodytext"/>
        <w:jc w:val="left"/>
        <w:rPr>
          <w:rFonts w:eastAsia="SimSun"/>
          <w:szCs w:val="18"/>
          <w:lang w:val="en-GB"/>
        </w:rPr>
      </w:pPr>
      <m:oMath>
        <m:r>
          <w:rPr>
            <w:rFonts w:ascii="Cambria Math" w:eastAsiaTheme="minorEastAsia" w:hAnsi="Cambria Math"/>
            <w:szCs w:val="18"/>
            <w:lang w:val="en-GB"/>
          </w:rPr>
          <m:t>μ</m:t>
        </m:r>
      </m:oMath>
      <w:r w:rsidRPr="004B5EBA">
        <w:rPr>
          <w:rFonts w:eastAsia="SimSun"/>
          <w:szCs w:val="18"/>
          <w:lang w:val="en-GB"/>
        </w:rPr>
        <w:t xml:space="preserve"> – process side viscosity, Pa s</w:t>
      </w:r>
    </w:p>
    <w:p w14:paraId="0E08AC60" w14:textId="0E234644" w:rsidR="00DF7E38" w:rsidRPr="004B5EBA" w:rsidRDefault="00DF7E38" w:rsidP="00280FAF">
      <w:pPr>
        <w:pStyle w:val="CETBodytext"/>
        <w:jc w:val="left"/>
        <w:rPr>
          <w:rFonts w:eastAsia="SimSun"/>
          <w:lang w:val="en-GB"/>
        </w:rPr>
      </w:pPr>
      <w:r w:rsidRPr="004B5EBA">
        <w:rPr>
          <w:lang w:val="en-GB"/>
        </w:rPr>
        <w:t>L – tube’s length, m</w:t>
      </w:r>
    </w:p>
    <w:p w14:paraId="30142653" w14:textId="46B42E35" w:rsidR="00DF7E38" w:rsidRPr="004B5EBA" w:rsidRDefault="00DF7E38" w:rsidP="00280FAF">
      <w:pPr>
        <w:pStyle w:val="CETBodytext"/>
        <w:jc w:val="left"/>
        <w:rPr>
          <w:rFonts w:cs="Arial"/>
          <w:szCs w:val="18"/>
          <w:lang w:val="en-GB"/>
        </w:rPr>
      </w:pPr>
      <w:r w:rsidRPr="004B5EBA">
        <w:rPr>
          <w:rFonts w:cs="Arial"/>
          <w:szCs w:val="18"/>
          <w:lang w:val="en-GB"/>
        </w:rPr>
        <w:t>t</w:t>
      </w:r>
      <w:r w:rsidRPr="004B5EBA">
        <w:rPr>
          <w:rFonts w:cs="Arial"/>
          <w:szCs w:val="18"/>
          <w:vertAlign w:val="subscript"/>
          <w:lang w:val="en-GB"/>
        </w:rPr>
        <w:t>w</w:t>
      </w:r>
      <w:r w:rsidRPr="004B5EBA">
        <w:rPr>
          <w:rFonts w:cs="Arial"/>
          <w:szCs w:val="18"/>
          <w:lang w:val="en-GB"/>
        </w:rPr>
        <w:t xml:space="preserve"> – tube’s wall thickness, m</w:t>
      </w:r>
    </w:p>
    <w:p w14:paraId="29FF0C27" w14:textId="38AF97E6" w:rsidR="00DF7E38" w:rsidRPr="004B5EBA" w:rsidRDefault="00DF7E38" w:rsidP="00280FAF">
      <w:pPr>
        <w:pStyle w:val="CETBodytext"/>
        <w:jc w:val="left"/>
        <w:rPr>
          <w:rFonts w:cs="Arial"/>
          <w:szCs w:val="18"/>
          <w:lang w:val="en-GB"/>
        </w:rPr>
      </w:pPr>
      <w:r w:rsidRPr="004B5EBA">
        <w:rPr>
          <w:rFonts w:cs="Arial"/>
          <w:szCs w:val="18"/>
          <w:lang w:val="en-GB"/>
        </w:rPr>
        <w:t>N</w:t>
      </w:r>
      <w:r w:rsidRPr="004B5EBA">
        <w:rPr>
          <w:rFonts w:cs="Arial"/>
          <w:szCs w:val="18"/>
          <w:vertAlign w:val="subscript"/>
          <w:lang w:val="en-GB"/>
        </w:rPr>
        <w:t>b</w:t>
      </w:r>
      <w:r w:rsidRPr="004B5EBA">
        <w:rPr>
          <w:rFonts w:cs="Arial"/>
          <w:szCs w:val="18"/>
          <w:lang w:val="en-GB"/>
        </w:rPr>
        <w:t xml:space="preserve"> – number of baffles, -</w:t>
      </w:r>
    </w:p>
    <w:p w14:paraId="4BF00834" w14:textId="3FA2D94C" w:rsidR="00DF7E38" w:rsidRPr="004B5EBA" w:rsidRDefault="00DF7E38" w:rsidP="00280FAF">
      <w:pPr>
        <w:pStyle w:val="CETBodytext"/>
        <w:jc w:val="left"/>
        <w:rPr>
          <w:rFonts w:cs="Arial"/>
          <w:szCs w:val="18"/>
          <w:lang w:val="en-GB"/>
        </w:rPr>
      </w:pPr>
      <w:r w:rsidRPr="004B5EBA">
        <w:rPr>
          <w:rFonts w:cs="Arial"/>
          <w:szCs w:val="18"/>
          <w:lang w:val="en-GB"/>
        </w:rPr>
        <w:t>in – subscript of inlet conditions, -</w:t>
      </w:r>
    </w:p>
    <w:p w14:paraId="001698E2" w14:textId="42585A2E" w:rsidR="00E4592C" w:rsidRPr="004B5EBA" w:rsidRDefault="00000000" w:rsidP="00280FAF">
      <w:pPr>
        <w:pStyle w:val="CETBodytext"/>
        <w:jc w:val="left"/>
        <w:rPr>
          <w:rFonts w:cs="Arial"/>
          <w:szCs w:val="18"/>
          <w:lang w:val="en-GB"/>
        </w:rPr>
      </w:pPr>
      <m:oMath>
        <m:sSub>
          <m:sSubPr>
            <m:ctrlPr>
              <w:rPr>
                <w:rFonts w:ascii="Cambria Math" w:hAnsi="Cambria Math"/>
                <w:i/>
                <w:szCs w:val="18"/>
                <w:lang w:val="en-GB"/>
              </w:rPr>
            </m:ctrlPr>
          </m:sSubPr>
          <m:e>
            <m:acc>
              <m:accPr>
                <m:chr m:val="̇"/>
                <m:ctrlPr>
                  <w:rPr>
                    <w:rFonts w:ascii="Cambria Math" w:hAnsi="Cambria Math"/>
                    <w:i/>
                    <w:szCs w:val="18"/>
                    <w:lang w:val="en-GB"/>
                  </w:rPr>
                </m:ctrlPr>
              </m:accPr>
              <m:e>
                <m:r>
                  <w:rPr>
                    <w:rFonts w:ascii="Cambria Math" w:hAnsi="Cambria Math"/>
                    <w:szCs w:val="18"/>
                    <w:lang w:val="en-GB"/>
                  </w:rPr>
                  <m:t>n</m:t>
                </m:r>
              </m:e>
            </m:acc>
          </m:e>
          <m:sub>
            <m:r>
              <w:rPr>
                <w:rFonts w:ascii="Cambria Math" w:hAnsi="Cambria Math"/>
                <w:szCs w:val="18"/>
                <w:lang w:val="en-GB"/>
              </w:rPr>
              <m:t>in</m:t>
            </m:r>
          </m:sub>
        </m:sSub>
      </m:oMath>
      <w:r w:rsidR="00E4592C" w:rsidRPr="004B5EBA">
        <w:rPr>
          <w:rFonts w:cs="Arial"/>
          <w:szCs w:val="18"/>
          <w:lang w:val="en-GB"/>
        </w:rPr>
        <w:t xml:space="preserve"> – single tube inlet molar flow rate, mol s</w:t>
      </w:r>
      <w:r w:rsidR="00E4592C" w:rsidRPr="004B5EBA">
        <w:rPr>
          <w:rFonts w:cs="Arial"/>
          <w:szCs w:val="18"/>
          <w:vertAlign w:val="superscript"/>
          <w:lang w:val="en-GB"/>
        </w:rPr>
        <w:t>-1</w:t>
      </w:r>
    </w:p>
    <w:p w14:paraId="0A8F1B34" w14:textId="2796341B" w:rsidR="00E4592C" w:rsidRPr="004B5EBA" w:rsidRDefault="00E4592C" w:rsidP="00280FAF">
      <w:pPr>
        <w:pStyle w:val="CETBodytext"/>
        <w:jc w:val="left"/>
        <w:rPr>
          <w:rFonts w:cs="Arial"/>
          <w:szCs w:val="18"/>
          <w:lang w:val="en-GB"/>
        </w:rPr>
      </w:pPr>
      <w:r w:rsidRPr="004B5EBA">
        <w:rPr>
          <w:rFonts w:cs="Arial"/>
          <w:szCs w:val="18"/>
          <w:lang w:val="en-GB"/>
        </w:rPr>
        <w:lastRenderedPageBreak/>
        <w:t>y – molar fraction, -</w:t>
      </w:r>
    </w:p>
    <w:p w14:paraId="38BFE636" w14:textId="2A58D82C" w:rsidR="00DF7E38" w:rsidRPr="004B5EBA" w:rsidRDefault="00DF7E38" w:rsidP="00280FAF">
      <w:pPr>
        <w:pStyle w:val="CETBodytext"/>
        <w:jc w:val="left"/>
        <w:rPr>
          <w:rFonts w:cs="Arial"/>
          <w:szCs w:val="18"/>
          <w:vertAlign w:val="subscript"/>
          <w:lang w:val="en-GB"/>
        </w:rPr>
        <w:sectPr w:rsidR="00DF7E38" w:rsidRPr="004B5EBA" w:rsidSect="008314D7">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4B5EBA" w:rsidRDefault="00600535" w:rsidP="00600535">
      <w:pPr>
        <w:pStyle w:val="CETReference"/>
      </w:pPr>
      <w:r w:rsidRPr="004B5EBA">
        <w:t>References</w:t>
      </w:r>
    </w:p>
    <w:p w14:paraId="021282AA" w14:textId="1B120162" w:rsidR="00320CB9" w:rsidRDefault="00320CB9" w:rsidP="005C47D7">
      <w:pPr>
        <w:pStyle w:val="CETListbullets"/>
        <w:ind w:left="142" w:hanging="142"/>
      </w:pPr>
      <w:r w:rsidRPr="00320CB9">
        <w:t xml:space="preserve">Andriani, G., Pio, G., Salzano, E., Vianello, C., &amp; </w:t>
      </w:r>
      <w:proofErr w:type="spellStart"/>
      <w:r w:rsidRPr="00320CB9">
        <w:t>Mocellin</w:t>
      </w:r>
      <w:proofErr w:type="spellEnd"/>
      <w:r w:rsidRPr="00320CB9">
        <w:t>, P.</w:t>
      </w:r>
      <w:r w:rsidRPr="00320CB9">
        <w:t xml:space="preserve">, </w:t>
      </w:r>
      <w:r w:rsidRPr="00320CB9">
        <w:t>2024</w:t>
      </w:r>
      <w:r>
        <w:t>a,</w:t>
      </w:r>
      <w:r w:rsidRPr="00320CB9">
        <w:t xml:space="preserve"> Evaluating the thermal stability of chemicals and systems: A review</w:t>
      </w:r>
      <w:r>
        <w:t>,</w:t>
      </w:r>
      <w:r w:rsidRPr="00320CB9">
        <w:t xml:space="preserve"> Canadian Journal of Chemical Engineering</w:t>
      </w:r>
      <w:r>
        <w:t>, 103, 1, 42-62.</w:t>
      </w:r>
    </w:p>
    <w:p w14:paraId="69864D17" w14:textId="1412ACDF" w:rsidR="00320CB9" w:rsidRDefault="00320CB9" w:rsidP="005C47D7">
      <w:pPr>
        <w:pStyle w:val="CETListbullets"/>
        <w:ind w:left="142" w:hanging="142"/>
      </w:pPr>
      <w:r w:rsidRPr="00320CB9">
        <w:t>Andriani, G., De Liso, B. A., Pio, G., &amp; Salzano, E.</w:t>
      </w:r>
      <w:r w:rsidRPr="00320CB9">
        <w:t xml:space="preserve">, </w:t>
      </w:r>
      <w:r w:rsidRPr="00320CB9">
        <w:t>2024</w:t>
      </w:r>
      <w:r w:rsidRPr="00320CB9">
        <w:t>b,</w:t>
      </w:r>
      <w:r w:rsidRPr="00320CB9">
        <w:t xml:space="preserve"> Design of sustainable reactor based on key performance indicators</w:t>
      </w:r>
      <w:r>
        <w:t>,</w:t>
      </w:r>
      <w:r w:rsidRPr="00320CB9">
        <w:t xml:space="preserve"> Chemical Engineering Science, 285</w:t>
      </w:r>
      <w:r>
        <w:t xml:space="preserve">, </w:t>
      </w:r>
      <w:r w:rsidRPr="00320CB9">
        <w:t>119591</w:t>
      </w:r>
      <w:r>
        <w:t>.</w:t>
      </w:r>
    </w:p>
    <w:p w14:paraId="3D6C22ED" w14:textId="7DBDEFEF" w:rsidR="0047258A" w:rsidRPr="004B5EBA" w:rsidRDefault="00320CB9" w:rsidP="005C47D7">
      <w:pPr>
        <w:pStyle w:val="CETListbullets"/>
        <w:ind w:left="142" w:hanging="142"/>
      </w:pPr>
      <w:r w:rsidRPr="00320CB9">
        <w:t xml:space="preserve">Andriani, G., </w:t>
      </w:r>
      <w:proofErr w:type="spellStart"/>
      <w:r w:rsidRPr="00320CB9">
        <w:t>Mocellin</w:t>
      </w:r>
      <w:proofErr w:type="spellEnd"/>
      <w:r w:rsidRPr="00320CB9">
        <w:t>, P., Pio, G., Vianello, C., &amp; Salzano, E.</w:t>
      </w:r>
      <w:r w:rsidRPr="00320CB9">
        <w:t xml:space="preserve">, </w:t>
      </w:r>
      <w:r w:rsidRPr="00320CB9">
        <w:t>2024</w:t>
      </w:r>
      <w:r w:rsidRPr="00320CB9">
        <w:t>c,</w:t>
      </w:r>
      <w:r w:rsidRPr="00320CB9">
        <w:t xml:space="preserve"> Enhancing safety in the storage of hazardous molecules: The case of hydroxylamine</w:t>
      </w:r>
      <w:r>
        <w:t>,</w:t>
      </w:r>
      <w:r w:rsidRPr="00320CB9">
        <w:t xml:space="preserve"> Journal of Loss Prevention in the Process Industries, 9</w:t>
      </w:r>
      <w:r>
        <w:t xml:space="preserve">2, </w:t>
      </w:r>
      <w:r w:rsidRPr="00320CB9">
        <w:t>105472</w:t>
      </w:r>
      <w:r>
        <w:t>.</w:t>
      </w:r>
    </w:p>
    <w:p w14:paraId="2D8ED575" w14:textId="428930E9" w:rsidR="004B5F39" w:rsidRPr="004B5EBA" w:rsidRDefault="00F075C6" w:rsidP="002007ED">
      <w:pPr>
        <w:pStyle w:val="CETListbullets"/>
        <w:ind w:left="142" w:hanging="142"/>
      </w:pPr>
      <w:r w:rsidRPr="004B5EBA">
        <w:t>Andriani G., Mocellin P., Pio G., Salzano E., Vianello C., 2025, Design of Storage Equipment for Unstable Chemicals Using Sensitivity-Based Methods, Industrial and Engineering Chemistry Research, 64, 19, 9529–9541.</w:t>
      </w:r>
    </w:p>
    <w:p w14:paraId="09826537" w14:textId="03DCF2AD" w:rsidR="00B93475" w:rsidRPr="004B5EBA" w:rsidRDefault="00B93475" w:rsidP="00F075C6">
      <w:pPr>
        <w:pStyle w:val="CETListbullets"/>
        <w:ind w:left="142" w:hanging="142"/>
      </w:pPr>
      <w:r w:rsidRPr="004B5EBA">
        <w:t>Champon, I., Bengaouer, A., Chaise, A., Thomas, S., &amp; Roger, A. C., 2019, Carbon dioxide methanation kinetic model on a commercial Ni/Al2O3 catalyst, Journal of CO2 Utilization, 34, 256–265.</w:t>
      </w:r>
    </w:p>
    <w:p w14:paraId="1B70C024" w14:textId="41AE2212" w:rsidR="00FE5D17" w:rsidRPr="004B5EBA" w:rsidRDefault="00FE5D17" w:rsidP="00F075C6">
      <w:pPr>
        <w:pStyle w:val="CETListbullets"/>
        <w:ind w:left="142" w:hanging="142"/>
      </w:pPr>
      <w:r w:rsidRPr="004B5EBA">
        <w:t>Costamagna, P., Pugliese, F., Cavattoni, T., Busca, G., &amp; Garbarino, G., 2020, Modeling of laboratory steam methane reforming and CO2 methanation reactors. Energies, 13, 10.</w:t>
      </w:r>
    </w:p>
    <w:p w14:paraId="59D72EDB" w14:textId="77777777" w:rsidR="00F075C6" w:rsidRPr="004B5EBA" w:rsidRDefault="00F075C6" w:rsidP="00F075C6">
      <w:pPr>
        <w:pStyle w:val="CETListbullets"/>
        <w:ind w:left="142" w:hanging="142"/>
      </w:pPr>
      <w:r w:rsidRPr="004B5EBA">
        <w:t xml:space="preserve">Di Nardo A., Calchetti G., Bassano C., Deiana P., 2021, CO2 methanation in a shell and tube reactor CFD simulations: high temperatures mitigation analysis, Chemical Engineering Science, 246, 166871. </w:t>
      </w:r>
    </w:p>
    <w:p w14:paraId="2F2D6AFD" w14:textId="77777777" w:rsidR="00F075C6" w:rsidRPr="004B5EBA" w:rsidRDefault="00F075C6" w:rsidP="00F075C6">
      <w:pPr>
        <w:pStyle w:val="CETListbullets"/>
        <w:ind w:left="142" w:hanging="142"/>
      </w:pPr>
      <w:r w:rsidRPr="004B5EBA">
        <w:t xml:space="preserve">Er-rbib H., Bouallou C., 2013, Modelling and simulation of methanation catalytic reactor for renewable electricity storage, Chemical Engineering Transactions, 35, 541–546. </w:t>
      </w:r>
    </w:p>
    <w:p w14:paraId="5AC58CC1" w14:textId="3A50BB15" w:rsidR="00F075C6" w:rsidRPr="004B5EBA" w:rsidRDefault="00F075C6" w:rsidP="00F075C6">
      <w:pPr>
        <w:pStyle w:val="CETListbullets"/>
        <w:ind w:left="142" w:hanging="142"/>
      </w:pPr>
      <w:r w:rsidRPr="004B5EBA">
        <w:t>Froment, G. F., Bischoff, K. B., &amp; De Wilde, J.</w:t>
      </w:r>
      <w:r w:rsidR="00AC31B7" w:rsidRPr="004B5EBA">
        <w:t xml:space="preserve">, </w:t>
      </w:r>
      <w:r w:rsidRPr="004B5EBA">
        <w:t>2011</w:t>
      </w:r>
      <w:r w:rsidR="00AC31B7" w:rsidRPr="004B5EBA">
        <w:t>,</w:t>
      </w:r>
      <w:r w:rsidRPr="004B5EBA">
        <w:t xml:space="preserve"> Chemical Reactor Analysis and Desig</w:t>
      </w:r>
      <w:r w:rsidR="00AC31B7" w:rsidRPr="004B5EBA">
        <w:t xml:space="preserve">n, </w:t>
      </w:r>
      <w:r w:rsidRPr="004B5EBA">
        <w:t>3rd ed.</w:t>
      </w:r>
      <w:r w:rsidR="00AC31B7" w:rsidRPr="004B5EBA">
        <w:t>,</w:t>
      </w:r>
      <w:r w:rsidRPr="004B5EBA">
        <w:t xml:space="preserve"> John Wiley &amp; Sons.</w:t>
      </w:r>
    </w:p>
    <w:p w14:paraId="7C6E472B" w14:textId="77777777" w:rsidR="00F075C6" w:rsidRPr="004B5EBA" w:rsidRDefault="00F075C6" w:rsidP="00F075C6">
      <w:pPr>
        <w:pStyle w:val="CETListbullets"/>
        <w:ind w:left="142" w:hanging="142"/>
      </w:pPr>
      <w:r w:rsidRPr="004B5EBA">
        <w:t xml:space="preserve">Frontera P., Macario A., Candamano S., Barberio M., Crea F., Antonucci P., 2017, CO2 conversion over supported Ni nanoparticles, Chemical Engineering Transactions, 60, 229–234. </w:t>
      </w:r>
    </w:p>
    <w:p w14:paraId="1E33F6AD" w14:textId="1B5D2073" w:rsidR="00AC31B7" w:rsidRPr="004B5EBA" w:rsidRDefault="00AC31B7" w:rsidP="00F075C6">
      <w:pPr>
        <w:pStyle w:val="CETListbullets"/>
        <w:ind w:left="142" w:hanging="142"/>
      </w:pPr>
      <w:r w:rsidRPr="004B5EBA">
        <w:t>Green, D. W., &amp; Southard, M. Z., 2019, Perry’s Chemical Engineers’ Handbook, 9th ed., McGraw-Hill Education.</w:t>
      </w:r>
    </w:p>
    <w:p w14:paraId="2DAD45F7" w14:textId="77777777" w:rsidR="00F075C6" w:rsidRPr="004B5EBA" w:rsidRDefault="00F075C6" w:rsidP="00F075C6">
      <w:pPr>
        <w:pStyle w:val="CETListbullets"/>
        <w:ind w:left="142" w:hanging="142"/>
      </w:pPr>
      <w:r w:rsidRPr="004B5EBA">
        <w:t>Levenspiel O., 1999, Chemical Reaction Engineering, 3rd ed., John Wiley &amp; Sons.</w:t>
      </w:r>
    </w:p>
    <w:p w14:paraId="6B61EC9E" w14:textId="77777777" w:rsidR="00F075C6" w:rsidRDefault="00F075C6" w:rsidP="00F075C6">
      <w:pPr>
        <w:pStyle w:val="CETListbullets"/>
        <w:ind w:left="142" w:hanging="142"/>
      </w:pPr>
      <w:r w:rsidRPr="004B5EBA">
        <w:t xml:space="preserve">Omar N., Zubir M. A., Ramli W. M. F. W., Hashim H., Le Ng J., Ho, W. S., 2023, Study of Carbon Dioxide Methanation Performance using Nickel-Based Catalyst and New Synthesised Catalyst, Chemical Engineering Transactions, 106, 805–810. </w:t>
      </w:r>
    </w:p>
    <w:p w14:paraId="4370C0AB" w14:textId="1B0B3E5E" w:rsidR="00C345DD" w:rsidRDefault="00C345DD" w:rsidP="00F075C6">
      <w:pPr>
        <w:pStyle w:val="CETListbullets"/>
        <w:ind w:left="142" w:hanging="142"/>
      </w:pPr>
      <w:r w:rsidRPr="00C345DD">
        <w:t>Sánchez, L. F., Bozzini, M. M., Vallerio, M., &amp; Manenti, F., 2026, A hybrid surrogate and simulation-based framework for efficient CapEx/OpEx optimization in complex chemical plants</w:t>
      </w:r>
      <w:r>
        <w:t>,</w:t>
      </w:r>
      <w:r w:rsidRPr="00C345DD">
        <w:t xml:space="preserve"> Chemical Engineering and Processing - Process Intensification, 219, 110638.</w:t>
      </w:r>
    </w:p>
    <w:p w14:paraId="13000251" w14:textId="40C2091E" w:rsidR="00717F5E" w:rsidRPr="004B5EBA" w:rsidRDefault="00717F5E" w:rsidP="00717F5E">
      <w:pPr>
        <w:pStyle w:val="CETListbullets"/>
        <w:ind w:left="142" w:hanging="142"/>
      </w:pPr>
      <w:r w:rsidRPr="00717F5E">
        <w:t>Schmidt, C., Schmidt, J., Denecke, J., &amp; Xin, Y.</w:t>
      </w:r>
      <w:r>
        <w:t xml:space="preserve">, </w:t>
      </w:r>
      <w:r w:rsidRPr="00717F5E">
        <w:t>2025</w:t>
      </w:r>
      <w:r>
        <w:t>,</w:t>
      </w:r>
      <w:r w:rsidRPr="00717F5E">
        <w:t xml:space="preserve"> Investigation of Models for Online Runaway Detection at the Esterification of Acetic Anhydride with Methanol</w:t>
      </w:r>
      <w:r>
        <w:t>,</w:t>
      </w:r>
      <w:r w:rsidRPr="00717F5E">
        <w:t xml:space="preserve"> Chemical Engineering Transactions, 116, 7–12. </w:t>
      </w:r>
    </w:p>
    <w:p w14:paraId="26BF6C13" w14:textId="77777777" w:rsidR="00F075C6" w:rsidRPr="004B5EBA" w:rsidRDefault="00F075C6" w:rsidP="00F075C6">
      <w:pPr>
        <w:pStyle w:val="CETListbullets"/>
        <w:ind w:left="142" w:hanging="142"/>
      </w:pPr>
      <w:r w:rsidRPr="004B5EBA">
        <w:t>Varma A., Morbidelli M., Wu H., 1999, Parametric Sensitivity in Chemical Systems, 1st ed., Cambridge University Press.</w:t>
      </w:r>
    </w:p>
    <w:p w14:paraId="18A1E65A" w14:textId="77777777" w:rsidR="00F075C6" w:rsidRPr="004B5EBA" w:rsidRDefault="00F075C6" w:rsidP="00F075C6">
      <w:pPr>
        <w:pStyle w:val="CETListbullets"/>
        <w:ind w:left="142" w:hanging="142"/>
      </w:pPr>
      <w:r w:rsidRPr="004B5EBA">
        <w:t xml:space="preserve">Xu J., Froment G. F., 1989, Methane Steam Reforming, Methanation and Water-Gas Shift: 1. Intrinsic Kinetics, AIChE Journal, 35, 1, 88–96. </w:t>
      </w:r>
    </w:p>
    <w:p w14:paraId="33272EF3" w14:textId="15B60945" w:rsidR="00F075C6" w:rsidRPr="004B5EBA" w:rsidRDefault="00F075C6" w:rsidP="00F075C6">
      <w:pPr>
        <w:pStyle w:val="CETListbullets"/>
        <w:ind w:left="142" w:hanging="142"/>
      </w:pPr>
      <w:r w:rsidRPr="004B5EBA">
        <w:t xml:space="preserve">Zaldívar, J. M., &amp; Strozzi, F., 2010, Phase-space volume based control of semibatch reactors, Chemical Engineering Research and Design, 88, 3, 320–330. </w:t>
      </w:r>
    </w:p>
    <w:p w14:paraId="70CE3A72" w14:textId="7163800B" w:rsidR="00D81A1B" w:rsidRDefault="00DD6697" w:rsidP="00993BA4">
      <w:pPr>
        <w:pStyle w:val="CETBodytext"/>
        <w:rPr>
          <w:rFonts w:cs="Arial"/>
          <w:color w:val="000000"/>
        </w:rPr>
      </w:pPr>
      <w:r w:rsidRPr="00DD6697">
        <w:rPr>
          <w:rFonts w:cs="Arial"/>
          <w:color w:val="000000"/>
        </w:rPr>
        <w:t>Zhang, B., Yang, G., &amp; Wang, Q.</w:t>
      </w:r>
      <w:r>
        <w:rPr>
          <w:rFonts w:cs="Arial"/>
          <w:color w:val="000000"/>
        </w:rPr>
        <w:t xml:space="preserve">, </w:t>
      </w:r>
      <w:r w:rsidRPr="00DD6697">
        <w:rPr>
          <w:rFonts w:cs="Arial"/>
          <w:color w:val="000000"/>
        </w:rPr>
        <w:t>2025</w:t>
      </w:r>
      <w:r>
        <w:rPr>
          <w:rFonts w:cs="Arial"/>
          <w:color w:val="000000"/>
        </w:rPr>
        <w:t>,</w:t>
      </w:r>
      <w:r w:rsidRPr="00DD6697">
        <w:rPr>
          <w:rFonts w:cs="Arial"/>
          <w:color w:val="000000"/>
        </w:rPr>
        <w:t xml:space="preserve"> Clustering-based recognition of thermal behaviors and optimization of safe–effective operating conditions for isoperibolic semibatch reactors</w:t>
      </w:r>
      <w:r>
        <w:rPr>
          <w:rFonts w:cs="Arial"/>
          <w:color w:val="000000"/>
        </w:rPr>
        <w:t>,</w:t>
      </w:r>
      <w:r w:rsidRPr="00DD6697">
        <w:rPr>
          <w:rFonts w:cs="Arial"/>
          <w:color w:val="000000"/>
        </w:rPr>
        <w:t xml:space="preserve"> Journal of Thermal Analysis and Calorimetry, 150</w:t>
      </w:r>
      <w:r>
        <w:rPr>
          <w:rFonts w:cs="Arial"/>
          <w:color w:val="000000"/>
        </w:rPr>
        <w:t xml:space="preserve">, </w:t>
      </w:r>
      <w:r w:rsidRPr="00DD6697">
        <w:rPr>
          <w:rFonts w:cs="Arial"/>
          <w:color w:val="000000"/>
        </w:rPr>
        <w:t xml:space="preserve">10, 7613–7632. </w:t>
      </w:r>
    </w:p>
    <w:p w14:paraId="3C74F76E" w14:textId="5627AEDD" w:rsidR="004B5F39" w:rsidRPr="000804EF" w:rsidRDefault="004B5F39" w:rsidP="00993BA4">
      <w:pPr>
        <w:pStyle w:val="CETBodytext"/>
        <w:rPr>
          <w:rFonts w:cs="Arial"/>
          <w:color w:val="000000"/>
        </w:rPr>
      </w:pPr>
    </w:p>
    <w:sectPr w:rsidR="004B5F39" w:rsidRPr="000804EF"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2A98E" w14:textId="77777777" w:rsidR="00B578D2" w:rsidRPr="004B5EBA" w:rsidRDefault="00B578D2" w:rsidP="004F5E36">
      <w:r w:rsidRPr="004B5EBA">
        <w:separator/>
      </w:r>
    </w:p>
  </w:endnote>
  <w:endnote w:type="continuationSeparator" w:id="0">
    <w:p w14:paraId="6A53857D" w14:textId="77777777" w:rsidR="00B578D2" w:rsidRPr="004B5EBA" w:rsidRDefault="00B578D2" w:rsidP="004F5E36">
      <w:r w:rsidRPr="004B5E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B2C19" w14:textId="77777777" w:rsidR="00B578D2" w:rsidRPr="004B5EBA" w:rsidRDefault="00B578D2" w:rsidP="004F5E36">
      <w:r w:rsidRPr="004B5EBA">
        <w:separator/>
      </w:r>
    </w:p>
  </w:footnote>
  <w:footnote w:type="continuationSeparator" w:id="0">
    <w:p w14:paraId="5450072D" w14:textId="77777777" w:rsidR="00B578D2" w:rsidRPr="004B5EBA" w:rsidRDefault="00B578D2" w:rsidP="004F5E36">
      <w:r w:rsidRPr="004B5EB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8FAK35pNMtAAAA"/>
  </w:docVars>
  <w:rsids>
    <w:rsidRoot w:val="000E414A"/>
    <w:rsid w:val="000027C0"/>
    <w:rsid w:val="000052FB"/>
    <w:rsid w:val="00005884"/>
    <w:rsid w:val="00005A19"/>
    <w:rsid w:val="000117CB"/>
    <w:rsid w:val="0003148D"/>
    <w:rsid w:val="00031EEC"/>
    <w:rsid w:val="000335FA"/>
    <w:rsid w:val="00051566"/>
    <w:rsid w:val="000562A9"/>
    <w:rsid w:val="00057072"/>
    <w:rsid w:val="00062A9A"/>
    <w:rsid w:val="00065058"/>
    <w:rsid w:val="000670CF"/>
    <w:rsid w:val="00070D37"/>
    <w:rsid w:val="000771E9"/>
    <w:rsid w:val="000804EF"/>
    <w:rsid w:val="00081546"/>
    <w:rsid w:val="00082CAB"/>
    <w:rsid w:val="00086C39"/>
    <w:rsid w:val="000A03B2"/>
    <w:rsid w:val="000A0884"/>
    <w:rsid w:val="000A6662"/>
    <w:rsid w:val="000D0268"/>
    <w:rsid w:val="000D34BE"/>
    <w:rsid w:val="000D4825"/>
    <w:rsid w:val="000E102F"/>
    <w:rsid w:val="000E36F1"/>
    <w:rsid w:val="000E3A73"/>
    <w:rsid w:val="000E414A"/>
    <w:rsid w:val="000E75FD"/>
    <w:rsid w:val="000F093C"/>
    <w:rsid w:val="000F1133"/>
    <w:rsid w:val="000F4E0B"/>
    <w:rsid w:val="000F5358"/>
    <w:rsid w:val="000F787B"/>
    <w:rsid w:val="0012091F"/>
    <w:rsid w:val="00124AAD"/>
    <w:rsid w:val="00126BC2"/>
    <w:rsid w:val="00130093"/>
    <w:rsid w:val="001308B6"/>
    <w:rsid w:val="0013121F"/>
    <w:rsid w:val="00131FE6"/>
    <w:rsid w:val="0013263F"/>
    <w:rsid w:val="001331DF"/>
    <w:rsid w:val="00134DE4"/>
    <w:rsid w:val="0014034D"/>
    <w:rsid w:val="00140FE3"/>
    <w:rsid w:val="00142DEB"/>
    <w:rsid w:val="00144D16"/>
    <w:rsid w:val="00145A10"/>
    <w:rsid w:val="00150E59"/>
    <w:rsid w:val="00152DE3"/>
    <w:rsid w:val="00154394"/>
    <w:rsid w:val="00156346"/>
    <w:rsid w:val="00164CF9"/>
    <w:rsid w:val="001667A6"/>
    <w:rsid w:val="001806C0"/>
    <w:rsid w:val="00184AD6"/>
    <w:rsid w:val="001A1C12"/>
    <w:rsid w:val="001A263E"/>
    <w:rsid w:val="001A4AF7"/>
    <w:rsid w:val="001B0349"/>
    <w:rsid w:val="001B1E93"/>
    <w:rsid w:val="001B61A7"/>
    <w:rsid w:val="001B65C1"/>
    <w:rsid w:val="001B7C24"/>
    <w:rsid w:val="001C260F"/>
    <w:rsid w:val="001C33F1"/>
    <w:rsid w:val="001C4412"/>
    <w:rsid w:val="001C684B"/>
    <w:rsid w:val="001D0CFB"/>
    <w:rsid w:val="001D21AF"/>
    <w:rsid w:val="001D33A5"/>
    <w:rsid w:val="001D53FC"/>
    <w:rsid w:val="001D5D5E"/>
    <w:rsid w:val="001F1C63"/>
    <w:rsid w:val="001F42A5"/>
    <w:rsid w:val="001F5381"/>
    <w:rsid w:val="001F7B9D"/>
    <w:rsid w:val="002007ED"/>
    <w:rsid w:val="00201C93"/>
    <w:rsid w:val="002049F8"/>
    <w:rsid w:val="0021744B"/>
    <w:rsid w:val="002224B4"/>
    <w:rsid w:val="002269EA"/>
    <w:rsid w:val="0024088F"/>
    <w:rsid w:val="002447EF"/>
    <w:rsid w:val="00244875"/>
    <w:rsid w:val="00251550"/>
    <w:rsid w:val="00251ACB"/>
    <w:rsid w:val="00252301"/>
    <w:rsid w:val="00260829"/>
    <w:rsid w:val="00263B05"/>
    <w:rsid w:val="0027127A"/>
    <w:rsid w:val="0027221A"/>
    <w:rsid w:val="00275B61"/>
    <w:rsid w:val="00280FAF"/>
    <w:rsid w:val="0028124E"/>
    <w:rsid w:val="00282656"/>
    <w:rsid w:val="00296B83"/>
    <w:rsid w:val="002A174B"/>
    <w:rsid w:val="002A5AFC"/>
    <w:rsid w:val="002B4015"/>
    <w:rsid w:val="002B78CE"/>
    <w:rsid w:val="002C2FB6"/>
    <w:rsid w:val="002E5FA7"/>
    <w:rsid w:val="002F3309"/>
    <w:rsid w:val="003008CE"/>
    <w:rsid w:val="003009B7"/>
    <w:rsid w:val="00300E56"/>
    <w:rsid w:val="0030152C"/>
    <w:rsid w:val="00301D1B"/>
    <w:rsid w:val="0030469C"/>
    <w:rsid w:val="00310521"/>
    <w:rsid w:val="003123E6"/>
    <w:rsid w:val="00320CB9"/>
    <w:rsid w:val="00321CA6"/>
    <w:rsid w:val="00323763"/>
    <w:rsid w:val="00323C5F"/>
    <w:rsid w:val="003242F2"/>
    <w:rsid w:val="00326613"/>
    <w:rsid w:val="00331F1F"/>
    <w:rsid w:val="00334C09"/>
    <w:rsid w:val="00334EAF"/>
    <w:rsid w:val="00337AD7"/>
    <w:rsid w:val="0035051B"/>
    <w:rsid w:val="00362AC4"/>
    <w:rsid w:val="00370E43"/>
    <w:rsid w:val="003723D4"/>
    <w:rsid w:val="00381905"/>
    <w:rsid w:val="00384CC8"/>
    <w:rsid w:val="0038500D"/>
    <w:rsid w:val="003871FD"/>
    <w:rsid w:val="0039364A"/>
    <w:rsid w:val="00395FB3"/>
    <w:rsid w:val="003A1CBF"/>
    <w:rsid w:val="003A1E30"/>
    <w:rsid w:val="003A2829"/>
    <w:rsid w:val="003A7D1C"/>
    <w:rsid w:val="003B304B"/>
    <w:rsid w:val="003B3146"/>
    <w:rsid w:val="003B6FE1"/>
    <w:rsid w:val="003C34E6"/>
    <w:rsid w:val="003C76C0"/>
    <w:rsid w:val="003D1E02"/>
    <w:rsid w:val="003D2C42"/>
    <w:rsid w:val="003D4189"/>
    <w:rsid w:val="003D48B7"/>
    <w:rsid w:val="003E28DD"/>
    <w:rsid w:val="003E3CD1"/>
    <w:rsid w:val="003F015E"/>
    <w:rsid w:val="003F51B6"/>
    <w:rsid w:val="00400414"/>
    <w:rsid w:val="00401715"/>
    <w:rsid w:val="0041446B"/>
    <w:rsid w:val="004148C3"/>
    <w:rsid w:val="0042682B"/>
    <w:rsid w:val="0043070E"/>
    <w:rsid w:val="004351B7"/>
    <w:rsid w:val="0044071E"/>
    <w:rsid w:val="0044329C"/>
    <w:rsid w:val="00453DA1"/>
    <w:rsid w:val="00453E24"/>
    <w:rsid w:val="00457456"/>
    <w:rsid w:val="004577FE"/>
    <w:rsid w:val="00457B9C"/>
    <w:rsid w:val="0046164A"/>
    <w:rsid w:val="00462627"/>
    <w:rsid w:val="004628D2"/>
    <w:rsid w:val="00462DCD"/>
    <w:rsid w:val="0046385C"/>
    <w:rsid w:val="004648AD"/>
    <w:rsid w:val="004653B6"/>
    <w:rsid w:val="004703A9"/>
    <w:rsid w:val="0047258A"/>
    <w:rsid w:val="004760DE"/>
    <w:rsid w:val="004763D7"/>
    <w:rsid w:val="00483BB9"/>
    <w:rsid w:val="00491B2E"/>
    <w:rsid w:val="00492F67"/>
    <w:rsid w:val="00495CCF"/>
    <w:rsid w:val="004A004E"/>
    <w:rsid w:val="004A1171"/>
    <w:rsid w:val="004A24CF"/>
    <w:rsid w:val="004A5E57"/>
    <w:rsid w:val="004B1596"/>
    <w:rsid w:val="004B1B4C"/>
    <w:rsid w:val="004B5EBA"/>
    <w:rsid w:val="004B5F39"/>
    <w:rsid w:val="004C194F"/>
    <w:rsid w:val="004C3D1D"/>
    <w:rsid w:val="004C3D84"/>
    <w:rsid w:val="004C7913"/>
    <w:rsid w:val="004D1771"/>
    <w:rsid w:val="004D2A87"/>
    <w:rsid w:val="004D6631"/>
    <w:rsid w:val="004D7220"/>
    <w:rsid w:val="004E019B"/>
    <w:rsid w:val="004E4DD6"/>
    <w:rsid w:val="004F3754"/>
    <w:rsid w:val="004F5E36"/>
    <w:rsid w:val="00503848"/>
    <w:rsid w:val="00505D17"/>
    <w:rsid w:val="00507B47"/>
    <w:rsid w:val="00507BEF"/>
    <w:rsid w:val="00507CC9"/>
    <w:rsid w:val="005119A5"/>
    <w:rsid w:val="005278B7"/>
    <w:rsid w:val="00532016"/>
    <w:rsid w:val="005346C8"/>
    <w:rsid w:val="005346EA"/>
    <w:rsid w:val="00535D2E"/>
    <w:rsid w:val="00543E7D"/>
    <w:rsid w:val="00547A68"/>
    <w:rsid w:val="005531C9"/>
    <w:rsid w:val="00570C43"/>
    <w:rsid w:val="005753E7"/>
    <w:rsid w:val="00592274"/>
    <w:rsid w:val="005A2F42"/>
    <w:rsid w:val="005A3B62"/>
    <w:rsid w:val="005B2110"/>
    <w:rsid w:val="005B61E6"/>
    <w:rsid w:val="005B6B75"/>
    <w:rsid w:val="005C47D7"/>
    <w:rsid w:val="005C77E1"/>
    <w:rsid w:val="005D21BF"/>
    <w:rsid w:val="005D2DF6"/>
    <w:rsid w:val="005D668A"/>
    <w:rsid w:val="005D6A2F"/>
    <w:rsid w:val="005D6FD2"/>
    <w:rsid w:val="005E0592"/>
    <w:rsid w:val="005E1A82"/>
    <w:rsid w:val="005E794C"/>
    <w:rsid w:val="005F0A28"/>
    <w:rsid w:val="005F0E5E"/>
    <w:rsid w:val="00600535"/>
    <w:rsid w:val="00610481"/>
    <w:rsid w:val="00610977"/>
    <w:rsid w:val="00610CD6"/>
    <w:rsid w:val="00613D5C"/>
    <w:rsid w:val="0061597A"/>
    <w:rsid w:val="00620DEE"/>
    <w:rsid w:val="00621F92"/>
    <w:rsid w:val="0062280A"/>
    <w:rsid w:val="006231E1"/>
    <w:rsid w:val="00625639"/>
    <w:rsid w:val="00631B33"/>
    <w:rsid w:val="006341A3"/>
    <w:rsid w:val="0064184D"/>
    <w:rsid w:val="006422CC"/>
    <w:rsid w:val="00651D18"/>
    <w:rsid w:val="00660E3E"/>
    <w:rsid w:val="00662E74"/>
    <w:rsid w:val="00666CEA"/>
    <w:rsid w:val="00670AB9"/>
    <w:rsid w:val="00675E4B"/>
    <w:rsid w:val="00680C23"/>
    <w:rsid w:val="006836CA"/>
    <w:rsid w:val="00683E23"/>
    <w:rsid w:val="00693766"/>
    <w:rsid w:val="006A13E7"/>
    <w:rsid w:val="006A3281"/>
    <w:rsid w:val="006A3717"/>
    <w:rsid w:val="006A6672"/>
    <w:rsid w:val="006A7617"/>
    <w:rsid w:val="006B39E4"/>
    <w:rsid w:val="006B4888"/>
    <w:rsid w:val="006C1D81"/>
    <w:rsid w:val="006C2E45"/>
    <w:rsid w:val="006C359C"/>
    <w:rsid w:val="006C5579"/>
    <w:rsid w:val="006C63DE"/>
    <w:rsid w:val="006D4D97"/>
    <w:rsid w:val="006D6E8B"/>
    <w:rsid w:val="006D7209"/>
    <w:rsid w:val="006D75B5"/>
    <w:rsid w:val="006D7FB0"/>
    <w:rsid w:val="006E737D"/>
    <w:rsid w:val="006E7A8C"/>
    <w:rsid w:val="006F5387"/>
    <w:rsid w:val="007013DD"/>
    <w:rsid w:val="00705A36"/>
    <w:rsid w:val="00706B6E"/>
    <w:rsid w:val="00707DD1"/>
    <w:rsid w:val="00713973"/>
    <w:rsid w:val="00717F5E"/>
    <w:rsid w:val="00720A24"/>
    <w:rsid w:val="00732332"/>
    <w:rsid w:val="00732386"/>
    <w:rsid w:val="0073514D"/>
    <w:rsid w:val="007419F9"/>
    <w:rsid w:val="00742F83"/>
    <w:rsid w:val="007447F3"/>
    <w:rsid w:val="00750367"/>
    <w:rsid w:val="00751BE2"/>
    <w:rsid w:val="0075499F"/>
    <w:rsid w:val="007617CC"/>
    <w:rsid w:val="007620DB"/>
    <w:rsid w:val="007661C8"/>
    <w:rsid w:val="00766250"/>
    <w:rsid w:val="0077098D"/>
    <w:rsid w:val="00785BF9"/>
    <w:rsid w:val="007931FA"/>
    <w:rsid w:val="0079663C"/>
    <w:rsid w:val="007A4861"/>
    <w:rsid w:val="007A6DF8"/>
    <w:rsid w:val="007A7BBA"/>
    <w:rsid w:val="007B0B8C"/>
    <w:rsid w:val="007B0C50"/>
    <w:rsid w:val="007B1AA4"/>
    <w:rsid w:val="007B48F9"/>
    <w:rsid w:val="007C1A43"/>
    <w:rsid w:val="007C2093"/>
    <w:rsid w:val="007C542F"/>
    <w:rsid w:val="007D0951"/>
    <w:rsid w:val="007F0066"/>
    <w:rsid w:val="007F27C8"/>
    <w:rsid w:val="0080013E"/>
    <w:rsid w:val="00800E01"/>
    <w:rsid w:val="00805E41"/>
    <w:rsid w:val="00813288"/>
    <w:rsid w:val="008146EE"/>
    <w:rsid w:val="008168FC"/>
    <w:rsid w:val="00830996"/>
    <w:rsid w:val="008314D7"/>
    <w:rsid w:val="008345F1"/>
    <w:rsid w:val="008408DE"/>
    <w:rsid w:val="00860A18"/>
    <w:rsid w:val="00865B07"/>
    <w:rsid w:val="008667EA"/>
    <w:rsid w:val="0087637F"/>
    <w:rsid w:val="00892AD5"/>
    <w:rsid w:val="008A1512"/>
    <w:rsid w:val="008A3CE0"/>
    <w:rsid w:val="008A5301"/>
    <w:rsid w:val="008B70F4"/>
    <w:rsid w:val="008C21A6"/>
    <w:rsid w:val="008C3CBB"/>
    <w:rsid w:val="008D32B9"/>
    <w:rsid w:val="008D433B"/>
    <w:rsid w:val="008D4A16"/>
    <w:rsid w:val="008D72E1"/>
    <w:rsid w:val="008E209A"/>
    <w:rsid w:val="008E45BC"/>
    <w:rsid w:val="008E566E"/>
    <w:rsid w:val="008F2E4B"/>
    <w:rsid w:val="008F3344"/>
    <w:rsid w:val="008F3F69"/>
    <w:rsid w:val="008F7B69"/>
    <w:rsid w:val="0090161A"/>
    <w:rsid w:val="00901EB6"/>
    <w:rsid w:val="009041F8"/>
    <w:rsid w:val="00904C62"/>
    <w:rsid w:val="00907ED6"/>
    <w:rsid w:val="00922BA8"/>
    <w:rsid w:val="00924DAC"/>
    <w:rsid w:val="00927058"/>
    <w:rsid w:val="00931D9F"/>
    <w:rsid w:val="00935027"/>
    <w:rsid w:val="00942750"/>
    <w:rsid w:val="009450CE"/>
    <w:rsid w:val="009459BB"/>
    <w:rsid w:val="00947179"/>
    <w:rsid w:val="0095164B"/>
    <w:rsid w:val="00954090"/>
    <w:rsid w:val="009573E7"/>
    <w:rsid w:val="00963E05"/>
    <w:rsid w:val="00964A45"/>
    <w:rsid w:val="00967764"/>
    <w:rsid w:val="00967843"/>
    <w:rsid w:val="00967D54"/>
    <w:rsid w:val="00967E3E"/>
    <w:rsid w:val="00971028"/>
    <w:rsid w:val="009726AF"/>
    <w:rsid w:val="00983A2E"/>
    <w:rsid w:val="00993B84"/>
    <w:rsid w:val="00993BA4"/>
    <w:rsid w:val="00996483"/>
    <w:rsid w:val="00996F5A"/>
    <w:rsid w:val="009B041A"/>
    <w:rsid w:val="009B14BE"/>
    <w:rsid w:val="009C37C3"/>
    <w:rsid w:val="009C7C86"/>
    <w:rsid w:val="009D2FF7"/>
    <w:rsid w:val="009E362A"/>
    <w:rsid w:val="009E7884"/>
    <w:rsid w:val="009E788A"/>
    <w:rsid w:val="009F0E08"/>
    <w:rsid w:val="00A05409"/>
    <w:rsid w:val="00A072D5"/>
    <w:rsid w:val="00A079AE"/>
    <w:rsid w:val="00A13E6E"/>
    <w:rsid w:val="00A1763D"/>
    <w:rsid w:val="00A17CEC"/>
    <w:rsid w:val="00A26CBB"/>
    <w:rsid w:val="00A27EF0"/>
    <w:rsid w:val="00A42361"/>
    <w:rsid w:val="00A46434"/>
    <w:rsid w:val="00A50B20"/>
    <w:rsid w:val="00A51390"/>
    <w:rsid w:val="00A52920"/>
    <w:rsid w:val="00A57B05"/>
    <w:rsid w:val="00A603DF"/>
    <w:rsid w:val="00A60D13"/>
    <w:rsid w:val="00A7223D"/>
    <w:rsid w:val="00A72745"/>
    <w:rsid w:val="00A76204"/>
    <w:rsid w:val="00A76931"/>
    <w:rsid w:val="00A76EFC"/>
    <w:rsid w:val="00A87D50"/>
    <w:rsid w:val="00A91010"/>
    <w:rsid w:val="00A97F29"/>
    <w:rsid w:val="00AA1369"/>
    <w:rsid w:val="00AA1B97"/>
    <w:rsid w:val="00AA6668"/>
    <w:rsid w:val="00AA6E1C"/>
    <w:rsid w:val="00AA702E"/>
    <w:rsid w:val="00AA7D26"/>
    <w:rsid w:val="00AB0964"/>
    <w:rsid w:val="00AB3D05"/>
    <w:rsid w:val="00AB5011"/>
    <w:rsid w:val="00AC0D7E"/>
    <w:rsid w:val="00AC31B7"/>
    <w:rsid w:val="00AC392A"/>
    <w:rsid w:val="00AC669F"/>
    <w:rsid w:val="00AC7368"/>
    <w:rsid w:val="00AD0278"/>
    <w:rsid w:val="00AD07E3"/>
    <w:rsid w:val="00AD095E"/>
    <w:rsid w:val="00AD16B9"/>
    <w:rsid w:val="00AE0C88"/>
    <w:rsid w:val="00AE13F5"/>
    <w:rsid w:val="00AE377D"/>
    <w:rsid w:val="00AF0EBA"/>
    <w:rsid w:val="00AF3CDB"/>
    <w:rsid w:val="00AF55CD"/>
    <w:rsid w:val="00AF5614"/>
    <w:rsid w:val="00B0037D"/>
    <w:rsid w:val="00B02C8A"/>
    <w:rsid w:val="00B16D36"/>
    <w:rsid w:val="00B17FBD"/>
    <w:rsid w:val="00B2108F"/>
    <w:rsid w:val="00B269A0"/>
    <w:rsid w:val="00B315A6"/>
    <w:rsid w:val="00B31813"/>
    <w:rsid w:val="00B33365"/>
    <w:rsid w:val="00B40C50"/>
    <w:rsid w:val="00B426F8"/>
    <w:rsid w:val="00B474FB"/>
    <w:rsid w:val="00B522A9"/>
    <w:rsid w:val="00B53DD7"/>
    <w:rsid w:val="00B578D2"/>
    <w:rsid w:val="00B57B36"/>
    <w:rsid w:val="00B57E6F"/>
    <w:rsid w:val="00B65C90"/>
    <w:rsid w:val="00B67F95"/>
    <w:rsid w:val="00B838B0"/>
    <w:rsid w:val="00B857DF"/>
    <w:rsid w:val="00B85B98"/>
    <w:rsid w:val="00B8686D"/>
    <w:rsid w:val="00B93475"/>
    <w:rsid w:val="00B93F69"/>
    <w:rsid w:val="00B95EAB"/>
    <w:rsid w:val="00BB1DDC"/>
    <w:rsid w:val="00BC30C9"/>
    <w:rsid w:val="00BD077D"/>
    <w:rsid w:val="00BD53BF"/>
    <w:rsid w:val="00BE268A"/>
    <w:rsid w:val="00BE3E58"/>
    <w:rsid w:val="00BE76D8"/>
    <w:rsid w:val="00BF17A7"/>
    <w:rsid w:val="00C01616"/>
    <w:rsid w:val="00C0162B"/>
    <w:rsid w:val="00C016EF"/>
    <w:rsid w:val="00C04422"/>
    <w:rsid w:val="00C068ED"/>
    <w:rsid w:val="00C10666"/>
    <w:rsid w:val="00C14D9A"/>
    <w:rsid w:val="00C20263"/>
    <w:rsid w:val="00C2088F"/>
    <w:rsid w:val="00C208E9"/>
    <w:rsid w:val="00C22E0C"/>
    <w:rsid w:val="00C27057"/>
    <w:rsid w:val="00C33ED1"/>
    <w:rsid w:val="00C345B1"/>
    <w:rsid w:val="00C345DD"/>
    <w:rsid w:val="00C40142"/>
    <w:rsid w:val="00C42C43"/>
    <w:rsid w:val="00C5226D"/>
    <w:rsid w:val="00C52C3C"/>
    <w:rsid w:val="00C57182"/>
    <w:rsid w:val="00C57863"/>
    <w:rsid w:val="00C6340D"/>
    <w:rsid w:val="00C640AF"/>
    <w:rsid w:val="00C655FD"/>
    <w:rsid w:val="00C73B42"/>
    <w:rsid w:val="00C75407"/>
    <w:rsid w:val="00C808B2"/>
    <w:rsid w:val="00C841C6"/>
    <w:rsid w:val="00C870A8"/>
    <w:rsid w:val="00C92399"/>
    <w:rsid w:val="00C94434"/>
    <w:rsid w:val="00C97E02"/>
    <w:rsid w:val="00CA0D75"/>
    <w:rsid w:val="00CA1C95"/>
    <w:rsid w:val="00CA39C5"/>
    <w:rsid w:val="00CA5A9C"/>
    <w:rsid w:val="00CA6676"/>
    <w:rsid w:val="00CC4C20"/>
    <w:rsid w:val="00CD1BC7"/>
    <w:rsid w:val="00CD3517"/>
    <w:rsid w:val="00CD5FE2"/>
    <w:rsid w:val="00CD60F3"/>
    <w:rsid w:val="00CE7C68"/>
    <w:rsid w:val="00D02B4C"/>
    <w:rsid w:val="00D040C4"/>
    <w:rsid w:val="00D06224"/>
    <w:rsid w:val="00D20AD1"/>
    <w:rsid w:val="00D2582C"/>
    <w:rsid w:val="00D40680"/>
    <w:rsid w:val="00D42281"/>
    <w:rsid w:val="00D46B7E"/>
    <w:rsid w:val="00D56829"/>
    <w:rsid w:val="00D57C84"/>
    <w:rsid w:val="00D6057D"/>
    <w:rsid w:val="00D609B5"/>
    <w:rsid w:val="00D673B0"/>
    <w:rsid w:val="00D71640"/>
    <w:rsid w:val="00D81A1B"/>
    <w:rsid w:val="00D836C5"/>
    <w:rsid w:val="00D84576"/>
    <w:rsid w:val="00DA1399"/>
    <w:rsid w:val="00DA24C6"/>
    <w:rsid w:val="00DA3446"/>
    <w:rsid w:val="00DA4D7B"/>
    <w:rsid w:val="00DD271C"/>
    <w:rsid w:val="00DD6697"/>
    <w:rsid w:val="00DE264A"/>
    <w:rsid w:val="00DF2C1B"/>
    <w:rsid w:val="00DF5072"/>
    <w:rsid w:val="00DF7E38"/>
    <w:rsid w:val="00E02D18"/>
    <w:rsid w:val="00E041E7"/>
    <w:rsid w:val="00E23CA1"/>
    <w:rsid w:val="00E409A8"/>
    <w:rsid w:val="00E4592C"/>
    <w:rsid w:val="00E47D61"/>
    <w:rsid w:val="00E50C12"/>
    <w:rsid w:val="00E546FE"/>
    <w:rsid w:val="00E56120"/>
    <w:rsid w:val="00E621ED"/>
    <w:rsid w:val="00E64786"/>
    <w:rsid w:val="00E64D03"/>
    <w:rsid w:val="00E65B91"/>
    <w:rsid w:val="00E7187E"/>
    <w:rsid w:val="00E7209D"/>
    <w:rsid w:val="00E72EAD"/>
    <w:rsid w:val="00E77223"/>
    <w:rsid w:val="00E8528B"/>
    <w:rsid w:val="00E85B94"/>
    <w:rsid w:val="00E85D28"/>
    <w:rsid w:val="00E976A4"/>
    <w:rsid w:val="00E978D0"/>
    <w:rsid w:val="00EA4613"/>
    <w:rsid w:val="00EA7F91"/>
    <w:rsid w:val="00EB1523"/>
    <w:rsid w:val="00EC0E49"/>
    <w:rsid w:val="00EC101F"/>
    <w:rsid w:val="00EC1D9F"/>
    <w:rsid w:val="00EC335C"/>
    <w:rsid w:val="00EC3C68"/>
    <w:rsid w:val="00EC77A0"/>
    <w:rsid w:val="00ED5B88"/>
    <w:rsid w:val="00EE0131"/>
    <w:rsid w:val="00EE17B0"/>
    <w:rsid w:val="00EF06D9"/>
    <w:rsid w:val="00EF0982"/>
    <w:rsid w:val="00EF1229"/>
    <w:rsid w:val="00EF5CA2"/>
    <w:rsid w:val="00F06956"/>
    <w:rsid w:val="00F075C6"/>
    <w:rsid w:val="00F10022"/>
    <w:rsid w:val="00F12C5B"/>
    <w:rsid w:val="00F30229"/>
    <w:rsid w:val="00F3049E"/>
    <w:rsid w:val="00F30C64"/>
    <w:rsid w:val="00F32BA2"/>
    <w:rsid w:val="00F32CDB"/>
    <w:rsid w:val="00F3348F"/>
    <w:rsid w:val="00F37280"/>
    <w:rsid w:val="00F41B2A"/>
    <w:rsid w:val="00F41EE4"/>
    <w:rsid w:val="00F44087"/>
    <w:rsid w:val="00F53A6D"/>
    <w:rsid w:val="00F565FE"/>
    <w:rsid w:val="00F63A70"/>
    <w:rsid w:val="00F63D8C"/>
    <w:rsid w:val="00F66102"/>
    <w:rsid w:val="00F751C8"/>
    <w:rsid w:val="00F7534E"/>
    <w:rsid w:val="00F83BEE"/>
    <w:rsid w:val="00F93EDF"/>
    <w:rsid w:val="00FA04C9"/>
    <w:rsid w:val="00FA1802"/>
    <w:rsid w:val="00FA21D0"/>
    <w:rsid w:val="00FA5F5F"/>
    <w:rsid w:val="00FA6FE7"/>
    <w:rsid w:val="00FB6C61"/>
    <w:rsid w:val="00FB730C"/>
    <w:rsid w:val="00FC0CAD"/>
    <w:rsid w:val="00FC2695"/>
    <w:rsid w:val="00FC3E03"/>
    <w:rsid w:val="00FC3FC1"/>
    <w:rsid w:val="00FD6911"/>
    <w:rsid w:val="00FE044A"/>
    <w:rsid w:val="00FE3171"/>
    <w:rsid w:val="00FE53C0"/>
    <w:rsid w:val="00FE5D17"/>
    <w:rsid w:val="00FF0DCA"/>
    <w:rsid w:val="00FF164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C016EF"/>
    <w:rPr>
      <w:color w:val="605E5C"/>
      <w:shd w:val="clear" w:color="auto" w:fill="E1DFDD"/>
    </w:rPr>
  </w:style>
  <w:style w:type="character" w:styleId="Testosegnaposto">
    <w:name w:val="Placeholder Text"/>
    <w:basedOn w:val="Carpredefinitoparagrafo"/>
    <w:uiPriority w:val="99"/>
    <w:semiHidden/>
    <w:rsid w:val="00A13E6E"/>
    <w:rPr>
      <w:color w:val="666666"/>
    </w:rPr>
  </w:style>
  <w:style w:type="paragraph" w:styleId="Revisione">
    <w:name w:val="Revision"/>
    <w:hidden/>
    <w:uiPriority w:val="99"/>
    <w:semiHidden/>
    <w:rsid w:val="0031052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411">
      <w:marLeft w:val="480"/>
      <w:marRight w:val="0"/>
      <w:marTop w:val="0"/>
      <w:marBottom w:val="0"/>
      <w:divBdr>
        <w:top w:val="none" w:sz="0" w:space="0" w:color="auto"/>
        <w:left w:val="none" w:sz="0" w:space="0" w:color="auto"/>
        <w:bottom w:val="none" w:sz="0" w:space="0" w:color="auto"/>
        <w:right w:val="none" w:sz="0" w:space="0" w:color="auto"/>
      </w:divBdr>
    </w:div>
    <w:div w:id="3870363">
      <w:marLeft w:val="480"/>
      <w:marRight w:val="0"/>
      <w:marTop w:val="0"/>
      <w:marBottom w:val="0"/>
      <w:divBdr>
        <w:top w:val="none" w:sz="0" w:space="0" w:color="auto"/>
        <w:left w:val="none" w:sz="0" w:space="0" w:color="auto"/>
        <w:bottom w:val="none" w:sz="0" w:space="0" w:color="auto"/>
        <w:right w:val="none" w:sz="0" w:space="0" w:color="auto"/>
      </w:divBdr>
    </w:div>
    <w:div w:id="7874259">
      <w:marLeft w:val="480"/>
      <w:marRight w:val="0"/>
      <w:marTop w:val="0"/>
      <w:marBottom w:val="0"/>
      <w:divBdr>
        <w:top w:val="none" w:sz="0" w:space="0" w:color="auto"/>
        <w:left w:val="none" w:sz="0" w:space="0" w:color="auto"/>
        <w:bottom w:val="none" w:sz="0" w:space="0" w:color="auto"/>
        <w:right w:val="none" w:sz="0" w:space="0" w:color="auto"/>
      </w:divBdr>
    </w:div>
    <w:div w:id="16202406">
      <w:marLeft w:val="480"/>
      <w:marRight w:val="0"/>
      <w:marTop w:val="0"/>
      <w:marBottom w:val="0"/>
      <w:divBdr>
        <w:top w:val="none" w:sz="0" w:space="0" w:color="auto"/>
        <w:left w:val="none" w:sz="0" w:space="0" w:color="auto"/>
        <w:bottom w:val="none" w:sz="0" w:space="0" w:color="auto"/>
        <w:right w:val="none" w:sz="0" w:space="0" w:color="auto"/>
      </w:divBdr>
    </w:div>
    <w:div w:id="16777358">
      <w:marLeft w:val="480"/>
      <w:marRight w:val="0"/>
      <w:marTop w:val="0"/>
      <w:marBottom w:val="0"/>
      <w:divBdr>
        <w:top w:val="none" w:sz="0" w:space="0" w:color="auto"/>
        <w:left w:val="none" w:sz="0" w:space="0" w:color="auto"/>
        <w:bottom w:val="none" w:sz="0" w:space="0" w:color="auto"/>
        <w:right w:val="none" w:sz="0" w:space="0" w:color="auto"/>
      </w:divBdr>
    </w:div>
    <w:div w:id="26877874">
      <w:marLeft w:val="480"/>
      <w:marRight w:val="0"/>
      <w:marTop w:val="0"/>
      <w:marBottom w:val="0"/>
      <w:divBdr>
        <w:top w:val="none" w:sz="0" w:space="0" w:color="auto"/>
        <w:left w:val="none" w:sz="0" w:space="0" w:color="auto"/>
        <w:bottom w:val="none" w:sz="0" w:space="0" w:color="auto"/>
        <w:right w:val="none" w:sz="0" w:space="0" w:color="auto"/>
      </w:divBdr>
    </w:div>
    <w:div w:id="30880458">
      <w:marLeft w:val="480"/>
      <w:marRight w:val="0"/>
      <w:marTop w:val="0"/>
      <w:marBottom w:val="0"/>
      <w:divBdr>
        <w:top w:val="none" w:sz="0" w:space="0" w:color="auto"/>
        <w:left w:val="none" w:sz="0" w:space="0" w:color="auto"/>
        <w:bottom w:val="none" w:sz="0" w:space="0" w:color="auto"/>
        <w:right w:val="none" w:sz="0" w:space="0" w:color="auto"/>
      </w:divBdr>
    </w:div>
    <w:div w:id="37584599">
      <w:marLeft w:val="480"/>
      <w:marRight w:val="0"/>
      <w:marTop w:val="0"/>
      <w:marBottom w:val="0"/>
      <w:divBdr>
        <w:top w:val="none" w:sz="0" w:space="0" w:color="auto"/>
        <w:left w:val="none" w:sz="0" w:space="0" w:color="auto"/>
        <w:bottom w:val="none" w:sz="0" w:space="0" w:color="auto"/>
        <w:right w:val="none" w:sz="0" w:space="0" w:color="auto"/>
      </w:divBdr>
    </w:div>
    <w:div w:id="40445139">
      <w:marLeft w:val="480"/>
      <w:marRight w:val="0"/>
      <w:marTop w:val="0"/>
      <w:marBottom w:val="0"/>
      <w:divBdr>
        <w:top w:val="none" w:sz="0" w:space="0" w:color="auto"/>
        <w:left w:val="none" w:sz="0" w:space="0" w:color="auto"/>
        <w:bottom w:val="none" w:sz="0" w:space="0" w:color="auto"/>
        <w:right w:val="none" w:sz="0" w:space="0" w:color="auto"/>
      </w:divBdr>
    </w:div>
    <w:div w:id="41827827">
      <w:marLeft w:val="480"/>
      <w:marRight w:val="0"/>
      <w:marTop w:val="0"/>
      <w:marBottom w:val="0"/>
      <w:divBdr>
        <w:top w:val="none" w:sz="0" w:space="0" w:color="auto"/>
        <w:left w:val="none" w:sz="0" w:space="0" w:color="auto"/>
        <w:bottom w:val="none" w:sz="0" w:space="0" w:color="auto"/>
        <w:right w:val="none" w:sz="0" w:space="0" w:color="auto"/>
      </w:divBdr>
    </w:div>
    <w:div w:id="42490217">
      <w:marLeft w:val="480"/>
      <w:marRight w:val="0"/>
      <w:marTop w:val="0"/>
      <w:marBottom w:val="0"/>
      <w:divBdr>
        <w:top w:val="none" w:sz="0" w:space="0" w:color="auto"/>
        <w:left w:val="none" w:sz="0" w:space="0" w:color="auto"/>
        <w:bottom w:val="none" w:sz="0" w:space="0" w:color="auto"/>
        <w:right w:val="none" w:sz="0" w:space="0" w:color="auto"/>
      </w:divBdr>
    </w:div>
    <w:div w:id="43480907">
      <w:marLeft w:val="480"/>
      <w:marRight w:val="0"/>
      <w:marTop w:val="0"/>
      <w:marBottom w:val="0"/>
      <w:divBdr>
        <w:top w:val="none" w:sz="0" w:space="0" w:color="auto"/>
        <w:left w:val="none" w:sz="0" w:space="0" w:color="auto"/>
        <w:bottom w:val="none" w:sz="0" w:space="0" w:color="auto"/>
        <w:right w:val="none" w:sz="0" w:space="0" w:color="auto"/>
      </w:divBdr>
    </w:div>
    <w:div w:id="43987071">
      <w:marLeft w:val="480"/>
      <w:marRight w:val="0"/>
      <w:marTop w:val="0"/>
      <w:marBottom w:val="0"/>
      <w:divBdr>
        <w:top w:val="none" w:sz="0" w:space="0" w:color="auto"/>
        <w:left w:val="none" w:sz="0" w:space="0" w:color="auto"/>
        <w:bottom w:val="none" w:sz="0" w:space="0" w:color="auto"/>
        <w:right w:val="none" w:sz="0" w:space="0" w:color="auto"/>
      </w:divBdr>
    </w:div>
    <w:div w:id="44529669">
      <w:marLeft w:val="480"/>
      <w:marRight w:val="0"/>
      <w:marTop w:val="0"/>
      <w:marBottom w:val="0"/>
      <w:divBdr>
        <w:top w:val="none" w:sz="0" w:space="0" w:color="auto"/>
        <w:left w:val="none" w:sz="0" w:space="0" w:color="auto"/>
        <w:bottom w:val="none" w:sz="0" w:space="0" w:color="auto"/>
        <w:right w:val="none" w:sz="0" w:space="0" w:color="auto"/>
      </w:divBdr>
    </w:div>
    <w:div w:id="51775063">
      <w:marLeft w:val="480"/>
      <w:marRight w:val="0"/>
      <w:marTop w:val="0"/>
      <w:marBottom w:val="0"/>
      <w:divBdr>
        <w:top w:val="none" w:sz="0" w:space="0" w:color="auto"/>
        <w:left w:val="none" w:sz="0" w:space="0" w:color="auto"/>
        <w:bottom w:val="none" w:sz="0" w:space="0" w:color="auto"/>
        <w:right w:val="none" w:sz="0" w:space="0" w:color="auto"/>
      </w:divBdr>
    </w:div>
    <w:div w:id="54939127">
      <w:marLeft w:val="480"/>
      <w:marRight w:val="0"/>
      <w:marTop w:val="0"/>
      <w:marBottom w:val="0"/>
      <w:divBdr>
        <w:top w:val="none" w:sz="0" w:space="0" w:color="auto"/>
        <w:left w:val="none" w:sz="0" w:space="0" w:color="auto"/>
        <w:bottom w:val="none" w:sz="0" w:space="0" w:color="auto"/>
        <w:right w:val="none" w:sz="0" w:space="0" w:color="auto"/>
      </w:divBdr>
    </w:div>
    <w:div w:id="55780931">
      <w:marLeft w:val="480"/>
      <w:marRight w:val="0"/>
      <w:marTop w:val="0"/>
      <w:marBottom w:val="0"/>
      <w:divBdr>
        <w:top w:val="none" w:sz="0" w:space="0" w:color="auto"/>
        <w:left w:val="none" w:sz="0" w:space="0" w:color="auto"/>
        <w:bottom w:val="none" w:sz="0" w:space="0" w:color="auto"/>
        <w:right w:val="none" w:sz="0" w:space="0" w:color="auto"/>
      </w:divBdr>
    </w:div>
    <w:div w:id="61607267">
      <w:marLeft w:val="480"/>
      <w:marRight w:val="0"/>
      <w:marTop w:val="0"/>
      <w:marBottom w:val="0"/>
      <w:divBdr>
        <w:top w:val="none" w:sz="0" w:space="0" w:color="auto"/>
        <w:left w:val="none" w:sz="0" w:space="0" w:color="auto"/>
        <w:bottom w:val="none" w:sz="0" w:space="0" w:color="auto"/>
        <w:right w:val="none" w:sz="0" w:space="0" w:color="auto"/>
      </w:divBdr>
    </w:div>
    <w:div w:id="64571086">
      <w:marLeft w:val="480"/>
      <w:marRight w:val="0"/>
      <w:marTop w:val="0"/>
      <w:marBottom w:val="0"/>
      <w:divBdr>
        <w:top w:val="none" w:sz="0" w:space="0" w:color="auto"/>
        <w:left w:val="none" w:sz="0" w:space="0" w:color="auto"/>
        <w:bottom w:val="none" w:sz="0" w:space="0" w:color="auto"/>
        <w:right w:val="none" w:sz="0" w:space="0" w:color="auto"/>
      </w:divBdr>
    </w:div>
    <w:div w:id="68699963">
      <w:marLeft w:val="480"/>
      <w:marRight w:val="0"/>
      <w:marTop w:val="0"/>
      <w:marBottom w:val="0"/>
      <w:divBdr>
        <w:top w:val="none" w:sz="0" w:space="0" w:color="auto"/>
        <w:left w:val="none" w:sz="0" w:space="0" w:color="auto"/>
        <w:bottom w:val="none" w:sz="0" w:space="0" w:color="auto"/>
        <w:right w:val="none" w:sz="0" w:space="0" w:color="auto"/>
      </w:divBdr>
    </w:div>
    <w:div w:id="69471100">
      <w:marLeft w:val="480"/>
      <w:marRight w:val="0"/>
      <w:marTop w:val="0"/>
      <w:marBottom w:val="0"/>
      <w:divBdr>
        <w:top w:val="none" w:sz="0" w:space="0" w:color="auto"/>
        <w:left w:val="none" w:sz="0" w:space="0" w:color="auto"/>
        <w:bottom w:val="none" w:sz="0" w:space="0" w:color="auto"/>
        <w:right w:val="none" w:sz="0" w:space="0" w:color="auto"/>
      </w:divBdr>
    </w:div>
    <w:div w:id="71852601">
      <w:marLeft w:val="480"/>
      <w:marRight w:val="0"/>
      <w:marTop w:val="0"/>
      <w:marBottom w:val="0"/>
      <w:divBdr>
        <w:top w:val="none" w:sz="0" w:space="0" w:color="auto"/>
        <w:left w:val="none" w:sz="0" w:space="0" w:color="auto"/>
        <w:bottom w:val="none" w:sz="0" w:space="0" w:color="auto"/>
        <w:right w:val="none" w:sz="0" w:space="0" w:color="auto"/>
      </w:divBdr>
    </w:div>
    <w:div w:id="73820937">
      <w:marLeft w:val="480"/>
      <w:marRight w:val="0"/>
      <w:marTop w:val="0"/>
      <w:marBottom w:val="0"/>
      <w:divBdr>
        <w:top w:val="none" w:sz="0" w:space="0" w:color="auto"/>
        <w:left w:val="none" w:sz="0" w:space="0" w:color="auto"/>
        <w:bottom w:val="none" w:sz="0" w:space="0" w:color="auto"/>
        <w:right w:val="none" w:sz="0" w:space="0" w:color="auto"/>
      </w:divBdr>
    </w:div>
    <w:div w:id="76558361">
      <w:marLeft w:val="480"/>
      <w:marRight w:val="0"/>
      <w:marTop w:val="0"/>
      <w:marBottom w:val="0"/>
      <w:divBdr>
        <w:top w:val="none" w:sz="0" w:space="0" w:color="auto"/>
        <w:left w:val="none" w:sz="0" w:space="0" w:color="auto"/>
        <w:bottom w:val="none" w:sz="0" w:space="0" w:color="auto"/>
        <w:right w:val="none" w:sz="0" w:space="0" w:color="auto"/>
      </w:divBdr>
    </w:div>
    <w:div w:id="81875161">
      <w:marLeft w:val="480"/>
      <w:marRight w:val="0"/>
      <w:marTop w:val="0"/>
      <w:marBottom w:val="0"/>
      <w:divBdr>
        <w:top w:val="none" w:sz="0" w:space="0" w:color="auto"/>
        <w:left w:val="none" w:sz="0" w:space="0" w:color="auto"/>
        <w:bottom w:val="none" w:sz="0" w:space="0" w:color="auto"/>
        <w:right w:val="none" w:sz="0" w:space="0" w:color="auto"/>
      </w:divBdr>
    </w:div>
    <w:div w:id="95180435">
      <w:marLeft w:val="480"/>
      <w:marRight w:val="0"/>
      <w:marTop w:val="0"/>
      <w:marBottom w:val="0"/>
      <w:divBdr>
        <w:top w:val="none" w:sz="0" w:space="0" w:color="auto"/>
        <w:left w:val="none" w:sz="0" w:space="0" w:color="auto"/>
        <w:bottom w:val="none" w:sz="0" w:space="0" w:color="auto"/>
        <w:right w:val="none" w:sz="0" w:space="0" w:color="auto"/>
      </w:divBdr>
    </w:div>
    <w:div w:id="96604122">
      <w:marLeft w:val="480"/>
      <w:marRight w:val="0"/>
      <w:marTop w:val="0"/>
      <w:marBottom w:val="0"/>
      <w:divBdr>
        <w:top w:val="none" w:sz="0" w:space="0" w:color="auto"/>
        <w:left w:val="none" w:sz="0" w:space="0" w:color="auto"/>
        <w:bottom w:val="none" w:sz="0" w:space="0" w:color="auto"/>
        <w:right w:val="none" w:sz="0" w:space="0" w:color="auto"/>
      </w:divBdr>
    </w:div>
    <w:div w:id="109477408">
      <w:marLeft w:val="480"/>
      <w:marRight w:val="0"/>
      <w:marTop w:val="0"/>
      <w:marBottom w:val="0"/>
      <w:divBdr>
        <w:top w:val="none" w:sz="0" w:space="0" w:color="auto"/>
        <w:left w:val="none" w:sz="0" w:space="0" w:color="auto"/>
        <w:bottom w:val="none" w:sz="0" w:space="0" w:color="auto"/>
        <w:right w:val="none" w:sz="0" w:space="0" w:color="auto"/>
      </w:divBdr>
    </w:div>
    <w:div w:id="109665936">
      <w:marLeft w:val="480"/>
      <w:marRight w:val="0"/>
      <w:marTop w:val="0"/>
      <w:marBottom w:val="0"/>
      <w:divBdr>
        <w:top w:val="none" w:sz="0" w:space="0" w:color="auto"/>
        <w:left w:val="none" w:sz="0" w:space="0" w:color="auto"/>
        <w:bottom w:val="none" w:sz="0" w:space="0" w:color="auto"/>
        <w:right w:val="none" w:sz="0" w:space="0" w:color="auto"/>
      </w:divBdr>
    </w:div>
    <w:div w:id="117140964">
      <w:marLeft w:val="480"/>
      <w:marRight w:val="0"/>
      <w:marTop w:val="0"/>
      <w:marBottom w:val="0"/>
      <w:divBdr>
        <w:top w:val="none" w:sz="0" w:space="0" w:color="auto"/>
        <w:left w:val="none" w:sz="0" w:space="0" w:color="auto"/>
        <w:bottom w:val="none" w:sz="0" w:space="0" w:color="auto"/>
        <w:right w:val="none" w:sz="0" w:space="0" w:color="auto"/>
      </w:divBdr>
    </w:div>
    <w:div w:id="118497543">
      <w:marLeft w:val="480"/>
      <w:marRight w:val="0"/>
      <w:marTop w:val="0"/>
      <w:marBottom w:val="0"/>
      <w:divBdr>
        <w:top w:val="none" w:sz="0" w:space="0" w:color="auto"/>
        <w:left w:val="none" w:sz="0" w:space="0" w:color="auto"/>
        <w:bottom w:val="none" w:sz="0" w:space="0" w:color="auto"/>
        <w:right w:val="none" w:sz="0" w:space="0" w:color="auto"/>
      </w:divBdr>
    </w:div>
    <w:div w:id="125248329">
      <w:marLeft w:val="480"/>
      <w:marRight w:val="0"/>
      <w:marTop w:val="0"/>
      <w:marBottom w:val="0"/>
      <w:divBdr>
        <w:top w:val="none" w:sz="0" w:space="0" w:color="auto"/>
        <w:left w:val="none" w:sz="0" w:space="0" w:color="auto"/>
        <w:bottom w:val="none" w:sz="0" w:space="0" w:color="auto"/>
        <w:right w:val="none" w:sz="0" w:space="0" w:color="auto"/>
      </w:divBdr>
    </w:div>
    <w:div w:id="130288763">
      <w:marLeft w:val="480"/>
      <w:marRight w:val="0"/>
      <w:marTop w:val="0"/>
      <w:marBottom w:val="0"/>
      <w:divBdr>
        <w:top w:val="none" w:sz="0" w:space="0" w:color="auto"/>
        <w:left w:val="none" w:sz="0" w:space="0" w:color="auto"/>
        <w:bottom w:val="none" w:sz="0" w:space="0" w:color="auto"/>
        <w:right w:val="none" w:sz="0" w:space="0" w:color="auto"/>
      </w:divBdr>
    </w:div>
    <w:div w:id="132333524">
      <w:marLeft w:val="480"/>
      <w:marRight w:val="0"/>
      <w:marTop w:val="0"/>
      <w:marBottom w:val="0"/>
      <w:divBdr>
        <w:top w:val="none" w:sz="0" w:space="0" w:color="auto"/>
        <w:left w:val="none" w:sz="0" w:space="0" w:color="auto"/>
        <w:bottom w:val="none" w:sz="0" w:space="0" w:color="auto"/>
        <w:right w:val="none" w:sz="0" w:space="0" w:color="auto"/>
      </w:divBdr>
    </w:div>
    <w:div w:id="136456184">
      <w:marLeft w:val="480"/>
      <w:marRight w:val="0"/>
      <w:marTop w:val="0"/>
      <w:marBottom w:val="0"/>
      <w:divBdr>
        <w:top w:val="none" w:sz="0" w:space="0" w:color="auto"/>
        <w:left w:val="none" w:sz="0" w:space="0" w:color="auto"/>
        <w:bottom w:val="none" w:sz="0" w:space="0" w:color="auto"/>
        <w:right w:val="none" w:sz="0" w:space="0" w:color="auto"/>
      </w:divBdr>
    </w:div>
    <w:div w:id="137500662">
      <w:marLeft w:val="480"/>
      <w:marRight w:val="0"/>
      <w:marTop w:val="0"/>
      <w:marBottom w:val="0"/>
      <w:divBdr>
        <w:top w:val="none" w:sz="0" w:space="0" w:color="auto"/>
        <w:left w:val="none" w:sz="0" w:space="0" w:color="auto"/>
        <w:bottom w:val="none" w:sz="0" w:space="0" w:color="auto"/>
        <w:right w:val="none" w:sz="0" w:space="0" w:color="auto"/>
      </w:divBdr>
    </w:div>
    <w:div w:id="138159946">
      <w:marLeft w:val="480"/>
      <w:marRight w:val="0"/>
      <w:marTop w:val="0"/>
      <w:marBottom w:val="0"/>
      <w:divBdr>
        <w:top w:val="none" w:sz="0" w:space="0" w:color="auto"/>
        <w:left w:val="none" w:sz="0" w:space="0" w:color="auto"/>
        <w:bottom w:val="none" w:sz="0" w:space="0" w:color="auto"/>
        <w:right w:val="none" w:sz="0" w:space="0" w:color="auto"/>
      </w:divBdr>
    </w:div>
    <w:div w:id="140662167">
      <w:marLeft w:val="480"/>
      <w:marRight w:val="0"/>
      <w:marTop w:val="0"/>
      <w:marBottom w:val="0"/>
      <w:divBdr>
        <w:top w:val="none" w:sz="0" w:space="0" w:color="auto"/>
        <w:left w:val="none" w:sz="0" w:space="0" w:color="auto"/>
        <w:bottom w:val="none" w:sz="0" w:space="0" w:color="auto"/>
        <w:right w:val="none" w:sz="0" w:space="0" w:color="auto"/>
      </w:divBdr>
    </w:div>
    <w:div w:id="141897490">
      <w:marLeft w:val="480"/>
      <w:marRight w:val="0"/>
      <w:marTop w:val="0"/>
      <w:marBottom w:val="0"/>
      <w:divBdr>
        <w:top w:val="none" w:sz="0" w:space="0" w:color="auto"/>
        <w:left w:val="none" w:sz="0" w:space="0" w:color="auto"/>
        <w:bottom w:val="none" w:sz="0" w:space="0" w:color="auto"/>
        <w:right w:val="none" w:sz="0" w:space="0" w:color="auto"/>
      </w:divBdr>
    </w:div>
    <w:div w:id="145322774">
      <w:marLeft w:val="480"/>
      <w:marRight w:val="0"/>
      <w:marTop w:val="0"/>
      <w:marBottom w:val="0"/>
      <w:divBdr>
        <w:top w:val="none" w:sz="0" w:space="0" w:color="auto"/>
        <w:left w:val="none" w:sz="0" w:space="0" w:color="auto"/>
        <w:bottom w:val="none" w:sz="0" w:space="0" w:color="auto"/>
        <w:right w:val="none" w:sz="0" w:space="0" w:color="auto"/>
      </w:divBdr>
    </w:div>
    <w:div w:id="146174077">
      <w:marLeft w:val="480"/>
      <w:marRight w:val="0"/>
      <w:marTop w:val="0"/>
      <w:marBottom w:val="0"/>
      <w:divBdr>
        <w:top w:val="none" w:sz="0" w:space="0" w:color="auto"/>
        <w:left w:val="none" w:sz="0" w:space="0" w:color="auto"/>
        <w:bottom w:val="none" w:sz="0" w:space="0" w:color="auto"/>
        <w:right w:val="none" w:sz="0" w:space="0" w:color="auto"/>
      </w:divBdr>
    </w:div>
    <w:div w:id="154684110">
      <w:marLeft w:val="480"/>
      <w:marRight w:val="0"/>
      <w:marTop w:val="0"/>
      <w:marBottom w:val="0"/>
      <w:divBdr>
        <w:top w:val="none" w:sz="0" w:space="0" w:color="auto"/>
        <w:left w:val="none" w:sz="0" w:space="0" w:color="auto"/>
        <w:bottom w:val="none" w:sz="0" w:space="0" w:color="auto"/>
        <w:right w:val="none" w:sz="0" w:space="0" w:color="auto"/>
      </w:divBdr>
    </w:div>
    <w:div w:id="161048681">
      <w:marLeft w:val="480"/>
      <w:marRight w:val="0"/>
      <w:marTop w:val="0"/>
      <w:marBottom w:val="0"/>
      <w:divBdr>
        <w:top w:val="none" w:sz="0" w:space="0" w:color="auto"/>
        <w:left w:val="none" w:sz="0" w:space="0" w:color="auto"/>
        <w:bottom w:val="none" w:sz="0" w:space="0" w:color="auto"/>
        <w:right w:val="none" w:sz="0" w:space="0" w:color="auto"/>
      </w:divBdr>
    </w:div>
    <w:div w:id="166218807">
      <w:marLeft w:val="480"/>
      <w:marRight w:val="0"/>
      <w:marTop w:val="0"/>
      <w:marBottom w:val="0"/>
      <w:divBdr>
        <w:top w:val="none" w:sz="0" w:space="0" w:color="auto"/>
        <w:left w:val="none" w:sz="0" w:space="0" w:color="auto"/>
        <w:bottom w:val="none" w:sz="0" w:space="0" w:color="auto"/>
        <w:right w:val="none" w:sz="0" w:space="0" w:color="auto"/>
      </w:divBdr>
    </w:div>
    <w:div w:id="167449124">
      <w:marLeft w:val="480"/>
      <w:marRight w:val="0"/>
      <w:marTop w:val="0"/>
      <w:marBottom w:val="0"/>
      <w:divBdr>
        <w:top w:val="none" w:sz="0" w:space="0" w:color="auto"/>
        <w:left w:val="none" w:sz="0" w:space="0" w:color="auto"/>
        <w:bottom w:val="none" w:sz="0" w:space="0" w:color="auto"/>
        <w:right w:val="none" w:sz="0" w:space="0" w:color="auto"/>
      </w:divBdr>
    </w:div>
    <w:div w:id="171576655">
      <w:marLeft w:val="480"/>
      <w:marRight w:val="0"/>
      <w:marTop w:val="0"/>
      <w:marBottom w:val="0"/>
      <w:divBdr>
        <w:top w:val="none" w:sz="0" w:space="0" w:color="auto"/>
        <w:left w:val="none" w:sz="0" w:space="0" w:color="auto"/>
        <w:bottom w:val="none" w:sz="0" w:space="0" w:color="auto"/>
        <w:right w:val="none" w:sz="0" w:space="0" w:color="auto"/>
      </w:divBdr>
    </w:div>
    <w:div w:id="174732763">
      <w:marLeft w:val="480"/>
      <w:marRight w:val="0"/>
      <w:marTop w:val="0"/>
      <w:marBottom w:val="0"/>
      <w:divBdr>
        <w:top w:val="none" w:sz="0" w:space="0" w:color="auto"/>
        <w:left w:val="none" w:sz="0" w:space="0" w:color="auto"/>
        <w:bottom w:val="none" w:sz="0" w:space="0" w:color="auto"/>
        <w:right w:val="none" w:sz="0" w:space="0" w:color="auto"/>
      </w:divBdr>
    </w:div>
    <w:div w:id="179007226">
      <w:marLeft w:val="480"/>
      <w:marRight w:val="0"/>
      <w:marTop w:val="0"/>
      <w:marBottom w:val="0"/>
      <w:divBdr>
        <w:top w:val="none" w:sz="0" w:space="0" w:color="auto"/>
        <w:left w:val="none" w:sz="0" w:space="0" w:color="auto"/>
        <w:bottom w:val="none" w:sz="0" w:space="0" w:color="auto"/>
        <w:right w:val="none" w:sz="0" w:space="0" w:color="auto"/>
      </w:divBdr>
    </w:div>
    <w:div w:id="183132830">
      <w:marLeft w:val="480"/>
      <w:marRight w:val="0"/>
      <w:marTop w:val="0"/>
      <w:marBottom w:val="0"/>
      <w:divBdr>
        <w:top w:val="none" w:sz="0" w:space="0" w:color="auto"/>
        <w:left w:val="none" w:sz="0" w:space="0" w:color="auto"/>
        <w:bottom w:val="none" w:sz="0" w:space="0" w:color="auto"/>
        <w:right w:val="none" w:sz="0" w:space="0" w:color="auto"/>
      </w:divBdr>
    </w:div>
    <w:div w:id="183593468">
      <w:marLeft w:val="480"/>
      <w:marRight w:val="0"/>
      <w:marTop w:val="0"/>
      <w:marBottom w:val="0"/>
      <w:divBdr>
        <w:top w:val="none" w:sz="0" w:space="0" w:color="auto"/>
        <w:left w:val="none" w:sz="0" w:space="0" w:color="auto"/>
        <w:bottom w:val="none" w:sz="0" w:space="0" w:color="auto"/>
        <w:right w:val="none" w:sz="0" w:space="0" w:color="auto"/>
      </w:divBdr>
    </w:div>
    <w:div w:id="186065503">
      <w:marLeft w:val="480"/>
      <w:marRight w:val="0"/>
      <w:marTop w:val="0"/>
      <w:marBottom w:val="0"/>
      <w:divBdr>
        <w:top w:val="none" w:sz="0" w:space="0" w:color="auto"/>
        <w:left w:val="none" w:sz="0" w:space="0" w:color="auto"/>
        <w:bottom w:val="none" w:sz="0" w:space="0" w:color="auto"/>
        <w:right w:val="none" w:sz="0" w:space="0" w:color="auto"/>
      </w:divBdr>
    </w:div>
    <w:div w:id="187448147">
      <w:marLeft w:val="480"/>
      <w:marRight w:val="0"/>
      <w:marTop w:val="0"/>
      <w:marBottom w:val="0"/>
      <w:divBdr>
        <w:top w:val="none" w:sz="0" w:space="0" w:color="auto"/>
        <w:left w:val="none" w:sz="0" w:space="0" w:color="auto"/>
        <w:bottom w:val="none" w:sz="0" w:space="0" w:color="auto"/>
        <w:right w:val="none" w:sz="0" w:space="0" w:color="auto"/>
      </w:divBdr>
    </w:div>
    <w:div w:id="194923634">
      <w:marLeft w:val="480"/>
      <w:marRight w:val="0"/>
      <w:marTop w:val="0"/>
      <w:marBottom w:val="0"/>
      <w:divBdr>
        <w:top w:val="none" w:sz="0" w:space="0" w:color="auto"/>
        <w:left w:val="none" w:sz="0" w:space="0" w:color="auto"/>
        <w:bottom w:val="none" w:sz="0" w:space="0" w:color="auto"/>
        <w:right w:val="none" w:sz="0" w:space="0" w:color="auto"/>
      </w:divBdr>
    </w:div>
    <w:div w:id="204831946">
      <w:marLeft w:val="480"/>
      <w:marRight w:val="0"/>
      <w:marTop w:val="0"/>
      <w:marBottom w:val="0"/>
      <w:divBdr>
        <w:top w:val="none" w:sz="0" w:space="0" w:color="auto"/>
        <w:left w:val="none" w:sz="0" w:space="0" w:color="auto"/>
        <w:bottom w:val="none" w:sz="0" w:space="0" w:color="auto"/>
        <w:right w:val="none" w:sz="0" w:space="0" w:color="auto"/>
      </w:divBdr>
    </w:div>
    <w:div w:id="211575525">
      <w:marLeft w:val="480"/>
      <w:marRight w:val="0"/>
      <w:marTop w:val="0"/>
      <w:marBottom w:val="0"/>
      <w:divBdr>
        <w:top w:val="none" w:sz="0" w:space="0" w:color="auto"/>
        <w:left w:val="none" w:sz="0" w:space="0" w:color="auto"/>
        <w:bottom w:val="none" w:sz="0" w:space="0" w:color="auto"/>
        <w:right w:val="none" w:sz="0" w:space="0" w:color="auto"/>
      </w:divBdr>
    </w:div>
    <w:div w:id="214662806">
      <w:marLeft w:val="480"/>
      <w:marRight w:val="0"/>
      <w:marTop w:val="0"/>
      <w:marBottom w:val="0"/>
      <w:divBdr>
        <w:top w:val="none" w:sz="0" w:space="0" w:color="auto"/>
        <w:left w:val="none" w:sz="0" w:space="0" w:color="auto"/>
        <w:bottom w:val="none" w:sz="0" w:space="0" w:color="auto"/>
        <w:right w:val="none" w:sz="0" w:space="0" w:color="auto"/>
      </w:divBdr>
    </w:div>
    <w:div w:id="216821788">
      <w:marLeft w:val="480"/>
      <w:marRight w:val="0"/>
      <w:marTop w:val="0"/>
      <w:marBottom w:val="0"/>
      <w:divBdr>
        <w:top w:val="none" w:sz="0" w:space="0" w:color="auto"/>
        <w:left w:val="none" w:sz="0" w:space="0" w:color="auto"/>
        <w:bottom w:val="none" w:sz="0" w:space="0" w:color="auto"/>
        <w:right w:val="none" w:sz="0" w:space="0" w:color="auto"/>
      </w:divBdr>
    </w:div>
    <w:div w:id="223412858">
      <w:marLeft w:val="480"/>
      <w:marRight w:val="0"/>
      <w:marTop w:val="0"/>
      <w:marBottom w:val="0"/>
      <w:divBdr>
        <w:top w:val="none" w:sz="0" w:space="0" w:color="auto"/>
        <w:left w:val="none" w:sz="0" w:space="0" w:color="auto"/>
        <w:bottom w:val="none" w:sz="0" w:space="0" w:color="auto"/>
        <w:right w:val="none" w:sz="0" w:space="0" w:color="auto"/>
      </w:divBdr>
    </w:div>
    <w:div w:id="228729999">
      <w:marLeft w:val="480"/>
      <w:marRight w:val="0"/>
      <w:marTop w:val="0"/>
      <w:marBottom w:val="0"/>
      <w:divBdr>
        <w:top w:val="none" w:sz="0" w:space="0" w:color="auto"/>
        <w:left w:val="none" w:sz="0" w:space="0" w:color="auto"/>
        <w:bottom w:val="none" w:sz="0" w:space="0" w:color="auto"/>
        <w:right w:val="none" w:sz="0" w:space="0" w:color="auto"/>
      </w:divBdr>
    </w:div>
    <w:div w:id="234094730">
      <w:marLeft w:val="480"/>
      <w:marRight w:val="0"/>
      <w:marTop w:val="0"/>
      <w:marBottom w:val="0"/>
      <w:divBdr>
        <w:top w:val="none" w:sz="0" w:space="0" w:color="auto"/>
        <w:left w:val="none" w:sz="0" w:space="0" w:color="auto"/>
        <w:bottom w:val="none" w:sz="0" w:space="0" w:color="auto"/>
        <w:right w:val="none" w:sz="0" w:space="0" w:color="auto"/>
      </w:divBdr>
    </w:div>
    <w:div w:id="236863565">
      <w:marLeft w:val="480"/>
      <w:marRight w:val="0"/>
      <w:marTop w:val="0"/>
      <w:marBottom w:val="0"/>
      <w:divBdr>
        <w:top w:val="none" w:sz="0" w:space="0" w:color="auto"/>
        <w:left w:val="none" w:sz="0" w:space="0" w:color="auto"/>
        <w:bottom w:val="none" w:sz="0" w:space="0" w:color="auto"/>
        <w:right w:val="none" w:sz="0" w:space="0" w:color="auto"/>
      </w:divBdr>
    </w:div>
    <w:div w:id="237174824">
      <w:marLeft w:val="480"/>
      <w:marRight w:val="0"/>
      <w:marTop w:val="0"/>
      <w:marBottom w:val="0"/>
      <w:divBdr>
        <w:top w:val="none" w:sz="0" w:space="0" w:color="auto"/>
        <w:left w:val="none" w:sz="0" w:space="0" w:color="auto"/>
        <w:bottom w:val="none" w:sz="0" w:space="0" w:color="auto"/>
        <w:right w:val="none" w:sz="0" w:space="0" w:color="auto"/>
      </w:divBdr>
    </w:div>
    <w:div w:id="240021377">
      <w:marLeft w:val="480"/>
      <w:marRight w:val="0"/>
      <w:marTop w:val="0"/>
      <w:marBottom w:val="0"/>
      <w:divBdr>
        <w:top w:val="none" w:sz="0" w:space="0" w:color="auto"/>
        <w:left w:val="none" w:sz="0" w:space="0" w:color="auto"/>
        <w:bottom w:val="none" w:sz="0" w:space="0" w:color="auto"/>
        <w:right w:val="none" w:sz="0" w:space="0" w:color="auto"/>
      </w:divBdr>
    </w:div>
    <w:div w:id="241255981">
      <w:marLeft w:val="480"/>
      <w:marRight w:val="0"/>
      <w:marTop w:val="0"/>
      <w:marBottom w:val="0"/>
      <w:divBdr>
        <w:top w:val="none" w:sz="0" w:space="0" w:color="auto"/>
        <w:left w:val="none" w:sz="0" w:space="0" w:color="auto"/>
        <w:bottom w:val="none" w:sz="0" w:space="0" w:color="auto"/>
        <w:right w:val="none" w:sz="0" w:space="0" w:color="auto"/>
      </w:divBdr>
    </w:div>
    <w:div w:id="242688278">
      <w:marLeft w:val="480"/>
      <w:marRight w:val="0"/>
      <w:marTop w:val="0"/>
      <w:marBottom w:val="0"/>
      <w:divBdr>
        <w:top w:val="none" w:sz="0" w:space="0" w:color="auto"/>
        <w:left w:val="none" w:sz="0" w:space="0" w:color="auto"/>
        <w:bottom w:val="none" w:sz="0" w:space="0" w:color="auto"/>
        <w:right w:val="none" w:sz="0" w:space="0" w:color="auto"/>
      </w:divBdr>
    </w:div>
    <w:div w:id="248973523">
      <w:marLeft w:val="480"/>
      <w:marRight w:val="0"/>
      <w:marTop w:val="0"/>
      <w:marBottom w:val="0"/>
      <w:divBdr>
        <w:top w:val="none" w:sz="0" w:space="0" w:color="auto"/>
        <w:left w:val="none" w:sz="0" w:space="0" w:color="auto"/>
        <w:bottom w:val="none" w:sz="0" w:space="0" w:color="auto"/>
        <w:right w:val="none" w:sz="0" w:space="0" w:color="auto"/>
      </w:divBdr>
    </w:div>
    <w:div w:id="252662702">
      <w:marLeft w:val="480"/>
      <w:marRight w:val="0"/>
      <w:marTop w:val="0"/>
      <w:marBottom w:val="0"/>
      <w:divBdr>
        <w:top w:val="none" w:sz="0" w:space="0" w:color="auto"/>
        <w:left w:val="none" w:sz="0" w:space="0" w:color="auto"/>
        <w:bottom w:val="none" w:sz="0" w:space="0" w:color="auto"/>
        <w:right w:val="none" w:sz="0" w:space="0" w:color="auto"/>
      </w:divBdr>
    </w:div>
    <w:div w:id="253561888">
      <w:marLeft w:val="480"/>
      <w:marRight w:val="0"/>
      <w:marTop w:val="0"/>
      <w:marBottom w:val="0"/>
      <w:divBdr>
        <w:top w:val="none" w:sz="0" w:space="0" w:color="auto"/>
        <w:left w:val="none" w:sz="0" w:space="0" w:color="auto"/>
        <w:bottom w:val="none" w:sz="0" w:space="0" w:color="auto"/>
        <w:right w:val="none" w:sz="0" w:space="0" w:color="auto"/>
      </w:divBdr>
    </w:div>
    <w:div w:id="254562230">
      <w:marLeft w:val="480"/>
      <w:marRight w:val="0"/>
      <w:marTop w:val="0"/>
      <w:marBottom w:val="0"/>
      <w:divBdr>
        <w:top w:val="none" w:sz="0" w:space="0" w:color="auto"/>
        <w:left w:val="none" w:sz="0" w:space="0" w:color="auto"/>
        <w:bottom w:val="none" w:sz="0" w:space="0" w:color="auto"/>
        <w:right w:val="none" w:sz="0" w:space="0" w:color="auto"/>
      </w:divBdr>
    </w:div>
    <w:div w:id="261767454">
      <w:marLeft w:val="480"/>
      <w:marRight w:val="0"/>
      <w:marTop w:val="0"/>
      <w:marBottom w:val="0"/>
      <w:divBdr>
        <w:top w:val="none" w:sz="0" w:space="0" w:color="auto"/>
        <w:left w:val="none" w:sz="0" w:space="0" w:color="auto"/>
        <w:bottom w:val="none" w:sz="0" w:space="0" w:color="auto"/>
        <w:right w:val="none" w:sz="0" w:space="0" w:color="auto"/>
      </w:divBdr>
    </w:div>
    <w:div w:id="277957978">
      <w:marLeft w:val="480"/>
      <w:marRight w:val="0"/>
      <w:marTop w:val="0"/>
      <w:marBottom w:val="0"/>
      <w:divBdr>
        <w:top w:val="none" w:sz="0" w:space="0" w:color="auto"/>
        <w:left w:val="none" w:sz="0" w:space="0" w:color="auto"/>
        <w:bottom w:val="none" w:sz="0" w:space="0" w:color="auto"/>
        <w:right w:val="none" w:sz="0" w:space="0" w:color="auto"/>
      </w:divBdr>
    </w:div>
    <w:div w:id="293096590">
      <w:marLeft w:val="480"/>
      <w:marRight w:val="0"/>
      <w:marTop w:val="0"/>
      <w:marBottom w:val="0"/>
      <w:divBdr>
        <w:top w:val="none" w:sz="0" w:space="0" w:color="auto"/>
        <w:left w:val="none" w:sz="0" w:space="0" w:color="auto"/>
        <w:bottom w:val="none" w:sz="0" w:space="0" w:color="auto"/>
        <w:right w:val="none" w:sz="0" w:space="0" w:color="auto"/>
      </w:divBdr>
    </w:div>
    <w:div w:id="299116136">
      <w:marLeft w:val="480"/>
      <w:marRight w:val="0"/>
      <w:marTop w:val="0"/>
      <w:marBottom w:val="0"/>
      <w:divBdr>
        <w:top w:val="none" w:sz="0" w:space="0" w:color="auto"/>
        <w:left w:val="none" w:sz="0" w:space="0" w:color="auto"/>
        <w:bottom w:val="none" w:sz="0" w:space="0" w:color="auto"/>
        <w:right w:val="none" w:sz="0" w:space="0" w:color="auto"/>
      </w:divBdr>
    </w:div>
    <w:div w:id="303778473">
      <w:marLeft w:val="480"/>
      <w:marRight w:val="0"/>
      <w:marTop w:val="0"/>
      <w:marBottom w:val="0"/>
      <w:divBdr>
        <w:top w:val="none" w:sz="0" w:space="0" w:color="auto"/>
        <w:left w:val="none" w:sz="0" w:space="0" w:color="auto"/>
        <w:bottom w:val="none" w:sz="0" w:space="0" w:color="auto"/>
        <w:right w:val="none" w:sz="0" w:space="0" w:color="auto"/>
      </w:divBdr>
    </w:div>
    <w:div w:id="308169682">
      <w:marLeft w:val="480"/>
      <w:marRight w:val="0"/>
      <w:marTop w:val="0"/>
      <w:marBottom w:val="0"/>
      <w:divBdr>
        <w:top w:val="none" w:sz="0" w:space="0" w:color="auto"/>
        <w:left w:val="none" w:sz="0" w:space="0" w:color="auto"/>
        <w:bottom w:val="none" w:sz="0" w:space="0" w:color="auto"/>
        <w:right w:val="none" w:sz="0" w:space="0" w:color="auto"/>
      </w:divBdr>
    </w:div>
    <w:div w:id="309750353">
      <w:marLeft w:val="480"/>
      <w:marRight w:val="0"/>
      <w:marTop w:val="0"/>
      <w:marBottom w:val="0"/>
      <w:divBdr>
        <w:top w:val="none" w:sz="0" w:space="0" w:color="auto"/>
        <w:left w:val="none" w:sz="0" w:space="0" w:color="auto"/>
        <w:bottom w:val="none" w:sz="0" w:space="0" w:color="auto"/>
        <w:right w:val="none" w:sz="0" w:space="0" w:color="auto"/>
      </w:divBdr>
    </w:div>
    <w:div w:id="309988990">
      <w:marLeft w:val="480"/>
      <w:marRight w:val="0"/>
      <w:marTop w:val="0"/>
      <w:marBottom w:val="0"/>
      <w:divBdr>
        <w:top w:val="none" w:sz="0" w:space="0" w:color="auto"/>
        <w:left w:val="none" w:sz="0" w:space="0" w:color="auto"/>
        <w:bottom w:val="none" w:sz="0" w:space="0" w:color="auto"/>
        <w:right w:val="none" w:sz="0" w:space="0" w:color="auto"/>
      </w:divBdr>
    </w:div>
    <w:div w:id="311494983">
      <w:marLeft w:val="480"/>
      <w:marRight w:val="0"/>
      <w:marTop w:val="0"/>
      <w:marBottom w:val="0"/>
      <w:divBdr>
        <w:top w:val="none" w:sz="0" w:space="0" w:color="auto"/>
        <w:left w:val="none" w:sz="0" w:space="0" w:color="auto"/>
        <w:bottom w:val="none" w:sz="0" w:space="0" w:color="auto"/>
        <w:right w:val="none" w:sz="0" w:space="0" w:color="auto"/>
      </w:divBdr>
    </w:div>
    <w:div w:id="319890518">
      <w:marLeft w:val="480"/>
      <w:marRight w:val="0"/>
      <w:marTop w:val="0"/>
      <w:marBottom w:val="0"/>
      <w:divBdr>
        <w:top w:val="none" w:sz="0" w:space="0" w:color="auto"/>
        <w:left w:val="none" w:sz="0" w:space="0" w:color="auto"/>
        <w:bottom w:val="none" w:sz="0" w:space="0" w:color="auto"/>
        <w:right w:val="none" w:sz="0" w:space="0" w:color="auto"/>
      </w:divBdr>
    </w:div>
    <w:div w:id="320894092">
      <w:marLeft w:val="480"/>
      <w:marRight w:val="0"/>
      <w:marTop w:val="0"/>
      <w:marBottom w:val="0"/>
      <w:divBdr>
        <w:top w:val="none" w:sz="0" w:space="0" w:color="auto"/>
        <w:left w:val="none" w:sz="0" w:space="0" w:color="auto"/>
        <w:bottom w:val="none" w:sz="0" w:space="0" w:color="auto"/>
        <w:right w:val="none" w:sz="0" w:space="0" w:color="auto"/>
      </w:divBdr>
    </w:div>
    <w:div w:id="323320829">
      <w:marLeft w:val="480"/>
      <w:marRight w:val="0"/>
      <w:marTop w:val="0"/>
      <w:marBottom w:val="0"/>
      <w:divBdr>
        <w:top w:val="none" w:sz="0" w:space="0" w:color="auto"/>
        <w:left w:val="none" w:sz="0" w:space="0" w:color="auto"/>
        <w:bottom w:val="none" w:sz="0" w:space="0" w:color="auto"/>
        <w:right w:val="none" w:sz="0" w:space="0" w:color="auto"/>
      </w:divBdr>
    </w:div>
    <w:div w:id="323625266">
      <w:marLeft w:val="480"/>
      <w:marRight w:val="0"/>
      <w:marTop w:val="0"/>
      <w:marBottom w:val="0"/>
      <w:divBdr>
        <w:top w:val="none" w:sz="0" w:space="0" w:color="auto"/>
        <w:left w:val="none" w:sz="0" w:space="0" w:color="auto"/>
        <w:bottom w:val="none" w:sz="0" w:space="0" w:color="auto"/>
        <w:right w:val="none" w:sz="0" w:space="0" w:color="auto"/>
      </w:divBdr>
    </w:div>
    <w:div w:id="324550318">
      <w:marLeft w:val="480"/>
      <w:marRight w:val="0"/>
      <w:marTop w:val="0"/>
      <w:marBottom w:val="0"/>
      <w:divBdr>
        <w:top w:val="none" w:sz="0" w:space="0" w:color="auto"/>
        <w:left w:val="none" w:sz="0" w:space="0" w:color="auto"/>
        <w:bottom w:val="none" w:sz="0" w:space="0" w:color="auto"/>
        <w:right w:val="none" w:sz="0" w:space="0" w:color="auto"/>
      </w:divBdr>
    </w:div>
    <w:div w:id="324555519">
      <w:marLeft w:val="480"/>
      <w:marRight w:val="0"/>
      <w:marTop w:val="0"/>
      <w:marBottom w:val="0"/>
      <w:divBdr>
        <w:top w:val="none" w:sz="0" w:space="0" w:color="auto"/>
        <w:left w:val="none" w:sz="0" w:space="0" w:color="auto"/>
        <w:bottom w:val="none" w:sz="0" w:space="0" w:color="auto"/>
        <w:right w:val="none" w:sz="0" w:space="0" w:color="auto"/>
      </w:divBdr>
    </w:div>
    <w:div w:id="328947346">
      <w:marLeft w:val="480"/>
      <w:marRight w:val="0"/>
      <w:marTop w:val="0"/>
      <w:marBottom w:val="0"/>
      <w:divBdr>
        <w:top w:val="none" w:sz="0" w:space="0" w:color="auto"/>
        <w:left w:val="none" w:sz="0" w:space="0" w:color="auto"/>
        <w:bottom w:val="none" w:sz="0" w:space="0" w:color="auto"/>
        <w:right w:val="none" w:sz="0" w:space="0" w:color="auto"/>
      </w:divBdr>
    </w:div>
    <w:div w:id="330378576">
      <w:marLeft w:val="480"/>
      <w:marRight w:val="0"/>
      <w:marTop w:val="0"/>
      <w:marBottom w:val="0"/>
      <w:divBdr>
        <w:top w:val="none" w:sz="0" w:space="0" w:color="auto"/>
        <w:left w:val="none" w:sz="0" w:space="0" w:color="auto"/>
        <w:bottom w:val="none" w:sz="0" w:space="0" w:color="auto"/>
        <w:right w:val="none" w:sz="0" w:space="0" w:color="auto"/>
      </w:divBdr>
    </w:div>
    <w:div w:id="333923088">
      <w:marLeft w:val="480"/>
      <w:marRight w:val="0"/>
      <w:marTop w:val="0"/>
      <w:marBottom w:val="0"/>
      <w:divBdr>
        <w:top w:val="none" w:sz="0" w:space="0" w:color="auto"/>
        <w:left w:val="none" w:sz="0" w:space="0" w:color="auto"/>
        <w:bottom w:val="none" w:sz="0" w:space="0" w:color="auto"/>
        <w:right w:val="none" w:sz="0" w:space="0" w:color="auto"/>
      </w:divBdr>
    </w:div>
    <w:div w:id="335962718">
      <w:marLeft w:val="480"/>
      <w:marRight w:val="0"/>
      <w:marTop w:val="0"/>
      <w:marBottom w:val="0"/>
      <w:divBdr>
        <w:top w:val="none" w:sz="0" w:space="0" w:color="auto"/>
        <w:left w:val="none" w:sz="0" w:space="0" w:color="auto"/>
        <w:bottom w:val="none" w:sz="0" w:space="0" w:color="auto"/>
        <w:right w:val="none" w:sz="0" w:space="0" w:color="auto"/>
      </w:divBdr>
    </w:div>
    <w:div w:id="342903759">
      <w:marLeft w:val="480"/>
      <w:marRight w:val="0"/>
      <w:marTop w:val="0"/>
      <w:marBottom w:val="0"/>
      <w:divBdr>
        <w:top w:val="none" w:sz="0" w:space="0" w:color="auto"/>
        <w:left w:val="none" w:sz="0" w:space="0" w:color="auto"/>
        <w:bottom w:val="none" w:sz="0" w:space="0" w:color="auto"/>
        <w:right w:val="none" w:sz="0" w:space="0" w:color="auto"/>
      </w:divBdr>
    </w:div>
    <w:div w:id="344480197">
      <w:marLeft w:val="480"/>
      <w:marRight w:val="0"/>
      <w:marTop w:val="0"/>
      <w:marBottom w:val="0"/>
      <w:divBdr>
        <w:top w:val="none" w:sz="0" w:space="0" w:color="auto"/>
        <w:left w:val="none" w:sz="0" w:space="0" w:color="auto"/>
        <w:bottom w:val="none" w:sz="0" w:space="0" w:color="auto"/>
        <w:right w:val="none" w:sz="0" w:space="0" w:color="auto"/>
      </w:divBdr>
    </w:div>
    <w:div w:id="345179469">
      <w:marLeft w:val="480"/>
      <w:marRight w:val="0"/>
      <w:marTop w:val="0"/>
      <w:marBottom w:val="0"/>
      <w:divBdr>
        <w:top w:val="none" w:sz="0" w:space="0" w:color="auto"/>
        <w:left w:val="none" w:sz="0" w:space="0" w:color="auto"/>
        <w:bottom w:val="none" w:sz="0" w:space="0" w:color="auto"/>
        <w:right w:val="none" w:sz="0" w:space="0" w:color="auto"/>
      </w:divBdr>
    </w:div>
    <w:div w:id="346562064">
      <w:marLeft w:val="480"/>
      <w:marRight w:val="0"/>
      <w:marTop w:val="0"/>
      <w:marBottom w:val="0"/>
      <w:divBdr>
        <w:top w:val="none" w:sz="0" w:space="0" w:color="auto"/>
        <w:left w:val="none" w:sz="0" w:space="0" w:color="auto"/>
        <w:bottom w:val="none" w:sz="0" w:space="0" w:color="auto"/>
        <w:right w:val="none" w:sz="0" w:space="0" w:color="auto"/>
      </w:divBdr>
    </w:div>
    <w:div w:id="353382316">
      <w:marLeft w:val="480"/>
      <w:marRight w:val="0"/>
      <w:marTop w:val="0"/>
      <w:marBottom w:val="0"/>
      <w:divBdr>
        <w:top w:val="none" w:sz="0" w:space="0" w:color="auto"/>
        <w:left w:val="none" w:sz="0" w:space="0" w:color="auto"/>
        <w:bottom w:val="none" w:sz="0" w:space="0" w:color="auto"/>
        <w:right w:val="none" w:sz="0" w:space="0" w:color="auto"/>
      </w:divBdr>
    </w:div>
    <w:div w:id="355741856">
      <w:marLeft w:val="480"/>
      <w:marRight w:val="0"/>
      <w:marTop w:val="0"/>
      <w:marBottom w:val="0"/>
      <w:divBdr>
        <w:top w:val="none" w:sz="0" w:space="0" w:color="auto"/>
        <w:left w:val="none" w:sz="0" w:space="0" w:color="auto"/>
        <w:bottom w:val="none" w:sz="0" w:space="0" w:color="auto"/>
        <w:right w:val="none" w:sz="0" w:space="0" w:color="auto"/>
      </w:divBdr>
    </w:div>
    <w:div w:id="358773871">
      <w:marLeft w:val="480"/>
      <w:marRight w:val="0"/>
      <w:marTop w:val="0"/>
      <w:marBottom w:val="0"/>
      <w:divBdr>
        <w:top w:val="none" w:sz="0" w:space="0" w:color="auto"/>
        <w:left w:val="none" w:sz="0" w:space="0" w:color="auto"/>
        <w:bottom w:val="none" w:sz="0" w:space="0" w:color="auto"/>
        <w:right w:val="none" w:sz="0" w:space="0" w:color="auto"/>
      </w:divBdr>
    </w:div>
    <w:div w:id="363673189">
      <w:marLeft w:val="480"/>
      <w:marRight w:val="0"/>
      <w:marTop w:val="0"/>
      <w:marBottom w:val="0"/>
      <w:divBdr>
        <w:top w:val="none" w:sz="0" w:space="0" w:color="auto"/>
        <w:left w:val="none" w:sz="0" w:space="0" w:color="auto"/>
        <w:bottom w:val="none" w:sz="0" w:space="0" w:color="auto"/>
        <w:right w:val="none" w:sz="0" w:space="0" w:color="auto"/>
      </w:divBdr>
    </w:div>
    <w:div w:id="364260429">
      <w:marLeft w:val="480"/>
      <w:marRight w:val="0"/>
      <w:marTop w:val="0"/>
      <w:marBottom w:val="0"/>
      <w:divBdr>
        <w:top w:val="none" w:sz="0" w:space="0" w:color="auto"/>
        <w:left w:val="none" w:sz="0" w:space="0" w:color="auto"/>
        <w:bottom w:val="none" w:sz="0" w:space="0" w:color="auto"/>
        <w:right w:val="none" w:sz="0" w:space="0" w:color="auto"/>
      </w:divBdr>
    </w:div>
    <w:div w:id="367873986">
      <w:marLeft w:val="480"/>
      <w:marRight w:val="0"/>
      <w:marTop w:val="0"/>
      <w:marBottom w:val="0"/>
      <w:divBdr>
        <w:top w:val="none" w:sz="0" w:space="0" w:color="auto"/>
        <w:left w:val="none" w:sz="0" w:space="0" w:color="auto"/>
        <w:bottom w:val="none" w:sz="0" w:space="0" w:color="auto"/>
        <w:right w:val="none" w:sz="0" w:space="0" w:color="auto"/>
      </w:divBdr>
    </w:div>
    <w:div w:id="368454670">
      <w:marLeft w:val="480"/>
      <w:marRight w:val="0"/>
      <w:marTop w:val="0"/>
      <w:marBottom w:val="0"/>
      <w:divBdr>
        <w:top w:val="none" w:sz="0" w:space="0" w:color="auto"/>
        <w:left w:val="none" w:sz="0" w:space="0" w:color="auto"/>
        <w:bottom w:val="none" w:sz="0" w:space="0" w:color="auto"/>
        <w:right w:val="none" w:sz="0" w:space="0" w:color="auto"/>
      </w:divBdr>
    </w:div>
    <w:div w:id="368651428">
      <w:marLeft w:val="480"/>
      <w:marRight w:val="0"/>
      <w:marTop w:val="0"/>
      <w:marBottom w:val="0"/>
      <w:divBdr>
        <w:top w:val="none" w:sz="0" w:space="0" w:color="auto"/>
        <w:left w:val="none" w:sz="0" w:space="0" w:color="auto"/>
        <w:bottom w:val="none" w:sz="0" w:space="0" w:color="auto"/>
        <w:right w:val="none" w:sz="0" w:space="0" w:color="auto"/>
      </w:divBdr>
    </w:div>
    <w:div w:id="371421031">
      <w:marLeft w:val="480"/>
      <w:marRight w:val="0"/>
      <w:marTop w:val="0"/>
      <w:marBottom w:val="0"/>
      <w:divBdr>
        <w:top w:val="none" w:sz="0" w:space="0" w:color="auto"/>
        <w:left w:val="none" w:sz="0" w:space="0" w:color="auto"/>
        <w:bottom w:val="none" w:sz="0" w:space="0" w:color="auto"/>
        <w:right w:val="none" w:sz="0" w:space="0" w:color="auto"/>
      </w:divBdr>
    </w:div>
    <w:div w:id="374353107">
      <w:marLeft w:val="480"/>
      <w:marRight w:val="0"/>
      <w:marTop w:val="0"/>
      <w:marBottom w:val="0"/>
      <w:divBdr>
        <w:top w:val="none" w:sz="0" w:space="0" w:color="auto"/>
        <w:left w:val="none" w:sz="0" w:space="0" w:color="auto"/>
        <w:bottom w:val="none" w:sz="0" w:space="0" w:color="auto"/>
        <w:right w:val="none" w:sz="0" w:space="0" w:color="auto"/>
      </w:divBdr>
    </w:div>
    <w:div w:id="376709712">
      <w:marLeft w:val="480"/>
      <w:marRight w:val="0"/>
      <w:marTop w:val="0"/>
      <w:marBottom w:val="0"/>
      <w:divBdr>
        <w:top w:val="none" w:sz="0" w:space="0" w:color="auto"/>
        <w:left w:val="none" w:sz="0" w:space="0" w:color="auto"/>
        <w:bottom w:val="none" w:sz="0" w:space="0" w:color="auto"/>
        <w:right w:val="none" w:sz="0" w:space="0" w:color="auto"/>
      </w:divBdr>
    </w:div>
    <w:div w:id="377972222">
      <w:marLeft w:val="480"/>
      <w:marRight w:val="0"/>
      <w:marTop w:val="0"/>
      <w:marBottom w:val="0"/>
      <w:divBdr>
        <w:top w:val="none" w:sz="0" w:space="0" w:color="auto"/>
        <w:left w:val="none" w:sz="0" w:space="0" w:color="auto"/>
        <w:bottom w:val="none" w:sz="0" w:space="0" w:color="auto"/>
        <w:right w:val="none" w:sz="0" w:space="0" w:color="auto"/>
      </w:divBdr>
    </w:div>
    <w:div w:id="378437129">
      <w:marLeft w:val="480"/>
      <w:marRight w:val="0"/>
      <w:marTop w:val="0"/>
      <w:marBottom w:val="0"/>
      <w:divBdr>
        <w:top w:val="none" w:sz="0" w:space="0" w:color="auto"/>
        <w:left w:val="none" w:sz="0" w:space="0" w:color="auto"/>
        <w:bottom w:val="none" w:sz="0" w:space="0" w:color="auto"/>
        <w:right w:val="none" w:sz="0" w:space="0" w:color="auto"/>
      </w:divBdr>
    </w:div>
    <w:div w:id="382414582">
      <w:marLeft w:val="480"/>
      <w:marRight w:val="0"/>
      <w:marTop w:val="0"/>
      <w:marBottom w:val="0"/>
      <w:divBdr>
        <w:top w:val="none" w:sz="0" w:space="0" w:color="auto"/>
        <w:left w:val="none" w:sz="0" w:space="0" w:color="auto"/>
        <w:bottom w:val="none" w:sz="0" w:space="0" w:color="auto"/>
        <w:right w:val="none" w:sz="0" w:space="0" w:color="auto"/>
      </w:divBdr>
    </w:div>
    <w:div w:id="383061817">
      <w:marLeft w:val="480"/>
      <w:marRight w:val="0"/>
      <w:marTop w:val="0"/>
      <w:marBottom w:val="0"/>
      <w:divBdr>
        <w:top w:val="none" w:sz="0" w:space="0" w:color="auto"/>
        <w:left w:val="none" w:sz="0" w:space="0" w:color="auto"/>
        <w:bottom w:val="none" w:sz="0" w:space="0" w:color="auto"/>
        <w:right w:val="none" w:sz="0" w:space="0" w:color="auto"/>
      </w:divBdr>
    </w:div>
    <w:div w:id="384566884">
      <w:marLeft w:val="480"/>
      <w:marRight w:val="0"/>
      <w:marTop w:val="0"/>
      <w:marBottom w:val="0"/>
      <w:divBdr>
        <w:top w:val="none" w:sz="0" w:space="0" w:color="auto"/>
        <w:left w:val="none" w:sz="0" w:space="0" w:color="auto"/>
        <w:bottom w:val="none" w:sz="0" w:space="0" w:color="auto"/>
        <w:right w:val="none" w:sz="0" w:space="0" w:color="auto"/>
      </w:divBdr>
    </w:div>
    <w:div w:id="390155032">
      <w:marLeft w:val="480"/>
      <w:marRight w:val="0"/>
      <w:marTop w:val="0"/>
      <w:marBottom w:val="0"/>
      <w:divBdr>
        <w:top w:val="none" w:sz="0" w:space="0" w:color="auto"/>
        <w:left w:val="none" w:sz="0" w:space="0" w:color="auto"/>
        <w:bottom w:val="none" w:sz="0" w:space="0" w:color="auto"/>
        <w:right w:val="none" w:sz="0" w:space="0" w:color="auto"/>
      </w:divBdr>
    </w:div>
    <w:div w:id="391386898">
      <w:marLeft w:val="480"/>
      <w:marRight w:val="0"/>
      <w:marTop w:val="0"/>
      <w:marBottom w:val="0"/>
      <w:divBdr>
        <w:top w:val="none" w:sz="0" w:space="0" w:color="auto"/>
        <w:left w:val="none" w:sz="0" w:space="0" w:color="auto"/>
        <w:bottom w:val="none" w:sz="0" w:space="0" w:color="auto"/>
        <w:right w:val="none" w:sz="0" w:space="0" w:color="auto"/>
      </w:divBdr>
    </w:div>
    <w:div w:id="392512516">
      <w:marLeft w:val="480"/>
      <w:marRight w:val="0"/>
      <w:marTop w:val="0"/>
      <w:marBottom w:val="0"/>
      <w:divBdr>
        <w:top w:val="none" w:sz="0" w:space="0" w:color="auto"/>
        <w:left w:val="none" w:sz="0" w:space="0" w:color="auto"/>
        <w:bottom w:val="none" w:sz="0" w:space="0" w:color="auto"/>
        <w:right w:val="none" w:sz="0" w:space="0" w:color="auto"/>
      </w:divBdr>
    </w:div>
    <w:div w:id="395662633">
      <w:marLeft w:val="480"/>
      <w:marRight w:val="0"/>
      <w:marTop w:val="0"/>
      <w:marBottom w:val="0"/>
      <w:divBdr>
        <w:top w:val="none" w:sz="0" w:space="0" w:color="auto"/>
        <w:left w:val="none" w:sz="0" w:space="0" w:color="auto"/>
        <w:bottom w:val="none" w:sz="0" w:space="0" w:color="auto"/>
        <w:right w:val="none" w:sz="0" w:space="0" w:color="auto"/>
      </w:divBdr>
    </w:div>
    <w:div w:id="397170085">
      <w:marLeft w:val="480"/>
      <w:marRight w:val="0"/>
      <w:marTop w:val="0"/>
      <w:marBottom w:val="0"/>
      <w:divBdr>
        <w:top w:val="none" w:sz="0" w:space="0" w:color="auto"/>
        <w:left w:val="none" w:sz="0" w:space="0" w:color="auto"/>
        <w:bottom w:val="none" w:sz="0" w:space="0" w:color="auto"/>
        <w:right w:val="none" w:sz="0" w:space="0" w:color="auto"/>
      </w:divBdr>
    </w:div>
    <w:div w:id="406155565">
      <w:marLeft w:val="480"/>
      <w:marRight w:val="0"/>
      <w:marTop w:val="0"/>
      <w:marBottom w:val="0"/>
      <w:divBdr>
        <w:top w:val="none" w:sz="0" w:space="0" w:color="auto"/>
        <w:left w:val="none" w:sz="0" w:space="0" w:color="auto"/>
        <w:bottom w:val="none" w:sz="0" w:space="0" w:color="auto"/>
        <w:right w:val="none" w:sz="0" w:space="0" w:color="auto"/>
      </w:divBdr>
    </w:div>
    <w:div w:id="408306076">
      <w:marLeft w:val="480"/>
      <w:marRight w:val="0"/>
      <w:marTop w:val="0"/>
      <w:marBottom w:val="0"/>
      <w:divBdr>
        <w:top w:val="none" w:sz="0" w:space="0" w:color="auto"/>
        <w:left w:val="none" w:sz="0" w:space="0" w:color="auto"/>
        <w:bottom w:val="none" w:sz="0" w:space="0" w:color="auto"/>
        <w:right w:val="none" w:sz="0" w:space="0" w:color="auto"/>
      </w:divBdr>
    </w:div>
    <w:div w:id="409353304">
      <w:marLeft w:val="480"/>
      <w:marRight w:val="0"/>
      <w:marTop w:val="0"/>
      <w:marBottom w:val="0"/>
      <w:divBdr>
        <w:top w:val="none" w:sz="0" w:space="0" w:color="auto"/>
        <w:left w:val="none" w:sz="0" w:space="0" w:color="auto"/>
        <w:bottom w:val="none" w:sz="0" w:space="0" w:color="auto"/>
        <w:right w:val="none" w:sz="0" w:space="0" w:color="auto"/>
      </w:divBdr>
    </w:div>
    <w:div w:id="410083842">
      <w:marLeft w:val="480"/>
      <w:marRight w:val="0"/>
      <w:marTop w:val="0"/>
      <w:marBottom w:val="0"/>
      <w:divBdr>
        <w:top w:val="none" w:sz="0" w:space="0" w:color="auto"/>
        <w:left w:val="none" w:sz="0" w:space="0" w:color="auto"/>
        <w:bottom w:val="none" w:sz="0" w:space="0" w:color="auto"/>
        <w:right w:val="none" w:sz="0" w:space="0" w:color="auto"/>
      </w:divBdr>
    </w:div>
    <w:div w:id="411053473">
      <w:marLeft w:val="480"/>
      <w:marRight w:val="0"/>
      <w:marTop w:val="0"/>
      <w:marBottom w:val="0"/>
      <w:divBdr>
        <w:top w:val="none" w:sz="0" w:space="0" w:color="auto"/>
        <w:left w:val="none" w:sz="0" w:space="0" w:color="auto"/>
        <w:bottom w:val="none" w:sz="0" w:space="0" w:color="auto"/>
        <w:right w:val="none" w:sz="0" w:space="0" w:color="auto"/>
      </w:divBdr>
    </w:div>
    <w:div w:id="411708387">
      <w:marLeft w:val="480"/>
      <w:marRight w:val="0"/>
      <w:marTop w:val="0"/>
      <w:marBottom w:val="0"/>
      <w:divBdr>
        <w:top w:val="none" w:sz="0" w:space="0" w:color="auto"/>
        <w:left w:val="none" w:sz="0" w:space="0" w:color="auto"/>
        <w:bottom w:val="none" w:sz="0" w:space="0" w:color="auto"/>
        <w:right w:val="none" w:sz="0" w:space="0" w:color="auto"/>
      </w:divBdr>
    </w:div>
    <w:div w:id="413861973">
      <w:marLeft w:val="480"/>
      <w:marRight w:val="0"/>
      <w:marTop w:val="0"/>
      <w:marBottom w:val="0"/>
      <w:divBdr>
        <w:top w:val="none" w:sz="0" w:space="0" w:color="auto"/>
        <w:left w:val="none" w:sz="0" w:space="0" w:color="auto"/>
        <w:bottom w:val="none" w:sz="0" w:space="0" w:color="auto"/>
        <w:right w:val="none" w:sz="0" w:space="0" w:color="auto"/>
      </w:divBdr>
    </w:div>
    <w:div w:id="414783019">
      <w:marLeft w:val="480"/>
      <w:marRight w:val="0"/>
      <w:marTop w:val="0"/>
      <w:marBottom w:val="0"/>
      <w:divBdr>
        <w:top w:val="none" w:sz="0" w:space="0" w:color="auto"/>
        <w:left w:val="none" w:sz="0" w:space="0" w:color="auto"/>
        <w:bottom w:val="none" w:sz="0" w:space="0" w:color="auto"/>
        <w:right w:val="none" w:sz="0" w:space="0" w:color="auto"/>
      </w:divBdr>
    </w:div>
    <w:div w:id="420496199">
      <w:marLeft w:val="480"/>
      <w:marRight w:val="0"/>
      <w:marTop w:val="0"/>
      <w:marBottom w:val="0"/>
      <w:divBdr>
        <w:top w:val="none" w:sz="0" w:space="0" w:color="auto"/>
        <w:left w:val="none" w:sz="0" w:space="0" w:color="auto"/>
        <w:bottom w:val="none" w:sz="0" w:space="0" w:color="auto"/>
        <w:right w:val="none" w:sz="0" w:space="0" w:color="auto"/>
      </w:divBdr>
    </w:div>
    <w:div w:id="420951481">
      <w:marLeft w:val="480"/>
      <w:marRight w:val="0"/>
      <w:marTop w:val="0"/>
      <w:marBottom w:val="0"/>
      <w:divBdr>
        <w:top w:val="none" w:sz="0" w:space="0" w:color="auto"/>
        <w:left w:val="none" w:sz="0" w:space="0" w:color="auto"/>
        <w:bottom w:val="none" w:sz="0" w:space="0" w:color="auto"/>
        <w:right w:val="none" w:sz="0" w:space="0" w:color="auto"/>
      </w:divBdr>
    </w:div>
    <w:div w:id="421799767">
      <w:marLeft w:val="480"/>
      <w:marRight w:val="0"/>
      <w:marTop w:val="0"/>
      <w:marBottom w:val="0"/>
      <w:divBdr>
        <w:top w:val="none" w:sz="0" w:space="0" w:color="auto"/>
        <w:left w:val="none" w:sz="0" w:space="0" w:color="auto"/>
        <w:bottom w:val="none" w:sz="0" w:space="0" w:color="auto"/>
        <w:right w:val="none" w:sz="0" w:space="0" w:color="auto"/>
      </w:divBdr>
    </w:div>
    <w:div w:id="434906418">
      <w:marLeft w:val="480"/>
      <w:marRight w:val="0"/>
      <w:marTop w:val="0"/>
      <w:marBottom w:val="0"/>
      <w:divBdr>
        <w:top w:val="none" w:sz="0" w:space="0" w:color="auto"/>
        <w:left w:val="none" w:sz="0" w:space="0" w:color="auto"/>
        <w:bottom w:val="none" w:sz="0" w:space="0" w:color="auto"/>
        <w:right w:val="none" w:sz="0" w:space="0" w:color="auto"/>
      </w:divBdr>
    </w:div>
    <w:div w:id="436680174">
      <w:marLeft w:val="480"/>
      <w:marRight w:val="0"/>
      <w:marTop w:val="0"/>
      <w:marBottom w:val="0"/>
      <w:divBdr>
        <w:top w:val="none" w:sz="0" w:space="0" w:color="auto"/>
        <w:left w:val="none" w:sz="0" w:space="0" w:color="auto"/>
        <w:bottom w:val="none" w:sz="0" w:space="0" w:color="auto"/>
        <w:right w:val="none" w:sz="0" w:space="0" w:color="auto"/>
      </w:divBdr>
    </w:div>
    <w:div w:id="437064913">
      <w:marLeft w:val="480"/>
      <w:marRight w:val="0"/>
      <w:marTop w:val="0"/>
      <w:marBottom w:val="0"/>
      <w:divBdr>
        <w:top w:val="none" w:sz="0" w:space="0" w:color="auto"/>
        <w:left w:val="none" w:sz="0" w:space="0" w:color="auto"/>
        <w:bottom w:val="none" w:sz="0" w:space="0" w:color="auto"/>
        <w:right w:val="none" w:sz="0" w:space="0" w:color="auto"/>
      </w:divBdr>
    </w:div>
    <w:div w:id="438765057">
      <w:marLeft w:val="480"/>
      <w:marRight w:val="0"/>
      <w:marTop w:val="0"/>
      <w:marBottom w:val="0"/>
      <w:divBdr>
        <w:top w:val="none" w:sz="0" w:space="0" w:color="auto"/>
        <w:left w:val="none" w:sz="0" w:space="0" w:color="auto"/>
        <w:bottom w:val="none" w:sz="0" w:space="0" w:color="auto"/>
        <w:right w:val="none" w:sz="0" w:space="0" w:color="auto"/>
      </w:divBdr>
    </w:div>
    <w:div w:id="439839473">
      <w:marLeft w:val="480"/>
      <w:marRight w:val="0"/>
      <w:marTop w:val="0"/>
      <w:marBottom w:val="0"/>
      <w:divBdr>
        <w:top w:val="none" w:sz="0" w:space="0" w:color="auto"/>
        <w:left w:val="none" w:sz="0" w:space="0" w:color="auto"/>
        <w:bottom w:val="none" w:sz="0" w:space="0" w:color="auto"/>
        <w:right w:val="none" w:sz="0" w:space="0" w:color="auto"/>
      </w:divBdr>
    </w:div>
    <w:div w:id="439842833">
      <w:marLeft w:val="480"/>
      <w:marRight w:val="0"/>
      <w:marTop w:val="0"/>
      <w:marBottom w:val="0"/>
      <w:divBdr>
        <w:top w:val="none" w:sz="0" w:space="0" w:color="auto"/>
        <w:left w:val="none" w:sz="0" w:space="0" w:color="auto"/>
        <w:bottom w:val="none" w:sz="0" w:space="0" w:color="auto"/>
        <w:right w:val="none" w:sz="0" w:space="0" w:color="auto"/>
      </w:divBdr>
    </w:div>
    <w:div w:id="444153071">
      <w:marLeft w:val="480"/>
      <w:marRight w:val="0"/>
      <w:marTop w:val="0"/>
      <w:marBottom w:val="0"/>
      <w:divBdr>
        <w:top w:val="none" w:sz="0" w:space="0" w:color="auto"/>
        <w:left w:val="none" w:sz="0" w:space="0" w:color="auto"/>
        <w:bottom w:val="none" w:sz="0" w:space="0" w:color="auto"/>
        <w:right w:val="none" w:sz="0" w:space="0" w:color="auto"/>
      </w:divBdr>
    </w:div>
    <w:div w:id="447968120">
      <w:marLeft w:val="480"/>
      <w:marRight w:val="0"/>
      <w:marTop w:val="0"/>
      <w:marBottom w:val="0"/>
      <w:divBdr>
        <w:top w:val="none" w:sz="0" w:space="0" w:color="auto"/>
        <w:left w:val="none" w:sz="0" w:space="0" w:color="auto"/>
        <w:bottom w:val="none" w:sz="0" w:space="0" w:color="auto"/>
        <w:right w:val="none" w:sz="0" w:space="0" w:color="auto"/>
      </w:divBdr>
    </w:div>
    <w:div w:id="448934875">
      <w:marLeft w:val="480"/>
      <w:marRight w:val="0"/>
      <w:marTop w:val="0"/>
      <w:marBottom w:val="0"/>
      <w:divBdr>
        <w:top w:val="none" w:sz="0" w:space="0" w:color="auto"/>
        <w:left w:val="none" w:sz="0" w:space="0" w:color="auto"/>
        <w:bottom w:val="none" w:sz="0" w:space="0" w:color="auto"/>
        <w:right w:val="none" w:sz="0" w:space="0" w:color="auto"/>
      </w:divBdr>
    </w:div>
    <w:div w:id="449249758">
      <w:marLeft w:val="480"/>
      <w:marRight w:val="0"/>
      <w:marTop w:val="0"/>
      <w:marBottom w:val="0"/>
      <w:divBdr>
        <w:top w:val="none" w:sz="0" w:space="0" w:color="auto"/>
        <w:left w:val="none" w:sz="0" w:space="0" w:color="auto"/>
        <w:bottom w:val="none" w:sz="0" w:space="0" w:color="auto"/>
        <w:right w:val="none" w:sz="0" w:space="0" w:color="auto"/>
      </w:divBdr>
    </w:div>
    <w:div w:id="452484581">
      <w:marLeft w:val="480"/>
      <w:marRight w:val="0"/>
      <w:marTop w:val="0"/>
      <w:marBottom w:val="0"/>
      <w:divBdr>
        <w:top w:val="none" w:sz="0" w:space="0" w:color="auto"/>
        <w:left w:val="none" w:sz="0" w:space="0" w:color="auto"/>
        <w:bottom w:val="none" w:sz="0" w:space="0" w:color="auto"/>
        <w:right w:val="none" w:sz="0" w:space="0" w:color="auto"/>
      </w:divBdr>
    </w:div>
    <w:div w:id="456611233">
      <w:marLeft w:val="480"/>
      <w:marRight w:val="0"/>
      <w:marTop w:val="0"/>
      <w:marBottom w:val="0"/>
      <w:divBdr>
        <w:top w:val="none" w:sz="0" w:space="0" w:color="auto"/>
        <w:left w:val="none" w:sz="0" w:space="0" w:color="auto"/>
        <w:bottom w:val="none" w:sz="0" w:space="0" w:color="auto"/>
        <w:right w:val="none" w:sz="0" w:space="0" w:color="auto"/>
      </w:divBdr>
    </w:div>
    <w:div w:id="457064458">
      <w:marLeft w:val="480"/>
      <w:marRight w:val="0"/>
      <w:marTop w:val="0"/>
      <w:marBottom w:val="0"/>
      <w:divBdr>
        <w:top w:val="none" w:sz="0" w:space="0" w:color="auto"/>
        <w:left w:val="none" w:sz="0" w:space="0" w:color="auto"/>
        <w:bottom w:val="none" w:sz="0" w:space="0" w:color="auto"/>
        <w:right w:val="none" w:sz="0" w:space="0" w:color="auto"/>
      </w:divBdr>
    </w:div>
    <w:div w:id="457846622">
      <w:marLeft w:val="480"/>
      <w:marRight w:val="0"/>
      <w:marTop w:val="0"/>
      <w:marBottom w:val="0"/>
      <w:divBdr>
        <w:top w:val="none" w:sz="0" w:space="0" w:color="auto"/>
        <w:left w:val="none" w:sz="0" w:space="0" w:color="auto"/>
        <w:bottom w:val="none" w:sz="0" w:space="0" w:color="auto"/>
        <w:right w:val="none" w:sz="0" w:space="0" w:color="auto"/>
      </w:divBdr>
    </w:div>
    <w:div w:id="458649207">
      <w:marLeft w:val="480"/>
      <w:marRight w:val="0"/>
      <w:marTop w:val="0"/>
      <w:marBottom w:val="0"/>
      <w:divBdr>
        <w:top w:val="none" w:sz="0" w:space="0" w:color="auto"/>
        <w:left w:val="none" w:sz="0" w:space="0" w:color="auto"/>
        <w:bottom w:val="none" w:sz="0" w:space="0" w:color="auto"/>
        <w:right w:val="none" w:sz="0" w:space="0" w:color="auto"/>
      </w:divBdr>
    </w:div>
    <w:div w:id="459037161">
      <w:marLeft w:val="480"/>
      <w:marRight w:val="0"/>
      <w:marTop w:val="0"/>
      <w:marBottom w:val="0"/>
      <w:divBdr>
        <w:top w:val="none" w:sz="0" w:space="0" w:color="auto"/>
        <w:left w:val="none" w:sz="0" w:space="0" w:color="auto"/>
        <w:bottom w:val="none" w:sz="0" w:space="0" w:color="auto"/>
        <w:right w:val="none" w:sz="0" w:space="0" w:color="auto"/>
      </w:divBdr>
    </w:div>
    <w:div w:id="459878743">
      <w:marLeft w:val="480"/>
      <w:marRight w:val="0"/>
      <w:marTop w:val="0"/>
      <w:marBottom w:val="0"/>
      <w:divBdr>
        <w:top w:val="none" w:sz="0" w:space="0" w:color="auto"/>
        <w:left w:val="none" w:sz="0" w:space="0" w:color="auto"/>
        <w:bottom w:val="none" w:sz="0" w:space="0" w:color="auto"/>
        <w:right w:val="none" w:sz="0" w:space="0" w:color="auto"/>
      </w:divBdr>
    </w:div>
    <w:div w:id="461074901">
      <w:marLeft w:val="480"/>
      <w:marRight w:val="0"/>
      <w:marTop w:val="0"/>
      <w:marBottom w:val="0"/>
      <w:divBdr>
        <w:top w:val="none" w:sz="0" w:space="0" w:color="auto"/>
        <w:left w:val="none" w:sz="0" w:space="0" w:color="auto"/>
        <w:bottom w:val="none" w:sz="0" w:space="0" w:color="auto"/>
        <w:right w:val="none" w:sz="0" w:space="0" w:color="auto"/>
      </w:divBdr>
    </w:div>
    <w:div w:id="461926992">
      <w:marLeft w:val="480"/>
      <w:marRight w:val="0"/>
      <w:marTop w:val="0"/>
      <w:marBottom w:val="0"/>
      <w:divBdr>
        <w:top w:val="none" w:sz="0" w:space="0" w:color="auto"/>
        <w:left w:val="none" w:sz="0" w:space="0" w:color="auto"/>
        <w:bottom w:val="none" w:sz="0" w:space="0" w:color="auto"/>
        <w:right w:val="none" w:sz="0" w:space="0" w:color="auto"/>
      </w:divBdr>
    </w:div>
    <w:div w:id="472262079">
      <w:marLeft w:val="480"/>
      <w:marRight w:val="0"/>
      <w:marTop w:val="0"/>
      <w:marBottom w:val="0"/>
      <w:divBdr>
        <w:top w:val="none" w:sz="0" w:space="0" w:color="auto"/>
        <w:left w:val="none" w:sz="0" w:space="0" w:color="auto"/>
        <w:bottom w:val="none" w:sz="0" w:space="0" w:color="auto"/>
        <w:right w:val="none" w:sz="0" w:space="0" w:color="auto"/>
      </w:divBdr>
    </w:div>
    <w:div w:id="480077995">
      <w:marLeft w:val="480"/>
      <w:marRight w:val="0"/>
      <w:marTop w:val="0"/>
      <w:marBottom w:val="0"/>
      <w:divBdr>
        <w:top w:val="none" w:sz="0" w:space="0" w:color="auto"/>
        <w:left w:val="none" w:sz="0" w:space="0" w:color="auto"/>
        <w:bottom w:val="none" w:sz="0" w:space="0" w:color="auto"/>
        <w:right w:val="none" w:sz="0" w:space="0" w:color="auto"/>
      </w:divBdr>
    </w:div>
    <w:div w:id="482241172">
      <w:marLeft w:val="480"/>
      <w:marRight w:val="0"/>
      <w:marTop w:val="0"/>
      <w:marBottom w:val="0"/>
      <w:divBdr>
        <w:top w:val="none" w:sz="0" w:space="0" w:color="auto"/>
        <w:left w:val="none" w:sz="0" w:space="0" w:color="auto"/>
        <w:bottom w:val="none" w:sz="0" w:space="0" w:color="auto"/>
        <w:right w:val="none" w:sz="0" w:space="0" w:color="auto"/>
      </w:divBdr>
    </w:div>
    <w:div w:id="486019662">
      <w:marLeft w:val="480"/>
      <w:marRight w:val="0"/>
      <w:marTop w:val="0"/>
      <w:marBottom w:val="0"/>
      <w:divBdr>
        <w:top w:val="none" w:sz="0" w:space="0" w:color="auto"/>
        <w:left w:val="none" w:sz="0" w:space="0" w:color="auto"/>
        <w:bottom w:val="none" w:sz="0" w:space="0" w:color="auto"/>
        <w:right w:val="none" w:sz="0" w:space="0" w:color="auto"/>
      </w:divBdr>
    </w:div>
    <w:div w:id="486168740">
      <w:marLeft w:val="480"/>
      <w:marRight w:val="0"/>
      <w:marTop w:val="0"/>
      <w:marBottom w:val="0"/>
      <w:divBdr>
        <w:top w:val="none" w:sz="0" w:space="0" w:color="auto"/>
        <w:left w:val="none" w:sz="0" w:space="0" w:color="auto"/>
        <w:bottom w:val="none" w:sz="0" w:space="0" w:color="auto"/>
        <w:right w:val="none" w:sz="0" w:space="0" w:color="auto"/>
      </w:divBdr>
    </w:div>
    <w:div w:id="488178157">
      <w:marLeft w:val="480"/>
      <w:marRight w:val="0"/>
      <w:marTop w:val="0"/>
      <w:marBottom w:val="0"/>
      <w:divBdr>
        <w:top w:val="none" w:sz="0" w:space="0" w:color="auto"/>
        <w:left w:val="none" w:sz="0" w:space="0" w:color="auto"/>
        <w:bottom w:val="none" w:sz="0" w:space="0" w:color="auto"/>
        <w:right w:val="none" w:sz="0" w:space="0" w:color="auto"/>
      </w:divBdr>
    </w:div>
    <w:div w:id="493299376">
      <w:marLeft w:val="480"/>
      <w:marRight w:val="0"/>
      <w:marTop w:val="0"/>
      <w:marBottom w:val="0"/>
      <w:divBdr>
        <w:top w:val="none" w:sz="0" w:space="0" w:color="auto"/>
        <w:left w:val="none" w:sz="0" w:space="0" w:color="auto"/>
        <w:bottom w:val="none" w:sz="0" w:space="0" w:color="auto"/>
        <w:right w:val="none" w:sz="0" w:space="0" w:color="auto"/>
      </w:divBdr>
    </w:div>
    <w:div w:id="495733028">
      <w:marLeft w:val="480"/>
      <w:marRight w:val="0"/>
      <w:marTop w:val="0"/>
      <w:marBottom w:val="0"/>
      <w:divBdr>
        <w:top w:val="none" w:sz="0" w:space="0" w:color="auto"/>
        <w:left w:val="none" w:sz="0" w:space="0" w:color="auto"/>
        <w:bottom w:val="none" w:sz="0" w:space="0" w:color="auto"/>
        <w:right w:val="none" w:sz="0" w:space="0" w:color="auto"/>
      </w:divBdr>
    </w:div>
    <w:div w:id="496579542">
      <w:marLeft w:val="480"/>
      <w:marRight w:val="0"/>
      <w:marTop w:val="0"/>
      <w:marBottom w:val="0"/>
      <w:divBdr>
        <w:top w:val="none" w:sz="0" w:space="0" w:color="auto"/>
        <w:left w:val="none" w:sz="0" w:space="0" w:color="auto"/>
        <w:bottom w:val="none" w:sz="0" w:space="0" w:color="auto"/>
        <w:right w:val="none" w:sz="0" w:space="0" w:color="auto"/>
      </w:divBdr>
    </w:div>
    <w:div w:id="501047603">
      <w:marLeft w:val="480"/>
      <w:marRight w:val="0"/>
      <w:marTop w:val="0"/>
      <w:marBottom w:val="0"/>
      <w:divBdr>
        <w:top w:val="none" w:sz="0" w:space="0" w:color="auto"/>
        <w:left w:val="none" w:sz="0" w:space="0" w:color="auto"/>
        <w:bottom w:val="none" w:sz="0" w:space="0" w:color="auto"/>
        <w:right w:val="none" w:sz="0" w:space="0" w:color="auto"/>
      </w:divBdr>
    </w:div>
    <w:div w:id="509565800">
      <w:marLeft w:val="480"/>
      <w:marRight w:val="0"/>
      <w:marTop w:val="0"/>
      <w:marBottom w:val="0"/>
      <w:divBdr>
        <w:top w:val="none" w:sz="0" w:space="0" w:color="auto"/>
        <w:left w:val="none" w:sz="0" w:space="0" w:color="auto"/>
        <w:bottom w:val="none" w:sz="0" w:space="0" w:color="auto"/>
        <w:right w:val="none" w:sz="0" w:space="0" w:color="auto"/>
      </w:divBdr>
    </w:div>
    <w:div w:id="513349157">
      <w:marLeft w:val="480"/>
      <w:marRight w:val="0"/>
      <w:marTop w:val="0"/>
      <w:marBottom w:val="0"/>
      <w:divBdr>
        <w:top w:val="none" w:sz="0" w:space="0" w:color="auto"/>
        <w:left w:val="none" w:sz="0" w:space="0" w:color="auto"/>
        <w:bottom w:val="none" w:sz="0" w:space="0" w:color="auto"/>
        <w:right w:val="none" w:sz="0" w:space="0" w:color="auto"/>
      </w:divBdr>
    </w:div>
    <w:div w:id="513690643">
      <w:marLeft w:val="480"/>
      <w:marRight w:val="0"/>
      <w:marTop w:val="0"/>
      <w:marBottom w:val="0"/>
      <w:divBdr>
        <w:top w:val="none" w:sz="0" w:space="0" w:color="auto"/>
        <w:left w:val="none" w:sz="0" w:space="0" w:color="auto"/>
        <w:bottom w:val="none" w:sz="0" w:space="0" w:color="auto"/>
        <w:right w:val="none" w:sz="0" w:space="0" w:color="auto"/>
      </w:divBdr>
    </w:div>
    <w:div w:id="521938091">
      <w:marLeft w:val="480"/>
      <w:marRight w:val="0"/>
      <w:marTop w:val="0"/>
      <w:marBottom w:val="0"/>
      <w:divBdr>
        <w:top w:val="none" w:sz="0" w:space="0" w:color="auto"/>
        <w:left w:val="none" w:sz="0" w:space="0" w:color="auto"/>
        <w:bottom w:val="none" w:sz="0" w:space="0" w:color="auto"/>
        <w:right w:val="none" w:sz="0" w:space="0" w:color="auto"/>
      </w:divBdr>
    </w:div>
    <w:div w:id="532037446">
      <w:marLeft w:val="480"/>
      <w:marRight w:val="0"/>
      <w:marTop w:val="0"/>
      <w:marBottom w:val="0"/>
      <w:divBdr>
        <w:top w:val="none" w:sz="0" w:space="0" w:color="auto"/>
        <w:left w:val="none" w:sz="0" w:space="0" w:color="auto"/>
        <w:bottom w:val="none" w:sz="0" w:space="0" w:color="auto"/>
        <w:right w:val="none" w:sz="0" w:space="0" w:color="auto"/>
      </w:divBdr>
    </w:div>
    <w:div w:id="533231093">
      <w:marLeft w:val="480"/>
      <w:marRight w:val="0"/>
      <w:marTop w:val="0"/>
      <w:marBottom w:val="0"/>
      <w:divBdr>
        <w:top w:val="none" w:sz="0" w:space="0" w:color="auto"/>
        <w:left w:val="none" w:sz="0" w:space="0" w:color="auto"/>
        <w:bottom w:val="none" w:sz="0" w:space="0" w:color="auto"/>
        <w:right w:val="none" w:sz="0" w:space="0" w:color="auto"/>
      </w:divBdr>
    </w:div>
    <w:div w:id="539824917">
      <w:marLeft w:val="480"/>
      <w:marRight w:val="0"/>
      <w:marTop w:val="0"/>
      <w:marBottom w:val="0"/>
      <w:divBdr>
        <w:top w:val="none" w:sz="0" w:space="0" w:color="auto"/>
        <w:left w:val="none" w:sz="0" w:space="0" w:color="auto"/>
        <w:bottom w:val="none" w:sz="0" w:space="0" w:color="auto"/>
        <w:right w:val="none" w:sz="0" w:space="0" w:color="auto"/>
      </w:divBdr>
    </w:div>
    <w:div w:id="540484136">
      <w:marLeft w:val="480"/>
      <w:marRight w:val="0"/>
      <w:marTop w:val="0"/>
      <w:marBottom w:val="0"/>
      <w:divBdr>
        <w:top w:val="none" w:sz="0" w:space="0" w:color="auto"/>
        <w:left w:val="none" w:sz="0" w:space="0" w:color="auto"/>
        <w:bottom w:val="none" w:sz="0" w:space="0" w:color="auto"/>
        <w:right w:val="none" w:sz="0" w:space="0" w:color="auto"/>
      </w:divBdr>
    </w:div>
    <w:div w:id="543296833">
      <w:marLeft w:val="480"/>
      <w:marRight w:val="0"/>
      <w:marTop w:val="0"/>
      <w:marBottom w:val="0"/>
      <w:divBdr>
        <w:top w:val="none" w:sz="0" w:space="0" w:color="auto"/>
        <w:left w:val="none" w:sz="0" w:space="0" w:color="auto"/>
        <w:bottom w:val="none" w:sz="0" w:space="0" w:color="auto"/>
        <w:right w:val="none" w:sz="0" w:space="0" w:color="auto"/>
      </w:divBdr>
    </w:div>
    <w:div w:id="545529266">
      <w:marLeft w:val="480"/>
      <w:marRight w:val="0"/>
      <w:marTop w:val="0"/>
      <w:marBottom w:val="0"/>
      <w:divBdr>
        <w:top w:val="none" w:sz="0" w:space="0" w:color="auto"/>
        <w:left w:val="none" w:sz="0" w:space="0" w:color="auto"/>
        <w:bottom w:val="none" w:sz="0" w:space="0" w:color="auto"/>
        <w:right w:val="none" w:sz="0" w:space="0" w:color="auto"/>
      </w:divBdr>
    </w:div>
    <w:div w:id="557664374">
      <w:marLeft w:val="480"/>
      <w:marRight w:val="0"/>
      <w:marTop w:val="0"/>
      <w:marBottom w:val="0"/>
      <w:divBdr>
        <w:top w:val="none" w:sz="0" w:space="0" w:color="auto"/>
        <w:left w:val="none" w:sz="0" w:space="0" w:color="auto"/>
        <w:bottom w:val="none" w:sz="0" w:space="0" w:color="auto"/>
        <w:right w:val="none" w:sz="0" w:space="0" w:color="auto"/>
      </w:divBdr>
    </w:div>
    <w:div w:id="574511202">
      <w:marLeft w:val="480"/>
      <w:marRight w:val="0"/>
      <w:marTop w:val="0"/>
      <w:marBottom w:val="0"/>
      <w:divBdr>
        <w:top w:val="none" w:sz="0" w:space="0" w:color="auto"/>
        <w:left w:val="none" w:sz="0" w:space="0" w:color="auto"/>
        <w:bottom w:val="none" w:sz="0" w:space="0" w:color="auto"/>
        <w:right w:val="none" w:sz="0" w:space="0" w:color="auto"/>
      </w:divBdr>
    </w:div>
    <w:div w:id="574709272">
      <w:marLeft w:val="480"/>
      <w:marRight w:val="0"/>
      <w:marTop w:val="0"/>
      <w:marBottom w:val="0"/>
      <w:divBdr>
        <w:top w:val="none" w:sz="0" w:space="0" w:color="auto"/>
        <w:left w:val="none" w:sz="0" w:space="0" w:color="auto"/>
        <w:bottom w:val="none" w:sz="0" w:space="0" w:color="auto"/>
        <w:right w:val="none" w:sz="0" w:space="0" w:color="auto"/>
      </w:divBdr>
    </w:div>
    <w:div w:id="577248243">
      <w:marLeft w:val="480"/>
      <w:marRight w:val="0"/>
      <w:marTop w:val="0"/>
      <w:marBottom w:val="0"/>
      <w:divBdr>
        <w:top w:val="none" w:sz="0" w:space="0" w:color="auto"/>
        <w:left w:val="none" w:sz="0" w:space="0" w:color="auto"/>
        <w:bottom w:val="none" w:sz="0" w:space="0" w:color="auto"/>
        <w:right w:val="none" w:sz="0" w:space="0" w:color="auto"/>
      </w:divBdr>
    </w:div>
    <w:div w:id="579292435">
      <w:marLeft w:val="480"/>
      <w:marRight w:val="0"/>
      <w:marTop w:val="0"/>
      <w:marBottom w:val="0"/>
      <w:divBdr>
        <w:top w:val="none" w:sz="0" w:space="0" w:color="auto"/>
        <w:left w:val="none" w:sz="0" w:space="0" w:color="auto"/>
        <w:bottom w:val="none" w:sz="0" w:space="0" w:color="auto"/>
        <w:right w:val="none" w:sz="0" w:space="0" w:color="auto"/>
      </w:divBdr>
    </w:div>
    <w:div w:id="581379596">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582833432">
      <w:marLeft w:val="480"/>
      <w:marRight w:val="0"/>
      <w:marTop w:val="0"/>
      <w:marBottom w:val="0"/>
      <w:divBdr>
        <w:top w:val="none" w:sz="0" w:space="0" w:color="auto"/>
        <w:left w:val="none" w:sz="0" w:space="0" w:color="auto"/>
        <w:bottom w:val="none" w:sz="0" w:space="0" w:color="auto"/>
        <w:right w:val="none" w:sz="0" w:space="0" w:color="auto"/>
      </w:divBdr>
    </w:div>
    <w:div w:id="584608341">
      <w:marLeft w:val="480"/>
      <w:marRight w:val="0"/>
      <w:marTop w:val="0"/>
      <w:marBottom w:val="0"/>
      <w:divBdr>
        <w:top w:val="none" w:sz="0" w:space="0" w:color="auto"/>
        <w:left w:val="none" w:sz="0" w:space="0" w:color="auto"/>
        <w:bottom w:val="none" w:sz="0" w:space="0" w:color="auto"/>
        <w:right w:val="none" w:sz="0" w:space="0" w:color="auto"/>
      </w:divBdr>
    </w:div>
    <w:div w:id="586499353">
      <w:marLeft w:val="480"/>
      <w:marRight w:val="0"/>
      <w:marTop w:val="0"/>
      <w:marBottom w:val="0"/>
      <w:divBdr>
        <w:top w:val="none" w:sz="0" w:space="0" w:color="auto"/>
        <w:left w:val="none" w:sz="0" w:space="0" w:color="auto"/>
        <w:bottom w:val="none" w:sz="0" w:space="0" w:color="auto"/>
        <w:right w:val="none" w:sz="0" w:space="0" w:color="auto"/>
      </w:divBdr>
    </w:div>
    <w:div w:id="597980861">
      <w:marLeft w:val="480"/>
      <w:marRight w:val="0"/>
      <w:marTop w:val="0"/>
      <w:marBottom w:val="0"/>
      <w:divBdr>
        <w:top w:val="none" w:sz="0" w:space="0" w:color="auto"/>
        <w:left w:val="none" w:sz="0" w:space="0" w:color="auto"/>
        <w:bottom w:val="none" w:sz="0" w:space="0" w:color="auto"/>
        <w:right w:val="none" w:sz="0" w:space="0" w:color="auto"/>
      </w:divBdr>
    </w:div>
    <w:div w:id="609045789">
      <w:marLeft w:val="480"/>
      <w:marRight w:val="0"/>
      <w:marTop w:val="0"/>
      <w:marBottom w:val="0"/>
      <w:divBdr>
        <w:top w:val="none" w:sz="0" w:space="0" w:color="auto"/>
        <w:left w:val="none" w:sz="0" w:space="0" w:color="auto"/>
        <w:bottom w:val="none" w:sz="0" w:space="0" w:color="auto"/>
        <w:right w:val="none" w:sz="0" w:space="0" w:color="auto"/>
      </w:divBdr>
    </w:div>
    <w:div w:id="609093574">
      <w:marLeft w:val="480"/>
      <w:marRight w:val="0"/>
      <w:marTop w:val="0"/>
      <w:marBottom w:val="0"/>
      <w:divBdr>
        <w:top w:val="none" w:sz="0" w:space="0" w:color="auto"/>
        <w:left w:val="none" w:sz="0" w:space="0" w:color="auto"/>
        <w:bottom w:val="none" w:sz="0" w:space="0" w:color="auto"/>
        <w:right w:val="none" w:sz="0" w:space="0" w:color="auto"/>
      </w:divBdr>
    </w:div>
    <w:div w:id="609169702">
      <w:marLeft w:val="480"/>
      <w:marRight w:val="0"/>
      <w:marTop w:val="0"/>
      <w:marBottom w:val="0"/>
      <w:divBdr>
        <w:top w:val="none" w:sz="0" w:space="0" w:color="auto"/>
        <w:left w:val="none" w:sz="0" w:space="0" w:color="auto"/>
        <w:bottom w:val="none" w:sz="0" w:space="0" w:color="auto"/>
        <w:right w:val="none" w:sz="0" w:space="0" w:color="auto"/>
      </w:divBdr>
    </w:div>
    <w:div w:id="616259713">
      <w:marLeft w:val="480"/>
      <w:marRight w:val="0"/>
      <w:marTop w:val="0"/>
      <w:marBottom w:val="0"/>
      <w:divBdr>
        <w:top w:val="none" w:sz="0" w:space="0" w:color="auto"/>
        <w:left w:val="none" w:sz="0" w:space="0" w:color="auto"/>
        <w:bottom w:val="none" w:sz="0" w:space="0" w:color="auto"/>
        <w:right w:val="none" w:sz="0" w:space="0" w:color="auto"/>
      </w:divBdr>
    </w:div>
    <w:div w:id="617567544">
      <w:marLeft w:val="480"/>
      <w:marRight w:val="0"/>
      <w:marTop w:val="0"/>
      <w:marBottom w:val="0"/>
      <w:divBdr>
        <w:top w:val="none" w:sz="0" w:space="0" w:color="auto"/>
        <w:left w:val="none" w:sz="0" w:space="0" w:color="auto"/>
        <w:bottom w:val="none" w:sz="0" w:space="0" w:color="auto"/>
        <w:right w:val="none" w:sz="0" w:space="0" w:color="auto"/>
      </w:divBdr>
    </w:div>
    <w:div w:id="622659105">
      <w:marLeft w:val="480"/>
      <w:marRight w:val="0"/>
      <w:marTop w:val="0"/>
      <w:marBottom w:val="0"/>
      <w:divBdr>
        <w:top w:val="none" w:sz="0" w:space="0" w:color="auto"/>
        <w:left w:val="none" w:sz="0" w:space="0" w:color="auto"/>
        <w:bottom w:val="none" w:sz="0" w:space="0" w:color="auto"/>
        <w:right w:val="none" w:sz="0" w:space="0" w:color="auto"/>
      </w:divBdr>
    </w:div>
    <w:div w:id="626083619">
      <w:marLeft w:val="480"/>
      <w:marRight w:val="0"/>
      <w:marTop w:val="0"/>
      <w:marBottom w:val="0"/>
      <w:divBdr>
        <w:top w:val="none" w:sz="0" w:space="0" w:color="auto"/>
        <w:left w:val="none" w:sz="0" w:space="0" w:color="auto"/>
        <w:bottom w:val="none" w:sz="0" w:space="0" w:color="auto"/>
        <w:right w:val="none" w:sz="0" w:space="0" w:color="auto"/>
      </w:divBdr>
    </w:div>
    <w:div w:id="626741847">
      <w:marLeft w:val="480"/>
      <w:marRight w:val="0"/>
      <w:marTop w:val="0"/>
      <w:marBottom w:val="0"/>
      <w:divBdr>
        <w:top w:val="none" w:sz="0" w:space="0" w:color="auto"/>
        <w:left w:val="none" w:sz="0" w:space="0" w:color="auto"/>
        <w:bottom w:val="none" w:sz="0" w:space="0" w:color="auto"/>
        <w:right w:val="none" w:sz="0" w:space="0" w:color="auto"/>
      </w:divBdr>
    </w:div>
    <w:div w:id="628898291">
      <w:marLeft w:val="480"/>
      <w:marRight w:val="0"/>
      <w:marTop w:val="0"/>
      <w:marBottom w:val="0"/>
      <w:divBdr>
        <w:top w:val="none" w:sz="0" w:space="0" w:color="auto"/>
        <w:left w:val="none" w:sz="0" w:space="0" w:color="auto"/>
        <w:bottom w:val="none" w:sz="0" w:space="0" w:color="auto"/>
        <w:right w:val="none" w:sz="0" w:space="0" w:color="auto"/>
      </w:divBdr>
    </w:div>
    <w:div w:id="629551088">
      <w:marLeft w:val="480"/>
      <w:marRight w:val="0"/>
      <w:marTop w:val="0"/>
      <w:marBottom w:val="0"/>
      <w:divBdr>
        <w:top w:val="none" w:sz="0" w:space="0" w:color="auto"/>
        <w:left w:val="none" w:sz="0" w:space="0" w:color="auto"/>
        <w:bottom w:val="none" w:sz="0" w:space="0" w:color="auto"/>
        <w:right w:val="none" w:sz="0" w:space="0" w:color="auto"/>
      </w:divBdr>
    </w:div>
    <w:div w:id="631790261">
      <w:marLeft w:val="480"/>
      <w:marRight w:val="0"/>
      <w:marTop w:val="0"/>
      <w:marBottom w:val="0"/>
      <w:divBdr>
        <w:top w:val="none" w:sz="0" w:space="0" w:color="auto"/>
        <w:left w:val="none" w:sz="0" w:space="0" w:color="auto"/>
        <w:bottom w:val="none" w:sz="0" w:space="0" w:color="auto"/>
        <w:right w:val="none" w:sz="0" w:space="0" w:color="auto"/>
      </w:divBdr>
    </w:div>
    <w:div w:id="636959551">
      <w:marLeft w:val="480"/>
      <w:marRight w:val="0"/>
      <w:marTop w:val="0"/>
      <w:marBottom w:val="0"/>
      <w:divBdr>
        <w:top w:val="none" w:sz="0" w:space="0" w:color="auto"/>
        <w:left w:val="none" w:sz="0" w:space="0" w:color="auto"/>
        <w:bottom w:val="none" w:sz="0" w:space="0" w:color="auto"/>
        <w:right w:val="none" w:sz="0" w:space="0" w:color="auto"/>
      </w:divBdr>
    </w:div>
    <w:div w:id="638340259">
      <w:marLeft w:val="480"/>
      <w:marRight w:val="0"/>
      <w:marTop w:val="0"/>
      <w:marBottom w:val="0"/>
      <w:divBdr>
        <w:top w:val="none" w:sz="0" w:space="0" w:color="auto"/>
        <w:left w:val="none" w:sz="0" w:space="0" w:color="auto"/>
        <w:bottom w:val="none" w:sz="0" w:space="0" w:color="auto"/>
        <w:right w:val="none" w:sz="0" w:space="0" w:color="auto"/>
      </w:divBdr>
    </w:div>
    <w:div w:id="639073129">
      <w:marLeft w:val="480"/>
      <w:marRight w:val="0"/>
      <w:marTop w:val="0"/>
      <w:marBottom w:val="0"/>
      <w:divBdr>
        <w:top w:val="none" w:sz="0" w:space="0" w:color="auto"/>
        <w:left w:val="none" w:sz="0" w:space="0" w:color="auto"/>
        <w:bottom w:val="none" w:sz="0" w:space="0" w:color="auto"/>
        <w:right w:val="none" w:sz="0" w:space="0" w:color="auto"/>
      </w:divBdr>
    </w:div>
    <w:div w:id="652948439">
      <w:marLeft w:val="480"/>
      <w:marRight w:val="0"/>
      <w:marTop w:val="0"/>
      <w:marBottom w:val="0"/>
      <w:divBdr>
        <w:top w:val="none" w:sz="0" w:space="0" w:color="auto"/>
        <w:left w:val="none" w:sz="0" w:space="0" w:color="auto"/>
        <w:bottom w:val="none" w:sz="0" w:space="0" w:color="auto"/>
        <w:right w:val="none" w:sz="0" w:space="0" w:color="auto"/>
      </w:divBdr>
    </w:div>
    <w:div w:id="655376398">
      <w:marLeft w:val="480"/>
      <w:marRight w:val="0"/>
      <w:marTop w:val="0"/>
      <w:marBottom w:val="0"/>
      <w:divBdr>
        <w:top w:val="none" w:sz="0" w:space="0" w:color="auto"/>
        <w:left w:val="none" w:sz="0" w:space="0" w:color="auto"/>
        <w:bottom w:val="none" w:sz="0" w:space="0" w:color="auto"/>
        <w:right w:val="none" w:sz="0" w:space="0" w:color="auto"/>
      </w:divBdr>
    </w:div>
    <w:div w:id="655766862">
      <w:marLeft w:val="480"/>
      <w:marRight w:val="0"/>
      <w:marTop w:val="0"/>
      <w:marBottom w:val="0"/>
      <w:divBdr>
        <w:top w:val="none" w:sz="0" w:space="0" w:color="auto"/>
        <w:left w:val="none" w:sz="0" w:space="0" w:color="auto"/>
        <w:bottom w:val="none" w:sz="0" w:space="0" w:color="auto"/>
        <w:right w:val="none" w:sz="0" w:space="0" w:color="auto"/>
      </w:divBdr>
    </w:div>
    <w:div w:id="656151803">
      <w:marLeft w:val="480"/>
      <w:marRight w:val="0"/>
      <w:marTop w:val="0"/>
      <w:marBottom w:val="0"/>
      <w:divBdr>
        <w:top w:val="none" w:sz="0" w:space="0" w:color="auto"/>
        <w:left w:val="none" w:sz="0" w:space="0" w:color="auto"/>
        <w:bottom w:val="none" w:sz="0" w:space="0" w:color="auto"/>
        <w:right w:val="none" w:sz="0" w:space="0" w:color="auto"/>
      </w:divBdr>
    </w:div>
    <w:div w:id="657805925">
      <w:marLeft w:val="480"/>
      <w:marRight w:val="0"/>
      <w:marTop w:val="0"/>
      <w:marBottom w:val="0"/>
      <w:divBdr>
        <w:top w:val="none" w:sz="0" w:space="0" w:color="auto"/>
        <w:left w:val="none" w:sz="0" w:space="0" w:color="auto"/>
        <w:bottom w:val="none" w:sz="0" w:space="0" w:color="auto"/>
        <w:right w:val="none" w:sz="0" w:space="0" w:color="auto"/>
      </w:divBdr>
    </w:div>
    <w:div w:id="657922491">
      <w:marLeft w:val="480"/>
      <w:marRight w:val="0"/>
      <w:marTop w:val="0"/>
      <w:marBottom w:val="0"/>
      <w:divBdr>
        <w:top w:val="none" w:sz="0" w:space="0" w:color="auto"/>
        <w:left w:val="none" w:sz="0" w:space="0" w:color="auto"/>
        <w:bottom w:val="none" w:sz="0" w:space="0" w:color="auto"/>
        <w:right w:val="none" w:sz="0" w:space="0" w:color="auto"/>
      </w:divBdr>
    </w:div>
    <w:div w:id="663121508">
      <w:marLeft w:val="480"/>
      <w:marRight w:val="0"/>
      <w:marTop w:val="0"/>
      <w:marBottom w:val="0"/>
      <w:divBdr>
        <w:top w:val="none" w:sz="0" w:space="0" w:color="auto"/>
        <w:left w:val="none" w:sz="0" w:space="0" w:color="auto"/>
        <w:bottom w:val="none" w:sz="0" w:space="0" w:color="auto"/>
        <w:right w:val="none" w:sz="0" w:space="0" w:color="auto"/>
      </w:divBdr>
    </w:div>
    <w:div w:id="667562678">
      <w:marLeft w:val="480"/>
      <w:marRight w:val="0"/>
      <w:marTop w:val="0"/>
      <w:marBottom w:val="0"/>
      <w:divBdr>
        <w:top w:val="none" w:sz="0" w:space="0" w:color="auto"/>
        <w:left w:val="none" w:sz="0" w:space="0" w:color="auto"/>
        <w:bottom w:val="none" w:sz="0" w:space="0" w:color="auto"/>
        <w:right w:val="none" w:sz="0" w:space="0" w:color="auto"/>
      </w:divBdr>
    </w:div>
    <w:div w:id="674579823">
      <w:marLeft w:val="480"/>
      <w:marRight w:val="0"/>
      <w:marTop w:val="0"/>
      <w:marBottom w:val="0"/>
      <w:divBdr>
        <w:top w:val="none" w:sz="0" w:space="0" w:color="auto"/>
        <w:left w:val="none" w:sz="0" w:space="0" w:color="auto"/>
        <w:bottom w:val="none" w:sz="0" w:space="0" w:color="auto"/>
        <w:right w:val="none" w:sz="0" w:space="0" w:color="auto"/>
      </w:divBdr>
    </w:div>
    <w:div w:id="679091335">
      <w:marLeft w:val="480"/>
      <w:marRight w:val="0"/>
      <w:marTop w:val="0"/>
      <w:marBottom w:val="0"/>
      <w:divBdr>
        <w:top w:val="none" w:sz="0" w:space="0" w:color="auto"/>
        <w:left w:val="none" w:sz="0" w:space="0" w:color="auto"/>
        <w:bottom w:val="none" w:sz="0" w:space="0" w:color="auto"/>
        <w:right w:val="none" w:sz="0" w:space="0" w:color="auto"/>
      </w:divBdr>
    </w:div>
    <w:div w:id="680356104">
      <w:marLeft w:val="480"/>
      <w:marRight w:val="0"/>
      <w:marTop w:val="0"/>
      <w:marBottom w:val="0"/>
      <w:divBdr>
        <w:top w:val="none" w:sz="0" w:space="0" w:color="auto"/>
        <w:left w:val="none" w:sz="0" w:space="0" w:color="auto"/>
        <w:bottom w:val="none" w:sz="0" w:space="0" w:color="auto"/>
        <w:right w:val="none" w:sz="0" w:space="0" w:color="auto"/>
      </w:divBdr>
    </w:div>
    <w:div w:id="682437302">
      <w:marLeft w:val="480"/>
      <w:marRight w:val="0"/>
      <w:marTop w:val="0"/>
      <w:marBottom w:val="0"/>
      <w:divBdr>
        <w:top w:val="none" w:sz="0" w:space="0" w:color="auto"/>
        <w:left w:val="none" w:sz="0" w:space="0" w:color="auto"/>
        <w:bottom w:val="none" w:sz="0" w:space="0" w:color="auto"/>
        <w:right w:val="none" w:sz="0" w:space="0" w:color="auto"/>
      </w:divBdr>
    </w:div>
    <w:div w:id="690843624">
      <w:marLeft w:val="480"/>
      <w:marRight w:val="0"/>
      <w:marTop w:val="0"/>
      <w:marBottom w:val="0"/>
      <w:divBdr>
        <w:top w:val="none" w:sz="0" w:space="0" w:color="auto"/>
        <w:left w:val="none" w:sz="0" w:space="0" w:color="auto"/>
        <w:bottom w:val="none" w:sz="0" w:space="0" w:color="auto"/>
        <w:right w:val="none" w:sz="0" w:space="0" w:color="auto"/>
      </w:divBdr>
    </w:div>
    <w:div w:id="691416012">
      <w:marLeft w:val="480"/>
      <w:marRight w:val="0"/>
      <w:marTop w:val="0"/>
      <w:marBottom w:val="0"/>
      <w:divBdr>
        <w:top w:val="none" w:sz="0" w:space="0" w:color="auto"/>
        <w:left w:val="none" w:sz="0" w:space="0" w:color="auto"/>
        <w:bottom w:val="none" w:sz="0" w:space="0" w:color="auto"/>
        <w:right w:val="none" w:sz="0" w:space="0" w:color="auto"/>
      </w:divBdr>
    </w:div>
    <w:div w:id="693847766">
      <w:marLeft w:val="480"/>
      <w:marRight w:val="0"/>
      <w:marTop w:val="0"/>
      <w:marBottom w:val="0"/>
      <w:divBdr>
        <w:top w:val="none" w:sz="0" w:space="0" w:color="auto"/>
        <w:left w:val="none" w:sz="0" w:space="0" w:color="auto"/>
        <w:bottom w:val="none" w:sz="0" w:space="0" w:color="auto"/>
        <w:right w:val="none" w:sz="0" w:space="0" w:color="auto"/>
      </w:divBdr>
    </w:div>
    <w:div w:id="694042080">
      <w:marLeft w:val="480"/>
      <w:marRight w:val="0"/>
      <w:marTop w:val="0"/>
      <w:marBottom w:val="0"/>
      <w:divBdr>
        <w:top w:val="none" w:sz="0" w:space="0" w:color="auto"/>
        <w:left w:val="none" w:sz="0" w:space="0" w:color="auto"/>
        <w:bottom w:val="none" w:sz="0" w:space="0" w:color="auto"/>
        <w:right w:val="none" w:sz="0" w:space="0" w:color="auto"/>
      </w:divBdr>
    </w:div>
    <w:div w:id="695890100">
      <w:marLeft w:val="480"/>
      <w:marRight w:val="0"/>
      <w:marTop w:val="0"/>
      <w:marBottom w:val="0"/>
      <w:divBdr>
        <w:top w:val="none" w:sz="0" w:space="0" w:color="auto"/>
        <w:left w:val="none" w:sz="0" w:space="0" w:color="auto"/>
        <w:bottom w:val="none" w:sz="0" w:space="0" w:color="auto"/>
        <w:right w:val="none" w:sz="0" w:space="0" w:color="auto"/>
      </w:divBdr>
    </w:div>
    <w:div w:id="705102738">
      <w:marLeft w:val="480"/>
      <w:marRight w:val="0"/>
      <w:marTop w:val="0"/>
      <w:marBottom w:val="0"/>
      <w:divBdr>
        <w:top w:val="none" w:sz="0" w:space="0" w:color="auto"/>
        <w:left w:val="none" w:sz="0" w:space="0" w:color="auto"/>
        <w:bottom w:val="none" w:sz="0" w:space="0" w:color="auto"/>
        <w:right w:val="none" w:sz="0" w:space="0" w:color="auto"/>
      </w:divBdr>
    </w:div>
    <w:div w:id="708798430">
      <w:marLeft w:val="480"/>
      <w:marRight w:val="0"/>
      <w:marTop w:val="0"/>
      <w:marBottom w:val="0"/>
      <w:divBdr>
        <w:top w:val="none" w:sz="0" w:space="0" w:color="auto"/>
        <w:left w:val="none" w:sz="0" w:space="0" w:color="auto"/>
        <w:bottom w:val="none" w:sz="0" w:space="0" w:color="auto"/>
        <w:right w:val="none" w:sz="0" w:space="0" w:color="auto"/>
      </w:divBdr>
    </w:div>
    <w:div w:id="713506557">
      <w:marLeft w:val="480"/>
      <w:marRight w:val="0"/>
      <w:marTop w:val="0"/>
      <w:marBottom w:val="0"/>
      <w:divBdr>
        <w:top w:val="none" w:sz="0" w:space="0" w:color="auto"/>
        <w:left w:val="none" w:sz="0" w:space="0" w:color="auto"/>
        <w:bottom w:val="none" w:sz="0" w:space="0" w:color="auto"/>
        <w:right w:val="none" w:sz="0" w:space="0" w:color="auto"/>
      </w:divBdr>
    </w:div>
    <w:div w:id="714237825">
      <w:marLeft w:val="480"/>
      <w:marRight w:val="0"/>
      <w:marTop w:val="0"/>
      <w:marBottom w:val="0"/>
      <w:divBdr>
        <w:top w:val="none" w:sz="0" w:space="0" w:color="auto"/>
        <w:left w:val="none" w:sz="0" w:space="0" w:color="auto"/>
        <w:bottom w:val="none" w:sz="0" w:space="0" w:color="auto"/>
        <w:right w:val="none" w:sz="0" w:space="0" w:color="auto"/>
      </w:divBdr>
    </w:div>
    <w:div w:id="716930202">
      <w:marLeft w:val="480"/>
      <w:marRight w:val="0"/>
      <w:marTop w:val="0"/>
      <w:marBottom w:val="0"/>
      <w:divBdr>
        <w:top w:val="none" w:sz="0" w:space="0" w:color="auto"/>
        <w:left w:val="none" w:sz="0" w:space="0" w:color="auto"/>
        <w:bottom w:val="none" w:sz="0" w:space="0" w:color="auto"/>
        <w:right w:val="none" w:sz="0" w:space="0" w:color="auto"/>
      </w:divBdr>
    </w:div>
    <w:div w:id="717163680">
      <w:marLeft w:val="480"/>
      <w:marRight w:val="0"/>
      <w:marTop w:val="0"/>
      <w:marBottom w:val="0"/>
      <w:divBdr>
        <w:top w:val="none" w:sz="0" w:space="0" w:color="auto"/>
        <w:left w:val="none" w:sz="0" w:space="0" w:color="auto"/>
        <w:bottom w:val="none" w:sz="0" w:space="0" w:color="auto"/>
        <w:right w:val="none" w:sz="0" w:space="0" w:color="auto"/>
      </w:divBdr>
    </w:div>
    <w:div w:id="718672104">
      <w:marLeft w:val="480"/>
      <w:marRight w:val="0"/>
      <w:marTop w:val="0"/>
      <w:marBottom w:val="0"/>
      <w:divBdr>
        <w:top w:val="none" w:sz="0" w:space="0" w:color="auto"/>
        <w:left w:val="none" w:sz="0" w:space="0" w:color="auto"/>
        <w:bottom w:val="none" w:sz="0" w:space="0" w:color="auto"/>
        <w:right w:val="none" w:sz="0" w:space="0" w:color="auto"/>
      </w:divBdr>
    </w:div>
    <w:div w:id="719135755">
      <w:marLeft w:val="480"/>
      <w:marRight w:val="0"/>
      <w:marTop w:val="0"/>
      <w:marBottom w:val="0"/>
      <w:divBdr>
        <w:top w:val="none" w:sz="0" w:space="0" w:color="auto"/>
        <w:left w:val="none" w:sz="0" w:space="0" w:color="auto"/>
        <w:bottom w:val="none" w:sz="0" w:space="0" w:color="auto"/>
        <w:right w:val="none" w:sz="0" w:space="0" w:color="auto"/>
      </w:divBdr>
    </w:div>
    <w:div w:id="719550344">
      <w:marLeft w:val="480"/>
      <w:marRight w:val="0"/>
      <w:marTop w:val="0"/>
      <w:marBottom w:val="0"/>
      <w:divBdr>
        <w:top w:val="none" w:sz="0" w:space="0" w:color="auto"/>
        <w:left w:val="none" w:sz="0" w:space="0" w:color="auto"/>
        <w:bottom w:val="none" w:sz="0" w:space="0" w:color="auto"/>
        <w:right w:val="none" w:sz="0" w:space="0" w:color="auto"/>
      </w:divBdr>
    </w:div>
    <w:div w:id="720137009">
      <w:marLeft w:val="480"/>
      <w:marRight w:val="0"/>
      <w:marTop w:val="0"/>
      <w:marBottom w:val="0"/>
      <w:divBdr>
        <w:top w:val="none" w:sz="0" w:space="0" w:color="auto"/>
        <w:left w:val="none" w:sz="0" w:space="0" w:color="auto"/>
        <w:bottom w:val="none" w:sz="0" w:space="0" w:color="auto"/>
        <w:right w:val="none" w:sz="0" w:space="0" w:color="auto"/>
      </w:divBdr>
    </w:div>
    <w:div w:id="726992965">
      <w:marLeft w:val="480"/>
      <w:marRight w:val="0"/>
      <w:marTop w:val="0"/>
      <w:marBottom w:val="0"/>
      <w:divBdr>
        <w:top w:val="none" w:sz="0" w:space="0" w:color="auto"/>
        <w:left w:val="none" w:sz="0" w:space="0" w:color="auto"/>
        <w:bottom w:val="none" w:sz="0" w:space="0" w:color="auto"/>
        <w:right w:val="none" w:sz="0" w:space="0" w:color="auto"/>
      </w:divBdr>
    </w:div>
    <w:div w:id="728959610">
      <w:marLeft w:val="480"/>
      <w:marRight w:val="0"/>
      <w:marTop w:val="0"/>
      <w:marBottom w:val="0"/>
      <w:divBdr>
        <w:top w:val="none" w:sz="0" w:space="0" w:color="auto"/>
        <w:left w:val="none" w:sz="0" w:space="0" w:color="auto"/>
        <w:bottom w:val="none" w:sz="0" w:space="0" w:color="auto"/>
        <w:right w:val="none" w:sz="0" w:space="0" w:color="auto"/>
      </w:divBdr>
    </w:div>
    <w:div w:id="729504722">
      <w:marLeft w:val="480"/>
      <w:marRight w:val="0"/>
      <w:marTop w:val="0"/>
      <w:marBottom w:val="0"/>
      <w:divBdr>
        <w:top w:val="none" w:sz="0" w:space="0" w:color="auto"/>
        <w:left w:val="none" w:sz="0" w:space="0" w:color="auto"/>
        <w:bottom w:val="none" w:sz="0" w:space="0" w:color="auto"/>
        <w:right w:val="none" w:sz="0" w:space="0" w:color="auto"/>
      </w:divBdr>
    </w:div>
    <w:div w:id="735861596">
      <w:marLeft w:val="480"/>
      <w:marRight w:val="0"/>
      <w:marTop w:val="0"/>
      <w:marBottom w:val="0"/>
      <w:divBdr>
        <w:top w:val="none" w:sz="0" w:space="0" w:color="auto"/>
        <w:left w:val="none" w:sz="0" w:space="0" w:color="auto"/>
        <w:bottom w:val="none" w:sz="0" w:space="0" w:color="auto"/>
        <w:right w:val="none" w:sz="0" w:space="0" w:color="auto"/>
      </w:divBdr>
    </w:div>
    <w:div w:id="736391719">
      <w:marLeft w:val="480"/>
      <w:marRight w:val="0"/>
      <w:marTop w:val="0"/>
      <w:marBottom w:val="0"/>
      <w:divBdr>
        <w:top w:val="none" w:sz="0" w:space="0" w:color="auto"/>
        <w:left w:val="none" w:sz="0" w:space="0" w:color="auto"/>
        <w:bottom w:val="none" w:sz="0" w:space="0" w:color="auto"/>
        <w:right w:val="none" w:sz="0" w:space="0" w:color="auto"/>
      </w:divBdr>
    </w:div>
    <w:div w:id="739447837">
      <w:marLeft w:val="480"/>
      <w:marRight w:val="0"/>
      <w:marTop w:val="0"/>
      <w:marBottom w:val="0"/>
      <w:divBdr>
        <w:top w:val="none" w:sz="0" w:space="0" w:color="auto"/>
        <w:left w:val="none" w:sz="0" w:space="0" w:color="auto"/>
        <w:bottom w:val="none" w:sz="0" w:space="0" w:color="auto"/>
        <w:right w:val="none" w:sz="0" w:space="0" w:color="auto"/>
      </w:divBdr>
    </w:div>
    <w:div w:id="739985983">
      <w:marLeft w:val="480"/>
      <w:marRight w:val="0"/>
      <w:marTop w:val="0"/>
      <w:marBottom w:val="0"/>
      <w:divBdr>
        <w:top w:val="none" w:sz="0" w:space="0" w:color="auto"/>
        <w:left w:val="none" w:sz="0" w:space="0" w:color="auto"/>
        <w:bottom w:val="none" w:sz="0" w:space="0" w:color="auto"/>
        <w:right w:val="none" w:sz="0" w:space="0" w:color="auto"/>
      </w:divBdr>
    </w:div>
    <w:div w:id="745230572">
      <w:marLeft w:val="480"/>
      <w:marRight w:val="0"/>
      <w:marTop w:val="0"/>
      <w:marBottom w:val="0"/>
      <w:divBdr>
        <w:top w:val="none" w:sz="0" w:space="0" w:color="auto"/>
        <w:left w:val="none" w:sz="0" w:space="0" w:color="auto"/>
        <w:bottom w:val="none" w:sz="0" w:space="0" w:color="auto"/>
        <w:right w:val="none" w:sz="0" w:space="0" w:color="auto"/>
      </w:divBdr>
    </w:div>
    <w:div w:id="750388826">
      <w:marLeft w:val="480"/>
      <w:marRight w:val="0"/>
      <w:marTop w:val="0"/>
      <w:marBottom w:val="0"/>
      <w:divBdr>
        <w:top w:val="none" w:sz="0" w:space="0" w:color="auto"/>
        <w:left w:val="none" w:sz="0" w:space="0" w:color="auto"/>
        <w:bottom w:val="none" w:sz="0" w:space="0" w:color="auto"/>
        <w:right w:val="none" w:sz="0" w:space="0" w:color="auto"/>
      </w:divBdr>
    </w:div>
    <w:div w:id="756513665">
      <w:marLeft w:val="480"/>
      <w:marRight w:val="0"/>
      <w:marTop w:val="0"/>
      <w:marBottom w:val="0"/>
      <w:divBdr>
        <w:top w:val="none" w:sz="0" w:space="0" w:color="auto"/>
        <w:left w:val="none" w:sz="0" w:space="0" w:color="auto"/>
        <w:bottom w:val="none" w:sz="0" w:space="0" w:color="auto"/>
        <w:right w:val="none" w:sz="0" w:space="0" w:color="auto"/>
      </w:divBdr>
    </w:div>
    <w:div w:id="765658392">
      <w:marLeft w:val="480"/>
      <w:marRight w:val="0"/>
      <w:marTop w:val="0"/>
      <w:marBottom w:val="0"/>
      <w:divBdr>
        <w:top w:val="none" w:sz="0" w:space="0" w:color="auto"/>
        <w:left w:val="none" w:sz="0" w:space="0" w:color="auto"/>
        <w:bottom w:val="none" w:sz="0" w:space="0" w:color="auto"/>
        <w:right w:val="none" w:sz="0" w:space="0" w:color="auto"/>
      </w:divBdr>
    </w:div>
    <w:div w:id="777650342">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060">
      <w:marLeft w:val="480"/>
      <w:marRight w:val="0"/>
      <w:marTop w:val="0"/>
      <w:marBottom w:val="0"/>
      <w:divBdr>
        <w:top w:val="none" w:sz="0" w:space="0" w:color="auto"/>
        <w:left w:val="none" w:sz="0" w:space="0" w:color="auto"/>
        <w:bottom w:val="none" w:sz="0" w:space="0" w:color="auto"/>
        <w:right w:val="none" w:sz="0" w:space="0" w:color="auto"/>
      </w:divBdr>
    </w:div>
    <w:div w:id="786048808">
      <w:marLeft w:val="480"/>
      <w:marRight w:val="0"/>
      <w:marTop w:val="0"/>
      <w:marBottom w:val="0"/>
      <w:divBdr>
        <w:top w:val="none" w:sz="0" w:space="0" w:color="auto"/>
        <w:left w:val="none" w:sz="0" w:space="0" w:color="auto"/>
        <w:bottom w:val="none" w:sz="0" w:space="0" w:color="auto"/>
        <w:right w:val="none" w:sz="0" w:space="0" w:color="auto"/>
      </w:divBdr>
    </w:div>
    <w:div w:id="793208162">
      <w:marLeft w:val="480"/>
      <w:marRight w:val="0"/>
      <w:marTop w:val="0"/>
      <w:marBottom w:val="0"/>
      <w:divBdr>
        <w:top w:val="none" w:sz="0" w:space="0" w:color="auto"/>
        <w:left w:val="none" w:sz="0" w:space="0" w:color="auto"/>
        <w:bottom w:val="none" w:sz="0" w:space="0" w:color="auto"/>
        <w:right w:val="none" w:sz="0" w:space="0" w:color="auto"/>
      </w:divBdr>
    </w:div>
    <w:div w:id="800729218">
      <w:marLeft w:val="480"/>
      <w:marRight w:val="0"/>
      <w:marTop w:val="0"/>
      <w:marBottom w:val="0"/>
      <w:divBdr>
        <w:top w:val="none" w:sz="0" w:space="0" w:color="auto"/>
        <w:left w:val="none" w:sz="0" w:space="0" w:color="auto"/>
        <w:bottom w:val="none" w:sz="0" w:space="0" w:color="auto"/>
        <w:right w:val="none" w:sz="0" w:space="0" w:color="auto"/>
      </w:divBdr>
    </w:div>
    <w:div w:id="801580375">
      <w:marLeft w:val="480"/>
      <w:marRight w:val="0"/>
      <w:marTop w:val="0"/>
      <w:marBottom w:val="0"/>
      <w:divBdr>
        <w:top w:val="none" w:sz="0" w:space="0" w:color="auto"/>
        <w:left w:val="none" w:sz="0" w:space="0" w:color="auto"/>
        <w:bottom w:val="none" w:sz="0" w:space="0" w:color="auto"/>
        <w:right w:val="none" w:sz="0" w:space="0" w:color="auto"/>
      </w:divBdr>
    </w:div>
    <w:div w:id="804352035">
      <w:marLeft w:val="480"/>
      <w:marRight w:val="0"/>
      <w:marTop w:val="0"/>
      <w:marBottom w:val="0"/>
      <w:divBdr>
        <w:top w:val="none" w:sz="0" w:space="0" w:color="auto"/>
        <w:left w:val="none" w:sz="0" w:space="0" w:color="auto"/>
        <w:bottom w:val="none" w:sz="0" w:space="0" w:color="auto"/>
        <w:right w:val="none" w:sz="0" w:space="0" w:color="auto"/>
      </w:divBdr>
    </w:div>
    <w:div w:id="806356538">
      <w:marLeft w:val="480"/>
      <w:marRight w:val="0"/>
      <w:marTop w:val="0"/>
      <w:marBottom w:val="0"/>
      <w:divBdr>
        <w:top w:val="none" w:sz="0" w:space="0" w:color="auto"/>
        <w:left w:val="none" w:sz="0" w:space="0" w:color="auto"/>
        <w:bottom w:val="none" w:sz="0" w:space="0" w:color="auto"/>
        <w:right w:val="none" w:sz="0" w:space="0" w:color="auto"/>
      </w:divBdr>
    </w:div>
    <w:div w:id="807012345">
      <w:marLeft w:val="480"/>
      <w:marRight w:val="0"/>
      <w:marTop w:val="0"/>
      <w:marBottom w:val="0"/>
      <w:divBdr>
        <w:top w:val="none" w:sz="0" w:space="0" w:color="auto"/>
        <w:left w:val="none" w:sz="0" w:space="0" w:color="auto"/>
        <w:bottom w:val="none" w:sz="0" w:space="0" w:color="auto"/>
        <w:right w:val="none" w:sz="0" w:space="0" w:color="auto"/>
      </w:divBdr>
    </w:div>
    <w:div w:id="808206179">
      <w:marLeft w:val="480"/>
      <w:marRight w:val="0"/>
      <w:marTop w:val="0"/>
      <w:marBottom w:val="0"/>
      <w:divBdr>
        <w:top w:val="none" w:sz="0" w:space="0" w:color="auto"/>
        <w:left w:val="none" w:sz="0" w:space="0" w:color="auto"/>
        <w:bottom w:val="none" w:sz="0" w:space="0" w:color="auto"/>
        <w:right w:val="none" w:sz="0" w:space="0" w:color="auto"/>
      </w:divBdr>
    </w:div>
    <w:div w:id="813838823">
      <w:marLeft w:val="480"/>
      <w:marRight w:val="0"/>
      <w:marTop w:val="0"/>
      <w:marBottom w:val="0"/>
      <w:divBdr>
        <w:top w:val="none" w:sz="0" w:space="0" w:color="auto"/>
        <w:left w:val="none" w:sz="0" w:space="0" w:color="auto"/>
        <w:bottom w:val="none" w:sz="0" w:space="0" w:color="auto"/>
        <w:right w:val="none" w:sz="0" w:space="0" w:color="auto"/>
      </w:divBdr>
    </w:div>
    <w:div w:id="814102723">
      <w:marLeft w:val="480"/>
      <w:marRight w:val="0"/>
      <w:marTop w:val="0"/>
      <w:marBottom w:val="0"/>
      <w:divBdr>
        <w:top w:val="none" w:sz="0" w:space="0" w:color="auto"/>
        <w:left w:val="none" w:sz="0" w:space="0" w:color="auto"/>
        <w:bottom w:val="none" w:sz="0" w:space="0" w:color="auto"/>
        <w:right w:val="none" w:sz="0" w:space="0" w:color="auto"/>
      </w:divBdr>
    </w:div>
    <w:div w:id="814183326">
      <w:marLeft w:val="480"/>
      <w:marRight w:val="0"/>
      <w:marTop w:val="0"/>
      <w:marBottom w:val="0"/>
      <w:divBdr>
        <w:top w:val="none" w:sz="0" w:space="0" w:color="auto"/>
        <w:left w:val="none" w:sz="0" w:space="0" w:color="auto"/>
        <w:bottom w:val="none" w:sz="0" w:space="0" w:color="auto"/>
        <w:right w:val="none" w:sz="0" w:space="0" w:color="auto"/>
      </w:divBdr>
    </w:div>
    <w:div w:id="816261316">
      <w:marLeft w:val="480"/>
      <w:marRight w:val="0"/>
      <w:marTop w:val="0"/>
      <w:marBottom w:val="0"/>
      <w:divBdr>
        <w:top w:val="none" w:sz="0" w:space="0" w:color="auto"/>
        <w:left w:val="none" w:sz="0" w:space="0" w:color="auto"/>
        <w:bottom w:val="none" w:sz="0" w:space="0" w:color="auto"/>
        <w:right w:val="none" w:sz="0" w:space="0" w:color="auto"/>
      </w:divBdr>
    </w:div>
    <w:div w:id="823551207">
      <w:marLeft w:val="480"/>
      <w:marRight w:val="0"/>
      <w:marTop w:val="0"/>
      <w:marBottom w:val="0"/>
      <w:divBdr>
        <w:top w:val="none" w:sz="0" w:space="0" w:color="auto"/>
        <w:left w:val="none" w:sz="0" w:space="0" w:color="auto"/>
        <w:bottom w:val="none" w:sz="0" w:space="0" w:color="auto"/>
        <w:right w:val="none" w:sz="0" w:space="0" w:color="auto"/>
      </w:divBdr>
    </w:div>
    <w:div w:id="825512581">
      <w:marLeft w:val="480"/>
      <w:marRight w:val="0"/>
      <w:marTop w:val="0"/>
      <w:marBottom w:val="0"/>
      <w:divBdr>
        <w:top w:val="none" w:sz="0" w:space="0" w:color="auto"/>
        <w:left w:val="none" w:sz="0" w:space="0" w:color="auto"/>
        <w:bottom w:val="none" w:sz="0" w:space="0" w:color="auto"/>
        <w:right w:val="none" w:sz="0" w:space="0" w:color="auto"/>
      </w:divBdr>
    </w:div>
    <w:div w:id="834416871">
      <w:marLeft w:val="480"/>
      <w:marRight w:val="0"/>
      <w:marTop w:val="0"/>
      <w:marBottom w:val="0"/>
      <w:divBdr>
        <w:top w:val="none" w:sz="0" w:space="0" w:color="auto"/>
        <w:left w:val="none" w:sz="0" w:space="0" w:color="auto"/>
        <w:bottom w:val="none" w:sz="0" w:space="0" w:color="auto"/>
        <w:right w:val="none" w:sz="0" w:space="0" w:color="auto"/>
      </w:divBdr>
    </w:div>
    <w:div w:id="834875599">
      <w:marLeft w:val="480"/>
      <w:marRight w:val="0"/>
      <w:marTop w:val="0"/>
      <w:marBottom w:val="0"/>
      <w:divBdr>
        <w:top w:val="none" w:sz="0" w:space="0" w:color="auto"/>
        <w:left w:val="none" w:sz="0" w:space="0" w:color="auto"/>
        <w:bottom w:val="none" w:sz="0" w:space="0" w:color="auto"/>
        <w:right w:val="none" w:sz="0" w:space="0" w:color="auto"/>
      </w:divBdr>
    </w:div>
    <w:div w:id="843319465">
      <w:marLeft w:val="480"/>
      <w:marRight w:val="0"/>
      <w:marTop w:val="0"/>
      <w:marBottom w:val="0"/>
      <w:divBdr>
        <w:top w:val="none" w:sz="0" w:space="0" w:color="auto"/>
        <w:left w:val="none" w:sz="0" w:space="0" w:color="auto"/>
        <w:bottom w:val="none" w:sz="0" w:space="0" w:color="auto"/>
        <w:right w:val="none" w:sz="0" w:space="0" w:color="auto"/>
      </w:divBdr>
    </w:div>
    <w:div w:id="847866268">
      <w:marLeft w:val="480"/>
      <w:marRight w:val="0"/>
      <w:marTop w:val="0"/>
      <w:marBottom w:val="0"/>
      <w:divBdr>
        <w:top w:val="none" w:sz="0" w:space="0" w:color="auto"/>
        <w:left w:val="none" w:sz="0" w:space="0" w:color="auto"/>
        <w:bottom w:val="none" w:sz="0" w:space="0" w:color="auto"/>
        <w:right w:val="none" w:sz="0" w:space="0" w:color="auto"/>
      </w:divBdr>
    </w:div>
    <w:div w:id="857161252">
      <w:marLeft w:val="480"/>
      <w:marRight w:val="0"/>
      <w:marTop w:val="0"/>
      <w:marBottom w:val="0"/>
      <w:divBdr>
        <w:top w:val="none" w:sz="0" w:space="0" w:color="auto"/>
        <w:left w:val="none" w:sz="0" w:space="0" w:color="auto"/>
        <w:bottom w:val="none" w:sz="0" w:space="0" w:color="auto"/>
        <w:right w:val="none" w:sz="0" w:space="0" w:color="auto"/>
      </w:divBdr>
    </w:div>
    <w:div w:id="860972667">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906636">
      <w:marLeft w:val="480"/>
      <w:marRight w:val="0"/>
      <w:marTop w:val="0"/>
      <w:marBottom w:val="0"/>
      <w:divBdr>
        <w:top w:val="none" w:sz="0" w:space="0" w:color="auto"/>
        <w:left w:val="none" w:sz="0" w:space="0" w:color="auto"/>
        <w:bottom w:val="none" w:sz="0" w:space="0" w:color="auto"/>
        <w:right w:val="none" w:sz="0" w:space="0" w:color="auto"/>
      </w:divBdr>
    </w:div>
    <w:div w:id="865365623">
      <w:marLeft w:val="480"/>
      <w:marRight w:val="0"/>
      <w:marTop w:val="0"/>
      <w:marBottom w:val="0"/>
      <w:divBdr>
        <w:top w:val="none" w:sz="0" w:space="0" w:color="auto"/>
        <w:left w:val="none" w:sz="0" w:space="0" w:color="auto"/>
        <w:bottom w:val="none" w:sz="0" w:space="0" w:color="auto"/>
        <w:right w:val="none" w:sz="0" w:space="0" w:color="auto"/>
      </w:divBdr>
    </w:div>
    <w:div w:id="871068625">
      <w:marLeft w:val="480"/>
      <w:marRight w:val="0"/>
      <w:marTop w:val="0"/>
      <w:marBottom w:val="0"/>
      <w:divBdr>
        <w:top w:val="none" w:sz="0" w:space="0" w:color="auto"/>
        <w:left w:val="none" w:sz="0" w:space="0" w:color="auto"/>
        <w:bottom w:val="none" w:sz="0" w:space="0" w:color="auto"/>
        <w:right w:val="none" w:sz="0" w:space="0" w:color="auto"/>
      </w:divBdr>
    </w:div>
    <w:div w:id="878904837">
      <w:marLeft w:val="480"/>
      <w:marRight w:val="0"/>
      <w:marTop w:val="0"/>
      <w:marBottom w:val="0"/>
      <w:divBdr>
        <w:top w:val="none" w:sz="0" w:space="0" w:color="auto"/>
        <w:left w:val="none" w:sz="0" w:space="0" w:color="auto"/>
        <w:bottom w:val="none" w:sz="0" w:space="0" w:color="auto"/>
        <w:right w:val="none" w:sz="0" w:space="0" w:color="auto"/>
      </w:divBdr>
    </w:div>
    <w:div w:id="884953980">
      <w:marLeft w:val="480"/>
      <w:marRight w:val="0"/>
      <w:marTop w:val="0"/>
      <w:marBottom w:val="0"/>
      <w:divBdr>
        <w:top w:val="none" w:sz="0" w:space="0" w:color="auto"/>
        <w:left w:val="none" w:sz="0" w:space="0" w:color="auto"/>
        <w:bottom w:val="none" w:sz="0" w:space="0" w:color="auto"/>
        <w:right w:val="none" w:sz="0" w:space="0" w:color="auto"/>
      </w:divBdr>
    </w:div>
    <w:div w:id="890076186">
      <w:marLeft w:val="480"/>
      <w:marRight w:val="0"/>
      <w:marTop w:val="0"/>
      <w:marBottom w:val="0"/>
      <w:divBdr>
        <w:top w:val="none" w:sz="0" w:space="0" w:color="auto"/>
        <w:left w:val="none" w:sz="0" w:space="0" w:color="auto"/>
        <w:bottom w:val="none" w:sz="0" w:space="0" w:color="auto"/>
        <w:right w:val="none" w:sz="0" w:space="0" w:color="auto"/>
      </w:divBdr>
    </w:div>
    <w:div w:id="901452944">
      <w:marLeft w:val="480"/>
      <w:marRight w:val="0"/>
      <w:marTop w:val="0"/>
      <w:marBottom w:val="0"/>
      <w:divBdr>
        <w:top w:val="none" w:sz="0" w:space="0" w:color="auto"/>
        <w:left w:val="none" w:sz="0" w:space="0" w:color="auto"/>
        <w:bottom w:val="none" w:sz="0" w:space="0" w:color="auto"/>
        <w:right w:val="none" w:sz="0" w:space="0" w:color="auto"/>
      </w:divBdr>
    </w:div>
    <w:div w:id="915288871">
      <w:marLeft w:val="480"/>
      <w:marRight w:val="0"/>
      <w:marTop w:val="0"/>
      <w:marBottom w:val="0"/>
      <w:divBdr>
        <w:top w:val="none" w:sz="0" w:space="0" w:color="auto"/>
        <w:left w:val="none" w:sz="0" w:space="0" w:color="auto"/>
        <w:bottom w:val="none" w:sz="0" w:space="0" w:color="auto"/>
        <w:right w:val="none" w:sz="0" w:space="0" w:color="auto"/>
      </w:divBdr>
    </w:div>
    <w:div w:id="919020552">
      <w:marLeft w:val="480"/>
      <w:marRight w:val="0"/>
      <w:marTop w:val="0"/>
      <w:marBottom w:val="0"/>
      <w:divBdr>
        <w:top w:val="none" w:sz="0" w:space="0" w:color="auto"/>
        <w:left w:val="none" w:sz="0" w:space="0" w:color="auto"/>
        <w:bottom w:val="none" w:sz="0" w:space="0" w:color="auto"/>
        <w:right w:val="none" w:sz="0" w:space="0" w:color="auto"/>
      </w:divBdr>
    </w:div>
    <w:div w:id="921914417">
      <w:marLeft w:val="480"/>
      <w:marRight w:val="0"/>
      <w:marTop w:val="0"/>
      <w:marBottom w:val="0"/>
      <w:divBdr>
        <w:top w:val="none" w:sz="0" w:space="0" w:color="auto"/>
        <w:left w:val="none" w:sz="0" w:space="0" w:color="auto"/>
        <w:bottom w:val="none" w:sz="0" w:space="0" w:color="auto"/>
        <w:right w:val="none" w:sz="0" w:space="0" w:color="auto"/>
      </w:divBdr>
    </w:div>
    <w:div w:id="923881593">
      <w:marLeft w:val="480"/>
      <w:marRight w:val="0"/>
      <w:marTop w:val="0"/>
      <w:marBottom w:val="0"/>
      <w:divBdr>
        <w:top w:val="none" w:sz="0" w:space="0" w:color="auto"/>
        <w:left w:val="none" w:sz="0" w:space="0" w:color="auto"/>
        <w:bottom w:val="none" w:sz="0" w:space="0" w:color="auto"/>
        <w:right w:val="none" w:sz="0" w:space="0" w:color="auto"/>
      </w:divBdr>
    </w:div>
    <w:div w:id="924001137">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55892">
      <w:marLeft w:val="480"/>
      <w:marRight w:val="0"/>
      <w:marTop w:val="0"/>
      <w:marBottom w:val="0"/>
      <w:divBdr>
        <w:top w:val="none" w:sz="0" w:space="0" w:color="auto"/>
        <w:left w:val="none" w:sz="0" w:space="0" w:color="auto"/>
        <w:bottom w:val="none" w:sz="0" w:space="0" w:color="auto"/>
        <w:right w:val="none" w:sz="0" w:space="0" w:color="auto"/>
      </w:divBdr>
    </w:div>
    <w:div w:id="939222250">
      <w:marLeft w:val="480"/>
      <w:marRight w:val="0"/>
      <w:marTop w:val="0"/>
      <w:marBottom w:val="0"/>
      <w:divBdr>
        <w:top w:val="none" w:sz="0" w:space="0" w:color="auto"/>
        <w:left w:val="none" w:sz="0" w:space="0" w:color="auto"/>
        <w:bottom w:val="none" w:sz="0" w:space="0" w:color="auto"/>
        <w:right w:val="none" w:sz="0" w:space="0" w:color="auto"/>
      </w:divBdr>
    </w:div>
    <w:div w:id="945965916">
      <w:marLeft w:val="480"/>
      <w:marRight w:val="0"/>
      <w:marTop w:val="0"/>
      <w:marBottom w:val="0"/>
      <w:divBdr>
        <w:top w:val="none" w:sz="0" w:space="0" w:color="auto"/>
        <w:left w:val="none" w:sz="0" w:space="0" w:color="auto"/>
        <w:bottom w:val="none" w:sz="0" w:space="0" w:color="auto"/>
        <w:right w:val="none" w:sz="0" w:space="0" w:color="auto"/>
      </w:divBdr>
    </w:div>
    <w:div w:id="952638715">
      <w:marLeft w:val="480"/>
      <w:marRight w:val="0"/>
      <w:marTop w:val="0"/>
      <w:marBottom w:val="0"/>
      <w:divBdr>
        <w:top w:val="none" w:sz="0" w:space="0" w:color="auto"/>
        <w:left w:val="none" w:sz="0" w:space="0" w:color="auto"/>
        <w:bottom w:val="none" w:sz="0" w:space="0" w:color="auto"/>
        <w:right w:val="none" w:sz="0" w:space="0" w:color="auto"/>
      </w:divBdr>
    </w:div>
    <w:div w:id="955722436">
      <w:marLeft w:val="480"/>
      <w:marRight w:val="0"/>
      <w:marTop w:val="0"/>
      <w:marBottom w:val="0"/>
      <w:divBdr>
        <w:top w:val="none" w:sz="0" w:space="0" w:color="auto"/>
        <w:left w:val="none" w:sz="0" w:space="0" w:color="auto"/>
        <w:bottom w:val="none" w:sz="0" w:space="0" w:color="auto"/>
        <w:right w:val="none" w:sz="0" w:space="0" w:color="auto"/>
      </w:divBdr>
    </w:div>
    <w:div w:id="956108882">
      <w:marLeft w:val="480"/>
      <w:marRight w:val="0"/>
      <w:marTop w:val="0"/>
      <w:marBottom w:val="0"/>
      <w:divBdr>
        <w:top w:val="none" w:sz="0" w:space="0" w:color="auto"/>
        <w:left w:val="none" w:sz="0" w:space="0" w:color="auto"/>
        <w:bottom w:val="none" w:sz="0" w:space="0" w:color="auto"/>
        <w:right w:val="none" w:sz="0" w:space="0" w:color="auto"/>
      </w:divBdr>
    </w:div>
    <w:div w:id="957494985">
      <w:marLeft w:val="480"/>
      <w:marRight w:val="0"/>
      <w:marTop w:val="0"/>
      <w:marBottom w:val="0"/>
      <w:divBdr>
        <w:top w:val="none" w:sz="0" w:space="0" w:color="auto"/>
        <w:left w:val="none" w:sz="0" w:space="0" w:color="auto"/>
        <w:bottom w:val="none" w:sz="0" w:space="0" w:color="auto"/>
        <w:right w:val="none" w:sz="0" w:space="0" w:color="auto"/>
      </w:divBdr>
    </w:div>
    <w:div w:id="958418737">
      <w:marLeft w:val="480"/>
      <w:marRight w:val="0"/>
      <w:marTop w:val="0"/>
      <w:marBottom w:val="0"/>
      <w:divBdr>
        <w:top w:val="none" w:sz="0" w:space="0" w:color="auto"/>
        <w:left w:val="none" w:sz="0" w:space="0" w:color="auto"/>
        <w:bottom w:val="none" w:sz="0" w:space="0" w:color="auto"/>
        <w:right w:val="none" w:sz="0" w:space="0" w:color="auto"/>
      </w:divBdr>
    </w:div>
    <w:div w:id="958877296">
      <w:marLeft w:val="480"/>
      <w:marRight w:val="0"/>
      <w:marTop w:val="0"/>
      <w:marBottom w:val="0"/>
      <w:divBdr>
        <w:top w:val="none" w:sz="0" w:space="0" w:color="auto"/>
        <w:left w:val="none" w:sz="0" w:space="0" w:color="auto"/>
        <w:bottom w:val="none" w:sz="0" w:space="0" w:color="auto"/>
        <w:right w:val="none" w:sz="0" w:space="0" w:color="auto"/>
      </w:divBdr>
    </w:div>
    <w:div w:id="960495724">
      <w:marLeft w:val="480"/>
      <w:marRight w:val="0"/>
      <w:marTop w:val="0"/>
      <w:marBottom w:val="0"/>
      <w:divBdr>
        <w:top w:val="none" w:sz="0" w:space="0" w:color="auto"/>
        <w:left w:val="none" w:sz="0" w:space="0" w:color="auto"/>
        <w:bottom w:val="none" w:sz="0" w:space="0" w:color="auto"/>
        <w:right w:val="none" w:sz="0" w:space="0" w:color="auto"/>
      </w:divBdr>
    </w:div>
    <w:div w:id="963846967">
      <w:marLeft w:val="480"/>
      <w:marRight w:val="0"/>
      <w:marTop w:val="0"/>
      <w:marBottom w:val="0"/>
      <w:divBdr>
        <w:top w:val="none" w:sz="0" w:space="0" w:color="auto"/>
        <w:left w:val="none" w:sz="0" w:space="0" w:color="auto"/>
        <w:bottom w:val="none" w:sz="0" w:space="0" w:color="auto"/>
        <w:right w:val="none" w:sz="0" w:space="0" w:color="auto"/>
      </w:divBdr>
    </w:div>
    <w:div w:id="968437686">
      <w:marLeft w:val="480"/>
      <w:marRight w:val="0"/>
      <w:marTop w:val="0"/>
      <w:marBottom w:val="0"/>
      <w:divBdr>
        <w:top w:val="none" w:sz="0" w:space="0" w:color="auto"/>
        <w:left w:val="none" w:sz="0" w:space="0" w:color="auto"/>
        <w:bottom w:val="none" w:sz="0" w:space="0" w:color="auto"/>
        <w:right w:val="none" w:sz="0" w:space="0" w:color="auto"/>
      </w:divBdr>
    </w:div>
    <w:div w:id="981229488">
      <w:marLeft w:val="480"/>
      <w:marRight w:val="0"/>
      <w:marTop w:val="0"/>
      <w:marBottom w:val="0"/>
      <w:divBdr>
        <w:top w:val="none" w:sz="0" w:space="0" w:color="auto"/>
        <w:left w:val="none" w:sz="0" w:space="0" w:color="auto"/>
        <w:bottom w:val="none" w:sz="0" w:space="0" w:color="auto"/>
        <w:right w:val="none" w:sz="0" w:space="0" w:color="auto"/>
      </w:divBdr>
    </w:div>
    <w:div w:id="981233428">
      <w:marLeft w:val="480"/>
      <w:marRight w:val="0"/>
      <w:marTop w:val="0"/>
      <w:marBottom w:val="0"/>
      <w:divBdr>
        <w:top w:val="none" w:sz="0" w:space="0" w:color="auto"/>
        <w:left w:val="none" w:sz="0" w:space="0" w:color="auto"/>
        <w:bottom w:val="none" w:sz="0" w:space="0" w:color="auto"/>
        <w:right w:val="none" w:sz="0" w:space="0" w:color="auto"/>
      </w:divBdr>
    </w:div>
    <w:div w:id="989482394">
      <w:marLeft w:val="480"/>
      <w:marRight w:val="0"/>
      <w:marTop w:val="0"/>
      <w:marBottom w:val="0"/>
      <w:divBdr>
        <w:top w:val="none" w:sz="0" w:space="0" w:color="auto"/>
        <w:left w:val="none" w:sz="0" w:space="0" w:color="auto"/>
        <w:bottom w:val="none" w:sz="0" w:space="0" w:color="auto"/>
        <w:right w:val="none" w:sz="0" w:space="0" w:color="auto"/>
      </w:divBdr>
    </w:div>
    <w:div w:id="999045411">
      <w:marLeft w:val="480"/>
      <w:marRight w:val="0"/>
      <w:marTop w:val="0"/>
      <w:marBottom w:val="0"/>
      <w:divBdr>
        <w:top w:val="none" w:sz="0" w:space="0" w:color="auto"/>
        <w:left w:val="none" w:sz="0" w:space="0" w:color="auto"/>
        <w:bottom w:val="none" w:sz="0" w:space="0" w:color="auto"/>
        <w:right w:val="none" w:sz="0" w:space="0" w:color="auto"/>
      </w:divBdr>
    </w:div>
    <w:div w:id="1000426784">
      <w:marLeft w:val="480"/>
      <w:marRight w:val="0"/>
      <w:marTop w:val="0"/>
      <w:marBottom w:val="0"/>
      <w:divBdr>
        <w:top w:val="none" w:sz="0" w:space="0" w:color="auto"/>
        <w:left w:val="none" w:sz="0" w:space="0" w:color="auto"/>
        <w:bottom w:val="none" w:sz="0" w:space="0" w:color="auto"/>
        <w:right w:val="none" w:sz="0" w:space="0" w:color="auto"/>
      </w:divBdr>
    </w:div>
    <w:div w:id="1014379441">
      <w:marLeft w:val="480"/>
      <w:marRight w:val="0"/>
      <w:marTop w:val="0"/>
      <w:marBottom w:val="0"/>
      <w:divBdr>
        <w:top w:val="none" w:sz="0" w:space="0" w:color="auto"/>
        <w:left w:val="none" w:sz="0" w:space="0" w:color="auto"/>
        <w:bottom w:val="none" w:sz="0" w:space="0" w:color="auto"/>
        <w:right w:val="none" w:sz="0" w:space="0" w:color="auto"/>
      </w:divBdr>
    </w:div>
    <w:div w:id="1018892533">
      <w:marLeft w:val="480"/>
      <w:marRight w:val="0"/>
      <w:marTop w:val="0"/>
      <w:marBottom w:val="0"/>
      <w:divBdr>
        <w:top w:val="none" w:sz="0" w:space="0" w:color="auto"/>
        <w:left w:val="none" w:sz="0" w:space="0" w:color="auto"/>
        <w:bottom w:val="none" w:sz="0" w:space="0" w:color="auto"/>
        <w:right w:val="none" w:sz="0" w:space="0" w:color="auto"/>
      </w:divBdr>
    </w:div>
    <w:div w:id="1028065875">
      <w:marLeft w:val="480"/>
      <w:marRight w:val="0"/>
      <w:marTop w:val="0"/>
      <w:marBottom w:val="0"/>
      <w:divBdr>
        <w:top w:val="none" w:sz="0" w:space="0" w:color="auto"/>
        <w:left w:val="none" w:sz="0" w:space="0" w:color="auto"/>
        <w:bottom w:val="none" w:sz="0" w:space="0" w:color="auto"/>
        <w:right w:val="none" w:sz="0" w:space="0" w:color="auto"/>
      </w:divBdr>
    </w:div>
    <w:div w:id="1028411381">
      <w:marLeft w:val="480"/>
      <w:marRight w:val="0"/>
      <w:marTop w:val="0"/>
      <w:marBottom w:val="0"/>
      <w:divBdr>
        <w:top w:val="none" w:sz="0" w:space="0" w:color="auto"/>
        <w:left w:val="none" w:sz="0" w:space="0" w:color="auto"/>
        <w:bottom w:val="none" w:sz="0" w:space="0" w:color="auto"/>
        <w:right w:val="none" w:sz="0" w:space="0" w:color="auto"/>
      </w:divBdr>
    </w:div>
    <w:div w:id="1029375523">
      <w:marLeft w:val="480"/>
      <w:marRight w:val="0"/>
      <w:marTop w:val="0"/>
      <w:marBottom w:val="0"/>
      <w:divBdr>
        <w:top w:val="none" w:sz="0" w:space="0" w:color="auto"/>
        <w:left w:val="none" w:sz="0" w:space="0" w:color="auto"/>
        <w:bottom w:val="none" w:sz="0" w:space="0" w:color="auto"/>
        <w:right w:val="none" w:sz="0" w:space="0" w:color="auto"/>
      </w:divBdr>
    </w:div>
    <w:div w:id="1032728738">
      <w:marLeft w:val="480"/>
      <w:marRight w:val="0"/>
      <w:marTop w:val="0"/>
      <w:marBottom w:val="0"/>
      <w:divBdr>
        <w:top w:val="none" w:sz="0" w:space="0" w:color="auto"/>
        <w:left w:val="none" w:sz="0" w:space="0" w:color="auto"/>
        <w:bottom w:val="none" w:sz="0" w:space="0" w:color="auto"/>
        <w:right w:val="none" w:sz="0" w:space="0" w:color="auto"/>
      </w:divBdr>
    </w:div>
    <w:div w:id="1033962217">
      <w:marLeft w:val="480"/>
      <w:marRight w:val="0"/>
      <w:marTop w:val="0"/>
      <w:marBottom w:val="0"/>
      <w:divBdr>
        <w:top w:val="none" w:sz="0" w:space="0" w:color="auto"/>
        <w:left w:val="none" w:sz="0" w:space="0" w:color="auto"/>
        <w:bottom w:val="none" w:sz="0" w:space="0" w:color="auto"/>
        <w:right w:val="none" w:sz="0" w:space="0" w:color="auto"/>
      </w:divBdr>
    </w:div>
    <w:div w:id="1037702945">
      <w:marLeft w:val="480"/>
      <w:marRight w:val="0"/>
      <w:marTop w:val="0"/>
      <w:marBottom w:val="0"/>
      <w:divBdr>
        <w:top w:val="none" w:sz="0" w:space="0" w:color="auto"/>
        <w:left w:val="none" w:sz="0" w:space="0" w:color="auto"/>
        <w:bottom w:val="none" w:sz="0" w:space="0" w:color="auto"/>
        <w:right w:val="none" w:sz="0" w:space="0" w:color="auto"/>
      </w:divBdr>
    </w:div>
    <w:div w:id="1044718240">
      <w:marLeft w:val="480"/>
      <w:marRight w:val="0"/>
      <w:marTop w:val="0"/>
      <w:marBottom w:val="0"/>
      <w:divBdr>
        <w:top w:val="none" w:sz="0" w:space="0" w:color="auto"/>
        <w:left w:val="none" w:sz="0" w:space="0" w:color="auto"/>
        <w:bottom w:val="none" w:sz="0" w:space="0" w:color="auto"/>
        <w:right w:val="none" w:sz="0" w:space="0" w:color="auto"/>
      </w:divBdr>
    </w:div>
    <w:div w:id="1051465780">
      <w:marLeft w:val="480"/>
      <w:marRight w:val="0"/>
      <w:marTop w:val="0"/>
      <w:marBottom w:val="0"/>
      <w:divBdr>
        <w:top w:val="none" w:sz="0" w:space="0" w:color="auto"/>
        <w:left w:val="none" w:sz="0" w:space="0" w:color="auto"/>
        <w:bottom w:val="none" w:sz="0" w:space="0" w:color="auto"/>
        <w:right w:val="none" w:sz="0" w:space="0" w:color="auto"/>
      </w:divBdr>
    </w:div>
    <w:div w:id="1051686203">
      <w:marLeft w:val="480"/>
      <w:marRight w:val="0"/>
      <w:marTop w:val="0"/>
      <w:marBottom w:val="0"/>
      <w:divBdr>
        <w:top w:val="none" w:sz="0" w:space="0" w:color="auto"/>
        <w:left w:val="none" w:sz="0" w:space="0" w:color="auto"/>
        <w:bottom w:val="none" w:sz="0" w:space="0" w:color="auto"/>
        <w:right w:val="none" w:sz="0" w:space="0" w:color="auto"/>
      </w:divBdr>
    </w:div>
    <w:div w:id="1058282052">
      <w:marLeft w:val="480"/>
      <w:marRight w:val="0"/>
      <w:marTop w:val="0"/>
      <w:marBottom w:val="0"/>
      <w:divBdr>
        <w:top w:val="none" w:sz="0" w:space="0" w:color="auto"/>
        <w:left w:val="none" w:sz="0" w:space="0" w:color="auto"/>
        <w:bottom w:val="none" w:sz="0" w:space="0" w:color="auto"/>
        <w:right w:val="none" w:sz="0" w:space="0" w:color="auto"/>
      </w:divBdr>
    </w:div>
    <w:div w:id="1065834929">
      <w:marLeft w:val="480"/>
      <w:marRight w:val="0"/>
      <w:marTop w:val="0"/>
      <w:marBottom w:val="0"/>
      <w:divBdr>
        <w:top w:val="none" w:sz="0" w:space="0" w:color="auto"/>
        <w:left w:val="none" w:sz="0" w:space="0" w:color="auto"/>
        <w:bottom w:val="none" w:sz="0" w:space="0" w:color="auto"/>
        <w:right w:val="none" w:sz="0" w:space="0" w:color="auto"/>
      </w:divBdr>
    </w:div>
    <w:div w:id="1068040311">
      <w:marLeft w:val="480"/>
      <w:marRight w:val="0"/>
      <w:marTop w:val="0"/>
      <w:marBottom w:val="0"/>
      <w:divBdr>
        <w:top w:val="none" w:sz="0" w:space="0" w:color="auto"/>
        <w:left w:val="none" w:sz="0" w:space="0" w:color="auto"/>
        <w:bottom w:val="none" w:sz="0" w:space="0" w:color="auto"/>
        <w:right w:val="none" w:sz="0" w:space="0" w:color="auto"/>
      </w:divBdr>
    </w:div>
    <w:div w:id="1071779811">
      <w:marLeft w:val="480"/>
      <w:marRight w:val="0"/>
      <w:marTop w:val="0"/>
      <w:marBottom w:val="0"/>
      <w:divBdr>
        <w:top w:val="none" w:sz="0" w:space="0" w:color="auto"/>
        <w:left w:val="none" w:sz="0" w:space="0" w:color="auto"/>
        <w:bottom w:val="none" w:sz="0" w:space="0" w:color="auto"/>
        <w:right w:val="none" w:sz="0" w:space="0" w:color="auto"/>
      </w:divBdr>
    </w:div>
    <w:div w:id="1078163760">
      <w:marLeft w:val="480"/>
      <w:marRight w:val="0"/>
      <w:marTop w:val="0"/>
      <w:marBottom w:val="0"/>
      <w:divBdr>
        <w:top w:val="none" w:sz="0" w:space="0" w:color="auto"/>
        <w:left w:val="none" w:sz="0" w:space="0" w:color="auto"/>
        <w:bottom w:val="none" w:sz="0" w:space="0" w:color="auto"/>
        <w:right w:val="none" w:sz="0" w:space="0" w:color="auto"/>
      </w:divBdr>
    </w:div>
    <w:div w:id="1081608895">
      <w:marLeft w:val="480"/>
      <w:marRight w:val="0"/>
      <w:marTop w:val="0"/>
      <w:marBottom w:val="0"/>
      <w:divBdr>
        <w:top w:val="none" w:sz="0" w:space="0" w:color="auto"/>
        <w:left w:val="none" w:sz="0" w:space="0" w:color="auto"/>
        <w:bottom w:val="none" w:sz="0" w:space="0" w:color="auto"/>
        <w:right w:val="none" w:sz="0" w:space="0" w:color="auto"/>
      </w:divBdr>
    </w:div>
    <w:div w:id="1093282961">
      <w:marLeft w:val="480"/>
      <w:marRight w:val="0"/>
      <w:marTop w:val="0"/>
      <w:marBottom w:val="0"/>
      <w:divBdr>
        <w:top w:val="none" w:sz="0" w:space="0" w:color="auto"/>
        <w:left w:val="none" w:sz="0" w:space="0" w:color="auto"/>
        <w:bottom w:val="none" w:sz="0" w:space="0" w:color="auto"/>
        <w:right w:val="none" w:sz="0" w:space="0" w:color="auto"/>
      </w:divBdr>
    </w:div>
    <w:div w:id="1100372480">
      <w:marLeft w:val="480"/>
      <w:marRight w:val="0"/>
      <w:marTop w:val="0"/>
      <w:marBottom w:val="0"/>
      <w:divBdr>
        <w:top w:val="none" w:sz="0" w:space="0" w:color="auto"/>
        <w:left w:val="none" w:sz="0" w:space="0" w:color="auto"/>
        <w:bottom w:val="none" w:sz="0" w:space="0" w:color="auto"/>
        <w:right w:val="none" w:sz="0" w:space="0" w:color="auto"/>
      </w:divBdr>
    </w:div>
    <w:div w:id="1103111585">
      <w:marLeft w:val="480"/>
      <w:marRight w:val="0"/>
      <w:marTop w:val="0"/>
      <w:marBottom w:val="0"/>
      <w:divBdr>
        <w:top w:val="none" w:sz="0" w:space="0" w:color="auto"/>
        <w:left w:val="none" w:sz="0" w:space="0" w:color="auto"/>
        <w:bottom w:val="none" w:sz="0" w:space="0" w:color="auto"/>
        <w:right w:val="none" w:sz="0" w:space="0" w:color="auto"/>
      </w:divBdr>
    </w:div>
    <w:div w:id="1109158568">
      <w:marLeft w:val="480"/>
      <w:marRight w:val="0"/>
      <w:marTop w:val="0"/>
      <w:marBottom w:val="0"/>
      <w:divBdr>
        <w:top w:val="none" w:sz="0" w:space="0" w:color="auto"/>
        <w:left w:val="none" w:sz="0" w:space="0" w:color="auto"/>
        <w:bottom w:val="none" w:sz="0" w:space="0" w:color="auto"/>
        <w:right w:val="none" w:sz="0" w:space="0" w:color="auto"/>
      </w:divBdr>
    </w:div>
    <w:div w:id="1130126160">
      <w:marLeft w:val="480"/>
      <w:marRight w:val="0"/>
      <w:marTop w:val="0"/>
      <w:marBottom w:val="0"/>
      <w:divBdr>
        <w:top w:val="none" w:sz="0" w:space="0" w:color="auto"/>
        <w:left w:val="none" w:sz="0" w:space="0" w:color="auto"/>
        <w:bottom w:val="none" w:sz="0" w:space="0" w:color="auto"/>
        <w:right w:val="none" w:sz="0" w:space="0" w:color="auto"/>
      </w:divBdr>
    </w:div>
    <w:div w:id="1130788129">
      <w:marLeft w:val="480"/>
      <w:marRight w:val="0"/>
      <w:marTop w:val="0"/>
      <w:marBottom w:val="0"/>
      <w:divBdr>
        <w:top w:val="none" w:sz="0" w:space="0" w:color="auto"/>
        <w:left w:val="none" w:sz="0" w:space="0" w:color="auto"/>
        <w:bottom w:val="none" w:sz="0" w:space="0" w:color="auto"/>
        <w:right w:val="none" w:sz="0" w:space="0" w:color="auto"/>
      </w:divBdr>
    </w:div>
    <w:div w:id="1133331539">
      <w:marLeft w:val="480"/>
      <w:marRight w:val="0"/>
      <w:marTop w:val="0"/>
      <w:marBottom w:val="0"/>
      <w:divBdr>
        <w:top w:val="none" w:sz="0" w:space="0" w:color="auto"/>
        <w:left w:val="none" w:sz="0" w:space="0" w:color="auto"/>
        <w:bottom w:val="none" w:sz="0" w:space="0" w:color="auto"/>
        <w:right w:val="none" w:sz="0" w:space="0" w:color="auto"/>
      </w:divBdr>
    </w:div>
    <w:div w:id="1137406763">
      <w:marLeft w:val="480"/>
      <w:marRight w:val="0"/>
      <w:marTop w:val="0"/>
      <w:marBottom w:val="0"/>
      <w:divBdr>
        <w:top w:val="none" w:sz="0" w:space="0" w:color="auto"/>
        <w:left w:val="none" w:sz="0" w:space="0" w:color="auto"/>
        <w:bottom w:val="none" w:sz="0" w:space="0" w:color="auto"/>
        <w:right w:val="none" w:sz="0" w:space="0" w:color="auto"/>
      </w:divBdr>
    </w:div>
    <w:div w:id="1150558401">
      <w:marLeft w:val="480"/>
      <w:marRight w:val="0"/>
      <w:marTop w:val="0"/>
      <w:marBottom w:val="0"/>
      <w:divBdr>
        <w:top w:val="none" w:sz="0" w:space="0" w:color="auto"/>
        <w:left w:val="none" w:sz="0" w:space="0" w:color="auto"/>
        <w:bottom w:val="none" w:sz="0" w:space="0" w:color="auto"/>
        <w:right w:val="none" w:sz="0" w:space="0" w:color="auto"/>
      </w:divBdr>
    </w:div>
    <w:div w:id="1151680281">
      <w:marLeft w:val="480"/>
      <w:marRight w:val="0"/>
      <w:marTop w:val="0"/>
      <w:marBottom w:val="0"/>
      <w:divBdr>
        <w:top w:val="none" w:sz="0" w:space="0" w:color="auto"/>
        <w:left w:val="none" w:sz="0" w:space="0" w:color="auto"/>
        <w:bottom w:val="none" w:sz="0" w:space="0" w:color="auto"/>
        <w:right w:val="none" w:sz="0" w:space="0" w:color="auto"/>
      </w:divBdr>
    </w:div>
    <w:div w:id="1153571439">
      <w:marLeft w:val="480"/>
      <w:marRight w:val="0"/>
      <w:marTop w:val="0"/>
      <w:marBottom w:val="0"/>
      <w:divBdr>
        <w:top w:val="none" w:sz="0" w:space="0" w:color="auto"/>
        <w:left w:val="none" w:sz="0" w:space="0" w:color="auto"/>
        <w:bottom w:val="none" w:sz="0" w:space="0" w:color="auto"/>
        <w:right w:val="none" w:sz="0" w:space="0" w:color="auto"/>
      </w:divBdr>
    </w:div>
    <w:div w:id="1155992039">
      <w:marLeft w:val="480"/>
      <w:marRight w:val="0"/>
      <w:marTop w:val="0"/>
      <w:marBottom w:val="0"/>
      <w:divBdr>
        <w:top w:val="none" w:sz="0" w:space="0" w:color="auto"/>
        <w:left w:val="none" w:sz="0" w:space="0" w:color="auto"/>
        <w:bottom w:val="none" w:sz="0" w:space="0" w:color="auto"/>
        <w:right w:val="none" w:sz="0" w:space="0" w:color="auto"/>
      </w:divBdr>
    </w:div>
    <w:div w:id="1159266906">
      <w:marLeft w:val="480"/>
      <w:marRight w:val="0"/>
      <w:marTop w:val="0"/>
      <w:marBottom w:val="0"/>
      <w:divBdr>
        <w:top w:val="none" w:sz="0" w:space="0" w:color="auto"/>
        <w:left w:val="none" w:sz="0" w:space="0" w:color="auto"/>
        <w:bottom w:val="none" w:sz="0" w:space="0" w:color="auto"/>
        <w:right w:val="none" w:sz="0" w:space="0" w:color="auto"/>
      </w:divBdr>
    </w:div>
    <w:div w:id="1160343085">
      <w:marLeft w:val="480"/>
      <w:marRight w:val="0"/>
      <w:marTop w:val="0"/>
      <w:marBottom w:val="0"/>
      <w:divBdr>
        <w:top w:val="none" w:sz="0" w:space="0" w:color="auto"/>
        <w:left w:val="none" w:sz="0" w:space="0" w:color="auto"/>
        <w:bottom w:val="none" w:sz="0" w:space="0" w:color="auto"/>
        <w:right w:val="none" w:sz="0" w:space="0" w:color="auto"/>
      </w:divBdr>
    </w:div>
    <w:div w:id="1160386316">
      <w:marLeft w:val="480"/>
      <w:marRight w:val="0"/>
      <w:marTop w:val="0"/>
      <w:marBottom w:val="0"/>
      <w:divBdr>
        <w:top w:val="none" w:sz="0" w:space="0" w:color="auto"/>
        <w:left w:val="none" w:sz="0" w:space="0" w:color="auto"/>
        <w:bottom w:val="none" w:sz="0" w:space="0" w:color="auto"/>
        <w:right w:val="none" w:sz="0" w:space="0" w:color="auto"/>
      </w:divBdr>
    </w:div>
    <w:div w:id="1163351013">
      <w:marLeft w:val="480"/>
      <w:marRight w:val="0"/>
      <w:marTop w:val="0"/>
      <w:marBottom w:val="0"/>
      <w:divBdr>
        <w:top w:val="none" w:sz="0" w:space="0" w:color="auto"/>
        <w:left w:val="none" w:sz="0" w:space="0" w:color="auto"/>
        <w:bottom w:val="none" w:sz="0" w:space="0" w:color="auto"/>
        <w:right w:val="none" w:sz="0" w:space="0" w:color="auto"/>
      </w:divBdr>
    </w:div>
    <w:div w:id="1172450594">
      <w:marLeft w:val="480"/>
      <w:marRight w:val="0"/>
      <w:marTop w:val="0"/>
      <w:marBottom w:val="0"/>
      <w:divBdr>
        <w:top w:val="none" w:sz="0" w:space="0" w:color="auto"/>
        <w:left w:val="none" w:sz="0" w:space="0" w:color="auto"/>
        <w:bottom w:val="none" w:sz="0" w:space="0" w:color="auto"/>
        <w:right w:val="none" w:sz="0" w:space="0" w:color="auto"/>
      </w:divBdr>
    </w:div>
    <w:div w:id="1172455920">
      <w:marLeft w:val="480"/>
      <w:marRight w:val="0"/>
      <w:marTop w:val="0"/>
      <w:marBottom w:val="0"/>
      <w:divBdr>
        <w:top w:val="none" w:sz="0" w:space="0" w:color="auto"/>
        <w:left w:val="none" w:sz="0" w:space="0" w:color="auto"/>
        <w:bottom w:val="none" w:sz="0" w:space="0" w:color="auto"/>
        <w:right w:val="none" w:sz="0" w:space="0" w:color="auto"/>
      </w:divBdr>
    </w:div>
    <w:div w:id="1180051257">
      <w:marLeft w:val="480"/>
      <w:marRight w:val="0"/>
      <w:marTop w:val="0"/>
      <w:marBottom w:val="0"/>
      <w:divBdr>
        <w:top w:val="none" w:sz="0" w:space="0" w:color="auto"/>
        <w:left w:val="none" w:sz="0" w:space="0" w:color="auto"/>
        <w:bottom w:val="none" w:sz="0" w:space="0" w:color="auto"/>
        <w:right w:val="none" w:sz="0" w:space="0" w:color="auto"/>
      </w:divBdr>
    </w:div>
    <w:div w:id="1182088038">
      <w:marLeft w:val="480"/>
      <w:marRight w:val="0"/>
      <w:marTop w:val="0"/>
      <w:marBottom w:val="0"/>
      <w:divBdr>
        <w:top w:val="none" w:sz="0" w:space="0" w:color="auto"/>
        <w:left w:val="none" w:sz="0" w:space="0" w:color="auto"/>
        <w:bottom w:val="none" w:sz="0" w:space="0" w:color="auto"/>
        <w:right w:val="none" w:sz="0" w:space="0" w:color="auto"/>
      </w:divBdr>
    </w:div>
    <w:div w:id="1183007710">
      <w:marLeft w:val="480"/>
      <w:marRight w:val="0"/>
      <w:marTop w:val="0"/>
      <w:marBottom w:val="0"/>
      <w:divBdr>
        <w:top w:val="none" w:sz="0" w:space="0" w:color="auto"/>
        <w:left w:val="none" w:sz="0" w:space="0" w:color="auto"/>
        <w:bottom w:val="none" w:sz="0" w:space="0" w:color="auto"/>
        <w:right w:val="none" w:sz="0" w:space="0" w:color="auto"/>
      </w:divBdr>
    </w:div>
    <w:div w:id="1186020476">
      <w:marLeft w:val="480"/>
      <w:marRight w:val="0"/>
      <w:marTop w:val="0"/>
      <w:marBottom w:val="0"/>
      <w:divBdr>
        <w:top w:val="none" w:sz="0" w:space="0" w:color="auto"/>
        <w:left w:val="none" w:sz="0" w:space="0" w:color="auto"/>
        <w:bottom w:val="none" w:sz="0" w:space="0" w:color="auto"/>
        <w:right w:val="none" w:sz="0" w:space="0" w:color="auto"/>
      </w:divBdr>
    </w:div>
    <w:div w:id="1188645022">
      <w:marLeft w:val="480"/>
      <w:marRight w:val="0"/>
      <w:marTop w:val="0"/>
      <w:marBottom w:val="0"/>
      <w:divBdr>
        <w:top w:val="none" w:sz="0" w:space="0" w:color="auto"/>
        <w:left w:val="none" w:sz="0" w:space="0" w:color="auto"/>
        <w:bottom w:val="none" w:sz="0" w:space="0" w:color="auto"/>
        <w:right w:val="none" w:sz="0" w:space="0" w:color="auto"/>
      </w:divBdr>
    </w:div>
    <w:div w:id="1200319270">
      <w:marLeft w:val="480"/>
      <w:marRight w:val="0"/>
      <w:marTop w:val="0"/>
      <w:marBottom w:val="0"/>
      <w:divBdr>
        <w:top w:val="none" w:sz="0" w:space="0" w:color="auto"/>
        <w:left w:val="none" w:sz="0" w:space="0" w:color="auto"/>
        <w:bottom w:val="none" w:sz="0" w:space="0" w:color="auto"/>
        <w:right w:val="none" w:sz="0" w:space="0" w:color="auto"/>
      </w:divBdr>
    </w:div>
    <w:div w:id="1203513381">
      <w:marLeft w:val="480"/>
      <w:marRight w:val="0"/>
      <w:marTop w:val="0"/>
      <w:marBottom w:val="0"/>
      <w:divBdr>
        <w:top w:val="none" w:sz="0" w:space="0" w:color="auto"/>
        <w:left w:val="none" w:sz="0" w:space="0" w:color="auto"/>
        <w:bottom w:val="none" w:sz="0" w:space="0" w:color="auto"/>
        <w:right w:val="none" w:sz="0" w:space="0" w:color="auto"/>
      </w:divBdr>
    </w:div>
    <w:div w:id="1208419662">
      <w:marLeft w:val="480"/>
      <w:marRight w:val="0"/>
      <w:marTop w:val="0"/>
      <w:marBottom w:val="0"/>
      <w:divBdr>
        <w:top w:val="none" w:sz="0" w:space="0" w:color="auto"/>
        <w:left w:val="none" w:sz="0" w:space="0" w:color="auto"/>
        <w:bottom w:val="none" w:sz="0" w:space="0" w:color="auto"/>
        <w:right w:val="none" w:sz="0" w:space="0" w:color="auto"/>
      </w:divBdr>
    </w:div>
    <w:div w:id="1213540648">
      <w:marLeft w:val="480"/>
      <w:marRight w:val="0"/>
      <w:marTop w:val="0"/>
      <w:marBottom w:val="0"/>
      <w:divBdr>
        <w:top w:val="none" w:sz="0" w:space="0" w:color="auto"/>
        <w:left w:val="none" w:sz="0" w:space="0" w:color="auto"/>
        <w:bottom w:val="none" w:sz="0" w:space="0" w:color="auto"/>
        <w:right w:val="none" w:sz="0" w:space="0" w:color="auto"/>
      </w:divBdr>
    </w:div>
    <w:div w:id="1215237184">
      <w:marLeft w:val="480"/>
      <w:marRight w:val="0"/>
      <w:marTop w:val="0"/>
      <w:marBottom w:val="0"/>
      <w:divBdr>
        <w:top w:val="none" w:sz="0" w:space="0" w:color="auto"/>
        <w:left w:val="none" w:sz="0" w:space="0" w:color="auto"/>
        <w:bottom w:val="none" w:sz="0" w:space="0" w:color="auto"/>
        <w:right w:val="none" w:sz="0" w:space="0" w:color="auto"/>
      </w:divBdr>
    </w:div>
    <w:div w:id="1215460022">
      <w:marLeft w:val="480"/>
      <w:marRight w:val="0"/>
      <w:marTop w:val="0"/>
      <w:marBottom w:val="0"/>
      <w:divBdr>
        <w:top w:val="none" w:sz="0" w:space="0" w:color="auto"/>
        <w:left w:val="none" w:sz="0" w:space="0" w:color="auto"/>
        <w:bottom w:val="none" w:sz="0" w:space="0" w:color="auto"/>
        <w:right w:val="none" w:sz="0" w:space="0" w:color="auto"/>
      </w:divBdr>
    </w:div>
    <w:div w:id="1216431779">
      <w:marLeft w:val="480"/>
      <w:marRight w:val="0"/>
      <w:marTop w:val="0"/>
      <w:marBottom w:val="0"/>
      <w:divBdr>
        <w:top w:val="none" w:sz="0" w:space="0" w:color="auto"/>
        <w:left w:val="none" w:sz="0" w:space="0" w:color="auto"/>
        <w:bottom w:val="none" w:sz="0" w:space="0" w:color="auto"/>
        <w:right w:val="none" w:sz="0" w:space="0" w:color="auto"/>
      </w:divBdr>
    </w:div>
    <w:div w:id="1220627280">
      <w:marLeft w:val="480"/>
      <w:marRight w:val="0"/>
      <w:marTop w:val="0"/>
      <w:marBottom w:val="0"/>
      <w:divBdr>
        <w:top w:val="none" w:sz="0" w:space="0" w:color="auto"/>
        <w:left w:val="none" w:sz="0" w:space="0" w:color="auto"/>
        <w:bottom w:val="none" w:sz="0" w:space="0" w:color="auto"/>
        <w:right w:val="none" w:sz="0" w:space="0" w:color="auto"/>
      </w:divBdr>
    </w:div>
    <w:div w:id="1222255082">
      <w:marLeft w:val="480"/>
      <w:marRight w:val="0"/>
      <w:marTop w:val="0"/>
      <w:marBottom w:val="0"/>
      <w:divBdr>
        <w:top w:val="none" w:sz="0" w:space="0" w:color="auto"/>
        <w:left w:val="none" w:sz="0" w:space="0" w:color="auto"/>
        <w:bottom w:val="none" w:sz="0" w:space="0" w:color="auto"/>
        <w:right w:val="none" w:sz="0" w:space="0" w:color="auto"/>
      </w:divBdr>
    </w:div>
    <w:div w:id="1224491091">
      <w:marLeft w:val="480"/>
      <w:marRight w:val="0"/>
      <w:marTop w:val="0"/>
      <w:marBottom w:val="0"/>
      <w:divBdr>
        <w:top w:val="none" w:sz="0" w:space="0" w:color="auto"/>
        <w:left w:val="none" w:sz="0" w:space="0" w:color="auto"/>
        <w:bottom w:val="none" w:sz="0" w:space="0" w:color="auto"/>
        <w:right w:val="none" w:sz="0" w:space="0" w:color="auto"/>
      </w:divBdr>
    </w:div>
    <w:div w:id="1227299258">
      <w:marLeft w:val="480"/>
      <w:marRight w:val="0"/>
      <w:marTop w:val="0"/>
      <w:marBottom w:val="0"/>
      <w:divBdr>
        <w:top w:val="none" w:sz="0" w:space="0" w:color="auto"/>
        <w:left w:val="none" w:sz="0" w:space="0" w:color="auto"/>
        <w:bottom w:val="none" w:sz="0" w:space="0" w:color="auto"/>
        <w:right w:val="none" w:sz="0" w:space="0" w:color="auto"/>
      </w:divBdr>
    </w:div>
    <w:div w:id="1230307576">
      <w:marLeft w:val="480"/>
      <w:marRight w:val="0"/>
      <w:marTop w:val="0"/>
      <w:marBottom w:val="0"/>
      <w:divBdr>
        <w:top w:val="none" w:sz="0" w:space="0" w:color="auto"/>
        <w:left w:val="none" w:sz="0" w:space="0" w:color="auto"/>
        <w:bottom w:val="none" w:sz="0" w:space="0" w:color="auto"/>
        <w:right w:val="none" w:sz="0" w:space="0" w:color="auto"/>
      </w:divBdr>
    </w:div>
    <w:div w:id="1230533395">
      <w:marLeft w:val="480"/>
      <w:marRight w:val="0"/>
      <w:marTop w:val="0"/>
      <w:marBottom w:val="0"/>
      <w:divBdr>
        <w:top w:val="none" w:sz="0" w:space="0" w:color="auto"/>
        <w:left w:val="none" w:sz="0" w:space="0" w:color="auto"/>
        <w:bottom w:val="none" w:sz="0" w:space="0" w:color="auto"/>
        <w:right w:val="none" w:sz="0" w:space="0" w:color="auto"/>
      </w:divBdr>
    </w:div>
    <w:div w:id="1234242433">
      <w:marLeft w:val="480"/>
      <w:marRight w:val="0"/>
      <w:marTop w:val="0"/>
      <w:marBottom w:val="0"/>
      <w:divBdr>
        <w:top w:val="none" w:sz="0" w:space="0" w:color="auto"/>
        <w:left w:val="none" w:sz="0" w:space="0" w:color="auto"/>
        <w:bottom w:val="none" w:sz="0" w:space="0" w:color="auto"/>
        <w:right w:val="none" w:sz="0" w:space="0" w:color="auto"/>
      </w:divBdr>
    </w:div>
    <w:div w:id="1235554101">
      <w:marLeft w:val="480"/>
      <w:marRight w:val="0"/>
      <w:marTop w:val="0"/>
      <w:marBottom w:val="0"/>
      <w:divBdr>
        <w:top w:val="none" w:sz="0" w:space="0" w:color="auto"/>
        <w:left w:val="none" w:sz="0" w:space="0" w:color="auto"/>
        <w:bottom w:val="none" w:sz="0" w:space="0" w:color="auto"/>
        <w:right w:val="none" w:sz="0" w:space="0" w:color="auto"/>
      </w:divBdr>
    </w:div>
    <w:div w:id="1236933866">
      <w:marLeft w:val="480"/>
      <w:marRight w:val="0"/>
      <w:marTop w:val="0"/>
      <w:marBottom w:val="0"/>
      <w:divBdr>
        <w:top w:val="none" w:sz="0" w:space="0" w:color="auto"/>
        <w:left w:val="none" w:sz="0" w:space="0" w:color="auto"/>
        <w:bottom w:val="none" w:sz="0" w:space="0" w:color="auto"/>
        <w:right w:val="none" w:sz="0" w:space="0" w:color="auto"/>
      </w:divBdr>
    </w:div>
    <w:div w:id="1240288178">
      <w:marLeft w:val="480"/>
      <w:marRight w:val="0"/>
      <w:marTop w:val="0"/>
      <w:marBottom w:val="0"/>
      <w:divBdr>
        <w:top w:val="none" w:sz="0" w:space="0" w:color="auto"/>
        <w:left w:val="none" w:sz="0" w:space="0" w:color="auto"/>
        <w:bottom w:val="none" w:sz="0" w:space="0" w:color="auto"/>
        <w:right w:val="none" w:sz="0" w:space="0" w:color="auto"/>
      </w:divBdr>
    </w:div>
    <w:div w:id="1242258614">
      <w:marLeft w:val="480"/>
      <w:marRight w:val="0"/>
      <w:marTop w:val="0"/>
      <w:marBottom w:val="0"/>
      <w:divBdr>
        <w:top w:val="none" w:sz="0" w:space="0" w:color="auto"/>
        <w:left w:val="none" w:sz="0" w:space="0" w:color="auto"/>
        <w:bottom w:val="none" w:sz="0" w:space="0" w:color="auto"/>
        <w:right w:val="none" w:sz="0" w:space="0" w:color="auto"/>
      </w:divBdr>
    </w:div>
    <w:div w:id="1243098438">
      <w:marLeft w:val="480"/>
      <w:marRight w:val="0"/>
      <w:marTop w:val="0"/>
      <w:marBottom w:val="0"/>
      <w:divBdr>
        <w:top w:val="none" w:sz="0" w:space="0" w:color="auto"/>
        <w:left w:val="none" w:sz="0" w:space="0" w:color="auto"/>
        <w:bottom w:val="none" w:sz="0" w:space="0" w:color="auto"/>
        <w:right w:val="none" w:sz="0" w:space="0" w:color="auto"/>
      </w:divBdr>
    </w:div>
    <w:div w:id="1243416126">
      <w:marLeft w:val="480"/>
      <w:marRight w:val="0"/>
      <w:marTop w:val="0"/>
      <w:marBottom w:val="0"/>
      <w:divBdr>
        <w:top w:val="none" w:sz="0" w:space="0" w:color="auto"/>
        <w:left w:val="none" w:sz="0" w:space="0" w:color="auto"/>
        <w:bottom w:val="none" w:sz="0" w:space="0" w:color="auto"/>
        <w:right w:val="none" w:sz="0" w:space="0" w:color="auto"/>
      </w:divBdr>
    </w:div>
    <w:div w:id="1244997479">
      <w:marLeft w:val="480"/>
      <w:marRight w:val="0"/>
      <w:marTop w:val="0"/>
      <w:marBottom w:val="0"/>
      <w:divBdr>
        <w:top w:val="none" w:sz="0" w:space="0" w:color="auto"/>
        <w:left w:val="none" w:sz="0" w:space="0" w:color="auto"/>
        <w:bottom w:val="none" w:sz="0" w:space="0" w:color="auto"/>
        <w:right w:val="none" w:sz="0" w:space="0" w:color="auto"/>
      </w:divBdr>
    </w:div>
    <w:div w:id="1254899504">
      <w:marLeft w:val="480"/>
      <w:marRight w:val="0"/>
      <w:marTop w:val="0"/>
      <w:marBottom w:val="0"/>
      <w:divBdr>
        <w:top w:val="none" w:sz="0" w:space="0" w:color="auto"/>
        <w:left w:val="none" w:sz="0" w:space="0" w:color="auto"/>
        <w:bottom w:val="none" w:sz="0" w:space="0" w:color="auto"/>
        <w:right w:val="none" w:sz="0" w:space="0" w:color="auto"/>
      </w:divBdr>
    </w:div>
    <w:div w:id="1263611002">
      <w:marLeft w:val="480"/>
      <w:marRight w:val="0"/>
      <w:marTop w:val="0"/>
      <w:marBottom w:val="0"/>
      <w:divBdr>
        <w:top w:val="none" w:sz="0" w:space="0" w:color="auto"/>
        <w:left w:val="none" w:sz="0" w:space="0" w:color="auto"/>
        <w:bottom w:val="none" w:sz="0" w:space="0" w:color="auto"/>
        <w:right w:val="none" w:sz="0" w:space="0" w:color="auto"/>
      </w:divBdr>
    </w:div>
    <w:div w:id="1264411026">
      <w:marLeft w:val="480"/>
      <w:marRight w:val="0"/>
      <w:marTop w:val="0"/>
      <w:marBottom w:val="0"/>
      <w:divBdr>
        <w:top w:val="none" w:sz="0" w:space="0" w:color="auto"/>
        <w:left w:val="none" w:sz="0" w:space="0" w:color="auto"/>
        <w:bottom w:val="none" w:sz="0" w:space="0" w:color="auto"/>
        <w:right w:val="none" w:sz="0" w:space="0" w:color="auto"/>
      </w:divBdr>
    </w:div>
    <w:div w:id="1270548661">
      <w:marLeft w:val="480"/>
      <w:marRight w:val="0"/>
      <w:marTop w:val="0"/>
      <w:marBottom w:val="0"/>
      <w:divBdr>
        <w:top w:val="none" w:sz="0" w:space="0" w:color="auto"/>
        <w:left w:val="none" w:sz="0" w:space="0" w:color="auto"/>
        <w:bottom w:val="none" w:sz="0" w:space="0" w:color="auto"/>
        <w:right w:val="none" w:sz="0" w:space="0" w:color="auto"/>
      </w:divBdr>
    </w:div>
    <w:div w:id="1273125674">
      <w:marLeft w:val="480"/>
      <w:marRight w:val="0"/>
      <w:marTop w:val="0"/>
      <w:marBottom w:val="0"/>
      <w:divBdr>
        <w:top w:val="none" w:sz="0" w:space="0" w:color="auto"/>
        <w:left w:val="none" w:sz="0" w:space="0" w:color="auto"/>
        <w:bottom w:val="none" w:sz="0" w:space="0" w:color="auto"/>
        <w:right w:val="none" w:sz="0" w:space="0" w:color="auto"/>
      </w:divBdr>
    </w:div>
    <w:div w:id="1278485829">
      <w:marLeft w:val="480"/>
      <w:marRight w:val="0"/>
      <w:marTop w:val="0"/>
      <w:marBottom w:val="0"/>
      <w:divBdr>
        <w:top w:val="none" w:sz="0" w:space="0" w:color="auto"/>
        <w:left w:val="none" w:sz="0" w:space="0" w:color="auto"/>
        <w:bottom w:val="none" w:sz="0" w:space="0" w:color="auto"/>
        <w:right w:val="none" w:sz="0" w:space="0" w:color="auto"/>
      </w:divBdr>
    </w:div>
    <w:div w:id="1281492101">
      <w:marLeft w:val="480"/>
      <w:marRight w:val="0"/>
      <w:marTop w:val="0"/>
      <w:marBottom w:val="0"/>
      <w:divBdr>
        <w:top w:val="none" w:sz="0" w:space="0" w:color="auto"/>
        <w:left w:val="none" w:sz="0" w:space="0" w:color="auto"/>
        <w:bottom w:val="none" w:sz="0" w:space="0" w:color="auto"/>
        <w:right w:val="none" w:sz="0" w:space="0" w:color="auto"/>
      </w:divBdr>
    </w:div>
    <w:div w:id="1283532519">
      <w:marLeft w:val="480"/>
      <w:marRight w:val="0"/>
      <w:marTop w:val="0"/>
      <w:marBottom w:val="0"/>
      <w:divBdr>
        <w:top w:val="none" w:sz="0" w:space="0" w:color="auto"/>
        <w:left w:val="none" w:sz="0" w:space="0" w:color="auto"/>
        <w:bottom w:val="none" w:sz="0" w:space="0" w:color="auto"/>
        <w:right w:val="none" w:sz="0" w:space="0" w:color="auto"/>
      </w:divBdr>
    </w:div>
    <w:div w:id="1283684204">
      <w:marLeft w:val="480"/>
      <w:marRight w:val="0"/>
      <w:marTop w:val="0"/>
      <w:marBottom w:val="0"/>
      <w:divBdr>
        <w:top w:val="none" w:sz="0" w:space="0" w:color="auto"/>
        <w:left w:val="none" w:sz="0" w:space="0" w:color="auto"/>
        <w:bottom w:val="none" w:sz="0" w:space="0" w:color="auto"/>
        <w:right w:val="none" w:sz="0" w:space="0" w:color="auto"/>
      </w:divBdr>
    </w:div>
    <w:div w:id="1284577933">
      <w:marLeft w:val="480"/>
      <w:marRight w:val="0"/>
      <w:marTop w:val="0"/>
      <w:marBottom w:val="0"/>
      <w:divBdr>
        <w:top w:val="none" w:sz="0" w:space="0" w:color="auto"/>
        <w:left w:val="none" w:sz="0" w:space="0" w:color="auto"/>
        <w:bottom w:val="none" w:sz="0" w:space="0" w:color="auto"/>
        <w:right w:val="none" w:sz="0" w:space="0" w:color="auto"/>
      </w:divBdr>
    </w:div>
    <w:div w:id="1285767945">
      <w:marLeft w:val="480"/>
      <w:marRight w:val="0"/>
      <w:marTop w:val="0"/>
      <w:marBottom w:val="0"/>
      <w:divBdr>
        <w:top w:val="none" w:sz="0" w:space="0" w:color="auto"/>
        <w:left w:val="none" w:sz="0" w:space="0" w:color="auto"/>
        <w:bottom w:val="none" w:sz="0" w:space="0" w:color="auto"/>
        <w:right w:val="none" w:sz="0" w:space="0" w:color="auto"/>
      </w:divBdr>
    </w:div>
    <w:div w:id="1292856266">
      <w:marLeft w:val="480"/>
      <w:marRight w:val="0"/>
      <w:marTop w:val="0"/>
      <w:marBottom w:val="0"/>
      <w:divBdr>
        <w:top w:val="none" w:sz="0" w:space="0" w:color="auto"/>
        <w:left w:val="none" w:sz="0" w:space="0" w:color="auto"/>
        <w:bottom w:val="none" w:sz="0" w:space="0" w:color="auto"/>
        <w:right w:val="none" w:sz="0" w:space="0" w:color="auto"/>
      </w:divBdr>
    </w:div>
    <w:div w:id="1295017716">
      <w:marLeft w:val="480"/>
      <w:marRight w:val="0"/>
      <w:marTop w:val="0"/>
      <w:marBottom w:val="0"/>
      <w:divBdr>
        <w:top w:val="none" w:sz="0" w:space="0" w:color="auto"/>
        <w:left w:val="none" w:sz="0" w:space="0" w:color="auto"/>
        <w:bottom w:val="none" w:sz="0" w:space="0" w:color="auto"/>
        <w:right w:val="none" w:sz="0" w:space="0" w:color="auto"/>
      </w:divBdr>
    </w:div>
    <w:div w:id="1298998644">
      <w:marLeft w:val="480"/>
      <w:marRight w:val="0"/>
      <w:marTop w:val="0"/>
      <w:marBottom w:val="0"/>
      <w:divBdr>
        <w:top w:val="none" w:sz="0" w:space="0" w:color="auto"/>
        <w:left w:val="none" w:sz="0" w:space="0" w:color="auto"/>
        <w:bottom w:val="none" w:sz="0" w:space="0" w:color="auto"/>
        <w:right w:val="none" w:sz="0" w:space="0" w:color="auto"/>
      </w:divBdr>
    </w:div>
    <w:div w:id="1299530731">
      <w:marLeft w:val="480"/>
      <w:marRight w:val="0"/>
      <w:marTop w:val="0"/>
      <w:marBottom w:val="0"/>
      <w:divBdr>
        <w:top w:val="none" w:sz="0" w:space="0" w:color="auto"/>
        <w:left w:val="none" w:sz="0" w:space="0" w:color="auto"/>
        <w:bottom w:val="none" w:sz="0" w:space="0" w:color="auto"/>
        <w:right w:val="none" w:sz="0" w:space="0" w:color="auto"/>
      </w:divBdr>
    </w:div>
    <w:div w:id="1315375538">
      <w:marLeft w:val="480"/>
      <w:marRight w:val="0"/>
      <w:marTop w:val="0"/>
      <w:marBottom w:val="0"/>
      <w:divBdr>
        <w:top w:val="none" w:sz="0" w:space="0" w:color="auto"/>
        <w:left w:val="none" w:sz="0" w:space="0" w:color="auto"/>
        <w:bottom w:val="none" w:sz="0" w:space="0" w:color="auto"/>
        <w:right w:val="none" w:sz="0" w:space="0" w:color="auto"/>
      </w:divBdr>
    </w:div>
    <w:div w:id="1316254313">
      <w:marLeft w:val="480"/>
      <w:marRight w:val="0"/>
      <w:marTop w:val="0"/>
      <w:marBottom w:val="0"/>
      <w:divBdr>
        <w:top w:val="none" w:sz="0" w:space="0" w:color="auto"/>
        <w:left w:val="none" w:sz="0" w:space="0" w:color="auto"/>
        <w:bottom w:val="none" w:sz="0" w:space="0" w:color="auto"/>
        <w:right w:val="none" w:sz="0" w:space="0" w:color="auto"/>
      </w:divBdr>
    </w:div>
    <w:div w:id="1320695810">
      <w:marLeft w:val="480"/>
      <w:marRight w:val="0"/>
      <w:marTop w:val="0"/>
      <w:marBottom w:val="0"/>
      <w:divBdr>
        <w:top w:val="none" w:sz="0" w:space="0" w:color="auto"/>
        <w:left w:val="none" w:sz="0" w:space="0" w:color="auto"/>
        <w:bottom w:val="none" w:sz="0" w:space="0" w:color="auto"/>
        <w:right w:val="none" w:sz="0" w:space="0" w:color="auto"/>
      </w:divBdr>
    </w:div>
    <w:div w:id="1322393974">
      <w:marLeft w:val="480"/>
      <w:marRight w:val="0"/>
      <w:marTop w:val="0"/>
      <w:marBottom w:val="0"/>
      <w:divBdr>
        <w:top w:val="none" w:sz="0" w:space="0" w:color="auto"/>
        <w:left w:val="none" w:sz="0" w:space="0" w:color="auto"/>
        <w:bottom w:val="none" w:sz="0" w:space="0" w:color="auto"/>
        <w:right w:val="none" w:sz="0" w:space="0" w:color="auto"/>
      </w:divBdr>
    </w:div>
    <w:div w:id="1327127724">
      <w:marLeft w:val="480"/>
      <w:marRight w:val="0"/>
      <w:marTop w:val="0"/>
      <w:marBottom w:val="0"/>
      <w:divBdr>
        <w:top w:val="none" w:sz="0" w:space="0" w:color="auto"/>
        <w:left w:val="none" w:sz="0" w:space="0" w:color="auto"/>
        <w:bottom w:val="none" w:sz="0" w:space="0" w:color="auto"/>
        <w:right w:val="none" w:sz="0" w:space="0" w:color="auto"/>
      </w:divBdr>
    </w:div>
    <w:div w:id="1331057240">
      <w:marLeft w:val="480"/>
      <w:marRight w:val="0"/>
      <w:marTop w:val="0"/>
      <w:marBottom w:val="0"/>
      <w:divBdr>
        <w:top w:val="none" w:sz="0" w:space="0" w:color="auto"/>
        <w:left w:val="none" w:sz="0" w:space="0" w:color="auto"/>
        <w:bottom w:val="none" w:sz="0" w:space="0" w:color="auto"/>
        <w:right w:val="none" w:sz="0" w:space="0" w:color="auto"/>
      </w:divBdr>
    </w:div>
    <w:div w:id="1331299807">
      <w:marLeft w:val="480"/>
      <w:marRight w:val="0"/>
      <w:marTop w:val="0"/>
      <w:marBottom w:val="0"/>
      <w:divBdr>
        <w:top w:val="none" w:sz="0" w:space="0" w:color="auto"/>
        <w:left w:val="none" w:sz="0" w:space="0" w:color="auto"/>
        <w:bottom w:val="none" w:sz="0" w:space="0" w:color="auto"/>
        <w:right w:val="none" w:sz="0" w:space="0" w:color="auto"/>
      </w:divBdr>
    </w:div>
    <w:div w:id="1331373774">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34332312">
      <w:marLeft w:val="480"/>
      <w:marRight w:val="0"/>
      <w:marTop w:val="0"/>
      <w:marBottom w:val="0"/>
      <w:divBdr>
        <w:top w:val="none" w:sz="0" w:space="0" w:color="auto"/>
        <w:left w:val="none" w:sz="0" w:space="0" w:color="auto"/>
        <w:bottom w:val="none" w:sz="0" w:space="0" w:color="auto"/>
        <w:right w:val="none" w:sz="0" w:space="0" w:color="auto"/>
      </w:divBdr>
    </w:div>
    <w:div w:id="1334607660">
      <w:marLeft w:val="480"/>
      <w:marRight w:val="0"/>
      <w:marTop w:val="0"/>
      <w:marBottom w:val="0"/>
      <w:divBdr>
        <w:top w:val="none" w:sz="0" w:space="0" w:color="auto"/>
        <w:left w:val="none" w:sz="0" w:space="0" w:color="auto"/>
        <w:bottom w:val="none" w:sz="0" w:space="0" w:color="auto"/>
        <w:right w:val="none" w:sz="0" w:space="0" w:color="auto"/>
      </w:divBdr>
    </w:div>
    <w:div w:id="1336881088">
      <w:marLeft w:val="480"/>
      <w:marRight w:val="0"/>
      <w:marTop w:val="0"/>
      <w:marBottom w:val="0"/>
      <w:divBdr>
        <w:top w:val="none" w:sz="0" w:space="0" w:color="auto"/>
        <w:left w:val="none" w:sz="0" w:space="0" w:color="auto"/>
        <w:bottom w:val="none" w:sz="0" w:space="0" w:color="auto"/>
        <w:right w:val="none" w:sz="0" w:space="0" w:color="auto"/>
      </w:divBdr>
    </w:div>
    <w:div w:id="1338267009">
      <w:marLeft w:val="480"/>
      <w:marRight w:val="0"/>
      <w:marTop w:val="0"/>
      <w:marBottom w:val="0"/>
      <w:divBdr>
        <w:top w:val="none" w:sz="0" w:space="0" w:color="auto"/>
        <w:left w:val="none" w:sz="0" w:space="0" w:color="auto"/>
        <w:bottom w:val="none" w:sz="0" w:space="0" w:color="auto"/>
        <w:right w:val="none" w:sz="0" w:space="0" w:color="auto"/>
      </w:divBdr>
    </w:div>
    <w:div w:id="1339884959">
      <w:marLeft w:val="480"/>
      <w:marRight w:val="0"/>
      <w:marTop w:val="0"/>
      <w:marBottom w:val="0"/>
      <w:divBdr>
        <w:top w:val="none" w:sz="0" w:space="0" w:color="auto"/>
        <w:left w:val="none" w:sz="0" w:space="0" w:color="auto"/>
        <w:bottom w:val="none" w:sz="0" w:space="0" w:color="auto"/>
        <w:right w:val="none" w:sz="0" w:space="0" w:color="auto"/>
      </w:divBdr>
    </w:div>
    <w:div w:id="1344091653">
      <w:marLeft w:val="480"/>
      <w:marRight w:val="0"/>
      <w:marTop w:val="0"/>
      <w:marBottom w:val="0"/>
      <w:divBdr>
        <w:top w:val="none" w:sz="0" w:space="0" w:color="auto"/>
        <w:left w:val="none" w:sz="0" w:space="0" w:color="auto"/>
        <w:bottom w:val="none" w:sz="0" w:space="0" w:color="auto"/>
        <w:right w:val="none" w:sz="0" w:space="0" w:color="auto"/>
      </w:divBdr>
    </w:div>
    <w:div w:id="1344896911">
      <w:marLeft w:val="480"/>
      <w:marRight w:val="0"/>
      <w:marTop w:val="0"/>
      <w:marBottom w:val="0"/>
      <w:divBdr>
        <w:top w:val="none" w:sz="0" w:space="0" w:color="auto"/>
        <w:left w:val="none" w:sz="0" w:space="0" w:color="auto"/>
        <w:bottom w:val="none" w:sz="0" w:space="0" w:color="auto"/>
        <w:right w:val="none" w:sz="0" w:space="0" w:color="auto"/>
      </w:divBdr>
    </w:div>
    <w:div w:id="1345547642">
      <w:marLeft w:val="480"/>
      <w:marRight w:val="0"/>
      <w:marTop w:val="0"/>
      <w:marBottom w:val="0"/>
      <w:divBdr>
        <w:top w:val="none" w:sz="0" w:space="0" w:color="auto"/>
        <w:left w:val="none" w:sz="0" w:space="0" w:color="auto"/>
        <w:bottom w:val="none" w:sz="0" w:space="0" w:color="auto"/>
        <w:right w:val="none" w:sz="0" w:space="0" w:color="auto"/>
      </w:divBdr>
    </w:div>
    <w:div w:id="1353607910">
      <w:marLeft w:val="480"/>
      <w:marRight w:val="0"/>
      <w:marTop w:val="0"/>
      <w:marBottom w:val="0"/>
      <w:divBdr>
        <w:top w:val="none" w:sz="0" w:space="0" w:color="auto"/>
        <w:left w:val="none" w:sz="0" w:space="0" w:color="auto"/>
        <w:bottom w:val="none" w:sz="0" w:space="0" w:color="auto"/>
        <w:right w:val="none" w:sz="0" w:space="0" w:color="auto"/>
      </w:divBdr>
    </w:div>
    <w:div w:id="1355040875">
      <w:marLeft w:val="480"/>
      <w:marRight w:val="0"/>
      <w:marTop w:val="0"/>
      <w:marBottom w:val="0"/>
      <w:divBdr>
        <w:top w:val="none" w:sz="0" w:space="0" w:color="auto"/>
        <w:left w:val="none" w:sz="0" w:space="0" w:color="auto"/>
        <w:bottom w:val="none" w:sz="0" w:space="0" w:color="auto"/>
        <w:right w:val="none" w:sz="0" w:space="0" w:color="auto"/>
      </w:divBdr>
    </w:div>
    <w:div w:id="1356469098">
      <w:marLeft w:val="480"/>
      <w:marRight w:val="0"/>
      <w:marTop w:val="0"/>
      <w:marBottom w:val="0"/>
      <w:divBdr>
        <w:top w:val="none" w:sz="0" w:space="0" w:color="auto"/>
        <w:left w:val="none" w:sz="0" w:space="0" w:color="auto"/>
        <w:bottom w:val="none" w:sz="0" w:space="0" w:color="auto"/>
        <w:right w:val="none" w:sz="0" w:space="0" w:color="auto"/>
      </w:divBdr>
    </w:div>
    <w:div w:id="1365980445">
      <w:marLeft w:val="480"/>
      <w:marRight w:val="0"/>
      <w:marTop w:val="0"/>
      <w:marBottom w:val="0"/>
      <w:divBdr>
        <w:top w:val="none" w:sz="0" w:space="0" w:color="auto"/>
        <w:left w:val="none" w:sz="0" w:space="0" w:color="auto"/>
        <w:bottom w:val="none" w:sz="0" w:space="0" w:color="auto"/>
        <w:right w:val="none" w:sz="0" w:space="0" w:color="auto"/>
      </w:divBdr>
    </w:div>
    <w:div w:id="1372656058">
      <w:marLeft w:val="480"/>
      <w:marRight w:val="0"/>
      <w:marTop w:val="0"/>
      <w:marBottom w:val="0"/>
      <w:divBdr>
        <w:top w:val="none" w:sz="0" w:space="0" w:color="auto"/>
        <w:left w:val="none" w:sz="0" w:space="0" w:color="auto"/>
        <w:bottom w:val="none" w:sz="0" w:space="0" w:color="auto"/>
        <w:right w:val="none" w:sz="0" w:space="0" w:color="auto"/>
      </w:divBdr>
    </w:div>
    <w:div w:id="1376931265">
      <w:marLeft w:val="480"/>
      <w:marRight w:val="0"/>
      <w:marTop w:val="0"/>
      <w:marBottom w:val="0"/>
      <w:divBdr>
        <w:top w:val="none" w:sz="0" w:space="0" w:color="auto"/>
        <w:left w:val="none" w:sz="0" w:space="0" w:color="auto"/>
        <w:bottom w:val="none" w:sz="0" w:space="0" w:color="auto"/>
        <w:right w:val="none" w:sz="0" w:space="0" w:color="auto"/>
      </w:divBdr>
    </w:div>
    <w:div w:id="1380590281">
      <w:marLeft w:val="480"/>
      <w:marRight w:val="0"/>
      <w:marTop w:val="0"/>
      <w:marBottom w:val="0"/>
      <w:divBdr>
        <w:top w:val="none" w:sz="0" w:space="0" w:color="auto"/>
        <w:left w:val="none" w:sz="0" w:space="0" w:color="auto"/>
        <w:bottom w:val="none" w:sz="0" w:space="0" w:color="auto"/>
        <w:right w:val="none" w:sz="0" w:space="0" w:color="auto"/>
      </w:divBdr>
    </w:div>
    <w:div w:id="1381977271">
      <w:marLeft w:val="480"/>
      <w:marRight w:val="0"/>
      <w:marTop w:val="0"/>
      <w:marBottom w:val="0"/>
      <w:divBdr>
        <w:top w:val="none" w:sz="0" w:space="0" w:color="auto"/>
        <w:left w:val="none" w:sz="0" w:space="0" w:color="auto"/>
        <w:bottom w:val="none" w:sz="0" w:space="0" w:color="auto"/>
        <w:right w:val="none" w:sz="0" w:space="0" w:color="auto"/>
      </w:divBdr>
    </w:div>
    <w:div w:id="1384914262">
      <w:marLeft w:val="480"/>
      <w:marRight w:val="0"/>
      <w:marTop w:val="0"/>
      <w:marBottom w:val="0"/>
      <w:divBdr>
        <w:top w:val="none" w:sz="0" w:space="0" w:color="auto"/>
        <w:left w:val="none" w:sz="0" w:space="0" w:color="auto"/>
        <w:bottom w:val="none" w:sz="0" w:space="0" w:color="auto"/>
        <w:right w:val="none" w:sz="0" w:space="0" w:color="auto"/>
      </w:divBdr>
    </w:div>
    <w:div w:id="1392803634">
      <w:marLeft w:val="480"/>
      <w:marRight w:val="0"/>
      <w:marTop w:val="0"/>
      <w:marBottom w:val="0"/>
      <w:divBdr>
        <w:top w:val="none" w:sz="0" w:space="0" w:color="auto"/>
        <w:left w:val="none" w:sz="0" w:space="0" w:color="auto"/>
        <w:bottom w:val="none" w:sz="0" w:space="0" w:color="auto"/>
        <w:right w:val="none" w:sz="0" w:space="0" w:color="auto"/>
      </w:divBdr>
    </w:div>
    <w:div w:id="1397701340">
      <w:marLeft w:val="480"/>
      <w:marRight w:val="0"/>
      <w:marTop w:val="0"/>
      <w:marBottom w:val="0"/>
      <w:divBdr>
        <w:top w:val="none" w:sz="0" w:space="0" w:color="auto"/>
        <w:left w:val="none" w:sz="0" w:space="0" w:color="auto"/>
        <w:bottom w:val="none" w:sz="0" w:space="0" w:color="auto"/>
        <w:right w:val="none" w:sz="0" w:space="0" w:color="auto"/>
      </w:divBdr>
    </w:div>
    <w:div w:id="1420980295">
      <w:marLeft w:val="480"/>
      <w:marRight w:val="0"/>
      <w:marTop w:val="0"/>
      <w:marBottom w:val="0"/>
      <w:divBdr>
        <w:top w:val="none" w:sz="0" w:space="0" w:color="auto"/>
        <w:left w:val="none" w:sz="0" w:space="0" w:color="auto"/>
        <w:bottom w:val="none" w:sz="0" w:space="0" w:color="auto"/>
        <w:right w:val="none" w:sz="0" w:space="0" w:color="auto"/>
      </w:divBdr>
    </w:div>
    <w:div w:id="1421562750">
      <w:marLeft w:val="480"/>
      <w:marRight w:val="0"/>
      <w:marTop w:val="0"/>
      <w:marBottom w:val="0"/>
      <w:divBdr>
        <w:top w:val="none" w:sz="0" w:space="0" w:color="auto"/>
        <w:left w:val="none" w:sz="0" w:space="0" w:color="auto"/>
        <w:bottom w:val="none" w:sz="0" w:space="0" w:color="auto"/>
        <w:right w:val="none" w:sz="0" w:space="0" w:color="auto"/>
      </w:divBdr>
    </w:div>
    <w:div w:id="1422339005">
      <w:marLeft w:val="480"/>
      <w:marRight w:val="0"/>
      <w:marTop w:val="0"/>
      <w:marBottom w:val="0"/>
      <w:divBdr>
        <w:top w:val="none" w:sz="0" w:space="0" w:color="auto"/>
        <w:left w:val="none" w:sz="0" w:space="0" w:color="auto"/>
        <w:bottom w:val="none" w:sz="0" w:space="0" w:color="auto"/>
        <w:right w:val="none" w:sz="0" w:space="0" w:color="auto"/>
      </w:divBdr>
    </w:div>
    <w:div w:id="1424909558">
      <w:marLeft w:val="480"/>
      <w:marRight w:val="0"/>
      <w:marTop w:val="0"/>
      <w:marBottom w:val="0"/>
      <w:divBdr>
        <w:top w:val="none" w:sz="0" w:space="0" w:color="auto"/>
        <w:left w:val="none" w:sz="0" w:space="0" w:color="auto"/>
        <w:bottom w:val="none" w:sz="0" w:space="0" w:color="auto"/>
        <w:right w:val="none" w:sz="0" w:space="0" w:color="auto"/>
      </w:divBdr>
    </w:div>
    <w:div w:id="1426657157">
      <w:marLeft w:val="480"/>
      <w:marRight w:val="0"/>
      <w:marTop w:val="0"/>
      <w:marBottom w:val="0"/>
      <w:divBdr>
        <w:top w:val="none" w:sz="0" w:space="0" w:color="auto"/>
        <w:left w:val="none" w:sz="0" w:space="0" w:color="auto"/>
        <w:bottom w:val="none" w:sz="0" w:space="0" w:color="auto"/>
        <w:right w:val="none" w:sz="0" w:space="0" w:color="auto"/>
      </w:divBdr>
    </w:div>
    <w:div w:id="1428959596">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313080">
      <w:marLeft w:val="480"/>
      <w:marRight w:val="0"/>
      <w:marTop w:val="0"/>
      <w:marBottom w:val="0"/>
      <w:divBdr>
        <w:top w:val="none" w:sz="0" w:space="0" w:color="auto"/>
        <w:left w:val="none" w:sz="0" w:space="0" w:color="auto"/>
        <w:bottom w:val="none" w:sz="0" w:space="0" w:color="auto"/>
        <w:right w:val="none" w:sz="0" w:space="0" w:color="auto"/>
      </w:divBdr>
    </w:div>
    <w:div w:id="1436367352">
      <w:marLeft w:val="480"/>
      <w:marRight w:val="0"/>
      <w:marTop w:val="0"/>
      <w:marBottom w:val="0"/>
      <w:divBdr>
        <w:top w:val="none" w:sz="0" w:space="0" w:color="auto"/>
        <w:left w:val="none" w:sz="0" w:space="0" w:color="auto"/>
        <w:bottom w:val="none" w:sz="0" w:space="0" w:color="auto"/>
        <w:right w:val="none" w:sz="0" w:space="0" w:color="auto"/>
      </w:divBdr>
    </w:div>
    <w:div w:id="1448814315">
      <w:marLeft w:val="480"/>
      <w:marRight w:val="0"/>
      <w:marTop w:val="0"/>
      <w:marBottom w:val="0"/>
      <w:divBdr>
        <w:top w:val="none" w:sz="0" w:space="0" w:color="auto"/>
        <w:left w:val="none" w:sz="0" w:space="0" w:color="auto"/>
        <w:bottom w:val="none" w:sz="0" w:space="0" w:color="auto"/>
        <w:right w:val="none" w:sz="0" w:space="0" w:color="auto"/>
      </w:divBdr>
    </w:div>
    <w:div w:id="1451168751">
      <w:marLeft w:val="480"/>
      <w:marRight w:val="0"/>
      <w:marTop w:val="0"/>
      <w:marBottom w:val="0"/>
      <w:divBdr>
        <w:top w:val="none" w:sz="0" w:space="0" w:color="auto"/>
        <w:left w:val="none" w:sz="0" w:space="0" w:color="auto"/>
        <w:bottom w:val="none" w:sz="0" w:space="0" w:color="auto"/>
        <w:right w:val="none" w:sz="0" w:space="0" w:color="auto"/>
      </w:divBdr>
    </w:div>
    <w:div w:id="1451510180">
      <w:marLeft w:val="480"/>
      <w:marRight w:val="0"/>
      <w:marTop w:val="0"/>
      <w:marBottom w:val="0"/>
      <w:divBdr>
        <w:top w:val="none" w:sz="0" w:space="0" w:color="auto"/>
        <w:left w:val="none" w:sz="0" w:space="0" w:color="auto"/>
        <w:bottom w:val="none" w:sz="0" w:space="0" w:color="auto"/>
        <w:right w:val="none" w:sz="0" w:space="0" w:color="auto"/>
      </w:divBdr>
    </w:div>
    <w:div w:id="1451625828">
      <w:marLeft w:val="480"/>
      <w:marRight w:val="0"/>
      <w:marTop w:val="0"/>
      <w:marBottom w:val="0"/>
      <w:divBdr>
        <w:top w:val="none" w:sz="0" w:space="0" w:color="auto"/>
        <w:left w:val="none" w:sz="0" w:space="0" w:color="auto"/>
        <w:bottom w:val="none" w:sz="0" w:space="0" w:color="auto"/>
        <w:right w:val="none" w:sz="0" w:space="0" w:color="auto"/>
      </w:divBdr>
    </w:div>
    <w:div w:id="1454784007">
      <w:marLeft w:val="480"/>
      <w:marRight w:val="0"/>
      <w:marTop w:val="0"/>
      <w:marBottom w:val="0"/>
      <w:divBdr>
        <w:top w:val="none" w:sz="0" w:space="0" w:color="auto"/>
        <w:left w:val="none" w:sz="0" w:space="0" w:color="auto"/>
        <w:bottom w:val="none" w:sz="0" w:space="0" w:color="auto"/>
        <w:right w:val="none" w:sz="0" w:space="0" w:color="auto"/>
      </w:divBdr>
    </w:div>
    <w:div w:id="1460568001">
      <w:marLeft w:val="480"/>
      <w:marRight w:val="0"/>
      <w:marTop w:val="0"/>
      <w:marBottom w:val="0"/>
      <w:divBdr>
        <w:top w:val="none" w:sz="0" w:space="0" w:color="auto"/>
        <w:left w:val="none" w:sz="0" w:space="0" w:color="auto"/>
        <w:bottom w:val="none" w:sz="0" w:space="0" w:color="auto"/>
        <w:right w:val="none" w:sz="0" w:space="0" w:color="auto"/>
      </w:divBdr>
    </w:div>
    <w:div w:id="1468471363">
      <w:marLeft w:val="480"/>
      <w:marRight w:val="0"/>
      <w:marTop w:val="0"/>
      <w:marBottom w:val="0"/>
      <w:divBdr>
        <w:top w:val="none" w:sz="0" w:space="0" w:color="auto"/>
        <w:left w:val="none" w:sz="0" w:space="0" w:color="auto"/>
        <w:bottom w:val="none" w:sz="0" w:space="0" w:color="auto"/>
        <w:right w:val="none" w:sz="0" w:space="0" w:color="auto"/>
      </w:divBdr>
    </w:div>
    <w:div w:id="1468472360">
      <w:marLeft w:val="480"/>
      <w:marRight w:val="0"/>
      <w:marTop w:val="0"/>
      <w:marBottom w:val="0"/>
      <w:divBdr>
        <w:top w:val="none" w:sz="0" w:space="0" w:color="auto"/>
        <w:left w:val="none" w:sz="0" w:space="0" w:color="auto"/>
        <w:bottom w:val="none" w:sz="0" w:space="0" w:color="auto"/>
        <w:right w:val="none" w:sz="0" w:space="0" w:color="auto"/>
      </w:divBdr>
    </w:div>
    <w:div w:id="1470053407">
      <w:marLeft w:val="480"/>
      <w:marRight w:val="0"/>
      <w:marTop w:val="0"/>
      <w:marBottom w:val="0"/>
      <w:divBdr>
        <w:top w:val="none" w:sz="0" w:space="0" w:color="auto"/>
        <w:left w:val="none" w:sz="0" w:space="0" w:color="auto"/>
        <w:bottom w:val="none" w:sz="0" w:space="0" w:color="auto"/>
        <w:right w:val="none" w:sz="0" w:space="0" w:color="auto"/>
      </w:divBdr>
    </w:div>
    <w:div w:id="1470170547">
      <w:marLeft w:val="480"/>
      <w:marRight w:val="0"/>
      <w:marTop w:val="0"/>
      <w:marBottom w:val="0"/>
      <w:divBdr>
        <w:top w:val="none" w:sz="0" w:space="0" w:color="auto"/>
        <w:left w:val="none" w:sz="0" w:space="0" w:color="auto"/>
        <w:bottom w:val="none" w:sz="0" w:space="0" w:color="auto"/>
        <w:right w:val="none" w:sz="0" w:space="0" w:color="auto"/>
      </w:divBdr>
    </w:div>
    <w:div w:id="1472597826">
      <w:marLeft w:val="480"/>
      <w:marRight w:val="0"/>
      <w:marTop w:val="0"/>
      <w:marBottom w:val="0"/>
      <w:divBdr>
        <w:top w:val="none" w:sz="0" w:space="0" w:color="auto"/>
        <w:left w:val="none" w:sz="0" w:space="0" w:color="auto"/>
        <w:bottom w:val="none" w:sz="0" w:space="0" w:color="auto"/>
        <w:right w:val="none" w:sz="0" w:space="0" w:color="auto"/>
      </w:divBdr>
    </w:div>
    <w:div w:id="1472673694">
      <w:marLeft w:val="480"/>
      <w:marRight w:val="0"/>
      <w:marTop w:val="0"/>
      <w:marBottom w:val="0"/>
      <w:divBdr>
        <w:top w:val="none" w:sz="0" w:space="0" w:color="auto"/>
        <w:left w:val="none" w:sz="0" w:space="0" w:color="auto"/>
        <w:bottom w:val="none" w:sz="0" w:space="0" w:color="auto"/>
        <w:right w:val="none" w:sz="0" w:space="0" w:color="auto"/>
      </w:divBdr>
    </w:div>
    <w:div w:id="1473673561">
      <w:marLeft w:val="480"/>
      <w:marRight w:val="0"/>
      <w:marTop w:val="0"/>
      <w:marBottom w:val="0"/>
      <w:divBdr>
        <w:top w:val="none" w:sz="0" w:space="0" w:color="auto"/>
        <w:left w:val="none" w:sz="0" w:space="0" w:color="auto"/>
        <w:bottom w:val="none" w:sz="0" w:space="0" w:color="auto"/>
        <w:right w:val="none" w:sz="0" w:space="0" w:color="auto"/>
      </w:divBdr>
    </w:div>
    <w:div w:id="1476099392">
      <w:marLeft w:val="480"/>
      <w:marRight w:val="0"/>
      <w:marTop w:val="0"/>
      <w:marBottom w:val="0"/>
      <w:divBdr>
        <w:top w:val="none" w:sz="0" w:space="0" w:color="auto"/>
        <w:left w:val="none" w:sz="0" w:space="0" w:color="auto"/>
        <w:bottom w:val="none" w:sz="0" w:space="0" w:color="auto"/>
        <w:right w:val="none" w:sz="0" w:space="0" w:color="auto"/>
      </w:divBdr>
    </w:div>
    <w:div w:id="1476870977">
      <w:marLeft w:val="480"/>
      <w:marRight w:val="0"/>
      <w:marTop w:val="0"/>
      <w:marBottom w:val="0"/>
      <w:divBdr>
        <w:top w:val="none" w:sz="0" w:space="0" w:color="auto"/>
        <w:left w:val="none" w:sz="0" w:space="0" w:color="auto"/>
        <w:bottom w:val="none" w:sz="0" w:space="0" w:color="auto"/>
        <w:right w:val="none" w:sz="0" w:space="0" w:color="auto"/>
      </w:divBdr>
    </w:div>
    <w:div w:id="1479373341">
      <w:marLeft w:val="480"/>
      <w:marRight w:val="0"/>
      <w:marTop w:val="0"/>
      <w:marBottom w:val="0"/>
      <w:divBdr>
        <w:top w:val="none" w:sz="0" w:space="0" w:color="auto"/>
        <w:left w:val="none" w:sz="0" w:space="0" w:color="auto"/>
        <w:bottom w:val="none" w:sz="0" w:space="0" w:color="auto"/>
        <w:right w:val="none" w:sz="0" w:space="0" w:color="auto"/>
      </w:divBdr>
    </w:div>
    <w:div w:id="1486046882">
      <w:marLeft w:val="480"/>
      <w:marRight w:val="0"/>
      <w:marTop w:val="0"/>
      <w:marBottom w:val="0"/>
      <w:divBdr>
        <w:top w:val="none" w:sz="0" w:space="0" w:color="auto"/>
        <w:left w:val="none" w:sz="0" w:space="0" w:color="auto"/>
        <w:bottom w:val="none" w:sz="0" w:space="0" w:color="auto"/>
        <w:right w:val="none" w:sz="0" w:space="0" w:color="auto"/>
      </w:divBdr>
    </w:div>
    <w:div w:id="1488477867">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2672365">
      <w:marLeft w:val="480"/>
      <w:marRight w:val="0"/>
      <w:marTop w:val="0"/>
      <w:marBottom w:val="0"/>
      <w:divBdr>
        <w:top w:val="none" w:sz="0" w:space="0" w:color="auto"/>
        <w:left w:val="none" w:sz="0" w:space="0" w:color="auto"/>
        <w:bottom w:val="none" w:sz="0" w:space="0" w:color="auto"/>
        <w:right w:val="none" w:sz="0" w:space="0" w:color="auto"/>
      </w:divBdr>
    </w:div>
    <w:div w:id="1506047123">
      <w:marLeft w:val="480"/>
      <w:marRight w:val="0"/>
      <w:marTop w:val="0"/>
      <w:marBottom w:val="0"/>
      <w:divBdr>
        <w:top w:val="none" w:sz="0" w:space="0" w:color="auto"/>
        <w:left w:val="none" w:sz="0" w:space="0" w:color="auto"/>
        <w:bottom w:val="none" w:sz="0" w:space="0" w:color="auto"/>
        <w:right w:val="none" w:sz="0" w:space="0" w:color="auto"/>
      </w:divBdr>
    </w:div>
    <w:div w:id="1507210428">
      <w:marLeft w:val="480"/>
      <w:marRight w:val="0"/>
      <w:marTop w:val="0"/>
      <w:marBottom w:val="0"/>
      <w:divBdr>
        <w:top w:val="none" w:sz="0" w:space="0" w:color="auto"/>
        <w:left w:val="none" w:sz="0" w:space="0" w:color="auto"/>
        <w:bottom w:val="none" w:sz="0" w:space="0" w:color="auto"/>
        <w:right w:val="none" w:sz="0" w:space="0" w:color="auto"/>
      </w:divBdr>
    </w:div>
    <w:div w:id="1510220205">
      <w:marLeft w:val="480"/>
      <w:marRight w:val="0"/>
      <w:marTop w:val="0"/>
      <w:marBottom w:val="0"/>
      <w:divBdr>
        <w:top w:val="none" w:sz="0" w:space="0" w:color="auto"/>
        <w:left w:val="none" w:sz="0" w:space="0" w:color="auto"/>
        <w:bottom w:val="none" w:sz="0" w:space="0" w:color="auto"/>
        <w:right w:val="none" w:sz="0" w:space="0" w:color="auto"/>
      </w:divBdr>
    </w:div>
    <w:div w:id="1510482214">
      <w:marLeft w:val="480"/>
      <w:marRight w:val="0"/>
      <w:marTop w:val="0"/>
      <w:marBottom w:val="0"/>
      <w:divBdr>
        <w:top w:val="none" w:sz="0" w:space="0" w:color="auto"/>
        <w:left w:val="none" w:sz="0" w:space="0" w:color="auto"/>
        <w:bottom w:val="none" w:sz="0" w:space="0" w:color="auto"/>
        <w:right w:val="none" w:sz="0" w:space="0" w:color="auto"/>
      </w:divBdr>
    </w:div>
    <w:div w:id="1512183386">
      <w:marLeft w:val="480"/>
      <w:marRight w:val="0"/>
      <w:marTop w:val="0"/>
      <w:marBottom w:val="0"/>
      <w:divBdr>
        <w:top w:val="none" w:sz="0" w:space="0" w:color="auto"/>
        <w:left w:val="none" w:sz="0" w:space="0" w:color="auto"/>
        <w:bottom w:val="none" w:sz="0" w:space="0" w:color="auto"/>
        <w:right w:val="none" w:sz="0" w:space="0" w:color="auto"/>
      </w:divBdr>
    </w:div>
    <w:div w:id="1520654836">
      <w:marLeft w:val="480"/>
      <w:marRight w:val="0"/>
      <w:marTop w:val="0"/>
      <w:marBottom w:val="0"/>
      <w:divBdr>
        <w:top w:val="none" w:sz="0" w:space="0" w:color="auto"/>
        <w:left w:val="none" w:sz="0" w:space="0" w:color="auto"/>
        <w:bottom w:val="none" w:sz="0" w:space="0" w:color="auto"/>
        <w:right w:val="none" w:sz="0" w:space="0" w:color="auto"/>
      </w:divBdr>
    </w:div>
    <w:div w:id="1526937766">
      <w:marLeft w:val="480"/>
      <w:marRight w:val="0"/>
      <w:marTop w:val="0"/>
      <w:marBottom w:val="0"/>
      <w:divBdr>
        <w:top w:val="none" w:sz="0" w:space="0" w:color="auto"/>
        <w:left w:val="none" w:sz="0" w:space="0" w:color="auto"/>
        <w:bottom w:val="none" w:sz="0" w:space="0" w:color="auto"/>
        <w:right w:val="none" w:sz="0" w:space="0" w:color="auto"/>
      </w:divBdr>
    </w:div>
    <w:div w:id="1533686617">
      <w:marLeft w:val="480"/>
      <w:marRight w:val="0"/>
      <w:marTop w:val="0"/>
      <w:marBottom w:val="0"/>
      <w:divBdr>
        <w:top w:val="none" w:sz="0" w:space="0" w:color="auto"/>
        <w:left w:val="none" w:sz="0" w:space="0" w:color="auto"/>
        <w:bottom w:val="none" w:sz="0" w:space="0" w:color="auto"/>
        <w:right w:val="none" w:sz="0" w:space="0" w:color="auto"/>
      </w:divBdr>
    </w:div>
    <w:div w:id="1534076346">
      <w:marLeft w:val="480"/>
      <w:marRight w:val="0"/>
      <w:marTop w:val="0"/>
      <w:marBottom w:val="0"/>
      <w:divBdr>
        <w:top w:val="none" w:sz="0" w:space="0" w:color="auto"/>
        <w:left w:val="none" w:sz="0" w:space="0" w:color="auto"/>
        <w:bottom w:val="none" w:sz="0" w:space="0" w:color="auto"/>
        <w:right w:val="none" w:sz="0" w:space="0" w:color="auto"/>
      </w:divBdr>
    </w:div>
    <w:div w:id="1538006200">
      <w:marLeft w:val="480"/>
      <w:marRight w:val="0"/>
      <w:marTop w:val="0"/>
      <w:marBottom w:val="0"/>
      <w:divBdr>
        <w:top w:val="none" w:sz="0" w:space="0" w:color="auto"/>
        <w:left w:val="none" w:sz="0" w:space="0" w:color="auto"/>
        <w:bottom w:val="none" w:sz="0" w:space="0" w:color="auto"/>
        <w:right w:val="none" w:sz="0" w:space="0" w:color="auto"/>
      </w:divBdr>
    </w:div>
    <w:div w:id="1540317389">
      <w:marLeft w:val="480"/>
      <w:marRight w:val="0"/>
      <w:marTop w:val="0"/>
      <w:marBottom w:val="0"/>
      <w:divBdr>
        <w:top w:val="none" w:sz="0" w:space="0" w:color="auto"/>
        <w:left w:val="none" w:sz="0" w:space="0" w:color="auto"/>
        <w:bottom w:val="none" w:sz="0" w:space="0" w:color="auto"/>
        <w:right w:val="none" w:sz="0" w:space="0" w:color="auto"/>
      </w:divBdr>
    </w:div>
    <w:div w:id="1546716274">
      <w:marLeft w:val="480"/>
      <w:marRight w:val="0"/>
      <w:marTop w:val="0"/>
      <w:marBottom w:val="0"/>
      <w:divBdr>
        <w:top w:val="none" w:sz="0" w:space="0" w:color="auto"/>
        <w:left w:val="none" w:sz="0" w:space="0" w:color="auto"/>
        <w:bottom w:val="none" w:sz="0" w:space="0" w:color="auto"/>
        <w:right w:val="none" w:sz="0" w:space="0" w:color="auto"/>
      </w:divBdr>
    </w:div>
    <w:div w:id="1551041429">
      <w:marLeft w:val="480"/>
      <w:marRight w:val="0"/>
      <w:marTop w:val="0"/>
      <w:marBottom w:val="0"/>
      <w:divBdr>
        <w:top w:val="none" w:sz="0" w:space="0" w:color="auto"/>
        <w:left w:val="none" w:sz="0" w:space="0" w:color="auto"/>
        <w:bottom w:val="none" w:sz="0" w:space="0" w:color="auto"/>
        <w:right w:val="none" w:sz="0" w:space="0" w:color="auto"/>
      </w:divBdr>
    </w:div>
    <w:div w:id="1555460614">
      <w:marLeft w:val="480"/>
      <w:marRight w:val="0"/>
      <w:marTop w:val="0"/>
      <w:marBottom w:val="0"/>
      <w:divBdr>
        <w:top w:val="none" w:sz="0" w:space="0" w:color="auto"/>
        <w:left w:val="none" w:sz="0" w:space="0" w:color="auto"/>
        <w:bottom w:val="none" w:sz="0" w:space="0" w:color="auto"/>
        <w:right w:val="none" w:sz="0" w:space="0" w:color="auto"/>
      </w:divBdr>
    </w:div>
    <w:div w:id="1555577391">
      <w:marLeft w:val="480"/>
      <w:marRight w:val="0"/>
      <w:marTop w:val="0"/>
      <w:marBottom w:val="0"/>
      <w:divBdr>
        <w:top w:val="none" w:sz="0" w:space="0" w:color="auto"/>
        <w:left w:val="none" w:sz="0" w:space="0" w:color="auto"/>
        <w:bottom w:val="none" w:sz="0" w:space="0" w:color="auto"/>
        <w:right w:val="none" w:sz="0" w:space="0" w:color="auto"/>
      </w:divBdr>
    </w:div>
    <w:div w:id="1556164488">
      <w:marLeft w:val="480"/>
      <w:marRight w:val="0"/>
      <w:marTop w:val="0"/>
      <w:marBottom w:val="0"/>
      <w:divBdr>
        <w:top w:val="none" w:sz="0" w:space="0" w:color="auto"/>
        <w:left w:val="none" w:sz="0" w:space="0" w:color="auto"/>
        <w:bottom w:val="none" w:sz="0" w:space="0" w:color="auto"/>
        <w:right w:val="none" w:sz="0" w:space="0" w:color="auto"/>
      </w:divBdr>
    </w:div>
    <w:div w:id="1558853235">
      <w:marLeft w:val="480"/>
      <w:marRight w:val="0"/>
      <w:marTop w:val="0"/>
      <w:marBottom w:val="0"/>
      <w:divBdr>
        <w:top w:val="none" w:sz="0" w:space="0" w:color="auto"/>
        <w:left w:val="none" w:sz="0" w:space="0" w:color="auto"/>
        <w:bottom w:val="none" w:sz="0" w:space="0" w:color="auto"/>
        <w:right w:val="none" w:sz="0" w:space="0" w:color="auto"/>
      </w:divBdr>
    </w:div>
    <w:div w:id="1565215370">
      <w:marLeft w:val="480"/>
      <w:marRight w:val="0"/>
      <w:marTop w:val="0"/>
      <w:marBottom w:val="0"/>
      <w:divBdr>
        <w:top w:val="none" w:sz="0" w:space="0" w:color="auto"/>
        <w:left w:val="none" w:sz="0" w:space="0" w:color="auto"/>
        <w:bottom w:val="none" w:sz="0" w:space="0" w:color="auto"/>
        <w:right w:val="none" w:sz="0" w:space="0" w:color="auto"/>
      </w:divBdr>
    </w:div>
    <w:div w:id="1570265383">
      <w:marLeft w:val="480"/>
      <w:marRight w:val="0"/>
      <w:marTop w:val="0"/>
      <w:marBottom w:val="0"/>
      <w:divBdr>
        <w:top w:val="none" w:sz="0" w:space="0" w:color="auto"/>
        <w:left w:val="none" w:sz="0" w:space="0" w:color="auto"/>
        <w:bottom w:val="none" w:sz="0" w:space="0" w:color="auto"/>
        <w:right w:val="none" w:sz="0" w:space="0" w:color="auto"/>
      </w:divBdr>
    </w:div>
    <w:div w:id="1577472971">
      <w:marLeft w:val="480"/>
      <w:marRight w:val="0"/>
      <w:marTop w:val="0"/>
      <w:marBottom w:val="0"/>
      <w:divBdr>
        <w:top w:val="none" w:sz="0" w:space="0" w:color="auto"/>
        <w:left w:val="none" w:sz="0" w:space="0" w:color="auto"/>
        <w:bottom w:val="none" w:sz="0" w:space="0" w:color="auto"/>
        <w:right w:val="none" w:sz="0" w:space="0" w:color="auto"/>
      </w:divBdr>
    </w:div>
    <w:div w:id="1580097577">
      <w:marLeft w:val="480"/>
      <w:marRight w:val="0"/>
      <w:marTop w:val="0"/>
      <w:marBottom w:val="0"/>
      <w:divBdr>
        <w:top w:val="none" w:sz="0" w:space="0" w:color="auto"/>
        <w:left w:val="none" w:sz="0" w:space="0" w:color="auto"/>
        <w:bottom w:val="none" w:sz="0" w:space="0" w:color="auto"/>
        <w:right w:val="none" w:sz="0" w:space="0" w:color="auto"/>
      </w:divBdr>
    </w:div>
    <w:div w:id="1589117491">
      <w:marLeft w:val="480"/>
      <w:marRight w:val="0"/>
      <w:marTop w:val="0"/>
      <w:marBottom w:val="0"/>
      <w:divBdr>
        <w:top w:val="none" w:sz="0" w:space="0" w:color="auto"/>
        <w:left w:val="none" w:sz="0" w:space="0" w:color="auto"/>
        <w:bottom w:val="none" w:sz="0" w:space="0" w:color="auto"/>
        <w:right w:val="none" w:sz="0" w:space="0" w:color="auto"/>
      </w:divBdr>
    </w:div>
    <w:div w:id="1596210906">
      <w:marLeft w:val="480"/>
      <w:marRight w:val="0"/>
      <w:marTop w:val="0"/>
      <w:marBottom w:val="0"/>
      <w:divBdr>
        <w:top w:val="none" w:sz="0" w:space="0" w:color="auto"/>
        <w:left w:val="none" w:sz="0" w:space="0" w:color="auto"/>
        <w:bottom w:val="none" w:sz="0" w:space="0" w:color="auto"/>
        <w:right w:val="none" w:sz="0" w:space="0" w:color="auto"/>
      </w:divBdr>
    </w:div>
    <w:div w:id="1602837841">
      <w:marLeft w:val="480"/>
      <w:marRight w:val="0"/>
      <w:marTop w:val="0"/>
      <w:marBottom w:val="0"/>
      <w:divBdr>
        <w:top w:val="none" w:sz="0" w:space="0" w:color="auto"/>
        <w:left w:val="none" w:sz="0" w:space="0" w:color="auto"/>
        <w:bottom w:val="none" w:sz="0" w:space="0" w:color="auto"/>
        <w:right w:val="none" w:sz="0" w:space="0" w:color="auto"/>
      </w:divBdr>
    </w:div>
    <w:div w:id="1603488437">
      <w:marLeft w:val="480"/>
      <w:marRight w:val="0"/>
      <w:marTop w:val="0"/>
      <w:marBottom w:val="0"/>
      <w:divBdr>
        <w:top w:val="none" w:sz="0" w:space="0" w:color="auto"/>
        <w:left w:val="none" w:sz="0" w:space="0" w:color="auto"/>
        <w:bottom w:val="none" w:sz="0" w:space="0" w:color="auto"/>
        <w:right w:val="none" w:sz="0" w:space="0" w:color="auto"/>
      </w:divBdr>
    </w:div>
    <w:div w:id="1604025877">
      <w:marLeft w:val="480"/>
      <w:marRight w:val="0"/>
      <w:marTop w:val="0"/>
      <w:marBottom w:val="0"/>
      <w:divBdr>
        <w:top w:val="none" w:sz="0" w:space="0" w:color="auto"/>
        <w:left w:val="none" w:sz="0" w:space="0" w:color="auto"/>
        <w:bottom w:val="none" w:sz="0" w:space="0" w:color="auto"/>
        <w:right w:val="none" w:sz="0" w:space="0" w:color="auto"/>
      </w:divBdr>
    </w:div>
    <w:div w:id="1607693023">
      <w:marLeft w:val="480"/>
      <w:marRight w:val="0"/>
      <w:marTop w:val="0"/>
      <w:marBottom w:val="0"/>
      <w:divBdr>
        <w:top w:val="none" w:sz="0" w:space="0" w:color="auto"/>
        <w:left w:val="none" w:sz="0" w:space="0" w:color="auto"/>
        <w:bottom w:val="none" w:sz="0" w:space="0" w:color="auto"/>
        <w:right w:val="none" w:sz="0" w:space="0" w:color="auto"/>
      </w:divBdr>
    </w:div>
    <w:div w:id="1608152169">
      <w:marLeft w:val="480"/>
      <w:marRight w:val="0"/>
      <w:marTop w:val="0"/>
      <w:marBottom w:val="0"/>
      <w:divBdr>
        <w:top w:val="none" w:sz="0" w:space="0" w:color="auto"/>
        <w:left w:val="none" w:sz="0" w:space="0" w:color="auto"/>
        <w:bottom w:val="none" w:sz="0" w:space="0" w:color="auto"/>
        <w:right w:val="none" w:sz="0" w:space="0" w:color="auto"/>
      </w:divBdr>
    </w:div>
    <w:div w:id="1615287998">
      <w:marLeft w:val="480"/>
      <w:marRight w:val="0"/>
      <w:marTop w:val="0"/>
      <w:marBottom w:val="0"/>
      <w:divBdr>
        <w:top w:val="none" w:sz="0" w:space="0" w:color="auto"/>
        <w:left w:val="none" w:sz="0" w:space="0" w:color="auto"/>
        <w:bottom w:val="none" w:sz="0" w:space="0" w:color="auto"/>
        <w:right w:val="none" w:sz="0" w:space="0" w:color="auto"/>
      </w:divBdr>
    </w:div>
    <w:div w:id="1615598972">
      <w:marLeft w:val="480"/>
      <w:marRight w:val="0"/>
      <w:marTop w:val="0"/>
      <w:marBottom w:val="0"/>
      <w:divBdr>
        <w:top w:val="none" w:sz="0" w:space="0" w:color="auto"/>
        <w:left w:val="none" w:sz="0" w:space="0" w:color="auto"/>
        <w:bottom w:val="none" w:sz="0" w:space="0" w:color="auto"/>
        <w:right w:val="none" w:sz="0" w:space="0" w:color="auto"/>
      </w:divBdr>
    </w:div>
    <w:div w:id="1616062536">
      <w:marLeft w:val="480"/>
      <w:marRight w:val="0"/>
      <w:marTop w:val="0"/>
      <w:marBottom w:val="0"/>
      <w:divBdr>
        <w:top w:val="none" w:sz="0" w:space="0" w:color="auto"/>
        <w:left w:val="none" w:sz="0" w:space="0" w:color="auto"/>
        <w:bottom w:val="none" w:sz="0" w:space="0" w:color="auto"/>
        <w:right w:val="none" w:sz="0" w:space="0" w:color="auto"/>
      </w:divBdr>
    </w:div>
    <w:div w:id="1624143708">
      <w:marLeft w:val="480"/>
      <w:marRight w:val="0"/>
      <w:marTop w:val="0"/>
      <w:marBottom w:val="0"/>
      <w:divBdr>
        <w:top w:val="none" w:sz="0" w:space="0" w:color="auto"/>
        <w:left w:val="none" w:sz="0" w:space="0" w:color="auto"/>
        <w:bottom w:val="none" w:sz="0" w:space="0" w:color="auto"/>
        <w:right w:val="none" w:sz="0" w:space="0" w:color="auto"/>
      </w:divBdr>
    </w:div>
    <w:div w:id="1627392097">
      <w:marLeft w:val="480"/>
      <w:marRight w:val="0"/>
      <w:marTop w:val="0"/>
      <w:marBottom w:val="0"/>
      <w:divBdr>
        <w:top w:val="none" w:sz="0" w:space="0" w:color="auto"/>
        <w:left w:val="none" w:sz="0" w:space="0" w:color="auto"/>
        <w:bottom w:val="none" w:sz="0" w:space="0" w:color="auto"/>
        <w:right w:val="none" w:sz="0" w:space="0" w:color="auto"/>
      </w:divBdr>
    </w:div>
    <w:div w:id="1628047277">
      <w:marLeft w:val="480"/>
      <w:marRight w:val="0"/>
      <w:marTop w:val="0"/>
      <w:marBottom w:val="0"/>
      <w:divBdr>
        <w:top w:val="none" w:sz="0" w:space="0" w:color="auto"/>
        <w:left w:val="none" w:sz="0" w:space="0" w:color="auto"/>
        <w:bottom w:val="none" w:sz="0" w:space="0" w:color="auto"/>
        <w:right w:val="none" w:sz="0" w:space="0" w:color="auto"/>
      </w:divBdr>
    </w:div>
    <w:div w:id="1628273004">
      <w:marLeft w:val="480"/>
      <w:marRight w:val="0"/>
      <w:marTop w:val="0"/>
      <w:marBottom w:val="0"/>
      <w:divBdr>
        <w:top w:val="none" w:sz="0" w:space="0" w:color="auto"/>
        <w:left w:val="none" w:sz="0" w:space="0" w:color="auto"/>
        <w:bottom w:val="none" w:sz="0" w:space="0" w:color="auto"/>
        <w:right w:val="none" w:sz="0" w:space="0" w:color="auto"/>
      </w:divBdr>
    </w:div>
    <w:div w:id="1632709078">
      <w:marLeft w:val="480"/>
      <w:marRight w:val="0"/>
      <w:marTop w:val="0"/>
      <w:marBottom w:val="0"/>
      <w:divBdr>
        <w:top w:val="none" w:sz="0" w:space="0" w:color="auto"/>
        <w:left w:val="none" w:sz="0" w:space="0" w:color="auto"/>
        <w:bottom w:val="none" w:sz="0" w:space="0" w:color="auto"/>
        <w:right w:val="none" w:sz="0" w:space="0" w:color="auto"/>
      </w:divBdr>
    </w:div>
    <w:div w:id="1633705192">
      <w:marLeft w:val="480"/>
      <w:marRight w:val="0"/>
      <w:marTop w:val="0"/>
      <w:marBottom w:val="0"/>
      <w:divBdr>
        <w:top w:val="none" w:sz="0" w:space="0" w:color="auto"/>
        <w:left w:val="none" w:sz="0" w:space="0" w:color="auto"/>
        <w:bottom w:val="none" w:sz="0" w:space="0" w:color="auto"/>
        <w:right w:val="none" w:sz="0" w:space="0" w:color="auto"/>
      </w:divBdr>
    </w:div>
    <w:div w:id="1634481360">
      <w:marLeft w:val="480"/>
      <w:marRight w:val="0"/>
      <w:marTop w:val="0"/>
      <w:marBottom w:val="0"/>
      <w:divBdr>
        <w:top w:val="none" w:sz="0" w:space="0" w:color="auto"/>
        <w:left w:val="none" w:sz="0" w:space="0" w:color="auto"/>
        <w:bottom w:val="none" w:sz="0" w:space="0" w:color="auto"/>
        <w:right w:val="none" w:sz="0" w:space="0" w:color="auto"/>
      </w:divBdr>
    </w:div>
    <w:div w:id="1635525228">
      <w:marLeft w:val="480"/>
      <w:marRight w:val="0"/>
      <w:marTop w:val="0"/>
      <w:marBottom w:val="0"/>
      <w:divBdr>
        <w:top w:val="none" w:sz="0" w:space="0" w:color="auto"/>
        <w:left w:val="none" w:sz="0" w:space="0" w:color="auto"/>
        <w:bottom w:val="none" w:sz="0" w:space="0" w:color="auto"/>
        <w:right w:val="none" w:sz="0" w:space="0" w:color="auto"/>
      </w:divBdr>
    </w:div>
    <w:div w:id="1636450578">
      <w:marLeft w:val="480"/>
      <w:marRight w:val="0"/>
      <w:marTop w:val="0"/>
      <w:marBottom w:val="0"/>
      <w:divBdr>
        <w:top w:val="none" w:sz="0" w:space="0" w:color="auto"/>
        <w:left w:val="none" w:sz="0" w:space="0" w:color="auto"/>
        <w:bottom w:val="none" w:sz="0" w:space="0" w:color="auto"/>
        <w:right w:val="none" w:sz="0" w:space="0" w:color="auto"/>
      </w:divBdr>
    </w:div>
    <w:div w:id="1640379167">
      <w:marLeft w:val="480"/>
      <w:marRight w:val="0"/>
      <w:marTop w:val="0"/>
      <w:marBottom w:val="0"/>
      <w:divBdr>
        <w:top w:val="none" w:sz="0" w:space="0" w:color="auto"/>
        <w:left w:val="none" w:sz="0" w:space="0" w:color="auto"/>
        <w:bottom w:val="none" w:sz="0" w:space="0" w:color="auto"/>
        <w:right w:val="none" w:sz="0" w:space="0" w:color="auto"/>
      </w:divBdr>
    </w:div>
    <w:div w:id="1643389150">
      <w:marLeft w:val="480"/>
      <w:marRight w:val="0"/>
      <w:marTop w:val="0"/>
      <w:marBottom w:val="0"/>
      <w:divBdr>
        <w:top w:val="none" w:sz="0" w:space="0" w:color="auto"/>
        <w:left w:val="none" w:sz="0" w:space="0" w:color="auto"/>
        <w:bottom w:val="none" w:sz="0" w:space="0" w:color="auto"/>
        <w:right w:val="none" w:sz="0" w:space="0" w:color="auto"/>
      </w:divBdr>
    </w:div>
    <w:div w:id="1649430801">
      <w:marLeft w:val="480"/>
      <w:marRight w:val="0"/>
      <w:marTop w:val="0"/>
      <w:marBottom w:val="0"/>
      <w:divBdr>
        <w:top w:val="none" w:sz="0" w:space="0" w:color="auto"/>
        <w:left w:val="none" w:sz="0" w:space="0" w:color="auto"/>
        <w:bottom w:val="none" w:sz="0" w:space="0" w:color="auto"/>
        <w:right w:val="none" w:sz="0" w:space="0" w:color="auto"/>
      </w:divBdr>
    </w:div>
    <w:div w:id="1657757924">
      <w:marLeft w:val="480"/>
      <w:marRight w:val="0"/>
      <w:marTop w:val="0"/>
      <w:marBottom w:val="0"/>
      <w:divBdr>
        <w:top w:val="none" w:sz="0" w:space="0" w:color="auto"/>
        <w:left w:val="none" w:sz="0" w:space="0" w:color="auto"/>
        <w:bottom w:val="none" w:sz="0" w:space="0" w:color="auto"/>
        <w:right w:val="none" w:sz="0" w:space="0" w:color="auto"/>
      </w:divBdr>
    </w:div>
    <w:div w:id="1663778897">
      <w:marLeft w:val="480"/>
      <w:marRight w:val="0"/>
      <w:marTop w:val="0"/>
      <w:marBottom w:val="0"/>
      <w:divBdr>
        <w:top w:val="none" w:sz="0" w:space="0" w:color="auto"/>
        <w:left w:val="none" w:sz="0" w:space="0" w:color="auto"/>
        <w:bottom w:val="none" w:sz="0" w:space="0" w:color="auto"/>
        <w:right w:val="none" w:sz="0" w:space="0" w:color="auto"/>
      </w:divBdr>
    </w:div>
    <w:div w:id="1665083814">
      <w:marLeft w:val="480"/>
      <w:marRight w:val="0"/>
      <w:marTop w:val="0"/>
      <w:marBottom w:val="0"/>
      <w:divBdr>
        <w:top w:val="none" w:sz="0" w:space="0" w:color="auto"/>
        <w:left w:val="none" w:sz="0" w:space="0" w:color="auto"/>
        <w:bottom w:val="none" w:sz="0" w:space="0" w:color="auto"/>
        <w:right w:val="none" w:sz="0" w:space="0" w:color="auto"/>
      </w:divBdr>
    </w:div>
    <w:div w:id="1668089315">
      <w:marLeft w:val="480"/>
      <w:marRight w:val="0"/>
      <w:marTop w:val="0"/>
      <w:marBottom w:val="0"/>
      <w:divBdr>
        <w:top w:val="none" w:sz="0" w:space="0" w:color="auto"/>
        <w:left w:val="none" w:sz="0" w:space="0" w:color="auto"/>
        <w:bottom w:val="none" w:sz="0" w:space="0" w:color="auto"/>
        <w:right w:val="none" w:sz="0" w:space="0" w:color="auto"/>
      </w:divBdr>
    </w:div>
    <w:div w:id="1668090541">
      <w:marLeft w:val="480"/>
      <w:marRight w:val="0"/>
      <w:marTop w:val="0"/>
      <w:marBottom w:val="0"/>
      <w:divBdr>
        <w:top w:val="none" w:sz="0" w:space="0" w:color="auto"/>
        <w:left w:val="none" w:sz="0" w:space="0" w:color="auto"/>
        <w:bottom w:val="none" w:sz="0" w:space="0" w:color="auto"/>
        <w:right w:val="none" w:sz="0" w:space="0" w:color="auto"/>
      </w:divBdr>
    </w:div>
    <w:div w:id="1670408835">
      <w:marLeft w:val="480"/>
      <w:marRight w:val="0"/>
      <w:marTop w:val="0"/>
      <w:marBottom w:val="0"/>
      <w:divBdr>
        <w:top w:val="none" w:sz="0" w:space="0" w:color="auto"/>
        <w:left w:val="none" w:sz="0" w:space="0" w:color="auto"/>
        <w:bottom w:val="none" w:sz="0" w:space="0" w:color="auto"/>
        <w:right w:val="none" w:sz="0" w:space="0" w:color="auto"/>
      </w:divBdr>
    </w:div>
    <w:div w:id="1672180310">
      <w:marLeft w:val="480"/>
      <w:marRight w:val="0"/>
      <w:marTop w:val="0"/>
      <w:marBottom w:val="0"/>
      <w:divBdr>
        <w:top w:val="none" w:sz="0" w:space="0" w:color="auto"/>
        <w:left w:val="none" w:sz="0" w:space="0" w:color="auto"/>
        <w:bottom w:val="none" w:sz="0" w:space="0" w:color="auto"/>
        <w:right w:val="none" w:sz="0" w:space="0" w:color="auto"/>
      </w:divBdr>
    </w:div>
    <w:div w:id="1672948018">
      <w:marLeft w:val="480"/>
      <w:marRight w:val="0"/>
      <w:marTop w:val="0"/>
      <w:marBottom w:val="0"/>
      <w:divBdr>
        <w:top w:val="none" w:sz="0" w:space="0" w:color="auto"/>
        <w:left w:val="none" w:sz="0" w:space="0" w:color="auto"/>
        <w:bottom w:val="none" w:sz="0" w:space="0" w:color="auto"/>
        <w:right w:val="none" w:sz="0" w:space="0" w:color="auto"/>
      </w:divBdr>
    </w:div>
    <w:div w:id="1673026372">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6983">
      <w:marLeft w:val="480"/>
      <w:marRight w:val="0"/>
      <w:marTop w:val="0"/>
      <w:marBottom w:val="0"/>
      <w:divBdr>
        <w:top w:val="none" w:sz="0" w:space="0" w:color="auto"/>
        <w:left w:val="none" w:sz="0" w:space="0" w:color="auto"/>
        <w:bottom w:val="none" w:sz="0" w:space="0" w:color="auto"/>
        <w:right w:val="none" w:sz="0" w:space="0" w:color="auto"/>
      </w:divBdr>
    </w:div>
    <w:div w:id="1695570580">
      <w:marLeft w:val="480"/>
      <w:marRight w:val="0"/>
      <w:marTop w:val="0"/>
      <w:marBottom w:val="0"/>
      <w:divBdr>
        <w:top w:val="none" w:sz="0" w:space="0" w:color="auto"/>
        <w:left w:val="none" w:sz="0" w:space="0" w:color="auto"/>
        <w:bottom w:val="none" w:sz="0" w:space="0" w:color="auto"/>
        <w:right w:val="none" w:sz="0" w:space="0" w:color="auto"/>
      </w:divBdr>
    </w:div>
    <w:div w:id="1703823242">
      <w:marLeft w:val="480"/>
      <w:marRight w:val="0"/>
      <w:marTop w:val="0"/>
      <w:marBottom w:val="0"/>
      <w:divBdr>
        <w:top w:val="none" w:sz="0" w:space="0" w:color="auto"/>
        <w:left w:val="none" w:sz="0" w:space="0" w:color="auto"/>
        <w:bottom w:val="none" w:sz="0" w:space="0" w:color="auto"/>
        <w:right w:val="none" w:sz="0" w:space="0" w:color="auto"/>
      </w:divBdr>
    </w:div>
    <w:div w:id="1719624181">
      <w:marLeft w:val="480"/>
      <w:marRight w:val="0"/>
      <w:marTop w:val="0"/>
      <w:marBottom w:val="0"/>
      <w:divBdr>
        <w:top w:val="none" w:sz="0" w:space="0" w:color="auto"/>
        <w:left w:val="none" w:sz="0" w:space="0" w:color="auto"/>
        <w:bottom w:val="none" w:sz="0" w:space="0" w:color="auto"/>
        <w:right w:val="none" w:sz="0" w:space="0" w:color="auto"/>
      </w:divBdr>
    </w:div>
    <w:div w:id="1723601313">
      <w:marLeft w:val="480"/>
      <w:marRight w:val="0"/>
      <w:marTop w:val="0"/>
      <w:marBottom w:val="0"/>
      <w:divBdr>
        <w:top w:val="none" w:sz="0" w:space="0" w:color="auto"/>
        <w:left w:val="none" w:sz="0" w:space="0" w:color="auto"/>
        <w:bottom w:val="none" w:sz="0" w:space="0" w:color="auto"/>
        <w:right w:val="none" w:sz="0" w:space="0" w:color="auto"/>
      </w:divBdr>
    </w:div>
    <w:div w:id="1724479919">
      <w:marLeft w:val="480"/>
      <w:marRight w:val="0"/>
      <w:marTop w:val="0"/>
      <w:marBottom w:val="0"/>
      <w:divBdr>
        <w:top w:val="none" w:sz="0" w:space="0" w:color="auto"/>
        <w:left w:val="none" w:sz="0" w:space="0" w:color="auto"/>
        <w:bottom w:val="none" w:sz="0" w:space="0" w:color="auto"/>
        <w:right w:val="none" w:sz="0" w:space="0" w:color="auto"/>
      </w:divBdr>
    </w:div>
    <w:div w:id="1724595587">
      <w:marLeft w:val="480"/>
      <w:marRight w:val="0"/>
      <w:marTop w:val="0"/>
      <w:marBottom w:val="0"/>
      <w:divBdr>
        <w:top w:val="none" w:sz="0" w:space="0" w:color="auto"/>
        <w:left w:val="none" w:sz="0" w:space="0" w:color="auto"/>
        <w:bottom w:val="none" w:sz="0" w:space="0" w:color="auto"/>
        <w:right w:val="none" w:sz="0" w:space="0" w:color="auto"/>
      </w:divBdr>
    </w:div>
    <w:div w:id="1726564274">
      <w:marLeft w:val="480"/>
      <w:marRight w:val="0"/>
      <w:marTop w:val="0"/>
      <w:marBottom w:val="0"/>
      <w:divBdr>
        <w:top w:val="none" w:sz="0" w:space="0" w:color="auto"/>
        <w:left w:val="none" w:sz="0" w:space="0" w:color="auto"/>
        <w:bottom w:val="none" w:sz="0" w:space="0" w:color="auto"/>
        <w:right w:val="none" w:sz="0" w:space="0" w:color="auto"/>
      </w:divBdr>
    </w:div>
    <w:div w:id="1726683178">
      <w:marLeft w:val="480"/>
      <w:marRight w:val="0"/>
      <w:marTop w:val="0"/>
      <w:marBottom w:val="0"/>
      <w:divBdr>
        <w:top w:val="none" w:sz="0" w:space="0" w:color="auto"/>
        <w:left w:val="none" w:sz="0" w:space="0" w:color="auto"/>
        <w:bottom w:val="none" w:sz="0" w:space="0" w:color="auto"/>
        <w:right w:val="none" w:sz="0" w:space="0" w:color="auto"/>
      </w:divBdr>
    </w:div>
    <w:div w:id="1729842263">
      <w:marLeft w:val="480"/>
      <w:marRight w:val="0"/>
      <w:marTop w:val="0"/>
      <w:marBottom w:val="0"/>
      <w:divBdr>
        <w:top w:val="none" w:sz="0" w:space="0" w:color="auto"/>
        <w:left w:val="none" w:sz="0" w:space="0" w:color="auto"/>
        <w:bottom w:val="none" w:sz="0" w:space="0" w:color="auto"/>
        <w:right w:val="none" w:sz="0" w:space="0" w:color="auto"/>
      </w:divBdr>
    </w:div>
    <w:div w:id="1733775654">
      <w:marLeft w:val="480"/>
      <w:marRight w:val="0"/>
      <w:marTop w:val="0"/>
      <w:marBottom w:val="0"/>
      <w:divBdr>
        <w:top w:val="none" w:sz="0" w:space="0" w:color="auto"/>
        <w:left w:val="none" w:sz="0" w:space="0" w:color="auto"/>
        <w:bottom w:val="none" w:sz="0" w:space="0" w:color="auto"/>
        <w:right w:val="none" w:sz="0" w:space="0" w:color="auto"/>
      </w:divBdr>
    </w:div>
    <w:div w:id="1734960390">
      <w:marLeft w:val="480"/>
      <w:marRight w:val="0"/>
      <w:marTop w:val="0"/>
      <w:marBottom w:val="0"/>
      <w:divBdr>
        <w:top w:val="none" w:sz="0" w:space="0" w:color="auto"/>
        <w:left w:val="none" w:sz="0" w:space="0" w:color="auto"/>
        <w:bottom w:val="none" w:sz="0" w:space="0" w:color="auto"/>
        <w:right w:val="none" w:sz="0" w:space="0" w:color="auto"/>
      </w:divBdr>
    </w:div>
    <w:div w:id="1735421516">
      <w:marLeft w:val="480"/>
      <w:marRight w:val="0"/>
      <w:marTop w:val="0"/>
      <w:marBottom w:val="0"/>
      <w:divBdr>
        <w:top w:val="none" w:sz="0" w:space="0" w:color="auto"/>
        <w:left w:val="none" w:sz="0" w:space="0" w:color="auto"/>
        <w:bottom w:val="none" w:sz="0" w:space="0" w:color="auto"/>
        <w:right w:val="none" w:sz="0" w:space="0" w:color="auto"/>
      </w:divBdr>
    </w:div>
    <w:div w:id="1736783814">
      <w:marLeft w:val="480"/>
      <w:marRight w:val="0"/>
      <w:marTop w:val="0"/>
      <w:marBottom w:val="0"/>
      <w:divBdr>
        <w:top w:val="none" w:sz="0" w:space="0" w:color="auto"/>
        <w:left w:val="none" w:sz="0" w:space="0" w:color="auto"/>
        <w:bottom w:val="none" w:sz="0" w:space="0" w:color="auto"/>
        <w:right w:val="none" w:sz="0" w:space="0" w:color="auto"/>
      </w:divBdr>
    </w:div>
    <w:div w:id="1736933150">
      <w:marLeft w:val="480"/>
      <w:marRight w:val="0"/>
      <w:marTop w:val="0"/>
      <w:marBottom w:val="0"/>
      <w:divBdr>
        <w:top w:val="none" w:sz="0" w:space="0" w:color="auto"/>
        <w:left w:val="none" w:sz="0" w:space="0" w:color="auto"/>
        <w:bottom w:val="none" w:sz="0" w:space="0" w:color="auto"/>
        <w:right w:val="none" w:sz="0" w:space="0" w:color="auto"/>
      </w:divBdr>
    </w:div>
    <w:div w:id="1737320865">
      <w:marLeft w:val="480"/>
      <w:marRight w:val="0"/>
      <w:marTop w:val="0"/>
      <w:marBottom w:val="0"/>
      <w:divBdr>
        <w:top w:val="none" w:sz="0" w:space="0" w:color="auto"/>
        <w:left w:val="none" w:sz="0" w:space="0" w:color="auto"/>
        <w:bottom w:val="none" w:sz="0" w:space="0" w:color="auto"/>
        <w:right w:val="none" w:sz="0" w:space="0" w:color="auto"/>
      </w:divBdr>
    </w:div>
    <w:div w:id="1737707087">
      <w:marLeft w:val="480"/>
      <w:marRight w:val="0"/>
      <w:marTop w:val="0"/>
      <w:marBottom w:val="0"/>
      <w:divBdr>
        <w:top w:val="none" w:sz="0" w:space="0" w:color="auto"/>
        <w:left w:val="none" w:sz="0" w:space="0" w:color="auto"/>
        <w:bottom w:val="none" w:sz="0" w:space="0" w:color="auto"/>
        <w:right w:val="none" w:sz="0" w:space="0" w:color="auto"/>
      </w:divBdr>
    </w:div>
    <w:div w:id="1741756883">
      <w:marLeft w:val="480"/>
      <w:marRight w:val="0"/>
      <w:marTop w:val="0"/>
      <w:marBottom w:val="0"/>
      <w:divBdr>
        <w:top w:val="none" w:sz="0" w:space="0" w:color="auto"/>
        <w:left w:val="none" w:sz="0" w:space="0" w:color="auto"/>
        <w:bottom w:val="none" w:sz="0" w:space="0" w:color="auto"/>
        <w:right w:val="none" w:sz="0" w:space="0" w:color="auto"/>
      </w:divBdr>
    </w:div>
    <w:div w:id="1746149161">
      <w:marLeft w:val="480"/>
      <w:marRight w:val="0"/>
      <w:marTop w:val="0"/>
      <w:marBottom w:val="0"/>
      <w:divBdr>
        <w:top w:val="none" w:sz="0" w:space="0" w:color="auto"/>
        <w:left w:val="none" w:sz="0" w:space="0" w:color="auto"/>
        <w:bottom w:val="none" w:sz="0" w:space="0" w:color="auto"/>
        <w:right w:val="none" w:sz="0" w:space="0" w:color="auto"/>
      </w:divBdr>
    </w:div>
    <w:div w:id="1752972715">
      <w:marLeft w:val="480"/>
      <w:marRight w:val="0"/>
      <w:marTop w:val="0"/>
      <w:marBottom w:val="0"/>
      <w:divBdr>
        <w:top w:val="none" w:sz="0" w:space="0" w:color="auto"/>
        <w:left w:val="none" w:sz="0" w:space="0" w:color="auto"/>
        <w:bottom w:val="none" w:sz="0" w:space="0" w:color="auto"/>
        <w:right w:val="none" w:sz="0" w:space="0" w:color="auto"/>
      </w:divBdr>
    </w:div>
    <w:div w:id="1756510994">
      <w:marLeft w:val="480"/>
      <w:marRight w:val="0"/>
      <w:marTop w:val="0"/>
      <w:marBottom w:val="0"/>
      <w:divBdr>
        <w:top w:val="none" w:sz="0" w:space="0" w:color="auto"/>
        <w:left w:val="none" w:sz="0" w:space="0" w:color="auto"/>
        <w:bottom w:val="none" w:sz="0" w:space="0" w:color="auto"/>
        <w:right w:val="none" w:sz="0" w:space="0" w:color="auto"/>
      </w:divBdr>
    </w:div>
    <w:div w:id="1757096111">
      <w:marLeft w:val="480"/>
      <w:marRight w:val="0"/>
      <w:marTop w:val="0"/>
      <w:marBottom w:val="0"/>
      <w:divBdr>
        <w:top w:val="none" w:sz="0" w:space="0" w:color="auto"/>
        <w:left w:val="none" w:sz="0" w:space="0" w:color="auto"/>
        <w:bottom w:val="none" w:sz="0" w:space="0" w:color="auto"/>
        <w:right w:val="none" w:sz="0" w:space="0" w:color="auto"/>
      </w:divBdr>
    </w:div>
    <w:div w:id="1759398027">
      <w:marLeft w:val="480"/>
      <w:marRight w:val="0"/>
      <w:marTop w:val="0"/>
      <w:marBottom w:val="0"/>
      <w:divBdr>
        <w:top w:val="none" w:sz="0" w:space="0" w:color="auto"/>
        <w:left w:val="none" w:sz="0" w:space="0" w:color="auto"/>
        <w:bottom w:val="none" w:sz="0" w:space="0" w:color="auto"/>
        <w:right w:val="none" w:sz="0" w:space="0" w:color="auto"/>
      </w:divBdr>
    </w:div>
    <w:div w:id="1764106571">
      <w:marLeft w:val="480"/>
      <w:marRight w:val="0"/>
      <w:marTop w:val="0"/>
      <w:marBottom w:val="0"/>
      <w:divBdr>
        <w:top w:val="none" w:sz="0" w:space="0" w:color="auto"/>
        <w:left w:val="none" w:sz="0" w:space="0" w:color="auto"/>
        <w:bottom w:val="none" w:sz="0" w:space="0" w:color="auto"/>
        <w:right w:val="none" w:sz="0" w:space="0" w:color="auto"/>
      </w:divBdr>
    </w:div>
    <w:div w:id="1764303624">
      <w:marLeft w:val="480"/>
      <w:marRight w:val="0"/>
      <w:marTop w:val="0"/>
      <w:marBottom w:val="0"/>
      <w:divBdr>
        <w:top w:val="none" w:sz="0" w:space="0" w:color="auto"/>
        <w:left w:val="none" w:sz="0" w:space="0" w:color="auto"/>
        <w:bottom w:val="none" w:sz="0" w:space="0" w:color="auto"/>
        <w:right w:val="none" w:sz="0" w:space="0" w:color="auto"/>
      </w:divBdr>
    </w:div>
    <w:div w:id="1765956314">
      <w:marLeft w:val="480"/>
      <w:marRight w:val="0"/>
      <w:marTop w:val="0"/>
      <w:marBottom w:val="0"/>
      <w:divBdr>
        <w:top w:val="none" w:sz="0" w:space="0" w:color="auto"/>
        <w:left w:val="none" w:sz="0" w:space="0" w:color="auto"/>
        <w:bottom w:val="none" w:sz="0" w:space="0" w:color="auto"/>
        <w:right w:val="none" w:sz="0" w:space="0" w:color="auto"/>
      </w:divBdr>
    </w:div>
    <w:div w:id="1766805664">
      <w:marLeft w:val="480"/>
      <w:marRight w:val="0"/>
      <w:marTop w:val="0"/>
      <w:marBottom w:val="0"/>
      <w:divBdr>
        <w:top w:val="none" w:sz="0" w:space="0" w:color="auto"/>
        <w:left w:val="none" w:sz="0" w:space="0" w:color="auto"/>
        <w:bottom w:val="none" w:sz="0" w:space="0" w:color="auto"/>
        <w:right w:val="none" w:sz="0" w:space="0" w:color="auto"/>
      </w:divBdr>
    </w:div>
    <w:div w:id="1768958092">
      <w:marLeft w:val="480"/>
      <w:marRight w:val="0"/>
      <w:marTop w:val="0"/>
      <w:marBottom w:val="0"/>
      <w:divBdr>
        <w:top w:val="none" w:sz="0" w:space="0" w:color="auto"/>
        <w:left w:val="none" w:sz="0" w:space="0" w:color="auto"/>
        <w:bottom w:val="none" w:sz="0" w:space="0" w:color="auto"/>
        <w:right w:val="none" w:sz="0" w:space="0" w:color="auto"/>
      </w:divBdr>
    </w:div>
    <w:div w:id="1771006826">
      <w:marLeft w:val="480"/>
      <w:marRight w:val="0"/>
      <w:marTop w:val="0"/>
      <w:marBottom w:val="0"/>
      <w:divBdr>
        <w:top w:val="none" w:sz="0" w:space="0" w:color="auto"/>
        <w:left w:val="none" w:sz="0" w:space="0" w:color="auto"/>
        <w:bottom w:val="none" w:sz="0" w:space="0" w:color="auto"/>
        <w:right w:val="none" w:sz="0" w:space="0" w:color="auto"/>
      </w:divBdr>
    </w:div>
    <w:div w:id="1782529171">
      <w:marLeft w:val="480"/>
      <w:marRight w:val="0"/>
      <w:marTop w:val="0"/>
      <w:marBottom w:val="0"/>
      <w:divBdr>
        <w:top w:val="none" w:sz="0" w:space="0" w:color="auto"/>
        <w:left w:val="none" w:sz="0" w:space="0" w:color="auto"/>
        <w:bottom w:val="none" w:sz="0" w:space="0" w:color="auto"/>
        <w:right w:val="none" w:sz="0" w:space="0" w:color="auto"/>
      </w:divBdr>
    </w:div>
    <w:div w:id="1785809708">
      <w:marLeft w:val="480"/>
      <w:marRight w:val="0"/>
      <w:marTop w:val="0"/>
      <w:marBottom w:val="0"/>
      <w:divBdr>
        <w:top w:val="none" w:sz="0" w:space="0" w:color="auto"/>
        <w:left w:val="none" w:sz="0" w:space="0" w:color="auto"/>
        <w:bottom w:val="none" w:sz="0" w:space="0" w:color="auto"/>
        <w:right w:val="none" w:sz="0" w:space="0" w:color="auto"/>
      </w:divBdr>
    </w:div>
    <w:div w:id="1789817280">
      <w:marLeft w:val="480"/>
      <w:marRight w:val="0"/>
      <w:marTop w:val="0"/>
      <w:marBottom w:val="0"/>
      <w:divBdr>
        <w:top w:val="none" w:sz="0" w:space="0" w:color="auto"/>
        <w:left w:val="none" w:sz="0" w:space="0" w:color="auto"/>
        <w:bottom w:val="none" w:sz="0" w:space="0" w:color="auto"/>
        <w:right w:val="none" w:sz="0" w:space="0" w:color="auto"/>
      </w:divBdr>
    </w:div>
    <w:div w:id="1790278802">
      <w:marLeft w:val="480"/>
      <w:marRight w:val="0"/>
      <w:marTop w:val="0"/>
      <w:marBottom w:val="0"/>
      <w:divBdr>
        <w:top w:val="none" w:sz="0" w:space="0" w:color="auto"/>
        <w:left w:val="none" w:sz="0" w:space="0" w:color="auto"/>
        <w:bottom w:val="none" w:sz="0" w:space="0" w:color="auto"/>
        <w:right w:val="none" w:sz="0" w:space="0" w:color="auto"/>
      </w:divBdr>
    </w:div>
    <w:div w:id="1794012393">
      <w:marLeft w:val="480"/>
      <w:marRight w:val="0"/>
      <w:marTop w:val="0"/>
      <w:marBottom w:val="0"/>
      <w:divBdr>
        <w:top w:val="none" w:sz="0" w:space="0" w:color="auto"/>
        <w:left w:val="none" w:sz="0" w:space="0" w:color="auto"/>
        <w:bottom w:val="none" w:sz="0" w:space="0" w:color="auto"/>
        <w:right w:val="none" w:sz="0" w:space="0" w:color="auto"/>
      </w:divBdr>
    </w:div>
    <w:div w:id="1795438653">
      <w:marLeft w:val="480"/>
      <w:marRight w:val="0"/>
      <w:marTop w:val="0"/>
      <w:marBottom w:val="0"/>
      <w:divBdr>
        <w:top w:val="none" w:sz="0" w:space="0" w:color="auto"/>
        <w:left w:val="none" w:sz="0" w:space="0" w:color="auto"/>
        <w:bottom w:val="none" w:sz="0" w:space="0" w:color="auto"/>
        <w:right w:val="none" w:sz="0" w:space="0" w:color="auto"/>
      </w:divBdr>
    </w:div>
    <w:div w:id="1797868070">
      <w:marLeft w:val="480"/>
      <w:marRight w:val="0"/>
      <w:marTop w:val="0"/>
      <w:marBottom w:val="0"/>
      <w:divBdr>
        <w:top w:val="none" w:sz="0" w:space="0" w:color="auto"/>
        <w:left w:val="none" w:sz="0" w:space="0" w:color="auto"/>
        <w:bottom w:val="none" w:sz="0" w:space="0" w:color="auto"/>
        <w:right w:val="none" w:sz="0" w:space="0" w:color="auto"/>
      </w:divBdr>
    </w:div>
    <w:div w:id="1798647595">
      <w:marLeft w:val="480"/>
      <w:marRight w:val="0"/>
      <w:marTop w:val="0"/>
      <w:marBottom w:val="0"/>
      <w:divBdr>
        <w:top w:val="none" w:sz="0" w:space="0" w:color="auto"/>
        <w:left w:val="none" w:sz="0" w:space="0" w:color="auto"/>
        <w:bottom w:val="none" w:sz="0" w:space="0" w:color="auto"/>
        <w:right w:val="none" w:sz="0" w:space="0" w:color="auto"/>
      </w:divBdr>
    </w:div>
    <w:div w:id="1803620925">
      <w:marLeft w:val="480"/>
      <w:marRight w:val="0"/>
      <w:marTop w:val="0"/>
      <w:marBottom w:val="0"/>
      <w:divBdr>
        <w:top w:val="none" w:sz="0" w:space="0" w:color="auto"/>
        <w:left w:val="none" w:sz="0" w:space="0" w:color="auto"/>
        <w:bottom w:val="none" w:sz="0" w:space="0" w:color="auto"/>
        <w:right w:val="none" w:sz="0" w:space="0" w:color="auto"/>
      </w:divBdr>
    </w:div>
    <w:div w:id="1807621892">
      <w:marLeft w:val="480"/>
      <w:marRight w:val="0"/>
      <w:marTop w:val="0"/>
      <w:marBottom w:val="0"/>
      <w:divBdr>
        <w:top w:val="none" w:sz="0" w:space="0" w:color="auto"/>
        <w:left w:val="none" w:sz="0" w:space="0" w:color="auto"/>
        <w:bottom w:val="none" w:sz="0" w:space="0" w:color="auto"/>
        <w:right w:val="none" w:sz="0" w:space="0" w:color="auto"/>
      </w:divBdr>
    </w:div>
    <w:div w:id="1809782932">
      <w:marLeft w:val="480"/>
      <w:marRight w:val="0"/>
      <w:marTop w:val="0"/>
      <w:marBottom w:val="0"/>
      <w:divBdr>
        <w:top w:val="none" w:sz="0" w:space="0" w:color="auto"/>
        <w:left w:val="none" w:sz="0" w:space="0" w:color="auto"/>
        <w:bottom w:val="none" w:sz="0" w:space="0" w:color="auto"/>
        <w:right w:val="none" w:sz="0" w:space="0" w:color="auto"/>
      </w:divBdr>
    </w:div>
    <w:div w:id="1812863613">
      <w:marLeft w:val="480"/>
      <w:marRight w:val="0"/>
      <w:marTop w:val="0"/>
      <w:marBottom w:val="0"/>
      <w:divBdr>
        <w:top w:val="none" w:sz="0" w:space="0" w:color="auto"/>
        <w:left w:val="none" w:sz="0" w:space="0" w:color="auto"/>
        <w:bottom w:val="none" w:sz="0" w:space="0" w:color="auto"/>
        <w:right w:val="none" w:sz="0" w:space="0" w:color="auto"/>
      </w:divBdr>
    </w:div>
    <w:div w:id="1814981143">
      <w:marLeft w:val="480"/>
      <w:marRight w:val="0"/>
      <w:marTop w:val="0"/>
      <w:marBottom w:val="0"/>
      <w:divBdr>
        <w:top w:val="none" w:sz="0" w:space="0" w:color="auto"/>
        <w:left w:val="none" w:sz="0" w:space="0" w:color="auto"/>
        <w:bottom w:val="none" w:sz="0" w:space="0" w:color="auto"/>
        <w:right w:val="none" w:sz="0" w:space="0" w:color="auto"/>
      </w:divBdr>
    </w:div>
    <w:div w:id="1819807667">
      <w:marLeft w:val="480"/>
      <w:marRight w:val="0"/>
      <w:marTop w:val="0"/>
      <w:marBottom w:val="0"/>
      <w:divBdr>
        <w:top w:val="none" w:sz="0" w:space="0" w:color="auto"/>
        <w:left w:val="none" w:sz="0" w:space="0" w:color="auto"/>
        <w:bottom w:val="none" w:sz="0" w:space="0" w:color="auto"/>
        <w:right w:val="none" w:sz="0" w:space="0" w:color="auto"/>
      </w:divBdr>
    </w:div>
    <w:div w:id="1820731516">
      <w:marLeft w:val="480"/>
      <w:marRight w:val="0"/>
      <w:marTop w:val="0"/>
      <w:marBottom w:val="0"/>
      <w:divBdr>
        <w:top w:val="none" w:sz="0" w:space="0" w:color="auto"/>
        <w:left w:val="none" w:sz="0" w:space="0" w:color="auto"/>
        <w:bottom w:val="none" w:sz="0" w:space="0" w:color="auto"/>
        <w:right w:val="none" w:sz="0" w:space="0" w:color="auto"/>
      </w:divBdr>
    </w:div>
    <w:div w:id="1823545335">
      <w:marLeft w:val="480"/>
      <w:marRight w:val="0"/>
      <w:marTop w:val="0"/>
      <w:marBottom w:val="0"/>
      <w:divBdr>
        <w:top w:val="none" w:sz="0" w:space="0" w:color="auto"/>
        <w:left w:val="none" w:sz="0" w:space="0" w:color="auto"/>
        <w:bottom w:val="none" w:sz="0" w:space="0" w:color="auto"/>
        <w:right w:val="none" w:sz="0" w:space="0" w:color="auto"/>
      </w:divBdr>
    </w:div>
    <w:div w:id="1825201099">
      <w:marLeft w:val="480"/>
      <w:marRight w:val="0"/>
      <w:marTop w:val="0"/>
      <w:marBottom w:val="0"/>
      <w:divBdr>
        <w:top w:val="none" w:sz="0" w:space="0" w:color="auto"/>
        <w:left w:val="none" w:sz="0" w:space="0" w:color="auto"/>
        <w:bottom w:val="none" w:sz="0" w:space="0" w:color="auto"/>
        <w:right w:val="none" w:sz="0" w:space="0" w:color="auto"/>
      </w:divBdr>
    </w:div>
    <w:div w:id="1826586420">
      <w:marLeft w:val="480"/>
      <w:marRight w:val="0"/>
      <w:marTop w:val="0"/>
      <w:marBottom w:val="0"/>
      <w:divBdr>
        <w:top w:val="none" w:sz="0" w:space="0" w:color="auto"/>
        <w:left w:val="none" w:sz="0" w:space="0" w:color="auto"/>
        <w:bottom w:val="none" w:sz="0" w:space="0" w:color="auto"/>
        <w:right w:val="none" w:sz="0" w:space="0" w:color="auto"/>
      </w:divBdr>
    </w:div>
    <w:div w:id="1829327686">
      <w:marLeft w:val="480"/>
      <w:marRight w:val="0"/>
      <w:marTop w:val="0"/>
      <w:marBottom w:val="0"/>
      <w:divBdr>
        <w:top w:val="none" w:sz="0" w:space="0" w:color="auto"/>
        <w:left w:val="none" w:sz="0" w:space="0" w:color="auto"/>
        <w:bottom w:val="none" w:sz="0" w:space="0" w:color="auto"/>
        <w:right w:val="none" w:sz="0" w:space="0" w:color="auto"/>
      </w:divBdr>
    </w:div>
    <w:div w:id="1830169383">
      <w:marLeft w:val="480"/>
      <w:marRight w:val="0"/>
      <w:marTop w:val="0"/>
      <w:marBottom w:val="0"/>
      <w:divBdr>
        <w:top w:val="none" w:sz="0" w:space="0" w:color="auto"/>
        <w:left w:val="none" w:sz="0" w:space="0" w:color="auto"/>
        <w:bottom w:val="none" w:sz="0" w:space="0" w:color="auto"/>
        <w:right w:val="none" w:sz="0" w:space="0" w:color="auto"/>
      </w:divBdr>
    </w:div>
    <w:div w:id="1834877476">
      <w:marLeft w:val="480"/>
      <w:marRight w:val="0"/>
      <w:marTop w:val="0"/>
      <w:marBottom w:val="0"/>
      <w:divBdr>
        <w:top w:val="none" w:sz="0" w:space="0" w:color="auto"/>
        <w:left w:val="none" w:sz="0" w:space="0" w:color="auto"/>
        <w:bottom w:val="none" w:sz="0" w:space="0" w:color="auto"/>
        <w:right w:val="none" w:sz="0" w:space="0" w:color="auto"/>
      </w:divBdr>
    </w:div>
    <w:div w:id="1838109599">
      <w:marLeft w:val="480"/>
      <w:marRight w:val="0"/>
      <w:marTop w:val="0"/>
      <w:marBottom w:val="0"/>
      <w:divBdr>
        <w:top w:val="none" w:sz="0" w:space="0" w:color="auto"/>
        <w:left w:val="none" w:sz="0" w:space="0" w:color="auto"/>
        <w:bottom w:val="none" w:sz="0" w:space="0" w:color="auto"/>
        <w:right w:val="none" w:sz="0" w:space="0" w:color="auto"/>
      </w:divBdr>
    </w:div>
    <w:div w:id="1839343589">
      <w:marLeft w:val="480"/>
      <w:marRight w:val="0"/>
      <w:marTop w:val="0"/>
      <w:marBottom w:val="0"/>
      <w:divBdr>
        <w:top w:val="none" w:sz="0" w:space="0" w:color="auto"/>
        <w:left w:val="none" w:sz="0" w:space="0" w:color="auto"/>
        <w:bottom w:val="none" w:sz="0" w:space="0" w:color="auto"/>
        <w:right w:val="none" w:sz="0" w:space="0" w:color="auto"/>
      </w:divBdr>
    </w:div>
    <w:div w:id="1839923226">
      <w:marLeft w:val="480"/>
      <w:marRight w:val="0"/>
      <w:marTop w:val="0"/>
      <w:marBottom w:val="0"/>
      <w:divBdr>
        <w:top w:val="none" w:sz="0" w:space="0" w:color="auto"/>
        <w:left w:val="none" w:sz="0" w:space="0" w:color="auto"/>
        <w:bottom w:val="none" w:sz="0" w:space="0" w:color="auto"/>
        <w:right w:val="none" w:sz="0" w:space="0" w:color="auto"/>
      </w:divBdr>
    </w:div>
    <w:div w:id="1842354998">
      <w:marLeft w:val="480"/>
      <w:marRight w:val="0"/>
      <w:marTop w:val="0"/>
      <w:marBottom w:val="0"/>
      <w:divBdr>
        <w:top w:val="none" w:sz="0" w:space="0" w:color="auto"/>
        <w:left w:val="none" w:sz="0" w:space="0" w:color="auto"/>
        <w:bottom w:val="none" w:sz="0" w:space="0" w:color="auto"/>
        <w:right w:val="none" w:sz="0" w:space="0" w:color="auto"/>
      </w:divBdr>
    </w:div>
    <w:div w:id="1844394615">
      <w:marLeft w:val="480"/>
      <w:marRight w:val="0"/>
      <w:marTop w:val="0"/>
      <w:marBottom w:val="0"/>
      <w:divBdr>
        <w:top w:val="none" w:sz="0" w:space="0" w:color="auto"/>
        <w:left w:val="none" w:sz="0" w:space="0" w:color="auto"/>
        <w:bottom w:val="none" w:sz="0" w:space="0" w:color="auto"/>
        <w:right w:val="none" w:sz="0" w:space="0" w:color="auto"/>
      </w:divBdr>
    </w:div>
    <w:div w:id="1844591872">
      <w:marLeft w:val="480"/>
      <w:marRight w:val="0"/>
      <w:marTop w:val="0"/>
      <w:marBottom w:val="0"/>
      <w:divBdr>
        <w:top w:val="none" w:sz="0" w:space="0" w:color="auto"/>
        <w:left w:val="none" w:sz="0" w:space="0" w:color="auto"/>
        <w:bottom w:val="none" w:sz="0" w:space="0" w:color="auto"/>
        <w:right w:val="none" w:sz="0" w:space="0" w:color="auto"/>
      </w:divBdr>
    </w:div>
    <w:div w:id="1849177704">
      <w:marLeft w:val="480"/>
      <w:marRight w:val="0"/>
      <w:marTop w:val="0"/>
      <w:marBottom w:val="0"/>
      <w:divBdr>
        <w:top w:val="none" w:sz="0" w:space="0" w:color="auto"/>
        <w:left w:val="none" w:sz="0" w:space="0" w:color="auto"/>
        <w:bottom w:val="none" w:sz="0" w:space="0" w:color="auto"/>
        <w:right w:val="none" w:sz="0" w:space="0" w:color="auto"/>
      </w:divBdr>
    </w:div>
    <w:div w:id="1856847052">
      <w:marLeft w:val="480"/>
      <w:marRight w:val="0"/>
      <w:marTop w:val="0"/>
      <w:marBottom w:val="0"/>
      <w:divBdr>
        <w:top w:val="none" w:sz="0" w:space="0" w:color="auto"/>
        <w:left w:val="none" w:sz="0" w:space="0" w:color="auto"/>
        <w:bottom w:val="none" w:sz="0" w:space="0" w:color="auto"/>
        <w:right w:val="none" w:sz="0" w:space="0" w:color="auto"/>
      </w:divBdr>
    </w:div>
    <w:div w:id="1865440862">
      <w:marLeft w:val="480"/>
      <w:marRight w:val="0"/>
      <w:marTop w:val="0"/>
      <w:marBottom w:val="0"/>
      <w:divBdr>
        <w:top w:val="none" w:sz="0" w:space="0" w:color="auto"/>
        <w:left w:val="none" w:sz="0" w:space="0" w:color="auto"/>
        <w:bottom w:val="none" w:sz="0" w:space="0" w:color="auto"/>
        <w:right w:val="none" w:sz="0" w:space="0" w:color="auto"/>
      </w:divBdr>
    </w:div>
    <w:div w:id="1868519077">
      <w:marLeft w:val="480"/>
      <w:marRight w:val="0"/>
      <w:marTop w:val="0"/>
      <w:marBottom w:val="0"/>
      <w:divBdr>
        <w:top w:val="none" w:sz="0" w:space="0" w:color="auto"/>
        <w:left w:val="none" w:sz="0" w:space="0" w:color="auto"/>
        <w:bottom w:val="none" w:sz="0" w:space="0" w:color="auto"/>
        <w:right w:val="none" w:sz="0" w:space="0" w:color="auto"/>
      </w:divBdr>
    </w:div>
    <w:div w:id="1871140451">
      <w:marLeft w:val="480"/>
      <w:marRight w:val="0"/>
      <w:marTop w:val="0"/>
      <w:marBottom w:val="0"/>
      <w:divBdr>
        <w:top w:val="none" w:sz="0" w:space="0" w:color="auto"/>
        <w:left w:val="none" w:sz="0" w:space="0" w:color="auto"/>
        <w:bottom w:val="none" w:sz="0" w:space="0" w:color="auto"/>
        <w:right w:val="none" w:sz="0" w:space="0" w:color="auto"/>
      </w:divBdr>
    </w:div>
    <w:div w:id="1873154191">
      <w:marLeft w:val="480"/>
      <w:marRight w:val="0"/>
      <w:marTop w:val="0"/>
      <w:marBottom w:val="0"/>
      <w:divBdr>
        <w:top w:val="none" w:sz="0" w:space="0" w:color="auto"/>
        <w:left w:val="none" w:sz="0" w:space="0" w:color="auto"/>
        <w:bottom w:val="none" w:sz="0" w:space="0" w:color="auto"/>
        <w:right w:val="none" w:sz="0" w:space="0" w:color="auto"/>
      </w:divBdr>
    </w:div>
    <w:div w:id="1874002511">
      <w:marLeft w:val="480"/>
      <w:marRight w:val="0"/>
      <w:marTop w:val="0"/>
      <w:marBottom w:val="0"/>
      <w:divBdr>
        <w:top w:val="none" w:sz="0" w:space="0" w:color="auto"/>
        <w:left w:val="none" w:sz="0" w:space="0" w:color="auto"/>
        <w:bottom w:val="none" w:sz="0" w:space="0" w:color="auto"/>
        <w:right w:val="none" w:sz="0" w:space="0" w:color="auto"/>
      </w:divBdr>
    </w:div>
    <w:div w:id="1874921737">
      <w:marLeft w:val="480"/>
      <w:marRight w:val="0"/>
      <w:marTop w:val="0"/>
      <w:marBottom w:val="0"/>
      <w:divBdr>
        <w:top w:val="none" w:sz="0" w:space="0" w:color="auto"/>
        <w:left w:val="none" w:sz="0" w:space="0" w:color="auto"/>
        <w:bottom w:val="none" w:sz="0" w:space="0" w:color="auto"/>
        <w:right w:val="none" w:sz="0" w:space="0" w:color="auto"/>
      </w:divBdr>
    </w:div>
    <w:div w:id="1878349003">
      <w:marLeft w:val="480"/>
      <w:marRight w:val="0"/>
      <w:marTop w:val="0"/>
      <w:marBottom w:val="0"/>
      <w:divBdr>
        <w:top w:val="none" w:sz="0" w:space="0" w:color="auto"/>
        <w:left w:val="none" w:sz="0" w:space="0" w:color="auto"/>
        <w:bottom w:val="none" w:sz="0" w:space="0" w:color="auto"/>
        <w:right w:val="none" w:sz="0" w:space="0" w:color="auto"/>
      </w:divBdr>
    </w:div>
    <w:div w:id="1880435692">
      <w:marLeft w:val="480"/>
      <w:marRight w:val="0"/>
      <w:marTop w:val="0"/>
      <w:marBottom w:val="0"/>
      <w:divBdr>
        <w:top w:val="none" w:sz="0" w:space="0" w:color="auto"/>
        <w:left w:val="none" w:sz="0" w:space="0" w:color="auto"/>
        <w:bottom w:val="none" w:sz="0" w:space="0" w:color="auto"/>
        <w:right w:val="none" w:sz="0" w:space="0" w:color="auto"/>
      </w:divBdr>
    </w:div>
    <w:div w:id="1890996995">
      <w:marLeft w:val="480"/>
      <w:marRight w:val="0"/>
      <w:marTop w:val="0"/>
      <w:marBottom w:val="0"/>
      <w:divBdr>
        <w:top w:val="none" w:sz="0" w:space="0" w:color="auto"/>
        <w:left w:val="none" w:sz="0" w:space="0" w:color="auto"/>
        <w:bottom w:val="none" w:sz="0" w:space="0" w:color="auto"/>
        <w:right w:val="none" w:sz="0" w:space="0" w:color="auto"/>
      </w:divBdr>
    </w:div>
    <w:div w:id="1893033945">
      <w:marLeft w:val="480"/>
      <w:marRight w:val="0"/>
      <w:marTop w:val="0"/>
      <w:marBottom w:val="0"/>
      <w:divBdr>
        <w:top w:val="none" w:sz="0" w:space="0" w:color="auto"/>
        <w:left w:val="none" w:sz="0" w:space="0" w:color="auto"/>
        <w:bottom w:val="none" w:sz="0" w:space="0" w:color="auto"/>
        <w:right w:val="none" w:sz="0" w:space="0" w:color="auto"/>
      </w:divBdr>
    </w:div>
    <w:div w:id="1893881811">
      <w:marLeft w:val="480"/>
      <w:marRight w:val="0"/>
      <w:marTop w:val="0"/>
      <w:marBottom w:val="0"/>
      <w:divBdr>
        <w:top w:val="none" w:sz="0" w:space="0" w:color="auto"/>
        <w:left w:val="none" w:sz="0" w:space="0" w:color="auto"/>
        <w:bottom w:val="none" w:sz="0" w:space="0" w:color="auto"/>
        <w:right w:val="none" w:sz="0" w:space="0" w:color="auto"/>
      </w:divBdr>
    </w:div>
    <w:div w:id="1896817139">
      <w:marLeft w:val="480"/>
      <w:marRight w:val="0"/>
      <w:marTop w:val="0"/>
      <w:marBottom w:val="0"/>
      <w:divBdr>
        <w:top w:val="none" w:sz="0" w:space="0" w:color="auto"/>
        <w:left w:val="none" w:sz="0" w:space="0" w:color="auto"/>
        <w:bottom w:val="none" w:sz="0" w:space="0" w:color="auto"/>
        <w:right w:val="none" w:sz="0" w:space="0" w:color="auto"/>
      </w:divBdr>
    </w:div>
    <w:div w:id="1901285401">
      <w:marLeft w:val="480"/>
      <w:marRight w:val="0"/>
      <w:marTop w:val="0"/>
      <w:marBottom w:val="0"/>
      <w:divBdr>
        <w:top w:val="none" w:sz="0" w:space="0" w:color="auto"/>
        <w:left w:val="none" w:sz="0" w:space="0" w:color="auto"/>
        <w:bottom w:val="none" w:sz="0" w:space="0" w:color="auto"/>
        <w:right w:val="none" w:sz="0" w:space="0" w:color="auto"/>
      </w:divBdr>
    </w:div>
    <w:div w:id="1903756288">
      <w:marLeft w:val="480"/>
      <w:marRight w:val="0"/>
      <w:marTop w:val="0"/>
      <w:marBottom w:val="0"/>
      <w:divBdr>
        <w:top w:val="none" w:sz="0" w:space="0" w:color="auto"/>
        <w:left w:val="none" w:sz="0" w:space="0" w:color="auto"/>
        <w:bottom w:val="none" w:sz="0" w:space="0" w:color="auto"/>
        <w:right w:val="none" w:sz="0" w:space="0" w:color="auto"/>
      </w:divBdr>
    </w:div>
    <w:div w:id="1905338568">
      <w:marLeft w:val="480"/>
      <w:marRight w:val="0"/>
      <w:marTop w:val="0"/>
      <w:marBottom w:val="0"/>
      <w:divBdr>
        <w:top w:val="none" w:sz="0" w:space="0" w:color="auto"/>
        <w:left w:val="none" w:sz="0" w:space="0" w:color="auto"/>
        <w:bottom w:val="none" w:sz="0" w:space="0" w:color="auto"/>
        <w:right w:val="none" w:sz="0" w:space="0" w:color="auto"/>
      </w:divBdr>
    </w:div>
    <w:div w:id="1905602043">
      <w:marLeft w:val="480"/>
      <w:marRight w:val="0"/>
      <w:marTop w:val="0"/>
      <w:marBottom w:val="0"/>
      <w:divBdr>
        <w:top w:val="none" w:sz="0" w:space="0" w:color="auto"/>
        <w:left w:val="none" w:sz="0" w:space="0" w:color="auto"/>
        <w:bottom w:val="none" w:sz="0" w:space="0" w:color="auto"/>
        <w:right w:val="none" w:sz="0" w:space="0" w:color="auto"/>
      </w:divBdr>
    </w:div>
    <w:div w:id="1905675705">
      <w:marLeft w:val="480"/>
      <w:marRight w:val="0"/>
      <w:marTop w:val="0"/>
      <w:marBottom w:val="0"/>
      <w:divBdr>
        <w:top w:val="none" w:sz="0" w:space="0" w:color="auto"/>
        <w:left w:val="none" w:sz="0" w:space="0" w:color="auto"/>
        <w:bottom w:val="none" w:sz="0" w:space="0" w:color="auto"/>
        <w:right w:val="none" w:sz="0" w:space="0" w:color="auto"/>
      </w:divBdr>
    </w:div>
    <w:div w:id="1905918579">
      <w:marLeft w:val="480"/>
      <w:marRight w:val="0"/>
      <w:marTop w:val="0"/>
      <w:marBottom w:val="0"/>
      <w:divBdr>
        <w:top w:val="none" w:sz="0" w:space="0" w:color="auto"/>
        <w:left w:val="none" w:sz="0" w:space="0" w:color="auto"/>
        <w:bottom w:val="none" w:sz="0" w:space="0" w:color="auto"/>
        <w:right w:val="none" w:sz="0" w:space="0" w:color="auto"/>
      </w:divBdr>
    </w:div>
    <w:div w:id="1908802093">
      <w:marLeft w:val="480"/>
      <w:marRight w:val="0"/>
      <w:marTop w:val="0"/>
      <w:marBottom w:val="0"/>
      <w:divBdr>
        <w:top w:val="none" w:sz="0" w:space="0" w:color="auto"/>
        <w:left w:val="none" w:sz="0" w:space="0" w:color="auto"/>
        <w:bottom w:val="none" w:sz="0" w:space="0" w:color="auto"/>
        <w:right w:val="none" w:sz="0" w:space="0" w:color="auto"/>
      </w:divBdr>
    </w:div>
    <w:div w:id="1921330072">
      <w:marLeft w:val="480"/>
      <w:marRight w:val="0"/>
      <w:marTop w:val="0"/>
      <w:marBottom w:val="0"/>
      <w:divBdr>
        <w:top w:val="none" w:sz="0" w:space="0" w:color="auto"/>
        <w:left w:val="none" w:sz="0" w:space="0" w:color="auto"/>
        <w:bottom w:val="none" w:sz="0" w:space="0" w:color="auto"/>
        <w:right w:val="none" w:sz="0" w:space="0" w:color="auto"/>
      </w:divBdr>
    </w:div>
    <w:div w:id="1925334536">
      <w:marLeft w:val="480"/>
      <w:marRight w:val="0"/>
      <w:marTop w:val="0"/>
      <w:marBottom w:val="0"/>
      <w:divBdr>
        <w:top w:val="none" w:sz="0" w:space="0" w:color="auto"/>
        <w:left w:val="none" w:sz="0" w:space="0" w:color="auto"/>
        <w:bottom w:val="none" w:sz="0" w:space="0" w:color="auto"/>
        <w:right w:val="none" w:sz="0" w:space="0" w:color="auto"/>
      </w:divBdr>
    </w:div>
    <w:div w:id="1931238212">
      <w:marLeft w:val="480"/>
      <w:marRight w:val="0"/>
      <w:marTop w:val="0"/>
      <w:marBottom w:val="0"/>
      <w:divBdr>
        <w:top w:val="none" w:sz="0" w:space="0" w:color="auto"/>
        <w:left w:val="none" w:sz="0" w:space="0" w:color="auto"/>
        <w:bottom w:val="none" w:sz="0" w:space="0" w:color="auto"/>
        <w:right w:val="none" w:sz="0" w:space="0" w:color="auto"/>
      </w:divBdr>
    </w:div>
    <w:div w:id="1933274880">
      <w:marLeft w:val="480"/>
      <w:marRight w:val="0"/>
      <w:marTop w:val="0"/>
      <w:marBottom w:val="0"/>
      <w:divBdr>
        <w:top w:val="none" w:sz="0" w:space="0" w:color="auto"/>
        <w:left w:val="none" w:sz="0" w:space="0" w:color="auto"/>
        <w:bottom w:val="none" w:sz="0" w:space="0" w:color="auto"/>
        <w:right w:val="none" w:sz="0" w:space="0" w:color="auto"/>
      </w:divBdr>
    </w:div>
    <w:div w:id="1934391368">
      <w:marLeft w:val="480"/>
      <w:marRight w:val="0"/>
      <w:marTop w:val="0"/>
      <w:marBottom w:val="0"/>
      <w:divBdr>
        <w:top w:val="none" w:sz="0" w:space="0" w:color="auto"/>
        <w:left w:val="none" w:sz="0" w:space="0" w:color="auto"/>
        <w:bottom w:val="none" w:sz="0" w:space="0" w:color="auto"/>
        <w:right w:val="none" w:sz="0" w:space="0" w:color="auto"/>
      </w:divBdr>
    </w:div>
    <w:div w:id="1945116904">
      <w:marLeft w:val="480"/>
      <w:marRight w:val="0"/>
      <w:marTop w:val="0"/>
      <w:marBottom w:val="0"/>
      <w:divBdr>
        <w:top w:val="none" w:sz="0" w:space="0" w:color="auto"/>
        <w:left w:val="none" w:sz="0" w:space="0" w:color="auto"/>
        <w:bottom w:val="none" w:sz="0" w:space="0" w:color="auto"/>
        <w:right w:val="none" w:sz="0" w:space="0" w:color="auto"/>
      </w:divBdr>
    </w:div>
    <w:div w:id="1947039532">
      <w:marLeft w:val="480"/>
      <w:marRight w:val="0"/>
      <w:marTop w:val="0"/>
      <w:marBottom w:val="0"/>
      <w:divBdr>
        <w:top w:val="none" w:sz="0" w:space="0" w:color="auto"/>
        <w:left w:val="none" w:sz="0" w:space="0" w:color="auto"/>
        <w:bottom w:val="none" w:sz="0" w:space="0" w:color="auto"/>
        <w:right w:val="none" w:sz="0" w:space="0" w:color="auto"/>
      </w:divBdr>
    </w:div>
    <w:div w:id="1957440795">
      <w:marLeft w:val="480"/>
      <w:marRight w:val="0"/>
      <w:marTop w:val="0"/>
      <w:marBottom w:val="0"/>
      <w:divBdr>
        <w:top w:val="none" w:sz="0" w:space="0" w:color="auto"/>
        <w:left w:val="none" w:sz="0" w:space="0" w:color="auto"/>
        <w:bottom w:val="none" w:sz="0" w:space="0" w:color="auto"/>
        <w:right w:val="none" w:sz="0" w:space="0" w:color="auto"/>
      </w:divBdr>
    </w:div>
    <w:div w:id="1958372311">
      <w:marLeft w:val="480"/>
      <w:marRight w:val="0"/>
      <w:marTop w:val="0"/>
      <w:marBottom w:val="0"/>
      <w:divBdr>
        <w:top w:val="none" w:sz="0" w:space="0" w:color="auto"/>
        <w:left w:val="none" w:sz="0" w:space="0" w:color="auto"/>
        <w:bottom w:val="none" w:sz="0" w:space="0" w:color="auto"/>
        <w:right w:val="none" w:sz="0" w:space="0" w:color="auto"/>
      </w:divBdr>
    </w:div>
    <w:div w:id="1964581091">
      <w:marLeft w:val="480"/>
      <w:marRight w:val="0"/>
      <w:marTop w:val="0"/>
      <w:marBottom w:val="0"/>
      <w:divBdr>
        <w:top w:val="none" w:sz="0" w:space="0" w:color="auto"/>
        <w:left w:val="none" w:sz="0" w:space="0" w:color="auto"/>
        <w:bottom w:val="none" w:sz="0" w:space="0" w:color="auto"/>
        <w:right w:val="none" w:sz="0" w:space="0" w:color="auto"/>
      </w:divBdr>
    </w:div>
    <w:div w:id="1972058328">
      <w:marLeft w:val="480"/>
      <w:marRight w:val="0"/>
      <w:marTop w:val="0"/>
      <w:marBottom w:val="0"/>
      <w:divBdr>
        <w:top w:val="none" w:sz="0" w:space="0" w:color="auto"/>
        <w:left w:val="none" w:sz="0" w:space="0" w:color="auto"/>
        <w:bottom w:val="none" w:sz="0" w:space="0" w:color="auto"/>
        <w:right w:val="none" w:sz="0" w:space="0" w:color="auto"/>
      </w:divBdr>
    </w:div>
    <w:div w:id="1975941167">
      <w:marLeft w:val="480"/>
      <w:marRight w:val="0"/>
      <w:marTop w:val="0"/>
      <w:marBottom w:val="0"/>
      <w:divBdr>
        <w:top w:val="none" w:sz="0" w:space="0" w:color="auto"/>
        <w:left w:val="none" w:sz="0" w:space="0" w:color="auto"/>
        <w:bottom w:val="none" w:sz="0" w:space="0" w:color="auto"/>
        <w:right w:val="none" w:sz="0" w:space="0" w:color="auto"/>
      </w:divBdr>
    </w:div>
    <w:div w:id="1976714492">
      <w:marLeft w:val="480"/>
      <w:marRight w:val="0"/>
      <w:marTop w:val="0"/>
      <w:marBottom w:val="0"/>
      <w:divBdr>
        <w:top w:val="none" w:sz="0" w:space="0" w:color="auto"/>
        <w:left w:val="none" w:sz="0" w:space="0" w:color="auto"/>
        <w:bottom w:val="none" w:sz="0" w:space="0" w:color="auto"/>
        <w:right w:val="none" w:sz="0" w:space="0" w:color="auto"/>
      </w:divBdr>
    </w:div>
    <w:div w:id="1985159376">
      <w:marLeft w:val="480"/>
      <w:marRight w:val="0"/>
      <w:marTop w:val="0"/>
      <w:marBottom w:val="0"/>
      <w:divBdr>
        <w:top w:val="none" w:sz="0" w:space="0" w:color="auto"/>
        <w:left w:val="none" w:sz="0" w:space="0" w:color="auto"/>
        <w:bottom w:val="none" w:sz="0" w:space="0" w:color="auto"/>
        <w:right w:val="none" w:sz="0" w:space="0" w:color="auto"/>
      </w:divBdr>
    </w:div>
    <w:div w:id="1988700237">
      <w:marLeft w:val="480"/>
      <w:marRight w:val="0"/>
      <w:marTop w:val="0"/>
      <w:marBottom w:val="0"/>
      <w:divBdr>
        <w:top w:val="none" w:sz="0" w:space="0" w:color="auto"/>
        <w:left w:val="none" w:sz="0" w:space="0" w:color="auto"/>
        <w:bottom w:val="none" w:sz="0" w:space="0" w:color="auto"/>
        <w:right w:val="none" w:sz="0" w:space="0" w:color="auto"/>
      </w:divBdr>
    </w:div>
    <w:div w:id="1992758249">
      <w:marLeft w:val="480"/>
      <w:marRight w:val="0"/>
      <w:marTop w:val="0"/>
      <w:marBottom w:val="0"/>
      <w:divBdr>
        <w:top w:val="none" w:sz="0" w:space="0" w:color="auto"/>
        <w:left w:val="none" w:sz="0" w:space="0" w:color="auto"/>
        <w:bottom w:val="none" w:sz="0" w:space="0" w:color="auto"/>
        <w:right w:val="none" w:sz="0" w:space="0" w:color="auto"/>
      </w:divBdr>
    </w:div>
    <w:div w:id="1995912307">
      <w:marLeft w:val="480"/>
      <w:marRight w:val="0"/>
      <w:marTop w:val="0"/>
      <w:marBottom w:val="0"/>
      <w:divBdr>
        <w:top w:val="none" w:sz="0" w:space="0" w:color="auto"/>
        <w:left w:val="none" w:sz="0" w:space="0" w:color="auto"/>
        <w:bottom w:val="none" w:sz="0" w:space="0" w:color="auto"/>
        <w:right w:val="none" w:sz="0" w:space="0" w:color="auto"/>
      </w:divBdr>
    </w:div>
    <w:div w:id="1997686670">
      <w:marLeft w:val="480"/>
      <w:marRight w:val="0"/>
      <w:marTop w:val="0"/>
      <w:marBottom w:val="0"/>
      <w:divBdr>
        <w:top w:val="none" w:sz="0" w:space="0" w:color="auto"/>
        <w:left w:val="none" w:sz="0" w:space="0" w:color="auto"/>
        <w:bottom w:val="none" w:sz="0" w:space="0" w:color="auto"/>
        <w:right w:val="none" w:sz="0" w:space="0" w:color="auto"/>
      </w:divBdr>
    </w:div>
    <w:div w:id="2009096551">
      <w:marLeft w:val="480"/>
      <w:marRight w:val="0"/>
      <w:marTop w:val="0"/>
      <w:marBottom w:val="0"/>
      <w:divBdr>
        <w:top w:val="none" w:sz="0" w:space="0" w:color="auto"/>
        <w:left w:val="none" w:sz="0" w:space="0" w:color="auto"/>
        <w:bottom w:val="none" w:sz="0" w:space="0" w:color="auto"/>
        <w:right w:val="none" w:sz="0" w:space="0" w:color="auto"/>
      </w:divBdr>
    </w:div>
    <w:div w:id="2009138977">
      <w:marLeft w:val="480"/>
      <w:marRight w:val="0"/>
      <w:marTop w:val="0"/>
      <w:marBottom w:val="0"/>
      <w:divBdr>
        <w:top w:val="none" w:sz="0" w:space="0" w:color="auto"/>
        <w:left w:val="none" w:sz="0" w:space="0" w:color="auto"/>
        <w:bottom w:val="none" w:sz="0" w:space="0" w:color="auto"/>
        <w:right w:val="none" w:sz="0" w:space="0" w:color="auto"/>
      </w:divBdr>
    </w:div>
    <w:div w:id="2010012747">
      <w:marLeft w:val="480"/>
      <w:marRight w:val="0"/>
      <w:marTop w:val="0"/>
      <w:marBottom w:val="0"/>
      <w:divBdr>
        <w:top w:val="none" w:sz="0" w:space="0" w:color="auto"/>
        <w:left w:val="none" w:sz="0" w:space="0" w:color="auto"/>
        <w:bottom w:val="none" w:sz="0" w:space="0" w:color="auto"/>
        <w:right w:val="none" w:sz="0" w:space="0" w:color="auto"/>
      </w:divBdr>
    </w:div>
    <w:div w:id="2014405557">
      <w:marLeft w:val="480"/>
      <w:marRight w:val="0"/>
      <w:marTop w:val="0"/>
      <w:marBottom w:val="0"/>
      <w:divBdr>
        <w:top w:val="none" w:sz="0" w:space="0" w:color="auto"/>
        <w:left w:val="none" w:sz="0" w:space="0" w:color="auto"/>
        <w:bottom w:val="none" w:sz="0" w:space="0" w:color="auto"/>
        <w:right w:val="none" w:sz="0" w:space="0" w:color="auto"/>
      </w:divBdr>
    </w:div>
    <w:div w:id="2018539878">
      <w:marLeft w:val="480"/>
      <w:marRight w:val="0"/>
      <w:marTop w:val="0"/>
      <w:marBottom w:val="0"/>
      <w:divBdr>
        <w:top w:val="none" w:sz="0" w:space="0" w:color="auto"/>
        <w:left w:val="none" w:sz="0" w:space="0" w:color="auto"/>
        <w:bottom w:val="none" w:sz="0" w:space="0" w:color="auto"/>
        <w:right w:val="none" w:sz="0" w:space="0" w:color="auto"/>
      </w:divBdr>
    </w:div>
    <w:div w:id="2024699290">
      <w:marLeft w:val="480"/>
      <w:marRight w:val="0"/>
      <w:marTop w:val="0"/>
      <w:marBottom w:val="0"/>
      <w:divBdr>
        <w:top w:val="none" w:sz="0" w:space="0" w:color="auto"/>
        <w:left w:val="none" w:sz="0" w:space="0" w:color="auto"/>
        <w:bottom w:val="none" w:sz="0" w:space="0" w:color="auto"/>
        <w:right w:val="none" w:sz="0" w:space="0" w:color="auto"/>
      </w:divBdr>
    </w:div>
    <w:div w:id="2029716122">
      <w:marLeft w:val="480"/>
      <w:marRight w:val="0"/>
      <w:marTop w:val="0"/>
      <w:marBottom w:val="0"/>
      <w:divBdr>
        <w:top w:val="none" w:sz="0" w:space="0" w:color="auto"/>
        <w:left w:val="none" w:sz="0" w:space="0" w:color="auto"/>
        <w:bottom w:val="none" w:sz="0" w:space="0" w:color="auto"/>
        <w:right w:val="none" w:sz="0" w:space="0" w:color="auto"/>
      </w:divBdr>
    </w:div>
    <w:div w:id="2031637268">
      <w:marLeft w:val="480"/>
      <w:marRight w:val="0"/>
      <w:marTop w:val="0"/>
      <w:marBottom w:val="0"/>
      <w:divBdr>
        <w:top w:val="none" w:sz="0" w:space="0" w:color="auto"/>
        <w:left w:val="none" w:sz="0" w:space="0" w:color="auto"/>
        <w:bottom w:val="none" w:sz="0" w:space="0" w:color="auto"/>
        <w:right w:val="none" w:sz="0" w:space="0" w:color="auto"/>
      </w:divBdr>
    </w:div>
    <w:div w:id="2032954944">
      <w:marLeft w:val="480"/>
      <w:marRight w:val="0"/>
      <w:marTop w:val="0"/>
      <w:marBottom w:val="0"/>
      <w:divBdr>
        <w:top w:val="none" w:sz="0" w:space="0" w:color="auto"/>
        <w:left w:val="none" w:sz="0" w:space="0" w:color="auto"/>
        <w:bottom w:val="none" w:sz="0" w:space="0" w:color="auto"/>
        <w:right w:val="none" w:sz="0" w:space="0" w:color="auto"/>
      </w:divBdr>
    </w:div>
    <w:div w:id="2033846580">
      <w:marLeft w:val="480"/>
      <w:marRight w:val="0"/>
      <w:marTop w:val="0"/>
      <w:marBottom w:val="0"/>
      <w:divBdr>
        <w:top w:val="none" w:sz="0" w:space="0" w:color="auto"/>
        <w:left w:val="none" w:sz="0" w:space="0" w:color="auto"/>
        <w:bottom w:val="none" w:sz="0" w:space="0" w:color="auto"/>
        <w:right w:val="none" w:sz="0" w:space="0" w:color="auto"/>
      </w:divBdr>
    </w:div>
    <w:div w:id="2035839672">
      <w:marLeft w:val="480"/>
      <w:marRight w:val="0"/>
      <w:marTop w:val="0"/>
      <w:marBottom w:val="0"/>
      <w:divBdr>
        <w:top w:val="none" w:sz="0" w:space="0" w:color="auto"/>
        <w:left w:val="none" w:sz="0" w:space="0" w:color="auto"/>
        <w:bottom w:val="none" w:sz="0" w:space="0" w:color="auto"/>
        <w:right w:val="none" w:sz="0" w:space="0" w:color="auto"/>
      </w:divBdr>
    </w:div>
    <w:div w:id="2037461430">
      <w:marLeft w:val="480"/>
      <w:marRight w:val="0"/>
      <w:marTop w:val="0"/>
      <w:marBottom w:val="0"/>
      <w:divBdr>
        <w:top w:val="none" w:sz="0" w:space="0" w:color="auto"/>
        <w:left w:val="none" w:sz="0" w:space="0" w:color="auto"/>
        <w:bottom w:val="none" w:sz="0" w:space="0" w:color="auto"/>
        <w:right w:val="none" w:sz="0" w:space="0" w:color="auto"/>
      </w:divBdr>
    </w:div>
    <w:div w:id="2038583095">
      <w:marLeft w:val="480"/>
      <w:marRight w:val="0"/>
      <w:marTop w:val="0"/>
      <w:marBottom w:val="0"/>
      <w:divBdr>
        <w:top w:val="none" w:sz="0" w:space="0" w:color="auto"/>
        <w:left w:val="none" w:sz="0" w:space="0" w:color="auto"/>
        <w:bottom w:val="none" w:sz="0" w:space="0" w:color="auto"/>
        <w:right w:val="none" w:sz="0" w:space="0" w:color="auto"/>
      </w:divBdr>
    </w:div>
    <w:div w:id="2039308981">
      <w:marLeft w:val="480"/>
      <w:marRight w:val="0"/>
      <w:marTop w:val="0"/>
      <w:marBottom w:val="0"/>
      <w:divBdr>
        <w:top w:val="none" w:sz="0" w:space="0" w:color="auto"/>
        <w:left w:val="none" w:sz="0" w:space="0" w:color="auto"/>
        <w:bottom w:val="none" w:sz="0" w:space="0" w:color="auto"/>
        <w:right w:val="none" w:sz="0" w:space="0" w:color="auto"/>
      </w:divBdr>
    </w:div>
    <w:div w:id="2040743457">
      <w:marLeft w:val="480"/>
      <w:marRight w:val="0"/>
      <w:marTop w:val="0"/>
      <w:marBottom w:val="0"/>
      <w:divBdr>
        <w:top w:val="none" w:sz="0" w:space="0" w:color="auto"/>
        <w:left w:val="none" w:sz="0" w:space="0" w:color="auto"/>
        <w:bottom w:val="none" w:sz="0" w:space="0" w:color="auto"/>
        <w:right w:val="none" w:sz="0" w:space="0" w:color="auto"/>
      </w:divBdr>
    </w:div>
    <w:div w:id="2041319619">
      <w:marLeft w:val="480"/>
      <w:marRight w:val="0"/>
      <w:marTop w:val="0"/>
      <w:marBottom w:val="0"/>
      <w:divBdr>
        <w:top w:val="none" w:sz="0" w:space="0" w:color="auto"/>
        <w:left w:val="none" w:sz="0" w:space="0" w:color="auto"/>
        <w:bottom w:val="none" w:sz="0" w:space="0" w:color="auto"/>
        <w:right w:val="none" w:sz="0" w:space="0" w:color="auto"/>
      </w:divBdr>
    </w:div>
    <w:div w:id="2047296019">
      <w:marLeft w:val="480"/>
      <w:marRight w:val="0"/>
      <w:marTop w:val="0"/>
      <w:marBottom w:val="0"/>
      <w:divBdr>
        <w:top w:val="none" w:sz="0" w:space="0" w:color="auto"/>
        <w:left w:val="none" w:sz="0" w:space="0" w:color="auto"/>
        <w:bottom w:val="none" w:sz="0" w:space="0" w:color="auto"/>
        <w:right w:val="none" w:sz="0" w:space="0" w:color="auto"/>
      </w:divBdr>
    </w:div>
    <w:div w:id="2052800243">
      <w:marLeft w:val="480"/>
      <w:marRight w:val="0"/>
      <w:marTop w:val="0"/>
      <w:marBottom w:val="0"/>
      <w:divBdr>
        <w:top w:val="none" w:sz="0" w:space="0" w:color="auto"/>
        <w:left w:val="none" w:sz="0" w:space="0" w:color="auto"/>
        <w:bottom w:val="none" w:sz="0" w:space="0" w:color="auto"/>
        <w:right w:val="none" w:sz="0" w:space="0" w:color="auto"/>
      </w:divBdr>
    </w:div>
    <w:div w:id="2068142342">
      <w:marLeft w:val="480"/>
      <w:marRight w:val="0"/>
      <w:marTop w:val="0"/>
      <w:marBottom w:val="0"/>
      <w:divBdr>
        <w:top w:val="none" w:sz="0" w:space="0" w:color="auto"/>
        <w:left w:val="none" w:sz="0" w:space="0" w:color="auto"/>
        <w:bottom w:val="none" w:sz="0" w:space="0" w:color="auto"/>
        <w:right w:val="none" w:sz="0" w:space="0" w:color="auto"/>
      </w:divBdr>
    </w:div>
    <w:div w:id="2075732324">
      <w:marLeft w:val="480"/>
      <w:marRight w:val="0"/>
      <w:marTop w:val="0"/>
      <w:marBottom w:val="0"/>
      <w:divBdr>
        <w:top w:val="none" w:sz="0" w:space="0" w:color="auto"/>
        <w:left w:val="none" w:sz="0" w:space="0" w:color="auto"/>
        <w:bottom w:val="none" w:sz="0" w:space="0" w:color="auto"/>
        <w:right w:val="none" w:sz="0" w:space="0" w:color="auto"/>
      </w:divBdr>
    </w:div>
    <w:div w:id="2077120031">
      <w:marLeft w:val="480"/>
      <w:marRight w:val="0"/>
      <w:marTop w:val="0"/>
      <w:marBottom w:val="0"/>
      <w:divBdr>
        <w:top w:val="none" w:sz="0" w:space="0" w:color="auto"/>
        <w:left w:val="none" w:sz="0" w:space="0" w:color="auto"/>
        <w:bottom w:val="none" w:sz="0" w:space="0" w:color="auto"/>
        <w:right w:val="none" w:sz="0" w:space="0" w:color="auto"/>
      </w:divBdr>
    </w:div>
    <w:div w:id="2077630107">
      <w:marLeft w:val="480"/>
      <w:marRight w:val="0"/>
      <w:marTop w:val="0"/>
      <w:marBottom w:val="0"/>
      <w:divBdr>
        <w:top w:val="none" w:sz="0" w:space="0" w:color="auto"/>
        <w:left w:val="none" w:sz="0" w:space="0" w:color="auto"/>
        <w:bottom w:val="none" w:sz="0" w:space="0" w:color="auto"/>
        <w:right w:val="none" w:sz="0" w:space="0" w:color="auto"/>
      </w:divBdr>
    </w:div>
    <w:div w:id="2085564433">
      <w:marLeft w:val="480"/>
      <w:marRight w:val="0"/>
      <w:marTop w:val="0"/>
      <w:marBottom w:val="0"/>
      <w:divBdr>
        <w:top w:val="none" w:sz="0" w:space="0" w:color="auto"/>
        <w:left w:val="none" w:sz="0" w:space="0" w:color="auto"/>
        <w:bottom w:val="none" w:sz="0" w:space="0" w:color="auto"/>
        <w:right w:val="none" w:sz="0" w:space="0" w:color="auto"/>
      </w:divBdr>
    </w:div>
    <w:div w:id="2086222391">
      <w:marLeft w:val="480"/>
      <w:marRight w:val="0"/>
      <w:marTop w:val="0"/>
      <w:marBottom w:val="0"/>
      <w:divBdr>
        <w:top w:val="none" w:sz="0" w:space="0" w:color="auto"/>
        <w:left w:val="none" w:sz="0" w:space="0" w:color="auto"/>
        <w:bottom w:val="none" w:sz="0" w:space="0" w:color="auto"/>
        <w:right w:val="none" w:sz="0" w:space="0" w:color="auto"/>
      </w:divBdr>
    </w:div>
    <w:div w:id="2086341812">
      <w:marLeft w:val="480"/>
      <w:marRight w:val="0"/>
      <w:marTop w:val="0"/>
      <w:marBottom w:val="0"/>
      <w:divBdr>
        <w:top w:val="none" w:sz="0" w:space="0" w:color="auto"/>
        <w:left w:val="none" w:sz="0" w:space="0" w:color="auto"/>
        <w:bottom w:val="none" w:sz="0" w:space="0" w:color="auto"/>
        <w:right w:val="none" w:sz="0" w:space="0" w:color="auto"/>
      </w:divBdr>
    </w:div>
    <w:div w:id="2089157858">
      <w:marLeft w:val="480"/>
      <w:marRight w:val="0"/>
      <w:marTop w:val="0"/>
      <w:marBottom w:val="0"/>
      <w:divBdr>
        <w:top w:val="none" w:sz="0" w:space="0" w:color="auto"/>
        <w:left w:val="none" w:sz="0" w:space="0" w:color="auto"/>
        <w:bottom w:val="none" w:sz="0" w:space="0" w:color="auto"/>
        <w:right w:val="none" w:sz="0" w:space="0" w:color="auto"/>
      </w:divBdr>
    </w:div>
    <w:div w:id="2094862355">
      <w:marLeft w:val="480"/>
      <w:marRight w:val="0"/>
      <w:marTop w:val="0"/>
      <w:marBottom w:val="0"/>
      <w:divBdr>
        <w:top w:val="none" w:sz="0" w:space="0" w:color="auto"/>
        <w:left w:val="none" w:sz="0" w:space="0" w:color="auto"/>
        <w:bottom w:val="none" w:sz="0" w:space="0" w:color="auto"/>
        <w:right w:val="none" w:sz="0" w:space="0" w:color="auto"/>
      </w:divBdr>
    </w:div>
    <w:div w:id="2099711010">
      <w:marLeft w:val="480"/>
      <w:marRight w:val="0"/>
      <w:marTop w:val="0"/>
      <w:marBottom w:val="0"/>
      <w:divBdr>
        <w:top w:val="none" w:sz="0" w:space="0" w:color="auto"/>
        <w:left w:val="none" w:sz="0" w:space="0" w:color="auto"/>
        <w:bottom w:val="none" w:sz="0" w:space="0" w:color="auto"/>
        <w:right w:val="none" w:sz="0" w:space="0" w:color="auto"/>
      </w:divBdr>
    </w:div>
    <w:div w:id="2103453817">
      <w:marLeft w:val="480"/>
      <w:marRight w:val="0"/>
      <w:marTop w:val="0"/>
      <w:marBottom w:val="0"/>
      <w:divBdr>
        <w:top w:val="none" w:sz="0" w:space="0" w:color="auto"/>
        <w:left w:val="none" w:sz="0" w:space="0" w:color="auto"/>
        <w:bottom w:val="none" w:sz="0" w:space="0" w:color="auto"/>
        <w:right w:val="none" w:sz="0" w:space="0" w:color="auto"/>
      </w:divBdr>
    </w:div>
    <w:div w:id="2107386178">
      <w:marLeft w:val="480"/>
      <w:marRight w:val="0"/>
      <w:marTop w:val="0"/>
      <w:marBottom w:val="0"/>
      <w:divBdr>
        <w:top w:val="none" w:sz="0" w:space="0" w:color="auto"/>
        <w:left w:val="none" w:sz="0" w:space="0" w:color="auto"/>
        <w:bottom w:val="none" w:sz="0" w:space="0" w:color="auto"/>
        <w:right w:val="none" w:sz="0" w:space="0" w:color="auto"/>
      </w:divBdr>
    </w:div>
    <w:div w:id="2108689251">
      <w:marLeft w:val="480"/>
      <w:marRight w:val="0"/>
      <w:marTop w:val="0"/>
      <w:marBottom w:val="0"/>
      <w:divBdr>
        <w:top w:val="none" w:sz="0" w:space="0" w:color="auto"/>
        <w:left w:val="none" w:sz="0" w:space="0" w:color="auto"/>
        <w:bottom w:val="none" w:sz="0" w:space="0" w:color="auto"/>
        <w:right w:val="none" w:sz="0" w:space="0" w:color="auto"/>
      </w:divBdr>
    </w:div>
    <w:div w:id="2108966633">
      <w:marLeft w:val="480"/>
      <w:marRight w:val="0"/>
      <w:marTop w:val="0"/>
      <w:marBottom w:val="0"/>
      <w:divBdr>
        <w:top w:val="none" w:sz="0" w:space="0" w:color="auto"/>
        <w:left w:val="none" w:sz="0" w:space="0" w:color="auto"/>
        <w:bottom w:val="none" w:sz="0" w:space="0" w:color="auto"/>
        <w:right w:val="none" w:sz="0" w:space="0" w:color="auto"/>
      </w:divBdr>
    </w:div>
    <w:div w:id="2110348487">
      <w:marLeft w:val="480"/>
      <w:marRight w:val="0"/>
      <w:marTop w:val="0"/>
      <w:marBottom w:val="0"/>
      <w:divBdr>
        <w:top w:val="none" w:sz="0" w:space="0" w:color="auto"/>
        <w:left w:val="none" w:sz="0" w:space="0" w:color="auto"/>
        <w:bottom w:val="none" w:sz="0" w:space="0" w:color="auto"/>
        <w:right w:val="none" w:sz="0" w:space="0" w:color="auto"/>
      </w:divBdr>
    </w:div>
    <w:div w:id="2110393381">
      <w:marLeft w:val="480"/>
      <w:marRight w:val="0"/>
      <w:marTop w:val="0"/>
      <w:marBottom w:val="0"/>
      <w:divBdr>
        <w:top w:val="none" w:sz="0" w:space="0" w:color="auto"/>
        <w:left w:val="none" w:sz="0" w:space="0" w:color="auto"/>
        <w:bottom w:val="none" w:sz="0" w:space="0" w:color="auto"/>
        <w:right w:val="none" w:sz="0" w:space="0" w:color="auto"/>
      </w:divBdr>
    </w:div>
    <w:div w:id="2114548087">
      <w:marLeft w:val="480"/>
      <w:marRight w:val="0"/>
      <w:marTop w:val="0"/>
      <w:marBottom w:val="0"/>
      <w:divBdr>
        <w:top w:val="none" w:sz="0" w:space="0" w:color="auto"/>
        <w:left w:val="none" w:sz="0" w:space="0" w:color="auto"/>
        <w:bottom w:val="none" w:sz="0" w:space="0" w:color="auto"/>
        <w:right w:val="none" w:sz="0" w:space="0" w:color="auto"/>
      </w:divBdr>
    </w:div>
    <w:div w:id="2116097705">
      <w:marLeft w:val="480"/>
      <w:marRight w:val="0"/>
      <w:marTop w:val="0"/>
      <w:marBottom w:val="0"/>
      <w:divBdr>
        <w:top w:val="none" w:sz="0" w:space="0" w:color="auto"/>
        <w:left w:val="none" w:sz="0" w:space="0" w:color="auto"/>
        <w:bottom w:val="none" w:sz="0" w:space="0" w:color="auto"/>
        <w:right w:val="none" w:sz="0" w:space="0" w:color="auto"/>
      </w:divBdr>
    </w:div>
    <w:div w:id="2117672578">
      <w:marLeft w:val="480"/>
      <w:marRight w:val="0"/>
      <w:marTop w:val="0"/>
      <w:marBottom w:val="0"/>
      <w:divBdr>
        <w:top w:val="none" w:sz="0" w:space="0" w:color="auto"/>
        <w:left w:val="none" w:sz="0" w:space="0" w:color="auto"/>
        <w:bottom w:val="none" w:sz="0" w:space="0" w:color="auto"/>
        <w:right w:val="none" w:sz="0" w:space="0" w:color="auto"/>
      </w:divBdr>
    </w:div>
    <w:div w:id="2119333388">
      <w:marLeft w:val="480"/>
      <w:marRight w:val="0"/>
      <w:marTop w:val="0"/>
      <w:marBottom w:val="0"/>
      <w:divBdr>
        <w:top w:val="none" w:sz="0" w:space="0" w:color="auto"/>
        <w:left w:val="none" w:sz="0" w:space="0" w:color="auto"/>
        <w:bottom w:val="none" w:sz="0" w:space="0" w:color="auto"/>
        <w:right w:val="none" w:sz="0" w:space="0" w:color="auto"/>
      </w:divBdr>
    </w:div>
    <w:div w:id="2126463467">
      <w:marLeft w:val="480"/>
      <w:marRight w:val="0"/>
      <w:marTop w:val="0"/>
      <w:marBottom w:val="0"/>
      <w:divBdr>
        <w:top w:val="none" w:sz="0" w:space="0" w:color="auto"/>
        <w:left w:val="none" w:sz="0" w:space="0" w:color="auto"/>
        <w:bottom w:val="none" w:sz="0" w:space="0" w:color="auto"/>
        <w:right w:val="none" w:sz="0" w:space="0" w:color="auto"/>
      </w:divBdr>
    </w:div>
    <w:div w:id="2126800980">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666221">
      <w:marLeft w:val="480"/>
      <w:marRight w:val="0"/>
      <w:marTop w:val="0"/>
      <w:marBottom w:val="0"/>
      <w:divBdr>
        <w:top w:val="none" w:sz="0" w:space="0" w:color="auto"/>
        <w:left w:val="none" w:sz="0" w:space="0" w:color="auto"/>
        <w:bottom w:val="none" w:sz="0" w:space="0" w:color="auto"/>
        <w:right w:val="none" w:sz="0" w:space="0" w:color="auto"/>
      </w:divBdr>
    </w:div>
    <w:div w:id="2140026577">
      <w:marLeft w:val="480"/>
      <w:marRight w:val="0"/>
      <w:marTop w:val="0"/>
      <w:marBottom w:val="0"/>
      <w:divBdr>
        <w:top w:val="none" w:sz="0" w:space="0" w:color="auto"/>
        <w:left w:val="none" w:sz="0" w:space="0" w:color="auto"/>
        <w:bottom w:val="none" w:sz="0" w:space="0" w:color="auto"/>
        <w:right w:val="none" w:sz="0" w:space="0" w:color="auto"/>
      </w:divBdr>
    </w:div>
    <w:div w:id="214534287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aolo.mocellin@unipd.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B23AB576-9B34-7341-94BA-49E3D7216C2C}"/>
      </w:docPartPr>
      <w:docPartBody>
        <w:p w:rsidR="00D5601E" w:rsidRDefault="00C25046">
          <w:r w:rsidRPr="000B02D5">
            <w:rPr>
              <w:rStyle w:val="Testosegnaposto"/>
            </w:rPr>
            <w:t>Fare clic o toccare qui per immettere il testo.</w:t>
          </w:r>
        </w:p>
      </w:docPartBody>
    </w:docPart>
    <w:docPart>
      <w:docPartPr>
        <w:name w:val="7EB34E23321805458E9C6926DD53825B"/>
        <w:category>
          <w:name w:val="Generale"/>
          <w:gallery w:val="placeholder"/>
        </w:category>
        <w:types>
          <w:type w:val="bbPlcHdr"/>
        </w:types>
        <w:behaviors>
          <w:behavior w:val="content"/>
        </w:behaviors>
        <w:guid w:val="{904DAC3A-B060-2A48-907D-E1FE5C85F8F3}"/>
      </w:docPartPr>
      <w:docPartBody>
        <w:p w:rsidR="00E17ED4" w:rsidRDefault="004F7F3A" w:rsidP="004F7F3A">
          <w:pPr>
            <w:pStyle w:val="7EB34E23321805458E9C6926DD53825B"/>
          </w:pPr>
          <w:r w:rsidRPr="000B02D5">
            <w:rPr>
              <w:rStyle w:val="Testosegnaposto"/>
            </w:rPr>
            <w:t>Fare clic o toccare qui per immettere il testo.</w:t>
          </w:r>
        </w:p>
      </w:docPartBody>
    </w:docPart>
    <w:docPart>
      <w:docPartPr>
        <w:name w:val="C2829F10F75546D3A609DAB1180D97A0"/>
        <w:category>
          <w:name w:val="General"/>
          <w:gallery w:val="placeholder"/>
        </w:category>
        <w:types>
          <w:type w:val="bbPlcHdr"/>
        </w:types>
        <w:behaviors>
          <w:behavior w:val="content"/>
        </w:behaviors>
        <w:guid w:val="{45945CF0-857B-4659-A53F-5497C6E9C21E}"/>
      </w:docPartPr>
      <w:docPartBody>
        <w:p w:rsidR="007261F2" w:rsidRDefault="007261F2" w:rsidP="007261F2">
          <w:pPr>
            <w:pStyle w:val="C2829F10F75546D3A609DAB1180D97A0"/>
          </w:pPr>
          <w:r w:rsidRPr="000B02D5">
            <w:rPr>
              <w:rStyle w:val="Testosegnaposto"/>
            </w:rPr>
            <w:t>Fare clic o toccare qui per immettere il testo.</w:t>
          </w:r>
        </w:p>
      </w:docPartBody>
    </w:docPart>
    <w:docPart>
      <w:docPartPr>
        <w:name w:val="4BD1C58E50B543CF821F40DEDB655636"/>
        <w:category>
          <w:name w:val="General"/>
          <w:gallery w:val="placeholder"/>
        </w:category>
        <w:types>
          <w:type w:val="bbPlcHdr"/>
        </w:types>
        <w:behaviors>
          <w:behavior w:val="content"/>
        </w:behaviors>
        <w:guid w:val="{5974A419-6609-437F-9581-13C94DB630F3}"/>
      </w:docPartPr>
      <w:docPartBody>
        <w:p w:rsidR="007261F2" w:rsidRDefault="007261F2" w:rsidP="007261F2">
          <w:pPr>
            <w:pStyle w:val="4BD1C58E50B543CF821F40DEDB655636"/>
          </w:pPr>
          <w:r w:rsidRPr="000B02D5">
            <w:rPr>
              <w:rStyle w:val="Testosegnaposto"/>
            </w:rPr>
            <w:t>Fare clic o toccare qui per immettere il testo.</w:t>
          </w:r>
        </w:p>
      </w:docPartBody>
    </w:docPart>
    <w:docPart>
      <w:docPartPr>
        <w:name w:val="FA9EEF4BCC4D49F6850803DC91BDD53B"/>
        <w:category>
          <w:name w:val="General"/>
          <w:gallery w:val="placeholder"/>
        </w:category>
        <w:types>
          <w:type w:val="bbPlcHdr"/>
        </w:types>
        <w:behaviors>
          <w:behavior w:val="content"/>
        </w:behaviors>
        <w:guid w:val="{D768D92C-F9D8-48F0-8CF5-2D44291A056B}"/>
      </w:docPartPr>
      <w:docPartBody>
        <w:p w:rsidR="007261F2" w:rsidRDefault="007261F2" w:rsidP="007261F2">
          <w:pPr>
            <w:pStyle w:val="FA9EEF4BCC4D49F6850803DC91BDD53B"/>
          </w:pPr>
          <w:r w:rsidRPr="000B02D5">
            <w:rPr>
              <w:rStyle w:val="Testosegnaposto"/>
            </w:rPr>
            <w:t>Fare clic o toccare qui per immettere il testo.</w:t>
          </w:r>
        </w:p>
      </w:docPartBody>
    </w:docPart>
    <w:docPart>
      <w:docPartPr>
        <w:name w:val="8928D9EDA66C45D6A4121F265C4A9610"/>
        <w:category>
          <w:name w:val="General"/>
          <w:gallery w:val="placeholder"/>
        </w:category>
        <w:types>
          <w:type w:val="bbPlcHdr"/>
        </w:types>
        <w:behaviors>
          <w:behavior w:val="content"/>
        </w:behaviors>
        <w:guid w:val="{60CED7D5-87F4-4912-A2DB-F7736062F4DD}"/>
      </w:docPartPr>
      <w:docPartBody>
        <w:p w:rsidR="007261F2" w:rsidRDefault="007261F2" w:rsidP="007261F2">
          <w:pPr>
            <w:pStyle w:val="8928D9EDA66C45D6A4121F265C4A9610"/>
          </w:pPr>
          <w:r w:rsidRPr="000B02D5">
            <w:rPr>
              <w:rStyle w:val="Testosegnaposto"/>
            </w:rPr>
            <w:t>Fare clic o toccare qui per immettere il testo.</w:t>
          </w:r>
        </w:p>
      </w:docPartBody>
    </w:docPart>
    <w:docPart>
      <w:docPartPr>
        <w:name w:val="C4B805F1650B4A8AAFC11C7F6F9E5258"/>
        <w:category>
          <w:name w:val="General"/>
          <w:gallery w:val="placeholder"/>
        </w:category>
        <w:types>
          <w:type w:val="bbPlcHdr"/>
        </w:types>
        <w:behaviors>
          <w:behavior w:val="content"/>
        </w:behaviors>
        <w:guid w:val="{AC0BCC22-9DFF-4944-8CFB-5ED3ED23DFB4}"/>
      </w:docPartPr>
      <w:docPartBody>
        <w:p w:rsidR="007261F2" w:rsidRDefault="007261F2" w:rsidP="007261F2">
          <w:pPr>
            <w:pStyle w:val="C4B805F1650B4A8AAFC11C7F6F9E5258"/>
          </w:pPr>
          <w:r w:rsidRPr="000B02D5">
            <w:rPr>
              <w:rStyle w:val="Testosegnaposto"/>
            </w:rPr>
            <w:t>Fare clic o toccare qui per immettere il testo.</w:t>
          </w:r>
        </w:p>
      </w:docPartBody>
    </w:docPart>
    <w:docPart>
      <w:docPartPr>
        <w:name w:val="DC4961151A8C40E28A7169C8CE82AF54"/>
        <w:category>
          <w:name w:val="General"/>
          <w:gallery w:val="placeholder"/>
        </w:category>
        <w:types>
          <w:type w:val="bbPlcHdr"/>
        </w:types>
        <w:behaviors>
          <w:behavior w:val="content"/>
        </w:behaviors>
        <w:guid w:val="{59783D1D-3E74-428D-AC02-D04851D38A3D}"/>
      </w:docPartPr>
      <w:docPartBody>
        <w:p w:rsidR="007261F2" w:rsidRDefault="007261F2" w:rsidP="007261F2">
          <w:pPr>
            <w:pStyle w:val="DC4961151A8C40E28A7169C8CE82AF54"/>
          </w:pPr>
          <w:r w:rsidRPr="000B02D5">
            <w:rPr>
              <w:rStyle w:val="Testosegnaposto"/>
            </w:rPr>
            <w:t>Fare clic o toccare qui per immettere il testo.</w:t>
          </w:r>
        </w:p>
      </w:docPartBody>
    </w:docPart>
    <w:docPart>
      <w:docPartPr>
        <w:name w:val="3E950FC04BA2424783BCCDF0BDDCE68A"/>
        <w:category>
          <w:name w:val="General"/>
          <w:gallery w:val="placeholder"/>
        </w:category>
        <w:types>
          <w:type w:val="bbPlcHdr"/>
        </w:types>
        <w:behaviors>
          <w:behavior w:val="content"/>
        </w:behaviors>
        <w:guid w:val="{6ABA1172-A129-4B60-BAFF-8EAE3DFCB311}"/>
      </w:docPartPr>
      <w:docPartBody>
        <w:p w:rsidR="007261F2" w:rsidRDefault="007261F2" w:rsidP="007261F2">
          <w:pPr>
            <w:pStyle w:val="3E950FC04BA2424783BCCDF0BDDCE68A"/>
          </w:pPr>
          <w:r w:rsidRPr="000B02D5">
            <w:rPr>
              <w:rStyle w:val="Testosegnaposto"/>
            </w:rPr>
            <w:t>Fare clic o toccare qui per immettere il testo.</w:t>
          </w:r>
        </w:p>
      </w:docPartBody>
    </w:docPart>
    <w:docPart>
      <w:docPartPr>
        <w:name w:val="A1132B07CB8F423D9169FEAC6B88B709"/>
        <w:category>
          <w:name w:val="General"/>
          <w:gallery w:val="placeholder"/>
        </w:category>
        <w:types>
          <w:type w:val="bbPlcHdr"/>
        </w:types>
        <w:behaviors>
          <w:behavior w:val="content"/>
        </w:behaviors>
        <w:guid w:val="{427A6338-40C0-4248-B471-4690060DB056}"/>
      </w:docPartPr>
      <w:docPartBody>
        <w:p w:rsidR="0030224E" w:rsidRDefault="0030224E" w:rsidP="0030224E">
          <w:pPr>
            <w:pStyle w:val="A1132B07CB8F423D9169FEAC6B88B709"/>
          </w:pPr>
          <w:r w:rsidRPr="000B02D5">
            <w:rPr>
              <w:rStyle w:val="Testosegnaposto"/>
            </w:rPr>
            <w:t>Fare clic o toccare qui per immettere il testo.</w:t>
          </w:r>
        </w:p>
      </w:docPartBody>
    </w:docPart>
    <w:docPart>
      <w:docPartPr>
        <w:name w:val="76AA92FBE76A4223856153278067EDF5"/>
        <w:category>
          <w:name w:val="General"/>
          <w:gallery w:val="placeholder"/>
        </w:category>
        <w:types>
          <w:type w:val="bbPlcHdr"/>
        </w:types>
        <w:behaviors>
          <w:behavior w:val="content"/>
        </w:behaviors>
        <w:guid w:val="{42129FC0-ABCA-4FAA-8695-C1739C8E2200}"/>
      </w:docPartPr>
      <w:docPartBody>
        <w:p w:rsidR="0030224E" w:rsidRDefault="0030224E" w:rsidP="0030224E">
          <w:pPr>
            <w:pStyle w:val="76AA92FBE76A4223856153278067EDF5"/>
          </w:pPr>
          <w:r w:rsidRPr="000B02D5">
            <w:rPr>
              <w:rStyle w:val="Testosegnaposto"/>
            </w:rPr>
            <w:t>Fare clic o toccare qui per immettere il testo.</w:t>
          </w:r>
        </w:p>
      </w:docPartBody>
    </w:docPart>
    <w:docPart>
      <w:docPartPr>
        <w:name w:val="DE04D8850FFF465B9D286BB77DE530F0"/>
        <w:category>
          <w:name w:val="General"/>
          <w:gallery w:val="placeholder"/>
        </w:category>
        <w:types>
          <w:type w:val="bbPlcHdr"/>
        </w:types>
        <w:behaviors>
          <w:behavior w:val="content"/>
        </w:behaviors>
        <w:guid w:val="{9E4D97BB-22AC-401E-9D9F-BB11FD6A0BA5}"/>
      </w:docPartPr>
      <w:docPartBody>
        <w:p w:rsidR="0030224E" w:rsidRDefault="0030224E" w:rsidP="0030224E">
          <w:pPr>
            <w:pStyle w:val="DE04D8850FFF465B9D286BB77DE530F0"/>
          </w:pPr>
          <w:r w:rsidRPr="000B02D5">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604020202020204"/>
    <w:charset w:val="00"/>
    <w:family w:val="swiss"/>
    <w:pitch w:val="variable"/>
    <w:sig w:usb0="20000287" w:usb1="00000003" w:usb2="00000000" w:usb3="00000000" w:csb0="0000019F" w:csb1="00000000"/>
  </w:font>
  <w:font w:name="Aptos Display">
    <w:panose1 w:val="020B06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46"/>
    <w:rsid w:val="000670CF"/>
    <w:rsid w:val="000F1133"/>
    <w:rsid w:val="00116361"/>
    <w:rsid w:val="00142DEB"/>
    <w:rsid w:val="00246BBD"/>
    <w:rsid w:val="0030224E"/>
    <w:rsid w:val="0035225F"/>
    <w:rsid w:val="003565B9"/>
    <w:rsid w:val="0039364A"/>
    <w:rsid w:val="003D39D1"/>
    <w:rsid w:val="003F51B6"/>
    <w:rsid w:val="004F7F3A"/>
    <w:rsid w:val="00605083"/>
    <w:rsid w:val="006A2FBC"/>
    <w:rsid w:val="006A6672"/>
    <w:rsid w:val="006F5387"/>
    <w:rsid w:val="006F65E6"/>
    <w:rsid w:val="00705A36"/>
    <w:rsid w:val="007261F2"/>
    <w:rsid w:val="007620DB"/>
    <w:rsid w:val="007B1AA4"/>
    <w:rsid w:val="00942124"/>
    <w:rsid w:val="00A52920"/>
    <w:rsid w:val="00AC58A6"/>
    <w:rsid w:val="00BD41C4"/>
    <w:rsid w:val="00C25046"/>
    <w:rsid w:val="00C5226D"/>
    <w:rsid w:val="00CF3293"/>
    <w:rsid w:val="00D42281"/>
    <w:rsid w:val="00D5601E"/>
    <w:rsid w:val="00D9161B"/>
    <w:rsid w:val="00E17ED4"/>
    <w:rsid w:val="00E73E4D"/>
    <w:rsid w:val="00E85D28"/>
    <w:rsid w:val="00EC3C68"/>
    <w:rsid w:val="00EE265C"/>
    <w:rsid w:val="00F30229"/>
    <w:rsid w:val="00F575C2"/>
    <w:rsid w:val="00F661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6A2FBC"/>
    <w:rPr>
      <w:color w:val="666666"/>
    </w:rPr>
  </w:style>
  <w:style w:type="paragraph" w:customStyle="1" w:styleId="7EB34E23321805458E9C6926DD53825B">
    <w:name w:val="7EB34E23321805458E9C6926DD53825B"/>
    <w:rsid w:val="004F7F3A"/>
  </w:style>
  <w:style w:type="paragraph" w:customStyle="1" w:styleId="A1132B07CB8F423D9169FEAC6B88B709">
    <w:name w:val="A1132B07CB8F423D9169FEAC6B88B709"/>
    <w:rsid w:val="0030224E"/>
  </w:style>
  <w:style w:type="paragraph" w:customStyle="1" w:styleId="C2829F10F75546D3A609DAB1180D97A0">
    <w:name w:val="C2829F10F75546D3A609DAB1180D97A0"/>
    <w:rsid w:val="007261F2"/>
  </w:style>
  <w:style w:type="paragraph" w:customStyle="1" w:styleId="4BD1C58E50B543CF821F40DEDB655636">
    <w:name w:val="4BD1C58E50B543CF821F40DEDB655636"/>
    <w:rsid w:val="007261F2"/>
  </w:style>
  <w:style w:type="paragraph" w:customStyle="1" w:styleId="FA9EEF4BCC4D49F6850803DC91BDD53B">
    <w:name w:val="FA9EEF4BCC4D49F6850803DC91BDD53B"/>
    <w:rsid w:val="007261F2"/>
  </w:style>
  <w:style w:type="paragraph" w:customStyle="1" w:styleId="8928D9EDA66C45D6A4121F265C4A9610">
    <w:name w:val="8928D9EDA66C45D6A4121F265C4A9610"/>
    <w:rsid w:val="007261F2"/>
  </w:style>
  <w:style w:type="paragraph" w:customStyle="1" w:styleId="C4B805F1650B4A8AAFC11C7F6F9E5258">
    <w:name w:val="C4B805F1650B4A8AAFC11C7F6F9E5258"/>
    <w:rsid w:val="007261F2"/>
  </w:style>
  <w:style w:type="paragraph" w:customStyle="1" w:styleId="DC4961151A8C40E28A7169C8CE82AF54">
    <w:name w:val="DC4961151A8C40E28A7169C8CE82AF54"/>
    <w:rsid w:val="007261F2"/>
  </w:style>
  <w:style w:type="paragraph" w:customStyle="1" w:styleId="3E950FC04BA2424783BCCDF0BDDCE68A">
    <w:name w:val="3E950FC04BA2424783BCCDF0BDDCE68A"/>
    <w:rsid w:val="007261F2"/>
  </w:style>
  <w:style w:type="paragraph" w:customStyle="1" w:styleId="76AA92FBE76A4223856153278067EDF5">
    <w:name w:val="76AA92FBE76A4223856153278067EDF5"/>
    <w:rsid w:val="0030224E"/>
  </w:style>
  <w:style w:type="paragraph" w:customStyle="1" w:styleId="DE04D8850FFF465B9D286BB77DE530F0">
    <w:name w:val="DE04D8850FFF465B9D286BB77DE530F0"/>
    <w:rsid w:val="003022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C0321-0021-4542-843F-94079F7BAAD1}">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70899208626"/>
    <we:property name="MENDELEY_CITATIONS" value="[{&quot;citationID&quot;:&quot;MENDELEY_CITATION_0571192b-be1d-4d58-8036-f3d7bc28af32&quot;,&quot;properties&quot;:{&quot;noteIndex&quot;:0},&quot;isEdited&quot;:false,&quot;manualOverride&quot;:{&quot;isManuallyOverridden&quot;:true,&quot;citeprocText&quot;:&quot;(Andriani, Pio, et al., 2024)&quot;,&quot;manualOverrideText&quot;:&quot;(Andriani et al., 2024a)&quot;},&quot;citationTag&quot;:&quot;MENDELEY_CITATION_v3_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&quot;,&quot;citationItems&quot;:[{&quot;id&quot;:&quot;708ce8e8-a7e4-3207-b7c9-590ef74ce67e&quot;,&quot;itemData&quot;:{&quot;type&quot;:&quot;article-journal&quot;,&quot;id&quot;:&quot;708ce8e8-a7e4-3207-b7c9-590ef74ce67e&quot;,&quot;title&quot;:&quot;Evaluating the thermal stability of chemicals and systems: A review&quot;,&quot;author&quot;:[{&quot;family&quot;:&quot;Andriani&quot;,&quot;given&quot;:&quot;Giuseppe&quot;,&quot;parse-names&quot;:false,&quot;dropping-particle&quot;:&quot;&quot;,&quot;non-dropping-particle&quot;:&quot;&quot;},{&quot;family&quot;:&quot;Pio&quot;,&quot;given&quot;:&quot;Gianmaria&quot;,&quot;parse-names&quot;:false,&quot;dropping-particle&quot;:&quot;&quot;,&quot;non-dropping-particle&quot;:&quot;&quot;},{&quot;family&quot;:&quot;Salzano&quot;,&quot;given&quot;:&quot;Ernesto&quot;,&quot;parse-names&quot;:false,&quot;dropping-particle&quot;:&quot;&quot;,&quot;non-dropping-particle&quot;:&quot;&quot;},{&quot;family&quot;:&quot;Vianello&quot;,&quot;given&quot;:&quot;Chiara&quot;,&quot;parse-names&quot;:false,&quot;dropping-particle&quot;:&quot;&quot;,&quot;non-dropping-particle&quot;:&quot;&quot;},{&quot;family&quot;:&quot;Mocellin&quot;,&quot;given&quot;:&quot;Paolo&quot;,&quot;parse-names&quot;:false,&quot;dropping-particle&quot;:&quot;&quot;,&quot;non-dropping-particle&quot;:&quot;&quot;}],&quot;container-title&quot;:&quot;Canadian Journal of Chemical Engineering&quot;,&quot;DOI&quot;:&quot;10.1002/cjce.25422&quot;,&quot;ISSN&quot;:&quot;1939019X&quot;,&quot;issued&quot;:{&quot;date-parts&quot;:[[2024]]},&quot;abstract&quot;:&quot;In the realm of chemical processing, particularly at the industrial scale, safety is of utmost importance. A predominant factor causing accidents within the chemical industry is runaway phenomena, primarily initiated by uncontrolled exothermic reactions. This review critically examines the often-overlooked decomposition mechanisms as a significant contributor to thermal energy release, necessitating a comprehensive revision and understanding of both experimental and theoretical strategies for assessing thermal degradation. Key to this discourse is the explication of calorimetry as the principal experimental technique, alongside ab initio quantum chemistry simulations as a robust theoretical framework for quantifying the most relevant properties. However, more than mere cognisance of these methodologies is required for a meticulous thermal stability assessment. The review emphasizes identifying and quantifying fundamental parameters through experimental and theoretical investigations. Only upon acquiring these parameters, including kinetic, thermodynamic, onset, and peak characteristics of the exothermic decomposition reactions, can one effectively mitigate risks and hazards in designing and optimizing chemical processes and apparatus. Furthermore, this review delineates qualitative and quantitative methodologies for hazard assessment, proffering strategies for estimating safe operational conditions and sizing relief devices. The paper culminates in exploring future trajectories in thermal stability assessments, focusing on emerging applications in lithium-ion batteries, electrolyzers, electrified reactors, ionic liquids, artificial intelligence and machine learning approaches. Thus, the paper underlines the evolving landscape of thermal risk management in contemporary and future chemical industries.&quot;,&quot;publisher&quot;:&quot;John Wiley and Sons Inc&quot;,&quot;container-title-short&quot;:&quot;&quot;},&quot;isTemporary&quot;:false}]},{&quot;citationID&quot;:&quot;MENDELEY_CITATION_53fee4e1-3587-42f2-a9af-f6ee8f5f5250&quot;,&quot;properties&quot;:{&quot;noteIndex&quot;:0},&quot;isEdited&quot;:false,&quot;manualOverride&quot;:{&quot;isManuallyOverridden&quot;:false,&quot;citeprocText&quot;:&quot;(Andriani et al., 2025)&quot;,&quot;manualOverrideText&quot;:&quot;&quot;},&quot;citationTag&quot;:&quot;MENDELEY_CITATION_v3_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&quot;,&quot;citationItems&quot;:[{&quot;id&quot;:&quot;26388777-1772-3abb-907e-411d5459cac4&quot;,&quot;itemData&quot;:{&quot;type&quot;:&quot;article-journal&quot;,&quot;id&quot;:&quot;26388777-1772-3abb-907e-411d5459cac4&quot;,&quot;title&quot;:&quot;Design of Storage Equipment for Unstable Chemicals Using Sensitivity-Based Methods&quot;,&quot;author&quot;:[{&quot;family&quot;:&quot;Andriani&quot;,&quot;given&quot;:&quot;Giuseppe&quot;,&quot;parse-names&quot;:false,&quot;dropping-particle&quot;:&quot;&quot;,&quot;non-dropping-particle&quot;:&quot;&quot;},{&quot;family&quot;:&quot;Mocellin&quot;,&quot;given&quot;:&quot;Paolo&quot;,&quot;parse-names&quot;:false,&quot;dropping-particle&quot;:&quot;&quot;,&quot;non-dropping-particle&quot;:&quot;&quot;},{&quot;family&quot;:&quot;Pio&quot;,&quot;given&quot;:&quot;Gianmaria&quot;,&quot;parse-names&quot;:false,&quot;dropping-particle&quot;:&quot;&quot;,&quot;non-dropping-particle&quot;:&quot;&quot;},{&quot;family&quot;:&quot;Salzano&quot;,&quot;given&quot;:&quot;Ernesto&quot;,&quot;parse-names&quot;:false,&quot;dropping-particle&quot;:&quot;&quot;,&quot;non-dropping-particle&quot;:&quot;&quot;},{&quot;family&quot;:&quot;Vianello&quot;,&quot;given&quot;:&quot;Chiara&quot;,&quot;parse-names&quot;:false,&quot;dropping-particle&quot;:&quot;&quot;,&quot;non-dropping-particle&quot;:&quot;&quot;}],&quot;container-title&quot;:&quot;Industrial and Engineering Chemistry Research&quot;,&quot;container-title-short&quot;:&quot;Ind Eng Chem Res&quot;,&quot;DOI&quot;:&quot;10.1021/acs.iecr.5c00127&quot;,&quot;ISSN&quot;:&quot;15205045&quot;,&quot;issued&quot;:{&quot;date-parts&quot;:[[2025]]},&quot;abstract&quot;:&quot;The storage of thermally unstable chemicals poses significant risks, including runaway reactions that can lead to severe accidents. Developing inherently safe and cost-effective design strategies for storage vessels is essential for improving chemical plant safety and reliability. This study presents an advanced methodology based on an expanded Frank-Kamenetskii theory of self-heating (FKT), incorporating finite activation energy effects and mass consumption to address key limitations of the original framework. The approach integrates parametric sensitivity analysis to generate stability and performance diagrams, providing insights into safe and runaway operating regimes and optimizing storage policies. The methodology is validated using hydroxylamine-based systems, demonstrating its applicability to real-world cases. Experimental results show that a 30% w/w aqueous hydroxylamine solution can be stored at 35 °C in a vessel over twice the size required for a 50% solution. Sensitivity analyses reveal that the design outcomes are most influenced by the dimensionless heat of reaction and reaction order, with minimal dependence on the Lewis number. Refined FKT versions support the design of safer, larger vessels with characteristic sizes reduced by 10% compared to the original framework. However, increased refinement adds complexity. Therefore, applying different FKT versions at various design stages is recommended to balance accuracy and complexity.&quot;,&quot;publisher&quot;:&quot;American Chemical Society&quot;},&quot;isTemporary&quot;:false}]},{&quot;citationID&quot;:&quot;MENDELEY_CITATION_86e877e9-e298-4ef2-98ad-e19d3c92faef&quot;,&quot;properties&quot;:{&quot;noteIndex&quot;:0},&quot;isEdited&quot;:false,&quot;manualOverride&quot;:{&quot;isManuallyOverridden&quot;:false,&quot;citeprocText&quot;:&quot;(Schmidt et al., 2025)&quot;,&quot;manualOverrideText&quot;:&quot;&quot;},&quot;citationTag&quot;:&quot;MENDELEY_CITATION_v3_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&quot;,&quot;citationItems&quot;:[{&quot;id&quot;:&quot;db0babf4-9af1-3076-8f68-66d8a20fc8b4&quot;,&quot;itemData&quot;:{&quot;type&quot;:&quot;article-journal&quot;,&quot;id&quot;:&quot;db0babf4-9af1-3076-8f68-66d8a20fc8b4&quot;,&quot;title&quot;:&quot;Investigation of Models for Online Runaway Detection at the Esterification of Acetic Anhydride with Methanol&quot;,&quot;author&quot;:[{&quot;family&quot;:&quot;Schmidt&quot;,&quot;given&quot;:&quot;Carsten&quot;,&quot;parse-names&quot;:false,&quot;dropping-particle&quot;:&quot;&quot;,&quot;non-dropping-particle&quot;:&quot;&quot;},{&quot;family&quot;:&quot;Schmidt&quot;,&quot;given&quot;:&quot;Jürgen&quot;,&quot;parse-names&quot;:false,&quot;dropping-particle&quot;:&quot;&quot;,&quot;non-dropping-particle&quot;:&quot;&quot;},{&quot;family&quot;:&quot;Denecke&quot;,&quot;given&quot;:&quot;Jens&quot;,&quot;parse-names&quot;:false,&quot;dropping-particle&quot;:&quot;&quot;,&quot;non-dropping-particle&quot;:&quot;&quot;},{&quot;family&quot;:&quot;Xin&quot;,&quot;given&quot;:&quot;Yongbo&quot;,&quot;parse-names&quot;:false,&quot;dropping-particle&quot;:&quot;&quot;,&quot;non-dropping-particle&quot;:&quot;&quot;}],&quot;container-title&quot;:&quot;Chemical Engineering Transactions &quot;,&quot;DOI&quot;:&quot;10.3303/CET25116002&quot;,&quot;ISSN&quot;:&quot;22839216&quot;,&quot;issued&quot;:{&quot;date-parts&quot;:[[2025]]},&quot;page&quot;:&quot;7-12&quot;,&quot;abstract&quot;:&quot;Models for the online detection of runaway reactions in chemical plants promise to increase the safe operation of chemical processes. However, a general industrial application has not been achieved for these models. In this publication, three models suitable for online detecting ongoing runaway reactions have been identified from the literature and tested with an RC1 reaction calorimeter for the esterification of acetic anhydride with methanol. In total 16 tests were performed for both, normal operation and runaway reaction, and the usability of the models with the generated data was evaluated.&quot;,&quot;publisher&quot;:&quot;Italian Association of Chemical Engineering - AIDIC&quot;,&quot;volume&quot;:&quot;116&quot;,&quot;container-title-short&quot;:&quot;&quot;},&quot;isTemporary&quot;:false}]},{&quot;citationID&quot;:&quot;MENDELEY_CITATION_17cdd5b1-47fb-4eb5-b4ef-32b69af25e95&quot;,&quot;properties&quot;:{&quot;noteIndex&quot;:0},&quot;isEdited&quot;:false,&quot;manualOverride&quot;:{&quot;isManuallyOverridden&quot;:false,&quot;citeprocText&quot;:&quot;(Varma et al., 1999)&quot;,&quot;manualOverrideText&quot;:&quot;&quot;},&quot;citationTag&quot;:&quot;MENDELEY_CITATION_v3_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&quot;,&quot;citationItems&quot;:[{&quot;id&quot;:&quot;21faa571-7671-34fc-ab83-7872963a46f4&quot;,&quot;itemData&quot;:{&quot;type&quot;:&quot;book&quot;,&quot;id&quot;:&quot;21faa571-7671-34fc-ab83-7872963a46f4&quot;,&quot;title&quot;:&quot;Parametric Sensitivity in Chemical Systems&quot;,&quot;author&quot;:[{&quot;family&quot;:&quot;Varma&quot;,&quot;given&quot;:&quot;A.&quot;,&quot;parse-names&quot;:false,&quot;dropping-particle&quot;:&quot;&quot;,&quot;non-dropping-particle&quot;:&quot;&quot;},{&quot;family&quot;:&quot;Morbidelli&quot;,&quot;given&quot;:&quot;M.&quot;,&quot;parse-names&quot;:false,&quot;dropping-particle&quot;:&quot;&quot;,&quot;non-dropping-particle&quot;:&quot;&quot;},{&quot;family&quot;:&quot;Wu&quot;,&quot;given&quot;:&quot;H.&quot;,&quot;parse-names&quot;:false,&quot;dropping-particle&quot;:&quot;&quot;,&quot;non-dropping-particle&quot;:&quot;&quot;}],&quot;issued&quot;:{&quot;date-parts&quot;:[[1999]]},&quot;edition&quot;:&quot;1st&quot;,&quot;publisher&quot;:&quot;Cambridge University Press&quot;,&quot;container-title-short&quot;:&quot;&quot;},&quot;isTemporary&quot;:false}]},{&quot;citationID&quot;:&quot;MENDELEY_CITATION_211d24a1-9e2b-431a-85cc-0047aaf409c3&quot;,&quot;properties&quot;:{&quot;noteIndex&quot;:0},&quot;isEdited&quot;:false,&quot;manualOverride&quot;:{&quot;isManuallyOverridden&quot;:false,&quot;citeprocText&quot;:&quot;(Levenspiel, 1999)&quot;,&quot;manualOverrideText&quot;:&quot;&quot;},&quot;citationTag&quot;:&quot;MENDELEY_CITATION_v3_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&quot;,&quot;citationItems&quot;:[{&quot;id&quot;:&quot;d34294d7-9b6e-3be4-810d-7bcdb5a44936&quot;,&quot;itemData&quot;:{&quot;type&quot;:&quot;book&quot;,&quot;id&quot;:&quot;d34294d7-9b6e-3be4-810d-7bcdb5a44936&quot;,&quot;title&quot;:&quot;Chemical Reaction Engineering &quot;,&quot;author&quot;:[{&quot;family&quot;:&quot;Levenspiel&quot;,&quot;given&quot;:&quot;Octave&quot;,&quot;parse-names&quot;:false,&quot;dropping-particle&quot;:&quot;&quot;,&quot;non-dropping-particle&quot;:&quot;&quot;}],&quot;issued&quot;:{&quot;date-parts&quot;:[[1999]]},&quot;edition&quot;:&quot;3rd&quot;,&quot;publisher&quot;:&quot;John Wiley &amp; Sons&quot;,&quot;container-title-short&quot;:&quot;&quot;},&quot;isTemporary&quot;:false}]},{&quot;citationID&quot;:&quot;MENDELEY_CITATION_8ad0d324-2249-41ff-819a-cc0fec68eb4b&quot;,&quot;properties&quot;:{&quot;noteIndex&quot;:0},&quot;isEdited&quot;:false,&quot;manualOverride&quot;:{&quot;isManuallyOverridden&quot;:false,&quot;citeprocText&quot;:&quot;(Er-rbib &amp;#38; Bouallou, 2013)&quot;,&quot;manualOverrideText&quot;:&quot;&quot;},&quot;citationTag&quot;:&quot;MENDELEY_CITATION_v3_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&quot;,&quot;citationItems&quot;:[{&quot;id&quot;:&quot;1645d4b9-822c-3f0f-a663-d5a18e377632&quot;,&quot;itemData&quot;:{&quot;type&quot;:&quot;paper-conference&quot;,&quot;id&quot;:&quot;1645d4b9-822c-3f0f-a663-d5a18e377632&quot;,&quot;title&quot;:&quot;Modelling and simulation of methanation catalytic reactor for renewable electricity storage&quot;,&quot;author&quot;:[{&quot;family&quot;:&quot;Er-rbib&quot;,&quot;given&quot;:&quot;Hanaâ&quot;,&quot;parse-names&quot;:false,&quot;dropping-particle&quot;:&quot;&quot;,&quot;non-dropping-particle&quot;:&quot;&quot;},{&quot;family&quot;:&quot;Bouallou&quot;,&quot;given&quot;:&quot;Chakib&quot;,&quot;parse-names&quot;:false,&quot;dropping-particle&quot;:&quot;&quot;,&quot;non-dropping-particle&quot;:&quot;&quot;}],&quot;container-title&quot;:&quot;Chemical Engineering Transactions&quot;,&quot;DOI&quot;:&quot;10.3303/CET1335090&quot;,&quot;ISSN&quot;:&quot;22839216&quot;,&quot;issued&quot;:{&quot;date-parts&quot;:[[2013]]},&quot;page&quot;:&quot;541-546&quot;,&quot;abstract&quot;:&quot;Storing renewable electricity in a natural gas grid is an innovative concept. Renewable energy (wind or solar power) is stored as chemical energy in existing storage capacities, which is an advantage over hydrogen. Storage and power conversion technologies for natural gas are state-of-the-art, commercial technologies unlike hydrogen. A further advantage of storage is the higher energy density of methane. Renewable natural gas substitute (SNG) can be stored, distributed and reconverted on demand in balance power. In this novel approach, renewable energies are converted via reversible solid oxide cells (RSOC) into CO and Hydrogen. Syngas (H2 and CO) is then converted into methane. Thus, the main conversion step is methanation. Methanation synthesis is a catalytic exothermal process at temperatures of 473-673 K and high pressure from 20 to 70 bar. Syngas enters the methanation reactor with H2/CO molar ratio of 3. The reactions considered in the proposed model are CO methanation and Water Gas Shift conversion (WGS). Modelling and simulation of the methanation catalytic reactor was developed using the Aspen Plus™ software considering an isothermal fixed bed reactor with steam recovery and CO methanation kinetic on Ni catalyst. The model was validated by comparing the calculated gas concentration profiles (CH4, CO, CO2 and H2) with the recent experimental data obtained on bench-scale and with industrial data. The mean absolute percentage error was 12 %. The mixture leaving methanation reactor contained 47.3 % of CH4, 1.2 % of H 2, 6.6 % of CO2, 0.1 % of CO and 44.7 % of H2O. Copyright © 2013, AIDIC Servizi S.r.l.&quot;,&quot;publisher&quot;:&quot;Italian Association of Chemical Engineering - AIDIC&quot;,&quot;volume&quot;:&quot;35&quot;,&quot;container-title-short&quot;:&quot;Chem Eng Trans&quot;},&quot;isTemporary&quot;:false}]},{&quot;citationID&quot;:&quot;MENDELEY_CITATION_5e9c0ac2-1797-4474-9549-3cc894728b3d&quot;,&quot;properties&quot;:{&quot;noteIndex&quot;:0},&quot;isEdited&quot;:false,&quot;manualOverride&quot;:{&quot;isManuallyOverridden&quot;:true,&quot;citeprocText&quot;:&quot;(Andriani, De Liso, et al., 2024)&quot;,&quot;manualOverrideText&quot;:&quot;(Andriani et al., 2024b)&quot;},&quot;citationTag&quot;:&quot;MENDELEY_CITATION_v3_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&quot;,&quot;citationItems&quot;:[{&quot;id&quot;:&quot;c5dfea1d-ddeb-394e-9a9e-b0c5fb7ba33e&quot;,&quot;itemData&quot;:{&quot;type&quot;:&quot;article-journal&quot;,&quot;id&quot;:&quot;c5dfea1d-ddeb-394e-9a9e-b0c5fb7ba33e&quot;,&quot;title&quot;:&quot;Design of sustainable reactor based on key performance indicators&quot;,&quot;author&quot;:[{&quot;family&quot;:&quot;Andriani&quot;,&quot;given&quot;:&quot;Giuseppe&quot;,&quot;parse-names&quot;:false,&quot;dropping-particle&quot;:&quot;&quot;,&quot;non-dropping-particle&quot;:&quot;&quot;},{&quot;family&quot;:&quot;Liso&quot;,&quot;given&quot;:&quot;Benedetta A.&quot;,&quot;parse-names&quot;:false,&quot;dropping-particle&quot;:&quot;&quot;,&quot;non-dropping-particle&quot;:&quot;De&quot;},{&quot;family&quot;:&quot;Pio&quot;,&quot;given&quot;:&quot;Gianmaria&quot;,&quot;parse-names&quot;:false,&quot;dropping-particle&quot;:&quot;&quot;,&quot;non-dropping-particle&quot;:&quot;&quot;},{&quot;family&quot;:&quot;Salzano&quot;,&quot;given&quot;:&quot;Ernesto&quot;,&quot;parse-names&quot;:false,&quot;dropping-particle&quot;:&quot;&quot;,&quot;non-dropping-particle&quot;:&quot;&quot;}],&quot;container-title&quot;:&quot;Chemical Engineering Science&quot;,&quot;container-title-short&quot;:&quot;Chem Eng Sci&quot;,&quot;DOI&quot;:&quot;10.1016/j.ces.2023.119591&quot;,&quot;ISSN&quot;:&quot;00092509&quot;,&quot;issued&quot;:{&quot;date-parts&quot;:[[2024,3,5]]},&quot;abstract&quot;:&quot;The design of chemical reactors has been largely considered primarily related to techno-economic evaluations. However, the recent need for sustainable solutions and processes has promoted the inclusion of environmental and safety parameters to identify the most suitable solution. In this sense, an innovative procedure has been developed in this work to identify and design a reactive section in chemical processes. To this aim, different key performance indicators have been defined and quantified for each domain considered within the analysis, namely technological, economic, environmental, and safety domains. In addition, the safety aspects have been quantified by integrating Semenov's theory and Varma, Morbidelli and Wu's theory. The validity and potentiality of the proposed procedure have been tested and shown by applying it to a case study representative for the scale-up of pharmaceutical processes: the industrial synthesis of a Vitamin A intermediate. A preliminary design has been performed for different configurations based on apparent kinetics determined from experimental data and ab initio coefficients available in the current literature. Among the analysed solutions, a single reactor with a volume of 15.90 m3 has been indicated as the most suitable for the process requirements regarding overall sustainability. Hence, the developed procedure can be intended as a powerful tool for screening among available configurations, enabling a more informed decision by simplifying and optimising the scale-up and the detailed design.&quot;,&quot;publisher&quot;:&quot;Elsevier Ltd&quot;,&quot;volume&quot;:&quot;285&quot;},&quot;isTemporary&quot;:false}]},{&quot;citationID&quot;:&quot;MENDELEY_CITATION_3d32b04a-a708-4564-aea7-ce75d73a8061&quot;,&quot;properties&quot;:{&quot;noteIndex&quot;:0},&quot;isEdited&quot;:false,&quot;manualOverride&quot;:{&quot;isManuallyOverridden&quot;:false,&quot;citeprocText&quot;:&quot;(Sánchez et al., 2026)&quot;,&quot;manualOverrideText&quot;:&quot;&quot;},&quot;citationTag&quot;:&quot;MENDELEY_CITATION_v3_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&quot;,&quot;citationItems&quot;:[{&quot;id&quot;:&quot;d85d8c4a-9360-3627-a958-656850f0255e&quot;,&quot;itemData&quot;:{&quot;type&quot;:&quot;article-journal&quot;,&quot;id&quot;:&quot;d85d8c4a-9360-3627-a958-656850f0255e&quot;,&quot;title&quot;:&quot;A hybrid surrogate and simulation-based framework for efficient CapEx/OpEx optimization in complex chemical plants&quot;,&quot;author&quot;:[{&quot;family&quot;:&quot;Sánchez&quot;,&quot;given&quot;:&quot;Luis Felipe&quot;,&quot;parse-names&quot;:false,&quot;dropping-particle&quot;:&quot;&quot;,&quot;non-dropping-particle&quot;:&quot;&quot;},{&quot;family&quot;:&quot;Bozzini&quot;,&quot;given&quot;:&quot;Marcello Maria&quot;,&quot;parse-names&quot;:false,&quot;dropping-particle&quot;:&quot;&quot;,&quot;non-dropping-particle&quot;:&quot;&quot;},{&quot;family&quot;:&quot;Vallerio&quot;,&quot;given&quot;:&quot;Mattia&quot;,&quot;parse-names&quot;:false,&quot;dropping-particle&quot;:&quot;&quot;,&quot;non-dropping-particle&quot;:&quot;&quot;},{&quot;family&quot;:&quot;Manenti&quot;,&quot;given&quot;:&quot;Flavio&quot;,&quot;parse-names&quot;:false,&quot;dropping-particle&quot;:&quot;&quot;,&quot;non-dropping-particle&quot;:&quot;&quot;}],&quot;container-title&quot;:&quot;Chemical Engineering and Processing - Process Intensification&quot;,&quot;DOI&quot;:&quot;10.1016/j.cep.2025.110638&quot;,&quot;ISSN&quot;:&quot;02552701&quot;,&quot;URL&quot;:&quot;https://linkinghub.elsevier.com/retrieve/pii/S0255270125004842&quot;,&quot;issued&quot;:{&quot;date-parts&quot;:[[2026,1]]},&quot;page&quot;:&quot;110638&quot;,&quot;volume&quot;:&quot;219&quot;,&quot;container-title-short&quot;:&quot;&quot;},&quot;isTemporary&quot;:false}]},{&quot;citationID&quot;:&quot;MENDELEY_CITATION_efcfce7c-0b58-4ed2-8fde-a5bee592bc95&quot;,&quot;properties&quot;:{&quot;noteIndex&quot;:0},&quot;isEdited&quot;:false,&quot;manualOverride&quot;:{&quot;isManuallyOverridden&quot;:false,&quot;citeprocText&quot;:&quot;(Costamagna et al., 2020)&quot;,&quot;manualOverrideText&quot;:&quot;&quot;},&quot;citationTag&quot;:&quot;MENDELEY_CITATION_v3_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&quot;,&quot;citationItems&quot;:[{&quot;id&quot;:&quot;b274fd6f-3ca0-364d-b138-32416e3bb1fd&quot;,&quot;itemData&quot;:{&quot;type&quot;:&quot;article-journal&quot;,&quot;id&quot;:&quot;b274fd6f-3ca0-364d-b138-32416e3bb1fd&quot;,&quot;title&quot;:&quot;Modeling of laboratory steam methane reforming and CO2 methanation reactors&quot;,&quot;author&quot;:[{&quot;family&quot;:&quot;Costamagna&quot;,&quot;given&quot;:&quot;Paola&quot;,&quot;parse-names&quot;:false,&quot;dropping-particle&quot;:&quot;&quot;,&quot;non-dropping-particle&quot;:&quot;&quot;},{&quot;family&quot;:&quot;Pugliese&quot;,&quot;given&quot;:&quot;Federico&quot;,&quot;parse-names&quot;:false,&quot;dropping-particle&quot;:&quot;&quot;,&quot;non-dropping-particle&quot;:&quot;&quot;},{&quot;family&quot;:&quot;Cavattoni&quot;,&quot;given&quot;:&quot;Tullio&quot;,&quot;parse-names&quot;:false,&quot;dropping-particle&quot;:&quot;&quot;,&quot;non-dropping-particle&quot;:&quot;&quot;},{&quot;family&quot;:&quot;Busca&quot;,&quot;given&quot;:&quot;Guido&quot;,&quot;parse-names&quot;:false,&quot;dropping-particle&quot;:&quot;&quot;,&quot;non-dropping-particle&quot;:&quot;&quot;},{&quot;family&quot;:&quot;Garbarino&quot;,&quot;given&quot;:&quot;Gabriella&quot;,&quot;parse-names&quot;:false,&quot;dropping-particle&quot;:&quot;&quot;,&quot;non-dropping-particle&quot;:&quot;&quot;}],&quot;container-title&quot;:&quot;Energies&quot;,&quot;DOI&quot;:&quot;10.3390/en13102624&quot;,&quot;ISSN&quot;:&quot;19961073&quot;,&quot;issued&quot;:{&quot;date-parts&quot;:[[2020,5,1]]},&quot;abstract&quot;:&quot;To support the interpretation of the experimental results obtained from two laboratory-scale reactors, one working in the steam methane reforming (SMR) mode, and the other in the CO2 hydrogenation (MCO2) mode, a steady-state pseudo-homogeneous 1D non-isothermal packed-bed reactor model is developed, embedding the classical Xu and Froment local kinetics. The laboratory reactors are operated with three different catalysts, two commercial and one homemade. The simulation model makes it possible to identify and account for thermal effects occurring inside the catalytic zone of the reactor and along the exit line. The model is intended to guide the development of small size SMR and MCO2 reactors in the context of Power-to-X (P2X) studies.&quot;,&quot;publisher&quot;:&quot;MDPI AG&quot;,&quot;issue&quot;:&quot;10&quot;,&quot;volume&quot;:&quot;13&quot;,&quot;container-title-short&quot;:&quot;Energies (Basel)&quot;},&quot;isTemporary&quot;:false}]},{&quot;citationID&quot;:&quot;MENDELEY_CITATION_b1cd20fe-1d56-47d3-879f-c6fdee6a29dd&quot;,&quot;properties&quot;:{&quot;noteIndex&quot;:0},&quot;isEdited&quot;:false,&quot;manualOverride&quot;:{&quot;isManuallyOverridden&quot;:false,&quot;citeprocText&quot;:&quot;(Froment et al., 2011)&quot;,&quot;manualOverrideText&quot;:&quot;&quot;},&quot;citationTag&quot;:&quot;MENDELEY_CITATION_v3_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&quot;,&quot;citationItems&quot;:[{&quot;id&quot;:&quot;0fb7961d-5292-3d45-b198-e6c6bf545138&quot;,&quot;itemData&quot;:{&quot;type&quot;:&quot;book&quot;,&quot;id&quot;:&quot;0fb7961d-5292-3d45-b198-e6c6bf545138&quot;,&quot;title&quot;:&quot;Chemical Reactor Analysis and Design&quot;,&quot;author&quot;:[{&quot;family&quot;:&quot;Froment&quot;,&quot;given&quot;:&quot;Gilbert F.&quot;,&quot;parse-names&quot;:false,&quot;dropping-particle&quot;:&quot;&quot;,&quot;non-dropping-particle&quot;:&quot;&quot;},{&quot;family&quot;:&quot;Bischoff&quot;,&quot;given&quot;:&quot;Kenneth B.&quot;,&quot;parse-names&quot;:false,&quot;dropping-particle&quot;:&quot;&quot;,&quot;non-dropping-particle&quot;:&quot;&quot;},{&quot;family&quot;:&quot;Wilde&quot;,&quot;given&quot;:&quot;Juray&quot;,&quot;parse-names&quot;:false,&quot;dropping-particle&quot;:&quot;&quot;,&quot;non-dropping-particle&quot;:&quot;De&quot;}],&quot;issued&quot;:{&quot;date-parts&quot;:[[2011]]},&quot;edition&quot;:&quot;3rd&quot;,&quot;publisher&quot;:&quot;John Wiley &amp; Sons&quot;,&quot;container-title-short&quot;:&quot;&quot;},&quot;isTemporary&quot;:false}]},{&quot;citationID&quot;:&quot;MENDELEY_CITATION_6ae5b165-ac7d-4e37-b154-b0da71181752&quot;,&quot;properties&quot;:{&quot;noteIndex&quot;:0},&quot;isEdited&quot;:false,&quot;manualOverride&quot;:{&quot;isManuallyOverridden&quot;:false,&quot;citeprocText&quot;:&quot;(Omar et al., 2023)&quot;,&quot;manualOverrideText&quot;:&quot;&quot;},&quot;citationTag&quot;:&quot;MENDELEY_CITATION_v3_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&quot;,&quot;citationItems&quot;:[{&quot;id&quot;:&quot;18a70e2e-bf34-329e-8e28-d80893f9a158&quot;,&quot;itemData&quot;:{&quot;type&quot;:&quot;article-journal&quot;,&quot;id&quot;:&quot;18a70e2e-bf34-329e-8e28-d80893f9a158&quot;,&quot;title&quot;:&quot;Study of Carbon Dioxide Methanation Performance using Nickel-Based Catalyst and New Synthesised Catalyst&quot;,&quot;author&quot;:[{&quot;family&quot;:&quot;Omar&quot;,&quot;given&quot;:&quot;Noraziah&quot;,&quot;parse-names&quot;:false,&quot;dropping-particle&quot;:&quot;&quot;,&quot;non-dropping-particle&quot;:&quot;&quot;},{&quot;family&quot;:&quot;Zubir&quot;,&quot;given&quot;:&quot;Muhammad Afiq&quot;,&quot;parse-names&quot;:false,&quot;dropping-particle&quot;:&quot;&quot;,&quot;non-dropping-particle&quot;:&quot;&quot;},{&quot;family&quot;:&quot;Ramli&quot;,&quot;given&quot;:&quot;Wan Muhammad Faris Wan&quot;,&quot;parse-names&quot;:false,&quot;dropping-particle&quot;:&quot;&quot;,&quot;non-dropping-particle&quot;:&quot;&quot;},{&quot;family&quot;:&quot;Hashim&quot;,&quot;given&quot;:&quot;Haslenda&quot;,&quot;parse-names&quot;:false,&quot;dropping-particle&quot;:&quot;&quot;,&quot;non-dropping-particle&quot;:&quot;&quot;},{&quot;family&quot;:&quot;Ng&quot;,&quot;given&quot;:&quot;Jia&quot;,&quot;parse-names&quot;:false,&quot;dropping-particle&quot;:&quot;&quot;,&quot;non-dropping-particle&quot;:&quot;Le&quot;},{&quot;family&quot;:&quot;Ho&quot;,&quot;given&quot;:&quot;Wai Shin&quot;,&quot;parse-names&quot;:false,&quot;dropping-particle&quot;:&quot;&quot;,&quot;non-dropping-particle&quot;:&quot;&quot;}],&quot;container-title&quot;:&quot;Chemical Engineering Transactions&quot;,&quot;DOI&quot;:&quot;10.3303/CET23106135&quot;,&quot;ISSN&quot;:&quot;22839216&quot;,&quot;issued&quot;:{&quot;date-parts&quot;:[[2023]]},&quot;page&quot;:&quot;805-810&quot;,&quot;abstract&quot;:&quot;Greenhouse gaseous emissions have increased significantly, leading to implement carbon capture, utilisation and storage technology. Among potential carbon utilisation strategies, carbon dioxide (CO2) methanation received much attention due to the advantage of producing non-fossil fuel energy sources using CO2 captured from flue gas. However, CO2 methanation is a highly kinetic limited reaction, so a catalyst needs to be applied to achieve targeted reaction performance. In recent years, nickel-based catalysts have been widely used in catalysing the CO2 methanation process due to high activity and availability but utilising nickel-based catalysts will lead to a high activation energy of 92 kJ/mol for the reaction to occur so NEMR5-8, an in-house synthesised catalyst, was developed to lower the activation energy. This study developed a simulation model to investigate the improvement in CO2 conversion with respect to temperature, pressure, catalyst-to-feed ratio and net energy produced. Based on the simulation result, the NEMR5-8 catalyst required methanation to be operated at a low temperature of 100 °C to achieve 100 % conversion, which led to a 10 % energy intensity saving compared to the nickel-based catalyst. NEMR5-8 was also capable of withstanding change in pressure and maintained 100 % CO2 conversion at pressures of 1 to 5 bar and could enhance CO2 conversion for the methanation process at a low catalyst-to-feed ratio, 0.25 (1 kg catalyst).&quot;,&quot;publisher&quot;:&quot;Italian Association of Chemical Engineering - AIDIC&quot;,&quot;volume&quot;:&quot;106&quot;,&quot;container-title-short&quot;:&quot;Chem Eng Trans&quot;},&quot;isTemporary&quot;:false}]},{&quot;citationID&quot;:&quot;MENDELEY_CITATION_1d2a0518-7978-4929-9670-4d0cf3aff5de&quot;,&quot;properties&quot;:{&quot;noteIndex&quot;:0},&quot;isEdited&quot;:false,&quot;manualOverride&quot;:{&quot;isManuallyOverridden&quot;:false,&quot;citeprocText&quot;:&quot;(Di Nardo et al., 2021)&quot;,&quot;manualOverrideText&quot;:&quot;&quot;},&quot;citationTag&quot;:&quot;MENDELEY_CITATION_v3_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&quot;,&quot;citationItems&quot;:[{&quot;id&quot;:&quot;c5aaa6c3-62bd-3b9f-903a-33147bbc7948&quot;,&quot;itemData&quot;:{&quot;type&quot;:&quot;article-journal&quot;,&quot;id&quot;:&quot;c5aaa6c3-62bd-3b9f-903a-33147bbc7948&quot;,&quot;title&quot;:&quot;CO2 methanation in a shell and tube reactor CFD simulations: high temperatures mitigation analysis&quot;,&quot;author&quot;:[{&quot;family&quot;:&quot;Nardo&quot;,&quot;given&quot;:&quot;Antonio&quot;,&quot;parse-names&quot;:false,&quot;dropping-particle&quot;:&quot;&quot;,&quot;non-dropping-particle&quot;:&quot;Di&quot;},{&quot;family&quot;:&quot;Calchetti&quot;,&quot;given&quot;:&quot;Giorgio&quot;,&quot;parse-names&quot;:false,&quot;dropping-particle&quot;:&quot;&quot;,&quot;non-dropping-particle&quot;:&quot;&quot;},{&quot;family&quot;:&quot;Bassano&quot;,&quot;given&quot;:&quot;Claudia&quot;,&quot;parse-names&quot;:false,&quot;dropping-particle&quot;:&quot;&quot;,&quot;non-dropping-particle&quot;:&quot;&quot;},{&quot;family&quot;:&quot;Deiana&quot;,&quot;given&quot;:&quot;Paolo&quot;,&quot;parse-names&quot;:false,&quot;dropping-particle&quot;:&quot;&quot;,&quot;non-dropping-particle&quot;:&quot;&quot;}],&quot;container-title&quot;:&quot;Chemical Engineering Science&quot;,&quot;DOI&quot;:&quot;10.1016/j.ces.2021.116871&quot;,&quot;ISSN&quot;:&quot;00092509&quot;,&quot;issued&quot;:{&quot;date-parts&quot;:[[2021,12,31]]},&quot;abstract&quot;:&quot;CO2 methanation is gaining increasing interest in the last years as a way of storage of the energy surplus produced by renewable energy sources. Shell and tube reactors are among the most widespread type of methanation reactors. One-dimensional pseudo-homogenous/heterogeneous models and CFD (Computational Fluid Dynamics) models using some simplifications, as imposed heat exchange coefficients and constant coolant temperatures, have been applied up to now to study the problem. In this article those simplifications have been removed and the CO2 methanation in a cooled multi-tubular catalyst reactor has been investigated through 3D CFD simulations, using a commercial software and a porous model. Nitrogen and oil cooling have been studied and the results have been compared. The goal is to identify suitable solutions that allow the use of gas cooling, while maintaining low temperature levels and high conversions. The oil cooling case has been also analyzed for comparison and in the perspective of a future system upgrade. After a validation of the model using the available experimental data, a sensitivity analysis has been conducted for what concerns coolant and reactants temperatures and flow rates, catalyst load and operating pressure in the tubes. Strategies for the high temperatures mitigation in the reactive zones have been evaluated and discussed. In particular the proposed technique of catalyst uneven distribution has revealed to be very effective. The model has proved to be very useful for a detailed analysis of the phenomenon and for obtaining essential data that resulted difficult to measure by experimentation.&quot;,&quot;publisher&quot;:&quot;Elsevier Ltd&quot;,&quot;volume&quot;:&quot;246&quot;,&quot;container-title-short&quot;:&quot;Chem Eng Sci&quot;},&quot;isTemporary&quot;:false}]},{&quot;citationID&quot;:&quot;MENDELEY_CITATION_a8fdd2e7-ff55-4cad-8f40-1ee452e6b9a9&quot;,&quot;properties&quot;:{&quot;noteIndex&quot;:0},&quot;isEdited&quot;:false,&quot;manualOverride&quot;:{&quot;isManuallyOverridden&quot;:false,&quot;citeprocText&quot;:&quot;(Frontera et al., 2017)&quot;,&quot;manualOverrideText&quot;:&quot;&quot;},&quot;citationTag&quot;:&quot;MENDELEY_CITATION_v3_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&quot;,&quot;citationItems&quot;:[{&quot;id&quot;:&quot;03df0d95-69b0-31ab-b478-ea78c8b1dba1&quot;,&quot;itemData&quot;:{&quot;type&quot;:&quot;article-journal&quot;,&quot;id&quot;:&quot;03df0d95-69b0-31ab-b478-ea78c8b1dba1&quot;,&quot;title&quot;:&quot;CO2 conversion over supported Ni nanoparticles&quot;,&quot;author&quot;:[{&quot;family&quot;:&quot;Frontera&quot;,&quot;given&quot;:&quot;Patrizia&quot;,&quot;parse-names&quot;:false,&quot;dropping-particle&quot;:&quot;&quot;,&quot;non-dropping-particle&quot;:&quot;&quot;},{&quot;family&quot;:&quot;Macario&quot;,&quot;given&quot;:&quot;Anastasia&quot;,&quot;parse-names&quot;:false,&quot;dropping-particle&quot;:&quot;&quot;,&quot;non-dropping-particle&quot;:&quot;&quot;},{&quot;family&quot;:&quot;Candamano&quot;,&quot;given&quot;:&quot;Sebastiano&quot;,&quot;parse-names&quot;:false,&quot;dropping-particle&quot;:&quot;&quot;,&quot;non-dropping-particle&quot;:&quot;&quot;},{&quot;family&quot;:&quot;Barberio&quot;,&quot;given&quot;:&quot;Marianna&quot;,&quot;parse-names&quot;:false,&quot;dropping-particle&quot;:&quot;&quot;,&quot;non-dropping-particle&quot;:&quot;&quot;},{&quot;family&quot;:&quot;Crea&quot;,&quot;given&quot;:&quot;Fortunato&quot;,&quot;parse-names&quot;:false,&quot;dropping-particle&quot;:&quot;&quot;,&quot;non-dropping-particle&quot;:&quot;&quot;},{&quot;family&quot;:&quot;Antonucci&quot;,&quot;given&quot;:&quot;Pierluigi&quot;,&quot;parse-names&quot;:false,&quot;dropping-particle&quot;:&quot;&quot;,&quot;non-dropping-particle&quot;:&quot;&quot;}],&quot;container-title&quot;:&quot;Chemical Engineering Transactions&quot;,&quot;DOI&quot;:&quot;10.3303/CET1760039&quot;,&quot;ISSN&quot;:&quot;22839216&quot;,&quot;issued&quot;:{&quot;date-parts&quot;:[[2017]]},&quot;page&quot;:&quot;229-234&quot;,&quot;abstract&quot;:&quot;To accelerate the reduction of global greenhouse gas emissions represents an urgent response to the climate change and to its devastating effects on human society and planet. The 2030 Agenda for sustainable development written during the last global meeting on climate change (COP 21) requires that greenhouse gas emissions begin to decline within the next two decades, holding the increase in the global average temperature below 2 °C above preindustrial levels. Apart water vapor, the major greenhouse gases present in our atmosphere are CO2 and CH4. Consequently, there is much interest in the scientific world towards new and more efficient methods to use carbon dioxide and methane. Therefore, the password for the humanity future is Decarbonation. The main source of CH4 is from natural gas and its main uses are in the combustion processes, power generation and chemical production from syngas. Syngas represents an important intermediate for ultra-clean liquid fuel production and it is a valid raw chemical as alternative source to petroleum. There are numerous processes for syngas production, such as partial oxidation, steam reforming, auto-thermal reforming, dry reforming and oxy-reforming. Among these, dry reforming (e.g. reforming of methane with CO2), is currently attracting great interest since it utilizes, with respect to the other processes, carbon containing feedstocks. Recently, the CO2 methanation has become of interest as renewable energy storage system based on a Power-to-Gas conversion. The conversion of electricity into methane takes place into two steps: hydrogen is produced by electrolysis and converted into methane by CO2 methanation. Active, selective and stable catalyst is the core of the above-mentioned processes (dry-reforming and CO2 methanation) to produce green fuels. For these reasons, in the last decades several researchers have deeply studied the critical issues in the catalysts preparation for dry reforming and CO2-methanation reactions. Transition metals (Ni, Pd, Pt, Co, Ru, Rh, etc.) are active species in both catalytic processes. Among these metals, Ni, Ru and Rh are the most effective. Ni has been the most studied because it presents a peculiarity that makes it interesting from a commercial point of view: it is the cheapest. To preserve and improve metal activity, technology focused on the development of metal-supported catalysts. Alumina, silica, zeolites, zirconia, ceria and carbon nanotubes are supports largely investigated. In this work we summarize the fundamental properties of supported Ni nanoparticles that make it the most suitable catalyst for conversion of CO2 in the sustainable energy production.&quot;,&quot;publisher&quot;:&quot;Italian Association of Chemical Engineering - AIDIC&quot;,&quot;volume&quot;:&quot;60&quot;,&quot;container-title-short&quot;:&quot;Chem Eng Trans&quot;},&quot;isTemporary&quot;:false}]},{&quot;citationID&quot;:&quot;MENDELEY_CITATION_ae869838-3864-44bb-84f3-be3c0ae8a0b0&quot;,&quot;properties&quot;:{&quot;noteIndex&quot;:0},&quot;isEdited&quot;:false,&quot;manualOverride&quot;:{&quot;isManuallyOverridden&quot;:false,&quot;citeprocText&quot;:&quot;(Xu &amp;#38; Froment, 1989)&quot;,&quot;manualOverrideText&quot;:&quot;&quot;},&quot;citationTag&quot;:&quot;MENDELEY_CITATION_v3_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&quot;,&quot;citationItems&quot;:[{&quot;id&quot;:&quot;2aaf8336-b817-3641-8e67-245af7acf8a4&quot;,&quot;itemData&quot;:{&quot;type&quot;:&quot;article-journal&quot;,&quot;id&quot;:&quot;2aaf8336-b817-3641-8e67-245af7acf8a4&quot;,&quot;title&quot;:&quot;Methane Steam Reforming, Methanation and Water-Gas Shift: 1. Intrinsic Kinetics&quot;,&quot;author&quot;:[{&quot;family&quot;:&quot;Xu&quot;,&quot;given&quot;:&quot;Jianguo&quot;,&quot;parse-names&quot;:false,&quot;dropping-particle&quot;:&quot;&quot;,&quot;non-dropping-particle&quot;:&quot;&quot;},{&quot;family&quot;:&quot;Froment&quot;,&quot;given&quot;:&quot;Gilbert F.&quot;,&quot;parse-names&quot;:false,&quot;dropping-particle&quot;:&quot;&quot;,&quot;non-dropping-particle&quot;:&quot;&quot;}],&quot;container-title&quot;:&quot;AIChE Journal&quot;,&quot;DOI&quot;:&quot;10.1002/aic.690350109&quot;,&quot;issued&quot;:{&quot;date-parts&quot;:[[1989]]},&quot;page&quot;:&quot;88-96&quot;,&quot;abstract&quot;:&quot;Intrinsic rate equations were derived for the steam reforming of methane, accompanied by water-gas shift on a Ni / MgA1204 catalyst. A large number of detailed reaction mechanisms were considered. Ther-modynamic analysis helped in reducing the number of possible mechanisms. Twenty one sets of three rate equations were retained and subjected to model discrimination and parameter estimation. The parameter estimates in the best model are statistically significant and thermodynamically consistent.&quot;,&quot;issue&quot;:&quot;1&quot;,&quot;volume&quot;:&quot;35&quot;,&quot;container-title-short&quot;:&quot;&quot;},&quot;isTemporary&quot;:false}]},{&quot;citationID&quot;:&quot;MENDELEY_CITATION_f0b07631-f116-422d-99d5-d0079e8fd84f&quot;,&quot;properties&quot;:{&quot;noteIndex&quot;:0},&quot;isEdited&quot;:false,&quot;manualOverride&quot;:{&quot;isManuallyOverridden&quot;:false,&quot;citeprocText&quot;:&quot;(Champon et al., 2019)&quot;,&quot;manualOverrideText&quot;:&quot;&quot;},&quot;citationTag&quot;:&quot;MENDELEY_CITATION_v3_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&quot;,&quot;citationItems&quot;:[{&quot;id&quot;:&quot;2dbc394d-0092-3acf-9582-02e844bb286f&quot;,&quot;itemData&quot;:{&quot;type&quot;:&quot;article-journal&quot;,&quot;id&quot;:&quot;2dbc394d-0092-3acf-9582-02e844bb286f&quot;,&quot;title&quot;:&quot;Carbon dioxide methanation kinetic model on a commercial Ni/Al2O3 catalyst&quot;,&quot;author&quot;:[{&quot;family&quot;:&quot;Champon&quot;,&quot;given&quot;:&quot;Isabelle&quot;,&quot;parse-names&quot;:false,&quot;dropping-particle&quot;:&quot;&quot;,&quot;non-dropping-particle&quot;:&quot;&quot;},{&quot;family&quot;:&quot;Bengaouer&quot;,&quot;given&quot;:&quot;Alain&quot;,&quot;parse-names&quot;:false,&quot;dropping-particle&quot;:&quot;&quot;,&quot;non-dropping-particle&quot;:&quot;&quot;},{&quot;family&quot;:&quot;Chaise&quot;,&quot;given&quot;:&quot;Albin&quot;,&quot;parse-names&quot;:false,&quot;dropping-particle&quot;:&quot;&quot;,&quot;non-dropping-particle&quot;:&quot;&quot;},{&quot;family&quot;:&quot;Thomas&quot;,&quot;given&quot;:&quot;Sébastien&quot;,&quot;parse-names&quot;:false,&quot;dropping-particle&quot;:&quot;&quot;,&quot;non-dropping-particle&quot;:&quot;&quot;},{&quot;family&quot;:&quot;Roger&quot;,&quot;given&quot;:&quot;Anne Cécile&quot;,&quot;parse-names&quot;:false,&quot;dropping-particle&quot;:&quot;&quot;,&quot;non-dropping-particle&quot;:&quot;&quot;}],&quot;container-title&quot;:&quot;Journal of CO2 Utilization&quot;,&quot;DOI&quot;:&quot;10.1016/j.jcou.2019.05.030&quot;,&quot;ISSN&quot;:&quot;22129820&quot;,&quot;issued&quot;:{&quot;date-parts&quot;:[[2019,12,1]]},&quot;page&quot;:&quot;256-265&quot;,&quot;abstract&quot;:&quot;Intrinsic kinetic characterization of the carbon dioxide methanation was determined over a commercial 14-17 wt.% Ni/Al2O3 between 623 K and 723 K at atmospheric pressure in the absence of heat and mass transfer limitations. Following a Hougen-Watson formalism, both direct path (CO2 methanation rate equation) and indirect path (Reverse Water Gas Shift rate equation +CO methanation rate equation) were described. As a first step, kinetic tests were performed operating in differential mode to evaluate the reaction rate dependence on reactants and products partial pressure at different temperatures in order to select the form of each reaction rate equation. Kinetic models available in the literature were evaluated and compared with the experimental results and model adaptations were proposed to identify the kinetic laws that fit the best the experimental values. Kinetic and adsorption parameters were calculated from these laws. Then, the identified parameters were adjusted simultaneously on experimental tests from 5% to 75% CO2 conversion using an isothermal plug-flow reactor. The three reaction rates and their reverse reactions were identified in order to minimize the error on CO2 conversion and CH4 and CO selectivities at 623 K, 673 K and 723 K. The final identified kinetic model was able to reflect the kinetics from differential conversion to thermodynamic equilibrium with an accuracy of 20% on the CH4 formation rate for the three temperatures.&quot;,&quot;publisher&quot;:&quot;Elsevier Ltd&quot;,&quot;volume&quot;:&quot;34&quot;,&quot;container-title-short&quot;:&quot;&quot;},&quot;isTemporary&quot;:false}]},{&quot;citationID&quot;:&quot;MENDELEY_CITATION_577af7ad-a2e1-492d-87bf-944fb9bc7743&quot;,&quot;properties&quot;:{&quot;noteIndex&quot;:0},&quot;isEdited&quot;:false,&quot;manualOverride&quot;:{&quot;isManuallyOverridden&quot;:false,&quot;citeprocText&quot;:&quot;(Zaldívar &amp;#38; Strozzi, 2010)&quot;,&quot;manualOverrideText&quot;:&quot;&quot;},&quot;citationTag&quot;:&quot;MENDELEY_CITATION_v3_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&quot;,&quot;citationItems&quot;:[{&quot;id&quot;:&quot;12490e28-ac2b-3c29-bfd8-52669f7acb40&quot;,&quot;itemData&quot;:{&quot;type&quot;:&quot;article-journal&quot;,&quot;id&quot;:&quot;12490e28-ac2b-3c29-bfd8-52669f7acb40&quot;,&quot;title&quot;:&quot;Phase-space volume based control of semibatch reactors&quot;,&quot;author&quot;:[{&quot;family&quot;:&quot;Zaldívar&quot;,&quot;given&quot;:&quot;José Manuel&quot;,&quot;parse-names&quot;:false,&quot;dropping-particle&quot;:&quot;&quot;,&quot;non-dropping-particle&quot;:&quot;&quot;},{&quot;family&quot;:&quot;Strozzi&quot;,&quot;given&quot;:&quot;Fernanda&quot;,&quot;parse-names&quot;:false,&quot;dropping-particle&quot;:&quot;&quot;,&quot;non-dropping-particle&quot;:&quot;&quot;}],&quot;container-title&quot;:&quot;Chemical Engineering Research and Design&quot;,&quot;DOI&quot;:&quot;10.1016/j.cherd.2009.04.008&quot;,&quot;ISSN&quot;:&quot;02638762&quot;,&quot;issued&quot;:{&quot;date-parts&quot;:[[2010,3]]},&quot;page&quot;:&quot;320-330&quot;,&quot;abstract&quot;:&quot;We present and apply a control methodology using the divergence of the system as a goal function to control semibatch chemical reactors and show how the process operation may be optimized by only measuring the reactor and jacket temperatures. The implementation of the approach is also demonstrated using phase-space reconstruction techniques. This new control methodology offers a complementary approach to more traditional techniques and it can be easily extended to other industrial installations and processes. © 2009 The Institution of Chemical Engineers.&quot;,&quot;issue&quot;:&quot;3&quot;,&quot;volume&quot;:&quot;88&quot;,&quot;container-title-short&quot;:&quot;&quot;},&quot;isTemporary&quot;:false}]},{&quot;citationID&quot;:&quot;MENDELEY_CITATION_2cd32ff9-7e0e-4ce5-8949-4f8ea4aa2644&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&quot;,&quot;citationItems&quot;:[{&quot;id&quot;:&quot;399f9c7a-6314-3a39-b666-7b04d8b06de8&quot;,&quot;itemData&quot;:{&quot;type&quot;:&quot;article-journal&quot;,&quot;id&quot;:&quot;399f9c7a-6314-3a39-b666-7b04d8b06de8&quot;,&quot;title&quot;:&quot;Clustering-based recognition of thermal behaviors and optimization of safe–effective operating conditions for isoperibolic semibatch reactors&quot;,&quot;author&quot;:[{&quot;family&quot;:&quot;Zhang&quot;,&quot;given&quot;:&quot;Bo&quot;,&quot;parse-names&quot;:false,&quot;dropping-particle&quot;:&quot;&quot;,&quot;non-dropping-particle&quot;:&quot;&quot;},{&quot;family&quot;:&quot;Yang&quot;,&quot;given&quot;:&quot;Guang&quot;,&quot;parse-names&quot;:false,&quot;dropping-particle&quot;:&quot;&quot;,&quot;non-dropping-particle&quot;:&quot;&quot;},{&quot;family&quot;:&quot;Wang&quot;,&quot;given&quot;:&quot;Qiuyu&quot;,&quot;parse-names&quot;:false,&quot;dropping-particle&quot;:&quot;&quot;,&quot;non-dropping-particle&quot;:&quot;&quot;}],&quot;container-title&quot;:&quot;Journal of Thermal Analysis and Calorimetry&quot;,&quot;DOI&quot;:&quot;10.1007/s10973-025-14200-0&quot;,&quot;ISSN&quot;:&quot;15882926&quot;,&quot;issued&quot;:{&quot;date-parts&quot;:[[2025,5,1]]},&quot;page&quot;:&quot;7613-7632&quot;,&quot;abstract&quot;:&quot;Thermal behavior recognition is crucial for preventing thermal runaway and optimizing thermally safe and economic operating parameters in semibatch reactors, and thus, many criteria have been developed to date. However, since the category labels of thermal behavior samples are unsuspected, the identification of thermal behavior should be regarded as an unsupervised clustering issue in the field of pattern recognition. Based on this discovery, the recognition of thermal behavior was investigated from the clustering perspective. Consequently, the novel K-means (KM) criterion was proposed, integrating the KM clustering algorithm with the appropriate feature subset. The rationality of the proposed KM criterion was systematically verified by the visualization of feature distribution, the simulation of the samples near the boundaries of specific boundary diagrams, and the comparison with other criteria. Subsequently, an optimization process for designating safe and effective operating conditions was developed and implemented via the designed genetic-ant colony algorithm, which demonstrated remarkable accuracy and global search capability. Finally, the optimum operating parameters for the aromatic nitration of 4-chlorobenzotrifluoride were obtained, enabling the reaction system to perform effectively under thermally safe scenarios.&quot;,&quot;publisher&quot;:&quot;Springer Science and Business Media B.V.&quot;,&quot;issue&quot;:&quot;10&quot;,&quot;volume&quot;:&quot;150&quot;,&quot;container-title-short&quot;:&quot;J Therm Anal Calorim&quot;},&quot;isTemporary&quot;:false}]},{&quot;citationID&quot;:&quot;MENDELEY_CITATION_4796b118-9f3a-4be7-9a32-cdedef1bc6c2&quot;,&quot;properties&quot;:{&quot;noteIndex&quot;:0},&quot;isEdited&quot;:false,&quot;manualOverride&quot;:{&quot;isManuallyOverridden&quot;:false,&quot;citeprocText&quot;:&quot;(Green &amp;#38; Southard, 2019)&quot;,&quot;manualOverrideText&quot;:&quot;&quot;},&quot;citationTag&quot;:&quot;MENDELEY_CITATION_v3_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&quot;,&quot;citationItems&quot;:[{&quot;id&quot;:&quot;133ffff3-0ae8-3c49-9a64-d40f738dfe17&quot;,&quot;itemData&quot;:{&quot;type&quot;:&quot;book&quot;,&quot;id&quot;:&quot;133ffff3-0ae8-3c49-9a64-d40f738dfe17&quot;,&quot;title&quot;:&quot;Perry’s Chemical Engineers’ Handbook&quot;,&quot;author&quot;:[{&quot;family&quot;:&quot;Green&quot;,&quot;given&quot;:&quot;Don W.&quot;,&quot;parse-names&quot;:false,&quot;dropping-particle&quot;:&quot;&quot;,&quot;non-dropping-particle&quot;:&quot;&quot;},{&quot;family&quot;:&quot;Southard&quot;,&quot;given&quot;:&quot;Marylee Z.&quot;,&quot;parse-names&quot;:false,&quot;dropping-particle&quot;:&quot;&quot;,&quot;non-dropping-particle&quot;:&quot;&quot;}],&quot;issued&quot;:{&quot;date-parts&quot;:[[2019]]},&quot;edition&quot;:&quot;9th&quot;,&quot;publisher&quot;:&quot;McGraw-Hill Education&quot;,&quot;container-title-short&quot;:&quot;&quot;},&quot;isTemporary&quot;:false}]},{&quot;citationID&quot;:&quot;MENDELEY_CITATION_eb2babaf-599e-401a-89b2-76c8bdaecdb6&quot;,&quot;properties&quot;:{&quot;noteIndex&quot;:0},&quot;isEdited&quot;:false,&quot;manualOverride&quot;:{&quot;isManuallyOverridden&quot;:false,&quot;citeprocText&quot;:&quot;(Green &amp;#38; Southard, 2019)&quot;,&quot;manualOverrideText&quot;:&quot;&quot;},&quot;citationTag&quot;:&quot;MENDELEY_CITATION_v3_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&quot;,&quot;citationItems&quot;:[{&quot;id&quot;:&quot;133ffff3-0ae8-3c49-9a64-d40f738dfe17&quot;,&quot;itemData&quot;:{&quot;type&quot;:&quot;book&quot;,&quot;id&quot;:&quot;133ffff3-0ae8-3c49-9a64-d40f738dfe17&quot;,&quot;title&quot;:&quot;Perry’s Chemical Engineers’ Handbook&quot;,&quot;author&quot;:[{&quot;family&quot;:&quot;Green&quot;,&quot;given&quot;:&quot;Don W.&quot;,&quot;parse-names&quot;:false,&quot;dropping-particle&quot;:&quot;&quot;,&quot;non-dropping-particle&quot;:&quot;&quot;},{&quot;family&quot;:&quot;Southard&quot;,&quot;given&quot;:&quot;Marylee Z.&quot;,&quot;parse-names&quot;:false,&quot;dropping-particle&quot;:&quot;&quot;,&quot;non-dropping-particle&quot;:&quot;&quot;}],&quot;issued&quot;:{&quot;date-parts&quot;:[[2019]]},&quot;edition&quot;:&quot;9th&quot;,&quot;publisher&quot;:&quot;McGraw-Hill Education&quot;,&quot;container-title-short&quot;:&quot;&quot;},&quot;isTemporary&quot;:false}]},{&quot;citationID&quot;:&quot;MENDELEY_CITATION_b1a4070f-bec6-45e6-a38a-ae871be13824&quot;,&quot;properties&quot;:{&quot;noteIndex&quot;:0},&quot;isEdited&quot;:false,&quot;manualOverride&quot;:{&quot;isManuallyOverridden&quot;:true,&quot;citeprocText&quot;:&quot;(Andriani, Mocellin, et al., 2024)&quot;,&quot;manualOverrideText&quot;:&quot;(Andriani et al., 2024c)&quot;},&quot;citationTag&quot;:&quot;MENDELEY_CITATION_v3_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&quot;,&quot;citationItems&quot;:[{&quot;id&quot;:&quot;0759f912-b35b-3f16-b3a7-4e471f3c3430&quot;,&quot;itemData&quot;:{&quot;type&quot;:&quot;article-journal&quot;,&quot;id&quot;:&quot;0759f912-b35b-3f16-b3a7-4e471f3c3430&quot;,&quot;title&quot;:&quot;Enhancing safety in the storage of hazardous molecules: The case of hydroxylamine&quot;,&quot;author&quot;:[{&quot;family&quot;:&quot;Andriani&quot;,&quot;given&quot;:&quot;Giuseppe&quot;,&quot;parse-names&quot;:false,&quot;dropping-particle&quot;:&quot;&quot;,&quot;non-dropping-particle&quot;:&quot;&quot;},{&quot;family&quot;:&quot;Mocellin&quot;,&quot;given&quot;:&quot;Paolo&quot;,&quot;parse-names&quot;:false,&quot;dropping-particle&quot;:&quot;&quot;,&quot;non-dropping-particle&quot;:&quot;&quot;},{&quot;family&quot;:&quot;Pio&quot;,&quot;given&quot;:&quot;Gianmaria&quot;,&quot;parse-names&quot;:false,&quot;dropping-particle&quot;:&quot;&quot;,&quot;non-dropping-particle&quot;:&quot;&quot;},{&quot;family&quot;:&quot;Vianello&quot;,&quot;given&quot;:&quot;Chiara&quot;,&quot;parse-names&quot;:false,&quot;dropping-particle&quot;:&quot;&quot;,&quot;non-dropping-particle&quot;:&quot;&quot;},{&quot;family&quot;:&quot;Salzano&quot;,&quot;given&quot;:&quot;Ernesto&quot;,&quot;parse-names&quot;:false,&quot;dropping-particle&quot;:&quot;&quot;,&quot;non-dropping-particle&quot;:&quot;&quot;}],&quot;container-title&quot;:&quot;Journal of Loss Prevention in the Process Industries&quot;,&quot;container-title-short&quot;:&quot;J Loss Prev Process Ind&quot;,&quot;DOI&quot;:&quot;10.1016/j.jlp.2024.105472&quot;,&quot;ISSN&quot;:&quot;09504230&quot;,&quot;issued&quot;:{&quot;date-parts&quot;:[[2024,12,1]]},&quot;abstract&quot;:&quot;Handling large quantities of thermally unstable compounds in storage vessels can result in severe accidents due to runaway reactions. Therefore, developing inherently safe design strategies for storage equipment is crucial for enhancing chemical plant reliability and preventing hazardous scenarios. The Frank-Kamenetskii theory (FKT) of self-heating offers practical tools for designing procedures to address phenomena that could lead to uncontrolled chemical reactions. This study introduces a design procedure based on the FKT for creating intrinsically safe storage vessels. An expanded FKT version incorporating parametric sensitivity analysis has been developed to improve the method's reliability. To understand self-heating phenomena, stability and performance diagrams were created, relating critical design parameters (e.g., the critical value of the Frank-Kamenetskii number) and verification parameters (e.g., maximum reached dimensionless temperature) to the dimensionless activation energy (γ). Additionally, the proposed design strategy includes a procedure for designing relief systems to mitigate the risk of equipment explosions from runaway reactions. The applicability of this procedure was tested using two cases: (I) an aqueous solution containing 50% w/w hydroxylamine (HA) and (II) a 50% w/w HA aqueous solution with 1% w/w hydroxylamine hydrochloride (HA-derived salt). Results indicate that for large γ values, the traditional FKT formulation and the expanded theory yield similar vessel designs. However, for finite γ values (γ≤100), the refined FKT version allows for less conservative storage equipment design. Combining DIERS guidelines with standard procedures for relief systems results in a more versatile and consistent protocol. However, incorporating relief systems is often impractical for large storage vessels due to the excessively large venting areas required for runaway reactions. In such cases, intrinsically safe vessel designs become the only feasible solution to prevent catastrophic incidents.&quot;,&quot;publisher&quot;:&quot;Elsevier Ltd&quot;,&quot;volume&quot;:&quot;92&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3641</Words>
  <Characters>20757</Characters>
  <Application>Microsoft Office Word</Application>
  <DocSecurity>0</DocSecurity>
  <Lines>172</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Giuseppe Andriani</cp:lastModifiedBy>
  <cp:revision>29</cp:revision>
  <cp:lastPrinted>2015-05-12T18:31:00Z</cp:lastPrinted>
  <dcterms:created xsi:type="dcterms:W3CDTF">2026-01-14T14:18:00Z</dcterms:created>
  <dcterms:modified xsi:type="dcterms:W3CDTF">2026-02-12T12:26:00Z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