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A255E"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E93B89" w:rsidRDefault="000D0268" w:rsidP="00CD5FE2">
            <w:pPr>
              <w:spacing w:line="140" w:lineRule="atLeast"/>
              <w:jc w:val="right"/>
              <w:rPr>
                <w:rFonts w:cs="Arial"/>
                <w:sz w:val="13"/>
                <w:szCs w:val="13"/>
                <w:lang w:val="da-DK"/>
              </w:rPr>
            </w:pPr>
            <w:r w:rsidRPr="00E93B89">
              <w:rPr>
                <w:rFonts w:cs="Arial"/>
                <w:sz w:val="13"/>
                <w:szCs w:val="13"/>
                <w:lang w:val="da-DK"/>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2F7C041A" w:rsidR="00E978D0" w:rsidRPr="00B57B36" w:rsidRDefault="009004C4" w:rsidP="00E411B2">
      <w:pPr>
        <w:pStyle w:val="CETTitle"/>
        <w:ind w:left="567" w:right="282"/>
        <w:jc w:val="both"/>
      </w:pPr>
      <w:r>
        <w:t>Adapting Seveso Sites to Extreme Weather: Lessons Learned and Risk Mitigation for NaTech Events in case of flooding</w:t>
      </w:r>
    </w:p>
    <w:p w14:paraId="0488FED2" w14:textId="4F1515C3" w:rsidR="00B57E6F" w:rsidRPr="00E93B89" w:rsidRDefault="009004C4" w:rsidP="00B57E6F">
      <w:pPr>
        <w:pStyle w:val="CETAuthors"/>
        <w:rPr>
          <w:lang w:val="it-IT"/>
        </w:rPr>
      </w:pPr>
      <w:r w:rsidRPr="00E93B89">
        <w:rPr>
          <w:lang w:val="it-IT"/>
        </w:rPr>
        <w:t>Vitantonio Colucci</w:t>
      </w:r>
      <w:r w:rsidR="00C043BF" w:rsidRPr="00C043BF">
        <w:rPr>
          <w:vertAlign w:val="superscript"/>
          <w:lang w:val="it-IT"/>
        </w:rPr>
        <w:t>a</w:t>
      </w:r>
      <w:r w:rsidR="00B57E6F" w:rsidRPr="00E93B89">
        <w:rPr>
          <w:lang w:val="it-IT"/>
        </w:rPr>
        <w:t xml:space="preserve">, </w:t>
      </w:r>
      <w:r w:rsidRPr="00E93B89">
        <w:rPr>
          <w:lang w:val="it-IT"/>
        </w:rPr>
        <w:t>Romualdo Marrazzo</w:t>
      </w:r>
      <w:r w:rsidR="00CA397E">
        <w:rPr>
          <w:lang w:val="it-IT"/>
        </w:rPr>
        <w:t>*</w:t>
      </w:r>
      <w:r w:rsidR="0024613E" w:rsidRPr="0024613E">
        <w:rPr>
          <w:vertAlign w:val="superscript"/>
          <w:lang w:val="it-IT"/>
        </w:rPr>
        <w:t>b</w:t>
      </w:r>
    </w:p>
    <w:p w14:paraId="4226C56A" w14:textId="6CCA5B74" w:rsidR="00141403" w:rsidRPr="00CA397E" w:rsidRDefault="000023E1" w:rsidP="00E411B2">
      <w:pPr>
        <w:pStyle w:val="CETemail"/>
        <w:rPr>
          <w:lang w:val="it-IT"/>
        </w:rPr>
      </w:pPr>
      <w:r w:rsidRPr="00B4412C">
        <w:rPr>
          <w:vertAlign w:val="superscript"/>
          <w:lang w:val="it-IT"/>
        </w:rPr>
        <w:t>a,b</w:t>
      </w:r>
      <w:r w:rsidR="00CA397E" w:rsidRPr="00CA397E">
        <w:rPr>
          <w:lang w:val="it-IT"/>
        </w:rPr>
        <w:t>ISPRA. Via V. Brancati n.48 - 00144 Roma, Italy (romualdo.marrazzo@isprambiente.it)</w:t>
      </w:r>
      <w:r w:rsidR="00B57E6F" w:rsidRPr="00CA397E">
        <w:rPr>
          <w:lang w:val="it-IT"/>
        </w:rPr>
        <w:t xml:space="preserve"> </w:t>
      </w:r>
    </w:p>
    <w:p w14:paraId="0EDF927A" w14:textId="24AB9B57" w:rsidR="00141403" w:rsidRDefault="00141403" w:rsidP="00433122">
      <w:pPr>
        <w:pStyle w:val="CETBodytext"/>
        <w:rPr>
          <w:lang w:val="en-GB"/>
        </w:rPr>
      </w:pPr>
      <w:r w:rsidRPr="00141403">
        <w:rPr>
          <w:lang w:val="en-GB"/>
        </w:rPr>
        <w:t xml:space="preserve">The interaction between natural hazards and industrial installations handling hazardous substances can lead to cascading accidents known as NaTech events. Climate change has increased the frequency and intensity of extreme weather, amplifying the vulnerability of chemical and process plants. Under the Seveso III Directive </w:t>
      </w:r>
      <w:r w:rsidR="00E93B89">
        <w:rPr>
          <w:lang w:val="en-GB"/>
        </w:rPr>
        <w:t>(</w:t>
      </w:r>
      <w:r w:rsidRPr="00141403">
        <w:rPr>
          <w:lang w:val="en-GB"/>
        </w:rPr>
        <w:t>2012/18/EU</w:t>
      </w:r>
      <w:r w:rsidR="00E93B89">
        <w:rPr>
          <w:lang w:val="en-GB"/>
        </w:rPr>
        <w:t>)</w:t>
      </w:r>
      <w:r w:rsidRPr="00141403">
        <w:rPr>
          <w:lang w:val="en-GB"/>
        </w:rPr>
        <w:t xml:space="preserve">, operators are required to identify major accident scenarios triggered by natural events, including fires, explosions, and toxic releases. Among natural hazards, floods </w:t>
      </w:r>
      <w:r w:rsidR="008731FD">
        <w:rPr>
          <w:lang w:val="en-GB"/>
        </w:rPr>
        <w:t>are among</w:t>
      </w:r>
      <w:r w:rsidRPr="00141403">
        <w:rPr>
          <w:lang w:val="en-GB"/>
        </w:rPr>
        <w:t xml:space="preserve"> the most significant threats in Italy and across Europe.</w:t>
      </w:r>
      <w:r w:rsidR="00433122">
        <w:rPr>
          <w:lang w:val="en-GB"/>
        </w:rPr>
        <w:t xml:space="preserve"> </w:t>
      </w:r>
      <w:r w:rsidRPr="00141403">
        <w:rPr>
          <w:lang w:val="en-GB"/>
        </w:rPr>
        <w:t xml:space="preserve">This paper focuses on flood-induced NaTech scenarios, addressing both direct and indirect accident pathways, including failures of utilities and ancillary systems. Based on analyses of past industrial accidents, the study identifies equipment and plant components most exposed to flooding and extreme weather. Best practices, investigation approaches, and risk assessment elements are discussed to support the definition of effective prevention and protection measures within </w:t>
      </w:r>
      <w:r w:rsidR="002520FB">
        <w:rPr>
          <w:lang w:val="en-GB"/>
        </w:rPr>
        <w:t xml:space="preserve">the </w:t>
      </w:r>
      <w:r w:rsidRPr="00141403">
        <w:rPr>
          <w:lang w:val="en-GB"/>
        </w:rPr>
        <w:t xml:space="preserve">Seveso Safety Management </w:t>
      </w:r>
      <w:r w:rsidR="006F6BC6">
        <w:rPr>
          <w:lang w:val="en-GB"/>
        </w:rPr>
        <w:t xml:space="preserve">System </w:t>
      </w:r>
      <w:r w:rsidR="00347AA7" w:rsidRPr="00141403">
        <w:rPr>
          <w:lang w:val="en-GB"/>
        </w:rPr>
        <w:t>for the Prevention of Major Accidents</w:t>
      </w:r>
      <w:r w:rsidRPr="00141403">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0D937039" w14:textId="3589FD5D" w:rsidR="007340BF" w:rsidRDefault="007340BF" w:rsidP="00600535">
      <w:pPr>
        <w:pStyle w:val="CETBodytext"/>
        <w:rPr>
          <w:lang w:val="en-GB"/>
        </w:rPr>
      </w:pPr>
      <w:r w:rsidRPr="007340BF">
        <w:rPr>
          <w:lang w:val="en-GB"/>
        </w:rPr>
        <w:t>Natural hazard–triggered technological accidents (NaTech) represent one of the most critical challenges for industrial safety in the era of climate change. The term NaTech was introduced to describe technological accidents—such as fires, explosions, and hazardous substance releases—initiated by natural hazards including floods, earthquakes, storms, and extreme meteorological events. Over time, the concept has evolved to incorporate cascading and escalation mechanisms arising from the interaction between vulnerable industrial systems and external natural stressors.</w:t>
      </w:r>
    </w:p>
    <w:p w14:paraId="180C71C5" w14:textId="395CD440" w:rsidR="009A6196" w:rsidRDefault="00123C08" w:rsidP="00600535">
      <w:pPr>
        <w:pStyle w:val="CETBodytext"/>
        <w:rPr>
          <w:lang w:val="en-GB"/>
        </w:rPr>
      </w:pPr>
      <w:r w:rsidRPr="00123C08">
        <w:rPr>
          <w:lang w:val="en-GB"/>
        </w:rPr>
        <w:t xml:space="preserve">In recent decades, both the frequency and severity of NaTech events have increased worldwide, largely due to the intensification of extreme weather patterns. Among natural triggers, floods stand out as particularly recurrent and impactful </w:t>
      </w:r>
      <w:r w:rsidR="008731FD">
        <w:rPr>
          <w:lang w:val="en-GB"/>
        </w:rPr>
        <w:t>due to their wide spatial extent, long duration, and capacity to simultaneously affect process units, storage systems, utilities, and emergency infrastructure</w:t>
      </w:r>
      <w:r w:rsidRPr="00123C08">
        <w:rPr>
          <w:lang w:val="en-GB"/>
        </w:rPr>
        <w:t xml:space="preserve">. Systematic analyses of historical events show that flood-induced NaTech scenarios typically involve multiple failure mechanisms, such as buoyancy effects on storage tanks, loss of </w:t>
      </w:r>
      <w:r w:rsidRPr="00063F33">
        <w:rPr>
          <w:lang w:val="en-GB"/>
        </w:rPr>
        <w:t>containment from submerged equipment, electrical system failures, and impairment of emergency response functions (Brignone et al., 2025).</w:t>
      </w:r>
      <w:r w:rsidRPr="00063F33">
        <w:t xml:space="preserve"> </w:t>
      </w:r>
      <w:r w:rsidRPr="00063F33">
        <w:rPr>
          <w:lang w:val="en-GB"/>
        </w:rPr>
        <w:t>From a regulatory standpoint, NaTech risks have progressively gained recognition. In the European Union, Directive 2012/18/EU (Seveso III) explicitly requires operators to identify and assess major accident scenarios triggered by natural hazards. This marked a shift from traditional prevention frameworks focused mainly on internal process deviations. However, regulatory requirements alone do not ensure effective NaTech risk management. Fragmented governance structures, limited data availability, and methodological inconsistencies continue to hinder comprehensive implementation (Cruz</w:t>
      </w:r>
      <w:r w:rsidR="009A6196" w:rsidRPr="00063F33">
        <w:rPr>
          <w:lang w:val="en-GB"/>
        </w:rPr>
        <w:t xml:space="preserve"> et al.</w:t>
      </w:r>
      <w:r w:rsidRPr="00063F33">
        <w:rPr>
          <w:lang w:val="en-GB"/>
        </w:rPr>
        <w:t>, 20</w:t>
      </w:r>
      <w:r w:rsidR="004448ED" w:rsidRPr="00063F33">
        <w:rPr>
          <w:lang w:val="en-GB"/>
        </w:rPr>
        <w:t>06</w:t>
      </w:r>
      <w:r w:rsidRPr="00063F33">
        <w:rPr>
          <w:lang w:val="en-GB"/>
        </w:rPr>
        <w:t>).</w:t>
      </w:r>
      <w:r w:rsidRPr="00063F33">
        <w:t xml:space="preserve"> </w:t>
      </w:r>
      <w:r w:rsidRPr="00063F33">
        <w:rPr>
          <w:lang w:val="en-GB"/>
        </w:rPr>
        <w:t xml:space="preserve">At the national level, increasing attention has been devoted to integrating NaTech considerations within the Safety Management System for the Prevention of Major Accidents (SMS-PMA). In Italy, flood-related NaTech risks are particularly relevant </w:t>
      </w:r>
      <w:r w:rsidR="008731FD">
        <w:rPr>
          <w:lang w:val="en-GB"/>
        </w:rPr>
        <w:t xml:space="preserve">given the presence of numerous Seveso establishments </w:t>
      </w:r>
      <w:r w:rsidRPr="00063F33">
        <w:rPr>
          <w:lang w:val="en-GB"/>
        </w:rPr>
        <w:t xml:space="preserve">in flood-prone areas. Analyses of past accidents highlight the vulnerability of aboveground tanks, pipelines, pumping systems, electrical installations, and auxiliary services, </w:t>
      </w:r>
      <w:r w:rsidR="00EC51EB">
        <w:rPr>
          <w:lang w:val="en-GB"/>
        </w:rPr>
        <w:t>underscoring the need for dedicated procedures to address</w:t>
      </w:r>
      <w:r w:rsidRPr="00063F33">
        <w:rPr>
          <w:lang w:val="en-GB"/>
        </w:rPr>
        <w:t xml:space="preserve"> extreme weather conditions within the SMS-PMA framework (Marrazzo, 2024). Beyond equipment-specific</w:t>
      </w:r>
      <w:r w:rsidRPr="00123C08">
        <w:rPr>
          <w:lang w:val="en-GB"/>
        </w:rPr>
        <w:t xml:space="preserve"> vulnerabilities, recent research adopts a systemic perspective, conceptualizing industrial </w:t>
      </w:r>
      <w:r w:rsidRPr="00123C08">
        <w:rPr>
          <w:lang w:val="en-GB"/>
        </w:rPr>
        <w:lastRenderedPageBreak/>
        <w:t xml:space="preserve">installations as components of interconnected socio-technical systems. Flood-induced failures can </w:t>
      </w:r>
      <w:r w:rsidRPr="00063F33">
        <w:rPr>
          <w:lang w:val="en-GB"/>
        </w:rPr>
        <w:t>propagate across technical, organisational, and infrastructural layers, amplifying consequences beyond plant boundaries</w:t>
      </w:r>
      <w:r w:rsidR="009A6196" w:rsidRPr="00063F33">
        <w:rPr>
          <w:lang w:val="en-GB"/>
        </w:rPr>
        <w:t xml:space="preserve"> (Colucci et al.,2025)</w:t>
      </w:r>
      <w:r w:rsidRPr="00063F33">
        <w:rPr>
          <w:lang w:val="en-GB"/>
        </w:rPr>
        <w:t>. Resilience-based and multi-hazard frameworks have therefore been proposed to capture these dynamics and to overcome the limitations of conventional risk assessments that focus primarily on localised effects (Castro Rodriguez et al., 2025).</w:t>
      </w:r>
      <w:r w:rsidRPr="00063F33">
        <w:t xml:space="preserve"> </w:t>
      </w:r>
      <w:r w:rsidRPr="00063F33">
        <w:rPr>
          <w:lang w:val="en-GB"/>
        </w:rPr>
        <w:t>Empirical evidence from recent European flood events further demonstrates the importance of preparedness and organisational learning. Comparative analyses show that lessons learned from previous incidents, when translated into preventive and emergency measures, significantly reduce uncontrolled releases and environmental impacts. Conversely, insufficient consideration of indirect effects—such as power outages, limited site accessibility, or failure of emergency systems—remains a recurrent weakness (</w:t>
      </w:r>
      <w:proofErr w:type="spellStart"/>
      <w:r w:rsidRPr="00063F33">
        <w:rPr>
          <w:lang w:val="en-GB"/>
        </w:rPr>
        <w:t>Sikorova</w:t>
      </w:r>
      <w:proofErr w:type="spellEnd"/>
      <w:r w:rsidRPr="00063F33">
        <w:rPr>
          <w:lang w:val="en-GB"/>
        </w:rPr>
        <w:t xml:space="preserve"> and </w:t>
      </w:r>
      <w:proofErr w:type="spellStart"/>
      <w:r w:rsidRPr="00063F33">
        <w:rPr>
          <w:lang w:val="en-GB"/>
        </w:rPr>
        <w:t>Blazkova</w:t>
      </w:r>
      <w:proofErr w:type="spellEnd"/>
      <w:r w:rsidRPr="00063F33">
        <w:rPr>
          <w:lang w:val="en-GB"/>
        </w:rPr>
        <w:t xml:space="preserve">, 2025). Additional </w:t>
      </w:r>
      <w:r w:rsidR="00EC51EB">
        <w:rPr>
          <w:lang w:val="en-GB"/>
        </w:rPr>
        <w:t>case studies confirm that neglecting civil works, emergency equipment, and supporting infrastructure</w:t>
      </w:r>
      <w:r w:rsidRPr="00063F33">
        <w:rPr>
          <w:lang w:val="en-GB"/>
        </w:rPr>
        <w:t xml:space="preserve"> can critically undermine escalation control, even when primary process equipment is adequately protected (Sun et al., 2025).</w:t>
      </w:r>
      <w:r w:rsidRPr="00063F33">
        <w:t xml:space="preserve"> </w:t>
      </w:r>
      <w:r w:rsidRPr="00063F33">
        <w:rPr>
          <w:lang w:val="en-GB"/>
        </w:rPr>
        <w:t>Recent investigations also highlight the relevance of human and organisational dimensions. Risk perception, communication practices, and behavioural responses can substantially influence emergency management effectiveness and societal impacts during NaTech events (Tang et al., 2026). In parallel, flood-triggered NaTech scenarios are increasingly interpreted as interacting hazard chains evolving under deep uncertainty. Hu et al. (2025) emphasize that conventional scenario-based assessments often fail to capture indirect escalation pathways and long-term systemic interactions. Consistent with this view, evidence from recent European floods confirms that preparedness strategies grounded in organizational learning can effectively limit cascade propagation in Seveso establishments (</w:t>
      </w:r>
      <w:proofErr w:type="spellStart"/>
      <w:r w:rsidRPr="00063F33">
        <w:rPr>
          <w:lang w:val="en-GB"/>
        </w:rPr>
        <w:t>Sikorova</w:t>
      </w:r>
      <w:proofErr w:type="spellEnd"/>
      <w:r w:rsidRPr="00063F33">
        <w:rPr>
          <w:lang w:val="en-GB"/>
        </w:rPr>
        <w:t xml:space="preserve"> et al., 2025).</w:t>
      </w:r>
    </w:p>
    <w:p w14:paraId="2AA0F591" w14:textId="1EB84E49" w:rsidR="00141403" w:rsidRDefault="00881EE6" w:rsidP="00600535">
      <w:pPr>
        <w:pStyle w:val="CETBodytext"/>
        <w:rPr>
          <w:lang w:val="en-GB"/>
        </w:rPr>
      </w:pPr>
      <w:r w:rsidRPr="009A6196">
        <w:rPr>
          <w:lang w:val="en-GB"/>
        </w:rPr>
        <w:t xml:space="preserve">Overall, these findings </w:t>
      </w:r>
      <w:r w:rsidR="009A6196" w:rsidRPr="009A6196">
        <w:rPr>
          <w:lang w:val="en-GB"/>
        </w:rPr>
        <w:t>emphasise</w:t>
      </w:r>
      <w:r w:rsidRPr="009A6196">
        <w:rPr>
          <w:lang w:val="en-GB"/>
        </w:rPr>
        <w:t xml:space="preserve"> the need to explicitly address cascading mechanisms, uncertainty, and adaptive preparedness within the SMS-PMA when managing flood-induced NaTech risks.</w:t>
      </w:r>
      <w:r w:rsidR="00056816" w:rsidRPr="009A6196">
        <w:rPr>
          <w:lang w:val="en-GB"/>
        </w:rPr>
        <w:t xml:space="preserve"> </w:t>
      </w:r>
      <w:r w:rsidR="00141403" w:rsidRPr="009A6196">
        <w:rPr>
          <w:lang w:val="en-GB"/>
        </w:rPr>
        <w:t xml:space="preserve">In this context, a comprehensive and structured approach to flood-induced NaTech risk assessment is required, capable of capturing both direct and indirect accident pathways, identifying safety-critical components, and supporting the definition of effective prevention and protection measures. Building on lessons </w:t>
      </w:r>
      <w:r w:rsidR="00EC51EB">
        <w:rPr>
          <w:lang w:val="en-GB"/>
        </w:rPr>
        <w:t>from past events and recent scientific advances, this work focuses on adapting Seveso sites to extreme weather conditions, with specific emphasis on flood-triggered NaTech scenarios and their integration into</w:t>
      </w:r>
      <w:r w:rsidR="00141403" w:rsidRPr="009A6196">
        <w:rPr>
          <w:lang w:val="en-GB"/>
        </w:rPr>
        <w:t xml:space="preserve"> the </w:t>
      </w:r>
      <w:r w:rsidR="007C4176" w:rsidRPr="009A6196">
        <w:rPr>
          <w:lang w:val="en-GB"/>
        </w:rPr>
        <w:t>SMS-PMA</w:t>
      </w:r>
      <w:r w:rsidR="00141403" w:rsidRPr="009A6196">
        <w:rPr>
          <w:lang w:val="en-GB"/>
        </w:rPr>
        <w:t>.</w:t>
      </w:r>
    </w:p>
    <w:p w14:paraId="5741900F" w14:textId="66221721" w:rsidR="00453E24" w:rsidRDefault="00E411B2" w:rsidP="00453E24">
      <w:pPr>
        <w:pStyle w:val="CETHeading1"/>
      </w:pPr>
      <w:r>
        <w:t>Methodology</w:t>
      </w:r>
    </w:p>
    <w:p w14:paraId="132306C5" w14:textId="086F2FFA" w:rsidR="00201EE0" w:rsidRDefault="00201EE0" w:rsidP="004D5804">
      <w:pPr>
        <w:pStyle w:val="CETheadingx"/>
      </w:pPr>
      <w:r w:rsidRPr="00201EE0">
        <w:t xml:space="preserve">The methodology adopted in this study </w:t>
      </w:r>
      <w:r w:rsidR="00EC51EB">
        <w:t>aims to systematically identify and classify</w:t>
      </w:r>
      <w:r w:rsidRPr="00201EE0">
        <w:t xml:space="preserve"> NaTech scenarios induced by flood events in chemical and process industries subject to the Seveso III Directive. The approach is based on a scenario-oriented</w:t>
      </w:r>
      <w:r w:rsidR="00EC51EB">
        <w:t>, system-based framework that integrates</w:t>
      </w:r>
      <w:r w:rsidRPr="00201EE0">
        <w:t xml:space="preserve"> accident data analysis, functional decomposition of industrial installations, and lessons learned from flood-triggered NaTech events.</w:t>
      </w:r>
      <w:r>
        <w:t xml:space="preserve"> </w:t>
      </w:r>
      <w:r w:rsidRPr="00201EE0">
        <w:t xml:space="preserve">Floods are treated as external initiating events </w:t>
      </w:r>
      <w:r w:rsidR="00FF08BD">
        <w:t>that can simultaneously affect process equipment, safety barriers, utilities, and emergency infrastructure</w:t>
      </w:r>
      <w:r w:rsidRPr="00201EE0">
        <w:t xml:space="preserve">. In line with recent methodological developments, the analysis explicitly addresses both direct and indirect accident pathways, </w:t>
      </w:r>
      <w:r w:rsidR="00FF08BD">
        <w:t>thereby overcoming traditional approaches that focus</w:t>
      </w:r>
      <w:r w:rsidRPr="00201EE0">
        <w:t xml:space="preserve"> exclusively on primary equipment failure.</w:t>
      </w:r>
      <w:r w:rsidR="004D5804">
        <w:t xml:space="preserve"> </w:t>
      </w:r>
      <w:r>
        <w:t xml:space="preserve">Flood-induced initiating events are identified </w:t>
      </w:r>
      <w:r w:rsidR="00FF08BD">
        <w:t xml:space="preserve">based on the main hazard parameters </w:t>
      </w:r>
      <w:proofErr w:type="spellStart"/>
      <w:r w:rsidR="00FF08BD">
        <w:t>characterising</w:t>
      </w:r>
      <w:proofErr w:type="spellEnd"/>
      <w:r w:rsidR="00FF08BD">
        <w:t xml:space="preserve"> flood severity:</w:t>
      </w:r>
      <w:r>
        <w:t xml:space="preserve"> water depth, flow velocity, duration, and spatial extent. These parameters are selected due to their documented influence on the vulnerability of industrial installations and their relevance in past NaTech accidents. Historical accident databases and case studies are used to support the identification of credible flood-induced initiating events. Attention is given to scenarios in which floodwaters affect large portions of industrial sites, potentially leading to multiple, concurrent failures.</w:t>
      </w:r>
    </w:p>
    <w:p w14:paraId="2BE48C28" w14:textId="4E6C88B7" w:rsidR="004B45D5" w:rsidRPr="00752887" w:rsidRDefault="00752887" w:rsidP="00752887">
      <w:pPr>
        <w:pStyle w:val="CETBodytext"/>
        <w:spacing w:before="240"/>
        <w:rPr>
          <w:b/>
          <w:bCs/>
        </w:rPr>
      </w:pPr>
      <w:r>
        <w:rPr>
          <w:b/>
          <w:bCs/>
        </w:rPr>
        <w:t xml:space="preserve">2.1 </w:t>
      </w:r>
      <w:r w:rsidR="00231D91" w:rsidRPr="00752887">
        <w:rPr>
          <w:b/>
          <w:bCs/>
        </w:rPr>
        <w:t>Direct and Indirect flood – induced NaTech scenarios</w:t>
      </w:r>
    </w:p>
    <w:p w14:paraId="5A3450CA" w14:textId="2BDE4394" w:rsidR="00A37F9A" w:rsidRDefault="00201EE0" w:rsidP="004F02E0">
      <w:pPr>
        <w:pStyle w:val="CETBodytext"/>
      </w:pPr>
      <w:r w:rsidRPr="00201EE0">
        <w:t>The</w:t>
      </w:r>
      <w:r>
        <w:rPr>
          <w:i/>
          <w:iCs/>
        </w:rPr>
        <w:t xml:space="preserve"> </w:t>
      </w:r>
      <w:r w:rsidRPr="00201EE0">
        <w:rPr>
          <w:i/>
          <w:iCs/>
        </w:rPr>
        <w:t>Direct NaTech scenarios</w:t>
      </w:r>
      <w:r>
        <w:t xml:space="preserve"> are defined as accident sequences in which flood events cause immediate physical damage to process equipment or hazardous substance containment systems. These scenarios are identified through the analysis of equipment vulnerability under flood conditions and </w:t>
      </w:r>
      <w:proofErr w:type="gramStart"/>
      <w:r w:rsidR="002C39CD">
        <w:t>include</w:t>
      </w:r>
      <w:r w:rsidR="00FF08BD">
        <w:t>,</w:t>
      </w:r>
      <w:r w:rsidR="002C39CD">
        <w:t xml:space="preserve"> but</w:t>
      </w:r>
      <w:proofErr w:type="gramEnd"/>
      <w:r>
        <w:t xml:space="preserve"> </w:t>
      </w:r>
      <w:r w:rsidR="006D0369">
        <w:t xml:space="preserve">are </w:t>
      </w:r>
      <w:r>
        <w:t xml:space="preserve">not limited </w:t>
      </w:r>
      <w:proofErr w:type="gramStart"/>
      <w:r>
        <w:t>to:</w:t>
      </w:r>
      <w:proofErr w:type="gramEnd"/>
      <w:r w:rsidR="004F02E0">
        <w:t xml:space="preserve"> </w:t>
      </w:r>
      <w:r>
        <w:t>loss of containment from aboveground and mounded storage tanks due to buoyancy or structural damage</w:t>
      </w:r>
      <w:r w:rsidR="004F02E0">
        <w:t xml:space="preserve">; </w:t>
      </w:r>
      <w:r>
        <w:t>flooding of process units, pipelines, pumps, and compressors leading to mechanical failure or uncontrolled shutdown</w:t>
      </w:r>
      <w:r w:rsidR="004F02E0">
        <w:t xml:space="preserve">; </w:t>
      </w:r>
      <w:r>
        <w:t>dispersion of hazardous substances through floodwater transport.</w:t>
      </w:r>
    </w:p>
    <w:p w14:paraId="5E2CD898" w14:textId="3AD360C6" w:rsidR="00201EE0" w:rsidRPr="00201EE0" w:rsidRDefault="00201EE0" w:rsidP="00A37F9A">
      <w:pPr>
        <w:pStyle w:val="CETBodytext"/>
      </w:pPr>
      <w:r w:rsidRPr="00A37F9A">
        <w:rPr>
          <w:i/>
          <w:iCs/>
        </w:rPr>
        <w:t>Direct scenarios</w:t>
      </w:r>
      <w:r>
        <w:t xml:space="preserve"> are characterized by a clear </w:t>
      </w:r>
      <w:r w:rsidR="00E9094D">
        <w:t>cause–and–effect relationship between flood impacts and technological failures</w:t>
      </w:r>
      <w:r>
        <w:t xml:space="preserve"> and are typically associated with rapid accident onset.</w:t>
      </w:r>
    </w:p>
    <w:p w14:paraId="2B6893CC" w14:textId="43388714" w:rsidR="00201EE0" w:rsidRDefault="00E9094D" w:rsidP="00752887">
      <w:pPr>
        <w:pStyle w:val="CETheadingx"/>
      </w:pPr>
      <w:r>
        <w:t>The</w:t>
      </w:r>
      <w:r w:rsidR="00201EE0">
        <w:t xml:space="preserve"> </w:t>
      </w:r>
      <w:r w:rsidR="00201EE0" w:rsidRPr="00201EE0">
        <w:rPr>
          <w:i/>
          <w:iCs/>
        </w:rPr>
        <w:t>Indirect NaTech scenarios</w:t>
      </w:r>
      <w:r w:rsidR="00201EE0">
        <w:t xml:space="preserve"> are identified as accident chains in which flooding does not directly cause loss of containment but initiates the degradation or failure of safety-relevant functions. </w:t>
      </w:r>
      <w:r w:rsidR="004B68E5">
        <w:t>Cascading effects and delayed escalation mechanisms characterize these scenarios</w:t>
      </w:r>
      <w:r w:rsidR="00201EE0">
        <w:t>. The analysis focuses on the potential impairment of utilities and auxiliary systems, whose loss of functionality may compromise process control, safety barriers, and emergency response. Typical indirect scenarios include:</w:t>
      </w:r>
    </w:p>
    <w:p w14:paraId="7BDC726F" w14:textId="5C6A426F" w:rsidR="00201EE0" w:rsidRDefault="00201EE0" w:rsidP="00E1655C">
      <w:pPr>
        <w:pStyle w:val="CETBodytext"/>
        <w:numPr>
          <w:ilvl w:val="0"/>
          <w:numId w:val="23"/>
        </w:numPr>
      </w:pPr>
      <w:r>
        <w:t>loss of internal or external power supply affecting control systems, instrumentation, and safety functions.</w:t>
      </w:r>
    </w:p>
    <w:p w14:paraId="1E5B45A6" w14:textId="185E3825" w:rsidR="00201EE0" w:rsidRDefault="00201EE0" w:rsidP="00E1655C">
      <w:pPr>
        <w:pStyle w:val="CETBodytext"/>
        <w:numPr>
          <w:ilvl w:val="0"/>
          <w:numId w:val="23"/>
        </w:numPr>
      </w:pPr>
      <w:r>
        <w:lastRenderedPageBreak/>
        <w:t>failure of cooling and refrigeration systems resulting in abnormal process conditions.</w:t>
      </w:r>
    </w:p>
    <w:p w14:paraId="1E8AF06C" w14:textId="1FE080D6" w:rsidR="00201EE0" w:rsidRDefault="00201EE0" w:rsidP="00E1655C">
      <w:pPr>
        <w:pStyle w:val="CETBodytext"/>
        <w:numPr>
          <w:ilvl w:val="0"/>
          <w:numId w:val="23"/>
        </w:numPr>
      </w:pPr>
      <w:r>
        <w:t>impairment of drainage, wastewater treatment, and stormwater management systems.</w:t>
      </w:r>
    </w:p>
    <w:p w14:paraId="08445313" w14:textId="77777777" w:rsidR="00056816" w:rsidRDefault="00201EE0" w:rsidP="00887102">
      <w:pPr>
        <w:pStyle w:val="CETBodytext"/>
        <w:numPr>
          <w:ilvl w:val="0"/>
          <w:numId w:val="23"/>
        </w:numPr>
      </w:pPr>
      <w:r>
        <w:t>reduced availability of firewater networks and emergency equipment</w:t>
      </w:r>
    </w:p>
    <w:p w14:paraId="1A305E04" w14:textId="6D62F455" w:rsidR="00201EE0" w:rsidRDefault="00201EE0" w:rsidP="00056816">
      <w:pPr>
        <w:pStyle w:val="CETBodytext"/>
      </w:pPr>
      <w:r w:rsidRPr="00056816">
        <w:rPr>
          <w:i/>
          <w:iCs/>
        </w:rPr>
        <w:t>Indirect scenarios</w:t>
      </w:r>
      <w:r>
        <w:t xml:space="preserve"> are frequently identified as dominant contributors to accident escalation during flood events.</w:t>
      </w:r>
    </w:p>
    <w:p w14:paraId="7C187B47" w14:textId="1B310427" w:rsidR="00B11655" w:rsidRDefault="00DA19A2" w:rsidP="0089662B">
      <w:pPr>
        <w:pStyle w:val="CETBodytext"/>
        <w:spacing w:before="240" w:line="240" w:lineRule="auto"/>
      </w:pPr>
      <w:r>
        <w:rPr>
          <w:b/>
          <w:bCs/>
        </w:rPr>
        <w:t xml:space="preserve">2.2 </w:t>
      </w:r>
      <w:r w:rsidRPr="00DA19A2">
        <w:rPr>
          <w:b/>
          <w:bCs/>
        </w:rPr>
        <w:t>Analysis of utilities and auxiliary systems</w:t>
      </w:r>
    </w:p>
    <w:p w14:paraId="4C493CCD" w14:textId="33BBE3EF" w:rsidR="004B37AA" w:rsidRDefault="00CA2B5F" w:rsidP="004B37AA">
      <w:pPr>
        <w:pStyle w:val="CETBodytext"/>
      </w:pPr>
      <w:r>
        <w:t>Utilities and auxiliary systems are analyzed as safety-critical subsystems essential for maintaining safe operating conditions during and after flood events. The assessment includes power supply, control rooms, instrumentation, cooling systems, water treatment facilities, and emergency infrastructures. A functional dependency analysis is applied to evaluate how the loss or degradation of utilities may propagate through the industrial system and interact with process hazards. This approach allows the identification of escalation pathways that are not directly linked to initial equipment damage but significantly influence accident severity and response effectiveness.</w:t>
      </w:r>
      <w:r w:rsidR="0010571A">
        <w:t xml:space="preserve"> </w:t>
      </w:r>
      <w:r w:rsidR="005A23EB" w:rsidRPr="005A23EB">
        <w:t xml:space="preserve">Table 1 is based on evidence from post-accident analyses, regulatory inspections, and technical assessments of Safety Reports for Seveso establishments. The analysis draws </w:t>
      </w:r>
      <w:r w:rsidR="00842DAF" w:rsidRPr="005A23EB">
        <w:t>on</w:t>
      </w:r>
      <w:r w:rsidR="005A23EB" w:rsidRPr="005A23EB">
        <w:t xml:space="preserve"> Seveso inspection reports by SNPA</w:t>
      </w:r>
      <w:r w:rsidR="009910BC">
        <w:t xml:space="preserve"> (</w:t>
      </w:r>
      <w:r w:rsidR="009910BC">
        <w:rPr>
          <w:lang w:val="en-GB"/>
        </w:rPr>
        <w:t xml:space="preserve">Sistema Nazionale per la </w:t>
      </w:r>
      <w:proofErr w:type="spellStart"/>
      <w:r w:rsidR="009910BC">
        <w:rPr>
          <w:lang w:val="en-GB"/>
        </w:rPr>
        <w:t>Protezione</w:t>
      </w:r>
      <w:proofErr w:type="spellEnd"/>
      <w:r w:rsidR="009910BC">
        <w:rPr>
          <w:lang w:val="en-GB"/>
        </w:rPr>
        <w:t xml:space="preserve"> </w:t>
      </w:r>
      <w:proofErr w:type="spellStart"/>
      <w:r w:rsidR="009910BC">
        <w:rPr>
          <w:lang w:val="en-GB"/>
        </w:rPr>
        <w:t>dell’Ambiente</w:t>
      </w:r>
      <w:proofErr w:type="spellEnd"/>
      <w:r w:rsidR="009910BC">
        <w:t>)</w:t>
      </w:r>
      <w:r w:rsidR="005A23EB" w:rsidRPr="005A23EB">
        <w:t xml:space="preserve"> and </w:t>
      </w:r>
      <w:r w:rsidR="00491904">
        <w:t>on accident databases managed by ISPRA, providing systematic information on flood-induced NaTech events, related utility failures,</w:t>
      </w:r>
      <w:r w:rsidR="005A23EB" w:rsidRPr="005A23EB">
        <w:t xml:space="preserve"> and escalation mechanisms.</w:t>
      </w:r>
    </w:p>
    <w:p w14:paraId="69A93A63" w14:textId="77777777" w:rsidR="00DA37B6" w:rsidRDefault="00DA37B6" w:rsidP="004B37AA">
      <w:pPr>
        <w:pStyle w:val="CETBodytext"/>
      </w:pPr>
    </w:p>
    <w:p w14:paraId="00148457" w14:textId="78C93D5E" w:rsidR="008D1870" w:rsidRPr="004F6F2A" w:rsidRDefault="008D1870" w:rsidP="004B37AA">
      <w:pPr>
        <w:pStyle w:val="CETBodytext"/>
        <w:rPr>
          <w:i/>
          <w:iCs/>
        </w:rPr>
      </w:pPr>
      <w:r w:rsidRPr="004F6F2A">
        <w:rPr>
          <w:i/>
          <w:iCs/>
        </w:rPr>
        <w:t xml:space="preserve">Table 1: </w:t>
      </w:r>
      <w:r w:rsidR="004367B0" w:rsidRPr="004F6F2A">
        <w:rPr>
          <w:i/>
          <w:iCs/>
        </w:rPr>
        <w:t>vulnerability of utilities and auxiliary systems to flood-induced NaTech scenarios in chemical and process industries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30"/>
        <w:gridCol w:w="1474"/>
        <w:gridCol w:w="1849"/>
        <w:gridCol w:w="953"/>
        <w:gridCol w:w="1645"/>
        <w:gridCol w:w="23"/>
        <w:gridCol w:w="1513"/>
      </w:tblGrid>
      <w:tr w:rsidR="00132BC0" w:rsidRPr="0009068F" w14:paraId="6A26AA53" w14:textId="77777777" w:rsidTr="007E18E8">
        <w:tc>
          <w:tcPr>
            <w:tcW w:w="757" w:type="pct"/>
            <w:tcBorders>
              <w:top w:val="single" w:sz="12" w:space="0" w:color="008000"/>
              <w:bottom w:val="single" w:sz="6" w:space="0" w:color="008000"/>
            </w:tcBorders>
            <w:shd w:val="clear" w:color="auto" w:fill="FFFFFF"/>
          </w:tcPr>
          <w:p w14:paraId="4B348D4A" w14:textId="00E103F6" w:rsidR="00132BC0" w:rsidRPr="0009068F" w:rsidRDefault="0057133F" w:rsidP="001A7057">
            <w:pPr>
              <w:pStyle w:val="CETBodytext"/>
              <w:jc w:val="left"/>
              <w:rPr>
                <w:sz w:val="16"/>
                <w:szCs w:val="16"/>
                <w:lang w:val="en-GB"/>
              </w:rPr>
            </w:pPr>
            <w:r w:rsidRPr="0009068F">
              <w:rPr>
                <w:sz w:val="16"/>
                <w:szCs w:val="16"/>
                <w:lang w:val="en-GB"/>
              </w:rPr>
              <w:t>Utility Auxiliary</w:t>
            </w:r>
            <w:r w:rsidR="00132BC0" w:rsidRPr="0009068F">
              <w:rPr>
                <w:sz w:val="16"/>
                <w:szCs w:val="16"/>
                <w:lang w:val="en-GB"/>
              </w:rPr>
              <w:t xml:space="preserve"> system</w:t>
            </w:r>
          </w:p>
        </w:tc>
        <w:tc>
          <w:tcPr>
            <w:tcW w:w="839" w:type="pct"/>
            <w:tcBorders>
              <w:top w:val="single" w:sz="12" w:space="0" w:color="008000"/>
              <w:bottom w:val="single" w:sz="6" w:space="0" w:color="008000"/>
            </w:tcBorders>
            <w:shd w:val="clear" w:color="auto" w:fill="FFFFFF"/>
          </w:tcPr>
          <w:p w14:paraId="3A1D3FFA" w14:textId="3A0DA92D" w:rsidR="00132BC0" w:rsidRPr="0009068F" w:rsidRDefault="00132BC0" w:rsidP="001A7057">
            <w:pPr>
              <w:pStyle w:val="CETBodytext"/>
              <w:jc w:val="left"/>
              <w:rPr>
                <w:sz w:val="16"/>
                <w:szCs w:val="16"/>
                <w:lang w:val="en-GB"/>
              </w:rPr>
            </w:pPr>
            <w:r w:rsidRPr="0009068F">
              <w:rPr>
                <w:sz w:val="16"/>
                <w:szCs w:val="16"/>
                <w:lang w:val="en-GB"/>
              </w:rPr>
              <w:t>Typical components</w:t>
            </w:r>
          </w:p>
        </w:tc>
        <w:tc>
          <w:tcPr>
            <w:tcW w:w="1052" w:type="pct"/>
            <w:tcBorders>
              <w:top w:val="single" w:sz="12" w:space="0" w:color="008000"/>
              <w:bottom w:val="single" w:sz="6" w:space="0" w:color="008000"/>
            </w:tcBorders>
            <w:shd w:val="clear" w:color="auto" w:fill="FFFFFF"/>
          </w:tcPr>
          <w:p w14:paraId="0F2C2979" w14:textId="5320B7E1" w:rsidR="00132BC0" w:rsidRPr="0009068F" w:rsidRDefault="00132BC0" w:rsidP="001A7057">
            <w:pPr>
              <w:pStyle w:val="CETBodytext"/>
              <w:ind w:left="229"/>
              <w:jc w:val="left"/>
              <w:rPr>
                <w:sz w:val="16"/>
                <w:szCs w:val="16"/>
                <w:lang w:val="en-GB"/>
              </w:rPr>
            </w:pPr>
            <w:r w:rsidRPr="0009068F">
              <w:rPr>
                <w:sz w:val="16"/>
                <w:szCs w:val="16"/>
                <w:lang w:val="en-GB"/>
              </w:rPr>
              <w:t>Flood-induced failure mechanism</w:t>
            </w:r>
          </w:p>
        </w:tc>
        <w:tc>
          <w:tcPr>
            <w:tcW w:w="542" w:type="pct"/>
            <w:tcBorders>
              <w:top w:val="single" w:sz="12" w:space="0" w:color="008000"/>
              <w:bottom w:val="single" w:sz="6" w:space="0" w:color="008000"/>
            </w:tcBorders>
            <w:shd w:val="clear" w:color="auto" w:fill="FFFFFF"/>
          </w:tcPr>
          <w:p w14:paraId="656E337D" w14:textId="18564866" w:rsidR="00132BC0" w:rsidRPr="0009068F" w:rsidRDefault="00132BC0" w:rsidP="001A7057">
            <w:pPr>
              <w:pStyle w:val="CETBodytext"/>
              <w:ind w:right="-1"/>
              <w:jc w:val="left"/>
              <w:rPr>
                <w:rFonts w:cs="Arial"/>
                <w:sz w:val="16"/>
                <w:szCs w:val="16"/>
                <w:lang w:val="en-GB"/>
              </w:rPr>
            </w:pPr>
            <w:r w:rsidRPr="0009068F">
              <w:rPr>
                <w:rFonts w:cs="Arial"/>
                <w:sz w:val="16"/>
                <w:szCs w:val="16"/>
                <w:lang w:val="en-GB"/>
              </w:rPr>
              <w:t>Associated NaTech scenario type</w:t>
            </w:r>
          </w:p>
        </w:tc>
        <w:tc>
          <w:tcPr>
            <w:tcW w:w="936" w:type="pct"/>
            <w:tcBorders>
              <w:top w:val="single" w:sz="12" w:space="0" w:color="008000"/>
              <w:bottom w:val="single" w:sz="6" w:space="0" w:color="008000"/>
            </w:tcBorders>
            <w:shd w:val="clear" w:color="auto" w:fill="FFFFFF"/>
          </w:tcPr>
          <w:p w14:paraId="501680A5" w14:textId="73C02969" w:rsidR="00132BC0" w:rsidRPr="0009068F" w:rsidRDefault="00132BC0" w:rsidP="001A7057">
            <w:pPr>
              <w:pStyle w:val="CETBodytext"/>
              <w:ind w:right="-1"/>
              <w:jc w:val="left"/>
              <w:rPr>
                <w:rFonts w:cs="Arial"/>
                <w:sz w:val="16"/>
                <w:szCs w:val="16"/>
                <w:lang w:val="en-GB"/>
              </w:rPr>
            </w:pPr>
            <w:r w:rsidRPr="0009068F">
              <w:rPr>
                <w:rFonts w:cs="Arial"/>
                <w:sz w:val="16"/>
                <w:szCs w:val="16"/>
                <w:lang w:val="en-GB"/>
              </w:rPr>
              <w:t>Potential escalation effects</w:t>
            </w:r>
          </w:p>
        </w:tc>
        <w:tc>
          <w:tcPr>
            <w:tcW w:w="13" w:type="pct"/>
            <w:tcBorders>
              <w:top w:val="single" w:sz="12" w:space="0" w:color="008000"/>
              <w:bottom w:val="single" w:sz="6" w:space="0" w:color="008000"/>
            </w:tcBorders>
            <w:shd w:val="clear" w:color="auto" w:fill="FFFFFF"/>
          </w:tcPr>
          <w:p w14:paraId="2C3FBDA8" w14:textId="4C1B5847" w:rsidR="00132BC0" w:rsidRPr="0009068F" w:rsidRDefault="00132BC0" w:rsidP="001A7057">
            <w:pPr>
              <w:pStyle w:val="CETBodytext"/>
              <w:ind w:right="-1"/>
              <w:jc w:val="left"/>
              <w:rPr>
                <w:rFonts w:cs="Arial"/>
                <w:sz w:val="16"/>
                <w:szCs w:val="16"/>
                <w:lang w:val="en-GB"/>
              </w:rPr>
            </w:pPr>
          </w:p>
        </w:tc>
        <w:tc>
          <w:tcPr>
            <w:tcW w:w="861" w:type="pct"/>
            <w:tcBorders>
              <w:top w:val="single" w:sz="12" w:space="0" w:color="008000"/>
              <w:bottom w:val="single" w:sz="6" w:space="0" w:color="008000"/>
            </w:tcBorders>
            <w:shd w:val="clear" w:color="auto" w:fill="FFFFFF"/>
          </w:tcPr>
          <w:p w14:paraId="245BA070" w14:textId="66F0E630" w:rsidR="00132BC0" w:rsidRPr="0009068F" w:rsidRDefault="00132BC0" w:rsidP="001A7057">
            <w:pPr>
              <w:pStyle w:val="CETBodytext"/>
              <w:jc w:val="left"/>
              <w:rPr>
                <w:rFonts w:cs="Arial"/>
                <w:sz w:val="16"/>
                <w:szCs w:val="16"/>
                <w:lang w:val="en-GB"/>
              </w:rPr>
            </w:pPr>
            <w:r w:rsidRPr="0009068F">
              <w:rPr>
                <w:rFonts w:cs="Arial"/>
                <w:sz w:val="16"/>
                <w:szCs w:val="16"/>
                <w:lang w:val="en-GB"/>
              </w:rPr>
              <w:t>Relevance for SMS-PMA</w:t>
            </w:r>
          </w:p>
        </w:tc>
      </w:tr>
      <w:tr w:rsidR="00132BC0" w:rsidRPr="0009068F" w14:paraId="4EE4AF6E" w14:textId="77777777" w:rsidTr="007E18E8">
        <w:tc>
          <w:tcPr>
            <w:tcW w:w="757" w:type="pct"/>
            <w:shd w:val="clear" w:color="auto" w:fill="FFFFFF"/>
          </w:tcPr>
          <w:p w14:paraId="6861107C" w14:textId="575970B8" w:rsidR="00132BC0" w:rsidRPr="004C7F0D" w:rsidRDefault="00FC6F1C" w:rsidP="006402AC">
            <w:pPr>
              <w:pStyle w:val="CETBodytext"/>
              <w:jc w:val="left"/>
              <w:rPr>
                <w:sz w:val="16"/>
                <w:szCs w:val="16"/>
                <w:lang w:val="en-GB"/>
              </w:rPr>
            </w:pPr>
            <w:r w:rsidRPr="004C7F0D">
              <w:rPr>
                <w:sz w:val="16"/>
                <w:szCs w:val="16"/>
                <w:lang w:val="en-GB"/>
              </w:rPr>
              <w:t>Electrical power supply</w:t>
            </w:r>
          </w:p>
        </w:tc>
        <w:tc>
          <w:tcPr>
            <w:tcW w:w="839" w:type="pct"/>
            <w:shd w:val="clear" w:color="auto" w:fill="FFFFFF"/>
          </w:tcPr>
          <w:p w14:paraId="6EC2592F" w14:textId="257CEC5B" w:rsidR="00C16ADD" w:rsidRPr="0009068F" w:rsidRDefault="00C16ADD" w:rsidP="001A7057">
            <w:pPr>
              <w:pStyle w:val="CETBodytext"/>
              <w:jc w:val="left"/>
              <w:rPr>
                <w:sz w:val="16"/>
                <w:szCs w:val="16"/>
                <w:lang w:val="en-GB"/>
              </w:rPr>
            </w:pPr>
            <w:r w:rsidRPr="0009068F">
              <w:rPr>
                <w:sz w:val="16"/>
                <w:szCs w:val="16"/>
                <w:lang w:val="en-GB"/>
              </w:rPr>
              <w:t>Substations, transformers, switchgear, backup generators</w:t>
            </w:r>
          </w:p>
        </w:tc>
        <w:tc>
          <w:tcPr>
            <w:tcW w:w="1052" w:type="pct"/>
            <w:shd w:val="clear" w:color="auto" w:fill="FFFFFF"/>
          </w:tcPr>
          <w:p w14:paraId="30E44EBF" w14:textId="758E14A1" w:rsidR="00132BC0" w:rsidRPr="0009068F" w:rsidRDefault="00705E89" w:rsidP="006402AC">
            <w:pPr>
              <w:pStyle w:val="CETBodytext"/>
              <w:ind w:left="229"/>
              <w:jc w:val="left"/>
              <w:rPr>
                <w:sz w:val="16"/>
                <w:szCs w:val="16"/>
                <w:lang w:val="en-GB"/>
              </w:rPr>
            </w:pPr>
            <w:r w:rsidRPr="0009068F">
              <w:rPr>
                <w:sz w:val="16"/>
                <w:szCs w:val="16"/>
                <w:lang w:val="en-GB"/>
              </w:rPr>
              <w:t xml:space="preserve">Submersion, short-circuit, loss of external grid, </w:t>
            </w:r>
            <w:r w:rsidR="00447BE9" w:rsidRPr="0009068F">
              <w:rPr>
                <w:sz w:val="16"/>
                <w:szCs w:val="16"/>
                <w:lang w:val="en-GB"/>
              </w:rPr>
              <w:t xml:space="preserve">and </w:t>
            </w:r>
            <w:r w:rsidRPr="0009068F">
              <w:rPr>
                <w:sz w:val="16"/>
                <w:szCs w:val="16"/>
                <w:lang w:val="en-GB"/>
              </w:rPr>
              <w:t>generator inaccessibility</w:t>
            </w:r>
          </w:p>
        </w:tc>
        <w:tc>
          <w:tcPr>
            <w:tcW w:w="542" w:type="pct"/>
            <w:shd w:val="clear" w:color="auto" w:fill="FFFFFF"/>
          </w:tcPr>
          <w:p w14:paraId="6961EE1F" w14:textId="127A1A46" w:rsidR="00132BC0" w:rsidRPr="0009068F" w:rsidRDefault="00DE3263" w:rsidP="006402AC">
            <w:pPr>
              <w:pStyle w:val="CETBodytext"/>
              <w:ind w:right="-1" w:firstLine="132"/>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0F9A3134" w14:textId="45C4A78F" w:rsidR="00132BC0" w:rsidRPr="0009068F" w:rsidRDefault="00DE3263" w:rsidP="006402AC">
            <w:pPr>
              <w:pStyle w:val="CETBodytext"/>
              <w:ind w:right="-1"/>
              <w:jc w:val="left"/>
              <w:rPr>
                <w:rFonts w:cs="Arial"/>
                <w:sz w:val="16"/>
                <w:szCs w:val="16"/>
                <w:lang w:val="en-GB"/>
              </w:rPr>
            </w:pPr>
            <w:r w:rsidRPr="0009068F">
              <w:rPr>
                <w:rFonts w:cs="Arial"/>
                <w:sz w:val="16"/>
                <w:szCs w:val="16"/>
                <w:lang w:val="en-GB"/>
              </w:rPr>
              <w:t xml:space="preserve">Loss of control systems, shutdown of safety barriers, </w:t>
            </w:r>
            <w:r w:rsidR="001A7057" w:rsidRPr="0009068F">
              <w:rPr>
                <w:rFonts w:cs="Arial"/>
                <w:sz w:val="16"/>
                <w:szCs w:val="16"/>
                <w:lang w:val="en-GB"/>
              </w:rPr>
              <w:t xml:space="preserve">and </w:t>
            </w:r>
            <w:r w:rsidRPr="0009068F">
              <w:rPr>
                <w:rFonts w:cs="Arial"/>
                <w:sz w:val="16"/>
                <w:szCs w:val="16"/>
                <w:lang w:val="en-GB"/>
              </w:rPr>
              <w:t>delayed emergency response</w:t>
            </w:r>
          </w:p>
        </w:tc>
        <w:tc>
          <w:tcPr>
            <w:tcW w:w="13" w:type="pct"/>
            <w:shd w:val="clear" w:color="auto" w:fill="FFFFFF"/>
          </w:tcPr>
          <w:p w14:paraId="41ADB3CD" w14:textId="63DC2592" w:rsidR="00132BC0" w:rsidRPr="0009068F" w:rsidRDefault="00132BC0" w:rsidP="006402AC">
            <w:pPr>
              <w:pStyle w:val="CETBodytext"/>
              <w:ind w:right="-1"/>
              <w:jc w:val="left"/>
              <w:rPr>
                <w:rFonts w:cs="Arial"/>
                <w:sz w:val="16"/>
                <w:szCs w:val="16"/>
                <w:lang w:val="en-GB"/>
              </w:rPr>
            </w:pPr>
          </w:p>
        </w:tc>
        <w:tc>
          <w:tcPr>
            <w:tcW w:w="861" w:type="pct"/>
            <w:shd w:val="clear" w:color="auto" w:fill="FFFFFF"/>
          </w:tcPr>
          <w:p w14:paraId="3FD7A513" w14:textId="62FBEBB3" w:rsidR="00132BC0" w:rsidRPr="0009068F" w:rsidRDefault="00DE3263" w:rsidP="006402AC">
            <w:pPr>
              <w:pStyle w:val="CETBodytext"/>
              <w:ind w:right="11"/>
              <w:jc w:val="left"/>
              <w:rPr>
                <w:rFonts w:cs="Arial"/>
                <w:sz w:val="16"/>
                <w:szCs w:val="16"/>
                <w:lang w:val="en-GB"/>
              </w:rPr>
            </w:pPr>
            <w:r w:rsidRPr="0009068F">
              <w:rPr>
                <w:rFonts w:cs="Arial"/>
                <w:sz w:val="16"/>
                <w:szCs w:val="16"/>
                <w:lang w:val="en-GB"/>
              </w:rPr>
              <w:t xml:space="preserve">Identification of safety-critical power sources, redundancy, </w:t>
            </w:r>
            <w:r w:rsidR="00447BE9" w:rsidRPr="0009068F">
              <w:rPr>
                <w:rFonts w:cs="Arial"/>
                <w:sz w:val="16"/>
                <w:szCs w:val="16"/>
                <w:lang w:val="en-GB"/>
              </w:rPr>
              <w:t xml:space="preserve">and </w:t>
            </w:r>
            <w:r w:rsidRPr="0009068F">
              <w:rPr>
                <w:rFonts w:cs="Arial"/>
                <w:sz w:val="16"/>
                <w:szCs w:val="16"/>
                <w:lang w:val="en-GB"/>
              </w:rPr>
              <w:t>floodproofing</w:t>
            </w:r>
          </w:p>
        </w:tc>
      </w:tr>
      <w:tr w:rsidR="00132BC0" w:rsidRPr="0009068F" w14:paraId="187DFB0D" w14:textId="77777777" w:rsidTr="007E18E8">
        <w:tc>
          <w:tcPr>
            <w:tcW w:w="757" w:type="pct"/>
            <w:shd w:val="clear" w:color="auto" w:fill="FFFFFF"/>
          </w:tcPr>
          <w:p w14:paraId="2A6E6203" w14:textId="69079A01" w:rsidR="00132BC0" w:rsidRPr="004C7F0D" w:rsidRDefault="00FC6F1C" w:rsidP="006402AC">
            <w:pPr>
              <w:pStyle w:val="CETBodytext"/>
              <w:jc w:val="left"/>
              <w:rPr>
                <w:sz w:val="16"/>
                <w:szCs w:val="16"/>
                <w:lang w:val="en-GB"/>
              </w:rPr>
            </w:pPr>
            <w:r w:rsidRPr="004C7F0D">
              <w:rPr>
                <w:sz w:val="16"/>
                <w:szCs w:val="16"/>
                <w:lang w:val="en-GB"/>
              </w:rPr>
              <w:t>Control and instrumentation systems</w:t>
            </w:r>
          </w:p>
        </w:tc>
        <w:tc>
          <w:tcPr>
            <w:tcW w:w="839" w:type="pct"/>
            <w:shd w:val="clear" w:color="auto" w:fill="FFFFFF"/>
          </w:tcPr>
          <w:p w14:paraId="67B2E9A0" w14:textId="66BA6630" w:rsidR="00132BC0" w:rsidRPr="0009068F" w:rsidRDefault="00AE5A8C" w:rsidP="001A7057">
            <w:pPr>
              <w:pStyle w:val="CETBodytext"/>
              <w:jc w:val="left"/>
              <w:rPr>
                <w:sz w:val="16"/>
                <w:szCs w:val="16"/>
                <w:lang w:val="en-GB"/>
              </w:rPr>
            </w:pPr>
            <w:r w:rsidRPr="0009068F">
              <w:rPr>
                <w:sz w:val="16"/>
                <w:szCs w:val="16"/>
                <w:lang w:val="en-GB"/>
              </w:rPr>
              <w:t xml:space="preserve">Control rooms, sensors, PLCs, </w:t>
            </w:r>
            <w:r w:rsidR="00447BE9" w:rsidRPr="0009068F">
              <w:rPr>
                <w:sz w:val="16"/>
                <w:szCs w:val="16"/>
                <w:lang w:val="en-GB"/>
              </w:rPr>
              <w:t xml:space="preserve">and </w:t>
            </w:r>
            <w:r w:rsidRPr="0009068F">
              <w:rPr>
                <w:sz w:val="16"/>
                <w:szCs w:val="16"/>
                <w:lang w:val="en-GB"/>
              </w:rPr>
              <w:t>communication networks</w:t>
            </w:r>
          </w:p>
        </w:tc>
        <w:tc>
          <w:tcPr>
            <w:tcW w:w="1052" w:type="pct"/>
            <w:shd w:val="clear" w:color="auto" w:fill="FFFFFF"/>
          </w:tcPr>
          <w:p w14:paraId="55B9857A" w14:textId="17EF2977" w:rsidR="00132BC0" w:rsidRPr="0009068F" w:rsidRDefault="00C53CD7" w:rsidP="006402AC">
            <w:pPr>
              <w:pStyle w:val="CETBodytext"/>
              <w:ind w:left="229"/>
              <w:jc w:val="left"/>
              <w:rPr>
                <w:sz w:val="16"/>
                <w:szCs w:val="16"/>
                <w:lang w:val="en-GB"/>
              </w:rPr>
            </w:pPr>
            <w:r w:rsidRPr="0009068F">
              <w:rPr>
                <w:sz w:val="16"/>
                <w:szCs w:val="16"/>
                <w:lang w:val="en-GB"/>
              </w:rPr>
              <w:t xml:space="preserve">Flooding of control rooms, signal loss, </w:t>
            </w:r>
            <w:r w:rsidR="00447BE9" w:rsidRPr="0009068F">
              <w:rPr>
                <w:sz w:val="16"/>
                <w:szCs w:val="16"/>
                <w:lang w:val="en-GB"/>
              </w:rPr>
              <w:t xml:space="preserve">and </w:t>
            </w:r>
            <w:r w:rsidRPr="0009068F">
              <w:rPr>
                <w:sz w:val="16"/>
                <w:szCs w:val="16"/>
                <w:lang w:val="en-GB"/>
              </w:rPr>
              <w:t>instrumentation failure</w:t>
            </w:r>
          </w:p>
        </w:tc>
        <w:tc>
          <w:tcPr>
            <w:tcW w:w="542" w:type="pct"/>
            <w:shd w:val="clear" w:color="auto" w:fill="FFFFFF"/>
          </w:tcPr>
          <w:p w14:paraId="494277CE" w14:textId="72B5A0DF" w:rsidR="00132BC0" w:rsidRPr="0009068F" w:rsidRDefault="00C53CD7" w:rsidP="006402AC">
            <w:pPr>
              <w:pStyle w:val="CETBodytext"/>
              <w:ind w:right="-1" w:firstLine="132"/>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15FAF58D" w14:textId="5B312C32" w:rsidR="00132BC0" w:rsidRPr="0009068F" w:rsidRDefault="00C53CD7" w:rsidP="006402AC">
            <w:pPr>
              <w:pStyle w:val="CETBodytext"/>
              <w:ind w:right="-1"/>
              <w:jc w:val="left"/>
              <w:rPr>
                <w:rFonts w:cs="Arial"/>
                <w:sz w:val="16"/>
                <w:szCs w:val="16"/>
                <w:lang w:val="en-GB"/>
              </w:rPr>
            </w:pPr>
            <w:r w:rsidRPr="0009068F">
              <w:rPr>
                <w:rFonts w:cs="Arial"/>
                <w:sz w:val="16"/>
                <w:szCs w:val="16"/>
                <w:lang w:val="en-GB"/>
              </w:rPr>
              <w:t>Loss of process monitoring and alarm functions</w:t>
            </w:r>
          </w:p>
        </w:tc>
        <w:tc>
          <w:tcPr>
            <w:tcW w:w="13" w:type="pct"/>
            <w:shd w:val="clear" w:color="auto" w:fill="FFFFFF"/>
          </w:tcPr>
          <w:p w14:paraId="57AAE249" w14:textId="77777777" w:rsidR="00132BC0" w:rsidRPr="0009068F" w:rsidRDefault="00132BC0" w:rsidP="006402AC">
            <w:pPr>
              <w:pStyle w:val="CETBodytext"/>
              <w:ind w:right="-1"/>
              <w:jc w:val="left"/>
              <w:rPr>
                <w:rFonts w:cs="Arial"/>
                <w:sz w:val="16"/>
                <w:szCs w:val="16"/>
                <w:lang w:val="en-GB"/>
              </w:rPr>
            </w:pPr>
          </w:p>
        </w:tc>
        <w:tc>
          <w:tcPr>
            <w:tcW w:w="861" w:type="pct"/>
            <w:shd w:val="clear" w:color="auto" w:fill="FFFFFF"/>
          </w:tcPr>
          <w:p w14:paraId="51B7EFF9" w14:textId="1FB33DA6" w:rsidR="00132BC0" w:rsidRPr="0009068F" w:rsidRDefault="001C78C3" w:rsidP="006402AC">
            <w:pPr>
              <w:pStyle w:val="CETBodytext"/>
              <w:ind w:right="11"/>
              <w:jc w:val="left"/>
              <w:rPr>
                <w:rFonts w:cs="Arial"/>
                <w:sz w:val="16"/>
                <w:szCs w:val="16"/>
                <w:lang w:val="en-GB"/>
              </w:rPr>
            </w:pPr>
            <w:r w:rsidRPr="0009068F">
              <w:rPr>
                <w:rFonts w:cs="Arial"/>
                <w:sz w:val="16"/>
                <w:szCs w:val="16"/>
                <w:lang w:val="en-GB"/>
              </w:rPr>
              <w:t>Elevation of control rooms, protected routing of cables</w:t>
            </w:r>
            <w:r w:rsidR="00491904">
              <w:rPr>
                <w:rFonts w:cs="Arial"/>
                <w:sz w:val="16"/>
                <w:szCs w:val="16"/>
                <w:lang w:val="en-GB"/>
              </w:rPr>
              <w:t>.</w:t>
            </w:r>
          </w:p>
        </w:tc>
      </w:tr>
      <w:tr w:rsidR="00132BC0" w:rsidRPr="0009068F" w14:paraId="69C8D4B2" w14:textId="77777777" w:rsidTr="007E18E8">
        <w:tc>
          <w:tcPr>
            <w:tcW w:w="757" w:type="pct"/>
            <w:shd w:val="clear" w:color="auto" w:fill="FFFFFF"/>
          </w:tcPr>
          <w:p w14:paraId="72454DFE" w14:textId="1661271F" w:rsidR="00132BC0" w:rsidRPr="004C7F0D" w:rsidRDefault="00FC6F1C" w:rsidP="006402AC">
            <w:pPr>
              <w:pStyle w:val="CETBodytext"/>
              <w:jc w:val="left"/>
              <w:rPr>
                <w:sz w:val="16"/>
                <w:szCs w:val="16"/>
                <w:lang w:val="en-GB"/>
              </w:rPr>
            </w:pPr>
            <w:r w:rsidRPr="004C7F0D">
              <w:rPr>
                <w:sz w:val="16"/>
                <w:szCs w:val="16"/>
                <w:lang w:val="en-GB"/>
              </w:rPr>
              <w:t>Cooling and refrigeration systems</w:t>
            </w:r>
          </w:p>
        </w:tc>
        <w:tc>
          <w:tcPr>
            <w:tcW w:w="839" w:type="pct"/>
            <w:shd w:val="clear" w:color="auto" w:fill="FFFFFF"/>
          </w:tcPr>
          <w:p w14:paraId="67CE0940" w14:textId="77243A94" w:rsidR="00132BC0" w:rsidRPr="0009068F" w:rsidRDefault="007577C1" w:rsidP="001A7057">
            <w:pPr>
              <w:pStyle w:val="CETBodytext"/>
              <w:jc w:val="left"/>
              <w:rPr>
                <w:sz w:val="16"/>
                <w:szCs w:val="16"/>
                <w:lang w:val="en-GB"/>
              </w:rPr>
            </w:pPr>
            <w:r w:rsidRPr="0009068F">
              <w:rPr>
                <w:sz w:val="16"/>
                <w:szCs w:val="16"/>
                <w:lang w:val="en-GB"/>
              </w:rPr>
              <w:t>Cooling towers, heat exchangers, refrigeration units</w:t>
            </w:r>
          </w:p>
        </w:tc>
        <w:tc>
          <w:tcPr>
            <w:tcW w:w="1052" w:type="pct"/>
            <w:shd w:val="clear" w:color="auto" w:fill="FFFFFF"/>
          </w:tcPr>
          <w:p w14:paraId="6645BF61" w14:textId="335EC354" w:rsidR="00132BC0" w:rsidRPr="0009068F" w:rsidRDefault="00E60559" w:rsidP="006402AC">
            <w:pPr>
              <w:pStyle w:val="CETBodytext"/>
              <w:ind w:left="229"/>
              <w:jc w:val="left"/>
              <w:rPr>
                <w:sz w:val="16"/>
                <w:szCs w:val="16"/>
                <w:lang w:val="en-GB"/>
              </w:rPr>
            </w:pPr>
            <w:r w:rsidRPr="0009068F">
              <w:rPr>
                <w:sz w:val="16"/>
                <w:szCs w:val="16"/>
                <w:lang w:val="en-GB"/>
              </w:rPr>
              <w:t xml:space="preserve">Loss of cooling water availability, mechanical damage, </w:t>
            </w:r>
            <w:r w:rsidR="001A7057" w:rsidRPr="0009068F">
              <w:rPr>
                <w:sz w:val="16"/>
                <w:szCs w:val="16"/>
                <w:lang w:val="en-GB"/>
              </w:rPr>
              <w:t xml:space="preserve">and </w:t>
            </w:r>
            <w:r w:rsidRPr="0009068F">
              <w:rPr>
                <w:sz w:val="16"/>
                <w:szCs w:val="16"/>
                <w:lang w:val="en-GB"/>
              </w:rPr>
              <w:t>fouling</w:t>
            </w:r>
          </w:p>
        </w:tc>
        <w:tc>
          <w:tcPr>
            <w:tcW w:w="542" w:type="pct"/>
            <w:shd w:val="clear" w:color="auto" w:fill="FFFFFF"/>
          </w:tcPr>
          <w:p w14:paraId="1CCBD1FE" w14:textId="2AD599A5" w:rsidR="00132BC0" w:rsidRPr="0009068F" w:rsidRDefault="002A1B28" w:rsidP="006402AC">
            <w:pPr>
              <w:pStyle w:val="CETBodytext"/>
              <w:ind w:right="-1" w:firstLine="132"/>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5243CA60" w14:textId="53AF6780" w:rsidR="00132BC0" w:rsidRPr="0009068F" w:rsidRDefault="00E44F83" w:rsidP="005C7B48">
            <w:pPr>
              <w:pStyle w:val="CETBodytext"/>
              <w:ind w:right="11"/>
              <w:jc w:val="left"/>
              <w:rPr>
                <w:rFonts w:cs="Arial"/>
                <w:sz w:val="16"/>
                <w:szCs w:val="16"/>
                <w:lang w:val="en-GB"/>
              </w:rPr>
            </w:pPr>
            <w:r w:rsidRPr="0009068F">
              <w:rPr>
                <w:rFonts w:cs="Arial"/>
                <w:sz w:val="16"/>
                <w:szCs w:val="16"/>
                <w:lang w:val="en-GB"/>
              </w:rPr>
              <w:t>Overheating, thermal runaway, overpressure</w:t>
            </w:r>
          </w:p>
        </w:tc>
        <w:tc>
          <w:tcPr>
            <w:tcW w:w="13" w:type="pct"/>
            <w:shd w:val="clear" w:color="auto" w:fill="FFFFFF"/>
          </w:tcPr>
          <w:p w14:paraId="0DB79B32" w14:textId="77777777" w:rsidR="00132BC0" w:rsidRPr="0009068F" w:rsidRDefault="00132BC0" w:rsidP="006402AC">
            <w:pPr>
              <w:pStyle w:val="CETBodytext"/>
              <w:ind w:right="-1"/>
              <w:jc w:val="left"/>
              <w:rPr>
                <w:rFonts w:cs="Arial"/>
                <w:sz w:val="16"/>
                <w:szCs w:val="16"/>
                <w:lang w:val="en-GB"/>
              </w:rPr>
            </w:pPr>
          </w:p>
        </w:tc>
        <w:tc>
          <w:tcPr>
            <w:tcW w:w="861" w:type="pct"/>
            <w:shd w:val="clear" w:color="auto" w:fill="FFFFFF"/>
          </w:tcPr>
          <w:p w14:paraId="57C98A3B" w14:textId="4D4E139E" w:rsidR="00132BC0" w:rsidRPr="0009068F" w:rsidRDefault="00CE4016" w:rsidP="005C7B48">
            <w:pPr>
              <w:pStyle w:val="CETBodytext"/>
              <w:ind w:right="11"/>
              <w:jc w:val="left"/>
              <w:rPr>
                <w:rFonts w:cs="Arial"/>
                <w:sz w:val="16"/>
                <w:szCs w:val="16"/>
                <w:lang w:val="en-GB"/>
              </w:rPr>
            </w:pPr>
            <w:r w:rsidRPr="0009068F">
              <w:rPr>
                <w:rFonts w:cs="Arial"/>
                <w:sz w:val="16"/>
                <w:szCs w:val="16"/>
                <w:lang w:val="en-GB"/>
              </w:rPr>
              <w:t>Identification of minimum cooling requirements under flood conditions</w:t>
            </w:r>
          </w:p>
        </w:tc>
      </w:tr>
      <w:tr w:rsidR="00132BC0" w:rsidRPr="0009068F" w14:paraId="7C929FB2" w14:textId="77777777" w:rsidTr="007E18E8">
        <w:tc>
          <w:tcPr>
            <w:tcW w:w="757" w:type="pct"/>
            <w:shd w:val="clear" w:color="auto" w:fill="FFFFFF"/>
          </w:tcPr>
          <w:p w14:paraId="2B713F2B" w14:textId="6599F21A" w:rsidR="00132BC0" w:rsidRPr="004C7F0D" w:rsidRDefault="009E6732" w:rsidP="006402AC">
            <w:pPr>
              <w:pStyle w:val="CETBodytext"/>
              <w:jc w:val="left"/>
              <w:rPr>
                <w:sz w:val="16"/>
                <w:szCs w:val="16"/>
                <w:lang w:val="en-GB"/>
              </w:rPr>
            </w:pPr>
            <w:r w:rsidRPr="004C7F0D">
              <w:rPr>
                <w:sz w:val="16"/>
                <w:szCs w:val="16"/>
                <w:lang w:val="en-GB"/>
              </w:rPr>
              <w:t>Water supply and treatment systems</w:t>
            </w:r>
          </w:p>
        </w:tc>
        <w:tc>
          <w:tcPr>
            <w:tcW w:w="839" w:type="pct"/>
            <w:shd w:val="clear" w:color="auto" w:fill="FFFFFF"/>
          </w:tcPr>
          <w:p w14:paraId="329125B2" w14:textId="7D5E2FF7" w:rsidR="00132BC0" w:rsidRPr="0009068F" w:rsidRDefault="00D60F0C" w:rsidP="001A7057">
            <w:pPr>
              <w:pStyle w:val="CETBodytext"/>
              <w:jc w:val="left"/>
              <w:rPr>
                <w:sz w:val="16"/>
                <w:szCs w:val="16"/>
                <w:lang w:val="en-GB"/>
              </w:rPr>
            </w:pPr>
            <w:r w:rsidRPr="0009068F">
              <w:rPr>
                <w:sz w:val="16"/>
                <w:szCs w:val="16"/>
                <w:lang w:val="en-GB"/>
              </w:rPr>
              <w:t>Process water, demineralized water, wastewater treatment</w:t>
            </w:r>
          </w:p>
        </w:tc>
        <w:tc>
          <w:tcPr>
            <w:tcW w:w="1052" w:type="pct"/>
            <w:shd w:val="clear" w:color="auto" w:fill="FFFFFF"/>
          </w:tcPr>
          <w:p w14:paraId="055FE5AD" w14:textId="557847E1" w:rsidR="00132BC0" w:rsidRPr="0009068F" w:rsidRDefault="0036654D" w:rsidP="006402AC">
            <w:pPr>
              <w:pStyle w:val="CETBodytext"/>
              <w:ind w:left="229"/>
              <w:jc w:val="left"/>
              <w:rPr>
                <w:sz w:val="16"/>
                <w:szCs w:val="16"/>
                <w:lang w:val="en-GB"/>
              </w:rPr>
            </w:pPr>
            <w:r w:rsidRPr="0009068F">
              <w:rPr>
                <w:sz w:val="16"/>
                <w:szCs w:val="16"/>
                <w:lang w:val="en-GB"/>
              </w:rPr>
              <w:t xml:space="preserve">Intake obstruction, contamination, </w:t>
            </w:r>
            <w:r w:rsidR="001A7057" w:rsidRPr="0009068F">
              <w:rPr>
                <w:sz w:val="16"/>
                <w:szCs w:val="16"/>
                <w:lang w:val="en-GB"/>
              </w:rPr>
              <w:t xml:space="preserve">and </w:t>
            </w:r>
            <w:r w:rsidRPr="0009068F">
              <w:rPr>
                <w:sz w:val="16"/>
                <w:szCs w:val="16"/>
                <w:lang w:val="en-GB"/>
              </w:rPr>
              <w:t>pump failure</w:t>
            </w:r>
          </w:p>
        </w:tc>
        <w:tc>
          <w:tcPr>
            <w:tcW w:w="542" w:type="pct"/>
            <w:shd w:val="clear" w:color="auto" w:fill="FFFFFF"/>
          </w:tcPr>
          <w:p w14:paraId="4AFAC050" w14:textId="5F740650" w:rsidR="00132BC0" w:rsidRPr="0009068F" w:rsidRDefault="002A1B28" w:rsidP="006402AC">
            <w:pPr>
              <w:pStyle w:val="CETBodytext"/>
              <w:ind w:right="-1" w:firstLine="132"/>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10B0AC2F" w14:textId="0C864A51" w:rsidR="00132BC0" w:rsidRPr="0009068F" w:rsidRDefault="00834A37" w:rsidP="00447BE9">
            <w:pPr>
              <w:pStyle w:val="CETBodytext"/>
              <w:ind w:right="11"/>
              <w:jc w:val="left"/>
              <w:rPr>
                <w:rFonts w:cs="Arial"/>
                <w:sz w:val="16"/>
                <w:szCs w:val="16"/>
                <w:lang w:val="en-GB"/>
              </w:rPr>
            </w:pPr>
            <w:r w:rsidRPr="0009068F">
              <w:rPr>
                <w:rFonts w:cs="Arial"/>
                <w:sz w:val="16"/>
                <w:szCs w:val="16"/>
                <w:lang w:val="en-GB"/>
              </w:rPr>
              <w:t>Loss of containment control, uncontrolled discharges</w:t>
            </w:r>
          </w:p>
        </w:tc>
        <w:tc>
          <w:tcPr>
            <w:tcW w:w="13" w:type="pct"/>
            <w:shd w:val="clear" w:color="auto" w:fill="FFFFFF"/>
          </w:tcPr>
          <w:p w14:paraId="64CA48DC" w14:textId="77777777" w:rsidR="00132BC0" w:rsidRPr="0009068F" w:rsidRDefault="00132BC0" w:rsidP="00447BE9">
            <w:pPr>
              <w:pStyle w:val="CETBodytext"/>
              <w:ind w:right="11"/>
              <w:jc w:val="left"/>
              <w:rPr>
                <w:rFonts w:cs="Arial"/>
                <w:sz w:val="16"/>
                <w:szCs w:val="16"/>
                <w:lang w:val="en-GB"/>
              </w:rPr>
            </w:pPr>
          </w:p>
        </w:tc>
        <w:tc>
          <w:tcPr>
            <w:tcW w:w="861" w:type="pct"/>
            <w:shd w:val="clear" w:color="auto" w:fill="FFFFFF"/>
          </w:tcPr>
          <w:p w14:paraId="3F5A0C32" w14:textId="7AA1495B" w:rsidR="00132BC0" w:rsidRPr="0009068F" w:rsidRDefault="008B3C5A" w:rsidP="00447BE9">
            <w:pPr>
              <w:pStyle w:val="CETBodytext"/>
              <w:ind w:right="11"/>
              <w:jc w:val="left"/>
              <w:rPr>
                <w:rFonts w:cs="Arial"/>
                <w:sz w:val="16"/>
                <w:szCs w:val="16"/>
                <w:lang w:val="en-GB"/>
              </w:rPr>
            </w:pPr>
            <w:r w:rsidRPr="0009068F">
              <w:rPr>
                <w:rFonts w:cs="Arial"/>
                <w:sz w:val="16"/>
                <w:szCs w:val="16"/>
                <w:lang w:val="en-GB"/>
              </w:rPr>
              <w:t>Emergency water supply and protected intakes</w:t>
            </w:r>
          </w:p>
        </w:tc>
      </w:tr>
      <w:tr w:rsidR="00132BC0" w:rsidRPr="0009068F" w14:paraId="7218ACD5" w14:textId="77777777" w:rsidTr="007E18E8">
        <w:tc>
          <w:tcPr>
            <w:tcW w:w="757" w:type="pct"/>
            <w:shd w:val="clear" w:color="auto" w:fill="FFFFFF"/>
          </w:tcPr>
          <w:p w14:paraId="0D7F5EF3" w14:textId="4A89F6D3" w:rsidR="00132BC0" w:rsidRPr="004C7F0D" w:rsidRDefault="00983736" w:rsidP="006402AC">
            <w:pPr>
              <w:pStyle w:val="CETBodytext"/>
              <w:jc w:val="left"/>
              <w:rPr>
                <w:sz w:val="16"/>
                <w:szCs w:val="16"/>
                <w:lang w:val="en-GB"/>
              </w:rPr>
            </w:pPr>
            <w:r w:rsidRPr="004C7F0D">
              <w:rPr>
                <w:sz w:val="16"/>
                <w:szCs w:val="16"/>
                <w:lang w:val="en-GB"/>
              </w:rPr>
              <w:t>Drainage and stormwater systems</w:t>
            </w:r>
          </w:p>
        </w:tc>
        <w:tc>
          <w:tcPr>
            <w:tcW w:w="839" w:type="pct"/>
            <w:shd w:val="clear" w:color="auto" w:fill="FFFFFF"/>
          </w:tcPr>
          <w:p w14:paraId="6A6A3BCF" w14:textId="29D389EB" w:rsidR="00132BC0" w:rsidRPr="0009068F" w:rsidRDefault="00D60F0C" w:rsidP="001A7057">
            <w:pPr>
              <w:pStyle w:val="CETBodytext"/>
              <w:jc w:val="left"/>
              <w:rPr>
                <w:sz w:val="16"/>
                <w:szCs w:val="16"/>
                <w:lang w:val="en-GB"/>
              </w:rPr>
            </w:pPr>
            <w:r w:rsidRPr="0009068F">
              <w:rPr>
                <w:sz w:val="16"/>
                <w:szCs w:val="16"/>
                <w:lang w:val="en-GB"/>
              </w:rPr>
              <w:t xml:space="preserve">Drainage networks, separators, </w:t>
            </w:r>
            <w:r w:rsidR="001A7057" w:rsidRPr="0009068F">
              <w:rPr>
                <w:sz w:val="16"/>
                <w:szCs w:val="16"/>
                <w:lang w:val="en-GB"/>
              </w:rPr>
              <w:t xml:space="preserve">and </w:t>
            </w:r>
            <w:r w:rsidRPr="0009068F">
              <w:rPr>
                <w:sz w:val="16"/>
                <w:szCs w:val="16"/>
                <w:lang w:val="en-GB"/>
              </w:rPr>
              <w:t>collection basins</w:t>
            </w:r>
          </w:p>
        </w:tc>
        <w:tc>
          <w:tcPr>
            <w:tcW w:w="1052" w:type="pct"/>
            <w:shd w:val="clear" w:color="auto" w:fill="FFFFFF"/>
          </w:tcPr>
          <w:p w14:paraId="0885627F" w14:textId="07E415FA" w:rsidR="00132BC0" w:rsidRPr="0009068F" w:rsidRDefault="0036654D" w:rsidP="006402AC">
            <w:pPr>
              <w:pStyle w:val="CETBodytext"/>
              <w:ind w:left="229"/>
              <w:jc w:val="left"/>
              <w:rPr>
                <w:sz w:val="16"/>
                <w:szCs w:val="16"/>
                <w:lang w:val="en-GB"/>
              </w:rPr>
            </w:pPr>
            <w:r w:rsidRPr="0009068F">
              <w:rPr>
                <w:sz w:val="16"/>
                <w:szCs w:val="16"/>
                <w:lang w:val="en-GB"/>
              </w:rPr>
              <w:t>Overflow, blockage, reverse flow</w:t>
            </w:r>
          </w:p>
        </w:tc>
        <w:tc>
          <w:tcPr>
            <w:tcW w:w="542" w:type="pct"/>
            <w:shd w:val="clear" w:color="auto" w:fill="FFFFFF"/>
          </w:tcPr>
          <w:p w14:paraId="6D478DC8" w14:textId="77777777" w:rsidR="002A1B28" w:rsidRPr="0009068F" w:rsidRDefault="00631AB0" w:rsidP="006402AC">
            <w:pPr>
              <w:pStyle w:val="CETBodytext"/>
              <w:ind w:right="-1" w:firstLine="132"/>
              <w:jc w:val="left"/>
              <w:rPr>
                <w:rFonts w:cs="Arial"/>
                <w:sz w:val="16"/>
                <w:szCs w:val="16"/>
                <w:lang w:val="en-GB"/>
              </w:rPr>
            </w:pPr>
            <w:r w:rsidRPr="0009068F">
              <w:rPr>
                <w:rFonts w:cs="Arial"/>
                <w:sz w:val="16"/>
                <w:szCs w:val="16"/>
                <w:lang w:val="en-GB"/>
              </w:rPr>
              <w:t>Direct/</w:t>
            </w:r>
          </w:p>
          <w:p w14:paraId="00206401" w14:textId="3CADA960" w:rsidR="00132BC0" w:rsidRPr="0009068F" w:rsidRDefault="00631AB0" w:rsidP="006402AC">
            <w:pPr>
              <w:pStyle w:val="CETBodytext"/>
              <w:ind w:right="-1" w:firstLine="132"/>
              <w:jc w:val="left"/>
              <w:rPr>
                <w:rFonts w:cs="Arial"/>
                <w:sz w:val="16"/>
                <w:szCs w:val="16"/>
                <w:lang w:val="en-GB"/>
              </w:rPr>
            </w:pPr>
            <w:r w:rsidRPr="0009068F">
              <w:rPr>
                <w:rFonts w:cs="Arial"/>
                <w:sz w:val="16"/>
                <w:szCs w:val="16"/>
                <w:lang w:val="en-GB"/>
              </w:rPr>
              <w:t>Indir</w:t>
            </w:r>
            <w:r w:rsidR="002A1B28" w:rsidRPr="0009068F">
              <w:rPr>
                <w:rFonts w:cs="Arial"/>
                <w:sz w:val="16"/>
                <w:szCs w:val="16"/>
                <w:lang w:val="en-GB"/>
              </w:rPr>
              <w:t>ect</w:t>
            </w:r>
          </w:p>
        </w:tc>
        <w:tc>
          <w:tcPr>
            <w:tcW w:w="936" w:type="pct"/>
            <w:shd w:val="clear" w:color="auto" w:fill="FFFFFF"/>
          </w:tcPr>
          <w:p w14:paraId="75A920E0" w14:textId="05612FC7" w:rsidR="00132BC0" w:rsidRPr="0009068F" w:rsidRDefault="00834A37" w:rsidP="00447BE9">
            <w:pPr>
              <w:pStyle w:val="CETBodytext"/>
              <w:ind w:right="11"/>
              <w:jc w:val="left"/>
              <w:rPr>
                <w:rFonts w:cs="Arial"/>
                <w:sz w:val="16"/>
                <w:szCs w:val="16"/>
                <w:lang w:val="en-GB"/>
              </w:rPr>
            </w:pPr>
            <w:r w:rsidRPr="0009068F">
              <w:rPr>
                <w:rFonts w:cs="Arial"/>
                <w:sz w:val="16"/>
                <w:szCs w:val="16"/>
                <w:lang w:val="en-GB"/>
              </w:rPr>
              <w:t>Spread of flammable or toxic substances, secondary releases</w:t>
            </w:r>
          </w:p>
        </w:tc>
        <w:tc>
          <w:tcPr>
            <w:tcW w:w="13" w:type="pct"/>
            <w:shd w:val="clear" w:color="auto" w:fill="FFFFFF"/>
          </w:tcPr>
          <w:p w14:paraId="745F1926" w14:textId="77777777" w:rsidR="00132BC0" w:rsidRPr="0009068F" w:rsidRDefault="00132BC0" w:rsidP="00447BE9">
            <w:pPr>
              <w:pStyle w:val="CETBodytext"/>
              <w:ind w:right="11"/>
              <w:jc w:val="left"/>
              <w:rPr>
                <w:rFonts w:cs="Arial"/>
                <w:sz w:val="16"/>
                <w:szCs w:val="16"/>
                <w:lang w:val="en-GB"/>
              </w:rPr>
            </w:pPr>
          </w:p>
        </w:tc>
        <w:tc>
          <w:tcPr>
            <w:tcW w:w="861" w:type="pct"/>
            <w:shd w:val="clear" w:color="auto" w:fill="FFFFFF"/>
          </w:tcPr>
          <w:p w14:paraId="7F54C50E" w14:textId="06CE6197" w:rsidR="00132BC0" w:rsidRPr="0009068F" w:rsidRDefault="008B3C5A" w:rsidP="00447BE9">
            <w:pPr>
              <w:pStyle w:val="CETBodytext"/>
              <w:ind w:right="11"/>
              <w:jc w:val="left"/>
              <w:rPr>
                <w:rFonts w:cs="Arial"/>
                <w:sz w:val="16"/>
                <w:szCs w:val="16"/>
                <w:lang w:val="en-GB"/>
              </w:rPr>
            </w:pPr>
            <w:r w:rsidRPr="0009068F">
              <w:rPr>
                <w:rFonts w:cs="Arial"/>
                <w:sz w:val="16"/>
                <w:szCs w:val="16"/>
                <w:lang w:val="en-GB"/>
              </w:rPr>
              <w:t>Maintenance procedures and capacity verification</w:t>
            </w:r>
          </w:p>
        </w:tc>
      </w:tr>
      <w:tr w:rsidR="00983736" w:rsidRPr="0009068F" w14:paraId="024BB27F" w14:textId="77777777" w:rsidTr="007E18E8">
        <w:tc>
          <w:tcPr>
            <w:tcW w:w="757" w:type="pct"/>
            <w:shd w:val="clear" w:color="auto" w:fill="FFFFFF"/>
          </w:tcPr>
          <w:p w14:paraId="1B427D49" w14:textId="0810F6A4" w:rsidR="00983736" w:rsidRPr="004C7F0D" w:rsidRDefault="00983736" w:rsidP="006402AC">
            <w:pPr>
              <w:pStyle w:val="CETBodytext"/>
              <w:jc w:val="left"/>
              <w:rPr>
                <w:sz w:val="16"/>
                <w:szCs w:val="16"/>
                <w:lang w:val="en-GB"/>
              </w:rPr>
            </w:pPr>
            <w:r w:rsidRPr="004C7F0D">
              <w:rPr>
                <w:sz w:val="16"/>
                <w:szCs w:val="16"/>
                <w:lang w:val="en-GB"/>
              </w:rPr>
              <w:t>Firefighting and firewater systems</w:t>
            </w:r>
          </w:p>
        </w:tc>
        <w:tc>
          <w:tcPr>
            <w:tcW w:w="839" w:type="pct"/>
            <w:shd w:val="clear" w:color="auto" w:fill="FFFFFF"/>
          </w:tcPr>
          <w:p w14:paraId="60CD07D3" w14:textId="3D77A4C9" w:rsidR="00983736" w:rsidRPr="0009068F" w:rsidRDefault="00031FC2" w:rsidP="001A7057">
            <w:pPr>
              <w:pStyle w:val="CETBodytext"/>
              <w:jc w:val="left"/>
              <w:rPr>
                <w:sz w:val="16"/>
                <w:szCs w:val="16"/>
                <w:lang w:val="en-GB"/>
              </w:rPr>
            </w:pPr>
            <w:r w:rsidRPr="0009068F">
              <w:rPr>
                <w:sz w:val="16"/>
                <w:szCs w:val="16"/>
                <w:lang w:val="en-GB"/>
              </w:rPr>
              <w:t>Fire pumps, hydrants, sprinklers, foam systems</w:t>
            </w:r>
          </w:p>
        </w:tc>
        <w:tc>
          <w:tcPr>
            <w:tcW w:w="1052" w:type="pct"/>
            <w:shd w:val="clear" w:color="auto" w:fill="FFFFFF"/>
          </w:tcPr>
          <w:p w14:paraId="34B20D3C" w14:textId="026A5ED4" w:rsidR="00983736" w:rsidRPr="0009068F" w:rsidRDefault="0036654D" w:rsidP="006402AC">
            <w:pPr>
              <w:pStyle w:val="CETBodytext"/>
              <w:ind w:left="229"/>
              <w:jc w:val="left"/>
              <w:rPr>
                <w:sz w:val="16"/>
                <w:szCs w:val="16"/>
                <w:lang w:val="en-GB"/>
              </w:rPr>
            </w:pPr>
            <w:r w:rsidRPr="0009068F">
              <w:rPr>
                <w:sz w:val="16"/>
                <w:szCs w:val="16"/>
                <w:lang w:val="en-GB"/>
              </w:rPr>
              <w:t xml:space="preserve">Pump flooding, power loss, </w:t>
            </w:r>
            <w:r w:rsidR="001A7057" w:rsidRPr="0009068F">
              <w:rPr>
                <w:sz w:val="16"/>
                <w:szCs w:val="16"/>
                <w:lang w:val="en-GB"/>
              </w:rPr>
              <w:t xml:space="preserve">and </w:t>
            </w:r>
            <w:r w:rsidRPr="0009068F">
              <w:rPr>
                <w:sz w:val="16"/>
                <w:szCs w:val="16"/>
                <w:lang w:val="en-GB"/>
              </w:rPr>
              <w:t>reduced accessibility</w:t>
            </w:r>
          </w:p>
        </w:tc>
        <w:tc>
          <w:tcPr>
            <w:tcW w:w="542" w:type="pct"/>
            <w:shd w:val="clear" w:color="auto" w:fill="FFFFFF"/>
          </w:tcPr>
          <w:p w14:paraId="2DB279A2" w14:textId="01230DD2" w:rsidR="00983736" w:rsidRPr="0009068F" w:rsidRDefault="002A1B28" w:rsidP="0082732D">
            <w:pPr>
              <w:pStyle w:val="CETBodytext"/>
              <w:ind w:right="-1"/>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32F11697" w14:textId="4D510E2D" w:rsidR="00983736" w:rsidRPr="0009068F" w:rsidRDefault="00834A37" w:rsidP="00447BE9">
            <w:pPr>
              <w:pStyle w:val="CETBodytext"/>
              <w:ind w:right="11"/>
              <w:jc w:val="left"/>
              <w:rPr>
                <w:rFonts w:cs="Arial"/>
                <w:sz w:val="16"/>
                <w:szCs w:val="16"/>
                <w:lang w:val="en-GB"/>
              </w:rPr>
            </w:pPr>
            <w:r w:rsidRPr="0009068F">
              <w:rPr>
                <w:rFonts w:cs="Arial"/>
                <w:sz w:val="16"/>
                <w:szCs w:val="16"/>
                <w:lang w:val="en-GB"/>
              </w:rPr>
              <w:t>Ineffective fire suppression, escalation of fires</w:t>
            </w:r>
          </w:p>
        </w:tc>
        <w:tc>
          <w:tcPr>
            <w:tcW w:w="13" w:type="pct"/>
            <w:shd w:val="clear" w:color="auto" w:fill="FFFFFF"/>
          </w:tcPr>
          <w:p w14:paraId="65FC776B" w14:textId="77777777" w:rsidR="00983736" w:rsidRPr="0009068F" w:rsidRDefault="00983736" w:rsidP="00447BE9">
            <w:pPr>
              <w:pStyle w:val="CETBodytext"/>
              <w:ind w:right="11"/>
              <w:jc w:val="left"/>
              <w:rPr>
                <w:rFonts w:cs="Arial"/>
                <w:sz w:val="16"/>
                <w:szCs w:val="16"/>
                <w:lang w:val="en-GB"/>
              </w:rPr>
            </w:pPr>
          </w:p>
        </w:tc>
        <w:tc>
          <w:tcPr>
            <w:tcW w:w="861" w:type="pct"/>
            <w:shd w:val="clear" w:color="auto" w:fill="FFFFFF"/>
          </w:tcPr>
          <w:p w14:paraId="217E3889" w14:textId="484683C6" w:rsidR="00983736" w:rsidRPr="0009068F" w:rsidRDefault="008B3C5A" w:rsidP="00447BE9">
            <w:pPr>
              <w:pStyle w:val="CETBodytext"/>
              <w:ind w:right="11"/>
              <w:jc w:val="left"/>
              <w:rPr>
                <w:rFonts w:cs="Arial"/>
                <w:sz w:val="16"/>
                <w:szCs w:val="16"/>
                <w:lang w:val="en-GB"/>
              </w:rPr>
            </w:pPr>
            <w:r w:rsidRPr="0009068F">
              <w:rPr>
                <w:rFonts w:cs="Arial"/>
                <w:sz w:val="16"/>
                <w:szCs w:val="16"/>
                <w:lang w:val="en-GB"/>
              </w:rPr>
              <w:t>Flood-resilient firewater supply, protected pumps</w:t>
            </w:r>
          </w:p>
        </w:tc>
      </w:tr>
      <w:tr w:rsidR="00132BC0" w:rsidRPr="0009068F" w14:paraId="7A4A8335" w14:textId="77777777" w:rsidTr="007E18E8">
        <w:tc>
          <w:tcPr>
            <w:tcW w:w="757" w:type="pct"/>
            <w:shd w:val="clear" w:color="auto" w:fill="FFFFFF"/>
          </w:tcPr>
          <w:p w14:paraId="3817D09C" w14:textId="083DC99C" w:rsidR="00132BC0" w:rsidRPr="004C7F0D" w:rsidRDefault="0057133F" w:rsidP="006402AC">
            <w:pPr>
              <w:pStyle w:val="CETBodytext"/>
              <w:jc w:val="left"/>
              <w:rPr>
                <w:sz w:val="16"/>
                <w:szCs w:val="16"/>
                <w:lang w:val="en-GB"/>
              </w:rPr>
            </w:pPr>
            <w:r w:rsidRPr="004C7F0D">
              <w:rPr>
                <w:sz w:val="16"/>
                <w:szCs w:val="16"/>
                <w:lang w:val="en-GB"/>
              </w:rPr>
              <w:t>Thermal utilities</w:t>
            </w:r>
          </w:p>
        </w:tc>
        <w:tc>
          <w:tcPr>
            <w:tcW w:w="839" w:type="pct"/>
            <w:shd w:val="clear" w:color="auto" w:fill="FFFFFF"/>
          </w:tcPr>
          <w:p w14:paraId="04AACC8A" w14:textId="3E3D335A" w:rsidR="00132BC0" w:rsidRPr="0009068F" w:rsidRDefault="00031FC2" w:rsidP="001A7057">
            <w:pPr>
              <w:pStyle w:val="CETBodytext"/>
              <w:jc w:val="left"/>
              <w:rPr>
                <w:sz w:val="16"/>
                <w:szCs w:val="16"/>
                <w:lang w:val="en-GB"/>
              </w:rPr>
            </w:pPr>
            <w:r w:rsidRPr="0009068F">
              <w:rPr>
                <w:sz w:val="16"/>
                <w:szCs w:val="16"/>
                <w:lang w:val="en-GB"/>
              </w:rPr>
              <w:t>Boilers, steam networks</w:t>
            </w:r>
          </w:p>
        </w:tc>
        <w:tc>
          <w:tcPr>
            <w:tcW w:w="1052" w:type="pct"/>
            <w:shd w:val="clear" w:color="auto" w:fill="FFFFFF"/>
          </w:tcPr>
          <w:p w14:paraId="277571C6" w14:textId="17C7B6DE" w:rsidR="00132BC0" w:rsidRPr="0009068F" w:rsidRDefault="00631AB0" w:rsidP="006402AC">
            <w:pPr>
              <w:pStyle w:val="CETBodytext"/>
              <w:ind w:left="229"/>
              <w:jc w:val="left"/>
              <w:rPr>
                <w:sz w:val="16"/>
                <w:szCs w:val="16"/>
                <w:lang w:val="en-GB"/>
              </w:rPr>
            </w:pPr>
            <w:r w:rsidRPr="0009068F">
              <w:rPr>
                <w:sz w:val="16"/>
                <w:szCs w:val="16"/>
                <w:lang w:val="en-GB"/>
              </w:rPr>
              <w:t>Loss of fuel supply, submersion of burners and auxiliaries</w:t>
            </w:r>
          </w:p>
        </w:tc>
        <w:tc>
          <w:tcPr>
            <w:tcW w:w="542" w:type="pct"/>
            <w:shd w:val="clear" w:color="auto" w:fill="FFFFFF"/>
          </w:tcPr>
          <w:p w14:paraId="5F9A6FC7" w14:textId="38D5F433" w:rsidR="00132BC0" w:rsidRPr="0009068F" w:rsidRDefault="002A1B28" w:rsidP="0082732D">
            <w:pPr>
              <w:pStyle w:val="CETBodytext"/>
              <w:ind w:right="-1"/>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42BEFDA2" w14:textId="60C9D642" w:rsidR="00132BC0" w:rsidRPr="0009068F" w:rsidRDefault="00834A37" w:rsidP="00447BE9">
            <w:pPr>
              <w:pStyle w:val="CETBodytext"/>
              <w:ind w:right="11"/>
              <w:jc w:val="left"/>
              <w:rPr>
                <w:rFonts w:cs="Arial"/>
                <w:sz w:val="16"/>
                <w:szCs w:val="16"/>
                <w:lang w:val="en-GB"/>
              </w:rPr>
            </w:pPr>
            <w:r w:rsidRPr="0009068F">
              <w:rPr>
                <w:rFonts w:cs="Arial"/>
                <w:sz w:val="16"/>
                <w:szCs w:val="16"/>
                <w:lang w:val="en-GB"/>
              </w:rPr>
              <w:t>Loss of process stability, unsafe shutdown conditions</w:t>
            </w:r>
          </w:p>
        </w:tc>
        <w:tc>
          <w:tcPr>
            <w:tcW w:w="13" w:type="pct"/>
            <w:shd w:val="clear" w:color="auto" w:fill="FFFFFF"/>
          </w:tcPr>
          <w:p w14:paraId="34150F9C" w14:textId="77777777" w:rsidR="00132BC0" w:rsidRPr="0009068F" w:rsidRDefault="00132BC0" w:rsidP="00447BE9">
            <w:pPr>
              <w:pStyle w:val="CETBodytext"/>
              <w:ind w:right="11"/>
              <w:jc w:val="left"/>
              <w:rPr>
                <w:rFonts w:cs="Arial"/>
                <w:sz w:val="16"/>
                <w:szCs w:val="16"/>
                <w:lang w:val="en-GB"/>
              </w:rPr>
            </w:pPr>
          </w:p>
        </w:tc>
        <w:tc>
          <w:tcPr>
            <w:tcW w:w="861" w:type="pct"/>
            <w:shd w:val="clear" w:color="auto" w:fill="FFFFFF"/>
          </w:tcPr>
          <w:p w14:paraId="2704B2C2" w14:textId="26C87BFA" w:rsidR="00132BC0" w:rsidRPr="0009068F" w:rsidRDefault="004D20B8" w:rsidP="00447BE9">
            <w:pPr>
              <w:pStyle w:val="CETBodytext"/>
              <w:ind w:right="11"/>
              <w:jc w:val="left"/>
              <w:rPr>
                <w:rFonts w:cs="Arial"/>
                <w:sz w:val="16"/>
                <w:szCs w:val="16"/>
                <w:lang w:val="en-GB"/>
              </w:rPr>
            </w:pPr>
            <w:r w:rsidRPr="0009068F">
              <w:rPr>
                <w:rFonts w:cs="Arial"/>
                <w:sz w:val="16"/>
                <w:szCs w:val="16"/>
                <w:lang w:val="en-GB"/>
              </w:rPr>
              <w:t>Safe shutdown procedures and isolation strategies</w:t>
            </w:r>
          </w:p>
        </w:tc>
      </w:tr>
      <w:tr w:rsidR="00983736" w:rsidRPr="0009068F" w14:paraId="24FF045C" w14:textId="77777777" w:rsidTr="007E18E8">
        <w:tc>
          <w:tcPr>
            <w:tcW w:w="757" w:type="pct"/>
            <w:shd w:val="clear" w:color="auto" w:fill="FFFFFF"/>
          </w:tcPr>
          <w:p w14:paraId="1992CF68" w14:textId="47F7B973" w:rsidR="00983736" w:rsidRPr="004C7F0D" w:rsidRDefault="0057133F" w:rsidP="006402AC">
            <w:pPr>
              <w:pStyle w:val="CETBodytext"/>
              <w:jc w:val="left"/>
              <w:rPr>
                <w:sz w:val="16"/>
                <w:szCs w:val="16"/>
                <w:lang w:val="en-GB"/>
              </w:rPr>
            </w:pPr>
            <w:r w:rsidRPr="004C7F0D">
              <w:rPr>
                <w:sz w:val="16"/>
                <w:szCs w:val="16"/>
                <w:lang w:val="en-GB"/>
              </w:rPr>
              <w:t>Flare and vent systems</w:t>
            </w:r>
          </w:p>
        </w:tc>
        <w:tc>
          <w:tcPr>
            <w:tcW w:w="839" w:type="pct"/>
            <w:shd w:val="clear" w:color="auto" w:fill="FFFFFF"/>
          </w:tcPr>
          <w:p w14:paraId="302B7930" w14:textId="0070EBEE" w:rsidR="00983736" w:rsidRPr="0009068F" w:rsidRDefault="00031FC2" w:rsidP="00C14048">
            <w:pPr>
              <w:pStyle w:val="CETBodytext"/>
              <w:jc w:val="left"/>
              <w:rPr>
                <w:sz w:val="16"/>
                <w:szCs w:val="16"/>
                <w:lang w:val="en-GB"/>
              </w:rPr>
            </w:pPr>
            <w:r w:rsidRPr="0009068F">
              <w:rPr>
                <w:sz w:val="16"/>
                <w:szCs w:val="16"/>
                <w:lang w:val="en-GB"/>
              </w:rPr>
              <w:t>Flares, torches, vent stacks</w:t>
            </w:r>
          </w:p>
        </w:tc>
        <w:tc>
          <w:tcPr>
            <w:tcW w:w="1052" w:type="pct"/>
            <w:shd w:val="clear" w:color="auto" w:fill="FFFFFF"/>
          </w:tcPr>
          <w:p w14:paraId="0ED4E6F4" w14:textId="5DDE8F38" w:rsidR="00983736" w:rsidRPr="0009068F" w:rsidRDefault="00631AB0" w:rsidP="006402AC">
            <w:pPr>
              <w:pStyle w:val="CETBodytext"/>
              <w:ind w:left="229"/>
              <w:jc w:val="left"/>
              <w:rPr>
                <w:sz w:val="16"/>
                <w:szCs w:val="16"/>
                <w:lang w:val="en-GB"/>
              </w:rPr>
            </w:pPr>
            <w:r w:rsidRPr="0009068F">
              <w:rPr>
                <w:sz w:val="16"/>
                <w:szCs w:val="16"/>
                <w:lang w:val="en-GB"/>
              </w:rPr>
              <w:t>Flooding of auxiliary equipment, ignition system failure</w:t>
            </w:r>
          </w:p>
        </w:tc>
        <w:tc>
          <w:tcPr>
            <w:tcW w:w="542" w:type="pct"/>
            <w:shd w:val="clear" w:color="auto" w:fill="FFFFFF"/>
          </w:tcPr>
          <w:p w14:paraId="18ACE12E" w14:textId="03062A3D" w:rsidR="00983736" w:rsidRPr="0009068F" w:rsidRDefault="002A1B28" w:rsidP="0082732D">
            <w:pPr>
              <w:pStyle w:val="CETBodytext"/>
              <w:ind w:right="-1"/>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3B476094" w14:textId="52B8567C" w:rsidR="00983736" w:rsidRPr="0009068F" w:rsidRDefault="00CE4016" w:rsidP="00447BE9">
            <w:pPr>
              <w:pStyle w:val="CETBodytext"/>
              <w:ind w:right="11"/>
              <w:jc w:val="left"/>
              <w:rPr>
                <w:rFonts w:cs="Arial"/>
                <w:sz w:val="16"/>
                <w:szCs w:val="16"/>
                <w:lang w:val="en-GB"/>
              </w:rPr>
            </w:pPr>
            <w:r w:rsidRPr="0009068F">
              <w:rPr>
                <w:rFonts w:cs="Arial"/>
                <w:sz w:val="16"/>
                <w:szCs w:val="16"/>
                <w:lang w:val="en-GB"/>
              </w:rPr>
              <w:t>Inability to safely relieve pressure</w:t>
            </w:r>
          </w:p>
        </w:tc>
        <w:tc>
          <w:tcPr>
            <w:tcW w:w="13" w:type="pct"/>
            <w:shd w:val="clear" w:color="auto" w:fill="FFFFFF"/>
          </w:tcPr>
          <w:p w14:paraId="3C50D074" w14:textId="77777777" w:rsidR="00983736" w:rsidRPr="0009068F" w:rsidRDefault="00983736" w:rsidP="00447BE9">
            <w:pPr>
              <w:pStyle w:val="CETBodytext"/>
              <w:ind w:right="11"/>
              <w:jc w:val="left"/>
              <w:rPr>
                <w:rFonts w:cs="Arial"/>
                <w:sz w:val="16"/>
                <w:szCs w:val="16"/>
                <w:lang w:val="en-GB"/>
              </w:rPr>
            </w:pPr>
          </w:p>
        </w:tc>
        <w:tc>
          <w:tcPr>
            <w:tcW w:w="861" w:type="pct"/>
            <w:shd w:val="clear" w:color="auto" w:fill="FFFFFF"/>
          </w:tcPr>
          <w:p w14:paraId="0359BEF2" w14:textId="16F88547" w:rsidR="00983736" w:rsidRPr="0009068F" w:rsidRDefault="004D20B8" w:rsidP="00447BE9">
            <w:pPr>
              <w:pStyle w:val="CETBodytext"/>
              <w:ind w:right="11"/>
              <w:jc w:val="left"/>
              <w:rPr>
                <w:rFonts w:cs="Arial"/>
                <w:sz w:val="16"/>
                <w:szCs w:val="16"/>
                <w:lang w:val="en-GB"/>
              </w:rPr>
            </w:pPr>
            <w:r w:rsidRPr="0009068F">
              <w:rPr>
                <w:rFonts w:cs="Arial"/>
                <w:sz w:val="16"/>
                <w:szCs w:val="16"/>
                <w:lang w:val="en-GB"/>
              </w:rPr>
              <w:t>Verification of operability under extreme conditions</w:t>
            </w:r>
          </w:p>
        </w:tc>
      </w:tr>
      <w:tr w:rsidR="00132BC0" w:rsidRPr="0009068F" w14:paraId="1F8C7DE6" w14:textId="77777777" w:rsidTr="007E18E8">
        <w:tc>
          <w:tcPr>
            <w:tcW w:w="757" w:type="pct"/>
            <w:shd w:val="clear" w:color="auto" w:fill="FFFFFF"/>
          </w:tcPr>
          <w:p w14:paraId="362AED85" w14:textId="0FD3750F" w:rsidR="00132BC0" w:rsidRPr="004C7F0D" w:rsidRDefault="0057133F" w:rsidP="006402AC">
            <w:pPr>
              <w:pStyle w:val="CETBodytext"/>
              <w:ind w:right="-1"/>
              <w:jc w:val="left"/>
              <w:rPr>
                <w:rFonts w:cs="Arial"/>
                <w:sz w:val="16"/>
                <w:szCs w:val="16"/>
                <w:lang w:val="en-GB"/>
              </w:rPr>
            </w:pPr>
            <w:r w:rsidRPr="004C7F0D">
              <w:rPr>
                <w:rFonts w:cs="Arial"/>
                <w:sz w:val="16"/>
                <w:szCs w:val="16"/>
                <w:lang w:val="en-GB"/>
              </w:rPr>
              <w:t>Emergency access and logistics</w:t>
            </w:r>
          </w:p>
        </w:tc>
        <w:tc>
          <w:tcPr>
            <w:tcW w:w="839" w:type="pct"/>
            <w:shd w:val="clear" w:color="auto" w:fill="FFFFFF"/>
          </w:tcPr>
          <w:p w14:paraId="27E6EA00" w14:textId="3455E849" w:rsidR="00132BC0" w:rsidRPr="0009068F" w:rsidRDefault="00950244" w:rsidP="00C14048">
            <w:pPr>
              <w:pStyle w:val="CETBodytext"/>
              <w:ind w:right="-1"/>
              <w:jc w:val="left"/>
              <w:rPr>
                <w:rFonts w:cs="Arial"/>
                <w:sz w:val="16"/>
                <w:szCs w:val="16"/>
                <w:lang w:val="en-GB"/>
              </w:rPr>
            </w:pPr>
            <w:r w:rsidRPr="0009068F">
              <w:rPr>
                <w:rFonts w:cs="Arial"/>
                <w:sz w:val="16"/>
                <w:szCs w:val="16"/>
                <w:lang w:val="en-GB"/>
              </w:rPr>
              <w:t xml:space="preserve">Roads, internal pathways, </w:t>
            </w:r>
            <w:r w:rsidR="004F02E0">
              <w:rPr>
                <w:rFonts w:cs="Arial"/>
                <w:sz w:val="16"/>
                <w:szCs w:val="16"/>
                <w:lang w:val="en-GB"/>
              </w:rPr>
              <w:t xml:space="preserve">emergency </w:t>
            </w:r>
            <w:r w:rsidRPr="0009068F">
              <w:rPr>
                <w:rFonts w:cs="Arial"/>
                <w:sz w:val="16"/>
                <w:szCs w:val="16"/>
                <w:lang w:val="en-GB"/>
              </w:rPr>
              <w:t>assembly points</w:t>
            </w:r>
          </w:p>
        </w:tc>
        <w:tc>
          <w:tcPr>
            <w:tcW w:w="1052" w:type="pct"/>
            <w:shd w:val="clear" w:color="auto" w:fill="FFFFFF"/>
          </w:tcPr>
          <w:p w14:paraId="60ABBDF1" w14:textId="307C808F" w:rsidR="00132BC0" w:rsidRPr="0009068F" w:rsidRDefault="00631AB0" w:rsidP="006402AC">
            <w:pPr>
              <w:pStyle w:val="CETBodytext"/>
              <w:ind w:left="229" w:right="-1"/>
              <w:jc w:val="left"/>
              <w:rPr>
                <w:rFonts w:cs="Arial"/>
                <w:sz w:val="16"/>
                <w:szCs w:val="16"/>
                <w:lang w:val="en-GB"/>
              </w:rPr>
            </w:pPr>
            <w:r w:rsidRPr="0009068F">
              <w:rPr>
                <w:rFonts w:cs="Arial"/>
                <w:sz w:val="16"/>
                <w:szCs w:val="16"/>
                <w:lang w:val="en-GB"/>
              </w:rPr>
              <w:t>Inundation, debris accumulation</w:t>
            </w:r>
          </w:p>
        </w:tc>
        <w:tc>
          <w:tcPr>
            <w:tcW w:w="542" w:type="pct"/>
            <w:shd w:val="clear" w:color="auto" w:fill="FFFFFF"/>
          </w:tcPr>
          <w:p w14:paraId="5283CEA8" w14:textId="1E8F1FB5" w:rsidR="00132BC0" w:rsidRPr="0009068F" w:rsidRDefault="002A1B28" w:rsidP="0082732D">
            <w:pPr>
              <w:pStyle w:val="CETBodytext"/>
              <w:ind w:right="-1"/>
              <w:jc w:val="left"/>
              <w:rPr>
                <w:rFonts w:cs="Arial"/>
                <w:sz w:val="16"/>
                <w:szCs w:val="16"/>
                <w:lang w:val="en-GB"/>
              </w:rPr>
            </w:pPr>
            <w:r w:rsidRPr="0009068F">
              <w:rPr>
                <w:rFonts w:cs="Arial"/>
                <w:sz w:val="16"/>
                <w:szCs w:val="16"/>
                <w:lang w:val="en-GB"/>
              </w:rPr>
              <w:t>Indirect</w:t>
            </w:r>
          </w:p>
        </w:tc>
        <w:tc>
          <w:tcPr>
            <w:tcW w:w="936" w:type="pct"/>
            <w:shd w:val="clear" w:color="auto" w:fill="FFFFFF"/>
          </w:tcPr>
          <w:p w14:paraId="40156397" w14:textId="3191DE65" w:rsidR="00132BC0" w:rsidRPr="0009068F" w:rsidRDefault="00CE4016" w:rsidP="00447BE9">
            <w:pPr>
              <w:pStyle w:val="CETBodytext"/>
              <w:ind w:right="11"/>
              <w:jc w:val="left"/>
              <w:rPr>
                <w:rFonts w:cs="Arial"/>
                <w:sz w:val="16"/>
                <w:szCs w:val="16"/>
                <w:lang w:val="en-GB"/>
              </w:rPr>
            </w:pPr>
            <w:r w:rsidRPr="0009068F">
              <w:rPr>
                <w:rFonts w:cs="Arial"/>
                <w:sz w:val="16"/>
                <w:szCs w:val="16"/>
                <w:lang w:val="en-GB"/>
              </w:rPr>
              <w:t>Delayed intervention, reduced evacuation capability</w:t>
            </w:r>
          </w:p>
        </w:tc>
        <w:tc>
          <w:tcPr>
            <w:tcW w:w="13" w:type="pct"/>
            <w:shd w:val="clear" w:color="auto" w:fill="FFFFFF"/>
          </w:tcPr>
          <w:p w14:paraId="37A2AC61" w14:textId="37151D64" w:rsidR="00132BC0" w:rsidRPr="0009068F" w:rsidRDefault="00132BC0" w:rsidP="00447BE9">
            <w:pPr>
              <w:pStyle w:val="CETBodytext"/>
              <w:ind w:right="11"/>
              <w:jc w:val="left"/>
              <w:rPr>
                <w:rFonts w:cs="Arial"/>
                <w:sz w:val="16"/>
                <w:szCs w:val="16"/>
                <w:lang w:val="en-GB"/>
              </w:rPr>
            </w:pPr>
          </w:p>
        </w:tc>
        <w:tc>
          <w:tcPr>
            <w:tcW w:w="861" w:type="pct"/>
            <w:shd w:val="clear" w:color="auto" w:fill="FFFFFF"/>
          </w:tcPr>
          <w:p w14:paraId="76BBD94E" w14:textId="036A1E4F" w:rsidR="00132BC0" w:rsidRPr="0009068F" w:rsidRDefault="004D20B8" w:rsidP="00447BE9">
            <w:pPr>
              <w:pStyle w:val="CETBodytext"/>
              <w:ind w:right="11"/>
              <w:jc w:val="left"/>
              <w:rPr>
                <w:rFonts w:cs="Arial"/>
                <w:sz w:val="16"/>
                <w:szCs w:val="16"/>
                <w:lang w:val="en-GB"/>
              </w:rPr>
            </w:pPr>
            <w:r w:rsidRPr="0009068F">
              <w:rPr>
                <w:rFonts w:cs="Arial"/>
                <w:sz w:val="16"/>
                <w:szCs w:val="16"/>
                <w:lang w:val="en-GB"/>
              </w:rPr>
              <w:t>Integration with emergency planning and drills</w:t>
            </w:r>
          </w:p>
        </w:tc>
      </w:tr>
    </w:tbl>
    <w:p w14:paraId="3FC9F6CB" w14:textId="7447B787" w:rsidR="00443A0F" w:rsidRDefault="00842DAF" w:rsidP="00443A0F">
      <w:pPr>
        <w:pStyle w:val="CETBodytext"/>
        <w:spacing w:after="240"/>
      </w:pPr>
      <w:r w:rsidRPr="004B37AA">
        <w:t xml:space="preserve">Table 1 summarizes the vulnerability of utilities and auxiliary systems to flood-induced NaTech scenarios, adopting a functional perspective that treats utilities as safety-critical subsystems. For each utility, typical exposed components, flood-induced failure mechanisms, and associated NaTech scenario types are identified, distinguishing between direct and indirect pathways. </w:t>
      </w:r>
      <w:proofErr w:type="gramStart"/>
      <w:r w:rsidRPr="004B37AA">
        <w:t>Particular emphasis</w:t>
      </w:r>
      <w:proofErr w:type="gramEnd"/>
      <w:r w:rsidRPr="004B37AA">
        <w:t xml:space="preserve"> is placed on indirect scenarios</w:t>
      </w:r>
      <w:r w:rsidR="00591538">
        <w:t xml:space="preserve"> in which</w:t>
      </w:r>
      <w:r w:rsidRPr="004B37AA">
        <w:t xml:space="preserve"> flooding degrades essential functions such as power supply, process control, cooling, firefighting, and emergency response. The table highlights how utility failures can compromise safety barriers, delay emergency </w:t>
      </w:r>
      <w:r w:rsidRPr="004B37AA">
        <w:lastRenderedPageBreak/>
        <w:t>actions, and significantly escalate accident consequences, even without initial damage to primary process equipment.</w:t>
      </w:r>
      <w:r w:rsidR="00443A0F">
        <w:t xml:space="preserve"> </w:t>
      </w:r>
      <w:r w:rsidR="00D25CAA">
        <w:t xml:space="preserve">Finally, the relevance of each utility for the </w:t>
      </w:r>
      <w:r w:rsidR="00C574E2">
        <w:t>SMS</w:t>
      </w:r>
      <w:r w:rsidR="000B4252">
        <w:t>-</w:t>
      </w:r>
      <w:r w:rsidR="00C574E2">
        <w:t>PMA</w:t>
      </w:r>
      <w:r w:rsidR="00D25CAA">
        <w:t xml:space="preserve"> is outlined, supporting the identification of safety-critical components and the definition of targeted prevention, protection, and flood-proofing measures. Overall, the table provides a structured framework </w:t>
      </w:r>
      <w:r w:rsidR="00591538">
        <w:t>for systematically integrating flood-induced NaTech scenarios for utilities and auxiliary systems into</w:t>
      </w:r>
      <w:r w:rsidR="00D25CAA">
        <w:t xml:space="preserve"> Seveso safety assessments and emergency planning activities.</w:t>
      </w:r>
    </w:p>
    <w:p w14:paraId="0724D0A0" w14:textId="334A2DC0" w:rsidR="00AF04AA" w:rsidRPr="00443A0F" w:rsidRDefault="00CA2B5F" w:rsidP="00443A0F">
      <w:pPr>
        <w:pStyle w:val="CETBodytext"/>
        <w:spacing w:after="240"/>
      </w:pPr>
      <w:r>
        <w:rPr>
          <w:b/>
          <w:bCs/>
        </w:rPr>
        <w:t xml:space="preserve">2.3 </w:t>
      </w:r>
      <w:r w:rsidR="00AF04AA" w:rsidRPr="00AF04AA">
        <w:rPr>
          <w:b/>
          <w:bCs/>
        </w:rPr>
        <w:t xml:space="preserve">Integration within the </w:t>
      </w:r>
      <w:r w:rsidR="00E644F6" w:rsidRPr="00E644F6">
        <w:rPr>
          <w:b/>
          <w:bCs/>
        </w:rPr>
        <w:t>SMS-PMA</w:t>
      </w:r>
    </w:p>
    <w:p w14:paraId="5C31BD88" w14:textId="6778D8D2" w:rsidR="00CA2B5F" w:rsidRPr="00AF04AA" w:rsidRDefault="00AF04AA" w:rsidP="0089662B">
      <w:pPr>
        <w:pStyle w:val="CETBodytext"/>
      </w:pPr>
      <w:r w:rsidRPr="00AF04AA">
        <w:t xml:space="preserve">The identified flood-induced NaTech scenarios are integrated </w:t>
      </w:r>
      <w:r w:rsidR="00591538">
        <w:t>into the SMS-PMA framework</w:t>
      </w:r>
      <w:r w:rsidRPr="00AF04AA">
        <w:t>. Scenario outcomes support hazard identification, operational control, maintenance planning, and emergency preparedness activities.</w:t>
      </w:r>
      <w:r w:rsidR="0089662B">
        <w:t xml:space="preserve"> </w:t>
      </w:r>
      <w:r w:rsidRPr="00AF04AA">
        <w:t>This integration ensures that flood-induced NaTech risks are systematically addressed through dedicated procedures for extreme weather conditions</w:t>
      </w:r>
      <w:r w:rsidR="00242048">
        <w:t>, and that safety-critical components are identified to implement</w:t>
      </w:r>
      <w:r w:rsidRPr="00AF04AA">
        <w:t xml:space="preserve"> appropriate prevention and protection measures.</w:t>
      </w:r>
    </w:p>
    <w:p w14:paraId="72A8799A" w14:textId="0897D420" w:rsidR="00C96EC9" w:rsidRPr="00C96EC9" w:rsidRDefault="00D9363C" w:rsidP="00C96EC9">
      <w:pPr>
        <w:pStyle w:val="CETHeading1"/>
      </w:pPr>
      <w:r>
        <w:t xml:space="preserve">Results and </w:t>
      </w:r>
      <w:r w:rsidR="0033258D">
        <w:t>discussion</w:t>
      </w:r>
    </w:p>
    <w:p w14:paraId="0771855F" w14:textId="54F51758" w:rsidR="00C96EC9" w:rsidRDefault="00B9578F" w:rsidP="00752887">
      <w:pPr>
        <w:pStyle w:val="CETheadingx"/>
      </w:pPr>
      <w:r w:rsidRPr="00B9578F">
        <w:t xml:space="preserve">The analysis of flood-induced NaTech events confirms that flooding is among the most critical natural hazards for Seveso establishments, as it can simultaneously affect process equipment, utilities, auxiliary systems, and emergency infrastructures. Historical data and recent case studies show that these scenarios are </w:t>
      </w:r>
      <w:r w:rsidR="00242048">
        <w:t>characterized by cascading mechanisms in which indirect failures often drive the escalation of accidents</w:t>
      </w:r>
      <w:r w:rsidRPr="00B9578F">
        <w:t>.</w:t>
      </w:r>
      <w:r>
        <w:t xml:space="preserve"> </w:t>
      </w:r>
    </w:p>
    <w:p w14:paraId="517EEBF6" w14:textId="498BD63E" w:rsidR="007076E4" w:rsidRPr="000744A4" w:rsidRDefault="00F673FD" w:rsidP="007076E4">
      <w:pPr>
        <w:pStyle w:val="CETheadingx"/>
        <w:rPr>
          <w:lang w:val="en-GB"/>
        </w:rPr>
      </w:pPr>
      <w:r w:rsidRPr="00F673FD">
        <w:rPr>
          <w:lang w:val="en-GB"/>
        </w:rPr>
        <w:t>Direct impacts—such as buoyancy and mechanical damage to tanks, pipelines, and machinery—represent only part of the risk.</w:t>
      </w:r>
      <w:r>
        <w:rPr>
          <w:lang w:val="en-GB"/>
        </w:rPr>
        <w:t xml:space="preserve"> </w:t>
      </w:r>
      <w:r w:rsidRPr="00F673FD">
        <w:rPr>
          <w:lang w:val="en-GB"/>
        </w:rPr>
        <w:t>In many cases, the most severe consequences arise from indirect effects, including the loss of electrical power, cooling systems, control and instrumentation, and firefighting facilities. The degradation or unavailability of these safety barriers can transform manageable events into major accidents. This evidence aligns with recent methodological studies highlighting that traditional risk assessments often focus on primary process units while underestimating the vulnerability of utilities, civil works, and emergency systems (Marrazzo, 2024).</w:t>
      </w:r>
      <w:r>
        <w:rPr>
          <w:lang w:val="en-GB"/>
        </w:rPr>
        <w:t xml:space="preserve"> </w:t>
      </w:r>
      <w:r w:rsidRPr="00F673FD">
        <w:rPr>
          <w:lang w:val="en-GB"/>
        </w:rPr>
        <w:t xml:space="preserve">Case analyses further demonstrate that flooding of control rooms, substations, and emergency pumps can compromise detection, mitigation, and response capabilities, even when containment systems initially remain intact. Utilities and auxiliary systems must therefore be treated as safety-critical elements in flood-related NaTech assessments. Moreover, flood-induced NaTech events frequently </w:t>
      </w:r>
      <w:r w:rsidR="00242048">
        <w:rPr>
          <w:lang w:val="en-GB"/>
        </w:rPr>
        <w:t>exhibit domino and cascading effects, particularly in large or spatially extensive installations, where interdependencies among process units and infrastructure</w:t>
      </w:r>
      <w:r w:rsidR="003929EB" w:rsidRPr="003929EB">
        <w:rPr>
          <w:lang w:val="en-GB"/>
        </w:rPr>
        <w:t xml:space="preserve"> amplify vulnerability</w:t>
      </w:r>
      <w:r w:rsidR="003929EB">
        <w:rPr>
          <w:lang w:val="en-GB"/>
        </w:rPr>
        <w:t xml:space="preserve">. </w:t>
      </w:r>
      <w:r w:rsidR="0063342C" w:rsidRPr="0063342C">
        <w:rPr>
          <w:lang w:val="en-GB"/>
        </w:rPr>
        <w:t xml:space="preserve">From a regulatory and management perspective, findings confirm the central role of the SMS-PMA in addressing flood-related risks. Establishments with dedicated extreme-weather procedures—such as </w:t>
      </w:r>
      <w:r w:rsidR="00242048">
        <w:rPr>
          <w:lang w:val="en-GB"/>
        </w:rPr>
        <w:t>elevating equipment, implementing utility redundancy, and flood-specific emergency planning—experience</w:t>
      </w:r>
      <w:r w:rsidR="004E1B56">
        <w:rPr>
          <w:lang w:val="en-GB"/>
        </w:rPr>
        <w:t xml:space="preserve"> reduced </w:t>
      </w:r>
      <w:r w:rsidR="00AC4671" w:rsidRPr="00AC4671">
        <w:rPr>
          <w:lang w:val="en-GB"/>
        </w:rPr>
        <w:t>accident severity. Conversely, limited integration of NaTech aspects into the SMS-PMA remains a recurrent weakness</w:t>
      </w:r>
      <w:r w:rsidR="00AC4671">
        <w:rPr>
          <w:lang w:val="en-GB"/>
        </w:rPr>
        <w:t xml:space="preserve">. </w:t>
      </w:r>
      <w:r w:rsidR="000744A4">
        <w:rPr>
          <w:lang w:val="en-GB"/>
        </w:rPr>
        <w:t>Flood-induced</w:t>
      </w:r>
      <w:r w:rsidR="000F1BFE" w:rsidRPr="000F1BFE">
        <w:rPr>
          <w:lang w:val="en-GB"/>
        </w:rPr>
        <w:t xml:space="preserve"> NaTech events represent a systemic risk for the chemical and process industries. Effective management requires integrated, resilience-oriented approaches that address both direct and indirect pathways and explicitly incorporate utilities and auxiliary systems into safety assessments. Figure 1 illustrates a </w:t>
      </w:r>
      <w:r w:rsidR="000744A4">
        <w:rPr>
          <w:lang w:val="en-GB"/>
        </w:rPr>
        <w:t>utility-centred</w:t>
      </w:r>
      <w:r w:rsidR="000F1BFE" w:rsidRPr="000F1BFE">
        <w:rPr>
          <w:lang w:val="en-GB"/>
        </w:rPr>
        <w:t xml:space="preserve"> conceptual framework in which flood hazards act as diffuse stressors, and the degradation of utilities constitutes the key link between flooding and </w:t>
      </w:r>
      <w:r w:rsidR="000744A4">
        <w:rPr>
          <w:lang w:val="en-GB"/>
        </w:rPr>
        <w:t>the escalation of accidents</w:t>
      </w:r>
      <w:r w:rsidR="000F1BFE" w:rsidRPr="000F1BFE">
        <w:rPr>
          <w:lang w:val="en-GB"/>
        </w:rPr>
        <w:t>.</w:t>
      </w:r>
      <w:r w:rsidR="0063342C" w:rsidRPr="0063342C">
        <w:rPr>
          <w:lang w:val="en-GB"/>
        </w:rPr>
        <w:t xml:space="preserve"> </w:t>
      </w:r>
      <w:r w:rsidR="000744A4">
        <w:rPr>
          <w:lang w:val="en-GB"/>
        </w:rPr>
        <w:t xml:space="preserve"> </w:t>
      </w:r>
      <w:r w:rsidR="001155FE" w:rsidRPr="00D470A8">
        <w:t>Figure</w:t>
      </w:r>
      <w:r w:rsidR="00E05301">
        <w:t xml:space="preserve"> 1 </w:t>
      </w:r>
      <w:r w:rsidR="001155FE">
        <w:t xml:space="preserve">also </w:t>
      </w:r>
      <w:r w:rsidR="00D470A8" w:rsidRPr="00D470A8">
        <w:t xml:space="preserve">shows that loss of utility functionality often precedes loss of containment, enabling indirect NaTech scenarios and weakening safety barriers and emergency response. The </w:t>
      </w:r>
      <w:r w:rsidR="00E05301">
        <w:t>SMS</w:t>
      </w:r>
      <w:r w:rsidR="009A61C8">
        <w:t>-PMA</w:t>
      </w:r>
      <w:r w:rsidR="001155FE">
        <w:t xml:space="preserve"> </w:t>
      </w:r>
      <w:r w:rsidR="00D470A8" w:rsidRPr="00D470A8">
        <w:t>is depicted as a transversal element mitigating these effects through flood-specific procedures, redundancy, and preparedness.</w:t>
      </w:r>
    </w:p>
    <w:p w14:paraId="66EEA820" w14:textId="63D85BE2" w:rsidR="00701EBD" w:rsidRPr="007076E4" w:rsidRDefault="00265E09" w:rsidP="007076E4">
      <w:pPr>
        <w:pStyle w:val="CETheadingx"/>
        <w:rPr>
          <w:lang w:val="en-GB"/>
        </w:rPr>
      </w:pPr>
      <w:r w:rsidRPr="00265E09">
        <w:t>Overall, the results clearly indicate that flood-induced NaTech events cannot be adequately addressed through conventional, equipment-</w:t>
      </w:r>
      <w:proofErr w:type="spellStart"/>
      <w:r w:rsidR="00942584" w:rsidRPr="00265E09">
        <w:t>centred</w:t>
      </w:r>
      <w:proofErr w:type="spellEnd"/>
      <w:r w:rsidRPr="00265E09">
        <w:t xml:space="preserve"> risk assessment approaches. The analysis confirms that indirect </w:t>
      </w:r>
      <w:proofErr w:type="gramStart"/>
      <w:r w:rsidRPr="00265E09">
        <w:t>failure mechanisms—</w:t>
      </w:r>
      <w:proofErr w:type="gramEnd"/>
      <w:r w:rsidRPr="00265E09">
        <w:t xml:space="preserve">particularly those involving utilities and auxiliary </w:t>
      </w:r>
      <w:proofErr w:type="gramStart"/>
      <w:r w:rsidRPr="00265E09">
        <w:t>systems—</w:t>
      </w:r>
      <w:proofErr w:type="gramEnd"/>
      <w:r w:rsidR="000744A4">
        <w:t>dominate the drivers</w:t>
      </w:r>
      <w:r w:rsidRPr="00265E09">
        <w:t xml:space="preserve"> of accident escalation and emergency response impairment in Seveso establishments exposed to flooding. These findings </w:t>
      </w:r>
      <w:r w:rsidR="000744A4">
        <w:t xml:space="preserve">underscore the need to move beyond the sole evaluation of primary process equipment and adopt a systemic perspective that explicitly accounts for functional dependencies, cascading effects, and the role of </w:t>
      </w:r>
      <w:r w:rsidR="00986A1C">
        <w:t>organizational</w:t>
      </w:r>
      <w:r w:rsidRPr="00265E09">
        <w:t xml:space="preserve"> and emergency preparedness measures. In this context, </w:t>
      </w:r>
      <w:r w:rsidR="000744A4">
        <w:t>integrating flood-induced NaTech scenarios into the SMS-PMA is</w:t>
      </w:r>
      <w:r w:rsidRPr="00265E09">
        <w:t xml:space="preserve"> a key element for strengthening prevention, improving resilience, and ensuring the effectiveness of protection measures under extreme weather conditions.</w:t>
      </w:r>
      <w:r w:rsidR="00701EBD" w:rsidRPr="00701EBD">
        <w:t xml:space="preserve"> Although the figure is conceptual, the escalation mechanism </w:t>
      </w:r>
      <w:r w:rsidR="001B55F7">
        <w:t>could</w:t>
      </w:r>
      <w:r w:rsidR="00701EBD" w:rsidRPr="00701EBD">
        <w:t xml:space="preserve"> be expressed through a synthetic indicator representing the potential severity of flood-induced NaTech </w:t>
      </w:r>
      <w:r w:rsidR="00701EBD" w:rsidRPr="002C39CD">
        <w:t>escalation</w:t>
      </w:r>
      <w:r w:rsidR="00012ED3" w:rsidRPr="002C39CD">
        <w:t xml:space="preserve"> (</w:t>
      </w:r>
      <w:r w:rsidR="00B7033E" w:rsidRPr="002C39CD">
        <w:t>dimensionless value, variable between 0 and 1</w:t>
      </w:r>
      <w:r w:rsidR="00012ED3" w:rsidRPr="002C39CD">
        <w:t>)</w:t>
      </w:r>
      <w:r w:rsidR="00701EBD" w:rsidRPr="002C39CD">
        <w:t>:</w:t>
      </w:r>
      <w:r w:rsidRPr="002C39CD">
        <w:t xml:space="preserve"> </w:t>
      </w:r>
    </w:p>
    <w:p w14:paraId="6AA8FD50" w14:textId="0D86368B" w:rsidR="00701EBD" w:rsidRPr="002C39CD" w:rsidRDefault="00530A22" w:rsidP="00834EC7">
      <w:pPr>
        <w:pStyle w:val="CETBodytext"/>
        <w:jc w:val="center"/>
      </w:pPr>
      <m:oMath>
        <m:sSub>
          <m:sSubPr>
            <m:ctrlPr>
              <w:rPr>
                <w:rFonts w:ascii="Cambria Math" w:hAnsi="Cambria Math"/>
                <w:i/>
              </w:rPr>
            </m:ctrlPr>
          </m:sSubPr>
          <m:e>
            <m:r>
              <w:rPr>
                <w:rFonts w:ascii="Cambria Math" w:hAnsi="Cambria Math"/>
              </w:rPr>
              <m:t>E</m:t>
            </m:r>
          </m:e>
          <m:sub>
            <m:r>
              <w:rPr>
                <w:rFonts w:ascii="Cambria Math" w:hAnsi="Cambria Math"/>
              </w:rPr>
              <m:t>NaTec</m:t>
            </m:r>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e>
            </m:nary>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SMS</m:t>
                </m:r>
              </m:sub>
            </m:sSub>
          </m:e>
        </m:d>
      </m:oMath>
      <w:r w:rsidR="00834EC7" w:rsidRPr="002C39CD">
        <w:t xml:space="preserve">    (1)</w:t>
      </w:r>
    </w:p>
    <w:p w14:paraId="42F58383" w14:textId="72B9F0E8" w:rsidR="003634C7" w:rsidRDefault="00C965AC" w:rsidP="00451FEE">
      <w:pPr>
        <w:pStyle w:val="CETBodytext"/>
        <w:spacing w:after="240"/>
      </w:pPr>
      <w:r w:rsidRPr="002C39CD">
        <w:rPr>
          <w:lang w:val="en-GB"/>
        </w:rPr>
        <w:t xml:space="preserve">where </w:t>
      </w:r>
      <m:oMath>
        <m:sSub>
          <m:sSubPr>
            <m:ctrlPr>
              <w:rPr>
                <w:rFonts w:ascii="Cambria Math" w:hAnsi="Cambria Math"/>
                <w:i/>
              </w:rPr>
            </m:ctrlPr>
          </m:sSubPr>
          <m:e>
            <m:r>
              <w:rPr>
                <w:rFonts w:ascii="Cambria Math" w:hAnsi="Cambria Math"/>
              </w:rPr>
              <m:t>E</m:t>
            </m:r>
          </m:e>
          <m:sub>
            <m:r>
              <w:rPr>
                <w:rFonts w:ascii="Cambria Math" w:hAnsi="Cambria Math"/>
              </w:rPr>
              <m:t xml:space="preserve">NaTech </m:t>
            </m:r>
          </m:sub>
        </m:sSub>
      </m:oMath>
      <w:r w:rsidR="00C439E5" w:rsidRPr="002C39CD">
        <w:t>represents the potential escalation of NaTech scenarios,</w:t>
      </w:r>
      <w:r w:rsidR="00C439E5" w:rsidRPr="002C39CD">
        <w:rPr>
          <w:rFonts w:ascii="Cambria Math" w:hAnsi="Cambria Math"/>
          <w:i/>
        </w:rPr>
        <w:t xml:space="preserve"> </w:t>
      </w:r>
      <m:oMath>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 xml:space="preserve"> </m:t>
        </m:r>
      </m:oMath>
      <w:r w:rsidR="00A973F9" w:rsidRPr="002C39CD">
        <w:t>is the normalized flood hazard severity,</w:t>
      </w:r>
      <w:r w:rsidR="00A973F9" w:rsidRPr="002C39CD">
        <w:rPr>
          <w:rFonts w:ascii="Cambria Math" w:hAnsi="Cambria Math"/>
          <w:i/>
        </w:rP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A27EAA" w:rsidRPr="002C39CD">
        <w:rPr>
          <w:rFonts w:ascii="Cambria Math" w:hAnsi="Cambria Math"/>
          <w:i/>
        </w:rPr>
        <w:t xml:space="preserve"> </w:t>
      </w:r>
      <w:r w:rsidR="00806940" w:rsidRPr="002C39CD">
        <w:t xml:space="preserve">is the vulnerability of the i-th utility or auxiliary system,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oMath>
      <w:r w:rsidR="00806940" w:rsidRPr="002C39CD">
        <w:rPr>
          <w:lang w:val="en-GB"/>
        </w:rPr>
        <w:t>is its relative criticality weight</w:t>
      </w:r>
      <w:r w:rsidR="00451FEE" w:rsidRPr="002C39CD">
        <w:rPr>
          <w:lang w:val="en-GB"/>
        </w:rPr>
        <w:t xml:space="preserve"> (based on functional dependencies and importance for barriers)</w:t>
      </w:r>
      <w:r w:rsidR="00806940" w:rsidRPr="002C39CD">
        <w:rPr>
          <w:lang w:val="en-GB"/>
        </w:rPr>
        <w:t>, and</w:t>
      </w:r>
      <w:r w:rsidR="005C104F" w:rsidRPr="002C39CD">
        <w:rPr>
          <w:lang w:val="en-GB"/>
        </w:rPr>
        <w:t xml:space="preserve"> </w:t>
      </w:r>
      <m:oMath>
        <m:sSub>
          <m:sSubPr>
            <m:ctrlPr>
              <w:rPr>
                <w:rFonts w:ascii="Cambria Math" w:hAnsi="Cambria Math"/>
                <w:i/>
              </w:rPr>
            </m:ctrlPr>
          </m:sSubPr>
          <m:e>
            <m:r>
              <w:rPr>
                <w:rFonts w:ascii="Cambria Math" w:hAnsi="Cambria Math"/>
              </w:rPr>
              <m:t>η</m:t>
            </m:r>
          </m:e>
          <m:sub>
            <m:r>
              <w:rPr>
                <w:rFonts w:ascii="Cambria Math" w:hAnsi="Cambria Math"/>
              </w:rPr>
              <m:t>SMS</m:t>
            </m:r>
          </m:sub>
        </m:sSub>
        <m:r>
          <w:rPr>
            <w:rFonts w:ascii="Cambria Math" w:hAnsi="Cambria Math"/>
          </w:rPr>
          <m:t xml:space="preserve"> </m:t>
        </m:r>
      </m:oMath>
      <w:r w:rsidR="005C104F" w:rsidRPr="002C39CD">
        <w:rPr>
          <w:lang w:val="en-GB"/>
        </w:rPr>
        <w:t xml:space="preserve">expresses the effectiveness of the </w:t>
      </w:r>
      <w:r w:rsidR="001D409D" w:rsidRPr="002C39CD">
        <w:rPr>
          <w:lang w:val="en-GB"/>
        </w:rPr>
        <w:t>SMS</w:t>
      </w:r>
      <w:r w:rsidR="005C104F" w:rsidRPr="002C39CD">
        <w:rPr>
          <w:lang w:val="en-GB"/>
        </w:rPr>
        <w:t xml:space="preserve"> measures. This formulation reflects the central role of utilities in mediating flood impacts and highlights how effective</w:t>
      </w:r>
      <w:r w:rsidR="000E3DE4" w:rsidRPr="002C39CD">
        <w:rPr>
          <w:lang w:val="en-GB"/>
        </w:rPr>
        <w:t xml:space="preserve">ly the </w:t>
      </w:r>
      <w:r w:rsidR="005C104F" w:rsidRPr="002C39CD">
        <w:rPr>
          <w:lang w:val="en-GB"/>
        </w:rPr>
        <w:t>SMS implementation can mitigate escalation mechanisms</w:t>
      </w:r>
      <w:r w:rsidR="00F01C7E">
        <w:rPr>
          <w:lang w:val="en-GB"/>
        </w:rPr>
        <w:t>. For</w:t>
      </w:r>
      <w:r w:rsidR="00BE025F" w:rsidRPr="002C39CD">
        <w:rPr>
          <w:lang w:val="en-GB"/>
        </w:rPr>
        <w:t xml:space="preserve"> the same flood, the escalation</w:t>
      </w:r>
      <w:r w:rsidR="00D7599B">
        <w:rPr>
          <w:lang w:val="en-GB"/>
        </w:rPr>
        <w:t xml:space="preserve"> </w:t>
      </w:r>
      <w:r w:rsidR="00BE025F" w:rsidRPr="002C39CD">
        <w:rPr>
          <w:lang w:val="en-GB"/>
        </w:rPr>
        <w:lastRenderedPageBreak/>
        <w:t xml:space="preserve">increases </w:t>
      </w:r>
      <w:r w:rsidR="00F01C7E">
        <w:rPr>
          <w:lang w:val="en-GB"/>
        </w:rPr>
        <w:t>as utilities' vulnerabilities increase and decreases as</w:t>
      </w:r>
      <w:r w:rsidR="00BE025F" w:rsidRPr="002C39CD">
        <w:rPr>
          <w:lang w:val="en-GB"/>
        </w:rPr>
        <w:t xml:space="preserve"> the effectiveness of the SMS measures increases.</w:t>
      </w:r>
      <w:r w:rsidR="006E30A3" w:rsidRPr="002C39CD">
        <w:t xml:space="preserve"> </w:t>
      </w:r>
    </w:p>
    <w:p w14:paraId="68533A14" w14:textId="77777777" w:rsidR="00BA4F7C" w:rsidRDefault="001C713E" w:rsidP="00BA4F7C">
      <w:pPr>
        <w:pStyle w:val="CETBodytext"/>
        <w:jc w:val="center"/>
        <w:rPr>
          <w:rStyle w:val="CETCaptionCarattere"/>
        </w:rPr>
      </w:pPr>
      <w:r>
        <w:rPr>
          <w:noProof/>
        </w:rPr>
        <w:drawing>
          <wp:inline distT="0" distB="0" distL="0" distR="0" wp14:anchorId="272BD9B7" wp14:editId="21F25EEC">
            <wp:extent cx="4403751" cy="2935833"/>
            <wp:effectExtent l="0" t="0" r="0" b="0"/>
            <wp:docPr id="1241077699" name="Immagine 1" descr="Immagine che contiene testo, cerchi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77699" name="Immagine 1" descr="Immagine che contiene testo, cerchio, schermata, Carattere&#10;&#10;Il contenuto generato dall'IA potrebbe non essere corretto."/>
                    <pic:cNvPicPr/>
                  </pic:nvPicPr>
                  <pic:blipFill>
                    <a:blip r:embed="rId13"/>
                    <a:stretch>
                      <a:fillRect/>
                    </a:stretch>
                  </pic:blipFill>
                  <pic:spPr>
                    <a:xfrm>
                      <a:off x="0" y="0"/>
                      <a:ext cx="4497040" cy="2998026"/>
                    </a:xfrm>
                    <a:prstGeom prst="rect">
                      <a:avLst/>
                    </a:prstGeom>
                  </pic:spPr>
                </pic:pic>
              </a:graphicData>
            </a:graphic>
          </wp:inline>
        </w:drawing>
      </w:r>
    </w:p>
    <w:p w14:paraId="7FD99645" w14:textId="73B0759E" w:rsidR="00BA4F7C" w:rsidRDefault="00BA4F7C" w:rsidP="00BA4F7C">
      <w:pPr>
        <w:pStyle w:val="CETBodytext"/>
        <w:rPr>
          <w:rStyle w:val="CETCaptionCarattere"/>
        </w:rPr>
      </w:pPr>
      <w:r w:rsidRPr="00BD077D">
        <w:rPr>
          <w:rStyle w:val="CETCaptionCarattere"/>
        </w:rPr>
        <w:t xml:space="preserve">Figure 1: </w:t>
      </w:r>
      <w:r w:rsidRPr="00B23B3E">
        <w:rPr>
          <w:rStyle w:val="CETCaptionCarattere"/>
        </w:rPr>
        <w:t>Flood-Induced NaTech Escalation Mechanism (</w:t>
      </w:r>
      <w:r w:rsidR="00F01C7E">
        <w:rPr>
          <w:rStyle w:val="CETCaptionCarattere"/>
        </w:rPr>
        <w:t>utility-centred</w:t>
      </w:r>
      <w:r w:rsidRPr="00B23B3E">
        <w:rPr>
          <w:rStyle w:val="CETCaptionCarattere"/>
        </w:rPr>
        <w:t>)</w:t>
      </w:r>
    </w:p>
    <w:p w14:paraId="1C57C54D" w14:textId="77777777" w:rsidR="00BA4F7C" w:rsidRDefault="00BA4F7C" w:rsidP="00451FEE">
      <w:pPr>
        <w:pStyle w:val="CETBodytext"/>
        <w:spacing w:after="240"/>
      </w:pPr>
    </w:p>
    <w:p w14:paraId="385B4D5A" w14:textId="7E5AB099" w:rsidR="00D7599B" w:rsidRDefault="007A3889" w:rsidP="00451FEE">
      <w:pPr>
        <w:pStyle w:val="CETBodytext"/>
        <w:spacing w:after="240"/>
        <w:rPr>
          <w:lang w:val="en-GB"/>
        </w:rPr>
      </w:pPr>
      <w:r w:rsidRPr="007A3889">
        <w:rPr>
          <w:lang w:val="en-GB"/>
        </w:rPr>
        <w:t xml:space="preserve">The </w:t>
      </w:r>
      <w:proofErr w:type="spellStart"/>
      <w:r w:rsidRPr="00063F33">
        <w:rPr>
          <w:lang w:val="en-GB"/>
        </w:rPr>
        <w:t>E</w:t>
      </w:r>
      <w:r w:rsidRPr="00063F33">
        <w:rPr>
          <w:vertAlign w:val="subscript"/>
          <w:lang w:val="en-GB"/>
        </w:rPr>
        <w:t>NaTech</w:t>
      </w:r>
      <w:proofErr w:type="spellEnd"/>
      <w:r w:rsidRPr="007A3889">
        <w:rPr>
          <w:lang w:val="en-GB"/>
        </w:rPr>
        <w:t xml:space="preserve"> indicator has been introduced as a </w:t>
      </w:r>
      <w:r w:rsidR="00F01C7E">
        <w:rPr>
          <w:lang w:val="en-GB"/>
        </w:rPr>
        <w:t>normalized synthetic index intended to represent</w:t>
      </w:r>
      <w:r w:rsidRPr="007A3889">
        <w:rPr>
          <w:lang w:val="en-GB"/>
        </w:rPr>
        <w:t xml:space="preserve"> the overall vulnerability of a Seveso establishment to flood-triggered NaTech scenarios. It does not represent accident probability; rather, it provides a comparative and diagnostic measure of flood-induced technological vulnerability.</w:t>
      </w:r>
      <w:r>
        <w:rPr>
          <w:lang w:val="en-GB"/>
        </w:rPr>
        <w:t xml:space="preserve"> T</w:t>
      </w:r>
      <w:r w:rsidRPr="007A3889">
        <w:rPr>
          <w:lang w:val="en-GB"/>
        </w:rPr>
        <w:t>he indicator is defined within the range [0–1], where</w:t>
      </w:r>
      <w:r>
        <w:rPr>
          <w:lang w:val="en-GB"/>
        </w:rPr>
        <w:t xml:space="preserve"> </w:t>
      </w:r>
      <w:proofErr w:type="spellStart"/>
      <w:r w:rsidRPr="007A3889">
        <w:rPr>
          <w:lang w:val="en-GB"/>
        </w:rPr>
        <w:t>E</w:t>
      </w:r>
      <w:r w:rsidRPr="007A3889">
        <w:rPr>
          <w:vertAlign w:val="subscript"/>
          <w:lang w:val="en-GB"/>
        </w:rPr>
        <w:t>NaTech</w:t>
      </w:r>
      <w:proofErr w:type="spellEnd"/>
      <w:r>
        <w:rPr>
          <w:vertAlign w:val="subscript"/>
          <w:lang w:val="en-GB"/>
        </w:rPr>
        <w:t xml:space="preserve"> </w:t>
      </w:r>
      <w:r w:rsidRPr="007A3889">
        <w:rPr>
          <w:lang w:val="en-GB"/>
        </w:rPr>
        <w:t>=</w:t>
      </w:r>
      <w:r w:rsidR="00850506">
        <w:rPr>
          <w:lang w:val="en-GB"/>
        </w:rPr>
        <w:t xml:space="preserve"> 0 corresponds to negligible vulnerability</w:t>
      </w:r>
      <w:r w:rsidR="00C72E0E">
        <w:rPr>
          <w:lang w:val="en-GB"/>
        </w:rPr>
        <w:t xml:space="preserve"> (i.e., absence of a flood hazard)</w:t>
      </w:r>
      <w:r w:rsidRPr="007A3889">
        <w:rPr>
          <w:lang w:val="en-GB"/>
        </w:rPr>
        <w:t xml:space="preserve"> or fully effective mitigation</w:t>
      </w:r>
      <w:r w:rsidR="00F01C7E">
        <w:rPr>
          <w:lang w:val="en-GB"/>
        </w:rPr>
        <w:t>. At the same time,</w:t>
      </w:r>
      <w:r>
        <w:rPr>
          <w:lang w:val="en-GB"/>
        </w:rPr>
        <w:t xml:space="preserve"> </w:t>
      </w:r>
      <w:proofErr w:type="spellStart"/>
      <w:r w:rsidRPr="007A3889">
        <w:rPr>
          <w:lang w:val="en-GB"/>
        </w:rPr>
        <w:t>E</w:t>
      </w:r>
      <w:r w:rsidRPr="007A3889">
        <w:rPr>
          <w:vertAlign w:val="subscript"/>
          <w:lang w:val="en-GB"/>
        </w:rPr>
        <w:t>NaTech</w:t>
      </w:r>
      <w:proofErr w:type="spellEnd"/>
      <w:r>
        <w:rPr>
          <w:vertAlign w:val="subscript"/>
          <w:lang w:val="en-GB"/>
        </w:rPr>
        <w:t xml:space="preserve"> </w:t>
      </w:r>
      <w:r w:rsidRPr="007A3889">
        <w:rPr>
          <w:lang w:val="en-GB"/>
        </w:rPr>
        <w:t>=</w:t>
      </w:r>
      <w:r w:rsidR="00850506">
        <w:rPr>
          <w:lang w:val="en-GB"/>
        </w:rPr>
        <w:t xml:space="preserve"> 1 represents maximum vulnerability, i.e.,</w:t>
      </w:r>
      <w:r>
        <w:rPr>
          <w:lang w:val="en-GB"/>
        </w:rPr>
        <w:t xml:space="preserve"> </w:t>
      </w:r>
      <w:r w:rsidRPr="007A3889">
        <w:rPr>
          <w:lang w:val="en-GB"/>
        </w:rPr>
        <w:t>high flood intensity combined with weak mitigation capacity and high exposure.</w:t>
      </w:r>
      <w:r w:rsidRPr="007A3889">
        <w:t xml:space="preserve"> </w:t>
      </w:r>
      <w:r w:rsidRPr="007A3889">
        <w:rPr>
          <w:lang w:val="en-GB"/>
        </w:rPr>
        <w:t xml:space="preserve">For interpretative purposes, </w:t>
      </w:r>
      <w:r w:rsidR="00850506">
        <w:rPr>
          <w:lang w:val="en-GB"/>
        </w:rPr>
        <w:t xml:space="preserve">an </w:t>
      </w:r>
      <w:proofErr w:type="spellStart"/>
      <w:r w:rsidR="00850506">
        <w:rPr>
          <w:lang w:val="en-GB"/>
        </w:rPr>
        <w:t>ENaTech</w:t>
      </w:r>
      <w:proofErr w:type="spellEnd"/>
      <w:r w:rsidR="00850506">
        <w:rPr>
          <w:lang w:val="en-GB"/>
        </w:rPr>
        <w:t xml:space="preserve"> qualitative scale has been added:</w:t>
      </w:r>
      <w:r>
        <w:rPr>
          <w:lang w:val="en-GB"/>
        </w:rPr>
        <w:t xml:space="preserve"> </w:t>
      </w:r>
      <w:r w:rsidRPr="007A3889">
        <w:rPr>
          <w:lang w:val="en-GB"/>
        </w:rPr>
        <w:t>0.00–0.20</w:t>
      </w:r>
      <w:r>
        <w:rPr>
          <w:lang w:val="en-GB"/>
        </w:rPr>
        <w:t xml:space="preserve"> (</w:t>
      </w:r>
      <w:r w:rsidRPr="007A3889">
        <w:rPr>
          <w:lang w:val="en-GB"/>
        </w:rPr>
        <w:t>Low NaTech relevance</w:t>
      </w:r>
      <w:r>
        <w:rPr>
          <w:lang w:val="en-GB"/>
        </w:rPr>
        <w:t xml:space="preserve">), </w:t>
      </w:r>
      <w:r w:rsidRPr="007A3889">
        <w:rPr>
          <w:lang w:val="en-GB"/>
        </w:rPr>
        <w:t>0.21–0.40</w:t>
      </w:r>
      <w:r>
        <w:rPr>
          <w:lang w:val="en-GB"/>
        </w:rPr>
        <w:t xml:space="preserve"> (</w:t>
      </w:r>
      <w:r w:rsidRPr="007A3889">
        <w:rPr>
          <w:lang w:val="en-GB"/>
        </w:rPr>
        <w:t>Moderate vulnerability</w:t>
      </w:r>
      <w:r w:rsidR="00443A0F">
        <w:rPr>
          <w:lang w:val="en-GB"/>
        </w:rPr>
        <w:t>), 0.41</w:t>
      </w:r>
      <w:r w:rsidRPr="007A3889">
        <w:rPr>
          <w:lang w:val="en-GB"/>
        </w:rPr>
        <w:t>–0.60</w:t>
      </w:r>
      <w:r>
        <w:rPr>
          <w:lang w:val="en-GB"/>
        </w:rPr>
        <w:t xml:space="preserve"> (</w:t>
      </w:r>
      <w:r w:rsidRPr="007A3889">
        <w:rPr>
          <w:lang w:val="en-GB"/>
        </w:rPr>
        <w:t>Significant vulnerability</w:t>
      </w:r>
      <w:r w:rsidR="00443A0F">
        <w:rPr>
          <w:lang w:val="en-GB"/>
        </w:rPr>
        <w:t>), 0.61</w:t>
      </w:r>
      <w:r w:rsidRPr="007A3889">
        <w:rPr>
          <w:lang w:val="en-GB"/>
        </w:rPr>
        <w:t>–0.80</w:t>
      </w:r>
      <w:r>
        <w:rPr>
          <w:lang w:val="en-GB"/>
        </w:rPr>
        <w:t xml:space="preserve"> (</w:t>
      </w:r>
      <w:r w:rsidRPr="007A3889">
        <w:rPr>
          <w:lang w:val="en-GB"/>
        </w:rPr>
        <w:t>High vulnerability</w:t>
      </w:r>
      <w:r>
        <w:rPr>
          <w:lang w:val="en-GB"/>
        </w:rPr>
        <w:t xml:space="preserve">) and </w:t>
      </w:r>
      <w:r w:rsidRPr="007A3889">
        <w:rPr>
          <w:lang w:val="en-GB"/>
        </w:rPr>
        <w:t>0.81–1.00</w:t>
      </w:r>
      <w:r>
        <w:rPr>
          <w:lang w:val="en-GB"/>
        </w:rPr>
        <w:t xml:space="preserve"> (</w:t>
      </w:r>
      <w:r w:rsidRPr="007A3889">
        <w:rPr>
          <w:lang w:val="en-GB"/>
        </w:rPr>
        <w:t>Critical condition</w:t>
      </w:r>
      <w:r>
        <w:rPr>
          <w:lang w:val="en-GB"/>
        </w:rPr>
        <w:t>).</w:t>
      </w:r>
      <w:r w:rsidR="00443A0F">
        <w:rPr>
          <w:lang w:val="en-GB"/>
        </w:rPr>
        <w:t xml:space="preserve"> </w:t>
      </w:r>
    </w:p>
    <w:p w14:paraId="2474C918" w14:textId="77777777" w:rsidR="00D7599B" w:rsidRDefault="00D7599B" w:rsidP="00D7599B">
      <w:pPr>
        <w:pStyle w:val="CETBodytext"/>
      </w:pPr>
      <w:r w:rsidRPr="00FD1DA8">
        <w:rPr>
          <w:i/>
          <w:iCs/>
        </w:rPr>
        <w:t>Table 2</w:t>
      </w:r>
      <w:r w:rsidRPr="00A46C7B">
        <w:t xml:space="preserve">: </w:t>
      </w:r>
      <w:r w:rsidRPr="00DD7564">
        <w:rPr>
          <w:i/>
          <w:iCs/>
        </w:rPr>
        <w:t>Utility-by-utility mapping of vulnerability and criticality parameters for NaTech escalation screening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96"/>
        <w:gridCol w:w="2767"/>
        <w:gridCol w:w="2552"/>
        <w:gridCol w:w="964"/>
        <w:gridCol w:w="608"/>
      </w:tblGrid>
      <w:tr w:rsidR="00D7599B" w:rsidRPr="0009068F" w14:paraId="330E5DE0" w14:textId="77777777" w:rsidTr="009843E8">
        <w:tc>
          <w:tcPr>
            <w:tcW w:w="0" w:type="auto"/>
            <w:tcBorders>
              <w:top w:val="single" w:sz="12" w:space="0" w:color="008000"/>
              <w:bottom w:val="single" w:sz="6" w:space="0" w:color="008000"/>
            </w:tcBorders>
            <w:shd w:val="clear" w:color="auto" w:fill="FFFFFF"/>
          </w:tcPr>
          <w:p w14:paraId="2F5357F0" w14:textId="77777777" w:rsidR="00D7599B" w:rsidRPr="0009068F" w:rsidRDefault="00D7599B" w:rsidP="009843E8">
            <w:pPr>
              <w:pStyle w:val="CETBodytext"/>
              <w:jc w:val="left"/>
              <w:rPr>
                <w:sz w:val="16"/>
                <w:szCs w:val="16"/>
                <w:lang w:val="en-GB"/>
              </w:rPr>
            </w:pPr>
            <w:r w:rsidRPr="0009068F">
              <w:rPr>
                <w:sz w:val="16"/>
                <w:szCs w:val="16"/>
                <w:lang w:val="en-GB"/>
              </w:rPr>
              <w:t xml:space="preserve">Utility / auxiliary system </w:t>
            </w:r>
          </w:p>
        </w:tc>
        <w:tc>
          <w:tcPr>
            <w:tcW w:w="0" w:type="auto"/>
            <w:tcBorders>
              <w:top w:val="single" w:sz="12" w:space="0" w:color="008000"/>
              <w:bottom w:val="single" w:sz="6" w:space="0" w:color="008000"/>
            </w:tcBorders>
            <w:shd w:val="clear" w:color="auto" w:fill="FFFFFF"/>
          </w:tcPr>
          <w:p w14:paraId="2B617133" w14:textId="77777777" w:rsidR="00D7599B" w:rsidRPr="0009068F" w:rsidRDefault="00D7599B" w:rsidP="009843E8">
            <w:pPr>
              <w:pStyle w:val="CETBodytext"/>
              <w:jc w:val="left"/>
              <w:rPr>
                <w:sz w:val="16"/>
                <w:szCs w:val="16"/>
                <w:lang w:val="en-GB"/>
              </w:rPr>
            </w:pPr>
            <w:r w:rsidRPr="0009068F">
              <w:rPr>
                <w:sz w:val="16"/>
                <w:szCs w:val="16"/>
                <w:lang w:val="en-GB"/>
              </w:rPr>
              <w:t>Main flood-induced failure mechanisms</w:t>
            </w:r>
          </w:p>
        </w:tc>
        <w:tc>
          <w:tcPr>
            <w:tcW w:w="0" w:type="auto"/>
            <w:tcBorders>
              <w:top w:val="single" w:sz="12" w:space="0" w:color="008000"/>
              <w:bottom w:val="single" w:sz="6" w:space="0" w:color="008000"/>
            </w:tcBorders>
            <w:shd w:val="clear" w:color="auto" w:fill="FFFFFF"/>
          </w:tcPr>
          <w:p w14:paraId="5440714A" w14:textId="77777777" w:rsidR="00D7599B" w:rsidRPr="0009068F" w:rsidRDefault="00D7599B" w:rsidP="009843E8">
            <w:pPr>
              <w:pStyle w:val="CETBodytext"/>
              <w:jc w:val="left"/>
              <w:rPr>
                <w:sz w:val="16"/>
                <w:szCs w:val="16"/>
                <w:lang w:val="en-GB"/>
              </w:rPr>
            </w:pPr>
            <w:r w:rsidRPr="0009068F">
              <w:rPr>
                <w:sz w:val="16"/>
                <w:szCs w:val="16"/>
                <w:lang w:val="en-GB"/>
              </w:rPr>
              <w:t>Escalation relevance</w:t>
            </w:r>
          </w:p>
        </w:tc>
        <w:tc>
          <w:tcPr>
            <w:tcW w:w="0" w:type="auto"/>
            <w:tcBorders>
              <w:top w:val="single" w:sz="12" w:space="0" w:color="008000"/>
              <w:bottom w:val="single" w:sz="6" w:space="0" w:color="008000"/>
            </w:tcBorders>
            <w:shd w:val="clear" w:color="auto" w:fill="FFFFFF"/>
          </w:tcPr>
          <w:p w14:paraId="474713D3"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 xml:space="preserve">Vulnerability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i</m:t>
                  </m:r>
                </m:sub>
              </m:sSub>
            </m:oMath>
            <w:r w:rsidRPr="0009068F">
              <w:rPr>
                <w:rFonts w:cs="Arial"/>
                <w:sz w:val="16"/>
                <w:szCs w:val="16"/>
                <w:lang w:val="en-GB"/>
              </w:rPr>
              <w:t xml:space="preserve"> </w:t>
            </w:r>
          </w:p>
        </w:tc>
        <w:tc>
          <w:tcPr>
            <w:tcW w:w="0" w:type="auto"/>
            <w:tcBorders>
              <w:top w:val="single" w:sz="12" w:space="0" w:color="008000"/>
              <w:bottom w:val="single" w:sz="6" w:space="0" w:color="008000"/>
            </w:tcBorders>
            <w:shd w:val="clear" w:color="auto" w:fill="FFFFFF"/>
          </w:tcPr>
          <w:p w14:paraId="0CD06DBB"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 xml:space="preserve">Weight </w:t>
            </w:r>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i</m:t>
                  </m:r>
                </m:sub>
              </m:sSub>
            </m:oMath>
          </w:p>
        </w:tc>
      </w:tr>
      <w:tr w:rsidR="00D7599B" w:rsidRPr="0009068F" w14:paraId="4568A606" w14:textId="77777777" w:rsidTr="009843E8">
        <w:tc>
          <w:tcPr>
            <w:tcW w:w="0" w:type="auto"/>
            <w:shd w:val="clear" w:color="auto" w:fill="FFFFFF"/>
          </w:tcPr>
          <w:p w14:paraId="49342407" w14:textId="77777777" w:rsidR="00D7599B" w:rsidRPr="0009068F" w:rsidRDefault="00D7599B" w:rsidP="009843E8">
            <w:pPr>
              <w:pStyle w:val="CETBodytext"/>
              <w:jc w:val="left"/>
              <w:rPr>
                <w:sz w:val="16"/>
                <w:szCs w:val="16"/>
                <w:lang w:val="en-GB"/>
              </w:rPr>
            </w:pPr>
            <w:r w:rsidRPr="0009068F">
              <w:rPr>
                <w:sz w:val="16"/>
                <w:szCs w:val="16"/>
                <w:lang w:val="en-GB"/>
              </w:rPr>
              <w:t>Electrical power supply</w:t>
            </w:r>
          </w:p>
        </w:tc>
        <w:tc>
          <w:tcPr>
            <w:tcW w:w="0" w:type="auto"/>
            <w:shd w:val="clear" w:color="auto" w:fill="FFFFFF"/>
          </w:tcPr>
          <w:p w14:paraId="70570F96" w14:textId="77777777" w:rsidR="00D7599B" w:rsidRPr="0009068F" w:rsidRDefault="00D7599B" w:rsidP="009843E8">
            <w:pPr>
              <w:pStyle w:val="CETBodytext"/>
              <w:jc w:val="left"/>
              <w:rPr>
                <w:sz w:val="16"/>
                <w:szCs w:val="16"/>
                <w:lang w:val="en-GB"/>
              </w:rPr>
            </w:pPr>
            <w:r w:rsidRPr="0009068F">
              <w:rPr>
                <w:sz w:val="16"/>
                <w:szCs w:val="16"/>
                <w:lang w:val="en-GB"/>
              </w:rPr>
              <w:t xml:space="preserve">Substation flooding, loss of grid, </w:t>
            </w:r>
            <w:r>
              <w:rPr>
                <w:sz w:val="16"/>
                <w:szCs w:val="16"/>
                <w:lang w:val="en-GB"/>
              </w:rPr>
              <w:t xml:space="preserve">and </w:t>
            </w:r>
            <w:r w:rsidRPr="0009068F">
              <w:rPr>
                <w:sz w:val="16"/>
                <w:szCs w:val="16"/>
                <w:lang w:val="en-GB"/>
              </w:rPr>
              <w:t>generator inaccessibility</w:t>
            </w:r>
          </w:p>
        </w:tc>
        <w:tc>
          <w:tcPr>
            <w:tcW w:w="0" w:type="auto"/>
            <w:shd w:val="clear" w:color="auto" w:fill="FFFFFF"/>
          </w:tcPr>
          <w:p w14:paraId="56FDCEAC" w14:textId="77777777" w:rsidR="00D7599B" w:rsidRPr="0009068F" w:rsidRDefault="00D7599B" w:rsidP="009843E8">
            <w:pPr>
              <w:pStyle w:val="CETBodytext"/>
              <w:jc w:val="left"/>
              <w:rPr>
                <w:sz w:val="16"/>
                <w:szCs w:val="16"/>
                <w:lang w:val="en-GB"/>
              </w:rPr>
            </w:pPr>
            <w:r w:rsidRPr="0009068F">
              <w:rPr>
                <w:sz w:val="16"/>
                <w:szCs w:val="16"/>
                <w:lang w:val="en-GB"/>
              </w:rPr>
              <w:t>Loss of control, safety barriers</w:t>
            </w:r>
            <w:r>
              <w:rPr>
                <w:sz w:val="16"/>
                <w:szCs w:val="16"/>
                <w:lang w:val="en-GB"/>
              </w:rPr>
              <w:t>,</w:t>
            </w:r>
            <w:r w:rsidRPr="0009068F">
              <w:rPr>
                <w:sz w:val="16"/>
                <w:szCs w:val="16"/>
                <w:lang w:val="en-GB"/>
              </w:rPr>
              <w:t xml:space="preserve"> and emergency systems</w:t>
            </w:r>
          </w:p>
        </w:tc>
        <w:tc>
          <w:tcPr>
            <w:tcW w:w="0" w:type="auto"/>
            <w:shd w:val="clear" w:color="auto" w:fill="FFFFFF"/>
          </w:tcPr>
          <w:p w14:paraId="61EE8CF3"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0.80 → 0.40</w:t>
            </w:r>
          </w:p>
        </w:tc>
        <w:tc>
          <w:tcPr>
            <w:tcW w:w="0" w:type="auto"/>
            <w:shd w:val="clear" w:color="auto" w:fill="FFFFFF"/>
          </w:tcPr>
          <w:p w14:paraId="17A238C5"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0.25</w:t>
            </w:r>
          </w:p>
        </w:tc>
      </w:tr>
      <w:tr w:rsidR="00D7599B" w:rsidRPr="0009068F" w14:paraId="0AE1AE80" w14:textId="77777777" w:rsidTr="009843E8">
        <w:tc>
          <w:tcPr>
            <w:tcW w:w="0" w:type="auto"/>
            <w:shd w:val="clear" w:color="auto" w:fill="FFFFFF"/>
          </w:tcPr>
          <w:p w14:paraId="5AB60075"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Control &amp; instrumentation</w:t>
            </w:r>
          </w:p>
          <w:p w14:paraId="133C5EE6"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Cooling &amp; refrigeration systems</w:t>
            </w:r>
          </w:p>
          <w:p w14:paraId="0E116198" w14:textId="29A593B9" w:rsidR="00D7599B" w:rsidRPr="0009068F" w:rsidRDefault="00124AB3" w:rsidP="009843E8">
            <w:pPr>
              <w:pStyle w:val="CETBodytext"/>
              <w:ind w:right="-1"/>
              <w:jc w:val="left"/>
              <w:rPr>
                <w:rFonts w:cs="Arial"/>
                <w:sz w:val="16"/>
                <w:szCs w:val="16"/>
                <w:lang w:val="en-GB"/>
              </w:rPr>
            </w:pPr>
            <w:r>
              <w:rPr>
                <w:rFonts w:cs="Arial"/>
                <w:sz w:val="16"/>
                <w:szCs w:val="16"/>
                <w:lang w:val="en-GB"/>
              </w:rPr>
              <w:t>Firefighting/firewater</w:t>
            </w:r>
            <w:r w:rsidR="00D7599B" w:rsidRPr="0009068F">
              <w:rPr>
                <w:rFonts w:cs="Arial"/>
                <w:sz w:val="16"/>
                <w:szCs w:val="16"/>
                <w:lang w:val="en-GB"/>
              </w:rPr>
              <w:t xml:space="preserve"> systems</w:t>
            </w:r>
          </w:p>
          <w:p w14:paraId="4BD9B4FF"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Drainage &amp; wastewater systems</w:t>
            </w:r>
          </w:p>
          <w:p w14:paraId="7A017DFD"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Emergency access &amp;   logistics</w:t>
            </w:r>
          </w:p>
        </w:tc>
        <w:tc>
          <w:tcPr>
            <w:tcW w:w="0" w:type="auto"/>
            <w:shd w:val="clear" w:color="auto" w:fill="FFFFFF"/>
          </w:tcPr>
          <w:p w14:paraId="264B4D92" w14:textId="77777777" w:rsidR="00D7599B" w:rsidRDefault="00D7599B" w:rsidP="009843E8">
            <w:pPr>
              <w:pStyle w:val="CETBodytext"/>
              <w:ind w:right="-1"/>
              <w:jc w:val="left"/>
              <w:rPr>
                <w:rFonts w:cs="Arial"/>
                <w:sz w:val="16"/>
                <w:szCs w:val="16"/>
                <w:lang w:val="en-GB"/>
              </w:rPr>
            </w:pPr>
            <w:r w:rsidRPr="0009068F">
              <w:rPr>
                <w:rFonts w:cs="Arial"/>
                <w:sz w:val="16"/>
                <w:szCs w:val="16"/>
                <w:lang w:val="en-GB"/>
              </w:rPr>
              <w:t xml:space="preserve">Flooded control rooms, signal loss, </w:t>
            </w:r>
          </w:p>
          <w:p w14:paraId="31EB9ADA"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PLC failure</w:t>
            </w:r>
          </w:p>
          <w:p w14:paraId="36A07B9B"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Loss of cooling water, mechanical damage</w:t>
            </w:r>
          </w:p>
          <w:p w14:paraId="45B2BE0D"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 xml:space="preserve">Pump flooding, power loss, </w:t>
            </w:r>
            <w:r>
              <w:rPr>
                <w:rFonts w:cs="Arial"/>
                <w:sz w:val="16"/>
                <w:szCs w:val="16"/>
                <w:lang w:val="en-GB"/>
              </w:rPr>
              <w:t xml:space="preserve">and </w:t>
            </w:r>
            <w:r w:rsidRPr="0009068F">
              <w:rPr>
                <w:rFonts w:cs="Arial"/>
                <w:sz w:val="16"/>
                <w:szCs w:val="16"/>
                <w:lang w:val="en-GB"/>
              </w:rPr>
              <w:t>reduced accessibility</w:t>
            </w:r>
          </w:p>
          <w:p w14:paraId="7531E345"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Overflow, blockage, backflow</w:t>
            </w:r>
          </w:p>
          <w:p w14:paraId="15E8B326" w14:textId="77777777" w:rsidR="00D7599B" w:rsidRPr="0009068F" w:rsidRDefault="00D7599B" w:rsidP="009843E8">
            <w:pPr>
              <w:pStyle w:val="CETBodytext"/>
              <w:jc w:val="left"/>
              <w:rPr>
                <w:rFonts w:cs="Arial"/>
                <w:sz w:val="16"/>
                <w:szCs w:val="16"/>
                <w:lang w:val="en-GB"/>
              </w:rPr>
            </w:pPr>
          </w:p>
          <w:p w14:paraId="1B2D6DA2"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Inundated roads, debris</w:t>
            </w:r>
          </w:p>
        </w:tc>
        <w:tc>
          <w:tcPr>
            <w:tcW w:w="0" w:type="auto"/>
            <w:shd w:val="clear" w:color="auto" w:fill="FFFFFF"/>
          </w:tcPr>
          <w:p w14:paraId="38D39580"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Loss of monitoring, alarms</w:t>
            </w:r>
            <w:r>
              <w:rPr>
                <w:rFonts w:cs="Arial"/>
                <w:sz w:val="16"/>
                <w:szCs w:val="16"/>
                <w:lang w:val="en-GB"/>
              </w:rPr>
              <w:t>,</w:t>
            </w:r>
            <w:r w:rsidRPr="0009068F">
              <w:rPr>
                <w:rFonts w:cs="Arial"/>
                <w:sz w:val="16"/>
                <w:szCs w:val="16"/>
                <w:lang w:val="en-GB"/>
              </w:rPr>
              <w:t xml:space="preserve"> and process control</w:t>
            </w:r>
          </w:p>
          <w:p w14:paraId="281B2B70"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Thermal runaway, overpressure</w:t>
            </w:r>
          </w:p>
          <w:p w14:paraId="355E3CA8" w14:textId="77777777" w:rsidR="00D7599B" w:rsidRPr="0009068F" w:rsidRDefault="00D7599B" w:rsidP="009843E8">
            <w:pPr>
              <w:pStyle w:val="CETBodytext"/>
              <w:jc w:val="left"/>
              <w:rPr>
                <w:rFonts w:cs="Arial"/>
                <w:sz w:val="16"/>
                <w:szCs w:val="16"/>
                <w:lang w:val="en-GB"/>
              </w:rPr>
            </w:pPr>
          </w:p>
          <w:p w14:paraId="7B49D21E"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Ineffective fire suppression, escalation of fires</w:t>
            </w:r>
          </w:p>
          <w:p w14:paraId="5A0EC7FA"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Spread of hazardous substances</w:t>
            </w:r>
          </w:p>
          <w:p w14:paraId="041A9E10" w14:textId="77777777" w:rsidR="00D7599B" w:rsidRPr="0009068F" w:rsidRDefault="00D7599B" w:rsidP="009843E8">
            <w:pPr>
              <w:pStyle w:val="CETBodytext"/>
              <w:jc w:val="left"/>
              <w:rPr>
                <w:rFonts w:cs="Arial"/>
                <w:sz w:val="16"/>
                <w:szCs w:val="16"/>
                <w:lang w:val="en-GB"/>
              </w:rPr>
            </w:pPr>
          </w:p>
          <w:p w14:paraId="0C2E6FEE"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Delayed emergency response</w:t>
            </w:r>
          </w:p>
        </w:tc>
        <w:tc>
          <w:tcPr>
            <w:tcW w:w="0" w:type="auto"/>
            <w:shd w:val="clear" w:color="auto" w:fill="FFFFFF"/>
          </w:tcPr>
          <w:p w14:paraId="6C88C610"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0.70 → 0.35</w:t>
            </w:r>
          </w:p>
          <w:p w14:paraId="56235463" w14:textId="77777777" w:rsidR="00D7599B" w:rsidRPr="0009068F" w:rsidRDefault="00D7599B" w:rsidP="009843E8">
            <w:pPr>
              <w:pStyle w:val="CETBodytext"/>
              <w:jc w:val="left"/>
              <w:rPr>
                <w:rFonts w:cs="Arial"/>
                <w:sz w:val="16"/>
                <w:szCs w:val="16"/>
                <w:lang w:val="en-GB"/>
              </w:rPr>
            </w:pPr>
          </w:p>
          <w:p w14:paraId="24694E7B"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0.60 → 0.40</w:t>
            </w:r>
          </w:p>
          <w:p w14:paraId="76F48977" w14:textId="77777777" w:rsidR="00D7599B" w:rsidRPr="0009068F" w:rsidRDefault="00D7599B" w:rsidP="009843E8">
            <w:pPr>
              <w:pStyle w:val="CETBodytext"/>
              <w:jc w:val="left"/>
              <w:rPr>
                <w:rFonts w:cs="Arial"/>
                <w:sz w:val="16"/>
                <w:szCs w:val="16"/>
                <w:lang w:val="en-GB"/>
              </w:rPr>
            </w:pPr>
          </w:p>
          <w:p w14:paraId="1E4A90B2"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0.65 → 0.35</w:t>
            </w:r>
          </w:p>
          <w:p w14:paraId="2D9DB6E3" w14:textId="77777777" w:rsidR="00D7599B" w:rsidRPr="0009068F" w:rsidRDefault="00D7599B" w:rsidP="009843E8">
            <w:pPr>
              <w:pStyle w:val="CETBodytext"/>
              <w:jc w:val="left"/>
              <w:rPr>
                <w:rFonts w:cs="Arial"/>
                <w:sz w:val="16"/>
                <w:szCs w:val="16"/>
                <w:lang w:val="en-GB"/>
              </w:rPr>
            </w:pPr>
          </w:p>
          <w:p w14:paraId="167DDB1D"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0.75 → 0.45</w:t>
            </w:r>
          </w:p>
          <w:p w14:paraId="754BA74C" w14:textId="77777777" w:rsidR="00D7599B" w:rsidRPr="0009068F" w:rsidRDefault="00D7599B" w:rsidP="009843E8">
            <w:pPr>
              <w:pStyle w:val="CETBodytext"/>
              <w:jc w:val="left"/>
              <w:rPr>
                <w:rFonts w:cs="Arial"/>
                <w:sz w:val="16"/>
                <w:szCs w:val="16"/>
                <w:lang w:val="en-GB"/>
              </w:rPr>
            </w:pPr>
          </w:p>
          <w:p w14:paraId="725DFE8D"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0.55 → 0.30</w:t>
            </w:r>
          </w:p>
        </w:tc>
        <w:tc>
          <w:tcPr>
            <w:tcW w:w="0" w:type="auto"/>
            <w:shd w:val="clear" w:color="auto" w:fill="FFFFFF"/>
          </w:tcPr>
          <w:p w14:paraId="1AFB4F73" w14:textId="77777777" w:rsidR="00D7599B" w:rsidRPr="0009068F" w:rsidRDefault="00D7599B" w:rsidP="009843E8">
            <w:pPr>
              <w:pStyle w:val="CETBodytext"/>
              <w:ind w:right="-1"/>
              <w:jc w:val="left"/>
              <w:rPr>
                <w:rFonts w:cs="Arial"/>
                <w:sz w:val="16"/>
                <w:szCs w:val="16"/>
                <w:lang w:val="en-GB"/>
              </w:rPr>
            </w:pPr>
            <w:r w:rsidRPr="0009068F">
              <w:rPr>
                <w:rFonts w:cs="Arial"/>
                <w:sz w:val="16"/>
                <w:szCs w:val="16"/>
                <w:lang w:val="en-GB"/>
              </w:rPr>
              <w:t>0.20</w:t>
            </w:r>
          </w:p>
          <w:p w14:paraId="3623BBBB" w14:textId="77777777" w:rsidR="00D7599B" w:rsidRPr="0009068F" w:rsidRDefault="00D7599B" w:rsidP="009843E8">
            <w:pPr>
              <w:pStyle w:val="CETBodytext"/>
              <w:jc w:val="left"/>
              <w:rPr>
                <w:rFonts w:cs="Arial"/>
                <w:sz w:val="16"/>
                <w:szCs w:val="16"/>
                <w:lang w:val="en-GB"/>
              </w:rPr>
            </w:pPr>
          </w:p>
          <w:p w14:paraId="13E5BD51"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0.20</w:t>
            </w:r>
          </w:p>
          <w:p w14:paraId="6F9C91BB" w14:textId="77777777" w:rsidR="00D7599B" w:rsidRPr="0009068F" w:rsidRDefault="00D7599B" w:rsidP="009843E8">
            <w:pPr>
              <w:pStyle w:val="CETBodytext"/>
              <w:jc w:val="left"/>
              <w:rPr>
                <w:rFonts w:cs="Arial"/>
                <w:sz w:val="16"/>
                <w:szCs w:val="16"/>
                <w:lang w:val="en-GB"/>
              </w:rPr>
            </w:pPr>
          </w:p>
          <w:p w14:paraId="648FB3CF"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0.15</w:t>
            </w:r>
          </w:p>
          <w:p w14:paraId="77F1F638" w14:textId="77777777" w:rsidR="00D7599B" w:rsidRPr="0009068F" w:rsidRDefault="00D7599B" w:rsidP="009843E8">
            <w:pPr>
              <w:pStyle w:val="CETBodytext"/>
              <w:jc w:val="left"/>
              <w:rPr>
                <w:rFonts w:cs="Arial"/>
                <w:sz w:val="16"/>
                <w:szCs w:val="16"/>
                <w:lang w:val="en-GB"/>
              </w:rPr>
            </w:pPr>
          </w:p>
          <w:p w14:paraId="187FC35F"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0.10</w:t>
            </w:r>
          </w:p>
          <w:p w14:paraId="7876E541" w14:textId="77777777" w:rsidR="00D7599B" w:rsidRPr="0009068F" w:rsidRDefault="00D7599B" w:rsidP="009843E8">
            <w:pPr>
              <w:pStyle w:val="CETBodytext"/>
              <w:jc w:val="left"/>
              <w:rPr>
                <w:rFonts w:cs="Arial"/>
                <w:sz w:val="16"/>
                <w:szCs w:val="16"/>
                <w:lang w:val="en-GB"/>
              </w:rPr>
            </w:pPr>
          </w:p>
          <w:p w14:paraId="0445F557" w14:textId="77777777" w:rsidR="00D7599B" w:rsidRPr="0009068F" w:rsidRDefault="00D7599B" w:rsidP="009843E8">
            <w:pPr>
              <w:pStyle w:val="CETBodytext"/>
              <w:jc w:val="left"/>
              <w:rPr>
                <w:rFonts w:cs="Arial"/>
                <w:sz w:val="16"/>
                <w:szCs w:val="16"/>
                <w:lang w:val="en-GB"/>
              </w:rPr>
            </w:pPr>
            <w:r w:rsidRPr="0009068F">
              <w:rPr>
                <w:rFonts w:cs="Arial"/>
                <w:sz w:val="16"/>
                <w:szCs w:val="16"/>
                <w:lang w:val="en-GB"/>
              </w:rPr>
              <w:t>0.10</w:t>
            </w:r>
          </w:p>
        </w:tc>
      </w:tr>
    </w:tbl>
    <w:p w14:paraId="5845A099" w14:textId="6B7A7975" w:rsidR="00392AD7" w:rsidRDefault="00443A0F" w:rsidP="003D3196">
      <w:pPr>
        <w:pStyle w:val="CETBodytext"/>
        <w:spacing w:before="240"/>
      </w:pPr>
      <w:r w:rsidRPr="00443A0F">
        <w:rPr>
          <w:lang w:val="en-GB"/>
        </w:rPr>
        <w:t>The SMS parameter</w:t>
      </w:r>
      <w:r w:rsidR="003D3196">
        <w:rPr>
          <w:lang w:val="en-GB"/>
        </w:rPr>
        <w:t xml:space="preserve">, based on </w:t>
      </w:r>
      <w:r w:rsidR="00124AB3">
        <w:rPr>
          <w:lang w:val="en-GB"/>
        </w:rPr>
        <w:t>typical inspection results under the Seveso directive, reflects</w:t>
      </w:r>
      <w:r w:rsidRPr="00443A0F">
        <w:rPr>
          <w:lang w:val="en-GB"/>
        </w:rPr>
        <w:t xml:space="preserve"> the effectiveness of the Safety Management System for the Prevention of Major Accidents in mitigating flood-induced escalation mechanisms. It has been defined as a dimensionless performance indicator in the range [0–1], where</w:t>
      </w:r>
      <w:r>
        <w:rPr>
          <w:lang w:val="en-GB"/>
        </w:rPr>
        <w:t xml:space="preserve"> 0 </w:t>
      </w:r>
      <w:r w:rsidRPr="00443A0F">
        <w:rPr>
          <w:lang w:val="en-GB"/>
        </w:rPr>
        <w:t xml:space="preserve">indicates </w:t>
      </w:r>
      <w:r w:rsidR="00134ECB">
        <w:rPr>
          <w:lang w:val="en-GB"/>
        </w:rPr>
        <w:t xml:space="preserve">the </w:t>
      </w:r>
      <w:r w:rsidRPr="00443A0F">
        <w:rPr>
          <w:lang w:val="en-GB"/>
        </w:rPr>
        <w:t>absence of flood-related mitigation measures</w:t>
      </w:r>
      <w:r w:rsidR="00134ECB">
        <w:rPr>
          <w:lang w:val="en-GB"/>
        </w:rPr>
        <w:t>,</w:t>
      </w:r>
      <w:r>
        <w:rPr>
          <w:lang w:val="en-GB"/>
        </w:rPr>
        <w:t xml:space="preserve"> </w:t>
      </w:r>
      <w:r w:rsidR="00AC502E">
        <w:rPr>
          <w:lang w:val="en-GB"/>
        </w:rPr>
        <w:t>and 1 indicates fully integrated,</w:t>
      </w:r>
      <w:r w:rsidRPr="00443A0F">
        <w:rPr>
          <w:lang w:val="en-GB"/>
        </w:rPr>
        <w:t xml:space="preserve"> highly effective flood-adapted management and technical controls.</w:t>
      </w:r>
      <w:r>
        <w:rPr>
          <w:lang w:val="en-GB"/>
        </w:rPr>
        <w:t xml:space="preserve"> </w:t>
      </w:r>
      <w:r w:rsidRPr="00443A0F">
        <w:rPr>
          <w:lang w:val="en-GB"/>
        </w:rPr>
        <w:t>Typical reference ranges are</w:t>
      </w:r>
      <w:r>
        <w:rPr>
          <w:lang w:val="en-GB"/>
        </w:rPr>
        <w:t xml:space="preserve"> </w:t>
      </w:r>
      <w:r w:rsidRPr="00443A0F">
        <w:rPr>
          <w:lang w:val="en-GB"/>
        </w:rPr>
        <w:t>SMS ≈ 0.2–0.3</w:t>
      </w:r>
      <w:r>
        <w:rPr>
          <w:lang w:val="en-GB"/>
        </w:rPr>
        <w:t xml:space="preserve"> (</w:t>
      </w:r>
      <w:r w:rsidRPr="00443A0F">
        <w:rPr>
          <w:lang w:val="en-GB"/>
        </w:rPr>
        <w:t>weak integration of NaTech into SMS</w:t>
      </w:r>
      <w:r>
        <w:rPr>
          <w:lang w:val="en-GB"/>
        </w:rPr>
        <w:t xml:space="preserve">), </w:t>
      </w:r>
      <w:r w:rsidRPr="00443A0F">
        <w:rPr>
          <w:lang w:val="en-GB"/>
        </w:rPr>
        <w:t xml:space="preserve">SMS ≈ 0.5 </w:t>
      </w:r>
      <w:r>
        <w:rPr>
          <w:lang w:val="en-GB"/>
        </w:rPr>
        <w:t>(</w:t>
      </w:r>
      <w:r w:rsidRPr="00443A0F">
        <w:rPr>
          <w:lang w:val="en-GB"/>
        </w:rPr>
        <w:t>partial implementation</w:t>
      </w:r>
      <w:r>
        <w:rPr>
          <w:lang w:val="en-GB"/>
        </w:rPr>
        <w:t xml:space="preserve">), </w:t>
      </w:r>
      <w:r w:rsidR="00AC502E">
        <w:rPr>
          <w:lang w:val="en-GB"/>
        </w:rPr>
        <w:t xml:space="preserve">and </w:t>
      </w:r>
      <w:r w:rsidRPr="00443A0F">
        <w:rPr>
          <w:lang w:val="en-GB"/>
        </w:rPr>
        <w:t xml:space="preserve">SMS ≥ 0.8 </w:t>
      </w:r>
      <w:r>
        <w:rPr>
          <w:lang w:val="en-GB"/>
        </w:rPr>
        <w:t>(</w:t>
      </w:r>
      <w:r w:rsidRPr="00443A0F">
        <w:rPr>
          <w:lang w:val="en-GB"/>
        </w:rPr>
        <w:t>structured and flood-integrated management system</w:t>
      </w:r>
      <w:r>
        <w:rPr>
          <w:lang w:val="en-GB"/>
        </w:rPr>
        <w:t xml:space="preserve">). </w:t>
      </w:r>
      <w:r w:rsidRPr="00443A0F">
        <w:rPr>
          <w:lang w:val="en-GB"/>
        </w:rPr>
        <w:t xml:space="preserve">The flood hazard parameter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f</m:t>
            </m:r>
          </m:sub>
        </m:sSub>
      </m:oMath>
      <w:r w:rsidRPr="00443A0F">
        <w:rPr>
          <w:lang w:val="en-GB"/>
        </w:rPr>
        <w:t>represents the normalized intensity of the external flood stressor affecting the establishment.</w:t>
      </w:r>
      <w:r>
        <w:rPr>
          <w:lang w:val="en-GB"/>
        </w:rPr>
        <w:t xml:space="preserve"> </w:t>
      </w:r>
      <w:r w:rsidR="00AC502E">
        <w:rPr>
          <w:lang w:val="en-GB"/>
        </w:rPr>
        <w:t>It</w:t>
      </w:r>
      <w:r w:rsidRPr="00443A0F">
        <w:rPr>
          <w:lang w:val="en-GB"/>
        </w:rPr>
        <w:t xml:space="preserve"> is derived from hydrological and site-specific parameters</w:t>
      </w:r>
      <w:r>
        <w:rPr>
          <w:lang w:val="en-GB"/>
        </w:rPr>
        <w:t>,</w:t>
      </w:r>
      <w:r w:rsidRPr="00443A0F">
        <w:rPr>
          <w:lang w:val="en-GB"/>
        </w:rPr>
        <w:t xml:space="preserve"> including</w:t>
      </w:r>
      <w:r>
        <w:rPr>
          <w:lang w:val="en-GB"/>
        </w:rPr>
        <w:t xml:space="preserve"> </w:t>
      </w:r>
      <w:r w:rsidRPr="00443A0F">
        <w:rPr>
          <w:lang w:val="en-GB"/>
        </w:rPr>
        <w:t>Flood depth</w:t>
      </w:r>
      <w:r>
        <w:rPr>
          <w:lang w:val="en-GB"/>
        </w:rPr>
        <w:t xml:space="preserve">, </w:t>
      </w:r>
      <w:r w:rsidRPr="00443A0F">
        <w:rPr>
          <w:lang w:val="en-GB"/>
        </w:rPr>
        <w:lastRenderedPageBreak/>
        <w:t>Flow velocity</w:t>
      </w:r>
      <w:r>
        <w:rPr>
          <w:lang w:val="en-GB"/>
        </w:rPr>
        <w:t xml:space="preserve">, </w:t>
      </w:r>
      <w:r w:rsidRPr="00443A0F">
        <w:rPr>
          <w:lang w:val="en-GB"/>
        </w:rPr>
        <w:t>Flood duration</w:t>
      </w:r>
      <w:r>
        <w:rPr>
          <w:lang w:val="en-GB"/>
        </w:rPr>
        <w:t xml:space="preserve"> and Return</w:t>
      </w:r>
      <w:r w:rsidRPr="00443A0F">
        <w:rPr>
          <w:lang w:val="en-GB"/>
        </w:rPr>
        <w:t xml:space="preserve"> period</w:t>
      </w:r>
      <w:r>
        <w:rPr>
          <w:lang w:val="en-GB"/>
        </w:rPr>
        <w:t xml:space="preserve">. </w:t>
      </w:r>
      <w:r w:rsidRPr="00443A0F">
        <w:t xml:space="preserve">All parameters are scaled </w:t>
      </w:r>
      <w:r w:rsidR="00637335">
        <w:t>to 0-</w:t>
      </w:r>
      <w:r w:rsidRPr="00443A0F">
        <w:t>1 based on site-relevant maximum reference values or regulatory flood scenarios.</w:t>
      </w:r>
      <w:r>
        <w:t xml:space="preserve"> </w:t>
      </w:r>
      <w:r w:rsidRPr="00443A0F">
        <w:t>Alternatively, when detailed hydrological modelling is not available, a categorical approach based on officially defined flood return periods may be adopted (e.g., 100-year flood = 0.6; 200-year flood = 0.8; extreme climate-adjusted flood = 1.0).</w:t>
      </w:r>
    </w:p>
    <w:p w14:paraId="35885BA9" w14:textId="7FCC3622" w:rsidR="007A3889" w:rsidRPr="00443A0F" w:rsidRDefault="007A3889" w:rsidP="003D3196">
      <w:pPr>
        <w:pStyle w:val="CETBodytext"/>
      </w:pPr>
      <w:r w:rsidRPr="002C39CD">
        <w:t>T</w:t>
      </w:r>
      <w:r w:rsidRPr="002C39CD">
        <w:rPr>
          <w:lang w:val="en-GB"/>
        </w:rPr>
        <w:t xml:space="preserve">able 1 was used to assign utility-specific vulnerability scores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2C39CD">
        <w:rPr>
          <w:lang w:val="en-GB"/>
        </w:rPr>
        <w:t xml:space="preserve"> and criticality weights. A first application, carried out on some real cases emerging from the inspection experience conducted in the SNPA context, shows that, for a moderate–</w:t>
      </w:r>
      <w:r w:rsidRPr="007A34E8">
        <w:rPr>
          <w:lang w:val="en-GB"/>
        </w:rPr>
        <w:t>severe flood</w:t>
      </w:r>
      <w:r>
        <w:rPr>
          <w:lang w:val="en-GB"/>
        </w:rPr>
        <w:t xml:space="preserve"> (H</w:t>
      </w:r>
      <w:r w:rsidRPr="00D45BA8">
        <w:rPr>
          <w:vertAlign w:val="subscript"/>
          <w:lang w:val="en-GB"/>
        </w:rPr>
        <w:t>F</w:t>
      </w:r>
      <w:r>
        <w:rPr>
          <w:lang w:val="en-GB"/>
        </w:rPr>
        <w:t xml:space="preserve">=0,70), </w:t>
      </w:r>
      <w:r w:rsidRPr="007A34E8">
        <w:rPr>
          <w:lang w:val="en-GB"/>
        </w:rPr>
        <w:t>improving SMS effectiveness and reducing utility vulnerabilities can decrease the escalation indicator from ~0.34 to ~0.11.</w:t>
      </w:r>
    </w:p>
    <w:p w14:paraId="0F7BD246" w14:textId="444C649A" w:rsidR="00244750" w:rsidRDefault="00244750" w:rsidP="00C45ED8">
      <w:pPr>
        <w:pStyle w:val="CETBodytext"/>
      </w:pPr>
      <w:r w:rsidRPr="00244750">
        <w:rPr>
          <w:lang w:val="en-GB"/>
        </w:rPr>
        <w:t>Table 2 provides the utility-by-utility mapping used to populate Eq. (1), translating the qualitative analysis reported in Table 1 into vulnerability scores and criticality weights suitable for screening-level NaTech escalation assessment.</w:t>
      </w:r>
      <w:r w:rsidR="009D624A">
        <w:rPr>
          <w:lang w:val="en-GB"/>
        </w:rPr>
        <w:t xml:space="preserve"> </w:t>
      </w:r>
      <w:r w:rsidR="009D624A" w:rsidRPr="002C39CD">
        <w:rPr>
          <w:lang w:val="en-GB"/>
        </w:rPr>
        <w:t xml:space="preserve">Obviously, the data mentioned should be seen as a first approach to </w:t>
      </w:r>
      <w:r w:rsidR="002C1859">
        <w:rPr>
          <w:lang w:val="en-GB"/>
        </w:rPr>
        <w:t xml:space="preserve">considering the problem from a quantitative point of view, based on operational experience </w:t>
      </w:r>
      <w:r w:rsidR="009D624A" w:rsidRPr="002C39CD">
        <w:rPr>
          <w:lang w:val="en-GB"/>
        </w:rPr>
        <w:t>in the field.</w:t>
      </w:r>
    </w:p>
    <w:p w14:paraId="68D26B83" w14:textId="64019AA9" w:rsidR="00600535" w:rsidRDefault="00600535" w:rsidP="00600535">
      <w:pPr>
        <w:pStyle w:val="CETHeading1"/>
        <w:rPr>
          <w:lang w:val="en-GB"/>
        </w:rPr>
      </w:pPr>
      <w:r w:rsidRPr="00B57B36">
        <w:rPr>
          <w:lang w:val="en-GB"/>
        </w:rPr>
        <w:t>Conclusions</w:t>
      </w:r>
    </w:p>
    <w:p w14:paraId="3B5CC05B" w14:textId="7FE9A3E2" w:rsidR="0022461E" w:rsidRDefault="00695930" w:rsidP="0022461E">
      <w:pPr>
        <w:pStyle w:val="CETBodytext"/>
        <w:rPr>
          <w:lang w:val="en-GB"/>
        </w:rPr>
      </w:pPr>
      <w:r w:rsidRPr="00695930">
        <w:rPr>
          <w:lang w:val="en-GB"/>
        </w:rPr>
        <w:t xml:space="preserve">Flood-induced NaTech events represent a growing challenge for Seveso establishments in the context of climate change. The analysis confirms that flooding acts as a systemic stressor, affecting not only process equipment but also utilities, auxiliary systems, and emergency infrastructures. Results show that indirect NaTech scenarios, driven by the loss of functionality of safety-critical utilities, often dominate </w:t>
      </w:r>
      <w:r w:rsidR="002C1859">
        <w:rPr>
          <w:lang w:val="en-GB"/>
        </w:rPr>
        <w:t xml:space="preserve">in terms of </w:t>
      </w:r>
      <w:r w:rsidRPr="00695930">
        <w:rPr>
          <w:lang w:val="en-GB"/>
        </w:rPr>
        <w:t xml:space="preserve">accident escalation and severity. Failures of power supply, control systems, cooling, and firefighting facilities may precede loss of containment and weaken defence-in-depth. These findings highlight the limitations of conventional equipment-centred risk assessments and the need for systemic approaches. The utility-centred framework proposed supports the identification of safety-critical components and escalation pathways. Effective integration of flood-induced NaTech scenarios within the </w:t>
      </w:r>
      <w:r w:rsidR="003B0EB7">
        <w:rPr>
          <w:lang w:val="en-GB"/>
        </w:rPr>
        <w:t>SMS-PMA</w:t>
      </w:r>
      <w:r w:rsidRPr="00695930">
        <w:rPr>
          <w:lang w:val="en-GB"/>
        </w:rPr>
        <w:t xml:space="preserve"> is essential to strengthen prevention, preparedness, and industrial resilience under extreme weather conditions.</w:t>
      </w:r>
    </w:p>
    <w:p w14:paraId="1C688F80" w14:textId="77777777" w:rsidR="0022461E" w:rsidRPr="00B57B36" w:rsidRDefault="0022461E" w:rsidP="0009068F">
      <w:pPr>
        <w:pStyle w:val="CETAcknowledgementstitle"/>
        <w:spacing w:after="0"/>
      </w:pPr>
      <w:r w:rsidRPr="00B57B36">
        <w:t>Acknowledgments</w:t>
      </w:r>
    </w:p>
    <w:p w14:paraId="3DDA653C" w14:textId="7A9C29BC" w:rsidR="00532F3A" w:rsidRDefault="006970BA" w:rsidP="0022461E">
      <w:pPr>
        <w:pStyle w:val="CETBodytext"/>
        <w:rPr>
          <w:lang w:val="en-GB"/>
        </w:rPr>
      </w:pPr>
      <w:r w:rsidRPr="006970BA">
        <w:rPr>
          <w:lang w:val="en-GB"/>
        </w:rPr>
        <w:t xml:space="preserve">The authors acknowledge the valuable contributions of the </w:t>
      </w:r>
      <w:r w:rsidR="0049052F">
        <w:rPr>
          <w:lang w:val="en-GB"/>
        </w:rPr>
        <w:t>S</w:t>
      </w:r>
      <w:r w:rsidR="0006315C">
        <w:rPr>
          <w:lang w:val="en-GB"/>
        </w:rPr>
        <w:t>eveso</w:t>
      </w:r>
      <w:r w:rsidR="0049052F">
        <w:rPr>
          <w:lang w:val="en-GB"/>
        </w:rPr>
        <w:t xml:space="preserve"> </w:t>
      </w:r>
      <w:r w:rsidR="00BE5F73">
        <w:rPr>
          <w:lang w:val="en-GB"/>
        </w:rPr>
        <w:t>inspection</w:t>
      </w:r>
      <w:r w:rsidR="0049052F">
        <w:rPr>
          <w:lang w:val="en-GB"/>
        </w:rPr>
        <w:t xml:space="preserve"> reports</w:t>
      </w:r>
      <w:r w:rsidR="002C1859">
        <w:rPr>
          <w:lang w:val="en-GB"/>
        </w:rPr>
        <w:t xml:space="preserve"> conducted by the SNPA and the accident databases managed by ISPRA, which</w:t>
      </w:r>
      <w:r w:rsidRPr="006970BA">
        <w:rPr>
          <w:lang w:val="en-GB"/>
        </w:rPr>
        <w:t xml:space="preserve"> supported the analysis of flood-induced NaTech events and Seveso establishments.</w:t>
      </w:r>
    </w:p>
    <w:p w14:paraId="396CC258" w14:textId="089B034D" w:rsidR="0022461E" w:rsidRPr="009A255E" w:rsidRDefault="0022461E" w:rsidP="0009068F">
      <w:pPr>
        <w:pStyle w:val="CETBodytext"/>
        <w:spacing w:before="240"/>
        <w:rPr>
          <w:b/>
          <w:bCs/>
        </w:rPr>
      </w:pPr>
      <w:r w:rsidRPr="009A255E">
        <w:rPr>
          <w:b/>
          <w:bCs/>
        </w:rPr>
        <w:t>References</w:t>
      </w:r>
    </w:p>
    <w:p w14:paraId="31DBA47F" w14:textId="77777777" w:rsidR="00354FD3" w:rsidRDefault="00354FD3" w:rsidP="00627CE1">
      <w:pPr>
        <w:pStyle w:val="CETBodytext"/>
        <w:ind w:left="142" w:hanging="142"/>
        <w:rPr>
          <w:lang w:val="en-GB"/>
        </w:rPr>
      </w:pPr>
      <w:r w:rsidRPr="00354FD3">
        <w:rPr>
          <w:lang w:val="en-GB"/>
        </w:rPr>
        <w:t xml:space="preserve">Brignone, M., </w:t>
      </w:r>
      <w:proofErr w:type="spellStart"/>
      <w:r w:rsidRPr="00354FD3">
        <w:rPr>
          <w:lang w:val="en-GB"/>
        </w:rPr>
        <w:t>Santamato</w:t>
      </w:r>
      <w:proofErr w:type="spellEnd"/>
      <w:r w:rsidRPr="00354FD3">
        <w:rPr>
          <w:lang w:val="en-GB"/>
        </w:rPr>
        <w:t xml:space="preserve">, F., Ravina, M., Busini, V. and Panepinto, D. (2025) ‘NaTech database and methodologies for its risk assessment: a review’, </w:t>
      </w:r>
      <w:r w:rsidRPr="00354FD3">
        <w:rPr>
          <w:i/>
          <w:iCs/>
          <w:lang w:val="en-GB"/>
        </w:rPr>
        <w:t>Natural Hazards</w:t>
      </w:r>
      <w:r w:rsidRPr="00354FD3">
        <w:rPr>
          <w:lang w:val="en-GB"/>
        </w:rPr>
        <w:t>, 121(17), pp. 19565–19590.</w:t>
      </w:r>
    </w:p>
    <w:p w14:paraId="5DDC6653" w14:textId="77777777" w:rsidR="00354FD3" w:rsidRDefault="00354FD3" w:rsidP="0078783E">
      <w:pPr>
        <w:pStyle w:val="CETBodytext"/>
        <w:ind w:left="142" w:hanging="142"/>
        <w:rPr>
          <w:lang w:val="en-GB"/>
        </w:rPr>
      </w:pPr>
      <w:r w:rsidRPr="00354FD3">
        <w:rPr>
          <w:lang w:val="en-GB"/>
        </w:rPr>
        <w:t xml:space="preserve">Castro Rodriguez, D.J., Barresi, A.A. and </w:t>
      </w:r>
      <w:proofErr w:type="spellStart"/>
      <w:r w:rsidRPr="00354FD3">
        <w:rPr>
          <w:lang w:val="en-GB"/>
        </w:rPr>
        <w:t>Demichela</w:t>
      </w:r>
      <w:proofErr w:type="spellEnd"/>
      <w:r w:rsidRPr="00354FD3">
        <w:rPr>
          <w:lang w:val="en-GB"/>
        </w:rPr>
        <w:t xml:space="preserve">, M. (2025) ‘Resilience-based framework for enhancing NaTech risk management in industrial critical infrastructures’, </w:t>
      </w:r>
      <w:r w:rsidRPr="00354FD3">
        <w:rPr>
          <w:i/>
          <w:iCs/>
          <w:lang w:val="en-GB"/>
        </w:rPr>
        <w:t>Environment Systems and Decisions</w:t>
      </w:r>
      <w:r w:rsidRPr="00354FD3">
        <w:rPr>
          <w:lang w:val="en-GB"/>
        </w:rPr>
        <w:t>, 45(4), p. 63.</w:t>
      </w:r>
    </w:p>
    <w:p w14:paraId="07C53C29" w14:textId="77777777" w:rsidR="00354FD3" w:rsidRDefault="00354FD3" w:rsidP="0078783E">
      <w:pPr>
        <w:pStyle w:val="CETBodytext"/>
        <w:ind w:left="142" w:hanging="142"/>
        <w:rPr>
          <w:lang w:val="en-GB"/>
        </w:rPr>
      </w:pPr>
      <w:r w:rsidRPr="00354FD3">
        <w:rPr>
          <w:lang w:val="en-GB"/>
        </w:rPr>
        <w:t xml:space="preserve">Colucci, V., Marrazzo, R., Galasso, V., De Santis, M.G., Laterza, E. and Campanaro, V. (2025) ‘Cyber security in the process industry: the role of Seveso inspections in the control of the safety management system’, </w:t>
      </w:r>
      <w:r w:rsidRPr="00354FD3">
        <w:rPr>
          <w:i/>
          <w:iCs/>
          <w:lang w:val="en-GB"/>
        </w:rPr>
        <w:t>Chemical Engineering Transactions</w:t>
      </w:r>
      <w:r w:rsidRPr="00354FD3">
        <w:rPr>
          <w:lang w:val="en-GB"/>
        </w:rPr>
        <w:t>, 116, pp. 43–48.</w:t>
      </w:r>
    </w:p>
    <w:p w14:paraId="2FBA94A7" w14:textId="49817DD5" w:rsidR="00354FD3" w:rsidRDefault="00354FD3" w:rsidP="0078783E">
      <w:pPr>
        <w:pStyle w:val="CETBodytext"/>
        <w:ind w:left="142" w:hanging="142"/>
        <w:rPr>
          <w:lang w:val="en-GB"/>
        </w:rPr>
      </w:pPr>
      <w:r w:rsidRPr="00354FD3">
        <w:rPr>
          <w:lang w:val="en-GB"/>
        </w:rPr>
        <w:t xml:space="preserve">Cruz, A.M., Steinberg, L.J. and Vetere-Arellano, A.L. (2006) ‘Emerging issues for NaTech disaster risk management in Europe’, </w:t>
      </w:r>
      <w:r w:rsidRPr="00354FD3">
        <w:rPr>
          <w:i/>
          <w:iCs/>
          <w:lang w:val="en-GB"/>
        </w:rPr>
        <w:t>Journal of Risk Research</w:t>
      </w:r>
      <w:r w:rsidRPr="00354FD3">
        <w:rPr>
          <w:lang w:val="en-GB"/>
        </w:rPr>
        <w:t>, 9(5), pp. 483–501.</w:t>
      </w:r>
    </w:p>
    <w:p w14:paraId="0055B5EB" w14:textId="07F47C87" w:rsidR="00354FD3" w:rsidRDefault="00354FD3" w:rsidP="000E4118">
      <w:pPr>
        <w:pStyle w:val="CETBodytext"/>
        <w:ind w:left="142" w:hanging="142"/>
        <w:rPr>
          <w:lang w:val="en-GB"/>
        </w:rPr>
      </w:pPr>
      <w:r w:rsidRPr="00354FD3">
        <w:rPr>
          <w:lang w:val="en-GB"/>
        </w:rPr>
        <w:t xml:space="preserve">Hu, X., Yang, A., Wu, S. and Tong, R. (2025) ‘Black swans to grey rhinos: robust decision making for NaTech scenarios caused by floods’, </w:t>
      </w:r>
      <w:r w:rsidRPr="00354FD3">
        <w:rPr>
          <w:i/>
          <w:iCs/>
          <w:lang w:val="en-GB"/>
        </w:rPr>
        <w:t>Journal of Loss Prevention in the Process Industries</w:t>
      </w:r>
      <w:r w:rsidRPr="00354FD3">
        <w:rPr>
          <w:lang w:val="en-GB"/>
        </w:rPr>
        <w:t>,</w:t>
      </w:r>
      <w:r w:rsidR="0010528B">
        <w:rPr>
          <w:lang w:val="en-GB"/>
        </w:rPr>
        <w:t xml:space="preserve"> 98,</w:t>
      </w:r>
      <w:r w:rsidRPr="00354FD3">
        <w:rPr>
          <w:lang w:val="en-GB"/>
        </w:rPr>
        <w:t xml:space="preserve"> article 105755.</w:t>
      </w:r>
    </w:p>
    <w:p w14:paraId="31CD17E8" w14:textId="77777777" w:rsidR="004D6507" w:rsidRDefault="004D6507" w:rsidP="000E4118">
      <w:pPr>
        <w:pStyle w:val="CETBodytext"/>
        <w:ind w:left="142" w:hanging="142"/>
        <w:rPr>
          <w:lang w:val="en-GB"/>
        </w:rPr>
      </w:pPr>
      <w:r w:rsidRPr="004D6507">
        <w:rPr>
          <w:lang w:val="en-GB"/>
        </w:rPr>
        <w:t xml:space="preserve">Marrazzo, R. (2024) ‘The management of NaTech events in Seveso sites for the case of flood risks’, </w:t>
      </w:r>
      <w:r w:rsidRPr="004D6507">
        <w:rPr>
          <w:i/>
          <w:iCs/>
          <w:lang w:val="en-GB"/>
        </w:rPr>
        <w:t>Reliability: Theory &amp; Applications</w:t>
      </w:r>
      <w:r w:rsidRPr="004D6507">
        <w:rPr>
          <w:lang w:val="en-GB"/>
        </w:rPr>
        <w:t>, 19(SI 6 (81)), pp. 483–490.</w:t>
      </w:r>
    </w:p>
    <w:p w14:paraId="75A8CAF7" w14:textId="77777777" w:rsidR="004D6507" w:rsidRDefault="004D6507" w:rsidP="000E4118">
      <w:pPr>
        <w:pStyle w:val="CETBodytext"/>
        <w:ind w:left="142" w:hanging="142"/>
        <w:rPr>
          <w:lang w:val="en-GB"/>
        </w:rPr>
      </w:pPr>
      <w:proofErr w:type="spellStart"/>
      <w:r w:rsidRPr="004D6507">
        <w:rPr>
          <w:lang w:val="en-GB"/>
        </w:rPr>
        <w:t>Sikorova</w:t>
      </w:r>
      <w:proofErr w:type="spellEnd"/>
      <w:r w:rsidRPr="004D6507">
        <w:rPr>
          <w:lang w:val="en-GB"/>
        </w:rPr>
        <w:t xml:space="preserve">, K. and </w:t>
      </w:r>
      <w:proofErr w:type="spellStart"/>
      <w:r w:rsidRPr="004D6507">
        <w:rPr>
          <w:lang w:val="en-GB"/>
        </w:rPr>
        <w:t>Blazkova</w:t>
      </w:r>
      <w:proofErr w:type="spellEnd"/>
      <w:r w:rsidRPr="004D6507">
        <w:rPr>
          <w:lang w:val="en-GB"/>
        </w:rPr>
        <w:t xml:space="preserve">, K. (2025) ‘NaTech accidents and their impact on environment caused by dangerous substance release from the SEVESO establishment’, </w:t>
      </w:r>
      <w:r w:rsidRPr="004D6507">
        <w:rPr>
          <w:i/>
          <w:iCs/>
          <w:lang w:val="en-GB"/>
        </w:rPr>
        <w:t>Journal of Loss Prevention in the Process Industries</w:t>
      </w:r>
      <w:r w:rsidRPr="004D6507">
        <w:rPr>
          <w:lang w:val="en-GB"/>
        </w:rPr>
        <w:t>, 96, article 105593.</w:t>
      </w:r>
    </w:p>
    <w:p w14:paraId="4514CCC0" w14:textId="744B1106" w:rsidR="004D6507" w:rsidRDefault="004D6507" w:rsidP="000E4118">
      <w:pPr>
        <w:pStyle w:val="CETBodytext"/>
        <w:ind w:left="142" w:hanging="142"/>
        <w:rPr>
          <w:lang w:val="en-GB"/>
        </w:rPr>
      </w:pPr>
      <w:proofErr w:type="spellStart"/>
      <w:r w:rsidRPr="004D6507">
        <w:rPr>
          <w:lang w:val="en-GB"/>
        </w:rPr>
        <w:t>Sikorova</w:t>
      </w:r>
      <w:proofErr w:type="spellEnd"/>
      <w:r w:rsidRPr="004D6507">
        <w:rPr>
          <w:lang w:val="en-GB"/>
        </w:rPr>
        <w:t xml:space="preserve">, K., </w:t>
      </w:r>
      <w:proofErr w:type="spellStart"/>
      <w:r w:rsidRPr="004D6507">
        <w:rPr>
          <w:lang w:val="en-GB"/>
        </w:rPr>
        <w:t>Blazkova</w:t>
      </w:r>
      <w:proofErr w:type="spellEnd"/>
      <w:r w:rsidRPr="004D6507">
        <w:rPr>
          <w:lang w:val="en-GB"/>
        </w:rPr>
        <w:t xml:space="preserve">, K. and Nedelka, T. (2025) ‘Preparedness of SEVESO establishment for NaTech accident: lessons learned from floods in 2024’, </w:t>
      </w:r>
      <w:r w:rsidRPr="004D6507">
        <w:rPr>
          <w:i/>
          <w:iCs/>
          <w:lang w:val="en-GB"/>
        </w:rPr>
        <w:t>Proceedings of the 35th European Safety and Reliability &amp; the 33rd Society for Risk Analysis Europe Conference</w:t>
      </w:r>
      <w:r w:rsidRPr="004D6507">
        <w:rPr>
          <w:lang w:val="en-GB"/>
        </w:rPr>
        <w:t>.</w:t>
      </w:r>
    </w:p>
    <w:p w14:paraId="6A701BCB" w14:textId="77777777" w:rsidR="004D6507" w:rsidRDefault="004D6507" w:rsidP="000E4118">
      <w:pPr>
        <w:pStyle w:val="CETBodytext"/>
        <w:ind w:left="142" w:hanging="142"/>
        <w:rPr>
          <w:lang w:val="en-GB"/>
        </w:rPr>
      </w:pPr>
      <w:r w:rsidRPr="004D6507">
        <w:rPr>
          <w:lang w:val="en-GB"/>
        </w:rPr>
        <w:t xml:space="preserve">Sun, H., Wu, Z. and Tong, R. (2025) ‘Industrial accidents triggered by flood events: lessons learned from case studies’, </w:t>
      </w:r>
      <w:r w:rsidRPr="004D6507">
        <w:rPr>
          <w:i/>
          <w:iCs/>
          <w:lang w:val="en-GB"/>
        </w:rPr>
        <w:t>Journal of Loss Prevention in the Process Industries</w:t>
      </w:r>
      <w:r w:rsidRPr="004D6507">
        <w:rPr>
          <w:lang w:val="en-GB"/>
        </w:rPr>
        <w:t>, article 105667.</w:t>
      </w:r>
    </w:p>
    <w:p w14:paraId="2B526200" w14:textId="0AB9ECC7" w:rsidR="00A04BAC" w:rsidRPr="00135825" w:rsidRDefault="004D6507" w:rsidP="004D6507">
      <w:pPr>
        <w:pStyle w:val="CETBodytext"/>
        <w:ind w:left="142" w:hanging="142"/>
        <w:rPr>
          <w:lang w:val="en-GB"/>
        </w:rPr>
      </w:pPr>
      <w:r w:rsidRPr="004D6507">
        <w:rPr>
          <w:lang w:val="en-GB"/>
        </w:rPr>
        <w:t xml:space="preserve">Tang, X., Luo, X., Di, B. and Tian, B. (2026) ‘Public risk perception and </w:t>
      </w:r>
      <w:proofErr w:type="spellStart"/>
      <w:r w:rsidRPr="004D6507">
        <w:rPr>
          <w:lang w:val="en-GB"/>
        </w:rPr>
        <w:t>behavioral</w:t>
      </w:r>
      <w:proofErr w:type="spellEnd"/>
      <w:r w:rsidRPr="004D6507">
        <w:rPr>
          <w:lang w:val="en-GB"/>
        </w:rPr>
        <w:t xml:space="preserve"> responses to flood-triggered NaTech events: a field investigation in industrial areas of </w:t>
      </w:r>
      <w:proofErr w:type="spellStart"/>
      <w:r w:rsidRPr="004D6507">
        <w:rPr>
          <w:lang w:val="en-GB"/>
        </w:rPr>
        <w:t>Luzhou</w:t>
      </w:r>
      <w:proofErr w:type="spellEnd"/>
      <w:r w:rsidRPr="004D6507">
        <w:rPr>
          <w:lang w:val="en-GB"/>
        </w:rPr>
        <w:t xml:space="preserve">, China’, </w:t>
      </w:r>
      <w:r w:rsidRPr="004D6507">
        <w:rPr>
          <w:i/>
          <w:iCs/>
          <w:lang w:val="en-GB"/>
        </w:rPr>
        <w:t>Journal of Loss Prevention in the Process Industries</w:t>
      </w:r>
      <w:r w:rsidRPr="004D6507">
        <w:rPr>
          <w:lang w:val="en-GB"/>
        </w:rPr>
        <w:t xml:space="preserve">, </w:t>
      </w:r>
      <w:r w:rsidR="0010528B">
        <w:rPr>
          <w:lang w:val="en-GB"/>
        </w:rPr>
        <w:t xml:space="preserve">100, </w:t>
      </w:r>
      <w:r w:rsidRPr="004D6507">
        <w:rPr>
          <w:lang w:val="en-GB"/>
        </w:rPr>
        <w:t>article 105914.</w:t>
      </w:r>
    </w:p>
    <w:sectPr w:rsidR="00A04BAC" w:rsidRPr="00135825"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9B50E" w14:textId="77777777" w:rsidR="00530A22" w:rsidRDefault="00530A22" w:rsidP="004F5E36">
      <w:r>
        <w:separator/>
      </w:r>
    </w:p>
  </w:endnote>
  <w:endnote w:type="continuationSeparator" w:id="0">
    <w:p w14:paraId="12074D24" w14:textId="77777777" w:rsidR="00530A22" w:rsidRDefault="00530A2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5399D" w14:textId="77777777" w:rsidR="00530A22" w:rsidRDefault="00530A22" w:rsidP="004F5E36">
      <w:r>
        <w:separator/>
      </w:r>
    </w:p>
  </w:footnote>
  <w:footnote w:type="continuationSeparator" w:id="0">
    <w:p w14:paraId="541C6198" w14:textId="77777777" w:rsidR="00530A22" w:rsidRDefault="00530A2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C2C2BE1"/>
    <w:multiLevelType w:val="hybridMultilevel"/>
    <w:tmpl w:val="052A6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C7E3320"/>
    <w:multiLevelType w:val="hybridMultilevel"/>
    <w:tmpl w:val="422AB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676887823">
    <w:abstractNumId w:val="21"/>
  </w:num>
  <w:num w:numId="24" w16cid:durableId="8748544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3E1"/>
    <w:rsid w:val="000027C0"/>
    <w:rsid w:val="00003F35"/>
    <w:rsid w:val="000052FB"/>
    <w:rsid w:val="00005884"/>
    <w:rsid w:val="00005A19"/>
    <w:rsid w:val="000117CB"/>
    <w:rsid w:val="00012ED3"/>
    <w:rsid w:val="00021E5E"/>
    <w:rsid w:val="00026B55"/>
    <w:rsid w:val="0003148D"/>
    <w:rsid w:val="00031EEC"/>
    <w:rsid w:val="00031FC2"/>
    <w:rsid w:val="00051566"/>
    <w:rsid w:val="000562A9"/>
    <w:rsid w:val="00056816"/>
    <w:rsid w:val="00062A9A"/>
    <w:rsid w:val="0006315C"/>
    <w:rsid w:val="00063F33"/>
    <w:rsid w:val="0006452C"/>
    <w:rsid w:val="00065058"/>
    <w:rsid w:val="000744A4"/>
    <w:rsid w:val="00074846"/>
    <w:rsid w:val="00082FBB"/>
    <w:rsid w:val="00086C39"/>
    <w:rsid w:val="00087ADE"/>
    <w:rsid w:val="0009068F"/>
    <w:rsid w:val="00097850"/>
    <w:rsid w:val="000A03B2"/>
    <w:rsid w:val="000B4252"/>
    <w:rsid w:val="000B5894"/>
    <w:rsid w:val="000B611C"/>
    <w:rsid w:val="000D0268"/>
    <w:rsid w:val="000D34BE"/>
    <w:rsid w:val="000E102F"/>
    <w:rsid w:val="000E36F1"/>
    <w:rsid w:val="000E3A73"/>
    <w:rsid w:val="000E3DE4"/>
    <w:rsid w:val="000E4118"/>
    <w:rsid w:val="000E414A"/>
    <w:rsid w:val="000E75FD"/>
    <w:rsid w:val="000F093C"/>
    <w:rsid w:val="000F1BFE"/>
    <w:rsid w:val="000F32C5"/>
    <w:rsid w:val="000F787B"/>
    <w:rsid w:val="0010528B"/>
    <w:rsid w:val="0010571A"/>
    <w:rsid w:val="001155FE"/>
    <w:rsid w:val="00117067"/>
    <w:rsid w:val="0012091F"/>
    <w:rsid w:val="0012376A"/>
    <w:rsid w:val="00123C08"/>
    <w:rsid w:val="00124AAD"/>
    <w:rsid w:val="00124AB3"/>
    <w:rsid w:val="00126BC2"/>
    <w:rsid w:val="001308B6"/>
    <w:rsid w:val="0013121F"/>
    <w:rsid w:val="00131FE6"/>
    <w:rsid w:val="0013263F"/>
    <w:rsid w:val="00132BC0"/>
    <w:rsid w:val="001331DF"/>
    <w:rsid w:val="00134DE4"/>
    <w:rsid w:val="00134ECB"/>
    <w:rsid w:val="00135825"/>
    <w:rsid w:val="0014034D"/>
    <w:rsid w:val="00140FE3"/>
    <w:rsid w:val="00141403"/>
    <w:rsid w:val="00144D16"/>
    <w:rsid w:val="00150E59"/>
    <w:rsid w:val="00151626"/>
    <w:rsid w:val="00152DE3"/>
    <w:rsid w:val="00164CF9"/>
    <w:rsid w:val="001667A6"/>
    <w:rsid w:val="001764B6"/>
    <w:rsid w:val="00184AD6"/>
    <w:rsid w:val="001A4AF7"/>
    <w:rsid w:val="001A7057"/>
    <w:rsid w:val="001B0349"/>
    <w:rsid w:val="001B1E93"/>
    <w:rsid w:val="001B2D32"/>
    <w:rsid w:val="001B4FDA"/>
    <w:rsid w:val="001B55F7"/>
    <w:rsid w:val="001B61A7"/>
    <w:rsid w:val="001B65C1"/>
    <w:rsid w:val="001C260F"/>
    <w:rsid w:val="001C3188"/>
    <w:rsid w:val="001C33F1"/>
    <w:rsid w:val="001C684B"/>
    <w:rsid w:val="001C713E"/>
    <w:rsid w:val="001C78C3"/>
    <w:rsid w:val="001D0CFB"/>
    <w:rsid w:val="001D21AF"/>
    <w:rsid w:val="001D409D"/>
    <w:rsid w:val="001D4BC7"/>
    <w:rsid w:val="001D53FC"/>
    <w:rsid w:val="001E58F7"/>
    <w:rsid w:val="001F42A5"/>
    <w:rsid w:val="001F7B9D"/>
    <w:rsid w:val="00201C93"/>
    <w:rsid w:val="00201EE0"/>
    <w:rsid w:val="002047DB"/>
    <w:rsid w:val="002224B4"/>
    <w:rsid w:val="0022461E"/>
    <w:rsid w:val="0023019F"/>
    <w:rsid w:val="00231D91"/>
    <w:rsid w:val="00242048"/>
    <w:rsid w:val="002442B8"/>
    <w:rsid w:val="00244750"/>
    <w:rsid w:val="002447EF"/>
    <w:rsid w:val="0024613E"/>
    <w:rsid w:val="0024707F"/>
    <w:rsid w:val="00251550"/>
    <w:rsid w:val="002520FB"/>
    <w:rsid w:val="00256B3D"/>
    <w:rsid w:val="002612BE"/>
    <w:rsid w:val="00263B05"/>
    <w:rsid w:val="00265E09"/>
    <w:rsid w:val="00270B44"/>
    <w:rsid w:val="0027221A"/>
    <w:rsid w:val="00275B61"/>
    <w:rsid w:val="00280FAF"/>
    <w:rsid w:val="00282656"/>
    <w:rsid w:val="00295E5B"/>
    <w:rsid w:val="002965C9"/>
    <w:rsid w:val="00296B83"/>
    <w:rsid w:val="002A1711"/>
    <w:rsid w:val="002A1B28"/>
    <w:rsid w:val="002B4015"/>
    <w:rsid w:val="002B78CE"/>
    <w:rsid w:val="002C10DA"/>
    <w:rsid w:val="002C1859"/>
    <w:rsid w:val="002C2FB6"/>
    <w:rsid w:val="002C39CD"/>
    <w:rsid w:val="002E4D54"/>
    <w:rsid w:val="002E5FA7"/>
    <w:rsid w:val="002F3309"/>
    <w:rsid w:val="003008CE"/>
    <w:rsid w:val="003009B7"/>
    <w:rsid w:val="00300E56"/>
    <w:rsid w:val="0030152C"/>
    <w:rsid w:val="00302C5B"/>
    <w:rsid w:val="0030469C"/>
    <w:rsid w:val="00310E54"/>
    <w:rsid w:val="00321CA6"/>
    <w:rsid w:val="00323763"/>
    <w:rsid w:val="00323C5F"/>
    <w:rsid w:val="0033258D"/>
    <w:rsid w:val="00334C09"/>
    <w:rsid w:val="00347AA7"/>
    <w:rsid w:val="00353D12"/>
    <w:rsid w:val="00354FD3"/>
    <w:rsid w:val="003634C7"/>
    <w:rsid w:val="0036654D"/>
    <w:rsid w:val="003704BE"/>
    <w:rsid w:val="003723D4"/>
    <w:rsid w:val="00381905"/>
    <w:rsid w:val="00384CC8"/>
    <w:rsid w:val="003854E7"/>
    <w:rsid w:val="003871FD"/>
    <w:rsid w:val="00390599"/>
    <w:rsid w:val="003929EB"/>
    <w:rsid w:val="00392AD7"/>
    <w:rsid w:val="003A1E30"/>
    <w:rsid w:val="003A2829"/>
    <w:rsid w:val="003A7D1C"/>
    <w:rsid w:val="003B0EB7"/>
    <w:rsid w:val="003B304B"/>
    <w:rsid w:val="003B3146"/>
    <w:rsid w:val="003B5D1D"/>
    <w:rsid w:val="003D02D3"/>
    <w:rsid w:val="003D1E02"/>
    <w:rsid w:val="003D270A"/>
    <w:rsid w:val="003D3196"/>
    <w:rsid w:val="003F015E"/>
    <w:rsid w:val="00400414"/>
    <w:rsid w:val="0041446B"/>
    <w:rsid w:val="00433122"/>
    <w:rsid w:val="004367B0"/>
    <w:rsid w:val="0044071E"/>
    <w:rsid w:val="00441022"/>
    <w:rsid w:val="0044329C"/>
    <w:rsid w:val="00443A0F"/>
    <w:rsid w:val="004448ED"/>
    <w:rsid w:val="00447BE9"/>
    <w:rsid w:val="00451FEE"/>
    <w:rsid w:val="00453E24"/>
    <w:rsid w:val="00457456"/>
    <w:rsid w:val="004577FE"/>
    <w:rsid w:val="00457B9C"/>
    <w:rsid w:val="0046164A"/>
    <w:rsid w:val="0046186C"/>
    <w:rsid w:val="004628D2"/>
    <w:rsid w:val="00462DCD"/>
    <w:rsid w:val="004648AD"/>
    <w:rsid w:val="004703A9"/>
    <w:rsid w:val="004760DE"/>
    <w:rsid w:val="004763D7"/>
    <w:rsid w:val="00482773"/>
    <w:rsid w:val="0049052F"/>
    <w:rsid w:val="00491904"/>
    <w:rsid w:val="004A004E"/>
    <w:rsid w:val="004A01B9"/>
    <w:rsid w:val="004A24CF"/>
    <w:rsid w:val="004A3503"/>
    <w:rsid w:val="004A5E57"/>
    <w:rsid w:val="004B0E97"/>
    <w:rsid w:val="004B37AA"/>
    <w:rsid w:val="004B45D5"/>
    <w:rsid w:val="004B68E5"/>
    <w:rsid w:val="004C194F"/>
    <w:rsid w:val="004C3D1D"/>
    <w:rsid w:val="004C3D84"/>
    <w:rsid w:val="004C7913"/>
    <w:rsid w:val="004C7F0D"/>
    <w:rsid w:val="004D20B8"/>
    <w:rsid w:val="004D3F19"/>
    <w:rsid w:val="004D5804"/>
    <w:rsid w:val="004D6507"/>
    <w:rsid w:val="004E1B56"/>
    <w:rsid w:val="004E3220"/>
    <w:rsid w:val="004E4DD6"/>
    <w:rsid w:val="004F02E0"/>
    <w:rsid w:val="004F2751"/>
    <w:rsid w:val="004F5E36"/>
    <w:rsid w:val="004F6F2A"/>
    <w:rsid w:val="00505837"/>
    <w:rsid w:val="00507B47"/>
    <w:rsid w:val="00507BEF"/>
    <w:rsid w:val="00507CC9"/>
    <w:rsid w:val="005119A5"/>
    <w:rsid w:val="0051737E"/>
    <w:rsid w:val="005277D6"/>
    <w:rsid w:val="005278B7"/>
    <w:rsid w:val="00530A22"/>
    <w:rsid w:val="00532016"/>
    <w:rsid w:val="00532F3A"/>
    <w:rsid w:val="005346C8"/>
    <w:rsid w:val="00543E7D"/>
    <w:rsid w:val="00547A68"/>
    <w:rsid w:val="005531C9"/>
    <w:rsid w:val="005651F5"/>
    <w:rsid w:val="00570C43"/>
    <w:rsid w:val="0057133F"/>
    <w:rsid w:val="00591538"/>
    <w:rsid w:val="00592274"/>
    <w:rsid w:val="00594EC9"/>
    <w:rsid w:val="005A23EB"/>
    <w:rsid w:val="005A50B9"/>
    <w:rsid w:val="005B2110"/>
    <w:rsid w:val="005B61E6"/>
    <w:rsid w:val="005B7BB7"/>
    <w:rsid w:val="005C104F"/>
    <w:rsid w:val="005C77E1"/>
    <w:rsid w:val="005C7B48"/>
    <w:rsid w:val="005D4FAD"/>
    <w:rsid w:val="005D668A"/>
    <w:rsid w:val="005D6A2F"/>
    <w:rsid w:val="005E0592"/>
    <w:rsid w:val="005E1A82"/>
    <w:rsid w:val="005E794C"/>
    <w:rsid w:val="005F0A28"/>
    <w:rsid w:val="005F0E5E"/>
    <w:rsid w:val="005F2F85"/>
    <w:rsid w:val="00600535"/>
    <w:rsid w:val="00610CD6"/>
    <w:rsid w:val="00616224"/>
    <w:rsid w:val="00620DEE"/>
    <w:rsid w:val="00621F92"/>
    <w:rsid w:val="0062280A"/>
    <w:rsid w:val="006231E1"/>
    <w:rsid w:val="00625639"/>
    <w:rsid w:val="00627CE1"/>
    <w:rsid w:val="00631AB0"/>
    <w:rsid w:val="00631B33"/>
    <w:rsid w:val="0063342C"/>
    <w:rsid w:val="00637335"/>
    <w:rsid w:val="006402AC"/>
    <w:rsid w:val="0064184D"/>
    <w:rsid w:val="006422CC"/>
    <w:rsid w:val="00643AEB"/>
    <w:rsid w:val="006441B8"/>
    <w:rsid w:val="00651D18"/>
    <w:rsid w:val="00660E3E"/>
    <w:rsid w:val="00662E74"/>
    <w:rsid w:val="00680C23"/>
    <w:rsid w:val="00683E23"/>
    <w:rsid w:val="00693766"/>
    <w:rsid w:val="00695930"/>
    <w:rsid w:val="006970BA"/>
    <w:rsid w:val="006A3281"/>
    <w:rsid w:val="006A5FC2"/>
    <w:rsid w:val="006A7617"/>
    <w:rsid w:val="006B084E"/>
    <w:rsid w:val="006B4888"/>
    <w:rsid w:val="006B579B"/>
    <w:rsid w:val="006B7663"/>
    <w:rsid w:val="006C2E45"/>
    <w:rsid w:val="006C359C"/>
    <w:rsid w:val="006C5579"/>
    <w:rsid w:val="006D0369"/>
    <w:rsid w:val="006D2BFC"/>
    <w:rsid w:val="006D6E8B"/>
    <w:rsid w:val="006D7209"/>
    <w:rsid w:val="006E07A9"/>
    <w:rsid w:val="006E30A3"/>
    <w:rsid w:val="006E737D"/>
    <w:rsid w:val="006F6BC6"/>
    <w:rsid w:val="00701EBD"/>
    <w:rsid w:val="00703EC6"/>
    <w:rsid w:val="00705E89"/>
    <w:rsid w:val="007076E4"/>
    <w:rsid w:val="00707DD1"/>
    <w:rsid w:val="00713973"/>
    <w:rsid w:val="007167CD"/>
    <w:rsid w:val="00720A24"/>
    <w:rsid w:val="00732386"/>
    <w:rsid w:val="007334A1"/>
    <w:rsid w:val="007340BF"/>
    <w:rsid w:val="0073514D"/>
    <w:rsid w:val="00740276"/>
    <w:rsid w:val="007447F3"/>
    <w:rsid w:val="007472FE"/>
    <w:rsid w:val="00752887"/>
    <w:rsid w:val="0075499F"/>
    <w:rsid w:val="007577C1"/>
    <w:rsid w:val="007617CC"/>
    <w:rsid w:val="007661C8"/>
    <w:rsid w:val="0077098D"/>
    <w:rsid w:val="00772AED"/>
    <w:rsid w:val="0077329B"/>
    <w:rsid w:val="00777E66"/>
    <w:rsid w:val="00785BF9"/>
    <w:rsid w:val="0078783E"/>
    <w:rsid w:val="007931FA"/>
    <w:rsid w:val="007A34E8"/>
    <w:rsid w:val="007A3889"/>
    <w:rsid w:val="007A4861"/>
    <w:rsid w:val="007A6DF8"/>
    <w:rsid w:val="007A7BBA"/>
    <w:rsid w:val="007B0C50"/>
    <w:rsid w:val="007B48F9"/>
    <w:rsid w:val="007C190B"/>
    <w:rsid w:val="007C1A43"/>
    <w:rsid w:val="007C4176"/>
    <w:rsid w:val="007D0951"/>
    <w:rsid w:val="007E18E8"/>
    <w:rsid w:val="007F27C8"/>
    <w:rsid w:val="007F5F1C"/>
    <w:rsid w:val="0080013E"/>
    <w:rsid w:val="008024D9"/>
    <w:rsid w:val="00806940"/>
    <w:rsid w:val="00813288"/>
    <w:rsid w:val="008168FC"/>
    <w:rsid w:val="0082083F"/>
    <w:rsid w:val="0082732D"/>
    <w:rsid w:val="00830996"/>
    <w:rsid w:val="008314D7"/>
    <w:rsid w:val="008322E2"/>
    <w:rsid w:val="00832F1D"/>
    <w:rsid w:val="008345F1"/>
    <w:rsid w:val="00834A37"/>
    <w:rsid w:val="00834EC7"/>
    <w:rsid w:val="00842DAF"/>
    <w:rsid w:val="00850506"/>
    <w:rsid w:val="00865B07"/>
    <w:rsid w:val="008664AA"/>
    <w:rsid w:val="008667EA"/>
    <w:rsid w:val="008731FD"/>
    <w:rsid w:val="0087637F"/>
    <w:rsid w:val="00881EE6"/>
    <w:rsid w:val="00887102"/>
    <w:rsid w:val="00892AD5"/>
    <w:rsid w:val="00894B18"/>
    <w:rsid w:val="0089662B"/>
    <w:rsid w:val="008A1512"/>
    <w:rsid w:val="008A595C"/>
    <w:rsid w:val="008B3C5A"/>
    <w:rsid w:val="008C777C"/>
    <w:rsid w:val="008D0D67"/>
    <w:rsid w:val="008D11B0"/>
    <w:rsid w:val="008D1870"/>
    <w:rsid w:val="008D1D8A"/>
    <w:rsid w:val="008D32B9"/>
    <w:rsid w:val="008D433B"/>
    <w:rsid w:val="008D4A16"/>
    <w:rsid w:val="008E209A"/>
    <w:rsid w:val="008E45BC"/>
    <w:rsid w:val="008E566E"/>
    <w:rsid w:val="008F3CB0"/>
    <w:rsid w:val="009004C4"/>
    <w:rsid w:val="0090161A"/>
    <w:rsid w:val="00901EB6"/>
    <w:rsid w:val="009041F8"/>
    <w:rsid w:val="00904A02"/>
    <w:rsid w:val="00904C62"/>
    <w:rsid w:val="0092180F"/>
    <w:rsid w:val="00922BA8"/>
    <w:rsid w:val="00924DAC"/>
    <w:rsid w:val="00927058"/>
    <w:rsid w:val="0093539A"/>
    <w:rsid w:val="009355DA"/>
    <w:rsid w:val="00942584"/>
    <w:rsid w:val="00942750"/>
    <w:rsid w:val="009450CE"/>
    <w:rsid w:val="009450F5"/>
    <w:rsid w:val="009459BB"/>
    <w:rsid w:val="00945F17"/>
    <w:rsid w:val="00947179"/>
    <w:rsid w:val="00950244"/>
    <w:rsid w:val="0095164B"/>
    <w:rsid w:val="00954090"/>
    <w:rsid w:val="00955227"/>
    <w:rsid w:val="009573E7"/>
    <w:rsid w:val="0095797B"/>
    <w:rsid w:val="00963E05"/>
    <w:rsid w:val="00964A45"/>
    <w:rsid w:val="00967843"/>
    <w:rsid w:val="00967D54"/>
    <w:rsid w:val="00971028"/>
    <w:rsid w:val="00983736"/>
    <w:rsid w:val="00986A1C"/>
    <w:rsid w:val="009910BC"/>
    <w:rsid w:val="00993B84"/>
    <w:rsid w:val="00996483"/>
    <w:rsid w:val="00996F5A"/>
    <w:rsid w:val="009A1FE2"/>
    <w:rsid w:val="009A255E"/>
    <w:rsid w:val="009A6196"/>
    <w:rsid w:val="009A61C8"/>
    <w:rsid w:val="009B041A"/>
    <w:rsid w:val="009B4C1E"/>
    <w:rsid w:val="009C0695"/>
    <w:rsid w:val="009C0B1C"/>
    <w:rsid w:val="009C37C3"/>
    <w:rsid w:val="009C7C86"/>
    <w:rsid w:val="009D2FF7"/>
    <w:rsid w:val="009D624A"/>
    <w:rsid w:val="009E6732"/>
    <w:rsid w:val="009E7884"/>
    <w:rsid w:val="009E788A"/>
    <w:rsid w:val="009F0E08"/>
    <w:rsid w:val="009F479F"/>
    <w:rsid w:val="00A04BAC"/>
    <w:rsid w:val="00A079AE"/>
    <w:rsid w:val="00A1763D"/>
    <w:rsid w:val="00A17CEC"/>
    <w:rsid w:val="00A24A79"/>
    <w:rsid w:val="00A26CBB"/>
    <w:rsid w:val="00A27EAA"/>
    <w:rsid w:val="00A27EF0"/>
    <w:rsid w:val="00A314B9"/>
    <w:rsid w:val="00A359C3"/>
    <w:rsid w:val="00A35B0E"/>
    <w:rsid w:val="00A37F9A"/>
    <w:rsid w:val="00A42361"/>
    <w:rsid w:val="00A46C7B"/>
    <w:rsid w:val="00A50B20"/>
    <w:rsid w:val="00A51390"/>
    <w:rsid w:val="00A5457D"/>
    <w:rsid w:val="00A6057B"/>
    <w:rsid w:val="00A60D13"/>
    <w:rsid w:val="00A7223D"/>
    <w:rsid w:val="00A72745"/>
    <w:rsid w:val="00A76EFC"/>
    <w:rsid w:val="00A83D8F"/>
    <w:rsid w:val="00A87D50"/>
    <w:rsid w:val="00A90C54"/>
    <w:rsid w:val="00A91010"/>
    <w:rsid w:val="00A973F9"/>
    <w:rsid w:val="00A97F29"/>
    <w:rsid w:val="00AA23FD"/>
    <w:rsid w:val="00AA3101"/>
    <w:rsid w:val="00AA702E"/>
    <w:rsid w:val="00AA7D26"/>
    <w:rsid w:val="00AB0964"/>
    <w:rsid w:val="00AB5011"/>
    <w:rsid w:val="00AC4671"/>
    <w:rsid w:val="00AC502E"/>
    <w:rsid w:val="00AC7368"/>
    <w:rsid w:val="00AD0278"/>
    <w:rsid w:val="00AD1075"/>
    <w:rsid w:val="00AD16B9"/>
    <w:rsid w:val="00AE087B"/>
    <w:rsid w:val="00AE377D"/>
    <w:rsid w:val="00AE5A8C"/>
    <w:rsid w:val="00AF04AA"/>
    <w:rsid w:val="00AF0EBA"/>
    <w:rsid w:val="00B01FA1"/>
    <w:rsid w:val="00B02C8A"/>
    <w:rsid w:val="00B049CF"/>
    <w:rsid w:val="00B11655"/>
    <w:rsid w:val="00B17FBD"/>
    <w:rsid w:val="00B23B3E"/>
    <w:rsid w:val="00B23FBC"/>
    <w:rsid w:val="00B315A6"/>
    <w:rsid w:val="00B31813"/>
    <w:rsid w:val="00B33365"/>
    <w:rsid w:val="00B33444"/>
    <w:rsid w:val="00B4412C"/>
    <w:rsid w:val="00B57B36"/>
    <w:rsid w:val="00B57E6F"/>
    <w:rsid w:val="00B7033E"/>
    <w:rsid w:val="00B840A1"/>
    <w:rsid w:val="00B8686D"/>
    <w:rsid w:val="00B93F69"/>
    <w:rsid w:val="00B9578F"/>
    <w:rsid w:val="00B97BE3"/>
    <w:rsid w:val="00BA4F7C"/>
    <w:rsid w:val="00BB1DDC"/>
    <w:rsid w:val="00BC0F15"/>
    <w:rsid w:val="00BC30C9"/>
    <w:rsid w:val="00BC57E8"/>
    <w:rsid w:val="00BD077D"/>
    <w:rsid w:val="00BD4DED"/>
    <w:rsid w:val="00BE025F"/>
    <w:rsid w:val="00BE3E58"/>
    <w:rsid w:val="00BE5F73"/>
    <w:rsid w:val="00BF4B39"/>
    <w:rsid w:val="00BF4EAB"/>
    <w:rsid w:val="00C01616"/>
    <w:rsid w:val="00C0162B"/>
    <w:rsid w:val="00C043BF"/>
    <w:rsid w:val="00C068ED"/>
    <w:rsid w:val="00C07D0D"/>
    <w:rsid w:val="00C14048"/>
    <w:rsid w:val="00C16ADD"/>
    <w:rsid w:val="00C208E9"/>
    <w:rsid w:val="00C22E0C"/>
    <w:rsid w:val="00C252C4"/>
    <w:rsid w:val="00C278AD"/>
    <w:rsid w:val="00C27ECB"/>
    <w:rsid w:val="00C345B1"/>
    <w:rsid w:val="00C40142"/>
    <w:rsid w:val="00C433EF"/>
    <w:rsid w:val="00C439E5"/>
    <w:rsid w:val="00C45ED8"/>
    <w:rsid w:val="00C52C3C"/>
    <w:rsid w:val="00C53B79"/>
    <w:rsid w:val="00C53CD7"/>
    <w:rsid w:val="00C57182"/>
    <w:rsid w:val="00C574E2"/>
    <w:rsid w:val="00C57863"/>
    <w:rsid w:val="00C640AF"/>
    <w:rsid w:val="00C655FD"/>
    <w:rsid w:val="00C72E0E"/>
    <w:rsid w:val="00C75407"/>
    <w:rsid w:val="00C841C6"/>
    <w:rsid w:val="00C870A8"/>
    <w:rsid w:val="00C94434"/>
    <w:rsid w:val="00C965AC"/>
    <w:rsid w:val="00C96EC9"/>
    <w:rsid w:val="00C97CD8"/>
    <w:rsid w:val="00CA0D75"/>
    <w:rsid w:val="00CA1C95"/>
    <w:rsid w:val="00CA2B5F"/>
    <w:rsid w:val="00CA397E"/>
    <w:rsid w:val="00CA5A9C"/>
    <w:rsid w:val="00CC36E5"/>
    <w:rsid w:val="00CC4C20"/>
    <w:rsid w:val="00CD3517"/>
    <w:rsid w:val="00CD5FE2"/>
    <w:rsid w:val="00CE2DA9"/>
    <w:rsid w:val="00CE4016"/>
    <w:rsid w:val="00CE7C68"/>
    <w:rsid w:val="00D02B4C"/>
    <w:rsid w:val="00D040C4"/>
    <w:rsid w:val="00D10049"/>
    <w:rsid w:val="00D17E8A"/>
    <w:rsid w:val="00D20AD1"/>
    <w:rsid w:val="00D22049"/>
    <w:rsid w:val="00D2582C"/>
    <w:rsid w:val="00D25CAA"/>
    <w:rsid w:val="00D30AE3"/>
    <w:rsid w:val="00D31BAF"/>
    <w:rsid w:val="00D323F1"/>
    <w:rsid w:val="00D345E1"/>
    <w:rsid w:val="00D35F41"/>
    <w:rsid w:val="00D45BA8"/>
    <w:rsid w:val="00D46B7E"/>
    <w:rsid w:val="00D470A8"/>
    <w:rsid w:val="00D57C84"/>
    <w:rsid w:val="00D6057D"/>
    <w:rsid w:val="00D60F0C"/>
    <w:rsid w:val="00D67B93"/>
    <w:rsid w:val="00D71640"/>
    <w:rsid w:val="00D72A92"/>
    <w:rsid w:val="00D7599B"/>
    <w:rsid w:val="00D836C5"/>
    <w:rsid w:val="00D84576"/>
    <w:rsid w:val="00D9363C"/>
    <w:rsid w:val="00D938C8"/>
    <w:rsid w:val="00DA1399"/>
    <w:rsid w:val="00DA19A2"/>
    <w:rsid w:val="00DA24C6"/>
    <w:rsid w:val="00DA37B6"/>
    <w:rsid w:val="00DA4D7B"/>
    <w:rsid w:val="00DB203A"/>
    <w:rsid w:val="00DC6728"/>
    <w:rsid w:val="00DD271C"/>
    <w:rsid w:val="00DD7564"/>
    <w:rsid w:val="00DE264A"/>
    <w:rsid w:val="00DE3263"/>
    <w:rsid w:val="00DE7D20"/>
    <w:rsid w:val="00DF5072"/>
    <w:rsid w:val="00DF7D7D"/>
    <w:rsid w:val="00E02D18"/>
    <w:rsid w:val="00E041E7"/>
    <w:rsid w:val="00E05301"/>
    <w:rsid w:val="00E15656"/>
    <w:rsid w:val="00E1655C"/>
    <w:rsid w:val="00E20F84"/>
    <w:rsid w:val="00E23CA1"/>
    <w:rsid w:val="00E409A8"/>
    <w:rsid w:val="00E411B2"/>
    <w:rsid w:val="00E44F83"/>
    <w:rsid w:val="00E47D61"/>
    <w:rsid w:val="00E50C12"/>
    <w:rsid w:val="00E5357B"/>
    <w:rsid w:val="00E5590D"/>
    <w:rsid w:val="00E60559"/>
    <w:rsid w:val="00E644F6"/>
    <w:rsid w:val="00E65B91"/>
    <w:rsid w:val="00E7209D"/>
    <w:rsid w:val="00E72EAD"/>
    <w:rsid w:val="00E77223"/>
    <w:rsid w:val="00E8528B"/>
    <w:rsid w:val="00E85B94"/>
    <w:rsid w:val="00E85EEB"/>
    <w:rsid w:val="00E9094D"/>
    <w:rsid w:val="00E93B89"/>
    <w:rsid w:val="00E978D0"/>
    <w:rsid w:val="00EA4613"/>
    <w:rsid w:val="00EA7F91"/>
    <w:rsid w:val="00EB1523"/>
    <w:rsid w:val="00EC0E49"/>
    <w:rsid w:val="00EC101F"/>
    <w:rsid w:val="00EC1D9F"/>
    <w:rsid w:val="00EC51EB"/>
    <w:rsid w:val="00EC6B23"/>
    <w:rsid w:val="00EE0131"/>
    <w:rsid w:val="00EE0A0B"/>
    <w:rsid w:val="00EE17B0"/>
    <w:rsid w:val="00EF06D9"/>
    <w:rsid w:val="00EF0982"/>
    <w:rsid w:val="00EF7A10"/>
    <w:rsid w:val="00F01C7E"/>
    <w:rsid w:val="00F06698"/>
    <w:rsid w:val="00F10A14"/>
    <w:rsid w:val="00F27401"/>
    <w:rsid w:val="00F3049E"/>
    <w:rsid w:val="00F30C64"/>
    <w:rsid w:val="00F32BA2"/>
    <w:rsid w:val="00F32CDB"/>
    <w:rsid w:val="00F3348F"/>
    <w:rsid w:val="00F37280"/>
    <w:rsid w:val="00F41EE4"/>
    <w:rsid w:val="00F5596A"/>
    <w:rsid w:val="00F55FBE"/>
    <w:rsid w:val="00F565FE"/>
    <w:rsid w:val="00F63A70"/>
    <w:rsid w:val="00F63D8C"/>
    <w:rsid w:val="00F673FD"/>
    <w:rsid w:val="00F7174B"/>
    <w:rsid w:val="00F7534E"/>
    <w:rsid w:val="00F93EDF"/>
    <w:rsid w:val="00FA1802"/>
    <w:rsid w:val="00FA21D0"/>
    <w:rsid w:val="00FA5F5F"/>
    <w:rsid w:val="00FB15B8"/>
    <w:rsid w:val="00FB4359"/>
    <w:rsid w:val="00FB730C"/>
    <w:rsid w:val="00FC2695"/>
    <w:rsid w:val="00FC3E03"/>
    <w:rsid w:val="00FC3FC1"/>
    <w:rsid w:val="00FC6F1C"/>
    <w:rsid w:val="00FD1DA8"/>
    <w:rsid w:val="00FF0116"/>
    <w:rsid w:val="00FF08B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52887"/>
    <w:pPr>
      <w:keepNext/>
      <w:suppressAutoHyphens/>
      <w:spacing w:after="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52887"/>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C53B79"/>
    <w:rPr>
      <w:color w:val="605E5C"/>
      <w:shd w:val="clear" w:color="auto" w:fill="E1DFDD"/>
    </w:rPr>
  </w:style>
  <w:style w:type="character" w:styleId="Testosegnaposto">
    <w:name w:val="Placeholder Text"/>
    <w:basedOn w:val="Carpredefinitoparagrafo"/>
    <w:uiPriority w:val="99"/>
    <w:semiHidden/>
    <w:rsid w:val="00BF4EA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5d657c1-dfa9-4bc5-a0e3-aeaf8b5efd2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BACCF3A40194146A63E599998B20E65" ma:contentTypeVersion="11" ma:contentTypeDescription="Creare un nuovo documento." ma:contentTypeScope="" ma:versionID="bead6582b7314eec293eb6990015c06c">
  <xsd:schema xmlns:xsd="http://www.w3.org/2001/XMLSchema" xmlns:xs="http://www.w3.org/2001/XMLSchema" xmlns:p="http://schemas.microsoft.com/office/2006/metadata/properties" xmlns:ns3="c5d657c1-dfa9-4bc5-a0e3-aeaf8b5efd24" targetNamespace="http://schemas.microsoft.com/office/2006/metadata/properties" ma:root="true" ma:fieldsID="eb5cd19860c60b12218a4900a44597f4" ns3:_="">
    <xsd:import namespace="c5d657c1-dfa9-4bc5-a0e3-aeaf8b5efd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657c1-dfa9-4bc5-a0e3-aeaf8b5efd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0D9367-8E2D-4521-9E82-724F9BC210AE}">
  <ds:schemaRefs>
    <ds:schemaRef ds:uri="http://schemas.microsoft.com/sharepoint/v3/contenttype/forms"/>
  </ds:schemaRefs>
</ds:datastoreItem>
</file>

<file path=customXml/itemProps2.xml><?xml version="1.0" encoding="utf-8"?>
<ds:datastoreItem xmlns:ds="http://schemas.openxmlformats.org/officeDocument/2006/customXml" ds:itemID="{BA4ACEBC-D84E-4CAB-9B3A-AE7155993816}">
  <ds:schemaRefs>
    <ds:schemaRef ds:uri="http://schemas.microsoft.com/office/2006/metadata/properties"/>
    <ds:schemaRef ds:uri="http://schemas.microsoft.com/office/infopath/2007/PartnerControls"/>
    <ds:schemaRef ds:uri="c5d657c1-dfa9-4bc5-a0e3-aeaf8b5efd24"/>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3A8C84C4-6279-4DF5-B2F4-76297F373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657c1-dfa9-4bc5-a0e3-aeaf8b5ef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3680</Words>
  <Characters>24510</Characters>
  <Application>Microsoft Office Word</Application>
  <DocSecurity>0</DocSecurity>
  <Lines>500</Lines>
  <Paragraphs>180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Vitantonio Colucci, Romualdo Marrazzo</dc:creator>
  <cp:lastModifiedBy>Colucci Vitantonio</cp:lastModifiedBy>
  <cp:revision>2</cp:revision>
  <cp:lastPrinted>2026-02-20T10:20:00Z</cp:lastPrinted>
  <dcterms:created xsi:type="dcterms:W3CDTF">2026-02-22T21:40:00Z</dcterms:created>
  <dcterms:modified xsi:type="dcterms:W3CDTF">2026-02-22T21:40:00Z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0x0101003BACCF3A40194146A63E599998B20E65</vt:lpwstr>
  </property>
  <property fmtid="{D5CDD505-2E9C-101B-9397-08002B2CF9AE}" pid="5" name="GrammarlyDocumentId">
    <vt:lpwstr>5bbd1b96-6874-453b-aa24-c090afcd4607</vt:lpwstr>
  </property>
</Properties>
</file>