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B3056F4"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8F0A29">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2B9DA0FA" w:rsidR="00AA7D26" w:rsidRPr="00576CFD" w:rsidRDefault="00AA7D26" w:rsidP="00AA7D26">
            <w:pPr>
              <w:ind w:left="-107"/>
              <w:outlineLvl w:val="2"/>
              <w:rPr>
                <w:rFonts w:ascii="Tahoma" w:hAnsi="Tahoma" w:cs="Tahoma"/>
                <w:bCs/>
                <w:color w:val="000000"/>
                <w:sz w:val="14"/>
                <w:szCs w:val="14"/>
                <w:lang w:val="it-IT" w:eastAsia="it-IT"/>
              </w:rPr>
            </w:pPr>
            <w:r w:rsidRPr="00576CFD">
              <w:rPr>
                <w:rFonts w:ascii="Tahoma" w:hAnsi="Tahoma" w:cs="Tahoma"/>
                <w:iCs/>
                <w:color w:val="333333"/>
                <w:sz w:val="14"/>
                <w:szCs w:val="14"/>
                <w:lang w:val="it-IT" w:eastAsia="it-IT"/>
              </w:rPr>
              <w:t>Guest Editors:</w:t>
            </w:r>
            <w:r w:rsidRPr="00576CFD">
              <w:rPr>
                <w:rFonts w:ascii="Tahoma" w:hAnsi="Tahoma" w:cs="Tahoma"/>
                <w:color w:val="000000"/>
                <w:sz w:val="14"/>
                <w:szCs w:val="14"/>
                <w:shd w:val="clear" w:color="auto" w:fill="FFFFFF"/>
                <w:lang w:val="it-IT"/>
              </w:rPr>
              <w:t xml:space="preserve"> </w:t>
            </w:r>
            <w:r w:rsidR="008F0A29" w:rsidRPr="00576CFD">
              <w:rPr>
                <w:rFonts w:ascii="Tahoma" w:hAnsi="Tahoma" w:cs="Tahoma"/>
                <w:sz w:val="14"/>
                <w:szCs w:val="14"/>
                <w:lang w:val="it-IT"/>
              </w:rPr>
              <w:t>Valerio Cozzani, Bruno Fabiano, Genserik Reniers</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2447B48E" w:rsidR="00E978D0" w:rsidRPr="00B57B36" w:rsidRDefault="00576CFD" w:rsidP="00E978D0">
      <w:pPr>
        <w:pStyle w:val="CETTitle"/>
      </w:pPr>
      <w:r w:rsidRPr="00576CFD">
        <w:t>Hybrid mixture: implementing Hazardous Area Classification</w:t>
      </w:r>
      <w:r>
        <w:t xml:space="preserve"> (HAC)</w:t>
      </w:r>
      <w:r w:rsidRPr="00576CFD">
        <w:t xml:space="preserve"> case study</w:t>
      </w:r>
    </w:p>
    <w:p w14:paraId="0488FED2" w14:textId="2ADF66C2" w:rsidR="00B57E6F" w:rsidRPr="00576CFD" w:rsidRDefault="00576CFD" w:rsidP="00B57E6F">
      <w:pPr>
        <w:pStyle w:val="CETAuthors"/>
        <w:rPr>
          <w:lang w:val="it-IT"/>
        </w:rPr>
      </w:pPr>
      <w:r w:rsidRPr="00576CFD">
        <w:rPr>
          <w:lang w:val="it-IT"/>
        </w:rPr>
        <w:t>Aurora Lafiosca</w:t>
      </w:r>
      <w:r w:rsidR="00460518">
        <w:rPr>
          <w:vertAlign w:val="superscript"/>
          <w:lang w:val="it-IT"/>
        </w:rPr>
        <w:t>*</w:t>
      </w:r>
      <w:r w:rsidR="00B57E6F" w:rsidRPr="00576CFD">
        <w:rPr>
          <w:lang w:val="it-IT"/>
        </w:rPr>
        <w:t xml:space="preserve">, </w:t>
      </w:r>
      <w:r w:rsidRPr="00576CFD">
        <w:rPr>
          <w:lang w:val="it-IT"/>
        </w:rPr>
        <w:t>Lorenzo Pellegrini</w:t>
      </w:r>
      <w:r w:rsidR="00B57E6F" w:rsidRPr="00576CFD">
        <w:rPr>
          <w:lang w:val="it-IT"/>
        </w:rPr>
        <w:t>,</w:t>
      </w:r>
      <w:r w:rsidRPr="00576CFD">
        <w:rPr>
          <w:lang w:val="it-IT"/>
        </w:rPr>
        <w:t xml:space="preserve"> Federica Parenti, Sara Perelli</w:t>
      </w:r>
    </w:p>
    <w:p w14:paraId="344CA143" w14:textId="5775EE2D" w:rsidR="00576CFD" w:rsidRPr="006B0763" w:rsidRDefault="00460518" w:rsidP="00576CFD">
      <w:pPr>
        <w:pStyle w:val="CETAddress"/>
        <w:rPr>
          <w:lang w:val="it-IT"/>
        </w:rPr>
      </w:pPr>
      <w:r>
        <w:rPr>
          <w:vertAlign w:val="superscript"/>
          <w:lang w:val="it-IT"/>
        </w:rPr>
        <w:t>*</w:t>
      </w:r>
      <w:r w:rsidR="00576CFD" w:rsidRPr="006B0763">
        <w:rPr>
          <w:lang w:val="it-IT"/>
        </w:rPr>
        <w:t>DEKRA Italia s.r.l., Process Safety Business Unit, Via Fratelli Gracchi 27, 20122 Cinisello Balsamo (MI)</w:t>
      </w:r>
    </w:p>
    <w:p w14:paraId="7AD35F27" w14:textId="35C8D2E9" w:rsidR="00576CFD" w:rsidRPr="00B57B36" w:rsidRDefault="00576CFD" w:rsidP="00576CFD">
      <w:pPr>
        <w:pStyle w:val="CETemail"/>
      </w:pPr>
      <w:r>
        <w:rPr>
          <w:lang w:val="en-US"/>
        </w:rPr>
        <w:t>aurora.lafiosca</w:t>
      </w:r>
      <w:r w:rsidRPr="006B0763">
        <w:rPr>
          <w:lang w:val="en-US"/>
        </w:rPr>
        <w:t>@</w:t>
      </w:r>
      <w:r>
        <w:rPr>
          <w:lang w:val="en-US"/>
        </w:rPr>
        <w:t>dekra.com</w:t>
      </w:r>
    </w:p>
    <w:p w14:paraId="3670B8CF" w14:textId="68114859" w:rsidR="006017DC" w:rsidRPr="006017DC" w:rsidRDefault="006017DC" w:rsidP="006017DC">
      <w:pPr>
        <w:pStyle w:val="CETBodytext"/>
      </w:pPr>
      <w:r w:rsidRPr="006017DC">
        <w:t xml:space="preserve">In process industries involving the generation, handling, or storage of combustible dusts, hazardous area classification is a fundamental activity for assessing the risk of explosive atmosphere formation. This classification, governed by international technical standards such as IEC 60079-10-2 and NFPA 499, provides the methodological basis for implementing effective protection measures in compliance with industrial safety requirements. </w:t>
      </w:r>
    </w:p>
    <w:p w14:paraId="1D6EA68E" w14:textId="77777777" w:rsidR="006017DC" w:rsidRPr="006017DC" w:rsidRDefault="006017DC" w:rsidP="006017DC">
      <w:pPr>
        <w:pStyle w:val="CETBodytext"/>
      </w:pPr>
      <w:r w:rsidRPr="006017DC">
        <w:t xml:space="preserve">This paper analyzes complex scenarios characterized by the presence of hybrid mixtures—i.e., potentially explosive atmospheres consisting simultaneously of flammable gases/vapors and combustible dusts. In particular, it examines operating conditions in which, during the manual loading of reactors containing flammable solvents, the introduction of powders by the operator can generate hybrid mixtures with high explosive potential. </w:t>
      </w:r>
    </w:p>
    <w:p w14:paraId="38F868C2" w14:textId="77777777" w:rsidR="006017DC" w:rsidRPr="006017DC" w:rsidRDefault="006017DC" w:rsidP="006017DC">
      <w:pPr>
        <w:pStyle w:val="CETBodytext"/>
      </w:pPr>
      <w:r w:rsidRPr="006017DC">
        <w:t xml:space="preserve">Several different options will be examined and discussed, showing benefits and disadvantages for each configuration. The main parameters that will be used in the discussion will be the ones related to the flammability and ignitability of gases / vapors and combustible dusts. </w:t>
      </w:r>
    </w:p>
    <w:p w14:paraId="1F161DB5" w14:textId="2CD7A5C8" w:rsidR="006017DC" w:rsidRDefault="006017DC" w:rsidP="006017DC">
      <w:pPr>
        <w:pStyle w:val="CETBodytext"/>
      </w:pPr>
      <w:r w:rsidRPr="006017DC">
        <w:t>In conclusion, the document provides operational recommendations and technical insights aimed at mitigating explosion risks in environments characterized by high process complexity, promoting a risk management approach aligned with the principles of safety engineering.</w:t>
      </w:r>
    </w:p>
    <w:p w14:paraId="1FA8AC9C" w14:textId="77777777" w:rsidR="006017DC" w:rsidRPr="006017DC" w:rsidRDefault="006017DC" w:rsidP="006017DC">
      <w:pPr>
        <w:pStyle w:val="CETBodytext"/>
      </w:pPr>
    </w:p>
    <w:p w14:paraId="476B2F2E" w14:textId="77777777" w:rsidR="00600535" w:rsidRPr="003C2F84" w:rsidRDefault="00600535" w:rsidP="00600535">
      <w:pPr>
        <w:pStyle w:val="CETHeading1"/>
        <w:rPr>
          <w:lang w:val="en-GB"/>
        </w:rPr>
      </w:pPr>
      <w:r w:rsidRPr="003C2F84">
        <w:rPr>
          <w:lang w:val="en-GB"/>
        </w:rPr>
        <w:t>Introduction</w:t>
      </w:r>
    </w:p>
    <w:p w14:paraId="282458A4" w14:textId="7CE948D7" w:rsidR="00F477A0" w:rsidRDefault="00F477A0" w:rsidP="00341955">
      <w:pPr>
        <w:pStyle w:val="CETBodytext"/>
      </w:pPr>
      <w:bookmarkStart w:id="0" w:name="_Hlk219386363"/>
      <w:r w:rsidRPr="00547FCB">
        <w:t>This article, in addition to referencing the relent regulatory framework, is predominantly informed by D</w:t>
      </w:r>
      <w:r w:rsidR="00547FCB" w:rsidRPr="00547FCB">
        <w:t xml:space="preserve">EKRA’s </w:t>
      </w:r>
      <w:r w:rsidRPr="00547FCB">
        <w:t>consolidated field experience in the domain of Hazardous Area Classification (HAC).</w:t>
      </w:r>
      <w:r>
        <w:t xml:space="preserve"> </w:t>
      </w:r>
    </w:p>
    <w:p w14:paraId="0D170781" w14:textId="107308C6" w:rsidR="00341955" w:rsidRDefault="00341955" w:rsidP="00341955">
      <w:pPr>
        <w:pStyle w:val="CETBodytext"/>
      </w:pPr>
      <w:r>
        <w:t>The process industries have progressively developed a heightened awareness of the hazards associated with the formation of explosive atmospheres. A series of major incidents, extensively investigated by organizations such as the Chemical Safety Board (CSB)</w:t>
      </w:r>
      <w:r w:rsidR="004B6AD1">
        <w:t xml:space="preserve"> (Perelli, 2023)</w:t>
      </w:r>
      <w:r>
        <w:t xml:space="preserve">, has demonstrated that the accidental dispersion of combustible dusts </w:t>
      </w:r>
      <w:r w:rsidR="008356EB">
        <w:t xml:space="preserve">and flammable gases/vapours </w:t>
      </w:r>
      <w:r>
        <w:t>within industrial environments can initiate severe explosion events, resulting in significant loss of life, extensive damage to equipment and infrastructure, and substantial economic consequences. These events have acted as a catalyst for both regulatory and technical communities, prompting the refinement of standards and guidelines aimed at improving the assessment and management of explosion risks.</w:t>
      </w:r>
    </w:p>
    <w:p w14:paraId="41CC252C" w14:textId="4D0F8AC0" w:rsidR="00341955" w:rsidRPr="00341955" w:rsidRDefault="00341955" w:rsidP="00341955">
      <w:pPr>
        <w:pStyle w:val="CETBodytext"/>
      </w:pPr>
      <w:r>
        <w:t>Concurrently, the increasing complexity of modern industrial operations has led to the emergence of scenarios in which substances belonging to different hazard classes coexist. Among these, hybrid mixtures—explosive atmospheres comprising both flammable gases or vapours and combustible dusts—represent a particularly critical condition. Although hybrid mixtures have long been recognized within the scientific and technical literature, their practical management remains challenging, as they often exhibit ignition sensitivities and explosion dynamics that are more severe than those observed in single</w:t>
      </w:r>
      <w:r>
        <w:rPr>
          <w:rFonts w:ascii="Cambria Math" w:hAnsi="Cambria Math" w:cs="Cambria Math"/>
        </w:rPr>
        <w:t>‑</w:t>
      </w:r>
      <w:r>
        <w:t>phase systems.</w:t>
      </w:r>
    </w:p>
    <w:bookmarkEnd w:id="0"/>
    <w:p w14:paraId="61A9B77A" w14:textId="06819A04" w:rsidR="00600535" w:rsidRPr="003C2F84" w:rsidRDefault="003C2F84" w:rsidP="00FA5F5F">
      <w:pPr>
        <w:pStyle w:val="CETheadingx"/>
      </w:pPr>
      <w:r w:rsidRPr="003C2F84">
        <w:t>What is Hybrid Mixture?</w:t>
      </w:r>
    </w:p>
    <w:p w14:paraId="195CF6D1" w14:textId="128DCE91" w:rsidR="00DE0F5F" w:rsidRPr="00DE0F5F" w:rsidRDefault="00DE0F5F" w:rsidP="00DE0F5F">
      <w:pPr>
        <w:pStyle w:val="CETBodytext"/>
      </w:pPr>
      <w:r w:rsidRPr="00DE0F5F">
        <w:t xml:space="preserve">Hybrid mixtures are potentially explosive atmospheres arising from the simultaneous presence of a gaseous fuel (flammable gases or vapours) and a dispersed combustible dust. </w:t>
      </w:r>
    </w:p>
    <w:p w14:paraId="1CE584E1" w14:textId="61583C09" w:rsidR="00DE0F5F" w:rsidRPr="00DE0F5F" w:rsidRDefault="00DE0F5F" w:rsidP="00DE0F5F">
      <w:pPr>
        <w:pStyle w:val="CETBodytext"/>
      </w:pPr>
      <w:r w:rsidRPr="00DE0F5F">
        <w:lastRenderedPageBreak/>
        <w:t xml:space="preserve">In particular, </w:t>
      </w:r>
      <w:r w:rsidR="00EE5FA6">
        <w:t>according to IEC</w:t>
      </w:r>
      <w:r w:rsidR="00A677FD">
        <w:t xml:space="preserve"> </w:t>
      </w:r>
      <w:r w:rsidR="00EE5FA6">
        <w:t xml:space="preserve">60079-10-1, </w:t>
      </w:r>
      <w:r w:rsidRPr="00DE0F5F">
        <w:t xml:space="preserve">the presence of flammable </w:t>
      </w:r>
      <w:r w:rsidR="00B463A7">
        <w:t>gases</w:t>
      </w:r>
      <w:r w:rsidRPr="00DE0F5F">
        <w:t xml:space="preserve"> may reduce the </w:t>
      </w:r>
      <w:r w:rsidR="00A25541">
        <w:t>M</w:t>
      </w:r>
      <w:r w:rsidRPr="00DE0F5F">
        <w:t xml:space="preserve">inimum </w:t>
      </w:r>
      <w:r w:rsidR="00A25541">
        <w:t>I</w:t>
      </w:r>
      <w:r w:rsidRPr="00DE0F5F">
        <w:t xml:space="preserve">gnition </w:t>
      </w:r>
      <w:r w:rsidR="00A25541">
        <w:t>E</w:t>
      </w:r>
      <w:r w:rsidRPr="00DE0F5F">
        <w:t xml:space="preserve">nergy (MIE) of the dust cloud, while the dust can broaden the flammability range of the gas or lower its </w:t>
      </w:r>
      <w:r w:rsidR="00A25541">
        <w:t>L</w:t>
      </w:r>
      <w:r w:rsidRPr="00DE0F5F">
        <w:t xml:space="preserve">ower </w:t>
      </w:r>
      <w:r w:rsidR="00A25541">
        <w:t>E</w:t>
      </w:r>
      <w:r w:rsidRPr="00DE0F5F">
        <w:t xml:space="preserve">xplosive </w:t>
      </w:r>
      <w:r w:rsidR="00A25541">
        <w:t>L</w:t>
      </w:r>
      <w:r w:rsidRPr="00DE0F5F">
        <w:t xml:space="preserve">imit (LEL). The resulting mixtures exhibit increased ignition sensitivity and faster combustion dynamics. Moreover, the </w:t>
      </w:r>
      <w:r w:rsidR="00A25541">
        <w:t>M</w:t>
      </w:r>
      <w:r w:rsidRPr="00DE0F5F">
        <w:t xml:space="preserve">inimum </w:t>
      </w:r>
      <w:r w:rsidR="00A25541">
        <w:t>E</w:t>
      </w:r>
      <w:r w:rsidRPr="00DE0F5F">
        <w:t xml:space="preserve">xplosible </w:t>
      </w:r>
      <w:r w:rsidR="00A25541">
        <w:t>C</w:t>
      </w:r>
      <w:r w:rsidRPr="00DE0F5F">
        <w:t>oncentration (MEC) of the dust may decrease in the presence of combustible vapours, enabling ignition at dispersion levels below those typically required for dust</w:t>
      </w:r>
      <w:r w:rsidRPr="00DE0F5F">
        <w:rPr>
          <w:rFonts w:ascii="Cambria Math" w:hAnsi="Cambria Math" w:cs="Cambria Math"/>
        </w:rPr>
        <w:t>‑</w:t>
      </w:r>
      <w:r w:rsidRPr="00DE0F5F">
        <w:t>only atmospheres.</w:t>
      </w:r>
    </w:p>
    <w:p w14:paraId="2A365B6B" w14:textId="2BC60496" w:rsidR="00341955" w:rsidRPr="00DE0F5F" w:rsidRDefault="00DE0F5F" w:rsidP="00DE0F5F">
      <w:pPr>
        <w:pStyle w:val="CETBodytext"/>
      </w:pPr>
      <w:r w:rsidRPr="00DE0F5F">
        <w:t xml:space="preserve">Hybrid mixtures may form during various process operations, especially during the charging of powders into equipment containing flammable solvents or in the presence of residual vapours. </w:t>
      </w:r>
      <w:r w:rsidR="001B26B1" w:rsidRPr="001B26B1">
        <w:t>Their assessment is inherently complex, as the interaction between the gaseous and solid phases can significantly influence ignition sensitivity, combustion behavior and explosibility limits</w:t>
      </w:r>
      <w:r w:rsidR="001B26B1">
        <w:t xml:space="preserve">. </w:t>
      </w:r>
      <w:r w:rsidRPr="00DE0F5F">
        <w:t>Consequently, effective risk management requires a dedicated engineering approach based on a detailed understanding of the interaction mechanisms between the two combustible phases</w:t>
      </w:r>
      <w:r w:rsidR="00341955" w:rsidRPr="00DE0F5F">
        <w:t>.</w:t>
      </w:r>
    </w:p>
    <w:p w14:paraId="6B4C63E5" w14:textId="371B237C" w:rsidR="00600535" w:rsidRPr="009A5D1D" w:rsidRDefault="003C2F84" w:rsidP="00FA5F5F">
      <w:pPr>
        <w:pStyle w:val="CETheadingx"/>
      </w:pPr>
      <w:r w:rsidRPr="009A5D1D">
        <w:t>Learning from regulations</w:t>
      </w:r>
    </w:p>
    <w:p w14:paraId="51C17CBF" w14:textId="77777777" w:rsidR="0043478C" w:rsidRPr="005F0879" w:rsidRDefault="0043478C" w:rsidP="0043478C">
      <w:pPr>
        <w:pStyle w:val="CETBodytext"/>
      </w:pPr>
      <w:r w:rsidRPr="005F0879">
        <w:t>The IEC 60079</w:t>
      </w:r>
      <w:r w:rsidRPr="005F0879">
        <w:noBreakHyphen/>
        <w:t>10</w:t>
      </w:r>
      <w:r w:rsidRPr="005F0879">
        <w:noBreakHyphen/>
        <w:t>1 standard addresses hybrid mixtures by adopting a highly conservative approach, reflecting the limited availability of experimental data and the uncertainties associated with the simultaneous presence of flammable gases or vapours and combustible dusts. Under this guidance, a hybrid atmosphere is considered potentially explosive even when each component is below its individual flammability threshold. In the absence of specific test data, the mixture is assumed to be hazardous if the gas/vapour concentration exceeds 25% of the LFL or if the dust concentration exceeds 25% of the MEC.</w:t>
      </w:r>
    </w:p>
    <w:p w14:paraId="06DB7BF0" w14:textId="77777777" w:rsidR="0043478C" w:rsidRPr="005F0879" w:rsidRDefault="0043478C" w:rsidP="0043478C">
      <w:pPr>
        <w:pStyle w:val="CETBodytext"/>
      </w:pPr>
      <w:r w:rsidRPr="005F0879">
        <w:t>The effectiveness of ventilation in such conditions must be evaluated carefully, as airflow may reduce vapour accumulation while simultaneously increasing dust dispersion, potentially elevating the overall explosion risk. Additional uncertainties may stem from chemical interactions within the hybrid mixture or from the release of flammable gases trapped within solid particles. Consequently, critical safety parameters—such as Minimum Ignition Energy and Minimum Auto</w:t>
      </w:r>
      <w:r w:rsidRPr="005F0879">
        <w:noBreakHyphen/>
        <w:t>Ignition Temperature—should be selected using the most restrictive value of the two phases.</w:t>
      </w:r>
    </w:p>
    <w:p w14:paraId="20DA4FEF" w14:textId="5B55BEA5" w:rsidR="00341955" w:rsidRPr="0043478C" w:rsidRDefault="0043478C" w:rsidP="00341955">
      <w:pPr>
        <w:pStyle w:val="CETBodytext"/>
        <w:rPr>
          <w:rFonts w:ascii="Segoe UI" w:hAnsi="Segoe UI" w:cs="Segoe UI"/>
          <w:sz w:val="21"/>
          <w:szCs w:val="21"/>
          <w:lang w:eastAsia="it-IT"/>
        </w:rPr>
      </w:pPr>
      <w:r w:rsidRPr="005F0879">
        <w:t>For hazardous area classification, international standards require applying the most stringent protection level defined for either gases/vapours or dusts, ensuring an adequate safety margin consistent with the complexity and unpredictability of hybrid explosive atmospheres</w:t>
      </w:r>
      <w:r w:rsidRPr="005F0879">
        <w:rPr>
          <w:rFonts w:ascii="Segoe UI" w:hAnsi="Segoe UI" w:cs="Segoe UI"/>
          <w:sz w:val="21"/>
          <w:szCs w:val="21"/>
          <w:lang w:eastAsia="it-IT"/>
        </w:rPr>
        <w:t>.</w:t>
      </w:r>
      <w:r>
        <w:rPr>
          <w:rFonts w:ascii="Segoe UI" w:hAnsi="Segoe UI" w:cs="Segoe UI"/>
          <w:sz w:val="21"/>
          <w:szCs w:val="21"/>
          <w:lang w:eastAsia="it-IT"/>
        </w:rPr>
        <w:t xml:space="preserve"> </w:t>
      </w:r>
    </w:p>
    <w:p w14:paraId="5741900F" w14:textId="7389DBAC" w:rsidR="00453E24" w:rsidRPr="00A87BDF" w:rsidRDefault="003C2F84" w:rsidP="00453E24">
      <w:pPr>
        <w:pStyle w:val="CETHeading1"/>
      </w:pPr>
      <w:r w:rsidRPr="00A87BDF">
        <w:t>Methodology</w:t>
      </w:r>
    </w:p>
    <w:p w14:paraId="2861381E" w14:textId="77777777" w:rsidR="001B26B1" w:rsidRPr="001B26B1" w:rsidRDefault="001B26B1" w:rsidP="001B26B1">
      <w:pPr>
        <w:pStyle w:val="CETBodytext"/>
      </w:pPr>
      <w:r w:rsidRPr="001B26B1">
        <w:t>Hazardous Area Classification (HAC) is applied as a fundamental tool for preventing ignition sources and defining appropriate protection measures in processes where explosive atmospheres may occur. In this study, HAC is used to assess operating scenarios involving the potential coexistence of flammable gases or vapours and combustible dusts, with particular reference to manual powder handling operations.</w:t>
      </w:r>
    </w:p>
    <w:p w14:paraId="34B2A0C5" w14:textId="3A9B0BB0" w:rsidR="001B26B1" w:rsidRPr="001B26B1" w:rsidRDefault="001B26B1" w:rsidP="001B26B1">
      <w:pPr>
        <w:pStyle w:val="CETBodytext"/>
      </w:pPr>
      <w:r w:rsidRPr="001B26B1">
        <w:t>The classification follows the methodology outlined in IEC 60079</w:t>
      </w:r>
      <w:r w:rsidRPr="001B26B1">
        <w:noBreakHyphen/>
        <w:t>10</w:t>
      </w:r>
      <w:r w:rsidRPr="001B26B1">
        <w:noBreakHyphen/>
        <w:t xml:space="preserve">1 (2020), starting from the identification of potential sources of release and the determination of the corresponding release grades. Conditions that are reasonably foreseeable during normal operation and foreseeable deviations are considered in order to ensure that the classification reflects </w:t>
      </w:r>
      <w:r w:rsidRPr="005A4BF2">
        <w:t>unfavorable</w:t>
      </w:r>
      <w:r w:rsidRPr="001B26B1">
        <w:t xml:space="preserve"> but credible operating scenarios.</w:t>
      </w:r>
    </w:p>
    <w:p w14:paraId="43CE73E7" w14:textId="77777777" w:rsidR="001B26B1" w:rsidRPr="001B26B1" w:rsidRDefault="001B26B1" w:rsidP="001B26B1">
      <w:pPr>
        <w:pStyle w:val="CETBodytext"/>
      </w:pPr>
      <w:r w:rsidRPr="001B26B1">
        <w:t xml:space="preserve">For gas and vapour atmospheres, the extent of hazardous zones </w:t>
      </w:r>
      <w:proofErr w:type="gramStart"/>
      <w:r w:rsidRPr="001B26B1">
        <w:t>is evaluated</w:t>
      </w:r>
      <w:proofErr w:type="gramEnd"/>
      <w:r w:rsidRPr="001B26B1">
        <w:t xml:space="preserve"> using the analytical criteria provided by IEC 60079</w:t>
      </w:r>
      <w:r w:rsidRPr="001B26B1">
        <w:noBreakHyphen/>
        <w:t>10</w:t>
      </w:r>
      <w:r w:rsidRPr="001B26B1">
        <w:noBreakHyphen/>
        <w:t>1, taking into account the release characteristics and the effectiveness of ventilation. For dust atmospheres, where no explicit formulas are available, the zone classification is based on qualitative criteria, considering the likelihood of dust cloud formation, dispersion and accumulation.</w:t>
      </w:r>
    </w:p>
    <w:p w14:paraId="363CAE22" w14:textId="6F9E5CA5" w:rsidR="001B26B1" w:rsidRPr="001B26B1" w:rsidRDefault="001B26B1" w:rsidP="00301AB6">
      <w:pPr>
        <w:pStyle w:val="CETBodytext"/>
      </w:pPr>
      <w:r w:rsidRPr="001B26B1">
        <w:t>When gas/vapour and dust releases may occur in the same area, the classification is performed by considering their combined presence and by adopting the most restrictive zoning and protection requirements resulting from the individual assessments. The outcomes of the HAC form the basis for the definition of hazardous zones and equipment protection levels used in the case study.</w:t>
      </w:r>
    </w:p>
    <w:p w14:paraId="0636B784" w14:textId="1B842F34" w:rsidR="00453E24" w:rsidRPr="001E59AA" w:rsidRDefault="003C2F84" w:rsidP="00453E24">
      <w:pPr>
        <w:pStyle w:val="CETheadingx"/>
      </w:pPr>
      <w:r w:rsidRPr="001E59AA">
        <w:t>Why is Hazardous Area Classification (HAC) important?</w:t>
      </w:r>
    </w:p>
    <w:p w14:paraId="24575A90" w14:textId="50D6664C" w:rsidR="002602CE" w:rsidRPr="00A87BDF" w:rsidRDefault="00FF0C0B" w:rsidP="002602CE">
      <w:pPr>
        <w:pStyle w:val="CETBodytext"/>
        <w:rPr>
          <w:lang w:val="en-GB"/>
        </w:rPr>
      </w:pPr>
      <w:r w:rsidRPr="00FF0C0B">
        <w:rPr>
          <w:lang w:val="en-GB"/>
        </w:rPr>
        <w:t xml:space="preserve">Hazardous Area Classification plays a key role in the assessment of explosion consequences </w:t>
      </w:r>
      <w:r w:rsidR="00B47FB4">
        <w:rPr>
          <w:lang w:val="en-GB"/>
        </w:rPr>
        <w:t>(</w:t>
      </w:r>
      <w:r w:rsidR="00B47FB4">
        <w:rPr>
          <w:lang w:val="en-GB"/>
        </w:rPr>
        <w:fldChar w:fldCharType="begin"/>
      </w:r>
      <w:r w:rsidR="00B47FB4">
        <w:rPr>
          <w:lang w:val="en-GB"/>
        </w:rPr>
        <w:instrText xml:space="preserve"> REF _Ref220332338 \h </w:instrText>
      </w:r>
      <w:r w:rsidR="00B47FB4">
        <w:rPr>
          <w:lang w:val="en-GB"/>
        </w:rPr>
      </w:r>
      <w:r w:rsidR="00B47FB4">
        <w:rPr>
          <w:lang w:val="en-GB"/>
        </w:rPr>
        <w:fldChar w:fldCharType="separate"/>
      </w:r>
      <w:r w:rsidR="00C677C9" w:rsidRPr="00753CA0">
        <w:rPr>
          <w:rStyle w:val="CETCaptionCarattere"/>
        </w:rPr>
        <w:t xml:space="preserve">Figure </w:t>
      </w:r>
      <w:r w:rsidR="00C677C9">
        <w:rPr>
          <w:rStyle w:val="CETCaptionCarattere"/>
          <w:noProof/>
        </w:rPr>
        <w:t>1</w:t>
      </w:r>
      <w:r w:rsidR="00B47FB4">
        <w:rPr>
          <w:lang w:val="en-GB"/>
        </w:rPr>
        <w:fldChar w:fldCharType="end"/>
      </w:r>
      <w:r w:rsidR="00B47FB4">
        <w:rPr>
          <w:lang w:val="en-GB"/>
        </w:rPr>
        <w:t xml:space="preserve">) </w:t>
      </w:r>
      <w:r w:rsidRPr="00FF0C0B">
        <w:rPr>
          <w:lang w:val="en-GB"/>
        </w:rPr>
        <w:t>by defining the conditions under which ignition may occur and the expected physical effects following ignition.</w:t>
      </w:r>
      <w:r w:rsidR="002602CE" w:rsidRPr="00A87BDF">
        <w:rPr>
          <w:lang w:val="en-GB"/>
        </w:rPr>
        <w:t xml:space="preserve"> </w:t>
      </w:r>
    </w:p>
    <w:p w14:paraId="5A1C1C05" w14:textId="77777777" w:rsidR="003C3D17" w:rsidRDefault="003C3D17" w:rsidP="003C3D17">
      <w:pPr>
        <w:pStyle w:val="CETBodytext"/>
        <w:rPr>
          <w:lang w:val="en-GB"/>
        </w:rPr>
      </w:pPr>
      <w:r>
        <w:rPr>
          <w:lang w:val="en-GB"/>
        </w:rPr>
        <w:t xml:space="preserve"> </w:t>
      </w:r>
      <w:r w:rsidRPr="003C3D17">
        <w:rPr>
          <w:noProof/>
          <w:lang w:val="en-GB"/>
        </w:rPr>
        <w:drawing>
          <wp:inline distT="0" distB="0" distL="0" distR="0" wp14:anchorId="70859C3B" wp14:editId="13EEF8E2">
            <wp:extent cx="2265528" cy="760332"/>
            <wp:effectExtent l="0" t="0" r="1905" b="1905"/>
            <wp:docPr id="190024773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47735" name=""/>
                    <pic:cNvPicPr/>
                  </pic:nvPicPr>
                  <pic:blipFill>
                    <a:blip r:embed="rId13"/>
                    <a:stretch>
                      <a:fillRect/>
                    </a:stretch>
                  </pic:blipFill>
                  <pic:spPr>
                    <a:xfrm>
                      <a:off x="0" y="0"/>
                      <a:ext cx="2323274" cy="779712"/>
                    </a:xfrm>
                    <a:prstGeom prst="rect">
                      <a:avLst/>
                    </a:prstGeom>
                  </pic:spPr>
                </pic:pic>
              </a:graphicData>
            </a:graphic>
          </wp:inline>
        </w:drawing>
      </w:r>
    </w:p>
    <w:p w14:paraId="0C4EA5D5" w14:textId="28CFB811" w:rsidR="002602CE" w:rsidRDefault="002602CE" w:rsidP="003C3D17">
      <w:pPr>
        <w:pStyle w:val="CETBodytext"/>
        <w:rPr>
          <w:rStyle w:val="CETCaptionCarattere"/>
          <w:b/>
          <w:bCs/>
        </w:rPr>
      </w:pPr>
      <w:bookmarkStart w:id="1" w:name="_Ref220332338"/>
      <w:r w:rsidRPr="00753CA0">
        <w:rPr>
          <w:rStyle w:val="CETCaptionCarattere"/>
        </w:rPr>
        <w:t xml:space="preserve">Figure </w:t>
      </w:r>
      <w:r w:rsidRPr="00753CA0">
        <w:rPr>
          <w:rStyle w:val="CETCaptionCarattere"/>
          <w:b/>
          <w:bCs/>
        </w:rPr>
        <w:fldChar w:fldCharType="begin"/>
      </w:r>
      <w:r w:rsidRPr="00753CA0">
        <w:rPr>
          <w:rStyle w:val="CETCaptionCarattere"/>
        </w:rPr>
        <w:instrText xml:space="preserve"> SEQ Figure \* ARABIC </w:instrText>
      </w:r>
      <w:r w:rsidRPr="00753CA0">
        <w:rPr>
          <w:rStyle w:val="CETCaptionCarattere"/>
          <w:b/>
          <w:bCs/>
        </w:rPr>
        <w:fldChar w:fldCharType="separate"/>
      </w:r>
      <w:r w:rsidR="00C677C9">
        <w:rPr>
          <w:rStyle w:val="CETCaptionCarattere"/>
          <w:noProof/>
        </w:rPr>
        <w:t>1</w:t>
      </w:r>
      <w:r w:rsidRPr="00753CA0">
        <w:rPr>
          <w:rStyle w:val="CETCaptionCarattere"/>
          <w:b/>
          <w:bCs/>
        </w:rPr>
        <w:fldChar w:fldCharType="end"/>
      </w:r>
      <w:bookmarkEnd w:id="1"/>
      <w:r w:rsidRPr="00753CA0">
        <w:rPr>
          <w:rStyle w:val="CETCaptionCarattere"/>
        </w:rPr>
        <w:t xml:space="preserve">: </w:t>
      </w:r>
      <w:r>
        <w:rPr>
          <w:rStyle w:val="CETCaptionCarattere"/>
        </w:rPr>
        <w:t>Consequences of ignition, based on the pentagon of fire</w:t>
      </w:r>
    </w:p>
    <w:p w14:paraId="0C8EDCD6" w14:textId="20580B7E" w:rsidR="00C006F1" w:rsidRPr="00C006F1" w:rsidRDefault="00C006F1" w:rsidP="00C006F1">
      <w:pPr>
        <w:pStyle w:val="CETBodytext"/>
      </w:pPr>
      <w:r w:rsidRPr="00C006F1">
        <w:lastRenderedPageBreak/>
        <w:t>As a general principle, ignition within the confined volume of process equipment is likely to result in an explosion, whereas ignition in open or partially open areas more commonly leads to flash fire</w:t>
      </w:r>
      <w:r>
        <w:t xml:space="preserve">. </w:t>
      </w:r>
      <w:r w:rsidRPr="00C006F1">
        <w:t>In addition, internal explosions may give rise to secondary hazards, such as flame propagation to interconnected equipment and the projection of fragments, which can significantly increase the overall risk. For these reasons, a correct and conservative hazardous area classification is essential to support effective risk mitigation and the selection of appropriate protection measures</w:t>
      </w:r>
      <w:r>
        <w:t xml:space="preserve">. </w:t>
      </w:r>
    </w:p>
    <w:p w14:paraId="677EBFF0" w14:textId="45FFA2EB" w:rsidR="00600535" w:rsidRDefault="003C2F84" w:rsidP="00600535">
      <w:pPr>
        <w:pStyle w:val="CETHeading1"/>
        <w:tabs>
          <w:tab w:val="clear" w:pos="360"/>
          <w:tab w:val="right" w:pos="7100"/>
        </w:tabs>
        <w:jc w:val="both"/>
        <w:rPr>
          <w:lang w:val="en-GB"/>
        </w:rPr>
      </w:pPr>
      <w:r w:rsidRPr="003C2F84">
        <w:rPr>
          <w:lang w:val="en-GB"/>
        </w:rPr>
        <w:t>Case studies</w:t>
      </w:r>
      <w:r w:rsidR="00B47FB4">
        <w:rPr>
          <w:lang w:val="en-GB"/>
        </w:rPr>
        <w:t>: Manual powder charging into a reactor</w:t>
      </w:r>
    </w:p>
    <w:p w14:paraId="405BE689" w14:textId="1AC6CE8B" w:rsidR="00B47FB4" w:rsidRDefault="00B47FB4" w:rsidP="009705AF">
      <w:pPr>
        <w:pStyle w:val="CETBodytext"/>
        <w:rPr>
          <w:lang w:val="en-GB"/>
        </w:rPr>
      </w:pPr>
      <w:r w:rsidRPr="00B47FB4">
        <w:rPr>
          <w:lang w:val="en-GB"/>
        </w:rPr>
        <w:t xml:space="preserve">The case study considers a manual powder charging operation into a reactor containing a flammable solvent, a configuration commonly associated with the potential formation of hybrid explosive atmospheres. The objective is to identify the conditions under which an explosive atmosphere may arise and to define the corresponding </w:t>
      </w:r>
      <w:r w:rsidR="00A25541">
        <w:rPr>
          <w:lang w:val="en-GB"/>
        </w:rPr>
        <w:t>H</w:t>
      </w:r>
      <w:r w:rsidRPr="00B47FB4">
        <w:rPr>
          <w:lang w:val="en-GB"/>
        </w:rPr>
        <w:t xml:space="preserve">azardous </w:t>
      </w:r>
      <w:r w:rsidR="00A25541">
        <w:rPr>
          <w:lang w:val="en-GB"/>
        </w:rPr>
        <w:t>A</w:t>
      </w:r>
      <w:r w:rsidRPr="00B47FB4">
        <w:rPr>
          <w:lang w:val="en-GB"/>
        </w:rPr>
        <w:t xml:space="preserve">rea </w:t>
      </w:r>
      <w:r w:rsidR="00A25541">
        <w:rPr>
          <w:lang w:val="en-GB"/>
        </w:rPr>
        <w:t>C</w:t>
      </w:r>
      <w:r w:rsidRPr="00B47FB4">
        <w:rPr>
          <w:lang w:val="en-GB"/>
        </w:rPr>
        <w:t>lassification (HAC) in accordance with applicable technical standards.</w:t>
      </w:r>
    </w:p>
    <w:p w14:paraId="0E1AAF17" w14:textId="09EB8CA6" w:rsidR="0019254C" w:rsidRDefault="0019254C" w:rsidP="009705AF">
      <w:pPr>
        <w:pStyle w:val="CETBodytext"/>
        <w:rPr>
          <w:lang w:val="en-GB"/>
        </w:rPr>
      </w:pPr>
      <w:r w:rsidRPr="0019254C">
        <w:rPr>
          <w:lang w:val="en-GB"/>
        </w:rPr>
        <w:t xml:space="preserve">The following </w:t>
      </w:r>
      <w:r w:rsidR="00E43A13">
        <w:rPr>
          <w:lang w:val="en-GB"/>
        </w:rPr>
        <w:fldChar w:fldCharType="begin"/>
      </w:r>
      <w:r w:rsidR="00E43A13">
        <w:rPr>
          <w:lang w:val="en-GB"/>
        </w:rPr>
        <w:instrText xml:space="preserve"> REF _Ref220332367 \h </w:instrText>
      </w:r>
      <w:r w:rsidR="00E43A13">
        <w:rPr>
          <w:lang w:val="en-GB"/>
        </w:rPr>
      </w:r>
      <w:r w:rsidR="00E43A13">
        <w:rPr>
          <w:lang w:val="en-GB"/>
        </w:rPr>
        <w:fldChar w:fldCharType="separate"/>
      </w:r>
      <w:r w:rsidR="00C677C9" w:rsidRPr="00F83926">
        <w:rPr>
          <w:rStyle w:val="CETCaptionCarattere"/>
        </w:rPr>
        <w:t xml:space="preserve">Figure </w:t>
      </w:r>
      <w:r w:rsidR="00C677C9">
        <w:rPr>
          <w:rStyle w:val="CETCaptionCarattere"/>
          <w:noProof/>
        </w:rPr>
        <w:t>2</w:t>
      </w:r>
      <w:r w:rsidR="00E43A13">
        <w:rPr>
          <w:lang w:val="en-GB"/>
        </w:rPr>
        <w:fldChar w:fldCharType="end"/>
      </w:r>
      <w:r w:rsidRPr="0019254C">
        <w:rPr>
          <w:lang w:val="en-GB"/>
        </w:rPr>
        <w:t xml:space="preserve"> illustrates the case study, providing an example of hazardous area classification with potential explosive atmospheres and highlighting the highest</w:t>
      </w:r>
      <w:r w:rsidRPr="0019254C">
        <w:rPr>
          <w:lang w:val="en-GB"/>
        </w:rPr>
        <w:noBreakHyphen/>
        <w:t>risk operational scenarios to which the operator may be exposed.</w:t>
      </w:r>
    </w:p>
    <w:p w14:paraId="4CFD48CA" w14:textId="77777777" w:rsidR="00F83926" w:rsidRDefault="0019254C" w:rsidP="00F83926">
      <w:pPr>
        <w:pStyle w:val="CETBodytext"/>
        <w:jc w:val="left"/>
        <w:rPr>
          <w:rStyle w:val="CETCaptionCarattere"/>
          <w:b/>
          <w:bCs/>
        </w:rPr>
      </w:pPr>
      <w:r w:rsidRPr="00A11D86">
        <w:rPr>
          <w:noProof/>
        </w:rPr>
        <w:drawing>
          <wp:inline distT="0" distB="0" distL="0" distR="0" wp14:anchorId="0D97818C" wp14:editId="0F7DBD0A">
            <wp:extent cx="2474237" cy="1080000"/>
            <wp:effectExtent l="0" t="0" r="2540" b="6350"/>
            <wp:docPr id="1167281626" name="Immagine 1" descr="Immagine che contiene testo, schermata, diagramm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81626" name="Immagine 1" descr="Immagine che contiene testo, schermata, diagramma, design&#10;&#10;Il contenuto generato dall'IA potrebbe non essere corretto."/>
                    <pic:cNvPicPr/>
                  </pic:nvPicPr>
                  <pic:blipFill>
                    <a:blip r:embed="rId14"/>
                    <a:stretch>
                      <a:fillRect/>
                    </a:stretch>
                  </pic:blipFill>
                  <pic:spPr>
                    <a:xfrm>
                      <a:off x="0" y="0"/>
                      <a:ext cx="2474237" cy="1080000"/>
                    </a:xfrm>
                    <a:prstGeom prst="rect">
                      <a:avLst/>
                    </a:prstGeom>
                  </pic:spPr>
                </pic:pic>
              </a:graphicData>
            </a:graphic>
          </wp:inline>
        </w:drawing>
      </w:r>
    </w:p>
    <w:p w14:paraId="2A75BFC0" w14:textId="44E7606D" w:rsidR="0076024A" w:rsidRDefault="00F83926" w:rsidP="00F83926">
      <w:pPr>
        <w:pStyle w:val="CETBodytext"/>
        <w:jc w:val="left"/>
        <w:rPr>
          <w:rStyle w:val="CETCaptionCarattere"/>
        </w:rPr>
      </w:pPr>
      <w:bookmarkStart w:id="2" w:name="_Ref220332367"/>
      <w:r w:rsidRPr="00F83926">
        <w:rPr>
          <w:rStyle w:val="CETCaptionCarattere"/>
        </w:rPr>
        <w:t xml:space="preserve">Figure </w:t>
      </w:r>
      <w:r w:rsidRPr="00F83926">
        <w:rPr>
          <w:rStyle w:val="CETCaptionCarattere"/>
        </w:rPr>
        <w:fldChar w:fldCharType="begin"/>
      </w:r>
      <w:r w:rsidRPr="00F83926">
        <w:rPr>
          <w:rStyle w:val="CETCaptionCarattere"/>
        </w:rPr>
        <w:instrText xml:space="preserve"> SEQ Figure \* ARABIC </w:instrText>
      </w:r>
      <w:r w:rsidRPr="00F83926">
        <w:rPr>
          <w:rStyle w:val="CETCaptionCarattere"/>
        </w:rPr>
        <w:fldChar w:fldCharType="separate"/>
      </w:r>
      <w:r w:rsidR="00C677C9">
        <w:rPr>
          <w:rStyle w:val="CETCaptionCarattere"/>
          <w:noProof/>
        </w:rPr>
        <w:t>2</w:t>
      </w:r>
      <w:r w:rsidRPr="00F83926">
        <w:rPr>
          <w:rStyle w:val="CETCaptionCarattere"/>
        </w:rPr>
        <w:fldChar w:fldCharType="end"/>
      </w:r>
      <w:bookmarkEnd w:id="2"/>
      <w:r w:rsidRPr="00F83926">
        <w:rPr>
          <w:rStyle w:val="CETCaptionCarattere"/>
        </w:rPr>
        <w:t>: Manual powder loading operation</w:t>
      </w:r>
    </w:p>
    <w:p w14:paraId="5DDB7434" w14:textId="77777777" w:rsidR="00E43A13" w:rsidRPr="00E43A13" w:rsidRDefault="00E43A13" w:rsidP="00E43A13">
      <w:pPr>
        <w:pStyle w:val="CETBodytext"/>
        <w:rPr>
          <w:iCs/>
        </w:rPr>
      </w:pPr>
      <w:r w:rsidRPr="00E43A13">
        <w:rPr>
          <w:iCs/>
        </w:rPr>
        <w:t>Based on this configuration, four representative operating scenarios were analysed to assess the impact of different risk control strategies on the formation of hybrid mixtures and on hazardous area classification.</w:t>
      </w:r>
    </w:p>
    <w:p w14:paraId="322ECD1E" w14:textId="59E6E7E1" w:rsidR="00E43A13" w:rsidRDefault="00E43A13" w:rsidP="00E43A13">
      <w:pPr>
        <w:pStyle w:val="CETBodytext"/>
        <w:numPr>
          <w:ilvl w:val="0"/>
          <w:numId w:val="25"/>
        </w:numPr>
        <w:jc w:val="left"/>
        <w:rPr>
          <w:rStyle w:val="CETCaptionCarattere"/>
          <w:i w:val="0"/>
          <w:iCs/>
          <w:lang w:val="en-US"/>
        </w:rPr>
      </w:pPr>
      <w:r w:rsidRPr="00E43A13">
        <w:rPr>
          <w:rStyle w:val="CETCaptionCarattere"/>
          <w:i w:val="0"/>
          <w:iCs/>
          <w:lang w:val="en-US"/>
        </w:rPr>
        <w:t>Non</w:t>
      </w:r>
      <w:r w:rsidRPr="00E43A13">
        <w:rPr>
          <w:rStyle w:val="CETCaptionCarattere"/>
          <w:rFonts w:ascii="Cambria Math" w:hAnsi="Cambria Math" w:cs="Cambria Math"/>
          <w:i w:val="0"/>
          <w:iCs/>
          <w:lang w:val="en-US"/>
        </w:rPr>
        <w:t>‑</w:t>
      </w:r>
      <w:r w:rsidRPr="00E43A13">
        <w:rPr>
          <w:rStyle w:val="CETCaptionCarattere"/>
          <w:i w:val="0"/>
          <w:iCs/>
          <w:lang w:val="en-US"/>
        </w:rPr>
        <w:t>inerted system with sequential charging</w:t>
      </w:r>
      <w:r>
        <w:rPr>
          <w:rStyle w:val="CETCaptionCarattere"/>
          <w:i w:val="0"/>
          <w:iCs/>
          <w:lang w:val="en-US"/>
        </w:rPr>
        <w:t>;</w:t>
      </w:r>
    </w:p>
    <w:p w14:paraId="4C2DAE27" w14:textId="56AF3DF4" w:rsidR="00E43A13" w:rsidRDefault="00E43A13" w:rsidP="00E43A13">
      <w:pPr>
        <w:pStyle w:val="CETBodytext"/>
        <w:numPr>
          <w:ilvl w:val="0"/>
          <w:numId w:val="25"/>
        </w:numPr>
        <w:jc w:val="left"/>
        <w:rPr>
          <w:rStyle w:val="CETCaptionCarattere"/>
          <w:i w:val="0"/>
          <w:iCs/>
          <w:lang w:val="en-US"/>
        </w:rPr>
      </w:pPr>
      <w:r w:rsidRPr="00E43A13">
        <w:rPr>
          <w:rStyle w:val="CETCaptionCarattere"/>
          <w:i w:val="0"/>
          <w:iCs/>
          <w:lang w:val="en-US"/>
        </w:rPr>
        <w:t>Powder charging below the solvent flash point</w:t>
      </w:r>
      <w:r>
        <w:rPr>
          <w:rStyle w:val="CETCaptionCarattere"/>
          <w:i w:val="0"/>
          <w:iCs/>
          <w:lang w:val="en-US"/>
        </w:rPr>
        <w:t>;</w:t>
      </w:r>
    </w:p>
    <w:p w14:paraId="453ABE2C" w14:textId="0496AEEE" w:rsidR="00E43A13" w:rsidRDefault="00E43A13" w:rsidP="00E43A13">
      <w:pPr>
        <w:pStyle w:val="CETBodytext"/>
        <w:numPr>
          <w:ilvl w:val="0"/>
          <w:numId w:val="25"/>
        </w:numPr>
        <w:jc w:val="left"/>
        <w:rPr>
          <w:rStyle w:val="CETCaptionCarattere"/>
          <w:i w:val="0"/>
          <w:iCs/>
          <w:lang w:val="en-US"/>
        </w:rPr>
      </w:pPr>
      <w:r w:rsidRPr="00E43A13">
        <w:rPr>
          <w:rStyle w:val="CETCaptionCarattere"/>
          <w:i w:val="0"/>
          <w:iCs/>
          <w:lang w:val="en-US"/>
        </w:rPr>
        <w:t>Powder charging through an inerted airlock system</w:t>
      </w:r>
      <w:r>
        <w:rPr>
          <w:rStyle w:val="CETCaptionCarattere"/>
          <w:i w:val="0"/>
          <w:iCs/>
          <w:lang w:val="en-US"/>
        </w:rPr>
        <w:t>;</w:t>
      </w:r>
    </w:p>
    <w:p w14:paraId="522788F3" w14:textId="3D750E20" w:rsidR="00E43A13" w:rsidRPr="00E43A13" w:rsidRDefault="00E43A13" w:rsidP="00E43A13">
      <w:pPr>
        <w:pStyle w:val="CETBodytext"/>
        <w:numPr>
          <w:ilvl w:val="0"/>
          <w:numId w:val="25"/>
        </w:numPr>
        <w:jc w:val="left"/>
        <w:rPr>
          <w:rStyle w:val="CETCaptionCarattere"/>
          <w:i w:val="0"/>
          <w:iCs/>
          <w:lang w:val="en-US"/>
        </w:rPr>
      </w:pPr>
      <w:r w:rsidRPr="00E43A13">
        <w:rPr>
          <w:rStyle w:val="CETCaptionCarattere"/>
          <w:i w:val="0"/>
          <w:iCs/>
          <w:lang w:val="en-US"/>
        </w:rPr>
        <w:t>Venturi</w:t>
      </w:r>
      <w:r w:rsidRPr="00E43A13">
        <w:rPr>
          <w:rStyle w:val="CETCaptionCarattere"/>
          <w:rFonts w:ascii="Cambria Math" w:hAnsi="Cambria Math" w:cs="Cambria Math"/>
          <w:i w:val="0"/>
          <w:iCs/>
          <w:lang w:val="en-US"/>
        </w:rPr>
        <w:t>‑</w:t>
      </w:r>
      <w:r w:rsidRPr="00E43A13">
        <w:rPr>
          <w:rStyle w:val="CETCaptionCarattere"/>
          <w:i w:val="0"/>
          <w:iCs/>
          <w:lang w:val="en-US"/>
        </w:rPr>
        <w:t>based powder charging without inerting</w:t>
      </w:r>
      <w:r w:rsidR="0046034B">
        <w:rPr>
          <w:rStyle w:val="CETCaptionCarattere"/>
          <w:i w:val="0"/>
          <w:iCs/>
          <w:lang w:val="en-US"/>
        </w:rPr>
        <w:t xml:space="preserve">. </w:t>
      </w:r>
    </w:p>
    <w:p w14:paraId="7BC7F068" w14:textId="604D1E9A" w:rsidR="0019254C" w:rsidRDefault="002D5148" w:rsidP="00E43A13">
      <w:pPr>
        <w:pStyle w:val="CETBodytext"/>
        <w:rPr>
          <w:lang w:val="en-GB"/>
        </w:rPr>
      </w:pPr>
      <w:r w:rsidRPr="002D5148">
        <w:rPr>
          <w:lang w:val="en-GB"/>
        </w:rPr>
        <w:t xml:space="preserve">The first scenario examined concerns the sequence of manual loading operations performed by the operator, under the assumption that the system is not inerted. The procedure consists of two main steps: the initial introduction of the powder into the reactor, followed by the addition of the flammable solvent. The </w:t>
      </w:r>
      <w:r w:rsidR="008C4AC4">
        <w:rPr>
          <w:lang w:val="en-GB"/>
        </w:rPr>
        <w:fldChar w:fldCharType="begin"/>
      </w:r>
      <w:r w:rsidR="008C4AC4">
        <w:rPr>
          <w:lang w:val="en-GB"/>
        </w:rPr>
        <w:instrText xml:space="preserve"> REF _Ref220332700 \h </w:instrText>
      </w:r>
      <w:r w:rsidR="008C4AC4">
        <w:rPr>
          <w:lang w:val="en-GB"/>
        </w:rPr>
      </w:r>
      <w:r w:rsidR="008C4AC4">
        <w:rPr>
          <w:lang w:val="en-GB"/>
        </w:rPr>
        <w:fldChar w:fldCharType="separate"/>
      </w:r>
      <w:r w:rsidR="00C677C9" w:rsidRPr="0078684B">
        <w:rPr>
          <w:rStyle w:val="CETCaptionCarattere"/>
        </w:rPr>
        <w:t xml:space="preserve">Figure </w:t>
      </w:r>
      <w:r w:rsidR="00C677C9">
        <w:rPr>
          <w:rStyle w:val="CETCaptionCarattere"/>
          <w:noProof/>
        </w:rPr>
        <w:t>3</w:t>
      </w:r>
      <w:r w:rsidR="008C4AC4">
        <w:rPr>
          <w:lang w:val="en-GB"/>
        </w:rPr>
        <w:fldChar w:fldCharType="end"/>
      </w:r>
      <w:r w:rsidRPr="002D5148">
        <w:rPr>
          <w:lang w:val="en-GB"/>
        </w:rPr>
        <w:t xml:space="preserve"> below illustrates the prescribed sequence of operations—namely, charging the solid material first and subsequently introducing the flammable liquid—as well as the corresponding hazardous area classification. </w:t>
      </w:r>
      <w:r w:rsidR="00552E97" w:rsidRPr="00552E97">
        <w:rPr>
          <w:lang w:val="en-GB"/>
        </w:rPr>
        <w:t>Although the two substances are not present simultaneously during charging, particular attention must be paid to agitation and mixing effectiveness once the solvent is added. Inadequate mixing may lead to localised accumulations of combustible dust or solvent vapours, potentially increasing the explosion hazard within the vessel.</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gridCol w:w="4309"/>
      </w:tblGrid>
      <w:tr w:rsidR="00B121E1" w14:paraId="360C82EA" w14:textId="77777777" w:rsidTr="00BE3AED">
        <w:trPr>
          <w:trHeight w:val="2030"/>
        </w:trPr>
        <w:tc>
          <w:tcPr>
            <w:tcW w:w="4308" w:type="dxa"/>
          </w:tcPr>
          <w:p w14:paraId="603A6168" w14:textId="653989B1" w:rsidR="00B121E1" w:rsidRDefault="00B121E1" w:rsidP="00B121E1">
            <w:pPr>
              <w:pStyle w:val="CETBodytext"/>
              <w:jc w:val="left"/>
              <w:rPr>
                <w:lang w:val="en-GB"/>
              </w:rPr>
            </w:pPr>
            <w:r w:rsidRPr="00B121E1">
              <w:rPr>
                <w:noProof/>
                <w:lang w:val="en-GB"/>
              </w:rPr>
              <w:drawing>
                <wp:inline distT="0" distB="0" distL="0" distR="0" wp14:anchorId="6B64455B" wp14:editId="35DE523A">
                  <wp:extent cx="1738705" cy="1262418"/>
                  <wp:effectExtent l="0" t="0" r="0" b="0"/>
                  <wp:docPr id="478427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2761" name=""/>
                          <pic:cNvPicPr/>
                        </pic:nvPicPr>
                        <pic:blipFill>
                          <a:blip r:embed="rId15"/>
                          <a:stretch>
                            <a:fillRect/>
                          </a:stretch>
                        </pic:blipFill>
                        <pic:spPr>
                          <a:xfrm>
                            <a:off x="0" y="0"/>
                            <a:ext cx="1743346" cy="1265788"/>
                          </a:xfrm>
                          <a:prstGeom prst="rect">
                            <a:avLst/>
                          </a:prstGeom>
                        </pic:spPr>
                      </pic:pic>
                    </a:graphicData>
                  </a:graphic>
                </wp:inline>
              </w:drawing>
            </w:r>
          </w:p>
        </w:tc>
        <w:tc>
          <w:tcPr>
            <w:tcW w:w="4309" w:type="dxa"/>
          </w:tcPr>
          <w:p w14:paraId="3AB7BE4E" w14:textId="2D636523" w:rsidR="00B121E1" w:rsidRDefault="00B121E1" w:rsidP="00B121E1">
            <w:pPr>
              <w:pStyle w:val="CETBodytext"/>
              <w:jc w:val="left"/>
              <w:rPr>
                <w:lang w:val="en-GB"/>
              </w:rPr>
            </w:pPr>
            <w:r w:rsidRPr="00B121E1">
              <w:rPr>
                <w:noProof/>
                <w:lang w:val="en-GB"/>
              </w:rPr>
              <w:drawing>
                <wp:inline distT="0" distB="0" distL="0" distR="0" wp14:anchorId="592BC788" wp14:editId="4E587951">
                  <wp:extent cx="1669499" cy="1260000"/>
                  <wp:effectExtent l="0" t="0" r="6985" b="0"/>
                  <wp:docPr id="5898509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0996" name=""/>
                          <pic:cNvPicPr/>
                        </pic:nvPicPr>
                        <pic:blipFill>
                          <a:blip r:embed="rId16"/>
                          <a:stretch>
                            <a:fillRect/>
                          </a:stretch>
                        </pic:blipFill>
                        <pic:spPr>
                          <a:xfrm>
                            <a:off x="0" y="0"/>
                            <a:ext cx="1669499" cy="1260000"/>
                          </a:xfrm>
                          <a:prstGeom prst="rect">
                            <a:avLst/>
                          </a:prstGeom>
                        </pic:spPr>
                      </pic:pic>
                    </a:graphicData>
                  </a:graphic>
                </wp:inline>
              </w:drawing>
            </w:r>
          </w:p>
        </w:tc>
      </w:tr>
    </w:tbl>
    <w:p w14:paraId="4D24BFC5" w14:textId="5653C4EC" w:rsidR="00195E45" w:rsidRPr="0078684B" w:rsidRDefault="0078684B" w:rsidP="0078684B">
      <w:pPr>
        <w:pStyle w:val="CETBodytext"/>
        <w:jc w:val="left"/>
        <w:rPr>
          <w:rStyle w:val="CETCaptionCarattere"/>
        </w:rPr>
      </w:pPr>
      <w:bookmarkStart w:id="3" w:name="_Ref220332700"/>
      <w:r w:rsidRPr="0078684B">
        <w:rPr>
          <w:rStyle w:val="CETCaptionCarattere"/>
        </w:rPr>
        <w:t xml:space="preserve">Figure </w:t>
      </w:r>
      <w:r w:rsidRPr="0078684B">
        <w:rPr>
          <w:rStyle w:val="CETCaptionCarattere"/>
        </w:rPr>
        <w:fldChar w:fldCharType="begin"/>
      </w:r>
      <w:r w:rsidRPr="0078684B">
        <w:rPr>
          <w:rStyle w:val="CETCaptionCarattere"/>
        </w:rPr>
        <w:instrText xml:space="preserve"> SEQ Figure \* ARABIC </w:instrText>
      </w:r>
      <w:r w:rsidRPr="0078684B">
        <w:rPr>
          <w:rStyle w:val="CETCaptionCarattere"/>
        </w:rPr>
        <w:fldChar w:fldCharType="separate"/>
      </w:r>
      <w:r w:rsidR="00C677C9">
        <w:rPr>
          <w:rStyle w:val="CETCaptionCarattere"/>
          <w:noProof/>
        </w:rPr>
        <w:t>3</w:t>
      </w:r>
      <w:r w:rsidRPr="0078684B">
        <w:rPr>
          <w:rStyle w:val="CETCaptionCarattere"/>
        </w:rPr>
        <w:fldChar w:fldCharType="end"/>
      </w:r>
      <w:bookmarkEnd w:id="3"/>
      <w:r w:rsidRPr="0078684B">
        <w:rPr>
          <w:rStyle w:val="CETCaptionCarattere"/>
        </w:rPr>
        <w:t xml:space="preserve">: </w:t>
      </w:r>
      <w:r w:rsidR="005E7CFC">
        <w:rPr>
          <w:rStyle w:val="CETCaptionCarattere"/>
        </w:rPr>
        <w:t xml:space="preserve">First scenario: </w:t>
      </w:r>
      <w:r w:rsidR="006E02C4">
        <w:rPr>
          <w:rStyle w:val="CETCaptionCarattere"/>
        </w:rPr>
        <w:t>s</w:t>
      </w:r>
      <w:r w:rsidR="006E02C4" w:rsidRPr="006E02C4">
        <w:rPr>
          <w:rStyle w:val="CETCaptionCarattere"/>
        </w:rPr>
        <w:t>equential powder and solvent charging in a non</w:t>
      </w:r>
      <w:r w:rsidR="006E02C4" w:rsidRPr="006E02C4">
        <w:rPr>
          <w:rStyle w:val="CETCaptionCarattere"/>
          <w:rFonts w:ascii="Cambria Math" w:hAnsi="Cambria Math" w:cs="Cambria Math"/>
        </w:rPr>
        <w:t>‑</w:t>
      </w:r>
      <w:r w:rsidR="006E02C4" w:rsidRPr="006E02C4">
        <w:rPr>
          <w:rStyle w:val="CETCaptionCarattere"/>
        </w:rPr>
        <w:t>inerted system</w:t>
      </w:r>
    </w:p>
    <w:p w14:paraId="02738AEF" w14:textId="2A381B19" w:rsidR="00195E45" w:rsidRDefault="00195E45" w:rsidP="000C3D0F">
      <w:pPr>
        <w:pStyle w:val="CETBodytext"/>
        <w:rPr>
          <w:lang w:val="en-GB"/>
        </w:rPr>
      </w:pPr>
      <w:r w:rsidRPr="00195E45">
        <w:rPr>
          <w:lang w:val="en-GB"/>
        </w:rPr>
        <w:t xml:space="preserve">The second scenario </w:t>
      </w:r>
      <w:r w:rsidR="00315755">
        <w:rPr>
          <w:lang w:val="en-GB"/>
        </w:rPr>
        <w:t>(</w:t>
      </w:r>
      <w:r w:rsidR="00315755">
        <w:rPr>
          <w:lang w:val="en-GB"/>
        </w:rPr>
        <w:fldChar w:fldCharType="begin"/>
      </w:r>
      <w:r w:rsidR="00315755">
        <w:rPr>
          <w:lang w:val="en-GB"/>
        </w:rPr>
        <w:instrText xml:space="preserve"> REF _Ref220334090 \h </w:instrText>
      </w:r>
      <w:r w:rsidR="00315755">
        <w:rPr>
          <w:lang w:val="en-GB"/>
        </w:rPr>
      </w:r>
      <w:r w:rsidR="00315755">
        <w:rPr>
          <w:lang w:val="en-GB"/>
        </w:rPr>
        <w:fldChar w:fldCharType="separate"/>
      </w:r>
      <w:r w:rsidR="00C677C9" w:rsidRPr="005E7CFC">
        <w:rPr>
          <w:rStyle w:val="CETCaptionCarattere"/>
        </w:rPr>
        <w:t xml:space="preserve">Figure </w:t>
      </w:r>
      <w:r w:rsidR="00C677C9">
        <w:rPr>
          <w:rStyle w:val="CETCaptionCarattere"/>
          <w:noProof/>
        </w:rPr>
        <w:t>4</w:t>
      </w:r>
      <w:r w:rsidR="00315755">
        <w:rPr>
          <w:lang w:val="en-GB"/>
        </w:rPr>
        <w:fldChar w:fldCharType="end"/>
      </w:r>
      <w:r w:rsidR="00315755">
        <w:rPr>
          <w:lang w:val="en-GB"/>
        </w:rPr>
        <w:t xml:space="preserve">) </w:t>
      </w:r>
      <w:r w:rsidRPr="00195E45">
        <w:rPr>
          <w:lang w:val="en-GB"/>
        </w:rPr>
        <w:t>concerns the dosing of powder into a flammable solvent that has been cooled to</w:t>
      </w:r>
      <w:r w:rsidR="00327008">
        <w:rPr>
          <w:lang w:val="en-GB"/>
        </w:rPr>
        <w:t xml:space="preserve"> a temperature range of approximately 20°C to 40</w:t>
      </w:r>
      <w:r w:rsidRPr="00195E45">
        <w:rPr>
          <w:lang w:val="en-GB"/>
        </w:rPr>
        <w:t xml:space="preserve"> °C below its flash point. This </w:t>
      </w:r>
      <w:r w:rsidR="00327008">
        <w:rPr>
          <w:lang w:val="en-GB"/>
        </w:rPr>
        <w:t xml:space="preserve">range of </w:t>
      </w:r>
      <w:r w:rsidRPr="00195E45">
        <w:rPr>
          <w:lang w:val="en-GB"/>
        </w:rPr>
        <w:t xml:space="preserve">operating condition significantly reduces the likelihood of vapour formation and, consequently, the probability of generating an explosive atmosphere during the charging phase. </w:t>
      </w:r>
      <w:r w:rsidR="00327008">
        <w:rPr>
          <w:lang w:val="en-GB"/>
        </w:rPr>
        <w:t xml:space="preserve">This range is generally selected based on industrial experience and specific company guidelines. </w:t>
      </w:r>
      <w:r w:rsidRPr="00195E45">
        <w:rPr>
          <w:lang w:val="en-GB"/>
        </w:rPr>
        <w:t>The key distinction between this scenario and the previous one lies in the temperature</w:t>
      </w:r>
      <w:r w:rsidRPr="00195E45">
        <w:rPr>
          <w:lang w:val="en-GB"/>
        </w:rPr>
        <w:noBreakHyphen/>
        <w:t>control strategy adopted: in this case, the system relies on an active thermal management arrangement designed to maintain the solvent at a sufficiently low temperature throughout the operation. Such control measures are essential to ensure that the solvent remains well below its critical ignition parameters, thereby mitigating the risk associated with hybrid mixture formation and limiting the extent of hazardous area classification.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5"/>
        <w:gridCol w:w="4743"/>
      </w:tblGrid>
      <w:tr w:rsidR="00B121E1" w14:paraId="76A2ABC7" w14:textId="77777777" w:rsidTr="00BE3AED">
        <w:trPr>
          <w:trHeight w:val="2055"/>
        </w:trPr>
        <w:tc>
          <w:tcPr>
            <w:tcW w:w="3015" w:type="dxa"/>
          </w:tcPr>
          <w:p w14:paraId="1FC1AB1C" w14:textId="3B91809A" w:rsidR="00B121E1" w:rsidRDefault="00B121E1" w:rsidP="00B121E1">
            <w:pPr>
              <w:pStyle w:val="CETBodytext"/>
              <w:jc w:val="left"/>
              <w:rPr>
                <w:lang w:val="en-GB"/>
              </w:rPr>
            </w:pPr>
            <w:r w:rsidRPr="00B121E1">
              <w:rPr>
                <w:noProof/>
                <w:lang w:val="en-GB"/>
              </w:rPr>
              <w:lastRenderedPageBreak/>
              <w:drawing>
                <wp:inline distT="0" distB="0" distL="0" distR="0" wp14:anchorId="57FF7AF8" wp14:editId="44934BBA">
                  <wp:extent cx="1718697" cy="1260000"/>
                  <wp:effectExtent l="0" t="0" r="0" b="0"/>
                  <wp:docPr id="981005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0567" name=""/>
                          <pic:cNvPicPr/>
                        </pic:nvPicPr>
                        <pic:blipFill>
                          <a:blip r:embed="rId17"/>
                          <a:stretch>
                            <a:fillRect/>
                          </a:stretch>
                        </pic:blipFill>
                        <pic:spPr>
                          <a:xfrm>
                            <a:off x="0" y="0"/>
                            <a:ext cx="1718697" cy="1260000"/>
                          </a:xfrm>
                          <a:prstGeom prst="rect">
                            <a:avLst/>
                          </a:prstGeom>
                        </pic:spPr>
                      </pic:pic>
                    </a:graphicData>
                  </a:graphic>
                </wp:inline>
              </w:drawing>
            </w:r>
          </w:p>
        </w:tc>
        <w:tc>
          <w:tcPr>
            <w:tcW w:w="4743" w:type="dxa"/>
          </w:tcPr>
          <w:p w14:paraId="63CE265D" w14:textId="61F18623" w:rsidR="00B121E1" w:rsidRDefault="00B121E1" w:rsidP="00B121E1">
            <w:pPr>
              <w:pStyle w:val="CETBodytext"/>
              <w:jc w:val="left"/>
              <w:rPr>
                <w:lang w:val="en-GB"/>
              </w:rPr>
            </w:pPr>
            <w:r w:rsidRPr="00B121E1">
              <w:rPr>
                <w:noProof/>
                <w:lang w:val="en-GB"/>
              </w:rPr>
              <w:drawing>
                <wp:inline distT="0" distB="0" distL="0" distR="0" wp14:anchorId="09B3D924" wp14:editId="5809A90F">
                  <wp:extent cx="2381259" cy="1260000"/>
                  <wp:effectExtent l="0" t="0" r="0" b="0"/>
                  <wp:docPr id="20100743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74382" name=""/>
                          <pic:cNvPicPr/>
                        </pic:nvPicPr>
                        <pic:blipFill>
                          <a:blip r:embed="rId18"/>
                          <a:stretch>
                            <a:fillRect/>
                          </a:stretch>
                        </pic:blipFill>
                        <pic:spPr>
                          <a:xfrm>
                            <a:off x="0" y="0"/>
                            <a:ext cx="2381259" cy="1260000"/>
                          </a:xfrm>
                          <a:prstGeom prst="rect">
                            <a:avLst/>
                          </a:prstGeom>
                        </pic:spPr>
                      </pic:pic>
                    </a:graphicData>
                  </a:graphic>
                </wp:inline>
              </w:drawing>
            </w:r>
          </w:p>
        </w:tc>
      </w:tr>
    </w:tbl>
    <w:p w14:paraId="4DCB00C8" w14:textId="45929B5F" w:rsidR="00B121E1" w:rsidRDefault="005E7CFC" w:rsidP="005E7CFC">
      <w:pPr>
        <w:pStyle w:val="CETBodytext"/>
        <w:jc w:val="left"/>
        <w:rPr>
          <w:rStyle w:val="CETCaptionCarattere"/>
        </w:rPr>
      </w:pPr>
      <w:bookmarkStart w:id="4" w:name="_Ref220334090"/>
      <w:r w:rsidRPr="005E7CFC">
        <w:rPr>
          <w:rStyle w:val="CETCaptionCarattere"/>
        </w:rPr>
        <w:t xml:space="preserve">Figure </w:t>
      </w:r>
      <w:r w:rsidRPr="005E7CFC">
        <w:rPr>
          <w:rStyle w:val="CETCaptionCarattere"/>
        </w:rPr>
        <w:fldChar w:fldCharType="begin"/>
      </w:r>
      <w:r w:rsidRPr="005E7CFC">
        <w:rPr>
          <w:rStyle w:val="CETCaptionCarattere"/>
        </w:rPr>
        <w:instrText xml:space="preserve"> SEQ Figure \* ARABIC </w:instrText>
      </w:r>
      <w:r w:rsidRPr="005E7CFC">
        <w:rPr>
          <w:rStyle w:val="CETCaptionCarattere"/>
        </w:rPr>
        <w:fldChar w:fldCharType="separate"/>
      </w:r>
      <w:r w:rsidR="00C677C9">
        <w:rPr>
          <w:rStyle w:val="CETCaptionCarattere"/>
          <w:noProof/>
        </w:rPr>
        <w:t>4</w:t>
      </w:r>
      <w:r w:rsidRPr="005E7CFC">
        <w:rPr>
          <w:rStyle w:val="CETCaptionCarattere"/>
        </w:rPr>
        <w:fldChar w:fldCharType="end"/>
      </w:r>
      <w:bookmarkEnd w:id="4"/>
      <w:r w:rsidRPr="005E7CFC">
        <w:rPr>
          <w:rStyle w:val="CETCaptionCarattere"/>
        </w:rPr>
        <w:t xml:space="preserve">: Second scenario: </w:t>
      </w:r>
      <w:r w:rsidR="005552CD">
        <w:rPr>
          <w:rStyle w:val="CETCaptionCarattere"/>
        </w:rPr>
        <w:t>p</w:t>
      </w:r>
      <w:r w:rsidRPr="005E7CFC">
        <w:rPr>
          <w:rStyle w:val="CETCaptionCarattere"/>
        </w:rPr>
        <w:t>owder dosing in flammable solvent cooled 35°C below FP</w:t>
      </w:r>
    </w:p>
    <w:p w14:paraId="1D80B34C" w14:textId="418C6959" w:rsidR="00EE5FA6" w:rsidRDefault="00CE65F2" w:rsidP="00D33E70">
      <w:pPr>
        <w:pStyle w:val="CETBodytext"/>
      </w:pPr>
      <w:r>
        <w:t>T</w:t>
      </w:r>
      <w:r w:rsidR="00195E45" w:rsidRPr="00195E45">
        <w:t xml:space="preserve">he third scenario involves the dosing of powder through an </w:t>
      </w:r>
      <w:r w:rsidRPr="00195E45">
        <w:t>optimized</w:t>
      </w:r>
      <w:r w:rsidR="00195E45" w:rsidRPr="00195E45">
        <w:t xml:space="preserve"> airlock system equipped with an inerting arrangement</w:t>
      </w:r>
      <w:r w:rsidR="00D71FF8">
        <w:t xml:space="preserve"> (</w:t>
      </w:r>
      <w:r w:rsidR="00D71FF8">
        <w:fldChar w:fldCharType="begin"/>
      </w:r>
      <w:r w:rsidR="00D71FF8">
        <w:instrText xml:space="preserve"> REF _Ref220334169 \h </w:instrText>
      </w:r>
      <w:r w:rsidR="00D71FF8">
        <w:fldChar w:fldCharType="separate"/>
      </w:r>
      <w:r w:rsidR="00C677C9" w:rsidRPr="00E56EFC">
        <w:rPr>
          <w:rStyle w:val="CETCaptionCarattere"/>
        </w:rPr>
        <w:t xml:space="preserve">Table </w:t>
      </w:r>
      <w:r w:rsidR="00C677C9">
        <w:rPr>
          <w:rStyle w:val="CETCaptionCarattere"/>
          <w:b/>
          <w:bCs/>
          <w:noProof/>
        </w:rPr>
        <w:t>1</w:t>
      </w:r>
      <w:r w:rsidR="00D71FF8">
        <w:fldChar w:fldCharType="end"/>
      </w:r>
      <w:r w:rsidR="00D71FF8">
        <w:t>)</w:t>
      </w:r>
      <w:r w:rsidR="00195E45" w:rsidRPr="00195E45">
        <w:t xml:space="preserve">. </w:t>
      </w:r>
      <w:r w:rsidR="00057E24">
        <w:t>A good inerting corresponds to either</w:t>
      </w:r>
      <w:r w:rsidR="00EE5FA6">
        <w:t>:</w:t>
      </w:r>
    </w:p>
    <w:tbl>
      <w:tblPr>
        <w:tblW w:w="5000" w:type="pct"/>
        <w:tblLook w:val="04A0" w:firstRow="1" w:lastRow="0" w:firstColumn="1" w:lastColumn="0" w:noHBand="0" w:noVBand="1"/>
      </w:tblPr>
      <w:tblGrid>
        <w:gridCol w:w="7985"/>
        <w:gridCol w:w="802"/>
      </w:tblGrid>
      <w:tr w:rsidR="00AF113E" w:rsidRPr="00B57B36" w14:paraId="54E735E8" w14:textId="77777777" w:rsidTr="00637C23">
        <w:tc>
          <w:tcPr>
            <w:tcW w:w="8188" w:type="dxa"/>
            <w:vAlign w:val="center"/>
          </w:tcPr>
          <w:p w14:paraId="1C2D7117" w14:textId="1E9C3379" w:rsidR="00AF113E" w:rsidRPr="00AF113E" w:rsidRDefault="00AF113E" w:rsidP="00AF113E">
            <w:pPr>
              <w:pStyle w:val="CETBodytext"/>
              <w:ind w:left="720"/>
            </w:pPr>
            <m:oMath>
              <m:r>
                <w:rPr>
                  <w:rFonts w:ascii="Cambria Math" w:hAnsi="Cambria Math"/>
                </w:rPr>
                <m:t>% O2=LOC-2% or % O2=0,6·LOC</m:t>
              </m:r>
            </m:oMath>
            <w:r>
              <w:t xml:space="preserve"> (Limit Oxygen Concentration)</w:t>
            </w:r>
          </w:p>
        </w:tc>
        <w:tc>
          <w:tcPr>
            <w:tcW w:w="815" w:type="dxa"/>
            <w:vAlign w:val="center"/>
          </w:tcPr>
          <w:p w14:paraId="16584F4F" w14:textId="77777777" w:rsidR="00AF113E" w:rsidRPr="00B57B36" w:rsidRDefault="00AF113E" w:rsidP="00637C23">
            <w:pPr>
              <w:pStyle w:val="CETEquation"/>
              <w:jc w:val="right"/>
            </w:pPr>
            <w:r w:rsidRPr="00B57B36">
              <w:t>(1)</w:t>
            </w:r>
          </w:p>
        </w:tc>
      </w:tr>
    </w:tbl>
    <w:p w14:paraId="5C586758" w14:textId="6D3641EE" w:rsidR="00CE65F2" w:rsidRDefault="006D4D36" w:rsidP="00D33E70">
      <w:pPr>
        <w:pStyle w:val="CETBodytext"/>
      </w:pPr>
      <w:r>
        <w:t>To achieve adequate levels of risk reduction using an inerting system, it is necessary to follow appropriate design and maintenance procedures, depending on the selected technology and the characteristics of the installation. When designing or increasing the automation level of a plant or process, it is essential to define safe operating conditions, taking into account the interactions between equipment, the materials handled, and the system atmosphere. I</w:t>
      </w:r>
      <w:r w:rsidR="00AA6FAD">
        <w:t>n accordance with technical standard CEN/TR 15281:2022</w:t>
      </w:r>
      <w:r w:rsidR="00315755">
        <w:t xml:space="preserve"> (</w:t>
      </w:r>
      <w:r w:rsidR="00315755">
        <w:fldChar w:fldCharType="begin"/>
      </w:r>
      <w:r w:rsidR="00315755">
        <w:instrText xml:space="preserve"> REF _Ref220334131 \h </w:instrText>
      </w:r>
      <w:r w:rsidR="00315755">
        <w:fldChar w:fldCharType="separate"/>
      </w:r>
      <w:r w:rsidR="00C677C9" w:rsidRPr="006D4D36">
        <w:rPr>
          <w:rStyle w:val="CETCaptionCarattere"/>
        </w:rPr>
        <w:t xml:space="preserve">Figure </w:t>
      </w:r>
      <w:r w:rsidR="00C677C9">
        <w:rPr>
          <w:rStyle w:val="CETCaptionCarattere"/>
          <w:b/>
          <w:bCs/>
          <w:noProof/>
        </w:rPr>
        <w:t>5</w:t>
      </w:r>
      <w:r w:rsidR="00315755">
        <w:fldChar w:fldCharType="end"/>
      </w:r>
      <w:r w:rsidR="00315755">
        <w:t>)</w:t>
      </w:r>
      <w:r w:rsidR="00AA6FAD">
        <w:t>, i</w:t>
      </w:r>
      <w:r>
        <w:t>t is recommended to properly assess the achievable safety levels and to emphasize that effective inerting is a function of the LOC of the substance being processed, which represents the key reference parameter for determining the effectiveness of oxygen reduction.</w:t>
      </w:r>
    </w:p>
    <w:p w14:paraId="30CEA922" w14:textId="77777777" w:rsidR="006D4D36" w:rsidRDefault="006D4D36" w:rsidP="006D4D36">
      <w:pPr>
        <w:pStyle w:val="CETBodytext"/>
        <w:keepNext/>
      </w:pPr>
      <w:r w:rsidRPr="006D4D36">
        <w:rPr>
          <w:noProof/>
        </w:rPr>
        <w:drawing>
          <wp:inline distT="0" distB="0" distL="0" distR="0" wp14:anchorId="6653AFCF" wp14:editId="68BD784E">
            <wp:extent cx="2560320" cy="1918712"/>
            <wp:effectExtent l="0" t="0" r="0" b="5715"/>
            <wp:docPr id="9210323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32327" name=""/>
                    <pic:cNvPicPr/>
                  </pic:nvPicPr>
                  <pic:blipFill>
                    <a:blip r:embed="rId19"/>
                    <a:stretch>
                      <a:fillRect/>
                    </a:stretch>
                  </pic:blipFill>
                  <pic:spPr>
                    <a:xfrm>
                      <a:off x="0" y="0"/>
                      <a:ext cx="2580064" cy="1933508"/>
                    </a:xfrm>
                    <a:prstGeom prst="rect">
                      <a:avLst/>
                    </a:prstGeom>
                  </pic:spPr>
                </pic:pic>
              </a:graphicData>
            </a:graphic>
          </wp:inline>
        </w:drawing>
      </w:r>
    </w:p>
    <w:p w14:paraId="281FDD03" w14:textId="152FD33B" w:rsidR="006D4D36" w:rsidRPr="006D4D36" w:rsidRDefault="006D4D36" w:rsidP="006D4D36">
      <w:pPr>
        <w:pStyle w:val="Didascalia"/>
        <w:keepNext/>
        <w:rPr>
          <w:rStyle w:val="CETCaptionCarattere"/>
          <w:b w:val="0"/>
          <w:bCs w:val="0"/>
          <w:color w:val="auto"/>
        </w:rPr>
      </w:pPr>
      <w:bookmarkStart w:id="5" w:name="_Ref220334131"/>
      <w:r w:rsidRPr="006D4D36">
        <w:rPr>
          <w:rStyle w:val="CETCaptionCarattere"/>
          <w:b w:val="0"/>
          <w:bCs w:val="0"/>
          <w:color w:val="auto"/>
        </w:rPr>
        <w:t xml:space="preserve">Figure </w:t>
      </w:r>
      <w:r w:rsidRPr="006D4D36">
        <w:rPr>
          <w:rStyle w:val="CETCaptionCarattere"/>
          <w:b w:val="0"/>
          <w:bCs w:val="0"/>
          <w:color w:val="auto"/>
        </w:rPr>
        <w:fldChar w:fldCharType="begin"/>
      </w:r>
      <w:r w:rsidRPr="006D4D36">
        <w:rPr>
          <w:rStyle w:val="CETCaptionCarattere"/>
          <w:b w:val="0"/>
          <w:bCs w:val="0"/>
          <w:color w:val="auto"/>
        </w:rPr>
        <w:instrText xml:space="preserve"> SEQ Figure \* ARABIC </w:instrText>
      </w:r>
      <w:r w:rsidRPr="006D4D36">
        <w:rPr>
          <w:rStyle w:val="CETCaptionCarattere"/>
          <w:b w:val="0"/>
          <w:bCs w:val="0"/>
          <w:color w:val="auto"/>
        </w:rPr>
        <w:fldChar w:fldCharType="separate"/>
      </w:r>
      <w:r w:rsidR="00C677C9">
        <w:rPr>
          <w:rStyle w:val="CETCaptionCarattere"/>
          <w:b w:val="0"/>
          <w:bCs w:val="0"/>
          <w:noProof/>
          <w:color w:val="auto"/>
        </w:rPr>
        <w:t>5</w:t>
      </w:r>
      <w:r w:rsidRPr="006D4D36">
        <w:rPr>
          <w:rStyle w:val="CETCaptionCarattere"/>
          <w:b w:val="0"/>
          <w:bCs w:val="0"/>
          <w:color w:val="auto"/>
        </w:rPr>
        <w:fldChar w:fldCharType="end"/>
      </w:r>
      <w:bookmarkEnd w:id="5"/>
      <w:r w:rsidRPr="006D4D36">
        <w:rPr>
          <w:rStyle w:val="CETCaptionCarattere"/>
          <w:b w:val="0"/>
          <w:bCs w:val="0"/>
          <w:color w:val="auto"/>
        </w:rPr>
        <w:t>: Oxygen concentrations to be observed when inerting equipment</w:t>
      </w:r>
    </w:p>
    <w:p w14:paraId="1B88765B" w14:textId="77777777" w:rsidR="006D4D36" w:rsidRDefault="006D4D36" w:rsidP="006D4D36">
      <w:pPr>
        <w:pStyle w:val="CETBodytext"/>
      </w:pPr>
    </w:p>
    <w:p w14:paraId="7CE872C8" w14:textId="0FE4A40A" w:rsidR="00E56EFC" w:rsidRPr="00E56EFC" w:rsidRDefault="00E56EFC" w:rsidP="00E56EFC">
      <w:pPr>
        <w:pStyle w:val="Didascalia"/>
        <w:keepNext/>
        <w:rPr>
          <w:rStyle w:val="CETCaptionCarattere"/>
          <w:b w:val="0"/>
          <w:bCs w:val="0"/>
          <w:color w:val="auto"/>
        </w:rPr>
      </w:pPr>
      <w:bookmarkStart w:id="6" w:name="_Ref220334169"/>
      <w:r w:rsidRPr="00E56EFC">
        <w:rPr>
          <w:rStyle w:val="CETCaptionCarattere"/>
          <w:b w:val="0"/>
          <w:bCs w:val="0"/>
          <w:color w:val="auto"/>
        </w:rPr>
        <w:t xml:space="preserve">Table </w:t>
      </w:r>
      <w:r w:rsidRPr="00E56EFC">
        <w:rPr>
          <w:rStyle w:val="CETCaptionCarattere"/>
          <w:b w:val="0"/>
          <w:bCs w:val="0"/>
          <w:color w:val="auto"/>
        </w:rPr>
        <w:fldChar w:fldCharType="begin"/>
      </w:r>
      <w:r w:rsidRPr="00E56EFC">
        <w:rPr>
          <w:rStyle w:val="CETCaptionCarattere"/>
          <w:b w:val="0"/>
          <w:bCs w:val="0"/>
          <w:color w:val="auto"/>
        </w:rPr>
        <w:instrText xml:space="preserve"> SEQ Table \* ARABIC </w:instrText>
      </w:r>
      <w:r w:rsidRPr="00E56EFC">
        <w:rPr>
          <w:rStyle w:val="CETCaptionCarattere"/>
          <w:b w:val="0"/>
          <w:bCs w:val="0"/>
          <w:color w:val="auto"/>
        </w:rPr>
        <w:fldChar w:fldCharType="separate"/>
      </w:r>
      <w:r w:rsidR="00C677C9">
        <w:rPr>
          <w:rStyle w:val="CETCaptionCarattere"/>
          <w:b w:val="0"/>
          <w:bCs w:val="0"/>
          <w:noProof/>
          <w:color w:val="auto"/>
        </w:rPr>
        <w:t>1</w:t>
      </w:r>
      <w:r w:rsidRPr="00E56EFC">
        <w:rPr>
          <w:rStyle w:val="CETCaptionCarattere"/>
          <w:b w:val="0"/>
          <w:bCs w:val="0"/>
          <w:color w:val="auto"/>
        </w:rPr>
        <w:fldChar w:fldCharType="end"/>
      </w:r>
      <w:bookmarkEnd w:id="6"/>
      <w:r w:rsidRPr="00E56EFC">
        <w:rPr>
          <w:rStyle w:val="CETCaptionCarattere"/>
          <w:b w:val="0"/>
          <w:bCs w:val="0"/>
          <w:color w:val="auto"/>
        </w:rPr>
        <w:t>: Inerting Level</w:t>
      </w:r>
    </w:p>
    <w:tbl>
      <w:tblPr>
        <w:tblW w:w="911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18"/>
        <w:gridCol w:w="2329"/>
        <w:gridCol w:w="1166"/>
        <w:gridCol w:w="1163"/>
        <w:gridCol w:w="2335"/>
      </w:tblGrid>
      <w:tr w:rsidR="00057E24" w:rsidRPr="00B57B36" w14:paraId="024FA8E7" w14:textId="77777777" w:rsidTr="00AA1D36">
        <w:trPr>
          <w:trHeight w:val="136"/>
        </w:trPr>
        <w:tc>
          <w:tcPr>
            <w:tcW w:w="2118" w:type="dxa"/>
            <w:tcBorders>
              <w:top w:val="single" w:sz="12" w:space="0" w:color="008000"/>
              <w:bottom w:val="single" w:sz="6" w:space="0" w:color="008000"/>
            </w:tcBorders>
            <w:shd w:val="clear" w:color="auto" w:fill="FFFFFF"/>
          </w:tcPr>
          <w:p w14:paraId="4271FA22" w14:textId="72163560" w:rsidR="00057E24" w:rsidRPr="00B57B36" w:rsidRDefault="00057E24" w:rsidP="00FF61A7">
            <w:pPr>
              <w:pStyle w:val="CETBodytext"/>
              <w:rPr>
                <w:lang w:val="en-GB"/>
              </w:rPr>
            </w:pPr>
            <w:r>
              <w:rPr>
                <w:lang w:val="en-GB"/>
              </w:rPr>
              <w:t>Inerting Level</w:t>
            </w:r>
            <w:r w:rsidRPr="00B57B36">
              <w:rPr>
                <w:lang w:val="en-GB"/>
              </w:rPr>
              <w:t xml:space="preserve"> </w:t>
            </w:r>
          </w:p>
        </w:tc>
        <w:tc>
          <w:tcPr>
            <w:tcW w:w="6993" w:type="dxa"/>
            <w:gridSpan w:val="4"/>
            <w:tcBorders>
              <w:top w:val="single" w:sz="12" w:space="0" w:color="008000"/>
              <w:bottom w:val="single" w:sz="6" w:space="0" w:color="008000"/>
            </w:tcBorders>
            <w:shd w:val="clear" w:color="auto" w:fill="FFFFFF"/>
          </w:tcPr>
          <w:p w14:paraId="2995CFA8" w14:textId="494908B2" w:rsidR="00057E24" w:rsidRPr="00B57B36" w:rsidRDefault="00057E24" w:rsidP="00FF61A7">
            <w:pPr>
              <w:pStyle w:val="CETBodytext"/>
              <w:rPr>
                <w:lang w:val="en-GB"/>
              </w:rPr>
            </w:pPr>
            <w:r>
              <w:rPr>
                <w:lang w:val="en-GB"/>
              </w:rPr>
              <w:t>Description</w:t>
            </w:r>
          </w:p>
        </w:tc>
      </w:tr>
      <w:tr w:rsidR="00FB2961" w:rsidRPr="00B57B36" w14:paraId="6D43D3C0" w14:textId="77777777" w:rsidTr="00AA1D36">
        <w:trPr>
          <w:trHeight w:val="290"/>
        </w:trPr>
        <w:tc>
          <w:tcPr>
            <w:tcW w:w="2118" w:type="dxa"/>
            <w:vMerge w:val="restart"/>
            <w:shd w:val="clear" w:color="auto" w:fill="FFFFFF"/>
            <w:vAlign w:val="center"/>
          </w:tcPr>
          <w:p w14:paraId="450F62D6" w14:textId="497EF432" w:rsidR="00FB2961" w:rsidRPr="00B57B36" w:rsidRDefault="00FB2961" w:rsidP="00A4617A">
            <w:pPr>
              <w:pStyle w:val="CETBodytext"/>
              <w:jc w:val="left"/>
              <w:rPr>
                <w:lang w:val="en-GB"/>
              </w:rPr>
            </w:pPr>
            <w:r>
              <w:rPr>
                <w:lang w:val="en-GB"/>
              </w:rPr>
              <w:t>Level 2</w:t>
            </w:r>
            <w:r w:rsidR="00EF154A">
              <w:rPr>
                <w:lang w:val="en-GB"/>
              </w:rPr>
              <w:t xml:space="preserve"> (</w:t>
            </w:r>
            <w:r w:rsidR="00EF154A">
              <w:rPr>
                <w:lang w:val="en-GB"/>
              </w:rPr>
              <w:fldChar w:fldCharType="begin"/>
            </w:r>
            <w:r w:rsidR="00EF154A">
              <w:rPr>
                <w:lang w:val="en-GB"/>
              </w:rPr>
              <w:instrText xml:space="preserve"> REF _Ref220334245 \h </w:instrText>
            </w:r>
            <w:r w:rsidR="00EF154A">
              <w:rPr>
                <w:lang w:val="en-GB"/>
              </w:rPr>
            </w:r>
            <w:r w:rsidR="00EF154A">
              <w:rPr>
                <w:lang w:val="en-GB"/>
              </w:rPr>
              <w:fldChar w:fldCharType="separate"/>
            </w:r>
            <w:r w:rsidR="00C677C9" w:rsidRPr="00CE65F2">
              <w:rPr>
                <w:rStyle w:val="CETCaptionCarattere"/>
              </w:rPr>
              <w:t xml:space="preserve">Figure </w:t>
            </w:r>
            <w:r w:rsidR="00C677C9">
              <w:rPr>
                <w:rStyle w:val="CETCaptionCarattere"/>
                <w:noProof/>
              </w:rPr>
              <w:t>6</w:t>
            </w:r>
            <w:r w:rsidR="00EF154A">
              <w:rPr>
                <w:lang w:val="en-GB"/>
              </w:rPr>
              <w:fldChar w:fldCharType="end"/>
            </w:r>
            <w:r w:rsidR="00EF154A">
              <w:rPr>
                <w:lang w:val="en-GB"/>
              </w:rPr>
              <w:t>)</w:t>
            </w:r>
          </w:p>
        </w:tc>
        <w:tc>
          <w:tcPr>
            <w:tcW w:w="6993" w:type="dxa"/>
            <w:gridSpan w:val="4"/>
            <w:shd w:val="clear" w:color="auto" w:fill="FFFFFF"/>
            <w:vAlign w:val="center"/>
          </w:tcPr>
          <w:p w14:paraId="7A4F7911" w14:textId="2CB9614A" w:rsidR="00FB2961" w:rsidRPr="00B57B36" w:rsidRDefault="00FB2961" w:rsidP="00FB2961">
            <w:pPr>
              <w:pStyle w:val="CETBodytext"/>
              <w:jc w:val="left"/>
              <w:rPr>
                <w:lang w:val="en-GB"/>
              </w:rPr>
            </w:pPr>
            <w:r>
              <w:rPr>
                <w:lang w:val="en-GB"/>
              </w:rPr>
              <w:t>Inerting system having Pressure or Flowrate or Oxygen monitoring /alarming (manhole/equipment can be opened during process)</w:t>
            </w:r>
          </w:p>
        </w:tc>
      </w:tr>
      <w:tr w:rsidR="00FB2961" w:rsidRPr="00B57B36" w14:paraId="331F5418" w14:textId="77777777" w:rsidTr="00AA1D36">
        <w:trPr>
          <w:trHeight w:val="1572"/>
        </w:trPr>
        <w:tc>
          <w:tcPr>
            <w:tcW w:w="2118" w:type="dxa"/>
            <w:vMerge/>
            <w:shd w:val="clear" w:color="auto" w:fill="FFFFFF"/>
            <w:vAlign w:val="center"/>
          </w:tcPr>
          <w:p w14:paraId="5821783F" w14:textId="77777777" w:rsidR="00FB2961" w:rsidRDefault="00FB2961" w:rsidP="00A4617A">
            <w:pPr>
              <w:pStyle w:val="CETBodytext"/>
              <w:jc w:val="left"/>
              <w:rPr>
                <w:lang w:val="en-GB"/>
              </w:rPr>
            </w:pPr>
          </w:p>
        </w:tc>
        <w:tc>
          <w:tcPr>
            <w:tcW w:w="2329" w:type="dxa"/>
            <w:shd w:val="clear" w:color="auto" w:fill="FFFFFF"/>
            <w:vAlign w:val="center"/>
          </w:tcPr>
          <w:p w14:paraId="02B5CE40" w14:textId="77777777" w:rsidR="00FB2961" w:rsidRPr="00057E24" w:rsidRDefault="00FB2961" w:rsidP="00FB2961">
            <w:pPr>
              <w:pStyle w:val="CETBodytext"/>
              <w:jc w:val="left"/>
              <w:rPr>
                <w:u w:val="single"/>
                <w:lang w:val="en-GB"/>
              </w:rPr>
            </w:pPr>
            <w:r w:rsidRPr="00057E24">
              <w:rPr>
                <w:u w:val="single"/>
                <w:lang w:val="en-GB"/>
              </w:rPr>
              <w:t xml:space="preserve">Option A: </w:t>
            </w:r>
          </w:p>
          <w:p w14:paraId="14F32C5B" w14:textId="77777777" w:rsidR="00FB2961" w:rsidRDefault="00FB2961" w:rsidP="00FB2961">
            <w:pPr>
              <w:pStyle w:val="CETBodytext"/>
              <w:jc w:val="left"/>
              <w:rPr>
                <w:lang w:val="en-GB"/>
              </w:rPr>
            </w:pPr>
            <w:r>
              <w:rPr>
                <w:lang w:val="en-GB"/>
              </w:rPr>
              <w:t xml:space="preserve">N2-Pressure or </w:t>
            </w:r>
          </w:p>
          <w:p w14:paraId="2E699AB5" w14:textId="77777777" w:rsidR="00FB2961" w:rsidRDefault="00FB2961" w:rsidP="00FB2961">
            <w:pPr>
              <w:pStyle w:val="CETBodytext"/>
              <w:jc w:val="left"/>
              <w:rPr>
                <w:lang w:val="en-GB"/>
              </w:rPr>
            </w:pPr>
            <w:r>
              <w:rPr>
                <w:lang w:val="en-GB"/>
              </w:rPr>
              <w:t xml:space="preserve">N2-Flowrate or </w:t>
            </w:r>
          </w:p>
          <w:p w14:paraId="1CABED54" w14:textId="77777777" w:rsidR="00FB2961" w:rsidRDefault="00FB2961" w:rsidP="00FB2961">
            <w:pPr>
              <w:pStyle w:val="CETBodytext"/>
              <w:jc w:val="left"/>
              <w:rPr>
                <w:lang w:val="en-GB"/>
              </w:rPr>
            </w:pPr>
            <w:r>
              <w:rPr>
                <w:lang w:val="en-GB"/>
              </w:rPr>
              <w:t xml:space="preserve">O2 Concentration </w:t>
            </w:r>
          </w:p>
          <w:p w14:paraId="5F52F936" w14:textId="0EB6FA45" w:rsidR="00FB2961" w:rsidRPr="00B57B36" w:rsidRDefault="00FB2961" w:rsidP="00FB2961">
            <w:pPr>
              <w:pStyle w:val="CETBodytext"/>
              <w:jc w:val="left"/>
              <w:rPr>
                <w:lang w:val="en-GB"/>
              </w:rPr>
            </w:pPr>
            <w:r>
              <w:rPr>
                <w:lang w:val="en-GB"/>
              </w:rPr>
              <w:t>controlled by BPCS</w:t>
            </w:r>
          </w:p>
        </w:tc>
        <w:tc>
          <w:tcPr>
            <w:tcW w:w="2329" w:type="dxa"/>
            <w:gridSpan w:val="2"/>
            <w:shd w:val="clear" w:color="auto" w:fill="FFFFFF"/>
            <w:vAlign w:val="center"/>
          </w:tcPr>
          <w:p w14:paraId="6E48960D" w14:textId="77777777" w:rsidR="00FB2961" w:rsidRPr="00057E24" w:rsidRDefault="00FB2961" w:rsidP="00FB2961">
            <w:pPr>
              <w:pStyle w:val="CETBodytext"/>
              <w:jc w:val="left"/>
              <w:rPr>
                <w:u w:val="single"/>
                <w:lang w:val="en-GB"/>
              </w:rPr>
            </w:pPr>
            <w:r w:rsidRPr="00057E24">
              <w:rPr>
                <w:u w:val="single"/>
                <w:lang w:val="en-GB"/>
              </w:rPr>
              <w:t>Option B:</w:t>
            </w:r>
          </w:p>
          <w:p w14:paraId="73EF3087" w14:textId="059DF5A4" w:rsidR="00FB2961" w:rsidRDefault="00FB2961" w:rsidP="00FB2961">
            <w:pPr>
              <w:pStyle w:val="CETBodytext"/>
              <w:jc w:val="left"/>
              <w:rPr>
                <w:lang w:val="en-GB"/>
              </w:rPr>
            </w:pPr>
            <w:r>
              <w:rPr>
                <w:lang w:val="en-GB"/>
              </w:rPr>
              <w:t xml:space="preserve">Inerting </w:t>
            </w:r>
            <w:r w:rsidR="00A4617A">
              <w:rPr>
                <w:lang w:val="en-GB"/>
              </w:rPr>
              <w:t>procedure</w:t>
            </w:r>
          </w:p>
          <w:p w14:paraId="0D2F72BF" w14:textId="42BD1C1A" w:rsidR="00FB2961" w:rsidRPr="00B57B36" w:rsidRDefault="00FB2961" w:rsidP="00FB2961">
            <w:pPr>
              <w:pStyle w:val="CETBodytext"/>
              <w:jc w:val="left"/>
              <w:rPr>
                <w:lang w:val="en-GB"/>
              </w:rPr>
            </w:pPr>
            <w:r>
              <w:rPr>
                <w:lang w:val="en-GB"/>
              </w:rPr>
              <w:t>controlled by SIL1</w:t>
            </w:r>
          </w:p>
        </w:tc>
        <w:tc>
          <w:tcPr>
            <w:tcW w:w="2334" w:type="dxa"/>
            <w:shd w:val="clear" w:color="auto" w:fill="FFFFFF"/>
            <w:vAlign w:val="center"/>
          </w:tcPr>
          <w:p w14:paraId="47004A41" w14:textId="77777777" w:rsidR="00FB2961" w:rsidRDefault="00FB2961" w:rsidP="00FB2961">
            <w:pPr>
              <w:pStyle w:val="CETBodytext"/>
              <w:jc w:val="left"/>
              <w:rPr>
                <w:u w:val="single"/>
                <w:lang w:val="en-GB"/>
              </w:rPr>
            </w:pPr>
            <w:r w:rsidRPr="00057E24">
              <w:rPr>
                <w:u w:val="single"/>
                <w:lang w:val="en-GB"/>
              </w:rPr>
              <w:t>Option C:</w:t>
            </w:r>
          </w:p>
          <w:p w14:paraId="1C46CE38" w14:textId="1781DDD8" w:rsidR="00FB2961" w:rsidRDefault="00FB2961" w:rsidP="00FB2961">
            <w:pPr>
              <w:pStyle w:val="CETBodytext"/>
              <w:jc w:val="left"/>
              <w:rPr>
                <w:lang w:val="en-GB"/>
              </w:rPr>
            </w:pPr>
            <w:r>
              <w:rPr>
                <w:lang w:val="en-GB"/>
              </w:rPr>
              <w:t xml:space="preserve">N2-Pressure or </w:t>
            </w:r>
          </w:p>
          <w:p w14:paraId="6361FB28" w14:textId="77777777" w:rsidR="00FB2961" w:rsidRDefault="00FB2961" w:rsidP="00FB2961">
            <w:pPr>
              <w:pStyle w:val="CETBodytext"/>
              <w:jc w:val="left"/>
              <w:rPr>
                <w:lang w:val="en-GB"/>
              </w:rPr>
            </w:pPr>
            <w:r>
              <w:rPr>
                <w:lang w:val="en-GB"/>
              </w:rPr>
              <w:t xml:space="preserve">N2-Flowrate or </w:t>
            </w:r>
          </w:p>
          <w:p w14:paraId="170EF024" w14:textId="242A882D" w:rsidR="00FB2961" w:rsidRPr="00057E24" w:rsidRDefault="00FB2961" w:rsidP="00FB2961">
            <w:pPr>
              <w:pStyle w:val="CETBodytext"/>
              <w:jc w:val="left"/>
              <w:rPr>
                <w:u w:val="single"/>
                <w:lang w:val="en-GB"/>
              </w:rPr>
            </w:pPr>
            <w:r>
              <w:rPr>
                <w:lang w:val="en-GB"/>
              </w:rPr>
              <w:t>O2 Concentration controlled by BPCS+ONE additional independent monitor/alarming as N2-Pressure or N2-Flowrate or O2 Concentration</w:t>
            </w:r>
          </w:p>
        </w:tc>
      </w:tr>
      <w:tr w:rsidR="00A4617A" w:rsidRPr="00B57B36" w14:paraId="51E34940" w14:textId="77777777" w:rsidTr="00AA1D36">
        <w:trPr>
          <w:trHeight w:val="143"/>
        </w:trPr>
        <w:tc>
          <w:tcPr>
            <w:tcW w:w="2118" w:type="dxa"/>
            <w:vMerge w:val="restart"/>
            <w:shd w:val="clear" w:color="auto" w:fill="FFFFFF"/>
            <w:vAlign w:val="center"/>
          </w:tcPr>
          <w:p w14:paraId="5E1F4D42" w14:textId="6DDB6370" w:rsidR="00A4617A" w:rsidRPr="00B57B36" w:rsidRDefault="00A4617A" w:rsidP="00A4617A">
            <w:pPr>
              <w:pStyle w:val="CETBodytext"/>
              <w:ind w:right="-1"/>
              <w:jc w:val="left"/>
              <w:rPr>
                <w:rFonts w:cs="Arial"/>
                <w:szCs w:val="18"/>
                <w:lang w:val="en-GB"/>
              </w:rPr>
            </w:pPr>
            <w:r>
              <w:rPr>
                <w:rFonts w:cs="Arial"/>
                <w:szCs w:val="18"/>
                <w:lang w:val="en-GB"/>
              </w:rPr>
              <w:t>Level 3</w:t>
            </w:r>
            <w:r w:rsidR="00EF154A">
              <w:rPr>
                <w:rFonts w:cs="Arial"/>
                <w:szCs w:val="18"/>
                <w:lang w:val="en-GB"/>
              </w:rPr>
              <w:t xml:space="preserve"> (</w:t>
            </w:r>
            <w:r w:rsidR="00EF154A">
              <w:rPr>
                <w:rFonts w:cs="Arial"/>
                <w:szCs w:val="18"/>
                <w:lang w:val="en-GB"/>
              </w:rPr>
              <w:fldChar w:fldCharType="begin"/>
            </w:r>
            <w:r w:rsidR="00EF154A">
              <w:rPr>
                <w:rFonts w:cs="Arial"/>
                <w:szCs w:val="18"/>
                <w:lang w:val="en-GB"/>
              </w:rPr>
              <w:instrText xml:space="preserve"> REF _Ref220334247 \h </w:instrText>
            </w:r>
            <w:r w:rsidR="00EF154A">
              <w:rPr>
                <w:rFonts w:cs="Arial"/>
                <w:szCs w:val="18"/>
                <w:lang w:val="en-GB"/>
              </w:rPr>
            </w:r>
            <w:r w:rsidR="00EF154A">
              <w:rPr>
                <w:rFonts w:cs="Arial"/>
                <w:szCs w:val="18"/>
                <w:lang w:val="en-GB"/>
              </w:rPr>
              <w:fldChar w:fldCharType="separate"/>
            </w:r>
            <w:r w:rsidR="00C677C9" w:rsidRPr="00CE65F2">
              <w:rPr>
                <w:rStyle w:val="CETCaptionCarattere"/>
              </w:rPr>
              <w:t xml:space="preserve">Figure </w:t>
            </w:r>
            <w:r w:rsidR="00C677C9">
              <w:rPr>
                <w:rStyle w:val="CETCaptionCarattere"/>
                <w:noProof/>
              </w:rPr>
              <w:t>7</w:t>
            </w:r>
            <w:r w:rsidR="00EF154A">
              <w:rPr>
                <w:rFonts w:cs="Arial"/>
                <w:szCs w:val="18"/>
                <w:lang w:val="en-GB"/>
              </w:rPr>
              <w:fldChar w:fldCharType="end"/>
            </w:r>
            <w:r w:rsidR="00EF154A">
              <w:rPr>
                <w:rFonts w:cs="Arial"/>
                <w:szCs w:val="18"/>
                <w:lang w:val="en-GB"/>
              </w:rPr>
              <w:t>)</w:t>
            </w:r>
          </w:p>
        </w:tc>
        <w:tc>
          <w:tcPr>
            <w:tcW w:w="6993" w:type="dxa"/>
            <w:gridSpan w:val="4"/>
            <w:shd w:val="clear" w:color="auto" w:fill="FFFFFF"/>
            <w:vAlign w:val="center"/>
          </w:tcPr>
          <w:p w14:paraId="71E3B504" w14:textId="2445A2BF" w:rsidR="00A4617A" w:rsidRPr="00A4617A" w:rsidRDefault="00A4617A" w:rsidP="00A4617A">
            <w:pPr>
              <w:pStyle w:val="CETBodytext"/>
              <w:ind w:right="-1"/>
              <w:jc w:val="left"/>
              <w:rPr>
                <w:lang w:val="en-GB"/>
              </w:rPr>
            </w:pPr>
            <w:r>
              <w:rPr>
                <w:lang w:val="en-GB"/>
              </w:rPr>
              <w:t>Inerting system having Pressure and Oxygen  monitoring /alarming (manhole/equipment always closed during process)</w:t>
            </w:r>
          </w:p>
        </w:tc>
      </w:tr>
      <w:tr w:rsidR="00A4617A" w:rsidRPr="00B57B36" w14:paraId="15870376" w14:textId="77777777" w:rsidTr="00AA1D36">
        <w:trPr>
          <w:trHeight w:val="143"/>
        </w:trPr>
        <w:tc>
          <w:tcPr>
            <w:tcW w:w="2118" w:type="dxa"/>
            <w:vMerge/>
            <w:shd w:val="clear" w:color="auto" w:fill="FFFFFF"/>
          </w:tcPr>
          <w:p w14:paraId="63AFB441" w14:textId="77777777" w:rsidR="00A4617A" w:rsidRDefault="00A4617A" w:rsidP="00FF61A7">
            <w:pPr>
              <w:pStyle w:val="CETBodytext"/>
              <w:ind w:right="-1"/>
              <w:rPr>
                <w:rFonts w:cs="Arial"/>
                <w:szCs w:val="18"/>
                <w:lang w:val="en-GB"/>
              </w:rPr>
            </w:pPr>
          </w:p>
        </w:tc>
        <w:tc>
          <w:tcPr>
            <w:tcW w:w="3495" w:type="dxa"/>
            <w:gridSpan w:val="2"/>
            <w:shd w:val="clear" w:color="auto" w:fill="FFFFFF"/>
            <w:vAlign w:val="center"/>
          </w:tcPr>
          <w:p w14:paraId="59B0FD35" w14:textId="77777777" w:rsidR="00A4617A" w:rsidRDefault="00A4617A" w:rsidP="00A4617A">
            <w:pPr>
              <w:pStyle w:val="CETBodytext"/>
              <w:ind w:right="-1"/>
              <w:jc w:val="left"/>
              <w:rPr>
                <w:lang w:val="en-GB"/>
              </w:rPr>
            </w:pPr>
            <w:r w:rsidRPr="00A4617A">
              <w:rPr>
                <w:u w:val="single"/>
                <w:lang w:val="en-GB"/>
              </w:rPr>
              <w:t>Option C</w:t>
            </w:r>
            <w:r>
              <w:rPr>
                <w:lang w:val="en-GB"/>
              </w:rPr>
              <w:t>:</w:t>
            </w:r>
          </w:p>
          <w:p w14:paraId="02D922C3" w14:textId="236CD88F" w:rsidR="00A4617A" w:rsidRDefault="00A4617A" w:rsidP="00A4617A">
            <w:pPr>
              <w:pStyle w:val="CETBodytext"/>
              <w:jc w:val="left"/>
              <w:rPr>
                <w:lang w:val="en-GB"/>
              </w:rPr>
            </w:pPr>
            <w:r>
              <w:rPr>
                <w:lang w:val="en-GB"/>
              </w:rPr>
              <w:t>N2-Pressure or N2-Flowrate or O2 Concentration controlled by BPCS+ONE additional independent monitor/alarming as N2-Pressure or N2-Flowrate or O2 Concentration</w:t>
            </w:r>
          </w:p>
        </w:tc>
        <w:tc>
          <w:tcPr>
            <w:tcW w:w="3498" w:type="dxa"/>
            <w:gridSpan w:val="2"/>
            <w:shd w:val="clear" w:color="auto" w:fill="FFFFFF"/>
          </w:tcPr>
          <w:p w14:paraId="0D8412CB" w14:textId="77777777" w:rsidR="00A4617A" w:rsidRDefault="00A4617A" w:rsidP="00FF61A7">
            <w:pPr>
              <w:pStyle w:val="CETBodytext"/>
              <w:ind w:right="-1"/>
              <w:rPr>
                <w:u w:val="single"/>
                <w:lang w:val="en-GB"/>
              </w:rPr>
            </w:pPr>
            <w:r w:rsidRPr="00A4617A">
              <w:rPr>
                <w:u w:val="single"/>
                <w:lang w:val="en-GB"/>
              </w:rPr>
              <w:t>Option D:</w:t>
            </w:r>
          </w:p>
          <w:p w14:paraId="7D9454A5" w14:textId="77777777" w:rsidR="00A4617A" w:rsidRDefault="00A4617A" w:rsidP="00A4617A">
            <w:pPr>
              <w:pStyle w:val="CETBodytext"/>
              <w:jc w:val="left"/>
              <w:rPr>
                <w:lang w:val="en-GB"/>
              </w:rPr>
            </w:pPr>
            <w:r>
              <w:rPr>
                <w:lang w:val="en-GB"/>
              </w:rPr>
              <w:t>Inerting procedure</w:t>
            </w:r>
          </w:p>
          <w:p w14:paraId="66A2FB13" w14:textId="588FB9B2" w:rsidR="00A4617A" w:rsidRPr="00A4617A" w:rsidRDefault="00A4617A" w:rsidP="00A4617A">
            <w:pPr>
              <w:pStyle w:val="CETBodytext"/>
              <w:ind w:right="-1"/>
              <w:rPr>
                <w:u w:val="single"/>
                <w:lang w:val="en-GB"/>
              </w:rPr>
            </w:pPr>
            <w:r>
              <w:rPr>
                <w:lang w:val="en-GB"/>
              </w:rPr>
              <w:t>controlled by SIL2</w:t>
            </w:r>
          </w:p>
        </w:tc>
      </w:tr>
    </w:tbl>
    <w:tbl>
      <w:tblPr>
        <w:tblStyle w:val="Grigliatabella"/>
        <w:tblW w:w="6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8"/>
      </w:tblGrid>
      <w:tr w:rsidR="00D313D0" w:rsidRPr="00CE65F2" w14:paraId="2B276E10" w14:textId="77777777" w:rsidTr="00AA1D36">
        <w:trPr>
          <w:trHeight w:val="1884"/>
        </w:trPr>
        <w:tc>
          <w:tcPr>
            <w:tcW w:w="6528" w:type="dxa"/>
          </w:tcPr>
          <w:p w14:paraId="1EF749CD" w14:textId="77777777" w:rsidR="00D313D0" w:rsidRPr="00CE65F2" w:rsidRDefault="00D313D0" w:rsidP="00CE65F2">
            <w:pPr>
              <w:pStyle w:val="CETBodytext"/>
              <w:jc w:val="left"/>
              <w:rPr>
                <w:rStyle w:val="CETCaptionCarattere"/>
              </w:rPr>
            </w:pPr>
            <w:r w:rsidRPr="00CE65F2">
              <w:rPr>
                <w:rStyle w:val="CETCaptionCarattere"/>
                <w:noProof/>
              </w:rPr>
              <w:lastRenderedPageBreak/>
              <w:drawing>
                <wp:inline distT="0" distB="0" distL="0" distR="0" wp14:anchorId="45CD1D47" wp14:editId="63F6F5AF">
                  <wp:extent cx="2858671" cy="1260000"/>
                  <wp:effectExtent l="0" t="0" r="0" b="0"/>
                  <wp:docPr id="7707777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77733" name=""/>
                          <pic:cNvPicPr/>
                        </pic:nvPicPr>
                        <pic:blipFill>
                          <a:blip r:embed="rId20"/>
                          <a:stretch>
                            <a:fillRect/>
                          </a:stretch>
                        </pic:blipFill>
                        <pic:spPr>
                          <a:xfrm>
                            <a:off x="0" y="0"/>
                            <a:ext cx="2858671" cy="1260000"/>
                          </a:xfrm>
                          <a:prstGeom prst="rect">
                            <a:avLst/>
                          </a:prstGeom>
                        </pic:spPr>
                      </pic:pic>
                    </a:graphicData>
                  </a:graphic>
                </wp:inline>
              </w:drawing>
            </w:r>
          </w:p>
          <w:p w14:paraId="728D2092" w14:textId="254D0B8F" w:rsidR="00D313D0" w:rsidRPr="00CE65F2" w:rsidRDefault="00D313D0" w:rsidP="00CE65F2">
            <w:pPr>
              <w:pStyle w:val="CETBodytext"/>
              <w:jc w:val="left"/>
              <w:rPr>
                <w:rStyle w:val="CETCaptionCarattere"/>
              </w:rPr>
            </w:pPr>
            <w:bookmarkStart w:id="7" w:name="_Ref220334245"/>
            <w:r w:rsidRPr="00CE65F2">
              <w:rPr>
                <w:rStyle w:val="CETCaptionCarattere"/>
              </w:rPr>
              <w:t xml:space="preserve">Figure </w:t>
            </w:r>
            <w:r w:rsidRPr="00CE65F2">
              <w:rPr>
                <w:rStyle w:val="CETCaptionCarattere"/>
              </w:rPr>
              <w:fldChar w:fldCharType="begin"/>
            </w:r>
            <w:r w:rsidRPr="00CE65F2">
              <w:rPr>
                <w:rStyle w:val="CETCaptionCarattere"/>
              </w:rPr>
              <w:instrText xml:space="preserve"> SEQ Figure \* ARABIC </w:instrText>
            </w:r>
            <w:r w:rsidRPr="00CE65F2">
              <w:rPr>
                <w:rStyle w:val="CETCaptionCarattere"/>
              </w:rPr>
              <w:fldChar w:fldCharType="separate"/>
            </w:r>
            <w:r w:rsidR="00C677C9">
              <w:rPr>
                <w:rStyle w:val="CETCaptionCarattere"/>
                <w:noProof/>
              </w:rPr>
              <w:t>6</w:t>
            </w:r>
            <w:r w:rsidRPr="00CE65F2">
              <w:rPr>
                <w:rStyle w:val="CETCaptionCarattere"/>
              </w:rPr>
              <w:fldChar w:fldCharType="end"/>
            </w:r>
            <w:bookmarkEnd w:id="7"/>
            <w:r w:rsidRPr="00CE65F2">
              <w:rPr>
                <w:rStyle w:val="CETCaptionCarattere"/>
              </w:rPr>
              <w:t>: First configuration</w:t>
            </w:r>
            <w:r>
              <w:rPr>
                <w:rStyle w:val="CETCaptionCarattere"/>
              </w:rPr>
              <w:t xml:space="preserve"> </w:t>
            </w:r>
            <w:r>
              <w:t>is based on Level 2 Option B or C</w:t>
            </w:r>
          </w:p>
        </w:tc>
      </w:tr>
      <w:tr w:rsidR="00D313D0" w:rsidRPr="00CE65F2" w14:paraId="3264C323" w14:textId="77777777" w:rsidTr="00AA1D36">
        <w:trPr>
          <w:trHeight w:val="1884"/>
        </w:trPr>
        <w:tc>
          <w:tcPr>
            <w:tcW w:w="6528" w:type="dxa"/>
          </w:tcPr>
          <w:p w14:paraId="2E6B11EA" w14:textId="77777777" w:rsidR="00D313D0" w:rsidRPr="00CE65F2" w:rsidRDefault="00D313D0" w:rsidP="00D313D0">
            <w:pPr>
              <w:pStyle w:val="CETBodytext"/>
              <w:jc w:val="left"/>
              <w:rPr>
                <w:rStyle w:val="CETCaptionCarattere"/>
              </w:rPr>
            </w:pPr>
            <w:r w:rsidRPr="00CE65F2">
              <w:rPr>
                <w:rStyle w:val="CETCaptionCarattere"/>
                <w:noProof/>
              </w:rPr>
              <w:drawing>
                <wp:inline distT="0" distB="0" distL="0" distR="0" wp14:anchorId="68691B09" wp14:editId="647A29CC">
                  <wp:extent cx="2873506" cy="1260000"/>
                  <wp:effectExtent l="0" t="0" r="3175" b="0"/>
                  <wp:docPr id="260589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8977" name=""/>
                          <pic:cNvPicPr/>
                        </pic:nvPicPr>
                        <pic:blipFill>
                          <a:blip r:embed="rId21"/>
                          <a:stretch>
                            <a:fillRect/>
                          </a:stretch>
                        </pic:blipFill>
                        <pic:spPr>
                          <a:xfrm>
                            <a:off x="0" y="0"/>
                            <a:ext cx="2873506" cy="1260000"/>
                          </a:xfrm>
                          <a:prstGeom prst="rect">
                            <a:avLst/>
                          </a:prstGeom>
                        </pic:spPr>
                      </pic:pic>
                    </a:graphicData>
                  </a:graphic>
                </wp:inline>
              </w:drawing>
            </w:r>
          </w:p>
          <w:p w14:paraId="15D1F305" w14:textId="504EDDDF" w:rsidR="00D313D0" w:rsidRPr="00CE65F2" w:rsidRDefault="00D313D0" w:rsidP="00CE65F2">
            <w:pPr>
              <w:pStyle w:val="CETBodytext"/>
              <w:jc w:val="left"/>
              <w:rPr>
                <w:rStyle w:val="CETCaptionCarattere"/>
              </w:rPr>
            </w:pPr>
            <w:bookmarkStart w:id="8" w:name="_Ref220334247"/>
            <w:r w:rsidRPr="00CE65F2">
              <w:rPr>
                <w:rStyle w:val="CETCaptionCarattere"/>
              </w:rPr>
              <w:t xml:space="preserve">Figure </w:t>
            </w:r>
            <w:r w:rsidRPr="00CE65F2">
              <w:rPr>
                <w:rStyle w:val="CETCaptionCarattere"/>
              </w:rPr>
              <w:fldChar w:fldCharType="begin"/>
            </w:r>
            <w:r w:rsidRPr="00CE65F2">
              <w:rPr>
                <w:rStyle w:val="CETCaptionCarattere"/>
              </w:rPr>
              <w:instrText xml:space="preserve"> SEQ Figure \* ARABIC </w:instrText>
            </w:r>
            <w:r w:rsidRPr="00CE65F2">
              <w:rPr>
                <w:rStyle w:val="CETCaptionCarattere"/>
              </w:rPr>
              <w:fldChar w:fldCharType="separate"/>
            </w:r>
            <w:r w:rsidR="00C677C9">
              <w:rPr>
                <w:rStyle w:val="CETCaptionCarattere"/>
                <w:noProof/>
              </w:rPr>
              <w:t>7</w:t>
            </w:r>
            <w:r w:rsidRPr="00CE65F2">
              <w:rPr>
                <w:rStyle w:val="CETCaptionCarattere"/>
              </w:rPr>
              <w:fldChar w:fldCharType="end"/>
            </w:r>
            <w:bookmarkEnd w:id="8"/>
            <w:r w:rsidRPr="00CE65F2">
              <w:rPr>
                <w:rStyle w:val="CETCaptionCarattere"/>
              </w:rPr>
              <w:t>: Second configuration</w:t>
            </w:r>
            <w:r>
              <w:rPr>
                <w:rStyle w:val="CETCaptionCarattere"/>
              </w:rPr>
              <w:t xml:space="preserve"> </w:t>
            </w:r>
            <w:r w:rsidRPr="00195E45">
              <w:t>considers</w:t>
            </w:r>
            <w:r>
              <w:t xml:space="preserve"> Level 3 Option C or D</w:t>
            </w:r>
          </w:p>
        </w:tc>
      </w:tr>
    </w:tbl>
    <w:p w14:paraId="31AF334D" w14:textId="0FFBA7DB" w:rsidR="009B4174" w:rsidRPr="00195E45" w:rsidRDefault="009B4174" w:rsidP="009B4174">
      <w:pPr>
        <w:pStyle w:val="CETBodytext"/>
      </w:pPr>
      <w:r w:rsidRPr="00195E45">
        <w:t>These configurations</w:t>
      </w:r>
      <w:r w:rsidR="00D772A3">
        <w:t xml:space="preserve"> (</w:t>
      </w:r>
      <w:r w:rsidR="00D772A3">
        <w:fldChar w:fldCharType="begin"/>
      </w:r>
      <w:r w:rsidR="00D772A3">
        <w:instrText xml:space="preserve"> REF _Ref220334245 \h </w:instrText>
      </w:r>
      <w:r w:rsidR="00D772A3">
        <w:fldChar w:fldCharType="separate"/>
      </w:r>
      <w:r w:rsidR="00C677C9" w:rsidRPr="00CE65F2">
        <w:rPr>
          <w:rStyle w:val="CETCaptionCarattere"/>
        </w:rPr>
        <w:t xml:space="preserve">Figure </w:t>
      </w:r>
      <w:r w:rsidR="00C677C9">
        <w:rPr>
          <w:rStyle w:val="CETCaptionCarattere"/>
          <w:noProof/>
        </w:rPr>
        <w:t>6</w:t>
      </w:r>
      <w:r w:rsidR="00D772A3">
        <w:fldChar w:fldCharType="end"/>
      </w:r>
      <w:r w:rsidR="00D772A3">
        <w:t xml:space="preserve"> and </w:t>
      </w:r>
      <w:r w:rsidR="00D772A3">
        <w:fldChar w:fldCharType="begin"/>
      </w:r>
      <w:r w:rsidR="00D772A3">
        <w:instrText xml:space="preserve"> REF _Ref220334247 \h </w:instrText>
      </w:r>
      <w:r w:rsidR="00D772A3">
        <w:fldChar w:fldCharType="separate"/>
      </w:r>
      <w:r w:rsidR="00C677C9" w:rsidRPr="00CE65F2">
        <w:rPr>
          <w:rStyle w:val="CETCaptionCarattere"/>
        </w:rPr>
        <w:t xml:space="preserve">Figure </w:t>
      </w:r>
      <w:r w:rsidR="00C677C9">
        <w:rPr>
          <w:rStyle w:val="CETCaptionCarattere"/>
          <w:noProof/>
        </w:rPr>
        <w:t>7</w:t>
      </w:r>
      <w:r w:rsidR="00D772A3">
        <w:fldChar w:fldCharType="end"/>
      </w:r>
      <w:r w:rsidR="00D772A3">
        <w:t>)</w:t>
      </w:r>
      <w:r w:rsidRPr="00195E45">
        <w:t xml:space="preserve"> differ in terms of functional safety performance, redundancy, and diagnostic capability, thereby influencing the overall risk reduction associated with powder charging under inerted conditions</w:t>
      </w:r>
      <w:r w:rsidR="00D772A3">
        <w:t xml:space="preserve">. </w:t>
      </w:r>
    </w:p>
    <w:p w14:paraId="01A48329" w14:textId="14CED5E5" w:rsidR="009B4174" w:rsidRPr="00BB7750" w:rsidRDefault="009B4174" w:rsidP="00B50659">
      <w:pPr>
        <w:pStyle w:val="CETBodytext"/>
        <w:rPr>
          <w:lang w:val="en-GB"/>
        </w:rPr>
      </w:pPr>
      <w:r w:rsidRPr="0072044E">
        <w:rPr>
          <w:lang w:val="en-GB"/>
        </w:rPr>
        <w:t>The final scenario describe</w:t>
      </w:r>
      <w:r w:rsidR="00883726">
        <w:rPr>
          <w:lang w:val="en-GB"/>
        </w:rPr>
        <w:t>d</w:t>
      </w:r>
      <w:r w:rsidRPr="0072044E">
        <w:rPr>
          <w:lang w:val="en-GB"/>
        </w:rPr>
        <w:t xml:space="preserve"> </w:t>
      </w:r>
      <w:r w:rsidR="00312169">
        <w:rPr>
          <w:lang w:val="en-GB"/>
        </w:rPr>
        <w:t xml:space="preserve">in </w:t>
      </w:r>
      <w:r w:rsidR="00312169">
        <w:rPr>
          <w:lang w:val="en-GB"/>
        </w:rPr>
        <w:fldChar w:fldCharType="begin"/>
      </w:r>
      <w:r w:rsidR="00312169">
        <w:rPr>
          <w:lang w:val="en-GB"/>
        </w:rPr>
        <w:instrText xml:space="preserve"> REF _Ref220334269 \h </w:instrText>
      </w:r>
      <w:r w:rsidR="00312169">
        <w:rPr>
          <w:lang w:val="en-GB"/>
        </w:rPr>
      </w:r>
      <w:r w:rsidR="00312169">
        <w:rPr>
          <w:lang w:val="en-GB"/>
        </w:rPr>
        <w:fldChar w:fldCharType="separate"/>
      </w:r>
      <w:r w:rsidR="00C677C9" w:rsidRPr="009B4174">
        <w:rPr>
          <w:rStyle w:val="CETCaptionCarattere"/>
        </w:rPr>
        <w:t xml:space="preserve">Figure </w:t>
      </w:r>
      <w:r w:rsidR="00C677C9">
        <w:rPr>
          <w:rStyle w:val="CETCaptionCarattere"/>
          <w:noProof/>
        </w:rPr>
        <w:t>8</w:t>
      </w:r>
      <w:r w:rsidR="00312169">
        <w:rPr>
          <w:lang w:val="en-GB"/>
        </w:rPr>
        <w:fldChar w:fldCharType="end"/>
      </w:r>
      <w:r w:rsidR="00312169">
        <w:rPr>
          <w:lang w:val="en-GB"/>
        </w:rPr>
        <w:t xml:space="preserve">, </w:t>
      </w:r>
      <w:r w:rsidRPr="0072044E">
        <w:rPr>
          <w:lang w:val="en-GB"/>
        </w:rPr>
        <w:t>the dosing of powder using a Venturi</w:t>
      </w:r>
      <w:r w:rsidRPr="0072044E">
        <w:rPr>
          <w:lang w:val="en-GB"/>
        </w:rPr>
        <w:noBreakHyphen/>
        <w:t>based system operating without inerting. The procedure begins with the charging of the flammable liquid, after which pump P1 is activated to establish liquid circulation. This circulation creates a localised vacuum that effectively retains solvent vapours within the equipment, even when the powder</w:t>
      </w:r>
      <w:r w:rsidRPr="0072044E">
        <w:rPr>
          <w:lang w:val="en-GB"/>
        </w:rPr>
        <w:noBreakHyphen/>
        <w:t>charging point is open. The powder is subsequently introduced and is entrained by the vacuum generated by the recirculating stream, allowing it to be conveyed directly into the liquid phase. Under these conditions, the solid is immediately dispersed into the solvent, thereby preventing the formation of a hybrid explosive atmosphere. Once the powder has been fully incorporated, the resulting mixture is transferred to the designated vessel, ensuring that the discharge point avoids any dead zones within the receiving equipment.</w:t>
      </w:r>
      <w:r w:rsidR="00B50659">
        <w:rPr>
          <w:lang w:val="en-GB"/>
        </w:rPr>
        <w:t xml:space="preserve"> </w:t>
      </w:r>
      <w:r w:rsidR="00B50659" w:rsidRPr="005F0879">
        <w:rPr>
          <w:lang w:val="en-GB"/>
        </w:rPr>
        <w:t>The Venturi-based configuration relies on the recirculation of the liquid through pump P1, which generates a localized depression at the powder feeding point. Field tests on comparable systems show depressions typically in the range of 20–40 mbar, sufficient to prevent outward vapour leakage under steady conditions. The powder is immediately entrained into the recirculating stream and dispersed directly into the liquid phase, limiting airborne dust formation and preventing hybrid mixture generation.</w:t>
      </w:r>
    </w:p>
    <w:p w14:paraId="05123B9B" w14:textId="77777777" w:rsidR="009B4174" w:rsidRDefault="0046668C" w:rsidP="009B4174">
      <w:pPr>
        <w:pStyle w:val="CETBodytext"/>
        <w:keepNext/>
      </w:pPr>
      <w:r w:rsidRPr="0046668C">
        <w:rPr>
          <w:noProof/>
          <w:lang w:val="en-GB"/>
        </w:rPr>
        <w:drawing>
          <wp:inline distT="0" distB="0" distL="0" distR="0" wp14:anchorId="53261709" wp14:editId="66A37813">
            <wp:extent cx="2775542" cy="1260000"/>
            <wp:effectExtent l="0" t="0" r="6350" b="0"/>
            <wp:docPr id="1957876282" name="Immagine 1" descr="Immagine che contiene testo, diagramma, line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76282" name="Immagine 1" descr="Immagine che contiene testo, diagramma, linea, design&#10;&#10;Il contenuto generato dall'IA potrebbe non essere corretto."/>
                    <pic:cNvPicPr/>
                  </pic:nvPicPr>
                  <pic:blipFill>
                    <a:blip r:embed="rId22"/>
                    <a:stretch>
                      <a:fillRect/>
                    </a:stretch>
                  </pic:blipFill>
                  <pic:spPr>
                    <a:xfrm>
                      <a:off x="0" y="0"/>
                      <a:ext cx="2775542" cy="1260000"/>
                    </a:xfrm>
                    <a:prstGeom prst="rect">
                      <a:avLst/>
                    </a:prstGeom>
                  </pic:spPr>
                </pic:pic>
              </a:graphicData>
            </a:graphic>
          </wp:inline>
        </w:drawing>
      </w:r>
    </w:p>
    <w:p w14:paraId="37BA2979" w14:textId="777EBFF5" w:rsidR="00B121E1" w:rsidRPr="00D313D0" w:rsidRDefault="009B4174" w:rsidP="00D313D0">
      <w:pPr>
        <w:pStyle w:val="CETBodytext"/>
        <w:jc w:val="left"/>
        <w:rPr>
          <w:i/>
          <w:lang w:val="en-GB"/>
        </w:rPr>
      </w:pPr>
      <w:bookmarkStart w:id="9" w:name="_Ref220334269"/>
      <w:r w:rsidRPr="009B4174">
        <w:rPr>
          <w:rStyle w:val="CETCaptionCarattere"/>
        </w:rPr>
        <w:t xml:space="preserve">Figure </w:t>
      </w:r>
      <w:r w:rsidRPr="009B4174">
        <w:rPr>
          <w:rStyle w:val="CETCaptionCarattere"/>
        </w:rPr>
        <w:fldChar w:fldCharType="begin"/>
      </w:r>
      <w:r w:rsidRPr="009B4174">
        <w:rPr>
          <w:rStyle w:val="CETCaptionCarattere"/>
        </w:rPr>
        <w:instrText xml:space="preserve"> SEQ Figure \* ARABIC </w:instrText>
      </w:r>
      <w:r w:rsidRPr="009B4174">
        <w:rPr>
          <w:rStyle w:val="CETCaptionCarattere"/>
        </w:rPr>
        <w:fldChar w:fldCharType="separate"/>
      </w:r>
      <w:r w:rsidR="00C677C9">
        <w:rPr>
          <w:rStyle w:val="CETCaptionCarattere"/>
          <w:noProof/>
        </w:rPr>
        <w:t>8</w:t>
      </w:r>
      <w:r w:rsidRPr="009B4174">
        <w:rPr>
          <w:rStyle w:val="CETCaptionCarattere"/>
        </w:rPr>
        <w:fldChar w:fldCharType="end"/>
      </w:r>
      <w:bookmarkEnd w:id="9"/>
      <w:r w:rsidRPr="009B4174">
        <w:rPr>
          <w:rStyle w:val="CETCaptionCarattere"/>
        </w:rPr>
        <w:t>: Venturi system without inerting</w:t>
      </w:r>
    </w:p>
    <w:p w14:paraId="04963A06" w14:textId="548858D5" w:rsidR="00600535" w:rsidRPr="003C2F84" w:rsidRDefault="003C2F84" w:rsidP="00FA5F5F">
      <w:pPr>
        <w:pStyle w:val="CETheadingx"/>
      </w:pPr>
      <w:r w:rsidRPr="003C2F84">
        <w:t>Mitigation and action plan development</w:t>
      </w:r>
    </w:p>
    <w:p w14:paraId="088A134E" w14:textId="5C84D935" w:rsidR="00600535" w:rsidRDefault="00C00941" w:rsidP="00BD077D">
      <w:pPr>
        <w:pStyle w:val="CETCaption"/>
        <w:rPr>
          <w:i w:val="0"/>
          <w:iCs/>
        </w:rPr>
      </w:pPr>
      <w:r w:rsidRPr="00C00941">
        <w:rPr>
          <w:i w:val="0"/>
          <w:iCs/>
        </w:rPr>
        <w:t xml:space="preserve">In general, for all cases, </w:t>
      </w:r>
      <w:r>
        <w:rPr>
          <w:i w:val="0"/>
          <w:iCs/>
        </w:rPr>
        <w:t>o</w:t>
      </w:r>
      <w:r w:rsidRPr="00C00941">
        <w:rPr>
          <w:i w:val="0"/>
          <w:iCs/>
        </w:rPr>
        <w:t>perators, containers, installation (e.g. the spoon, directly in contact with the powder must be conductive or dissipative and grounded.</w:t>
      </w:r>
      <w:r w:rsidR="001E615F">
        <w:rPr>
          <w:i w:val="0"/>
          <w:iCs/>
        </w:rPr>
        <w:t xml:space="preserve"> </w:t>
      </w:r>
      <w:r w:rsidR="001E615F" w:rsidRPr="001E615F">
        <w:rPr>
          <w:i w:val="0"/>
          <w:iCs/>
        </w:rPr>
        <w:fldChar w:fldCharType="begin"/>
      </w:r>
      <w:r w:rsidR="001E615F" w:rsidRPr="001E615F">
        <w:rPr>
          <w:i w:val="0"/>
          <w:iCs/>
        </w:rPr>
        <w:instrText xml:space="preserve"> REF _Ref220334309 \h  \* MERGEFORMAT </w:instrText>
      </w:r>
      <w:r w:rsidR="001E615F" w:rsidRPr="001E615F">
        <w:rPr>
          <w:i w:val="0"/>
          <w:iCs/>
        </w:rPr>
      </w:r>
      <w:r w:rsidR="001E615F" w:rsidRPr="001E615F">
        <w:rPr>
          <w:i w:val="0"/>
          <w:iCs/>
        </w:rPr>
        <w:fldChar w:fldCharType="separate"/>
      </w:r>
      <w:r w:rsidR="00C677C9" w:rsidRPr="00C677C9">
        <w:rPr>
          <w:rStyle w:val="CETCaptionCarattere"/>
          <w:i/>
          <w:iCs/>
        </w:rPr>
        <w:t xml:space="preserve">Table </w:t>
      </w:r>
      <w:r w:rsidR="00C677C9" w:rsidRPr="00C677C9">
        <w:rPr>
          <w:rStyle w:val="CETCaptionCarattere"/>
          <w:i/>
          <w:iCs/>
          <w:noProof/>
        </w:rPr>
        <w:t>2</w:t>
      </w:r>
      <w:r w:rsidR="001E615F" w:rsidRPr="001E615F">
        <w:rPr>
          <w:i w:val="0"/>
          <w:iCs/>
        </w:rPr>
        <w:fldChar w:fldCharType="end"/>
      </w:r>
      <w:r w:rsidR="001E615F">
        <w:rPr>
          <w:i w:val="0"/>
          <w:iCs/>
        </w:rPr>
        <w:t xml:space="preserve"> below shows the mitigation actions: </w:t>
      </w:r>
    </w:p>
    <w:p w14:paraId="104A4D55" w14:textId="5B21257B" w:rsidR="008062FD" w:rsidRPr="008062FD" w:rsidRDefault="008062FD" w:rsidP="008062FD">
      <w:pPr>
        <w:pStyle w:val="CETBodytext"/>
        <w:jc w:val="left"/>
        <w:rPr>
          <w:rStyle w:val="CETCaptionCarattere"/>
        </w:rPr>
      </w:pPr>
      <w:bookmarkStart w:id="10" w:name="_Ref220334309"/>
      <w:r w:rsidRPr="008062FD">
        <w:rPr>
          <w:rStyle w:val="CETCaptionCarattere"/>
        </w:rPr>
        <w:t xml:space="preserve">Table </w:t>
      </w:r>
      <w:r w:rsidRPr="008062FD">
        <w:rPr>
          <w:rStyle w:val="CETCaptionCarattere"/>
        </w:rPr>
        <w:fldChar w:fldCharType="begin"/>
      </w:r>
      <w:r w:rsidRPr="008062FD">
        <w:rPr>
          <w:rStyle w:val="CETCaptionCarattere"/>
        </w:rPr>
        <w:instrText xml:space="preserve"> SEQ Table \* ARABIC </w:instrText>
      </w:r>
      <w:r w:rsidRPr="008062FD">
        <w:rPr>
          <w:rStyle w:val="CETCaptionCarattere"/>
        </w:rPr>
        <w:fldChar w:fldCharType="separate"/>
      </w:r>
      <w:r w:rsidR="00C677C9">
        <w:rPr>
          <w:rStyle w:val="CETCaptionCarattere"/>
          <w:noProof/>
        </w:rPr>
        <w:t>2</w:t>
      </w:r>
      <w:r w:rsidRPr="008062FD">
        <w:rPr>
          <w:rStyle w:val="CETCaptionCarattere"/>
        </w:rPr>
        <w:fldChar w:fldCharType="end"/>
      </w:r>
      <w:bookmarkEnd w:id="10"/>
      <w:r w:rsidRPr="008062FD">
        <w:rPr>
          <w:rStyle w:val="CETCaptionCarattere"/>
        </w:rPr>
        <w:t>: Action plan for each scenario</w:t>
      </w:r>
    </w:p>
    <w:tbl>
      <w:tblPr>
        <w:tblW w:w="892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073"/>
        <w:gridCol w:w="6848"/>
      </w:tblGrid>
      <w:tr w:rsidR="00483EED" w:rsidRPr="00B57B36" w14:paraId="5D0967A8" w14:textId="77777777" w:rsidTr="00AA1D36">
        <w:trPr>
          <w:trHeight w:val="185"/>
        </w:trPr>
        <w:tc>
          <w:tcPr>
            <w:tcW w:w="2073" w:type="dxa"/>
            <w:tcBorders>
              <w:top w:val="single" w:sz="12" w:space="0" w:color="008000"/>
              <w:bottom w:val="single" w:sz="6" w:space="0" w:color="008000"/>
            </w:tcBorders>
            <w:shd w:val="clear" w:color="auto" w:fill="FFFFFF"/>
          </w:tcPr>
          <w:p w14:paraId="485E5FA3" w14:textId="2A9B7EF2" w:rsidR="00483EED" w:rsidRPr="00B57B36" w:rsidRDefault="00483EED" w:rsidP="00FF61A7">
            <w:pPr>
              <w:pStyle w:val="CETBodytext"/>
              <w:rPr>
                <w:lang w:val="en-GB"/>
              </w:rPr>
            </w:pPr>
            <w:r>
              <w:rPr>
                <w:lang w:val="en-GB"/>
              </w:rPr>
              <w:t>Scenario</w:t>
            </w:r>
            <w:r w:rsidRPr="00B57B36">
              <w:rPr>
                <w:lang w:val="en-GB"/>
              </w:rPr>
              <w:t xml:space="preserve"> </w:t>
            </w:r>
          </w:p>
        </w:tc>
        <w:tc>
          <w:tcPr>
            <w:tcW w:w="6848" w:type="dxa"/>
            <w:tcBorders>
              <w:top w:val="single" w:sz="12" w:space="0" w:color="008000"/>
              <w:bottom w:val="single" w:sz="6" w:space="0" w:color="008000"/>
            </w:tcBorders>
            <w:shd w:val="clear" w:color="auto" w:fill="FFFFFF"/>
          </w:tcPr>
          <w:p w14:paraId="6787BA77" w14:textId="0A84434D" w:rsidR="00483EED" w:rsidRPr="00B57B36" w:rsidRDefault="00483EED" w:rsidP="00FF61A7">
            <w:pPr>
              <w:pStyle w:val="CETBodytext"/>
              <w:rPr>
                <w:lang w:val="en-GB"/>
              </w:rPr>
            </w:pPr>
            <w:r>
              <w:rPr>
                <w:lang w:val="en-GB"/>
              </w:rPr>
              <w:t>Mitigation</w:t>
            </w:r>
          </w:p>
        </w:tc>
      </w:tr>
      <w:tr w:rsidR="00483EED" w:rsidRPr="00B57B36" w14:paraId="7E8CE95F" w14:textId="77777777" w:rsidTr="00AA1D36">
        <w:trPr>
          <w:trHeight w:val="395"/>
        </w:trPr>
        <w:tc>
          <w:tcPr>
            <w:tcW w:w="2073" w:type="dxa"/>
            <w:shd w:val="clear" w:color="auto" w:fill="FFFFFF"/>
            <w:vAlign w:val="center"/>
          </w:tcPr>
          <w:p w14:paraId="4CDA7E9C" w14:textId="237F6A1F" w:rsidR="00483EED" w:rsidRPr="00B57B36" w:rsidRDefault="00483EED" w:rsidP="00FF61A7">
            <w:pPr>
              <w:pStyle w:val="CETBodytext"/>
              <w:jc w:val="left"/>
              <w:rPr>
                <w:lang w:val="en-GB"/>
              </w:rPr>
            </w:pPr>
            <w:r>
              <w:rPr>
                <w:lang w:val="en-GB"/>
              </w:rPr>
              <w:t>Scenario n°1</w:t>
            </w:r>
          </w:p>
        </w:tc>
        <w:tc>
          <w:tcPr>
            <w:tcW w:w="6848" w:type="dxa"/>
            <w:shd w:val="clear" w:color="auto" w:fill="FFFFFF"/>
            <w:vAlign w:val="center"/>
          </w:tcPr>
          <w:p w14:paraId="7537F3B2" w14:textId="196C3F86" w:rsidR="00483EED" w:rsidRPr="00B57B36" w:rsidRDefault="00483EED" w:rsidP="00FF61A7">
            <w:pPr>
              <w:pStyle w:val="CETBodytext"/>
              <w:jc w:val="left"/>
              <w:rPr>
                <w:lang w:val="en-GB"/>
              </w:rPr>
            </w:pPr>
            <w:r w:rsidRPr="00483EED">
              <w:rPr>
                <w:lang w:val="en-GB"/>
              </w:rPr>
              <w:t>Specific instruction and trainings must be provided to the operator. Double check procedure is mandatory for the powder dosing. Classification in Ex zones is a mix of both situations</w:t>
            </w:r>
            <w:r>
              <w:rPr>
                <w:lang w:val="en-GB"/>
              </w:rPr>
              <w:t xml:space="preserve">. </w:t>
            </w:r>
            <w:r w:rsidRPr="00483EED">
              <w:rPr>
                <w:lang w:val="en-GB"/>
              </w:rPr>
              <w:t>No hybrid situation as both situations are sequenced</w:t>
            </w:r>
          </w:p>
        </w:tc>
      </w:tr>
      <w:tr w:rsidR="00483EED" w:rsidRPr="00B57B36" w14:paraId="72DDABED" w14:textId="77777777" w:rsidTr="00AA1D36">
        <w:trPr>
          <w:trHeight w:val="195"/>
        </w:trPr>
        <w:tc>
          <w:tcPr>
            <w:tcW w:w="2073" w:type="dxa"/>
            <w:shd w:val="clear" w:color="auto" w:fill="FFFFFF"/>
            <w:vAlign w:val="center"/>
          </w:tcPr>
          <w:p w14:paraId="3CDCE0E5" w14:textId="01B0D8A6" w:rsidR="00483EED" w:rsidRPr="00B57B36" w:rsidRDefault="00483EED" w:rsidP="00FF61A7">
            <w:pPr>
              <w:pStyle w:val="CETBodytext"/>
              <w:ind w:right="-1"/>
              <w:jc w:val="left"/>
              <w:rPr>
                <w:rFonts w:cs="Arial"/>
                <w:szCs w:val="18"/>
                <w:lang w:val="en-GB"/>
              </w:rPr>
            </w:pPr>
            <w:r>
              <w:rPr>
                <w:lang w:val="en-GB"/>
              </w:rPr>
              <w:lastRenderedPageBreak/>
              <w:t>Scenario n°2</w:t>
            </w:r>
          </w:p>
        </w:tc>
        <w:tc>
          <w:tcPr>
            <w:tcW w:w="6848" w:type="dxa"/>
            <w:shd w:val="clear" w:color="auto" w:fill="FFFFFF"/>
            <w:vAlign w:val="center"/>
          </w:tcPr>
          <w:p w14:paraId="00AC73A8" w14:textId="74B6ADDF" w:rsidR="00483EED" w:rsidRPr="00A4617A" w:rsidRDefault="00483EED" w:rsidP="00FF61A7">
            <w:pPr>
              <w:pStyle w:val="CETBodytext"/>
              <w:ind w:right="-1"/>
              <w:jc w:val="left"/>
              <w:rPr>
                <w:lang w:val="en-GB"/>
              </w:rPr>
            </w:pPr>
            <w:r w:rsidRPr="00483EED">
              <w:rPr>
                <w:lang w:val="en-GB"/>
              </w:rPr>
              <w:t>Specific instruction and trainings must be provided to the operator. Double check procedure is mandatory for the powder dosing. Classification in Ex zones is simplified because vapors Ex zones disappear.</w:t>
            </w:r>
          </w:p>
        </w:tc>
      </w:tr>
      <w:tr w:rsidR="00483EED" w:rsidRPr="00B57B36" w14:paraId="13C4430F" w14:textId="77777777" w:rsidTr="00AA1D36">
        <w:trPr>
          <w:trHeight w:val="195"/>
        </w:trPr>
        <w:tc>
          <w:tcPr>
            <w:tcW w:w="2073" w:type="dxa"/>
            <w:shd w:val="clear" w:color="auto" w:fill="FFFFFF"/>
            <w:vAlign w:val="center"/>
          </w:tcPr>
          <w:p w14:paraId="12079D52" w14:textId="093DCF87" w:rsidR="00483EED" w:rsidRDefault="00483EED" w:rsidP="00FF61A7">
            <w:pPr>
              <w:pStyle w:val="CETBodytext"/>
              <w:ind w:right="-1"/>
              <w:jc w:val="left"/>
              <w:rPr>
                <w:rFonts w:cs="Arial"/>
                <w:szCs w:val="18"/>
                <w:lang w:val="en-GB"/>
              </w:rPr>
            </w:pPr>
            <w:r>
              <w:rPr>
                <w:lang w:val="en-GB"/>
              </w:rPr>
              <w:t>Scenario n°3</w:t>
            </w:r>
          </w:p>
        </w:tc>
        <w:tc>
          <w:tcPr>
            <w:tcW w:w="6848" w:type="dxa"/>
            <w:shd w:val="clear" w:color="auto" w:fill="FFFFFF"/>
            <w:vAlign w:val="center"/>
          </w:tcPr>
          <w:p w14:paraId="1C35A65D" w14:textId="77777777" w:rsidR="00483EED" w:rsidRPr="00483EED" w:rsidRDefault="00483EED" w:rsidP="00483EED">
            <w:pPr>
              <w:pStyle w:val="CETBodytext"/>
              <w:ind w:right="-1"/>
              <w:jc w:val="left"/>
              <w:rPr>
                <w:lang w:val="en-GB"/>
              </w:rPr>
            </w:pPr>
            <w:r w:rsidRPr="00483EED">
              <w:rPr>
                <w:lang w:val="en-GB"/>
              </w:rPr>
              <w:t>Specific instruction and trainings must be provided to the operator. Double check procedure is mandatory for the powder dosing.</w:t>
            </w:r>
          </w:p>
          <w:p w14:paraId="492B0DFB" w14:textId="455246AA" w:rsidR="00483EED" w:rsidRDefault="00483EED" w:rsidP="00483EED">
            <w:pPr>
              <w:pStyle w:val="CETBodytext"/>
              <w:ind w:right="-1"/>
              <w:jc w:val="left"/>
              <w:rPr>
                <w:lang w:val="en-GB"/>
              </w:rPr>
            </w:pPr>
            <w:r w:rsidRPr="00483EED">
              <w:rPr>
                <w:lang w:val="en-GB"/>
              </w:rPr>
              <w:t>Charge the flammable liquid, close V2; inert equipment according to inerting level 2 or 3; open V1 and transfer the powder into the airlock or the PTS; close V1 and inert equipment according to the previous; open V2 transfer the powder into vessel</w:t>
            </w:r>
          </w:p>
        </w:tc>
      </w:tr>
      <w:tr w:rsidR="00483EED" w:rsidRPr="00B57B36" w14:paraId="5365F18F" w14:textId="77777777" w:rsidTr="00AA1D36">
        <w:trPr>
          <w:trHeight w:val="195"/>
        </w:trPr>
        <w:tc>
          <w:tcPr>
            <w:tcW w:w="2073" w:type="dxa"/>
            <w:shd w:val="clear" w:color="auto" w:fill="FFFFFF"/>
            <w:vAlign w:val="center"/>
          </w:tcPr>
          <w:p w14:paraId="0FEB3DD7" w14:textId="14476574" w:rsidR="00483EED" w:rsidRDefault="00483EED" w:rsidP="00FF61A7">
            <w:pPr>
              <w:pStyle w:val="CETBodytext"/>
              <w:ind w:right="-1"/>
              <w:jc w:val="left"/>
              <w:rPr>
                <w:rFonts w:cs="Arial"/>
                <w:szCs w:val="18"/>
                <w:lang w:val="en-GB"/>
              </w:rPr>
            </w:pPr>
            <w:r>
              <w:rPr>
                <w:lang w:val="en-GB"/>
              </w:rPr>
              <w:t>Scenario n°4</w:t>
            </w:r>
          </w:p>
        </w:tc>
        <w:tc>
          <w:tcPr>
            <w:tcW w:w="6848" w:type="dxa"/>
            <w:shd w:val="clear" w:color="auto" w:fill="FFFFFF"/>
            <w:vAlign w:val="center"/>
          </w:tcPr>
          <w:p w14:paraId="4EB01016" w14:textId="016D45ED" w:rsidR="00483EED" w:rsidRPr="00483EED" w:rsidRDefault="005322B0" w:rsidP="00483EED">
            <w:pPr>
              <w:pStyle w:val="CETBodytext"/>
              <w:ind w:right="-1"/>
              <w:jc w:val="left"/>
              <w:rPr>
                <w:lang w:val="en-GB"/>
              </w:rPr>
            </w:pPr>
            <w:r w:rsidRPr="005322B0">
              <w:rPr>
                <w:lang w:val="en-GB"/>
              </w:rPr>
              <w:t>Specific instruction and trainings must be provided to the operator.</w:t>
            </w:r>
          </w:p>
        </w:tc>
      </w:tr>
    </w:tbl>
    <w:p w14:paraId="19080EA5" w14:textId="146DF141" w:rsidR="00C677C9" w:rsidRPr="00C677C9" w:rsidRDefault="00C677C9" w:rsidP="00C677C9">
      <w:pPr>
        <w:pStyle w:val="CETBodytext"/>
        <w:jc w:val="left"/>
        <w:rPr>
          <w:i/>
          <w:lang w:val="en-GB"/>
        </w:rPr>
      </w:pPr>
      <w:r w:rsidRPr="008062FD">
        <w:rPr>
          <w:rStyle w:val="CETCaptionCarattere"/>
        </w:rPr>
        <w:t xml:space="preserve">Table </w:t>
      </w:r>
      <w:r w:rsidRPr="008062FD">
        <w:rPr>
          <w:rStyle w:val="CETCaptionCarattere"/>
        </w:rPr>
        <w:fldChar w:fldCharType="begin"/>
      </w:r>
      <w:r w:rsidRPr="008062FD">
        <w:rPr>
          <w:rStyle w:val="CETCaptionCarattere"/>
        </w:rPr>
        <w:instrText xml:space="preserve"> SEQ Table \* ARABIC </w:instrText>
      </w:r>
      <w:r w:rsidRPr="008062FD">
        <w:rPr>
          <w:rStyle w:val="CETCaptionCarattere"/>
        </w:rPr>
        <w:fldChar w:fldCharType="separate"/>
      </w:r>
      <w:r>
        <w:rPr>
          <w:rStyle w:val="CETCaptionCarattere"/>
          <w:noProof/>
        </w:rPr>
        <w:t>3</w:t>
      </w:r>
      <w:r w:rsidRPr="008062FD">
        <w:rPr>
          <w:rStyle w:val="CETCaptionCarattere"/>
        </w:rPr>
        <w:fldChar w:fldCharType="end"/>
      </w:r>
      <w:r w:rsidRPr="008062FD">
        <w:rPr>
          <w:rStyle w:val="CETCaptionCarattere"/>
        </w:rPr>
        <w:t xml:space="preserve">: </w:t>
      </w:r>
      <w:r>
        <w:rPr>
          <w:rStyle w:val="CETCaptionCarattere"/>
        </w:rPr>
        <w:t>Comparative evaluation of the operating scenarios</w:t>
      </w:r>
    </w:p>
    <w:tbl>
      <w:tblPr>
        <w:tblW w:w="5145"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23"/>
        <w:gridCol w:w="2237"/>
        <w:gridCol w:w="2127"/>
        <w:gridCol w:w="1700"/>
        <w:gridCol w:w="1955"/>
      </w:tblGrid>
      <w:tr w:rsidR="00C677C9" w:rsidRPr="00BB083C" w14:paraId="32BCE9F8" w14:textId="77777777" w:rsidTr="009D1DBB">
        <w:trPr>
          <w:trHeight w:val="199"/>
        </w:trPr>
        <w:tc>
          <w:tcPr>
            <w:tcW w:w="566" w:type="pct"/>
            <w:tcBorders>
              <w:top w:val="single" w:sz="12" w:space="0" w:color="008000"/>
              <w:bottom w:val="single" w:sz="6" w:space="0" w:color="008000"/>
            </w:tcBorders>
            <w:shd w:val="clear" w:color="auto" w:fill="FFFFFF"/>
          </w:tcPr>
          <w:p w14:paraId="47882EEE" w14:textId="77777777" w:rsidR="00C677C9" w:rsidRPr="005F0879" w:rsidRDefault="00C677C9" w:rsidP="00045BC4">
            <w:pPr>
              <w:pStyle w:val="CETBodytext"/>
              <w:rPr>
                <w:lang w:val="en-GB"/>
              </w:rPr>
            </w:pPr>
            <w:r w:rsidRPr="005F0879">
              <w:rPr>
                <w:lang w:val="en-GB"/>
              </w:rPr>
              <w:t xml:space="preserve">Scenario </w:t>
            </w:r>
          </w:p>
        </w:tc>
        <w:tc>
          <w:tcPr>
            <w:tcW w:w="1237" w:type="pct"/>
            <w:tcBorders>
              <w:top w:val="single" w:sz="12" w:space="0" w:color="008000"/>
              <w:bottom w:val="single" w:sz="6" w:space="0" w:color="008000"/>
            </w:tcBorders>
            <w:shd w:val="clear" w:color="auto" w:fill="FFFFFF"/>
          </w:tcPr>
          <w:p w14:paraId="700F6980" w14:textId="3C9A873D" w:rsidR="00C677C9" w:rsidRPr="005F0879" w:rsidRDefault="00C677C9" w:rsidP="00045BC4">
            <w:pPr>
              <w:pStyle w:val="CETBodytext"/>
              <w:rPr>
                <w:lang w:val="en-GB"/>
              </w:rPr>
            </w:pPr>
            <w:r w:rsidRPr="005F0879">
              <w:rPr>
                <w:lang w:val="en-GB"/>
              </w:rPr>
              <w:t>Reliability of Safeguards</w:t>
            </w:r>
          </w:p>
        </w:tc>
        <w:tc>
          <w:tcPr>
            <w:tcW w:w="1176" w:type="pct"/>
            <w:tcBorders>
              <w:top w:val="single" w:sz="12" w:space="0" w:color="008000"/>
              <w:bottom w:val="single" w:sz="6" w:space="0" w:color="008000"/>
            </w:tcBorders>
            <w:shd w:val="clear" w:color="auto" w:fill="FFFFFF"/>
          </w:tcPr>
          <w:p w14:paraId="246BE8AD" w14:textId="30455D0C" w:rsidR="00C677C9" w:rsidRPr="005F0879" w:rsidRDefault="00C677C9" w:rsidP="00045BC4">
            <w:pPr>
              <w:pStyle w:val="CETBodytext"/>
              <w:rPr>
                <w:lang w:val="en-GB"/>
              </w:rPr>
            </w:pPr>
            <w:r w:rsidRPr="005F0879">
              <w:rPr>
                <w:lang w:val="en-GB"/>
              </w:rPr>
              <w:t>Expected HAC zone</w:t>
            </w:r>
          </w:p>
        </w:tc>
        <w:tc>
          <w:tcPr>
            <w:tcW w:w="940" w:type="pct"/>
            <w:tcBorders>
              <w:top w:val="single" w:sz="12" w:space="0" w:color="008000"/>
              <w:bottom w:val="single" w:sz="6" w:space="0" w:color="008000"/>
            </w:tcBorders>
            <w:shd w:val="clear" w:color="auto" w:fill="FFFFFF"/>
          </w:tcPr>
          <w:p w14:paraId="1B8340A7" w14:textId="10E9743B" w:rsidR="00C677C9" w:rsidRPr="005F0879" w:rsidRDefault="00C677C9" w:rsidP="00045BC4">
            <w:pPr>
              <w:pStyle w:val="CETBodytext"/>
              <w:rPr>
                <w:lang w:val="en-GB"/>
              </w:rPr>
            </w:pPr>
            <w:r w:rsidRPr="005F0879">
              <w:rPr>
                <w:lang w:val="en-GB"/>
              </w:rPr>
              <w:t>Hyb Mix likelihood</w:t>
            </w:r>
          </w:p>
        </w:tc>
        <w:tc>
          <w:tcPr>
            <w:tcW w:w="1081" w:type="pct"/>
            <w:tcBorders>
              <w:top w:val="single" w:sz="12" w:space="0" w:color="008000"/>
              <w:bottom w:val="single" w:sz="6" w:space="0" w:color="008000"/>
            </w:tcBorders>
            <w:shd w:val="clear" w:color="auto" w:fill="FFFFFF"/>
          </w:tcPr>
          <w:p w14:paraId="4E7D29E4" w14:textId="27DDA16F" w:rsidR="00C677C9" w:rsidRPr="005F0879" w:rsidRDefault="00C677C9" w:rsidP="00045BC4">
            <w:pPr>
              <w:pStyle w:val="CETBodytext"/>
              <w:rPr>
                <w:lang w:val="en-GB"/>
              </w:rPr>
            </w:pPr>
            <w:r w:rsidRPr="005F0879">
              <w:rPr>
                <w:lang w:val="en-GB"/>
              </w:rPr>
              <w:t>Operational complexity</w:t>
            </w:r>
          </w:p>
        </w:tc>
      </w:tr>
      <w:tr w:rsidR="00C677C9" w:rsidRPr="00BB083C" w14:paraId="138DA4C1" w14:textId="77777777" w:rsidTr="009D1DBB">
        <w:trPr>
          <w:trHeight w:val="202"/>
        </w:trPr>
        <w:tc>
          <w:tcPr>
            <w:tcW w:w="566" w:type="pct"/>
            <w:shd w:val="clear" w:color="auto" w:fill="FFFFFF"/>
            <w:vAlign w:val="center"/>
          </w:tcPr>
          <w:p w14:paraId="14689647" w14:textId="5D386476" w:rsidR="00C677C9" w:rsidRPr="005F0879" w:rsidRDefault="00C677C9" w:rsidP="00C677C9">
            <w:pPr>
              <w:pStyle w:val="CETBodytext"/>
              <w:ind w:right="-1"/>
              <w:jc w:val="left"/>
              <w:rPr>
                <w:lang w:val="en-GB"/>
              </w:rPr>
            </w:pPr>
            <w:r w:rsidRPr="005F0879">
              <w:rPr>
                <w:lang w:val="en-GB"/>
              </w:rPr>
              <w:t>Scenario n°1</w:t>
            </w:r>
          </w:p>
        </w:tc>
        <w:tc>
          <w:tcPr>
            <w:tcW w:w="1237" w:type="pct"/>
            <w:shd w:val="clear" w:color="auto" w:fill="FFFFFF"/>
          </w:tcPr>
          <w:p w14:paraId="7F588038" w14:textId="2EAA7522" w:rsidR="00C677C9" w:rsidRPr="005F0879" w:rsidRDefault="00C677C9" w:rsidP="00C677C9">
            <w:pPr>
              <w:pStyle w:val="CETBodytext"/>
              <w:ind w:right="-1"/>
              <w:jc w:val="left"/>
              <w:rPr>
                <w:lang w:val="en-GB"/>
              </w:rPr>
            </w:pPr>
            <w:r w:rsidRPr="005F0879">
              <w:rPr>
                <w:lang w:val="en-GB"/>
              </w:rPr>
              <w:t xml:space="preserve">Medium </w:t>
            </w:r>
          </w:p>
        </w:tc>
        <w:tc>
          <w:tcPr>
            <w:tcW w:w="1176" w:type="pct"/>
            <w:shd w:val="clear" w:color="auto" w:fill="FFFFFF"/>
          </w:tcPr>
          <w:p w14:paraId="6A8AA707" w14:textId="26C216F3" w:rsidR="00C677C9" w:rsidRPr="005F0879" w:rsidRDefault="009D1DBB" w:rsidP="00045BC4">
            <w:pPr>
              <w:pStyle w:val="CETBodytext"/>
              <w:jc w:val="left"/>
              <w:rPr>
                <w:lang w:val="en-GB"/>
              </w:rPr>
            </w:pPr>
            <w:r w:rsidRPr="005F0879">
              <w:rPr>
                <w:lang w:val="en-GB"/>
              </w:rPr>
              <w:t>Internal (Zone 1); External (Zone 2)</w:t>
            </w:r>
          </w:p>
        </w:tc>
        <w:tc>
          <w:tcPr>
            <w:tcW w:w="940" w:type="pct"/>
            <w:shd w:val="clear" w:color="auto" w:fill="FFFFFF"/>
          </w:tcPr>
          <w:p w14:paraId="0366FA2E" w14:textId="59C33CBC" w:rsidR="00C677C9" w:rsidRPr="005F0879" w:rsidRDefault="009D1DBB" w:rsidP="00045BC4">
            <w:pPr>
              <w:pStyle w:val="CETBodytext"/>
              <w:jc w:val="left"/>
              <w:rPr>
                <w:lang w:val="en-GB"/>
              </w:rPr>
            </w:pPr>
            <w:r w:rsidRPr="005F0879">
              <w:rPr>
                <w:lang w:val="en-GB"/>
              </w:rPr>
              <w:t>Medium (phases not simultaneous but mixing critical)</w:t>
            </w:r>
          </w:p>
        </w:tc>
        <w:tc>
          <w:tcPr>
            <w:tcW w:w="1081" w:type="pct"/>
            <w:shd w:val="clear" w:color="auto" w:fill="FFFFFF"/>
            <w:vAlign w:val="center"/>
          </w:tcPr>
          <w:p w14:paraId="0B59EAB4" w14:textId="016ABC0C" w:rsidR="00C677C9" w:rsidRPr="005F0879" w:rsidRDefault="009D1DBB" w:rsidP="00045BC4">
            <w:pPr>
              <w:pStyle w:val="CETBodytext"/>
              <w:jc w:val="left"/>
              <w:rPr>
                <w:lang w:val="en-GB"/>
              </w:rPr>
            </w:pPr>
            <w:r w:rsidRPr="005F0879">
              <w:rPr>
                <w:lang w:val="en-GB"/>
              </w:rPr>
              <w:t xml:space="preserve">Low </w:t>
            </w:r>
          </w:p>
        </w:tc>
      </w:tr>
      <w:tr w:rsidR="00C677C9" w:rsidRPr="00BB083C" w14:paraId="344ACA90" w14:textId="77777777" w:rsidTr="009D1DBB">
        <w:trPr>
          <w:trHeight w:val="211"/>
        </w:trPr>
        <w:tc>
          <w:tcPr>
            <w:tcW w:w="566" w:type="pct"/>
            <w:shd w:val="clear" w:color="auto" w:fill="FFFFFF"/>
            <w:vAlign w:val="center"/>
          </w:tcPr>
          <w:p w14:paraId="3BF63DC8" w14:textId="77777777" w:rsidR="00C677C9" w:rsidRPr="005F0879" w:rsidRDefault="00C677C9" w:rsidP="00045BC4">
            <w:pPr>
              <w:pStyle w:val="CETBodytext"/>
              <w:ind w:right="-1"/>
              <w:jc w:val="left"/>
              <w:rPr>
                <w:rFonts w:cs="Arial"/>
                <w:szCs w:val="18"/>
                <w:lang w:val="en-GB"/>
              </w:rPr>
            </w:pPr>
            <w:r w:rsidRPr="005F0879">
              <w:rPr>
                <w:lang w:val="en-GB"/>
              </w:rPr>
              <w:t>Scenario n°2</w:t>
            </w:r>
          </w:p>
        </w:tc>
        <w:tc>
          <w:tcPr>
            <w:tcW w:w="1237" w:type="pct"/>
            <w:shd w:val="clear" w:color="auto" w:fill="FFFFFF"/>
          </w:tcPr>
          <w:p w14:paraId="67B1913B" w14:textId="2923F7CD" w:rsidR="00C677C9" w:rsidRPr="005F0879" w:rsidRDefault="00C677C9" w:rsidP="00045BC4">
            <w:pPr>
              <w:pStyle w:val="CETBodytext"/>
              <w:ind w:right="-1"/>
              <w:jc w:val="left"/>
              <w:rPr>
                <w:lang w:val="en-GB"/>
              </w:rPr>
            </w:pPr>
            <w:r w:rsidRPr="005F0879">
              <w:rPr>
                <w:lang w:val="en-GB"/>
              </w:rPr>
              <w:t>High</w:t>
            </w:r>
          </w:p>
        </w:tc>
        <w:tc>
          <w:tcPr>
            <w:tcW w:w="1176" w:type="pct"/>
            <w:shd w:val="clear" w:color="auto" w:fill="FFFFFF"/>
          </w:tcPr>
          <w:p w14:paraId="49FBB939" w14:textId="03A81E44" w:rsidR="00C677C9" w:rsidRPr="005F0879" w:rsidRDefault="009D1DBB" w:rsidP="00045BC4">
            <w:pPr>
              <w:pStyle w:val="CETBodytext"/>
              <w:ind w:right="-1"/>
              <w:jc w:val="left"/>
              <w:rPr>
                <w:lang w:val="en-GB"/>
              </w:rPr>
            </w:pPr>
            <w:r w:rsidRPr="005F0879">
              <w:rPr>
                <w:lang w:val="en-GB"/>
              </w:rPr>
              <w:t>Zone 2 or negligible depending on solvent temperature</w:t>
            </w:r>
          </w:p>
        </w:tc>
        <w:tc>
          <w:tcPr>
            <w:tcW w:w="940" w:type="pct"/>
            <w:shd w:val="clear" w:color="auto" w:fill="FFFFFF"/>
          </w:tcPr>
          <w:p w14:paraId="15AEF2FC" w14:textId="51220E0D" w:rsidR="00C677C9" w:rsidRPr="005F0879" w:rsidRDefault="009D1DBB" w:rsidP="00045BC4">
            <w:pPr>
              <w:pStyle w:val="CETBodytext"/>
              <w:ind w:right="-1"/>
              <w:jc w:val="left"/>
              <w:rPr>
                <w:lang w:val="en-GB"/>
              </w:rPr>
            </w:pPr>
            <w:r w:rsidRPr="005F0879">
              <w:rPr>
                <w:lang w:val="en-GB"/>
              </w:rPr>
              <w:t>Low</w:t>
            </w:r>
          </w:p>
        </w:tc>
        <w:tc>
          <w:tcPr>
            <w:tcW w:w="1081" w:type="pct"/>
            <w:shd w:val="clear" w:color="auto" w:fill="FFFFFF"/>
            <w:vAlign w:val="center"/>
          </w:tcPr>
          <w:p w14:paraId="30A6799A" w14:textId="77777777" w:rsidR="009D1DBB" w:rsidRPr="005F0879" w:rsidRDefault="009D1DBB" w:rsidP="009D1DBB">
            <w:pPr>
              <w:pStyle w:val="CETBodytext"/>
              <w:ind w:right="-1"/>
              <w:rPr>
                <w:lang w:val="it-IT"/>
              </w:rPr>
            </w:pPr>
            <w:r w:rsidRPr="005F0879">
              <w:rPr>
                <w:lang w:val="it-IT"/>
              </w:rPr>
              <w:t>Medium (requires cooling control)</w:t>
            </w:r>
          </w:p>
          <w:p w14:paraId="70ACE7F0" w14:textId="6E586309" w:rsidR="00C677C9" w:rsidRPr="005F0879" w:rsidRDefault="00C677C9" w:rsidP="00045BC4">
            <w:pPr>
              <w:pStyle w:val="CETBodytext"/>
              <w:ind w:right="-1"/>
              <w:jc w:val="left"/>
              <w:rPr>
                <w:lang w:val="en-GB"/>
              </w:rPr>
            </w:pPr>
          </w:p>
        </w:tc>
      </w:tr>
      <w:tr w:rsidR="00C677C9" w:rsidRPr="00BB083C" w14:paraId="188E2734" w14:textId="77777777" w:rsidTr="009D1DBB">
        <w:trPr>
          <w:trHeight w:val="211"/>
        </w:trPr>
        <w:tc>
          <w:tcPr>
            <w:tcW w:w="566" w:type="pct"/>
            <w:shd w:val="clear" w:color="auto" w:fill="FFFFFF"/>
            <w:vAlign w:val="center"/>
          </w:tcPr>
          <w:p w14:paraId="3449D134" w14:textId="77777777" w:rsidR="00C677C9" w:rsidRPr="005F0879" w:rsidRDefault="00C677C9" w:rsidP="00045BC4">
            <w:pPr>
              <w:pStyle w:val="CETBodytext"/>
              <w:ind w:right="-1"/>
              <w:jc w:val="left"/>
              <w:rPr>
                <w:rFonts w:cs="Arial"/>
                <w:szCs w:val="18"/>
                <w:lang w:val="en-GB"/>
              </w:rPr>
            </w:pPr>
            <w:r w:rsidRPr="005F0879">
              <w:rPr>
                <w:lang w:val="en-GB"/>
              </w:rPr>
              <w:t>Scenario n°3</w:t>
            </w:r>
          </w:p>
        </w:tc>
        <w:tc>
          <w:tcPr>
            <w:tcW w:w="1237" w:type="pct"/>
            <w:shd w:val="clear" w:color="auto" w:fill="FFFFFF"/>
          </w:tcPr>
          <w:p w14:paraId="54567941" w14:textId="1BEFB653" w:rsidR="00C677C9" w:rsidRPr="005F0879" w:rsidRDefault="00C677C9" w:rsidP="00045BC4">
            <w:pPr>
              <w:pStyle w:val="CETBodytext"/>
              <w:ind w:right="-1"/>
              <w:jc w:val="left"/>
              <w:rPr>
                <w:lang w:val="en-GB"/>
              </w:rPr>
            </w:pPr>
            <w:r w:rsidRPr="005F0879">
              <w:rPr>
                <w:lang w:val="en-GB"/>
              </w:rPr>
              <w:t>Very High (SIL-based options)</w:t>
            </w:r>
          </w:p>
        </w:tc>
        <w:tc>
          <w:tcPr>
            <w:tcW w:w="1176" w:type="pct"/>
            <w:shd w:val="clear" w:color="auto" w:fill="FFFFFF"/>
          </w:tcPr>
          <w:p w14:paraId="2322FFD6" w14:textId="5B25C012" w:rsidR="00C677C9" w:rsidRPr="005F0879" w:rsidRDefault="009D1DBB" w:rsidP="00045BC4">
            <w:pPr>
              <w:pStyle w:val="CETBodytext"/>
              <w:ind w:right="-1"/>
              <w:jc w:val="left"/>
              <w:rPr>
                <w:lang w:val="en-GB"/>
              </w:rPr>
            </w:pPr>
            <w:r w:rsidRPr="005F0879">
              <w:rPr>
                <w:lang w:val="en-GB"/>
              </w:rPr>
              <w:t xml:space="preserve"> Limited Zone 2 or none</w:t>
            </w:r>
          </w:p>
        </w:tc>
        <w:tc>
          <w:tcPr>
            <w:tcW w:w="940" w:type="pct"/>
            <w:shd w:val="clear" w:color="auto" w:fill="FFFFFF"/>
          </w:tcPr>
          <w:p w14:paraId="20BB1299" w14:textId="21197786" w:rsidR="00C677C9" w:rsidRPr="005F0879" w:rsidRDefault="009D1DBB" w:rsidP="00045BC4">
            <w:pPr>
              <w:pStyle w:val="CETBodytext"/>
              <w:ind w:right="-1"/>
              <w:jc w:val="left"/>
              <w:rPr>
                <w:lang w:val="en-GB"/>
              </w:rPr>
            </w:pPr>
            <w:r w:rsidRPr="005F0879">
              <w:rPr>
                <w:lang w:val="en-GB"/>
              </w:rPr>
              <w:t>Very Low</w:t>
            </w:r>
          </w:p>
        </w:tc>
        <w:tc>
          <w:tcPr>
            <w:tcW w:w="1081" w:type="pct"/>
            <w:shd w:val="clear" w:color="auto" w:fill="FFFFFF"/>
            <w:vAlign w:val="center"/>
          </w:tcPr>
          <w:p w14:paraId="7A6890F6" w14:textId="301425B0" w:rsidR="00C677C9" w:rsidRPr="005F0879" w:rsidRDefault="009D1DBB" w:rsidP="00045BC4">
            <w:pPr>
              <w:pStyle w:val="CETBodytext"/>
              <w:ind w:right="-1"/>
              <w:jc w:val="left"/>
              <w:rPr>
                <w:lang w:val="en-GB"/>
              </w:rPr>
            </w:pPr>
            <w:r w:rsidRPr="005F0879">
              <w:rPr>
                <w:lang w:val="en-GB"/>
              </w:rPr>
              <w:t>High</w:t>
            </w:r>
          </w:p>
        </w:tc>
      </w:tr>
      <w:tr w:rsidR="00C677C9" w:rsidRPr="00B57B36" w14:paraId="101A6200" w14:textId="77777777" w:rsidTr="009D1DBB">
        <w:trPr>
          <w:trHeight w:val="211"/>
        </w:trPr>
        <w:tc>
          <w:tcPr>
            <w:tcW w:w="566" w:type="pct"/>
            <w:shd w:val="clear" w:color="auto" w:fill="FFFFFF"/>
            <w:vAlign w:val="center"/>
          </w:tcPr>
          <w:p w14:paraId="2082B6DB" w14:textId="77777777" w:rsidR="00C677C9" w:rsidRPr="005F0879" w:rsidRDefault="00C677C9" w:rsidP="00045BC4">
            <w:pPr>
              <w:pStyle w:val="CETBodytext"/>
              <w:ind w:right="-1"/>
              <w:jc w:val="left"/>
              <w:rPr>
                <w:rFonts w:cs="Arial"/>
                <w:szCs w:val="18"/>
                <w:lang w:val="en-GB"/>
              </w:rPr>
            </w:pPr>
            <w:r w:rsidRPr="005F0879">
              <w:rPr>
                <w:lang w:val="en-GB"/>
              </w:rPr>
              <w:t>Scenario n°4</w:t>
            </w:r>
          </w:p>
        </w:tc>
        <w:tc>
          <w:tcPr>
            <w:tcW w:w="1237" w:type="pct"/>
            <w:shd w:val="clear" w:color="auto" w:fill="FFFFFF"/>
          </w:tcPr>
          <w:p w14:paraId="265673C4" w14:textId="53A5B3EA" w:rsidR="00C677C9" w:rsidRPr="005F0879" w:rsidRDefault="00C677C9" w:rsidP="00045BC4">
            <w:pPr>
              <w:pStyle w:val="CETBodytext"/>
              <w:ind w:right="-1"/>
              <w:jc w:val="left"/>
              <w:rPr>
                <w:lang w:val="en-GB"/>
              </w:rPr>
            </w:pPr>
            <w:r w:rsidRPr="005F0879">
              <w:rPr>
                <w:lang w:val="en-GB"/>
              </w:rPr>
              <w:t xml:space="preserve">Medium (dependent on pump conditions) </w:t>
            </w:r>
          </w:p>
        </w:tc>
        <w:tc>
          <w:tcPr>
            <w:tcW w:w="1176" w:type="pct"/>
            <w:shd w:val="clear" w:color="auto" w:fill="FFFFFF"/>
          </w:tcPr>
          <w:p w14:paraId="6225900C" w14:textId="743C4DBB" w:rsidR="00C677C9" w:rsidRPr="005F0879" w:rsidRDefault="009D1DBB" w:rsidP="00045BC4">
            <w:pPr>
              <w:pStyle w:val="CETBodytext"/>
              <w:ind w:right="-1"/>
              <w:jc w:val="left"/>
              <w:rPr>
                <w:lang w:val="en-GB"/>
              </w:rPr>
            </w:pPr>
            <w:r w:rsidRPr="005F0879">
              <w:rPr>
                <w:lang w:val="en-GB"/>
              </w:rPr>
              <w:t>Very limited zone extent</w:t>
            </w:r>
          </w:p>
        </w:tc>
        <w:tc>
          <w:tcPr>
            <w:tcW w:w="940" w:type="pct"/>
            <w:shd w:val="clear" w:color="auto" w:fill="FFFFFF"/>
          </w:tcPr>
          <w:p w14:paraId="0F31A41E" w14:textId="19E4D23F" w:rsidR="00C677C9" w:rsidRPr="005F0879" w:rsidRDefault="009D1DBB" w:rsidP="00045BC4">
            <w:pPr>
              <w:pStyle w:val="CETBodytext"/>
              <w:ind w:right="-1"/>
              <w:jc w:val="left"/>
              <w:rPr>
                <w:lang w:val="en-GB"/>
              </w:rPr>
            </w:pPr>
            <w:r w:rsidRPr="005F0879">
              <w:rPr>
                <w:lang w:val="en-GB"/>
              </w:rPr>
              <w:t>Very low (immediate entrainment into liquid)</w:t>
            </w:r>
          </w:p>
        </w:tc>
        <w:tc>
          <w:tcPr>
            <w:tcW w:w="1081" w:type="pct"/>
            <w:shd w:val="clear" w:color="auto" w:fill="FFFFFF"/>
            <w:vAlign w:val="center"/>
          </w:tcPr>
          <w:p w14:paraId="51ADB58A" w14:textId="63DE9614" w:rsidR="00C677C9" w:rsidRPr="005F0879" w:rsidRDefault="009D1DBB" w:rsidP="00045BC4">
            <w:pPr>
              <w:pStyle w:val="CETBodytext"/>
              <w:ind w:right="-1"/>
              <w:jc w:val="left"/>
              <w:rPr>
                <w:lang w:val="en-GB"/>
              </w:rPr>
            </w:pPr>
            <w:r w:rsidRPr="005F0879">
              <w:rPr>
                <w:lang w:val="en-GB"/>
              </w:rPr>
              <w:t xml:space="preserve">Medium </w:t>
            </w:r>
          </w:p>
        </w:tc>
      </w:tr>
    </w:tbl>
    <w:p w14:paraId="2CAEC354" w14:textId="77777777" w:rsidR="00C677C9" w:rsidRPr="00C677C9" w:rsidRDefault="00C677C9" w:rsidP="00C677C9">
      <w:pPr>
        <w:pStyle w:val="CETBodytext"/>
        <w:rPr>
          <w:lang w:val="en-GB"/>
        </w:rPr>
      </w:pPr>
    </w:p>
    <w:p w14:paraId="68D26B83" w14:textId="0C5AF8D1" w:rsidR="00600535" w:rsidRPr="005F0879" w:rsidRDefault="00600535" w:rsidP="00600535">
      <w:pPr>
        <w:pStyle w:val="CETHeading1"/>
        <w:rPr>
          <w:lang w:val="en-GB"/>
        </w:rPr>
      </w:pPr>
      <w:r w:rsidRPr="005F0879">
        <w:rPr>
          <w:lang w:val="en-GB"/>
        </w:rPr>
        <w:t>Conclusions</w:t>
      </w:r>
    </w:p>
    <w:p w14:paraId="1B0BA8A1" w14:textId="06CEE803" w:rsidR="004639DB" w:rsidRPr="005F0879" w:rsidRDefault="004639DB" w:rsidP="004639DB">
      <w:pPr>
        <w:pStyle w:val="CETBodytext"/>
        <w:rPr>
          <w:lang w:val="en-GB"/>
        </w:rPr>
      </w:pPr>
      <w:r w:rsidRPr="005F0879">
        <w:rPr>
          <w:lang w:val="en-GB"/>
        </w:rPr>
        <w:t xml:space="preserve">This study confirms that hybrid explosive atmospheres may form during manual powder charging into flammable solvents, with risk levels strongly dependent on process configuration. The comparative analysis shows that no universal mitigation strategy </w:t>
      </w:r>
      <w:r w:rsidR="00D61FCD" w:rsidRPr="005F0879">
        <w:rPr>
          <w:lang w:val="en-GB"/>
        </w:rPr>
        <w:t>exists:</w:t>
      </w:r>
      <w:r w:rsidRPr="005F0879">
        <w:rPr>
          <w:lang w:val="en-GB"/>
        </w:rPr>
        <w:t xml:space="preserve"> sequencing, temperature control, inerting effectiveness, and alternative charging technologies all substantially influence HAC outcomes and residual risk.</w:t>
      </w:r>
    </w:p>
    <w:p w14:paraId="2950F2BE" w14:textId="77777777" w:rsidR="004639DB" w:rsidRPr="004639DB" w:rsidRDefault="004639DB" w:rsidP="004639DB">
      <w:pPr>
        <w:pStyle w:val="CETBodytext"/>
        <w:rPr>
          <w:lang w:val="en-GB"/>
        </w:rPr>
      </w:pPr>
      <w:r w:rsidRPr="005F0879">
        <w:rPr>
          <w:lang w:val="en-GB"/>
        </w:rPr>
        <w:t>Overall, inherently safer design options that prevent the simultaneous presence of dust and vapours offer the most reliable protection, while engineered and procedural safeguards serve as complementary measures. A logical extension of this work would be a focused study on inerting strategies, particularly on defining LOC criteria and verifying their effectiveness in preventing hybrid mixture formation.</w:t>
      </w:r>
    </w:p>
    <w:p w14:paraId="07A6D20F" w14:textId="0ECF229E" w:rsidR="00280FAF" w:rsidRPr="00D8191B" w:rsidRDefault="00280FAF" w:rsidP="00280FAF">
      <w:pPr>
        <w:pStyle w:val="CETHeadingxx"/>
        <w:sectPr w:rsidR="00280FAF" w:rsidRPr="00D8191B" w:rsidSect="007D0951">
          <w:type w:val="continuous"/>
          <w:pgSz w:w="11906" w:h="16838" w:code="9"/>
          <w:pgMar w:top="1701" w:right="1418" w:bottom="1701" w:left="1701" w:header="1701" w:footer="0" w:gutter="0"/>
          <w:cols w:space="708"/>
          <w:formProt w:val="0"/>
          <w:titlePg/>
          <w:docGrid w:linePitch="360"/>
        </w:sectPr>
      </w:pPr>
      <w:r w:rsidRPr="00D8191B">
        <w:t>Nomenclature</w:t>
      </w:r>
    </w:p>
    <w:p w14:paraId="25D52BD8" w14:textId="58EB2709" w:rsidR="00280FAF" w:rsidRPr="00D8191B" w:rsidRDefault="00277EAF" w:rsidP="00280FAF">
      <w:pPr>
        <w:pStyle w:val="CETBodytext"/>
        <w:jc w:val="left"/>
        <w:rPr>
          <w:rFonts w:eastAsia="SimSun"/>
          <w:highlight w:val="yellow"/>
        </w:rPr>
      </w:pPr>
      <w:r w:rsidRPr="00D8191B">
        <w:rPr>
          <w:rFonts w:eastAsia="SimSun"/>
        </w:rPr>
        <w:t>HAC</w:t>
      </w:r>
      <w:r w:rsidR="00280FAF" w:rsidRPr="00D8191B">
        <w:rPr>
          <w:rFonts w:eastAsia="SimSun"/>
        </w:rPr>
        <w:t xml:space="preserve"> – </w:t>
      </w:r>
      <w:r w:rsidRPr="00D8191B">
        <w:rPr>
          <w:rFonts w:eastAsia="SimSun"/>
        </w:rPr>
        <w:t>Hazardous Area Classification</w:t>
      </w:r>
      <w:r w:rsidRPr="00D8191B">
        <w:rPr>
          <w:rFonts w:eastAsia="SimSun"/>
          <w:highlight w:val="yellow"/>
        </w:rPr>
        <w:t xml:space="preserve"> </w:t>
      </w:r>
    </w:p>
    <w:p w14:paraId="7DFFBF41" w14:textId="77777777" w:rsidR="00280FAF" w:rsidRPr="00D8191B" w:rsidRDefault="00280FAF" w:rsidP="00280FAF">
      <w:pPr>
        <w:pStyle w:val="CETBodytext"/>
        <w:jc w:val="left"/>
        <w:rPr>
          <w:rFonts w:eastAsia="SimSun"/>
          <w:highlight w:val="yellow"/>
        </w:rPr>
        <w:sectPr w:rsidR="00280FAF" w:rsidRPr="00D8191B" w:rsidSect="0077098D">
          <w:type w:val="continuous"/>
          <w:pgSz w:w="11906" w:h="16838" w:code="9"/>
          <w:pgMar w:top="1701" w:right="1418" w:bottom="1701" w:left="1701" w:header="1701" w:footer="0" w:gutter="0"/>
          <w:cols w:space="708"/>
          <w:formProt w:val="0"/>
          <w:titlePg/>
          <w:docGrid w:linePitch="360"/>
        </w:sectPr>
      </w:pPr>
    </w:p>
    <w:p w14:paraId="57590CE2" w14:textId="4994536B" w:rsidR="00280FAF" w:rsidRPr="006017DC" w:rsidRDefault="00277EAF" w:rsidP="00280FAF">
      <w:pPr>
        <w:pStyle w:val="CETBodytext"/>
        <w:jc w:val="left"/>
        <w:rPr>
          <w:rFonts w:eastAsia="SimSun"/>
          <w:highlight w:val="yellow"/>
        </w:rPr>
      </w:pPr>
      <w:r w:rsidRPr="001E33F2">
        <w:rPr>
          <w:rFonts w:eastAsia="SimSun"/>
          <w:lang w:val="en-GB"/>
        </w:rPr>
        <w:t xml:space="preserve">IEC – </w:t>
      </w:r>
      <w:r w:rsidRPr="001E33F2">
        <w:rPr>
          <w:lang w:val="en-GB"/>
        </w:rPr>
        <w:t>International Electrotechnical Commissio</w:t>
      </w:r>
      <w:r>
        <w:rPr>
          <w:lang w:val="en-GB"/>
        </w:rPr>
        <w:t>n</w:t>
      </w:r>
      <w:r w:rsidR="00280FAF" w:rsidRPr="006017DC">
        <w:rPr>
          <w:rFonts w:eastAsia="SimSun"/>
          <w:highlight w:val="yellow"/>
        </w:rPr>
        <w:t xml:space="preserve"> </w:t>
      </w:r>
      <w:r w:rsidRPr="001E33F2">
        <w:rPr>
          <w:rFonts w:eastAsia="SimSun"/>
          <w:lang w:val="en-GB"/>
        </w:rPr>
        <w:t xml:space="preserve">NFPA – </w:t>
      </w:r>
      <w:r w:rsidRPr="001E33F2">
        <w:rPr>
          <w:lang w:val="en-GB"/>
        </w:rPr>
        <w:t>National Fire Protection Association</w:t>
      </w:r>
    </w:p>
    <w:p w14:paraId="0E502614" w14:textId="0EB59613" w:rsidR="00280FAF" w:rsidRPr="006017DC" w:rsidRDefault="00022E62" w:rsidP="00280FAF">
      <w:pPr>
        <w:pStyle w:val="CETBodytext"/>
        <w:jc w:val="left"/>
        <w:rPr>
          <w:rFonts w:eastAsia="SimSun"/>
          <w:highlight w:val="yellow"/>
        </w:rPr>
      </w:pPr>
      <w:r w:rsidRPr="00022E62">
        <w:rPr>
          <w:rFonts w:eastAsia="SimSun"/>
        </w:rPr>
        <w:t>CSB</w:t>
      </w:r>
      <w:r w:rsidR="00280FAF" w:rsidRPr="00022E62">
        <w:rPr>
          <w:rFonts w:eastAsia="SimSun"/>
        </w:rPr>
        <w:t xml:space="preserve"> – </w:t>
      </w:r>
      <w:r>
        <w:t>Chemical Safety Board</w:t>
      </w:r>
    </w:p>
    <w:p w14:paraId="673F1DC9" w14:textId="77777777" w:rsidR="00815CC1" w:rsidRDefault="00815CC1" w:rsidP="00815CC1">
      <w:pPr>
        <w:pStyle w:val="CETBodytext"/>
        <w:jc w:val="left"/>
        <w:rPr>
          <w:rFonts w:eastAsia="SimSun"/>
          <w:lang w:val="en-GB"/>
        </w:rPr>
      </w:pPr>
      <w:r w:rsidRPr="001E33F2">
        <w:rPr>
          <w:rFonts w:eastAsia="SimSun" w:cs="Arial"/>
          <w:lang w:val="en-GB"/>
        </w:rPr>
        <w:t>MIE</w:t>
      </w:r>
      <w:r w:rsidRPr="001E33F2">
        <w:rPr>
          <w:rFonts w:eastAsia="SimSun"/>
          <w:lang w:val="en-GB"/>
        </w:rPr>
        <w:t xml:space="preserve"> – Minimum Ignition </w:t>
      </w:r>
      <w:r>
        <w:rPr>
          <w:rFonts w:eastAsia="SimSun"/>
          <w:lang w:val="en-GB"/>
        </w:rPr>
        <w:t>Energy</w:t>
      </w:r>
    </w:p>
    <w:p w14:paraId="584888FD" w14:textId="6BA4368A" w:rsidR="00815CC1" w:rsidRDefault="00815CC1" w:rsidP="00815CC1">
      <w:pPr>
        <w:pStyle w:val="CETBodytext"/>
        <w:jc w:val="left"/>
        <w:rPr>
          <w:rFonts w:eastAsia="SimSun"/>
          <w:lang w:val="en-GB"/>
        </w:rPr>
      </w:pPr>
      <w:r>
        <w:rPr>
          <w:rFonts w:eastAsia="SimSun" w:cs="Arial"/>
          <w:lang w:val="en-GB"/>
        </w:rPr>
        <w:t>L</w:t>
      </w:r>
      <w:r w:rsidRPr="001E33F2">
        <w:rPr>
          <w:rFonts w:eastAsia="SimSun" w:cs="Arial"/>
          <w:lang w:val="en-GB"/>
        </w:rPr>
        <w:t>E</w:t>
      </w:r>
      <w:r>
        <w:rPr>
          <w:rFonts w:eastAsia="SimSun" w:cs="Arial"/>
          <w:lang w:val="en-GB"/>
        </w:rPr>
        <w:t>L</w:t>
      </w:r>
      <w:r w:rsidRPr="001E33F2">
        <w:rPr>
          <w:rFonts w:eastAsia="SimSun"/>
          <w:lang w:val="en-GB"/>
        </w:rPr>
        <w:t xml:space="preserve"> – </w:t>
      </w:r>
      <w:r>
        <w:rPr>
          <w:rFonts w:eastAsia="SimSun"/>
          <w:lang w:val="en-GB"/>
        </w:rPr>
        <w:t>Lower Explosive Limit</w:t>
      </w:r>
    </w:p>
    <w:p w14:paraId="1AFA30FB" w14:textId="4A922B37" w:rsidR="00815CC1" w:rsidRDefault="00815CC1" w:rsidP="00815CC1">
      <w:pPr>
        <w:pStyle w:val="CETBodytext"/>
        <w:jc w:val="left"/>
        <w:rPr>
          <w:rFonts w:eastAsia="SimSun"/>
          <w:lang w:val="en-GB"/>
        </w:rPr>
      </w:pPr>
      <w:r w:rsidRPr="001E33F2">
        <w:rPr>
          <w:rFonts w:eastAsia="SimSun" w:cs="Arial"/>
          <w:lang w:val="en-GB"/>
        </w:rPr>
        <w:t>ME</w:t>
      </w:r>
      <w:r>
        <w:rPr>
          <w:rFonts w:eastAsia="SimSun" w:cs="Arial"/>
          <w:lang w:val="en-GB"/>
        </w:rPr>
        <w:t>C</w:t>
      </w:r>
      <w:r w:rsidRPr="001E33F2">
        <w:rPr>
          <w:rFonts w:eastAsia="SimSun"/>
          <w:lang w:val="en-GB"/>
        </w:rPr>
        <w:t xml:space="preserve"> – Minimum </w:t>
      </w:r>
      <w:r>
        <w:rPr>
          <w:rFonts w:eastAsia="SimSun"/>
          <w:lang w:val="en-GB"/>
        </w:rPr>
        <w:t>Explosive Concentration</w:t>
      </w:r>
    </w:p>
    <w:p w14:paraId="1B9CA67B" w14:textId="6B96F16A" w:rsidR="00280FAF" w:rsidRPr="00815CC1" w:rsidRDefault="00815CC1" w:rsidP="00280FAF">
      <w:pPr>
        <w:pStyle w:val="CETBodytext"/>
        <w:jc w:val="left"/>
        <w:rPr>
          <w:rFonts w:eastAsia="SimSun"/>
        </w:rPr>
      </w:pPr>
      <w:r w:rsidRPr="00815CC1">
        <w:rPr>
          <w:rFonts w:eastAsia="SimSun"/>
        </w:rPr>
        <w:t>LFL</w:t>
      </w:r>
      <w:r w:rsidR="00280FAF" w:rsidRPr="00815CC1">
        <w:rPr>
          <w:rFonts w:eastAsia="SimSun"/>
        </w:rPr>
        <w:t xml:space="preserve"> – </w:t>
      </w:r>
      <w:r w:rsidRPr="00815CC1">
        <w:rPr>
          <w:rFonts w:eastAsia="SimSun"/>
        </w:rPr>
        <w:t>lower Flammability Limit</w:t>
      </w:r>
    </w:p>
    <w:p w14:paraId="63AB7028" w14:textId="1BE5BE1D" w:rsidR="00280FAF" w:rsidRPr="00A677FD" w:rsidRDefault="00804080" w:rsidP="00280FAF">
      <w:pPr>
        <w:pStyle w:val="CETBodytext"/>
        <w:jc w:val="left"/>
        <w:rPr>
          <w:rFonts w:eastAsia="SimSun"/>
          <w:lang w:val="fr-FR"/>
        </w:rPr>
      </w:pPr>
      <w:r w:rsidRPr="00A677FD">
        <w:rPr>
          <w:rFonts w:eastAsia="SimSun"/>
          <w:lang w:val="fr-FR"/>
        </w:rPr>
        <w:t>FP</w:t>
      </w:r>
      <w:r w:rsidR="00280FAF" w:rsidRPr="00A677FD">
        <w:rPr>
          <w:rFonts w:eastAsia="SimSun"/>
          <w:lang w:val="fr-FR"/>
        </w:rPr>
        <w:t xml:space="preserve"> –</w:t>
      </w:r>
      <w:r w:rsidRPr="00A677FD">
        <w:rPr>
          <w:rFonts w:eastAsia="SimSun"/>
          <w:lang w:val="fr-FR"/>
        </w:rPr>
        <w:t>Flash Point, °C</w:t>
      </w:r>
    </w:p>
    <w:p w14:paraId="42FAA691" w14:textId="2B89656B" w:rsidR="00280FAF" w:rsidRPr="00A677FD" w:rsidRDefault="00804080" w:rsidP="00280FAF">
      <w:pPr>
        <w:pStyle w:val="CETBodytext"/>
        <w:jc w:val="left"/>
        <w:rPr>
          <w:rFonts w:eastAsia="SimSun"/>
          <w:lang w:val="fr-FR"/>
        </w:rPr>
      </w:pPr>
      <w:r w:rsidRPr="00A677FD">
        <w:rPr>
          <w:rFonts w:eastAsia="SimSun"/>
          <w:lang w:val="fr-FR"/>
        </w:rPr>
        <w:t>LOC</w:t>
      </w:r>
      <w:r w:rsidR="00280FAF" w:rsidRPr="00A677FD">
        <w:rPr>
          <w:rFonts w:eastAsia="SimSun"/>
          <w:lang w:val="fr-FR"/>
        </w:rPr>
        <w:t xml:space="preserve"> – </w:t>
      </w:r>
      <w:r w:rsidRPr="00A677FD">
        <w:rPr>
          <w:rFonts w:eastAsia="SimSun"/>
          <w:lang w:val="fr-FR"/>
        </w:rPr>
        <w:t>Limit Oxygen Concentration</w:t>
      </w:r>
    </w:p>
    <w:p w14:paraId="24D4E211" w14:textId="273FD7D4" w:rsidR="00280FAF" w:rsidRPr="00A677FD" w:rsidRDefault="00804080" w:rsidP="00280FAF">
      <w:pPr>
        <w:pStyle w:val="CETBodytext"/>
        <w:jc w:val="left"/>
        <w:rPr>
          <w:rFonts w:eastAsia="SimSun"/>
          <w:highlight w:val="yellow"/>
          <w:lang w:val="fr-FR"/>
        </w:rPr>
      </w:pPr>
      <w:r w:rsidRPr="00A677FD">
        <w:rPr>
          <w:rFonts w:eastAsia="SimSun"/>
          <w:lang w:val="fr-FR"/>
        </w:rPr>
        <w:t>CEN</w:t>
      </w:r>
      <w:r w:rsidR="00280FAF" w:rsidRPr="00A677FD">
        <w:rPr>
          <w:rFonts w:eastAsia="SimSun"/>
          <w:lang w:val="fr-FR"/>
        </w:rPr>
        <w:t xml:space="preserve"> – </w:t>
      </w:r>
      <w:r w:rsidRPr="00A677FD">
        <w:rPr>
          <w:rFonts w:eastAsia="SimSun"/>
          <w:lang w:val="fr-FR"/>
        </w:rPr>
        <w:t>Comité Européen de Normalisation</w:t>
      </w:r>
    </w:p>
    <w:p w14:paraId="15F17467" w14:textId="555D8A05" w:rsidR="00280FAF" w:rsidRPr="00804080" w:rsidRDefault="00804080" w:rsidP="00280FAF">
      <w:pPr>
        <w:pStyle w:val="CETBodytext"/>
        <w:jc w:val="left"/>
        <w:rPr>
          <w:rFonts w:eastAsia="SimSun"/>
        </w:rPr>
      </w:pPr>
      <w:r w:rsidRPr="00804080">
        <w:rPr>
          <w:rFonts w:eastAsia="SimSun"/>
        </w:rPr>
        <w:t>TR</w:t>
      </w:r>
      <w:r w:rsidR="00280FAF" w:rsidRPr="00804080">
        <w:rPr>
          <w:rFonts w:eastAsia="SimSun"/>
        </w:rPr>
        <w:t xml:space="preserve"> – </w:t>
      </w:r>
      <w:r w:rsidRPr="00804080">
        <w:rPr>
          <w:rFonts w:eastAsia="SimSun"/>
          <w:lang w:val="en-GB"/>
        </w:rPr>
        <w:t>Technical Report</w:t>
      </w:r>
    </w:p>
    <w:p w14:paraId="6B0B5F2B" w14:textId="57A749CC" w:rsidR="00280FAF" w:rsidRPr="00804080" w:rsidRDefault="00804080" w:rsidP="00280FAF">
      <w:pPr>
        <w:pStyle w:val="CETBodytext"/>
        <w:jc w:val="left"/>
        <w:rPr>
          <w:rFonts w:eastAsia="SimSun"/>
        </w:rPr>
      </w:pPr>
      <w:r w:rsidRPr="00804080">
        <w:rPr>
          <w:rFonts w:eastAsia="SimSun"/>
        </w:rPr>
        <w:t>BPCS</w:t>
      </w:r>
      <w:r w:rsidR="00280FAF" w:rsidRPr="00804080">
        <w:rPr>
          <w:rFonts w:eastAsia="SimSun"/>
        </w:rPr>
        <w:t xml:space="preserve"> – </w:t>
      </w:r>
      <w:r w:rsidRPr="00804080">
        <w:rPr>
          <w:rFonts w:eastAsia="SimSun"/>
        </w:rPr>
        <w:t>Basic Process Control System</w:t>
      </w:r>
    </w:p>
    <w:p w14:paraId="2E4EE6F7" w14:textId="00F3BCD5" w:rsidR="00280FAF" w:rsidRPr="00804080" w:rsidRDefault="00804080" w:rsidP="00280FAF">
      <w:pPr>
        <w:pStyle w:val="CETBodytext"/>
        <w:jc w:val="left"/>
        <w:rPr>
          <w:rFonts w:eastAsia="SimSun"/>
          <w:highlight w:val="yellow"/>
        </w:rPr>
      </w:pPr>
      <w:r w:rsidRPr="00804080">
        <w:rPr>
          <w:rFonts w:eastAsia="SimSun"/>
        </w:rPr>
        <w:t>SIL</w:t>
      </w:r>
      <w:r w:rsidR="00280FAF" w:rsidRPr="00804080">
        <w:rPr>
          <w:rFonts w:eastAsia="SimSun"/>
          <w:lang w:val="el-GR"/>
        </w:rPr>
        <w:t xml:space="preserve"> </w:t>
      </w:r>
      <w:r w:rsidRPr="00804080">
        <w:rPr>
          <w:rFonts w:eastAsia="SimSun"/>
          <w:lang w:val="el-GR"/>
        </w:rPr>
        <w:t>–</w:t>
      </w:r>
      <w:r w:rsidR="00280FAF" w:rsidRPr="00804080">
        <w:rPr>
          <w:rFonts w:eastAsia="SimSun"/>
          <w:lang w:val="el-GR"/>
        </w:rPr>
        <w:t xml:space="preserve"> </w:t>
      </w:r>
      <w:r w:rsidRPr="00804080">
        <w:rPr>
          <w:rFonts w:eastAsia="SimSun"/>
        </w:rPr>
        <w:t>Safety Integrity Level</w:t>
      </w:r>
    </w:p>
    <w:p w14:paraId="23FF4C40" w14:textId="7C0DED93" w:rsidR="00280FAF" w:rsidRPr="007A119A" w:rsidRDefault="007A119A" w:rsidP="00280FAF">
      <w:pPr>
        <w:pStyle w:val="CETBodytext"/>
        <w:jc w:val="left"/>
        <w:rPr>
          <w:rFonts w:eastAsia="SimSun"/>
        </w:rPr>
      </w:pPr>
      <w:r w:rsidRPr="00FD5898">
        <w:rPr>
          <w:rFonts w:eastAsia="SimSun" w:cs="Arial"/>
        </w:rPr>
        <w:t>EX</w:t>
      </w:r>
      <w:r w:rsidR="00280FAF" w:rsidRPr="007A119A">
        <w:rPr>
          <w:rFonts w:eastAsia="SimSun"/>
          <w:lang w:val="el-GR"/>
        </w:rPr>
        <w:t xml:space="preserve"> – </w:t>
      </w:r>
      <w:r w:rsidRPr="00FD5898">
        <w:rPr>
          <w:rFonts w:eastAsia="SimSun"/>
        </w:rPr>
        <w:t>EXplosibles</w:t>
      </w:r>
    </w:p>
    <w:p w14:paraId="141D07C6" w14:textId="3B13EC77" w:rsidR="00280FAF" w:rsidRPr="006017DC" w:rsidRDefault="007A119A" w:rsidP="00280FAF">
      <w:pPr>
        <w:pStyle w:val="CETBodytext"/>
        <w:jc w:val="left"/>
        <w:rPr>
          <w:rFonts w:eastAsia="SimSun"/>
          <w:highlight w:val="yellow"/>
        </w:rPr>
      </w:pPr>
      <w:r w:rsidRPr="00FD5898">
        <w:rPr>
          <w:rFonts w:eastAsia="SimSun"/>
        </w:rPr>
        <w:t>PTS</w:t>
      </w:r>
      <w:r w:rsidR="00280FAF" w:rsidRPr="00FD5898">
        <w:rPr>
          <w:rFonts w:eastAsia="SimSun"/>
          <w:lang w:val="el-GR"/>
        </w:rPr>
        <w:t xml:space="preserve"> </w:t>
      </w:r>
      <w:r w:rsidR="00280FAF" w:rsidRPr="00FD5898">
        <w:rPr>
          <w:rFonts w:eastAsia="SimSun"/>
        </w:rPr>
        <w:t xml:space="preserve">– </w:t>
      </w:r>
      <w:r w:rsidR="00FD5898" w:rsidRPr="00FD5898">
        <w:rPr>
          <w:rFonts w:eastAsia="SimSun"/>
        </w:rPr>
        <w:t>Powder Transfer System</w:t>
      </w:r>
    </w:p>
    <w:p w14:paraId="38BFE636" w14:textId="012F1BDF" w:rsidR="00280FAF" w:rsidRPr="00FD5898" w:rsidRDefault="00280FAF" w:rsidP="00280FAF">
      <w:pPr>
        <w:pStyle w:val="CETBodytext"/>
        <w:jc w:val="left"/>
        <w:rPr>
          <w:rFonts w:eastAsia="SimSun"/>
          <w:highlight w:val="yellow"/>
        </w:rPr>
        <w:sectPr w:rsidR="00280FAF" w:rsidRPr="00FD5898" w:rsidSect="00200ECB">
          <w:type w:val="continuous"/>
          <w:pgSz w:w="11906" w:h="16838" w:code="9"/>
          <w:pgMar w:top="1701" w:right="1418" w:bottom="1701" w:left="1701" w:header="1701" w:footer="0" w:gutter="0"/>
          <w:cols w:num="2" w:space="708"/>
          <w:formProt w:val="0"/>
          <w:titlePg/>
          <w:docGrid w:linePitch="360"/>
        </w:sectPr>
      </w:pPr>
    </w:p>
    <w:p w14:paraId="03507984" w14:textId="20AF0588" w:rsidR="00600535" w:rsidRPr="00E249E9" w:rsidRDefault="00600535" w:rsidP="00E249E9">
      <w:pPr>
        <w:pStyle w:val="CETReference"/>
      </w:pPr>
      <w:r w:rsidRPr="00E21741">
        <w:t>References</w:t>
      </w:r>
    </w:p>
    <w:p w14:paraId="289A61BF" w14:textId="77777777" w:rsidR="00E249E9" w:rsidRDefault="00E249E9" w:rsidP="00E249E9">
      <w:pPr>
        <w:pStyle w:val="CETReferencetext"/>
      </w:pPr>
      <w:r w:rsidRPr="00753CA0">
        <w:t>International Electrotechnical Commission</w:t>
      </w:r>
      <w:r>
        <w:t xml:space="preserve">, </w:t>
      </w:r>
      <w:r w:rsidRPr="00753CA0">
        <w:t>20</w:t>
      </w:r>
      <w:r>
        <w:t>20,</w:t>
      </w:r>
      <w:r w:rsidRPr="00753CA0">
        <w:t xml:space="preserve"> IEC 60079-10-</w:t>
      </w:r>
      <w:r>
        <w:t>1</w:t>
      </w:r>
      <w:r w:rsidRPr="00753CA0">
        <w:t xml:space="preserve"> Explosive atmospheres - Part 10-</w:t>
      </w:r>
      <w:r>
        <w:t>1</w:t>
      </w:r>
      <w:r w:rsidRPr="00753CA0">
        <w:t xml:space="preserve">: Classification of areas - Explosive </w:t>
      </w:r>
      <w:r>
        <w:t>gas</w:t>
      </w:r>
      <w:r w:rsidRPr="00753CA0">
        <w:t xml:space="preserve"> atmospheres, Geneva, Switzerland.</w:t>
      </w:r>
    </w:p>
    <w:p w14:paraId="24C85A83" w14:textId="77777777" w:rsidR="00E249E9" w:rsidRPr="000A72AA" w:rsidRDefault="00E249E9" w:rsidP="00E249E9">
      <w:pPr>
        <w:pStyle w:val="CETReferencetext"/>
      </w:pPr>
      <w:r w:rsidRPr="000A72AA">
        <w:t>International Electrotechnical Commission (2015) IEC 60079-10-2 Explosive atmospheres - Part 10-2: Classification of areas - Explosive dust atmospheres, Geneva, Switzerland.</w:t>
      </w:r>
    </w:p>
    <w:p w14:paraId="428B022A" w14:textId="18D215AE" w:rsidR="00E65B91" w:rsidRDefault="00E249E9" w:rsidP="00600535">
      <w:pPr>
        <w:pStyle w:val="CETReferencetext"/>
        <w:rPr>
          <w:highlight w:val="yellow"/>
        </w:rPr>
      </w:pPr>
      <w:r w:rsidRPr="00E249E9">
        <w:rPr>
          <w:lang w:val="en-US"/>
        </w:rPr>
        <w:t>Perelli S., Carluccio L.M., 2023, Hazardous Area Classification due to Combustible Dust Atmospheres and Layers: Avoiding Common Mistakes</w:t>
      </w:r>
      <w:r>
        <w:rPr>
          <w:lang w:val="en-US"/>
        </w:rPr>
        <w:t xml:space="preserve">, </w:t>
      </w:r>
      <w:r w:rsidRPr="00D05BD9">
        <w:t xml:space="preserve">Chemical Engineering Transactions, </w:t>
      </w:r>
      <w:r w:rsidR="00A02EA4">
        <w:t>99, 211-216</w:t>
      </w:r>
    </w:p>
    <w:p w14:paraId="74646D38" w14:textId="304119D8" w:rsidR="00E249E9" w:rsidRDefault="00E249E9" w:rsidP="00E249E9">
      <w:pPr>
        <w:pStyle w:val="CETReferencetext"/>
      </w:pPr>
      <w:r w:rsidRPr="00E249E9">
        <w:t xml:space="preserve">CEN/TR 15281, 2022, </w:t>
      </w:r>
      <w:r>
        <w:t>Potentially explosive atmospheres - Explosion prevention and protection - Guidance on inerting for the prevention of explosions</w:t>
      </w:r>
    </w:p>
    <w:p w14:paraId="19C4FC68" w14:textId="2FD95839" w:rsidR="004628D2" w:rsidRDefault="00E443BA" w:rsidP="00AA1D36">
      <w:pPr>
        <w:pStyle w:val="CETReferencetext"/>
      </w:pPr>
      <w:r>
        <w:t>National Fire Protection Association, NFPA 499, 2013, Recommended Practice for the Classification of Combustible Dusts and of Hazardous (Classified) Locations for Electrical Installations in Chemical Process Areas</w:t>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00B26" w14:textId="77777777" w:rsidR="00673A93" w:rsidRDefault="00673A93" w:rsidP="004F5E36">
      <w:r>
        <w:separator/>
      </w:r>
    </w:p>
  </w:endnote>
  <w:endnote w:type="continuationSeparator" w:id="0">
    <w:p w14:paraId="58205FCA" w14:textId="77777777" w:rsidR="00673A93" w:rsidRDefault="00673A93" w:rsidP="004F5E36">
      <w:r>
        <w:continuationSeparator/>
      </w:r>
    </w:p>
  </w:endnote>
  <w:endnote w:type="continuationNotice" w:id="1">
    <w:p w14:paraId="73B25369" w14:textId="77777777" w:rsidR="00BD0B2F" w:rsidRDefault="00BD0B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1A453" w14:textId="77777777" w:rsidR="00673A93" w:rsidRDefault="00673A93" w:rsidP="004F5E36">
      <w:r>
        <w:separator/>
      </w:r>
    </w:p>
  </w:footnote>
  <w:footnote w:type="continuationSeparator" w:id="0">
    <w:p w14:paraId="66477678" w14:textId="77777777" w:rsidR="00673A93" w:rsidRDefault="00673A93" w:rsidP="004F5E36">
      <w:r>
        <w:continuationSeparator/>
      </w:r>
    </w:p>
  </w:footnote>
  <w:footnote w:type="continuationNotice" w:id="1">
    <w:p w14:paraId="383336F0" w14:textId="77777777" w:rsidR="00BD0B2F" w:rsidRDefault="00BD0B2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8DB4977"/>
    <w:multiLevelType w:val="hybridMultilevel"/>
    <w:tmpl w:val="F59643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A5C6830"/>
    <w:multiLevelType w:val="hybridMultilevel"/>
    <w:tmpl w:val="843C79D0"/>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15:restartNumberingAfterBreak="0">
    <w:nsid w:val="7D4A459A"/>
    <w:multiLevelType w:val="hybridMultilevel"/>
    <w:tmpl w:val="D6DA00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2"/>
  </w:num>
  <w:num w:numId="14" w16cid:durableId="145903400">
    <w:abstractNumId w:val="19"/>
  </w:num>
  <w:num w:numId="15" w16cid:durableId="19162326">
    <w:abstractNumId w:val="21"/>
  </w:num>
  <w:num w:numId="16" w16cid:durableId="1977102699">
    <w:abstractNumId w:val="20"/>
  </w:num>
  <w:num w:numId="17" w16cid:durableId="860774865">
    <w:abstractNumId w:val="11"/>
  </w:num>
  <w:num w:numId="18" w16cid:durableId="313221457">
    <w:abstractNumId w:val="12"/>
    <w:lvlOverride w:ilvl="0">
      <w:startOverride w:val="1"/>
    </w:lvlOverride>
  </w:num>
  <w:num w:numId="19" w16cid:durableId="534971577">
    <w:abstractNumId w:val="17"/>
  </w:num>
  <w:num w:numId="20" w16cid:durableId="1150947773">
    <w:abstractNumId w:val="16"/>
  </w:num>
  <w:num w:numId="21" w16cid:durableId="124660497">
    <w:abstractNumId w:val="14"/>
  </w:num>
  <w:num w:numId="22" w16cid:durableId="2099861471">
    <w:abstractNumId w:val="13"/>
  </w:num>
  <w:num w:numId="23" w16cid:durableId="1498417382">
    <w:abstractNumId w:val="23"/>
  </w:num>
  <w:num w:numId="24" w16cid:durableId="19824244">
    <w:abstractNumId w:val="22"/>
  </w:num>
  <w:num w:numId="25" w16cid:durableId="8793242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2E62"/>
    <w:rsid w:val="000237B0"/>
    <w:rsid w:val="0003148D"/>
    <w:rsid w:val="00031EEC"/>
    <w:rsid w:val="000369A6"/>
    <w:rsid w:val="00051566"/>
    <w:rsid w:val="000562A9"/>
    <w:rsid w:val="00057E24"/>
    <w:rsid w:val="00062A9A"/>
    <w:rsid w:val="00065058"/>
    <w:rsid w:val="0007317C"/>
    <w:rsid w:val="00086C39"/>
    <w:rsid w:val="000A03B2"/>
    <w:rsid w:val="000C3D0F"/>
    <w:rsid w:val="000D0268"/>
    <w:rsid w:val="000D34BE"/>
    <w:rsid w:val="000E102F"/>
    <w:rsid w:val="000E2308"/>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1EA"/>
    <w:rsid w:val="00144D16"/>
    <w:rsid w:val="00150E59"/>
    <w:rsid w:val="00152DE3"/>
    <w:rsid w:val="00164CF9"/>
    <w:rsid w:val="001667A6"/>
    <w:rsid w:val="00184AD6"/>
    <w:rsid w:val="0019254C"/>
    <w:rsid w:val="00195E45"/>
    <w:rsid w:val="001A4AF7"/>
    <w:rsid w:val="001B0349"/>
    <w:rsid w:val="001B1E93"/>
    <w:rsid w:val="001B26B1"/>
    <w:rsid w:val="001B65C1"/>
    <w:rsid w:val="001C684B"/>
    <w:rsid w:val="001D0CFB"/>
    <w:rsid w:val="001D21AF"/>
    <w:rsid w:val="001D53FC"/>
    <w:rsid w:val="001E59AA"/>
    <w:rsid w:val="001E615F"/>
    <w:rsid w:val="001F42A5"/>
    <w:rsid w:val="001F7B9D"/>
    <w:rsid w:val="00201C93"/>
    <w:rsid w:val="002224B4"/>
    <w:rsid w:val="002225CF"/>
    <w:rsid w:val="002447EF"/>
    <w:rsid w:val="00251550"/>
    <w:rsid w:val="002545F9"/>
    <w:rsid w:val="002602CE"/>
    <w:rsid w:val="00263B05"/>
    <w:rsid w:val="0027221A"/>
    <w:rsid w:val="00275B61"/>
    <w:rsid w:val="00277EAF"/>
    <w:rsid w:val="00280FAF"/>
    <w:rsid w:val="00282656"/>
    <w:rsid w:val="0028566A"/>
    <w:rsid w:val="00296B83"/>
    <w:rsid w:val="002A1A64"/>
    <w:rsid w:val="002A2005"/>
    <w:rsid w:val="002B4015"/>
    <w:rsid w:val="002B78CE"/>
    <w:rsid w:val="002C2FB6"/>
    <w:rsid w:val="002D5148"/>
    <w:rsid w:val="002D52A8"/>
    <w:rsid w:val="002E045E"/>
    <w:rsid w:val="002E334F"/>
    <w:rsid w:val="002E5FA7"/>
    <w:rsid w:val="002F27B5"/>
    <w:rsid w:val="002F3309"/>
    <w:rsid w:val="003008CE"/>
    <w:rsid w:val="003009B7"/>
    <w:rsid w:val="00300E56"/>
    <w:rsid w:val="0030152C"/>
    <w:rsid w:val="00301AB6"/>
    <w:rsid w:val="0030469C"/>
    <w:rsid w:val="00312169"/>
    <w:rsid w:val="00315755"/>
    <w:rsid w:val="00315E8E"/>
    <w:rsid w:val="00317E98"/>
    <w:rsid w:val="00321CA6"/>
    <w:rsid w:val="00323763"/>
    <w:rsid w:val="00323C5F"/>
    <w:rsid w:val="00327008"/>
    <w:rsid w:val="00334C09"/>
    <w:rsid w:val="00341955"/>
    <w:rsid w:val="00361014"/>
    <w:rsid w:val="003723D4"/>
    <w:rsid w:val="00381905"/>
    <w:rsid w:val="00384CC8"/>
    <w:rsid w:val="003871FD"/>
    <w:rsid w:val="00394519"/>
    <w:rsid w:val="003A1E30"/>
    <w:rsid w:val="003A2829"/>
    <w:rsid w:val="003A7D1C"/>
    <w:rsid w:val="003B304B"/>
    <w:rsid w:val="003B3146"/>
    <w:rsid w:val="003C2F84"/>
    <w:rsid w:val="003C3D17"/>
    <w:rsid w:val="003F015E"/>
    <w:rsid w:val="00400414"/>
    <w:rsid w:val="0041446B"/>
    <w:rsid w:val="004319BF"/>
    <w:rsid w:val="0043478C"/>
    <w:rsid w:val="00436E56"/>
    <w:rsid w:val="0044071E"/>
    <w:rsid w:val="0044329C"/>
    <w:rsid w:val="00453E24"/>
    <w:rsid w:val="00457456"/>
    <w:rsid w:val="004577FE"/>
    <w:rsid w:val="00457B9C"/>
    <w:rsid w:val="0046034B"/>
    <w:rsid w:val="00460518"/>
    <w:rsid w:val="0046164A"/>
    <w:rsid w:val="004628D2"/>
    <w:rsid w:val="00462DCD"/>
    <w:rsid w:val="004639DB"/>
    <w:rsid w:val="004648AD"/>
    <w:rsid w:val="0046668C"/>
    <w:rsid w:val="004703A9"/>
    <w:rsid w:val="00475F37"/>
    <w:rsid w:val="004760DE"/>
    <w:rsid w:val="004763D7"/>
    <w:rsid w:val="00483EED"/>
    <w:rsid w:val="004A004E"/>
    <w:rsid w:val="004A24CF"/>
    <w:rsid w:val="004B6AD1"/>
    <w:rsid w:val="004C3D1D"/>
    <w:rsid w:val="004C3D84"/>
    <w:rsid w:val="004C7913"/>
    <w:rsid w:val="004D3E02"/>
    <w:rsid w:val="004E4DD6"/>
    <w:rsid w:val="004F5E36"/>
    <w:rsid w:val="00507B47"/>
    <w:rsid w:val="00507BEF"/>
    <w:rsid w:val="00507CC9"/>
    <w:rsid w:val="005119A5"/>
    <w:rsid w:val="005278B7"/>
    <w:rsid w:val="00532016"/>
    <w:rsid w:val="005322B0"/>
    <w:rsid w:val="005346C8"/>
    <w:rsid w:val="00543E7D"/>
    <w:rsid w:val="00547A68"/>
    <w:rsid w:val="00547FCB"/>
    <w:rsid w:val="00552E97"/>
    <w:rsid w:val="005531C9"/>
    <w:rsid w:val="005552CD"/>
    <w:rsid w:val="0056662B"/>
    <w:rsid w:val="00570C43"/>
    <w:rsid w:val="00576CFD"/>
    <w:rsid w:val="005A4BF2"/>
    <w:rsid w:val="005B2110"/>
    <w:rsid w:val="005B61E6"/>
    <w:rsid w:val="005C77E1"/>
    <w:rsid w:val="005D668A"/>
    <w:rsid w:val="005D6A2F"/>
    <w:rsid w:val="005E1A82"/>
    <w:rsid w:val="005E794C"/>
    <w:rsid w:val="005E7CFC"/>
    <w:rsid w:val="005F0879"/>
    <w:rsid w:val="005F0A28"/>
    <w:rsid w:val="005F0E5E"/>
    <w:rsid w:val="00600535"/>
    <w:rsid w:val="006017DC"/>
    <w:rsid w:val="00610CD6"/>
    <w:rsid w:val="00611BCF"/>
    <w:rsid w:val="00613861"/>
    <w:rsid w:val="00620DEE"/>
    <w:rsid w:val="00621F92"/>
    <w:rsid w:val="0062280A"/>
    <w:rsid w:val="00625639"/>
    <w:rsid w:val="00631B33"/>
    <w:rsid w:val="006367D7"/>
    <w:rsid w:val="0064184D"/>
    <w:rsid w:val="006422CC"/>
    <w:rsid w:val="00660E3E"/>
    <w:rsid w:val="00662052"/>
    <w:rsid w:val="00662E74"/>
    <w:rsid w:val="00673A93"/>
    <w:rsid w:val="00680C23"/>
    <w:rsid w:val="00693766"/>
    <w:rsid w:val="006A3281"/>
    <w:rsid w:val="006B4888"/>
    <w:rsid w:val="006C2E45"/>
    <w:rsid w:val="006C359C"/>
    <w:rsid w:val="006C5579"/>
    <w:rsid w:val="006D4D36"/>
    <w:rsid w:val="006D6E8B"/>
    <w:rsid w:val="006E02C4"/>
    <w:rsid w:val="006E737D"/>
    <w:rsid w:val="006F753B"/>
    <w:rsid w:val="00706A07"/>
    <w:rsid w:val="007102E3"/>
    <w:rsid w:val="00713973"/>
    <w:rsid w:val="0072044E"/>
    <w:rsid w:val="00720A24"/>
    <w:rsid w:val="00732386"/>
    <w:rsid w:val="0073514D"/>
    <w:rsid w:val="007447F3"/>
    <w:rsid w:val="0075499F"/>
    <w:rsid w:val="0076024A"/>
    <w:rsid w:val="007661C8"/>
    <w:rsid w:val="0077098D"/>
    <w:rsid w:val="0078684B"/>
    <w:rsid w:val="00792B75"/>
    <w:rsid w:val="007931FA"/>
    <w:rsid w:val="00793E43"/>
    <w:rsid w:val="00794EDD"/>
    <w:rsid w:val="007A119A"/>
    <w:rsid w:val="007A4861"/>
    <w:rsid w:val="007A5230"/>
    <w:rsid w:val="007A7BBA"/>
    <w:rsid w:val="007B0C50"/>
    <w:rsid w:val="007B14DA"/>
    <w:rsid w:val="007B48F9"/>
    <w:rsid w:val="007C0B52"/>
    <w:rsid w:val="007C0CED"/>
    <w:rsid w:val="007C1A43"/>
    <w:rsid w:val="007D0951"/>
    <w:rsid w:val="0080013E"/>
    <w:rsid w:val="00804080"/>
    <w:rsid w:val="008062FD"/>
    <w:rsid w:val="00813288"/>
    <w:rsid w:val="00815CC1"/>
    <w:rsid w:val="008168FC"/>
    <w:rsid w:val="00827668"/>
    <w:rsid w:val="00830996"/>
    <w:rsid w:val="008345F1"/>
    <w:rsid w:val="008356EB"/>
    <w:rsid w:val="00837EAF"/>
    <w:rsid w:val="00865B07"/>
    <w:rsid w:val="008667EA"/>
    <w:rsid w:val="0087637F"/>
    <w:rsid w:val="00883726"/>
    <w:rsid w:val="00892AD5"/>
    <w:rsid w:val="008A1512"/>
    <w:rsid w:val="008C4AC4"/>
    <w:rsid w:val="008D32B9"/>
    <w:rsid w:val="008D433B"/>
    <w:rsid w:val="008D4A16"/>
    <w:rsid w:val="008E2B8B"/>
    <w:rsid w:val="008E566E"/>
    <w:rsid w:val="008F0A29"/>
    <w:rsid w:val="0090161A"/>
    <w:rsid w:val="00901EB6"/>
    <w:rsid w:val="00904C62"/>
    <w:rsid w:val="0091531D"/>
    <w:rsid w:val="00922BA8"/>
    <w:rsid w:val="00924DAC"/>
    <w:rsid w:val="00926A5E"/>
    <w:rsid w:val="00927058"/>
    <w:rsid w:val="00942750"/>
    <w:rsid w:val="00942A10"/>
    <w:rsid w:val="009450CE"/>
    <w:rsid w:val="009459BB"/>
    <w:rsid w:val="00947179"/>
    <w:rsid w:val="0095164B"/>
    <w:rsid w:val="00954090"/>
    <w:rsid w:val="009573E7"/>
    <w:rsid w:val="00963E05"/>
    <w:rsid w:val="00964A45"/>
    <w:rsid w:val="00967843"/>
    <w:rsid w:val="00967D54"/>
    <w:rsid w:val="009705AF"/>
    <w:rsid w:val="00971028"/>
    <w:rsid w:val="00993B84"/>
    <w:rsid w:val="00993FC5"/>
    <w:rsid w:val="00996483"/>
    <w:rsid w:val="00996F5A"/>
    <w:rsid w:val="009A4A82"/>
    <w:rsid w:val="009A5D1D"/>
    <w:rsid w:val="009B041A"/>
    <w:rsid w:val="009B4174"/>
    <w:rsid w:val="009C37C3"/>
    <w:rsid w:val="009C7C86"/>
    <w:rsid w:val="009D1DBB"/>
    <w:rsid w:val="009D2FF7"/>
    <w:rsid w:val="009E7884"/>
    <w:rsid w:val="009E788A"/>
    <w:rsid w:val="009F0E08"/>
    <w:rsid w:val="00A00F5D"/>
    <w:rsid w:val="00A02EA4"/>
    <w:rsid w:val="00A0507B"/>
    <w:rsid w:val="00A1763D"/>
    <w:rsid w:val="00A17CEC"/>
    <w:rsid w:val="00A25541"/>
    <w:rsid w:val="00A27EF0"/>
    <w:rsid w:val="00A42361"/>
    <w:rsid w:val="00A45172"/>
    <w:rsid w:val="00A4617A"/>
    <w:rsid w:val="00A47A4B"/>
    <w:rsid w:val="00A50B20"/>
    <w:rsid w:val="00A51390"/>
    <w:rsid w:val="00A56F0A"/>
    <w:rsid w:val="00A60D13"/>
    <w:rsid w:val="00A677FD"/>
    <w:rsid w:val="00A70B52"/>
    <w:rsid w:val="00A7223D"/>
    <w:rsid w:val="00A72745"/>
    <w:rsid w:val="00A76EFC"/>
    <w:rsid w:val="00A87BDF"/>
    <w:rsid w:val="00A87D50"/>
    <w:rsid w:val="00A91010"/>
    <w:rsid w:val="00A97F29"/>
    <w:rsid w:val="00AA1D36"/>
    <w:rsid w:val="00AA6FAD"/>
    <w:rsid w:val="00AA702E"/>
    <w:rsid w:val="00AA7D26"/>
    <w:rsid w:val="00AB0964"/>
    <w:rsid w:val="00AB5011"/>
    <w:rsid w:val="00AC7368"/>
    <w:rsid w:val="00AD16B9"/>
    <w:rsid w:val="00AE377D"/>
    <w:rsid w:val="00AF0EBA"/>
    <w:rsid w:val="00AF113E"/>
    <w:rsid w:val="00AF1732"/>
    <w:rsid w:val="00B02C8A"/>
    <w:rsid w:val="00B121E1"/>
    <w:rsid w:val="00B17FBD"/>
    <w:rsid w:val="00B315A6"/>
    <w:rsid w:val="00B31813"/>
    <w:rsid w:val="00B33365"/>
    <w:rsid w:val="00B463A7"/>
    <w:rsid w:val="00B47FB4"/>
    <w:rsid w:val="00B50659"/>
    <w:rsid w:val="00B57B36"/>
    <w:rsid w:val="00B57E6F"/>
    <w:rsid w:val="00B8686D"/>
    <w:rsid w:val="00B92223"/>
    <w:rsid w:val="00B93F69"/>
    <w:rsid w:val="00BA6FB8"/>
    <w:rsid w:val="00BB083C"/>
    <w:rsid w:val="00BB1DDC"/>
    <w:rsid w:val="00BB7750"/>
    <w:rsid w:val="00BC30C9"/>
    <w:rsid w:val="00BC6AE5"/>
    <w:rsid w:val="00BD077D"/>
    <w:rsid w:val="00BD0B2F"/>
    <w:rsid w:val="00BD4680"/>
    <w:rsid w:val="00BE3AED"/>
    <w:rsid w:val="00BE3E58"/>
    <w:rsid w:val="00C006F1"/>
    <w:rsid w:val="00C00941"/>
    <w:rsid w:val="00C01616"/>
    <w:rsid w:val="00C0162B"/>
    <w:rsid w:val="00C068ED"/>
    <w:rsid w:val="00C22E0C"/>
    <w:rsid w:val="00C32529"/>
    <w:rsid w:val="00C345B1"/>
    <w:rsid w:val="00C40142"/>
    <w:rsid w:val="00C52C3C"/>
    <w:rsid w:val="00C57182"/>
    <w:rsid w:val="00C57863"/>
    <w:rsid w:val="00C640AF"/>
    <w:rsid w:val="00C655FD"/>
    <w:rsid w:val="00C65712"/>
    <w:rsid w:val="00C677C9"/>
    <w:rsid w:val="00C75407"/>
    <w:rsid w:val="00C75CDB"/>
    <w:rsid w:val="00C841A5"/>
    <w:rsid w:val="00C870A8"/>
    <w:rsid w:val="00C94434"/>
    <w:rsid w:val="00CA0D75"/>
    <w:rsid w:val="00CA1C95"/>
    <w:rsid w:val="00CA5A9C"/>
    <w:rsid w:val="00CB152E"/>
    <w:rsid w:val="00CC4C20"/>
    <w:rsid w:val="00CD3517"/>
    <w:rsid w:val="00CD5FE2"/>
    <w:rsid w:val="00CD7763"/>
    <w:rsid w:val="00CE65F2"/>
    <w:rsid w:val="00CE7C68"/>
    <w:rsid w:val="00D02B4C"/>
    <w:rsid w:val="00D040C4"/>
    <w:rsid w:val="00D20AD1"/>
    <w:rsid w:val="00D273D4"/>
    <w:rsid w:val="00D313D0"/>
    <w:rsid w:val="00D33E70"/>
    <w:rsid w:val="00D46B7E"/>
    <w:rsid w:val="00D57C84"/>
    <w:rsid w:val="00D6057D"/>
    <w:rsid w:val="00D61FCD"/>
    <w:rsid w:val="00D63FBF"/>
    <w:rsid w:val="00D71640"/>
    <w:rsid w:val="00D71FF8"/>
    <w:rsid w:val="00D772A3"/>
    <w:rsid w:val="00D8191B"/>
    <w:rsid w:val="00D836C5"/>
    <w:rsid w:val="00D84576"/>
    <w:rsid w:val="00DA036F"/>
    <w:rsid w:val="00DA1399"/>
    <w:rsid w:val="00DA24C6"/>
    <w:rsid w:val="00DA4D7B"/>
    <w:rsid w:val="00DD271C"/>
    <w:rsid w:val="00DE0F5F"/>
    <w:rsid w:val="00DE264A"/>
    <w:rsid w:val="00DF5072"/>
    <w:rsid w:val="00E02D18"/>
    <w:rsid w:val="00E041E7"/>
    <w:rsid w:val="00E05808"/>
    <w:rsid w:val="00E21741"/>
    <w:rsid w:val="00E23CA1"/>
    <w:rsid w:val="00E249E9"/>
    <w:rsid w:val="00E356AD"/>
    <w:rsid w:val="00E409A8"/>
    <w:rsid w:val="00E43A13"/>
    <w:rsid w:val="00E443BA"/>
    <w:rsid w:val="00E50C12"/>
    <w:rsid w:val="00E56EFC"/>
    <w:rsid w:val="00E65B91"/>
    <w:rsid w:val="00E7209D"/>
    <w:rsid w:val="00E72EAD"/>
    <w:rsid w:val="00E735D8"/>
    <w:rsid w:val="00E77223"/>
    <w:rsid w:val="00E8528B"/>
    <w:rsid w:val="00E85B94"/>
    <w:rsid w:val="00E978D0"/>
    <w:rsid w:val="00EA0028"/>
    <w:rsid w:val="00EA4613"/>
    <w:rsid w:val="00EA4B02"/>
    <w:rsid w:val="00EA7F91"/>
    <w:rsid w:val="00EB0877"/>
    <w:rsid w:val="00EB1523"/>
    <w:rsid w:val="00EC0E49"/>
    <w:rsid w:val="00EC101F"/>
    <w:rsid w:val="00EC1D9F"/>
    <w:rsid w:val="00EE0131"/>
    <w:rsid w:val="00EE17B0"/>
    <w:rsid w:val="00EE5FA6"/>
    <w:rsid w:val="00EF06D9"/>
    <w:rsid w:val="00EF154A"/>
    <w:rsid w:val="00F3049E"/>
    <w:rsid w:val="00F30C64"/>
    <w:rsid w:val="00F32BA2"/>
    <w:rsid w:val="00F32CDB"/>
    <w:rsid w:val="00F477A0"/>
    <w:rsid w:val="00F565FE"/>
    <w:rsid w:val="00F63A70"/>
    <w:rsid w:val="00F63D8C"/>
    <w:rsid w:val="00F7530D"/>
    <w:rsid w:val="00F7534E"/>
    <w:rsid w:val="00F83926"/>
    <w:rsid w:val="00F93EDF"/>
    <w:rsid w:val="00FA1802"/>
    <w:rsid w:val="00FA21D0"/>
    <w:rsid w:val="00FA35BE"/>
    <w:rsid w:val="00FA5F5F"/>
    <w:rsid w:val="00FB2961"/>
    <w:rsid w:val="00FB730C"/>
    <w:rsid w:val="00FC2695"/>
    <w:rsid w:val="00FC3E03"/>
    <w:rsid w:val="00FC3FC1"/>
    <w:rsid w:val="00FD5898"/>
    <w:rsid w:val="00FF0C0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Enfasigrassetto">
    <w:name w:val="Strong"/>
    <w:basedOn w:val="Carpredefinitoparagrafo"/>
    <w:uiPriority w:val="22"/>
    <w:qFormat/>
    <w:rsid w:val="009A5D1D"/>
    <w:rPr>
      <w:b/>
      <w:bCs/>
    </w:rPr>
  </w:style>
  <w:style w:type="character" w:styleId="Testosegnaposto">
    <w:name w:val="Placeholder Text"/>
    <w:basedOn w:val="Carpredefinitoparagrafo"/>
    <w:uiPriority w:val="99"/>
    <w:semiHidden/>
    <w:rsid w:val="00AF113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60220">
      <w:bodyDiv w:val="1"/>
      <w:marLeft w:val="0"/>
      <w:marRight w:val="0"/>
      <w:marTop w:val="0"/>
      <w:marBottom w:val="0"/>
      <w:divBdr>
        <w:top w:val="none" w:sz="0" w:space="0" w:color="auto"/>
        <w:left w:val="none" w:sz="0" w:space="0" w:color="auto"/>
        <w:bottom w:val="none" w:sz="0" w:space="0" w:color="auto"/>
        <w:right w:val="none" w:sz="0" w:space="0" w:color="auto"/>
      </w:divBdr>
      <w:divsChild>
        <w:div w:id="1853257973">
          <w:marLeft w:val="0"/>
          <w:marRight w:val="0"/>
          <w:marTop w:val="0"/>
          <w:marBottom w:val="0"/>
          <w:divBdr>
            <w:top w:val="none" w:sz="0" w:space="0" w:color="auto"/>
            <w:left w:val="none" w:sz="0" w:space="0" w:color="auto"/>
            <w:bottom w:val="none" w:sz="0" w:space="0" w:color="auto"/>
            <w:right w:val="none" w:sz="0" w:space="0" w:color="auto"/>
          </w:divBdr>
        </w:div>
      </w:divsChild>
    </w:div>
    <w:div w:id="187723302">
      <w:bodyDiv w:val="1"/>
      <w:marLeft w:val="0"/>
      <w:marRight w:val="0"/>
      <w:marTop w:val="0"/>
      <w:marBottom w:val="0"/>
      <w:divBdr>
        <w:top w:val="none" w:sz="0" w:space="0" w:color="auto"/>
        <w:left w:val="none" w:sz="0" w:space="0" w:color="auto"/>
        <w:bottom w:val="none" w:sz="0" w:space="0" w:color="auto"/>
        <w:right w:val="none" w:sz="0" w:space="0" w:color="auto"/>
      </w:divBdr>
      <w:divsChild>
        <w:div w:id="948048581">
          <w:marLeft w:val="0"/>
          <w:marRight w:val="0"/>
          <w:marTop w:val="0"/>
          <w:marBottom w:val="0"/>
          <w:divBdr>
            <w:top w:val="none" w:sz="0" w:space="0" w:color="auto"/>
            <w:left w:val="none" w:sz="0" w:space="0" w:color="auto"/>
            <w:bottom w:val="none" w:sz="0" w:space="0" w:color="auto"/>
            <w:right w:val="none" w:sz="0" w:space="0" w:color="auto"/>
          </w:divBdr>
        </w:div>
      </w:divsChild>
    </w:div>
    <w:div w:id="425660712">
      <w:bodyDiv w:val="1"/>
      <w:marLeft w:val="0"/>
      <w:marRight w:val="0"/>
      <w:marTop w:val="0"/>
      <w:marBottom w:val="0"/>
      <w:divBdr>
        <w:top w:val="none" w:sz="0" w:space="0" w:color="auto"/>
        <w:left w:val="none" w:sz="0" w:space="0" w:color="auto"/>
        <w:bottom w:val="none" w:sz="0" w:space="0" w:color="auto"/>
        <w:right w:val="none" w:sz="0" w:space="0" w:color="auto"/>
      </w:divBdr>
      <w:divsChild>
        <w:div w:id="1141191601">
          <w:marLeft w:val="0"/>
          <w:marRight w:val="0"/>
          <w:marTop w:val="0"/>
          <w:marBottom w:val="0"/>
          <w:divBdr>
            <w:top w:val="none" w:sz="0" w:space="0" w:color="auto"/>
            <w:left w:val="none" w:sz="0" w:space="0" w:color="auto"/>
            <w:bottom w:val="none" w:sz="0" w:space="0" w:color="auto"/>
            <w:right w:val="none" w:sz="0" w:space="0" w:color="auto"/>
          </w:divBdr>
        </w:div>
      </w:divsChild>
    </w:div>
    <w:div w:id="440152395">
      <w:bodyDiv w:val="1"/>
      <w:marLeft w:val="0"/>
      <w:marRight w:val="0"/>
      <w:marTop w:val="0"/>
      <w:marBottom w:val="0"/>
      <w:divBdr>
        <w:top w:val="none" w:sz="0" w:space="0" w:color="auto"/>
        <w:left w:val="none" w:sz="0" w:space="0" w:color="auto"/>
        <w:bottom w:val="none" w:sz="0" w:space="0" w:color="auto"/>
        <w:right w:val="none" w:sz="0" w:space="0" w:color="auto"/>
      </w:divBdr>
      <w:divsChild>
        <w:div w:id="673342001">
          <w:marLeft w:val="0"/>
          <w:marRight w:val="0"/>
          <w:marTop w:val="0"/>
          <w:marBottom w:val="0"/>
          <w:divBdr>
            <w:top w:val="none" w:sz="0" w:space="0" w:color="auto"/>
            <w:left w:val="none" w:sz="0" w:space="0" w:color="auto"/>
            <w:bottom w:val="none" w:sz="0" w:space="0" w:color="auto"/>
            <w:right w:val="none" w:sz="0" w:space="0" w:color="auto"/>
          </w:divBdr>
        </w:div>
      </w:divsChild>
    </w:div>
    <w:div w:id="449201300">
      <w:bodyDiv w:val="1"/>
      <w:marLeft w:val="0"/>
      <w:marRight w:val="0"/>
      <w:marTop w:val="0"/>
      <w:marBottom w:val="0"/>
      <w:divBdr>
        <w:top w:val="none" w:sz="0" w:space="0" w:color="auto"/>
        <w:left w:val="none" w:sz="0" w:space="0" w:color="auto"/>
        <w:bottom w:val="none" w:sz="0" w:space="0" w:color="auto"/>
        <w:right w:val="none" w:sz="0" w:space="0" w:color="auto"/>
      </w:divBdr>
      <w:divsChild>
        <w:div w:id="418067530">
          <w:marLeft w:val="0"/>
          <w:marRight w:val="0"/>
          <w:marTop w:val="0"/>
          <w:marBottom w:val="0"/>
          <w:divBdr>
            <w:top w:val="none" w:sz="0" w:space="0" w:color="auto"/>
            <w:left w:val="none" w:sz="0" w:space="0" w:color="auto"/>
            <w:bottom w:val="none" w:sz="0" w:space="0" w:color="auto"/>
            <w:right w:val="none" w:sz="0" w:space="0" w:color="auto"/>
          </w:divBdr>
        </w:div>
      </w:divsChild>
    </w:div>
    <w:div w:id="486021414">
      <w:bodyDiv w:val="1"/>
      <w:marLeft w:val="0"/>
      <w:marRight w:val="0"/>
      <w:marTop w:val="0"/>
      <w:marBottom w:val="0"/>
      <w:divBdr>
        <w:top w:val="none" w:sz="0" w:space="0" w:color="auto"/>
        <w:left w:val="none" w:sz="0" w:space="0" w:color="auto"/>
        <w:bottom w:val="none" w:sz="0" w:space="0" w:color="auto"/>
        <w:right w:val="none" w:sz="0" w:space="0" w:color="auto"/>
      </w:divBdr>
      <w:divsChild>
        <w:div w:id="1373110439">
          <w:marLeft w:val="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1587">
      <w:bodyDiv w:val="1"/>
      <w:marLeft w:val="0"/>
      <w:marRight w:val="0"/>
      <w:marTop w:val="0"/>
      <w:marBottom w:val="0"/>
      <w:divBdr>
        <w:top w:val="none" w:sz="0" w:space="0" w:color="auto"/>
        <w:left w:val="none" w:sz="0" w:space="0" w:color="auto"/>
        <w:bottom w:val="none" w:sz="0" w:space="0" w:color="auto"/>
        <w:right w:val="none" w:sz="0" w:space="0" w:color="auto"/>
      </w:divBdr>
      <w:divsChild>
        <w:div w:id="1635981048">
          <w:marLeft w:val="0"/>
          <w:marRight w:val="0"/>
          <w:marTop w:val="0"/>
          <w:marBottom w:val="0"/>
          <w:divBdr>
            <w:top w:val="none" w:sz="0" w:space="0" w:color="auto"/>
            <w:left w:val="none" w:sz="0" w:space="0" w:color="auto"/>
            <w:bottom w:val="none" w:sz="0" w:space="0" w:color="auto"/>
            <w:right w:val="none" w:sz="0" w:space="0" w:color="auto"/>
          </w:divBdr>
        </w:div>
      </w:divsChild>
    </w:div>
    <w:div w:id="801076099">
      <w:bodyDiv w:val="1"/>
      <w:marLeft w:val="0"/>
      <w:marRight w:val="0"/>
      <w:marTop w:val="0"/>
      <w:marBottom w:val="0"/>
      <w:divBdr>
        <w:top w:val="none" w:sz="0" w:space="0" w:color="auto"/>
        <w:left w:val="none" w:sz="0" w:space="0" w:color="auto"/>
        <w:bottom w:val="none" w:sz="0" w:space="0" w:color="auto"/>
        <w:right w:val="none" w:sz="0" w:space="0" w:color="auto"/>
      </w:divBdr>
      <w:divsChild>
        <w:div w:id="736512844">
          <w:marLeft w:val="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47717">
      <w:bodyDiv w:val="1"/>
      <w:marLeft w:val="0"/>
      <w:marRight w:val="0"/>
      <w:marTop w:val="0"/>
      <w:marBottom w:val="0"/>
      <w:divBdr>
        <w:top w:val="none" w:sz="0" w:space="0" w:color="auto"/>
        <w:left w:val="none" w:sz="0" w:space="0" w:color="auto"/>
        <w:bottom w:val="none" w:sz="0" w:space="0" w:color="auto"/>
        <w:right w:val="none" w:sz="0" w:space="0" w:color="auto"/>
      </w:divBdr>
      <w:divsChild>
        <w:div w:id="1223982210">
          <w:marLeft w:val="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19526">
      <w:bodyDiv w:val="1"/>
      <w:marLeft w:val="0"/>
      <w:marRight w:val="0"/>
      <w:marTop w:val="0"/>
      <w:marBottom w:val="0"/>
      <w:divBdr>
        <w:top w:val="none" w:sz="0" w:space="0" w:color="auto"/>
        <w:left w:val="none" w:sz="0" w:space="0" w:color="auto"/>
        <w:bottom w:val="none" w:sz="0" w:space="0" w:color="auto"/>
        <w:right w:val="none" w:sz="0" w:space="0" w:color="auto"/>
      </w:divBdr>
      <w:divsChild>
        <w:div w:id="1093818833">
          <w:marLeft w:val="0"/>
          <w:marRight w:val="0"/>
          <w:marTop w:val="0"/>
          <w:marBottom w:val="0"/>
          <w:divBdr>
            <w:top w:val="none" w:sz="0" w:space="0" w:color="auto"/>
            <w:left w:val="none" w:sz="0" w:space="0" w:color="auto"/>
            <w:bottom w:val="none" w:sz="0" w:space="0" w:color="auto"/>
            <w:right w:val="none" w:sz="0" w:space="0" w:color="auto"/>
          </w:divBdr>
        </w:div>
      </w:divsChild>
    </w:div>
    <w:div w:id="1019891139">
      <w:bodyDiv w:val="1"/>
      <w:marLeft w:val="0"/>
      <w:marRight w:val="0"/>
      <w:marTop w:val="0"/>
      <w:marBottom w:val="0"/>
      <w:divBdr>
        <w:top w:val="none" w:sz="0" w:space="0" w:color="auto"/>
        <w:left w:val="none" w:sz="0" w:space="0" w:color="auto"/>
        <w:bottom w:val="none" w:sz="0" w:space="0" w:color="auto"/>
        <w:right w:val="none" w:sz="0" w:space="0" w:color="auto"/>
      </w:divBdr>
      <w:divsChild>
        <w:div w:id="851992397">
          <w:marLeft w:val="0"/>
          <w:marRight w:val="0"/>
          <w:marTop w:val="0"/>
          <w:marBottom w:val="0"/>
          <w:divBdr>
            <w:top w:val="none" w:sz="0" w:space="0" w:color="auto"/>
            <w:left w:val="none" w:sz="0" w:space="0" w:color="auto"/>
            <w:bottom w:val="none" w:sz="0" w:space="0" w:color="auto"/>
            <w:right w:val="none" w:sz="0" w:space="0" w:color="auto"/>
          </w:divBdr>
        </w:div>
      </w:divsChild>
    </w:div>
    <w:div w:id="1050610807">
      <w:bodyDiv w:val="1"/>
      <w:marLeft w:val="0"/>
      <w:marRight w:val="0"/>
      <w:marTop w:val="0"/>
      <w:marBottom w:val="0"/>
      <w:divBdr>
        <w:top w:val="none" w:sz="0" w:space="0" w:color="auto"/>
        <w:left w:val="none" w:sz="0" w:space="0" w:color="auto"/>
        <w:bottom w:val="none" w:sz="0" w:space="0" w:color="auto"/>
        <w:right w:val="none" w:sz="0" w:space="0" w:color="auto"/>
      </w:divBdr>
    </w:div>
    <w:div w:id="1097403862">
      <w:bodyDiv w:val="1"/>
      <w:marLeft w:val="0"/>
      <w:marRight w:val="0"/>
      <w:marTop w:val="0"/>
      <w:marBottom w:val="0"/>
      <w:divBdr>
        <w:top w:val="none" w:sz="0" w:space="0" w:color="auto"/>
        <w:left w:val="none" w:sz="0" w:space="0" w:color="auto"/>
        <w:bottom w:val="none" w:sz="0" w:space="0" w:color="auto"/>
        <w:right w:val="none" w:sz="0" w:space="0" w:color="auto"/>
      </w:divBdr>
    </w:div>
    <w:div w:id="1143162291">
      <w:bodyDiv w:val="1"/>
      <w:marLeft w:val="0"/>
      <w:marRight w:val="0"/>
      <w:marTop w:val="0"/>
      <w:marBottom w:val="0"/>
      <w:divBdr>
        <w:top w:val="none" w:sz="0" w:space="0" w:color="auto"/>
        <w:left w:val="none" w:sz="0" w:space="0" w:color="auto"/>
        <w:bottom w:val="none" w:sz="0" w:space="0" w:color="auto"/>
        <w:right w:val="none" w:sz="0" w:space="0" w:color="auto"/>
      </w:divBdr>
      <w:divsChild>
        <w:div w:id="1934437421">
          <w:marLeft w:val="0"/>
          <w:marRight w:val="0"/>
          <w:marTop w:val="0"/>
          <w:marBottom w:val="0"/>
          <w:divBdr>
            <w:top w:val="none" w:sz="0" w:space="0" w:color="auto"/>
            <w:left w:val="none" w:sz="0" w:space="0" w:color="auto"/>
            <w:bottom w:val="none" w:sz="0" w:space="0" w:color="auto"/>
            <w:right w:val="none" w:sz="0" w:space="0" w:color="auto"/>
          </w:divBdr>
        </w:div>
      </w:divsChild>
    </w:div>
    <w:div w:id="1406950096">
      <w:bodyDiv w:val="1"/>
      <w:marLeft w:val="0"/>
      <w:marRight w:val="0"/>
      <w:marTop w:val="0"/>
      <w:marBottom w:val="0"/>
      <w:divBdr>
        <w:top w:val="none" w:sz="0" w:space="0" w:color="auto"/>
        <w:left w:val="none" w:sz="0" w:space="0" w:color="auto"/>
        <w:bottom w:val="none" w:sz="0" w:space="0" w:color="auto"/>
        <w:right w:val="none" w:sz="0" w:space="0" w:color="auto"/>
      </w:divBdr>
      <w:divsChild>
        <w:div w:id="1266039724">
          <w:marLeft w:val="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6647301">
      <w:bodyDiv w:val="1"/>
      <w:marLeft w:val="0"/>
      <w:marRight w:val="0"/>
      <w:marTop w:val="0"/>
      <w:marBottom w:val="0"/>
      <w:divBdr>
        <w:top w:val="none" w:sz="0" w:space="0" w:color="auto"/>
        <w:left w:val="none" w:sz="0" w:space="0" w:color="auto"/>
        <w:bottom w:val="none" w:sz="0" w:space="0" w:color="auto"/>
        <w:right w:val="none" w:sz="0" w:space="0" w:color="auto"/>
      </w:divBdr>
    </w:div>
    <w:div w:id="1660306084">
      <w:bodyDiv w:val="1"/>
      <w:marLeft w:val="0"/>
      <w:marRight w:val="0"/>
      <w:marTop w:val="0"/>
      <w:marBottom w:val="0"/>
      <w:divBdr>
        <w:top w:val="none" w:sz="0" w:space="0" w:color="auto"/>
        <w:left w:val="none" w:sz="0" w:space="0" w:color="auto"/>
        <w:bottom w:val="none" w:sz="0" w:space="0" w:color="auto"/>
        <w:right w:val="none" w:sz="0" w:space="0" w:color="auto"/>
      </w:divBdr>
      <w:divsChild>
        <w:div w:id="79302643">
          <w:marLeft w:val="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312">
      <w:bodyDiv w:val="1"/>
      <w:marLeft w:val="0"/>
      <w:marRight w:val="0"/>
      <w:marTop w:val="0"/>
      <w:marBottom w:val="0"/>
      <w:divBdr>
        <w:top w:val="none" w:sz="0" w:space="0" w:color="auto"/>
        <w:left w:val="none" w:sz="0" w:space="0" w:color="auto"/>
        <w:bottom w:val="none" w:sz="0" w:space="0" w:color="auto"/>
        <w:right w:val="none" w:sz="0" w:space="0" w:color="auto"/>
      </w:divBdr>
    </w:div>
    <w:div w:id="1866669851">
      <w:bodyDiv w:val="1"/>
      <w:marLeft w:val="0"/>
      <w:marRight w:val="0"/>
      <w:marTop w:val="0"/>
      <w:marBottom w:val="0"/>
      <w:divBdr>
        <w:top w:val="none" w:sz="0" w:space="0" w:color="auto"/>
        <w:left w:val="none" w:sz="0" w:space="0" w:color="auto"/>
        <w:bottom w:val="none" w:sz="0" w:space="0" w:color="auto"/>
        <w:right w:val="none" w:sz="0" w:space="0" w:color="auto"/>
      </w:divBdr>
      <w:divsChild>
        <w:div w:id="10305970">
          <w:marLeft w:val="0"/>
          <w:marRight w:val="0"/>
          <w:marTop w:val="0"/>
          <w:marBottom w:val="0"/>
          <w:divBdr>
            <w:top w:val="none" w:sz="0" w:space="0" w:color="auto"/>
            <w:left w:val="none" w:sz="0" w:space="0" w:color="auto"/>
            <w:bottom w:val="none" w:sz="0" w:space="0" w:color="auto"/>
            <w:right w:val="none" w:sz="0" w:space="0" w:color="auto"/>
          </w:divBdr>
        </w:div>
      </w:divsChild>
    </w:div>
    <w:div w:id="1884127210">
      <w:bodyDiv w:val="1"/>
      <w:marLeft w:val="0"/>
      <w:marRight w:val="0"/>
      <w:marTop w:val="0"/>
      <w:marBottom w:val="0"/>
      <w:divBdr>
        <w:top w:val="none" w:sz="0" w:space="0" w:color="auto"/>
        <w:left w:val="none" w:sz="0" w:space="0" w:color="auto"/>
        <w:bottom w:val="none" w:sz="0" w:space="0" w:color="auto"/>
        <w:right w:val="none" w:sz="0" w:space="0" w:color="auto"/>
      </w:divBdr>
      <w:divsChild>
        <w:div w:id="1999727153">
          <w:marLeft w:val="0"/>
          <w:marRight w:val="0"/>
          <w:marTop w:val="0"/>
          <w:marBottom w:val="0"/>
          <w:divBdr>
            <w:top w:val="none" w:sz="0" w:space="0" w:color="auto"/>
            <w:left w:val="none" w:sz="0" w:space="0" w:color="auto"/>
            <w:bottom w:val="none" w:sz="0" w:space="0" w:color="auto"/>
            <w:right w:val="none" w:sz="0" w:space="0" w:color="auto"/>
          </w:divBdr>
        </w:div>
      </w:divsChild>
    </w:div>
    <w:div w:id="1949391961">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3AF8F0278B2354D871DAEF0B807ECB9" ma:contentTypeVersion="15" ma:contentTypeDescription="Creare un nuovo documento." ma:contentTypeScope="" ma:versionID="2af6fa6efbd9cc3102ca20f4014ad17a">
  <xsd:schema xmlns:xsd="http://www.w3.org/2001/XMLSchema" xmlns:xs="http://www.w3.org/2001/XMLSchema" xmlns:p="http://schemas.microsoft.com/office/2006/metadata/properties" xmlns:ns2="a861464b-37cf-44ea-8d18-14153ca159e9" xmlns:ns3="7344bc78-a3c5-48e7-879b-23dae01f9991" targetNamespace="http://schemas.microsoft.com/office/2006/metadata/properties" ma:root="true" ma:fieldsID="2fbc6150350b12dfea1cacd704c9ec48" ns2:_="" ns3:_="">
    <xsd:import namespace="a861464b-37cf-44ea-8d18-14153ca159e9"/>
    <xsd:import namespace="7344bc78-a3c5-48e7-879b-23dae01f99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61464b-37cf-44ea-8d18-14153ca159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f43bf995-fbfa-44ea-8187-e0b9c3bf973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link" ma:index="22"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344bc78-a3c5-48e7-879b-23dae01f999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1ddccec-1ca0-4f23-9ea9-f01a15cea4a1}" ma:internalName="TaxCatchAll" ma:showField="CatchAllData" ma:web="7344bc78-a3c5-48e7-879b-23dae01f99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61464b-37cf-44ea-8d18-14153ca159e9">
      <Terms xmlns="http://schemas.microsoft.com/office/infopath/2007/PartnerControls"/>
    </lcf76f155ced4ddcb4097134ff3c332f>
    <link xmlns="a861464b-37cf-44ea-8d18-14153ca159e9">
      <Url xsi:nil="true"/>
      <Description xsi:nil="true"/>
    </link>
    <TaxCatchAll xmlns="7344bc78-a3c5-48e7-879b-23dae01f999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76F22-EA93-4B6F-B49A-09CC10959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61464b-37cf-44ea-8d18-14153ca159e9"/>
    <ds:schemaRef ds:uri="7344bc78-a3c5-48e7-879b-23dae01f9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2AA39A-178E-40F5-9041-22A0A44D749A}">
  <ds:schemaRefs>
    <ds:schemaRef ds:uri="http://schemas.microsoft.com/sharepoint/v3/contenttype/forms"/>
  </ds:schemaRefs>
</ds:datastoreItem>
</file>

<file path=customXml/itemProps3.xml><?xml version="1.0" encoding="utf-8"?>
<ds:datastoreItem xmlns:ds="http://schemas.openxmlformats.org/officeDocument/2006/customXml" ds:itemID="{999EAE8D-E90F-40E6-B5A2-EF9F1FFA0304}">
  <ds:schemaRefs>
    <ds:schemaRef ds:uri="http://schemas.microsoft.com/office/2006/metadata/properties"/>
    <ds:schemaRef ds:uri="http://www.w3.org/XML/1998/namespace"/>
    <ds:schemaRef ds:uri="http://purl.org/dc/elements/1.1/"/>
    <ds:schemaRef ds:uri="http://purl.org/dc/dcmitype/"/>
    <ds:schemaRef ds:uri="http://schemas.openxmlformats.org/package/2006/metadata/core-properties"/>
    <ds:schemaRef ds:uri="a861464b-37cf-44ea-8d18-14153ca159e9"/>
    <ds:schemaRef ds:uri="http://schemas.microsoft.com/office/2006/documentManagement/types"/>
    <ds:schemaRef ds:uri="http://schemas.microsoft.com/office/infopath/2007/PartnerControls"/>
    <ds:schemaRef ds:uri="7344bc78-a3c5-48e7-879b-23dae01f9991"/>
    <ds:schemaRef ds:uri="http://purl.org/dc/terms/"/>
  </ds:schemaRefs>
</ds:datastoreItem>
</file>

<file path=customXml/itemProps4.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880</TotalTime>
  <Pages>6</Pages>
  <Words>3080</Words>
  <Characters>17559</Characters>
  <Application>Microsoft Office Word</Application>
  <DocSecurity>0</DocSecurity>
  <Lines>146</Lines>
  <Paragraphs>41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AURORA LAFIOSCA</cp:lastModifiedBy>
  <cp:revision>139</cp:revision>
  <cp:lastPrinted>2015-05-12T18:31:00Z</cp:lastPrinted>
  <dcterms:created xsi:type="dcterms:W3CDTF">2022-09-21T08:52:00Z</dcterms:created>
  <dcterms:modified xsi:type="dcterms:W3CDTF">2026-03-29T13:42:00Z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0x01010023AF8F0278B2354D871DAEF0B807ECB9</vt:lpwstr>
  </property>
  <property fmtid="{D5CDD505-2E9C-101B-9397-08002B2CF9AE}" pid="5" name="MediaServiceImageTags">
    <vt:lpwstr/>
  </property>
</Properties>
</file>