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B448FA">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B448FA">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B448FA">
        <w:trPr>
          <w:trHeight w:val="68"/>
          <w:jc w:val="center"/>
        </w:trPr>
        <w:tc>
          <w:tcPr>
            <w:tcW w:w="8782"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DF24008" w:rsidR="00E978D0" w:rsidRPr="00B57B36" w:rsidRDefault="00B448FA" w:rsidP="00E978D0">
      <w:pPr>
        <w:pStyle w:val="CETTitle"/>
      </w:pPr>
      <w:r w:rsidRPr="00B448FA">
        <w:t>Ageing of Safety Barriers</w:t>
      </w:r>
    </w:p>
    <w:p w14:paraId="0488FED2" w14:textId="21E8C408" w:rsidR="00B57E6F" w:rsidRPr="00B57B36" w:rsidRDefault="00C10143" w:rsidP="00B57E6F">
      <w:pPr>
        <w:pStyle w:val="CETAuthors"/>
      </w:pPr>
      <w:r w:rsidRPr="00C10143">
        <w:t>Luboš Kotek</w:t>
      </w:r>
      <w:r w:rsidRPr="00C10143">
        <w:rPr>
          <w:vertAlign w:val="superscript"/>
        </w:rPr>
        <w:t>a</w:t>
      </w:r>
      <w:r w:rsidRPr="00C10143">
        <w:t>, David Křivánek</w:t>
      </w:r>
      <w:r w:rsidRPr="00C10143">
        <w:rPr>
          <w:vertAlign w:val="superscript"/>
        </w:rPr>
        <w:t>a</w:t>
      </w:r>
      <w:r w:rsidRPr="00C10143">
        <w:t>, Petr Junga</w:t>
      </w:r>
      <w:r w:rsidRPr="00C10143">
        <w:rPr>
          <w:vertAlign w:val="superscript"/>
        </w:rPr>
        <w:t>b</w:t>
      </w:r>
      <w:r w:rsidRPr="00C10143">
        <w:t>, Petr Trávníček</w:t>
      </w:r>
      <w:r w:rsidRPr="00C10143">
        <w:rPr>
          <w:vertAlign w:val="superscript"/>
        </w:rPr>
        <w:t>b</w:t>
      </w:r>
    </w:p>
    <w:p w14:paraId="6B2D21B3" w14:textId="4EA66BC0" w:rsidR="00B57E6F" w:rsidRPr="00B57B36" w:rsidRDefault="00B57E6F" w:rsidP="00B57E6F">
      <w:pPr>
        <w:pStyle w:val="CETAddress"/>
      </w:pPr>
      <w:r w:rsidRPr="00B57B36">
        <w:rPr>
          <w:vertAlign w:val="superscript"/>
        </w:rPr>
        <w:t>a</w:t>
      </w:r>
      <w:r w:rsidR="00E53CB3" w:rsidRPr="00E53CB3">
        <w:t>Brno University of Technology, Czech Republic, Technická 2896/2, Brno, 616 69, Czech Republic</w:t>
      </w:r>
      <w:r w:rsidR="003504C1" w:rsidRPr="003504C1">
        <w:t xml:space="preserve"> </w:t>
      </w:r>
    </w:p>
    <w:p w14:paraId="3D72B0B0" w14:textId="323CF1B8" w:rsidR="00B57E6F" w:rsidRPr="00B57B36" w:rsidRDefault="00B57E6F" w:rsidP="00B57E6F">
      <w:pPr>
        <w:pStyle w:val="CETAddress"/>
      </w:pPr>
      <w:r w:rsidRPr="00B57B36">
        <w:rPr>
          <w:vertAlign w:val="superscript"/>
        </w:rPr>
        <w:t>b</w:t>
      </w:r>
      <w:r w:rsidR="005A7421" w:rsidRPr="005A7421">
        <w:t>Mendel University in Brno, Zemědělská 1, 613 00, Czech Republic</w:t>
      </w:r>
      <w:r w:rsidRPr="00B57B36">
        <w:t xml:space="preserve"> </w:t>
      </w:r>
    </w:p>
    <w:p w14:paraId="73F1267A" w14:textId="215E1149" w:rsidR="00B57E6F" w:rsidRPr="00B57B36" w:rsidRDefault="00B57E6F" w:rsidP="00B57E6F">
      <w:pPr>
        <w:pStyle w:val="CETemail"/>
      </w:pPr>
      <w:r>
        <w:t xml:space="preserve"> </w:t>
      </w:r>
      <w:r w:rsidR="00E15DB0" w:rsidRPr="00E15DB0">
        <w:t xml:space="preserve">kotek.l@fme.vutbr.cz </w:t>
      </w:r>
    </w:p>
    <w:p w14:paraId="37A61FCE" w14:textId="1C7FEE0E" w:rsidR="00DA24C6" w:rsidRDefault="00DD39F2" w:rsidP="00DD39F2">
      <w:pPr>
        <w:pStyle w:val="CETListbullets"/>
        <w:ind w:left="0" w:firstLine="0"/>
      </w:pPr>
      <w:r w:rsidRPr="00DD39F2">
        <w:t>The main thesis of the paper is that critical safety barriers themselves are subject to ageing and degradation. A barrier is understood here as a measure of a physical or non-physical nature to prevent or mitigate the effects of unwanted events. Operators cannot rely on "blind faith" in their continued functionality, as this faith can result in a</w:t>
      </w:r>
      <w:r w:rsidR="00431E82">
        <w:t>n</w:t>
      </w:r>
      <w:r w:rsidRPr="00DD39F2">
        <w:t xml:space="preserve"> accident. The work is focused on hidden degradation mechanisms that can lead to barrier failure when demanded (escalation factors) or even become a direct initiator of an accident. The article presents a selection of </w:t>
      </w:r>
      <w:r w:rsidR="00D71AB8">
        <w:t>emergency</w:t>
      </w:r>
      <w:r w:rsidRPr="00DD39F2">
        <w:t xml:space="preserve"> events where the ageing of barriers played a role as an escalating factor or initiator of the event. </w:t>
      </w:r>
      <w:r w:rsidR="00BD4E04">
        <w:t>Subsequently</w:t>
      </w:r>
      <w:r w:rsidRPr="00DD39F2">
        <w:t>, the possibilities of a systemic solution for barrier management with regard to their ageing</w:t>
      </w:r>
      <w:r w:rsidR="00BD4E04">
        <w:t xml:space="preserve"> are </w:t>
      </w:r>
      <w:r w:rsidR="00BB0D79">
        <w:t>discussed</w:t>
      </w:r>
      <w:r w:rsidRPr="00DD39F2">
        <w:t>.</w:t>
      </w:r>
    </w:p>
    <w:p w14:paraId="476B2F2E" w14:textId="77777777" w:rsidR="00600535" w:rsidRPr="000C1396" w:rsidRDefault="00600535" w:rsidP="000C1396">
      <w:pPr>
        <w:pStyle w:val="CETHeading1"/>
      </w:pPr>
      <w:r w:rsidRPr="000C1396">
        <w:t>Introduction</w:t>
      </w:r>
    </w:p>
    <w:p w14:paraId="4D6758D7" w14:textId="77777777" w:rsidR="00CF7263" w:rsidRDefault="00CF7263" w:rsidP="00172085">
      <w:pPr>
        <w:pStyle w:val="CETnumberingbullets"/>
        <w:numPr>
          <w:ilvl w:val="0"/>
          <w:numId w:val="0"/>
        </w:numPr>
        <w:jc w:val="both"/>
      </w:pPr>
      <w:r>
        <w:t>A document published by MARSH (2020) shows that the highest relative frequency of accidents in the refinery is in the US and Europe, which is attributed to the higher average age of the facilities in operation. This phenomenon is also confirmed by analyses of the eMars and MARS databases, which indicate that ageing facilities are a contributing factor in approximately 30% of all reported major accidents in the EU and up to 50% of technical integrity failures. The management of ageing industrial facilities is thus becoming a key challenge for ensuring process safety.</w:t>
      </w:r>
    </w:p>
    <w:p w14:paraId="315D6E37" w14:textId="77777777" w:rsidR="00050899" w:rsidRDefault="00050899" w:rsidP="00172085">
      <w:pPr>
        <w:pStyle w:val="CETnumberingbullets"/>
        <w:numPr>
          <w:ilvl w:val="0"/>
          <w:numId w:val="0"/>
        </w:numPr>
        <w:jc w:val="both"/>
      </w:pPr>
      <w:r w:rsidRPr="00050899">
        <w:t>The Organisation for Economic Co-operation and Development – OECD report (2017) states that, out of a sample of 217 accidents related to ageing, the most common source of accidents was piping or storage tanks. These two types of equipment accounted for approximately 78% of all types of equipment. The OECD report also suggests that although the investigation reports examined did not identify control or safety system failures as the cause or contributing factor of the accident, it can be assumed that this may have been the case in some instances.</w:t>
      </w:r>
    </w:p>
    <w:p w14:paraId="56B5DD77" w14:textId="77777777" w:rsidR="00050899" w:rsidRDefault="00050899" w:rsidP="00172085">
      <w:pPr>
        <w:pStyle w:val="CETnumberingbullets"/>
        <w:numPr>
          <w:ilvl w:val="0"/>
          <w:numId w:val="0"/>
        </w:numPr>
        <w:jc w:val="both"/>
      </w:pPr>
      <w:r w:rsidRPr="00050899">
        <w:t xml:space="preserve">For the purposes of this article, a barrier will be understood in the sense of the Center for Chemical Process Safety – CCPS (2018), i.e., measures of a physical or non-physical nature to prevent or mitigate the effects of unwanted events. </w:t>
      </w:r>
    </w:p>
    <w:p w14:paraId="02692546" w14:textId="7DF90EB3" w:rsidR="003A0429" w:rsidRDefault="00266323" w:rsidP="00172085">
      <w:pPr>
        <w:pStyle w:val="CETnumberingbullets"/>
        <w:numPr>
          <w:ilvl w:val="0"/>
          <w:numId w:val="0"/>
        </w:numPr>
        <w:jc w:val="both"/>
      </w:pPr>
      <w:r>
        <w:t>D</w:t>
      </w:r>
      <w:r w:rsidRPr="00A8792E">
        <w:t xml:space="preserve">efinition of </w:t>
      </w:r>
      <w:r w:rsidR="007C0B4B">
        <w:t>“</w:t>
      </w:r>
      <w:r w:rsidRPr="00A8792E">
        <w:t>ag</w:t>
      </w:r>
      <w:r>
        <w:t>e</w:t>
      </w:r>
      <w:r w:rsidRPr="00A8792E">
        <w:t>ing</w:t>
      </w:r>
      <w:r w:rsidR="007C0B4B">
        <w:t>”</w:t>
      </w:r>
      <w:r w:rsidRPr="00A8792E">
        <w:t xml:space="preserve"> itself is not consistent across countries (OECD, 2017) and there is no clear definition (</w:t>
      </w:r>
      <w:r w:rsidR="000C1396" w:rsidRPr="00A8792E">
        <w:t>Geus</w:t>
      </w:r>
      <w:r w:rsidR="000C1396">
        <w:t xml:space="preserve"> and </w:t>
      </w:r>
      <w:r w:rsidR="000C1396" w:rsidRPr="00A8792E">
        <w:t>Kieskamp, 2018</w:t>
      </w:r>
      <w:r w:rsidRPr="00A8792E">
        <w:t>)</w:t>
      </w:r>
      <w:r w:rsidR="0058665B">
        <w:t xml:space="preserve">. </w:t>
      </w:r>
      <w:r w:rsidR="00F81416" w:rsidRPr="00F81416">
        <w:t>Ag</w:t>
      </w:r>
      <w:r w:rsidR="00F81416">
        <w:t>e</w:t>
      </w:r>
      <w:r w:rsidR="00F81416" w:rsidRPr="00F81416">
        <w:t xml:space="preserve">ing will be understood in this paper in accordance with JRC (2015). </w:t>
      </w:r>
      <w:r w:rsidR="007E49AC" w:rsidRPr="007E49AC">
        <w:t xml:space="preserve">A total of three basic </w:t>
      </w:r>
      <w:r w:rsidR="00415E66">
        <w:t>fac</w:t>
      </w:r>
      <w:r w:rsidR="008B5D7C">
        <w:t>tors</w:t>
      </w:r>
      <w:r w:rsidR="007E49AC" w:rsidRPr="007E49AC">
        <w:t xml:space="preserve"> will be distinguished:</w:t>
      </w:r>
      <w:r w:rsidR="007E49AC">
        <w:t xml:space="preserve"> </w:t>
      </w:r>
      <w:r w:rsidR="00B35A9B" w:rsidRPr="00BD0D6C">
        <w:rPr>
          <w:i/>
          <w:iCs/>
        </w:rPr>
        <w:t>T</w:t>
      </w:r>
      <w:r w:rsidR="003158B4" w:rsidRPr="00BD0D6C">
        <w:rPr>
          <w:i/>
          <w:iCs/>
        </w:rPr>
        <w:t xml:space="preserve">echnical </w:t>
      </w:r>
      <w:r w:rsidR="00B35A9B" w:rsidRPr="00BD0D6C">
        <w:rPr>
          <w:i/>
          <w:iCs/>
        </w:rPr>
        <w:t>A</w:t>
      </w:r>
      <w:r w:rsidR="003158B4" w:rsidRPr="00BD0D6C">
        <w:rPr>
          <w:i/>
          <w:iCs/>
        </w:rPr>
        <w:t>geing</w:t>
      </w:r>
      <w:r w:rsidR="00B35A9B">
        <w:t xml:space="preserve"> (e.g. </w:t>
      </w:r>
      <w:r w:rsidR="00CA10E7">
        <w:t xml:space="preserve">chemical or biological </w:t>
      </w:r>
      <w:r w:rsidR="00815D4D">
        <w:t>degradation</w:t>
      </w:r>
      <w:r w:rsidR="006029B4">
        <w:t xml:space="preserve">, degradation </w:t>
      </w:r>
      <w:r w:rsidR="007B3DD5">
        <w:t xml:space="preserve">caused by </w:t>
      </w:r>
      <w:r w:rsidR="00BD0D6C">
        <w:t>physical phenomena);</w:t>
      </w:r>
      <w:r w:rsidR="003158B4">
        <w:t xml:space="preserve"> </w:t>
      </w:r>
      <w:r w:rsidR="003D444E" w:rsidRPr="00BD0D6C">
        <w:rPr>
          <w:i/>
          <w:iCs/>
        </w:rPr>
        <w:t>Obsolence</w:t>
      </w:r>
      <w:r w:rsidR="00BD0D6C">
        <w:t xml:space="preserve"> (e.g. </w:t>
      </w:r>
      <w:r w:rsidR="00E97B6E">
        <w:t xml:space="preserve">hardware and software, </w:t>
      </w:r>
      <w:r w:rsidR="005603D9">
        <w:t>IT security,</w:t>
      </w:r>
      <w:r w:rsidR="00270D95">
        <w:t xml:space="preserve"> obsolence </w:t>
      </w:r>
      <w:r w:rsidR="007830B7">
        <w:t>of technical equipment</w:t>
      </w:r>
      <w:r w:rsidR="00476B02">
        <w:t>/technology</w:t>
      </w:r>
      <w:r w:rsidR="008D0B0D">
        <w:t>/procedures/</w:t>
      </w:r>
      <w:r w:rsidR="002F4858">
        <w:t>documentation, etc</w:t>
      </w:r>
      <w:r w:rsidR="00B477C9">
        <w:t>.</w:t>
      </w:r>
      <w:r w:rsidR="002F4858">
        <w:t>)</w:t>
      </w:r>
      <w:r w:rsidR="00B35A9B">
        <w:t xml:space="preserve"> and </w:t>
      </w:r>
      <w:r w:rsidR="00B35A9B" w:rsidRPr="002F4858">
        <w:rPr>
          <w:i/>
          <w:iCs/>
        </w:rPr>
        <w:t xml:space="preserve">Ageing of </w:t>
      </w:r>
      <w:r w:rsidR="002F4858">
        <w:rPr>
          <w:i/>
          <w:iCs/>
        </w:rPr>
        <w:t>O</w:t>
      </w:r>
      <w:r w:rsidR="00B35A9B" w:rsidRPr="002F4858">
        <w:rPr>
          <w:i/>
          <w:iCs/>
        </w:rPr>
        <w:t>rganization</w:t>
      </w:r>
      <w:r w:rsidR="00B35A9B">
        <w:t xml:space="preserve"> </w:t>
      </w:r>
      <w:r w:rsidR="002F4858">
        <w:t xml:space="preserve">(e.g. </w:t>
      </w:r>
      <w:r w:rsidR="00E844DF">
        <w:t xml:space="preserve">reorganization, </w:t>
      </w:r>
      <w:r w:rsidR="00E72410">
        <w:t xml:space="preserve">change of ownership, </w:t>
      </w:r>
      <w:r w:rsidR="00380BE7">
        <w:t xml:space="preserve">personal ageing, </w:t>
      </w:r>
      <w:r w:rsidR="00415E66">
        <w:t>organizational forgetting</w:t>
      </w:r>
      <w:r w:rsidR="00B477C9">
        <w:t>, etc.</w:t>
      </w:r>
      <w:r w:rsidR="00415E66">
        <w:t>).</w:t>
      </w:r>
    </w:p>
    <w:p w14:paraId="677EBFF0" w14:textId="050003BE" w:rsidR="00600535" w:rsidRDefault="00DB1D9F" w:rsidP="00600535">
      <w:pPr>
        <w:pStyle w:val="CETHeading1"/>
        <w:tabs>
          <w:tab w:val="right" w:pos="7100"/>
        </w:tabs>
        <w:jc w:val="both"/>
        <w:rPr>
          <w:lang w:val="en-GB"/>
        </w:rPr>
      </w:pPr>
      <w:r w:rsidRPr="00DB1D9F">
        <w:rPr>
          <w:lang w:val="en-GB"/>
        </w:rPr>
        <w:t>Emergency events associated with ageing barriers - lessons learned</w:t>
      </w:r>
    </w:p>
    <w:p w14:paraId="6FF083BE" w14:textId="19FE0290" w:rsidR="009D7377" w:rsidRPr="00A8792E" w:rsidRDefault="009D7377" w:rsidP="000C1396">
      <w:pPr>
        <w:pStyle w:val="Odstavecseseznamem"/>
        <w:ind w:left="0"/>
      </w:pPr>
      <w:r w:rsidRPr="00A8792E">
        <w:t>The importance of analyzing historical events is also emphasized by Gyenes and Wood (2016). In their study, they point out that although aging equipment is often associated only with corrosion, analysis of the eMARS database reveals complex failures in maintenance management and monitoring of the condition of safety barriers.</w:t>
      </w:r>
    </w:p>
    <w:p w14:paraId="3A73B71C" w14:textId="78FB03A2" w:rsidR="000A7584" w:rsidRPr="000A7584" w:rsidRDefault="009D7377" w:rsidP="000C1396">
      <w:pPr>
        <w:pStyle w:val="CETBodytext"/>
        <w:rPr>
          <w:lang w:val="en-GB"/>
        </w:rPr>
      </w:pPr>
      <w:r w:rsidRPr="00A8792E">
        <w:t>This section will present individual aspects of aging in connection with the issue of aging barriers. Examples of negative events can serve as a basis for learning from these events.</w:t>
      </w:r>
    </w:p>
    <w:p w14:paraId="04963A06" w14:textId="40CF7AB4" w:rsidR="00600535" w:rsidRDefault="00F01DD0" w:rsidP="000C1396">
      <w:pPr>
        <w:pStyle w:val="CETheadingx"/>
      </w:pPr>
      <w:r>
        <w:lastRenderedPageBreak/>
        <w:t xml:space="preserve">2.1 </w:t>
      </w:r>
      <w:r w:rsidR="000A7584" w:rsidRPr="000A7584">
        <w:t>Technical ageing</w:t>
      </w:r>
    </w:p>
    <w:p w14:paraId="0F04EB26" w14:textId="77777777" w:rsidR="00E24489" w:rsidRPr="00990FB5" w:rsidRDefault="00E24489" w:rsidP="000C1396">
      <w:pPr>
        <w:pStyle w:val="CETHeadingxx"/>
      </w:pPr>
      <w:r w:rsidRPr="00990FB5">
        <w:t>Corrosion of structural materials</w:t>
      </w:r>
    </w:p>
    <w:p w14:paraId="4ABDD357" w14:textId="77777777" w:rsidR="00E24489" w:rsidRPr="00E24489" w:rsidRDefault="00E24489" w:rsidP="00E24489">
      <w:pPr>
        <w:pStyle w:val="CETBodytext"/>
        <w:rPr>
          <w:lang w:val="en-GB"/>
        </w:rPr>
      </w:pPr>
      <w:r w:rsidRPr="00E24489">
        <w:rPr>
          <w:lang w:val="en-GB"/>
        </w:rPr>
        <w:t>Corrosion is generally one of the most frequently mentioned degradation mechanisms of structural materials. Corrosion can either directly affect the function of the barrier or indirectly affect its function. One example of a direct impact on the function of the barrier is an incident from 2017 (AGI, 2017). Here, internal corrosion of a pressure cylinder containing fire extinguishing gas caused a sudden release of energy and damage to equipment in the immediate vicinity. Similarly, in an incident in 2021 (IMCA, 2021), the use of a CO</w:t>
      </w:r>
      <w:r w:rsidRPr="000C1396">
        <w:rPr>
          <w:vertAlign w:val="subscript"/>
          <w:lang w:val="en-GB"/>
        </w:rPr>
        <w:t>2</w:t>
      </w:r>
      <w:r w:rsidRPr="00E24489">
        <w:rPr>
          <w:lang w:val="en-GB"/>
        </w:rPr>
        <w:t xml:space="preserve"> fire extinguisher cylinder resulted in its destruction and fatal injury to the operator. However, corrosion is not necessarily limited to long-used equipment, as stated in IMCA (2016).</w:t>
      </w:r>
    </w:p>
    <w:p w14:paraId="6F6195D5" w14:textId="77777777" w:rsidR="00E24489" w:rsidRPr="00E24489" w:rsidRDefault="00E24489" w:rsidP="00E24489">
      <w:pPr>
        <w:pStyle w:val="CETBodytext"/>
        <w:rPr>
          <w:lang w:val="en-GB"/>
        </w:rPr>
      </w:pPr>
      <w:r w:rsidRPr="00E24489">
        <w:rPr>
          <w:lang w:val="en-GB"/>
        </w:rPr>
        <w:t>Another type of event is one in which corrosion indirectly affects the function of safety barriers. A characteristic feature of these events is that the degradation of the barrier's function may not be apparent at first glance. A typical example is a reduction in the effectiveness of barriers due to the presence of corrosive gases in the system in which these barriers are installed, or corrosion of their actuators. In the case of emergency shut-off valves, corrosion of the actuating mechanisms can lead to their malfunction (i.e., inability to close or open), or the accumulation of corrosion products can cause the closing elements of the valves to not close completely. Similarly, corrosive gases can negatively affect the function of active barrier components, for example by clogging measuring elements such as thermometers, pressure gauges, or other instrumentation.</w:t>
      </w:r>
    </w:p>
    <w:p w14:paraId="4B7D49E9" w14:textId="77777777" w:rsidR="00E24489" w:rsidRDefault="00E24489" w:rsidP="00E24489">
      <w:pPr>
        <w:pStyle w:val="CETBodytext"/>
        <w:rPr>
          <w:lang w:val="en-GB"/>
        </w:rPr>
      </w:pPr>
      <w:r w:rsidRPr="00E24489">
        <w:rPr>
          <w:lang w:val="en-GB"/>
        </w:rPr>
        <w:t>Incidents of this type can be prevented by regular and thorough inspection of technical equipment, including functional tests or regular pressure tests. Where appropriate, it is advisable to continuously monitor trends in material loss due to corrosion or erosion and, based on the results, determine the frequency of inspections or plan intervention (repair of equipment, its complete replacement or replacement of individual parts).</w:t>
      </w:r>
    </w:p>
    <w:p w14:paraId="5E830056" w14:textId="3200C6E6" w:rsidR="00050899" w:rsidRPr="00E24489" w:rsidRDefault="00050899" w:rsidP="00E24489">
      <w:pPr>
        <w:pStyle w:val="CETBodytext"/>
        <w:rPr>
          <w:lang w:val="en-GB"/>
        </w:rPr>
      </w:pPr>
      <w:r w:rsidRPr="00050899">
        <w:rPr>
          <w:lang w:val="en-GB"/>
        </w:rPr>
        <w:t>A recent and significant example is the explosion at the Philadelphia Energy Solutions (PES) refinery in 2019. The incident was caused by the rupture of a corroded pipe elbow installed in 1973 that had never been inspected for corrosion during its entire service life. The pipe had corroded to approximately half the thickness of a credit card. The resulting vapour cloud ignited, causing multiple explosions and sending a 17,000 kg vessel fragment across the nearby Schuylkill River (CSB, 2022). A recent and significant example is the explosion at the Philadelphia Energy Solutions (PES) refinery in 2019. The incident was caused by the rupture of a corroded pipe elbow installed in 1973 that had never been inspected for corrosion during its entire service life. The pipe had corroded to approximately half the thickness of a credit card. The resulting vapour cloud ignited, causing multiple explosions and sending a 17,000 kg vessel fragment across the nearby Schuylkill River (CSB, 2022).</w:t>
      </w:r>
    </w:p>
    <w:p w14:paraId="50F6E7A3" w14:textId="77777777" w:rsidR="00E24489" w:rsidRPr="00990FB5" w:rsidRDefault="00E24489" w:rsidP="000C1396">
      <w:pPr>
        <w:pStyle w:val="CETHeadingxx"/>
      </w:pPr>
      <w:r w:rsidRPr="00990FB5">
        <w:t>Chemical degradation of firefighting agents</w:t>
      </w:r>
    </w:p>
    <w:p w14:paraId="7BAAECB7" w14:textId="674833FF" w:rsidR="00050899" w:rsidRPr="00050899" w:rsidRDefault="00050899" w:rsidP="00050899">
      <w:pPr>
        <w:pStyle w:val="CETBodytext"/>
        <w:rPr>
          <w:lang w:val="en-GB"/>
        </w:rPr>
      </w:pPr>
      <w:r w:rsidRPr="00050899">
        <w:rPr>
          <w:lang w:val="en-GB"/>
        </w:rPr>
        <w:t>Firefighting agents change their properties over time, which can reduce their effectiveness. Firefighting foam can be considered a complex chemical mixture. Ageing manifests itself in sedimentation, changes in pH and viscosity, which ultimately leads to reduced foaming or accelerated drainage (Chemexcil, 2025). In contrast, the main mechanism of degradation of powder extinguishing agents (according to according to National Fire Protection Association - NFPA 17) is moisture absorption. This leads to caking, where the powder hardens and forms lumps (Su and Fuller, 2014). When the system is activated, the extinguishing agent is not properly fluidized and dispersed, thereby reducing the effectiveness of the "wall" effect.</w:t>
      </w:r>
    </w:p>
    <w:p w14:paraId="33C4E8E2" w14:textId="7651AC4F" w:rsidR="00E24489" w:rsidRPr="00990FB5" w:rsidRDefault="00E24489" w:rsidP="000C1396">
      <w:pPr>
        <w:pStyle w:val="CETHeadingxx"/>
      </w:pPr>
      <w:r w:rsidRPr="00990FB5">
        <w:t>Chemical degradation of pyrotechnic activation elements</w:t>
      </w:r>
    </w:p>
    <w:p w14:paraId="2426F7B3" w14:textId="77777777" w:rsidR="00E24489" w:rsidRPr="00E24489" w:rsidRDefault="00E24489" w:rsidP="00E24489">
      <w:pPr>
        <w:pStyle w:val="CETBodytext"/>
        <w:rPr>
          <w:lang w:val="en-GB"/>
        </w:rPr>
      </w:pPr>
      <w:r w:rsidRPr="00E24489">
        <w:rPr>
          <w:lang w:val="en-GB"/>
        </w:rPr>
        <w:t>The ageing mechanism here is the chemical degradation of the pyrotechnic compound and initiator itself. This degradation is highly dependent on the temperature and humidity of the environment. Manufacturers define a specific service life or shelf life for these components, which is typically 10 to 15 years. After this period, the component must be replaced, even if it shows no visible signs of deterioration. The UK Office for Nuclear Regulation (ONR) identifies the ageing and degradation of initiators as a key inspection point in nuclear facilities (ONR, 2022).</w:t>
      </w:r>
    </w:p>
    <w:p w14:paraId="4AF5EE20" w14:textId="77777777" w:rsidR="00E24489" w:rsidRPr="00990FB5" w:rsidRDefault="00E24489" w:rsidP="000C1396">
      <w:pPr>
        <w:pStyle w:val="CETHeadingxx"/>
      </w:pPr>
      <w:r w:rsidRPr="00990FB5">
        <w:t>Chemical degradation of sensors</w:t>
      </w:r>
    </w:p>
    <w:p w14:paraId="57BD0D00" w14:textId="5B7C3812" w:rsidR="00E24489" w:rsidRPr="00E24489" w:rsidRDefault="00E24489" w:rsidP="00E24489">
      <w:pPr>
        <w:pStyle w:val="CETBodytext"/>
        <w:rPr>
          <w:lang w:val="en-GB"/>
        </w:rPr>
      </w:pPr>
      <w:r w:rsidRPr="00E24489">
        <w:rPr>
          <w:lang w:val="en-GB"/>
        </w:rPr>
        <w:t xml:space="preserve">Some sensors use electrochemical cells, where measurement is based on a chemical reaction between the measured gas and an electrode or electrolyte. During operation, active substances are </w:t>
      </w:r>
      <w:r w:rsidR="000C1396" w:rsidRPr="00E24489">
        <w:rPr>
          <w:lang w:val="en-GB"/>
        </w:rPr>
        <w:t>consumed,</w:t>
      </w:r>
      <w:r w:rsidRPr="00E24489">
        <w:rPr>
          <w:lang w:val="en-GB"/>
        </w:rPr>
        <w:t xml:space="preserve"> and the electrolyte degrades. This leads to a gradual reduction in the operational capability of the device. This is a natural property of these sensors, which is usually </w:t>
      </w:r>
      <w:r w:rsidR="000C1396" w:rsidRPr="00E24489">
        <w:rPr>
          <w:lang w:val="en-GB"/>
        </w:rPr>
        <w:t>considered</w:t>
      </w:r>
      <w:r w:rsidRPr="00E24489">
        <w:rPr>
          <w:lang w:val="en-GB"/>
        </w:rPr>
        <w:t xml:space="preserve"> in their maintenance and planned replacement.</w:t>
      </w:r>
    </w:p>
    <w:p w14:paraId="0AA8AEDE" w14:textId="77777777" w:rsidR="00E24489" w:rsidRPr="00E24489" w:rsidRDefault="00E24489" w:rsidP="00E24489">
      <w:pPr>
        <w:pStyle w:val="CETBodytext"/>
        <w:rPr>
          <w:lang w:val="en-GB"/>
        </w:rPr>
      </w:pPr>
      <w:r w:rsidRPr="00E24489">
        <w:rPr>
          <w:lang w:val="en-GB"/>
        </w:rPr>
        <w:t>However, the sensors are not only exposed to the measured substance. The measured fluid may also contain other chemical components that contribute to the degradation of the electrolyte and can lead to so-called sensor poisoning. These substances can form layers, such as sulfides, on the surface of the electrodes. This slows down the reaction and causes an increase in measurement deviation.</w:t>
      </w:r>
    </w:p>
    <w:p w14:paraId="2AE23DA3" w14:textId="77777777" w:rsidR="00E24489" w:rsidRPr="00990FB5" w:rsidRDefault="00E24489" w:rsidP="000C1396">
      <w:pPr>
        <w:pStyle w:val="CETHeadingxx"/>
      </w:pPr>
      <w:r w:rsidRPr="00990FB5">
        <w:lastRenderedPageBreak/>
        <w:t xml:space="preserve">Physical degradation of sensors </w:t>
      </w:r>
    </w:p>
    <w:p w14:paraId="4463553B" w14:textId="77777777" w:rsidR="00E24489" w:rsidRPr="00E24489" w:rsidRDefault="00E24489" w:rsidP="00E24489">
      <w:pPr>
        <w:pStyle w:val="CETBodytext"/>
        <w:rPr>
          <w:lang w:val="en-GB"/>
        </w:rPr>
      </w:pPr>
      <w:r w:rsidRPr="00E24489">
        <w:rPr>
          <w:lang w:val="en-GB"/>
        </w:rPr>
        <w:t>This is a gradual, unintended change in the sensor's output signal over time, which is independent of the actual smoke concentration. This phenomenon is caused by physical changes and degradation of electronic components, such as ageing of the light source (LED) in the optical chambers (sensor calibration drift).</w:t>
      </w:r>
    </w:p>
    <w:p w14:paraId="31C9890F" w14:textId="77777777" w:rsidR="00E24489" w:rsidRPr="00E24489" w:rsidRDefault="00E24489" w:rsidP="00E24489">
      <w:pPr>
        <w:pStyle w:val="CETBodytext"/>
        <w:rPr>
          <w:lang w:val="en-GB"/>
        </w:rPr>
      </w:pPr>
      <w:r w:rsidRPr="00E24489">
        <w:rPr>
          <w:lang w:val="en-GB"/>
        </w:rPr>
        <w:t>Ageing and sensitivity shift not only lead to sensor "deafness" (reduced sensitivity), where the detector requires a higher smoke concentration to activate. Paradoxically, it can also lead to increased sensitivity, resulting in an increase in the frequency of false or unwanted alarms. The basic measure is to choose sensors with proven long-term output signal stability and a declared service life for optical and electronic components. Regular inspection and maintenance play an important role. This should include periodic functional tests, sensitivity checks, and comparison of measured values with reference values.</w:t>
      </w:r>
    </w:p>
    <w:p w14:paraId="427B3349" w14:textId="77777777" w:rsidR="00E24489" w:rsidRPr="00990FB5" w:rsidRDefault="00E24489" w:rsidP="000C1396">
      <w:pPr>
        <w:pStyle w:val="CETHeadingxx"/>
      </w:pPr>
      <w:r w:rsidRPr="00990FB5">
        <w:t>Chemical or physical degradation of coatings</w:t>
      </w:r>
    </w:p>
    <w:p w14:paraId="0B6B3E08" w14:textId="77777777" w:rsidR="00E24489" w:rsidRPr="00E24489" w:rsidRDefault="00E24489" w:rsidP="00E24489">
      <w:pPr>
        <w:pStyle w:val="CETBodytext"/>
        <w:rPr>
          <w:lang w:val="en-GB"/>
        </w:rPr>
      </w:pPr>
      <w:r w:rsidRPr="00E24489">
        <w:rPr>
          <w:lang w:val="en-GB"/>
        </w:rPr>
        <w:t>Fireproof and protective coatings on steel and concrete structures provide a passive barrier against the effects of chemicals or adverse microclimatic or climatic conditions. These include the effects of ice, water, or UV radiation. Coatings can also be damaged by mechanical action, such as abrasion. Here, the surface of the coating is degraded by the abrasion of particles carried by liquid. Damage to the coating can accelerate the subsequent degradation of concrete or steel structures. The basic measure is to choose a suitable type of coating that is resistant to external factors. Coatings are mainly inspected visually at regular intervals. It is advisable to document the condition of the coating with photographs.</w:t>
      </w:r>
    </w:p>
    <w:p w14:paraId="64D5A251" w14:textId="77777777" w:rsidR="00E24489" w:rsidRPr="00990FB5" w:rsidRDefault="00E24489" w:rsidP="000C1396">
      <w:pPr>
        <w:pStyle w:val="CETHeadingxx"/>
      </w:pPr>
      <w:r w:rsidRPr="00990FB5">
        <w:t>Chemical or physical degradation of concrete structures</w:t>
      </w:r>
    </w:p>
    <w:p w14:paraId="72C0DE15" w14:textId="77777777" w:rsidR="00E24489" w:rsidRPr="00E24489" w:rsidRDefault="00E24489" w:rsidP="00E24489">
      <w:pPr>
        <w:pStyle w:val="CETBodytext"/>
        <w:rPr>
          <w:lang w:val="en-GB"/>
        </w:rPr>
      </w:pPr>
      <w:r w:rsidRPr="00E24489">
        <w:rPr>
          <w:lang w:val="en-GB"/>
        </w:rPr>
        <w:t>Concrete structures of bunds, explosion-proof and fire-resistant walls can be gradually degraded by external factors such as aggressive chemicals in liquid or gaseous form, or climatic conditions (water, ice, UV radiation, atmospheric CO</w:t>
      </w:r>
      <w:r w:rsidRPr="000C1396">
        <w:rPr>
          <w:vertAlign w:val="subscript"/>
          <w:lang w:val="en-GB"/>
        </w:rPr>
        <w:t>2</w:t>
      </w:r>
      <w:r w:rsidRPr="00E24489">
        <w:rPr>
          <w:lang w:val="en-GB"/>
        </w:rPr>
        <w:t>). Damage to the concrete surface can expose the concrete reinforcement. Subsequent corrosion of the reinforcement accelerates the degradation of the entire structure and reduces its mechanical resistance. This leads to a gradual loss of both protective and load-bearing functions. Over time, a degraded structure may not have the properties originally designed. For example, it may fail under the effect of explosive pressure or may not withstand the pressure of a shock wave caused by the collapse of a storage tank.</w:t>
      </w:r>
    </w:p>
    <w:p w14:paraId="6C14B19B" w14:textId="5AAE4AFD" w:rsidR="00E24489" w:rsidRPr="00E24489" w:rsidRDefault="00E24489" w:rsidP="00E24489">
      <w:pPr>
        <w:pStyle w:val="CETBodytext"/>
        <w:rPr>
          <w:lang w:val="en-GB"/>
        </w:rPr>
      </w:pPr>
      <w:r w:rsidRPr="00E24489">
        <w:rPr>
          <w:lang w:val="en-GB"/>
        </w:rPr>
        <w:t>The surface of the concrete structure should be inspected at regular intervals visually or using other non-destructive methods (e.g., measuring concrete-reinforcement potentials). As part of visual inspections, it is also advisable to map cracks in the concrete surface, which can be used to monitor the length and depth of individual cracks and their development over time.</w:t>
      </w:r>
    </w:p>
    <w:p w14:paraId="054DF254" w14:textId="77777777" w:rsidR="00E24489" w:rsidRPr="00990FB5" w:rsidRDefault="00E24489" w:rsidP="000C1396">
      <w:pPr>
        <w:pStyle w:val="CETHeadingxx"/>
      </w:pPr>
      <w:r w:rsidRPr="00990FB5">
        <w:t>Settling of dust and impurities</w:t>
      </w:r>
    </w:p>
    <w:p w14:paraId="1A5641A2" w14:textId="77777777" w:rsidR="00E24489" w:rsidRPr="00E24489" w:rsidRDefault="00E24489" w:rsidP="00E24489">
      <w:pPr>
        <w:pStyle w:val="CETBodytext"/>
        <w:rPr>
          <w:lang w:val="en-GB"/>
        </w:rPr>
      </w:pPr>
      <w:r w:rsidRPr="00E24489">
        <w:rPr>
          <w:lang w:val="en-GB"/>
        </w:rPr>
        <w:t xml:space="preserve">The deposition of solid particles or viscous liquids in ventilation ducts can mechanically block fire dampers (Mahoney, 2023). Ventilation ducts can be cleaned without dismantling them, for example using robotic cleaning. </w:t>
      </w:r>
    </w:p>
    <w:p w14:paraId="71E4A2B7" w14:textId="7A209168" w:rsidR="00F51AE8" w:rsidRDefault="00E24489" w:rsidP="00E24489">
      <w:pPr>
        <w:pStyle w:val="CETBodytext"/>
        <w:rPr>
          <w:lang w:val="en-GB"/>
        </w:rPr>
      </w:pPr>
      <w:r w:rsidRPr="00E24489">
        <w:rPr>
          <w:lang w:val="en-GB"/>
        </w:rPr>
        <w:t>Problems can also arise when using sensors that use a laser beam for measurement (laser absorption spectroscopy). In the event of higher concentrations of dust and other contaminants, the optical part of the sensor may become contaminated, and deposited dust may also cause diffusion or scattering of the laser beam, thereby reducing measurement accuracy.</w:t>
      </w:r>
    </w:p>
    <w:p w14:paraId="4885F25C" w14:textId="3AE206A4" w:rsidR="002D7FC4" w:rsidRDefault="00F01DD0" w:rsidP="000C1396">
      <w:pPr>
        <w:pStyle w:val="CETheadingx"/>
      </w:pPr>
      <w:r>
        <w:t>2.</w:t>
      </w:r>
      <w:r w:rsidR="004D0CA0">
        <w:t>2</w:t>
      </w:r>
      <w:r>
        <w:t xml:space="preserve"> </w:t>
      </w:r>
      <w:r w:rsidR="00295B06" w:rsidRPr="00295B06">
        <w:t>Obsolescence</w:t>
      </w:r>
    </w:p>
    <w:p w14:paraId="3522544B" w14:textId="77777777" w:rsidR="00126486" w:rsidRPr="00990FB5" w:rsidRDefault="00126486" w:rsidP="000C1396">
      <w:pPr>
        <w:pStyle w:val="CETHeadingxx"/>
      </w:pPr>
      <w:r w:rsidRPr="00990FB5">
        <w:t xml:space="preserve">Change in operating parameters </w:t>
      </w:r>
    </w:p>
    <w:p w14:paraId="01089AB7" w14:textId="77777777" w:rsidR="00126486" w:rsidRPr="00126486" w:rsidRDefault="00126486" w:rsidP="00126486">
      <w:pPr>
        <w:pStyle w:val="CETBodytext"/>
        <w:rPr>
          <w:lang w:val="en-GB"/>
        </w:rPr>
      </w:pPr>
      <w:r w:rsidRPr="00126486">
        <w:rPr>
          <w:lang w:val="en-GB"/>
        </w:rPr>
        <w:t>During operation of the equipment, changes occur in the parameters of the chemical substance being processed. These may include higher volume flows, higher temperatures, pressures, and a higher number of cycles compared to the original design. It is important to realize that this has a direct impact not only on the service life of the operating equipment itself, but also on the function of the equipment itself. As in the previous case, the main measure is to ensure that change management is properly set up within the company.</w:t>
      </w:r>
    </w:p>
    <w:p w14:paraId="42240D50" w14:textId="0C3C0730" w:rsidR="00126486" w:rsidRPr="00126486" w:rsidRDefault="00126486" w:rsidP="00126486">
      <w:pPr>
        <w:pStyle w:val="CETBodytext"/>
        <w:rPr>
          <w:lang w:val="en-GB"/>
        </w:rPr>
      </w:pPr>
      <w:r w:rsidRPr="00126486">
        <w:rPr>
          <w:lang w:val="en-GB"/>
        </w:rPr>
        <w:t xml:space="preserve">An example of a failure of a mitigating barrier is the accident on the Piper Alpha oil platform in 1988. The oil platform was gradually modified during operation </w:t>
      </w:r>
      <w:r w:rsidR="000C1396" w:rsidRPr="00126486">
        <w:rPr>
          <w:lang w:val="en-GB"/>
        </w:rPr>
        <w:t>to</w:t>
      </w:r>
      <w:r w:rsidRPr="00126486">
        <w:rPr>
          <w:lang w:val="en-GB"/>
        </w:rPr>
        <w:t xml:space="preserve"> increase the volume of raw material mined. However, during the modification, measures to reduce the risk of an accident were not comprehensively reviewed. For example, the fire wall was not designed to be explosion-resistant and failed immediately when the accident occurred (Paté-Cornell, 1991).</w:t>
      </w:r>
    </w:p>
    <w:p w14:paraId="7C1F7DB1" w14:textId="77777777" w:rsidR="00126486" w:rsidRPr="00126486" w:rsidRDefault="00126486" w:rsidP="00126486">
      <w:pPr>
        <w:pStyle w:val="CETBodytext"/>
        <w:rPr>
          <w:lang w:val="en-GB"/>
        </w:rPr>
      </w:pPr>
      <w:r w:rsidRPr="00126486">
        <w:rPr>
          <w:lang w:val="en-GB"/>
        </w:rPr>
        <w:t>Another example is the accident at the Texas City Refinery in 2005. After the column was derated, the pressure was reduced from the original 70 psig to 40 psig. However, the protective layers were not revised as part of the change. For example, the pressure relief valves in the upper part of the pipeline were not modified, which contributed significantly to the accident (CSB, 2007).</w:t>
      </w:r>
    </w:p>
    <w:p w14:paraId="4D145D07" w14:textId="77777777" w:rsidR="00126486" w:rsidRPr="00990FB5" w:rsidRDefault="00126486" w:rsidP="000C1396">
      <w:pPr>
        <w:pStyle w:val="CETHeadingxx"/>
      </w:pPr>
      <w:r w:rsidRPr="00990FB5">
        <w:lastRenderedPageBreak/>
        <w:t>Obsolete barrier design</w:t>
      </w:r>
    </w:p>
    <w:p w14:paraId="2141AB1D" w14:textId="77777777" w:rsidR="00126486" w:rsidRPr="00126486" w:rsidRDefault="00126486" w:rsidP="00126486">
      <w:pPr>
        <w:pStyle w:val="CETBodytext"/>
        <w:rPr>
          <w:lang w:val="en-GB"/>
        </w:rPr>
      </w:pPr>
      <w:r w:rsidRPr="00126486">
        <w:rPr>
          <w:lang w:val="en-GB"/>
        </w:rPr>
        <w:t xml:space="preserve">Technical equipment is generally considered obsolete when, compared to newer technical equipment or solutions, it is less capable of fulfilling its purpose. This may occur, for example, when the originally designed service life of the equipment has been exceeded, when spare parts are no longer available due to the end of production, when unsuitable spare parts are used, when the equipment is overloaded, or when other equipment or solutions are available that demonstrably ensure a higher safety standard. </w:t>
      </w:r>
    </w:p>
    <w:p w14:paraId="6F4E3BA4" w14:textId="77777777" w:rsidR="00126486" w:rsidRPr="00126486" w:rsidRDefault="00126486" w:rsidP="00126486">
      <w:pPr>
        <w:pStyle w:val="CETBodytext"/>
        <w:rPr>
          <w:lang w:val="en-GB"/>
        </w:rPr>
      </w:pPr>
      <w:r w:rsidRPr="00126486">
        <w:rPr>
          <w:lang w:val="en-GB"/>
        </w:rPr>
        <w:t>A barrier can also be considered obsolete if it is controlled by outdated control software. As part of the barrier management system, it is therefore advisable to monitor technical developments in the field. Information can be drawn from new technical standards, industry standards, or analyses of accident records at other companies.</w:t>
      </w:r>
    </w:p>
    <w:p w14:paraId="4AB6F5EB" w14:textId="2753070E" w:rsidR="002D7FC4" w:rsidRDefault="00126486" w:rsidP="00126486">
      <w:pPr>
        <w:pStyle w:val="CETBodytext"/>
        <w:rPr>
          <w:lang w:val="en-GB"/>
        </w:rPr>
      </w:pPr>
      <w:r w:rsidRPr="00126486">
        <w:rPr>
          <w:lang w:val="en-GB"/>
        </w:rPr>
        <w:t>The failure of the level gauge in the fuel tank can be considered a contributing factor to the accident in Buncefield in 2005. The level gauge used was an electro-mechanical float gauge. This was a common method of measuring levels at the time the facility was built. However, this type of device is prone to various failures. Electronic systems, such as radar level gauges, are recommended as more suitable (HSE, 2008).</w:t>
      </w:r>
    </w:p>
    <w:p w14:paraId="021887F5" w14:textId="6E4C2A89" w:rsidR="00126486" w:rsidRPr="000C1396" w:rsidRDefault="004D0CA0" w:rsidP="000C1396">
      <w:pPr>
        <w:pStyle w:val="CETheadingx"/>
      </w:pPr>
      <w:r w:rsidRPr="000C1396">
        <w:t xml:space="preserve">2.3 </w:t>
      </w:r>
      <w:r w:rsidR="00201DF6" w:rsidRPr="000C1396">
        <w:t>Organizational ageing</w:t>
      </w:r>
    </w:p>
    <w:p w14:paraId="69216553" w14:textId="77777777" w:rsidR="00093194" w:rsidRPr="00093194" w:rsidRDefault="00093194" w:rsidP="00093194">
      <w:pPr>
        <w:pStyle w:val="CETBodytext"/>
        <w:rPr>
          <w:lang w:val="en-GB"/>
        </w:rPr>
      </w:pPr>
      <w:r w:rsidRPr="00093194">
        <w:rPr>
          <w:lang w:val="en-GB"/>
        </w:rPr>
        <w:t xml:space="preserve">Organizational aging can often be considered the root cause of extraordinary events. Unlike technical degradation, which can be measured using physical methods, organizational aging manifests itself in the erosion of safety culture and the loss of institutional memory. This process is insidious in that it occurs quietly during periods of "successful" operation without accidents. </w:t>
      </w:r>
    </w:p>
    <w:p w14:paraId="1421F4B7" w14:textId="77777777" w:rsidR="00050899" w:rsidRDefault="00050899" w:rsidP="00093194">
      <w:pPr>
        <w:pStyle w:val="CETBodytext"/>
        <w:rPr>
          <w:lang w:val="en-GB"/>
        </w:rPr>
      </w:pPr>
      <w:r w:rsidRPr="00050899">
        <w:rPr>
          <w:lang w:val="en-GB"/>
        </w:rPr>
        <w:t>Hansler et al. (2022) analysed 83 major accidents at Dutch Seveso establishments and found that approximately 25 % of all accidents in their database resulted from material degradation, often linked to management system deficiencies. The key mechanism of this organizational degradation process is the phenomenon of normalization of deviance. In the context of process safety, this is a gradual process in which tolerating minor technical defects, circumventing safety procedures, or postponing barrier maintenance becomes an accepted norm in the organization because these deviations did not lead to an immediate accident. Employees become accustomed to operating equipment with "alarms turned off" or "minor leaks" and begin to regard this degraded state as the new standard.</w:t>
      </w:r>
    </w:p>
    <w:p w14:paraId="46ECBB4D" w14:textId="154BB315" w:rsidR="00093194" w:rsidRPr="00093194" w:rsidRDefault="00093194" w:rsidP="00093194">
      <w:pPr>
        <w:pStyle w:val="CETBodytext"/>
        <w:rPr>
          <w:lang w:val="en-GB"/>
        </w:rPr>
      </w:pPr>
      <w:r w:rsidRPr="00093194">
        <w:rPr>
          <w:lang w:val="en-GB"/>
        </w:rPr>
        <w:t>Reorganization is associated with a reduction in the number of employees, which makes the company susceptible to the loss of important explicit or tacit knowledge. As part of the reorganization, for example, a maintenance team with unique knowledge of the safety barriers in operation may be disbanded and replaced by an external company that may not have this knowledge. There may also be a loss of operational documentation, whether in electronic or written form, organizational forgetting, etc. This shows that organizational ageing can in some cases be the real cause of other aspects of ageing.</w:t>
      </w:r>
    </w:p>
    <w:p w14:paraId="02DA506B" w14:textId="77777777" w:rsidR="00093194" w:rsidRPr="00093194" w:rsidRDefault="00093194" w:rsidP="00093194">
      <w:pPr>
        <w:pStyle w:val="CETBodytext"/>
        <w:rPr>
          <w:lang w:val="en-GB"/>
        </w:rPr>
      </w:pPr>
      <w:r w:rsidRPr="00093194">
        <w:rPr>
          <w:lang w:val="en-GB"/>
        </w:rPr>
        <w:t>A typical symptom of an ageing organization is also the abandonment of critical thinking and formalism in change management. Documentation becomes merely an administrative burden and does not reflect the actual state of the facility, which prevents effective decision-making at critical moments. Preventing organizational ageing therefore requires not only personnel continuity, but above all active verification that the operational assumptions are still valid.</w:t>
      </w:r>
    </w:p>
    <w:p w14:paraId="0C4BCB60" w14:textId="0DEF6EC2" w:rsidR="00093194" w:rsidRPr="00093194" w:rsidRDefault="00093194" w:rsidP="00093194">
      <w:pPr>
        <w:pStyle w:val="CETBodytext"/>
        <w:rPr>
          <w:lang w:val="en-GB"/>
        </w:rPr>
      </w:pPr>
      <w:r w:rsidRPr="00093194">
        <w:rPr>
          <w:lang w:val="en-GB"/>
        </w:rPr>
        <w:t xml:space="preserve">One aspect of organizational ageing can also </w:t>
      </w:r>
      <w:r w:rsidR="000C1396" w:rsidRPr="00093194">
        <w:rPr>
          <w:lang w:val="en-GB"/>
        </w:rPr>
        <w:t>be</w:t>
      </w:r>
      <w:r w:rsidRPr="00093194">
        <w:rPr>
          <w:lang w:val="en-GB"/>
        </w:rPr>
        <w:t xml:space="preserve"> personnel ageing. With age, a person's cognitive abilities and reaction time in stressful situations may change, and learning problems may also arise when switching to other types of technology.</w:t>
      </w:r>
    </w:p>
    <w:p w14:paraId="4CC9F533" w14:textId="52C5E5B0" w:rsidR="00126486" w:rsidRDefault="00093194" w:rsidP="00093194">
      <w:pPr>
        <w:pStyle w:val="CETBodytext"/>
        <w:rPr>
          <w:lang w:val="en-GB"/>
        </w:rPr>
      </w:pPr>
      <w:r w:rsidRPr="00093194">
        <w:rPr>
          <w:lang w:val="en-GB"/>
        </w:rPr>
        <w:t>To manage organizational ageing, it is necessary to have a suitably designed personnel policy that ensures the continuity of knowledge among employees. This can be achieved through adaptation programs, support for concurrent job positions in the event of generational change among employees, training and coaching of employees in the event of changes in technical equipment, etc.</w:t>
      </w:r>
    </w:p>
    <w:p w14:paraId="31EC516B" w14:textId="7F262189" w:rsidR="00093194" w:rsidRDefault="004010DE" w:rsidP="004010DE">
      <w:pPr>
        <w:pStyle w:val="CETHeading1"/>
        <w:numPr>
          <w:ilvl w:val="1"/>
          <w:numId w:val="24"/>
        </w:numPr>
      </w:pPr>
      <w:r w:rsidRPr="004010DE">
        <w:t>Ensuring the effectiveness of barriers – a systemic approach</w:t>
      </w:r>
    </w:p>
    <w:p w14:paraId="289A8331" w14:textId="4A0463C1" w:rsidR="00BD17BE" w:rsidRPr="00BD17BE" w:rsidRDefault="00BD17BE" w:rsidP="00BD17BE">
      <w:pPr>
        <w:pStyle w:val="CETBodytext"/>
        <w:rPr>
          <w:lang w:val="en-GB"/>
        </w:rPr>
      </w:pPr>
      <w:r w:rsidRPr="00BD17BE">
        <w:rPr>
          <w:lang w:val="en-GB"/>
        </w:rPr>
        <w:t xml:space="preserve">The chapter above provided examples of lessons learned from various incidents that occurred in connection with barrier failure due to aging. However, ensuring barrier effectiveness requires a systematic approach. In accordance with CCPS (2018), it is necessary to have a barrier management program in place that is appropriately linked to process safety management programs </w:t>
      </w:r>
      <w:r w:rsidR="000C1396" w:rsidRPr="00BD17BE">
        <w:rPr>
          <w:lang w:val="en-GB"/>
        </w:rPr>
        <w:t>to</w:t>
      </w:r>
      <w:r w:rsidRPr="00BD17BE">
        <w:rPr>
          <w:lang w:val="en-GB"/>
        </w:rPr>
        <w:t xml:space="preserve"> ensure the operability of barriers. </w:t>
      </w:r>
      <w:r w:rsidR="000C1396" w:rsidRPr="00BD17BE">
        <w:rPr>
          <w:lang w:val="en-GB"/>
        </w:rPr>
        <w:t>For</w:t>
      </w:r>
      <w:r w:rsidRPr="00BD17BE">
        <w:rPr>
          <w:lang w:val="en-GB"/>
        </w:rPr>
        <w:t xml:space="preserve"> a barrier to remain effective despite ageing, the operator must comply with the following:</w:t>
      </w:r>
    </w:p>
    <w:p w14:paraId="4AA7BE4D" w14:textId="36D5292B" w:rsidR="00BD17BE" w:rsidRPr="00BD17BE" w:rsidRDefault="00BD17BE" w:rsidP="00520A89">
      <w:pPr>
        <w:pStyle w:val="CETBodytext"/>
        <w:numPr>
          <w:ilvl w:val="0"/>
          <w:numId w:val="27"/>
        </w:numPr>
        <w:ind w:left="426" w:hanging="284"/>
        <w:rPr>
          <w:lang w:val="en-GB"/>
        </w:rPr>
      </w:pPr>
      <w:r w:rsidRPr="00BD17BE">
        <w:rPr>
          <w:lang w:val="en-GB"/>
        </w:rPr>
        <w:t>Establish operating standards</w:t>
      </w:r>
    </w:p>
    <w:p w14:paraId="203C5F19" w14:textId="3250A182" w:rsidR="00BD17BE" w:rsidRPr="00BD17BE" w:rsidRDefault="00BD17BE" w:rsidP="00520A89">
      <w:pPr>
        <w:pStyle w:val="CETBodytext"/>
        <w:numPr>
          <w:ilvl w:val="0"/>
          <w:numId w:val="27"/>
        </w:numPr>
        <w:ind w:left="426" w:hanging="284"/>
        <w:rPr>
          <w:lang w:val="en-GB"/>
        </w:rPr>
      </w:pPr>
      <w:r w:rsidRPr="00BD17BE">
        <w:rPr>
          <w:lang w:val="en-GB"/>
        </w:rPr>
        <w:t>Define appropriate equipment maintenance procedures</w:t>
      </w:r>
    </w:p>
    <w:p w14:paraId="471914BA" w14:textId="5A50C421" w:rsidR="00BD17BE" w:rsidRPr="00BD17BE" w:rsidRDefault="00BD17BE" w:rsidP="00520A89">
      <w:pPr>
        <w:pStyle w:val="CETBodytext"/>
        <w:numPr>
          <w:ilvl w:val="0"/>
          <w:numId w:val="27"/>
        </w:numPr>
        <w:ind w:left="426" w:hanging="284"/>
        <w:rPr>
          <w:lang w:val="en-GB"/>
        </w:rPr>
      </w:pPr>
      <w:r w:rsidRPr="00BD17BE">
        <w:rPr>
          <w:lang w:val="en-GB"/>
        </w:rPr>
        <w:t>Ensure monitoring</w:t>
      </w:r>
    </w:p>
    <w:p w14:paraId="283D0AD3" w14:textId="6780FFE6" w:rsidR="00BD17BE" w:rsidRPr="00BD17BE" w:rsidRDefault="00BD17BE" w:rsidP="00520A89">
      <w:pPr>
        <w:pStyle w:val="CETBodytext"/>
        <w:numPr>
          <w:ilvl w:val="0"/>
          <w:numId w:val="27"/>
        </w:numPr>
        <w:ind w:left="426" w:hanging="284"/>
        <w:rPr>
          <w:lang w:val="en-GB"/>
        </w:rPr>
      </w:pPr>
      <w:r w:rsidRPr="00BD17BE">
        <w:rPr>
          <w:lang w:val="en-GB"/>
        </w:rPr>
        <w:t>Regularly test functionality</w:t>
      </w:r>
    </w:p>
    <w:p w14:paraId="48D4FFAB" w14:textId="5AE6198F" w:rsidR="00BD17BE" w:rsidRPr="00BD17BE" w:rsidRDefault="00BD17BE" w:rsidP="00520A89">
      <w:pPr>
        <w:pStyle w:val="CETBodytext"/>
        <w:numPr>
          <w:ilvl w:val="0"/>
          <w:numId w:val="27"/>
        </w:numPr>
        <w:ind w:left="426" w:hanging="284"/>
        <w:rPr>
          <w:lang w:val="en-GB"/>
        </w:rPr>
      </w:pPr>
      <w:r w:rsidRPr="00BD17BE">
        <w:rPr>
          <w:lang w:val="en-GB"/>
        </w:rPr>
        <w:t>Ensure data collection and storage</w:t>
      </w:r>
    </w:p>
    <w:p w14:paraId="2E6113BF" w14:textId="486F5838" w:rsidR="00BD17BE" w:rsidRPr="00BD17BE" w:rsidRDefault="00BD17BE" w:rsidP="00520A89">
      <w:pPr>
        <w:pStyle w:val="CETBodytext"/>
        <w:numPr>
          <w:ilvl w:val="0"/>
          <w:numId w:val="27"/>
        </w:numPr>
        <w:ind w:left="426" w:hanging="284"/>
        <w:rPr>
          <w:lang w:val="en-GB"/>
        </w:rPr>
      </w:pPr>
      <w:r w:rsidRPr="00BD17BE">
        <w:rPr>
          <w:lang w:val="en-GB"/>
        </w:rPr>
        <w:lastRenderedPageBreak/>
        <w:t>Require barrier effectiveness assessment in case of changes (MOC)</w:t>
      </w:r>
    </w:p>
    <w:p w14:paraId="5D3F4AF2" w14:textId="721989E4" w:rsidR="00BD17BE" w:rsidRPr="00BD17BE" w:rsidRDefault="00BD17BE" w:rsidP="00520A89">
      <w:pPr>
        <w:pStyle w:val="CETBodytext"/>
        <w:numPr>
          <w:ilvl w:val="0"/>
          <w:numId w:val="27"/>
        </w:numPr>
        <w:ind w:left="426" w:hanging="284"/>
        <w:rPr>
          <w:lang w:val="en-GB"/>
        </w:rPr>
      </w:pPr>
      <w:r w:rsidRPr="00BD17BE">
        <w:rPr>
          <w:lang w:val="en-GB"/>
        </w:rPr>
        <w:t>Regularly review individual processes</w:t>
      </w:r>
    </w:p>
    <w:p w14:paraId="602B0778" w14:textId="77777777" w:rsidR="00BD17BE" w:rsidRPr="00BD17BE" w:rsidRDefault="00BD17BE" w:rsidP="00BD17BE">
      <w:pPr>
        <w:pStyle w:val="CETBodytext"/>
        <w:rPr>
          <w:lang w:val="en-GB"/>
        </w:rPr>
      </w:pPr>
      <w:r w:rsidRPr="00BD17BE">
        <w:rPr>
          <w:lang w:val="en-GB"/>
        </w:rPr>
        <w:t xml:space="preserve">The above points can also be applied to barriers involving human activity, although fulfilling the individual points may be a considerable challenge for operators. </w:t>
      </w:r>
    </w:p>
    <w:p w14:paraId="0ABC7327" w14:textId="67E2A2D3" w:rsidR="00BD17BE" w:rsidRPr="00990FB5" w:rsidRDefault="00BD17BE" w:rsidP="000C1396">
      <w:pPr>
        <w:pStyle w:val="CETHeadingxx"/>
      </w:pPr>
      <w:r w:rsidRPr="00990FB5">
        <w:t>Operating standard</w:t>
      </w:r>
    </w:p>
    <w:p w14:paraId="7A9A4740" w14:textId="77777777" w:rsidR="00BD17BE" w:rsidRPr="00BD17BE" w:rsidRDefault="00BD17BE" w:rsidP="00BD17BE">
      <w:pPr>
        <w:pStyle w:val="CETBodytext"/>
        <w:rPr>
          <w:lang w:val="en-GB"/>
        </w:rPr>
      </w:pPr>
      <w:r w:rsidRPr="00BD17BE">
        <w:rPr>
          <w:lang w:val="en-GB"/>
        </w:rPr>
        <w:t>The operator must first clearly define the requirements for the barrier and define what its effectiveness means in practice – i.e., what operating standard of the equipment is acceptable. These requirements should preferably be quantified using measurable parameters, such as the maximum permissible closing time of the emergency valve, the maximum response time of the operator, or the limits for activating automatic protective functions. A clear definition of these criteria is necessary for subsequent verification of the barrier's functionality and to ensure its reliability within the overall risk management system.</w:t>
      </w:r>
    </w:p>
    <w:p w14:paraId="704F6231" w14:textId="77777777" w:rsidR="00BD17BE" w:rsidRPr="00990FB5" w:rsidRDefault="00BD17BE" w:rsidP="000C1396">
      <w:pPr>
        <w:pStyle w:val="CETHeadingxx"/>
      </w:pPr>
      <w:r w:rsidRPr="00990FB5">
        <w:t>Maintenance</w:t>
      </w:r>
    </w:p>
    <w:p w14:paraId="3076E1BF" w14:textId="78B1D952" w:rsidR="00BD17BE" w:rsidRPr="00BD17BE" w:rsidRDefault="00BD17BE" w:rsidP="00BD17BE">
      <w:pPr>
        <w:pStyle w:val="CETBodytext"/>
        <w:rPr>
          <w:lang w:val="en-GB"/>
        </w:rPr>
      </w:pPr>
      <w:r w:rsidRPr="00BD17BE">
        <w:rPr>
          <w:lang w:val="en-GB"/>
        </w:rPr>
        <w:t xml:space="preserve">Maintenance is an integral part of ensuring the effectiveness of a protective barrier. In the case of barriers consisting of technical equipment, it is necessary to include this equipment in a preventive (or predictive) maintenance plan. The maintenance plan should include activities based on the manufacturer's requirements, supplemented by measures to ensure a higher level of reliability, if the operator decides to implement them based on a risk analysis or operational indicators. </w:t>
      </w:r>
      <w:r w:rsidR="000C1396" w:rsidRPr="00BD17BE">
        <w:rPr>
          <w:lang w:val="en-GB"/>
        </w:rPr>
        <w:t>To</w:t>
      </w:r>
      <w:r w:rsidRPr="00BD17BE">
        <w:rPr>
          <w:lang w:val="en-GB"/>
        </w:rPr>
        <w:t xml:space="preserve"> set up the maintenance process correctly, it is essential to know the design life of the barrier and to identify the factors that influence it, including their manifestations. At the same time, it is advisable to </w:t>
      </w:r>
      <w:r w:rsidR="000C1396" w:rsidRPr="00BD17BE">
        <w:rPr>
          <w:lang w:val="en-GB"/>
        </w:rPr>
        <w:t>consider</w:t>
      </w:r>
      <w:r w:rsidRPr="00BD17BE">
        <w:rPr>
          <w:lang w:val="en-GB"/>
        </w:rPr>
        <w:t xml:space="preserve"> extraordinary operating conditions or events that are not part of normal operation but may have a significant impact on the functionality of the barrier.</w:t>
      </w:r>
    </w:p>
    <w:p w14:paraId="4DF84A20" w14:textId="77777777" w:rsidR="00BD17BE" w:rsidRPr="00990FB5" w:rsidRDefault="00BD17BE" w:rsidP="000C1396">
      <w:pPr>
        <w:pStyle w:val="CETHeadingxx"/>
      </w:pPr>
      <w:r w:rsidRPr="00990FB5">
        <w:t>Monitoring</w:t>
      </w:r>
    </w:p>
    <w:p w14:paraId="49409567" w14:textId="77777777" w:rsidR="00BD17BE" w:rsidRPr="00BD17BE" w:rsidRDefault="00BD17BE" w:rsidP="00BD17BE">
      <w:pPr>
        <w:pStyle w:val="CETBodytext"/>
        <w:rPr>
          <w:lang w:val="en-GB"/>
        </w:rPr>
      </w:pPr>
      <w:r w:rsidRPr="00BD17BE">
        <w:rPr>
          <w:lang w:val="en-GB"/>
        </w:rPr>
        <w:t>If the operator identifies factors affecting the service life of the barrier, they must ensure their systematic monitoring, including defining the method of monitoring and the qualifications of the persons responsible for this activity. Monitoring may include, for example, monitoring material loss using non-destructive methods, regular visual inspections of the condition of critical elements, or other methods appropriate to the nature of the barrier. The aim is to detect in a timely manner any degradation or damage that could reduce the effectiveness of the barrier and thus compromise its ability to perform its required protective function.</w:t>
      </w:r>
    </w:p>
    <w:p w14:paraId="0173B3FA" w14:textId="77777777" w:rsidR="00BD17BE" w:rsidRPr="00990FB5" w:rsidRDefault="00BD17BE" w:rsidP="000C1396">
      <w:pPr>
        <w:pStyle w:val="CETHeadingxx"/>
      </w:pPr>
      <w:r w:rsidRPr="00990FB5">
        <w:t>Functionality testing</w:t>
      </w:r>
    </w:p>
    <w:p w14:paraId="4ECC1EA3" w14:textId="77777777" w:rsidR="00BD17BE" w:rsidRPr="00BD17BE" w:rsidRDefault="00BD17BE" w:rsidP="00BD17BE">
      <w:pPr>
        <w:pStyle w:val="CETBodytext"/>
        <w:rPr>
          <w:lang w:val="en-GB"/>
        </w:rPr>
      </w:pPr>
      <w:r w:rsidRPr="00BD17BE">
        <w:rPr>
          <w:lang w:val="en-GB"/>
        </w:rPr>
        <w:t>The operator should perform operational tests of equipment that forms protective barriers at defined intervals. These intervals may be specified by legal regulations, technical standards, or industry standards. Each test performed must be properly documented – the course of the test, its results, and any deviations must be recorded. The documentation must be stored in a manner that allows for its traceability and use in assessing the reliability of the barrier and in safety management system audits.</w:t>
      </w:r>
    </w:p>
    <w:p w14:paraId="75C36A3B" w14:textId="77777777" w:rsidR="00BD17BE" w:rsidRPr="00990FB5" w:rsidRDefault="00BD17BE" w:rsidP="000C1396">
      <w:pPr>
        <w:pStyle w:val="CETHeadingxx"/>
      </w:pPr>
      <w:r w:rsidRPr="00990FB5">
        <w:t xml:space="preserve">Data collection and storage </w:t>
      </w:r>
    </w:p>
    <w:p w14:paraId="64CF5BCF" w14:textId="77777777" w:rsidR="00BD17BE" w:rsidRPr="00BD17BE" w:rsidRDefault="00BD17BE" w:rsidP="00BD17BE">
      <w:pPr>
        <w:pStyle w:val="CETBodytext"/>
        <w:rPr>
          <w:lang w:val="en-GB"/>
        </w:rPr>
      </w:pPr>
      <w:r w:rsidRPr="00BD17BE">
        <w:rPr>
          <w:lang w:val="en-GB"/>
        </w:rPr>
        <w:t>The operator must ensure a system for storing all information relevant to the operation of the protective barrier and its traceability. This information includes basic data from the manufacturer or contractor, defined operating standards (including design and, where applicable, extended service life), current operating parameters, monitoring output data history, equipment degradation trends, inspection and audit records, barrier failure data, and other related documentation. Proper management of this data is key to determining maintenance intervals, optimizing operations, and subsequent risk analysis. In accordance with CCPS (2018) recommendations, this information can also be integrated as metadata within a bow-tie model, allowing it to be used in future barrier effectiveness analyses.</w:t>
      </w:r>
    </w:p>
    <w:p w14:paraId="1F6643B0" w14:textId="77777777" w:rsidR="00BD17BE" w:rsidRPr="00990FB5" w:rsidRDefault="00BD17BE" w:rsidP="000C1396">
      <w:pPr>
        <w:pStyle w:val="CETHeadingxx"/>
      </w:pPr>
      <w:r w:rsidRPr="00990FB5">
        <w:t>Change management</w:t>
      </w:r>
    </w:p>
    <w:p w14:paraId="313F69AB" w14:textId="0A03461F" w:rsidR="00BD17BE" w:rsidRPr="00BD17BE" w:rsidRDefault="00BD17BE" w:rsidP="00BD17BE">
      <w:pPr>
        <w:pStyle w:val="CETBodytext"/>
        <w:rPr>
          <w:lang w:val="en-GB"/>
        </w:rPr>
      </w:pPr>
      <w:r w:rsidRPr="00BD17BE">
        <w:rPr>
          <w:lang w:val="en-GB"/>
        </w:rPr>
        <w:t xml:space="preserve">Lessons learned from the Texas City Refinery accident (2005) show that an inadequately managed change process can lead to the occurrence or escalation of a serious accident. The operator should have a firmly established requirement within the change management system to assess the effectiveness of protective barriers after planned changes to operating parameters, technological procedures, or equipment modifications have been implemented. </w:t>
      </w:r>
    </w:p>
    <w:p w14:paraId="2DDE6CC2" w14:textId="32A12273" w:rsidR="00BD17BE" w:rsidRDefault="00264CF6" w:rsidP="005F537C">
      <w:pPr>
        <w:pStyle w:val="CETHeading1"/>
        <w:jc w:val="both"/>
      </w:pPr>
      <w:r>
        <w:t>Conclusion</w:t>
      </w:r>
    </w:p>
    <w:p w14:paraId="7C915FF4" w14:textId="77777777" w:rsidR="00050899" w:rsidRDefault="00050899" w:rsidP="005F537C">
      <w:pPr>
        <w:pStyle w:val="CETAcknowledgementstitle"/>
        <w:jc w:val="both"/>
        <w:rPr>
          <w:b w:val="0"/>
          <w:lang w:val="en-US"/>
        </w:rPr>
      </w:pPr>
      <w:r w:rsidRPr="00050899">
        <w:rPr>
          <w:b w:val="0"/>
          <w:lang w:val="en-US"/>
        </w:rPr>
        <w:t xml:space="preserve">The ageing of safety barriers is a significant but often underestimated factor in process safety. The examples of accidents presented in this paper show that the gradual degradation of passive and active barriers can lead to </w:t>
      </w:r>
      <w:r w:rsidRPr="00050899">
        <w:rPr>
          <w:b w:val="0"/>
          <w:lang w:val="en-US"/>
        </w:rPr>
        <w:lastRenderedPageBreak/>
        <w:t>a weakening of their function and an increased risk of accidents or worsening consequences. It is advisable to take a systematic approach to barrier ageing management. Barrier management should be integrated into the process safety management system (PSM) of the company concerned. The Seveso III Directive (2012/18/EU) explicitly requires that equipment integrity and ageing management be part of the Safety Management System. Process safety management provides the organizational framework for systematic identification of degradation mechanisms, definition of inspection and maintenance programmes, and management of change. Without a functioning PSM system, technical measures alone cannot guarantee the long-term effectiveness of barriers. This is a prerequisite for maintaining the required level of protection in the long term.</w:t>
      </w:r>
    </w:p>
    <w:p w14:paraId="7F4511DC" w14:textId="1D91C724" w:rsidR="008E6AAD" w:rsidRPr="00B57B36" w:rsidRDefault="008E6AAD" w:rsidP="008E6AAD">
      <w:pPr>
        <w:pStyle w:val="CETAcknowledgementstitle"/>
      </w:pPr>
      <w:r w:rsidRPr="00B57B36">
        <w:t>Acknowledgments</w:t>
      </w:r>
    </w:p>
    <w:p w14:paraId="02979CF8" w14:textId="417F134B" w:rsidR="00E73010" w:rsidRPr="00E73010" w:rsidRDefault="00E73010" w:rsidP="00E73010">
      <w:pPr>
        <w:pStyle w:val="CETBodytext"/>
        <w:rPr>
          <w:lang w:val="en-GB"/>
        </w:rPr>
      </w:pPr>
      <w:r w:rsidRPr="00E73010">
        <w:rPr>
          <w:lang w:val="en-GB"/>
        </w:rPr>
        <w:t>Financial support from the project: TACR SS07010163</w:t>
      </w:r>
      <w:r>
        <w:rPr>
          <w:lang w:val="en-GB"/>
        </w:rPr>
        <w:t>,</w:t>
      </w:r>
      <w:r w:rsidRPr="00E73010">
        <w:rPr>
          <w:lang w:val="en-GB"/>
        </w:rPr>
        <w:t xml:space="preserve"> SAFE-AGEING: Methodology for the Ageing Audit of</w:t>
      </w:r>
    </w:p>
    <w:p w14:paraId="17CB1F35" w14:textId="4E8E188F" w:rsidR="008E6AAD" w:rsidRPr="00B57B36" w:rsidRDefault="00E73010" w:rsidP="00E73010">
      <w:pPr>
        <w:pStyle w:val="CETBodytext"/>
        <w:rPr>
          <w:lang w:val="en-GB"/>
        </w:rPr>
      </w:pPr>
      <w:r w:rsidRPr="00E73010">
        <w:rPr>
          <w:lang w:val="en-GB"/>
        </w:rPr>
        <w:t>Major Accident Risk Sources</w:t>
      </w:r>
      <w:r w:rsidR="00AB06C9">
        <w:rPr>
          <w:lang w:val="en-GB"/>
        </w:rPr>
        <w:t>.</w:t>
      </w:r>
    </w:p>
    <w:p w14:paraId="6678F883" w14:textId="77777777" w:rsidR="008E6AAD" w:rsidRPr="00B57B36" w:rsidRDefault="008E6AAD" w:rsidP="008E6AAD">
      <w:pPr>
        <w:pStyle w:val="CETReference"/>
      </w:pPr>
      <w:r w:rsidRPr="00B57B36">
        <w:t>References</w:t>
      </w:r>
    </w:p>
    <w:p w14:paraId="1F0DC0B3" w14:textId="67069F1E" w:rsidR="00B12ECD" w:rsidRPr="00B12ECD" w:rsidRDefault="00B12ECD" w:rsidP="00B12ECD">
      <w:pPr>
        <w:pStyle w:val="CETBodytext"/>
        <w:ind w:left="284" w:hanging="284"/>
        <w:rPr>
          <w:lang w:val="en-GB"/>
        </w:rPr>
      </w:pPr>
      <w:r w:rsidRPr="00B12ECD">
        <w:rPr>
          <w:lang w:val="en-GB"/>
        </w:rPr>
        <w:t>AGI, 2017. Explosion of Gaseous Fire Suppression System. www.approvedgroupinternational.com/explosion-of-gaseous-fire-suppression-system</w:t>
      </w:r>
    </w:p>
    <w:p w14:paraId="2121DB0F" w14:textId="77777777" w:rsidR="00B12ECD" w:rsidRPr="00B12ECD" w:rsidRDefault="00B12ECD" w:rsidP="00B12ECD">
      <w:pPr>
        <w:pStyle w:val="CETBodytext"/>
        <w:ind w:left="284" w:hanging="284"/>
        <w:rPr>
          <w:lang w:val="en-GB"/>
        </w:rPr>
      </w:pPr>
      <w:r w:rsidRPr="00B12ECD">
        <w:rPr>
          <w:lang w:val="en-GB"/>
        </w:rPr>
        <w:t>CCPS, 2007. Guidelines for Safe and Reliable Instrumented Protective Systems. Hoboken: Wiley-Interscience, 2007. ISBN 978-0-471-97940-1.</w:t>
      </w:r>
    </w:p>
    <w:p w14:paraId="2ADDA1B2" w14:textId="77777777" w:rsidR="00B12ECD" w:rsidRPr="00B12ECD" w:rsidRDefault="00B12ECD" w:rsidP="00B12ECD">
      <w:pPr>
        <w:pStyle w:val="CETBodytext"/>
        <w:ind w:left="284" w:hanging="284"/>
        <w:rPr>
          <w:lang w:val="en-GB"/>
        </w:rPr>
      </w:pPr>
      <w:r w:rsidRPr="00B12ECD">
        <w:rPr>
          <w:lang w:val="en-GB"/>
        </w:rPr>
        <w:t>CCPS, 2015. Guidelines for Initiating Events and Independent Protection Layers in Layer of Protection Analysis. Hoboken (NJ): Wiley–AIChE (John Wiley &amp; Sons), 2015. ISBN 978 0 470 34385 2.</w:t>
      </w:r>
    </w:p>
    <w:p w14:paraId="1390FBF0" w14:textId="77777777" w:rsidR="00B12ECD" w:rsidRPr="00B12ECD" w:rsidRDefault="00B12ECD" w:rsidP="00B12ECD">
      <w:pPr>
        <w:pStyle w:val="CETBodytext"/>
        <w:ind w:left="284" w:hanging="284"/>
        <w:rPr>
          <w:lang w:val="en-GB"/>
        </w:rPr>
      </w:pPr>
      <w:r w:rsidRPr="00B12ECD">
        <w:rPr>
          <w:lang w:val="en-GB"/>
        </w:rPr>
        <w:t>CCPS, 2018. Bow Ties in Risk Management: A Concept Book for Process Safety. Hoboken, NJ: John Wiley &amp; Son. ISBN 978-1-119-49039-5.</w:t>
      </w:r>
    </w:p>
    <w:p w14:paraId="3C1DEA99" w14:textId="455DE3C7" w:rsidR="00B12ECD" w:rsidRDefault="00B12ECD" w:rsidP="00B12ECD">
      <w:pPr>
        <w:pStyle w:val="CETBodytext"/>
        <w:ind w:left="284" w:hanging="284"/>
        <w:rPr>
          <w:lang w:val="en-GB"/>
        </w:rPr>
      </w:pPr>
      <w:r w:rsidRPr="00B12ECD">
        <w:rPr>
          <w:lang w:val="en-GB"/>
        </w:rPr>
        <w:t>CSB, 2007. www.csb.gov/bp-america-texas-city-refinery-explosion</w:t>
      </w:r>
    </w:p>
    <w:p w14:paraId="371813CF" w14:textId="5E5E7C1F" w:rsidR="00050899" w:rsidRDefault="00050899" w:rsidP="00B12ECD">
      <w:pPr>
        <w:pStyle w:val="CETBodytext"/>
        <w:ind w:left="284" w:hanging="284"/>
        <w:rPr>
          <w:lang w:val="en-GB"/>
        </w:rPr>
      </w:pPr>
      <w:r w:rsidRPr="00050899">
        <w:rPr>
          <w:lang w:val="en-GB"/>
        </w:rPr>
        <w:t>CSB, 2022. Investigation Report: Philadelphia Energy Solutions Refinery Fire and Explosions. Report No. 2019-02-I-PA. U.S. Chemical Safety and Hazard Investigation Board.</w:t>
      </w:r>
    </w:p>
    <w:p w14:paraId="62BDC333" w14:textId="746F25B6" w:rsidR="00B12ECD" w:rsidRPr="00B12ECD" w:rsidRDefault="00B12ECD" w:rsidP="00050899">
      <w:pPr>
        <w:pStyle w:val="CETBodytext"/>
        <w:rPr>
          <w:lang w:val="en-GB"/>
        </w:rPr>
      </w:pPr>
      <w:r w:rsidRPr="00B12ECD">
        <w:rPr>
          <w:lang w:val="en-GB"/>
        </w:rPr>
        <w:t>eMARS, 1998. Emission of nitric fumes from a tank in a manufacture of food products and beverages. emars.jrc.ec.europa.eu/en/emars/accident/view/41f42a81-b1ac-37a4-cc5d-bc4e81c68afe</w:t>
      </w:r>
    </w:p>
    <w:p w14:paraId="06543B81" w14:textId="76E6BC49" w:rsidR="008B034A" w:rsidRPr="008112A1" w:rsidRDefault="008B034A" w:rsidP="008B034A">
      <w:pPr>
        <w:spacing w:line="240" w:lineRule="auto"/>
        <w:ind w:left="425" w:hanging="425"/>
        <w:rPr>
          <w:lang w:val="pl-PL"/>
        </w:rPr>
      </w:pPr>
      <w:r w:rsidRPr="00A8792E">
        <w:t xml:space="preserve">Geus, E.C.J., Kieskamp, K.K., 2018. De invloed van veroudering van installaties (‘ageing’) op de oorzaak van ongevallen met gevaarlijke stoffen, RIVM report, National Institute of Public Health and the Environment, Bilthoven, the Netherlands. </w:t>
      </w:r>
      <w:r w:rsidRPr="008112A1">
        <w:rPr>
          <w:lang w:val="pl-PL"/>
        </w:rPr>
        <w:t xml:space="preserve">(in Dutch). </w:t>
      </w:r>
    </w:p>
    <w:p w14:paraId="1D4C19C0" w14:textId="285AF772" w:rsidR="00B12ECD" w:rsidRDefault="00B12ECD" w:rsidP="00B12ECD">
      <w:pPr>
        <w:pStyle w:val="CETBodytext"/>
        <w:ind w:left="284" w:hanging="284"/>
        <w:rPr>
          <w:lang w:val="en-GB"/>
        </w:rPr>
      </w:pPr>
      <w:r w:rsidRPr="00B12ECD">
        <w:rPr>
          <w:lang w:val="en-GB"/>
        </w:rPr>
        <w:t>Gyenes, Z., &amp; Wood, M. H., 2016. Lessons Learned from Major Accidents Relating to Ageing of Chemical Plants. Chemical Engineering Transactions, 48, 733–738.</w:t>
      </w:r>
    </w:p>
    <w:p w14:paraId="728BD374" w14:textId="2C058F72" w:rsidR="00050899" w:rsidRPr="00B12ECD" w:rsidRDefault="00050899" w:rsidP="00B12ECD">
      <w:pPr>
        <w:pStyle w:val="CETBodytext"/>
        <w:ind w:left="284" w:hanging="284"/>
        <w:rPr>
          <w:lang w:val="en-GB"/>
        </w:rPr>
      </w:pPr>
      <w:r w:rsidRPr="00050899">
        <w:rPr>
          <w:lang w:val="en-GB"/>
        </w:rPr>
        <w:t>Hansler R.J., Tuinstra B.H., Knegtering B., Guldenmund F.W., 2022, Ageing assets at major hazard chemical sites: The Dutch experience, Safety Science, 153, 105788.</w:t>
      </w:r>
    </w:p>
    <w:p w14:paraId="0B8489E2" w14:textId="56DE25AA" w:rsidR="00B12ECD" w:rsidRPr="00B12ECD" w:rsidRDefault="00B12ECD" w:rsidP="00B12ECD">
      <w:pPr>
        <w:pStyle w:val="CETBodytext"/>
        <w:ind w:left="284" w:hanging="284"/>
        <w:rPr>
          <w:lang w:val="en-GB"/>
        </w:rPr>
      </w:pPr>
      <w:r w:rsidRPr="00B12ECD">
        <w:rPr>
          <w:lang w:val="en-GB"/>
        </w:rPr>
        <w:t>HSE, 2008. The Buncefield Incident 11 December 2005. The final report of the Major Incident Investigation Board. Volume 2. www.icheme.org/media/13923/buncefield-miib-final-report-volume-2a.pdf</w:t>
      </w:r>
    </w:p>
    <w:p w14:paraId="76AA603D" w14:textId="0CD22D37" w:rsidR="00B12ECD" w:rsidRPr="00B12ECD" w:rsidRDefault="00B12ECD" w:rsidP="00B12ECD">
      <w:pPr>
        <w:pStyle w:val="CETBodytext"/>
        <w:ind w:left="284" w:hanging="284"/>
        <w:rPr>
          <w:lang w:val="en-GB"/>
        </w:rPr>
      </w:pPr>
      <w:r w:rsidRPr="00B12ECD">
        <w:rPr>
          <w:lang w:val="en-GB"/>
        </w:rPr>
        <w:t xml:space="preserve">Chemexcil, 2025. Foam fire extinguishing agent. </w:t>
      </w:r>
    </w:p>
    <w:p w14:paraId="013B0CC2" w14:textId="0BA64F96" w:rsidR="00B12ECD" w:rsidRPr="00B12ECD" w:rsidRDefault="00B12ECD" w:rsidP="00B12ECD">
      <w:pPr>
        <w:pStyle w:val="CETBodytext"/>
        <w:ind w:left="284" w:hanging="284"/>
        <w:rPr>
          <w:lang w:val="en-GB"/>
        </w:rPr>
      </w:pPr>
      <w:r w:rsidRPr="00B12ECD">
        <w:rPr>
          <w:lang w:val="en-GB"/>
        </w:rPr>
        <w:t>IMCA, 2016. Failure of fire extinguishers owing to corrosion. www.imca-int.com/resources/safety/safety-flashes/1216-failure-of-fire-extinguishers-owing-to-corrosion</w:t>
      </w:r>
    </w:p>
    <w:p w14:paraId="5165270C" w14:textId="16972B66" w:rsidR="00B12ECD" w:rsidRPr="00B12ECD" w:rsidRDefault="00B12ECD" w:rsidP="00B12ECD">
      <w:pPr>
        <w:pStyle w:val="CETBodytext"/>
        <w:ind w:left="284" w:hanging="284"/>
        <w:rPr>
          <w:lang w:val="en-GB"/>
        </w:rPr>
      </w:pPr>
      <w:r w:rsidRPr="00B12ECD">
        <w:rPr>
          <w:lang w:val="en-GB"/>
        </w:rPr>
        <w:t xml:space="preserve">IMCA, 2021. Fatality – explosive failure of corroded fire extinguisher. </w:t>
      </w:r>
      <w:r w:rsidR="00AB06C9">
        <w:rPr>
          <w:lang w:val="en-GB"/>
        </w:rPr>
        <w:t>&lt;</w:t>
      </w:r>
      <w:r w:rsidRPr="00B12ECD">
        <w:rPr>
          <w:lang w:val="en-GB"/>
        </w:rPr>
        <w:t>https://www.imca-int.com/resources/safety/safety-flashes/1621-fatality-explosive-failure-of-corroded-fire-extinguisher/</w:t>
      </w:r>
      <w:r w:rsidR="00AB06C9">
        <w:rPr>
          <w:lang w:val="en-GB"/>
        </w:rPr>
        <w:t>&gt;</w:t>
      </w:r>
    </w:p>
    <w:p w14:paraId="3097D685" w14:textId="15491EBC" w:rsidR="00B12ECD" w:rsidRPr="00B12ECD" w:rsidRDefault="00B12ECD" w:rsidP="00B12ECD">
      <w:pPr>
        <w:pStyle w:val="CETBodytext"/>
        <w:ind w:left="284" w:hanging="284"/>
        <w:rPr>
          <w:lang w:val="en-GB"/>
        </w:rPr>
      </w:pPr>
      <w:r w:rsidRPr="00B12ECD">
        <w:rPr>
          <w:lang w:val="en-GB"/>
        </w:rPr>
        <w:t>JRC, 2015. Lessons Learned Bulletin No. 7. JRC96479. European Commission. minerva.jrc.ec.europa.eu/en/shorturl/minerva/mahb_bulletin_no7_fortheweb_a4pdf</w:t>
      </w:r>
    </w:p>
    <w:p w14:paraId="4C0D857B" w14:textId="15249392" w:rsidR="00B12ECD" w:rsidRPr="00B12ECD" w:rsidRDefault="00B12ECD" w:rsidP="00B12ECD">
      <w:pPr>
        <w:pStyle w:val="CETBodytext"/>
        <w:ind w:left="284" w:hanging="284"/>
        <w:rPr>
          <w:lang w:val="en-GB"/>
        </w:rPr>
      </w:pPr>
      <w:r w:rsidRPr="00B12ECD">
        <w:rPr>
          <w:lang w:val="en-GB"/>
        </w:rPr>
        <w:t>Mahoney, S., 2023. Fire and Smoke Damper ITM,  NFPA. www.nfpa.org/news-blogs-and-articles/blogs/2023/03/20/fire-and-smoke-damper-itm</w:t>
      </w:r>
    </w:p>
    <w:p w14:paraId="3DC69F5E" w14:textId="77777777" w:rsidR="00B12ECD" w:rsidRPr="00B12ECD" w:rsidRDefault="00B12ECD" w:rsidP="00B12ECD">
      <w:pPr>
        <w:pStyle w:val="CETBodytext"/>
        <w:ind w:left="284" w:hanging="284"/>
        <w:rPr>
          <w:lang w:val="en-GB"/>
        </w:rPr>
      </w:pPr>
      <w:r w:rsidRPr="00B12ECD">
        <w:rPr>
          <w:lang w:val="en-GB"/>
        </w:rPr>
        <w:t>MARSH, 2020. 100 Largest Losses in the Hydrocarbon Industry. 1974-2019. 26th Edition. Marsh JLT Speciality.</w:t>
      </w:r>
    </w:p>
    <w:p w14:paraId="3889488F" w14:textId="68B42F25" w:rsidR="00B12ECD" w:rsidRPr="00B12ECD" w:rsidRDefault="00B12ECD" w:rsidP="00B12ECD">
      <w:pPr>
        <w:pStyle w:val="CETBodytext"/>
        <w:ind w:left="284" w:hanging="284"/>
        <w:rPr>
          <w:lang w:val="pl-PL"/>
        </w:rPr>
      </w:pPr>
      <w:r w:rsidRPr="00B12ECD">
        <w:rPr>
          <w:lang w:val="en-GB"/>
        </w:rPr>
        <w:t xml:space="preserve">OECD, 2017. Ageing of Hazardous Installations. OECD Environment, Health and Safety Publications Series on Chemical Accidents No. 29. </w:t>
      </w:r>
      <w:r w:rsidRPr="00B12ECD">
        <w:rPr>
          <w:lang w:val="pl-PL"/>
        </w:rPr>
        <w:t xml:space="preserve">ENV/JM/MONO(2017)9. </w:t>
      </w:r>
    </w:p>
    <w:p w14:paraId="05B15B09" w14:textId="77777777" w:rsidR="00B12ECD" w:rsidRPr="00B12ECD" w:rsidRDefault="00B12ECD" w:rsidP="00B12ECD">
      <w:pPr>
        <w:pStyle w:val="CETBodytext"/>
        <w:ind w:left="284" w:hanging="284"/>
        <w:rPr>
          <w:lang w:val="en-GB"/>
        </w:rPr>
      </w:pPr>
      <w:r w:rsidRPr="00B12ECD">
        <w:rPr>
          <w:lang w:val="en-GB"/>
        </w:rPr>
        <w:t>ONR, 2022. Office for Nuclear Regulation. Periodic Safety Review (PSR). Nuclear Safety Technical Assessment Guide. NS-TAST-GD-050 Issue 8.1.</w:t>
      </w:r>
    </w:p>
    <w:p w14:paraId="7FFE2DE0" w14:textId="6A2957BE" w:rsidR="00B12ECD" w:rsidRPr="00B12ECD" w:rsidRDefault="00B12ECD" w:rsidP="00B12ECD">
      <w:pPr>
        <w:pStyle w:val="CETBodytext"/>
        <w:ind w:left="284" w:hanging="284"/>
        <w:rPr>
          <w:lang w:val="en-GB"/>
        </w:rPr>
      </w:pPr>
      <w:r w:rsidRPr="00B12ECD">
        <w:rPr>
          <w:lang w:val="en-GB"/>
        </w:rPr>
        <w:t>Paté-Cornell, 1991. A post mortem analysis of the Piper Alpha accident: Technical and organizational factors. https://www.bsee.gov/sites/bsee.gov/files/tap-technical-assessment-program//167ab.pdf</w:t>
      </w:r>
    </w:p>
    <w:p w14:paraId="19C4FC68" w14:textId="63819101" w:rsidR="004628D2" w:rsidRDefault="00B12ECD" w:rsidP="002C52E3">
      <w:pPr>
        <w:pStyle w:val="CETBodytext"/>
        <w:ind w:left="284" w:hanging="284"/>
      </w:pPr>
      <w:r w:rsidRPr="00B12ECD">
        <w:rPr>
          <w:lang w:val="en-GB"/>
        </w:rPr>
        <w:t xml:space="preserve">Su, P., Fuller, D.B., 2014. Corrosion and Corrosion Mitigation in Fire Protection Systems Research Technical Report - Potter Electric Signal. </w:t>
      </w: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379F" w14:textId="77777777" w:rsidR="00E264D4" w:rsidRDefault="00E264D4" w:rsidP="004F5E36">
      <w:r>
        <w:separator/>
      </w:r>
    </w:p>
  </w:endnote>
  <w:endnote w:type="continuationSeparator" w:id="0">
    <w:p w14:paraId="7BDFE548" w14:textId="77777777" w:rsidR="00E264D4" w:rsidRDefault="00E264D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629E" w14:textId="77777777" w:rsidR="00E264D4" w:rsidRDefault="00E264D4" w:rsidP="004F5E36">
      <w:r>
        <w:separator/>
      </w:r>
    </w:p>
  </w:footnote>
  <w:footnote w:type="continuationSeparator" w:id="0">
    <w:p w14:paraId="3C214F58" w14:textId="77777777" w:rsidR="00E264D4" w:rsidRDefault="00E264D4"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A7938D0"/>
    <w:multiLevelType w:val="hybridMultilevel"/>
    <w:tmpl w:val="90F0AC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438217E"/>
    <w:multiLevelType w:val="multilevel"/>
    <w:tmpl w:val="B378B24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Jednoduchtabulk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AC6620C"/>
    <w:multiLevelType w:val="hybridMultilevel"/>
    <w:tmpl w:val="88024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88B1F1A"/>
    <w:multiLevelType w:val="hybridMultilevel"/>
    <w:tmpl w:val="275AFD7E"/>
    <w:lvl w:ilvl="0" w:tplc="DF2C4068">
      <w:numFmt w:val="bullet"/>
      <w:lvlText w:val="•"/>
      <w:lvlJc w:val="left"/>
      <w:pPr>
        <w:ind w:left="5055" w:hanging="469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734972"/>
    <w:multiLevelType w:val="hybridMultilevel"/>
    <w:tmpl w:val="B3F8A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2"/>
  </w:num>
  <w:num w:numId="15" w16cid:durableId="19162326">
    <w:abstractNumId w:val="24"/>
  </w:num>
  <w:num w:numId="16" w16cid:durableId="1977102699">
    <w:abstractNumId w:val="23"/>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7"/>
  </w:num>
  <w:num w:numId="21" w16cid:durableId="124660497">
    <w:abstractNumId w:val="15"/>
  </w:num>
  <w:num w:numId="22" w16cid:durableId="2099861471">
    <w:abstractNumId w:val="14"/>
  </w:num>
  <w:num w:numId="23" w16cid:durableId="1674844727">
    <w:abstractNumId w:val="21"/>
  </w:num>
  <w:num w:numId="24" w16cid:durableId="2062249633">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1741362">
    <w:abstractNumId w:val="16"/>
  </w:num>
  <w:num w:numId="26" w16cid:durableId="1486895427">
    <w:abstractNumId w:val="20"/>
  </w:num>
  <w:num w:numId="27" w16cid:durableId="1450204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586B"/>
    <w:rsid w:val="0003148D"/>
    <w:rsid w:val="00031EEC"/>
    <w:rsid w:val="00050899"/>
    <w:rsid w:val="00051566"/>
    <w:rsid w:val="000562A9"/>
    <w:rsid w:val="00062A9A"/>
    <w:rsid w:val="00065058"/>
    <w:rsid w:val="00086C39"/>
    <w:rsid w:val="00093194"/>
    <w:rsid w:val="000A03B2"/>
    <w:rsid w:val="000A7584"/>
    <w:rsid w:val="000C1396"/>
    <w:rsid w:val="000D0268"/>
    <w:rsid w:val="000D34BE"/>
    <w:rsid w:val="000E102F"/>
    <w:rsid w:val="000E15DD"/>
    <w:rsid w:val="000E36F1"/>
    <w:rsid w:val="000E3A73"/>
    <w:rsid w:val="000E414A"/>
    <w:rsid w:val="000E75FD"/>
    <w:rsid w:val="000F093C"/>
    <w:rsid w:val="000F787B"/>
    <w:rsid w:val="0012091F"/>
    <w:rsid w:val="00124AAD"/>
    <w:rsid w:val="00126486"/>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72085"/>
    <w:rsid w:val="00184AD6"/>
    <w:rsid w:val="001A4AF7"/>
    <w:rsid w:val="001B0349"/>
    <w:rsid w:val="001B1E93"/>
    <w:rsid w:val="001B61A7"/>
    <w:rsid w:val="001B65C1"/>
    <w:rsid w:val="001C260F"/>
    <w:rsid w:val="001C33F1"/>
    <w:rsid w:val="001C684B"/>
    <w:rsid w:val="001D0CFB"/>
    <w:rsid w:val="001D21AF"/>
    <w:rsid w:val="001D53FC"/>
    <w:rsid w:val="001F42A5"/>
    <w:rsid w:val="001F7B9D"/>
    <w:rsid w:val="00201C93"/>
    <w:rsid w:val="00201DF6"/>
    <w:rsid w:val="002224B4"/>
    <w:rsid w:val="002447EF"/>
    <w:rsid w:val="00251550"/>
    <w:rsid w:val="00263B05"/>
    <w:rsid w:val="00264CF6"/>
    <w:rsid w:val="00266323"/>
    <w:rsid w:val="00270D95"/>
    <w:rsid w:val="0027221A"/>
    <w:rsid w:val="00275B61"/>
    <w:rsid w:val="00280FAF"/>
    <w:rsid w:val="00282656"/>
    <w:rsid w:val="00295B06"/>
    <w:rsid w:val="00296B83"/>
    <w:rsid w:val="002B4015"/>
    <w:rsid w:val="002B78CE"/>
    <w:rsid w:val="002C2FB6"/>
    <w:rsid w:val="002C52E3"/>
    <w:rsid w:val="002D7FC4"/>
    <w:rsid w:val="002E5FA7"/>
    <w:rsid w:val="002F3309"/>
    <w:rsid w:val="002F4858"/>
    <w:rsid w:val="003008CE"/>
    <w:rsid w:val="003009B7"/>
    <w:rsid w:val="00300E56"/>
    <w:rsid w:val="0030152C"/>
    <w:rsid w:val="0030469C"/>
    <w:rsid w:val="003158B4"/>
    <w:rsid w:val="00320816"/>
    <w:rsid w:val="00321CA6"/>
    <w:rsid w:val="00323763"/>
    <w:rsid w:val="00323C5F"/>
    <w:rsid w:val="00334C09"/>
    <w:rsid w:val="003504C1"/>
    <w:rsid w:val="00370AA2"/>
    <w:rsid w:val="003723D4"/>
    <w:rsid w:val="00380BE7"/>
    <w:rsid w:val="00381905"/>
    <w:rsid w:val="00384CC8"/>
    <w:rsid w:val="003871FD"/>
    <w:rsid w:val="003A0429"/>
    <w:rsid w:val="003A1E30"/>
    <w:rsid w:val="003A2829"/>
    <w:rsid w:val="003A7D1C"/>
    <w:rsid w:val="003B304B"/>
    <w:rsid w:val="003B3146"/>
    <w:rsid w:val="003D1E02"/>
    <w:rsid w:val="003D444E"/>
    <w:rsid w:val="003F015E"/>
    <w:rsid w:val="00400414"/>
    <w:rsid w:val="004010DE"/>
    <w:rsid w:val="0041446B"/>
    <w:rsid w:val="00415E66"/>
    <w:rsid w:val="00431E82"/>
    <w:rsid w:val="0044071E"/>
    <w:rsid w:val="0044329C"/>
    <w:rsid w:val="00453E24"/>
    <w:rsid w:val="00457456"/>
    <w:rsid w:val="004577FE"/>
    <w:rsid w:val="00457B9C"/>
    <w:rsid w:val="0046164A"/>
    <w:rsid w:val="004628D2"/>
    <w:rsid w:val="00462DCD"/>
    <w:rsid w:val="004648AD"/>
    <w:rsid w:val="004703A9"/>
    <w:rsid w:val="004760DE"/>
    <w:rsid w:val="004763D7"/>
    <w:rsid w:val="00476B02"/>
    <w:rsid w:val="004A004E"/>
    <w:rsid w:val="004A24CF"/>
    <w:rsid w:val="004A5E57"/>
    <w:rsid w:val="004C194F"/>
    <w:rsid w:val="004C3D1D"/>
    <w:rsid w:val="004C3D84"/>
    <w:rsid w:val="004C7913"/>
    <w:rsid w:val="004D0CA0"/>
    <w:rsid w:val="004E4DD6"/>
    <w:rsid w:val="004F5E36"/>
    <w:rsid w:val="00506546"/>
    <w:rsid w:val="00507B47"/>
    <w:rsid w:val="00507BEF"/>
    <w:rsid w:val="00507CC9"/>
    <w:rsid w:val="005119A5"/>
    <w:rsid w:val="00520A89"/>
    <w:rsid w:val="005278B7"/>
    <w:rsid w:val="00532016"/>
    <w:rsid w:val="005346C8"/>
    <w:rsid w:val="00543E7D"/>
    <w:rsid w:val="00547A68"/>
    <w:rsid w:val="005531C9"/>
    <w:rsid w:val="005603D9"/>
    <w:rsid w:val="00570C43"/>
    <w:rsid w:val="0058665B"/>
    <w:rsid w:val="00592274"/>
    <w:rsid w:val="005A6D2E"/>
    <w:rsid w:val="005A7421"/>
    <w:rsid w:val="005A7460"/>
    <w:rsid w:val="005B2110"/>
    <w:rsid w:val="005B61E6"/>
    <w:rsid w:val="005C77E1"/>
    <w:rsid w:val="005D668A"/>
    <w:rsid w:val="005D6A2F"/>
    <w:rsid w:val="005E0592"/>
    <w:rsid w:val="005E1A82"/>
    <w:rsid w:val="005E794C"/>
    <w:rsid w:val="005F0A28"/>
    <w:rsid w:val="005F0E5E"/>
    <w:rsid w:val="005F537C"/>
    <w:rsid w:val="00600535"/>
    <w:rsid w:val="006029B4"/>
    <w:rsid w:val="00610CD6"/>
    <w:rsid w:val="00620DEE"/>
    <w:rsid w:val="00621F92"/>
    <w:rsid w:val="0062280A"/>
    <w:rsid w:val="006231E1"/>
    <w:rsid w:val="00625639"/>
    <w:rsid w:val="00631B33"/>
    <w:rsid w:val="0064184D"/>
    <w:rsid w:val="006422CC"/>
    <w:rsid w:val="00651D18"/>
    <w:rsid w:val="00660E3E"/>
    <w:rsid w:val="00662E74"/>
    <w:rsid w:val="00680C23"/>
    <w:rsid w:val="00683E23"/>
    <w:rsid w:val="00693766"/>
    <w:rsid w:val="006A3281"/>
    <w:rsid w:val="006A7617"/>
    <w:rsid w:val="006B4888"/>
    <w:rsid w:val="006C2E45"/>
    <w:rsid w:val="006C359C"/>
    <w:rsid w:val="006C5579"/>
    <w:rsid w:val="006D6E8B"/>
    <w:rsid w:val="006D7209"/>
    <w:rsid w:val="006E737D"/>
    <w:rsid w:val="00707DD1"/>
    <w:rsid w:val="00713973"/>
    <w:rsid w:val="00720A24"/>
    <w:rsid w:val="00732386"/>
    <w:rsid w:val="0073514D"/>
    <w:rsid w:val="007447F3"/>
    <w:rsid w:val="0075499F"/>
    <w:rsid w:val="007617CC"/>
    <w:rsid w:val="007661C8"/>
    <w:rsid w:val="0077098D"/>
    <w:rsid w:val="007830B7"/>
    <w:rsid w:val="00785BF9"/>
    <w:rsid w:val="007931FA"/>
    <w:rsid w:val="00797E14"/>
    <w:rsid w:val="007A4861"/>
    <w:rsid w:val="007A6DF8"/>
    <w:rsid w:val="007A7BBA"/>
    <w:rsid w:val="007B0C50"/>
    <w:rsid w:val="007B3DD5"/>
    <w:rsid w:val="007B48F9"/>
    <w:rsid w:val="007C0B4B"/>
    <w:rsid w:val="007C1A43"/>
    <w:rsid w:val="007D0951"/>
    <w:rsid w:val="007E49AC"/>
    <w:rsid w:val="007F27C8"/>
    <w:rsid w:val="0080013E"/>
    <w:rsid w:val="0080705E"/>
    <w:rsid w:val="00813288"/>
    <w:rsid w:val="00815D4D"/>
    <w:rsid w:val="008168FC"/>
    <w:rsid w:val="00830996"/>
    <w:rsid w:val="008314D7"/>
    <w:rsid w:val="008345F1"/>
    <w:rsid w:val="008616CD"/>
    <w:rsid w:val="0086416F"/>
    <w:rsid w:val="00865B07"/>
    <w:rsid w:val="008667EA"/>
    <w:rsid w:val="0087637F"/>
    <w:rsid w:val="00892AD5"/>
    <w:rsid w:val="008A1512"/>
    <w:rsid w:val="008B034A"/>
    <w:rsid w:val="008B0510"/>
    <w:rsid w:val="008B5D7C"/>
    <w:rsid w:val="008D0B0D"/>
    <w:rsid w:val="008D32B9"/>
    <w:rsid w:val="008D433B"/>
    <w:rsid w:val="008D4A16"/>
    <w:rsid w:val="008E209A"/>
    <w:rsid w:val="008E45BC"/>
    <w:rsid w:val="008E566E"/>
    <w:rsid w:val="008E6AAD"/>
    <w:rsid w:val="0090161A"/>
    <w:rsid w:val="00901EB6"/>
    <w:rsid w:val="009041F8"/>
    <w:rsid w:val="00904C62"/>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90FB5"/>
    <w:rsid w:val="00991EBF"/>
    <w:rsid w:val="00993B84"/>
    <w:rsid w:val="00996483"/>
    <w:rsid w:val="00996F5A"/>
    <w:rsid w:val="009B041A"/>
    <w:rsid w:val="009C37C3"/>
    <w:rsid w:val="009C7C86"/>
    <w:rsid w:val="009D2FF7"/>
    <w:rsid w:val="009D7377"/>
    <w:rsid w:val="009E7884"/>
    <w:rsid w:val="009E788A"/>
    <w:rsid w:val="009F0E08"/>
    <w:rsid w:val="00A04C83"/>
    <w:rsid w:val="00A079AE"/>
    <w:rsid w:val="00A1763D"/>
    <w:rsid w:val="00A17CEC"/>
    <w:rsid w:val="00A26CBB"/>
    <w:rsid w:val="00A27EF0"/>
    <w:rsid w:val="00A42361"/>
    <w:rsid w:val="00A45111"/>
    <w:rsid w:val="00A50B20"/>
    <w:rsid w:val="00A51390"/>
    <w:rsid w:val="00A60D13"/>
    <w:rsid w:val="00A7223D"/>
    <w:rsid w:val="00A72745"/>
    <w:rsid w:val="00A76EFC"/>
    <w:rsid w:val="00A87204"/>
    <w:rsid w:val="00A87D50"/>
    <w:rsid w:val="00A91010"/>
    <w:rsid w:val="00A97F29"/>
    <w:rsid w:val="00AA702E"/>
    <w:rsid w:val="00AA7D26"/>
    <w:rsid w:val="00AB06C9"/>
    <w:rsid w:val="00AB0964"/>
    <w:rsid w:val="00AB5011"/>
    <w:rsid w:val="00AC7368"/>
    <w:rsid w:val="00AD0278"/>
    <w:rsid w:val="00AD16B9"/>
    <w:rsid w:val="00AE377D"/>
    <w:rsid w:val="00AF0EBA"/>
    <w:rsid w:val="00B02C8A"/>
    <w:rsid w:val="00B12ECD"/>
    <w:rsid w:val="00B17FBD"/>
    <w:rsid w:val="00B315A6"/>
    <w:rsid w:val="00B31813"/>
    <w:rsid w:val="00B33365"/>
    <w:rsid w:val="00B35A9B"/>
    <w:rsid w:val="00B448FA"/>
    <w:rsid w:val="00B477C9"/>
    <w:rsid w:val="00B57B36"/>
    <w:rsid w:val="00B57E6F"/>
    <w:rsid w:val="00B8686D"/>
    <w:rsid w:val="00B93F69"/>
    <w:rsid w:val="00BB0D79"/>
    <w:rsid w:val="00BB1DDC"/>
    <w:rsid w:val="00BC30C9"/>
    <w:rsid w:val="00BD077D"/>
    <w:rsid w:val="00BD0D6C"/>
    <w:rsid w:val="00BD17BE"/>
    <w:rsid w:val="00BD4E04"/>
    <w:rsid w:val="00BE3E58"/>
    <w:rsid w:val="00BE7A8D"/>
    <w:rsid w:val="00C01616"/>
    <w:rsid w:val="00C0162B"/>
    <w:rsid w:val="00C068ED"/>
    <w:rsid w:val="00C10143"/>
    <w:rsid w:val="00C208E9"/>
    <w:rsid w:val="00C22E0C"/>
    <w:rsid w:val="00C345B1"/>
    <w:rsid w:val="00C40142"/>
    <w:rsid w:val="00C52C3C"/>
    <w:rsid w:val="00C57182"/>
    <w:rsid w:val="00C57863"/>
    <w:rsid w:val="00C61A75"/>
    <w:rsid w:val="00C640AF"/>
    <w:rsid w:val="00C655FD"/>
    <w:rsid w:val="00C75407"/>
    <w:rsid w:val="00C841C6"/>
    <w:rsid w:val="00C870A8"/>
    <w:rsid w:val="00C94434"/>
    <w:rsid w:val="00CA0D75"/>
    <w:rsid w:val="00CA10E7"/>
    <w:rsid w:val="00CA1C95"/>
    <w:rsid w:val="00CA5A9C"/>
    <w:rsid w:val="00CC4C20"/>
    <w:rsid w:val="00CD3517"/>
    <w:rsid w:val="00CD5FE2"/>
    <w:rsid w:val="00CE07B4"/>
    <w:rsid w:val="00CE7C68"/>
    <w:rsid w:val="00CF7263"/>
    <w:rsid w:val="00D02B4C"/>
    <w:rsid w:val="00D040C4"/>
    <w:rsid w:val="00D11E52"/>
    <w:rsid w:val="00D20AD1"/>
    <w:rsid w:val="00D2582C"/>
    <w:rsid w:val="00D46B7E"/>
    <w:rsid w:val="00D57C84"/>
    <w:rsid w:val="00D6057D"/>
    <w:rsid w:val="00D71640"/>
    <w:rsid w:val="00D71AB8"/>
    <w:rsid w:val="00D836C5"/>
    <w:rsid w:val="00D84576"/>
    <w:rsid w:val="00D95DDB"/>
    <w:rsid w:val="00DA1399"/>
    <w:rsid w:val="00DA24C6"/>
    <w:rsid w:val="00DA4D7B"/>
    <w:rsid w:val="00DB1D9F"/>
    <w:rsid w:val="00DD271C"/>
    <w:rsid w:val="00DD39F2"/>
    <w:rsid w:val="00DD65BF"/>
    <w:rsid w:val="00DE264A"/>
    <w:rsid w:val="00DF3A19"/>
    <w:rsid w:val="00DF5072"/>
    <w:rsid w:val="00E02D18"/>
    <w:rsid w:val="00E041E7"/>
    <w:rsid w:val="00E15DB0"/>
    <w:rsid w:val="00E23CA1"/>
    <w:rsid w:val="00E24489"/>
    <w:rsid w:val="00E264D4"/>
    <w:rsid w:val="00E336A4"/>
    <w:rsid w:val="00E409A8"/>
    <w:rsid w:val="00E47D61"/>
    <w:rsid w:val="00E50C12"/>
    <w:rsid w:val="00E53CB3"/>
    <w:rsid w:val="00E65B91"/>
    <w:rsid w:val="00E7209D"/>
    <w:rsid w:val="00E72410"/>
    <w:rsid w:val="00E72EAD"/>
    <w:rsid w:val="00E73010"/>
    <w:rsid w:val="00E77223"/>
    <w:rsid w:val="00E844DF"/>
    <w:rsid w:val="00E8528B"/>
    <w:rsid w:val="00E85B94"/>
    <w:rsid w:val="00E978D0"/>
    <w:rsid w:val="00E97B6E"/>
    <w:rsid w:val="00EA06C9"/>
    <w:rsid w:val="00EA4613"/>
    <w:rsid w:val="00EA7F91"/>
    <w:rsid w:val="00EB1523"/>
    <w:rsid w:val="00EC0E49"/>
    <w:rsid w:val="00EC101F"/>
    <w:rsid w:val="00EC1D9F"/>
    <w:rsid w:val="00EE0131"/>
    <w:rsid w:val="00EE17B0"/>
    <w:rsid w:val="00EF06D9"/>
    <w:rsid w:val="00EF0982"/>
    <w:rsid w:val="00F01DD0"/>
    <w:rsid w:val="00F130F8"/>
    <w:rsid w:val="00F22711"/>
    <w:rsid w:val="00F3049E"/>
    <w:rsid w:val="00F30C64"/>
    <w:rsid w:val="00F32BA2"/>
    <w:rsid w:val="00F32CDB"/>
    <w:rsid w:val="00F3348F"/>
    <w:rsid w:val="00F34C7A"/>
    <w:rsid w:val="00F37280"/>
    <w:rsid w:val="00F41EE4"/>
    <w:rsid w:val="00F431BB"/>
    <w:rsid w:val="00F46871"/>
    <w:rsid w:val="00F51AE8"/>
    <w:rsid w:val="00F565FE"/>
    <w:rsid w:val="00F63A70"/>
    <w:rsid w:val="00F63D8C"/>
    <w:rsid w:val="00F7534E"/>
    <w:rsid w:val="00F81416"/>
    <w:rsid w:val="00F93EDF"/>
    <w:rsid w:val="00FA1802"/>
    <w:rsid w:val="00FA21D0"/>
    <w:rsid w:val="00FA5F5F"/>
    <w:rsid w:val="00FB730C"/>
    <w:rsid w:val="00FC2695"/>
    <w:rsid w:val="00FC3E03"/>
    <w:rsid w:val="00FC3FC1"/>
    <w:rsid w:val="00FE74C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Nadpis1">
    <w:name w:val="heading 1"/>
    <w:basedOn w:val="CETHeading1"/>
    <w:next w:val="Normln"/>
    <w:link w:val="Nadpis1Char"/>
    <w:uiPriority w:val="9"/>
    <w:rsid w:val="004F5E36"/>
    <w:pPr>
      <w:tabs>
        <w:tab w:val="right" w:pos="7100"/>
      </w:tabs>
      <w:jc w:val="both"/>
      <w:outlineLvl w:val="0"/>
    </w:pPr>
    <w:rPr>
      <w:lang w:val="en-GB"/>
    </w:rPr>
  </w:style>
  <w:style w:type="paragraph" w:styleId="Nadpis2">
    <w:name w:val="heading 2"/>
    <w:basedOn w:val="Normln"/>
    <w:next w:val="Normln"/>
    <w:link w:val="Nadpis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0C1396"/>
    <w:pPr>
      <w:keepNext/>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Jednoduchtabulka1">
    <w:name w:val="Table Simple 1"/>
    <w:basedOn w:val="Normlntabulka"/>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0C1396"/>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Odkaznakoment">
    <w:name w:val="annotation reference"/>
    <w:basedOn w:val="Standardnpsmoodstavce"/>
    <w:uiPriority w:val="99"/>
    <w:semiHidden/>
    <w:unhideWhenUsed/>
    <w:rsid w:val="004577FE"/>
    <w:rPr>
      <w:sz w:val="16"/>
      <w:szCs w:val="16"/>
    </w:rPr>
  </w:style>
  <w:style w:type="paragraph" w:styleId="Textbubliny">
    <w:name w:val="Balloon Text"/>
    <w:basedOn w:val="Normln"/>
    <w:link w:val="TextbublinyChar"/>
    <w:uiPriority w:val="99"/>
    <w:semiHidden/>
    <w:unhideWhenUsed/>
    <w:rsid w:val="000D34B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34BE"/>
    <w:rPr>
      <w:rFonts w:ascii="Tahoma" w:hAnsi="Tahoma" w:cs="Tahoma"/>
      <w:sz w:val="16"/>
      <w:szCs w:val="16"/>
    </w:rPr>
  </w:style>
  <w:style w:type="paragraph" w:styleId="Bibliografie">
    <w:name w:val="Bibliography"/>
    <w:basedOn w:val="CETReferencetext"/>
    <w:uiPriority w:val="37"/>
    <w:unhideWhenUsed/>
    <w:rsid w:val="00631B33"/>
    <w:pPr>
      <w:spacing w:line="240" w:lineRule="auto"/>
      <w:ind w:left="720" w:hanging="720"/>
    </w:pPr>
  </w:style>
  <w:style w:type="paragraph" w:styleId="Zkladntext2">
    <w:name w:val="Body Text 2"/>
    <w:basedOn w:val="Normln"/>
    <w:link w:val="Zkladntext2Char"/>
    <w:uiPriority w:val="99"/>
    <w:semiHidden/>
    <w:unhideWhenUsed/>
    <w:rsid w:val="0003148D"/>
    <w:pPr>
      <w:spacing w:after="120" w:line="480" w:lineRule="auto"/>
    </w:pPr>
  </w:style>
  <w:style w:type="character" w:customStyle="1" w:styleId="Zkladntext2Char">
    <w:name w:val="Základní text 2 Char"/>
    <w:basedOn w:val="Standardnpsmoodstavce"/>
    <w:link w:val="Zkladntext2"/>
    <w:uiPriority w:val="99"/>
    <w:semiHidden/>
    <w:rsid w:val="0003148D"/>
  </w:style>
  <w:style w:type="paragraph" w:styleId="Zkladntext3">
    <w:name w:val="Body Text 3"/>
    <w:basedOn w:val="Normln"/>
    <w:link w:val="Zkladntext3Char"/>
    <w:uiPriority w:val="99"/>
    <w:semiHidden/>
    <w:unhideWhenUsed/>
    <w:rsid w:val="0003148D"/>
    <w:pPr>
      <w:spacing w:after="120"/>
    </w:pPr>
    <w:rPr>
      <w:sz w:val="16"/>
      <w:szCs w:val="16"/>
    </w:rPr>
  </w:style>
  <w:style w:type="character" w:customStyle="1" w:styleId="Zkladntext3Char">
    <w:name w:val="Základní text 3 Char"/>
    <w:basedOn w:val="Standardnpsmoodstavce"/>
    <w:link w:val="Zkladntext3"/>
    <w:uiPriority w:val="99"/>
    <w:semiHidden/>
    <w:rsid w:val="0003148D"/>
    <w:rPr>
      <w:sz w:val="16"/>
      <w:szCs w:val="16"/>
    </w:rPr>
  </w:style>
  <w:style w:type="paragraph" w:styleId="Zkladntext">
    <w:name w:val="Body Text"/>
    <w:basedOn w:val="Normln"/>
    <w:link w:val="ZkladntextChar"/>
    <w:uiPriority w:val="99"/>
    <w:semiHidden/>
    <w:unhideWhenUsed/>
    <w:rsid w:val="0003148D"/>
    <w:pPr>
      <w:spacing w:after="120"/>
    </w:pPr>
  </w:style>
  <w:style w:type="character" w:customStyle="1" w:styleId="ZkladntextChar">
    <w:name w:val="Základní text Char"/>
    <w:basedOn w:val="Standardnpsmoodstavce"/>
    <w:link w:val="Zkladntext"/>
    <w:uiPriority w:val="99"/>
    <w:semiHidden/>
    <w:rsid w:val="0003148D"/>
  </w:style>
  <w:style w:type="paragraph" w:styleId="Datum">
    <w:name w:val="Date"/>
    <w:basedOn w:val="Normln"/>
    <w:next w:val="Normln"/>
    <w:link w:val="DatumChar"/>
    <w:uiPriority w:val="99"/>
    <w:semiHidden/>
    <w:unhideWhenUsed/>
    <w:rsid w:val="0003148D"/>
  </w:style>
  <w:style w:type="character" w:customStyle="1" w:styleId="DatumChar">
    <w:name w:val="Datum Char"/>
    <w:basedOn w:val="Standardnpsmoodstavce"/>
    <w:link w:val="Datum"/>
    <w:uiPriority w:val="99"/>
    <w:semiHidden/>
    <w:rsid w:val="0003148D"/>
  </w:style>
  <w:style w:type="paragraph" w:styleId="Titulek">
    <w:name w:val="caption"/>
    <w:basedOn w:val="Normln"/>
    <w:next w:val="Normln"/>
    <w:uiPriority w:val="35"/>
    <w:semiHidden/>
    <w:unhideWhenUsed/>
    <w:qFormat/>
    <w:rsid w:val="0003148D"/>
    <w:pPr>
      <w:spacing w:line="240" w:lineRule="auto"/>
    </w:pPr>
    <w:rPr>
      <w:b/>
      <w:bCs/>
      <w:color w:val="4F81BD" w:themeColor="accent1"/>
      <w:szCs w:val="18"/>
    </w:rPr>
  </w:style>
  <w:style w:type="paragraph" w:styleId="Seznam">
    <w:name w:val="List"/>
    <w:basedOn w:val="Normln"/>
    <w:uiPriority w:val="99"/>
    <w:semiHidden/>
    <w:unhideWhenUsed/>
    <w:rsid w:val="0003148D"/>
    <w:pPr>
      <w:ind w:left="283" w:hanging="283"/>
      <w:contextualSpacing/>
    </w:pPr>
  </w:style>
  <w:style w:type="paragraph" w:styleId="Seznam2">
    <w:name w:val="List 2"/>
    <w:basedOn w:val="Normln"/>
    <w:uiPriority w:val="99"/>
    <w:semiHidden/>
    <w:unhideWhenUsed/>
    <w:rsid w:val="0003148D"/>
    <w:pPr>
      <w:ind w:left="566" w:hanging="283"/>
      <w:contextualSpacing/>
    </w:pPr>
  </w:style>
  <w:style w:type="paragraph" w:styleId="Seznam3">
    <w:name w:val="List 3"/>
    <w:basedOn w:val="Normln"/>
    <w:uiPriority w:val="99"/>
    <w:semiHidden/>
    <w:unhideWhenUsed/>
    <w:rsid w:val="0003148D"/>
    <w:pPr>
      <w:ind w:left="849" w:hanging="283"/>
      <w:contextualSpacing/>
    </w:pPr>
  </w:style>
  <w:style w:type="paragraph" w:styleId="Seznam4">
    <w:name w:val="List 4"/>
    <w:basedOn w:val="Normln"/>
    <w:uiPriority w:val="99"/>
    <w:semiHidden/>
    <w:unhideWhenUsed/>
    <w:rsid w:val="0003148D"/>
    <w:pPr>
      <w:ind w:left="1132" w:hanging="283"/>
      <w:contextualSpacing/>
    </w:pPr>
  </w:style>
  <w:style w:type="paragraph" w:styleId="Seznam5">
    <w:name w:val="List 5"/>
    <w:basedOn w:val="Normln"/>
    <w:uiPriority w:val="99"/>
    <w:semiHidden/>
    <w:unhideWhenUsed/>
    <w:rsid w:val="0003148D"/>
    <w:pPr>
      <w:ind w:left="1415" w:hanging="283"/>
      <w:contextualSpacing/>
    </w:pPr>
  </w:style>
  <w:style w:type="paragraph" w:styleId="Pokraovnseznamu">
    <w:name w:val="List Continue"/>
    <w:basedOn w:val="Normln"/>
    <w:uiPriority w:val="99"/>
    <w:semiHidden/>
    <w:unhideWhenUsed/>
    <w:rsid w:val="0003148D"/>
    <w:pPr>
      <w:spacing w:after="120"/>
      <w:ind w:left="283"/>
      <w:contextualSpacing/>
    </w:pPr>
  </w:style>
  <w:style w:type="paragraph" w:styleId="Pokraovnseznamu2">
    <w:name w:val="List Continue 2"/>
    <w:basedOn w:val="Normln"/>
    <w:uiPriority w:val="99"/>
    <w:semiHidden/>
    <w:unhideWhenUsed/>
    <w:rsid w:val="0003148D"/>
    <w:pPr>
      <w:spacing w:after="120"/>
      <w:ind w:left="566"/>
      <w:contextualSpacing/>
    </w:pPr>
  </w:style>
  <w:style w:type="paragraph" w:styleId="Pokraovnseznamu3">
    <w:name w:val="List Continue 3"/>
    <w:basedOn w:val="Normln"/>
    <w:uiPriority w:val="99"/>
    <w:semiHidden/>
    <w:unhideWhenUsed/>
    <w:rsid w:val="0003148D"/>
    <w:pPr>
      <w:spacing w:after="120"/>
      <w:ind w:left="849"/>
      <w:contextualSpacing/>
    </w:pPr>
  </w:style>
  <w:style w:type="paragraph" w:styleId="Pokraovnseznamu4">
    <w:name w:val="List Continue 4"/>
    <w:basedOn w:val="Normln"/>
    <w:uiPriority w:val="99"/>
    <w:semiHidden/>
    <w:unhideWhenUsed/>
    <w:rsid w:val="0003148D"/>
    <w:pPr>
      <w:spacing w:after="120"/>
      <w:ind w:left="1132"/>
      <w:contextualSpacing/>
    </w:pPr>
  </w:style>
  <w:style w:type="paragraph" w:styleId="Pokraovnseznamu5">
    <w:name w:val="List Continue 5"/>
    <w:basedOn w:val="Normln"/>
    <w:uiPriority w:val="99"/>
    <w:semiHidden/>
    <w:unhideWhenUsed/>
    <w:rsid w:val="0003148D"/>
    <w:pPr>
      <w:spacing w:after="120"/>
      <w:ind w:left="1415"/>
      <w:contextualSpacing/>
    </w:pPr>
  </w:style>
  <w:style w:type="paragraph" w:styleId="Podpis">
    <w:name w:val="Signature"/>
    <w:basedOn w:val="Normln"/>
    <w:link w:val="PodpisChar"/>
    <w:uiPriority w:val="99"/>
    <w:semiHidden/>
    <w:unhideWhenUsed/>
    <w:rsid w:val="0003148D"/>
    <w:pPr>
      <w:spacing w:line="240" w:lineRule="auto"/>
      <w:ind w:left="4252"/>
    </w:pPr>
  </w:style>
  <w:style w:type="character" w:customStyle="1" w:styleId="PodpisChar">
    <w:name w:val="Podpis Char"/>
    <w:basedOn w:val="Standardnpsmoodstavce"/>
    <w:link w:val="Podpis"/>
    <w:uiPriority w:val="99"/>
    <w:semiHidden/>
    <w:rsid w:val="0003148D"/>
  </w:style>
  <w:style w:type="paragraph" w:styleId="Podpise-mailu">
    <w:name w:val="E-mail Signature"/>
    <w:basedOn w:val="Normln"/>
    <w:link w:val="Podpise-mailuChar"/>
    <w:uiPriority w:val="99"/>
    <w:semiHidden/>
    <w:unhideWhenUsed/>
    <w:rsid w:val="0003148D"/>
    <w:pPr>
      <w:spacing w:line="240" w:lineRule="auto"/>
    </w:pPr>
  </w:style>
  <w:style w:type="character" w:customStyle="1" w:styleId="Podpise-mailuChar">
    <w:name w:val="Podpis e-mailu Char"/>
    <w:basedOn w:val="Standardnpsmoodstavce"/>
    <w:link w:val="Podpise-mailu"/>
    <w:uiPriority w:val="99"/>
    <w:semiHidden/>
    <w:rsid w:val="0003148D"/>
  </w:style>
  <w:style w:type="paragraph" w:styleId="Osloven">
    <w:name w:val="Salutation"/>
    <w:basedOn w:val="Normln"/>
    <w:next w:val="Normln"/>
    <w:link w:val="OslovenChar"/>
    <w:uiPriority w:val="99"/>
    <w:semiHidden/>
    <w:unhideWhenUsed/>
    <w:rsid w:val="0003148D"/>
  </w:style>
  <w:style w:type="character" w:customStyle="1" w:styleId="OslovenChar">
    <w:name w:val="Oslovení Char"/>
    <w:basedOn w:val="Standardnpsmoodstavce"/>
    <w:link w:val="Osloven"/>
    <w:uiPriority w:val="99"/>
    <w:semiHidden/>
    <w:rsid w:val="0003148D"/>
  </w:style>
  <w:style w:type="paragraph" w:styleId="Zvr">
    <w:name w:val="Closing"/>
    <w:basedOn w:val="Normln"/>
    <w:link w:val="ZvrChar"/>
    <w:uiPriority w:val="99"/>
    <w:semiHidden/>
    <w:unhideWhenUsed/>
    <w:rsid w:val="0003148D"/>
    <w:pPr>
      <w:spacing w:line="240" w:lineRule="auto"/>
      <w:ind w:left="4252"/>
    </w:pPr>
  </w:style>
  <w:style w:type="character" w:customStyle="1" w:styleId="ZvrChar">
    <w:name w:val="Závěr Char"/>
    <w:basedOn w:val="Standardnpsmoodstavce"/>
    <w:link w:val="Zvr"/>
    <w:uiPriority w:val="99"/>
    <w:semiHidden/>
    <w:rsid w:val="0003148D"/>
  </w:style>
  <w:style w:type="paragraph" w:styleId="Rejstk1">
    <w:name w:val="index 1"/>
    <w:basedOn w:val="Normln"/>
    <w:next w:val="Normln"/>
    <w:autoRedefine/>
    <w:uiPriority w:val="99"/>
    <w:semiHidden/>
    <w:unhideWhenUsed/>
    <w:rsid w:val="0003148D"/>
    <w:pPr>
      <w:spacing w:line="240" w:lineRule="auto"/>
      <w:ind w:left="220" w:hanging="220"/>
    </w:pPr>
  </w:style>
  <w:style w:type="paragraph" w:styleId="Rejstk2">
    <w:name w:val="index 2"/>
    <w:basedOn w:val="Normln"/>
    <w:next w:val="Normln"/>
    <w:autoRedefine/>
    <w:uiPriority w:val="99"/>
    <w:semiHidden/>
    <w:unhideWhenUsed/>
    <w:rsid w:val="0003148D"/>
    <w:pPr>
      <w:spacing w:line="240" w:lineRule="auto"/>
      <w:ind w:left="440" w:hanging="220"/>
    </w:pPr>
  </w:style>
  <w:style w:type="paragraph" w:styleId="Rejstk3">
    <w:name w:val="index 3"/>
    <w:basedOn w:val="Normln"/>
    <w:next w:val="Normln"/>
    <w:autoRedefine/>
    <w:uiPriority w:val="99"/>
    <w:semiHidden/>
    <w:unhideWhenUsed/>
    <w:rsid w:val="0003148D"/>
    <w:pPr>
      <w:spacing w:line="240" w:lineRule="auto"/>
      <w:ind w:left="660" w:hanging="220"/>
    </w:pPr>
  </w:style>
  <w:style w:type="paragraph" w:styleId="Rejstk4">
    <w:name w:val="index 4"/>
    <w:basedOn w:val="Normln"/>
    <w:next w:val="Normln"/>
    <w:autoRedefine/>
    <w:uiPriority w:val="99"/>
    <w:semiHidden/>
    <w:unhideWhenUsed/>
    <w:rsid w:val="0003148D"/>
    <w:pPr>
      <w:spacing w:line="240" w:lineRule="auto"/>
      <w:ind w:left="880" w:hanging="220"/>
    </w:pPr>
  </w:style>
  <w:style w:type="paragraph" w:styleId="Rejstk5">
    <w:name w:val="index 5"/>
    <w:basedOn w:val="Normln"/>
    <w:next w:val="Normln"/>
    <w:autoRedefine/>
    <w:uiPriority w:val="99"/>
    <w:semiHidden/>
    <w:unhideWhenUsed/>
    <w:rsid w:val="0003148D"/>
    <w:pPr>
      <w:spacing w:line="240" w:lineRule="auto"/>
      <w:ind w:left="1100" w:hanging="220"/>
    </w:pPr>
  </w:style>
  <w:style w:type="paragraph" w:styleId="Rejstk6">
    <w:name w:val="index 6"/>
    <w:basedOn w:val="Normln"/>
    <w:next w:val="Normln"/>
    <w:autoRedefine/>
    <w:uiPriority w:val="99"/>
    <w:semiHidden/>
    <w:unhideWhenUsed/>
    <w:rsid w:val="0003148D"/>
    <w:pPr>
      <w:spacing w:line="240" w:lineRule="auto"/>
      <w:ind w:left="1320" w:hanging="220"/>
    </w:pPr>
  </w:style>
  <w:style w:type="paragraph" w:styleId="Rejstk7">
    <w:name w:val="index 7"/>
    <w:basedOn w:val="Normln"/>
    <w:next w:val="Normln"/>
    <w:autoRedefine/>
    <w:uiPriority w:val="99"/>
    <w:semiHidden/>
    <w:unhideWhenUsed/>
    <w:rsid w:val="0003148D"/>
    <w:pPr>
      <w:spacing w:line="240" w:lineRule="auto"/>
      <w:ind w:left="1540" w:hanging="220"/>
    </w:pPr>
  </w:style>
  <w:style w:type="paragraph" w:styleId="Rejstk8">
    <w:name w:val="index 8"/>
    <w:basedOn w:val="Normln"/>
    <w:next w:val="Normln"/>
    <w:autoRedefine/>
    <w:uiPriority w:val="99"/>
    <w:semiHidden/>
    <w:unhideWhenUsed/>
    <w:rsid w:val="0003148D"/>
    <w:pPr>
      <w:spacing w:line="240" w:lineRule="auto"/>
      <w:ind w:left="1760" w:hanging="220"/>
    </w:pPr>
  </w:style>
  <w:style w:type="paragraph" w:styleId="Rejstk9">
    <w:name w:val="index 9"/>
    <w:basedOn w:val="Normln"/>
    <w:next w:val="Normln"/>
    <w:autoRedefine/>
    <w:uiPriority w:val="99"/>
    <w:semiHidden/>
    <w:unhideWhenUsed/>
    <w:rsid w:val="0003148D"/>
    <w:pPr>
      <w:spacing w:line="240" w:lineRule="auto"/>
      <w:ind w:left="1980" w:hanging="220"/>
    </w:pPr>
  </w:style>
  <w:style w:type="paragraph" w:styleId="Seznamobrzk">
    <w:name w:val="table of figures"/>
    <w:basedOn w:val="Normln"/>
    <w:next w:val="Normln"/>
    <w:uiPriority w:val="99"/>
    <w:semiHidden/>
    <w:unhideWhenUsed/>
    <w:rsid w:val="0003148D"/>
  </w:style>
  <w:style w:type="paragraph" w:styleId="Seznamcitac">
    <w:name w:val="table of authorities"/>
    <w:basedOn w:val="Normln"/>
    <w:next w:val="Normln"/>
    <w:uiPriority w:val="99"/>
    <w:semiHidden/>
    <w:unhideWhenUsed/>
    <w:rsid w:val="0003148D"/>
    <w:pPr>
      <w:ind w:left="220" w:hanging="220"/>
    </w:pPr>
  </w:style>
  <w:style w:type="paragraph" w:styleId="Adresanaoblku">
    <w:name w:val="envelope address"/>
    <w:basedOn w:val="Normln"/>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aHTML">
    <w:name w:val="HTML Address"/>
    <w:basedOn w:val="Normln"/>
    <w:link w:val="AdresaHTMLChar"/>
    <w:uiPriority w:val="99"/>
    <w:semiHidden/>
    <w:unhideWhenUsed/>
    <w:rsid w:val="0003148D"/>
    <w:pPr>
      <w:spacing w:line="240" w:lineRule="auto"/>
    </w:pPr>
    <w:rPr>
      <w:i/>
      <w:iCs/>
    </w:rPr>
  </w:style>
  <w:style w:type="character" w:customStyle="1" w:styleId="AdresaHTMLChar">
    <w:name w:val="Adresa HTML Char"/>
    <w:basedOn w:val="Standardnpsmoodstavce"/>
    <w:link w:val="AdresaHTML"/>
    <w:uiPriority w:val="99"/>
    <w:semiHidden/>
    <w:rsid w:val="0003148D"/>
    <w:rPr>
      <w:i/>
      <w:iCs/>
    </w:rPr>
  </w:style>
  <w:style w:type="paragraph" w:styleId="Zptenadresanaoblku">
    <w:name w:val="envelope return"/>
    <w:basedOn w:val="Normln"/>
    <w:uiPriority w:val="99"/>
    <w:semiHidden/>
    <w:unhideWhenUsed/>
    <w:rsid w:val="0003148D"/>
    <w:pPr>
      <w:spacing w:line="240" w:lineRule="auto"/>
    </w:pPr>
    <w:rPr>
      <w:rFonts w:asciiTheme="majorHAnsi" w:eastAsiaTheme="majorEastAsia" w:hAnsiTheme="majorHAnsi" w:cstheme="majorBidi"/>
    </w:rPr>
  </w:style>
  <w:style w:type="paragraph" w:styleId="Zhlavzprvy">
    <w:name w:val="Message Header"/>
    <w:basedOn w:val="Normln"/>
    <w:link w:val="Zhlavzprvy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03148D"/>
    <w:rPr>
      <w:rFonts w:asciiTheme="majorHAnsi" w:eastAsiaTheme="majorEastAsia" w:hAnsiTheme="majorHAnsi" w:cstheme="majorBidi"/>
      <w:sz w:val="24"/>
      <w:szCs w:val="24"/>
      <w:shd w:val="pct20" w:color="auto" w:fill="auto"/>
    </w:rPr>
  </w:style>
  <w:style w:type="paragraph" w:styleId="Nadpispoznmky">
    <w:name w:val="Note Heading"/>
    <w:basedOn w:val="Normln"/>
    <w:next w:val="Normln"/>
    <w:link w:val="NadpispoznmkyChar"/>
    <w:uiPriority w:val="99"/>
    <w:semiHidden/>
    <w:unhideWhenUsed/>
    <w:rsid w:val="0003148D"/>
    <w:pPr>
      <w:spacing w:line="240" w:lineRule="auto"/>
    </w:pPr>
  </w:style>
  <w:style w:type="character" w:customStyle="1" w:styleId="NadpispoznmkyChar">
    <w:name w:val="Nadpis poznámky Char"/>
    <w:basedOn w:val="Standardnpsmoodstavce"/>
    <w:link w:val="Nadpispoznmky"/>
    <w:uiPriority w:val="99"/>
    <w:semiHidden/>
    <w:rsid w:val="0003148D"/>
  </w:style>
  <w:style w:type="paragraph" w:styleId="Rozloendokumentu">
    <w:name w:val="Document Map"/>
    <w:basedOn w:val="Normln"/>
    <w:link w:val="RozloendokumentuChar"/>
    <w:uiPriority w:val="99"/>
    <w:semiHidden/>
    <w:unhideWhenUsed/>
    <w:rsid w:val="0003148D"/>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3148D"/>
    <w:rPr>
      <w:rFonts w:ascii="Tahoma" w:hAnsi="Tahoma" w:cs="Tahoma"/>
      <w:sz w:val="16"/>
      <w:szCs w:val="16"/>
    </w:rPr>
  </w:style>
  <w:style w:type="paragraph" w:styleId="Normlnweb">
    <w:name w:val="Normal (Web)"/>
    <w:basedOn w:val="Normln"/>
    <w:uiPriority w:val="99"/>
    <w:semiHidden/>
    <w:unhideWhenUsed/>
    <w:rsid w:val="0003148D"/>
    <w:rPr>
      <w:sz w:val="24"/>
      <w:szCs w:val="24"/>
    </w:rPr>
  </w:style>
  <w:style w:type="paragraph" w:styleId="slovanseznam">
    <w:name w:val="List Number"/>
    <w:basedOn w:val="Normln"/>
    <w:uiPriority w:val="99"/>
    <w:semiHidden/>
    <w:unhideWhenUsed/>
    <w:rsid w:val="0003148D"/>
    <w:pPr>
      <w:numPr>
        <w:numId w:val="2"/>
      </w:numPr>
      <w:contextualSpacing/>
    </w:pPr>
  </w:style>
  <w:style w:type="paragraph" w:styleId="slovanseznam2">
    <w:name w:val="List Number 2"/>
    <w:basedOn w:val="Normln"/>
    <w:uiPriority w:val="99"/>
    <w:semiHidden/>
    <w:unhideWhenUsed/>
    <w:rsid w:val="0003148D"/>
    <w:pPr>
      <w:numPr>
        <w:numId w:val="3"/>
      </w:numPr>
      <w:contextualSpacing/>
    </w:pPr>
  </w:style>
  <w:style w:type="paragraph" w:styleId="slovanseznam3">
    <w:name w:val="List Number 3"/>
    <w:basedOn w:val="Normln"/>
    <w:uiPriority w:val="99"/>
    <w:semiHidden/>
    <w:unhideWhenUsed/>
    <w:rsid w:val="0003148D"/>
    <w:pPr>
      <w:numPr>
        <w:numId w:val="4"/>
      </w:numPr>
      <w:contextualSpacing/>
    </w:pPr>
  </w:style>
  <w:style w:type="paragraph" w:styleId="slovanseznam4">
    <w:name w:val="List Number 4"/>
    <w:basedOn w:val="Normln"/>
    <w:uiPriority w:val="99"/>
    <w:semiHidden/>
    <w:unhideWhenUsed/>
    <w:rsid w:val="0003148D"/>
    <w:pPr>
      <w:numPr>
        <w:numId w:val="5"/>
      </w:numPr>
      <w:contextualSpacing/>
    </w:pPr>
  </w:style>
  <w:style w:type="paragraph" w:styleId="slovanseznam5">
    <w:name w:val="List Number 5"/>
    <w:basedOn w:val="Normln"/>
    <w:uiPriority w:val="99"/>
    <w:semiHidden/>
    <w:unhideWhenUsed/>
    <w:rsid w:val="0003148D"/>
    <w:pPr>
      <w:numPr>
        <w:numId w:val="6"/>
      </w:numPr>
      <w:contextualSpacing/>
    </w:pPr>
  </w:style>
  <w:style w:type="paragraph" w:styleId="FormtovanvHTML">
    <w:name w:val="HTML Preformatted"/>
    <w:basedOn w:val="Normln"/>
    <w:link w:val="FormtovanvHTMLChar"/>
    <w:uiPriority w:val="99"/>
    <w:semiHidden/>
    <w:unhideWhenUsed/>
    <w:rsid w:val="0003148D"/>
    <w:pPr>
      <w:spacing w:line="240" w:lineRule="auto"/>
    </w:pPr>
    <w:rPr>
      <w:rFonts w:ascii="Consolas" w:hAnsi="Consolas" w:cs="Consolas"/>
    </w:rPr>
  </w:style>
  <w:style w:type="character" w:customStyle="1" w:styleId="FormtovanvHTMLChar">
    <w:name w:val="Formátovaný v HTML Char"/>
    <w:basedOn w:val="Standardnpsmoodstavce"/>
    <w:link w:val="FormtovanvHTML"/>
    <w:uiPriority w:val="99"/>
    <w:semiHidden/>
    <w:rsid w:val="0003148D"/>
    <w:rPr>
      <w:rFonts w:ascii="Consolas" w:hAnsi="Consolas" w:cs="Consolas"/>
      <w:sz w:val="20"/>
      <w:szCs w:val="20"/>
    </w:rPr>
  </w:style>
  <w:style w:type="paragraph" w:styleId="Zkladntext-prvnodsazen">
    <w:name w:val="Body Text First Indent"/>
    <w:basedOn w:val="Zkladntext"/>
    <w:link w:val="Zkladntext-prvnodsazenChar"/>
    <w:uiPriority w:val="99"/>
    <w:semiHidden/>
    <w:unhideWhenUsed/>
    <w:rsid w:val="0003148D"/>
    <w:pPr>
      <w:spacing w:after="200"/>
      <w:ind w:firstLine="360"/>
    </w:pPr>
  </w:style>
  <w:style w:type="character" w:customStyle="1" w:styleId="Zkladntext-prvnodsazenChar">
    <w:name w:val="Základní text - první odsazený Char"/>
    <w:basedOn w:val="ZkladntextChar"/>
    <w:link w:val="Zkladntext-prvnodsazen"/>
    <w:uiPriority w:val="99"/>
    <w:semiHidden/>
    <w:rsid w:val="0003148D"/>
  </w:style>
  <w:style w:type="paragraph" w:styleId="Zkladntextodsazen">
    <w:name w:val="Body Text Indent"/>
    <w:basedOn w:val="Normln"/>
    <w:link w:val="ZkladntextodsazenChar"/>
    <w:uiPriority w:val="99"/>
    <w:semiHidden/>
    <w:unhideWhenUsed/>
    <w:rsid w:val="0003148D"/>
    <w:pPr>
      <w:spacing w:after="120"/>
      <w:ind w:left="283"/>
    </w:pPr>
  </w:style>
  <w:style w:type="character" w:customStyle="1" w:styleId="ZkladntextodsazenChar">
    <w:name w:val="Základní text odsazený Char"/>
    <w:basedOn w:val="Standardnpsmoodstavce"/>
    <w:link w:val="Zkladntextodsazen"/>
    <w:uiPriority w:val="99"/>
    <w:semiHidden/>
    <w:rsid w:val="0003148D"/>
  </w:style>
  <w:style w:type="paragraph" w:styleId="Zkladntext-prvnodsazen2">
    <w:name w:val="Body Text First Indent 2"/>
    <w:basedOn w:val="Zkladntextodsazen"/>
    <w:link w:val="Zkladntext-prvnodsazen2Char"/>
    <w:uiPriority w:val="99"/>
    <w:semiHidden/>
    <w:unhideWhenUsed/>
    <w:rsid w:val="0003148D"/>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03148D"/>
  </w:style>
  <w:style w:type="paragraph" w:styleId="Seznamsodrkami">
    <w:name w:val="List Bullet"/>
    <w:basedOn w:val="Normln"/>
    <w:uiPriority w:val="99"/>
    <w:semiHidden/>
    <w:unhideWhenUsed/>
    <w:rsid w:val="0003148D"/>
    <w:pPr>
      <w:numPr>
        <w:numId w:val="7"/>
      </w:numPr>
      <w:contextualSpacing/>
    </w:pPr>
  </w:style>
  <w:style w:type="paragraph" w:styleId="Seznamsodrkami2">
    <w:name w:val="List Bullet 2"/>
    <w:basedOn w:val="Normln"/>
    <w:uiPriority w:val="99"/>
    <w:semiHidden/>
    <w:unhideWhenUsed/>
    <w:rsid w:val="0003148D"/>
    <w:pPr>
      <w:numPr>
        <w:numId w:val="8"/>
      </w:numPr>
      <w:contextualSpacing/>
    </w:pPr>
  </w:style>
  <w:style w:type="paragraph" w:styleId="Seznamsodrkami3">
    <w:name w:val="List Bullet 3"/>
    <w:basedOn w:val="Normln"/>
    <w:uiPriority w:val="99"/>
    <w:semiHidden/>
    <w:unhideWhenUsed/>
    <w:rsid w:val="0003148D"/>
    <w:pPr>
      <w:numPr>
        <w:numId w:val="9"/>
      </w:numPr>
      <w:contextualSpacing/>
    </w:pPr>
  </w:style>
  <w:style w:type="paragraph" w:styleId="Seznamsodrkami4">
    <w:name w:val="List Bullet 4"/>
    <w:basedOn w:val="Normln"/>
    <w:uiPriority w:val="99"/>
    <w:semiHidden/>
    <w:unhideWhenUsed/>
    <w:rsid w:val="0003148D"/>
    <w:pPr>
      <w:numPr>
        <w:numId w:val="10"/>
      </w:numPr>
      <w:contextualSpacing/>
    </w:pPr>
  </w:style>
  <w:style w:type="paragraph" w:styleId="Seznamsodrkami5">
    <w:name w:val="List Bullet 5"/>
    <w:basedOn w:val="Normln"/>
    <w:uiPriority w:val="99"/>
    <w:semiHidden/>
    <w:unhideWhenUsed/>
    <w:rsid w:val="0003148D"/>
    <w:pPr>
      <w:numPr>
        <w:numId w:val="11"/>
      </w:numPr>
      <w:contextualSpacing/>
    </w:pPr>
  </w:style>
  <w:style w:type="paragraph" w:styleId="Zkladntextodsazen2">
    <w:name w:val="Body Text Indent 2"/>
    <w:basedOn w:val="Normln"/>
    <w:link w:val="Zkladntextodsazen2Char"/>
    <w:uiPriority w:val="99"/>
    <w:semiHidden/>
    <w:unhideWhenUsed/>
    <w:rsid w:val="0003148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3148D"/>
  </w:style>
  <w:style w:type="paragraph" w:styleId="Zkladntextodsazen3">
    <w:name w:val="Body Text Indent 3"/>
    <w:basedOn w:val="Normln"/>
    <w:link w:val="Zkladntextodsazen3Char"/>
    <w:uiPriority w:val="99"/>
    <w:semiHidden/>
    <w:unhideWhenUsed/>
    <w:rsid w:val="0003148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3148D"/>
    <w:rPr>
      <w:sz w:val="16"/>
      <w:szCs w:val="16"/>
    </w:rPr>
  </w:style>
  <w:style w:type="paragraph" w:styleId="Normlnodsazen">
    <w:name w:val="Normal Indent"/>
    <w:basedOn w:val="Normln"/>
    <w:uiPriority w:val="99"/>
    <w:semiHidden/>
    <w:unhideWhenUsed/>
    <w:rsid w:val="0003148D"/>
    <w:pPr>
      <w:ind w:left="720"/>
    </w:pPr>
  </w:style>
  <w:style w:type="paragraph" w:styleId="Textkomente">
    <w:name w:val="annotation text"/>
    <w:basedOn w:val="Normln"/>
    <w:link w:val="TextkomenteChar"/>
    <w:uiPriority w:val="99"/>
    <w:unhideWhenUsed/>
    <w:rsid w:val="0003148D"/>
    <w:pPr>
      <w:spacing w:line="240" w:lineRule="auto"/>
    </w:pPr>
  </w:style>
  <w:style w:type="character" w:customStyle="1" w:styleId="TextkomenteChar">
    <w:name w:val="Text komentáře Char"/>
    <w:basedOn w:val="Standardnpsmoodstavce"/>
    <w:link w:val="Textkomente"/>
    <w:uiPriority w:val="99"/>
    <w:rsid w:val="0003148D"/>
    <w:rPr>
      <w:sz w:val="20"/>
      <w:szCs w:val="20"/>
    </w:rPr>
  </w:style>
  <w:style w:type="paragraph" w:styleId="Pedmtkomente">
    <w:name w:val="annotation subject"/>
    <w:basedOn w:val="Textkomente"/>
    <w:next w:val="Textkomente"/>
    <w:link w:val="PedmtkomenteChar"/>
    <w:uiPriority w:val="99"/>
    <w:semiHidden/>
    <w:unhideWhenUsed/>
    <w:rsid w:val="0003148D"/>
    <w:rPr>
      <w:b/>
      <w:bCs/>
    </w:rPr>
  </w:style>
  <w:style w:type="character" w:customStyle="1" w:styleId="PedmtkomenteChar">
    <w:name w:val="Předmět komentáře Char"/>
    <w:basedOn w:val="TextkomenteChar"/>
    <w:link w:val="Pedmtkomente"/>
    <w:uiPriority w:val="99"/>
    <w:semiHidden/>
    <w:rsid w:val="0003148D"/>
    <w:rPr>
      <w:b/>
      <w:bCs/>
      <w:sz w:val="20"/>
      <w:szCs w:val="20"/>
    </w:rPr>
  </w:style>
  <w:style w:type="paragraph" w:styleId="Obsah1">
    <w:name w:val="toc 1"/>
    <w:basedOn w:val="Normln"/>
    <w:next w:val="Normln"/>
    <w:autoRedefine/>
    <w:uiPriority w:val="39"/>
    <w:semiHidden/>
    <w:unhideWhenUsed/>
    <w:rsid w:val="0003148D"/>
    <w:pPr>
      <w:spacing w:after="100"/>
    </w:pPr>
  </w:style>
  <w:style w:type="paragraph" w:styleId="Obsah2">
    <w:name w:val="toc 2"/>
    <w:basedOn w:val="Normln"/>
    <w:next w:val="Normln"/>
    <w:autoRedefine/>
    <w:uiPriority w:val="39"/>
    <w:semiHidden/>
    <w:unhideWhenUsed/>
    <w:rsid w:val="0003148D"/>
    <w:pPr>
      <w:spacing w:after="100"/>
      <w:ind w:left="220"/>
    </w:pPr>
  </w:style>
  <w:style w:type="paragraph" w:styleId="Obsah3">
    <w:name w:val="toc 3"/>
    <w:basedOn w:val="Normln"/>
    <w:next w:val="Normln"/>
    <w:autoRedefine/>
    <w:uiPriority w:val="39"/>
    <w:semiHidden/>
    <w:unhideWhenUsed/>
    <w:rsid w:val="0003148D"/>
    <w:pPr>
      <w:spacing w:after="100"/>
      <w:ind w:left="440"/>
    </w:pPr>
  </w:style>
  <w:style w:type="paragraph" w:styleId="Obsah4">
    <w:name w:val="toc 4"/>
    <w:basedOn w:val="Normln"/>
    <w:next w:val="Normln"/>
    <w:autoRedefine/>
    <w:uiPriority w:val="39"/>
    <w:semiHidden/>
    <w:unhideWhenUsed/>
    <w:rsid w:val="0003148D"/>
    <w:pPr>
      <w:spacing w:after="100"/>
      <w:ind w:left="660"/>
    </w:pPr>
  </w:style>
  <w:style w:type="paragraph" w:styleId="Obsah5">
    <w:name w:val="toc 5"/>
    <w:basedOn w:val="Normln"/>
    <w:next w:val="Normln"/>
    <w:autoRedefine/>
    <w:uiPriority w:val="39"/>
    <w:semiHidden/>
    <w:unhideWhenUsed/>
    <w:rsid w:val="0003148D"/>
    <w:pPr>
      <w:spacing w:after="100"/>
      <w:ind w:left="880"/>
    </w:pPr>
  </w:style>
  <w:style w:type="paragraph" w:styleId="Obsah6">
    <w:name w:val="toc 6"/>
    <w:basedOn w:val="Normln"/>
    <w:next w:val="Normln"/>
    <w:autoRedefine/>
    <w:uiPriority w:val="39"/>
    <w:semiHidden/>
    <w:unhideWhenUsed/>
    <w:rsid w:val="0003148D"/>
    <w:pPr>
      <w:spacing w:after="100"/>
      <w:ind w:left="1100"/>
    </w:pPr>
  </w:style>
  <w:style w:type="paragraph" w:styleId="Obsah7">
    <w:name w:val="toc 7"/>
    <w:basedOn w:val="Normln"/>
    <w:next w:val="Normln"/>
    <w:autoRedefine/>
    <w:uiPriority w:val="39"/>
    <w:semiHidden/>
    <w:unhideWhenUsed/>
    <w:rsid w:val="0003148D"/>
    <w:pPr>
      <w:spacing w:after="100"/>
      <w:ind w:left="1320"/>
    </w:pPr>
  </w:style>
  <w:style w:type="paragraph" w:styleId="Obsah8">
    <w:name w:val="toc 8"/>
    <w:basedOn w:val="Normln"/>
    <w:next w:val="Normln"/>
    <w:autoRedefine/>
    <w:uiPriority w:val="39"/>
    <w:semiHidden/>
    <w:unhideWhenUsed/>
    <w:rsid w:val="0003148D"/>
    <w:pPr>
      <w:spacing w:after="100"/>
      <w:ind w:left="1540"/>
    </w:pPr>
  </w:style>
  <w:style w:type="paragraph" w:styleId="Obsah9">
    <w:name w:val="toc 9"/>
    <w:basedOn w:val="Normln"/>
    <w:next w:val="Normln"/>
    <w:autoRedefine/>
    <w:uiPriority w:val="39"/>
    <w:semiHidden/>
    <w:unhideWhenUsed/>
    <w:rsid w:val="0003148D"/>
    <w:pPr>
      <w:spacing w:after="100"/>
      <w:ind w:left="1760"/>
    </w:pPr>
  </w:style>
  <w:style w:type="paragraph" w:styleId="Textvbloku">
    <w:name w:val="Block Text"/>
    <w:basedOn w:val="Normln"/>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makra">
    <w:name w:val="macro"/>
    <w:link w:val="Textmakra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makraChar">
    <w:name w:val="Text makra Char"/>
    <w:basedOn w:val="Standardnpsmoodstavce"/>
    <w:link w:val="Textmakra"/>
    <w:uiPriority w:val="99"/>
    <w:semiHidden/>
    <w:rsid w:val="0003148D"/>
    <w:rPr>
      <w:rFonts w:ascii="Consolas" w:hAnsi="Consolas" w:cs="Consolas"/>
      <w:sz w:val="20"/>
      <w:szCs w:val="20"/>
    </w:rPr>
  </w:style>
  <w:style w:type="paragraph" w:styleId="Prosttext">
    <w:name w:val="Plain Text"/>
    <w:basedOn w:val="Normln"/>
    <w:link w:val="ProsttextChar"/>
    <w:uiPriority w:val="99"/>
    <w:semiHidden/>
    <w:unhideWhenUsed/>
    <w:rsid w:val="0003148D"/>
    <w:pPr>
      <w:spacing w:line="240" w:lineRule="auto"/>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03148D"/>
    <w:rPr>
      <w:rFonts w:ascii="Consolas" w:hAnsi="Consolas" w:cs="Consolas"/>
      <w:sz w:val="21"/>
      <w:szCs w:val="21"/>
    </w:rPr>
  </w:style>
  <w:style w:type="paragraph" w:styleId="Textpoznpodarou">
    <w:name w:val="footnote text"/>
    <w:basedOn w:val="Normln"/>
    <w:link w:val="TextpoznpodarouChar"/>
    <w:uiPriority w:val="99"/>
    <w:semiHidden/>
    <w:unhideWhenUsed/>
    <w:rsid w:val="0003148D"/>
    <w:pPr>
      <w:spacing w:line="240" w:lineRule="auto"/>
    </w:pPr>
  </w:style>
  <w:style w:type="character" w:customStyle="1" w:styleId="TextpoznpodarouChar">
    <w:name w:val="Text pozn. pod čarou Char"/>
    <w:basedOn w:val="Standardnpsmoodstavce"/>
    <w:link w:val="Textpoznpodarou"/>
    <w:uiPriority w:val="99"/>
    <w:semiHidden/>
    <w:rsid w:val="0003148D"/>
    <w:rPr>
      <w:sz w:val="20"/>
      <w:szCs w:val="20"/>
    </w:rPr>
  </w:style>
  <w:style w:type="paragraph" w:styleId="Textvysvtlivek">
    <w:name w:val="endnote text"/>
    <w:basedOn w:val="Normln"/>
    <w:link w:val="TextvysvtlivekChar"/>
    <w:uiPriority w:val="99"/>
    <w:semiHidden/>
    <w:unhideWhenUsed/>
    <w:rsid w:val="0003148D"/>
    <w:pPr>
      <w:spacing w:line="240" w:lineRule="auto"/>
    </w:pPr>
  </w:style>
  <w:style w:type="character" w:customStyle="1" w:styleId="TextvysvtlivekChar">
    <w:name w:val="Text vysvětlivek Char"/>
    <w:basedOn w:val="Standardnpsmoodstavce"/>
    <w:link w:val="Textvysvtlivek"/>
    <w:uiPriority w:val="99"/>
    <w:semiHidden/>
    <w:rsid w:val="0003148D"/>
    <w:rPr>
      <w:sz w:val="20"/>
      <w:szCs w:val="20"/>
    </w:rPr>
  </w:style>
  <w:style w:type="character" w:customStyle="1" w:styleId="Nadpis1Char">
    <w:name w:val="Nadpis 1 Char"/>
    <w:basedOn w:val="Standardnpsmoodstavce"/>
    <w:link w:val="Nadpis1"/>
    <w:uiPriority w:val="9"/>
    <w:rsid w:val="004F5E36"/>
    <w:rPr>
      <w:rFonts w:ascii="Arial" w:eastAsia="Times New Roman" w:hAnsi="Arial" w:cs="Times New Roman"/>
      <w:b/>
      <w:sz w:val="20"/>
      <w:szCs w:val="20"/>
      <w:lang w:val="en-GB"/>
    </w:rPr>
  </w:style>
  <w:style w:type="character" w:customStyle="1" w:styleId="Nadpis2Char">
    <w:name w:val="Nadpis 2 Char"/>
    <w:basedOn w:val="Standardnpsmoodstavce"/>
    <w:link w:val="Nadpis2"/>
    <w:uiPriority w:val="9"/>
    <w:semiHidden/>
    <w:rsid w:val="0003148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03148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03148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03148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03148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03148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03148D"/>
    <w:rPr>
      <w:rFonts w:asciiTheme="majorHAnsi" w:eastAsiaTheme="majorEastAsia" w:hAnsiTheme="majorHAnsi" w:cstheme="majorBidi"/>
      <w:i/>
      <w:iCs/>
      <w:color w:val="404040" w:themeColor="text1" w:themeTint="BF"/>
      <w:sz w:val="20"/>
      <w:szCs w:val="20"/>
    </w:rPr>
  </w:style>
  <w:style w:type="paragraph" w:styleId="Hlavikarejstku">
    <w:name w:val="index heading"/>
    <w:basedOn w:val="Normln"/>
    <w:next w:val="Rejstk1"/>
    <w:uiPriority w:val="99"/>
    <w:semiHidden/>
    <w:unhideWhenUsed/>
    <w:rsid w:val="0003148D"/>
    <w:rPr>
      <w:rFonts w:asciiTheme="majorHAnsi" w:eastAsiaTheme="majorEastAsia" w:hAnsiTheme="majorHAnsi" w:cstheme="majorBidi"/>
      <w:b/>
      <w:bCs/>
    </w:rPr>
  </w:style>
  <w:style w:type="paragraph" w:styleId="Hlavikaobsahu">
    <w:name w:val="toa heading"/>
    <w:basedOn w:val="Normln"/>
    <w:next w:val="Normln"/>
    <w:uiPriority w:val="99"/>
    <w:semiHidden/>
    <w:unhideWhenUsed/>
    <w:rsid w:val="0003148D"/>
    <w:pPr>
      <w:spacing w:before="120"/>
    </w:pPr>
    <w:rPr>
      <w:rFonts w:asciiTheme="majorHAnsi" w:eastAsiaTheme="majorEastAsia" w:hAnsiTheme="majorHAnsi" w:cstheme="majorBidi"/>
      <w:b/>
      <w:bCs/>
      <w:sz w:val="24"/>
      <w:szCs w:val="24"/>
    </w:rPr>
  </w:style>
  <w:style w:type="paragraph" w:styleId="Nadpisobsahu">
    <w:name w:val="TOC Heading"/>
    <w:basedOn w:val="Nadpis1"/>
    <w:next w:val="Normln"/>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Standardnpsmoodstavce"/>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Zhlav">
    <w:name w:val="header"/>
    <w:basedOn w:val="Normln"/>
    <w:link w:val="ZhlavChar"/>
    <w:uiPriority w:val="99"/>
    <w:unhideWhenUsed/>
    <w:rsid w:val="005278B7"/>
    <w:pPr>
      <w:tabs>
        <w:tab w:val="clear" w:pos="7100"/>
        <w:tab w:val="center" w:pos="4819"/>
        <w:tab w:val="right" w:pos="9638"/>
      </w:tabs>
      <w:spacing w:line="240" w:lineRule="auto"/>
    </w:pPr>
  </w:style>
  <w:style w:type="character" w:customStyle="1" w:styleId="ZhlavChar">
    <w:name w:val="Záhlaví Char"/>
    <w:basedOn w:val="Standardnpsmoodstavce"/>
    <w:link w:val="Zhlav"/>
    <w:uiPriority w:val="99"/>
    <w:rsid w:val="005278B7"/>
    <w:rPr>
      <w:rFonts w:ascii="Arial" w:eastAsia="Times New Roman" w:hAnsi="Arial" w:cs="Times New Roman"/>
      <w:sz w:val="18"/>
      <w:szCs w:val="20"/>
      <w:lang w:val="en-GB"/>
    </w:rPr>
  </w:style>
  <w:style w:type="paragraph" w:styleId="Zpat">
    <w:name w:val="footer"/>
    <w:basedOn w:val="Normln"/>
    <w:link w:val="ZpatChar"/>
    <w:uiPriority w:val="99"/>
    <w:unhideWhenUsed/>
    <w:rsid w:val="005278B7"/>
    <w:pPr>
      <w:tabs>
        <w:tab w:val="clear" w:pos="7100"/>
        <w:tab w:val="center" w:pos="4819"/>
        <w:tab w:val="right" w:pos="9638"/>
      </w:tabs>
      <w:spacing w:line="240" w:lineRule="auto"/>
    </w:pPr>
  </w:style>
  <w:style w:type="character" w:customStyle="1" w:styleId="ZpatChar">
    <w:name w:val="Zápatí Char"/>
    <w:basedOn w:val="Standardnpsmoodstavce"/>
    <w:link w:val="Zpat"/>
    <w:uiPriority w:val="99"/>
    <w:rsid w:val="005278B7"/>
    <w:rPr>
      <w:rFonts w:ascii="Arial" w:eastAsia="Times New Roman" w:hAnsi="Arial" w:cs="Times New Roman"/>
      <w:sz w:val="18"/>
      <w:szCs w:val="20"/>
      <w:lang w:val="en-GB"/>
    </w:rPr>
  </w:style>
  <w:style w:type="table" w:styleId="Mkatabulky">
    <w:name w:val="Table Grid"/>
    <w:basedOn w:val="Normlntabulka"/>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04C62"/>
    <w:rPr>
      <w:color w:val="0000FF" w:themeColor="hyperlink"/>
      <w:u w:val="single"/>
    </w:rPr>
  </w:style>
  <w:style w:type="character" w:customStyle="1" w:styleId="eudoraheader">
    <w:name w:val="eudoraheader"/>
    <w:basedOn w:val="Standardnpsmoodstavce"/>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Odstavecseseznamem">
    <w:name w:val="List Paragraph"/>
    <w:basedOn w:val="Normln"/>
    <w:uiPriority w:val="34"/>
    <w:rsid w:val="00280FAF"/>
    <w:pPr>
      <w:ind w:left="720"/>
      <w:contextualSpacing/>
    </w:pPr>
  </w:style>
  <w:style w:type="character" w:customStyle="1" w:styleId="gmail-apple-converted-space">
    <w:name w:val="gmail-apple-converted-space"/>
    <w:basedOn w:val="Standardnpsmoodstavce"/>
    <w:rsid w:val="00005A19"/>
  </w:style>
  <w:style w:type="character" w:styleId="Nevyeenzmnka">
    <w:name w:val="Unresolved Mention"/>
    <w:basedOn w:val="Standardnpsmoodstavce"/>
    <w:uiPriority w:val="99"/>
    <w:semiHidden/>
    <w:unhideWhenUsed/>
    <w:rsid w:val="00050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4034</Words>
  <Characters>23806</Characters>
  <Application>Microsoft Office Word</Application>
  <DocSecurity>0</DocSecurity>
  <Lines>198</Lines>
  <Paragraphs>55</Paragraphs>
  <ScaleCrop>false</ScaleCrop>
  <HeadingPairs>
    <vt:vector size="6" baseType="variant">
      <vt:variant>
        <vt:lpstr>Název</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Kotek Luboš</cp:lastModifiedBy>
  <cp:revision>86</cp:revision>
  <cp:lastPrinted>2015-05-12T18:31:00Z</cp:lastPrinted>
  <dcterms:created xsi:type="dcterms:W3CDTF">2026-01-26T12:19:00Z</dcterms:created>
  <dcterms:modified xsi:type="dcterms:W3CDTF">2026-03-03T17:17:00Z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