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D2768B" w14:paraId="2A131A54" w14:textId="77777777" w:rsidTr="000234C6">
        <w:trPr>
          <w:trHeight w:val="852"/>
          <w:jc w:val="center"/>
        </w:trPr>
        <w:tc>
          <w:tcPr>
            <w:tcW w:w="6940" w:type="dxa"/>
            <w:vMerge w:val="restart"/>
            <w:tcBorders>
              <w:right w:val="single" w:sz="4" w:space="0" w:color="auto"/>
            </w:tcBorders>
          </w:tcPr>
          <w:p w14:paraId="38C3D2BA" w14:textId="77777777" w:rsidR="000A03B2" w:rsidRPr="00D2768B" w:rsidRDefault="000A03B2" w:rsidP="00DE264A">
            <w:pPr>
              <w:tabs>
                <w:tab w:val="left" w:pos="-108"/>
              </w:tabs>
              <w:ind w:left="-108"/>
              <w:jc w:val="left"/>
              <w:rPr>
                <w:rFonts w:cs="Arial"/>
                <w:b/>
                <w:bCs/>
                <w:i/>
                <w:iCs/>
                <w:color w:val="000066"/>
                <w:sz w:val="12"/>
                <w:szCs w:val="12"/>
                <w:lang w:eastAsia="it-IT"/>
              </w:rPr>
            </w:pPr>
            <w:bookmarkStart w:id="0" w:name="_Hlk145068772"/>
            <w:r w:rsidRPr="00D2768B">
              <w:rPr>
                <w:rFonts w:ascii="AdvP6960" w:hAnsi="AdvP6960" w:cs="AdvP6960"/>
                <w:noProof/>
                <w:color w:val="241F20"/>
                <w:szCs w:val="18"/>
                <w:lang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D2768B">
              <w:rPr>
                <w:rFonts w:ascii="AdvP6960" w:hAnsi="AdvP6960" w:cs="AdvP6960"/>
                <w:color w:val="241F20"/>
                <w:szCs w:val="18"/>
                <w:lang w:eastAsia="it-IT"/>
              </w:rPr>
              <w:t xml:space="preserve"> </w:t>
            </w:r>
            <w:r w:rsidRPr="00D2768B">
              <w:rPr>
                <w:rFonts w:cs="Arial"/>
                <w:b/>
                <w:bCs/>
                <w:i/>
                <w:iCs/>
                <w:color w:val="000066"/>
                <w:sz w:val="24"/>
                <w:szCs w:val="24"/>
                <w:lang w:eastAsia="it-IT"/>
              </w:rPr>
              <w:t>CHEMICAL ENGINEERING</w:t>
            </w:r>
            <w:r w:rsidRPr="00D2768B">
              <w:rPr>
                <w:rFonts w:cs="Arial"/>
                <w:b/>
                <w:bCs/>
                <w:i/>
                <w:iCs/>
                <w:color w:val="0033FF"/>
                <w:sz w:val="24"/>
                <w:szCs w:val="24"/>
                <w:lang w:eastAsia="it-IT"/>
              </w:rPr>
              <w:t xml:space="preserve"> </w:t>
            </w:r>
            <w:r w:rsidRPr="00D2768B">
              <w:rPr>
                <w:rFonts w:cs="Arial"/>
                <w:b/>
                <w:bCs/>
                <w:i/>
                <w:iCs/>
                <w:color w:val="666666"/>
                <w:sz w:val="24"/>
                <w:szCs w:val="24"/>
                <w:lang w:eastAsia="it-IT"/>
              </w:rPr>
              <w:t>TRANSACTIONS</w:t>
            </w:r>
            <w:r w:rsidRPr="00D2768B">
              <w:rPr>
                <w:color w:val="333333"/>
                <w:sz w:val="24"/>
                <w:szCs w:val="24"/>
                <w:lang w:eastAsia="it-IT"/>
              </w:rPr>
              <w:t xml:space="preserve"> </w:t>
            </w:r>
            <w:r w:rsidRPr="00D2768B">
              <w:rPr>
                <w:rFonts w:cs="Arial"/>
                <w:b/>
                <w:bCs/>
                <w:i/>
                <w:iCs/>
                <w:color w:val="000066"/>
                <w:sz w:val="27"/>
                <w:szCs w:val="27"/>
                <w:lang w:eastAsia="it-IT"/>
              </w:rPr>
              <w:br/>
            </w:r>
          </w:p>
          <w:p w14:paraId="4B780582" w14:textId="753620B8" w:rsidR="000A03B2" w:rsidRPr="00D2768B" w:rsidRDefault="00A76EFC" w:rsidP="001D21AF">
            <w:pPr>
              <w:tabs>
                <w:tab w:val="left" w:pos="-108"/>
              </w:tabs>
              <w:ind w:left="-108"/>
              <w:rPr>
                <w:rFonts w:cs="Arial"/>
                <w:b/>
                <w:bCs/>
                <w:i/>
                <w:iCs/>
                <w:color w:val="000066"/>
                <w:sz w:val="22"/>
                <w:szCs w:val="22"/>
                <w:lang w:eastAsia="it-IT"/>
              </w:rPr>
            </w:pPr>
            <w:r w:rsidRPr="00D2768B">
              <w:rPr>
                <w:rFonts w:cs="Arial"/>
                <w:b/>
                <w:bCs/>
                <w:i/>
                <w:iCs/>
                <w:color w:val="000066"/>
                <w:sz w:val="22"/>
                <w:szCs w:val="22"/>
                <w:lang w:eastAsia="it-IT"/>
              </w:rPr>
              <w:t>VOL.</w:t>
            </w:r>
            <w:r w:rsidR="00785BF9" w:rsidRPr="00D2768B">
              <w:rPr>
                <w:rFonts w:cs="Arial"/>
                <w:b/>
                <w:bCs/>
                <w:i/>
                <w:iCs/>
                <w:color w:val="000066"/>
                <w:sz w:val="22"/>
                <w:szCs w:val="22"/>
                <w:lang w:eastAsia="it-IT"/>
              </w:rPr>
              <w:t xml:space="preserve"> </w:t>
            </w:r>
            <w:r w:rsidR="00AD0278" w:rsidRPr="00D2768B">
              <w:rPr>
                <w:rFonts w:cs="Arial"/>
                <w:b/>
                <w:bCs/>
                <w:i/>
                <w:iCs/>
                <w:color w:val="000066"/>
                <w:sz w:val="22"/>
                <w:szCs w:val="22"/>
                <w:lang w:eastAsia="it-IT"/>
              </w:rPr>
              <w:t>xxx</w:t>
            </w:r>
            <w:r w:rsidR="007B48F9" w:rsidRPr="00D2768B">
              <w:rPr>
                <w:rFonts w:cs="Arial"/>
                <w:b/>
                <w:bCs/>
                <w:i/>
                <w:iCs/>
                <w:color w:val="000066"/>
                <w:sz w:val="22"/>
                <w:szCs w:val="22"/>
                <w:lang w:eastAsia="it-IT"/>
              </w:rPr>
              <w:t>,</w:t>
            </w:r>
            <w:r w:rsidR="00FA5F5F" w:rsidRPr="00D2768B">
              <w:rPr>
                <w:rFonts w:cs="Arial"/>
                <w:b/>
                <w:bCs/>
                <w:i/>
                <w:iCs/>
                <w:color w:val="000066"/>
                <w:sz w:val="22"/>
                <w:szCs w:val="22"/>
                <w:lang w:eastAsia="it-IT"/>
              </w:rPr>
              <w:t xml:space="preserve"> </w:t>
            </w:r>
            <w:r w:rsidR="0030152C" w:rsidRPr="00D2768B">
              <w:rPr>
                <w:rFonts w:cs="Arial"/>
                <w:b/>
                <w:bCs/>
                <w:i/>
                <w:iCs/>
                <w:color w:val="000066"/>
                <w:sz w:val="22"/>
                <w:szCs w:val="22"/>
                <w:lang w:eastAsia="it-IT"/>
              </w:rPr>
              <w:t>202</w:t>
            </w:r>
            <w:r w:rsidR="00AD0278" w:rsidRPr="00D2768B">
              <w:rPr>
                <w:rFonts w:cs="Arial"/>
                <w:b/>
                <w:bCs/>
                <w:i/>
                <w:iCs/>
                <w:color w:val="000066"/>
                <w:sz w:val="22"/>
                <w:szCs w:val="22"/>
                <w:lang w:eastAsia="it-IT"/>
              </w:rPr>
              <w:t>6</w:t>
            </w:r>
          </w:p>
        </w:tc>
        <w:tc>
          <w:tcPr>
            <w:tcW w:w="1842" w:type="dxa"/>
            <w:tcBorders>
              <w:left w:val="single" w:sz="4" w:space="0" w:color="auto"/>
              <w:bottom w:val="nil"/>
              <w:right w:val="single" w:sz="4" w:space="0" w:color="auto"/>
            </w:tcBorders>
          </w:tcPr>
          <w:p w14:paraId="56782132" w14:textId="77777777" w:rsidR="000A03B2" w:rsidRPr="00D2768B" w:rsidRDefault="000A03B2" w:rsidP="00CD5FE2">
            <w:pPr>
              <w:spacing w:line="140" w:lineRule="atLeast"/>
              <w:jc w:val="right"/>
              <w:rPr>
                <w:rFonts w:cs="Arial"/>
                <w:sz w:val="14"/>
                <w:szCs w:val="14"/>
              </w:rPr>
            </w:pPr>
            <w:r w:rsidRPr="00D2768B">
              <w:rPr>
                <w:rFonts w:cs="Arial"/>
                <w:sz w:val="14"/>
                <w:szCs w:val="14"/>
              </w:rPr>
              <w:t>A publication of</w:t>
            </w:r>
          </w:p>
          <w:p w14:paraId="599E5441" w14:textId="77777777" w:rsidR="000A03B2" w:rsidRPr="00D2768B" w:rsidRDefault="000A03B2" w:rsidP="00CD5FE2">
            <w:pPr>
              <w:jc w:val="right"/>
            </w:pPr>
            <w:r w:rsidRPr="00D2768B">
              <w:rPr>
                <w:noProof/>
                <w:lang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D2768B" w14:paraId="380FA3CD" w14:textId="77777777" w:rsidTr="000234C6">
        <w:trPr>
          <w:trHeight w:val="567"/>
          <w:jc w:val="center"/>
        </w:trPr>
        <w:tc>
          <w:tcPr>
            <w:tcW w:w="6940" w:type="dxa"/>
            <w:vMerge/>
            <w:tcBorders>
              <w:right w:val="single" w:sz="4" w:space="0" w:color="auto"/>
            </w:tcBorders>
          </w:tcPr>
          <w:p w14:paraId="39E5E4C1" w14:textId="77777777" w:rsidR="000A03B2" w:rsidRPr="00D2768B"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D2768B" w:rsidRDefault="000A03B2" w:rsidP="00CD5FE2">
            <w:pPr>
              <w:spacing w:line="140" w:lineRule="atLeast"/>
              <w:jc w:val="right"/>
              <w:rPr>
                <w:rFonts w:cs="Arial"/>
                <w:sz w:val="14"/>
                <w:szCs w:val="14"/>
              </w:rPr>
            </w:pPr>
            <w:r w:rsidRPr="00D2768B">
              <w:rPr>
                <w:rFonts w:cs="Arial"/>
                <w:sz w:val="14"/>
                <w:szCs w:val="14"/>
              </w:rPr>
              <w:t>The Italian Association</w:t>
            </w:r>
          </w:p>
          <w:p w14:paraId="7522B1D2" w14:textId="77777777" w:rsidR="000A03B2" w:rsidRPr="00D2768B" w:rsidRDefault="000A03B2" w:rsidP="00CD5FE2">
            <w:pPr>
              <w:spacing w:line="140" w:lineRule="atLeast"/>
              <w:jc w:val="right"/>
              <w:rPr>
                <w:rFonts w:cs="Arial"/>
                <w:sz w:val="14"/>
                <w:szCs w:val="14"/>
              </w:rPr>
            </w:pPr>
            <w:r w:rsidRPr="00D2768B">
              <w:rPr>
                <w:rFonts w:cs="Arial"/>
                <w:sz w:val="14"/>
                <w:szCs w:val="14"/>
              </w:rPr>
              <w:t>of Chemical Engineering</w:t>
            </w:r>
          </w:p>
          <w:p w14:paraId="4F0CC5DE" w14:textId="47FDB2FC" w:rsidR="000A03B2" w:rsidRPr="00D2768B" w:rsidRDefault="000D0268" w:rsidP="00CD5FE2">
            <w:pPr>
              <w:spacing w:line="140" w:lineRule="atLeast"/>
              <w:jc w:val="right"/>
              <w:rPr>
                <w:rFonts w:cs="Arial"/>
                <w:sz w:val="13"/>
                <w:szCs w:val="13"/>
              </w:rPr>
            </w:pPr>
            <w:r w:rsidRPr="00D2768B">
              <w:rPr>
                <w:rFonts w:cs="Arial"/>
                <w:sz w:val="13"/>
                <w:szCs w:val="13"/>
              </w:rPr>
              <w:t>Online at www.cetjournal.it</w:t>
            </w:r>
          </w:p>
        </w:tc>
      </w:tr>
      <w:tr w:rsidR="000A03B2" w:rsidRPr="00D2768B" w14:paraId="2D1B7169" w14:textId="77777777" w:rsidTr="000234C6">
        <w:trPr>
          <w:trHeight w:val="68"/>
          <w:jc w:val="center"/>
        </w:trPr>
        <w:tc>
          <w:tcPr>
            <w:tcW w:w="8782" w:type="dxa"/>
            <w:gridSpan w:val="2"/>
          </w:tcPr>
          <w:p w14:paraId="1D8DD3C9" w14:textId="775EC904" w:rsidR="00AA7D26" w:rsidRPr="00D2768B" w:rsidRDefault="004A5E57" w:rsidP="007A6DF8">
            <w:pPr>
              <w:ind w:left="-107"/>
              <w:outlineLvl w:val="2"/>
              <w:rPr>
                <w:rFonts w:ascii="Tahoma" w:hAnsi="Tahoma" w:cs="Tahoma"/>
                <w:color w:val="000000"/>
                <w:sz w:val="14"/>
                <w:szCs w:val="14"/>
                <w:shd w:val="clear" w:color="auto" w:fill="FFFFFF"/>
              </w:rPr>
            </w:pPr>
            <w:r w:rsidRPr="00D2768B">
              <w:rPr>
                <w:rFonts w:ascii="Tahoma" w:hAnsi="Tahoma" w:cs="Tahoma"/>
                <w:iCs/>
                <w:color w:val="333333"/>
                <w:sz w:val="14"/>
                <w:szCs w:val="14"/>
                <w:lang w:eastAsia="it-IT"/>
              </w:rPr>
              <w:t>Guest Editors:</w:t>
            </w:r>
            <w:r w:rsidRPr="00D2768B">
              <w:rPr>
                <w:rFonts w:ascii="Tahoma" w:hAnsi="Tahoma" w:cs="Tahoma"/>
                <w:color w:val="000000"/>
                <w:sz w:val="14"/>
                <w:szCs w:val="14"/>
                <w:shd w:val="clear" w:color="auto" w:fill="FFFFFF"/>
              </w:rPr>
              <w:t xml:space="preserve"> </w:t>
            </w:r>
            <w:r w:rsidR="007A6DF8" w:rsidRPr="00D2768B">
              <w:rPr>
                <w:rFonts w:ascii="Tahoma" w:hAnsi="Tahoma" w:cs="Tahoma"/>
                <w:color w:val="000000"/>
                <w:sz w:val="14"/>
                <w:szCs w:val="14"/>
                <w:shd w:val="clear" w:color="auto" w:fill="FFFFFF"/>
              </w:rPr>
              <w:t xml:space="preserve">Valerio Cozzani, Bruno Fabiano, </w:t>
            </w:r>
            <w:proofErr w:type="spellStart"/>
            <w:r w:rsidR="007A6DF8" w:rsidRPr="00D2768B">
              <w:rPr>
                <w:rFonts w:ascii="Tahoma" w:hAnsi="Tahoma" w:cs="Tahoma"/>
                <w:color w:val="000000"/>
                <w:sz w:val="14"/>
                <w:szCs w:val="14"/>
                <w:shd w:val="clear" w:color="auto" w:fill="FFFFFF"/>
              </w:rPr>
              <w:t>Genserik</w:t>
            </w:r>
            <w:proofErr w:type="spellEnd"/>
            <w:r w:rsidR="007A6DF8" w:rsidRPr="00D2768B">
              <w:rPr>
                <w:rFonts w:ascii="Tahoma" w:hAnsi="Tahoma" w:cs="Tahoma"/>
                <w:color w:val="000000"/>
                <w:sz w:val="14"/>
                <w:szCs w:val="14"/>
                <w:shd w:val="clear" w:color="auto" w:fill="FFFFFF"/>
              </w:rPr>
              <w:t xml:space="preserve"> Reniers</w:t>
            </w:r>
          </w:p>
          <w:p w14:paraId="1B0F1814" w14:textId="710B7B96" w:rsidR="000A03B2" w:rsidRPr="00D2768B" w:rsidRDefault="00AA7D26" w:rsidP="00AA7D26">
            <w:pPr>
              <w:tabs>
                <w:tab w:val="left" w:pos="-108"/>
              </w:tabs>
              <w:spacing w:line="140" w:lineRule="atLeast"/>
              <w:ind w:left="-107"/>
              <w:jc w:val="left"/>
            </w:pPr>
            <w:r w:rsidRPr="00D2768B">
              <w:rPr>
                <w:rFonts w:ascii="Tahoma" w:hAnsi="Tahoma" w:cs="Tahoma"/>
                <w:iCs/>
                <w:color w:val="333333"/>
                <w:sz w:val="14"/>
                <w:szCs w:val="14"/>
                <w:lang w:eastAsia="it-IT"/>
              </w:rPr>
              <w:t>Copyright © 202</w:t>
            </w:r>
            <w:r w:rsidR="00005884" w:rsidRPr="00D2768B">
              <w:rPr>
                <w:rFonts w:ascii="Tahoma" w:hAnsi="Tahoma" w:cs="Tahoma"/>
                <w:iCs/>
                <w:color w:val="333333"/>
                <w:sz w:val="14"/>
                <w:szCs w:val="14"/>
                <w:lang w:eastAsia="it-IT"/>
              </w:rPr>
              <w:t>6</w:t>
            </w:r>
            <w:r w:rsidRPr="00D2768B">
              <w:rPr>
                <w:rFonts w:ascii="Tahoma" w:hAnsi="Tahoma" w:cs="Tahoma"/>
                <w:iCs/>
                <w:color w:val="333333"/>
                <w:sz w:val="14"/>
                <w:szCs w:val="14"/>
                <w:lang w:eastAsia="it-IT"/>
              </w:rPr>
              <w:t xml:space="preserve">, AIDIC Servizi </w:t>
            </w:r>
            <w:proofErr w:type="spellStart"/>
            <w:r w:rsidRPr="00D2768B">
              <w:rPr>
                <w:rFonts w:ascii="Tahoma" w:hAnsi="Tahoma" w:cs="Tahoma"/>
                <w:iCs/>
                <w:color w:val="333333"/>
                <w:sz w:val="14"/>
                <w:szCs w:val="14"/>
                <w:lang w:eastAsia="it-IT"/>
              </w:rPr>
              <w:t>S.r.l</w:t>
            </w:r>
            <w:proofErr w:type="spellEnd"/>
            <w:r w:rsidRPr="00D2768B">
              <w:rPr>
                <w:rFonts w:ascii="Tahoma" w:hAnsi="Tahoma" w:cs="Tahoma"/>
                <w:iCs/>
                <w:color w:val="333333"/>
                <w:sz w:val="14"/>
                <w:szCs w:val="14"/>
                <w:lang w:eastAsia="it-IT"/>
              </w:rPr>
              <w:t>.</w:t>
            </w:r>
            <w:r w:rsidRPr="00D2768B">
              <w:rPr>
                <w:rFonts w:ascii="Tahoma" w:hAnsi="Tahoma" w:cs="Tahoma"/>
                <w:iCs/>
                <w:color w:val="333333"/>
                <w:sz w:val="14"/>
                <w:szCs w:val="14"/>
                <w:lang w:eastAsia="it-IT"/>
              </w:rPr>
              <w:br/>
            </w:r>
            <w:r w:rsidRPr="00D2768B">
              <w:rPr>
                <w:rFonts w:ascii="Tahoma" w:hAnsi="Tahoma" w:cs="Tahoma"/>
                <w:b/>
                <w:iCs/>
                <w:color w:val="000000"/>
                <w:sz w:val="14"/>
                <w:szCs w:val="14"/>
                <w:lang w:eastAsia="it-IT"/>
              </w:rPr>
              <w:t>ISBN</w:t>
            </w:r>
            <w:r w:rsidRPr="00D2768B">
              <w:rPr>
                <w:rFonts w:ascii="Tahoma" w:hAnsi="Tahoma" w:cs="Tahoma"/>
                <w:iCs/>
                <w:color w:val="000000"/>
                <w:sz w:val="14"/>
                <w:szCs w:val="14"/>
                <w:lang w:eastAsia="it-IT"/>
              </w:rPr>
              <w:t xml:space="preserve"> </w:t>
            </w:r>
            <w:r w:rsidR="00D2582C" w:rsidRPr="00D2768B">
              <w:rPr>
                <w:rFonts w:ascii="Tahoma" w:hAnsi="Tahoma" w:cs="Tahoma"/>
                <w:sz w:val="14"/>
                <w:szCs w:val="14"/>
              </w:rPr>
              <w:t>979-12-81206-</w:t>
            </w:r>
            <w:r w:rsidR="00005884" w:rsidRPr="00D2768B">
              <w:rPr>
                <w:rFonts w:ascii="Tahoma" w:hAnsi="Tahoma" w:cs="Tahoma"/>
                <w:sz w:val="14"/>
                <w:szCs w:val="14"/>
              </w:rPr>
              <w:t>xx</w:t>
            </w:r>
            <w:r w:rsidR="009041F8" w:rsidRPr="00D2768B">
              <w:rPr>
                <w:rFonts w:ascii="Tahoma" w:hAnsi="Tahoma" w:cs="Tahoma"/>
                <w:sz w:val="14"/>
                <w:szCs w:val="14"/>
              </w:rPr>
              <w:t>-</w:t>
            </w:r>
            <w:r w:rsidR="00005884" w:rsidRPr="00D2768B">
              <w:rPr>
                <w:rFonts w:ascii="Tahoma" w:hAnsi="Tahoma" w:cs="Tahoma"/>
                <w:sz w:val="14"/>
                <w:szCs w:val="14"/>
              </w:rPr>
              <w:t>x</w:t>
            </w:r>
            <w:r w:rsidRPr="00D2768B">
              <w:rPr>
                <w:rFonts w:ascii="Tahoma" w:hAnsi="Tahoma" w:cs="Tahoma"/>
                <w:iCs/>
                <w:color w:val="333333"/>
                <w:sz w:val="14"/>
                <w:szCs w:val="14"/>
                <w:lang w:eastAsia="it-IT"/>
              </w:rPr>
              <w:t xml:space="preserve">; </w:t>
            </w:r>
            <w:r w:rsidRPr="00D2768B">
              <w:rPr>
                <w:rFonts w:ascii="Tahoma" w:hAnsi="Tahoma" w:cs="Tahoma"/>
                <w:b/>
                <w:iCs/>
                <w:color w:val="333333"/>
                <w:sz w:val="14"/>
                <w:szCs w:val="14"/>
                <w:lang w:eastAsia="it-IT"/>
              </w:rPr>
              <w:t>ISSN</w:t>
            </w:r>
            <w:r w:rsidRPr="00D2768B">
              <w:rPr>
                <w:rFonts w:ascii="Tahoma" w:hAnsi="Tahoma" w:cs="Tahoma"/>
                <w:iCs/>
                <w:color w:val="333333"/>
                <w:sz w:val="14"/>
                <w:szCs w:val="14"/>
                <w:lang w:eastAsia="it-IT"/>
              </w:rPr>
              <w:t xml:space="preserve"> 2283-9216</w:t>
            </w:r>
          </w:p>
        </w:tc>
      </w:tr>
    </w:tbl>
    <w:bookmarkEnd w:id="0"/>
    <w:p w14:paraId="2E667253" w14:textId="27BD8E79" w:rsidR="00E978D0" w:rsidRPr="00D2768B" w:rsidRDefault="000234C6" w:rsidP="00E978D0">
      <w:pPr>
        <w:pStyle w:val="CETTitle"/>
      </w:pPr>
      <w:r w:rsidRPr="00D2768B">
        <w:t xml:space="preserve">Aging Plants: an old problem or a new emergency? </w:t>
      </w:r>
    </w:p>
    <w:p w14:paraId="0488FED2" w14:textId="1BEA281F" w:rsidR="00B57E6F" w:rsidRPr="00D2768B" w:rsidRDefault="007D0769" w:rsidP="00B57E6F">
      <w:pPr>
        <w:pStyle w:val="CETAuthors"/>
      </w:pPr>
      <w:r w:rsidRPr="00D2768B">
        <w:t>Paolo Bragatt</w:t>
      </w:r>
      <w:r w:rsidR="00AD3081" w:rsidRPr="00D2768B">
        <w:t>o</w:t>
      </w:r>
      <w:r w:rsidR="00B57E6F" w:rsidRPr="00D2768B">
        <w:rPr>
          <w:vertAlign w:val="superscript"/>
        </w:rPr>
        <w:t>a</w:t>
      </w:r>
      <w:r w:rsidR="006C551E" w:rsidRPr="00D2768B">
        <w:t>*</w:t>
      </w:r>
      <w:r w:rsidR="00B57E6F" w:rsidRPr="00D2768B">
        <w:t xml:space="preserve">, </w:t>
      </w:r>
      <w:r w:rsidR="005679E2" w:rsidRPr="00D2768B">
        <w:t>Maria Francesca Milazzo</w:t>
      </w:r>
      <w:r w:rsidR="00B57E6F" w:rsidRPr="00D2768B">
        <w:rPr>
          <w:vertAlign w:val="superscript"/>
        </w:rPr>
        <w:t>b</w:t>
      </w:r>
    </w:p>
    <w:p w14:paraId="6B2D21B3" w14:textId="13E95CEB" w:rsidR="00B57E6F" w:rsidRPr="00D2768B" w:rsidRDefault="00B57E6F" w:rsidP="00B57E6F">
      <w:pPr>
        <w:pStyle w:val="CETAddress"/>
      </w:pPr>
      <w:r w:rsidRPr="00D2768B">
        <w:rPr>
          <w:vertAlign w:val="superscript"/>
        </w:rPr>
        <w:t>a</w:t>
      </w:r>
      <w:r w:rsidR="001A1E75" w:rsidRPr="00D2768B">
        <w:t>Università Campus Bio-Medico</w:t>
      </w:r>
      <w:r w:rsidR="0066538F" w:rsidRPr="00D2768B">
        <w:t>,</w:t>
      </w:r>
      <w:r w:rsidR="00B921CF" w:rsidRPr="00D2768B">
        <w:t xml:space="preserve"> Facoltà Dipartimentale di Ingegneria</w:t>
      </w:r>
      <w:r w:rsidR="000C683E" w:rsidRPr="00D2768B">
        <w:t>,</w:t>
      </w:r>
      <w:r w:rsidR="00B921CF" w:rsidRPr="00D2768B">
        <w:t xml:space="preserve"> </w:t>
      </w:r>
      <w:r w:rsidR="000C683E" w:rsidRPr="00D2768B">
        <w:t>via Àlvaro del Portillo,</w:t>
      </w:r>
      <w:r w:rsidR="004277AC" w:rsidRPr="00D2768B">
        <w:t xml:space="preserve"> 21 - 00128</w:t>
      </w:r>
      <w:r w:rsidR="000C683E" w:rsidRPr="00D2768B">
        <w:t xml:space="preserve"> </w:t>
      </w:r>
      <w:r w:rsidR="00B921CF" w:rsidRPr="00D2768B">
        <w:t xml:space="preserve">Roma </w:t>
      </w:r>
    </w:p>
    <w:p w14:paraId="3D72B0B0" w14:textId="031C3231" w:rsidR="00B57E6F" w:rsidRPr="00D2768B" w:rsidRDefault="00B57E6F" w:rsidP="00B57E6F">
      <w:pPr>
        <w:pStyle w:val="CETAddress"/>
      </w:pPr>
      <w:r w:rsidRPr="00D2768B">
        <w:rPr>
          <w:vertAlign w:val="superscript"/>
        </w:rPr>
        <w:t>b</w:t>
      </w:r>
      <w:r w:rsidR="006F548B" w:rsidRPr="00D2768B">
        <w:t>Univeristà di Messina</w:t>
      </w:r>
      <w:r w:rsidR="000C683E" w:rsidRPr="00D2768B">
        <w:t>,</w:t>
      </w:r>
      <w:r w:rsidR="006F548B" w:rsidRPr="00D2768B">
        <w:t xml:space="preserve"> Dipartimento di Ingegneria</w:t>
      </w:r>
      <w:r w:rsidR="000C683E" w:rsidRPr="00D2768B">
        <w:t>, C.da di Dio</w:t>
      </w:r>
      <w:r w:rsidR="003B2513" w:rsidRPr="00D2768B">
        <w:t xml:space="preserve"> - 98158 </w:t>
      </w:r>
      <w:r w:rsidR="000C683E" w:rsidRPr="00D2768B">
        <w:t>S.Agata</w:t>
      </w:r>
      <w:r w:rsidR="00815C06" w:rsidRPr="00D2768B">
        <w:t>,</w:t>
      </w:r>
      <w:r w:rsidR="000C683E" w:rsidRPr="00D2768B">
        <w:t xml:space="preserve"> </w:t>
      </w:r>
      <w:r w:rsidR="00815C06" w:rsidRPr="00D2768B">
        <w:t>Messina</w:t>
      </w:r>
    </w:p>
    <w:p w14:paraId="73F1267A" w14:textId="51A6353E" w:rsidR="00B57E6F" w:rsidRPr="00D2768B" w:rsidRDefault="00B57E6F" w:rsidP="00B57E6F">
      <w:pPr>
        <w:pStyle w:val="CETemail"/>
      </w:pPr>
      <w:r w:rsidRPr="00D2768B">
        <w:t xml:space="preserve"> </w:t>
      </w:r>
      <w:r w:rsidR="006C551E" w:rsidRPr="00D2768B">
        <w:t>*</w:t>
      </w:r>
      <w:r w:rsidR="00F83F70" w:rsidRPr="00D2768B">
        <w:t>p.bragattop</w:t>
      </w:r>
      <w:r w:rsidRPr="00D2768B">
        <w:t>@</w:t>
      </w:r>
      <w:r w:rsidR="00F83F70" w:rsidRPr="00D2768B">
        <w:t>unica</w:t>
      </w:r>
      <w:r w:rsidR="00A06A39" w:rsidRPr="00D2768B">
        <w:t>m</w:t>
      </w:r>
      <w:r w:rsidR="00F83F70" w:rsidRPr="00D2768B">
        <w:t>pus.it</w:t>
      </w:r>
      <w:r w:rsidRPr="00D2768B">
        <w:t xml:space="preserve"> </w:t>
      </w:r>
    </w:p>
    <w:p w14:paraId="793D9221" w14:textId="740D5285" w:rsidR="00297C94" w:rsidRPr="00D2768B" w:rsidRDefault="00297C94" w:rsidP="00297C94">
      <w:pPr>
        <w:pStyle w:val="CETBodytext"/>
        <w:rPr>
          <w:lang w:val="en-GB"/>
        </w:rPr>
      </w:pPr>
      <w:r w:rsidRPr="00D2768B">
        <w:rPr>
          <w:lang w:val="en-GB"/>
        </w:rPr>
        <w:t>Aging includes physical degradation, technological obsolescence, and organizational aging. Driven by energy and digital transitions, rapid innovation renders processes, products, materials, equipment, and organizations obsolete, worsening degradation</w:t>
      </w:r>
      <w:r w:rsidR="00AA4B83" w:rsidRPr="00D2768B">
        <w:rPr>
          <w:lang w:val="en-GB"/>
        </w:rPr>
        <w:t xml:space="preserve"> and determining</w:t>
      </w:r>
      <w:r w:rsidRPr="00D2768B">
        <w:rPr>
          <w:lang w:val="en-GB"/>
        </w:rPr>
        <w:t xml:space="preserve"> material damage, integrity loss, and reduced functionality. This </w:t>
      </w:r>
      <w:r w:rsidR="00AA4B83" w:rsidRPr="00D2768B">
        <w:rPr>
          <w:lang w:val="en-GB"/>
        </w:rPr>
        <w:t>increases</w:t>
      </w:r>
      <w:r w:rsidRPr="00D2768B">
        <w:rPr>
          <w:lang w:val="en-GB"/>
        </w:rPr>
        <w:t xml:space="preserve"> failures, service disruptions, workplace accidents, and major incidents. Th</w:t>
      </w:r>
      <w:r w:rsidR="00AA4B83" w:rsidRPr="00D2768B">
        <w:rPr>
          <w:lang w:val="en-GB"/>
        </w:rPr>
        <w:t>is</w:t>
      </w:r>
      <w:r w:rsidRPr="00D2768B">
        <w:rPr>
          <w:lang w:val="en-GB"/>
        </w:rPr>
        <w:t xml:space="preserve"> work seeks to bridge knowledge gaps on aging, explore complex emerging risks, and create management strategies </w:t>
      </w:r>
      <w:r w:rsidR="00AA4B83" w:rsidRPr="00D2768B">
        <w:rPr>
          <w:lang w:val="en-GB"/>
        </w:rPr>
        <w:t xml:space="preserve">for </w:t>
      </w:r>
      <w:r w:rsidRPr="00D2768B">
        <w:rPr>
          <w:lang w:val="en-GB"/>
        </w:rPr>
        <w:t>these transitions.</w:t>
      </w:r>
    </w:p>
    <w:p w14:paraId="4F1186D5" w14:textId="128A9C75" w:rsidR="00203710" w:rsidRPr="00D2768B" w:rsidRDefault="00600535" w:rsidP="0050271B">
      <w:pPr>
        <w:pStyle w:val="CETHeading1"/>
        <w:rPr>
          <w:lang w:val="en-GB"/>
        </w:rPr>
      </w:pPr>
      <w:r w:rsidRPr="00D2768B">
        <w:rPr>
          <w:lang w:val="en-GB"/>
        </w:rPr>
        <w:t>Introduction</w:t>
      </w:r>
    </w:p>
    <w:p w14:paraId="21B9A280" w14:textId="1C3984FA" w:rsidR="007D0951" w:rsidRPr="00D2768B" w:rsidRDefault="00D70F17" w:rsidP="00203710">
      <w:pPr>
        <w:pStyle w:val="CETBodytext"/>
        <w:rPr>
          <w:lang w:val="en-GB"/>
        </w:rPr>
      </w:pPr>
      <w:r w:rsidRPr="00D2768B">
        <w:rPr>
          <w:lang w:val="en-GB"/>
        </w:rPr>
        <w:t xml:space="preserve">The importance </w:t>
      </w:r>
      <w:r w:rsidRPr="00D2768B">
        <w:rPr>
          <w:rStyle w:val="CETBodytextCarattere"/>
          <w:lang w:val="en-GB"/>
        </w:rPr>
        <w:t>of managing the equipment</w:t>
      </w:r>
      <w:r w:rsidR="00AA4B83" w:rsidRPr="00D2768B">
        <w:rPr>
          <w:rStyle w:val="CETBodytextCarattere"/>
          <w:lang w:val="en-GB"/>
        </w:rPr>
        <w:t xml:space="preserve"> aging</w:t>
      </w:r>
      <w:r w:rsidRPr="00D2768B">
        <w:rPr>
          <w:rStyle w:val="CETBodytextCarattere"/>
          <w:lang w:val="en-GB"/>
        </w:rPr>
        <w:t xml:space="preserve"> for the purpose of controlling the major accident hazard has been known for at least two decades. There have been numerous studies on accidents caused by the aging, as well as various methods to control the risks associated with </w:t>
      </w:r>
      <w:r w:rsidR="00AA4B83" w:rsidRPr="00D2768B">
        <w:rPr>
          <w:rStyle w:val="CETBodytextCarattere"/>
          <w:lang w:val="en-GB"/>
        </w:rPr>
        <w:t xml:space="preserve">the phenomenon </w:t>
      </w:r>
      <w:r w:rsidRPr="00D2768B">
        <w:rPr>
          <w:rStyle w:val="CETBodytextCarattere"/>
          <w:lang w:val="en-GB"/>
        </w:rPr>
        <w:t>(Wood et al. 2013; Vitale et al. 2024). The European Directive Seveso III</w:t>
      </w:r>
      <w:r w:rsidRPr="00D2768B">
        <w:rPr>
          <w:lang w:val="en-GB"/>
        </w:rPr>
        <w:t xml:space="preserve"> of 2012 had</w:t>
      </w:r>
      <w:r w:rsidR="008E5A38" w:rsidRPr="00D2768B">
        <w:rPr>
          <w:lang w:val="en-GB"/>
        </w:rPr>
        <w:t>,</w:t>
      </w:r>
      <w:r w:rsidRPr="00D2768B">
        <w:rPr>
          <w:lang w:val="en-GB"/>
        </w:rPr>
        <w:t xml:space="preserve"> at the time</w:t>
      </w:r>
      <w:r w:rsidR="008E5A38" w:rsidRPr="00D2768B">
        <w:rPr>
          <w:lang w:val="en-GB"/>
        </w:rPr>
        <w:t>,</w:t>
      </w:r>
      <w:r w:rsidRPr="00D2768B">
        <w:rPr>
          <w:lang w:val="en-GB"/>
        </w:rPr>
        <w:t xml:space="preserve"> recognized the problem, in</w:t>
      </w:r>
      <w:r w:rsidR="00D71F84" w:rsidRPr="00D2768B">
        <w:rPr>
          <w:lang w:val="en-GB"/>
        </w:rPr>
        <w:t>clud</w:t>
      </w:r>
      <w:r w:rsidRPr="00D2768B">
        <w:rPr>
          <w:lang w:val="en-GB"/>
        </w:rPr>
        <w:t xml:space="preserve">ing the obligation to implement </w:t>
      </w:r>
      <w:r w:rsidR="000C35A5" w:rsidRPr="00D2768B">
        <w:rPr>
          <w:lang w:val="en-GB"/>
        </w:rPr>
        <w:t>a plan</w:t>
      </w:r>
      <w:r w:rsidRPr="00D2768B">
        <w:rPr>
          <w:lang w:val="en-GB"/>
        </w:rPr>
        <w:t xml:space="preserve"> to </w:t>
      </w:r>
      <w:r w:rsidR="00AA2969" w:rsidRPr="00D2768B">
        <w:rPr>
          <w:lang w:val="en-GB"/>
        </w:rPr>
        <w:t>control</w:t>
      </w:r>
      <w:r w:rsidRPr="00D2768B">
        <w:rPr>
          <w:lang w:val="en-GB"/>
        </w:rPr>
        <w:t xml:space="preserve"> aging </w:t>
      </w:r>
      <w:r w:rsidR="00AA2969" w:rsidRPr="00D2768B">
        <w:rPr>
          <w:lang w:val="en-GB"/>
        </w:rPr>
        <w:t>hazard</w:t>
      </w:r>
      <w:r w:rsidR="000C35A5" w:rsidRPr="00D2768B">
        <w:rPr>
          <w:lang w:val="en-GB"/>
        </w:rPr>
        <w:t xml:space="preserve"> </w:t>
      </w:r>
      <w:r w:rsidR="00AA4B83" w:rsidRPr="00D2768B">
        <w:rPr>
          <w:lang w:val="en-GB"/>
        </w:rPr>
        <w:t xml:space="preserve">for the establishment operator </w:t>
      </w:r>
      <w:r w:rsidRPr="00D2768B">
        <w:rPr>
          <w:lang w:val="en-GB"/>
        </w:rPr>
        <w:t xml:space="preserve">and to verify </w:t>
      </w:r>
      <w:r w:rsidR="000C35A5" w:rsidRPr="00D2768B">
        <w:rPr>
          <w:lang w:val="en-GB"/>
        </w:rPr>
        <w:t xml:space="preserve">its </w:t>
      </w:r>
      <w:r w:rsidRPr="00D2768B">
        <w:rPr>
          <w:lang w:val="en-GB"/>
        </w:rPr>
        <w:t>adequacy</w:t>
      </w:r>
      <w:r w:rsidR="00AA4B83" w:rsidRPr="00D2768B">
        <w:rPr>
          <w:lang w:val="en-GB"/>
        </w:rPr>
        <w:t xml:space="preserve"> for inspectors</w:t>
      </w:r>
      <w:r w:rsidRPr="00D2768B">
        <w:rPr>
          <w:lang w:val="en-GB"/>
        </w:rPr>
        <w:t xml:space="preserve">. The publication of the Directive had stimulated further technical and scientific studies </w:t>
      </w:r>
      <w:r w:rsidR="00AA4B83" w:rsidRPr="00D2768B">
        <w:rPr>
          <w:lang w:val="en-GB"/>
        </w:rPr>
        <w:t>about</w:t>
      </w:r>
      <w:r w:rsidRPr="00D2768B">
        <w:rPr>
          <w:lang w:val="en-GB"/>
        </w:rPr>
        <w:t xml:space="preserve"> th</w:t>
      </w:r>
      <w:r w:rsidR="00AA4B83" w:rsidRPr="00D2768B">
        <w:rPr>
          <w:lang w:val="en-GB"/>
        </w:rPr>
        <w:t>is</w:t>
      </w:r>
      <w:r w:rsidRPr="00D2768B">
        <w:rPr>
          <w:lang w:val="en-GB"/>
        </w:rPr>
        <w:t xml:space="preserve"> issue (Bragatto et al. 2022). The topic seemed to be sufficiently consolidated to be less attractive to scientific discussion. The acceleration of digital transition and energy transition ha</w:t>
      </w:r>
      <w:r w:rsidR="00AA4B83" w:rsidRPr="00D2768B">
        <w:rPr>
          <w:lang w:val="en-GB"/>
        </w:rPr>
        <w:t>s</w:t>
      </w:r>
      <w:r w:rsidRPr="00D2768B">
        <w:rPr>
          <w:lang w:val="en-GB"/>
        </w:rPr>
        <w:t xml:space="preserve">, however, radically changed the context and it is necessary to review the aging problem (Ancione et al. 2024). While until a few years ago the focus was all on the physical degradation of materials, with particular interest </w:t>
      </w:r>
      <w:r w:rsidR="00B21B54" w:rsidRPr="00D2768B">
        <w:rPr>
          <w:lang w:val="en-GB"/>
        </w:rPr>
        <w:t>to</w:t>
      </w:r>
      <w:r w:rsidRPr="00D2768B">
        <w:rPr>
          <w:lang w:val="en-GB"/>
        </w:rPr>
        <w:t xml:space="preserve"> primary containment systems, today the problem </w:t>
      </w:r>
      <w:r w:rsidR="00B21B54" w:rsidRPr="00D2768B">
        <w:rPr>
          <w:lang w:val="en-GB"/>
        </w:rPr>
        <w:t>focuse</w:t>
      </w:r>
      <w:r w:rsidRPr="00D2768B">
        <w:rPr>
          <w:lang w:val="en-GB"/>
        </w:rPr>
        <w:t xml:space="preserve">s on broader aspects, precisely because increasingly rapid innovation corresponds to an equally rapid obsolescence. While physical degradation is associated with well-known and theoretically controllable deterministic mechanisms, the various forms of obsolescence and the effects on risk are lesser-known and studied aspects. The present work aims to deepen the issue of the aging of process plants, paying greater attention to obsolescence, an aspect that, in the process industries, has been neglected until now, compared to the importance of corrosion and other types of degradation. </w:t>
      </w:r>
    </w:p>
    <w:p w14:paraId="255544BC" w14:textId="52BCE2EE" w:rsidR="0089781E" w:rsidRPr="00D2768B" w:rsidRDefault="0089781E" w:rsidP="00726388">
      <w:pPr>
        <w:pStyle w:val="CETHeading1"/>
        <w:rPr>
          <w:lang w:val="en-GB"/>
        </w:rPr>
      </w:pPr>
      <w:r w:rsidRPr="00D2768B">
        <w:rPr>
          <w:lang w:val="en-GB"/>
        </w:rPr>
        <w:t>Different aspects of aging</w:t>
      </w:r>
    </w:p>
    <w:p w14:paraId="09406386" w14:textId="224E90AF" w:rsidR="00453E24" w:rsidRPr="00D2768B" w:rsidRDefault="00D23C90" w:rsidP="00453E24">
      <w:pPr>
        <w:pStyle w:val="CETBodytext"/>
        <w:rPr>
          <w:lang w:val="en-GB"/>
        </w:rPr>
      </w:pPr>
      <w:r w:rsidRPr="00D2768B">
        <w:rPr>
          <w:lang w:val="en-GB"/>
        </w:rPr>
        <w:t>In the process industries the aging issue has been a major concern for almost two decades. Aging is an umbrella term, which includes material degradation, obsolescence, and organizational aging (Petterson &amp; Simola 2006)</w:t>
      </w:r>
      <w:r w:rsidR="00C72B05" w:rsidRPr="00D2768B">
        <w:rPr>
          <w:lang w:val="en-GB"/>
        </w:rPr>
        <w:t xml:space="preserve">; these aspects are described </w:t>
      </w:r>
      <w:r w:rsidR="00532D52" w:rsidRPr="00D2768B">
        <w:rPr>
          <w:lang w:val="en-GB"/>
        </w:rPr>
        <w:t>below.</w:t>
      </w:r>
    </w:p>
    <w:p w14:paraId="0636B784" w14:textId="5910B9F6" w:rsidR="00453E24" w:rsidRPr="00D2768B" w:rsidRDefault="00A92EB8" w:rsidP="00BC3077">
      <w:pPr>
        <w:pStyle w:val="CETheadingx"/>
      </w:pPr>
      <w:r w:rsidRPr="00D2768B">
        <w:t>Material degradation</w:t>
      </w:r>
    </w:p>
    <w:p w14:paraId="7C2B0064" w14:textId="06CB5264" w:rsidR="00453E24" w:rsidRPr="00D2768B" w:rsidRDefault="00426E85" w:rsidP="00453E24">
      <w:pPr>
        <w:pStyle w:val="CETBodytext"/>
        <w:rPr>
          <w:lang w:val="en-GB"/>
        </w:rPr>
      </w:pPr>
      <w:r w:rsidRPr="00D2768B">
        <w:rPr>
          <w:lang w:val="en-GB"/>
        </w:rPr>
        <w:t xml:space="preserve">Material degradation refers </w:t>
      </w:r>
      <w:r w:rsidR="00C72B05" w:rsidRPr="00D2768B">
        <w:rPr>
          <w:lang w:val="en-GB"/>
        </w:rPr>
        <w:t>to the change of</w:t>
      </w:r>
      <w:r w:rsidRPr="00D2768B">
        <w:rPr>
          <w:lang w:val="en-GB"/>
        </w:rPr>
        <w:t xml:space="preserve"> physical, chemical and mechanical properties over time due to various mechanisms, including wear, fatigue, erosion, corrosion, and creep. </w:t>
      </w:r>
      <w:r w:rsidR="00C72B05" w:rsidRPr="00D2768B">
        <w:rPr>
          <w:lang w:val="en-GB"/>
        </w:rPr>
        <w:t>By referring to</w:t>
      </w:r>
      <w:r w:rsidRPr="00D2768B">
        <w:rPr>
          <w:lang w:val="en-GB"/>
        </w:rPr>
        <w:t xml:space="preserve"> in oil sector, 66 </w:t>
      </w:r>
      <w:r w:rsidR="00F60718" w:rsidRPr="00D2768B">
        <w:rPr>
          <w:lang w:val="en-GB"/>
        </w:rPr>
        <w:t xml:space="preserve">major </w:t>
      </w:r>
      <w:r w:rsidRPr="00D2768B">
        <w:rPr>
          <w:lang w:val="en-GB"/>
        </w:rPr>
        <w:t xml:space="preserve">types of </w:t>
      </w:r>
      <w:r w:rsidR="00E618A2" w:rsidRPr="00D2768B">
        <w:rPr>
          <w:lang w:val="en-GB"/>
        </w:rPr>
        <w:t xml:space="preserve">different </w:t>
      </w:r>
      <w:r w:rsidRPr="00D2768B">
        <w:rPr>
          <w:lang w:val="en-GB"/>
        </w:rPr>
        <w:t>degradation mechanisms that afflict primary containment systems have been classified. In other industries there are also other types of deterioration due to the different chemicals used and the operating parameters (e.g. pressure, temperature). Degradation can also be accelerated by natural phenomena (e.g. earthquakes,</w:t>
      </w:r>
      <w:r w:rsidR="007D0E3D" w:rsidRPr="00D2768B">
        <w:rPr>
          <w:lang w:val="en-GB"/>
        </w:rPr>
        <w:t xml:space="preserve"> lightning</w:t>
      </w:r>
      <w:r w:rsidRPr="00D2768B">
        <w:rPr>
          <w:lang w:val="en-GB"/>
        </w:rPr>
        <w:t>) and minor incidents (e.g. shocks, overheating). Degradation results in failures and ruptures of technical systems, which, in turn, could trigger accidents, with possible severe consequences for work</w:t>
      </w:r>
      <w:r w:rsidR="00DF0AF3" w:rsidRPr="00D2768B">
        <w:rPr>
          <w:lang w:val="en-GB"/>
        </w:rPr>
        <w:t>er</w:t>
      </w:r>
      <w:r w:rsidRPr="00D2768B">
        <w:rPr>
          <w:lang w:val="en-GB"/>
        </w:rPr>
        <w:t xml:space="preserve">s, assets and environment. To control the degradation of containment system, advanced techniques were </w:t>
      </w:r>
      <w:r w:rsidRPr="00D2768B">
        <w:rPr>
          <w:lang w:val="en-GB"/>
        </w:rPr>
        <w:lastRenderedPageBreak/>
        <w:t xml:space="preserve">developed </w:t>
      </w:r>
      <w:r w:rsidR="00CC49E5" w:rsidRPr="00D2768B">
        <w:rPr>
          <w:lang w:val="en-GB"/>
        </w:rPr>
        <w:t>over</w:t>
      </w:r>
      <w:r w:rsidRPr="00D2768B">
        <w:rPr>
          <w:lang w:val="en-GB"/>
        </w:rPr>
        <w:t xml:space="preserve"> the years, including risk-based inspection</w:t>
      </w:r>
      <w:r w:rsidR="009E7B00" w:rsidRPr="00D2768B">
        <w:rPr>
          <w:lang w:val="en-GB"/>
        </w:rPr>
        <w:t xml:space="preserve"> (</w:t>
      </w:r>
      <w:r w:rsidRPr="00D2768B">
        <w:rPr>
          <w:lang w:val="en-GB"/>
        </w:rPr>
        <w:t>RBI</w:t>
      </w:r>
      <w:r w:rsidR="009E7B00" w:rsidRPr="00D2768B">
        <w:rPr>
          <w:lang w:val="en-GB"/>
        </w:rPr>
        <w:t>)</w:t>
      </w:r>
      <w:r w:rsidRPr="00D2768B">
        <w:rPr>
          <w:lang w:val="en-GB"/>
        </w:rPr>
        <w:t xml:space="preserve">. </w:t>
      </w:r>
      <w:r w:rsidR="00AD6B45" w:rsidRPr="00D2768B">
        <w:rPr>
          <w:lang w:val="en-GB"/>
        </w:rPr>
        <w:t>It</w:t>
      </w:r>
      <w:r w:rsidRPr="00D2768B">
        <w:rPr>
          <w:lang w:val="en-GB"/>
        </w:rPr>
        <w:t xml:space="preserve"> is based on t</w:t>
      </w:r>
      <w:r w:rsidR="00E914CF" w:rsidRPr="00D2768B">
        <w:rPr>
          <w:lang w:val="en-GB"/>
        </w:rPr>
        <w:t>h</w:t>
      </w:r>
      <w:r w:rsidRPr="00D2768B">
        <w:rPr>
          <w:lang w:val="en-GB"/>
        </w:rPr>
        <w:t>ree pillars: the sound knowledge of different damage mechanisms affecting materials, the updated and detailed information about equipment history, and the use of the best available inspection techniques. RBI</w:t>
      </w:r>
      <w:r w:rsidR="004460B7" w:rsidRPr="00D2768B">
        <w:rPr>
          <w:lang w:val="en-GB"/>
        </w:rPr>
        <w:t xml:space="preserve"> was </w:t>
      </w:r>
      <w:r w:rsidRPr="00D2768B">
        <w:rPr>
          <w:lang w:val="en-GB"/>
        </w:rPr>
        <w:t xml:space="preserve">developed since the early 2000s by the American Petroleum </w:t>
      </w:r>
      <w:r w:rsidR="00866C65" w:rsidRPr="00D2768B">
        <w:rPr>
          <w:lang w:val="en-GB"/>
        </w:rPr>
        <w:t>Institute,</w:t>
      </w:r>
      <w:r w:rsidR="006130F2" w:rsidRPr="00D2768B">
        <w:rPr>
          <w:lang w:val="en-GB"/>
        </w:rPr>
        <w:t xml:space="preserve"> and</w:t>
      </w:r>
      <w:r w:rsidRPr="00D2768B">
        <w:rPr>
          <w:lang w:val="en-GB"/>
        </w:rPr>
        <w:t xml:space="preserve"> </w:t>
      </w:r>
      <w:r w:rsidR="00061CFB" w:rsidRPr="00D2768B">
        <w:rPr>
          <w:lang w:val="en-GB"/>
        </w:rPr>
        <w:t xml:space="preserve">it is now </w:t>
      </w:r>
      <w:r w:rsidRPr="00D2768B">
        <w:rPr>
          <w:lang w:val="en-GB"/>
        </w:rPr>
        <w:t xml:space="preserve">adopted in </w:t>
      </w:r>
      <w:r w:rsidR="00CC49E5" w:rsidRPr="00D2768B">
        <w:rPr>
          <w:lang w:val="en-GB"/>
        </w:rPr>
        <w:t xml:space="preserve">all </w:t>
      </w:r>
      <w:r w:rsidRPr="00D2768B">
        <w:rPr>
          <w:lang w:val="en-GB"/>
        </w:rPr>
        <w:t>oil and gas industries</w:t>
      </w:r>
      <w:r w:rsidR="00992FAE" w:rsidRPr="00D2768B">
        <w:rPr>
          <w:lang w:val="en-GB"/>
        </w:rPr>
        <w:t xml:space="preserve">. </w:t>
      </w:r>
      <w:r w:rsidRPr="00D2768B">
        <w:rPr>
          <w:lang w:val="en-GB"/>
        </w:rPr>
        <w:t>Even though API documents are focused on primary static containment systems</w:t>
      </w:r>
      <w:r w:rsidR="00992FAE" w:rsidRPr="00D2768B">
        <w:rPr>
          <w:lang w:val="en-GB"/>
        </w:rPr>
        <w:t xml:space="preserve">, </w:t>
      </w:r>
      <w:r w:rsidRPr="00D2768B">
        <w:rPr>
          <w:lang w:val="en-GB"/>
        </w:rPr>
        <w:t xml:space="preserve">many efforts were </w:t>
      </w:r>
      <w:r w:rsidR="004460B7" w:rsidRPr="00D2768B">
        <w:rPr>
          <w:lang w:val="en-GB"/>
        </w:rPr>
        <w:t>made</w:t>
      </w:r>
      <w:r w:rsidRPr="00D2768B">
        <w:rPr>
          <w:lang w:val="en-GB"/>
        </w:rPr>
        <w:t xml:space="preserve"> to extend the scope of RBI to other process industries (e.g. chemical and energy) and other systems (e.g. rotating machinery) (Tomala et al. 2020)</w:t>
      </w:r>
      <w:r w:rsidR="00453E24" w:rsidRPr="00D2768B">
        <w:rPr>
          <w:lang w:val="en-GB"/>
        </w:rPr>
        <w:t>.</w:t>
      </w:r>
    </w:p>
    <w:p w14:paraId="18BAFA6F" w14:textId="4F0FE94F" w:rsidR="00453E24" w:rsidRPr="00D2768B" w:rsidRDefault="00DA5C30" w:rsidP="00BC3077">
      <w:pPr>
        <w:pStyle w:val="CETheadingx"/>
      </w:pPr>
      <w:r w:rsidRPr="00D2768B">
        <w:t>Obsolescence</w:t>
      </w:r>
    </w:p>
    <w:p w14:paraId="5FCC5CC5" w14:textId="52F3A659" w:rsidR="003F7BA1" w:rsidRPr="00D2768B" w:rsidRDefault="004B2AE8" w:rsidP="003F7BA1">
      <w:pPr>
        <w:pStyle w:val="CETBodytext"/>
        <w:rPr>
          <w:lang w:val="en-GB"/>
        </w:rPr>
      </w:pPr>
      <w:r w:rsidRPr="00D2768B">
        <w:rPr>
          <w:lang w:val="en-GB"/>
        </w:rPr>
        <w:t>Obsolescence is another aspect of the aging. It is, basically, the difficulty and even the inability to react to the changes of external context. While physical degradation</w:t>
      </w:r>
      <w:r w:rsidR="00C72B05" w:rsidRPr="00D2768B">
        <w:rPr>
          <w:lang w:val="en-GB"/>
        </w:rPr>
        <w:t xml:space="preserve"> is</w:t>
      </w:r>
      <w:r w:rsidRPr="00D2768B">
        <w:rPr>
          <w:lang w:val="en-GB"/>
        </w:rPr>
        <w:t xml:space="preserve"> </w:t>
      </w:r>
      <w:r w:rsidR="00C72B05" w:rsidRPr="00D2768B">
        <w:rPr>
          <w:lang w:val="en-GB"/>
        </w:rPr>
        <w:t xml:space="preserve">the </w:t>
      </w:r>
      <w:r w:rsidRPr="00D2768B">
        <w:rPr>
          <w:lang w:val="en-GB"/>
        </w:rPr>
        <w:t>result</w:t>
      </w:r>
      <w:r w:rsidR="00C72B05" w:rsidRPr="00D2768B">
        <w:rPr>
          <w:lang w:val="en-GB"/>
        </w:rPr>
        <w:t xml:space="preserve"> of </w:t>
      </w:r>
      <w:r w:rsidRPr="00D2768B">
        <w:rPr>
          <w:lang w:val="en-GB"/>
        </w:rPr>
        <w:t>the slow accumulation of micro damages produced by known and, theoretically, controllable, phenomena, obsolescence is much more rapid, because the emergence of new products, technologies, standards, regulations</w:t>
      </w:r>
      <w:r w:rsidR="005A7835" w:rsidRPr="00D2768B">
        <w:rPr>
          <w:lang w:val="en-GB"/>
        </w:rPr>
        <w:t xml:space="preserve"> and</w:t>
      </w:r>
      <w:r w:rsidRPr="00D2768B">
        <w:rPr>
          <w:lang w:val="en-GB"/>
        </w:rPr>
        <w:t xml:space="preserve"> legislations can make a technical system partially or completely unsuitable to perform its functions, even if it were still in perfect condition. Electrical and electronic systems are prone to various forms of physical degradation, including oxidation, vibration, shock, surge, and overheating, but often obsolescence arrives much before of physical degradation. Digital technologies, including Information </w:t>
      </w:r>
      <w:r w:rsidR="00284162" w:rsidRPr="00D2768B">
        <w:rPr>
          <w:lang w:val="en-GB"/>
        </w:rPr>
        <w:t>T</w:t>
      </w:r>
      <w:r w:rsidRPr="00D2768B">
        <w:rPr>
          <w:lang w:val="en-GB"/>
        </w:rPr>
        <w:t>echnologies</w:t>
      </w:r>
      <w:r w:rsidR="00284162" w:rsidRPr="00D2768B">
        <w:rPr>
          <w:lang w:val="en-GB"/>
        </w:rPr>
        <w:t xml:space="preserve"> IT</w:t>
      </w:r>
      <w:r w:rsidRPr="00D2768B">
        <w:rPr>
          <w:lang w:val="en-GB"/>
        </w:rPr>
        <w:t xml:space="preserve"> and Operating Technologies OT, are less attackable by degradation phenomena, </w:t>
      </w:r>
      <w:r w:rsidR="00511D1C" w:rsidRPr="00D2768B">
        <w:rPr>
          <w:lang w:val="en-GB"/>
        </w:rPr>
        <w:t xml:space="preserve">but </w:t>
      </w:r>
      <w:r w:rsidRPr="00D2768B">
        <w:rPr>
          <w:lang w:val="en-GB"/>
        </w:rPr>
        <w:t>very prone to obsolescence. Obsolescence can be considered, in some way, the dark side of technological innovation, the faster the innovation, the more uncontrollable the obsolescence (</w:t>
      </w:r>
      <w:r w:rsidR="00982C6A" w:rsidRPr="00D2768B">
        <w:rPr>
          <w:lang w:val="en-GB"/>
        </w:rPr>
        <w:t>Luo et al. 2024</w:t>
      </w:r>
      <w:r w:rsidRPr="00D2768B">
        <w:rPr>
          <w:lang w:val="en-GB"/>
        </w:rPr>
        <w:t>)</w:t>
      </w:r>
      <w:r w:rsidR="00883088" w:rsidRPr="00D2768B">
        <w:rPr>
          <w:lang w:val="en-GB"/>
        </w:rPr>
        <w:t>.</w:t>
      </w:r>
      <w:r w:rsidRPr="00D2768B">
        <w:rPr>
          <w:lang w:val="en-GB"/>
        </w:rPr>
        <w:t xml:space="preserve"> </w:t>
      </w:r>
    </w:p>
    <w:p w14:paraId="214DEBEC" w14:textId="68417387" w:rsidR="003F7BA1" w:rsidRPr="00D2768B" w:rsidRDefault="003F7BA1" w:rsidP="00BC3077">
      <w:pPr>
        <w:pStyle w:val="CETheadingx"/>
      </w:pPr>
      <w:r w:rsidRPr="00D2768B">
        <w:t>Organizational Aging</w:t>
      </w:r>
    </w:p>
    <w:p w14:paraId="45608D95" w14:textId="376302FC" w:rsidR="003F7BA1" w:rsidRPr="00D2768B" w:rsidRDefault="003F7BA1" w:rsidP="003F7BA1">
      <w:pPr>
        <w:pStyle w:val="CETBodytext"/>
        <w:rPr>
          <w:lang w:val="en-GB"/>
        </w:rPr>
      </w:pPr>
      <w:r w:rsidRPr="00D2768B">
        <w:rPr>
          <w:lang w:val="en-GB"/>
        </w:rPr>
        <w:t xml:space="preserve">A further aspect of aging mentioned in the literature is the “Organizational Aging”. This term was initially introduced </w:t>
      </w:r>
      <w:r w:rsidR="00B31640" w:rsidRPr="00D2768B">
        <w:rPr>
          <w:lang w:val="en-GB"/>
        </w:rPr>
        <w:t>for</w:t>
      </w:r>
      <w:r w:rsidRPr="00D2768B">
        <w:rPr>
          <w:lang w:val="en-GB"/>
        </w:rPr>
        <w:t xml:space="preserve"> situations in which there is a lack of natural staff turnover, and many figures retire without being able to transfer their skills. More broadly, it is </w:t>
      </w:r>
      <w:r w:rsidR="00B31640" w:rsidRPr="00D2768B">
        <w:rPr>
          <w:lang w:val="en-GB"/>
        </w:rPr>
        <w:t>recognized</w:t>
      </w:r>
      <w:r w:rsidRPr="00D2768B">
        <w:rPr>
          <w:lang w:val="en-GB"/>
        </w:rPr>
        <w:t xml:space="preserve"> that engineering expertise and knowledge is a valuable resource but transfer between generations is endangered by staff cuts, corporate changes and outsourcing (Kamps et al. 2024). In a more general way, organizational ageing is the inability to adapt organizational models, processes and procedures to the changing context. Even knowledge and experience resources, without continuous reviving, can become useless due to changing needs. This phenomenon is analogous to obsolescence, but it affects the intangible layer of the organization, which obviously </w:t>
      </w:r>
      <w:r w:rsidR="00A63239" w:rsidRPr="00D2768B">
        <w:rPr>
          <w:lang w:val="en-GB"/>
        </w:rPr>
        <w:t>does</w:t>
      </w:r>
      <w:r w:rsidRPr="00D2768B">
        <w:rPr>
          <w:lang w:val="en-GB"/>
        </w:rPr>
        <w:t xml:space="preserve"> not undergo a degradation process, but become </w:t>
      </w:r>
      <w:r w:rsidR="0055155B" w:rsidRPr="00D2768B">
        <w:rPr>
          <w:lang w:val="en-GB"/>
        </w:rPr>
        <w:t xml:space="preserve">quickly </w:t>
      </w:r>
      <w:r w:rsidRPr="00D2768B">
        <w:rPr>
          <w:lang w:val="en-GB"/>
        </w:rPr>
        <w:t xml:space="preserve">inadequate to the internal and external context. Organizational aging, at the end, is a particular form of obsolescence, in fact it occurs when the organization, in response to changes in the external context, is unable to adapt models, processes, procedures and resources, making them inadequate to carry out their tasks. </w:t>
      </w:r>
      <w:r w:rsidR="00C1752C" w:rsidRPr="00D2768B">
        <w:rPr>
          <w:lang w:val="en-GB"/>
        </w:rPr>
        <w:t>I</w:t>
      </w:r>
      <w:r w:rsidR="0054155C" w:rsidRPr="00D2768B">
        <w:rPr>
          <w:lang w:val="en-GB"/>
        </w:rPr>
        <w:t>n the continuation of the article</w:t>
      </w:r>
      <w:r w:rsidR="00185B1F" w:rsidRPr="00D2768B">
        <w:rPr>
          <w:lang w:val="en-GB"/>
        </w:rPr>
        <w:t>, instead of organizational aging,</w:t>
      </w:r>
      <w:r w:rsidR="00F41394" w:rsidRPr="00D2768B">
        <w:rPr>
          <w:lang w:val="en-GB"/>
        </w:rPr>
        <w:t xml:space="preserve"> the term </w:t>
      </w:r>
      <w:r w:rsidR="00E602E6" w:rsidRPr="00D2768B">
        <w:rPr>
          <w:lang w:val="en-GB"/>
        </w:rPr>
        <w:t>“</w:t>
      </w:r>
      <w:r w:rsidRPr="00D2768B">
        <w:rPr>
          <w:lang w:val="en-GB"/>
        </w:rPr>
        <w:t>organizational obsolescence</w:t>
      </w:r>
      <w:r w:rsidR="00E602E6" w:rsidRPr="00D2768B">
        <w:rPr>
          <w:lang w:val="en-GB"/>
        </w:rPr>
        <w:t>”</w:t>
      </w:r>
      <w:r w:rsidR="00C714C5" w:rsidRPr="00D2768B">
        <w:rPr>
          <w:lang w:val="en-GB"/>
        </w:rPr>
        <w:t xml:space="preserve"> is always used</w:t>
      </w:r>
      <w:r w:rsidRPr="00D2768B">
        <w:rPr>
          <w:lang w:val="en-GB"/>
        </w:rPr>
        <w:t xml:space="preserve">, </w:t>
      </w:r>
      <w:r w:rsidR="00DE1942" w:rsidRPr="00D2768B">
        <w:rPr>
          <w:lang w:val="en-GB"/>
        </w:rPr>
        <w:t xml:space="preserve">as more adequate </w:t>
      </w:r>
      <w:r w:rsidR="00C714C5" w:rsidRPr="00D2768B">
        <w:rPr>
          <w:lang w:val="en-GB"/>
        </w:rPr>
        <w:t xml:space="preserve">and </w:t>
      </w:r>
      <w:r w:rsidRPr="00D2768B">
        <w:rPr>
          <w:lang w:val="en-GB"/>
        </w:rPr>
        <w:t xml:space="preserve">complementary to </w:t>
      </w:r>
      <w:r w:rsidR="00185B1F" w:rsidRPr="00D2768B">
        <w:rPr>
          <w:lang w:val="en-GB"/>
        </w:rPr>
        <w:t>term “</w:t>
      </w:r>
      <w:r w:rsidRPr="00D2768B">
        <w:rPr>
          <w:lang w:val="en-GB"/>
        </w:rPr>
        <w:t>technological obsolescence</w:t>
      </w:r>
      <w:r w:rsidR="00185B1F" w:rsidRPr="00D2768B">
        <w:rPr>
          <w:lang w:val="en-GB"/>
        </w:rPr>
        <w:t>”</w:t>
      </w:r>
      <w:r w:rsidRPr="00D2768B">
        <w:rPr>
          <w:lang w:val="en-GB"/>
        </w:rPr>
        <w:t>.</w:t>
      </w:r>
      <w:r w:rsidR="001155BE" w:rsidRPr="00D2768B">
        <w:rPr>
          <w:lang w:val="en-GB"/>
        </w:rPr>
        <w:t xml:space="preserve"> </w:t>
      </w:r>
      <w:r w:rsidR="00003C12" w:rsidRPr="00D2768B">
        <w:rPr>
          <w:lang w:val="en-GB"/>
        </w:rPr>
        <w:t xml:space="preserve">Unlike physical degradation, technological and organizational obsolescence has non-linear </w:t>
      </w:r>
      <w:r w:rsidR="005543EE" w:rsidRPr="00D2768B">
        <w:rPr>
          <w:lang w:val="en-GB"/>
        </w:rPr>
        <w:t>behaviour</w:t>
      </w:r>
      <w:r w:rsidR="00003C12" w:rsidRPr="00D2768B">
        <w:rPr>
          <w:lang w:val="en-GB"/>
        </w:rPr>
        <w:t xml:space="preserve"> that </w:t>
      </w:r>
      <w:r w:rsidR="005543EE" w:rsidRPr="00D2768B">
        <w:rPr>
          <w:lang w:val="en-GB"/>
        </w:rPr>
        <w:t>is</w:t>
      </w:r>
      <w:r w:rsidR="00003C12" w:rsidRPr="00D2768B">
        <w:rPr>
          <w:lang w:val="en-GB"/>
        </w:rPr>
        <w:t xml:space="preserve"> </w:t>
      </w:r>
      <w:r w:rsidR="005543EE" w:rsidRPr="00D2768B">
        <w:rPr>
          <w:lang w:val="en-GB"/>
        </w:rPr>
        <w:t>not easy</w:t>
      </w:r>
      <w:r w:rsidR="00003C12" w:rsidRPr="00D2768B">
        <w:rPr>
          <w:lang w:val="en-GB"/>
        </w:rPr>
        <w:t xml:space="preserve"> to control.</w:t>
      </w:r>
    </w:p>
    <w:p w14:paraId="24246698" w14:textId="58F87873" w:rsidR="003F7BA1" w:rsidRPr="00D2768B" w:rsidRDefault="005A7A03" w:rsidP="00BC3077">
      <w:pPr>
        <w:pStyle w:val="CETheadingx"/>
      </w:pPr>
      <w:r w:rsidRPr="00D2768B">
        <w:t>Entanglement</w:t>
      </w:r>
      <w:r w:rsidR="003F7BA1" w:rsidRPr="00D2768B">
        <w:t xml:space="preserve"> between </w:t>
      </w:r>
      <w:r w:rsidR="006722F0" w:rsidRPr="00D2768B">
        <w:t>D</w:t>
      </w:r>
      <w:r w:rsidR="003F7BA1" w:rsidRPr="00D2768B">
        <w:t xml:space="preserve">egradation and </w:t>
      </w:r>
      <w:r w:rsidR="006722F0" w:rsidRPr="00D2768B">
        <w:t>O</w:t>
      </w:r>
      <w:r w:rsidR="003F7BA1" w:rsidRPr="00D2768B">
        <w:t xml:space="preserve">bsolescence </w:t>
      </w:r>
    </w:p>
    <w:p w14:paraId="2380AA6A" w14:textId="625948B4" w:rsidR="003F7BA1" w:rsidRPr="00D2768B" w:rsidRDefault="003F7BA1" w:rsidP="003F7BA1">
      <w:pPr>
        <w:pStyle w:val="CETBodytext"/>
        <w:rPr>
          <w:lang w:val="en-GB"/>
        </w:rPr>
      </w:pPr>
      <w:r w:rsidRPr="00D2768B">
        <w:rPr>
          <w:lang w:val="en-GB"/>
        </w:rPr>
        <w:t xml:space="preserve">Degradation, Technological Obsolescence and Organizational Obsolescence </w:t>
      </w:r>
      <w:r w:rsidR="00D42D4C" w:rsidRPr="00D2768B">
        <w:rPr>
          <w:lang w:val="en-GB"/>
        </w:rPr>
        <w:t>are</w:t>
      </w:r>
      <w:r w:rsidRPr="00D2768B">
        <w:rPr>
          <w:lang w:val="en-GB"/>
        </w:rPr>
        <w:t xml:space="preserve"> </w:t>
      </w:r>
      <w:r w:rsidR="004C37A4" w:rsidRPr="00D2768B">
        <w:rPr>
          <w:lang w:val="en-GB"/>
        </w:rPr>
        <w:t>en</w:t>
      </w:r>
      <w:r w:rsidRPr="00D2768B">
        <w:rPr>
          <w:lang w:val="en-GB"/>
        </w:rPr>
        <w:t xml:space="preserve">tangled in a complex way. To control physical degradation, inspection and maintenance activities requires high performances of technical and organizational resources, which, in turn could be disrupted by </w:t>
      </w:r>
      <w:r w:rsidR="00C86819" w:rsidRPr="00D2768B">
        <w:rPr>
          <w:lang w:val="en-GB"/>
        </w:rPr>
        <w:t xml:space="preserve">technological and organizational </w:t>
      </w:r>
      <w:r w:rsidRPr="00D2768B">
        <w:rPr>
          <w:lang w:val="en-GB"/>
        </w:rPr>
        <w:t>obsolescence. The fact that processes and products do not meet new sustainability criteria reduces market opportunities, profit margins and, ultimately, the resources needed for plant maintenance and renewal. Materials widely used in the past to build critical equipment have proven to be particularly vulnerable to some degradation phenomena in prolonged operation</w:t>
      </w:r>
      <w:r w:rsidR="009955C0" w:rsidRPr="00D2768B">
        <w:rPr>
          <w:lang w:val="en-GB"/>
        </w:rPr>
        <w:t>s</w:t>
      </w:r>
      <w:r w:rsidRPr="00D2768B">
        <w:rPr>
          <w:lang w:val="en-GB"/>
        </w:rPr>
        <w:t xml:space="preserve">. The results of subsequent research have developed </w:t>
      </w:r>
      <w:r w:rsidR="00EB7F4E" w:rsidRPr="00D2768B">
        <w:rPr>
          <w:lang w:val="en-GB"/>
        </w:rPr>
        <w:t>much</w:t>
      </w:r>
      <w:r w:rsidRPr="00D2768B">
        <w:rPr>
          <w:lang w:val="en-GB"/>
        </w:rPr>
        <w:t xml:space="preserve"> more resistant</w:t>
      </w:r>
      <w:r w:rsidR="00EB7F4E" w:rsidRPr="00D2768B">
        <w:rPr>
          <w:lang w:val="en-GB"/>
        </w:rPr>
        <w:t xml:space="preserve"> materials</w:t>
      </w:r>
      <w:r w:rsidRPr="00D2768B">
        <w:rPr>
          <w:lang w:val="en-GB"/>
        </w:rPr>
        <w:t xml:space="preserve">, but the old </w:t>
      </w:r>
      <w:r w:rsidR="001D468D" w:rsidRPr="00D2768B">
        <w:rPr>
          <w:lang w:val="en-GB"/>
        </w:rPr>
        <w:t>one</w:t>
      </w:r>
      <w:r w:rsidRPr="00D2768B">
        <w:rPr>
          <w:lang w:val="en-GB"/>
        </w:rPr>
        <w:t xml:space="preserve">s remain in use, because it is preferred to extend the life of existing equipment and increase operating costs, rather than invest in new plants. That can be defined “material obsolescence”. </w:t>
      </w:r>
    </w:p>
    <w:p w14:paraId="693F6D6E" w14:textId="6D5E6ADD" w:rsidR="003F7BA1" w:rsidRPr="00D2768B" w:rsidRDefault="003F7BA1" w:rsidP="003F7BA1">
      <w:pPr>
        <w:pStyle w:val="CETBodytext"/>
        <w:rPr>
          <w:lang w:val="en-GB"/>
        </w:rPr>
      </w:pPr>
      <w:r w:rsidRPr="00D2768B">
        <w:rPr>
          <w:lang w:val="en-GB"/>
        </w:rPr>
        <w:t xml:space="preserve">A good example of material obsolescence is the issue of “creep” at refineries. Creep is the deformation of a material subjected to constant stress that occurs in materials held for long periods at high temperatures. It is a major concern for the plants operated at high </w:t>
      </w:r>
      <w:r w:rsidR="004B264A" w:rsidRPr="00D2768B">
        <w:rPr>
          <w:lang w:val="en-GB"/>
        </w:rPr>
        <w:t>temperatures</w:t>
      </w:r>
      <w:r w:rsidRPr="00D2768B">
        <w:rPr>
          <w:lang w:val="en-GB"/>
        </w:rPr>
        <w:t xml:space="preserve">. Creep damage is found in high temperature equipment operating above the creep range, it is difficult to detect in advance and can cause catastrophic ruptures, with serious consequences for human life and the environment (Darling et al. 2016, Li et al. 2021).  New alloys high pressure and temperature resistant, were developed as early as the 90s. They include P91, P92, and E911, with a creep rang much higher than traditional material (e.g. carbon steel) and suitable for safe use in refining plants (Ennis et al. 2003). Many previously built plants are, however, still in operation and, consequently, the creep is still a major concern in refineries. </w:t>
      </w:r>
      <w:r w:rsidR="004E0DF2" w:rsidRPr="00D2768B">
        <w:rPr>
          <w:lang w:val="en-GB"/>
        </w:rPr>
        <w:t xml:space="preserve">Even though </w:t>
      </w:r>
      <w:r w:rsidR="00A90380" w:rsidRPr="00D2768B">
        <w:rPr>
          <w:lang w:val="en-GB"/>
        </w:rPr>
        <w:t xml:space="preserve">creep </w:t>
      </w:r>
      <w:r w:rsidR="00D47A8A" w:rsidRPr="00D2768B">
        <w:rPr>
          <w:lang w:val="en-GB"/>
        </w:rPr>
        <w:t xml:space="preserve">and similar issues are </w:t>
      </w:r>
      <w:r w:rsidR="00AC7482" w:rsidRPr="00D2768B">
        <w:rPr>
          <w:lang w:val="en-GB"/>
        </w:rPr>
        <w:t xml:space="preserve">managed </w:t>
      </w:r>
      <w:r w:rsidR="00A90380" w:rsidRPr="00D2768B">
        <w:rPr>
          <w:lang w:val="en-GB"/>
        </w:rPr>
        <w:t>as</w:t>
      </w:r>
      <w:r w:rsidRPr="00D2768B">
        <w:rPr>
          <w:lang w:val="en-GB"/>
        </w:rPr>
        <w:t xml:space="preserve"> physical degradation, </w:t>
      </w:r>
      <w:r w:rsidR="00A90380" w:rsidRPr="00D2768B">
        <w:rPr>
          <w:lang w:val="en-GB"/>
        </w:rPr>
        <w:t>it</w:t>
      </w:r>
      <w:r w:rsidRPr="00D2768B">
        <w:rPr>
          <w:lang w:val="en-GB"/>
        </w:rPr>
        <w:t xml:space="preserve"> cannot be ignored the material obsolescence, which lies. </w:t>
      </w:r>
    </w:p>
    <w:p w14:paraId="0FC62DA8" w14:textId="23175FA4" w:rsidR="00036FBA" w:rsidRPr="00D2768B" w:rsidRDefault="003B1EB0" w:rsidP="00211E08">
      <w:pPr>
        <w:pStyle w:val="CETHeading1"/>
        <w:rPr>
          <w:lang w:val="en-GB"/>
        </w:rPr>
      </w:pPr>
      <w:r w:rsidRPr="00D2768B">
        <w:rPr>
          <w:lang w:val="en-GB"/>
        </w:rPr>
        <w:lastRenderedPageBreak/>
        <w:t xml:space="preserve">Effects of </w:t>
      </w:r>
      <w:r w:rsidR="00036FBA" w:rsidRPr="00D2768B">
        <w:rPr>
          <w:lang w:val="en-GB"/>
        </w:rPr>
        <w:t>Digital Transition, Energy Transition</w:t>
      </w:r>
      <w:r w:rsidRPr="00D2768B">
        <w:rPr>
          <w:lang w:val="en-GB"/>
        </w:rPr>
        <w:t xml:space="preserve"> and </w:t>
      </w:r>
      <w:r w:rsidR="00036FBA" w:rsidRPr="00D2768B">
        <w:rPr>
          <w:lang w:val="en-GB"/>
        </w:rPr>
        <w:t>Climate Change</w:t>
      </w:r>
      <w:r w:rsidRPr="00D2768B">
        <w:rPr>
          <w:lang w:val="en-GB"/>
        </w:rPr>
        <w:t xml:space="preserve"> on Aging </w:t>
      </w:r>
      <w:r w:rsidR="00BD48DB" w:rsidRPr="00D2768B">
        <w:rPr>
          <w:lang w:val="en-GB"/>
        </w:rPr>
        <w:t>Plants.</w:t>
      </w:r>
    </w:p>
    <w:p w14:paraId="1116FECB" w14:textId="13685FE2" w:rsidR="00BA6856" w:rsidRPr="00D2768B" w:rsidRDefault="00BA6856" w:rsidP="00BC3077">
      <w:pPr>
        <w:pStyle w:val="CETheadingx"/>
      </w:pPr>
      <w:r w:rsidRPr="00D2768B">
        <w:t xml:space="preserve">Digital Transition </w:t>
      </w:r>
    </w:p>
    <w:p w14:paraId="3A3962E6" w14:textId="6DFBA4A6" w:rsidR="00BA6856" w:rsidRPr="00D2768B" w:rsidRDefault="00BA6856" w:rsidP="00BA6856">
      <w:pPr>
        <w:pStyle w:val="CETBodytext"/>
        <w:rPr>
          <w:lang w:val="en-GB"/>
        </w:rPr>
      </w:pPr>
      <w:r w:rsidRPr="00D2768B">
        <w:rPr>
          <w:lang w:val="en-GB"/>
        </w:rPr>
        <w:t>Digital transition is very rapidly</w:t>
      </w:r>
      <w:r w:rsidR="009955C0" w:rsidRPr="00D2768B">
        <w:rPr>
          <w:lang w:val="en-GB"/>
        </w:rPr>
        <w:t xml:space="preserve"> and positively</w:t>
      </w:r>
      <w:r w:rsidRPr="00D2768B">
        <w:rPr>
          <w:lang w:val="en-GB"/>
        </w:rPr>
        <w:t xml:space="preserve"> transforming the way </w:t>
      </w:r>
      <w:r w:rsidR="009955C0" w:rsidRPr="00D2768B">
        <w:rPr>
          <w:lang w:val="en-GB"/>
        </w:rPr>
        <w:t>to</w:t>
      </w:r>
      <w:r w:rsidRPr="00D2768B">
        <w:rPr>
          <w:lang w:val="en-GB"/>
        </w:rPr>
        <w:t xml:space="preserve"> work in all fields, but on the other hand it makes obsolete many technologies and competencies still in use in many industrial plants. Many cybersecurity problems, particularly those concerning operational technologies (OT), are related to the fact that the hardware and software systems that control industrial processes, developed many years ago, are now extremely vulnerable to types of external attacks (McLaughlin et al. 2016; Kayan et al. 2021). Modernization and remote management have connected OT to external networks, exposing them to internet-based threats (Aslam et al. 2024). Here too, the problems get tangled, because if the physical degradation </w:t>
      </w:r>
      <w:proofErr w:type="gramStart"/>
      <w:r w:rsidRPr="00D2768B">
        <w:rPr>
          <w:lang w:val="en-GB"/>
        </w:rPr>
        <w:t>are</w:t>
      </w:r>
      <w:proofErr w:type="gramEnd"/>
      <w:r w:rsidRPr="00D2768B">
        <w:rPr>
          <w:lang w:val="en-GB"/>
        </w:rPr>
        <w:t xml:space="preserve"> already at a certain level, the updating of all operational technology can be unsustainable, creating new risk factors. In the Seveso sector, inspectors wh</w:t>
      </w:r>
      <w:r w:rsidR="009955C0" w:rsidRPr="00D2768B">
        <w:rPr>
          <w:lang w:val="en-GB"/>
        </w:rPr>
        <w:t xml:space="preserve">ich </w:t>
      </w:r>
      <w:r w:rsidRPr="00D2768B">
        <w:rPr>
          <w:lang w:val="en-GB"/>
        </w:rPr>
        <w:t>visit industrial plants</w:t>
      </w:r>
      <w:r w:rsidR="009955C0" w:rsidRPr="00D2768B">
        <w:rPr>
          <w:lang w:val="en-GB"/>
        </w:rPr>
        <w:t xml:space="preserve">, in the application of the directive, </w:t>
      </w:r>
      <w:r w:rsidRPr="00D2768B">
        <w:rPr>
          <w:lang w:val="en-GB"/>
        </w:rPr>
        <w:t xml:space="preserve">confirm that aging is one of the emerging risks and should be seen as a combination of physical degradation and technical and </w:t>
      </w:r>
      <w:r w:rsidR="0048196A" w:rsidRPr="00D2768B">
        <w:rPr>
          <w:lang w:val="en-GB"/>
        </w:rPr>
        <w:t>organizational</w:t>
      </w:r>
      <w:r w:rsidRPr="00D2768B">
        <w:rPr>
          <w:lang w:val="en-GB"/>
        </w:rPr>
        <w:t xml:space="preserve"> obsolescence (Kotek et al. 2024). </w:t>
      </w:r>
    </w:p>
    <w:p w14:paraId="4693F163" w14:textId="5208C189" w:rsidR="00BA6856" w:rsidRPr="00D2768B" w:rsidRDefault="00BA6856" w:rsidP="00BC3077">
      <w:pPr>
        <w:pStyle w:val="CETheadingx"/>
      </w:pPr>
      <w:r w:rsidRPr="00D2768B">
        <w:t>Energy Transition</w:t>
      </w:r>
    </w:p>
    <w:p w14:paraId="0F0FCCCC" w14:textId="0B2794D2" w:rsidR="00BA6856" w:rsidRPr="00D2768B" w:rsidRDefault="00BA6856" w:rsidP="00BA6856">
      <w:pPr>
        <w:pStyle w:val="CETBodytext"/>
        <w:rPr>
          <w:lang w:val="en-GB"/>
        </w:rPr>
      </w:pPr>
      <w:r w:rsidRPr="00D2768B">
        <w:rPr>
          <w:lang w:val="en-GB"/>
        </w:rPr>
        <w:t>The energy transition strongly pushes the construction of new plants, in line with the demands for environmental sustainability, but the fossil fuels are expected to be in use for two decades at least (</w:t>
      </w:r>
      <w:proofErr w:type="spellStart"/>
      <w:r w:rsidRPr="00D2768B">
        <w:rPr>
          <w:lang w:val="en-GB"/>
        </w:rPr>
        <w:t>Holenek</w:t>
      </w:r>
      <w:proofErr w:type="spellEnd"/>
      <w:r w:rsidRPr="00D2768B">
        <w:rPr>
          <w:lang w:val="en-GB"/>
        </w:rPr>
        <w:t xml:space="preserve"> at al. 2022). The construction of new plants, based on green technologies, attract</w:t>
      </w:r>
      <w:r w:rsidR="006722F0" w:rsidRPr="00D2768B">
        <w:rPr>
          <w:lang w:val="en-GB"/>
        </w:rPr>
        <w:t>s</w:t>
      </w:r>
      <w:r w:rsidRPr="00D2768B">
        <w:rPr>
          <w:lang w:val="en-GB"/>
        </w:rPr>
        <w:t xml:space="preserve"> most available</w:t>
      </w:r>
      <w:r w:rsidR="00B55DC6" w:rsidRPr="00D2768B">
        <w:rPr>
          <w:lang w:val="en-GB"/>
        </w:rPr>
        <w:t xml:space="preserve"> resources</w:t>
      </w:r>
      <w:r w:rsidR="00090BC2" w:rsidRPr="00D2768B">
        <w:rPr>
          <w:lang w:val="en-GB"/>
        </w:rPr>
        <w:t xml:space="preserve"> (Pla</w:t>
      </w:r>
      <w:r w:rsidR="00A07324" w:rsidRPr="00D2768B">
        <w:rPr>
          <w:lang w:val="en-GB"/>
        </w:rPr>
        <w:t>n</w:t>
      </w:r>
      <w:r w:rsidR="00090BC2" w:rsidRPr="00D2768B">
        <w:rPr>
          <w:lang w:val="en-GB"/>
        </w:rPr>
        <w:t xml:space="preserve">tinga </w:t>
      </w:r>
      <w:r w:rsidR="00A92932" w:rsidRPr="00D2768B">
        <w:rPr>
          <w:lang w:val="en-GB"/>
        </w:rPr>
        <w:t>et al. 2024)</w:t>
      </w:r>
      <w:r w:rsidRPr="00D2768B">
        <w:rPr>
          <w:lang w:val="en-GB"/>
        </w:rPr>
        <w:t xml:space="preserve">, that will imply that the old plants, based on fossil fuels, will continue to be in operation and, without new investment, the problem of aging will become even more pressing. Most oil facilities will soon </w:t>
      </w:r>
      <w:r w:rsidR="008C6C00" w:rsidRPr="00D2768B">
        <w:rPr>
          <w:lang w:val="en-GB"/>
        </w:rPr>
        <w:t>be</w:t>
      </w:r>
      <w:r w:rsidRPr="00D2768B">
        <w:rPr>
          <w:lang w:val="en-GB"/>
        </w:rPr>
        <w:t xml:space="preserve"> in a critical situation</w:t>
      </w:r>
      <w:r w:rsidR="006F0634" w:rsidRPr="00D2768B">
        <w:rPr>
          <w:lang w:val="en-GB"/>
        </w:rPr>
        <w:t xml:space="preserve"> indeed</w:t>
      </w:r>
      <w:r w:rsidRPr="00D2768B">
        <w:rPr>
          <w:lang w:val="en-GB"/>
        </w:rPr>
        <w:t xml:space="preserve">. In fact, they are obsolete because the entire production process from the </w:t>
      </w:r>
      <w:r w:rsidR="006F0634" w:rsidRPr="00D2768B">
        <w:rPr>
          <w:lang w:val="en-GB"/>
        </w:rPr>
        <w:t>feedstock</w:t>
      </w:r>
      <w:r w:rsidRPr="00D2768B">
        <w:rPr>
          <w:lang w:val="en-GB"/>
        </w:rPr>
        <w:t xml:space="preserve"> to the finished product</w:t>
      </w:r>
      <w:r w:rsidR="00CB5122" w:rsidRPr="00D2768B">
        <w:rPr>
          <w:lang w:val="en-GB"/>
        </w:rPr>
        <w:t>s</w:t>
      </w:r>
      <w:r w:rsidRPr="00D2768B">
        <w:rPr>
          <w:lang w:val="en-GB"/>
        </w:rPr>
        <w:t xml:space="preserve"> </w:t>
      </w:r>
      <w:r w:rsidR="00CB5122" w:rsidRPr="00D2768B">
        <w:rPr>
          <w:lang w:val="en-GB"/>
        </w:rPr>
        <w:t>is</w:t>
      </w:r>
      <w:r w:rsidRPr="00D2768B">
        <w:rPr>
          <w:lang w:val="en-GB"/>
        </w:rPr>
        <w:t xml:space="preserve"> no longer compatible with the sustainability objectives set at national and international level. Even if the objectives are not binding constraints, the commitment to achieve them is still binding and therefore must be considered, for example</w:t>
      </w:r>
      <w:r w:rsidR="00176AA2" w:rsidRPr="00D2768B">
        <w:rPr>
          <w:lang w:val="en-GB"/>
        </w:rPr>
        <w:t>,</w:t>
      </w:r>
      <w:r w:rsidRPr="00D2768B">
        <w:rPr>
          <w:lang w:val="en-GB"/>
        </w:rPr>
        <w:t xml:space="preserve"> with a policy of gradual substitution. At the local level, commitments are often strengthened, further increasing the gap between the establishment and the political and social context. Most oil plants are many </w:t>
      </w:r>
      <w:r w:rsidR="00176AA2" w:rsidRPr="00D2768B">
        <w:rPr>
          <w:lang w:val="en-GB"/>
        </w:rPr>
        <w:t xml:space="preserve">decades </w:t>
      </w:r>
      <w:r w:rsidRPr="00D2768B">
        <w:rPr>
          <w:lang w:val="en-GB"/>
        </w:rPr>
        <w:t>old and the technological adaptation, both for the electrical and electronic part and for the mechanical part is very urgent, but m</w:t>
      </w:r>
      <w:r w:rsidR="00ED45F7" w:rsidRPr="00D2768B">
        <w:rPr>
          <w:lang w:val="en-GB"/>
        </w:rPr>
        <w:t>ost executives</w:t>
      </w:r>
      <w:r w:rsidRPr="00D2768B">
        <w:rPr>
          <w:lang w:val="en-GB"/>
        </w:rPr>
        <w:t xml:space="preserve"> tend to procrastinate, because they fear the </w:t>
      </w:r>
      <w:r w:rsidR="00AC0123" w:rsidRPr="00D2768B">
        <w:rPr>
          <w:lang w:val="en-GB"/>
        </w:rPr>
        <w:t xml:space="preserve">remaining </w:t>
      </w:r>
      <w:r w:rsidRPr="00D2768B">
        <w:rPr>
          <w:lang w:val="en-GB"/>
        </w:rPr>
        <w:t xml:space="preserve">plant </w:t>
      </w:r>
      <w:r w:rsidR="00AC0123" w:rsidRPr="00D2768B">
        <w:rPr>
          <w:lang w:val="en-GB"/>
        </w:rPr>
        <w:t>lifetime could be shorter than</w:t>
      </w:r>
      <w:r w:rsidR="00042612" w:rsidRPr="00D2768B">
        <w:rPr>
          <w:lang w:val="en-GB"/>
        </w:rPr>
        <w:t xml:space="preserve"> </w:t>
      </w:r>
      <w:r w:rsidR="00E43B19" w:rsidRPr="00D2768B">
        <w:rPr>
          <w:lang w:val="en-GB"/>
        </w:rPr>
        <w:t>the</w:t>
      </w:r>
      <w:r w:rsidRPr="00D2768B">
        <w:rPr>
          <w:lang w:val="en-GB"/>
        </w:rPr>
        <w:t xml:space="preserve"> return on the investment </w:t>
      </w:r>
      <w:r w:rsidR="00E43B19" w:rsidRPr="00D2768B">
        <w:rPr>
          <w:lang w:val="en-GB"/>
        </w:rPr>
        <w:t>time</w:t>
      </w:r>
      <w:r w:rsidRPr="00D2768B">
        <w:rPr>
          <w:lang w:val="en-GB"/>
        </w:rPr>
        <w:t>. The lack of long-term prospects and investments can also have negative effects on organizational models and outdated procedures, lack of staff turnover with loss of experience</w:t>
      </w:r>
      <w:r w:rsidR="006466E6" w:rsidRPr="00D2768B">
        <w:rPr>
          <w:lang w:val="en-GB"/>
        </w:rPr>
        <w:t>, and lack</w:t>
      </w:r>
      <w:r w:rsidRPr="00D2768B">
        <w:rPr>
          <w:lang w:val="en-GB"/>
        </w:rPr>
        <w:t xml:space="preserve"> of training and motivation of staff. In summary, from techn</w:t>
      </w:r>
      <w:r w:rsidR="00941473" w:rsidRPr="00D2768B">
        <w:rPr>
          <w:lang w:val="en-GB"/>
        </w:rPr>
        <w:t>ologi</w:t>
      </w:r>
      <w:r w:rsidRPr="00D2768B">
        <w:rPr>
          <w:lang w:val="en-GB"/>
        </w:rPr>
        <w:t xml:space="preserve">cal obsolescence </w:t>
      </w:r>
      <w:r w:rsidR="00CF369C" w:rsidRPr="00D2768B">
        <w:rPr>
          <w:lang w:val="en-GB"/>
        </w:rPr>
        <w:t>it is</w:t>
      </w:r>
      <w:r w:rsidRPr="00D2768B">
        <w:rPr>
          <w:lang w:val="en-GB"/>
        </w:rPr>
        <w:t xml:space="preserve"> easily </w:t>
      </w:r>
      <w:r w:rsidR="00CF369C" w:rsidRPr="00D2768B">
        <w:rPr>
          <w:lang w:val="en-GB"/>
        </w:rPr>
        <w:t xml:space="preserve">to </w:t>
      </w:r>
      <w:r w:rsidRPr="00D2768B">
        <w:rPr>
          <w:lang w:val="en-GB"/>
        </w:rPr>
        <w:t xml:space="preserve">get to organizational obsolescence. </w:t>
      </w:r>
    </w:p>
    <w:p w14:paraId="18C5F607" w14:textId="39DC0F60" w:rsidR="00BA6856" w:rsidRPr="00D2768B" w:rsidRDefault="00CD62A2" w:rsidP="00CD62A2">
      <w:r w:rsidRPr="00D2768B">
        <w:t>Obsolescence, whether technological or organizational, is an intangible issue that</w:t>
      </w:r>
      <w:r w:rsidR="00CF369C" w:rsidRPr="00D2768B">
        <w:t xml:space="preserve"> i</w:t>
      </w:r>
      <w:r w:rsidRPr="00D2768B">
        <w:t>s challenging to address with technical fixes. Historically, process industries overlooked it, viewing themselves as tech leaders. However, rapid advancements in digital tech, AI, robotics, green chemistry, and renewables have intensified obsolescence problems. While managing physical degradation is crucial, ignoring obsolescence overlooks the root causes of aging, making it a grave error to focus solely on physical integrity and neglect these hidden factors.</w:t>
      </w:r>
    </w:p>
    <w:p w14:paraId="7B4F29A3" w14:textId="77777777" w:rsidR="00834731" w:rsidRPr="00D2768B" w:rsidRDefault="00834731" w:rsidP="00BC3077">
      <w:pPr>
        <w:pStyle w:val="CETheadingx"/>
      </w:pPr>
      <w:r w:rsidRPr="00D2768B">
        <w:t>Climate Change</w:t>
      </w:r>
    </w:p>
    <w:p w14:paraId="1E227148" w14:textId="3F09F029" w:rsidR="00BA6856" w:rsidRPr="00D2768B" w:rsidRDefault="00BA6856" w:rsidP="00BA6856">
      <w:pPr>
        <w:pStyle w:val="CETBodytext"/>
        <w:rPr>
          <w:lang w:val="en-GB"/>
        </w:rPr>
      </w:pPr>
      <w:r w:rsidRPr="00D2768B">
        <w:rPr>
          <w:lang w:val="en-GB"/>
        </w:rPr>
        <w:t>Natural events also make their contribution to aging. In recent decades, there has been an increase in the intensity and frequency of meteorological phenomena, including lightning, cloudbursts and floods, in many regions, presumably caused by climate change. Th</w:t>
      </w:r>
      <w:r w:rsidR="00A8549F" w:rsidRPr="00D2768B">
        <w:rPr>
          <w:lang w:val="en-GB"/>
        </w:rPr>
        <w:t>at</w:t>
      </w:r>
      <w:r w:rsidRPr="00D2768B">
        <w:rPr>
          <w:lang w:val="en-GB"/>
        </w:rPr>
        <w:t xml:space="preserve"> contributes to accelerating the physical degradation of structures and equipment, while the degradation of materials reduces their resistance to natural phenomena and in turn increases consequences. </w:t>
      </w:r>
      <w:r w:rsidR="00D3241F" w:rsidRPr="00D2768B">
        <w:rPr>
          <w:lang w:val="en-GB"/>
        </w:rPr>
        <w:t xml:space="preserve">The overlapping of digital transition, </w:t>
      </w:r>
      <w:r w:rsidR="00223719" w:rsidRPr="00D2768B">
        <w:rPr>
          <w:lang w:val="en-GB"/>
        </w:rPr>
        <w:t xml:space="preserve">energy transition, </w:t>
      </w:r>
      <w:r w:rsidR="00383DFC" w:rsidRPr="00D2768B">
        <w:rPr>
          <w:lang w:val="en-GB"/>
        </w:rPr>
        <w:t xml:space="preserve">and </w:t>
      </w:r>
      <w:r w:rsidR="00223719" w:rsidRPr="00D2768B">
        <w:rPr>
          <w:lang w:val="en-GB"/>
        </w:rPr>
        <w:t xml:space="preserve">climate change </w:t>
      </w:r>
      <w:r w:rsidR="0013675C" w:rsidRPr="00D2768B">
        <w:rPr>
          <w:lang w:val="en-GB"/>
        </w:rPr>
        <w:t xml:space="preserve">if unmanaged </w:t>
      </w:r>
      <w:r w:rsidR="008F4D85" w:rsidRPr="00D2768B">
        <w:rPr>
          <w:lang w:val="en-GB"/>
        </w:rPr>
        <w:t xml:space="preserve">could </w:t>
      </w:r>
      <w:r w:rsidR="0013675C" w:rsidRPr="00D2768B">
        <w:rPr>
          <w:lang w:val="en-GB"/>
        </w:rPr>
        <w:t>turn in</w:t>
      </w:r>
      <w:r w:rsidR="008F4D85" w:rsidRPr="00D2768B">
        <w:rPr>
          <w:lang w:val="en-GB"/>
        </w:rPr>
        <w:t xml:space="preserve"> a</w:t>
      </w:r>
      <w:r w:rsidR="00223719" w:rsidRPr="00D2768B">
        <w:rPr>
          <w:lang w:val="en-GB"/>
        </w:rPr>
        <w:t xml:space="preserve"> </w:t>
      </w:r>
      <w:r w:rsidR="008F4D85" w:rsidRPr="00D2768B">
        <w:rPr>
          <w:lang w:val="en-GB"/>
        </w:rPr>
        <w:t>“</w:t>
      </w:r>
      <w:r w:rsidR="00223719" w:rsidRPr="00D2768B">
        <w:rPr>
          <w:lang w:val="en-GB"/>
        </w:rPr>
        <w:t>perfect storm</w:t>
      </w:r>
      <w:r w:rsidR="008F4D85" w:rsidRPr="00D2768B">
        <w:rPr>
          <w:lang w:val="en-GB"/>
        </w:rPr>
        <w:t>”</w:t>
      </w:r>
      <w:r w:rsidR="00B50E7A" w:rsidRPr="00D2768B">
        <w:rPr>
          <w:lang w:val="en-GB"/>
        </w:rPr>
        <w:t xml:space="preserve"> </w:t>
      </w:r>
      <w:r w:rsidR="0013675C" w:rsidRPr="00D2768B">
        <w:rPr>
          <w:lang w:val="en-GB"/>
        </w:rPr>
        <w:t>(Dwivedi et al. 2022).</w:t>
      </w:r>
    </w:p>
    <w:p w14:paraId="7503DA5D" w14:textId="2FDD27AF" w:rsidR="00BC3077" w:rsidRPr="00D2768B" w:rsidRDefault="00BC3077" w:rsidP="00BC3077">
      <w:pPr>
        <w:pStyle w:val="CETheadingx"/>
      </w:pPr>
      <w:r w:rsidRPr="00D2768B">
        <w:t>Aging as emerging risk</w:t>
      </w:r>
    </w:p>
    <w:p w14:paraId="62F400EA" w14:textId="79CE28E5" w:rsidR="00AE03A9" w:rsidRPr="00D2768B" w:rsidRDefault="00BA6856" w:rsidP="00AE03A9">
      <w:pPr>
        <w:pStyle w:val="CETBodytext"/>
        <w:rPr>
          <w:lang w:val="en-GB"/>
        </w:rPr>
      </w:pPr>
      <w:r w:rsidRPr="00D2768B">
        <w:rPr>
          <w:lang w:val="en-GB"/>
        </w:rPr>
        <w:t xml:space="preserve">The problem of plant aging, seen in its various aspects of degradation and technological and organizational obsolescence, is an "emerging" problem even if </w:t>
      </w:r>
      <w:r w:rsidR="00F61198" w:rsidRPr="00D2768B">
        <w:rPr>
          <w:lang w:val="en-GB"/>
        </w:rPr>
        <w:t xml:space="preserve">it is </w:t>
      </w:r>
      <w:r w:rsidRPr="00D2768B">
        <w:rPr>
          <w:lang w:val="en-GB"/>
        </w:rPr>
        <w:t>not new because innovation has never been so fast in all fields. Innovation makes processes, products, materials, equipment, and organizations obsolete. And obsolescence exacerbates the problems of degradation with damage to materials, loss of integrity and functionality of the plants. Everything contributes to increas</w:t>
      </w:r>
      <w:r w:rsidR="00F61198" w:rsidRPr="00D2768B">
        <w:rPr>
          <w:lang w:val="en-GB"/>
        </w:rPr>
        <w:t>e</w:t>
      </w:r>
      <w:r w:rsidRPr="00D2768B">
        <w:rPr>
          <w:lang w:val="en-GB"/>
        </w:rPr>
        <w:t xml:space="preserve"> the risk of failures, ruptures, service interruptions, accidents at work, and major accidents. </w:t>
      </w:r>
      <w:r w:rsidR="007C5E9E" w:rsidRPr="00D2768B">
        <w:rPr>
          <w:lang w:val="en-GB"/>
        </w:rPr>
        <w:t xml:space="preserve">To understand the emergent risk of aging </w:t>
      </w:r>
      <w:r w:rsidR="00437468" w:rsidRPr="00D2768B">
        <w:rPr>
          <w:lang w:val="en-GB"/>
        </w:rPr>
        <w:t xml:space="preserve">five </w:t>
      </w:r>
      <w:r w:rsidR="007C5E9E" w:rsidRPr="00D2768B">
        <w:rPr>
          <w:lang w:val="en-GB"/>
        </w:rPr>
        <w:t>factors must be considered</w:t>
      </w:r>
      <w:r w:rsidR="00E57A30" w:rsidRPr="00D2768B">
        <w:rPr>
          <w:lang w:val="en-GB"/>
        </w:rPr>
        <w:t xml:space="preserve">: 1) knowledge, 2) complexity, </w:t>
      </w:r>
      <w:r w:rsidR="00116ED6" w:rsidRPr="00D2768B">
        <w:rPr>
          <w:lang w:val="en-GB"/>
        </w:rPr>
        <w:t>3</w:t>
      </w:r>
      <w:r w:rsidR="00E57A30" w:rsidRPr="00D2768B">
        <w:rPr>
          <w:lang w:val="en-GB"/>
        </w:rPr>
        <w:t xml:space="preserve">) time dimension, </w:t>
      </w:r>
      <w:r w:rsidR="00116ED6" w:rsidRPr="00D2768B">
        <w:rPr>
          <w:lang w:val="en-GB"/>
        </w:rPr>
        <w:t xml:space="preserve">4) </w:t>
      </w:r>
      <w:r w:rsidR="00E57A30" w:rsidRPr="00D2768B">
        <w:rPr>
          <w:lang w:val="en-GB"/>
        </w:rPr>
        <w:t xml:space="preserve">controllability and </w:t>
      </w:r>
      <w:r w:rsidR="00116ED6" w:rsidRPr="00D2768B">
        <w:rPr>
          <w:lang w:val="en-GB"/>
        </w:rPr>
        <w:t xml:space="preserve">5) </w:t>
      </w:r>
      <w:r w:rsidR="003223E8" w:rsidRPr="00D2768B">
        <w:rPr>
          <w:lang w:val="en-GB"/>
        </w:rPr>
        <w:t>behaviour</w:t>
      </w:r>
      <w:r w:rsidR="007C5E9E" w:rsidRPr="00D2768B">
        <w:rPr>
          <w:lang w:val="en-GB"/>
        </w:rPr>
        <w:t xml:space="preserve">. Knowledge factors include unknown effects in internal organization related to obsolescence of product and processes, unknown corrosion rate of old materials used for new products, insufficient data about likelihood of undesired events (e.g. anomalies, failures, incident and accidents) related to the combined effect of obsolescence and degradation, lack of method for dismission of declining technologies. Complexity factors include interconnectedness of old and new damage mechanisms, balance of innovation and obsolescence, lifecycle of </w:t>
      </w:r>
      <w:r w:rsidR="007C5E9E" w:rsidRPr="00D2768B">
        <w:rPr>
          <w:lang w:val="en-GB"/>
        </w:rPr>
        <w:lastRenderedPageBreak/>
        <w:t xml:space="preserve">innovative technologies, innovation in inspection technologies (e.g. robot and artificial intelligence), insufficient data on consequences of potential decisions about technological and organizational innovation. </w:t>
      </w:r>
      <w:r w:rsidR="003464B9" w:rsidRPr="00D2768B">
        <w:rPr>
          <w:lang w:val="en-GB"/>
        </w:rPr>
        <w:t>“</w:t>
      </w:r>
      <w:r w:rsidR="007C5E9E" w:rsidRPr="00D2768B">
        <w:rPr>
          <w:lang w:val="en-GB"/>
        </w:rPr>
        <w:t>Time dimension</w:t>
      </w:r>
      <w:r w:rsidR="003464B9" w:rsidRPr="00D2768B">
        <w:rPr>
          <w:lang w:val="en-GB"/>
        </w:rPr>
        <w:t>”</w:t>
      </w:r>
      <w:r w:rsidR="007C5E9E" w:rsidRPr="00D2768B">
        <w:rPr>
          <w:lang w:val="en-GB"/>
        </w:rPr>
        <w:t xml:space="preserve"> factors include the higher velocity of change in the external context (e.g. local, national, and international politics) as well as in internal context, (e.g. ownership, fusions and divisions, personnel turnover</w:t>
      </w:r>
      <w:r w:rsidR="00D70D46" w:rsidRPr="00D2768B">
        <w:rPr>
          <w:lang w:val="en-GB"/>
        </w:rPr>
        <w:t>,</w:t>
      </w:r>
      <w:r w:rsidR="007C5E9E" w:rsidRPr="00D2768B">
        <w:rPr>
          <w:lang w:val="en-GB"/>
        </w:rPr>
        <w:t xml:space="preserve"> financial and personnel cut). Controllability factors include the effects of factors out of the organization's control (e.g. natural hazards, changes in national, international legislation and regulations). </w:t>
      </w:r>
      <w:r w:rsidR="003223E8" w:rsidRPr="00D2768B">
        <w:rPr>
          <w:lang w:val="en-GB"/>
        </w:rPr>
        <w:t>Behavioural</w:t>
      </w:r>
      <w:r w:rsidR="007C5E9E" w:rsidRPr="00D2768B">
        <w:rPr>
          <w:lang w:val="en-GB"/>
        </w:rPr>
        <w:t xml:space="preserve"> factors include the effects of changes of </w:t>
      </w:r>
      <w:r w:rsidR="00156D23" w:rsidRPr="00D2768B">
        <w:rPr>
          <w:lang w:val="en-GB"/>
        </w:rPr>
        <w:t>context</w:t>
      </w:r>
      <w:r w:rsidR="007C5E9E" w:rsidRPr="00D2768B">
        <w:rPr>
          <w:lang w:val="en-GB"/>
        </w:rPr>
        <w:t xml:space="preserve"> on </w:t>
      </w:r>
      <w:r w:rsidR="00007C1B" w:rsidRPr="00D2768B">
        <w:rPr>
          <w:lang w:val="en-GB"/>
        </w:rPr>
        <w:t>workers</w:t>
      </w:r>
      <w:r w:rsidR="007C5E9E" w:rsidRPr="00D2768B">
        <w:rPr>
          <w:lang w:val="en-GB"/>
        </w:rPr>
        <w:t xml:space="preserve"> and management.</w:t>
      </w:r>
      <w:r w:rsidR="004F68CB" w:rsidRPr="00D2768B">
        <w:rPr>
          <w:lang w:val="en-GB"/>
        </w:rPr>
        <w:t xml:space="preserve"> </w:t>
      </w:r>
      <w:r w:rsidR="00516717" w:rsidRPr="00D2768B">
        <w:rPr>
          <w:lang w:val="en-GB"/>
        </w:rPr>
        <w:t xml:space="preserve">Examples of </w:t>
      </w:r>
      <w:r w:rsidR="002A7793" w:rsidRPr="00D2768B">
        <w:rPr>
          <w:lang w:val="en-GB"/>
        </w:rPr>
        <w:t>b</w:t>
      </w:r>
      <w:r w:rsidR="003223E8" w:rsidRPr="00D2768B">
        <w:rPr>
          <w:lang w:val="en-GB"/>
        </w:rPr>
        <w:t>ehavioural</w:t>
      </w:r>
      <w:r w:rsidR="00516717" w:rsidRPr="00D2768B">
        <w:rPr>
          <w:lang w:val="en-GB"/>
        </w:rPr>
        <w:t xml:space="preserve"> factors are </w:t>
      </w:r>
      <w:r w:rsidR="00EB01CF" w:rsidRPr="00D2768B">
        <w:rPr>
          <w:lang w:val="en-GB"/>
        </w:rPr>
        <w:t>the l</w:t>
      </w:r>
      <w:r w:rsidR="004F68CB" w:rsidRPr="00D2768B">
        <w:rPr>
          <w:lang w:val="en-GB"/>
        </w:rPr>
        <w:t xml:space="preserve">ack of familiarity and </w:t>
      </w:r>
      <w:r w:rsidR="00EB01CF" w:rsidRPr="00D2768B">
        <w:rPr>
          <w:lang w:val="en-GB"/>
        </w:rPr>
        <w:t>l</w:t>
      </w:r>
      <w:r w:rsidR="004F68CB" w:rsidRPr="00D2768B">
        <w:rPr>
          <w:lang w:val="en-GB"/>
        </w:rPr>
        <w:t>ack of understanding of new context arising from digital transition and energy transition</w:t>
      </w:r>
      <w:r w:rsidR="00EB01CF" w:rsidRPr="00D2768B">
        <w:rPr>
          <w:lang w:val="en-GB"/>
        </w:rPr>
        <w:t>; the</w:t>
      </w:r>
      <w:r w:rsidR="004F68CB" w:rsidRPr="00D2768B">
        <w:rPr>
          <w:lang w:val="en-GB"/>
        </w:rPr>
        <w:t xml:space="preserve"> </w:t>
      </w:r>
      <w:r w:rsidR="00EB01CF" w:rsidRPr="00D2768B">
        <w:rPr>
          <w:lang w:val="en-GB"/>
        </w:rPr>
        <w:t>m</w:t>
      </w:r>
      <w:r w:rsidR="004F68CB" w:rsidRPr="00D2768B">
        <w:rPr>
          <w:lang w:val="en-GB"/>
        </w:rPr>
        <w:t xml:space="preserve">isperception and misinterpretation of entangled risks related to aging establishments facing digital and energy transition. cognitive biases including information fatigue(s), can significantly influence perception of new risk. </w:t>
      </w:r>
      <w:r w:rsidR="00EB01CF" w:rsidRPr="00D2768B">
        <w:rPr>
          <w:lang w:val="en-GB"/>
        </w:rPr>
        <w:t>A further example is the s</w:t>
      </w:r>
      <w:r w:rsidR="004F68CB" w:rsidRPr="00D2768B">
        <w:rPr>
          <w:lang w:val="en-GB"/>
        </w:rPr>
        <w:t>usceptibility to ignorance. The complexity of the transitions, overlapping aging and obsolescence issues, often leads to a situation in which people are flooded with information, but the basic understanding of the phenomenon is missing.</w:t>
      </w:r>
    </w:p>
    <w:p w14:paraId="69EBE278" w14:textId="77777777" w:rsidR="00C51395" w:rsidRPr="00D2768B" w:rsidRDefault="00C51395" w:rsidP="00C51395">
      <w:pPr>
        <w:pStyle w:val="CETHeading1"/>
        <w:rPr>
          <w:lang w:val="en-GB"/>
        </w:rPr>
      </w:pPr>
      <w:r w:rsidRPr="00D2768B">
        <w:rPr>
          <w:lang w:val="en-GB"/>
        </w:rPr>
        <w:t>Aging Risk assessment and management</w:t>
      </w:r>
    </w:p>
    <w:p w14:paraId="195BFC2C" w14:textId="77777777" w:rsidR="00C51395" w:rsidRPr="00D2768B" w:rsidRDefault="00C51395" w:rsidP="00C51395">
      <w:pPr>
        <w:pStyle w:val="CETBodytext"/>
        <w:rPr>
          <w:lang w:val="en-GB"/>
        </w:rPr>
      </w:pPr>
      <w:r w:rsidRPr="00D2768B">
        <w:rPr>
          <w:lang w:val="en-GB"/>
        </w:rPr>
        <w:t xml:space="preserve">The various technical guidelines developed in the last decade on the management of aging are all focused on the management of risks related to physical degradation and marginally deal with the aspects of technical and organizational obsolescence. The formidable acceleration of the digital transition and the great uncertainties (especially political) that accompany the digital transition require a complete reversal of the paradigm. The process industry already has all the scientific and technical tools to control physical degradation and safely extend the useful life of plants, optimize inspections and maintenance, while there is a lack of methods for plants that have to go through rapid technological transitions, reaping the benefits of changes in the technological and organizational context and controlling the risks that obsolescence,  which is the inevitable shadow innovation brings with it. </w:t>
      </w:r>
    </w:p>
    <w:p w14:paraId="4CF1912F" w14:textId="77777777" w:rsidR="00FE0203" w:rsidRPr="00D2768B" w:rsidRDefault="00FE0203" w:rsidP="00BC3077">
      <w:pPr>
        <w:pStyle w:val="CETheadingx"/>
      </w:pPr>
      <w:r w:rsidRPr="00D2768B">
        <w:t>Fishbone</w:t>
      </w:r>
    </w:p>
    <w:p w14:paraId="7C7CBCAD" w14:textId="32EBE3FC" w:rsidR="00144C44" w:rsidRPr="00D2768B" w:rsidRDefault="00144C44" w:rsidP="00A52117">
      <w:pPr>
        <w:pStyle w:val="CETBodytext"/>
        <w:rPr>
          <w:lang w:val="en-GB"/>
        </w:rPr>
      </w:pPr>
      <w:r w:rsidRPr="00D2768B">
        <w:rPr>
          <w:lang w:val="en-GB"/>
        </w:rPr>
        <w:t xml:space="preserve">To analyse general problems like this, the Ishikawa method (a.k.a. fishbone method) is still the most suitable. Five main factors </w:t>
      </w:r>
      <w:proofErr w:type="gramStart"/>
      <w:r w:rsidR="002A7793" w:rsidRPr="00D2768B">
        <w:rPr>
          <w:lang w:val="en-GB"/>
        </w:rPr>
        <w:t>have to</w:t>
      </w:r>
      <w:proofErr w:type="gramEnd"/>
      <w:r w:rsidR="002A7793" w:rsidRPr="00D2768B">
        <w:rPr>
          <w:lang w:val="en-GB"/>
        </w:rPr>
        <w:t xml:space="preserve"> be </w:t>
      </w:r>
      <w:r w:rsidRPr="00D2768B">
        <w:rPr>
          <w:lang w:val="en-GB"/>
        </w:rPr>
        <w:t>consider</w:t>
      </w:r>
      <w:r w:rsidR="002A7793" w:rsidRPr="00D2768B">
        <w:rPr>
          <w:lang w:val="en-GB"/>
        </w:rPr>
        <w:t>ed</w:t>
      </w:r>
      <w:r w:rsidRPr="00D2768B">
        <w:rPr>
          <w:lang w:val="en-GB"/>
        </w:rPr>
        <w:t xml:space="preserve"> when assessing aging as an emerging risk have already been described in §</w:t>
      </w:r>
      <w:r w:rsidR="00BC3077" w:rsidRPr="00D2768B">
        <w:rPr>
          <w:lang w:val="en-GB"/>
        </w:rPr>
        <w:t>3.4</w:t>
      </w:r>
      <w:r w:rsidRPr="00D2768B">
        <w:rPr>
          <w:lang w:val="en-GB"/>
        </w:rPr>
        <w:t>. To complete the picture to understand the risk of aging, there is only one type of factor to add: background factors. They refer to what happened in the history of the plant, and which determine the current conditions and condition the future. Background factors relate to physical history and organizational history. Figure 1 schematically represents the fishbone of aging, seen as an emerging risk. The representation of the drawing is limited to the first level, to respect the tight length limits of the paper.</w:t>
      </w:r>
    </w:p>
    <w:p w14:paraId="3149EFAE" w14:textId="77777777" w:rsidR="00144C44" w:rsidRPr="00D2768B" w:rsidRDefault="00144C44" w:rsidP="00144C44">
      <w:pPr>
        <w:pStyle w:val="CETBodytext"/>
        <w:rPr>
          <w:lang w:val="en-GB"/>
        </w:rPr>
      </w:pPr>
    </w:p>
    <w:p w14:paraId="2B1B1549" w14:textId="632578F4" w:rsidR="00460E43" w:rsidRPr="00D2768B" w:rsidRDefault="00460E43" w:rsidP="00354FF2">
      <w:pPr>
        <w:pStyle w:val="CETBodytext"/>
        <w:spacing w:line="240" w:lineRule="auto"/>
        <w:rPr>
          <w:lang w:val="en-GB"/>
        </w:rPr>
      </w:pPr>
      <w:r w:rsidRPr="00D2768B">
        <w:rPr>
          <w:noProof/>
          <w:lang w:val="en-GB"/>
        </w:rPr>
        <w:drawing>
          <wp:inline distT="0" distB="0" distL="0" distR="0" wp14:anchorId="2F9E1091" wp14:editId="0C9542F4">
            <wp:extent cx="5260005" cy="3155775"/>
            <wp:effectExtent l="0" t="0" r="0" b="6985"/>
            <wp:docPr id="3" name="Immagine 2" descr="Immagine che contiene schermata, testo, design&#10;&#10;Il contenuto generato dall'IA potrebbe non essere corretto.">
              <a:extLst xmlns:a="http://schemas.openxmlformats.org/drawingml/2006/main">
                <a:ext uri="{FF2B5EF4-FFF2-40B4-BE49-F238E27FC236}">
                  <a16:creationId xmlns:a16="http://schemas.microsoft.com/office/drawing/2014/main" id="{2E8C202F-912C-3766-9FFC-A69B9311FE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2" descr="Immagine che contiene schermata, testo, design&#10;&#10;Il contenuto generato dall'IA potrebbe non essere corretto.">
                      <a:extLst>
                        <a:ext uri="{FF2B5EF4-FFF2-40B4-BE49-F238E27FC236}">
                          <a16:creationId xmlns:a16="http://schemas.microsoft.com/office/drawing/2014/main" id="{2E8C202F-912C-3766-9FFC-A69B9311FEA5}"/>
                        </a:ext>
                      </a:extLst>
                    </pic:cNvPr>
                    <pic:cNvPicPr>
                      <a:picLocks noChangeAspect="1"/>
                    </pic:cNvPicPr>
                  </pic:nvPicPr>
                  <pic:blipFill>
                    <a:blip r:embed="rId10">
                      <a:extLst>
                        <a:ext uri="{BEBA8EAE-BF5A-486C-A8C5-ECC9F3942E4B}">
                          <a14:imgProps xmlns:a14="http://schemas.microsoft.com/office/drawing/2010/main">
                            <a14:imgLayer r:embed="rId11">
                              <a14:imgEffect>
                                <a14:sharpenSoften amount="50000"/>
                              </a14:imgEffect>
                            </a14:imgLayer>
                          </a14:imgProps>
                        </a:ext>
                      </a:extLst>
                    </a:blip>
                    <a:stretch>
                      <a:fillRect/>
                    </a:stretch>
                  </pic:blipFill>
                  <pic:spPr>
                    <a:xfrm>
                      <a:off x="0" y="0"/>
                      <a:ext cx="5283822" cy="3170064"/>
                    </a:xfrm>
                    <a:prstGeom prst="rect">
                      <a:avLst/>
                    </a:prstGeom>
                  </pic:spPr>
                </pic:pic>
              </a:graphicData>
            </a:graphic>
          </wp:inline>
        </w:drawing>
      </w:r>
    </w:p>
    <w:p w14:paraId="45912CD7" w14:textId="77777777" w:rsidR="00460E43" w:rsidRPr="00D2768B" w:rsidRDefault="00460E43" w:rsidP="00460E43">
      <w:pPr>
        <w:pStyle w:val="CETCaption"/>
        <w:rPr>
          <w:rStyle w:val="CETCaptionCarattere"/>
          <w:i/>
        </w:rPr>
      </w:pPr>
      <w:r w:rsidRPr="00D2768B">
        <w:rPr>
          <w:rStyle w:val="CETCaptionCarattere"/>
          <w:i/>
        </w:rPr>
        <w:t>Figure 1: Aging Fishbone</w:t>
      </w:r>
    </w:p>
    <w:p w14:paraId="5788FC71" w14:textId="24784456" w:rsidR="00A85903" w:rsidRPr="00D2768B" w:rsidRDefault="006355E1" w:rsidP="00BC3077">
      <w:pPr>
        <w:pStyle w:val="CETheadingx"/>
        <w:numPr>
          <w:ilvl w:val="0"/>
          <w:numId w:val="0"/>
        </w:numPr>
      </w:pPr>
      <w:r w:rsidRPr="00D2768B">
        <w:lastRenderedPageBreak/>
        <w:t>4</w:t>
      </w:r>
      <w:r w:rsidR="009C3913" w:rsidRPr="00D2768B">
        <w:t xml:space="preserve">.2 </w:t>
      </w:r>
      <w:r w:rsidR="00A85903" w:rsidRPr="00D2768B">
        <w:t>Aging Check List</w:t>
      </w:r>
    </w:p>
    <w:p w14:paraId="7D04C291" w14:textId="70DBD427" w:rsidR="00806DCB" w:rsidRPr="00D2768B" w:rsidRDefault="0084298E" w:rsidP="00806DCB">
      <w:pPr>
        <w:pStyle w:val="CETBodytext"/>
        <w:rPr>
          <w:lang w:val="en-GB"/>
        </w:rPr>
      </w:pPr>
      <w:r w:rsidRPr="00D2768B">
        <w:rPr>
          <w:lang w:val="en-GB"/>
        </w:rPr>
        <w:t xml:space="preserve">The aging fishbone has been used to propose a checklist that </w:t>
      </w:r>
      <w:proofErr w:type="spellStart"/>
      <w:r w:rsidR="002A7793" w:rsidRPr="00D2768B">
        <w:rPr>
          <w:lang w:val="en-GB"/>
        </w:rPr>
        <w:t>analyze</w:t>
      </w:r>
      <w:proofErr w:type="spellEnd"/>
      <w:r w:rsidRPr="00D2768B">
        <w:rPr>
          <w:lang w:val="en-GB"/>
        </w:rPr>
        <w:t xml:space="preserve"> one by one the factors and sub-factors of aging, making a diagnosis of the organization's ability to manage aging. This review can be done by the management so that the best decisions can be made to increase the potential longevity of the plant. Even in third-party audits, the fishbone of aging can be useful to understand on which points it is still possible to work on to curb the damage of time. In the proposed checklist there is a first discrimination between accelerating and decelerating factors. This distinction had already been introduced in our previous work focused on physical degradation and here it </w:t>
      </w:r>
      <w:r w:rsidR="002A7793" w:rsidRPr="00D2768B">
        <w:rPr>
          <w:lang w:val="en-GB"/>
        </w:rPr>
        <w:t xml:space="preserve">is taken </w:t>
      </w:r>
      <w:r w:rsidRPr="00D2768B">
        <w:rPr>
          <w:lang w:val="en-GB"/>
        </w:rPr>
        <w:t xml:space="preserve">up again by emphasizing the fact that an accelerating factor corresponds to objective situations that can no longer be changed, while the decelerating factor always corresponds to a decision or an activity that can be made. Different factors may have different weights, but this must be decided by the user based on the specific context; only the negative sign for accelerating factors and positive for decelerating factors must be maintained. A further discrimination is between the factors to be evaluated for the overall establishment and to the factors to be evaluated separately for each critical item. Digital and Physical Critical items are, in turn discriminated, as the first ones suffer just obsolescence and the second ones suffer both obsolescence and physical degradation. </w:t>
      </w:r>
      <w:r w:rsidR="00AD2B12" w:rsidRPr="00D2768B">
        <w:rPr>
          <w:lang w:val="en-GB"/>
        </w:rPr>
        <w:t>In t</w:t>
      </w:r>
      <w:r w:rsidRPr="00D2768B">
        <w:rPr>
          <w:lang w:val="en-GB"/>
        </w:rPr>
        <w:t>able 1 the proposed check list</w:t>
      </w:r>
      <w:r w:rsidR="00AD2B12" w:rsidRPr="00D2768B">
        <w:rPr>
          <w:lang w:val="en-GB"/>
        </w:rPr>
        <w:t xml:space="preserve"> is shown</w:t>
      </w:r>
      <w:r w:rsidR="00DD72D6" w:rsidRPr="00D2768B">
        <w:rPr>
          <w:lang w:val="en-GB"/>
        </w:rPr>
        <w:t xml:space="preserve">. </w:t>
      </w:r>
      <w:r w:rsidRPr="00D2768B">
        <w:rPr>
          <w:lang w:val="en-GB"/>
        </w:rPr>
        <w:t xml:space="preserve"> </w:t>
      </w:r>
    </w:p>
    <w:p w14:paraId="348742EC" w14:textId="11337AA0" w:rsidR="008D1F19" w:rsidRPr="00D2768B" w:rsidRDefault="008D1F19" w:rsidP="0059027D">
      <w:pPr>
        <w:pStyle w:val="CETTabletitle"/>
      </w:pPr>
      <w:r w:rsidRPr="00D2768B">
        <w:t>Ta</w:t>
      </w:r>
      <w:r w:rsidR="00D51B6A" w:rsidRPr="00D2768B">
        <w:t>ble</w:t>
      </w:r>
      <w:r w:rsidRPr="00D2768B">
        <w:fldChar w:fldCharType="begin"/>
      </w:r>
      <w:r w:rsidRPr="00D2768B">
        <w:instrText xml:space="preserve"> SEQ Tabella \* ARABIC </w:instrText>
      </w:r>
      <w:r w:rsidRPr="00D2768B">
        <w:fldChar w:fldCharType="separate"/>
      </w:r>
      <w:r w:rsidR="001B0498" w:rsidRPr="00D2768B">
        <w:rPr>
          <w:noProof/>
        </w:rPr>
        <w:t>1</w:t>
      </w:r>
      <w:r w:rsidRPr="00D2768B">
        <w:fldChar w:fldCharType="end"/>
      </w:r>
      <w:r w:rsidR="00C52A27" w:rsidRPr="00D2768B">
        <w:t xml:space="preserve"> The proposed “</w:t>
      </w:r>
      <w:r w:rsidR="005F4176" w:rsidRPr="00D2768B">
        <w:t>A</w:t>
      </w:r>
      <w:r w:rsidR="00C52A27" w:rsidRPr="00D2768B">
        <w:t xml:space="preserve">ging </w:t>
      </w:r>
      <w:r w:rsidR="005F4176" w:rsidRPr="00D2768B">
        <w:t>Checklist”</w:t>
      </w:r>
      <w:r w:rsidR="004B6470" w:rsidRPr="00D2768B">
        <w:t>.</w:t>
      </w:r>
      <w:r w:rsidR="00E84659" w:rsidRPr="00D2768B">
        <w:t xml:space="preserve"> Legenda CPI = Critical Physical Item, CDI = Critical Digital Item, OE overall establishment,</w:t>
      </w:r>
      <w:r w:rsidR="004B6470" w:rsidRPr="00D2768B">
        <w:t xml:space="preserve"> </w:t>
      </w:r>
      <w:r w:rsidR="003929DF" w:rsidRPr="00D2768B">
        <w:t xml:space="preserve">sign + </w:t>
      </w:r>
      <w:r w:rsidR="00DB4CE5" w:rsidRPr="00D2768B">
        <w:t>a</w:t>
      </w:r>
      <w:r w:rsidR="00606B5B" w:rsidRPr="00D2768B">
        <w:t xml:space="preserve">ccelerating factors </w:t>
      </w:r>
      <w:r w:rsidR="008B61E8" w:rsidRPr="00D2768B">
        <w:t>(negative),</w:t>
      </w:r>
      <w:r w:rsidR="003929DF" w:rsidRPr="00D2768B">
        <w:t>sign</w:t>
      </w:r>
      <w:r w:rsidR="008B61E8" w:rsidRPr="00D2768B">
        <w:t xml:space="preserve"> </w:t>
      </w:r>
      <w:r w:rsidR="003929DF" w:rsidRPr="00D2768B">
        <w:t xml:space="preserve">- </w:t>
      </w:r>
      <w:r w:rsidR="008B61E8" w:rsidRPr="00D2768B">
        <w:t>decelerating</w:t>
      </w:r>
      <w:r w:rsidR="00E84659" w:rsidRPr="00D2768B">
        <w:t xml:space="preserve"> (positive)</w:t>
      </w:r>
      <w:r w:rsidR="008B61E8" w:rsidRPr="00D2768B">
        <w:t xml:space="preserve"> factors</w:t>
      </w:r>
      <w:r w:rsidR="00E15C99" w:rsidRPr="00D2768B">
        <w:t xml:space="preserve"> </w:t>
      </w:r>
    </w:p>
    <w:tbl>
      <w:tblPr>
        <w:tblW w:w="8620" w:type="dxa"/>
        <w:tblCellMar>
          <w:left w:w="70" w:type="dxa"/>
          <w:right w:w="70" w:type="dxa"/>
        </w:tblCellMar>
        <w:tblLook w:val="04A0" w:firstRow="1" w:lastRow="0" w:firstColumn="1" w:lastColumn="0" w:noHBand="0" w:noVBand="1"/>
      </w:tblPr>
      <w:tblGrid>
        <w:gridCol w:w="1420"/>
        <w:gridCol w:w="7200"/>
      </w:tblGrid>
      <w:tr w:rsidR="00D2768B" w:rsidRPr="00D2768B" w14:paraId="721BE262" w14:textId="77777777" w:rsidTr="00455C91">
        <w:trPr>
          <w:trHeight w:val="20"/>
        </w:trPr>
        <w:tc>
          <w:tcPr>
            <w:tcW w:w="1420" w:type="dxa"/>
            <w:vMerge w:val="restart"/>
            <w:tcBorders>
              <w:top w:val="single" w:sz="12" w:space="0" w:color="00B050"/>
              <w:left w:val="nil"/>
              <w:bottom w:val="single" w:sz="4" w:space="0" w:color="00B050"/>
              <w:right w:val="nil"/>
            </w:tcBorders>
            <w:vAlign w:val="center"/>
            <w:hideMark/>
          </w:tcPr>
          <w:p w14:paraId="04E8F47A" w14:textId="77777777" w:rsidR="0002580E" w:rsidRPr="00D2768B" w:rsidRDefault="0002580E" w:rsidP="00A565B5">
            <w:pPr>
              <w:pStyle w:val="CETBodytext"/>
              <w:rPr>
                <w:lang w:val="en-GB" w:eastAsia="it-IT"/>
              </w:rPr>
            </w:pPr>
            <w:r w:rsidRPr="00D2768B">
              <w:rPr>
                <w:lang w:val="en-GB" w:eastAsia="it-IT"/>
              </w:rPr>
              <w:t>Time dimension factors</w:t>
            </w:r>
          </w:p>
        </w:tc>
        <w:tc>
          <w:tcPr>
            <w:tcW w:w="7200" w:type="dxa"/>
            <w:tcBorders>
              <w:top w:val="single" w:sz="12" w:space="0" w:color="00B050"/>
              <w:left w:val="nil"/>
              <w:right w:val="nil"/>
            </w:tcBorders>
            <w:vAlign w:val="center"/>
            <w:hideMark/>
          </w:tcPr>
          <w:p w14:paraId="77F7A257" w14:textId="5E683BF4" w:rsidR="0002580E" w:rsidRPr="00D2768B" w:rsidRDefault="006C5F1E" w:rsidP="00A565B5">
            <w:pPr>
              <w:pStyle w:val="CETBodytext"/>
              <w:rPr>
                <w:lang w:val="en-GB" w:eastAsia="it-IT"/>
              </w:rPr>
            </w:pPr>
            <w:r w:rsidRPr="00D2768B">
              <w:rPr>
                <w:lang w:val="en-GB" w:eastAsia="it-IT"/>
              </w:rPr>
              <w:t xml:space="preserve">+ </w:t>
            </w:r>
            <w:r w:rsidR="000F2830" w:rsidRPr="00D2768B">
              <w:rPr>
                <w:lang w:val="en-GB" w:eastAsia="it-IT"/>
              </w:rPr>
              <w:t>for</w:t>
            </w:r>
            <w:r w:rsidR="0002580E" w:rsidRPr="00D2768B">
              <w:rPr>
                <w:lang w:val="en-GB" w:eastAsia="it-IT"/>
              </w:rPr>
              <w:t xml:space="preserve"> each CPI check actual and expected lifetime </w:t>
            </w:r>
          </w:p>
        </w:tc>
      </w:tr>
      <w:tr w:rsidR="00D2768B" w:rsidRPr="00D2768B" w14:paraId="13A852AA" w14:textId="77777777" w:rsidTr="00455C91">
        <w:trPr>
          <w:trHeight w:val="20"/>
        </w:trPr>
        <w:tc>
          <w:tcPr>
            <w:tcW w:w="1420" w:type="dxa"/>
            <w:vMerge/>
            <w:tcBorders>
              <w:top w:val="single" w:sz="12" w:space="0" w:color="00B050"/>
              <w:left w:val="nil"/>
              <w:bottom w:val="single" w:sz="4" w:space="0" w:color="00B050"/>
              <w:right w:val="nil"/>
            </w:tcBorders>
            <w:vAlign w:val="center"/>
            <w:hideMark/>
          </w:tcPr>
          <w:p w14:paraId="32C8B054" w14:textId="77777777" w:rsidR="0002580E" w:rsidRPr="00D2768B" w:rsidRDefault="0002580E" w:rsidP="00A565B5">
            <w:pPr>
              <w:pStyle w:val="CETBodytext"/>
              <w:rPr>
                <w:lang w:val="en-GB" w:eastAsia="it-IT"/>
              </w:rPr>
            </w:pPr>
          </w:p>
        </w:tc>
        <w:tc>
          <w:tcPr>
            <w:tcW w:w="7200" w:type="dxa"/>
            <w:tcBorders>
              <w:left w:val="nil"/>
              <w:right w:val="nil"/>
            </w:tcBorders>
            <w:vAlign w:val="center"/>
            <w:hideMark/>
          </w:tcPr>
          <w:p w14:paraId="5821618D" w14:textId="1DF18D6C" w:rsidR="0002580E" w:rsidRPr="00D2768B" w:rsidRDefault="006C5F1E" w:rsidP="00A565B5">
            <w:pPr>
              <w:pStyle w:val="CETBodytext"/>
              <w:rPr>
                <w:lang w:val="en-GB" w:eastAsia="it-IT"/>
              </w:rPr>
            </w:pPr>
            <w:r w:rsidRPr="00D2768B">
              <w:rPr>
                <w:lang w:val="en-GB" w:eastAsia="it-IT"/>
              </w:rPr>
              <w:t xml:space="preserve">+ </w:t>
            </w:r>
            <w:r w:rsidR="000F2830" w:rsidRPr="00D2768B">
              <w:rPr>
                <w:lang w:val="en-GB" w:eastAsia="it-IT"/>
              </w:rPr>
              <w:t>for</w:t>
            </w:r>
            <w:r w:rsidR="0002580E" w:rsidRPr="00D2768B">
              <w:rPr>
                <w:lang w:val="en-GB" w:eastAsia="it-IT"/>
              </w:rPr>
              <w:t xml:space="preserve"> each CDI check possible </w:t>
            </w:r>
            <w:r w:rsidR="00753929" w:rsidRPr="00D2768B">
              <w:rPr>
                <w:lang w:val="en-GB" w:eastAsia="it-IT"/>
              </w:rPr>
              <w:t>inadequateness</w:t>
            </w:r>
            <w:r w:rsidR="0002580E" w:rsidRPr="00D2768B">
              <w:rPr>
                <w:lang w:val="en-GB" w:eastAsia="it-IT"/>
              </w:rPr>
              <w:t xml:space="preserve"> </w:t>
            </w:r>
            <w:r w:rsidRPr="00D2768B">
              <w:rPr>
                <w:lang w:val="en-GB" w:eastAsia="it-IT"/>
              </w:rPr>
              <w:t xml:space="preserve">+ </w:t>
            </w:r>
            <w:r w:rsidR="000F2830" w:rsidRPr="00D2768B">
              <w:rPr>
                <w:lang w:val="en-GB" w:eastAsia="it-IT"/>
              </w:rPr>
              <w:t>for</w:t>
            </w:r>
            <w:r w:rsidR="0002580E" w:rsidRPr="00D2768B">
              <w:rPr>
                <w:lang w:val="en-GB" w:eastAsia="it-IT"/>
              </w:rPr>
              <w:t xml:space="preserve"> new industrial standards</w:t>
            </w:r>
          </w:p>
        </w:tc>
      </w:tr>
      <w:tr w:rsidR="00D2768B" w:rsidRPr="00D2768B" w14:paraId="2C460BE5" w14:textId="77777777" w:rsidTr="00455C91">
        <w:trPr>
          <w:trHeight w:val="20"/>
        </w:trPr>
        <w:tc>
          <w:tcPr>
            <w:tcW w:w="1420" w:type="dxa"/>
            <w:vMerge/>
            <w:tcBorders>
              <w:top w:val="single" w:sz="12" w:space="0" w:color="00B050"/>
              <w:left w:val="nil"/>
              <w:bottom w:val="single" w:sz="4" w:space="0" w:color="00B050"/>
              <w:right w:val="nil"/>
            </w:tcBorders>
            <w:vAlign w:val="center"/>
            <w:hideMark/>
          </w:tcPr>
          <w:p w14:paraId="3B780193" w14:textId="77777777" w:rsidR="0002580E" w:rsidRPr="00D2768B" w:rsidRDefault="0002580E" w:rsidP="00A565B5">
            <w:pPr>
              <w:pStyle w:val="CETBodytext"/>
              <w:rPr>
                <w:lang w:val="en-GB" w:eastAsia="it-IT"/>
              </w:rPr>
            </w:pPr>
          </w:p>
        </w:tc>
        <w:tc>
          <w:tcPr>
            <w:tcW w:w="7200" w:type="dxa"/>
            <w:tcBorders>
              <w:left w:val="nil"/>
              <w:right w:val="nil"/>
            </w:tcBorders>
            <w:vAlign w:val="center"/>
            <w:hideMark/>
          </w:tcPr>
          <w:p w14:paraId="05E138A0" w14:textId="489FA18B" w:rsidR="0002580E" w:rsidRPr="00D2768B" w:rsidRDefault="006C5F1E" w:rsidP="00A565B5">
            <w:pPr>
              <w:pStyle w:val="CETBodytext"/>
              <w:rPr>
                <w:lang w:val="en-GB" w:eastAsia="it-IT"/>
              </w:rPr>
            </w:pPr>
            <w:r w:rsidRPr="00D2768B">
              <w:rPr>
                <w:lang w:val="en-GB" w:eastAsia="it-IT"/>
              </w:rPr>
              <w:t xml:space="preserve">+ </w:t>
            </w:r>
            <w:r w:rsidR="000F2830" w:rsidRPr="00D2768B">
              <w:rPr>
                <w:lang w:val="en-GB" w:eastAsia="it-IT"/>
              </w:rPr>
              <w:t>for</w:t>
            </w:r>
            <w:r w:rsidR="0002580E" w:rsidRPr="00D2768B">
              <w:rPr>
                <w:lang w:val="en-GB" w:eastAsia="it-IT"/>
              </w:rPr>
              <w:t xml:space="preserve"> each CPI check possible new standards </w:t>
            </w:r>
          </w:p>
        </w:tc>
      </w:tr>
      <w:tr w:rsidR="00D2768B" w:rsidRPr="00D2768B" w14:paraId="52E3F8A4" w14:textId="77777777" w:rsidTr="00455C91">
        <w:trPr>
          <w:trHeight w:val="20"/>
        </w:trPr>
        <w:tc>
          <w:tcPr>
            <w:tcW w:w="1420" w:type="dxa"/>
            <w:vMerge/>
            <w:tcBorders>
              <w:top w:val="single" w:sz="12" w:space="0" w:color="00B050"/>
              <w:left w:val="nil"/>
              <w:bottom w:val="single" w:sz="4" w:space="0" w:color="00B050"/>
              <w:right w:val="nil"/>
            </w:tcBorders>
            <w:vAlign w:val="center"/>
            <w:hideMark/>
          </w:tcPr>
          <w:p w14:paraId="16432BC2" w14:textId="77777777" w:rsidR="0002580E" w:rsidRPr="00D2768B" w:rsidRDefault="0002580E" w:rsidP="00A565B5">
            <w:pPr>
              <w:pStyle w:val="CETBodytext"/>
              <w:rPr>
                <w:lang w:val="en-GB" w:eastAsia="it-IT"/>
              </w:rPr>
            </w:pPr>
          </w:p>
        </w:tc>
        <w:tc>
          <w:tcPr>
            <w:tcW w:w="7200" w:type="dxa"/>
            <w:tcBorders>
              <w:left w:val="nil"/>
              <w:right w:val="nil"/>
            </w:tcBorders>
            <w:vAlign w:val="center"/>
            <w:hideMark/>
          </w:tcPr>
          <w:p w14:paraId="29F2639B" w14:textId="7398DCB5" w:rsidR="0002580E" w:rsidRPr="00D2768B" w:rsidRDefault="006C5F1E" w:rsidP="00A565B5">
            <w:pPr>
              <w:pStyle w:val="CETBodytext"/>
              <w:rPr>
                <w:lang w:val="en-GB" w:eastAsia="it-IT"/>
              </w:rPr>
            </w:pPr>
            <w:r w:rsidRPr="00D2768B">
              <w:rPr>
                <w:lang w:val="en-GB" w:eastAsia="it-IT"/>
              </w:rPr>
              <w:t xml:space="preserve">+ </w:t>
            </w:r>
            <w:r w:rsidR="000F2830" w:rsidRPr="00D2768B">
              <w:rPr>
                <w:lang w:val="en-GB" w:eastAsia="it-IT"/>
              </w:rPr>
              <w:t>for</w:t>
            </w:r>
            <w:r w:rsidR="0002580E" w:rsidRPr="00D2768B">
              <w:rPr>
                <w:lang w:val="en-GB" w:eastAsia="it-IT"/>
              </w:rPr>
              <w:t xml:space="preserve"> each type of CPI review and update failure rate and corrosion rate values</w:t>
            </w:r>
          </w:p>
        </w:tc>
      </w:tr>
      <w:tr w:rsidR="00D2768B" w:rsidRPr="00D2768B" w14:paraId="6707C142" w14:textId="77777777" w:rsidTr="00455C91">
        <w:trPr>
          <w:trHeight w:val="20"/>
        </w:trPr>
        <w:tc>
          <w:tcPr>
            <w:tcW w:w="1420" w:type="dxa"/>
            <w:vMerge/>
            <w:tcBorders>
              <w:top w:val="single" w:sz="12" w:space="0" w:color="00B050"/>
              <w:left w:val="nil"/>
              <w:bottom w:val="single" w:sz="4" w:space="0" w:color="00B050"/>
              <w:right w:val="nil"/>
            </w:tcBorders>
            <w:vAlign w:val="center"/>
            <w:hideMark/>
          </w:tcPr>
          <w:p w14:paraId="0EC6826C" w14:textId="77777777" w:rsidR="0002580E" w:rsidRPr="00D2768B" w:rsidRDefault="0002580E" w:rsidP="00A565B5">
            <w:pPr>
              <w:pStyle w:val="CETBodytext"/>
              <w:rPr>
                <w:lang w:val="en-GB" w:eastAsia="it-IT"/>
              </w:rPr>
            </w:pPr>
          </w:p>
        </w:tc>
        <w:tc>
          <w:tcPr>
            <w:tcW w:w="7200" w:type="dxa"/>
            <w:tcBorders>
              <w:left w:val="nil"/>
              <w:right w:val="nil"/>
            </w:tcBorders>
            <w:vAlign w:val="center"/>
            <w:hideMark/>
          </w:tcPr>
          <w:p w14:paraId="708630B7" w14:textId="2E88DFE0" w:rsidR="0002580E" w:rsidRPr="00D2768B" w:rsidRDefault="006C5F1E" w:rsidP="00A565B5">
            <w:pPr>
              <w:pStyle w:val="CETBodytext"/>
              <w:rPr>
                <w:lang w:val="en-GB" w:eastAsia="it-IT"/>
              </w:rPr>
            </w:pPr>
            <w:r w:rsidRPr="00D2768B">
              <w:rPr>
                <w:lang w:val="en-GB" w:eastAsia="it-IT"/>
              </w:rPr>
              <w:t xml:space="preserve">+ </w:t>
            </w:r>
            <w:r w:rsidR="000F2830" w:rsidRPr="00D2768B">
              <w:rPr>
                <w:lang w:val="en-GB" w:eastAsia="it-IT"/>
              </w:rPr>
              <w:t>for</w:t>
            </w:r>
            <w:r w:rsidR="0002580E" w:rsidRPr="00D2768B">
              <w:rPr>
                <w:lang w:val="en-GB" w:eastAsia="it-IT"/>
              </w:rPr>
              <w:t xml:space="preserve"> each CPI evaluate the lead time </w:t>
            </w:r>
            <w:r w:rsidRPr="00D2768B">
              <w:rPr>
                <w:lang w:val="en-GB" w:eastAsia="it-IT"/>
              </w:rPr>
              <w:t xml:space="preserve">+ </w:t>
            </w:r>
            <w:r w:rsidR="000F2830" w:rsidRPr="00D2768B">
              <w:rPr>
                <w:lang w:val="en-GB" w:eastAsia="it-IT"/>
              </w:rPr>
              <w:t>for</w:t>
            </w:r>
            <w:r w:rsidR="0002580E" w:rsidRPr="00D2768B">
              <w:rPr>
                <w:lang w:val="en-GB" w:eastAsia="it-IT"/>
              </w:rPr>
              <w:t xml:space="preserve"> damage detection</w:t>
            </w:r>
          </w:p>
        </w:tc>
      </w:tr>
      <w:tr w:rsidR="00D2768B" w:rsidRPr="00D2768B" w14:paraId="4D2602B2" w14:textId="77777777" w:rsidTr="00455C91">
        <w:trPr>
          <w:trHeight w:val="20"/>
        </w:trPr>
        <w:tc>
          <w:tcPr>
            <w:tcW w:w="1420" w:type="dxa"/>
            <w:vMerge/>
            <w:tcBorders>
              <w:top w:val="single" w:sz="12" w:space="0" w:color="00B050"/>
              <w:left w:val="nil"/>
              <w:bottom w:val="single" w:sz="4" w:space="0" w:color="00B050"/>
              <w:right w:val="nil"/>
            </w:tcBorders>
            <w:vAlign w:val="center"/>
            <w:hideMark/>
          </w:tcPr>
          <w:p w14:paraId="2F8DE6A8" w14:textId="77777777" w:rsidR="0002580E" w:rsidRPr="00D2768B" w:rsidRDefault="0002580E" w:rsidP="00A565B5">
            <w:pPr>
              <w:pStyle w:val="CETBodytext"/>
              <w:rPr>
                <w:lang w:val="en-GB" w:eastAsia="it-IT"/>
              </w:rPr>
            </w:pPr>
          </w:p>
        </w:tc>
        <w:tc>
          <w:tcPr>
            <w:tcW w:w="7200" w:type="dxa"/>
            <w:tcBorders>
              <w:left w:val="nil"/>
              <w:bottom w:val="single" w:sz="6" w:space="0" w:color="00B050"/>
              <w:right w:val="nil"/>
            </w:tcBorders>
            <w:vAlign w:val="center"/>
            <w:hideMark/>
          </w:tcPr>
          <w:p w14:paraId="71D68129" w14:textId="55360DEE" w:rsidR="0002580E" w:rsidRPr="00D2768B" w:rsidRDefault="006C5F1E" w:rsidP="00A565B5">
            <w:pPr>
              <w:pStyle w:val="CETBodytext"/>
              <w:rPr>
                <w:lang w:val="en-GB" w:eastAsia="it-IT"/>
              </w:rPr>
            </w:pPr>
            <w:r w:rsidRPr="00D2768B">
              <w:rPr>
                <w:lang w:val="en-GB" w:eastAsia="it-IT"/>
              </w:rPr>
              <w:t xml:space="preserve">+ </w:t>
            </w:r>
            <w:r w:rsidR="000F2830" w:rsidRPr="00D2768B">
              <w:rPr>
                <w:lang w:val="en-GB" w:eastAsia="it-IT"/>
              </w:rPr>
              <w:t>for</w:t>
            </w:r>
            <w:r w:rsidR="0002580E" w:rsidRPr="00D2768B">
              <w:rPr>
                <w:lang w:val="en-GB" w:eastAsia="it-IT"/>
              </w:rPr>
              <w:t xml:space="preserve"> OE evaluate the velocity of change of the organizational context</w:t>
            </w:r>
          </w:p>
        </w:tc>
      </w:tr>
      <w:tr w:rsidR="00D2768B" w:rsidRPr="00D2768B" w14:paraId="78D2B999" w14:textId="77777777" w:rsidTr="00455C91">
        <w:trPr>
          <w:trHeight w:val="20"/>
        </w:trPr>
        <w:tc>
          <w:tcPr>
            <w:tcW w:w="1420" w:type="dxa"/>
            <w:vMerge w:val="restart"/>
            <w:tcBorders>
              <w:top w:val="nil"/>
              <w:left w:val="nil"/>
              <w:bottom w:val="single" w:sz="4" w:space="0" w:color="00B050"/>
              <w:right w:val="nil"/>
            </w:tcBorders>
            <w:vAlign w:val="center"/>
            <w:hideMark/>
          </w:tcPr>
          <w:p w14:paraId="464249CB" w14:textId="77777777" w:rsidR="0002580E" w:rsidRPr="00D2768B" w:rsidRDefault="0002580E" w:rsidP="00A565B5">
            <w:pPr>
              <w:pStyle w:val="CETBodytext"/>
              <w:rPr>
                <w:lang w:val="en-GB" w:eastAsia="it-IT"/>
              </w:rPr>
            </w:pPr>
            <w:r w:rsidRPr="00D2768B">
              <w:rPr>
                <w:lang w:val="en-GB" w:eastAsia="it-IT"/>
              </w:rPr>
              <w:t>Background factors</w:t>
            </w:r>
          </w:p>
        </w:tc>
        <w:tc>
          <w:tcPr>
            <w:tcW w:w="7200" w:type="dxa"/>
            <w:tcBorders>
              <w:top w:val="single" w:sz="6" w:space="0" w:color="00B050"/>
              <w:left w:val="nil"/>
              <w:right w:val="nil"/>
            </w:tcBorders>
            <w:vAlign w:val="center"/>
            <w:hideMark/>
          </w:tcPr>
          <w:p w14:paraId="7815D67F" w14:textId="30904DB3" w:rsidR="0002580E" w:rsidRPr="00D2768B" w:rsidRDefault="006C5F1E" w:rsidP="00A565B5">
            <w:pPr>
              <w:pStyle w:val="CETBodytext"/>
              <w:rPr>
                <w:lang w:val="en-GB" w:eastAsia="it-IT"/>
              </w:rPr>
            </w:pPr>
            <w:r w:rsidRPr="00D2768B">
              <w:rPr>
                <w:lang w:val="en-GB" w:eastAsia="it-IT"/>
              </w:rPr>
              <w:t xml:space="preserve">+ </w:t>
            </w:r>
            <w:r w:rsidR="000F2830" w:rsidRPr="00D2768B">
              <w:rPr>
                <w:lang w:val="en-GB" w:eastAsia="it-IT"/>
              </w:rPr>
              <w:t>for</w:t>
            </w:r>
            <w:r w:rsidR="0002580E" w:rsidRPr="00D2768B">
              <w:rPr>
                <w:lang w:val="en-GB" w:eastAsia="it-IT"/>
              </w:rPr>
              <w:t xml:space="preserve"> each CPI consider damages and defects recorded in the past </w:t>
            </w:r>
          </w:p>
        </w:tc>
      </w:tr>
      <w:tr w:rsidR="00D2768B" w:rsidRPr="00D2768B" w14:paraId="28901A98" w14:textId="77777777" w:rsidTr="00455C91">
        <w:trPr>
          <w:trHeight w:val="20"/>
        </w:trPr>
        <w:tc>
          <w:tcPr>
            <w:tcW w:w="1420" w:type="dxa"/>
            <w:vMerge/>
            <w:tcBorders>
              <w:top w:val="nil"/>
              <w:left w:val="nil"/>
              <w:bottom w:val="single" w:sz="4" w:space="0" w:color="00B050"/>
              <w:right w:val="nil"/>
            </w:tcBorders>
            <w:vAlign w:val="center"/>
            <w:hideMark/>
          </w:tcPr>
          <w:p w14:paraId="47271F56" w14:textId="77777777" w:rsidR="0002580E" w:rsidRPr="00D2768B" w:rsidRDefault="0002580E" w:rsidP="00A565B5">
            <w:pPr>
              <w:pStyle w:val="CETBodytext"/>
              <w:rPr>
                <w:lang w:val="en-GB" w:eastAsia="it-IT"/>
              </w:rPr>
            </w:pPr>
          </w:p>
        </w:tc>
        <w:tc>
          <w:tcPr>
            <w:tcW w:w="7200" w:type="dxa"/>
            <w:tcBorders>
              <w:top w:val="nil"/>
              <w:left w:val="nil"/>
              <w:right w:val="nil"/>
            </w:tcBorders>
            <w:vAlign w:val="center"/>
            <w:hideMark/>
          </w:tcPr>
          <w:p w14:paraId="42EA10B7" w14:textId="7670A7E8" w:rsidR="0002580E" w:rsidRPr="00D2768B" w:rsidRDefault="006C5F1E" w:rsidP="00A565B5">
            <w:pPr>
              <w:pStyle w:val="CETBodytext"/>
              <w:rPr>
                <w:lang w:val="en-GB" w:eastAsia="it-IT"/>
              </w:rPr>
            </w:pPr>
            <w:r w:rsidRPr="00D2768B">
              <w:rPr>
                <w:lang w:val="en-GB" w:eastAsia="it-IT"/>
              </w:rPr>
              <w:t xml:space="preserve">+ </w:t>
            </w:r>
            <w:r w:rsidR="000F2830" w:rsidRPr="00D2768B">
              <w:rPr>
                <w:lang w:val="en-GB" w:eastAsia="it-IT"/>
              </w:rPr>
              <w:t>for</w:t>
            </w:r>
            <w:r w:rsidR="0002580E" w:rsidRPr="00D2768B">
              <w:rPr>
                <w:lang w:val="en-GB" w:eastAsia="it-IT"/>
              </w:rPr>
              <w:t xml:space="preserve"> each CPI consider repair and change recorded in the past</w:t>
            </w:r>
          </w:p>
        </w:tc>
      </w:tr>
      <w:tr w:rsidR="00D2768B" w:rsidRPr="00D2768B" w14:paraId="2C0196C3" w14:textId="77777777" w:rsidTr="00455C91">
        <w:trPr>
          <w:trHeight w:val="20"/>
        </w:trPr>
        <w:tc>
          <w:tcPr>
            <w:tcW w:w="1420" w:type="dxa"/>
            <w:vMerge/>
            <w:tcBorders>
              <w:top w:val="nil"/>
              <w:left w:val="nil"/>
              <w:bottom w:val="single" w:sz="4" w:space="0" w:color="00B050"/>
              <w:right w:val="nil"/>
            </w:tcBorders>
            <w:vAlign w:val="center"/>
            <w:hideMark/>
          </w:tcPr>
          <w:p w14:paraId="3B58F217" w14:textId="77777777" w:rsidR="0002580E" w:rsidRPr="00D2768B" w:rsidRDefault="0002580E" w:rsidP="00A565B5">
            <w:pPr>
              <w:pStyle w:val="CETBodytext"/>
              <w:rPr>
                <w:lang w:val="en-GB" w:eastAsia="it-IT"/>
              </w:rPr>
            </w:pPr>
          </w:p>
        </w:tc>
        <w:tc>
          <w:tcPr>
            <w:tcW w:w="7200" w:type="dxa"/>
            <w:tcBorders>
              <w:top w:val="nil"/>
              <w:left w:val="nil"/>
              <w:right w:val="nil"/>
            </w:tcBorders>
            <w:vAlign w:val="center"/>
            <w:hideMark/>
          </w:tcPr>
          <w:p w14:paraId="5E4C3106" w14:textId="55A5F5EA" w:rsidR="0002580E" w:rsidRPr="00D2768B" w:rsidRDefault="006C5F1E" w:rsidP="00A565B5">
            <w:pPr>
              <w:pStyle w:val="CETBodytext"/>
              <w:rPr>
                <w:lang w:val="en-GB" w:eastAsia="it-IT"/>
              </w:rPr>
            </w:pPr>
            <w:r w:rsidRPr="00D2768B">
              <w:rPr>
                <w:lang w:val="en-GB" w:eastAsia="it-IT"/>
              </w:rPr>
              <w:t xml:space="preserve">+ </w:t>
            </w:r>
            <w:r w:rsidR="000F2830" w:rsidRPr="00D2768B">
              <w:rPr>
                <w:lang w:val="en-GB" w:eastAsia="it-IT"/>
              </w:rPr>
              <w:t>for</w:t>
            </w:r>
            <w:r w:rsidR="0002580E" w:rsidRPr="00D2768B">
              <w:rPr>
                <w:lang w:val="en-GB" w:eastAsia="it-IT"/>
              </w:rPr>
              <w:t xml:space="preserve"> each CPI consider failures recorded in the past</w:t>
            </w:r>
          </w:p>
        </w:tc>
      </w:tr>
      <w:tr w:rsidR="00D2768B" w:rsidRPr="00D2768B" w14:paraId="0C409F10" w14:textId="77777777" w:rsidTr="00455C91">
        <w:trPr>
          <w:trHeight w:val="20"/>
        </w:trPr>
        <w:tc>
          <w:tcPr>
            <w:tcW w:w="1420" w:type="dxa"/>
            <w:vMerge/>
            <w:tcBorders>
              <w:top w:val="nil"/>
              <w:left w:val="nil"/>
              <w:bottom w:val="single" w:sz="4" w:space="0" w:color="00B050"/>
              <w:right w:val="nil"/>
            </w:tcBorders>
            <w:vAlign w:val="center"/>
            <w:hideMark/>
          </w:tcPr>
          <w:p w14:paraId="540179AD" w14:textId="77777777" w:rsidR="0002580E" w:rsidRPr="00D2768B" w:rsidRDefault="0002580E" w:rsidP="00A565B5">
            <w:pPr>
              <w:pStyle w:val="CETBodytext"/>
              <w:rPr>
                <w:lang w:val="en-GB" w:eastAsia="it-IT"/>
              </w:rPr>
            </w:pPr>
          </w:p>
        </w:tc>
        <w:tc>
          <w:tcPr>
            <w:tcW w:w="7200" w:type="dxa"/>
            <w:tcBorders>
              <w:top w:val="nil"/>
              <w:left w:val="nil"/>
              <w:right w:val="nil"/>
            </w:tcBorders>
            <w:vAlign w:val="center"/>
            <w:hideMark/>
          </w:tcPr>
          <w:p w14:paraId="57A5BC96" w14:textId="283218FF" w:rsidR="0002580E" w:rsidRPr="00D2768B" w:rsidRDefault="006C5F1E" w:rsidP="00A565B5">
            <w:pPr>
              <w:pStyle w:val="CETBodytext"/>
              <w:rPr>
                <w:lang w:val="en-GB" w:eastAsia="it-IT"/>
              </w:rPr>
            </w:pPr>
            <w:r w:rsidRPr="00D2768B">
              <w:rPr>
                <w:lang w:val="en-GB" w:eastAsia="it-IT"/>
              </w:rPr>
              <w:t xml:space="preserve">+ </w:t>
            </w:r>
            <w:r w:rsidR="000F2830" w:rsidRPr="00D2768B">
              <w:rPr>
                <w:lang w:val="en-GB" w:eastAsia="it-IT"/>
              </w:rPr>
              <w:t>for</w:t>
            </w:r>
            <w:r w:rsidR="0002580E" w:rsidRPr="00D2768B">
              <w:rPr>
                <w:lang w:val="en-GB" w:eastAsia="it-IT"/>
              </w:rPr>
              <w:t xml:space="preserve"> each CPI consider process incidents recorded in the past</w:t>
            </w:r>
          </w:p>
        </w:tc>
      </w:tr>
      <w:tr w:rsidR="00D2768B" w:rsidRPr="00D2768B" w14:paraId="7AB071CF" w14:textId="77777777" w:rsidTr="00455C91">
        <w:trPr>
          <w:trHeight w:val="20"/>
        </w:trPr>
        <w:tc>
          <w:tcPr>
            <w:tcW w:w="1420" w:type="dxa"/>
            <w:vMerge/>
            <w:tcBorders>
              <w:top w:val="nil"/>
              <w:left w:val="nil"/>
              <w:bottom w:val="single" w:sz="4" w:space="0" w:color="00B050"/>
              <w:right w:val="nil"/>
            </w:tcBorders>
            <w:vAlign w:val="center"/>
            <w:hideMark/>
          </w:tcPr>
          <w:p w14:paraId="2622D0C0" w14:textId="77777777" w:rsidR="0002580E" w:rsidRPr="00D2768B" w:rsidRDefault="0002580E" w:rsidP="00A565B5">
            <w:pPr>
              <w:pStyle w:val="CETBodytext"/>
              <w:rPr>
                <w:lang w:val="en-GB" w:eastAsia="it-IT"/>
              </w:rPr>
            </w:pPr>
          </w:p>
        </w:tc>
        <w:tc>
          <w:tcPr>
            <w:tcW w:w="7200" w:type="dxa"/>
            <w:tcBorders>
              <w:top w:val="nil"/>
              <w:left w:val="nil"/>
              <w:right w:val="nil"/>
            </w:tcBorders>
            <w:vAlign w:val="center"/>
            <w:hideMark/>
          </w:tcPr>
          <w:p w14:paraId="20AF2879" w14:textId="0374E95E" w:rsidR="0002580E" w:rsidRPr="00D2768B" w:rsidRDefault="006C5F1E" w:rsidP="00A565B5">
            <w:pPr>
              <w:pStyle w:val="CETBodytext"/>
              <w:rPr>
                <w:lang w:val="en-GB" w:eastAsia="it-IT"/>
              </w:rPr>
            </w:pPr>
            <w:r w:rsidRPr="00D2768B">
              <w:rPr>
                <w:lang w:val="en-GB" w:eastAsia="it-IT"/>
              </w:rPr>
              <w:t xml:space="preserve">+ </w:t>
            </w:r>
            <w:r w:rsidR="000F2830" w:rsidRPr="00D2768B">
              <w:rPr>
                <w:lang w:val="en-GB" w:eastAsia="it-IT"/>
              </w:rPr>
              <w:t>for</w:t>
            </w:r>
            <w:r w:rsidR="0002580E" w:rsidRPr="00D2768B">
              <w:rPr>
                <w:lang w:val="en-GB" w:eastAsia="it-IT"/>
              </w:rPr>
              <w:t xml:space="preserve"> each CPI consider possible damages from natural events in the past</w:t>
            </w:r>
          </w:p>
        </w:tc>
      </w:tr>
      <w:tr w:rsidR="00D2768B" w:rsidRPr="00D2768B" w14:paraId="3C35BDAA" w14:textId="77777777" w:rsidTr="00455C91">
        <w:trPr>
          <w:trHeight w:val="20"/>
        </w:trPr>
        <w:tc>
          <w:tcPr>
            <w:tcW w:w="1420" w:type="dxa"/>
            <w:vMerge/>
            <w:tcBorders>
              <w:top w:val="nil"/>
              <w:left w:val="nil"/>
              <w:bottom w:val="single" w:sz="4" w:space="0" w:color="00B050"/>
              <w:right w:val="nil"/>
            </w:tcBorders>
            <w:vAlign w:val="center"/>
            <w:hideMark/>
          </w:tcPr>
          <w:p w14:paraId="5E0B19D1" w14:textId="77777777" w:rsidR="0002580E" w:rsidRPr="00D2768B" w:rsidRDefault="0002580E" w:rsidP="00A565B5">
            <w:pPr>
              <w:pStyle w:val="CETBodytext"/>
              <w:rPr>
                <w:lang w:val="en-GB" w:eastAsia="it-IT"/>
              </w:rPr>
            </w:pPr>
          </w:p>
        </w:tc>
        <w:tc>
          <w:tcPr>
            <w:tcW w:w="7200" w:type="dxa"/>
            <w:tcBorders>
              <w:top w:val="nil"/>
              <w:left w:val="nil"/>
              <w:bottom w:val="single" w:sz="4" w:space="0" w:color="00B050"/>
              <w:right w:val="nil"/>
            </w:tcBorders>
            <w:vAlign w:val="center"/>
            <w:hideMark/>
          </w:tcPr>
          <w:p w14:paraId="6AEA5E6F" w14:textId="4C299A6D" w:rsidR="0002580E" w:rsidRPr="00D2768B" w:rsidRDefault="006C5F1E" w:rsidP="00A565B5">
            <w:pPr>
              <w:pStyle w:val="CETBodytext"/>
              <w:rPr>
                <w:lang w:val="en-GB" w:eastAsia="it-IT"/>
              </w:rPr>
            </w:pPr>
            <w:r w:rsidRPr="00D2768B">
              <w:rPr>
                <w:lang w:val="en-GB" w:eastAsia="it-IT"/>
              </w:rPr>
              <w:t xml:space="preserve">+ </w:t>
            </w:r>
            <w:r w:rsidR="000F2830" w:rsidRPr="00D2768B">
              <w:rPr>
                <w:lang w:val="en-GB" w:eastAsia="it-IT"/>
              </w:rPr>
              <w:t>for</w:t>
            </w:r>
            <w:r w:rsidR="0002580E" w:rsidRPr="00D2768B">
              <w:rPr>
                <w:lang w:val="en-GB" w:eastAsia="it-IT"/>
              </w:rPr>
              <w:t xml:space="preserve"> OE consider impact of organizational changes in recent past</w:t>
            </w:r>
          </w:p>
        </w:tc>
      </w:tr>
      <w:tr w:rsidR="00D2768B" w:rsidRPr="00D2768B" w14:paraId="217C04C5" w14:textId="77777777" w:rsidTr="00455C91">
        <w:trPr>
          <w:trHeight w:val="20"/>
        </w:trPr>
        <w:tc>
          <w:tcPr>
            <w:tcW w:w="1420" w:type="dxa"/>
            <w:vMerge w:val="restart"/>
            <w:tcBorders>
              <w:top w:val="nil"/>
              <w:left w:val="nil"/>
              <w:bottom w:val="single" w:sz="4" w:space="0" w:color="00B050"/>
              <w:right w:val="nil"/>
            </w:tcBorders>
            <w:vAlign w:val="center"/>
            <w:hideMark/>
          </w:tcPr>
          <w:p w14:paraId="74B9E79D" w14:textId="77777777" w:rsidR="0002580E" w:rsidRPr="00D2768B" w:rsidRDefault="0002580E" w:rsidP="00A565B5">
            <w:pPr>
              <w:pStyle w:val="CETBodytext"/>
              <w:rPr>
                <w:lang w:val="en-GB" w:eastAsia="it-IT"/>
              </w:rPr>
            </w:pPr>
            <w:r w:rsidRPr="00D2768B">
              <w:rPr>
                <w:lang w:val="en-GB" w:eastAsia="it-IT"/>
              </w:rPr>
              <w:t>Complexity factors</w:t>
            </w:r>
          </w:p>
        </w:tc>
        <w:tc>
          <w:tcPr>
            <w:tcW w:w="7200" w:type="dxa"/>
            <w:tcBorders>
              <w:top w:val="single" w:sz="4" w:space="0" w:color="00B050"/>
              <w:left w:val="nil"/>
              <w:bottom w:val="nil"/>
              <w:right w:val="nil"/>
            </w:tcBorders>
            <w:vAlign w:val="center"/>
            <w:hideMark/>
          </w:tcPr>
          <w:p w14:paraId="1AF76F78" w14:textId="32474049" w:rsidR="0002580E" w:rsidRPr="00D2768B" w:rsidRDefault="006C5F1E" w:rsidP="00A565B5">
            <w:pPr>
              <w:pStyle w:val="CETBodytext"/>
              <w:rPr>
                <w:lang w:val="en-GB" w:eastAsia="it-IT"/>
              </w:rPr>
            </w:pPr>
            <w:r w:rsidRPr="00D2768B">
              <w:rPr>
                <w:lang w:val="en-GB" w:eastAsia="it-IT"/>
              </w:rPr>
              <w:t xml:space="preserve">+ </w:t>
            </w:r>
            <w:r w:rsidR="000F2830" w:rsidRPr="00D2768B">
              <w:rPr>
                <w:lang w:val="en-GB" w:eastAsia="it-IT"/>
              </w:rPr>
              <w:t>for</w:t>
            </w:r>
            <w:r w:rsidR="0002580E" w:rsidRPr="00D2768B">
              <w:rPr>
                <w:lang w:val="en-GB" w:eastAsia="it-IT"/>
              </w:rPr>
              <w:t xml:space="preserve"> each CPI understand damage mechanisms, related to feedstock, material, process</w:t>
            </w:r>
          </w:p>
        </w:tc>
      </w:tr>
      <w:tr w:rsidR="00D2768B" w:rsidRPr="00D2768B" w14:paraId="62C89D40" w14:textId="77777777" w:rsidTr="00455C91">
        <w:trPr>
          <w:trHeight w:val="20"/>
        </w:trPr>
        <w:tc>
          <w:tcPr>
            <w:tcW w:w="1420" w:type="dxa"/>
            <w:vMerge/>
            <w:tcBorders>
              <w:top w:val="nil"/>
              <w:left w:val="nil"/>
              <w:bottom w:val="single" w:sz="4" w:space="0" w:color="00B050"/>
              <w:right w:val="nil"/>
            </w:tcBorders>
            <w:vAlign w:val="center"/>
            <w:hideMark/>
          </w:tcPr>
          <w:p w14:paraId="2DCFB98E" w14:textId="77777777" w:rsidR="0002580E" w:rsidRPr="00D2768B" w:rsidRDefault="0002580E" w:rsidP="00A565B5">
            <w:pPr>
              <w:pStyle w:val="CETBodytext"/>
              <w:rPr>
                <w:lang w:val="en-GB" w:eastAsia="it-IT"/>
              </w:rPr>
            </w:pPr>
          </w:p>
        </w:tc>
        <w:tc>
          <w:tcPr>
            <w:tcW w:w="7200" w:type="dxa"/>
            <w:tcBorders>
              <w:left w:val="nil"/>
              <w:right w:val="nil"/>
            </w:tcBorders>
            <w:vAlign w:val="center"/>
            <w:hideMark/>
          </w:tcPr>
          <w:p w14:paraId="150E5B13" w14:textId="2B47DBA1" w:rsidR="0002580E" w:rsidRPr="00D2768B" w:rsidRDefault="006C5F1E" w:rsidP="00A565B5">
            <w:pPr>
              <w:pStyle w:val="CETBodytext"/>
              <w:rPr>
                <w:lang w:val="en-GB" w:eastAsia="it-IT"/>
              </w:rPr>
            </w:pPr>
            <w:r w:rsidRPr="00D2768B">
              <w:rPr>
                <w:lang w:val="en-GB" w:eastAsia="it-IT"/>
              </w:rPr>
              <w:t xml:space="preserve">+ </w:t>
            </w:r>
            <w:r w:rsidR="000F2830" w:rsidRPr="00D2768B">
              <w:rPr>
                <w:lang w:val="en-GB" w:eastAsia="it-IT"/>
              </w:rPr>
              <w:t>for</w:t>
            </w:r>
            <w:r w:rsidR="0002580E" w:rsidRPr="00D2768B">
              <w:rPr>
                <w:lang w:val="en-GB" w:eastAsia="it-IT"/>
              </w:rPr>
              <w:t xml:space="preserve"> each obsolete CDI understand non</w:t>
            </w:r>
            <w:r w:rsidRPr="00D2768B">
              <w:rPr>
                <w:lang w:val="en-GB" w:eastAsia="it-IT"/>
              </w:rPr>
              <w:t xml:space="preserve">- </w:t>
            </w:r>
            <w:r w:rsidR="0002580E" w:rsidRPr="00D2768B">
              <w:rPr>
                <w:lang w:val="en-GB" w:eastAsia="it-IT"/>
              </w:rPr>
              <w:t xml:space="preserve">linear effects of possible cyber attacks </w:t>
            </w:r>
          </w:p>
        </w:tc>
      </w:tr>
      <w:tr w:rsidR="00D2768B" w:rsidRPr="00D2768B" w14:paraId="6CE2E190" w14:textId="77777777" w:rsidTr="00455C91">
        <w:trPr>
          <w:trHeight w:val="20"/>
        </w:trPr>
        <w:tc>
          <w:tcPr>
            <w:tcW w:w="1420" w:type="dxa"/>
            <w:vMerge/>
            <w:tcBorders>
              <w:top w:val="nil"/>
              <w:left w:val="nil"/>
              <w:bottom w:val="single" w:sz="4" w:space="0" w:color="00B050"/>
              <w:right w:val="nil"/>
            </w:tcBorders>
            <w:vAlign w:val="center"/>
            <w:hideMark/>
          </w:tcPr>
          <w:p w14:paraId="454586AD" w14:textId="77777777" w:rsidR="0002580E" w:rsidRPr="00D2768B" w:rsidRDefault="0002580E" w:rsidP="00A565B5">
            <w:pPr>
              <w:pStyle w:val="CETBodytext"/>
              <w:rPr>
                <w:lang w:val="en-GB" w:eastAsia="it-IT"/>
              </w:rPr>
            </w:pPr>
          </w:p>
        </w:tc>
        <w:tc>
          <w:tcPr>
            <w:tcW w:w="7200" w:type="dxa"/>
            <w:tcBorders>
              <w:top w:val="nil"/>
              <w:left w:val="nil"/>
              <w:right w:val="nil"/>
            </w:tcBorders>
            <w:vAlign w:val="center"/>
            <w:hideMark/>
          </w:tcPr>
          <w:p w14:paraId="174C804E" w14:textId="1A3B9149" w:rsidR="0002580E" w:rsidRPr="00D2768B" w:rsidRDefault="006C5F1E" w:rsidP="00A565B5">
            <w:pPr>
              <w:pStyle w:val="CETBodytext"/>
              <w:rPr>
                <w:lang w:val="en-GB" w:eastAsia="it-IT"/>
              </w:rPr>
            </w:pPr>
            <w:r w:rsidRPr="00D2768B">
              <w:rPr>
                <w:lang w:val="en-GB" w:eastAsia="it-IT"/>
              </w:rPr>
              <w:t xml:space="preserve">+ </w:t>
            </w:r>
            <w:r w:rsidR="000F2830" w:rsidRPr="00D2768B">
              <w:rPr>
                <w:lang w:val="en-GB" w:eastAsia="it-IT"/>
              </w:rPr>
              <w:t>for</w:t>
            </w:r>
            <w:r w:rsidR="0002580E" w:rsidRPr="00D2768B">
              <w:rPr>
                <w:lang w:val="en-GB" w:eastAsia="it-IT"/>
              </w:rPr>
              <w:t xml:space="preserve"> each CPI, </w:t>
            </w:r>
            <w:r w:rsidR="003223E8" w:rsidRPr="00D2768B">
              <w:rPr>
                <w:lang w:val="en-GB" w:eastAsia="it-IT"/>
              </w:rPr>
              <w:t>understand non</w:t>
            </w:r>
            <w:r w:rsidRPr="00D2768B">
              <w:rPr>
                <w:lang w:val="en-GB" w:eastAsia="it-IT"/>
              </w:rPr>
              <w:t xml:space="preserve">- </w:t>
            </w:r>
            <w:r w:rsidR="0002580E" w:rsidRPr="00D2768B">
              <w:rPr>
                <w:lang w:val="en-GB" w:eastAsia="it-IT"/>
              </w:rPr>
              <w:t>linear effects of ageing on Na</w:t>
            </w:r>
            <w:r w:rsidRPr="00D2768B">
              <w:rPr>
                <w:lang w:val="en-GB" w:eastAsia="it-IT"/>
              </w:rPr>
              <w:t xml:space="preserve">- </w:t>
            </w:r>
            <w:r w:rsidR="0002580E" w:rsidRPr="00D2768B">
              <w:rPr>
                <w:lang w:val="en-GB" w:eastAsia="it-IT"/>
              </w:rPr>
              <w:t>Tech vulnerability</w:t>
            </w:r>
          </w:p>
        </w:tc>
      </w:tr>
      <w:tr w:rsidR="00D2768B" w:rsidRPr="00D2768B" w14:paraId="5A14C894" w14:textId="77777777" w:rsidTr="00455C91">
        <w:trPr>
          <w:trHeight w:val="20"/>
        </w:trPr>
        <w:tc>
          <w:tcPr>
            <w:tcW w:w="1420" w:type="dxa"/>
            <w:vMerge/>
            <w:tcBorders>
              <w:top w:val="nil"/>
              <w:left w:val="nil"/>
              <w:bottom w:val="single" w:sz="4" w:space="0" w:color="00B050"/>
              <w:right w:val="nil"/>
            </w:tcBorders>
            <w:vAlign w:val="center"/>
            <w:hideMark/>
          </w:tcPr>
          <w:p w14:paraId="56F4381D" w14:textId="77777777" w:rsidR="0002580E" w:rsidRPr="00D2768B" w:rsidRDefault="0002580E" w:rsidP="00A565B5">
            <w:pPr>
              <w:pStyle w:val="CETBodytext"/>
              <w:rPr>
                <w:lang w:val="en-GB" w:eastAsia="it-IT"/>
              </w:rPr>
            </w:pPr>
          </w:p>
        </w:tc>
        <w:tc>
          <w:tcPr>
            <w:tcW w:w="7200" w:type="dxa"/>
            <w:tcBorders>
              <w:top w:val="nil"/>
              <w:left w:val="nil"/>
              <w:right w:val="nil"/>
            </w:tcBorders>
            <w:vAlign w:val="center"/>
            <w:hideMark/>
          </w:tcPr>
          <w:p w14:paraId="72199277" w14:textId="3773D0CF" w:rsidR="0002580E" w:rsidRPr="00D2768B" w:rsidRDefault="006C5F1E" w:rsidP="00A565B5">
            <w:pPr>
              <w:pStyle w:val="CETBodytext"/>
              <w:rPr>
                <w:lang w:val="en-GB" w:eastAsia="it-IT"/>
              </w:rPr>
            </w:pPr>
            <w:r w:rsidRPr="00D2768B">
              <w:rPr>
                <w:lang w:val="en-GB" w:eastAsia="it-IT"/>
              </w:rPr>
              <w:t xml:space="preserve">+ </w:t>
            </w:r>
            <w:r w:rsidR="000F2830" w:rsidRPr="00D2768B">
              <w:rPr>
                <w:lang w:val="en-GB" w:eastAsia="it-IT"/>
              </w:rPr>
              <w:t>for</w:t>
            </w:r>
            <w:r w:rsidR="0002580E" w:rsidRPr="00D2768B">
              <w:rPr>
                <w:lang w:val="en-GB" w:eastAsia="it-IT"/>
              </w:rPr>
              <w:t xml:space="preserve"> each CPI, </w:t>
            </w:r>
            <w:r w:rsidR="003223E8" w:rsidRPr="00D2768B">
              <w:rPr>
                <w:lang w:val="en-GB" w:eastAsia="it-IT"/>
              </w:rPr>
              <w:t>understand non</w:t>
            </w:r>
            <w:r w:rsidRPr="00D2768B">
              <w:rPr>
                <w:lang w:val="en-GB" w:eastAsia="it-IT"/>
              </w:rPr>
              <w:t xml:space="preserve">- </w:t>
            </w:r>
            <w:r w:rsidR="0002580E" w:rsidRPr="00D2768B">
              <w:rPr>
                <w:lang w:val="en-GB" w:eastAsia="it-IT"/>
              </w:rPr>
              <w:t>linear effects of obsolescence on degradation</w:t>
            </w:r>
          </w:p>
        </w:tc>
      </w:tr>
      <w:tr w:rsidR="00D2768B" w:rsidRPr="00D2768B" w14:paraId="324296B5" w14:textId="77777777" w:rsidTr="00455C91">
        <w:trPr>
          <w:trHeight w:val="20"/>
        </w:trPr>
        <w:tc>
          <w:tcPr>
            <w:tcW w:w="1420" w:type="dxa"/>
            <w:vMerge/>
            <w:tcBorders>
              <w:top w:val="nil"/>
              <w:left w:val="nil"/>
              <w:bottom w:val="single" w:sz="4" w:space="0" w:color="00B050"/>
              <w:right w:val="nil"/>
            </w:tcBorders>
            <w:vAlign w:val="center"/>
            <w:hideMark/>
          </w:tcPr>
          <w:p w14:paraId="6A5FBE97" w14:textId="77777777" w:rsidR="0002580E" w:rsidRPr="00D2768B" w:rsidRDefault="0002580E" w:rsidP="00A565B5">
            <w:pPr>
              <w:pStyle w:val="CETBodytext"/>
              <w:rPr>
                <w:lang w:val="en-GB" w:eastAsia="it-IT"/>
              </w:rPr>
            </w:pPr>
          </w:p>
        </w:tc>
        <w:tc>
          <w:tcPr>
            <w:tcW w:w="7200" w:type="dxa"/>
            <w:tcBorders>
              <w:top w:val="nil"/>
              <w:left w:val="nil"/>
              <w:right w:val="nil"/>
            </w:tcBorders>
            <w:vAlign w:val="center"/>
            <w:hideMark/>
          </w:tcPr>
          <w:p w14:paraId="761F851D" w14:textId="36323458" w:rsidR="0002580E" w:rsidRPr="00D2768B" w:rsidRDefault="006C5F1E" w:rsidP="00A565B5">
            <w:pPr>
              <w:pStyle w:val="CETBodytext"/>
              <w:rPr>
                <w:lang w:val="en-GB" w:eastAsia="it-IT"/>
              </w:rPr>
            </w:pPr>
            <w:r w:rsidRPr="00D2768B">
              <w:rPr>
                <w:lang w:val="en-GB" w:eastAsia="it-IT"/>
              </w:rPr>
              <w:t xml:space="preserve">- </w:t>
            </w:r>
            <w:r w:rsidR="000F2830" w:rsidRPr="00D2768B">
              <w:rPr>
                <w:lang w:val="en-GB" w:eastAsia="it-IT"/>
              </w:rPr>
              <w:t>for</w:t>
            </w:r>
            <w:r w:rsidR="0002580E" w:rsidRPr="00D2768B">
              <w:rPr>
                <w:lang w:val="en-GB" w:eastAsia="it-IT"/>
              </w:rPr>
              <w:t xml:space="preserve"> each CPI, if present, consider effectiveness of active protection systems</w:t>
            </w:r>
          </w:p>
        </w:tc>
      </w:tr>
      <w:tr w:rsidR="00D2768B" w:rsidRPr="00D2768B" w14:paraId="516C0AAE" w14:textId="77777777" w:rsidTr="00455C91">
        <w:trPr>
          <w:trHeight w:val="20"/>
        </w:trPr>
        <w:tc>
          <w:tcPr>
            <w:tcW w:w="1420" w:type="dxa"/>
            <w:vMerge/>
            <w:tcBorders>
              <w:top w:val="nil"/>
              <w:left w:val="nil"/>
              <w:bottom w:val="single" w:sz="4" w:space="0" w:color="00B050"/>
              <w:right w:val="nil"/>
            </w:tcBorders>
            <w:vAlign w:val="center"/>
            <w:hideMark/>
          </w:tcPr>
          <w:p w14:paraId="3F9C6A42" w14:textId="77777777" w:rsidR="0002580E" w:rsidRPr="00D2768B" w:rsidRDefault="0002580E" w:rsidP="00A565B5">
            <w:pPr>
              <w:pStyle w:val="CETBodytext"/>
              <w:rPr>
                <w:lang w:val="en-GB" w:eastAsia="it-IT"/>
              </w:rPr>
            </w:pPr>
          </w:p>
        </w:tc>
        <w:tc>
          <w:tcPr>
            <w:tcW w:w="7200" w:type="dxa"/>
            <w:tcBorders>
              <w:top w:val="nil"/>
              <w:left w:val="nil"/>
              <w:right w:val="nil"/>
            </w:tcBorders>
            <w:vAlign w:val="center"/>
            <w:hideMark/>
          </w:tcPr>
          <w:p w14:paraId="6EA52AE8" w14:textId="36D21D65" w:rsidR="0002580E" w:rsidRPr="00D2768B" w:rsidRDefault="006C5F1E" w:rsidP="00A565B5">
            <w:pPr>
              <w:pStyle w:val="CETBodytext"/>
              <w:rPr>
                <w:lang w:val="en-GB" w:eastAsia="it-IT"/>
              </w:rPr>
            </w:pPr>
            <w:r w:rsidRPr="00D2768B">
              <w:rPr>
                <w:lang w:val="en-GB" w:eastAsia="it-IT"/>
              </w:rPr>
              <w:t xml:space="preserve">- </w:t>
            </w:r>
            <w:r w:rsidR="000F2830" w:rsidRPr="00D2768B">
              <w:rPr>
                <w:lang w:val="en-GB" w:eastAsia="it-IT"/>
              </w:rPr>
              <w:t>for</w:t>
            </w:r>
            <w:r w:rsidR="0002580E" w:rsidRPr="00D2768B">
              <w:rPr>
                <w:lang w:val="en-GB" w:eastAsia="it-IT"/>
              </w:rPr>
              <w:t xml:space="preserve"> each CPI, if </w:t>
            </w:r>
            <w:r w:rsidR="00753929" w:rsidRPr="00D2768B">
              <w:rPr>
                <w:lang w:val="en-GB" w:eastAsia="it-IT"/>
              </w:rPr>
              <w:t>present, consider</w:t>
            </w:r>
            <w:r w:rsidR="0002580E" w:rsidRPr="00D2768B">
              <w:rPr>
                <w:lang w:val="en-GB" w:eastAsia="it-IT"/>
              </w:rPr>
              <w:t xml:space="preserve"> effectiveness of passive protection systems</w:t>
            </w:r>
          </w:p>
        </w:tc>
      </w:tr>
      <w:tr w:rsidR="00D2768B" w:rsidRPr="00D2768B" w14:paraId="21863145" w14:textId="77777777" w:rsidTr="00455C91">
        <w:trPr>
          <w:trHeight w:val="20"/>
        </w:trPr>
        <w:tc>
          <w:tcPr>
            <w:tcW w:w="1420" w:type="dxa"/>
            <w:vMerge/>
            <w:tcBorders>
              <w:top w:val="nil"/>
              <w:left w:val="nil"/>
              <w:bottom w:val="single" w:sz="4" w:space="0" w:color="00B050"/>
              <w:right w:val="nil"/>
            </w:tcBorders>
            <w:vAlign w:val="center"/>
            <w:hideMark/>
          </w:tcPr>
          <w:p w14:paraId="38E28D8D" w14:textId="77777777" w:rsidR="0002580E" w:rsidRPr="00D2768B" w:rsidRDefault="0002580E" w:rsidP="00A565B5">
            <w:pPr>
              <w:pStyle w:val="CETBodytext"/>
              <w:rPr>
                <w:lang w:val="en-GB" w:eastAsia="it-IT"/>
              </w:rPr>
            </w:pPr>
          </w:p>
        </w:tc>
        <w:tc>
          <w:tcPr>
            <w:tcW w:w="7200" w:type="dxa"/>
            <w:tcBorders>
              <w:top w:val="nil"/>
              <w:left w:val="nil"/>
              <w:bottom w:val="single" w:sz="4" w:space="0" w:color="00B050"/>
              <w:right w:val="nil"/>
            </w:tcBorders>
            <w:vAlign w:val="center"/>
            <w:hideMark/>
          </w:tcPr>
          <w:p w14:paraId="665D39FB" w14:textId="67F05144" w:rsidR="0002580E" w:rsidRPr="00D2768B" w:rsidRDefault="006C5F1E" w:rsidP="00A565B5">
            <w:pPr>
              <w:pStyle w:val="CETBodytext"/>
              <w:rPr>
                <w:lang w:val="en-GB" w:eastAsia="it-IT"/>
              </w:rPr>
            </w:pPr>
            <w:r w:rsidRPr="00D2768B">
              <w:rPr>
                <w:lang w:val="en-GB" w:eastAsia="it-IT"/>
              </w:rPr>
              <w:t xml:space="preserve">- </w:t>
            </w:r>
            <w:r w:rsidR="000F2830" w:rsidRPr="00D2768B">
              <w:rPr>
                <w:lang w:val="en-GB" w:eastAsia="it-IT"/>
              </w:rPr>
              <w:t>for</w:t>
            </w:r>
            <w:r w:rsidR="0002580E" w:rsidRPr="00D2768B">
              <w:rPr>
                <w:lang w:val="en-GB" w:eastAsia="it-IT"/>
              </w:rPr>
              <w:t xml:space="preserve"> each CPI consider the effectiveness of inspection techniques</w:t>
            </w:r>
          </w:p>
        </w:tc>
      </w:tr>
      <w:tr w:rsidR="00D2768B" w:rsidRPr="00D2768B" w14:paraId="4800B5E9" w14:textId="77777777" w:rsidTr="00455C91">
        <w:trPr>
          <w:trHeight w:val="20"/>
        </w:trPr>
        <w:tc>
          <w:tcPr>
            <w:tcW w:w="1420" w:type="dxa"/>
            <w:vMerge w:val="restart"/>
            <w:tcBorders>
              <w:top w:val="single" w:sz="4" w:space="0" w:color="00B050"/>
              <w:left w:val="nil"/>
              <w:right w:val="nil"/>
            </w:tcBorders>
            <w:vAlign w:val="center"/>
            <w:hideMark/>
          </w:tcPr>
          <w:p w14:paraId="341CEACD" w14:textId="77777777" w:rsidR="0002580E" w:rsidRPr="00D2768B" w:rsidRDefault="0002580E" w:rsidP="00A565B5">
            <w:pPr>
              <w:pStyle w:val="CETBodytext"/>
              <w:rPr>
                <w:lang w:val="en-GB" w:eastAsia="it-IT"/>
              </w:rPr>
            </w:pPr>
            <w:r w:rsidRPr="00D2768B">
              <w:rPr>
                <w:lang w:val="en-GB" w:eastAsia="it-IT"/>
              </w:rPr>
              <w:t>Controllability factors</w:t>
            </w:r>
          </w:p>
        </w:tc>
        <w:tc>
          <w:tcPr>
            <w:tcW w:w="7200" w:type="dxa"/>
            <w:tcBorders>
              <w:top w:val="single" w:sz="4" w:space="0" w:color="00B050"/>
              <w:left w:val="nil"/>
              <w:right w:val="nil"/>
            </w:tcBorders>
            <w:vAlign w:val="center"/>
            <w:hideMark/>
          </w:tcPr>
          <w:p w14:paraId="54687FEE" w14:textId="1868B87C" w:rsidR="0002580E" w:rsidRPr="00D2768B" w:rsidRDefault="006C5F1E" w:rsidP="00A565B5">
            <w:pPr>
              <w:pStyle w:val="CETBodytext"/>
              <w:rPr>
                <w:lang w:val="en-GB" w:eastAsia="it-IT"/>
              </w:rPr>
            </w:pPr>
            <w:r w:rsidRPr="00D2768B">
              <w:rPr>
                <w:lang w:val="en-GB" w:eastAsia="it-IT"/>
              </w:rPr>
              <w:t xml:space="preserve">+ </w:t>
            </w:r>
            <w:r w:rsidR="000F2830" w:rsidRPr="00D2768B">
              <w:rPr>
                <w:lang w:val="en-GB" w:eastAsia="it-IT"/>
              </w:rPr>
              <w:t>for</w:t>
            </w:r>
            <w:r w:rsidR="0002580E" w:rsidRPr="00D2768B">
              <w:rPr>
                <w:lang w:val="en-GB" w:eastAsia="it-IT"/>
              </w:rPr>
              <w:t xml:space="preserve"> each CPI consider possible lack of assistance or spare parts</w:t>
            </w:r>
          </w:p>
        </w:tc>
      </w:tr>
      <w:tr w:rsidR="00D2768B" w:rsidRPr="00D2768B" w14:paraId="447CBFA5" w14:textId="77777777" w:rsidTr="00455C91">
        <w:trPr>
          <w:trHeight w:val="20"/>
        </w:trPr>
        <w:tc>
          <w:tcPr>
            <w:tcW w:w="1420" w:type="dxa"/>
            <w:vMerge/>
            <w:tcBorders>
              <w:top w:val="nil"/>
              <w:left w:val="nil"/>
              <w:right w:val="nil"/>
            </w:tcBorders>
            <w:vAlign w:val="center"/>
            <w:hideMark/>
          </w:tcPr>
          <w:p w14:paraId="5E4F8D6D" w14:textId="77777777" w:rsidR="0002580E" w:rsidRPr="00D2768B" w:rsidRDefault="0002580E" w:rsidP="00A565B5">
            <w:pPr>
              <w:pStyle w:val="CETBodytext"/>
              <w:rPr>
                <w:lang w:val="en-GB" w:eastAsia="it-IT"/>
              </w:rPr>
            </w:pPr>
          </w:p>
        </w:tc>
        <w:tc>
          <w:tcPr>
            <w:tcW w:w="7200" w:type="dxa"/>
            <w:tcBorders>
              <w:top w:val="nil"/>
              <w:left w:val="nil"/>
              <w:right w:val="nil"/>
            </w:tcBorders>
            <w:vAlign w:val="center"/>
            <w:hideMark/>
          </w:tcPr>
          <w:p w14:paraId="2CF16A03" w14:textId="60159A1F" w:rsidR="0002580E" w:rsidRPr="00D2768B" w:rsidRDefault="006C5F1E" w:rsidP="00A565B5">
            <w:pPr>
              <w:pStyle w:val="CETBodytext"/>
              <w:rPr>
                <w:lang w:val="en-GB" w:eastAsia="it-IT"/>
              </w:rPr>
            </w:pPr>
            <w:r w:rsidRPr="00D2768B">
              <w:rPr>
                <w:lang w:val="en-GB" w:eastAsia="it-IT"/>
              </w:rPr>
              <w:t xml:space="preserve">+ </w:t>
            </w:r>
            <w:r w:rsidR="000F2830" w:rsidRPr="00D2768B">
              <w:rPr>
                <w:lang w:val="en-GB" w:eastAsia="it-IT"/>
              </w:rPr>
              <w:t>for</w:t>
            </w:r>
            <w:r w:rsidR="0002580E" w:rsidRPr="00D2768B">
              <w:rPr>
                <w:lang w:val="en-GB" w:eastAsia="it-IT"/>
              </w:rPr>
              <w:t xml:space="preserve"> each CDI consider possible lack of upgrading or patching</w:t>
            </w:r>
          </w:p>
        </w:tc>
      </w:tr>
      <w:tr w:rsidR="00D2768B" w:rsidRPr="00D2768B" w14:paraId="43A14CE3" w14:textId="77777777" w:rsidTr="00455C91">
        <w:trPr>
          <w:trHeight w:val="20"/>
        </w:trPr>
        <w:tc>
          <w:tcPr>
            <w:tcW w:w="1420" w:type="dxa"/>
            <w:vMerge/>
            <w:tcBorders>
              <w:top w:val="nil"/>
              <w:left w:val="nil"/>
              <w:right w:val="nil"/>
            </w:tcBorders>
            <w:vAlign w:val="center"/>
            <w:hideMark/>
          </w:tcPr>
          <w:p w14:paraId="00D0EC85" w14:textId="77777777" w:rsidR="0002580E" w:rsidRPr="00D2768B" w:rsidRDefault="0002580E" w:rsidP="00A565B5">
            <w:pPr>
              <w:pStyle w:val="CETBodytext"/>
              <w:rPr>
                <w:lang w:val="en-GB" w:eastAsia="it-IT"/>
              </w:rPr>
            </w:pPr>
          </w:p>
        </w:tc>
        <w:tc>
          <w:tcPr>
            <w:tcW w:w="7200" w:type="dxa"/>
            <w:tcBorders>
              <w:top w:val="nil"/>
              <w:left w:val="nil"/>
              <w:right w:val="nil"/>
            </w:tcBorders>
            <w:vAlign w:val="center"/>
            <w:hideMark/>
          </w:tcPr>
          <w:p w14:paraId="6A0E5A0B" w14:textId="545DB390" w:rsidR="0002580E" w:rsidRPr="00D2768B" w:rsidRDefault="006C5F1E" w:rsidP="00A565B5">
            <w:pPr>
              <w:pStyle w:val="CETBodytext"/>
              <w:rPr>
                <w:lang w:val="en-GB" w:eastAsia="it-IT"/>
              </w:rPr>
            </w:pPr>
            <w:r w:rsidRPr="00D2768B">
              <w:rPr>
                <w:lang w:val="en-GB" w:eastAsia="it-IT"/>
              </w:rPr>
              <w:t xml:space="preserve">+ </w:t>
            </w:r>
            <w:r w:rsidR="000F2830" w:rsidRPr="00D2768B">
              <w:rPr>
                <w:lang w:val="en-GB" w:eastAsia="it-IT"/>
              </w:rPr>
              <w:t>for</w:t>
            </w:r>
            <w:r w:rsidR="0002580E" w:rsidRPr="00D2768B">
              <w:rPr>
                <w:lang w:val="en-GB" w:eastAsia="it-IT"/>
              </w:rPr>
              <w:t xml:space="preserve"> OE consider possible disrupting impacts of Market uncertainties</w:t>
            </w:r>
          </w:p>
        </w:tc>
      </w:tr>
      <w:tr w:rsidR="00D2768B" w:rsidRPr="00D2768B" w14:paraId="4156C740" w14:textId="77777777" w:rsidTr="00455C91">
        <w:trPr>
          <w:trHeight w:val="20"/>
        </w:trPr>
        <w:tc>
          <w:tcPr>
            <w:tcW w:w="1420" w:type="dxa"/>
            <w:vMerge/>
            <w:tcBorders>
              <w:top w:val="nil"/>
              <w:left w:val="nil"/>
              <w:right w:val="nil"/>
            </w:tcBorders>
            <w:vAlign w:val="center"/>
            <w:hideMark/>
          </w:tcPr>
          <w:p w14:paraId="1E0F6D32" w14:textId="77777777" w:rsidR="0002580E" w:rsidRPr="00D2768B" w:rsidRDefault="0002580E" w:rsidP="00A565B5">
            <w:pPr>
              <w:pStyle w:val="CETBodytext"/>
              <w:rPr>
                <w:lang w:val="en-GB" w:eastAsia="it-IT"/>
              </w:rPr>
            </w:pPr>
          </w:p>
        </w:tc>
        <w:tc>
          <w:tcPr>
            <w:tcW w:w="7200" w:type="dxa"/>
            <w:tcBorders>
              <w:top w:val="nil"/>
              <w:left w:val="nil"/>
              <w:right w:val="nil"/>
            </w:tcBorders>
            <w:vAlign w:val="center"/>
            <w:hideMark/>
          </w:tcPr>
          <w:p w14:paraId="50DCCAA4" w14:textId="0BFFDB11" w:rsidR="0002580E" w:rsidRPr="00D2768B" w:rsidRDefault="006C5F1E" w:rsidP="00A565B5">
            <w:pPr>
              <w:pStyle w:val="CETBodytext"/>
              <w:rPr>
                <w:lang w:val="en-GB" w:eastAsia="it-IT"/>
              </w:rPr>
            </w:pPr>
            <w:r w:rsidRPr="00D2768B">
              <w:rPr>
                <w:lang w:val="en-GB" w:eastAsia="it-IT"/>
              </w:rPr>
              <w:t xml:space="preserve">+ </w:t>
            </w:r>
            <w:r w:rsidR="000F2830" w:rsidRPr="00D2768B">
              <w:rPr>
                <w:lang w:val="en-GB" w:eastAsia="it-IT"/>
              </w:rPr>
              <w:t>for</w:t>
            </w:r>
            <w:r w:rsidR="0002580E" w:rsidRPr="00D2768B">
              <w:rPr>
                <w:lang w:val="en-GB" w:eastAsia="it-IT"/>
              </w:rPr>
              <w:t xml:space="preserve"> OE consider impact of Local, National International political uncertainties</w:t>
            </w:r>
          </w:p>
        </w:tc>
      </w:tr>
      <w:tr w:rsidR="00D2768B" w:rsidRPr="00D2768B" w14:paraId="009DBA98" w14:textId="77777777" w:rsidTr="00455C91">
        <w:trPr>
          <w:trHeight w:val="20"/>
        </w:trPr>
        <w:tc>
          <w:tcPr>
            <w:tcW w:w="1420" w:type="dxa"/>
            <w:vMerge/>
            <w:tcBorders>
              <w:top w:val="nil"/>
              <w:left w:val="nil"/>
              <w:right w:val="nil"/>
            </w:tcBorders>
            <w:vAlign w:val="center"/>
            <w:hideMark/>
          </w:tcPr>
          <w:p w14:paraId="3926BBA4" w14:textId="77777777" w:rsidR="0002580E" w:rsidRPr="00D2768B" w:rsidRDefault="0002580E" w:rsidP="00A565B5">
            <w:pPr>
              <w:pStyle w:val="CETBodytext"/>
              <w:rPr>
                <w:lang w:val="en-GB" w:eastAsia="it-IT"/>
              </w:rPr>
            </w:pPr>
          </w:p>
        </w:tc>
        <w:tc>
          <w:tcPr>
            <w:tcW w:w="7200" w:type="dxa"/>
            <w:tcBorders>
              <w:top w:val="nil"/>
              <w:left w:val="nil"/>
              <w:right w:val="nil"/>
            </w:tcBorders>
            <w:vAlign w:val="center"/>
            <w:hideMark/>
          </w:tcPr>
          <w:p w14:paraId="1DF950CE" w14:textId="67EF3619" w:rsidR="0002580E" w:rsidRPr="00D2768B" w:rsidRDefault="006C5F1E" w:rsidP="00A565B5">
            <w:pPr>
              <w:pStyle w:val="CETBodytext"/>
              <w:rPr>
                <w:lang w:val="en-GB" w:eastAsia="it-IT"/>
              </w:rPr>
            </w:pPr>
            <w:r w:rsidRPr="00D2768B">
              <w:rPr>
                <w:lang w:val="en-GB" w:eastAsia="it-IT"/>
              </w:rPr>
              <w:t xml:space="preserve">+ </w:t>
            </w:r>
            <w:r w:rsidR="000F2830" w:rsidRPr="00D2768B">
              <w:rPr>
                <w:lang w:val="en-GB" w:eastAsia="it-IT"/>
              </w:rPr>
              <w:t>for</w:t>
            </w:r>
            <w:r w:rsidR="0002580E" w:rsidRPr="00D2768B">
              <w:rPr>
                <w:lang w:val="en-GB" w:eastAsia="it-IT"/>
              </w:rPr>
              <w:t xml:space="preserve"> OE consider possible disrupting impacts of </w:t>
            </w:r>
            <w:r w:rsidR="001E77FB" w:rsidRPr="00D2768B">
              <w:rPr>
                <w:lang w:val="en-GB" w:eastAsia="it-IT"/>
              </w:rPr>
              <w:t>Financial Context</w:t>
            </w:r>
          </w:p>
        </w:tc>
      </w:tr>
      <w:tr w:rsidR="00D2768B" w:rsidRPr="00D2768B" w14:paraId="34957453" w14:textId="77777777" w:rsidTr="00455C91">
        <w:trPr>
          <w:trHeight w:val="20"/>
        </w:trPr>
        <w:tc>
          <w:tcPr>
            <w:tcW w:w="1420" w:type="dxa"/>
            <w:vMerge/>
            <w:tcBorders>
              <w:top w:val="nil"/>
              <w:left w:val="nil"/>
              <w:bottom w:val="single" w:sz="4" w:space="0" w:color="00B050"/>
              <w:right w:val="nil"/>
            </w:tcBorders>
            <w:vAlign w:val="center"/>
            <w:hideMark/>
          </w:tcPr>
          <w:p w14:paraId="3E0BFED5" w14:textId="77777777" w:rsidR="0002580E" w:rsidRPr="00D2768B" w:rsidRDefault="0002580E" w:rsidP="00A565B5">
            <w:pPr>
              <w:pStyle w:val="CETBodytext"/>
              <w:rPr>
                <w:lang w:val="en-GB" w:eastAsia="it-IT"/>
              </w:rPr>
            </w:pPr>
          </w:p>
        </w:tc>
        <w:tc>
          <w:tcPr>
            <w:tcW w:w="7200" w:type="dxa"/>
            <w:tcBorders>
              <w:top w:val="nil"/>
              <w:left w:val="nil"/>
              <w:bottom w:val="single" w:sz="4" w:space="0" w:color="00B050"/>
              <w:right w:val="nil"/>
            </w:tcBorders>
            <w:vAlign w:val="center"/>
            <w:hideMark/>
          </w:tcPr>
          <w:p w14:paraId="6D3C1243" w14:textId="68FAB06F" w:rsidR="0002580E" w:rsidRPr="00D2768B" w:rsidRDefault="006C5F1E" w:rsidP="00A565B5">
            <w:pPr>
              <w:pStyle w:val="CETBodytext"/>
              <w:rPr>
                <w:lang w:val="en-GB" w:eastAsia="it-IT"/>
              </w:rPr>
            </w:pPr>
            <w:r w:rsidRPr="00D2768B">
              <w:rPr>
                <w:lang w:val="en-GB" w:eastAsia="it-IT"/>
              </w:rPr>
              <w:t xml:space="preserve">+ </w:t>
            </w:r>
            <w:r w:rsidR="000F2830" w:rsidRPr="00D2768B">
              <w:rPr>
                <w:lang w:val="en-GB" w:eastAsia="it-IT"/>
              </w:rPr>
              <w:t>for</w:t>
            </w:r>
            <w:r w:rsidR="0002580E" w:rsidRPr="00D2768B">
              <w:rPr>
                <w:lang w:val="en-GB" w:eastAsia="it-IT"/>
              </w:rPr>
              <w:t xml:space="preserve"> OE consider possible disrupting impacts of Organizational changes</w:t>
            </w:r>
          </w:p>
        </w:tc>
      </w:tr>
      <w:tr w:rsidR="00D2768B" w:rsidRPr="00D2768B" w14:paraId="0FCE6D05" w14:textId="77777777" w:rsidTr="00455C91">
        <w:trPr>
          <w:trHeight w:val="20"/>
        </w:trPr>
        <w:tc>
          <w:tcPr>
            <w:tcW w:w="1420" w:type="dxa"/>
            <w:vMerge w:val="restart"/>
            <w:tcBorders>
              <w:top w:val="nil"/>
              <w:left w:val="nil"/>
              <w:bottom w:val="single" w:sz="4" w:space="0" w:color="00B050"/>
              <w:right w:val="nil"/>
            </w:tcBorders>
            <w:vAlign w:val="center"/>
            <w:hideMark/>
          </w:tcPr>
          <w:p w14:paraId="649C61DA" w14:textId="45A832E9" w:rsidR="0002580E" w:rsidRPr="00D2768B" w:rsidRDefault="0002580E" w:rsidP="00A565B5">
            <w:pPr>
              <w:pStyle w:val="CETBodytext"/>
              <w:rPr>
                <w:lang w:val="en-GB" w:eastAsia="it-IT"/>
              </w:rPr>
            </w:pPr>
            <w:r w:rsidRPr="00D2768B">
              <w:rPr>
                <w:lang w:val="en-GB" w:eastAsia="it-IT"/>
              </w:rPr>
              <w:t xml:space="preserve">Behavioural factors </w:t>
            </w:r>
          </w:p>
        </w:tc>
        <w:tc>
          <w:tcPr>
            <w:tcW w:w="7200" w:type="dxa"/>
            <w:tcBorders>
              <w:top w:val="single" w:sz="4" w:space="0" w:color="00B050"/>
              <w:left w:val="nil"/>
              <w:right w:val="nil"/>
            </w:tcBorders>
            <w:vAlign w:val="center"/>
            <w:hideMark/>
          </w:tcPr>
          <w:p w14:paraId="5E62CFE5" w14:textId="59E82293" w:rsidR="0002580E" w:rsidRPr="00D2768B" w:rsidRDefault="006C5F1E" w:rsidP="00A565B5">
            <w:pPr>
              <w:pStyle w:val="CETBodytext"/>
              <w:rPr>
                <w:lang w:val="en-GB" w:eastAsia="it-IT"/>
              </w:rPr>
            </w:pPr>
            <w:r w:rsidRPr="00D2768B">
              <w:rPr>
                <w:lang w:val="en-GB" w:eastAsia="it-IT"/>
              </w:rPr>
              <w:t xml:space="preserve">- </w:t>
            </w:r>
            <w:r w:rsidR="000F2830" w:rsidRPr="00D2768B">
              <w:rPr>
                <w:lang w:val="en-GB" w:eastAsia="it-IT"/>
              </w:rPr>
              <w:t>for</w:t>
            </w:r>
            <w:r w:rsidR="007B6303" w:rsidRPr="00D2768B">
              <w:rPr>
                <w:lang w:val="en-GB" w:eastAsia="it-IT"/>
              </w:rPr>
              <w:t xml:space="preserve"> OE </w:t>
            </w:r>
            <w:r w:rsidR="0002580E" w:rsidRPr="00D2768B">
              <w:rPr>
                <w:lang w:val="en-GB" w:eastAsia="it-IT"/>
              </w:rPr>
              <w:t xml:space="preserve">Evaluate Adequateness of Safety Commitment, Leadership and Culture  </w:t>
            </w:r>
          </w:p>
        </w:tc>
      </w:tr>
      <w:tr w:rsidR="00D2768B" w:rsidRPr="00D2768B" w14:paraId="52E1FA62" w14:textId="77777777" w:rsidTr="00455C91">
        <w:trPr>
          <w:trHeight w:val="20"/>
        </w:trPr>
        <w:tc>
          <w:tcPr>
            <w:tcW w:w="1420" w:type="dxa"/>
            <w:vMerge/>
            <w:tcBorders>
              <w:top w:val="nil"/>
              <w:left w:val="nil"/>
              <w:bottom w:val="single" w:sz="4" w:space="0" w:color="00B050"/>
              <w:right w:val="nil"/>
            </w:tcBorders>
            <w:vAlign w:val="center"/>
            <w:hideMark/>
          </w:tcPr>
          <w:p w14:paraId="7D3910B6" w14:textId="77777777" w:rsidR="0002580E" w:rsidRPr="00D2768B" w:rsidRDefault="0002580E" w:rsidP="00A565B5">
            <w:pPr>
              <w:pStyle w:val="CETBodytext"/>
              <w:rPr>
                <w:lang w:val="en-GB" w:eastAsia="it-IT"/>
              </w:rPr>
            </w:pPr>
          </w:p>
        </w:tc>
        <w:tc>
          <w:tcPr>
            <w:tcW w:w="7200" w:type="dxa"/>
            <w:tcBorders>
              <w:top w:val="nil"/>
              <w:left w:val="nil"/>
              <w:right w:val="nil"/>
            </w:tcBorders>
            <w:vAlign w:val="center"/>
            <w:hideMark/>
          </w:tcPr>
          <w:p w14:paraId="1143034A" w14:textId="7A7ECB73" w:rsidR="0002580E" w:rsidRPr="00D2768B" w:rsidRDefault="006C5F1E" w:rsidP="00A565B5">
            <w:pPr>
              <w:pStyle w:val="CETBodytext"/>
              <w:rPr>
                <w:lang w:val="en-GB" w:eastAsia="it-IT"/>
              </w:rPr>
            </w:pPr>
            <w:r w:rsidRPr="00D2768B">
              <w:rPr>
                <w:lang w:val="en-GB" w:eastAsia="it-IT"/>
              </w:rPr>
              <w:t xml:space="preserve">- </w:t>
            </w:r>
            <w:r w:rsidR="000F2830" w:rsidRPr="00D2768B">
              <w:rPr>
                <w:lang w:val="en-GB" w:eastAsia="it-IT"/>
              </w:rPr>
              <w:t>for</w:t>
            </w:r>
            <w:r w:rsidR="007B6303" w:rsidRPr="00D2768B">
              <w:rPr>
                <w:lang w:val="en-GB" w:eastAsia="it-IT"/>
              </w:rPr>
              <w:t xml:space="preserve"> OE </w:t>
            </w:r>
            <w:r w:rsidR="0002580E" w:rsidRPr="00D2768B">
              <w:rPr>
                <w:lang w:val="en-GB" w:eastAsia="it-IT"/>
              </w:rPr>
              <w:t xml:space="preserve">Evaluate Adequateness of Aging </w:t>
            </w:r>
            <w:r w:rsidR="008E6298" w:rsidRPr="00D2768B">
              <w:rPr>
                <w:lang w:val="en-GB" w:eastAsia="it-IT"/>
              </w:rPr>
              <w:t>Policy if</w:t>
            </w:r>
            <w:r w:rsidR="0002580E" w:rsidRPr="00D2768B">
              <w:rPr>
                <w:lang w:val="en-GB" w:eastAsia="it-IT"/>
              </w:rPr>
              <w:t xml:space="preserve"> present</w:t>
            </w:r>
          </w:p>
        </w:tc>
      </w:tr>
      <w:tr w:rsidR="00D2768B" w:rsidRPr="00D2768B" w14:paraId="490B261F" w14:textId="77777777" w:rsidTr="00455C91">
        <w:trPr>
          <w:trHeight w:val="20"/>
        </w:trPr>
        <w:tc>
          <w:tcPr>
            <w:tcW w:w="1420" w:type="dxa"/>
            <w:vMerge/>
            <w:tcBorders>
              <w:top w:val="nil"/>
              <w:left w:val="nil"/>
              <w:bottom w:val="single" w:sz="4" w:space="0" w:color="00B050"/>
              <w:right w:val="nil"/>
            </w:tcBorders>
            <w:vAlign w:val="center"/>
            <w:hideMark/>
          </w:tcPr>
          <w:p w14:paraId="424F6CE6" w14:textId="77777777" w:rsidR="0002580E" w:rsidRPr="00D2768B" w:rsidRDefault="0002580E" w:rsidP="00A565B5">
            <w:pPr>
              <w:pStyle w:val="CETBodytext"/>
              <w:rPr>
                <w:lang w:val="en-GB" w:eastAsia="it-IT"/>
              </w:rPr>
            </w:pPr>
          </w:p>
        </w:tc>
        <w:tc>
          <w:tcPr>
            <w:tcW w:w="7200" w:type="dxa"/>
            <w:tcBorders>
              <w:top w:val="nil"/>
              <w:left w:val="nil"/>
              <w:right w:val="nil"/>
            </w:tcBorders>
            <w:vAlign w:val="center"/>
            <w:hideMark/>
          </w:tcPr>
          <w:p w14:paraId="7C119196" w14:textId="5AFC195A" w:rsidR="0002580E" w:rsidRPr="00D2768B" w:rsidRDefault="006C5F1E" w:rsidP="00A565B5">
            <w:pPr>
              <w:pStyle w:val="CETBodytext"/>
              <w:rPr>
                <w:lang w:val="en-GB" w:eastAsia="it-IT"/>
              </w:rPr>
            </w:pPr>
            <w:r w:rsidRPr="00D2768B">
              <w:rPr>
                <w:lang w:val="en-GB" w:eastAsia="it-IT"/>
              </w:rPr>
              <w:t xml:space="preserve">- </w:t>
            </w:r>
            <w:r w:rsidR="000F2830" w:rsidRPr="00D2768B">
              <w:rPr>
                <w:lang w:val="en-GB" w:eastAsia="it-IT"/>
              </w:rPr>
              <w:t>for</w:t>
            </w:r>
            <w:r w:rsidR="007B6303" w:rsidRPr="00D2768B">
              <w:rPr>
                <w:lang w:val="en-GB" w:eastAsia="it-IT"/>
              </w:rPr>
              <w:t xml:space="preserve"> OE </w:t>
            </w:r>
            <w:r w:rsidR="0002580E" w:rsidRPr="00D2768B">
              <w:rPr>
                <w:lang w:val="en-GB" w:eastAsia="it-IT"/>
              </w:rPr>
              <w:t>Evaluate Adequateness of resources</w:t>
            </w:r>
            <w:r w:rsidR="003550BE" w:rsidRPr="00D2768B">
              <w:rPr>
                <w:lang w:val="en-GB" w:eastAsia="it-IT"/>
              </w:rPr>
              <w:t xml:space="preserve"> </w:t>
            </w:r>
            <w:r w:rsidRPr="00D2768B">
              <w:rPr>
                <w:lang w:val="en-GB" w:eastAsia="it-IT"/>
              </w:rPr>
              <w:t xml:space="preserve">- </w:t>
            </w:r>
            <w:r w:rsidR="000F2830" w:rsidRPr="00D2768B">
              <w:rPr>
                <w:lang w:val="en-GB" w:eastAsia="it-IT"/>
              </w:rPr>
              <w:t>for</w:t>
            </w:r>
            <w:r w:rsidR="0002580E" w:rsidRPr="00D2768B">
              <w:rPr>
                <w:lang w:val="en-GB" w:eastAsia="it-IT"/>
              </w:rPr>
              <w:t xml:space="preserve"> aging policy implementation</w:t>
            </w:r>
          </w:p>
        </w:tc>
      </w:tr>
      <w:tr w:rsidR="00D2768B" w:rsidRPr="00D2768B" w14:paraId="2168519A" w14:textId="77777777" w:rsidTr="00455C91">
        <w:trPr>
          <w:trHeight w:val="20"/>
        </w:trPr>
        <w:tc>
          <w:tcPr>
            <w:tcW w:w="1420" w:type="dxa"/>
            <w:vMerge/>
            <w:tcBorders>
              <w:top w:val="nil"/>
              <w:left w:val="nil"/>
              <w:bottom w:val="single" w:sz="4" w:space="0" w:color="00B050"/>
              <w:right w:val="nil"/>
            </w:tcBorders>
            <w:vAlign w:val="center"/>
            <w:hideMark/>
          </w:tcPr>
          <w:p w14:paraId="4BC24C34" w14:textId="77777777" w:rsidR="0002580E" w:rsidRPr="00D2768B" w:rsidRDefault="0002580E" w:rsidP="00A565B5">
            <w:pPr>
              <w:pStyle w:val="CETBodytext"/>
              <w:rPr>
                <w:lang w:val="en-GB" w:eastAsia="it-IT"/>
              </w:rPr>
            </w:pPr>
          </w:p>
        </w:tc>
        <w:tc>
          <w:tcPr>
            <w:tcW w:w="7200" w:type="dxa"/>
            <w:tcBorders>
              <w:top w:val="nil"/>
              <w:left w:val="nil"/>
              <w:right w:val="nil"/>
            </w:tcBorders>
            <w:vAlign w:val="center"/>
            <w:hideMark/>
          </w:tcPr>
          <w:p w14:paraId="77F231AA" w14:textId="11C9F938" w:rsidR="0002580E" w:rsidRPr="00D2768B" w:rsidRDefault="006C5F1E" w:rsidP="00A565B5">
            <w:pPr>
              <w:pStyle w:val="CETBodytext"/>
              <w:rPr>
                <w:lang w:val="en-GB" w:eastAsia="it-IT"/>
              </w:rPr>
            </w:pPr>
            <w:r w:rsidRPr="00D2768B">
              <w:rPr>
                <w:lang w:val="en-GB" w:eastAsia="it-IT"/>
              </w:rPr>
              <w:t xml:space="preserve">- </w:t>
            </w:r>
            <w:r w:rsidR="000F2830" w:rsidRPr="00D2768B">
              <w:rPr>
                <w:lang w:val="en-GB" w:eastAsia="it-IT"/>
              </w:rPr>
              <w:t>for</w:t>
            </w:r>
            <w:r w:rsidR="007B6303" w:rsidRPr="00D2768B">
              <w:rPr>
                <w:lang w:val="en-GB" w:eastAsia="it-IT"/>
              </w:rPr>
              <w:t xml:space="preserve"> OE </w:t>
            </w:r>
            <w:r w:rsidR="0002580E" w:rsidRPr="00D2768B">
              <w:rPr>
                <w:lang w:val="en-GB" w:eastAsia="it-IT"/>
              </w:rPr>
              <w:t>Consider, if present, certification of inspectors</w:t>
            </w:r>
          </w:p>
        </w:tc>
      </w:tr>
      <w:tr w:rsidR="00D2768B" w:rsidRPr="00D2768B" w14:paraId="3C03B517" w14:textId="77777777" w:rsidTr="00455C91">
        <w:trPr>
          <w:trHeight w:val="20"/>
        </w:trPr>
        <w:tc>
          <w:tcPr>
            <w:tcW w:w="1420" w:type="dxa"/>
            <w:vMerge/>
            <w:tcBorders>
              <w:top w:val="nil"/>
              <w:left w:val="nil"/>
              <w:bottom w:val="single" w:sz="4" w:space="0" w:color="00B050"/>
              <w:right w:val="nil"/>
            </w:tcBorders>
            <w:vAlign w:val="center"/>
            <w:hideMark/>
          </w:tcPr>
          <w:p w14:paraId="3A0F4AC0" w14:textId="77777777" w:rsidR="0002580E" w:rsidRPr="00D2768B" w:rsidRDefault="0002580E" w:rsidP="00A565B5">
            <w:pPr>
              <w:pStyle w:val="CETBodytext"/>
              <w:rPr>
                <w:lang w:val="en-GB" w:eastAsia="it-IT"/>
              </w:rPr>
            </w:pPr>
          </w:p>
        </w:tc>
        <w:tc>
          <w:tcPr>
            <w:tcW w:w="7200" w:type="dxa"/>
            <w:tcBorders>
              <w:top w:val="nil"/>
              <w:left w:val="nil"/>
              <w:bottom w:val="single" w:sz="4" w:space="0" w:color="00B050"/>
              <w:right w:val="nil"/>
            </w:tcBorders>
            <w:vAlign w:val="center"/>
            <w:hideMark/>
          </w:tcPr>
          <w:p w14:paraId="77B37E5D" w14:textId="724C7C0E" w:rsidR="0002580E" w:rsidRPr="00D2768B" w:rsidRDefault="006C5F1E" w:rsidP="00A565B5">
            <w:pPr>
              <w:pStyle w:val="CETBodytext"/>
              <w:rPr>
                <w:lang w:val="en-GB" w:eastAsia="it-IT"/>
              </w:rPr>
            </w:pPr>
            <w:r w:rsidRPr="00D2768B">
              <w:rPr>
                <w:lang w:val="en-GB" w:eastAsia="it-IT"/>
              </w:rPr>
              <w:t xml:space="preserve">- </w:t>
            </w:r>
            <w:r w:rsidR="000F2830" w:rsidRPr="00D2768B">
              <w:rPr>
                <w:lang w:val="en-GB" w:eastAsia="it-IT"/>
              </w:rPr>
              <w:t>for</w:t>
            </w:r>
            <w:r w:rsidR="003A5DC8" w:rsidRPr="00D2768B">
              <w:rPr>
                <w:lang w:val="en-GB" w:eastAsia="it-IT"/>
              </w:rPr>
              <w:t xml:space="preserve"> OE </w:t>
            </w:r>
            <w:r w:rsidR="0002580E" w:rsidRPr="00D2768B">
              <w:rPr>
                <w:lang w:val="en-GB" w:eastAsia="it-IT"/>
              </w:rPr>
              <w:t xml:space="preserve">Consider the results of </w:t>
            </w:r>
            <w:r w:rsidR="00C65EE4" w:rsidRPr="00D2768B">
              <w:rPr>
                <w:lang w:val="en-GB" w:eastAsia="it-IT"/>
              </w:rPr>
              <w:t>independent</w:t>
            </w:r>
            <w:r w:rsidR="0002580E" w:rsidRPr="00D2768B">
              <w:rPr>
                <w:lang w:val="en-GB" w:eastAsia="it-IT"/>
              </w:rPr>
              <w:t xml:space="preserve"> inspections &amp; </w:t>
            </w:r>
            <w:r w:rsidR="00F0565D" w:rsidRPr="00D2768B">
              <w:rPr>
                <w:lang w:val="en-GB" w:eastAsia="it-IT"/>
              </w:rPr>
              <w:t>a</w:t>
            </w:r>
            <w:r w:rsidR="0002580E" w:rsidRPr="00D2768B">
              <w:rPr>
                <w:lang w:val="en-GB" w:eastAsia="it-IT"/>
              </w:rPr>
              <w:t xml:space="preserve">udits on safety and aging </w:t>
            </w:r>
          </w:p>
        </w:tc>
      </w:tr>
      <w:tr w:rsidR="00D2768B" w:rsidRPr="00D2768B" w14:paraId="0AA71927" w14:textId="77777777" w:rsidTr="00455C91">
        <w:trPr>
          <w:trHeight w:val="20"/>
        </w:trPr>
        <w:tc>
          <w:tcPr>
            <w:tcW w:w="1420" w:type="dxa"/>
            <w:vMerge w:val="restart"/>
            <w:tcBorders>
              <w:top w:val="nil"/>
              <w:left w:val="nil"/>
              <w:bottom w:val="single" w:sz="12" w:space="0" w:color="00B050"/>
              <w:right w:val="nil"/>
            </w:tcBorders>
            <w:vAlign w:val="center"/>
            <w:hideMark/>
          </w:tcPr>
          <w:p w14:paraId="7546FE35" w14:textId="3401D72A" w:rsidR="0002580E" w:rsidRPr="00D2768B" w:rsidRDefault="0002580E" w:rsidP="00A565B5">
            <w:pPr>
              <w:pStyle w:val="CETBodytext"/>
              <w:rPr>
                <w:lang w:val="en-GB" w:eastAsia="it-IT"/>
              </w:rPr>
            </w:pPr>
            <w:r w:rsidRPr="00D2768B">
              <w:rPr>
                <w:lang w:val="en-GB" w:eastAsia="it-IT"/>
              </w:rPr>
              <w:t xml:space="preserve">Knowledge factors </w:t>
            </w:r>
          </w:p>
        </w:tc>
        <w:tc>
          <w:tcPr>
            <w:tcW w:w="7200" w:type="dxa"/>
            <w:tcBorders>
              <w:top w:val="single" w:sz="4" w:space="0" w:color="00B050"/>
              <w:left w:val="nil"/>
              <w:right w:val="nil"/>
            </w:tcBorders>
            <w:vAlign w:val="center"/>
            <w:hideMark/>
          </w:tcPr>
          <w:p w14:paraId="3F9322B4" w14:textId="67F18D79" w:rsidR="0002580E" w:rsidRPr="00D2768B" w:rsidRDefault="006C5F1E" w:rsidP="00A565B5">
            <w:pPr>
              <w:pStyle w:val="CETBodytext"/>
              <w:rPr>
                <w:lang w:val="en-GB" w:eastAsia="it-IT"/>
              </w:rPr>
            </w:pPr>
            <w:r w:rsidRPr="00D2768B">
              <w:rPr>
                <w:lang w:val="en-GB" w:eastAsia="it-IT"/>
              </w:rPr>
              <w:t xml:space="preserve">- </w:t>
            </w:r>
            <w:r w:rsidR="000F2830" w:rsidRPr="00D2768B">
              <w:rPr>
                <w:lang w:val="en-GB" w:eastAsia="it-IT"/>
              </w:rPr>
              <w:t>for</w:t>
            </w:r>
            <w:r w:rsidR="003A5DC8" w:rsidRPr="00D2768B">
              <w:rPr>
                <w:lang w:val="en-GB" w:eastAsia="it-IT"/>
              </w:rPr>
              <w:t xml:space="preserve"> OE </w:t>
            </w:r>
            <w:r w:rsidR="0002580E" w:rsidRPr="00D2768B">
              <w:rPr>
                <w:lang w:val="en-GB" w:eastAsia="it-IT"/>
              </w:rPr>
              <w:t xml:space="preserve">Verify internal Knowledge on </w:t>
            </w:r>
            <w:r w:rsidR="00B40F4B" w:rsidRPr="00D2768B">
              <w:rPr>
                <w:lang w:val="en-GB" w:eastAsia="it-IT"/>
              </w:rPr>
              <w:t xml:space="preserve">new and old </w:t>
            </w:r>
            <w:r w:rsidR="0002580E" w:rsidRPr="00D2768B">
              <w:rPr>
                <w:lang w:val="en-GB" w:eastAsia="it-IT"/>
              </w:rPr>
              <w:t>physical degradation mechanisms</w:t>
            </w:r>
          </w:p>
        </w:tc>
      </w:tr>
      <w:tr w:rsidR="00D2768B" w:rsidRPr="00D2768B" w14:paraId="3E843F69" w14:textId="77777777" w:rsidTr="00455C91">
        <w:trPr>
          <w:trHeight w:val="20"/>
        </w:trPr>
        <w:tc>
          <w:tcPr>
            <w:tcW w:w="1420" w:type="dxa"/>
            <w:vMerge/>
            <w:tcBorders>
              <w:top w:val="nil"/>
              <w:left w:val="nil"/>
              <w:bottom w:val="single" w:sz="12" w:space="0" w:color="00B050"/>
              <w:right w:val="nil"/>
            </w:tcBorders>
            <w:vAlign w:val="center"/>
            <w:hideMark/>
          </w:tcPr>
          <w:p w14:paraId="477CA4C4" w14:textId="77777777" w:rsidR="0002580E" w:rsidRPr="00D2768B" w:rsidRDefault="0002580E" w:rsidP="00A565B5">
            <w:pPr>
              <w:pStyle w:val="CETBodytext"/>
              <w:rPr>
                <w:lang w:val="en-GB" w:eastAsia="it-IT"/>
              </w:rPr>
            </w:pPr>
          </w:p>
        </w:tc>
        <w:tc>
          <w:tcPr>
            <w:tcW w:w="7200" w:type="dxa"/>
            <w:tcBorders>
              <w:top w:val="nil"/>
              <w:left w:val="nil"/>
              <w:right w:val="nil"/>
            </w:tcBorders>
            <w:vAlign w:val="center"/>
            <w:hideMark/>
          </w:tcPr>
          <w:p w14:paraId="13C9C481" w14:textId="54E68B4A" w:rsidR="0002580E" w:rsidRPr="00D2768B" w:rsidRDefault="006C5F1E" w:rsidP="00A565B5">
            <w:pPr>
              <w:pStyle w:val="CETBodytext"/>
              <w:rPr>
                <w:lang w:val="en-GB" w:eastAsia="it-IT"/>
              </w:rPr>
            </w:pPr>
            <w:r w:rsidRPr="00D2768B">
              <w:rPr>
                <w:lang w:val="en-GB" w:eastAsia="it-IT"/>
              </w:rPr>
              <w:t xml:space="preserve">- </w:t>
            </w:r>
            <w:r w:rsidR="000F2830" w:rsidRPr="00D2768B">
              <w:rPr>
                <w:lang w:val="en-GB" w:eastAsia="it-IT"/>
              </w:rPr>
              <w:t>for</w:t>
            </w:r>
            <w:r w:rsidR="003A5DC8" w:rsidRPr="00D2768B">
              <w:rPr>
                <w:lang w:val="en-GB" w:eastAsia="it-IT"/>
              </w:rPr>
              <w:t xml:space="preserve"> OE </w:t>
            </w:r>
            <w:r w:rsidR="0002580E" w:rsidRPr="00D2768B">
              <w:rPr>
                <w:lang w:val="en-GB" w:eastAsia="it-IT"/>
              </w:rPr>
              <w:t xml:space="preserve">Verify adequateness of </w:t>
            </w:r>
            <w:r w:rsidR="003701DB" w:rsidRPr="00D2768B">
              <w:rPr>
                <w:lang w:val="en-GB" w:eastAsia="it-IT"/>
              </w:rPr>
              <w:t xml:space="preserve">techniques used </w:t>
            </w:r>
            <w:r w:rsidRPr="00D2768B">
              <w:rPr>
                <w:lang w:val="en-GB" w:eastAsia="it-IT"/>
              </w:rPr>
              <w:t xml:space="preserve">- </w:t>
            </w:r>
            <w:r w:rsidR="000F2830" w:rsidRPr="00D2768B">
              <w:rPr>
                <w:lang w:val="en-GB" w:eastAsia="it-IT"/>
              </w:rPr>
              <w:t>for</w:t>
            </w:r>
            <w:r w:rsidR="003701DB" w:rsidRPr="00D2768B">
              <w:rPr>
                <w:lang w:val="en-GB" w:eastAsia="it-IT"/>
              </w:rPr>
              <w:t xml:space="preserve"> Aging </w:t>
            </w:r>
            <w:r w:rsidR="0002580E" w:rsidRPr="00D2768B">
              <w:rPr>
                <w:lang w:val="en-GB" w:eastAsia="it-IT"/>
              </w:rPr>
              <w:t xml:space="preserve">Risk Assessment </w:t>
            </w:r>
          </w:p>
        </w:tc>
      </w:tr>
      <w:tr w:rsidR="00D2768B" w:rsidRPr="00D2768B" w14:paraId="34D439C3" w14:textId="77777777" w:rsidTr="00455C91">
        <w:trPr>
          <w:trHeight w:val="20"/>
        </w:trPr>
        <w:tc>
          <w:tcPr>
            <w:tcW w:w="1420" w:type="dxa"/>
            <w:vMerge/>
            <w:tcBorders>
              <w:top w:val="nil"/>
              <w:left w:val="nil"/>
              <w:bottom w:val="single" w:sz="12" w:space="0" w:color="00B050"/>
              <w:right w:val="nil"/>
            </w:tcBorders>
            <w:vAlign w:val="center"/>
            <w:hideMark/>
          </w:tcPr>
          <w:p w14:paraId="728181F9" w14:textId="77777777" w:rsidR="0002580E" w:rsidRPr="00D2768B" w:rsidRDefault="0002580E" w:rsidP="00A565B5">
            <w:pPr>
              <w:pStyle w:val="CETBodytext"/>
              <w:rPr>
                <w:lang w:val="en-GB" w:eastAsia="it-IT"/>
              </w:rPr>
            </w:pPr>
          </w:p>
        </w:tc>
        <w:tc>
          <w:tcPr>
            <w:tcW w:w="7200" w:type="dxa"/>
            <w:tcBorders>
              <w:top w:val="nil"/>
              <w:left w:val="nil"/>
              <w:right w:val="nil"/>
            </w:tcBorders>
            <w:vAlign w:val="center"/>
            <w:hideMark/>
          </w:tcPr>
          <w:p w14:paraId="6D641DB2" w14:textId="13F19450" w:rsidR="0002580E" w:rsidRPr="00D2768B" w:rsidRDefault="006C5F1E" w:rsidP="00A565B5">
            <w:pPr>
              <w:pStyle w:val="CETBodytext"/>
              <w:rPr>
                <w:lang w:val="en-GB" w:eastAsia="it-IT"/>
              </w:rPr>
            </w:pPr>
            <w:r w:rsidRPr="00D2768B">
              <w:rPr>
                <w:lang w:val="en-GB" w:eastAsia="it-IT"/>
              </w:rPr>
              <w:t xml:space="preserve">- </w:t>
            </w:r>
            <w:r w:rsidR="000F2830" w:rsidRPr="00D2768B">
              <w:rPr>
                <w:lang w:val="en-GB" w:eastAsia="it-IT"/>
              </w:rPr>
              <w:t>for</w:t>
            </w:r>
            <w:r w:rsidR="003A5DC8" w:rsidRPr="00D2768B">
              <w:rPr>
                <w:lang w:val="en-GB" w:eastAsia="it-IT"/>
              </w:rPr>
              <w:t xml:space="preserve"> OE </w:t>
            </w:r>
            <w:r w:rsidR="0002580E" w:rsidRPr="00D2768B">
              <w:rPr>
                <w:lang w:val="en-GB" w:eastAsia="it-IT"/>
              </w:rPr>
              <w:t xml:space="preserve">Verify adequateness of Incident Analysis and Failure </w:t>
            </w:r>
            <w:r w:rsidR="00F0565D" w:rsidRPr="00D2768B">
              <w:rPr>
                <w:lang w:val="en-GB" w:eastAsia="it-IT"/>
              </w:rPr>
              <w:t>A</w:t>
            </w:r>
            <w:r w:rsidR="0002580E" w:rsidRPr="00D2768B">
              <w:rPr>
                <w:lang w:val="en-GB" w:eastAsia="it-IT"/>
              </w:rPr>
              <w:t>nalysis techniques</w:t>
            </w:r>
          </w:p>
        </w:tc>
      </w:tr>
      <w:tr w:rsidR="00D2768B" w:rsidRPr="00D2768B" w14:paraId="10286D60" w14:textId="77777777" w:rsidTr="00455C91">
        <w:trPr>
          <w:trHeight w:val="20"/>
        </w:trPr>
        <w:tc>
          <w:tcPr>
            <w:tcW w:w="1420" w:type="dxa"/>
            <w:vMerge/>
            <w:tcBorders>
              <w:top w:val="nil"/>
              <w:left w:val="nil"/>
              <w:bottom w:val="single" w:sz="12" w:space="0" w:color="00B050"/>
              <w:right w:val="nil"/>
            </w:tcBorders>
            <w:vAlign w:val="center"/>
            <w:hideMark/>
          </w:tcPr>
          <w:p w14:paraId="4CB8D0AB" w14:textId="77777777" w:rsidR="0002580E" w:rsidRPr="00D2768B" w:rsidRDefault="0002580E" w:rsidP="00A565B5">
            <w:pPr>
              <w:pStyle w:val="CETBodytext"/>
              <w:rPr>
                <w:lang w:val="en-GB" w:eastAsia="it-IT"/>
              </w:rPr>
            </w:pPr>
          </w:p>
        </w:tc>
        <w:tc>
          <w:tcPr>
            <w:tcW w:w="7200" w:type="dxa"/>
            <w:tcBorders>
              <w:top w:val="nil"/>
              <w:left w:val="nil"/>
              <w:right w:val="nil"/>
            </w:tcBorders>
            <w:vAlign w:val="center"/>
            <w:hideMark/>
          </w:tcPr>
          <w:p w14:paraId="692A205D" w14:textId="0C642139" w:rsidR="0002580E" w:rsidRPr="00D2768B" w:rsidRDefault="006C5F1E" w:rsidP="00A565B5">
            <w:pPr>
              <w:pStyle w:val="CETBodytext"/>
              <w:rPr>
                <w:lang w:val="en-GB" w:eastAsia="it-IT"/>
              </w:rPr>
            </w:pPr>
            <w:r w:rsidRPr="00D2768B">
              <w:rPr>
                <w:lang w:val="en-GB" w:eastAsia="it-IT"/>
              </w:rPr>
              <w:t xml:space="preserve">- </w:t>
            </w:r>
            <w:r w:rsidR="000F2830" w:rsidRPr="00D2768B">
              <w:rPr>
                <w:lang w:val="en-GB" w:eastAsia="it-IT"/>
              </w:rPr>
              <w:t>for</w:t>
            </w:r>
            <w:r w:rsidR="003A5DC8" w:rsidRPr="00D2768B">
              <w:rPr>
                <w:lang w:val="en-GB" w:eastAsia="it-IT"/>
              </w:rPr>
              <w:t xml:space="preserve"> OE </w:t>
            </w:r>
            <w:r w:rsidR="0002580E" w:rsidRPr="00D2768B">
              <w:rPr>
                <w:lang w:val="en-GB" w:eastAsia="it-IT"/>
              </w:rPr>
              <w:t xml:space="preserve">Verify adequateness of </w:t>
            </w:r>
            <w:r w:rsidR="00F0565D" w:rsidRPr="00D2768B">
              <w:rPr>
                <w:lang w:val="en-GB" w:eastAsia="it-IT"/>
              </w:rPr>
              <w:t>d</w:t>
            </w:r>
            <w:r w:rsidR="008E6298" w:rsidRPr="00D2768B">
              <w:rPr>
                <w:lang w:val="en-GB" w:eastAsia="it-IT"/>
              </w:rPr>
              <w:t>ocument</w:t>
            </w:r>
            <w:r w:rsidR="001D27B7" w:rsidRPr="00D2768B">
              <w:rPr>
                <w:lang w:val="en-GB" w:eastAsia="it-IT"/>
              </w:rPr>
              <w:t xml:space="preserve"> on Asset Integrity and Technology</w:t>
            </w:r>
          </w:p>
        </w:tc>
      </w:tr>
      <w:tr w:rsidR="00D2768B" w:rsidRPr="00D2768B" w14:paraId="6D43F5F0" w14:textId="77777777" w:rsidTr="00455C91">
        <w:trPr>
          <w:trHeight w:val="20"/>
        </w:trPr>
        <w:tc>
          <w:tcPr>
            <w:tcW w:w="1420" w:type="dxa"/>
            <w:vMerge/>
            <w:tcBorders>
              <w:top w:val="nil"/>
              <w:left w:val="nil"/>
              <w:bottom w:val="single" w:sz="12" w:space="0" w:color="00B050"/>
              <w:right w:val="nil"/>
            </w:tcBorders>
            <w:vAlign w:val="center"/>
            <w:hideMark/>
          </w:tcPr>
          <w:p w14:paraId="79F8AA54" w14:textId="77777777" w:rsidR="0002580E" w:rsidRPr="00D2768B" w:rsidRDefault="0002580E" w:rsidP="00A565B5">
            <w:pPr>
              <w:pStyle w:val="CETBodytext"/>
              <w:rPr>
                <w:lang w:val="en-GB" w:eastAsia="it-IT"/>
              </w:rPr>
            </w:pPr>
          </w:p>
        </w:tc>
        <w:tc>
          <w:tcPr>
            <w:tcW w:w="7200" w:type="dxa"/>
            <w:tcBorders>
              <w:top w:val="nil"/>
              <w:left w:val="nil"/>
              <w:right w:val="nil"/>
            </w:tcBorders>
            <w:vAlign w:val="center"/>
            <w:hideMark/>
          </w:tcPr>
          <w:p w14:paraId="53AB4A08" w14:textId="5E0E9659" w:rsidR="0002580E" w:rsidRPr="00D2768B" w:rsidRDefault="006C5F1E" w:rsidP="00A565B5">
            <w:pPr>
              <w:pStyle w:val="CETBodytext"/>
              <w:rPr>
                <w:lang w:val="en-GB" w:eastAsia="it-IT"/>
              </w:rPr>
            </w:pPr>
            <w:r w:rsidRPr="00D2768B">
              <w:rPr>
                <w:lang w:val="en-GB" w:eastAsia="it-IT"/>
              </w:rPr>
              <w:t xml:space="preserve">- </w:t>
            </w:r>
            <w:r w:rsidR="000F2830" w:rsidRPr="00D2768B">
              <w:rPr>
                <w:lang w:val="en-GB" w:eastAsia="it-IT"/>
              </w:rPr>
              <w:t>for</w:t>
            </w:r>
            <w:r w:rsidR="003A5DC8" w:rsidRPr="00D2768B">
              <w:rPr>
                <w:lang w:val="en-GB" w:eastAsia="it-IT"/>
              </w:rPr>
              <w:t xml:space="preserve"> OE </w:t>
            </w:r>
            <w:r w:rsidR="0002580E" w:rsidRPr="00D2768B">
              <w:rPr>
                <w:lang w:val="en-GB" w:eastAsia="it-IT"/>
              </w:rPr>
              <w:t xml:space="preserve">Verify availability of </w:t>
            </w:r>
            <w:r w:rsidR="00844848" w:rsidRPr="00D2768B">
              <w:rPr>
                <w:lang w:val="en-GB" w:eastAsia="it-IT"/>
              </w:rPr>
              <w:t xml:space="preserve">guidelines </w:t>
            </w:r>
            <w:r w:rsidR="0002580E" w:rsidRPr="00D2768B">
              <w:rPr>
                <w:lang w:val="en-GB" w:eastAsia="it-IT"/>
              </w:rPr>
              <w:t xml:space="preserve">on </w:t>
            </w:r>
            <w:r w:rsidR="00844848" w:rsidRPr="00D2768B">
              <w:rPr>
                <w:lang w:val="en-GB" w:eastAsia="it-IT"/>
              </w:rPr>
              <w:t>Aging Control</w:t>
            </w:r>
            <w:r w:rsidR="009B4A0C" w:rsidRPr="00D2768B">
              <w:rPr>
                <w:lang w:val="en-GB" w:eastAsia="it-IT"/>
              </w:rPr>
              <w:t>, including Obsolescence</w:t>
            </w:r>
          </w:p>
        </w:tc>
      </w:tr>
      <w:tr w:rsidR="0002580E" w:rsidRPr="00D2768B" w14:paraId="0316F08B" w14:textId="77777777" w:rsidTr="00455C91">
        <w:trPr>
          <w:trHeight w:val="20"/>
        </w:trPr>
        <w:tc>
          <w:tcPr>
            <w:tcW w:w="1420" w:type="dxa"/>
            <w:vMerge/>
            <w:tcBorders>
              <w:top w:val="nil"/>
              <w:left w:val="nil"/>
              <w:bottom w:val="single" w:sz="12" w:space="0" w:color="00B050"/>
              <w:right w:val="nil"/>
            </w:tcBorders>
            <w:vAlign w:val="center"/>
            <w:hideMark/>
          </w:tcPr>
          <w:p w14:paraId="633EDAA4" w14:textId="77777777" w:rsidR="0002580E" w:rsidRPr="00D2768B" w:rsidRDefault="0002580E" w:rsidP="00A565B5">
            <w:pPr>
              <w:pStyle w:val="CETBodytext"/>
              <w:rPr>
                <w:lang w:val="en-GB" w:eastAsia="it-IT"/>
              </w:rPr>
            </w:pPr>
          </w:p>
        </w:tc>
        <w:tc>
          <w:tcPr>
            <w:tcW w:w="7200" w:type="dxa"/>
            <w:tcBorders>
              <w:top w:val="nil"/>
              <w:left w:val="nil"/>
              <w:bottom w:val="single" w:sz="12" w:space="0" w:color="00B050"/>
              <w:right w:val="nil"/>
            </w:tcBorders>
            <w:vAlign w:val="center"/>
            <w:hideMark/>
          </w:tcPr>
          <w:p w14:paraId="7D56B97D" w14:textId="637D6AE4" w:rsidR="0002580E" w:rsidRPr="00D2768B" w:rsidRDefault="006C5F1E" w:rsidP="00A565B5">
            <w:pPr>
              <w:pStyle w:val="CETBodytext"/>
              <w:rPr>
                <w:lang w:val="en-GB" w:eastAsia="it-IT"/>
              </w:rPr>
            </w:pPr>
            <w:r w:rsidRPr="00D2768B">
              <w:rPr>
                <w:lang w:val="en-GB" w:eastAsia="it-IT"/>
              </w:rPr>
              <w:t xml:space="preserve">- </w:t>
            </w:r>
            <w:r w:rsidR="000F2830" w:rsidRPr="00D2768B">
              <w:rPr>
                <w:lang w:val="en-GB" w:eastAsia="it-IT"/>
              </w:rPr>
              <w:t>for</w:t>
            </w:r>
            <w:r w:rsidR="00322787" w:rsidRPr="00D2768B">
              <w:rPr>
                <w:lang w:val="en-GB" w:eastAsia="it-IT"/>
              </w:rPr>
              <w:t xml:space="preserve"> OE </w:t>
            </w:r>
            <w:r w:rsidR="0002580E" w:rsidRPr="00D2768B">
              <w:rPr>
                <w:lang w:val="en-GB" w:eastAsia="it-IT"/>
              </w:rPr>
              <w:t xml:space="preserve">Evaluate benefits </w:t>
            </w:r>
            <w:r w:rsidR="007C0836" w:rsidRPr="00D2768B">
              <w:rPr>
                <w:lang w:val="en-GB" w:eastAsia="it-IT"/>
              </w:rPr>
              <w:t>of</w:t>
            </w:r>
            <w:r w:rsidR="0002580E" w:rsidRPr="00D2768B">
              <w:rPr>
                <w:lang w:val="en-GB" w:eastAsia="it-IT"/>
              </w:rPr>
              <w:t xml:space="preserve"> Digital </w:t>
            </w:r>
            <w:r w:rsidR="00322787" w:rsidRPr="00D2768B">
              <w:rPr>
                <w:lang w:val="en-GB" w:eastAsia="it-IT"/>
              </w:rPr>
              <w:t xml:space="preserve">and Robot </w:t>
            </w:r>
            <w:r w:rsidR="0002580E" w:rsidRPr="00D2768B">
              <w:rPr>
                <w:lang w:val="en-GB" w:eastAsia="it-IT"/>
              </w:rPr>
              <w:t>Inspections</w:t>
            </w:r>
            <w:r w:rsidR="007C0836" w:rsidRPr="00D2768B">
              <w:rPr>
                <w:lang w:val="en-GB" w:eastAsia="it-IT"/>
              </w:rPr>
              <w:t xml:space="preserve">, Including </w:t>
            </w:r>
            <w:r w:rsidR="00322787" w:rsidRPr="00D2768B">
              <w:rPr>
                <w:lang w:val="en-GB" w:eastAsia="it-IT"/>
              </w:rPr>
              <w:t xml:space="preserve">AI </w:t>
            </w:r>
            <w:r w:rsidR="0002580E" w:rsidRPr="00D2768B">
              <w:rPr>
                <w:lang w:val="en-GB" w:eastAsia="it-IT"/>
              </w:rPr>
              <w:t>predictive models</w:t>
            </w:r>
          </w:p>
        </w:tc>
      </w:tr>
    </w:tbl>
    <w:p w14:paraId="1738D419" w14:textId="77777777" w:rsidR="00D2419F" w:rsidRPr="00D2768B" w:rsidRDefault="00D2419F" w:rsidP="00D2419F">
      <w:pPr>
        <w:pStyle w:val="CETBodytext"/>
        <w:rPr>
          <w:lang w:val="en-GB"/>
        </w:rPr>
      </w:pPr>
    </w:p>
    <w:p w14:paraId="5B7D850A" w14:textId="6EE1AA10" w:rsidR="00D2419F" w:rsidRPr="00D2768B" w:rsidRDefault="00D2419F" w:rsidP="00D2419F">
      <w:pPr>
        <w:pStyle w:val="CETBodytext"/>
        <w:rPr>
          <w:lang w:val="en-GB"/>
        </w:rPr>
      </w:pPr>
      <w:r w:rsidRPr="00D2768B">
        <w:rPr>
          <w:lang w:val="en-GB"/>
        </w:rPr>
        <w:lastRenderedPageBreak/>
        <w:t xml:space="preserve">The checklist </w:t>
      </w:r>
      <w:r w:rsidR="00A21E8F" w:rsidRPr="00D2768B">
        <w:rPr>
          <w:lang w:val="en-GB"/>
        </w:rPr>
        <w:t xml:space="preserve">should be used by </w:t>
      </w:r>
      <w:r w:rsidR="00D37CA6" w:rsidRPr="00D2768B">
        <w:rPr>
          <w:lang w:val="en-GB"/>
        </w:rPr>
        <w:t>find</w:t>
      </w:r>
      <w:r w:rsidRPr="00D2768B">
        <w:rPr>
          <w:lang w:val="en-GB"/>
        </w:rPr>
        <w:t xml:space="preserve"> weaknesses </w:t>
      </w:r>
      <w:r w:rsidR="006D47B8" w:rsidRPr="00D2768B">
        <w:rPr>
          <w:lang w:val="en-GB"/>
        </w:rPr>
        <w:t xml:space="preserve">and to develop </w:t>
      </w:r>
      <w:r w:rsidR="004768D9" w:rsidRPr="00D2768B">
        <w:rPr>
          <w:lang w:val="en-GB"/>
        </w:rPr>
        <w:t>a suitable Aging</w:t>
      </w:r>
      <w:r w:rsidR="00A71FDC" w:rsidRPr="00D2768B">
        <w:rPr>
          <w:lang w:val="en-GB"/>
        </w:rPr>
        <w:t xml:space="preserve"> Management Plan</w:t>
      </w:r>
      <w:r w:rsidR="00DC5586" w:rsidRPr="00D2768B">
        <w:rPr>
          <w:lang w:val="en-GB"/>
        </w:rPr>
        <w:t>.</w:t>
      </w:r>
      <w:r w:rsidR="00CA3A75" w:rsidRPr="00D2768B">
        <w:rPr>
          <w:lang w:val="en-GB"/>
        </w:rPr>
        <w:t xml:space="preserve"> The checklist could be useful </w:t>
      </w:r>
      <w:r w:rsidR="00531C69" w:rsidRPr="00D2768B">
        <w:rPr>
          <w:lang w:val="en-GB"/>
        </w:rPr>
        <w:t xml:space="preserve">for mandatory </w:t>
      </w:r>
      <w:r w:rsidR="00EB70CD" w:rsidRPr="00D2768B">
        <w:rPr>
          <w:lang w:val="en-GB"/>
        </w:rPr>
        <w:t>ins</w:t>
      </w:r>
      <w:r w:rsidR="00F34EA6" w:rsidRPr="00D2768B">
        <w:rPr>
          <w:lang w:val="en-GB"/>
        </w:rPr>
        <w:t>pection</w:t>
      </w:r>
      <w:r w:rsidR="00531C69" w:rsidRPr="00D2768B">
        <w:rPr>
          <w:lang w:val="en-GB"/>
        </w:rPr>
        <w:t>s</w:t>
      </w:r>
      <w:r w:rsidR="00F34EA6" w:rsidRPr="00D2768B">
        <w:rPr>
          <w:lang w:val="en-GB"/>
        </w:rPr>
        <w:t xml:space="preserve"> at Seveso sites</w:t>
      </w:r>
      <w:r w:rsidR="00D4274D" w:rsidRPr="00D2768B">
        <w:rPr>
          <w:lang w:val="en-GB"/>
        </w:rPr>
        <w:t>.</w:t>
      </w:r>
      <w:r w:rsidR="000A5D80" w:rsidRPr="00D2768B">
        <w:rPr>
          <w:lang w:val="en-GB"/>
        </w:rPr>
        <w:t xml:space="preserve"> The proposed checklist is organized in an analogous way to the checklist used </w:t>
      </w:r>
      <w:r w:rsidR="00F34EA6" w:rsidRPr="00D2768B">
        <w:rPr>
          <w:lang w:val="en-GB"/>
        </w:rPr>
        <w:t>for Seveso ins</w:t>
      </w:r>
      <w:r w:rsidR="00531C69" w:rsidRPr="00D2768B">
        <w:rPr>
          <w:lang w:val="en-GB"/>
        </w:rPr>
        <w:t xml:space="preserve">pection </w:t>
      </w:r>
      <w:r w:rsidR="000A5D80" w:rsidRPr="00D2768B">
        <w:rPr>
          <w:lang w:val="en-GB"/>
        </w:rPr>
        <w:t xml:space="preserve">in Italy </w:t>
      </w:r>
      <w:r w:rsidR="004768D9" w:rsidRPr="00D2768B">
        <w:rPr>
          <w:lang w:val="en-GB"/>
        </w:rPr>
        <w:t xml:space="preserve">since 2018 </w:t>
      </w:r>
      <w:r w:rsidR="00F862A3" w:rsidRPr="00D2768B">
        <w:rPr>
          <w:lang w:val="en-GB"/>
        </w:rPr>
        <w:t>(</w:t>
      </w:r>
      <w:r w:rsidR="00CA7348" w:rsidRPr="00D2768B">
        <w:rPr>
          <w:lang w:val="en-GB"/>
        </w:rPr>
        <w:t>Milazzo &amp; Bragatto, 2019</w:t>
      </w:r>
      <w:r w:rsidR="00A71FDC" w:rsidRPr="00D2768B">
        <w:rPr>
          <w:lang w:val="en-GB"/>
        </w:rPr>
        <w:t>) but</w:t>
      </w:r>
      <w:r w:rsidR="000A5D80" w:rsidRPr="00D2768B">
        <w:rPr>
          <w:lang w:val="en-GB"/>
        </w:rPr>
        <w:t xml:space="preserve"> differs </w:t>
      </w:r>
      <w:r w:rsidR="004C0922" w:rsidRPr="00D2768B">
        <w:rPr>
          <w:lang w:val="en-GB"/>
        </w:rPr>
        <w:t xml:space="preserve">for the scope, which is much wider </w:t>
      </w:r>
      <w:r w:rsidR="00350F1C" w:rsidRPr="00D2768B">
        <w:rPr>
          <w:lang w:val="en-GB"/>
        </w:rPr>
        <w:t xml:space="preserve">including </w:t>
      </w:r>
      <w:r w:rsidR="000A5D80" w:rsidRPr="00D2768B">
        <w:rPr>
          <w:lang w:val="en-GB"/>
        </w:rPr>
        <w:t>all aspects of aging</w:t>
      </w:r>
      <w:r w:rsidR="003D0D4C" w:rsidRPr="00D2768B">
        <w:rPr>
          <w:lang w:val="en-GB"/>
        </w:rPr>
        <w:t xml:space="preserve"> </w:t>
      </w:r>
      <w:r w:rsidR="00927CAB" w:rsidRPr="00D2768B">
        <w:rPr>
          <w:lang w:val="en-GB"/>
        </w:rPr>
        <w:t>(</w:t>
      </w:r>
      <w:proofErr w:type="gramStart"/>
      <w:r w:rsidR="00927CAB" w:rsidRPr="00D2768B">
        <w:rPr>
          <w:lang w:val="en-GB"/>
        </w:rPr>
        <w:t>not only degradation</w:t>
      </w:r>
      <w:proofErr w:type="gramEnd"/>
      <w:r w:rsidR="00927CAB" w:rsidRPr="00D2768B">
        <w:rPr>
          <w:lang w:val="en-GB"/>
        </w:rPr>
        <w:t>).</w:t>
      </w:r>
    </w:p>
    <w:p w14:paraId="5D1889E5" w14:textId="75480201" w:rsidR="003853F5" w:rsidRPr="00D2768B" w:rsidRDefault="003853F5" w:rsidP="006355E1">
      <w:pPr>
        <w:pStyle w:val="CETHeading1"/>
        <w:numPr>
          <w:ilvl w:val="1"/>
          <w:numId w:val="24"/>
        </w:numPr>
        <w:rPr>
          <w:lang w:val="en-GB"/>
        </w:rPr>
      </w:pPr>
      <w:r w:rsidRPr="00D2768B">
        <w:rPr>
          <w:lang w:val="en-GB"/>
        </w:rPr>
        <w:t>Con</w:t>
      </w:r>
      <w:r w:rsidR="0084533C" w:rsidRPr="00D2768B">
        <w:rPr>
          <w:lang w:val="en-GB"/>
        </w:rPr>
        <w:t>clusions</w:t>
      </w:r>
    </w:p>
    <w:p w14:paraId="1441A997" w14:textId="77777777" w:rsidR="0081552B" w:rsidRPr="00D2768B" w:rsidRDefault="0081552B" w:rsidP="0081552B">
      <w:r w:rsidRPr="00D2768B">
        <w:t>Aging management is an organization-wide goal, not merely a technical issue, involving multiple departments such as inspection, maintenance, safety, production, IT, purchasing, legal, and personnel. It demands adequate resources and top management commitment, with safe aging integrated as a strategic objective in the major accident prevention policy to foster inter-unit cooperation.</w:t>
      </w:r>
    </w:p>
    <w:p w14:paraId="1A77509B" w14:textId="29286276" w:rsidR="000264EB" w:rsidRPr="00D2768B" w:rsidRDefault="00073B2B" w:rsidP="00DB511B">
      <w:pPr>
        <w:pStyle w:val="CETBodytext"/>
        <w:rPr>
          <w:lang w:val="en-GB"/>
        </w:rPr>
      </w:pPr>
      <w:r w:rsidRPr="00D2768B">
        <w:rPr>
          <w:lang w:val="en-GB"/>
        </w:rPr>
        <w:t xml:space="preserve">The present paper is the first step for a </w:t>
      </w:r>
      <w:r w:rsidR="002A1E5C" w:rsidRPr="00D2768B">
        <w:rPr>
          <w:lang w:val="en-GB"/>
        </w:rPr>
        <w:t xml:space="preserve">new approach, overcoming the </w:t>
      </w:r>
      <w:r w:rsidR="007E2D04" w:rsidRPr="00D2768B">
        <w:rPr>
          <w:lang w:val="en-GB"/>
        </w:rPr>
        <w:t xml:space="preserve">limits of the </w:t>
      </w:r>
      <w:r w:rsidR="002A1E5C" w:rsidRPr="00D2768B">
        <w:rPr>
          <w:lang w:val="en-GB"/>
        </w:rPr>
        <w:t>method</w:t>
      </w:r>
      <w:r w:rsidR="007E2D04" w:rsidRPr="00D2768B">
        <w:rPr>
          <w:lang w:val="en-GB"/>
        </w:rPr>
        <w:t>s already adopted in European countries</w:t>
      </w:r>
      <w:r w:rsidR="00CA7822" w:rsidRPr="00D2768B">
        <w:rPr>
          <w:lang w:val="en-GB"/>
        </w:rPr>
        <w:t xml:space="preserve">. </w:t>
      </w:r>
      <w:r w:rsidR="00DD4678" w:rsidRPr="00D2768B">
        <w:rPr>
          <w:lang w:val="en-GB"/>
        </w:rPr>
        <w:t xml:space="preserve">The further steps </w:t>
      </w:r>
      <w:r w:rsidR="00FB6A0E" w:rsidRPr="00D2768B">
        <w:rPr>
          <w:lang w:val="en-GB"/>
        </w:rPr>
        <w:t xml:space="preserve">will </w:t>
      </w:r>
      <w:r w:rsidR="00094D67" w:rsidRPr="00D2768B">
        <w:rPr>
          <w:lang w:val="en-GB"/>
        </w:rPr>
        <w:t xml:space="preserve">include </w:t>
      </w:r>
      <w:r w:rsidR="000264EB" w:rsidRPr="00D2768B">
        <w:rPr>
          <w:lang w:val="en-GB"/>
        </w:rPr>
        <w:t xml:space="preserve">a few on-site simulations in representative </w:t>
      </w:r>
      <w:r w:rsidR="007F29D4" w:rsidRPr="00D2768B">
        <w:rPr>
          <w:lang w:val="en-GB"/>
        </w:rPr>
        <w:t>sites;</w:t>
      </w:r>
      <w:r w:rsidR="000264EB" w:rsidRPr="00D2768B">
        <w:rPr>
          <w:lang w:val="en-GB"/>
        </w:rPr>
        <w:t xml:space="preserve"> the formation of a panel extended to the different stakeholders to determine the relative weight of the various factors.</w:t>
      </w:r>
    </w:p>
    <w:p w14:paraId="3ED71E75" w14:textId="50E554D3" w:rsidR="003910F2" w:rsidRPr="00D2768B" w:rsidRDefault="00D61E07" w:rsidP="003910F2">
      <w:pPr>
        <w:pStyle w:val="CETReference"/>
      </w:pPr>
      <w:r w:rsidRPr="00D2768B">
        <w:t>References</w:t>
      </w:r>
    </w:p>
    <w:p w14:paraId="72010385" w14:textId="21383972" w:rsidR="00487005" w:rsidRPr="00D2768B" w:rsidRDefault="00487005" w:rsidP="00487005">
      <w:pPr>
        <w:pStyle w:val="CETReferencetext"/>
      </w:pPr>
      <w:r w:rsidRPr="00D2768B">
        <w:t>Ancione, G., Ansaldi, S., Bragatto, P., Agnello, P., &amp; Milazzo, M. 2024, An ontological approach increasing the knowledge about equipment ageing including the effects of current transitions. J</w:t>
      </w:r>
      <w:r w:rsidR="00A24EC3" w:rsidRPr="00D2768B">
        <w:t>.</w:t>
      </w:r>
      <w:r w:rsidRPr="00D2768B">
        <w:t xml:space="preserve"> of Loss Prevention in the Process Industries. </w:t>
      </w:r>
    </w:p>
    <w:p w14:paraId="2BF0E839" w14:textId="6A12A31B" w:rsidR="00487005" w:rsidRPr="00D2768B" w:rsidRDefault="00487005" w:rsidP="00487005">
      <w:pPr>
        <w:pStyle w:val="CETReferencetext"/>
      </w:pPr>
      <w:r w:rsidRPr="00D2768B">
        <w:t xml:space="preserve">Aslam, M., Tufail, A., Apong, R., De Silva, L., &amp; Raza, M., 2024, Scrutinizing Security in Industrial Control Systems: An Architectural Vulnerabilities and Communication Network Perspective. IEEE Access, 12, 67537-67573. </w:t>
      </w:r>
    </w:p>
    <w:p w14:paraId="5409A38E" w14:textId="77777777" w:rsidR="00487005" w:rsidRPr="00D2768B" w:rsidRDefault="00487005" w:rsidP="00487005">
      <w:pPr>
        <w:pStyle w:val="CETReferencetext"/>
      </w:pPr>
      <w:r w:rsidRPr="00D2768B">
        <w:t xml:space="preserve">Bragatto P., Milazzo M.F., Vairo T., Hansler R., Bellamy L.J., 2022, Control of plant aging at Seveso sites: achievements in research and transfer to current practice, Chemical Engineering Transactions, 90, 703-708 </w:t>
      </w:r>
    </w:p>
    <w:p w14:paraId="10D4580E" w14:textId="77777777" w:rsidR="00487005" w:rsidRPr="00D2768B" w:rsidRDefault="00487005" w:rsidP="00487005">
      <w:pPr>
        <w:pStyle w:val="CETReferencetext"/>
      </w:pPr>
      <w:r w:rsidRPr="00D2768B">
        <w:t xml:space="preserve">Darling, K., Rajagopalan, M., Komarasamy, M., Bhatia, M., Hornbuckle, B., Mishra, R., &amp; Solanki, K., 2016, Extreme creep resistance in a microstructurally stable nanocrystalline alloy. Nature, 537, 378-381. </w:t>
      </w:r>
    </w:p>
    <w:p w14:paraId="3D42BFEB" w14:textId="6F38B95E" w:rsidR="00487005" w:rsidRPr="00D2768B" w:rsidRDefault="00487005" w:rsidP="00487005">
      <w:pPr>
        <w:pStyle w:val="CETReferencetext"/>
      </w:pPr>
      <w:r w:rsidRPr="00D2768B">
        <w:t xml:space="preserve">Ennis, P.J., </w:t>
      </w:r>
      <w:proofErr w:type="spellStart"/>
      <w:r w:rsidRPr="00D2768B">
        <w:t>Czyrska-Filemonowicz</w:t>
      </w:r>
      <w:proofErr w:type="spellEnd"/>
      <w:r w:rsidRPr="00D2768B">
        <w:t xml:space="preserve">, A., 2003, Recent advances in creep-resistant steels for power plant applications. Sadhana 28, 709–730 </w:t>
      </w:r>
    </w:p>
    <w:p w14:paraId="44C96201" w14:textId="6E2C4415" w:rsidR="00487005" w:rsidRPr="00D2768B" w:rsidRDefault="00487005" w:rsidP="00487005">
      <w:pPr>
        <w:pStyle w:val="CETReferencetext"/>
      </w:pPr>
      <w:r w:rsidRPr="00D2768B">
        <w:t xml:space="preserve">Holechek, J., Geli, H., </w:t>
      </w:r>
      <w:proofErr w:type="spellStart"/>
      <w:r w:rsidRPr="00D2768B">
        <w:t>Sawalhah</w:t>
      </w:r>
      <w:proofErr w:type="spellEnd"/>
      <w:r w:rsidRPr="00D2768B">
        <w:t xml:space="preserve">, M., &amp; Valdez, R., 2022, A Global Assessment: Can Renewable Energy Replace Fossil Fuels by </w:t>
      </w:r>
      <w:proofErr w:type="gramStart"/>
      <w:r w:rsidRPr="00D2768B">
        <w:t>2050?.</w:t>
      </w:r>
      <w:proofErr w:type="gramEnd"/>
      <w:r w:rsidRPr="00D2768B">
        <w:t xml:space="preserve"> Sustainability. </w:t>
      </w:r>
    </w:p>
    <w:p w14:paraId="284025D8" w14:textId="31FF2AAF" w:rsidR="00487005" w:rsidRPr="00D2768B" w:rsidRDefault="00487005" w:rsidP="00487005">
      <w:pPr>
        <w:pStyle w:val="CETReferencetext"/>
      </w:pPr>
      <w:r w:rsidRPr="00D2768B">
        <w:t xml:space="preserve">Kamps, M., van den </w:t>
      </w:r>
      <w:proofErr w:type="spellStart"/>
      <w:r w:rsidRPr="00D2768B">
        <w:t>Boomen</w:t>
      </w:r>
      <w:proofErr w:type="spellEnd"/>
      <w:r w:rsidRPr="00D2768B">
        <w:t xml:space="preserve">, M., van den Bogaard, J., </w:t>
      </w:r>
      <w:r w:rsidR="002C3EA4" w:rsidRPr="00D2768B">
        <w:t xml:space="preserve">&amp; </w:t>
      </w:r>
      <w:r w:rsidRPr="00D2768B">
        <w:t>Hertogh, M., 2024, Intergenerational transfer of engineering expertise: knowledge continuity management in storm surge barrier engineering. Built Environment Project and Asset Management, 14 (6), 874-891.</w:t>
      </w:r>
    </w:p>
    <w:p w14:paraId="3FF88F88" w14:textId="333CBA10" w:rsidR="00487005" w:rsidRPr="00D2768B" w:rsidRDefault="00487005" w:rsidP="00487005">
      <w:pPr>
        <w:pStyle w:val="CETReferencetext"/>
      </w:pPr>
      <w:r w:rsidRPr="00D2768B">
        <w:t xml:space="preserve">Kayan, H., Nunes, M., Rana, O., Burnap, P., &amp; Perera, C. ,2021, Cybersecurity of Industrial Cyber-Physical Systems: A Review. ACM Computing Surveys (CSUR), 54, 1 - 35. </w:t>
      </w:r>
    </w:p>
    <w:p w14:paraId="3DA739DC" w14:textId="77777777" w:rsidR="00487005" w:rsidRPr="00D2768B" w:rsidRDefault="00487005" w:rsidP="00487005">
      <w:pPr>
        <w:pStyle w:val="CETReferencetext"/>
      </w:pPr>
      <w:r w:rsidRPr="00D2768B">
        <w:t xml:space="preserve">Kotek, L., Křivánek, D., </w:t>
      </w:r>
      <w:proofErr w:type="spellStart"/>
      <w:r w:rsidRPr="00D2768B">
        <w:t>Mukhametzianova</w:t>
      </w:r>
      <w:proofErr w:type="spellEnd"/>
      <w:r w:rsidRPr="00D2768B">
        <w:t xml:space="preserve">, L., </w:t>
      </w:r>
      <w:proofErr w:type="spellStart"/>
      <w:r w:rsidRPr="00D2768B">
        <w:t>Machátová</w:t>
      </w:r>
      <w:proofErr w:type="spellEnd"/>
      <w:r w:rsidRPr="00D2768B">
        <w:t>, Z., Trávníček, P., 2024, Ageing Management in the Prevention of Major Accidents in the Czech Republic Chemical Engineering Transactions, 111, 13-18</w:t>
      </w:r>
    </w:p>
    <w:p w14:paraId="53638483" w14:textId="77777777" w:rsidR="00487005" w:rsidRPr="00D2768B" w:rsidRDefault="00487005" w:rsidP="00487005">
      <w:pPr>
        <w:pStyle w:val="CETReferencetext"/>
      </w:pPr>
      <w:r w:rsidRPr="00D2768B">
        <w:t xml:space="preserve">Li, S., Deng, T., Zhang, Y., Liang, Y., Li, R., &amp; Dong, T., 2021, Review on the Creep Resistance of High-Temperature Titanium Alloy. Transactions of the Indian Institute of Metals, 74, 215 - 222. </w:t>
      </w:r>
    </w:p>
    <w:p w14:paraId="2BDF7C65" w14:textId="77777777" w:rsidR="00487005" w:rsidRPr="00D2768B" w:rsidRDefault="00487005" w:rsidP="00487005">
      <w:pPr>
        <w:pStyle w:val="CETReferencetext"/>
      </w:pPr>
      <w:r w:rsidRPr="00D2768B">
        <w:t>Luo, H., Yang, B., Liu, Z., Ding, C.J., Liu, B., 2024, The bright and dark sides: Unpacking the effect of digital economy on resource curse. Journal of Cleaner Production, 485, art. no. 144351</w:t>
      </w:r>
    </w:p>
    <w:p w14:paraId="37B3EA43" w14:textId="77777777" w:rsidR="00487005" w:rsidRPr="00D2768B" w:rsidRDefault="00487005" w:rsidP="00487005">
      <w:pPr>
        <w:pStyle w:val="CETReferencetext"/>
      </w:pPr>
      <w:r w:rsidRPr="00D2768B">
        <w:t xml:space="preserve">McLaughlin, S.E., Konstantinou, C., Wang, X., Davi, L., Sadeghi, A., </w:t>
      </w:r>
      <w:proofErr w:type="spellStart"/>
      <w:r w:rsidRPr="00D2768B">
        <w:t>Maniatakos</w:t>
      </w:r>
      <w:proofErr w:type="spellEnd"/>
      <w:r w:rsidRPr="00D2768B">
        <w:t>, M., &amp; Karri, R., 2016, The Cybersecurity Landscape in Industrial Control Systems. Proceedings of the IEEE, 104, 1039-1057.</w:t>
      </w:r>
    </w:p>
    <w:p w14:paraId="0C2ECF54" w14:textId="77777777" w:rsidR="00487005" w:rsidRPr="00D2768B" w:rsidRDefault="00487005" w:rsidP="00487005">
      <w:pPr>
        <w:pStyle w:val="CETReferencetext"/>
      </w:pPr>
      <w:r w:rsidRPr="00D2768B">
        <w:t>Milazzo, M. F., &amp; Bragatto, P. 2019. A framework addressing a safe ageing management in complex industrial sites: The Italian experience in «Seveso» establishments. Journal of Loss Prevention in the process industries, 58, 70-81.</w:t>
      </w:r>
    </w:p>
    <w:p w14:paraId="7AD48BD3" w14:textId="77777777" w:rsidR="00487005" w:rsidRPr="00D2768B" w:rsidRDefault="00487005" w:rsidP="00487005">
      <w:pPr>
        <w:pStyle w:val="CETReferencetext"/>
      </w:pPr>
      <w:r w:rsidRPr="00D2768B">
        <w:t xml:space="preserve">Petterson, L. &amp; Simola, K.,2006, Aging of Components and Systems. An </w:t>
      </w:r>
      <w:proofErr w:type="spellStart"/>
      <w:r w:rsidRPr="00D2768B">
        <w:t>ESReDA</w:t>
      </w:r>
      <w:proofErr w:type="spellEnd"/>
      <w:r w:rsidRPr="00D2768B">
        <w:t xml:space="preserve"> Working Group Report. Det Norske Veritas, Høvik, Norway</w:t>
      </w:r>
    </w:p>
    <w:p w14:paraId="47051457" w14:textId="443FD3D6" w:rsidR="00487005" w:rsidRPr="00D2768B" w:rsidRDefault="00487005" w:rsidP="00487005">
      <w:pPr>
        <w:pStyle w:val="CETReferencetext"/>
      </w:pPr>
      <w:r w:rsidRPr="00D2768B">
        <w:t>Plantinga, A.</w:t>
      </w:r>
      <w:r w:rsidR="00EA2A40" w:rsidRPr="00D2768B">
        <w:t xml:space="preserve"> </w:t>
      </w:r>
      <w:r w:rsidRPr="00D2768B">
        <w:t>&amp; Scholtens, B., 2021, The financial impact of fossil fuel divestment</w:t>
      </w:r>
      <w:r w:rsidR="00EA2A40" w:rsidRPr="00D2768B">
        <w:t>,</w:t>
      </w:r>
      <w:r w:rsidRPr="00D2768B">
        <w:t> Climate Policy, 21(1), 107–119.</w:t>
      </w:r>
    </w:p>
    <w:p w14:paraId="28EA1CA8" w14:textId="1DCD2A37" w:rsidR="00487005" w:rsidRPr="00D2768B" w:rsidRDefault="00487005" w:rsidP="00487005">
      <w:pPr>
        <w:pStyle w:val="CETReferencetext"/>
      </w:pPr>
      <w:r w:rsidRPr="00D2768B">
        <w:t>Tomala, M., Rusin, A. &amp; Wojaczek, A., 2020, Risk-based planning of diagnostic testing of turbines operating with increased flexibility. Energies, 13(13), 3464.</w:t>
      </w:r>
    </w:p>
    <w:p w14:paraId="385A24B6" w14:textId="77777777" w:rsidR="00487005" w:rsidRPr="00D2768B" w:rsidRDefault="00487005" w:rsidP="00487005">
      <w:pPr>
        <w:pStyle w:val="CETReferencetext"/>
      </w:pPr>
      <w:r w:rsidRPr="00D2768B">
        <w:t xml:space="preserve">Vitale, M., Shi, H., Rodriguez, D. J. C., Barresi, A., &amp; </w:t>
      </w:r>
      <w:proofErr w:type="spellStart"/>
      <w:r w:rsidRPr="00D2768B">
        <w:t>Demichela</w:t>
      </w:r>
      <w:proofErr w:type="spellEnd"/>
      <w:r w:rsidRPr="00D2768B">
        <w:t>, M., 2024, Aging in Process Industry: Identification of Material Degradation from Past Accidents Analysis. IFAC-</w:t>
      </w:r>
      <w:proofErr w:type="spellStart"/>
      <w:r w:rsidRPr="00D2768B">
        <w:t>PapersOnLine</w:t>
      </w:r>
      <w:proofErr w:type="spellEnd"/>
      <w:r w:rsidRPr="00D2768B">
        <w:t>, 58(4), 568-573.</w:t>
      </w:r>
    </w:p>
    <w:p w14:paraId="054D7780" w14:textId="69EE4D72" w:rsidR="00703C89" w:rsidRPr="00D2768B" w:rsidRDefault="00487005" w:rsidP="006C4977">
      <w:pPr>
        <w:pStyle w:val="CETReferencetext"/>
      </w:pPr>
      <w:r w:rsidRPr="00D2768B">
        <w:t>Wood, M. H., Arellano, A. V., &amp; Van Wijk, L. 2013, Corrosion related accidents in petroleum refineries. European Commission Joint Research Centre, report no. EUR, 26331.</w:t>
      </w:r>
    </w:p>
    <w:p w14:paraId="50A017B4" w14:textId="79B829C2" w:rsidR="00DB140D" w:rsidRPr="00D2768B" w:rsidRDefault="00DB140D" w:rsidP="006C4977">
      <w:pPr>
        <w:pStyle w:val="CETReferencetext"/>
      </w:pPr>
      <w:r w:rsidRPr="00D2768B">
        <w:t>Dwivedi</w:t>
      </w:r>
      <w:r w:rsidR="001462A0" w:rsidRPr="00D2768B">
        <w:t>, Y.K.</w:t>
      </w:r>
      <w:r w:rsidRPr="00D2768B">
        <w:t xml:space="preserve"> et al. </w:t>
      </w:r>
      <w:r w:rsidR="00A409C0" w:rsidRPr="00D2768B">
        <w:t xml:space="preserve">2022 </w:t>
      </w:r>
      <w:r w:rsidRPr="00D2768B">
        <w:t xml:space="preserve">Climate change and COP26: Are digital technologies and information management part of the problem or the solution? An editorial reflection and call to action. Int. J. Inf. Manag., 63 102456. </w:t>
      </w:r>
    </w:p>
    <w:sectPr w:rsidR="00DB140D" w:rsidRPr="00D2768B"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7AC8A" w14:textId="77777777" w:rsidR="00854052" w:rsidRDefault="00854052" w:rsidP="004F5E36">
      <w:r>
        <w:separator/>
      </w:r>
    </w:p>
  </w:endnote>
  <w:endnote w:type="continuationSeparator" w:id="0">
    <w:p w14:paraId="5E22F7C7" w14:textId="77777777" w:rsidR="00854052" w:rsidRDefault="00854052"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0A6E8" w14:textId="77777777" w:rsidR="00854052" w:rsidRDefault="00854052" w:rsidP="004F5E36">
      <w:r>
        <w:separator/>
      </w:r>
    </w:p>
  </w:footnote>
  <w:footnote w:type="continuationSeparator" w:id="0">
    <w:p w14:paraId="3F1B5F7B" w14:textId="77777777" w:rsidR="00854052" w:rsidRDefault="00854052"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B2B41DF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0"/>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7"/>
  </w:num>
  <w:num w:numId="13" w16cid:durableId="695733619">
    <w:abstractNumId w:val="12"/>
  </w:num>
  <w:num w:numId="14" w16cid:durableId="145903400">
    <w:abstractNumId w:val="18"/>
  </w:num>
  <w:num w:numId="15" w16cid:durableId="19162326">
    <w:abstractNumId w:val="20"/>
  </w:num>
  <w:num w:numId="16" w16cid:durableId="1977102699">
    <w:abstractNumId w:val="19"/>
  </w:num>
  <w:num w:numId="17" w16cid:durableId="860774865">
    <w:abstractNumId w:val="11"/>
  </w:num>
  <w:num w:numId="18" w16cid:durableId="313221457">
    <w:abstractNumId w:val="12"/>
    <w:lvlOverride w:ilvl="0">
      <w:startOverride w:val="1"/>
    </w:lvlOverride>
  </w:num>
  <w:num w:numId="19" w16cid:durableId="534971577">
    <w:abstractNumId w:val="16"/>
  </w:num>
  <w:num w:numId="20" w16cid:durableId="1150947773">
    <w:abstractNumId w:val="15"/>
  </w:num>
  <w:num w:numId="21" w16cid:durableId="124660497">
    <w:abstractNumId w:val="14"/>
  </w:num>
  <w:num w:numId="22" w16cid:durableId="2099861471">
    <w:abstractNumId w:val="13"/>
  </w:num>
  <w:num w:numId="23" w16cid:durableId="1484420781">
    <w:abstractNumId w:val="10"/>
    <w:lvlOverride w:ilvl="0">
      <w:startOverride w:val="1"/>
    </w:lvlOverride>
    <w:lvlOverride w:ilvl="1">
      <w:startOverride w:val="3"/>
    </w:lvlOverride>
    <w:lvlOverride w:ilvl="2">
      <w:startOverride w:val="2"/>
    </w:lvlOverride>
  </w:num>
  <w:num w:numId="24" w16cid:durableId="1221789253">
    <w:abstractNumId w:val="10"/>
    <w:lvlOverride w:ilvl="0">
      <w:startOverride w:val="1"/>
    </w:lvlOverride>
    <w:lvlOverride w:ilvl="1">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3ADB"/>
    <w:rsid w:val="00003C12"/>
    <w:rsid w:val="000052FB"/>
    <w:rsid w:val="00005884"/>
    <w:rsid w:val="00005A19"/>
    <w:rsid w:val="0000649C"/>
    <w:rsid w:val="00007C1B"/>
    <w:rsid w:val="000105D4"/>
    <w:rsid w:val="00010697"/>
    <w:rsid w:val="00010D64"/>
    <w:rsid w:val="000117CB"/>
    <w:rsid w:val="00012BF0"/>
    <w:rsid w:val="00012E58"/>
    <w:rsid w:val="0001516A"/>
    <w:rsid w:val="000172B9"/>
    <w:rsid w:val="0002041B"/>
    <w:rsid w:val="000234C6"/>
    <w:rsid w:val="0002580E"/>
    <w:rsid w:val="000264EB"/>
    <w:rsid w:val="0003148D"/>
    <w:rsid w:val="00031EEC"/>
    <w:rsid w:val="00035176"/>
    <w:rsid w:val="00036FBA"/>
    <w:rsid w:val="00042612"/>
    <w:rsid w:val="00044F95"/>
    <w:rsid w:val="00051566"/>
    <w:rsid w:val="00052A40"/>
    <w:rsid w:val="00053726"/>
    <w:rsid w:val="000558D1"/>
    <w:rsid w:val="000562A9"/>
    <w:rsid w:val="00061CFB"/>
    <w:rsid w:val="00062A9A"/>
    <w:rsid w:val="00065058"/>
    <w:rsid w:val="00072FFC"/>
    <w:rsid w:val="00073B2B"/>
    <w:rsid w:val="0007476C"/>
    <w:rsid w:val="00081040"/>
    <w:rsid w:val="000844F6"/>
    <w:rsid w:val="00086C39"/>
    <w:rsid w:val="00090BC2"/>
    <w:rsid w:val="00092C1A"/>
    <w:rsid w:val="00094D67"/>
    <w:rsid w:val="000A03B2"/>
    <w:rsid w:val="000A5D80"/>
    <w:rsid w:val="000B0933"/>
    <w:rsid w:val="000B5605"/>
    <w:rsid w:val="000C35A5"/>
    <w:rsid w:val="000C683E"/>
    <w:rsid w:val="000D0268"/>
    <w:rsid w:val="000D34BE"/>
    <w:rsid w:val="000E102F"/>
    <w:rsid w:val="000E239E"/>
    <w:rsid w:val="000E36F1"/>
    <w:rsid w:val="000E3A73"/>
    <w:rsid w:val="000E414A"/>
    <w:rsid w:val="000E4391"/>
    <w:rsid w:val="000E75FD"/>
    <w:rsid w:val="000F093C"/>
    <w:rsid w:val="000F2830"/>
    <w:rsid w:val="000F787B"/>
    <w:rsid w:val="00101B8C"/>
    <w:rsid w:val="001021FD"/>
    <w:rsid w:val="00103451"/>
    <w:rsid w:val="001035C8"/>
    <w:rsid w:val="001077E3"/>
    <w:rsid w:val="00113FED"/>
    <w:rsid w:val="001155BE"/>
    <w:rsid w:val="00116ED6"/>
    <w:rsid w:val="0012091F"/>
    <w:rsid w:val="0012200C"/>
    <w:rsid w:val="00124AAD"/>
    <w:rsid w:val="00126BC2"/>
    <w:rsid w:val="001308B6"/>
    <w:rsid w:val="0013121F"/>
    <w:rsid w:val="00131FE6"/>
    <w:rsid w:val="00132431"/>
    <w:rsid w:val="0013263F"/>
    <w:rsid w:val="001331DF"/>
    <w:rsid w:val="00134878"/>
    <w:rsid w:val="00134DE4"/>
    <w:rsid w:val="001359F2"/>
    <w:rsid w:val="0013675C"/>
    <w:rsid w:val="0014034D"/>
    <w:rsid w:val="00140FE3"/>
    <w:rsid w:val="00142376"/>
    <w:rsid w:val="00144C44"/>
    <w:rsid w:val="00144D16"/>
    <w:rsid w:val="001462A0"/>
    <w:rsid w:val="00150E59"/>
    <w:rsid w:val="00151CAA"/>
    <w:rsid w:val="00152DE3"/>
    <w:rsid w:val="00156BA1"/>
    <w:rsid w:val="00156D23"/>
    <w:rsid w:val="00162511"/>
    <w:rsid w:val="0016347A"/>
    <w:rsid w:val="00164CF9"/>
    <w:rsid w:val="00165F88"/>
    <w:rsid w:val="001667A6"/>
    <w:rsid w:val="001742C2"/>
    <w:rsid w:val="00176AA2"/>
    <w:rsid w:val="00176EFD"/>
    <w:rsid w:val="00181BDD"/>
    <w:rsid w:val="00184987"/>
    <w:rsid w:val="00184AD6"/>
    <w:rsid w:val="00185B1F"/>
    <w:rsid w:val="0019761C"/>
    <w:rsid w:val="001A1E75"/>
    <w:rsid w:val="001A4AF7"/>
    <w:rsid w:val="001B0349"/>
    <w:rsid w:val="001B0498"/>
    <w:rsid w:val="001B1E93"/>
    <w:rsid w:val="001B61A7"/>
    <w:rsid w:val="001B65C1"/>
    <w:rsid w:val="001C260F"/>
    <w:rsid w:val="001C33F1"/>
    <w:rsid w:val="001C684B"/>
    <w:rsid w:val="001D0CFB"/>
    <w:rsid w:val="001D21AF"/>
    <w:rsid w:val="001D27B7"/>
    <w:rsid w:val="001D468D"/>
    <w:rsid w:val="001D53FC"/>
    <w:rsid w:val="001D6170"/>
    <w:rsid w:val="001D67D7"/>
    <w:rsid w:val="001E260C"/>
    <w:rsid w:val="001E6A43"/>
    <w:rsid w:val="001E77FB"/>
    <w:rsid w:val="001F0784"/>
    <w:rsid w:val="001F42A5"/>
    <w:rsid w:val="001F6ED7"/>
    <w:rsid w:val="001F7B9D"/>
    <w:rsid w:val="00200327"/>
    <w:rsid w:val="00201C93"/>
    <w:rsid w:val="00203710"/>
    <w:rsid w:val="00211E08"/>
    <w:rsid w:val="00220B4F"/>
    <w:rsid w:val="002224B4"/>
    <w:rsid w:val="00223384"/>
    <w:rsid w:val="00223719"/>
    <w:rsid w:val="00225E51"/>
    <w:rsid w:val="002268F5"/>
    <w:rsid w:val="00227C24"/>
    <w:rsid w:val="00230C21"/>
    <w:rsid w:val="00233F6C"/>
    <w:rsid w:val="00236B30"/>
    <w:rsid w:val="002443A0"/>
    <w:rsid w:val="002447EF"/>
    <w:rsid w:val="002452CF"/>
    <w:rsid w:val="00251550"/>
    <w:rsid w:val="002541BF"/>
    <w:rsid w:val="0025478E"/>
    <w:rsid w:val="00263B05"/>
    <w:rsid w:val="0026567B"/>
    <w:rsid w:val="0027221A"/>
    <w:rsid w:val="00272EB1"/>
    <w:rsid w:val="00275B61"/>
    <w:rsid w:val="00276619"/>
    <w:rsid w:val="002769E3"/>
    <w:rsid w:val="00280FAF"/>
    <w:rsid w:val="00282656"/>
    <w:rsid w:val="00283835"/>
    <w:rsid w:val="00284162"/>
    <w:rsid w:val="00292EC7"/>
    <w:rsid w:val="00295F2B"/>
    <w:rsid w:val="00296B83"/>
    <w:rsid w:val="00297C94"/>
    <w:rsid w:val="002A1E5C"/>
    <w:rsid w:val="002A5863"/>
    <w:rsid w:val="002A7793"/>
    <w:rsid w:val="002B34E1"/>
    <w:rsid w:val="002B4015"/>
    <w:rsid w:val="002B5537"/>
    <w:rsid w:val="002B6106"/>
    <w:rsid w:val="002B78CE"/>
    <w:rsid w:val="002C2FB6"/>
    <w:rsid w:val="002C3EA4"/>
    <w:rsid w:val="002D2C11"/>
    <w:rsid w:val="002D32CD"/>
    <w:rsid w:val="002E5912"/>
    <w:rsid w:val="002E5FA7"/>
    <w:rsid w:val="002F3309"/>
    <w:rsid w:val="003008CE"/>
    <w:rsid w:val="003009B7"/>
    <w:rsid w:val="00300E56"/>
    <w:rsid w:val="0030152C"/>
    <w:rsid w:val="0030469C"/>
    <w:rsid w:val="00305D93"/>
    <w:rsid w:val="00306621"/>
    <w:rsid w:val="00307EAB"/>
    <w:rsid w:val="003110CC"/>
    <w:rsid w:val="003124EE"/>
    <w:rsid w:val="00321CA6"/>
    <w:rsid w:val="003223E8"/>
    <w:rsid w:val="00322787"/>
    <w:rsid w:val="00323210"/>
    <w:rsid w:val="00323763"/>
    <w:rsid w:val="00323C5F"/>
    <w:rsid w:val="00330BFC"/>
    <w:rsid w:val="00334C09"/>
    <w:rsid w:val="003464B9"/>
    <w:rsid w:val="00350F1C"/>
    <w:rsid w:val="00351547"/>
    <w:rsid w:val="0035238B"/>
    <w:rsid w:val="00354FF2"/>
    <w:rsid w:val="003550BE"/>
    <w:rsid w:val="003701DB"/>
    <w:rsid w:val="003723D4"/>
    <w:rsid w:val="00377CD9"/>
    <w:rsid w:val="00377D9A"/>
    <w:rsid w:val="00381905"/>
    <w:rsid w:val="00383DFC"/>
    <w:rsid w:val="00384CC8"/>
    <w:rsid w:val="003853F5"/>
    <w:rsid w:val="003871FD"/>
    <w:rsid w:val="003910F2"/>
    <w:rsid w:val="003919FC"/>
    <w:rsid w:val="003929DF"/>
    <w:rsid w:val="003A1180"/>
    <w:rsid w:val="003A1E30"/>
    <w:rsid w:val="003A1F8B"/>
    <w:rsid w:val="003A2346"/>
    <w:rsid w:val="003A2829"/>
    <w:rsid w:val="003A59BC"/>
    <w:rsid w:val="003A5DC8"/>
    <w:rsid w:val="003A7D1C"/>
    <w:rsid w:val="003B1EB0"/>
    <w:rsid w:val="003B2513"/>
    <w:rsid w:val="003B304B"/>
    <w:rsid w:val="003B3146"/>
    <w:rsid w:val="003C126E"/>
    <w:rsid w:val="003C3E6C"/>
    <w:rsid w:val="003C44C5"/>
    <w:rsid w:val="003C5D55"/>
    <w:rsid w:val="003C79E9"/>
    <w:rsid w:val="003D0D4C"/>
    <w:rsid w:val="003D1E02"/>
    <w:rsid w:val="003E33EE"/>
    <w:rsid w:val="003F015E"/>
    <w:rsid w:val="003F7BA1"/>
    <w:rsid w:val="003F7C67"/>
    <w:rsid w:val="00400414"/>
    <w:rsid w:val="00404112"/>
    <w:rsid w:val="00413B56"/>
    <w:rsid w:val="0041446B"/>
    <w:rsid w:val="0041556D"/>
    <w:rsid w:val="00426E85"/>
    <w:rsid w:val="004277AC"/>
    <w:rsid w:val="00430F0C"/>
    <w:rsid w:val="004362C6"/>
    <w:rsid w:val="00437468"/>
    <w:rsid w:val="0044071E"/>
    <w:rsid w:val="0044329C"/>
    <w:rsid w:val="00444FA6"/>
    <w:rsid w:val="004460B7"/>
    <w:rsid w:val="004469B7"/>
    <w:rsid w:val="00447C1E"/>
    <w:rsid w:val="00453E24"/>
    <w:rsid w:val="00455C91"/>
    <w:rsid w:val="00457456"/>
    <w:rsid w:val="004577FE"/>
    <w:rsid w:val="00457B9C"/>
    <w:rsid w:val="00460E43"/>
    <w:rsid w:val="0046164A"/>
    <w:rsid w:val="004628D2"/>
    <w:rsid w:val="00462DCD"/>
    <w:rsid w:val="004648AD"/>
    <w:rsid w:val="00467970"/>
    <w:rsid w:val="004703A9"/>
    <w:rsid w:val="004760DE"/>
    <w:rsid w:val="004763D7"/>
    <w:rsid w:val="004768D9"/>
    <w:rsid w:val="0048196A"/>
    <w:rsid w:val="0048296A"/>
    <w:rsid w:val="00487005"/>
    <w:rsid w:val="004A004E"/>
    <w:rsid w:val="004A24CF"/>
    <w:rsid w:val="004A5E57"/>
    <w:rsid w:val="004B264A"/>
    <w:rsid w:val="004B2AE8"/>
    <w:rsid w:val="004B6470"/>
    <w:rsid w:val="004C0922"/>
    <w:rsid w:val="004C151F"/>
    <w:rsid w:val="004C194F"/>
    <w:rsid w:val="004C37A4"/>
    <w:rsid w:val="004C3D1D"/>
    <w:rsid w:val="004C3D84"/>
    <w:rsid w:val="004C59F2"/>
    <w:rsid w:val="004C7913"/>
    <w:rsid w:val="004C7E33"/>
    <w:rsid w:val="004D1BE3"/>
    <w:rsid w:val="004D587B"/>
    <w:rsid w:val="004D7906"/>
    <w:rsid w:val="004E0DF2"/>
    <w:rsid w:val="004E30B8"/>
    <w:rsid w:val="004E4DD6"/>
    <w:rsid w:val="004F5E36"/>
    <w:rsid w:val="004F68CB"/>
    <w:rsid w:val="0050148B"/>
    <w:rsid w:val="0050271B"/>
    <w:rsid w:val="005043B1"/>
    <w:rsid w:val="00507B47"/>
    <w:rsid w:val="00507BEF"/>
    <w:rsid w:val="00507CC9"/>
    <w:rsid w:val="005119A5"/>
    <w:rsid w:val="00511D1C"/>
    <w:rsid w:val="00516717"/>
    <w:rsid w:val="00517504"/>
    <w:rsid w:val="00523F43"/>
    <w:rsid w:val="00527306"/>
    <w:rsid w:val="005278B7"/>
    <w:rsid w:val="00531C69"/>
    <w:rsid w:val="00532016"/>
    <w:rsid w:val="00532D52"/>
    <w:rsid w:val="00533BEF"/>
    <w:rsid w:val="005346C8"/>
    <w:rsid w:val="0054155C"/>
    <w:rsid w:val="00543E7D"/>
    <w:rsid w:val="00547A68"/>
    <w:rsid w:val="0055155B"/>
    <w:rsid w:val="005531C9"/>
    <w:rsid w:val="005543EE"/>
    <w:rsid w:val="0056021C"/>
    <w:rsid w:val="00562F74"/>
    <w:rsid w:val="005630B8"/>
    <w:rsid w:val="005679E2"/>
    <w:rsid w:val="00570C43"/>
    <w:rsid w:val="00577514"/>
    <w:rsid w:val="0058164E"/>
    <w:rsid w:val="00581F84"/>
    <w:rsid w:val="0059027D"/>
    <w:rsid w:val="00591182"/>
    <w:rsid w:val="00592274"/>
    <w:rsid w:val="005A5D19"/>
    <w:rsid w:val="005A7835"/>
    <w:rsid w:val="005A7A03"/>
    <w:rsid w:val="005B2110"/>
    <w:rsid w:val="005B5494"/>
    <w:rsid w:val="005B61E6"/>
    <w:rsid w:val="005C32A4"/>
    <w:rsid w:val="005C59E3"/>
    <w:rsid w:val="005C77E1"/>
    <w:rsid w:val="005D668A"/>
    <w:rsid w:val="005D6A2F"/>
    <w:rsid w:val="005D752D"/>
    <w:rsid w:val="005E0592"/>
    <w:rsid w:val="005E1A82"/>
    <w:rsid w:val="005E2212"/>
    <w:rsid w:val="005E28E1"/>
    <w:rsid w:val="005E794C"/>
    <w:rsid w:val="005F0A28"/>
    <w:rsid w:val="005F0E5E"/>
    <w:rsid w:val="005F37D8"/>
    <w:rsid w:val="005F4176"/>
    <w:rsid w:val="005F59E1"/>
    <w:rsid w:val="00600535"/>
    <w:rsid w:val="00604B27"/>
    <w:rsid w:val="00606B5B"/>
    <w:rsid w:val="00610CD6"/>
    <w:rsid w:val="00611B2B"/>
    <w:rsid w:val="006130F2"/>
    <w:rsid w:val="00613175"/>
    <w:rsid w:val="00620209"/>
    <w:rsid w:val="00620DEE"/>
    <w:rsid w:val="00621C69"/>
    <w:rsid w:val="00621F92"/>
    <w:rsid w:val="0062280A"/>
    <w:rsid w:val="00622EC9"/>
    <w:rsid w:val="006231E1"/>
    <w:rsid w:val="00623A50"/>
    <w:rsid w:val="00625639"/>
    <w:rsid w:val="006313FD"/>
    <w:rsid w:val="00631B33"/>
    <w:rsid w:val="00631D5B"/>
    <w:rsid w:val="006355E1"/>
    <w:rsid w:val="0064184D"/>
    <w:rsid w:val="006422CC"/>
    <w:rsid w:val="00646652"/>
    <w:rsid w:val="006466E6"/>
    <w:rsid w:val="00650105"/>
    <w:rsid w:val="006513CF"/>
    <w:rsid w:val="00651D18"/>
    <w:rsid w:val="00653BDA"/>
    <w:rsid w:val="00660E3E"/>
    <w:rsid w:val="00662E74"/>
    <w:rsid w:val="00664489"/>
    <w:rsid w:val="0066538F"/>
    <w:rsid w:val="00666A77"/>
    <w:rsid w:val="006671E3"/>
    <w:rsid w:val="006722F0"/>
    <w:rsid w:val="0067552C"/>
    <w:rsid w:val="00676243"/>
    <w:rsid w:val="006800E2"/>
    <w:rsid w:val="00680C23"/>
    <w:rsid w:val="00683D60"/>
    <w:rsid w:val="00683E23"/>
    <w:rsid w:val="00685A94"/>
    <w:rsid w:val="00687ABE"/>
    <w:rsid w:val="00687BA3"/>
    <w:rsid w:val="00693766"/>
    <w:rsid w:val="00695176"/>
    <w:rsid w:val="006977BD"/>
    <w:rsid w:val="006A29EF"/>
    <w:rsid w:val="006A3281"/>
    <w:rsid w:val="006A4672"/>
    <w:rsid w:val="006A6AB0"/>
    <w:rsid w:val="006A7617"/>
    <w:rsid w:val="006B4888"/>
    <w:rsid w:val="006C2E45"/>
    <w:rsid w:val="006C359C"/>
    <w:rsid w:val="006C3ADF"/>
    <w:rsid w:val="006C4198"/>
    <w:rsid w:val="006C4977"/>
    <w:rsid w:val="006C551E"/>
    <w:rsid w:val="006C5579"/>
    <w:rsid w:val="006C5F1E"/>
    <w:rsid w:val="006D47B8"/>
    <w:rsid w:val="006D6E8B"/>
    <w:rsid w:val="006D7209"/>
    <w:rsid w:val="006D7CC2"/>
    <w:rsid w:val="006E2264"/>
    <w:rsid w:val="006E4805"/>
    <w:rsid w:val="006E51A2"/>
    <w:rsid w:val="006E737D"/>
    <w:rsid w:val="006E7E1B"/>
    <w:rsid w:val="006F0634"/>
    <w:rsid w:val="006F548B"/>
    <w:rsid w:val="00703C89"/>
    <w:rsid w:val="00707DD1"/>
    <w:rsid w:val="00710E10"/>
    <w:rsid w:val="007128E8"/>
    <w:rsid w:val="00713973"/>
    <w:rsid w:val="007147CA"/>
    <w:rsid w:val="00714E42"/>
    <w:rsid w:val="00720A24"/>
    <w:rsid w:val="007273EF"/>
    <w:rsid w:val="00732386"/>
    <w:rsid w:val="0073514D"/>
    <w:rsid w:val="007447F3"/>
    <w:rsid w:val="0075296C"/>
    <w:rsid w:val="00753929"/>
    <w:rsid w:val="007540B7"/>
    <w:rsid w:val="0075499F"/>
    <w:rsid w:val="007617CC"/>
    <w:rsid w:val="007661C8"/>
    <w:rsid w:val="0077098D"/>
    <w:rsid w:val="00771463"/>
    <w:rsid w:val="00776A90"/>
    <w:rsid w:val="00785BF9"/>
    <w:rsid w:val="00786BAE"/>
    <w:rsid w:val="007931FA"/>
    <w:rsid w:val="007967D0"/>
    <w:rsid w:val="007A0052"/>
    <w:rsid w:val="007A4861"/>
    <w:rsid w:val="007A4BBA"/>
    <w:rsid w:val="007A5218"/>
    <w:rsid w:val="007A5A53"/>
    <w:rsid w:val="007A6DF8"/>
    <w:rsid w:val="007A7274"/>
    <w:rsid w:val="007A7BBA"/>
    <w:rsid w:val="007A7EFA"/>
    <w:rsid w:val="007B0C50"/>
    <w:rsid w:val="007B33E6"/>
    <w:rsid w:val="007B3958"/>
    <w:rsid w:val="007B48F9"/>
    <w:rsid w:val="007B6303"/>
    <w:rsid w:val="007C0836"/>
    <w:rsid w:val="007C1A43"/>
    <w:rsid w:val="007C24C5"/>
    <w:rsid w:val="007C5E9E"/>
    <w:rsid w:val="007C650C"/>
    <w:rsid w:val="007D0769"/>
    <w:rsid w:val="007D0951"/>
    <w:rsid w:val="007D0E3D"/>
    <w:rsid w:val="007D1F0F"/>
    <w:rsid w:val="007E2D04"/>
    <w:rsid w:val="007E2D5D"/>
    <w:rsid w:val="007E6D39"/>
    <w:rsid w:val="007F27C8"/>
    <w:rsid w:val="007F29D4"/>
    <w:rsid w:val="007F2BF4"/>
    <w:rsid w:val="007F3F77"/>
    <w:rsid w:val="007F7338"/>
    <w:rsid w:val="007F7CCC"/>
    <w:rsid w:val="0080013E"/>
    <w:rsid w:val="008010CF"/>
    <w:rsid w:val="00806DCB"/>
    <w:rsid w:val="00813288"/>
    <w:rsid w:val="0081552B"/>
    <w:rsid w:val="00815C06"/>
    <w:rsid w:val="008168FC"/>
    <w:rsid w:val="00817144"/>
    <w:rsid w:val="00830869"/>
    <w:rsid w:val="00830996"/>
    <w:rsid w:val="008314D7"/>
    <w:rsid w:val="008345F1"/>
    <w:rsid w:val="00834731"/>
    <w:rsid w:val="008361A3"/>
    <w:rsid w:val="0084298E"/>
    <w:rsid w:val="00843E0A"/>
    <w:rsid w:val="00844848"/>
    <w:rsid w:val="0084533C"/>
    <w:rsid w:val="00854052"/>
    <w:rsid w:val="0086241E"/>
    <w:rsid w:val="00865B07"/>
    <w:rsid w:val="008667EA"/>
    <w:rsid w:val="00866C65"/>
    <w:rsid w:val="00867ABF"/>
    <w:rsid w:val="0087637F"/>
    <w:rsid w:val="00877C09"/>
    <w:rsid w:val="00883088"/>
    <w:rsid w:val="00885AD3"/>
    <w:rsid w:val="00892AD5"/>
    <w:rsid w:val="008972F4"/>
    <w:rsid w:val="0089781E"/>
    <w:rsid w:val="008A1512"/>
    <w:rsid w:val="008B61E8"/>
    <w:rsid w:val="008B77F4"/>
    <w:rsid w:val="008C6C00"/>
    <w:rsid w:val="008D0866"/>
    <w:rsid w:val="008D1F19"/>
    <w:rsid w:val="008D32B9"/>
    <w:rsid w:val="008D433B"/>
    <w:rsid w:val="008D4A16"/>
    <w:rsid w:val="008E209A"/>
    <w:rsid w:val="008E45BC"/>
    <w:rsid w:val="008E566E"/>
    <w:rsid w:val="008E5830"/>
    <w:rsid w:val="008E5A38"/>
    <w:rsid w:val="008E6298"/>
    <w:rsid w:val="008F1AFB"/>
    <w:rsid w:val="008F4D85"/>
    <w:rsid w:val="0090161A"/>
    <w:rsid w:val="00901EB6"/>
    <w:rsid w:val="009041F8"/>
    <w:rsid w:val="009046AE"/>
    <w:rsid w:val="00904C62"/>
    <w:rsid w:val="0091642F"/>
    <w:rsid w:val="00922BA8"/>
    <w:rsid w:val="009232E5"/>
    <w:rsid w:val="009244D4"/>
    <w:rsid w:val="00924DAC"/>
    <w:rsid w:val="00927058"/>
    <w:rsid w:val="00927CAB"/>
    <w:rsid w:val="0093523C"/>
    <w:rsid w:val="00941473"/>
    <w:rsid w:val="00942750"/>
    <w:rsid w:val="009450CE"/>
    <w:rsid w:val="009459BB"/>
    <w:rsid w:val="00946CD0"/>
    <w:rsid w:val="00947179"/>
    <w:rsid w:val="0095164B"/>
    <w:rsid w:val="00951EA2"/>
    <w:rsid w:val="00952CB3"/>
    <w:rsid w:val="00953DD2"/>
    <w:rsid w:val="00954090"/>
    <w:rsid w:val="00954893"/>
    <w:rsid w:val="009573E7"/>
    <w:rsid w:val="00963C92"/>
    <w:rsid w:val="00963E05"/>
    <w:rsid w:val="00964A45"/>
    <w:rsid w:val="009659F0"/>
    <w:rsid w:val="00967843"/>
    <w:rsid w:val="00967D54"/>
    <w:rsid w:val="00971028"/>
    <w:rsid w:val="00982BED"/>
    <w:rsid w:val="00982C6A"/>
    <w:rsid w:val="00992615"/>
    <w:rsid w:val="00992FAE"/>
    <w:rsid w:val="00993B84"/>
    <w:rsid w:val="0099534A"/>
    <w:rsid w:val="009955C0"/>
    <w:rsid w:val="00996483"/>
    <w:rsid w:val="00996F5A"/>
    <w:rsid w:val="009B041A"/>
    <w:rsid w:val="009B4A0C"/>
    <w:rsid w:val="009B79F0"/>
    <w:rsid w:val="009C020B"/>
    <w:rsid w:val="009C170D"/>
    <w:rsid w:val="009C37C3"/>
    <w:rsid w:val="009C3913"/>
    <w:rsid w:val="009C3E5E"/>
    <w:rsid w:val="009C46B9"/>
    <w:rsid w:val="009C6441"/>
    <w:rsid w:val="009C7C86"/>
    <w:rsid w:val="009D0C29"/>
    <w:rsid w:val="009D0DC3"/>
    <w:rsid w:val="009D23BC"/>
    <w:rsid w:val="009D2FF7"/>
    <w:rsid w:val="009E4895"/>
    <w:rsid w:val="009E7427"/>
    <w:rsid w:val="009E7545"/>
    <w:rsid w:val="009E7884"/>
    <w:rsid w:val="009E788A"/>
    <w:rsid w:val="009E7B00"/>
    <w:rsid w:val="009F0E08"/>
    <w:rsid w:val="009F796F"/>
    <w:rsid w:val="00A05F4C"/>
    <w:rsid w:val="00A06A39"/>
    <w:rsid w:val="00A07324"/>
    <w:rsid w:val="00A079AE"/>
    <w:rsid w:val="00A1763D"/>
    <w:rsid w:val="00A17CEC"/>
    <w:rsid w:val="00A17DF2"/>
    <w:rsid w:val="00A202D5"/>
    <w:rsid w:val="00A21E8F"/>
    <w:rsid w:val="00A23438"/>
    <w:rsid w:val="00A24EC3"/>
    <w:rsid w:val="00A26CBB"/>
    <w:rsid w:val="00A27EF0"/>
    <w:rsid w:val="00A3216C"/>
    <w:rsid w:val="00A40420"/>
    <w:rsid w:val="00A409C0"/>
    <w:rsid w:val="00A41801"/>
    <w:rsid w:val="00A42361"/>
    <w:rsid w:val="00A442B9"/>
    <w:rsid w:val="00A45D43"/>
    <w:rsid w:val="00A50B20"/>
    <w:rsid w:val="00A51390"/>
    <w:rsid w:val="00A516A5"/>
    <w:rsid w:val="00A52117"/>
    <w:rsid w:val="00A565B5"/>
    <w:rsid w:val="00A60D13"/>
    <w:rsid w:val="00A63239"/>
    <w:rsid w:val="00A64EC6"/>
    <w:rsid w:val="00A71FDC"/>
    <w:rsid w:val="00A7223D"/>
    <w:rsid w:val="00A72274"/>
    <w:rsid w:val="00A72745"/>
    <w:rsid w:val="00A76EFC"/>
    <w:rsid w:val="00A83699"/>
    <w:rsid w:val="00A8549F"/>
    <w:rsid w:val="00A85903"/>
    <w:rsid w:val="00A8605D"/>
    <w:rsid w:val="00A87D50"/>
    <w:rsid w:val="00A90380"/>
    <w:rsid w:val="00A91010"/>
    <w:rsid w:val="00A92932"/>
    <w:rsid w:val="00A92EB8"/>
    <w:rsid w:val="00A96252"/>
    <w:rsid w:val="00A97F29"/>
    <w:rsid w:val="00AA2969"/>
    <w:rsid w:val="00AA492C"/>
    <w:rsid w:val="00AA4B83"/>
    <w:rsid w:val="00AA702E"/>
    <w:rsid w:val="00AA7D26"/>
    <w:rsid w:val="00AB0964"/>
    <w:rsid w:val="00AB5011"/>
    <w:rsid w:val="00AC0123"/>
    <w:rsid w:val="00AC5E23"/>
    <w:rsid w:val="00AC7368"/>
    <w:rsid w:val="00AC7482"/>
    <w:rsid w:val="00AD0278"/>
    <w:rsid w:val="00AD16B9"/>
    <w:rsid w:val="00AD2B12"/>
    <w:rsid w:val="00AD3081"/>
    <w:rsid w:val="00AD3F2D"/>
    <w:rsid w:val="00AD6B45"/>
    <w:rsid w:val="00AD785B"/>
    <w:rsid w:val="00AE03A9"/>
    <w:rsid w:val="00AE377D"/>
    <w:rsid w:val="00AE5D17"/>
    <w:rsid w:val="00AF0EBA"/>
    <w:rsid w:val="00AF1CDF"/>
    <w:rsid w:val="00AF60F6"/>
    <w:rsid w:val="00B02C8A"/>
    <w:rsid w:val="00B05BC9"/>
    <w:rsid w:val="00B116BD"/>
    <w:rsid w:val="00B12D8C"/>
    <w:rsid w:val="00B17FBD"/>
    <w:rsid w:val="00B21B54"/>
    <w:rsid w:val="00B2253E"/>
    <w:rsid w:val="00B2340D"/>
    <w:rsid w:val="00B315A6"/>
    <w:rsid w:val="00B31640"/>
    <w:rsid w:val="00B31813"/>
    <w:rsid w:val="00B32F62"/>
    <w:rsid w:val="00B33365"/>
    <w:rsid w:val="00B374D5"/>
    <w:rsid w:val="00B40F4B"/>
    <w:rsid w:val="00B44DF5"/>
    <w:rsid w:val="00B47D31"/>
    <w:rsid w:val="00B50E7A"/>
    <w:rsid w:val="00B5495B"/>
    <w:rsid w:val="00B54F28"/>
    <w:rsid w:val="00B55DC6"/>
    <w:rsid w:val="00B57B36"/>
    <w:rsid w:val="00B57E6F"/>
    <w:rsid w:val="00B60CB2"/>
    <w:rsid w:val="00B64660"/>
    <w:rsid w:val="00B7194D"/>
    <w:rsid w:val="00B75D98"/>
    <w:rsid w:val="00B773DF"/>
    <w:rsid w:val="00B8009A"/>
    <w:rsid w:val="00B8055C"/>
    <w:rsid w:val="00B81C7B"/>
    <w:rsid w:val="00B83CA5"/>
    <w:rsid w:val="00B8686D"/>
    <w:rsid w:val="00B87661"/>
    <w:rsid w:val="00B90160"/>
    <w:rsid w:val="00B921CF"/>
    <w:rsid w:val="00B93F69"/>
    <w:rsid w:val="00BA6856"/>
    <w:rsid w:val="00BB1DDC"/>
    <w:rsid w:val="00BC3077"/>
    <w:rsid w:val="00BC30C9"/>
    <w:rsid w:val="00BC3FB2"/>
    <w:rsid w:val="00BD077D"/>
    <w:rsid w:val="00BD099C"/>
    <w:rsid w:val="00BD48DB"/>
    <w:rsid w:val="00BE3E58"/>
    <w:rsid w:val="00BE4B82"/>
    <w:rsid w:val="00BF19BC"/>
    <w:rsid w:val="00C01616"/>
    <w:rsid w:val="00C0162B"/>
    <w:rsid w:val="00C068ED"/>
    <w:rsid w:val="00C0735D"/>
    <w:rsid w:val="00C14068"/>
    <w:rsid w:val="00C1752C"/>
    <w:rsid w:val="00C208E9"/>
    <w:rsid w:val="00C22E0C"/>
    <w:rsid w:val="00C25532"/>
    <w:rsid w:val="00C27664"/>
    <w:rsid w:val="00C345B1"/>
    <w:rsid w:val="00C40142"/>
    <w:rsid w:val="00C466AA"/>
    <w:rsid w:val="00C50783"/>
    <w:rsid w:val="00C51395"/>
    <w:rsid w:val="00C51E03"/>
    <w:rsid w:val="00C52A27"/>
    <w:rsid w:val="00C52C3C"/>
    <w:rsid w:val="00C57182"/>
    <w:rsid w:val="00C57863"/>
    <w:rsid w:val="00C611B9"/>
    <w:rsid w:val="00C640AF"/>
    <w:rsid w:val="00C655FD"/>
    <w:rsid w:val="00C65EE4"/>
    <w:rsid w:val="00C679B8"/>
    <w:rsid w:val="00C714C5"/>
    <w:rsid w:val="00C72484"/>
    <w:rsid w:val="00C72B05"/>
    <w:rsid w:val="00C73AF7"/>
    <w:rsid w:val="00C75407"/>
    <w:rsid w:val="00C82501"/>
    <w:rsid w:val="00C841C6"/>
    <w:rsid w:val="00C86819"/>
    <w:rsid w:val="00C870A8"/>
    <w:rsid w:val="00C92B63"/>
    <w:rsid w:val="00C94434"/>
    <w:rsid w:val="00CA0D75"/>
    <w:rsid w:val="00CA1C95"/>
    <w:rsid w:val="00CA3A75"/>
    <w:rsid w:val="00CA5A9C"/>
    <w:rsid w:val="00CA7348"/>
    <w:rsid w:val="00CA7822"/>
    <w:rsid w:val="00CB3B98"/>
    <w:rsid w:val="00CB5122"/>
    <w:rsid w:val="00CB63DE"/>
    <w:rsid w:val="00CB6784"/>
    <w:rsid w:val="00CC49E5"/>
    <w:rsid w:val="00CC4C20"/>
    <w:rsid w:val="00CC6E8E"/>
    <w:rsid w:val="00CD3517"/>
    <w:rsid w:val="00CD5FE2"/>
    <w:rsid w:val="00CD62A2"/>
    <w:rsid w:val="00CD724D"/>
    <w:rsid w:val="00CE37F3"/>
    <w:rsid w:val="00CE7C68"/>
    <w:rsid w:val="00CF369C"/>
    <w:rsid w:val="00D00396"/>
    <w:rsid w:val="00D01003"/>
    <w:rsid w:val="00D02B4C"/>
    <w:rsid w:val="00D040C4"/>
    <w:rsid w:val="00D12B7F"/>
    <w:rsid w:val="00D20AD1"/>
    <w:rsid w:val="00D21593"/>
    <w:rsid w:val="00D23C90"/>
    <w:rsid w:val="00D2419F"/>
    <w:rsid w:val="00D25293"/>
    <w:rsid w:val="00D2582C"/>
    <w:rsid w:val="00D2768B"/>
    <w:rsid w:val="00D31AE0"/>
    <w:rsid w:val="00D3241F"/>
    <w:rsid w:val="00D37CA6"/>
    <w:rsid w:val="00D40EF8"/>
    <w:rsid w:val="00D4274D"/>
    <w:rsid w:val="00D42D4C"/>
    <w:rsid w:val="00D46B7E"/>
    <w:rsid w:val="00D47A8A"/>
    <w:rsid w:val="00D5060A"/>
    <w:rsid w:val="00D51B6A"/>
    <w:rsid w:val="00D57C84"/>
    <w:rsid w:val="00D6033E"/>
    <w:rsid w:val="00D6057D"/>
    <w:rsid w:val="00D61E07"/>
    <w:rsid w:val="00D64655"/>
    <w:rsid w:val="00D66888"/>
    <w:rsid w:val="00D70D46"/>
    <w:rsid w:val="00D70F17"/>
    <w:rsid w:val="00D71640"/>
    <w:rsid w:val="00D71F84"/>
    <w:rsid w:val="00D7691F"/>
    <w:rsid w:val="00D836C5"/>
    <w:rsid w:val="00D83A6E"/>
    <w:rsid w:val="00D84576"/>
    <w:rsid w:val="00D877B9"/>
    <w:rsid w:val="00D87822"/>
    <w:rsid w:val="00D90373"/>
    <w:rsid w:val="00D9091A"/>
    <w:rsid w:val="00D9103D"/>
    <w:rsid w:val="00DA1399"/>
    <w:rsid w:val="00DA24C6"/>
    <w:rsid w:val="00DA4D7B"/>
    <w:rsid w:val="00DA5C30"/>
    <w:rsid w:val="00DA5E57"/>
    <w:rsid w:val="00DA7193"/>
    <w:rsid w:val="00DB140D"/>
    <w:rsid w:val="00DB1411"/>
    <w:rsid w:val="00DB4CE5"/>
    <w:rsid w:val="00DB4EE6"/>
    <w:rsid w:val="00DB5041"/>
    <w:rsid w:val="00DB7465"/>
    <w:rsid w:val="00DC5586"/>
    <w:rsid w:val="00DD1432"/>
    <w:rsid w:val="00DD271C"/>
    <w:rsid w:val="00DD4678"/>
    <w:rsid w:val="00DD72D6"/>
    <w:rsid w:val="00DE154D"/>
    <w:rsid w:val="00DE1942"/>
    <w:rsid w:val="00DE264A"/>
    <w:rsid w:val="00DF0AF3"/>
    <w:rsid w:val="00DF5072"/>
    <w:rsid w:val="00DF5FD3"/>
    <w:rsid w:val="00E02D18"/>
    <w:rsid w:val="00E03D49"/>
    <w:rsid w:val="00E041E7"/>
    <w:rsid w:val="00E05018"/>
    <w:rsid w:val="00E15C99"/>
    <w:rsid w:val="00E22CFF"/>
    <w:rsid w:val="00E23CA1"/>
    <w:rsid w:val="00E330DD"/>
    <w:rsid w:val="00E33D28"/>
    <w:rsid w:val="00E409A8"/>
    <w:rsid w:val="00E43B19"/>
    <w:rsid w:val="00E478C7"/>
    <w:rsid w:val="00E47D61"/>
    <w:rsid w:val="00E50C12"/>
    <w:rsid w:val="00E54840"/>
    <w:rsid w:val="00E57A30"/>
    <w:rsid w:val="00E602E6"/>
    <w:rsid w:val="00E618A2"/>
    <w:rsid w:val="00E65B91"/>
    <w:rsid w:val="00E71E33"/>
    <w:rsid w:val="00E7209D"/>
    <w:rsid w:val="00E72EAD"/>
    <w:rsid w:val="00E77223"/>
    <w:rsid w:val="00E8063F"/>
    <w:rsid w:val="00E84659"/>
    <w:rsid w:val="00E84787"/>
    <w:rsid w:val="00E8528B"/>
    <w:rsid w:val="00E85B94"/>
    <w:rsid w:val="00E9022A"/>
    <w:rsid w:val="00E914CF"/>
    <w:rsid w:val="00E935C9"/>
    <w:rsid w:val="00E978D0"/>
    <w:rsid w:val="00EA284D"/>
    <w:rsid w:val="00EA2A40"/>
    <w:rsid w:val="00EA3140"/>
    <w:rsid w:val="00EA33DE"/>
    <w:rsid w:val="00EA4613"/>
    <w:rsid w:val="00EA6B8C"/>
    <w:rsid w:val="00EA7F91"/>
    <w:rsid w:val="00EB01CF"/>
    <w:rsid w:val="00EB1523"/>
    <w:rsid w:val="00EB70CD"/>
    <w:rsid w:val="00EB7F4E"/>
    <w:rsid w:val="00EC0E49"/>
    <w:rsid w:val="00EC101F"/>
    <w:rsid w:val="00EC1CB6"/>
    <w:rsid w:val="00EC1D9F"/>
    <w:rsid w:val="00EC6747"/>
    <w:rsid w:val="00EC6E39"/>
    <w:rsid w:val="00EC77D7"/>
    <w:rsid w:val="00ED44FF"/>
    <w:rsid w:val="00ED45F7"/>
    <w:rsid w:val="00ED7D16"/>
    <w:rsid w:val="00EE0131"/>
    <w:rsid w:val="00EE0E7A"/>
    <w:rsid w:val="00EE17B0"/>
    <w:rsid w:val="00EE4315"/>
    <w:rsid w:val="00EF06D9"/>
    <w:rsid w:val="00EF0982"/>
    <w:rsid w:val="00F02148"/>
    <w:rsid w:val="00F0565D"/>
    <w:rsid w:val="00F05B33"/>
    <w:rsid w:val="00F1258C"/>
    <w:rsid w:val="00F1679D"/>
    <w:rsid w:val="00F2335B"/>
    <w:rsid w:val="00F3049E"/>
    <w:rsid w:val="00F30C64"/>
    <w:rsid w:val="00F32BA2"/>
    <w:rsid w:val="00F32CDB"/>
    <w:rsid w:val="00F3348F"/>
    <w:rsid w:val="00F34EA6"/>
    <w:rsid w:val="00F37280"/>
    <w:rsid w:val="00F401DD"/>
    <w:rsid w:val="00F41394"/>
    <w:rsid w:val="00F41EE4"/>
    <w:rsid w:val="00F55676"/>
    <w:rsid w:val="00F565FE"/>
    <w:rsid w:val="00F60718"/>
    <w:rsid w:val="00F61198"/>
    <w:rsid w:val="00F63828"/>
    <w:rsid w:val="00F63A70"/>
    <w:rsid w:val="00F63D8C"/>
    <w:rsid w:val="00F64051"/>
    <w:rsid w:val="00F7534E"/>
    <w:rsid w:val="00F83F70"/>
    <w:rsid w:val="00F862A3"/>
    <w:rsid w:val="00F93EDF"/>
    <w:rsid w:val="00FA0CF6"/>
    <w:rsid w:val="00FA0FE9"/>
    <w:rsid w:val="00FA1802"/>
    <w:rsid w:val="00FA21D0"/>
    <w:rsid w:val="00FA5F5F"/>
    <w:rsid w:val="00FB28A5"/>
    <w:rsid w:val="00FB6A0E"/>
    <w:rsid w:val="00FB730C"/>
    <w:rsid w:val="00FC2695"/>
    <w:rsid w:val="00FC3E03"/>
    <w:rsid w:val="00FC3FC1"/>
    <w:rsid w:val="00FD09DD"/>
    <w:rsid w:val="00FD0B20"/>
    <w:rsid w:val="00FD10D2"/>
    <w:rsid w:val="00FD185A"/>
    <w:rsid w:val="00FD1F48"/>
    <w:rsid w:val="00FD2344"/>
    <w:rsid w:val="00FD2FC4"/>
    <w:rsid w:val="00FD494F"/>
    <w:rsid w:val="00FE0203"/>
    <w:rsid w:val="00FE5CAD"/>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BC3077"/>
    <w:pPr>
      <w:keepNext/>
      <w:numPr>
        <w:ilvl w:val="2"/>
        <w:numId w:val="1"/>
      </w:numPr>
      <w:suppressAutoHyphens/>
      <w:spacing w:before="120" w:after="120" w:line="240" w:lineRule="auto"/>
    </w:pPr>
    <w:rPr>
      <w:rFonts w:ascii="Arial" w:eastAsia="Times New Roman" w:hAnsi="Arial" w:cs="Times New Roman"/>
      <w:b/>
      <w:sz w:val="18"/>
      <w:szCs w:val="20"/>
      <w:lang w:val="en-GB"/>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BC3077"/>
    <w:rPr>
      <w:rFonts w:ascii="Arial" w:eastAsia="Times New Roman" w:hAnsi="Arial" w:cs="Times New Roman"/>
      <w:b/>
      <w:sz w:val="18"/>
      <w:szCs w:val="20"/>
      <w:lang w:val="en-GB"/>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3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rsid w:val="00280FAF"/>
    <w:pPr>
      <w:ind w:left="720"/>
      <w:contextualSpacing/>
    </w:pPr>
  </w:style>
  <w:style w:type="character" w:customStyle="1" w:styleId="gmail-apple-converted-space">
    <w:name w:val="gmail-apple-converted-space"/>
    <w:basedOn w:val="Carpredefinitoparagrafo"/>
    <w:rsid w:val="00005A19"/>
  </w:style>
  <w:style w:type="character" w:styleId="Menzionenonrisolta">
    <w:name w:val="Unresolved Mention"/>
    <w:basedOn w:val="Carpredefinitoparagrafo"/>
    <w:uiPriority w:val="99"/>
    <w:semiHidden/>
    <w:unhideWhenUsed/>
    <w:rsid w:val="00581F84"/>
    <w:rPr>
      <w:color w:val="605E5C"/>
      <w:shd w:val="clear" w:color="auto" w:fill="E1DFDD"/>
    </w:rPr>
  </w:style>
  <w:style w:type="paragraph" w:styleId="Revisione">
    <w:name w:val="Revision"/>
    <w:hidden/>
    <w:uiPriority w:val="99"/>
    <w:semiHidden/>
    <w:rsid w:val="007F3F77"/>
    <w:pPr>
      <w:spacing w:after="0" w:line="240" w:lineRule="auto"/>
    </w:pPr>
    <w:rPr>
      <w:rFonts w:ascii="Arial" w:eastAsia="Times New Roman"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4105</Words>
  <Characters>23404</Characters>
  <Application>Microsoft Office Word</Application>
  <DocSecurity>0</DocSecurity>
  <Lines>195</Lines>
  <Paragraphs>54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27455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raffaella</dc:creator>
  <cp:lastModifiedBy>Paolo Bragatto</cp:lastModifiedBy>
  <cp:revision>2</cp:revision>
  <cp:lastPrinted>2026-01-31T14:36:00Z</cp:lastPrinted>
  <dcterms:created xsi:type="dcterms:W3CDTF">2026-03-09T10:48:00Z</dcterms:created>
  <dcterms:modified xsi:type="dcterms:W3CDTF">2026-03-09T10:48:00Z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