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683F92">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683F92">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683F92">
        <w:trPr>
          <w:trHeight w:val="68"/>
          <w:jc w:val="center"/>
        </w:trPr>
        <w:tc>
          <w:tcPr>
            <w:tcW w:w="8782"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312FF28C" w:rsidR="00E978D0" w:rsidRPr="00B57B36" w:rsidRDefault="00683F92" w:rsidP="00E978D0">
      <w:pPr>
        <w:pStyle w:val="CETTitle"/>
      </w:pPr>
      <w:r>
        <w:rPr>
          <w:color w:val="000000"/>
        </w:rPr>
        <w:t>Assessment of an Integral Building Wake Model</w:t>
      </w:r>
      <w:r w:rsidR="00AA16A9">
        <w:rPr>
          <w:color w:val="000000"/>
        </w:rPr>
        <w:t>,</w:t>
      </w:r>
      <w:r>
        <w:rPr>
          <w:color w:val="000000"/>
        </w:rPr>
        <w:t xml:space="preserve"> including Comparison with CFD</w:t>
      </w:r>
    </w:p>
    <w:p w14:paraId="0488FED2" w14:textId="2D7BC9CE" w:rsidR="00B57E6F" w:rsidRPr="00B57B36" w:rsidRDefault="00744134" w:rsidP="00B57E6F">
      <w:pPr>
        <w:pStyle w:val="CETAuthors"/>
      </w:pPr>
      <w:r>
        <w:t>Andreas Mack</w:t>
      </w:r>
      <w:r w:rsidR="00B04D8C">
        <w:t>*</w:t>
      </w:r>
      <w:r w:rsidR="00B57E6F" w:rsidRPr="00B57B36">
        <w:t xml:space="preserve">, </w:t>
      </w:r>
      <w:r>
        <w:t>Paul Brasser</w:t>
      </w:r>
    </w:p>
    <w:p w14:paraId="3D72B0B0" w14:textId="12040CAA" w:rsidR="00B57E6F" w:rsidRPr="00D71A67" w:rsidRDefault="00104C81" w:rsidP="00B57E6F">
      <w:pPr>
        <w:pStyle w:val="CETAddress"/>
        <w:rPr>
          <w:lang w:val="en-US"/>
        </w:rPr>
      </w:pPr>
      <w:r w:rsidRPr="00D71A67">
        <w:rPr>
          <w:lang w:val="en-US"/>
        </w:rPr>
        <w:t>Gexcon N</w:t>
      </w:r>
      <w:r w:rsidR="007D4E01" w:rsidRPr="00D71A67">
        <w:rPr>
          <w:lang w:val="en-US"/>
        </w:rPr>
        <w:t>etherlands</w:t>
      </w:r>
      <w:r w:rsidRPr="00D71A67">
        <w:rPr>
          <w:lang w:val="en-US"/>
        </w:rPr>
        <w:t xml:space="preserve"> </w:t>
      </w:r>
      <w:r w:rsidR="007D4E01" w:rsidRPr="00D71A67">
        <w:rPr>
          <w:lang w:val="en-US"/>
        </w:rPr>
        <w:t>B</w:t>
      </w:r>
      <w:r w:rsidRPr="00D71A67">
        <w:rPr>
          <w:lang w:val="en-US"/>
        </w:rPr>
        <w:t>.</w:t>
      </w:r>
      <w:r w:rsidR="007D4E01" w:rsidRPr="00D71A67">
        <w:rPr>
          <w:lang w:val="en-US"/>
        </w:rPr>
        <w:t>V</w:t>
      </w:r>
      <w:r w:rsidRPr="00D71A67">
        <w:rPr>
          <w:lang w:val="en-US"/>
        </w:rPr>
        <w:t>., Princenhofpark 18, 3972 NG, Driebergen-Rijsenburg, The Netherlands</w:t>
      </w:r>
      <w:r w:rsidR="00B57E6F" w:rsidRPr="00D71A67">
        <w:rPr>
          <w:lang w:val="en-US"/>
        </w:rPr>
        <w:t xml:space="preserve"> </w:t>
      </w:r>
    </w:p>
    <w:p w14:paraId="73F1267A" w14:textId="00F9C03A" w:rsidR="00B57E6F" w:rsidRPr="00B57B36" w:rsidRDefault="00B04D8C" w:rsidP="00B57E6F">
      <w:pPr>
        <w:pStyle w:val="CETemail"/>
      </w:pPr>
      <w:r>
        <w:t>*</w:t>
      </w:r>
      <w:r w:rsidR="00107FFA">
        <w:t>andreas.mack@gexcon.com</w:t>
      </w:r>
    </w:p>
    <w:p w14:paraId="250107E1" w14:textId="66D1E66D" w:rsidR="007743B5" w:rsidRPr="007743B5" w:rsidRDefault="007743B5" w:rsidP="007743B5">
      <w:pPr>
        <w:pStyle w:val="CETheadingx"/>
        <w:numPr>
          <w:ilvl w:val="0"/>
          <w:numId w:val="0"/>
        </w:numPr>
        <w:rPr>
          <w:b w:val="0"/>
          <w:lang w:val="en-GB"/>
        </w:rPr>
      </w:pPr>
      <w:r w:rsidRPr="007743B5">
        <w:rPr>
          <w:b w:val="0"/>
          <w:lang w:val="en-GB"/>
        </w:rPr>
        <w:t xml:space="preserve">Reliable assessment of hazardous distances, such as emissions originating from a battery thermal runaway, </w:t>
      </w:r>
      <w:r w:rsidR="004F3B46">
        <w:rPr>
          <w:b w:val="0"/>
          <w:lang w:val="en-GB"/>
        </w:rPr>
        <w:t xml:space="preserve">depends </w:t>
      </w:r>
      <w:r w:rsidRPr="007743B5">
        <w:rPr>
          <w:b w:val="0"/>
          <w:lang w:val="en-GB"/>
        </w:rPr>
        <w:t>critically on the numerical modelling of the source term</w:t>
      </w:r>
      <w:r w:rsidR="004723D1">
        <w:rPr>
          <w:b w:val="0"/>
          <w:lang w:val="en-GB"/>
        </w:rPr>
        <w:t>,</w:t>
      </w:r>
      <w:r w:rsidRPr="007743B5">
        <w:rPr>
          <w:b w:val="0"/>
          <w:lang w:val="en-GB"/>
        </w:rPr>
        <w:t xml:space="preserve"> but also </w:t>
      </w:r>
      <w:r w:rsidR="004F3B46">
        <w:rPr>
          <w:b w:val="0"/>
          <w:lang w:val="en-GB"/>
        </w:rPr>
        <w:t xml:space="preserve">on </w:t>
      </w:r>
      <w:r w:rsidRPr="007743B5">
        <w:rPr>
          <w:b w:val="0"/>
          <w:lang w:val="en-GB"/>
        </w:rPr>
        <w:t xml:space="preserve">the modelling of the near and open field. For toxic releases, the effect distances can be </w:t>
      </w:r>
      <w:r w:rsidR="004723D1">
        <w:rPr>
          <w:b w:val="0"/>
          <w:lang w:val="en-GB"/>
        </w:rPr>
        <w:t>of</w:t>
      </w:r>
      <w:r w:rsidRPr="007743B5">
        <w:rPr>
          <w:b w:val="0"/>
          <w:lang w:val="en-GB"/>
        </w:rPr>
        <w:t xml:space="preserve"> the order of hundreds of meters and accurate modelling of the turbulence properties of the atmospheric boundary layer in the usually</w:t>
      </w:r>
      <w:r w:rsidR="00E22D50">
        <w:rPr>
          <w:b w:val="0"/>
          <w:lang w:val="en-GB"/>
        </w:rPr>
        <w:t>-</w:t>
      </w:r>
      <w:r w:rsidRPr="007743B5">
        <w:rPr>
          <w:b w:val="0"/>
          <w:lang w:val="en-GB"/>
        </w:rPr>
        <w:t>unobstructed open field is required. Integral dispersion models remain widely used due to their computational efficiency and proven performance in open field environments. In this domain, integral models provide relatively accurate solutions</w:t>
      </w:r>
      <w:r w:rsidR="0025076E">
        <w:rPr>
          <w:b w:val="0"/>
          <w:lang w:val="en-GB"/>
        </w:rPr>
        <w:t xml:space="preserve"> that</w:t>
      </w:r>
      <w:r w:rsidRPr="007743B5">
        <w:rPr>
          <w:b w:val="0"/>
          <w:lang w:val="en-GB"/>
        </w:rPr>
        <w:t xml:space="preserve"> allow for numerous parameter variations and/or scenarios due to the low computational costs.</w:t>
      </w:r>
    </w:p>
    <w:p w14:paraId="33980713" w14:textId="2AA3D3A5" w:rsidR="007743B5" w:rsidRPr="007743B5" w:rsidRDefault="007743B5" w:rsidP="007743B5">
      <w:pPr>
        <w:pStyle w:val="CETheadingx"/>
        <w:numPr>
          <w:ilvl w:val="0"/>
          <w:numId w:val="0"/>
        </w:numPr>
        <w:rPr>
          <w:b w:val="0"/>
          <w:lang w:val="en-GB"/>
        </w:rPr>
      </w:pPr>
      <w:r w:rsidRPr="007743B5">
        <w:rPr>
          <w:b w:val="0"/>
          <w:lang w:val="en-GB"/>
        </w:rPr>
        <w:t>Nevertheless, the dispersion process can strongly depend on the near field of the release</w:t>
      </w:r>
      <w:r w:rsidR="0025076E">
        <w:rPr>
          <w:b w:val="0"/>
          <w:lang w:val="en-GB"/>
        </w:rPr>
        <w:t>,</w:t>
      </w:r>
      <w:r w:rsidRPr="007743B5">
        <w:rPr>
          <w:b w:val="0"/>
          <w:lang w:val="en-GB"/>
        </w:rPr>
        <w:t xml:space="preserve"> which</w:t>
      </w:r>
      <w:r w:rsidR="0025076E">
        <w:rPr>
          <w:b w:val="0"/>
          <w:lang w:val="en-GB"/>
        </w:rPr>
        <w:t xml:space="preserve"> is</w:t>
      </w:r>
      <w:r w:rsidRPr="007743B5">
        <w:rPr>
          <w:b w:val="0"/>
          <w:lang w:val="en-GB"/>
        </w:rPr>
        <w:t xml:space="preserve"> usually obstructed. This holds for toxic </w:t>
      </w:r>
      <w:r w:rsidR="00AF5E40">
        <w:rPr>
          <w:b w:val="0"/>
          <w:lang w:val="en-GB"/>
        </w:rPr>
        <w:t>and</w:t>
      </w:r>
      <w:r w:rsidRPr="007743B5">
        <w:rPr>
          <w:b w:val="0"/>
          <w:lang w:val="en-GB"/>
        </w:rPr>
        <w:t xml:space="preserve"> flammable releases</w:t>
      </w:r>
      <w:r w:rsidR="00AF5E40">
        <w:rPr>
          <w:b w:val="0"/>
          <w:lang w:val="en-GB"/>
        </w:rPr>
        <w:t>,</w:t>
      </w:r>
      <w:r w:rsidRPr="007743B5">
        <w:rPr>
          <w:b w:val="0"/>
          <w:lang w:val="en-GB"/>
        </w:rPr>
        <w:t xml:space="preserve"> where the influence of buildings or installations can</w:t>
      </w:r>
      <w:r w:rsidR="00AF5E40">
        <w:rPr>
          <w:b w:val="0"/>
          <w:lang w:val="en-GB"/>
        </w:rPr>
        <w:t xml:space="preserve"> significantly</w:t>
      </w:r>
      <w:r w:rsidRPr="007743B5">
        <w:rPr>
          <w:b w:val="0"/>
          <w:lang w:val="en-GB"/>
        </w:rPr>
        <w:t xml:space="preserve"> increase the entrainment of ambient air. In this domain, dominated by flow separation, wake formation, and recirculation effects that can significantly alter the concentration fields, Computational Fluid Dynamics (CFD) generally provides superior fidelity but requires significantly increased computational effort</w:t>
      </w:r>
      <w:r w:rsidR="003D4235">
        <w:rPr>
          <w:b w:val="0"/>
          <w:lang w:val="en-GB"/>
        </w:rPr>
        <w:t>, compared to integral models</w:t>
      </w:r>
      <w:r w:rsidRPr="007743B5">
        <w:rPr>
          <w:b w:val="0"/>
          <w:lang w:val="en-GB"/>
        </w:rPr>
        <w:t>.</w:t>
      </w:r>
    </w:p>
    <w:p w14:paraId="61A9B77A" w14:textId="64D74A2A" w:rsidR="00600535" w:rsidRDefault="007743B5" w:rsidP="007743B5">
      <w:pPr>
        <w:pStyle w:val="CETheadingx"/>
        <w:numPr>
          <w:ilvl w:val="0"/>
          <w:numId w:val="0"/>
        </w:numPr>
        <w:rPr>
          <w:b w:val="0"/>
          <w:lang w:val="en-GB"/>
        </w:rPr>
      </w:pPr>
      <w:r w:rsidRPr="007743B5">
        <w:rPr>
          <w:b w:val="0"/>
          <w:lang w:val="en-GB"/>
        </w:rPr>
        <w:t xml:space="preserve">To address this gap, building wake models have been developed in the past for integral models. In the dispersion model </w:t>
      </w:r>
      <w:r w:rsidR="006F47C6">
        <w:rPr>
          <w:b w:val="0"/>
          <w:lang w:val="en-GB"/>
        </w:rPr>
        <w:t>in</w:t>
      </w:r>
      <w:r w:rsidRPr="007743B5">
        <w:rPr>
          <w:b w:val="0"/>
          <w:lang w:val="en-GB"/>
        </w:rPr>
        <w:t xml:space="preserve"> Gexcon’s consequence modelling software</w:t>
      </w:r>
      <w:r w:rsidR="006F47C6">
        <w:rPr>
          <w:b w:val="0"/>
          <w:lang w:val="en-GB"/>
        </w:rPr>
        <w:t>,</w:t>
      </w:r>
      <w:r w:rsidRPr="007743B5">
        <w:rPr>
          <w:b w:val="0"/>
          <w:lang w:val="en-GB"/>
        </w:rPr>
        <w:t xml:space="preserve"> EFFECTS</w:t>
      </w:r>
      <w:r w:rsidR="006F47C6">
        <w:rPr>
          <w:b w:val="0"/>
          <w:lang w:val="en-GB"/>
        </w:rPr>
        <w:t>,</w:t>
      </w:r>
      <w:r w:rsidRPr="007743B5">
        <w:rPr>
          <w:b w:val="0"/>
          <w:lang w:val="en-GB"/>
        </w:rPr>
        <w:t xml:space="preserve"> a building wake model is incorporated into the integral dispersion model. This coupling enables rapid estimation of wake</w:t>
      </w:r>
      <w:r w:rsidR="002C0414">
        <w:rPr>
          <w:b w:val="0"/>
          <w:lang w:val="en-GB"/>
        </w:rPr>
        <w:t>-</w:t>
      </w:r>
      <w:r w:rsidRPr="007743B5">
        <w:rPr>
          <w:b w:val="0"/>
          <w:lang w:val="en-GB"/>
        </w:rPr>
        <w:t>driven concentration enhancements without requiring detailed geometric meshing or time intensive CFD simulations</w:t>
      </w:r>
      <w:r w:rsidR="002C0414">
        <w:rPr>
          <w:b w:val="0"/>
          <w:lang w:val="en-GB"/>
        </w:rPr>
        <w:t>,</w:t>
      </w:r>
      <w:r w:rsidRPr="007743B5">
        <w:rPr>
          <w:b w:val="0"/>
          <w:lang w:val="en-GB"/>
        </w:rPr>
        <w:t xml:space="preserve"> while still capturing the main physical aspects</w:t>
      </w:r>
      <w:r w:rsidR="002C0414">
        <w:rPr>
          <w:b w:val="0"/>
          <w:lang w:val="en-GB"/>
        </w:rPr>
        <w:t xml:space="preserve"> of the problem</w:t>
      </w:r>
      <w:r w:rsidRPr="007743B5">
        <w:rPr>
          <w:b w:val="0"/>
          <w:lang w:val="en-GB"/>
        </w:rPr>
        <w:t>.</w:t>
      </w:r>
    </w:p>
    <w:p w14:paraId="7933484F" w14:textId="1F2550FD" w:rsidR="00BD0874" w:rsidRPr="009A7FEF" w:rsidRDefault="00BD0874" w:rsidP="009A7FEF">
      <w:pPr>
        <w:rPr>
          <w:color w:val="000000"/>
          <w:lang w:val="en-US"/>
        </w:rPr>
      </w:pPr>
      <w:r>
        <w:rPr>
          <w:color w:val="000000"/>
          <w:lang w:val="en-US"/>
        </w:rPr>
        <w:t>In the present work, the</w:t>
      </w:r>
      <w:r w:rsidRPr="00993F26">
        <w:rPr>
          <w:color w:val="000000"/>
          <w:lang w:val="en-US"/>
        </w:rPr>
        <w:t xml:space="preserve"> implemented </w:t>
      </w:r>
      <w:r>
        <w:rPr>
          <w:color w:val="000000"/>
          <w:lang w:val="en-US"/>
        </w:rPr>
        <w:t xml:space="preserve">building </w:t>
      </w:r>
      <w:r w:rsidRPr="00993F26">
        <w:rPr>
          <w:color w:val="000000"/>
          <w:lang w:val="en-US"/>
        </w:rPr>
        <w:t xml:space="preserve">wake model is </w:t>
      </w:r>
      <w:r>
        <w:rPr>
          <w:color w:val="000000"/>
          <w:lang w:val="en-US"/>
        </w:rPr>
        <w:t>compared with an</w:t>
      </w:r>
      <w:r w:rsidRPr="00993F26">
        <w:rPr>
          <w:color w:val="000000"/>
          <w:lang w:val="en-US"/>
        </w:rPr>
        <w:t xml:space="preserve"> experimental data </w:t>
      </w:r>
      <w:r>
        <w:rPr>
          <w:color w:val="000000"/>
          <w:lang w:val="en-US"/>
        </w:rPr>
        <w:t xml:space="preserve">set </w:t>
      </w:r>
      <w:r w:rsidRPr="00993F26">
        <w:rPr>
          <w:color w:val="000000"/>
          <w:lang w:val="en-US"/>
        </w:rPr>
        <w:t xml:space="preserve">for dispersion around an isolated building, </w:t>
      </w:r>
      <w:r>
        <w:rPr>
          <w:color w:val="000000"/>
          <w:lang w:val="en-US"/>
        </w:rPr>
        <w:t xml:space="preserve">including additional comparison with CFD data for the same dataset. It is </w:t>
      </w:r>
      <w:r w:rsidRPr="00993F26">
        <w:rPr>
          <w:color w:val="000000"/>
          <w:lang w:val="en-US"/>
        </w:rPr>
        <w:t>demonstr</w:t>
      </w:r>
      <w:r>
        <w:rPr>
          <w:color w:val="000000"/>
          <w:lang w:val="en-US"/>
        </w:rPr>
        <w:t xml:space="preserve">ated that the </w:t>
      </w:r>
      <w:r w:rsidRPr="00993F26">
        <w:rPr>
          <w:color w:val="000000"/>
          <w:lang w:val="en-US"/>
        </w:rPr>
        <w:t>integral</w:t>
      </w:r>
      <w:r w:rsidRPr="00993F26">
        <w:rPr>
          <w:color w:val="000000"/>
          <w:lang w:val="en-US"/>
        </w:rPr>
        <w:noBreakHyphen/>
        <w:t>model</w:t>
      </w:r>
      <w:r w:rsidRPr="00993F26">
        <w:rPr>
          <w:color w:val="000000"/>
          <w:lang w:val="en-US"/>
        </w:rPr>
        <w:noBreakHyphen/>
        <w:t>based approach captures the dominant physical mechanisms governing near</w:t>
      </w:r>
      <w:r>
        <w:rPr>
          <w:color w:val="000000"/>
          <w:lang w:val="en-US"/>
        </w:rPr>
        <w:t xml:space="preserve"> </w:t>
      </w:r>
      <w:r w:rsidRPr="00993F26">
        <w:rPr>
          <w:color w:val="000000"/>
          <w:lang w:val="en-US"/>
        </w:rPr>
        <w:t>field dilution</w:t>
      </w:r>
      <w:r>
        <w:rPr>
          <w:color w:val="000000"/>
          <w:lang w:val="en-US"/>
        </w:rPr>
        <w:t xml:space="preserve"> as measured by the experiments</w:t>
      </w:r>
      <w:r w:rsidRPr="00993F26">
        <w:rPr>
          <w:color w:val="000000"/>
          <w:lang w:val="en-US"/>
        </w:rPr>
        <w:t xml:space="preserve">. Benchmarking against </w:t>
      </w:r>
      <w:r>
        <w:rPr>
          <w:color w:val="000000"/>
          <w:lang w:val="en-US"/>
        </w:rPr>
        <w:t xml:space="preserve">the </w:t>
      </w:r>
      <w:r w:rsidRPr="00993F26">
        <w:rPr>
          <w:color w:val="000000"/>
          <w:lang w:val="en-US"/>
        </w:rPr>
        <w:t xml:space="preserve">CFD simulation shows </w:t>
      </w:r>
      <w:r>
        <w:rPr>
          <w:color w:val="000000"/>
          <w:lang w:val="en-US"/>
        </w:rPr>
        <w:t>reasonable</w:t>
      </w:r>
      <w:r w:rsidRPr="00993F26">
        <w:rPr>
          <w:color w:val="000000"/>
          <w:lang w:val="en-US"/>
        </w:rPr>
        <w:t xml:space="preserve"> agreement in key metrics such as maximum concentration levels, plume </w:t>
      </w:r>
      <w:r>
        <w:rPr>
          <w:color w:val="000000"/>
          <w:lang w:val="en-US"/>
        </w:rPr>
        <w:t xml:space="preserve">size </w:t>
      </w:r>
      <w:r w:rsidRPr="00993F26">
        <w:rPr>
          <w:color w:val="000000"/>
          <w:lang w:val="en-US"/>
        </w:rPr>
        <w:t xml:space="preserve">and </w:t>
      </w:r>
      <w:r>
        <w:rPr>
          <w:color w:val="000000"/>
          <w:lang w:val="en-US"/>
        </w:rPr>
        <w:t>location</w:t>
      </w:r>
      <w:r w:rsidRPr="00993F26">
        <w:rPr>
          <w:color w:val="000000"/>
          <w:lang w:val="en-US"/>
        </w:rPr>
        <w:t>, while achieving computational speeds</w:t>
      </w:r>
      <w:r w:rsidR="003F4739">
        <w:rPr>
          <w:color w:val="000000"/>
          <w:lang w:val="en-US"/>
        </w:rPr>
        <w:t xml:space="preserve"> that are</w:t>
      </w:r>
      <w:r w:rsidRPr="00993F26">
        <w:rPr>
          <w:color w:val="000000"/>
          <w:lang w:val="en-US"/>
        </w:rPr>
        <w:t xml:space="preserve"> several orders of magnitude faster. In addition to </w:t>
      </w:r>
      <w:r>
        <w:rPr>
          <w:color w:val="000000"/>
          <w:lang w:val="en-US"/>
        </w:rPr>
        <w:t xml:space="preserve">the validation </w:t>
      </w:r>
      <w:r w:rsidRPr="00993F26">
        <w:rPr>
          <w:color w:val="000000"/>
          <w:lang w:val="en-US"/>
        </w:rPr>
        <w:t>experiment, a real</w:t>
      </w:r>
      <w:r w:rsidRPr="00993F26">
        <w:rPr>
          <w:color w:val="000000"/>
          <w:lang w:val="en-US"/>
        </w:rPr>
        <w:noBreakHyphen/>
        <w:t xml:space="preserve">world application </w:t>
      </w:r>
      <w:r>
        <w:rPr>
          <w:color w:val="000000"/>
          <w:lang w:val="en-US"/>
        </w:rPr>
        <w:t>is</w:t>
      </w:r>
      <w:r w:rsidRPr="00993F26">
        <w:rPr>
          <w:color w:val="000000"/>
          <w:lang w:val="en-US"/>
        </w:rPr>
        <w:t xml:space="preserve"> presented involving a</w:t>
      </w:r>
      <w:r>
        <w:rPr>
          <w:color w:val="000000"/>
          <w:lang w:val="en-US"/>
        </w:rPr>
        <w:t xml:space="preserve"> large-scale</w:t>
      </w:r>
      <w:r w:rsidRPr="00993F26">
        <w:rPr>
          <w:color w:val="000000"/>
          <w:lang w:val="en-US"/>
        </w:rPr>
        <w:t xml:space="preserve"> double</w:t>
      </w:r>
      <w:r w:rsidRPr="00993F26">
        <w:rPr>
          <w:color w:val="000000"/>
          <w:lang w:val="en-US"/>
        </w:rPr>
        <w:noBreakHyphen/>
        <w:t xml:space="preserve">wall </w:t>
      </w:r>
      <w:r>
        <w:rPr>
          <w:color w:val="000000"/>
          <w:lang w:val="en-US"/>
        </w:rPr>
        <w:t xml:space="preserve">storage </w:t>
      </w:r>
      <w:r w:rsidRPr="00993F26">
        <w:rPr>
          <w:color w:val="000000"/>
          <w:lang w:val="en-US"/>
        </w:rPr>
        <w:t>tank reservoir</w:t>
      </w:r>
      <w:r>
        <w:rPr>
          <w:color w:val="000000"/>
          <w:lang w:val="en-US"/>
        </w:rPr>
        <w:t>. In the case of a hazard, the outer container</w:t>
      </w:r>
      <w:r w:rsidR="00856254">
        <w:rPr>
          <w:color w:val="000000"/>
          <w:lang w:val="en-US"/>
        </w:rPr>
        <w:t>,</w:t>
      </w:r>
      <w:r>
        <w:rPr>
          <w:color w:val="000000"/>
          <w:lang w:val="en-US"/>
        </w:rPr>
        <w:t xml:space="preserve"> featuring an open top side</w:t>
      </w:r>
      <w:r w:rsidR="00856254">
        <w:rPr>
          <w:color w:val="000000"/>
          <w:lang w:val="en-US"/>
        </w:rPr>
        <w:t>,</w:t>
      </w:r>
      <w:r>
        <w:rPr>
          <w:color w:val="000000"/>
          <w:lang w:val="en-US"/>
        </w:rPr>
        <w:t xml:space="preserve"> result</w:t>
      </w:r>
      <w:r w:rsidR="003764FD">
        <w:rPr>
          <w:color w:val="000000"/>
          <w:lang w:val="en-US"/>
        </w:rPr>
        <w:t>s</w:t>
      </w:r>
      <w:r>
        <w:rPr>
          <w:color w:val="000000"/>
          <w:lang w:val="en-US"/>
        </w:rPr>
        <w:t xml:space="preserve"> in an</w:t>
      </w:r>
      <w:r w:rsidRPr="00993F26">
        <w:rPr>
          <w:color w:val="000000"/>
          <w:lang w:val="en-US"/>
        </w:rPr>
        <w:t xml:space="preserve"> elevated</w:t>
      </w:r>
      <w:r w:rsidR="003764FD">
        <w:rPr>
          <w:color w:val="000000"/>
          <w:lang w:val="en-US"/>
        </w:rPr>
        <w:t>-</w:t>
      </w:r>
      <w:r w:rsidRPr="00993F26">
        <w:rPr>
          <w:color w:val="000000"/>
          <w:lang w:val="en-US"/>
        </w:rPr>
        <w:t xml:space="preserve">pool evaporation scenario. The </w:t>
      </w:r>
      <w:r w:rsidR="00452406">
        <w:rPr>
          <w:color w:val="000000"/>
          <w:lang w:val="en-US"/>
        </w:rPr>
        <w:t xml:space="preserve">integral </w:t>
      </w:r>
      <w:r w:rsidRPr="00993F26">
        <w:rPr>
          <w:color w:val="000000"/>
          <w:lang w:val="en-US"/>
        </w:rPr>
        <w:t>building</w:t>
      </w:r>
      <w:r w:rsidR="00452406">
        <w:rPr>
          <w:color w:val="000000"/>
          <w:lang w:val="en-US"/>
        </w:rPr>
        <w:t xml:space="preserve"> </w:t>
      </w:r>
      <w:r w:rsidRPr="00993F26">
        <w:rPr>
          <w:color w:val="000000"/>
          <w:lang w:val="en-US"/>
        </w:rPr>
        <w:t>wake model</w:t>
      </w:r>
      <w:r>
        <w:rPr>
          <w:color w:val="000000"/>
          <w:lang w:val="en-US"/>
        </w:rPr>
        <w:t xml:space="preserve"> </w:t>
      </w:r>
      <w:r w:rsidRPr="00993F26">
        <w:rPr>
          <w:color w:val="000000"/>
          <w:lang w:val="en-US"/>
        </w:rPr>
        <w:t xml:space="preserve">reproduces the main dispersion features </w:t>
      </w:r>
      <w:r>
        <w:rPr>
          <w:color w:val="000000"/>
          <w:lang w:val="en-US"/>
        </w:rPr>
        <w:t xml:space="preserve">which were </w:t>
      </w:r>
      <w:r w:rsidRPr="00993F26">
        <w:rPr>
          <w:color w:val="000000"/>
          <w:lang w:val="en-US"/>
        </w:rPr>
        <w:t xml:space="preserve">observed in CFD predictions for this </w:t>
      </w:r>
      <w:r w:rsidR="003764FD">
        <w:rPr>
          <w:color w:val="000000"/>
          <w:lang w:val="en-US"/>
        </w:rPr>
        <w:t>moderately complex</w:t>
      </w:r>
      <w:r w:rsidRPr="00993F26">
        <w:rPr>
          <w:color w:val="000000"/>
          <w:lang w:val="en-US"/>
        </w:rPr>
        <w:t xml:space="preserve"> geometry, supporting its relevance for practical industrial assessments.</w:t>
      </w:r>
    </w:p>
    <w:p w14:paraId="5741900F" w14:textId="6AA52C8B" w:rsidR="00453E24" w:rsidRDefault="00A01160" w:rsidP="00453E24">
      <w:pPr>
        <w:pStyle w:val="CETHeading1"/>
      </w:pPr>
      <w:r>
        <w:t>Bu</w:t>
      </w:r>
      <w:r w:rsidR="005D7679">
        <w:t>ilding wake model</w:t>
      </w:r>
    </w:p>
    <w:p w14:paraId="2CF0AAC1" w14:textId="358150E6" w:rsidR="005D151A" w:rsidRDefault="0013419E" w:rsidP="008F2CBE">
      <w:pPr>
        <w:pStyle w:val="CETBodytext"/>
      </w:pPr>
      <w:r>
        <w:t>For passive dispersion models like the gaussian plume model</w:t>
      </w:r>
      <w:r w:rsidR="00DD3254">
        <w:t xml:space="preserve"> (GPM)</w:t>
      </w:r>
      <w:r>
        <w:t xml:space="preserve">, </w:t>
      </w:r>
      <w:r w:rsidR="00851BC7">
        <w:t xml:space="preserve">building wake models have been developed in the past </w:t>
      </w:r>
      <w:r w:rsidR="00244CEC">
        <w:t>(Duijm and Webber, 1993</w:t>
      </w:r>
      <w:r w:rsidR="00F457E8">
        <w:t>), (</w:t>
      </w:r>
      <w:r w:rsidR="00F457E8" w:rsidRPr="00523168">
        <w:t>Bosch, C. J. H.,</w:t>
      </w:r>
      <w:r w:rsidR="00F457E8">
        <w:t xml:space="preserve"> &amp; Weterings, 2005</w:t>
      </w:r>
      <w:r w:rsidR="00244CEC">
        <w:t>)</w:t>
      </w:r>
      <w:r w:rsidR="00F457E8">
        <w:t>, (</w:t>
      </w:r>
      <w:r w:rsidR="00F457E8" w:rsidRPr="00523168">
        <w:t>Olesen</w:t>
      </w:r>
      <w:r w:rsidR="00F457E8">
        <w:t xml:space="preserve"> </w:t>
      </w:r>
      <w:r w:rsidR="00F457E8" w:rsidRPr="00523168">
        <w:t>&amp; Genikhovich, 2000</w:t>
      </w:r>
      <w:r w:rsidR="00F457E8">
        <w:t>)</w:t>
      </w:r>
      <w:r w:rsidR="00DF3971">
        <w:t>, (Röckle, 1990)</w:t>
      </w:r>
      <w:r w:rsidR="006670F8">
        <w:t>. The models are usually relatively straightforward</w:t>
      </w:r>
      <w:r w:rsidR="008A1B0D">
        <w:t xml:space="preserve"> </w:t>
      </w:r>
      <w:r w:rsidR="00471F02">
        <w:t xml:space="preserve">and </w:t>
      </w:r>
      <w:r w:rsidR="008A1B0D">
        <w:t>apply a virtual source</w:t>
      </w:r>
      <w:r w:rsidR="00A47B1C">
        <w:t xml:space="preserve"> based on the dimensions of the obstacle</w:t>
      </w:r>
      <w:r w:rsidR="00BC2A13">
        <w:t xml:space="preserve">. In addition, plume dispersion parameters are adapted at the location of the virtual source. </w:t>
      </w:r>
      <w:r w:rsidR="005C4015">
        <w:t xml:space="preserve">The Röckle </w:t>
      </w:r>
      <w:r w:rsidR="00471F02">
        <w:t xml:space="preserve">model </w:t>
      </w:r>
      <w:r w:rsidR="003C6640">
        <w:t>includes more physics</w:t>
      </w:r>
      <w:r w:rsidR="00471F02">
        <w:t>,</w:t>
      </w:r>
      <w:r w:rsidR="003C6640">
        <w:t xml:space="preserve"> such as the dimensions</w:t>
      </w:r>
      <w:r w:rsidR="00156F67">
        <w:t xml:space="preserve"> and momentum</w:t>
      </w:r>
      <w:r w:rsidR="003C6640">
        <w:t xml:space="preserve"> of the separation </w:t>
      </w:r>
      <w:r w:rsidR="00FA0C79">
        <w:t>in the building wak</w:t>
      </w:r>
      <w:r w:rsidR="00156F67">
        <w:t>e</w:t>
      </w:r>
      <w:r w:rsidR="00FA0C79">
        <w:t xml:space="preserve">. </w:t>
      </w:r>
      <w:r w:rsidR="00BC2A13">
        <w:t xml:space="preserve">The model </w:t>
      </w:r>
      <w:r w:rsidR="00C83137">
        <w:t xml:space="preserve">described </w:t>
      </w:r>
      <w:r w:rsidR="001D5F9D">
        <w:t>in the Yellow Book (</w:t>
      </w:r>
      <w:r w:rsidR="001D5F9D" w:rsidRPr="00523168">
        <w:t>Bosch, C. J. H.,</w:t>
      </w:r>
      <w:r w:rsidR="001D5F9D">
        <w:t xml:space="preserve"> &amp; Weterings, 2005) </w:t>
      </w:r>
      <w:r w:rsidR="00417660">
        <w:t>is part of the passive dispersion model</w:t>
      </w:r>
      <w:r w:rsidR="009360DA">
        <w:t xml:space="preserve"> based on the GPM</w:t>
      </w:r>
      <w:r w:rsidR="00C947AA">
        <w:t xml:space="preserve"> model</w:t>
      </w:r>
      <w:r w:rsidR="00471F02">
        <w:t>.</w:t>
      </w:r>
      <w:r w:rsidR="00C947AA">
        <w:t xml:space="preserve"> </w:t>
      </w:r>
      <w:r w:rsidR="00471F02">
        <w:t>T</w:t>
      </w:r>
      <w:r w:rsidR="00B1392C">
        <w:t xml:space="preserve">he dispersion is based </w:t>
      </w:r>
      <w:r w:rsidR="00E40F21">
        <w:t>on lateral, vertical and horizontal dispersion functions</w:t>
      </w:r>
      <w:r w:rsidR="00471F02">
        <w:t>,</w:t>
      </w:r>
      <w:r w:rsidR="00270408">
        <w:t xml:space="preserve"> which include dedicated functions for point and</w:t>
      </w:r>
      <w:r w:rsidR="0096267C">
        <w:t xml:space="preserve"> area sources. </w:t>
      </w:r>
      <w:r w:rsidR="002A1C66">
        <w:t xml:space="preserve">In the case of </w:t>
      </w:r>
      <w:r w:rsidR="0095121A">
        <w:t xml:space="preserve">an </w:t>
      </w:r>
      <w:r w:rsidR="002A1C66">
        <w:t>area source</w:t>
      </w:r>
      <w:r w:rsidR="00170F7E">
        <w:t xml:space="preserve"> </w:t>
      </w:r>
      <w:r w:rsidR="0095121A">
        <w:lastRenderedPageBreak/>
        <w:t>in a vertical plane</w:t>
      </w:r>
      <w:r w:rsidR="00170F7E">
        <w:t>, often ca</w:t>
      </w:r>
      <w:r w:rsidR="0095121A">
        <w:t>ll</w:t>
      </w:r>
      <w:r w:rsidR="00EF06D8">
        <w:t>ed a</w:t>
      </w:r>
      <w:r w:rsidR="00170F7E">
        <w:t xml:space="preserve"> </w:t>
      </w:r>
      <w:r w:rsidR="00EF06D8">
        <w:t>“</w:t>
      </w:r>
      <w:r w:rsidR="00170F7E">
        <w:t>window</w:t>
      </w:r>
      <w:r w:rsidR="00EF06D8">
        <w:t>”</w:t>
      </w:r>
      <w:r w:rsidR="00170F7E">
        <w:t xml:space="preserve">, </w:t>
      </w:r>
      <w:r w:rsidR="0095121A">
        <w:t xml:space="preserve">the </w:t>
      </w:r>
      <w:r w:rsidR="00EF06D8">
        <w:t>source dimensions a</w:t>
      </w:r>
      <w:r w:rsidR="001223E1">
        <w:t xml:space="preserve">re taken as the crosswind section of the obstacle or building. </w:t>
      </w:r>
      <w:r w:rsidR="00181405">
        <w:t>The window is defined by a virtual source</w:t>
      </w:r>
      <w:r w:rsidR="009B087E">
        <w:t xml:space="preserve"> width and height and a possible offset from the release point, </w:t>
      </w:r>
      <w:r w:rsidR="00507E05">
        <w:t xml:space="preserve">see </w:t>
      </w:r>
      <w:r w:rsidR="009B087E">
        <w:t xml:space="preserve">Figure 1. The source </w:t>
      </w:r>
      <w:r w:rsidR="00640A1B">
        <w:t>width and height are taken from the dimensions of the</w:t>
      </w:r>
      <w:r w:rsidR="007A0633">
        <w:t xml:space="preserve"> cross section of the</w:t>
      </w:r>
      <w:r w:rsidR="00640A1B">
        <w:t xml:space="preserve"> downwind building wake</w:t>
      </w:r>
      <w:r w:rsidR="007A0633">
        <w:t xml:space="preserve"> recirculation zone. The assumption is that the </w:t>
      </w:r>
      <w:r w:rsidR="001A4A2C">
        <w:t xml:space="preserve">release source term is entrained into the building wake and homogenously mixed </w:t>
      </w:r>
      <w:r w:rsidR="009B0FFD">
        <w:t>within the</w:t>
      </w:r>
      <w:r w:rsidR="007273DC">
        <w:t xml:space="preserve"> initial</w:t>
      </w:r>
      <w:r w:rsidR="009B0FFD">
        <w:t xml:space="preserve"> cross section</w:t>
      </w:r>
      <w:r w:rsidR="007273DC">
        <w:t xml:space="preserve"> of the virtual source</w:t>
      </w:r>
      <w:r w:rsidR="009B0FFD">
        <w:t>.</w:t>
      </w:r>
      <w:r w:rsidR="00C72A13">
        <w:t xml:space="preserve"> The predilution is calculated by the</w:t>
      </w:r>
      <w:r w:rsidR="00BB2BB6">
        <w:t xml:space="preserve"> sum of the release source term and the </w:t>
      </w:r>
      <w:r w:rsidR="00F32BF2">
        <w:t xml:space="preserve">mass flow rate of the wind field through the virtual source. </w:t>
      </w:r>
      <w:r w:rsidR="00E52C31">
        <w:t>The release height of the source should be limited to half the</w:t>
      </w:r>
      <w:r w:rsidR="009F21C7">
        <w:t xml:space="preserve"> virtual source height in order to keep the plume attached to the ground</w:t>
      </w:r>
      <w:r w:rsidR="00DD725B">
        <w:t xml:space="preserve"> </w:t>
      </w:r>
      <w:r w:rsidR="009D2326">
        <w:t>(</w:t>
      </w:r>
      <w:r w:rsidR="00DD725B">
        <w:t>since building wakes</w:t>
      </w:r>
      <w:r w:rsidR="007D50AC">
        <w:t xml:space="preserve"> </w:t>
      </w:r>
      <w:r w:rsidR="00DD725B">
        <w:t>are usually ground-bounded</w:t>
      </w:r>
      <w:r w:rsidR="009D2326">
        <w:t>)</w:t>
      </w:r>
      <w:r w:rsidR="001B5F0B">
        <w:t>.</w:t>
      </w:r>
      <w:r w:rsidR="007D50AC">
        <w:t xml:space="preserve"> </w:t>
      </w:r>
      <w:r w:rsidR="00734011">
        <w:t>A schematic</w:t>
      </w:r>
      <w:r w:rsidR="007D50AC">
        <w:t xml:space="preserve"> flow topolog</w:t>
      </w:r>
      <w:r w:rsidR="009D4DB8">
        <w:t xml:space="preserve">y around a typical </w:t>
      </w:r>
      <w:r w:rsidR="00734011">
        <w:t xml:space="preserve">sharp-edged </w:t>
      </w:r>
      <w:r w:rsidR="009D4DB8">
        <w:t>ground-bounded obstacle is given in Figure 2</w:t>
      </w:r>
      <w:r w:rsidR="009D2326">
        <w:t>,</w:t>
      </w:r>
      <w:r w:rsidR="00F54194">
        <w:t xml:space="preserve"> including the wake separation, an upwind separation and a</w:t>
      </w:r>
      <w:r w:rsidR="00734011">
        <w:t xml:space="preserve"> reparation on the roof</w:t>
      </w:r>
      <w:r w:rsidR="009D4DB8">
        <w:t>.</w:t>
      </w:r>
      <w:r w:rsidR="00E45654">
        <w:t xml:space="preserve"> For sharp-edged buildings, additional separations can be present on the sidewalls. Although</w:t>
      </w:r>
      <w:r w:rsidR="00BB1EE5">
        <w:t xml:space="preserve"> top and sidewall separations might be present, building wake models usually </w:t>
      </w:r>
      <w:r w:rsidR="009D2326">
        <w:t xml:space="preserve">set </w:t>
      </w:r>
      <w:r w:rsidR="00C21513">
        <w:t xml:space="preserve">the dimension of the wake separation zone </w:t>
      </w:r>
      <w:r w:rsidR="009D2326">
        <w:t xml:space="preserve">to be the </w:t>
      </w:r>
      <w:r w:rsidR="005D151A">
        <w:t>dimensions of the virtual source.</w:t>
      </w:r>
    </w:p>
    <w:p w14:paraId="21081A8D" w14:textId="1D81D963" w:rsidR="00C13E99" w:rsidRDefault="005D151A" w:rsidP="008F2CBE">
      <w:pPr>
        <w:pStyle w:val="CETBodytext"/>
      </w:pPr>
      <w:r>
        <w:t xml:space="preserve">The model of </w:t>
      </w:r>
      <w:r w:rsidRPr="00523168">
        <w:t>Bosch</w:t>
      </w:r>
      <w:r>
        <w:t xml:space="preserve"> &amp; Weterings (2005)</w:t>
      </w:r>
      <w:r w:rsidR="006E2F15">
        <w:t>, based on the GPM model</w:t>
      </w:r>
      <w:r w:rsidR="00A248B6">
        <w:t xml:space="preserve"> which is developed for larger distances</w:t>
      </w:r>
      <w:r w:rsidR="00EB56C3">
        <w:t xml:space="preserve"> with tabulated </w:t>
      </w:r>
      <w:r w:rsidR="00902275">
        <w:t>dispersion parameters</w:t>
      </w:r>
      <w:r w:rsidR="00A248B6">
        <w:t xml:space="preserve">, includes additional limits for </w:t>
      </w:r>
      <w:r w:rsidR="00CE507C">
        <w:t>surface friction and wind velocity applied to the calculation of the dispersion</w:t>
      </w:r>
      <w:r w:rsidR="00F121EC">
        <w:t xml:space="preserve">. This </w:t>
      </w:r>
      <w:r w:rsidR="00596775">
        <w:t>include</w:t>
      </w:r>
      <w:r w:rsidR="00076315">
        <w:t>s</w:t>
      </w:r>
      <w:r w:rsidR="00596775">
        <w:t xml:space="preserve"> the limitation of the surface friction </w:t>
      </w:r>
      <m:oMath>
        <m:sSup>
          <m:sSupPr>
            <m:ctrlPr>
              <w:rPr>
                <w:rFonts w:ascii="Cambria Math" w:hAnsi="Cambria Math"/>
                <w:i/>
              </w:rPr>
            </m:ctrlPr>
          </m:sSupPr>
          <m:e>
            <m:r>
              <w:rPr>
                <w:rFonts w:ascii="Cambria Math" w:hAnsi="Cambria Math"/>
              </w:rPr>
              <m:t>u</m:t>
            </m:r>
          </m:e>
          <m:sup>
            <m:r>
              <w:rPr>
                <w:rFonts w:ascii="Cambria Math" w:hAnsi="Cambria Math"/>
              </w:rPr>
              <m:t>*</m:t>
            </m:r>
          </m:sup>
        </m:sSup>
        <m:r>
          <w:rPr>
            <w:rFonts w:ascii="Cambria Math" w:hAnsi="Cambria Math"/>
          </w:rPr>
          <m:t>&gt;0.6/</m:t>
        </m:r>
        <m:r>
          <m:rPr>
            <m:sty m:val="p"/>
          </m:rPr>
          <w:rPr>
            <w:rFonts w:ascii="Cambria Math" w:hAnsi="Cambria Math"/>
          </w:rPr>
          <m:t>ln⁡</m:t>
        </m:r>
        <m:r>
          <w:rPr>
            <w:rFonts w:ascii="Cambria Math" w:hAnsi="Cambria Math"/>
          </w:rPr>
          <m:t>(10/</m:t>
        </m:r>
        <m:sSub>
          <m:sSubPr>
            <m:ctrlPr>
              <w:rPr>
                <w:rFonts w:ascii="Cambria Math" w:hAnsi="Cambria Math"/>
                <w:i/>
              </w:rPr>
            </m:ctrlPr>
          </m:sSubPr>
          <m:e>
            <m:r>
              <w:rPr>
                <w:rFonts w:ascii="Cambria Math" w:hAnsi="Cambria Math"/>
              </w:rPr>
              <m:t>z</m:t>
            </m:r>
          </m:e>
          <m:sub>
            <m:r>
              <w:rPr>
                <w:rFonts w:ascii="Cambria Math" w:hAnsi="Cambria Math"/>
              </w:rPr>
              <m:t>0</m:t>
            </m:r>
          </m:sub>
        </m:sSub>
        <m:r>
          <w:rPr>
            <w:rFonts w:ascii="Cambria Math" w:hAnsi="Cambria Math"/>
          </w:rPr>
          <m:t>)</m:t>
        </m:r>
      </m:oMath>
      <w:r w:rsidR="00905D91">
        <w:t xml:space="preserve"> to maintain a minimum level of turbulence under low wind conditions</w:t>
      </w:r>
      <w:r w:rsidR="00052FEE">
        <w:t xml:space="preserve"> with the surface roughness length </w:t>
      </w:r>
      <m:oMath>
        <m:sSub>
          <m:sSubPr>
            <m:ctrlPr>
              <w:rPr>
                <w:rFonts w:ascii="Cambria Math" w:hAnsi="Cambria Math"/>
                <w:i/>
              </w:rPr>
            </m:ctrlPr>
          </m:sSubPr>
          <m:e>
            <m:r>
              <w:rPr>
                <w:rFonts w:ascii="Cambria Math" w:hAnsi="Cambria Math"/>
              </w:rPr>
              <m:t>z</m:t>
            </m:r>
          </m:e>
          <m:sub>
            <m:r>
              <w:rPr>
                <w:rFonts w:ascii="Cambria Math" w:hAnsi="Cambria Math"/>
              </w:rPr>
              <m:t>0</m:t>
            </m:r>
          </m:sub>
        </m:sSub>
      </m:oMath>
      <w:r w:rsidR="00052FEE">
        <w:t xml:space="preserve">. </w:t>
      </w:r>
      <w:r w:rsidR="00393B0E">
        <w:t xml:space="preserve">In addition, the wind velocity at </w:t>
      </w:r>
      <w:r w:rsidR="000D18EC">
        <w:t>the plume centerline</w:t>
      </w:r>
      <w:r w:rsidR="00393B0E">
        <w:t xml:space="preserve"> is assumed to be taken at </w:t>
      </w:r>
      <w:r w:rsidR="000D18EC">
        <w:t>a height of 10m or above.</w:t>
      </w:r>
    </w:p>
    <w:p w14:paraId="33613DB2" w14:textId="77777777" w:rsidR="00400A80" w:rsidRDefault="00400A80" w:rsidP="008F2CBE">
      <w:pPr>
        <w:pStyle w:val="CETBodytext"/>
      </w:pPr>
    </w:p>
    <w:p w14:paraId="2D543EC8" w14:textId="77777777" w:rsidR="00077F6C" w:rsidRPr="000A3DE3" w:rsidRDefault="00077F6C" w:rsidP="008F2CBE">
      <w:pPr>
        <w:pStyle w:val="CETBodytext"/>
      </w:pPr>
    </w:p>
    <w:p w14:paraId="5F93F401" w14:textId="4801204F" w:rsidR="00077F6C" w:rsidRDefault="008F61E1" w:rsidP="008F2CBE">
      <w:pPr>
        <w:pStyle w:val="CETBodytext"/>
      </w:pPr>
      <w:r w:rsidRPr="00C13E99">
        <w:rPr>
          <w:noProof/>
        </w:rPr>
        <w:drawing>
          <wp:inline distT="0" distB="0" distL="0" distR="0" wp14:anchorId="6E414DFD" wp14:editId="5A59D433">
            <wp:extent cx="3667125" cy="1339646"/>
            <wp:effectExtent l="0" t="0" r="0" b="0"/>
            <wp:docPr id="73661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14650" name=""/>
                    <pic:cNvPicPr/>
                  </pic:nvPicPr>
                  <pic:blipFill>
                    <a:blip r:embed="rId10"/>
                    <a:stretch>
                      <a:fillRect/>
                    </a:stretch>
                  </pic:blipFill>
                  <pic:spPr>
                    <a:xfrm>
                      <a:off x="0" y="0"/>
                      <a:ext cx="3681123" cy="1344760"/>
                    </a:xfrm>
                    <a:prstGeom prst="rect">
                      <a:avLst/>
                    </a:prstGeom>
                  </pic:spPr>
                </pic:pic>
              </a:graphicData>
            </a:graphic>
          </wp:inline>
        </w:drawing>
      </w:r>
    </w:p>
    <w:p w14:paraId="6DFAF766" w14:textId="13F9D03A" w:rsidR="008F61E1" w:rsidRPr="008F61E1" w:rsidRDefault="008F61E1" w:rsidP="008F2CBE">
      <w:pPr>
        <w:pStyle w:val="CETBodytext"/>
        <w:rPr>
          <w:b/>
          <w:bCs/>
        </w:rPr>
      </w:pPr>
      <w:r w:rsidRPr="00BD077D">
        <w:rPr>
          <w:rStyle w:val="CETCaptionCarattere"/>
        </w:rPr>
        <w:t>Figure</w:t>
      </w:r>
      <w:r w:rsidR="00F7706C">
        <w:rPr>
          <w:rStyle w:val="CETCaptionCarattere"/>
        </w:rPr>
        <w:t xml:space="preserve"> 1</w:t>
      </w:r>
      <w:r w:rsidRPr="00BD077D">
        <w:rPr>
          <w:rStyle w:val="CETCaptionCarattere"/>
        </w:rPr>
        <w:t xml:space="preserve">: </w:t>
      </w:r>
      <w:r w:rsidR="00F7706C">
        <w:rPr>
          <w:rStyle w:val="CETCaptionCarattere"/>
        </w:rPr>
        <w:t>Virtual source definition (“window”)</w:t>
      </w:r>
    </w:p>
    <w:p w14:paraId="112FFA06" w14:textId="77777777" w:rsidR="008F61E1" w:rsidRDefault="008F61E1" w:rsidP="008F2CBE">
      <w:pPr>
        <w:pStyle w:val="CETBodytext"/>
      </w:pPr>
    </w:p>
    <w:p w14:paraId="6257D13B" w14:textId="77777777" w:rsidR="008F61E1" w:rsidRDefault="008F61E1" w:rsidP="008F2CBE">
      <w:pPr>
        <w:pStyle w:val="CETBodytext"/>
      </w:pPr>
    </w:p>
    <w:p w14:paraId="12DC1530" w14:textId="77777777" w:rsidR="00F7706C" w:rsidRDefault="00F7706C" w:rsidP="00F7706C">
      <w:pPr>
        <w:pStyle w:val="CETBodytext"/>
      </w:pPr>
      <w:r w:rsidRPr="001922AF">
        <w:rPr>
          <w:noProof/>
        </w:rPr>
        <w:drawing>
          <wp:inline distT="0" distB="0" distL="0" distR="0" wp14:anchorId="367B4F78" wp14:editId="33A489A2">
            <wp:extent cx="4410075" cy="971150"/>
            <wp:effectExtent l="0" t="0" r="0" b="635"/>
            <wp:docPr id="197018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88707" name=""/>
                    <pic:cNvPicPr/>
                  </pic:nvPicPr>
                  <pic:blipFill rotWithShape="1">
                    <a:blip r:embed="rId11"/>
                    <a:srcRect t="16594" b="18538"/>
                    <a:stretch>
                      <a:fillRect/>
                    </a:stretch>
                  </pic:blipFill>
                  <pic:spPr bwMode="auto">
                    <a:xfrm>
                      <a:off x="0" y="0"/>
                      <a:ext cx="4441298" cy="978026"/>
                    </a:xfrm>
                    <a:prstGeom prst="rect">
                      <a:avLst/>
                    </a:prstGeom>
                    <a:ln>
                      <a:noFill/>
                    </a:ln>
                    <a:extLst>
                      <a:ext uri="{53640926-AAD7-44D8-BBD7-CCE9431645EC}">
                        <a14:shadowObscured xmlns:a14="http://schemas.microsoft.com/office/drawing/2010/main"/>
                      </a:ext>
                    </a:extLst>
                  </pic:spPr>
                </pic:pic>
              </a:graphicData>
            </a:graphic>
          </wp:inline>
        </w:drawing>
      </w:r>
    </w:p>
    <w:p w14:paraId="202597D3" w14:textId="77777777" w:rsidR="00F7706C" w:rsidRDefault="00F7706C" w:rsidP="00F7706C">
      <w:pPr>
        <w:pStyle w:val="CETBodytext"/>
      </w:pPr>
    </w:p>
    <w:p w14:paraId="5D3E34C5" w14:textId="6CB58D8E" w:rsidR="00F7706C" w:rsidRPr="000A3DE3" w:rsidRDefault="00F7706C" w:rsidP="00F7706C">
      <w:pPr>
        <w:pStyle w:val="CETBodytext"/>
      </w:pPr>
      <w:r w:rsidRPr="00BD077D">
        <w:rPr>
          <w:rStyle w:val="CETCaptionCarattere"/>
        </w:rPr>
        <w:t xml:space="preserve">Figure </w:t>
      </w:r>
      <w:r>
        <w:rPr>
          <w:rStyle w:val="CETCaptionCarattere"/>
        </w:rPr>
        <w:t>2</w:t>
      </w:r>
      <w:r w:rsidRPr="00BD077D">
        <w:rPr>
          <w:rStyle w:val="CETCaptionCarattere"/>
        </w:rPr>
        <w:t xml:space="preserve">: </w:t>
      </w:r>
      <w:r>
        <w:rPr>
          <w:rStyle w:val="CETCaptionCarattere"/>
        </w:rPr>
        <w:t>Flow topology around a surface mounted cube (</w:t>
      </w:r>
      <w:r w:rsidRPr="000A3DE3">
        <w:rPr>
          <w:i/>
          <w:iCs/>
        </w:rPr>
        <w:t>Kimura et al., 2021)</w:t>
      </w:r>
    </w:p>
    <w:p w14:paraId="26B52723" w14:textId="77777777" w:rsidR="008F61E1" w:rsidRDefault="008F61E1" w:rsidP="008F2CBE">
      <w:pPr>
        <w:pStyle w:val="CETBodytext"/>
      </w:pPr>
    </w:p>
    <w:p w14:paraId="0F3D64A0" w14:textId="7CB64306" w:rsidR="007213C9" w:rsidRDefault="009D2326" w:rsidP="008F2CBE">
      <w:pPr>
        <w:pStyle w:val="CETBodytext"/>
      </w:pPr>
      <w:r>
        <w:t xml:space="preserve">This model is already implemented in the </w:t>
      </w:r>
      <w:r w:rsidR="0096559A">
        <w:t>neutral</w:t>
      </w:r>
      <w:r>
        <w:t xml:space="preserve"> dispersion model in Gexcon’s consequence modelling software,</w:t>
      </w:r>
      <w:r w:rsidR="006741EA">
        <w:t xml:space="preserve"> EFFEC</w:t>
      </w:r>
      <w:r w:rsidR="00EB56C3">
        <w:t>T</w:t>
      </w:r>
      <w:r w:rsidR="006741EA">
        <w:t>S</w:t>
      </w:r>
      <w:r w:rsidR="0096559A">
        <w:t xml:space="preserve"> (the neutral gas dispersion mode in EFFECTS is a GPM model)</w:t>
      </w:r>
      <w:r w:rsidR="00D923CC">
        <w:rPr>
          <w:lang w:val="en-GB"/>
        </w:rPr>
        <w:t xml:space="preserve">. </w:t>
      </w:r>
      <w:r>
        <w:rPr>
          <w:lang w:val="en-GB"/>
        </w:rPr>
        <w:t>However</w:t>
      </w:r>
      <w:r w:rsidR="007E0186">
        <w:rPr>
          <w:lang w:val="en-GB"/>
        </w:rPr>
        <w:t>, t</w:t>
      </w:r>
      <w:r w:rsidR="003B3310">
        <w:rPr>
          <w:lang w:val="en-GB"/>
        </w:rPr>
        <w:t>he</w:t>
      </w:r>
      <w:r w:rsidR="00221047">
        <w:rPr>
          <w:lang w:val="en-GB"/>
        </w:rPr>
        <w:t xml:space="preserve"> full</w:t>
      </w:r>
      <w:r w:rsidR="003B3310">
        <w:rPr>
          <w:lang w:val="en-GB"/>
        </w:rPr>
        <w:t xml:space="preserve"> integral dispersion model</w:t>
      </w:r>
      <w:r>
        <w:rPr>
          <w:lang w:val="en-GB"/>
        </w:rPr>
        <w:t xml:space="preserve"> in EFFECTS</w:t>
      </w:r>
      <w:r w:rsidR="00AE67D8">
        <w:rPr>
          <w:lang w:val="en-GB"/>
        </w:rPr>
        <w:t xml:space="preserve"> (Mack, 2025)</w:t>
      </w:r>
      <w:r w:rsidR="003B3310">
        <w:rPr>
          <w:lang w:val="en-GB"/>
        </w:rPr>
        <w:t>,</w:t>
      </w:r>
      <w:r w:rsidR="007E0186">
        <w:rPr>
          <w:lang w:val="en-GB"/>
        </w:rPr>
        <w:t xml:space="preserve"> which </w:t>
      </w:r>
      <w:r w:rsidR="00B107C5">
        <w:rPr>
          <w:lang w:val="en-GB"/>
        </w:rPr>
        <w:t>is capable of modelling non-neutral releases</w:t>
      </w:r>
      <w:r>
        <w:rPr>
          <w:lang w:val="en-GB"/>
        </w:rPr>
        <w:t>,</w:t>
      </w:r>
      <w:r w:rsidR="00B107C5">
        <w:rPr>
          <w:lang w:val="en-GB"/>
        </w:rPr>
        <w:t xml:space="preserve"> such as heavy or light gas </w:t>
      </w:r>
      <w:r w:rsidR="007E0186">
        <w:rPr>
          <w:lang w:val="en-GB"/>
        </w:rPr>
        <w:t xml:space="preserve">dispersion, </w:t>
      </w:r>
      <w:r>
        <w:rPr>
          <w:lang w:val="en-GB"/>
        </w:rPr>
        <w:t>did</w:t>
      </w:r>
      <w:r w:rsidR="007E0186">
        <w:rPr>
          <w:lang w:val="en-GB"/>
        </w:rPr>
        <w:t xml:space="preserve"> not</w:t>
      </w:r>
      <w:r>
        <w:rPr>
          <w:lang w:val="en-GB"/>
        </w:rPr>
        <w:t xml:space="preserve"> previously</w:t>
      </w:r>
      <w:r w:rsidR="007E0186">
        <w:rPr>
          <w:lang w:val="en-GB"/>
        </w:rPr>
        <w:t xml:space="preserve"> </w:t>
      </w:r>
      <w:r>
        <w:rPr>
          <w:lang w:val="en-GB"/>
        </w:rPr>
        <w:t>include</w:t>
      </w:r>
      <w:r w:rsidR="007E0186">
        <w:rPr>
          <w:lang w:val="en-GB"/>
        </w:rPr>
        <w:t xml:space="preserve"> this virtual</w:t>
      </w:r>
      <w:r w:rsidR="005C6E63">
        <w:rPr>
          <w:lang w:val="en-GB"/>
        </w:rPr>
        <w:t xml:space="preserve"> source release model. </w:t>
      </w:r>
      <w:r>
        <w:rPr>
          <w:lang w:val="en-GB"/>
        </w:rPr>
        <w:t>The full integral dispersion model does now include the virtual source (referred to as the “user-defined window” in EFFECTS), has been validated and is now recommended for simulation of</w:t>
      </w:r>
      <w:r w:rsidR="003262E5">
        <w:rPr>
          <w:lang w:val="en-GB"/>
        </w:rPr>
        <w:t xml:space="preserve"> </w:t>
      </w:r>
      <w:r>
        <w:rPr>
          <w:lang w:val="en-GB"/>
        </w:rPr>
        <w:t xml:space="preserve">all gas dispersion scenarios, including </w:t>
      </w:r>
      <w:r w:rsidR="005C6E63">
        <w:rPr>
          <w:lang w:val="en-GB"/>
        </w:rPr>
        <w:t>heavy</w:t>
      </w:r>
      <w:r>
        <w:rPr>
          <w:lang w:val="en-GB"/>
        </w:rPr>
        <w:t>,</w:t>
      </w:r>
      <w:r w:rsidR="00652AE0">
        <w:rPr>
          <w:lang w:val="en-GB"/>
        </w:rPr>
        <w:t xml:space="preserve"> passive </w:t>
      </w:r>
      <w:r>
        <w:rPr>
          <w:lang w:val="en-GB"/>
        </w:rPr>
        <w:t>and</w:t>
      </w:r>
      <w:r w:rsidR="00652AE0">
        <w:rPr>
          <w:lang w:val="en-GB"/>
        </w:rPr>
        <w:t xml:space="preserve"> light gas dispersion</w:t>
      </w:r>
      <w:r w:rsidR="00EB56C3">
        <w:rPr>
          <w:lang w:val="en-GB"/>
        </w:rPr>
        <w:t>. The implementation is</w:t>
      </w:r>
      <w:r w:rsidR="00902275">
        <w:rPr>
          <w:lang w:val="en-GB"/>
        </w:rPr>
        <w:t xml:space="preserve"> relatively straightforward</w:t>
      </w:r>
      <w:r w:rsidR="00EB56C3">
        <w:rPr>
          <w:lang w:val="en-GB"/>
        </w:rPr>
        <w:t xml:space="preserve"> </w:t>
      </w:r>
      <w:r>
        <w:rPr>
          <w:lang w:val="en-GB"/>
        </w:rPr>
        <w:t>and follows</w:t>
      </w:r>
      <w:r w:rsidR="00902275">
        <w:t xml:space="preserve"> </w:t>
      </w:r>
      <w:r w:rsidR="00902275" w:rsidRPr="00523168">
        <w:t>Bosch</w:t>
      </w:r>
      <w:r w:rsidR="00902275">
        <w:t xml:space="preserve"> &amp; Weterings (2005), </w:t>
      </w:r>
      <w:r>
        <w:t xml:space="preserve">however </w:t>
      </w:r>
      <w:r w:rsidR="002D3763">
        <w:t xml:space="preserve">the surface friction velocity </w:t>
      </w:r>
      <w:r w:rsidR="009B0630">
        <w:t xml:space="preserve">constraint </w:t>
      </w:r>
      <w:r w:rsidR="00F02C9C">
        <w:t>h</w:t>
      </w:r>
      <w:r w:rsidR="002D3763">
        <w:t>as not been applied</w:t>
      </w:r>
      <w:r w:rsidR="00715C76">
        <w:t xml:space="preserve">. </w:t>
      </w:r>
      <w:r w:rsidR="00B2113B">
        <w:t>T</w:t>
      </w:r>
      <w:r w:rsidR="00715C76">
        <w:t>he dispersion model does not apply tabulated dispersion functions</w:t>
      </w:r>
      <w:r w:rsidR="00232E8D">
        <w:t>,</w:t>
      </w:r>
      <w:r w:rsidR="00715C76">
        <w:t xml:space="preserve"> but calculates them as part of the integral modelling approach</w:t>
      </w:r>
      <w:r w:rsidR="00B2113B">
        <w:t xml:space="preserve">. </w:t>
      </w:r>
      <w:r w:rsidR="00232E8D">
        <w:t>In this way</w:t>
      </w:r>
      <w:r w:rsidR="00B2113B">
        <w:t>,</w:t>
      </w:r>
      <w:r w:rsidR="00DE06D5">
        <w:t xml:space="preserve"> </w:t>
      </w:r>
      <w:r w:rsidR="00232E8D">
        <w:t xml:space="preserve">further </w:t>
      </w:r>
      <w:r w:rsidR="00203F86">
        <w:t>physical effects</w:t>
      </w:r>
      <w:r w:rsidR="00B2113B">
        <w:t xml:space="preserve"> are taken</w:t>
      </w:r>
      <w:r w:rsidR="00AE67D8">
        <w:t xml:space="preserve"> </w:t>
      </w:r>
      <w:r w:rsidR="00203F86">
        <w:t xml:space="preserve">into </w:t>
      </w:r>
      <w:r w:rsidR="001013EE">
        <w:t>account</w:t>
      </w:r>
      <w:r w:rsidR="00232E8D">
        <w:t>,</w:t>
      </w:r>
      <w:r w:rsidR="00203F86">
        <w:t xml:space="preserve"> such as buoyancy production and damping from the plume and atmospheric boundary layer properties</w:t>
      </w:r>
      <w:r w:rsidR="00232E8D">
        <w:t>,</w:t>
      </w:r>
      <w:r w:rsidR="001013EE">
        <w:t xml:space="preserve"> </w:t>
      </w:r>
      <w:r w:rsidR="00232E8D">
        <w:t>and</w:t>
      </w:r>
      <w:r w:rsidR="001013EE">
        <w:t xml:space="preserve"> </w:t>
      </w:r>
      <w:r w:rsidR="00DE06D5">
        <w:t xml:space="preserve">the </w:t>
      </w:r>
      <w:r w:rsidR="001013EE">
        <w:t xml:space="preserve">momentum </w:t>
      </w:r>
      <w:r w:rsidR="00DE06D5">
        <w:t xml:space="preserve">and heat </w:t>
      </w:r>
      <w:r w:rsidR="001013EE">
        <w:t>exchange between</w:t>
      </w:r>
      <w:r w:rsidR="00232E8D">
        <w:t xml:space="preserve"> the</w:t>
      </w:r>
      <w:r w:rsidR="001013EE">
        <w:t xml:space="preserve"> plume and </w:t>
      </w:r>
      <w:r w:rsidR="00232E8D">
        <w:t xml:space="preserve">the </w:t>
      </w:r>
      <w:r w:rsidR="001013EE">
        <w:t>atmospheric</w:t>
      </w:r>
      <w:r w:rsidR="00DE06D5">
        <w:t xml:space="preserve"> boundary layer.</w:t>
      </w:r>
      <w:r w:rsidR="00E648BF">
        <w:t xml:space="preserve"> </w:t>
      </w:r>
      <w:r w:rsidR="00215305">
        <w:t xml:space="preserve">In the </w:t>
      </w:r>
      <w:r w:rsidR="00223584">
        <w:t xml:space="preserve">EFFECTS neutral gas </w:t>
      </w:r>
      <w:r w:rsidR="004E3BC9">
        <w:t>(</w:t>
      </w:r>
      <w:r w:rsidR="00232E8D">
        <w:t>GPM</w:t>
      </w:r>
      <w:r w:rsidR="004E3BC9">
        <w:t>)</w:t>
      </w:r>
      <w:r w:rsidR="00232E8D">
        <w:t xml:space="preserve"> </w:t>
      </w:r>
      <w:r w:rsidR="00223584">
        <w:t>model</w:t>
      </w:r>
      <w:r w:rsidR="00215305">
        <w:t xml:space="preserve">, the </w:t>
      </w:r>
      <w:r w:rsidR="009E11C7">
        <w:t xml:space="preserve">dispersion scales directly with the applied wind speed. In the </w:t>
      </w:r>
      <w:r w:rsidR="00221047">
        <w:t xml:space="preserve">full </w:t>
      </w:r>
      <w:r w:rsidR="009E11C7">
        <w:t xml:space="preserve">EFFECTS </w:t>
      </w:r>
      <w:r w:rsidR="00221047">
        <w:t xml:space="preserve">integral </w:t>
      </w:r>
      <w:r w:rsidR="009E11C7">
        <w:t>dispersion model</w:t>
      </w:r>
      <w:r w:rsidR="00A2370F">
        <w:t>,</w:t>
      </w:r>
      <w:r w:rsidR="008A1023">
        <w:t xml:space="preserve"> </w:t>
      </w:r>
      <w:r w:rsidR="00A2370F">
        <w:t xml:space="preserve">the </w:t>
      </w:r>
      <w:r w:rsidR="00B12602">
        <w:t>mass flow rate through the virtual window</w:t>
      </w:r>
      <w:r w:rsidR="00221047">
        <w:t xml:space="preserve"> is</w:t>
      </w:r>
      <w:r w:rsidR="00A2370F">
        <w:t xml:space="preserve"> </w:t>
      </w:r>
      <w:r w:rsidR="00484865">
        <w:t>defined</w:t>
      </w:r>
      <w:r w:rsidR="00A2370F">
        <w:t xml:space="preserve"> </w:t>
      </w:r>
      <w:r w:rsidR="00221047">
        <w:t>by integrating</w:t>
      </w:r>
      <w:r w:rsidR="002B429D">
        <w:t xml:space="preserve"> the atmospheric boundary layer</w:t>
      </w:r>
      <w:r w:rsidR="00B12602">
        <w:t xml:space="preserve"> wind</w:t>
      </w:r>
      <w:r w:rsidR="002B429D">
        <w:t xml:space="preserve"> profile across the virtual source</w:t>
      </w:r>
      <w:r w:rsidR="00DC2D21">
        <w:t xml:space="preserve"> </w:t>
      </w: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rPr>
                  <m:t>m</m:t>
                </m:r>
              </m:e>
            </m:acc>
          </m:e>
          <m:sub>
            <m:r>
              <w:rPr>
                <w:rFonts w:ascii="Cambria Math" w:hAnsi="Cambria Math"/>
              </w:rPr>
              <m:t>w</m:t>
            </m:r>
          </m:sub>
        </m:sSub>
      </m:oMath>
      <w:r w:rsidR="002B429D">
        <w:t>.</w:t>
      </w:r>
      <w:r w:rsidR="00F42904">
        <w:t xml:space="preserve"> Together with the release source term</w:t>
      </w:r>
      <w:r w:rsidR="00437281">
        <w:t xml:space="preserve"> </w:t>
      </w: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rPr>
                  <m:t>m</m:t>
                </m:r>
              </m:e>
            </m:acc>
          </m:e>
          <m:sub>
            <m:r>
              <w:rPr>
                <w:rFonts w:ascii="Cambria Math" w:hAnsi="Cambria Math"/>
              </w:rPr>
              <m:t>s</m:t>
            </m:r>
          </m:sub>
        </m:sSub>
      </m:oMath>
      <w:r w:rsidR="00EC1866">
        <w:t>, th</w:t>
      </w:r>
      <w:r w:rsidR="00534163">
        <w:t>is</w:t>
      </w:r>
      <w:r w:rsidR="00EC1866">
        <w:t xml:space="preserve"> form</w:t>
      </w:r>
      <w:r w:rsidR="00534163">
        <w:t>s</w:t>
      </w:r>
      <w:r w:rsidR="00EC1866">
        <w:t xml:space="preserve"> the plume</w:t>
      </w:r>
      <w:r w:rsidR="00534163">
        <w:t xml:space="preserve"> mass flow rate</w:t>
      </w:r>
      <w:r w:rsidR="00A25D70">
        <w:t xml:space="preserve"> through the virtual source</w:t>
      </w:r>
      <w:r w:rsidR="00DC2D21">
        <w:t xml:space="preserve"> </w:t>
      </w: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rPr>
                  <m:t>m</m:t>
                </m:r>
              </m:e>
            </m:acc>
          </m:e>
          <m:sub>
            <m:r>
              <w:rPr>
                <w:rFonts w:ascii="Cambria Math" w:hAnsi="Cambria Math"/>
              </w:rPr>
              <m:t>vs</m:t>
            </m:r>
          </m:sub>
        </m:sSub>
      </m:oMath>
      <w:r w:rsidR="00F0080C">
        <w:t>:</w:t>
      </w:r>
    </w:p>
    <w:tbl>
      <w:tblPr>
        <w:tblW w:w="5000" w:type="pct"/>
        <w:tblLook w:val="04A0" w:firstRow="1" w:lastRow="0" w:firstColumn="1" w:lastColumn="0" w:noHBand="0" w:noVBand="1"/>
      </w:tblPr>
      <w:tblGrid>
        <w:gridCol w:w="7982"/>
        <w:gridCol w:w="805"/>
      </w:tblGrid>
      <w:tr w:rsidR="0098782B" w:rsidRPr="00B57B36" w14:paraId="07A82032" w14:textId="77777777" w:rsidTr="0039640E">
        <w:tc>
          <w:tcPr>
            <w:tcW w:w="7982" w:type="dxa"/>
            <w:vAlign w:val="center"/>
          </w:tcPr>
          <w:p w14:paraId="27A492B9" w14:textId="75E9E43E" w:rsidR="0098782B" w:rsidRPr="00B57B36" w:rsidRDefault="00000000" w:rsidP="001427A0">
            <w:pPr>
              <w:pStyle w:val="CETEquation"/>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vs</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s</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w</m:t>
                    </m:r>
                  </m:sub>
                </m:sSub>
              </m:oMath>
            </m:oMathPara>
          </w:p>
        </w:tc>
        <w:tc>
          <w:tcPr>
            <w:tcW w:w="805" w:type="dxa"/>
            <w:vAlign w:val="center"/>
          </w:tcPr>
          <w:p w14:paraId="6F9D7BED" w14:textId="77777777" w:rsidR="0098782B" w:rsidRPr="00B57B36" w:rsidRDefault="0098782B" w:rsidP="001427A0">
            <w:pPr>
              <w:pStyle w:val="CETEquation"/>
              <w:jc w:val="right"/>
            </w:pPr>
            <w:r w:rsidRPr="00B57B36">
              <w:t>(1)</w:t>
            </w:r>
          </w:p>
        </w:tc>
      </w:tr>
    </w:tbl>
    <w:p w14:paraId="0ADA44BE" w14:textId="7646A594" w:rsidR="008301BA" w:rsidRDefault="00CA04AB" w:rsidP="008F2CBE">
      <w:pPr>
        <w:pStyle w:val="CETBodytext"/>
      </w:pPr>
      <w:r>
        <w:lastRenderedPageBreak/>
        <w:t xml:space="preserve">The initial mass fraction of the </w:t>
      </w:r>
      <w:r w:rsidR="007C4764">
        <w:t>substance in the virtual source</w:t>
      </w:r>
      <w:r w:rsidR="00221047">
        <w:t>,</w:t>
      </w:r>
      <w:r w:rsidR="00833A67">
        <w:t xml:space="preserve"> including </w:t>
      </w:r>
      <w:r w:rsidR="00221047">
        <w:t xml:space="preserve">its </w:t>
      </w:r>
      <w:r w:rsidR="00833A67">
        <w:t xml:space="preserve">predilution </w:t>
      </w:r>
      <w:r w:rsidR="00221047">
        <w:t xml:space="preserve">with </w:t>
      </w:r>
      <w:r w:rsidR="00833A67">
        <w:t xml:space="preserve">the entrained air </w:t>
      </w:r>
      <w:r w:rsidR="00221047">
        <w:t xml:space="preserve">from </w:t>
      </w:r>
      <w:r w:rsidR="00833A67">
        <w:t>the wind field</w:t>
      </w:r>
      <w:r w:rsidR="00221047">
        <w:t>,</w:t>
      </w:r>
      <w:r w:rsidR="007C4764">
        <w:t xml:space="preserve"> is</w:t>
      </w:r>
      <w:r w:rsidR="00174BB7">
        <w:t xml:space="preserve"> </w:t>
      </w:r>
      <w:r w:rsidR="007C4764">
        <w:t xml:space="preserve">calculated </w:t>
      </w:r>
      <w:r w:rsidR="00174BB7">
        <w:t>by</w:t>
      </w:r>
      <w:r w:rsidR="007C4764">
        <w:t>:</w:t>
      </w:r>
    </w:p>
    <w:tbl>
      <w:tblPr>
        <w:tblW w:w="5000" w:type="pct"/>
        <w:tblLook w:val="04A0" w:firstRow="1" w:lastRow="0" w:firstColumn="1" w:lastColumn="0" w:noHBand="0" w:noVBand="1"/>
      </w:tblPr>
      <w:tblGrid>
        <w:gridCol w:w="7982"/>
        <w:gridCol w:w="805"/>
      </w:tblGrid>
      <w:tr w:rsidR="007C4764" w:rsidRPr="00B57B36" w14:paraId="6A4223DC" w14:textId="77777777" w:rsidTr="001427A0">
        <w:tc>
          <w:tcPr>
            <w:tcW w:w="7982" w:type="dxa"/>
            <w:vAlign w:val="center"/>
          </w:tcPr>
          <w:p w14:paraId="05CBC0D9" w14:textId="2BDAD5BC" w:rsidR="007C4764" w:rsidRPr="00B57B36" w:rsidRDefault="00000000" w:rsidP="001427A0">
            <w:pPr>
              <w:pStyle w:val="CETEquation"/>
            </w:pPr>
            <m:oMathPara>
              <m:oMath>
                <m:sSub>
                  <m:sSubPr>
                    <m:ctrlPr>
                      <w:rPr>
                        <w:rFonts w:ascii="Cambria Math" w:hAnsi="Cambria Math"/>
                        <w:i/>
                      </w:rPr>
                    </m:ctrlPr>
                  </m:sSubPr>
                  <m:e>
                    <m:r>
                      <w:rPr>
                        <w:rFonts w:ascii="Cambria Math" w:hAnsi="Cambria Math"/>
                      </w:rPr>
                      <m:t>c</m:t>
                    </m:r>
                  </m:e>
                  <m:sub>
                    <m:r>
                      <w:rPr>
                        <w:rFonts w:ascii="Cambria Math" w:hAnsi="Cambria Math"/>
                      </w:rPr>
                      <m:t>vs</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s</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vs</m:t>
                    </m:r>
                  </m:sub>
                </m:sSub>
              </m:oMath>
            </m:oMathPara>
          </w:p>
        </w:tc>
        <w:tc>
          <w:tcPr>
            <w:tcW w:w="805" w:type="dxa"/>
            <w:vAlign w:val="center"/>
          </w:tcPr>
          <w:p w14:paraId="74B1F648" w14:textId="45B7658B" w:rsidR="007C4764" w:rsidRPr="00B57B36" w:rsidRDefault="007C4764" w:rsidP="001427A0">
            <w:pPr>
              <w:pStyle w:val="CETEquation"/>
              <w:jc w:val="right"/>
            </w:pPr>
            <w:r w:rsidRPr="00B57B36">
              <w:t>(</w:t>
            </w:r>
            <w:r w:rsidR="00174BB7">
              <w:t>2</w:t>
            </w:r>
            <w:r w:rsidRPr="00B57B36">
              <w:t>)</w:t>
            </w:r>
          </w:p>
        </w:tc>
      </w:tr>
    </w:tbl>
    <w:p w14:paraId="629BB6D7" w14:textId="77364A6B" w:rsidR="008F61E1" w:rsidRPr="000A3DE3" w:rsidRDefault="00CB66F5" w:rsidP="008F2CBE">
      <w:pPr>
        <w:pStyle w:val="CETBodytext"/>
      </w:pPr>
      <w:r>
        <w:t xml:space="preserve">The temperature is </w:t>
      </w:r>
      <w:r w:rsidR="00440C22">
        <w:t xml:space="preserve">calculated according to mixing rules. </w:t>
      </w:r>
      <w:r w:rsidR="00C637E5">
        <w:t xml:space="preserve">Where the GPM approach uses a representative wind speed, the integral building-wake model requires </w:t>
      </w:r>
      <w:r w:rsidR="00A25D70">
        <w:t xml:space="preserve">the </w:t>
      </w:r>
      <w:r w:rsidR="00AF3B35">
        <w:t xml:space="preserve">plume velocity and predilution </w:t>
      </w:r>
      <w:r w:rsidR="00C637E5">
        <w:t xml:space="preserve">to be </w:t>
      </w:r>
      <w:r w:rsidR="00AF3B35">
        <w:t>defined</w:t>
      </w:r>
      <w:r w:rsidR="00C637E5">
        <w:t>, to facilitate</w:t>
      </w:r>
      <w:r w:rsidR="00AF3B35">
        <w:t xml:space="preserve"> </w:t>
      </w:r>
      <w:r w:rsidR="00C637E5">
        <w:t>the</w:t>
      </w:r>
      <w:r w:rsidR="00D86FFC">
        <w:t xml:space="preserve"> modelling of</w:t>
      </w:r>
      <w:r w:rsidR="00D05578">
        <w:t xml:space="preserve"> </w:t>
      </w:r>
      <w:r w:rsidR="00AE3E20">
        <w:t xml:space="preserve">plume buoyancy, momentum and </w:t>
      </w:r>
      <w:r w:rsidR="00CF3552">
        <w:t>thermal</w:t>
      </w:r>
      <w:r w:rsidR="00AE3E20">
        <w:t xml:space="preserve"> </w:t>
      </w:r>
      <w:r w:rsidR="00D86FFC">
        <w:t>properties</w:t>
      </w:r>
      <w:r w:rsidR="005446E0">
        <w:t xml:space="preserve">. </w:t>
      </w:r>
      <w:r w:rsidR="00910458">
        <w:t xml:space="preserve">The implementation also allows </w:t>
      </w:r>
      <w:r w:rsidR="00EC64B1">
        <w:t>potential internal ventilation from the building</w:t>
      </w:r>
      <w:r w:rsidR="00C637E5">
        <w:t xml:space="preserve"> to be taken</w:t>
      </w:r>
      <w:r w:rsidR="00EC64B1">
        <w:t xml:space="preserve"> into account. In this case</w:t>
      </w:r>
      <w:r w:rsidR="00F12E9C">
        <w:t xml:space="preserve">, the release source term is prediluted with the ventilation flow rate before </w:t>
      </w:r>
      <w:r w:rsidR="00C637E5">
        <w:t xml:space="preserve">entrainment </w:t>
      </w:r>
      <w:r w:rsidR="00F12E9C">
        <w:t xml:space="preserve">into the building wake. </w:t>
      </w:r>
      <w:r w:rsidR="00C637E5">
        <w:t>This means that</w:t>
      </w:r>
      <w:r w:rsidR="0064096F">
        <w:t xml:space="preserve"> thermal effects can be modelled more accurately, particularly for</w:t>
      </w:r>
      <w:r w:rsidR="00BE7D59">
        <w:t xml:space="preserve"> strongly buoyant releases. Since </w:t>
      </w:r>
      <w:r w:rsidR="00546F27">
        <w:t xml:space="preserve">building </w:t>
      </w:r>
      <w:r w:rsidR="00BE7D59">
        <w:t xml:space="preserve">ventilation rates are usually much lower than the </w:t>
      </w:r>
      <w:r w:rsidR="00885D85">
        <w:t>flow of the atmospheric boundary layer through the virtual source,</w:t>
      </w:r>
      <w:r w:rsidR="00546F27">
        <w:t xml:space="preserve"> </w:t>
      </w:r>
      <w:r w:rsidR="004F5244">
        <w:t xml:space="preserve">this effect only plays a role </w:t>
      </w:r>
      <w:r w:rsidR="00C637E5">
        <w:t>when</w:t>
      </w:r>
      <w:r w:rsidR="004F5244">
        <w:t xml:space="preserve"> high release</w:t>
      </w:r>
      <w:r w:rsidR="00C637E5">
        <w:t>-</w:t>
      </w:r>
      <w:r w:rsidR="00EA0F8E">
        <w:t xml:space="preserve"> </w:t>
      </w:r>
      <w:r w:rsidR="00C637E5">
        <w:t>and/or</w:t>
      </w:r>
      <w:r w:rsidR="00EA0F8E">
        <w:t xml:space="preserve"> ventilation</w:t>
      </w:r>
      <w:r w:rsidR="00C637E5">
        <w:t>-</w:t>
      </w:r>
      <w:r w:rsidR="00EA0F8E">
        <w:t xml:space="preserve"> rates </w:t>
      </w:r>
      <w:r w:rsidR="00C637E5">
        <w:t>are combined</w:t>
      </w:r>
      <w:r w:rsidR="00EA0F8E">
        <w:t xml:space="preserve"> with low wind velocities.</w:t>
      </w:r>
      <w:r w:rsidR="001815DF">
        <w:t xml:space="preserve"> The </w:t>
      </w:r>
      <w:r w:rsidR="004362ED">
        <w:t>downwind position of the virtual source should be located at the beginning of the flow separation zone</w:t>
      </w:r>
      <w:r w:rsidR="00C637E5">
        <w:t>,</w:t>
      </w:r>
      <w:r w:rsidR="004362ED">
        <w:t xml:space="preserve"> which is usually the end of the</w:t>
      </w:r>
      <w:r w:rsidR="0059592E">
        <w:t xml:space="preserve"> sharp</w:t>
      </w:r>
      <w:r w:rsidR="000D7525">
        <w:t>-</w:t>
      </w:r>
      <w:r w:rsidR="0059592E">
        <w:t>edged</w:t>
      </w:r>
      <w:r w:rsidR="004362ED">
        <w:t xml:space="preserve"> building</w:t>
      </w:r>
      <w:r w:rsidR="0059592E">
        <w:t xml:space="preserve">. For </w:t>
      </w:r>
      <w:r w:rsidR="00675B10">
        <w:t>cylindrical</w:t>
      </w:r>
      <w:r w:rsidR="00CC2134">
        <w:t>, or irregularly shaped</w:t>
      </w:r>
      <w:r w:rsidR="00675B10">
        <w:t xml:space="preserve"> buildings</w:t>
      </w:r>
      <w:r w:rsidR="00CC2134">
        <w:t>,</w:t>
      </w:r>
      <w:r w:rsidR="00675B10">
        <w:t xml:space="preserve"> the location of the largest cross section should be taken</w:t>
      </w:r>
      <w:r w:rsidR="00FC14F1">
        <w:t xml:space="preserve"> since the flow separation </w:t>
      </w:r>
      <w:r w:rsidR="00CC2134">
        <w:t>is most likely to</w:t>
      </w:r>
      <w:r w:rsidR="00FC14F1">
        <w:t xml:space="preserve"> start there. If rectangular buildings are not aligned with the flow, </w:t>
      </w:r>
      <w:r w:rsidR="00CC2134">
        <w:t xml:space="preserve">then </w:t>
      </w:r>
      <w:r w:rsidR="00FC14F1">
        <w:t xml:space="preserve">the cross section </w:t>
      </w:r>
      <w:r w:rsidR="008A2E28">
        <w:t xml:space="preserve">perpendicular to the flow should be taken as </w:t>
      </w:r>
      <w:r w:rsidR="00CC2134">
        <w:t xml:space="preserve">the </w:t>
      </w:r>
      <w:r w:rsidR="008A2E28">
        <w:t>reference cross section. When building</w:t>
      </w:r>
      <w:r w:rsidR="00CC2134">
        <w:t>s</w:t>
      </w:r>
      <w:r w:rsidR="008A2E28">
        <w:t xml:space="preserve"> </w:t>
      </w:r>
      <w:r w:rsidR="00164524">
        <w:t>are located close</w:t>
      </w:r>
      <w:r w:rsidR="00CC2134">
        <w:t xml:space="preserve"> together,</w:t>
      </w:r>
      <w:r w:rsidR="00164524">
        <w:t xml:space="preserve"> such that the building separation zones will reach the next building, the</w:t>
      </w:r>
      <w:r w:rsidR="002E739D">
        <w:t xml:space="preserve"> building</w:t>
      </w:r>
      <w:r w:rsidR="00CC2134">
        <w:t>s</w:t>
      </w:r>
      <w:r w:rsidR="002E739D">
        <w:t xml:space="preserve"> should be considered as one object</w:t>
      </w:r>
      <w:r w:rsidR="00CC2134">
        <w:t>,</w:t>
      </w:r>
      <w:r w:rsidR="002E739D">
        <w:t xml:space="preserve"> with a corresponding cross section</w:t>
      </w:r>
      <w:r w:rsidR="00166506">
        <w:t xml:space="preserve"> </w:t>
      </w:r>
      <w:r w:rsidR="00CC2134">
        <w:t xml:space="preserve">taken </w:t>
      </w:r>
      <w:r w:rsidR="00166506">
        <w:t>through all of them. For releases</w:t>
      </w:r>
      <w:r w:rsidR="00346E13">
        <w:t xml:space="preserve"> from windows or other flush mounted openings,</w:t>
      </w:r>
      <w:r w:rsidR="005D425D">
        <w:t xml:space="preserve"> the release </w:t>
      </w:r>
      <w:r w:rsidR="00CC2134">
        <w:t>is</w:t>
      </w:r>
      <w:r w:rsidR="005D425D">
        <w:t xml:space="preserve"> entrained along the building walls into the building wake</w:t>
      </w:r>
      <w:r w:rsidR="00CC2134">
        <w:t xml:space="preserve">, and so </w:t>
      </w:r>
      <w:r w:rsidR="005D425D">
        <w:t xml:space="preserve">the building wake model can </w:t>
      </w:r>
      <w:r w:rsidR="00CC2134">
        <w:t xml:space="preserve">also </w:t>
      </w:r>
      <w:r w:rsidR="005D425D">
        <w:t>be used</w:t>
      </w:r>
      <w:r w:rsidR="00CC2134">
        <w:t xml:space="preserve"> for these</w:t>
      </w:r>
      <w:r w:rsidR="005D425D">
        <w:t>.</w:t>
      </w:r>
      <w:r w:rsidR="00903BF2">
        <w:t xml:space="preserve"> </w:t>
      </w:r>
      <w:r w:rsidR="00FD350A">
        <w:t xml:space="preserve">For releases through pipes away from the building wake, the model is not appropriate and classical jet releases should be </w:t>
      </w:r>
      <w:r w:rsidR="00CC2134">
        <w:t>modelled</w:t>
      </w:r>
      <w:r w:rsidR="00FD350A">
        <w:t xml:space="preserve">. </w:t>
      </w:r>
      <w:r w:rsidR="00D751CB">
        <w:t xml:space="preserve">As an additional option, without further explanation here, the virtual source can also be </w:t>
      </w:r>
      <w:r w:rsidR="00CC2134">
        <w:t>implemented as a single source, without</w:t>
      </w:r>
      <w:r w:rsidR="00D32FB6">
        <w:t xml:space="preserve"> being entrained into the building wake. In th</w:t>
      </w:r>
      <w:r w:rsidR="00CC2134">
        <w:t>is</w:t>
      </w:r>
      <w:r w:rsidR="00D32FB6">
        <w:t xml:space="preserve"> case, the </w:t>
      </w:r>
      <w:r w:rsidR="00E81BE8">
        <w:t xml:space="preserve">virtual window defines the </w:t>
      </w:r>
      <w:r w:rsidR="00AE3833">
        <w:t>release area</w:t>
      </w:r>
      <w:r w:rsidR="00E81BE8">
        <w:t xml:space="preserve"> </w:t>
      </w:r>
      <w:r w:rsidR="00CC2134">
        <w:t>for</w:t>
      </w:r>
      <w:r w:rsidR="00E81BE8">
        <w:t xml:space="preserve"> the mass flow source term.</w:t>
      </w:r>
    </w:p>
    <w:p w14:paraId="677EBFF0" w14:textId="01A25BBE" w:rsidR="00600535" w:rsidRDefault="009D1535" w:rsidP="00600535">
      <w:pPr>
        <w:pStyle w:val="CETHeading1"/>
        <w:tabs>
          <w:tab w:val="clear" w:pos="360"/>
          <w:tab w:val="right" w:pos="7100"/>
        </w:tabs>
        <w:jc w:val="both"/>
        <w:rPr>
          <w:lang w:val="en-GB"/>
        </w:rPr>
      </w:pPr>
      <w:r>
        <w:rPr>
          <w:lang w:val="en-GB"/>
        </w:rPr>
        <w:t>Assessment of the building wake model</w:t>
      </w:r>
    </w:p>
    <w:p w14:paraId="25A87F1C" w14:textId="5C22FB28" w:rsidR="001877FD" w:rsidRDefault="001877FD" w:rsidP="001877FD">
      <w:pPr>
        <w:pStyle w:val="CETBodytext"/>
        <w:rPr>
          <w:lang w:val="en-GB"/>
        </w:rPr>
      </w:pPr>
      <w:r w:rsidRPr="3F5AE933">
        <w:rPr>
          <w:lang w:val="en-GB"/>
        </w:rPr>
        <w:t xml:space="preserve">The </w:t>
      </w:r>
      <w:r w:rsidR="007452CE" w:rsidRPr="3F5AE933">
        <w:rPr>
          <w:lang w:val="en-GB"/>
        </w:rPr>
        <w:t xml:space="preserve">building wake </w:t>
      </w:r>
      <w:r w:rsidRPr="3F5AE933">
        <w:rPr>
          <w:lang w:val="en-GB"/>
        </w:rPr>
        <w:t xml:space="preserve">dispersion model </w:t>
      </w:r>
      <w:r w:rsidR="007F7B27" w:rsidRPr="3F5AE933">
        <w:rPr>
          <w:lang w:val="en-GB"/>
        </w:rPr>
        <w:t>cannot resolve detai</w:t>
      </w:r>
      <w:r w:rsidR="00646AD6" w:rsidRPr="3F5AE933">
        <w:rPr>
          <w:lang w:val="en-GB"/>
        </w:rPr>
        <w:t>ls in the flowfield close to the obstacle itself</w:t>
      </w:r>
      <w:r w:rsidR="004012E6" w:rsidRPr="3F5AE933">
        <w:rPr>
          <w:lang w:val="en-GB"/>
        </w:rPr>
        <w:t xml:space="preserve">; </w:t>
      </w:r>
      <w:r w:rsidR="00E06A84" w:rsidRPr="3F5AE933">
        <w:rPr>
          <w:lang w:val="en-GB"/>
        </w:rPr>
        <w:t>meaningful results can be expected from a</w:t>
      </w:r>
      <w:r w:rsidR="00E62CE3" w:rsidRPr="3F5AE933">
        <w:rPr>
          <w:lang w:val="en-GB"/>
        </w:rPr>
        <w:t xml:space="preserve"> downwind</w:t>
      </w:r>
      <w:r w:rsidR="00E06A84" w:rsidRPr="3F5AE933">
        <w:rPr>
          <w:lang w:val="en-GB"/>
        </w:rPr>
        <w:t xml:space="preserve"> distance of </w:t>
      </w:r>
      <w:r w:rsidR="009F2B1F" w:rsidRPr="3F5AE933">
        <w:rPr>
          <w:lang w:val="en-GB"/>
        </w:rPr>
        <w:t>approximately 5</w:t>
      </w:r>
      <w:r w:rsidR="00AE24C0" w:rsidRPr="3F5AE933">
        <w:rPr>
          <w:lang w:val="en-GB"/>
        </w:rPr>
        <w:t>-10</w:t>
      </w:r>
      <w:r w:rsidR="00CC2134" w:rsidRPr="3F5AE933">
        <w:rPr>
          <w:lang w:val="en-GB"/>
        </w:rPr>
        <w:t xml:space="preserve"> times the characteristic length of the</w:t>
      </w:r>
      <w:r w:rsidR="00E62CE3" w:rsidRPr="3F5AE933">
        <w:rPr>
          <w:lang w:val="en-GB"/>
        </w:rPr>
        <w:t xml:space="preserve"> </w:t>
      </w:r>
      <w:r w:rsidR="00AE27E7" w:rsidRPr="3F5AE933">
        <w:rPr>
          <w:lang w:val="en-GB"/>
        </w:rPr>
        <w:t>obstacle</w:t>
      </w:r>
      <w:r w:rsidR="00E62CE3" w:rsidRPr="3F5AE933">
        <w:rPr>
          <w:lang w:val="en-GB"/>
        </w:rPr>
        <w:t xml:space="preserve"> </w:t>
      </w:r>
      <w:r w:rsidR="009F2B1F" w:rsidRPr="3F5AE933">
        <w:rPr>
          <w:lang w:val="en-GB"/>
        </w:rPr>
        <w:t>(</w:t>
      </w:r>
      <w:r w:rsidR="00EB1AD1" w:rsidRPr="3F5AE933">
        <w:rPr>
          <w:lang w:val="en-GB"/>
        </w:rPr>
        <w:t>usually</w:t>
      </w:r>
      <w:r w:rsidR="00CC2134" w:rsidRPr="3F5AE933">
        <w:rPr>
          <w:lang w:val="en-GB"/>
        </w:rPr>
        <w:t xml:space="preserve"> taken as the</w:t>
      </w:r>
      <w:r w:rsidR="00EB1AD1" w:rsidRPr="3F5AE933">
        <w:rPr>
          <w:lang w:val="en-GB"/>
        </w:rPr>
        <w:t xml:space="preserve"> </w:t>
      </w:r>
      <w:r w:rsidR="009F2B1F" w:rsidRPr="3F5AE933">
        <w:rPr>
          <w:lang w:val="en-GB"/>
        </w:rPr>
        <w:t>height</w:t>
      </w:r>
      <w:r w:rsidR="00B80D07" w:rsidRPr="3F5AE933">
        <w:rPr>
          <w:lang w:val="en-GB"/>
        </w:rPr>
        <w:t xml:space="preserve"> of the building</w:t>
      </w:r>
      <w:r w:rsidR="009F2B1F" w:rsidRPr="3F5AE933">
        <w:rPr>
          <w:lang w:val="en-GB"/>
        </w:rPr>
        <w:t>)</w:t>
      </w:r>
      <w:r w:rsidR="00E62CE3" w:rsidRPr="3F5AE933">
        <w:rPr>
          <w:lang w:val="en-GB"/>
        </w:rPr>
        <w:t>.</w:t>
      </w:r>
      <w:r w:rsidR="00B80D07" w:rsidRPr="3F5AE933">
        <w:rPr>
          <w:lang w:val="en-GB"/>
        </w:rPr>
        <w:t xml:space="preserve"> </w:t>
      </w:r>
      <w:r w:rsidR="000D37A7" w:rsidRPr="3F5AE933">
        <w:rPr>
          <w:lang w:val="en-GB"/>
        </w:rPr>
        <w:t>Therefore,</w:t>
      </w:r>
      <w:r w:rsidR="00652E7D" w:rsidRPr="3F5AE933">
        <w:rPr>
          <w:lang w:val="en-GB"/>
        </w:rPr>
        <w:t xml:space="preserve"> the region of interest </w:t>
      </w:r>
      <w:r w:rsidR="00443FF0" w:rsidRPr="3F5AE933">
        <w:rPr>
          <w:lang w:val="en-GB"/>
        </w:rPr>
        <w:t>must be larger than this</w:t>
      </w:r>
      <w:r w:rsidR="0006589B" w:rsidRPr="3F5AE933">
        <w:rPr>
          <w:lang w:val="en-GB"/>
        </w:rPr>
        <w:t xml:space="preserve"> distance</w:t>
      </w:r>
      <w:r w:rsidR="00443FF0" w:rsidRPr="3F5AE933">
        <w:rPr>
          <w:lang w:val="en-GB"/>
        </w:rPr>
        <w:t>.</w:t>
      </w:r>
      <w:r w:rsidR="0006589B" w:rsidRPr="3F5AE933">
        <w:rPr>
          <w:lang w:val="en-GB"/>
        </w:rPr>
        <w:t xml:space="preserve"> </w:t>
      </w:r>
      <w:r w:rsidR="00B80D07" w:rsidRPr="3F5AE933">
        <w:rPr>
          <w:lang w:val="en-GB"/>
        </w:rPr>
        <w:t xml:space="preserve">Detailed </w:t>
      </w:r>
      <w:r w:rsidR="0006589B" w:rsidRPr="3F5AE933">
        <w:rPr>
          <w:lang w:val="en-GB"/>
        </w:rPr>
        <w:t xml:space="preserve">datasets of </w:t>
      </w:r>
      <w:r w:rsidR="00B80D07" w:rsidRPr="3F5AE933">
        <w:rPr>
          <w:lang w:val="en-GB"/>
        </w:rPr>
        <w:t>single obstacle measurements</w:t>
      </w:r>
      <w:r w:rsidR="00CC2134" w:rsidRPr="3F5AE933">
        <w:rPr>
          <w:lang w:val="en-GB"/>
        </w:rPr>
        <w:t xml:space="preserve"> are generally limited to a few obstacle diameters and so</w:t>
      </w:r>
      <w:r w:rsidR="00B80D07" w:rsidRPr="3F5AE933">
        <w:rPr>
          <w:lang w:val="en-GB"/>
        </w:rPr>
        <w:t xml:space="preserve"> </w:t>
      </w:r>
      <w:r w:rsidR="007C7DD9" w:rsidRPr="3F5AE933">
        <w:rPr>
          <w:lang w:val="en-GB"/>
        </w:rPr>
        <w:t>do not</w:t>
      </w:r>
      <w:r w:rsidR="00CC2134" w:rsidRPr="3F5AE933">
        <w:rPr>
          <w:lang w:val="en-GB"/>
        </w:rPr>
        <w:t xml:space="preserve"> usually</w:t>
      </w:r>
      <w:r w:rsidR="007C7DD9" w:rsidRPr="3F5AE933">
        <w:rPr>
          <w:lang w:val="en-GB"/>
        </w:rPr>
        <w:t xml:space="preserve"> </w:t>
      </w:r>
      <w:r w:rsidR="0006589B" w:rsidRPr="3F5AE933">
        <w:rPr>
          <w:lang w:val="en-GB"/>
        </w:rPr>
        <w:t>cover this range</w:t>
      </w:r>
      <w:r w:rsidR="006A6D6C" w:rsidRPr="3F5AE933">
        <w:rPr>
          <w:lang w:val="en-GB"/>
        </w:rPr>
        <w:t>.</w:t>
      </w:r>
      <w:r w:rsidR="007C7DD9" w:rsidRPr="3F5AE933">
        <w:rPr>
          <w:lang w:val="en-GB"/>
        </w:rPr>
        <w:t xml:space="preserve"> </w:t>
      </w:r>
      <w:r w:rsidR="00B80D07" w:rsidRPr="3F5AE933">
        <w:rPr>
          <w:lang w:val="en-GB"/>
        </w:rPr>
        <w:t xml:space="preserve"> </w:t>
      </w:r>
      <w:r w:rsidR="00CC2134" w:rsidRPr="3F5AE933">
        <w:rPr>
          <w:lang w:val="en-GB"/>
        </w:rPr>
        <w:t>To address this</w:t>
      </w:r>
      <w:r w:rsidR="0027139C" w:rsidRPr="3F5AE933">
        <w:rPr>
          <w:lang w:val="en-GB"/>
        </w:rPr>
        <w:t>,</w:t>
      </w:r>
      <w:r w:rsidR="006A6D6C" w:rsidRPr="3F5AE933">
        <w:rPr>
          <w:lang w:val="en-GB"/>
        </w:rPr>
        <w:t xml:space="preserve"> a two</w:t>
      </w:r>
      <w:r w:rsidR="00CC2134" w:rsidRPr="3F5AE933">
        <w:rPr>
          <w:lang w:val="en-GB"/>
        </w:rPr>
        <w:t>-</w:t>
      </w:r>
      <w:r w:rsidR="006A6D6C" w:rsidRPr="3F5AE933">
        <w:rPr>
          <w:lang w:val="en-GB"/>
        </w:rPr>
        <w:t xml:space="preserve">step approach has been </w:t>
      </w:r>
      <w:r w:rsidR="000D37A7" w:rsidRPr="3F5AE933">
        <w:rPr>
          <w:lang w:val="en-GB"/>
        </w:rPr>
        <w:t>taken</w:t>
      </w:r>
      <w:r w:rsidR="00CC2134" w:rsidRPr="3F5AE933">
        <w:rPr>
          <w:lang w:val="en-GB"/>
        </w:rPr>
        <w:t>:</w:t>
      </w:r>
      <w:r w:rsidR="006A6D6C" w:rsidRPr="3F5AE933">
        <w:rPr>
          <w:lang w:val="en-GB"/>
        </w:rPr>
        <w:t xml:space="preserve"> </w:t>
      </w:r>
      <w:r w:rsidR="00CC2134" w:rsidRPr="3F5AE933">
        <w:rPr>
          <w:lang w:val="en-GB"/>
        </w:rPr>
        <w:t>first,</w:t>
      </w:r>
      <w:r w:rsidR="006A6D6C" w:rsidRPr="3F5AE933">
        <w:rPr>
          <w:lang w:val="en-GB"/>
        </w:rPr>
        <w:t xml:space="preserve"> a detailed experimental dataset is compared with </w:t>
      </w:r>
      <w:r w:rsidR="000D37A7" w:rsidRPr="3F5AE933">
        <w:rPr>
          <w:lang w:val="en-GB"/>
        </w:rPr>
        <w:t xml:space="preserve">a CFD solution from </w:t>
      </w:r>
      <w:r w:rsidR="00CC2134" w:rsidRPr="3F5AE933">
        <w:rPr>
          <w:lang w:val="en-GB"/>
        </w:rPr>
        <w:t xml:space="preserve">Gexcon’s </w:t>
      </w:r>
      <w:r w:rsidR="008B6819" w:rsidRPr="3F5AE933">
        <w:rPr>
          <w:lang w:val="en-GB"/>
        </w:rPr>
        <w:t>F</w:t>
      </w:r>
      <w:r w:rsidR="002F733D" w:rsidRPr="3F5AE933">
        <w:rPr>
          <w:lang w:val="en-GB"/>
        </w:rPr>
        <w:t>LACS</w:t>
      </w:r>
      <w:r w:rsidR="00CC2134" w:rsidRPr="3F5AE933">
        <w:rPr>
          <w:lang w:val="en-GB"/>
        </w:rPr>
        <w:t xml:space="preserve"> CFD software,</w:t>
      </w:r>
      <w:r w:rsidR="0027139C" w:rsidRPr="3F5AE933">
        <w:rPr>
          <w:lang w:val="en-GB"/>
        </w:rPr>
        <w:t xml:space="preserve"> to </w:t>
      </w:r>
      <w:r w:rsidR="00CC2134" w:rsidRPr="3F5AE933">
        <w:rPr>
          <w:lang w:val="en-GB"/>
        </w:rPr>
        <w:t>ensure that</w:t>
      </w:r>
      <w:r w:rsidR="0027139C" w:rsidRPr="3F5AE933">
        <w:rPr>
          <w:lang w:val="en-GB"/>
        </w:rPr>
        <w:t xml:space="preserve"> the CFD solution reproduces the</w:t>
      </w:r>
      <w:r w:rsidR="008E280D" w:rsidRPr="3F5AE933">
        <w:rPr>
          <w:lang w:val="en-GB"/>
        </w:rPr>
        <w:t xml:space="preserve"> experimental data set</w:t>
      </w:r>
      <w:r w:rsidR="00CC2134" w:rsidRPr="3F5AE933">
        <w:rPr>
          <w:lang w:val="en-GB"/>
        </w:rPr>
        <w:t xml:space="preserve"> reasonably well; second,</w:t>
      </w:r>
      <w:r w:rsidR="000D37A7" w:rsidRPr="3F5AE933">
        <w:rPr>
          <w:lang w:val="en-GB"/>
        </w:rPr>
        <w:t xml:space="preserve"> the</w:t>
      </w:r>
      <w:r w:rsidR="00CC2134" w:rsidRPr="3F5AE933">
        <w:rPr>
          <w:lang w:val="en-GB"/>
        </w:rPr>
        <w:t xml:space="preserve"> CFD</w:t>
      </w:r>
      <w:r w:rsidR="000D37A7" w:rsidRPr="3F5AE933">
        <w:rPr>
          <w:lang w:val="en-GB"/>
        </w:rPr>
        <w:t xml:space="preserve"> </w:t>
      </w:r>
      <w:r w:rsidR="00FE4060" w:rsidRPr="3F5AE933">
        <w:rPr>
          <w:lang w:val="en-GB"/>
        </w:rPr>
        <w:t xml:space="preserve">solution is extrapolated </w:t>
      </w:r>
      <w:r w:rsidR="007E6AC2" w:rsidRPr="3F5AE933">
        <w:rPr>
          <w:lang w:val="en-GB"/>
        </w:rPr>
        <w:t xml:space="preserve">to </w:t>
      </w:r>
      <w:r w:rsidR="004F10A4" w:rsidRPr="3F5AE933">
        <w:rPr>
          <w:lang w:val="en-GB"/>
        </w:rPr>
        <w:t>a full</w:t>
      </w:r>
      <w:r w:rsidR="004B2D46" w:rsidRPr="3F5AE933">
        <w:rPr>
          <w:lang w:val="en-GB"/>
        </w:rPr>
        <w:t xml:space="preserve"> </w:t>
      </w:r>
      <w:r w:rsidR="004F10A4" w:rsidRPr="3F5AE933">
        <w:rPr>
          <w:lang w:val="en-GB"/>
        </w:rPr>
        <w:t>scale scenario</w:t>
      </w:r>
      <w:r w:rsidR="004B2D46" w:rsidRPr="3F5AE933">
        <w:rPr>
          <w:lang w:val="en-GB"/>
        </w:rPr>
        <w:t xml:space="preserve"> </w:t>
      </w:r>
      <w:r w:rsidR="00CA3BDA" w:rsidRPr="3F5AE933">
        <w:rPr>
          <w:lang w:val="en-GB"/>
        </w:rPr>
        <w:t>with</w:t>
      </w:r>
      <w:r w:rsidR="004B2D46" w:rsidRPr="3F5AE933">
        <w:rPr>
          <w:lang w:val="en-GB"/>
        </w:rPr>
        <w:t xml:space="preserve"> </w:t>
      </w:r>
      <w:r w:rsidR="00CC2134" w:rsidRPr="3F5AE933">
        <w:rPr>
          <w:lang w:val="en-GB"/>
        </w:rPr>
        <w:t xml:space="preserve">a downwind range that is </w:t>
      </w:r>
      <w:r w:rsidR="004B2D46" w:rsidRPr="3F5AE933">
        <w:rPr>
          <w:lang w:val="en-GB"/>
        </w:rPr>
        <w:t xml:space="preserve">significantly </w:t>
      </w:r>
      <w:r w:rsidR="00CC2134" w:rsidRPr="3F5AE933">
        <w:rPr>
          <w:lang w:val="en-GB"/>
        </w:rPr>
        <w:t>greater than in the original dataset</w:t>
      </w:r>
      <w:r w:rsidR="004F10A4" w:rsidRPr="3F5AE933">
        <w:rPr>
          <w:lang w:val="en-GB"/>
        </w:rPr>
        <w:t xml:space="preserve">. </w:t>
      </w:r>
      <w:r w:rsidR="00CC2134" w:rsidRPr="3F5AE933">
        <w:rPr>
          <w:lang w:val="en-GB"/>
        </w:rPr>
        <w:t>To demonstrate</w:t>
      </w:r>
      <w:r w:rsidR="00057285" w:rsidRPr="3F5AE933">
        <w:rPr>
          <w:lang w:val="en-GB"/>
        </w:rPr>
        <w:t>, a geometrically</w:t>
      </w:r>
      <w:r w:rsidR="00F65CA6" w:rsidRPr="3F5AE933">
        <w:rPr>
          <w:lang w:val="en-GB"/>
        </w:rPr>
        <w:t xml:space="preserve"> more</w:t>
      </w:r>
      <w:r w:rsidR="00057285" w:rsidRPr="3F5AE933">
        <w:rPr>
          <w:lang w:val="en-GB"/>
        </w:rPr>
        <w:t xml:space="preserve"> </w:t>
      </w:r>
      <w:r w:rsidR="00CC2134" w:rsidRPr="3F5AE933">
        <w:rPr>
          <w:lang w:val="en-GB"/>
        </w:rPr>
        <w:t>complex</w:t>
      </w:r>
      <w:r w:rsidR="00057285" w:rsidRPr="3F5AE933">
        <w:rPr>
          <w:lang w:val="en-GB"/>
        </w:rPr>
        <w:t xml:space="preserve"> example of a pool release at </w:t>
      </w:r>
      <w:r w:rsidR="00AE24C0" w:rsidRPr="3F5AE933">
        <w:rPr>
          <w:lang w:val="en-GB"/>
        </w:rPr>
        <w:t>height</w:t>
      </w:r>
      <w:r w:rsidR="00057285" w:rsidRPr="3F5AE933">
        <w:rPr>
          <w:lang w:val="en-GB"/>
        </w:rPr>
        <w:t xml:space="preserve"> from a tank rupture scenario has been investigated and compared with</w:t>
      </w:r>
      <w:r w:rsidR="00C96F68" w:rsidRPr="3F5AE933">
        <w:rPr>
          <w:lang w:val="en-GB"/>
        </w:rPr>
        <w:t xml:space="preserve"> 3D data obtained </w:t>
      </w:r>
      <w:r w:rsidR="009979A4" w:rsidRPr="3F5AE933">
        <w:rPr>
          <w:lang w:val="en-GB"/>
        </w:rPr>
        <w:t>from</w:t>
      </w:r>
      <w:r w:rsidR="00057285" w:rsidRPr="3F5AE933">
        <w:rPr>
          <w:lang w:val="en-GB"/>
        </w:rPr>
        <w:t xml:space="preserve"> CFD</w:t>
      </w:r>
      <w:r w:rsidR="00C96F68" w:rsidRPr="3F5AE933">
        <w:rPr>
          <w:lang w:val="en-GB"/>
        </w:rPr>
        <w:t>.</w:t>
      </w:r>
    </w:p>
    <w:p w14:paraId="6D2AEB2E" w14:textId="77777777" w:rsidR="00C96F68" w:rsidRPr="001877FD" w:rsidRDefault="00C96F68" w:rsidP="001877FD">
      <w:pPr>
        <w:pStyle w:val="CETBodytext"/>
        <w:rPr>
          <w:lang w:val="en-GB"/>
        </w:rPr>
      </w:pPr>
    </w:p>
    <w:p w14:paraId="04963A06" w14:textId="42B3DE46" w:rsidR="00600535" w:rsidRDefault="00EE02E5" w:rsidP="00FA5F5F">
      <w:pPr>
        <w:pStyle w:val="CETheadingx"/>
      </w:pPr>
      <w:r>
        <w:t xml:space="preserve">CEDVAL dataset: </w:t>
      </w:r>
      <w:r w:rsidR="00540BE1">
        <w:t>Simulation results for the d</w:t>
      </w:r>
      <w:r>
        <w:t>ispersion around a s</w:t>
      </w:r>
      <w:r w:rsidR="00AE3833">
        <w:t xml:space="preserve">ingle obstacle </w:t>
      </w:r>
      <w:r w:rsidR="000D1B59">
        <w:t>by CFD</w:t>
      </w:r>
    </w:p>
    <w:p w14:paraId="1A126B39" w14:textId="21899B22" w:rsidR="001877FD" w:rsidRDefault="006C6AF6" w:rsidP="001877FD">
      <w:pPr>
        <w:pStyle w:val="CETBodytext"/>
      </w:pPr>
      <w:r>
        <w:t xml:space="preserve">A very detailed </w:t>
      </w:r>
      <w:r w:rsidR="002F733D">
        <w:t xml:space="preserve">dataset </w:t>
      </w:r>
      <w:r w:rsidR="005A0665">
        <w:t xml:space="preserve">of dispersion around a single obstacle building in a wind tunnel </w:t>
      </w:r>
      <w:r w:rsidR="00DC4B80">
        <w:t>is included in the CEDVAL database provided by the University of Hamburg (CEDVAL</w:t>
      </w:r>
      <w:r w:rsidR="000630D7">
        <w:t>, 2024</w:t>
      </w:r>
      <w:r w:rsidR="00DC4B80">
        <w:t>)</w:t>
      </w:r>
      <w:r w:rsidR="000630D7">
        <w:t>. It includes</w:t>
      </w:r>
      <w:r w:rsidR="00B966D8">
        <w:t xml:space="preserve"> a complete measurement set </w:t>
      </w:r>
      <w:r w:rsidR="00F3422C">
        <w:t>of the</w:t>
      </w:r>
      <w:r w:rsidR="00892A18">
        <w:t xml:space="preserve"> velocity field</w:t>
      </w:r>
      <w:r w:rsidR="00F51034">
        <w:t xml:space="preserve"> </w:t>
      </w:r>
      <w:r w:rsidR="000B5E8D">
        <w:t xml:space="preserve">and </w:t>
      </w:r>
      <w:r w:rsidR="00F51034">
        <w:t>also the</w:t>
      </w:r>
      <w:r w:rsidR="00F3422C">
        <w:t xml:space="preserve"> dispersion, mainly in the wake region, including</w:t>
      </w:r>
      <w:r w:rsidR="000630D7">
        <w:t xml:space="preserve"> </w:t>
      </w:r>
      <w:r w:rsidR="00B966D8">
        <w:t>several hundred sensor datapoints</w:t>
      </w:r>
      <w:r w:rsidR="00B61E96">
        <w:t xml:space="preserve">. A tracer gas </w:t>
      </w:r>
      <w:r w:rsidR="000B5E8D">
        <w:t xml:space="preserve">was </w:t>
      </w:r>
      <w:r w:rsidR="00B61E96">
        <w:t xml:space="preserve">released into the wake of </w:t>
      </w:r>
      <w:r w:rsidR="000B5E8D">
        <w:t>a</w:t>
      </w:r>
      <w:r w:rsidR="00B61E96">
        <w:t xml:space="preserve"> building with </w:t>
      </w:r>
      <w:r w:rsidR="00864223">
        <w:t xml:space="preserve">height </w:t>
      </w:r>
      <w:r w:rsidR="00864223" w:rsidRPr="00864223">
        <w:rPr>
          <w:i/>
          <w:iCs/>
        </w:rPr>
        <w:t>H</w:t>
      </w:r>
      <w:r w:rsidR="00864223">
        <w:t xml:space="preserve">, width </w:t>
      </w:r>
      <w:r w:rsidR="00864223" w:rsidRPr="00864223">
        <w:rPr>
          <w:i/>
          <w:iCs/>
        </w:rPr>
        <w:t>1.2</w:t>
      </w:r>
      <w:r w:rsidR="000B5E8D">
        <w:rPr>
          <w:i/>
          <w:iCs/>
        </w:rPr>
        <w:t xml:space="preserve"> </w:t>
      </w:r>
      <w:r w:rsidR="00864223" w:rsidRPr="00864223">
        <w:rPr>
          <w:i/>
          <w:iCs/>
        </w:rPr>
        <w:t>H</w:t>
      </w:r>
      <w:r w:rsidR="000B5E8D">
        <w:rPr>
          <w:i/>
          <w:iCs/>
        </w:rPr>
        <w:t>,</w:t>
      </w:r>
      <w:r w:rsidR="00864223">
        <w:t xml:space="preserve"> and length </w:t>
      </w:r>
      <w:r w:rsidR="00864223" w:rsidRPr="00864223">
        <w:rPr>
          <w:i/>
          <w:iCs/>
        </w:rPr>
        <w:t>0.8</w:t>
      </w:r>
      <w:r w:rsidR="000B5E8D">
        <w:rPr>
          <w:i/>
          <w:iCs/>
        </w:rPr>
        <w:t xml:space="preserve"> </w:t>
      </w:r>
      <w:r w:rsidR="00864223" w:rsidRPr="00864223">
        <w:rPr>
          <w:i/>
          <w:iCs/>
        </w:rPr>
        <w:t>H</w:t>
      </w:r>
      <w:r w:rsidR="000A1073">
        <w:t xml:space="preserve">. </w:t>
      </w:r>
      <w:r w:rsidR="00B36B24">
        <w:t xml:space="preserve">The release of the tracer gas </w:t>
      </w:r>
      <w:r w:rsidR="00EC17A2">
        <w:t xml:space="preserve">was through 4 openings </w:t>
      </w:r>
      <w:r w:rsidR="00B36B24">
        <w:t>close to the ground at the leeside of the building</w:t>
      </w:r>
      <w:r w:rsidR="00315F17">
        <w:t xml:space="preserve">. The </w:t>
      </w:r>
      <w:r w:rsidR="00F51034">
        <w:t xml:space="preserve">dispersion </w:t>
      </w:r>
      <w:r w:rsidR="00315F17">
        <w:t xml:space="preserve">measurement domain </w:t>
      </w:r>
      <w:r w:rsidR="00D24AFC">
        <w:t xml:space="preserve">stretched </w:t>
      </w:r>
      <w:r w:rsidR="00315F17">
        <w:t xml:space="preserve">from the frontside of the domain </w:t>
      </w:r>
      <w:r w:rsidR="00D24AFC">
        <w:t xml:space="preserve">to </w:t>
      </w:r>
      <w:r w:rsidR="0044383F" w:rsidRPr="0044383F">
        <w:rPr>
          <w:i/>
          <w:iCs/>
        </w:rPr>
        <w:t>3.</w:t>
      </w:r>
      <w:r w:rsidR="003A518B">
        <w:rPr>
          <w:i/>
          <w:iCs/>
        </w:rPr>
        <w:t>5</w:t>
      </w:r>
      <w:r w:rsidR="00D24AFC">
        <w:rPr>
          <w:i/>
          <w:iCs/>
        </w:rPr>
        <w:t xml:space="preserve"> </w:t>
      </w:r>
      <w:r w:rsidR="0044383F" w:rsidRPr="0044383F">
        <w:rPr>
          <w:i/>
          <w:iCs/>
        </w:rPr>
        <w:t>H</w:t>
      </w:r>
      <w:r w:rsidR="0044383F">
        <w:t xml:space="preserve"> downstream and </w:t>
      </w:r>
      <w:r w:rsidR="0044383F" w:rsidRPr="0044383F">
        <w:rPr>
          <w:i/>
          <w:iCs/>
        </w:rPr>
        <w:t xml:space="preserve">+/- </w:t>
      </w:r>
      <w:r w:rsidR="005867CA">
        <w:rPr>
          <w:i/>
          <w:iCs/>
        </w:rPr>
        <w:t>2</w:t>
      </w:r>
      <w:r w:rsidR="00D24AFC">
        <w:rPr>
          <w:i/>
          <w:iCs/>
        </w:rPr>
        <w:t xml:space="preserve"> </w:t>
      </w:r>
      <w:r w:rsidR="0044383F" w:rsidRPr="0044383F">
        <w:rPr>
          <w:i/>
          <w:iCs/>
        </w:rPr>
        <w:t>H</w:t>
      </w:r>
      <w:r w:rsidR="0044383F">
        <w:t xml:space="preserve"> in </w:t>
      </w:r>
      <w:r w:rsidR="00D24AFC">
        <w:t xml:space="preserve">a </w:t>
      </w:r>
      <w:r w:rsidR="0044383F">
        <w:t>lateral direction</w:t>
      </w:r>
      <w:r w:rsidR="003A518B">
        <w:t xml:space="preserve"> and </w:t>
      </w:r>
      <w:r w:rsidR="00D24AFC">
        <w:t xml:space="preserve">reached up to </w:t>
      </w:r>
      <w:r w:rsidR="003A518B">
        <w:t xml:space="preserve">a height of </w:t>
      </w:r>
      <w:r w:rsidR="003A518B" w:rsidRPr="003A518B">
        <w:rPr>
          <w:i/>
          <w:iCs/>
        </w:rPr>
        <w:t>2</w:t>
      </w:r>
      <w:r w:rsidR="00D24AFC">
        <w:rPr>
          <w:i/>
          <w:iCs/>
        </w:rPr>
        <w:t xml:space="preserve"> </w:t>
      </w:r>
      <w:r w:rsidR="003A518B" w:rsidRPr="003A518B">
        <w:rPr>
          <w:i/>
          <w:iCs/>
        </w:rPr>
        <w:t>H</w:t>
      </w:r>
      <w:r w:rsidR="003A518B">
        <w:t>.</w:t>
      </w:r>
      <w:r w:rsidR="00A77287">
        <w:t xml:space="preserve"> </w:t>
      </w:r>
      <w:r w:rsidR="00AC7E3E">
        <w:t xml:space="preserve">For the present investigation, </w:t>
      </w:r>
      <w:r w:rsidR="003846CE">
        <w:t>testcase</w:t>
      </w:r>
      <w:r w:rsidR="00AC7E3E">
        <w:t xml:space="preserve"> A1-5 was </w:t>
      </w:r>
      <w:r w:rsidR="006A4625">
        <w:t>selected</w:t>
      </w:r>
      <w:r w:rsidR="00A11EF4">
        <w:t>. The wind tunnel model (</w:t>
      </w:r>
      <w:r w:rsidR="00A11EF4" w:rsidRPr="00A11EF4">
        <w:rPr>
          <w:i/>
          <w:iCs/>
        </w:rPr>
        <w:t>H</w:t>
      </w:r>
      <w:r w:rsidR="00D24AFC">
        <w:rPr>
          <w:i/>
          <w:iCs/>
        </w:rPr>
        <w:t xml:space="preserve"> </w:t>
      </w:r>
      <w:r w:rsidR="00A11EF4" w:rsidRPr="00A11EF4">
        <w:rPr>
          <w:i/>
          <w:iCs/>
        </w:rPr>
        <w:t>=</w:t>
      </w:r>
      <w:r w:rsidR="00D24AFC">
        <w:rPr>
          <w:i/>
          <w:iCs/>
        </w:rPr>
        <w:t xml:space="preserve"> </w:t>
      </w:r>
      <w:r w:rsidR="00A11EF4" w:rsidRPr="00A11EF4">
        <w:rPr>
          <w:i/>
          <w:iCs/>
        </w:rPr>
        <w:t>125</w:t>
      </w:r>
      <w:r w:rsidR="00D24AFC">
        <w:rPr>
          <w:i/>
          <w:iCs/>
        </w:rPr>
        <w:t xml:space="preserve"> </w:t>
      </w:r>
      <w:r w:rsidR="00A11EF4" w:rsidRPr="00A11EF4">
        <w:rPr>
          <w:i/>
          <w:iCs/>
        </w:rPr>
        <w:t>mm</w:t>
      </w:r>
      <w:r w:rsidR="00A11EF4">
        <w:t>)</w:t>
      </w:r>
      <w:r w:rsidR="00F83884">
        <w:t xml:space="preserve"> </w:t>
      </w:r>
      <w:r w:rsidR="00A11EF4">
        <w:t>was scaled to full scale</w:t>
      </w:r>
      <w:r w:rsidR="00F5658B">
        <w:t xml:space="preserve"> </w:t>
      </w:r>
      <w:r w:rsidR="00D24AFC">
        <w:t xml:space="preserve">using </w:t>
      </w:r>
      <w:r w:rsidR="00F5658B">
        <w:t>a</w:t>
      </w:r>
      <w:r w:rsidR="006A4625">
        <w:t xml:space="preserve"> scaling</w:t>
      </w:r>
      <w:r w:rsidR="00F5658B">
        <w:t xml:space="preserve"> factor of 20 (</w:t>
      </w:r>
      <w:r w:rsidR="00F5658B" w:rsidRPr="00F5658B">
        <w:rPr>
          <w:i/>
          <w:iCs/>
        </w:rPr>
        <w:t>H</w:t>
      </w:r>
      <w:r w:rsidR="00D24AFC">
        <w:rPr>
          <w:i/>
          <w:iCs/>
        </w:rPr>
        <w:t xml:space="preserve"> </w:t>
      </w:r>
      <w:r w:rsidR="00F5658B" w:rsidRPr="00F5658B">
        <w:rPr>
          <w:i/>
          <w:iCs/>
        </w:rPr>
        <w:t>=</w:t>
      </w:r>
      <w:r w:rsidR="00D24AFC">
        <w:rPr>
          <w:i/>
          <w:iCs/>
        </w:rPr>
        <w:t xml:space="preserve"> </w:t>
      </w:r>
      <w:r w:rsidR="00F5658B" w:rsidRPr="00F5658B">
        <w:rPr>
          <w:i/>
          <w:iCs/>
        </w:rPr>
        <w:t>2.5</w:t>
      </w:r>
      <w:r w:rsidR="00D24AFC">
        <w:rPr>
          <w:i/>
          <w:iCs/>
        </w:rPr>
        <w:t xml:space="preserve"> </w:t>
      </w:r>
      <w:r w:rsidR="00F5658B" w:rsidRPr="00F5658B">
        <w:rPr>
          <w:i/>
          <w:iCs/>
        </w:rPr>
        <w:t>m</w:t>
      </w:r>
      <w:r w:rsidR="00F5658B">
        <w:t>)</w:t>
      </w:r>
      <w:r w:rsidR="00D24AFC">
        <w:t>,</w:t>
      </w:r>
      <w:r w:rsidR="00F5658B">
        <w:t xml:space="preserve"> </w:t>
      </w:r>
      <w:r w:rsidR="00D24AFC">
        <w:t xml:space="preserve">so </w:t>
      </w:r>
      <w:r w:rsidR="00F5658B">
        <w:t xml:space="preserve">that the </w:t>
      </w:r>
      <w:r w:rsidR="006A4625">
        <w:t>building dimensions correspond</w:t>
      </w:r>
      <w:r w:rsidR="00D24AFC">
        <w:t>ed</w:t>
      </w:r>
      <w:r w:rsidR="006A4625">
        <w:t xml:space="preserve"> </w:t>
      </w:r>
      <w:r w:rsidR="002B7C2E">
        <w:t xml:space="preserve">approximately to </w:t>
      </w:r>
      <w:r w:rsidR="00D24AFC">
        <w:t xml:space="preserve">those of </w:t>
      </w:r>
      <w:r w:rsidR="002B7C2E">
        <w:t>a small container</w:t>
      </w:r>
      <w:r w:rsidR="00D24AFC">
        <w:t>, such as is</w:t>
      </w:r>
      <w:r w:rsidR="002B7C2E">
        <w:t xml:space="preserve"> commonly used</w:t>
      </w:r>
      <w:r w:rsidR="002D7917">
        <w:t xml:space="preserve"> today</w:t>
      </w:r>
      <w:r w:rsidR="002B7C2E">
        <w:t xml:space="preserve"> for</w:t>
      </w:r>
      <w:r w:rsidR="00764FE1">
        <w:t xml:space="preserve"> battery storage </w:t>
      </w:r>
      <w:r w:rsidR="00D24AFC">
        <w:t>or</w:t>
      </w:r>
      <w:r w:rsidR="00764FE1">
        <w:t xml:space="preserve"> for hydrogen refilling equipment.</w:t>
      </w:r>
      <w:r w:rsidR="00540BE1">
        <w:t xml:space="preserve"> The wind</w:t>
      </w:r>
      <w:r w:rsidR="004A7926">
        <w:t xml:space="preserve"> conditions a</w:t>
      </w:r>
      <w:r w:rsidR="00494DBA">
        <w:t>nd</w:t>
      </w:r>
      <w:r w:rsidR="004A7926">
        <w:t xml:space="preserve"> </w:t>
      </w:r>
      <w:r w:rsidR="00494DBA">
        <w:t xml:space="preserve">the </w:t>
      </w:r>
      <w:r w:rsidR="004A7926">
        <w:t>release source term were also scaled according to standard scaling rules.</w:t>
      </w:r>
      <w:r w:rsidR="00D43097">
        <w:t xml:space="preserve"> The wind speed </w:t>
      </w:r>
      <w:r w:rsidR="00D24AFC">
        <w:t>was</w:t>
      </w:r>
      <w:r w:rsidR="00D43097">
        <w:t xml:space="preserve"> 17</w:t>
      </w:r>
      <w:r w:rsidR="00A67DE5">
        <w:t>.17</w:t>
      </w:r>
      <w:r w:rsidR="00D24AFC">
        <w:t xml:space="preserve"> </w:t>
      </w:r>
      <w:r w:rsidR="00A67DE5">
        <w:t>m/s at a height of 2.16</w:t>
      </w:r>
      <w:r w:rsidR="00D24AFC">
        <w:t xml:space="preserve"> </w:t>
      </w:r>
      <w:r w:rsidR="00A67DE5">
        <w:t>m</w:t>
      </w:r>
      <w:r w:rsidR="00D24AFC">
        <w:t>,</w:t>
      </w:r>
      <w:r w:rsidR="006C5408">
        <w:t xml:space="preserve"> with a</w:t>
      </w:r>
      <w:r w:rsidR="002E55ED">
        <w:t xml:space="preserve"> surface roughness length</w:t>
      </w:r>
      <w:r w:rsidR="00A70447">
        <w:t xml:space="preserve"> of</w:t>
      </w:r>
      <w:r w:rsidR="006C5408">
        <w:t xml:space="preserve"> 0.014</w:t>
      </w:r>
      <w:r w:rsidR="00D24AFC">
        <w:t xml:space="preserve"> </w:t>
      </w:r>
      <w:r w:rsidR="006C5408">
        <w:t>m</w:t>
      </w:r>
      <w:r w:rsidR="00D24AFC">
        <w:t>,</w:t>
      </w:r>
      <w:r w:rsidR="006C5408">
        <w:t xml:space="preserve"> </w:t>
      </w:r>
      <w:r w:rsidR="00D24AFC">
        <w:t xml:space="preserve">and </w:t>
      </w:r>
      <w:r w:rsidR="00A67DE5">
        <w:t xml:space="preserve">the release source term </w:t>
      </w:r>
      <w:r w:rsidR="00D24AFC">
        <w:t>was</w:t>
      </w:r>
      <w:r w:rsidR="00A67DE5">
        <w:t xml:space="preserve"> </w:t>
      </w:r>
      <w:r w:rsidR="002E55ED">
        <w:t>0.0192 kg</w:t>
      </w:r>
      <w:r w:rsidR="006A6008">
        <w:t>/s</w:t>
      </w:r>
      <w:r w:rsidR="006C5408">
        <w:t>.</w:t>
      </w:r>
    </w:p>
    <w:p w14:paraId="0453C4B4" w14:textId="78D1D3D8" w:rsidR="00A77287" w:rsidRDefault="00540BE1" w:rsidP="001877FD">
      <w:pPr>
        <w:pStyle w:val="CETBodytext"/>
      </w:pPr>
      <w:r>
        <w:t>As an initial step</w:t>
      </w:r>
      <w:r w:rsidR="00D24AFC">
        <w:t>,</w:t>
      </w:r>
      <w:r>
        <w:t xml:space="preserve"> simulations were performed </w:t>
      </w:r>
      <w:r w:rsidR="00494DBA">
        <w:t>with FLACS to get a</w:t>
      </w:r>
      <w:r w:rsidR="00822398">
        <w:t>n</w:t>
      </w:r>
      <w:r w:rsidR="00C6074D">
        <w:t xml:space="preserve"> insight into</w:t>
      </w:r>
      <w:r w:rsidR="00494DBA">
        <w:t xml:space="preserve"> the flow topology around the </w:t>
      </w:r>
      <w:r w:rsidR="003C3B00">
        <w:t>obstacle and to compare with the experimental results.</w:t>
      </w:r>
      <w:r w:rsidR="00B374A0">
        <w:t xml:space="preserve"> The computational grid contained 1.4 </w:t>
      </w:r>
      <w:r w:rsidR="00D73545">
        <w:t>million</w:t>
      </w:r>
      <w:r w:rsidR="00B374A0">
        <w:t xml:space="preserve"> cells</w:t>
      </w:r>
      <w:r w:rsidR="005C13C1">
        <w:t xml:space="preserve">; the resolution of the </w:t>
      </w:r>
      <w:r w:rsidR="00B319FF">
        <w:t>obstacle</w:t>
      </w:r>
      <w:r w:rsidR="005C13C1">
        <w:t xml:space="preserve"> was 24</w:t>
      </w:r>
      <w:r w:rsidR="00D24AFC">
        <w:t xml:space="preserve"> </w:t>
      </w:r>
      <w:r w:rsidR="005C13C1">
        <w:t>x</w:t>
      </w:r>
      <w:r w:rsidR="00D24AFC">
        <w:t xml:space="preserve"> </w:t>
      </w:r>
      <w:r w:rsidR="005C13C1">
        <w:t>26</w:t>
      </w:r>
      <w:r w:rsidR="00D24AFC">
        <w:t xml:space="preserve"> </w:t>
      </w:r>
      <w:r w:rsidR="005C13C1">
        <w:t>x</w:t>
      </w:r>
      <w:r w:rsidR="00D24AFC">
        <w:t xml:space="preserve"> </w:t>
      </w:r>
      <w:r w:rsidR="005C13C1">
        <w:t>36 cells</w:t>
      </w:r>
      <w:r w:rsidR="00B73D78">
        <w:t xml:space="preserve"> </w:t>
      </w:r>
      <w:r w:rsidR="00437699">
        <w:t xml:space="preserve">and the domain extended </w:t>
      </w:r>
      <w:r w:rsidR="008D204A">
        <w:t xml:space="preserve">in </w:t>
      </w:r>
      <w:r w:rsidR="00D24AFC">
        <w:t xml:space="preserve">the </w:t>
      </w:r>
      <w:r w:rsidR="008D204A">
        <w:t xml:space="preserve">flow direction </w:t>
      </w:r>
      <w:r w:rsidR="00437699">
        <w:t xml:space="preserve">from </w:t>
      </w:r>
      <w:r w:rsidR="00B15E21">
        <w:t>-</w:t>
      </w:r>
      <w:r w:rsidR="008D204A">
        <w:t>1</w:t>
      </w:r>
      <w:r w:rsidR="00B15E21">
        <w:t>0 to 50</w:t>
      </w:r>
      <w:r w:rsidR="00D24AFC">
        <w:t xml:space="preserve"> </w:t>
      </w:r>
      <w:r w:rsidR="00B15E21">
        <w:t>m;</w:t>
      </w:r>
      <w:r w:rsidR="00D24AFC">
        <w:t xml:space="preserve"> and extended</w:t>
      </w:r>
      <w:r w:rsidR="00B15E21">
        <w:t xml:space="preserve"> </w:t>
      </w:r>
      <w:r w:rsidR="004F021E">
        <w:t>20</w:t>
      </w:r>
      <w:r w:rsidR="00D24AFC">
        <w:t xml:space="preserve"> </w:t>
      </w:r>
      <w:r w:rsidR="004F021E">
        <w:t xml:space="preserve">m </w:t>
      </w:r>
      <w:r w:rsidR="00D24AFC">
        <w:t xml:space="preserve">and 10 m </w:t>
      </w:r>
      <w:r w:rsidR="004F021E">
        <w:t>in</w:t>
      </w:r>
      <w:r w:rsidR="00D24AFC">
        <w:t xml:space="preserve"> the</w:t>
      </w:r>
      <w:r w:rsidR="004F021E">
        <w:t xml:space="preserve"> latera</w:t>
      </w:r>
      <w:r w:rsidR="007B1D54">
        <w:t>l</w:t>
      </w:r>
      <w:r w:rsidR="000C474F">
        <w:t xml:space="preserve"> </w:t>
      </w:r>
      <w:r w:rsidR="00D24AFC">
        <w:t>and vertical directions, respectively.</w:t>
      </w:r>
      <w:r w:rsidR="00246DDD">
        <w:t xml:space="preserve"> </w:t>
      </w:r>
      <w:r w:rsidR="00D9021B">
        <w:t xml:space="preserve">The concentration data </w:t>
      </w:r>
      <w:r w:rsidR="00D24AFC">
        <w:t xml:space="preserve">were </w:t>
      </w:r>
      <w:r w:rsidR="00D9021B">
        <w:t>compared</w:t>
      </w:r>
      <w:r w:rsidR="008D204A">
        <w:t xml:space="preserve"> </w:t>
      </w:r>
      <w:r w:rsidR="007B3A2B">
        <w:t>in</w:t>
      </w:r>
      <w:r w:rsidR="00D24AFC">
        <w:t xml:space="preserve"> the</w:t>
      </w:r>
      <w:r w:rsidR="007B3A2B">
        <w:t xml:space="preserve"> downwind direction (at z</w:t>
      </w:r>
      <w:r w:rsidR="00D24AFC">
        <w:t xml:space="preserve"> </w:t>
      </w:r>
      <w:r w:rsidR="007B3A2B">
        <w:t>=</w:t>
      </w:r>
      <w:r w:rsidR="00D24AFC">
        <w:t xml:space="preserve"> </w:t>
      </w:r>
      <w:r w:rsidR="007B3A2B">
        <w:t>0.2</w:t>
      </w:r>
      <w:r w:rsidR="00D24AFC">
        <w:t xml:space="preserve"> </w:t>
      </w:r>
      <w:r w:rsidR="007B3A2B">
        <w:t>m)</w:t>
      </w:r>
      <w:r w:rsidR="00D24AFC">
        <w:t>,</w:t>
      </w:r>
      <w:r w:rsidR="007B3A2B">
        <w:t xml:space="preserve"> and </w:t>
      </w:r>
      <w:r w:rsidR="00D9021B">
        <w:t>at a downstream position of</w:t>
      </w:r>
      <w:r w:rsidR="00B02FE5">
        <w:t xml:space="preserve"> x</w:t>
      </w:r>
      <w:r w:rsidR="00D24AFC">
        <w:t xml:space="preserve"> </w:t>
      </w:r>
      <w:r w:rsidR="00B02FE5">
        <w:t>=</w:t>
      </w:r>
      <w:r w:rsidR="00D24AFC">
        <w:t xml:space="preserve"> </w:t>
      </w:r>
      <w:r w:rsidR="000B42D8">
        <w:t>7</w:t>
      </w:r>
      <w:r w:rsidR="00B02FE5">
        <w:t>.5</w:t>
      </w:r>
      <w:r w:rsidR="00D24AFC">
        <w:t xml:space="preserve"> </w:t>
      </w:r>
      <w:r w:rsidR="00B02FE5">
        <w:t>m</w:t>
      </w:r>
      <w:r w:rsidR="00D24AFC">
        <w:t>,</w:t>
      </w:r>
      <w:r w:rsidR="006C70EB">
        <w:t xml:space="preserve"> z</w:t>
      </w:r>
      <w:r w:rsidR="00D24AFC">
        <w:t xml:space="preserve"> </w:t>
      </w:r>
      <w:r w:rsidR="006C70EB">
        <w:t>=</w:t>
      </w:r>
      <w:r w:rsidR="00D24AFC">
        <w:t xml:space="preserve"> </w:t>
      </w:r>
      <w:r w:rsidR="006C70EB">
        <w:t>0.2</w:t>
      </w:r>
      <w:r w:rsidR="00D24AFC">
        <w:t xml:space="preserve"> </w:t>
      </w:r>
      <w:r w:rsidR="006C70EB">
        <w:t xml:space="preserve">m </w:t>
      </w:r>
      <w:r w:rsidR="007875F1">
        <w:t xml:space="preserve">in </w:t>
      </w:r>
      <w:r w:rsidR="00D24AFC">
        <w:t xml:space="preserve">the </w:t>
      </w:r>
      <w:r w:rsidR="007875F1">
        <w:t>lateral direction</w:t>
      </w:r>
      <w:r w:rsidR="00D24AFC">
        <w:t>,</w:t>
      </w:r>
      <w:r w:rsidR="007875F1">
        <w:t xml:space="preserve"> and in </w:t>
      </w:r>
      <w:r w:rsidR="00D24AFC">
        <w:t xml:space="preserve">the </w:t>
      </w:r>
      <w:r w:rsidR="007875F1">
        <w:t>vertical direction at</w:t>
      </w:r>
      <w:r w:rsidR="00E9575A">
        <w:t xml:space="preserve"> x</w:t>
      </w:r>
      <w:r w:rsidR="00D24AFC">
        <w:t xml:space="preserve"> </w:t>
      </w:r>
      <w:r w:rsidR="00E9575A">
        <w:t>=</w:t>
      </w:r>
      <w:r w:rsidR="00D24AFC">
        <w:t xml:space="preserve"> </w:t>
      </w:r>
      <w:r w:rsidR="00E9575A">
        <w:t>7.5</w:t>
      </w:r>
      <w:r w:rsidR="00D24AFC">
        <w:t xml:space="preserve"> </w:t>
      </w:r>
      <w:r w:rsidR="00E9575A">
        <w:t xml:space="preserve">m </w:t>
      </w:r>
      <w:r w:rsidR="00FB04DA">
        <w:t xml:space="preserve">in the </w:t>
      </w:r>
      <w:r w:rsidR="00E9575A">
        <w:t xml:space="preserve">symmetry plane. The results are </w:t>
      </w:r>
      <w:r w:rsidR="008E3BDE">
        <w:t>give</w:t>
      </w:r>
      <w:r w:rsidR="00FA0A5E">
        <w:t>n in Figure 4</w:t>
      </w:r>
      <w:r w:rsidR="00F665AF">
        <w:t>. T</w:t>
      </w:r>
      <w:r w:rsidR="003E71E0">
        <w:t xml:space="preserve">he </w:t>
      </w:r>
      <w:r w:rsidR="00F665AF">
        <w:t>FLACS</w:t>
      </w:r>
      <w:r w:rsidR="003E71E0">
        <w:t xml:space="preserve"> solution follows the trends of the experimental d</w:t>
      </w:r>
      <w:r w:rsidR="00F665AF">
        <w:t>at</w:t>
      </w:r>
      <w:r w:rsidR="003E71E0">
        <w:t>a</w:t>
      </w:r>
      <w:r w:rsidR="008D3EF9">
        <w:t>,</w:t>
      </w:r>
      <w:r w:rsidR="00E27F85">
        <w:t xml:space="preserve"> but</w:t>
      </w:r>
      <w:r w:rsidR="003E71E0">
        <w:t xml:space="preserve"> the maximum concentrations are </w:t>
      </w:r>
      <w:r w:rsidR="00F665AF">
        <w:t>slightly</w:t>
      </w:r>
      <w:r w:rsidR="003E71E0">
        <w:t xml:space="preserve"> </w:t>
      </w:r>
      <w:r w:rsidR="003E71E0">
        <w:lastRenderedPageBreak/>
        <w:t>over predicted</w:t>
      </w:r>
      <w:r w:rsidR="00636E43">
        <w:t xml:space="preserve"> in the farfield</w:t>
      </w:r>
      <w:r w:rsidR="00E27F85">
        <w:t>,</w:t>
      </w:r>
      <w:r w:rsidR="00636E43">
        <w:t xml:space="preserve"> </w:t>
      </w:r>
      <w:r w:rsidR="003E71E0">
        <w:t xml:space="preserve">which is most probably </w:t>
      </w:r>
      <w:r w:rsidR="00F665AF">
        <w:t xml:space="preserve">due to </w:t>
      </w:r>
      <w:r w:rsidR="0017669A">
        <w:t>an</w:t>
      </w:r>
      <w:r w:rsidR="00F665AF">
        <w:t xml:space="preserve"> underprediction of the</w:t>
      </w:r>
      <w:r w:rsidR="0017669A">
        <w:t xml:space="preserve"> plume width</w:t>
      </w:r>
      <w:r w:rsidR="00BE3E48">
        <w:t xml:space="preserve"> (Figure 4, left)</w:t>
      </w:r>
      <w:r w:rsidR="0017669A">
        <w:t>. The flow separations on the sidewalls (due to the sharp</w:t>
      </w:r>
      <w:r w:rsidR="00DA7805">
        <w:t xml:space="preserve"> edges) are slightly smaller </w:t>
      </w:r>
      <w:r w:rsidR="00E27F85">
        <w:t xml:space="preserve">in the simulated data, </w:t>
      </w:r>
      <w:r w:rsidR="00DA7805">
        <w:t xml:space="preserve">compared with the experimental data set. </w:t>
      </w:r>
      <w:r w:rsidR="002C1CF6">
        <w:t xml:space="preserve">The concentration decay at the centerline is captured well </w:t>
      </w:r>
      <w:r w:rsidR="00E27F85">
        <w:t>in</w:t>
      </w:r>
      <w:r w:rsidR="002C1CF6">
        <w:t xml:space="preserve"> the simulation</w:t>
      </w:r>
      <w:r w:rsidR="00E27F85">
        <w:t>,</w:t>
      </w:r>
      <w:r w:rsidR="002C1CF6">
        <w:t xml:space="preserve"> with a s</w:t>
      </w:r>
      <w:r w:rsidR="001A23F3">
        <w:t>l</w:t>
      </w:r>
      <w:r w:rsidR="002C1CF6">
        <w:t xml:space="preserve">ight </w:t>
      </w:r>
      <w:r w:rsidR="00B8595C">
        <w:t>deviation</w:t>
      </w:r>
      <w:r w:rsidR="002C1CF6">
        <w:t xml:space="preserve"> </w:t>
      </w:r>
      <w:r w:rsidR="007A2923">
        <w:t>in the near field wake region (x</w:t>
      </w:r>
      <w:r w:rsidR="00E27F85">
        <w:t xml:space="preserve"> </w:t>
      </w:r>
      <w:r w:rsidR="007A2923">
        <w:t>&lt;</w:t>
      </w:r>
      <w:r w:rsidR="00E27F85">
        <w:t xml:space="preserve"> </w:t>
      </w:r>
      <w:r w:rsidR="007A2923">
        <w:t>5</w:t>
      </w:r>
      <w:r w:rsidR="00E27F85">
        <w:t xml:space="preserve"> </w:t>
      </w:r>
      <w:r w:rsidR="007A2923">
        <w:t>m</w:t>
      </w:r>
      <w:r w:rsidR="00FB04DA">
        <w:t>, Figure 4, right</w:t>
      </w:r>
      <w:r w:rsidR="007A2923">
        <w:t xml:space="preserve">). </w:t>
      </w:r>
      <w:r w:rsidR="00DA7805">
        <w:t>Overall</w:t>
      </w:r>
      <w:r w:rsidR="00695D1A">
        <w:t xml:space="preserve">, the solutions are considered good and the main physical effects including </w:t>
      </w:r>
      <w:r w:rsidR="0084754C">
        <w:t xml:space="preserve">local concentration maxima at </w:t>
      </w:r>
      <w:r w:rsidR="000A2D4F">
        <w:t>approximately</w:t>
      </w:r>
      <w:r w:rsidR="0084754C">
        <w:t xml:space="preserve"> +/-2</w:t>
      </w:r>
      <w:r w:rsidR="00E27F85">
        <w:t xml:space="preserve"> </w:t>
      </w:r>
      <w:r w:rsidR="003874DA">
        <w:t>m</w:t>
      </w:r>
      <w:r w:rsidR="000A2D4F">
        <w:t xml:space="preserve"> are well reproduced by the simulations.</w:t>
      </w:r>
    </w:p>
    <w:p w14:paraId="44F42D0F" w14:textId="3D96C34E" w:rsidR="00A77287" w:rsidRDefault="003874DA" w:rsidP="001877FD">
      <w:pPr>
        <w:pStyle w:val="CETBodytext"/>
      </w:pPr>
      <w:r>
        <w:rPr>
          <w:noProof/>
        </w:rPr>
        <w:drawing>
          <wp:anchor distT="0" distB="0" distL="114300" distR="114300" simplePos="0" relativeHeight="251658244" behindDoc="0" locked="0" layoutInCell="1" allowOverlap="1" wp14:anchorId="434C9D03" wp14:editId="44A6F7B1">
            <wp:simplePos x="0" y="0"/>
            <wp:positionH relativeFrom="column">
              <wp:posOffset>3578336</wp:posOffset>
            </wp:positionH>
            <wp:positionV relativeFrom="paragraph">
              <wp:posOffset>99695</wp:posOffset>
            </wp:positionV>
            <wp:extent cx="1799590" cy="1292225"/>
            <wp:effectExtent l="0" t="0" r="0" b="3175"/>
            <wp:wrapNone/>
            <wp:docPr id="3498394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t="9793"/>
                    <a:stretch>
                      <a:fillRect/>
                    </a:stretch>
                  </pic:blipFill>
                  <pic:spPr bwMode="auto">
                    <a:xfrm>
                      <a:off x="0" y="0"/>
                      <a:ext cx="1799590" cy="1292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0F1">
        <w:rPr>
          <w:noProof/>
          <w:lang w:val="en-GB"/>
        </w:rPr>
        <w:drawing>
          <wp:anchor distT="0" distB="0" distL="114300" distR="114300" simplePos="0" relativeHeight="251658241" behindDoc="0" locked="0" layoutInCell="1" allowOverlap="1" wp14:anchorId="23815727" wp14:editId="5C3E5FC3">
            <wp:simplePos x="0" y="0"/>
            <wp:positionH relativeFrom="column">
              <wp:posOffset>1762649</wp:posOffset>
            </wp:positionH>
            <wp:positionV relativeFrom="paragraph">
              <wp:posOffset>97155</wp:posOffset>
            </wp:positionV>
            <wp:extent cx="1751330" cy="1268095"/>
            <wp:effectExtent l="0" t="0" r="1270" b="8255"/>
            <wp:wrapNone/>
            <wp:docPr id="23" name="Picture 22">
              <a:extLst xmlns:a="http://schemas.openxmlformats.org/drawingml/2006/main">
                <a:ext uri="{FF2B5EF4-FFF2-40B4-BE49-F238E27FC236}">
                  <a16:creationId xmlns:a16="http://schemas.microsoft.com/office/drawing/2014/main" id="{35645AEC-0B28-A262-92CC-392ECE3114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35645AEC-0B28-A262-92CC-392ECE31148A}"/>
                        </a:ext>
                      </a:extLst>
                    </pic:cNvPr>
                    <pic:cNvPicPr>
                      <a:picLocks noChangeAspect="1"/>
                    </pic:cNvPicPr>
                  </pic:nvPicPr>
                  <pic:blipFill rotWithShape="1">
                    <a:blip r:embed="rId13"/>
                    <a:srcRect l="1221" t="9790" r="1390" b="1608"/>
                    <a:stretch>
                      <a:fillRect/>
                    </a:stretch>
                  </pic:blipFill>
                  <pic:spPr bwMode="auto">
                    <a:xfrm>
                      <a:off x="0" y="0"/>
                      <a:ext cx="1751330" cy="1268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00F1">
        <w:rPr>
          <w:noProof/>
          <w:lang w:val="en-GB"/>
        </w:rPr>
        <w:drawing>
          <wp:anchor distT="0" distB="0" distL="114300" distR="114300" simplePos="0" relativeHeight="251658240" behindDoc="0" locked="0" layoutInCell="1" allowOverlap="1" wp14:anchorId="3722382B" wp14:editId="5BCF6C57">
            <wp:simplePos x="0" y="0"/>
            <wp:positionH relativeFrom="column">
              <wp:posOffset>-3064</wp:posOffset>
            </wp:positionH>
            <wp:positionV relativeFrom="paragraph">
              <wp:posOffset>102235</wp:posOffset>
            </wp:positionV>
            <wp:extent cx="1767205" cy="1267460"/>
            <wp:effectExtent l="0" t="0" r="4445" b="8890"/>
            <wp:wrapNone/>
            <wp:docPr id="21" name="Picture 20">
              <a:extLst xmlns:a="http://schemas.openxmlformats.org/drawingml/2006/main">
                <a:ext uri="{FF2B5EF4-FFF2-40B4-BE49-F238E27FC236}">
                  <a16:creationId xmlns:a16="http://schemas.microsoft.com/office/drawing/2014/main" id="{83E586CF-A0AE-3E32-C49F-303A413017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83E586CF-A0AE-3E32-C49F-303A41301797}"/>
                        </a:ext>
                      </a:extLst>
                    </pic:cNvPr>
                    <pic:cNvPicPr>
                      <a:picLocks noChangeAspect="1"/>
                    </pic:cNvPicPr>
                  </pic:nvPicPr>
                  <pic:blipFill rotWithShape="1">
                    <a:blip r:embed="rId14"/>
                    <a:srcRect l="695" t="10188" r="1018" b="1504"/>
                    <a:stretch>
                      <a:fillRect/>
                    </a:stretch>
                  </pic:blipFill>
                  <pic:spPr bwMode="auto">
                    <a:xfrm>
                      <a:off x="0" y="0"/>
                      <a:ext cx="1767205" cy="1267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A7369F" w14:textId="317E88D7" w:rsidR="00A77287" w:rsidRDefault="00A77287" w:rsidP="001877FD">
      <w:pPr>
        <w:pStyle w:val="CETBodytext"/>
      </w:pPr>
    </w:p>
    <w:p w14:paraId="5824BDB6" w14:textId="2FC7DDCF" w:rsidR="00C200F1" w:rsidRDefault="00C200F1" w:rsidP="001877FD">
      <w:pPr>
        <w:pStyle w:val="CETBodytext"/>
      </w:pPr>
    </w:p>
    <w:p w14:paraId="47697206" w14:textId="3A7B773F" w:rsidR="00C200F1" w:rsidRDefault="00C200F1" w:rsidP="001877FD">
      <w:pPr>
        <w:pStyle w:val="CETBodytext"/>
      </w:pPr>
    </w:p>
    <w:p w14:paraId="758BD070" w14:textId="65593E50" w:rsidR="00C200F1" w:rsidRDefault="00C200F1" w:rsidP="001877FD">
      <w:pPr>
        <w:pStyle w:val="CETBodytext"/>
      </w:pPr>
    </w:p>
    <w:p w14:paraId="1351DCA7" w14:textId="77777777" w:rsidR="00C200F1" w:rsidRDefault="00C200F1" w:rsidP="001877FD">
      <w:pPr>
        <w:pStyle w:val="CETBodytext"/>
      </w:pPr>
    </w:p>
    <w:p w14:paraId="4EAD5B47" w14:textId="431298E5" w:rsidR="00C200F1" w:rsidRDefault="00C200F1" w:rsidP="001877FD">
      <w:pPr>
        <w:pStyle w:val="CETBodytext"/>
      </w:pPr>
    </w:p>
    <w:p w14:paraId="18EB38FB" w14:textId="77777777" w:rsidR="00C200F1" w:rsidRDefault="00C200F1" w:rsidP="001877FD">
      <w:pPr>
        <w:pStyle w:val="CETBodytext"/>
      </w:pPr>
    </w:p>
    <w:p w14:paraId="75F525D2" w14:textId="62F307CF" w:rsidR="00C200F1" w:rsidRDefault="006F445B" w:rsidP="001877FD">
      <w:pPr>
        <w:pStyle w:val="CETBodytext"/>
      </w:pPr>
      <w:r>
        <w:t xml:space="preserve"> </w:t>
      </w:r>
    </w:p>
    <w:p w14:paraId="7E6281F8" w14:textId="77777777" w:rsidR="00C200F1" w:rsidRDefault="00C200F1" w:rsidP="001877FD">
      <w:pPr>
        <w:pStyle w:val="CETBodytext"/>
      </w:pPr>
    </w:p>
    <w:p w14:paraId="224CDE7E" w14:textId="1F4D0750" w:rsidR="00C200F1" w:rsidRDefault="00C200F1" w:rsidP="001877FD">
      <w:pPr>
        <w:pStyle w:val="CETBodytext"/>
      </w:pPr>
      <w:r w:rsidRPr="00BD077D">
        <w:rPr>
          <w:rStyle w:val="CETCaptionCarattere"/>
        </w:rPr>
        <w:t xml:space="preserve">Figure </w:t>
      </w:r>
      <w:r>
        <w:rPr>
          <w:rStyle w:val="CETCaptionCarattere"/>
        </w:rPr>
        <w:t>4</w:t>
      </w:r>
      <w:r w:rsidRPr="00BD077D">
        <w:rPr>
          <w:rStyle w:val="CETCaptionCarattere"/>
        </w:rPr>
        <w:t xml:space="preserve">: </w:t>
      </w:r>
      <w:r w:rsidR="00FA0A5E">
        <w:rPr>
          <w:rStyle w:val="CETCaptionCarattere"/>
        </w:rPr>
        <w:t>Comparison of concentration distributions in lateral</w:t>
      </w:r>
      <w:r w:rsidR="003850A3">
        <w:rPr>
          <w:rStyle w:val="CETCaptionCarattere"/>
        </w:rPr>
        <w:t xml:space="preserve"> direction</w:t>
      </w:r>
      <w:r w:rsidR="006D0CE9">
        <w:rPr>
          <w:rStyle w:val="CETCaptionCarattere"/>
        </w:rPr>
        <w:t xml:space="preserve"> at x</w:t>
      </w:r>
      <w:r w:rsidR="00E27F85">
        <w:rPr>
          <w:rStyle w:val="CETCaptionCarattere"/>
        </w:rPr>
        <w:t xml:space="preserve"> </w:t>
      </w:r>
      <w:r w:rsidR="006D0CE9">
        <w:rPr>
          <w:rStyle w:val="CETCaptionCarattere"/>
        </w:rPr>
        <w:t>=</w:t>
      </w:r>
      <w:r w:rsidR="00E27F85">
        <w:rPr>
          <w:rStyle w:val="CETCaptionCarattere"/>
        </w:rPr>
        <w:t xml:space="preserve"> </w:t>
      </w:r>
      <w:r w:rsidR="006D0CE9">
        <w:rPr>
          <w:rStyle w:val="CETCaptionCarattere"/>
        </w:rPr>
        <w:t>7.5</w:t>
      </w:r>
      <w:r w:rsidR="00E27F85">
        <w:rPr>
          <w:rStyle w:val="CETCaptionCarattere"/>
        </w:rPr>
        <w:t xml:space="preserve"> </w:t>
      </w:r>
      <w:r w:rsidR="006D0CE9">
        <w:rPr>
          <w:rStyle w:val="CETCaptionCarattere"/>
        </w:rPr>
        <w:t>m</w:t>
      </w:r>
      <w:r w:rsidR="005F6520">
        <w:rPr>
          <w:rStyle w:val="CETCaptionCarattere"/>
        </w:rPr>
        <w:t xml:space="preserve"> and z</w:t>
      </w:r>
      <w:r w:rsidR="00E27F85">
        <w:rPr>
          <w:rStyle w:val="CETCaptionCarattere"/>
        </w:rPr>
        <w:t xml:space="preserve"> </w:t>
      </w:r>
      <w:r w:rsidR="005F6520">
        <w:rPr>
          <w:rStyle w:val="CETCaptionCarattere"/>
        </w:rPr>
        <w:t>=</w:t>
      </w:r>
      <w:r w:rsidR="00E27F85">
        <w:rPr>
          <w:rStyle w:val="CETCaptionCarattere"/>
        </w:rPr>
        <w:t xml:space="preserve"> </w:t>
      </w:r>
      <w:r w:rsidR="005F6520">
        <w:rPr>
          <w:rStyle w:val="CETCaptionCarattere"/>
        </w:rPr>
        <w:t>0.2</w:t>
      </w:r>
      <w:r w:rsidR="00E27F85">
        <w:rPr>
          <w:rStyle w:val="CETCaptionCarattere"/>
        </w:rPr>
        <w:t xml:space="preserve"> </w:t>
      </w:r>
      <w:r w:rsidR="005F6520">
        <w:rPr>
          <w:rStyle w:val="CETCaptionCarattere"/>
        </w:rPr>
        <w:t>m</w:t>
      </w:r>
      <w:r w:rsidR="003850A3">
        <w:rPr>
          <w:rStyle w:val="CETCaptionCarattere"/>
        </w:rPr>
        <w:t xml:space="preserve"> (left)</w:t>
      </w:r>
      <w:r w:rsidR="007F02ED">
        <w:rPr>
          <w:rStyle w:val="CETCaptionCarattere"/>
        </w:rPr>
        <w:t xml:space="preserve">, in </w:t>
      </w:r>
      <w:r w:rsidR="006D0CE9">
        <w:rPr>
          <w:rStyle w:val="CETCaptionCarattere"/>
        </w:rPr>
        <w:t>vertical</w:t>
      </w:r>
      <w:r w:rsidR="003850A3">
        <w:rPr>
          <w:rStyle w:val="CETCaptionCarattere"/>
        </w:rPr>
        <w:t xml:space="preserve"> direction</w:t>
      </w:r>
      <w:r w:rsidR="006D0CE9">
        <w:rPr>
          <w:rStyle w:val="CETCaptionCarattere"/>
        </w:rPr>
        <w:t xml:space="preserve"> at x</w:t>
      </w:r>
      <w:r w:rsidR="00E27F85">
        <w:rPr>
          <w:rStyle w:val="CETCaptionCarattere"/>
        </w:rPr>
        <w:t xml:space="preserve"> </w:t>
      </w:r>
      <w:r w:rsidR="006D0CE9">
        <w:rPr>
          <w:rStyle w:val="CETCaptionCarattere"/>
        </w:rPr>
        <w:t>=</w:t>
      </w:r>
      <w:r w:rsidR="00E27F85">
        <w:rPr>
          <w:rStyle w:val="CETCaptionCarattere"/>
        </w:rPr>
        <w:t xml:space="preserve"> </w:t>
      </w:r>
      <w:r w:rsidR="006D0CE9">
        <w:rPr>
          <w:rStyle w:val="CETCaptionCarattere"/>
        </w:rPr>
        <w:t>7.4</w:t>
      </w:r>
      <w:r w:rsidR="00E27F85">
        <w:rPr>
          <w:rStyle w:val="CETCaptionCarattere"/>
        </w:rPr>
        <w:t xml:space="preserve"> </w:t>
      </w:r>
      <w:r w:rsidR="006D0CE9">
        <w:rPr>
          <w:rStyle w:val="CETCaptionCarattere"/>
        </w:rPr>
        <w:t>m</w:t>
      </w:r>
      <w:r w:rsidR="005F6520">
        <w:rPr>
          <w:rStyle w:val="CETCaptionCarattere"/>
        </w:rPr>
        <w:t xml:space="preserve"> and y</w:t>
      </w:r>
      <w:r w:rsidR="00E27F85">
        <w:rPr>
          <w:rStyle w:val="CETCaptionCarattere"/>
        </w:rPr>
        <w:t xml:space="preserve"> </w:t>
      </w:r>
      <w:r w:rsidR="005F6520">
        <w:rPr>
          <w:rStyle w:val="CETCaptionCarattere"/>
        </w:rPr>
        <w:t>=</w:t>
      </w:r>
      <w:r w:rsidR="00E27F85">
        <w:rPr>
          <w:rStyle w:val="CETCaptionCarattere"/>
        </w:rPr>
        <w:t xml:space="preserve"> </w:t>
      </w:r>
      <w:r w:rsidR="005F6520">
        <w:rPr>
          <w:rStyle w:val="CETCaptionCarattere"/>
        </w:rPr>
        <w:t>0</w:t>
      </w:r>
      <w:r w:rsidR="00E27F85">
        <w:rPr>
          <w:rStyle w:val="CETCaptionCarattere"/>
        </w:rPr>
        <w:t xml:space="preserve"> </w:t>
      </w:r>
      <w:r w:rsidR="005F6520">
        <w:rPr>
          <w:rStyle w:val="CETCaptionCarattere"/>
        </w:rPr>
        <w:t>m</w:t>
      </w:r>
      <w:r w:rsidR="003850A3">
        <w:rPr>
          <w:rStyle w:val="CETCaptionCarattere"/>
        </w:rPr>
        <w:t xml:space="preserve"> (</w:t>
      </w:r>
      <w:r w:rsidR="007F02ED">
        <w:rPr>
          <w:rStyle w:val="CETCaptionCarattere"/>
        </w:rPr>
        <w:t>middle</w:t>
      </w:r>
      <w:r w:rsidR="003850A3">
        <w:rPr>
          <w:rStyle w:val="CETCaptionCarattere"/>
        </w:rPr>
        <w:t>)</w:t>
      </w:r>
      <w:r w:rsidR="007F02ED">
        <w:rPr>
          <w:rStyle w:val="CETCaptionCarattere"/>
        </w:rPr>
        <w:t xml:space="preserve"> and in downwind direction </w:t>
      </w:r>
      <w:r w:rsidR="00991A5F">
        <w:rPr>
          <w:rStyle w:val="CETCaptionCarattere"/>
        </w:rPr>
        <w:t>at z</w:t>
      </w:r>
      <w:r w:rsidR="00E27F85">
        <w:rPr>
          <w:rStyle w:val="CETCaptionCarattere"/>
        </w:rPr>
        <w:t xml:space="preserve"> </w:t>
      </w:r>
      <w:r w:rsidR="00991A5F">
        <w:rPr>
          <w:rStyle w:val="CETCaptionCarattere"/>
        </w:rPr>
        <w:t>=</w:t>
      </w:r>
      <w:r w:rsidR="00E27F85">
        <w:rPr>
          <w:rStyle w:val="CETCaptionCarattere"/>
        </w:rPr>
        <w:t xml:space="preserve"> </w:t>
      </w:r>
      <w:r w:rsidR="00991A5F">
        <w:rPr>
          <w:rStyle w:val="CETCaptionCarattere"/>
        </w:rPr>
        <w:t>0.2</w:t>
      </w:r>
      <w:r w:rsidR="00E27F85">
        <w:rPr>
          <w:rStyle w:val="CETCaptionCarattere"/>
        </w:rPr>
        <w:t xml:space="preserve"> </w:t>
      </w:r>
      <w:r w:rsidR="00991A5F">
        <w:rPr>
          <w:rStyle w:val="CETCaptionCarattere"/>
        </w:rPr>
        <w:t>m (right)</w:t>
      </w:r>
      <w:r w:rsidR="00E27F85">
        <w:rPr>
          <w:rStyle w:val="CETCaptionCarattere"/>
        </w:rPr>
        <w:t>.</w:t>
      </w:r>
      <w:r w:rsidR="003850A3">
        <w:rPr>
          <w:rStyle w:val="CETCaptionCarattere"/>
        </w:rPr>
        <w:t xml:space="preserve"> </w:t>
      </w:r>
    </w:p>
    <w:p w14:paraId="79AADF06" w14:textId="77777777" w:rsidR="00AB0640" w:rsidRDefault="00AB0640" w:rsidP="001877FD">
      <w:pPr>
        <w:pStyle w:val="CETBodytext"/>
      </w:pPr>
    </w:p>
    <w:p w14:paraId="524635AD" w14:textId="15B29B2F" w:rsidR="005F3115" w:rsidRDefault="00707EC5" w:rsidP="005F3115">
      <w:pPr>
        <w:pStyle w:val="CETheadingx"/>
      </w:pPr>
      <w:r>
        <w:t>S</w:t>
      </w:r>
      <w:r w:rsidR="00F526C6">
        <w:t>imulation of s</w:t>
      </w:r>
      <w:r w:rsidR="005F3115">
        <w:t xml:space="preserve">ingle obstacle </w:t>
      </w:r>
      <w:r w:rsidR="00F526C6">
        <w:t>by building wake model and</w:t>
      </w:r>
      <w:r w:rsidR="005F3115">
        <w:t xml:space="preserve"> CFD</w:t>
      </w:r>
    </w:p>
    <w:p w14:paraId="7A2F46E7" w14:textId="24B8F1BE" w:rsidR="00C200F1" w:rsidRDefault="00F23A05" w:rsidP="001877FD">
      <w:pPr>
        <w:pStyle w:val="CETBodytext"/>
      </w:pPr>
      <w:r>
        <w:t>To</w:t>
      </w:r>
      <w:r w:rsidR="00D64277">
        <w:t xml:space="preserve"> </w:t>
      </w:r>
      <w:r w:rsidR="00A43FB1">
        <w:t>compare</w:t>
      </w:r>
      <w:r>
        <w:t xml:space="preserve"> the FLACS CFD solution with the integral building wake model in EFFECTS for</w:t>
      </w:r>
      <w:r w:rsidR="00A43FB1">
        <w:t xml:space="preserve"> a typical large scale scenario</w:t>
      </w:r>
      <w:r>
        <w:t>, with</w:t>
      </w:r>
      <w:r w:rsidR="00AB0640">
        <w:t xml:space="preserve"> larger effect distances</w:t>
      </w:r>
      <w:r w:rsidR="00A43FB1">
        <w:t xml:space="preserve">, the </w:t>
      </w:r>
      <w:r w:rsidR="00AB0640">
        <w:t xml:space="preserve">wind </w:t>
      </w:r>
      <w:r w:rsidR="00A43FB1">
        <w:t>conditions</w:t>
      </w:r>
      <w:r w:rsidR="00F526C6">
        <w:t xml:space="preserve"> of the CEDVAL</w:t>
      </w:r>
      <w:r w:rsidR="003068B3">
        <w:t xml:space="preserve"> A1-5 (see previous </w:t>
      </w:r>
      <w:r>
        <w:t>section</w:t>
      </w:r>
      <w:r w:rsidR="003068B3">
        <w:t>)</w:t>
      </w:r>
      <w:r w:rsidR="00F526C6">
        <w:t xml:space="preserve"> </w:t>
      </w:r>
      <w:r w:rsidR="00A43FB1">
        <w:t xml:space="preserve">were adapted to </w:t>
      </w:r>
      <w:r w:rsidR="00FC7722">
        <w:t>a wind speed of 2</w:t>
      </w:r>
      <w:r w:rsidR="00AB0640">
        <w:t xml:space="preserve"> </w:t>
      </w:r>
      <w:r w:rsidR="00FC7722">
        <w:t>m/s at a reference height of 10</w:t>
      </w:r>
      <w:r>
        <w:t xml:space="preserve"> </w:t>
      </w:r>
      <w:r w:rsidR="00FC7722">
        <w:t>m</w:t>
      </w:r>
      <w:r>
        <w:t xml:space="preserve"> and</w:t>
      </w:r>
      <w:r w:rsidR="000554AF">
        <w:t xml:space="preserve"> </w:t>
      </w:r>
      <w:r w:rsidR="00AB0640">
        <w:t>the release source term</w:t>
      </w:r>
      <w:r w:rsidR="000554AF">
        <w:t xml:space="preserve"> was</w:t>
      </w:r>
      <w:r w:rsidR="00AB0640">
        <w:t xml:space="preserve"> increased to 0.05</w:t>
      </w:r>
      <w:r>
        <w:t xml:space="preserve"> </w:t>
      </w:r>
      <w:r w:rsidR="00AB0640">
        <w:t>kg/s</w:t>
      </w:r>
      <w:r w:rsidR="000554AF">
        <w:t xml:space="preserve"> to obtain higher concentration readings</w:t>
      </w:r>
      <w:r w:rsidR="00706D5E">
        <w:t xml:space="preserve">. </w:t>
      </w:r>
      <w:r w:rsidR="00D30BA5">
        <w:t>The concentration</w:t>
      </w:r>
      <w:r w:rsidR="0096559A">
        <w:t xml:space="preserve">s calculated using the building wake model in the </w:t>
      </w:r>
      <w:r w:rsidR="00D97F1B">
        <w:t xml:space="preserve">integral </w:t>
      </w:r>
      <w:r w:rsidR="0096559A">
        <w:t>dispersion model, and in the neutral gas dispersion model are compared in Figure 5.</w:t>
      </w:r>
      <w:r w:rsidR="00D30BA5">
        <w:t xml:space="preserve"> </w:t>
      </w:r>
      <w:r w:rsidR="008119FF">
        <w:t>For the building wake models,</w:t>
      </w:r>
      <w:r w:rsidR="002863D6">
        <w:t xml:space="preserve"> the</w:t>
      </w:r>
      <w:r w:rsidR="008119FF">
        <w:t xml:space="preserve"> time averaging </w:t>
      </w:r>
      <w:r w:rsidR="002863D6">
        <w:t xml:space="preserve">was </w:t>
      </w:r>
      <w:r w:rsidR="00873B3A">
        <w:t>set to</w:t>
      </w:r>
      <w:r w:rsidR="002863D6">
        <w:t xml:space="preserve"> 2</w:t>
      </w:r>
      <w:r w:rsidR="00873B3A">
        <w:t xml:space="preserve"> </w:t>
      </w:r>
      <w:r w:rsidR="002863D6">
        <w:t>s</w:t>
      </w:r>
      <w:r w:rsidR="00207111">
        <w:t xml:space="preserve"> (</w:t>
      </w:r>
      <w:r w:rsidR="004C2927">
        <w:t xml:space="preserve">resulting in </w:t>
      </w:r>
      <w:r w:rsidR="00207111">
        <w:t xml:space="preserve">maximum </w:t>
      </w:r>
      <w:r w:rsidR="004C2927">
        <w:t xml:space="preserve">concentration </w:t>
      </w:r>
      <w:r w:rsidR="00207111">
        <w:t>values)</w:t>
      </w:r>
      <w:r w:rsidR="002863D6">
        <w:t xml:space="preserve"> and 600</w:t>
      </w:r>
      <w:r w:rsidR="00873B3A">
        <w:t xml:space="preserve"> </w:t>
      </w:r>
      <w:r w:rsidR="002863D6">
        <w:t>s</w:t>
      </w:r>
      <w:r w:rsidR="00873B3A">
        <w:t>,</w:t>
      </w:r>
      <w:r w:rsidR="002863D6">
        <w:t xml:space="preserve"> which </w:t>
      </w:r>
      <w:r w:rsidR="00873B3A">
        <w:t>accounts for</w:t>
      </w:r>
      <w:r w:rsidR="00207111">
        <w:t xml:space="preserve"> plume meander due to fluctuations in wind conditions. A value of 600</w:t>
      </w:r>
      <w:r w:rsidR="00873B3A">
        <w:t xml:space="preserve"> </w:t>
      </w:r>
      <w:r w:rsidR="00207111">
        <w:t xml:space="preserve">s is typically </w:t>
      </w:r>
      <w:r w:rsidR="004C2927">
        <w:t>recommended</w:t>
      </w:r>
      <w:r w:rsidR="00E92769">
        <w:t xml:space="preserve"> for toxic releases. </w:t>
      </w:r>
      <w:r w:rsidR="00886BB5">
        <w:t>The maximum concentrations</w:t>
      </w:r>
      <w:r w:rsidR="00281012">
        <w:t xml:space="preserve"> in </w:t>
      </w:r>
      <w:r w:rsidR="00873B3A">
        <w:t xml:space="preserve">the </w:t>
      </w:r>
      <w:r w:rsidR="00281012">
        <w:t>downwind direction</w:t>
      </w:r>
      <w:r w:rsidR="00886BB5">
        <w:t xml:space="preserve"> are compared</w:t>
      </w:r>
      <w:r w:rsidR="0084776E">
        <w:t xml:space="preserve"> (at ground</w:t>
      </w:r>
      <w:r w:rsidR="00873B3A">
        <w:t xml:space="preserve"> level</w:t>
      </w:r>
      <w:r w:rsidR="0084776E">
        <w:t>)</w:t>
      </w:r>
      <w:r w:rsidR="00886BB5">
        <w:t xml:space="preserve">, </w:t>
      </w:r>
      <w:r w:rsidR="00873B3A">
        <w:t xml:space="preserve">and </w:t>
      </w:r>
      <w:r w:rsidR="00886BB5">
        <w:t>for the FLACS solution the concentration at 1.25</w:t>
      </w:r>
      <w:r w:rsidR="00873B3A">
        <w:t xml:space="preserve"> </w:t>
      </w:r>
      <w:r w:rsidR="00886BB5">
        <w:t xml:space="preserve">m height is </w:t>
      </w:r>
      <w:r w:rsidR="00873B3A">
        <w:t xml:space="preserve">also </w:t>
      </w:r>
      <w:r w:rsidR="00886BB5">
        <w:t>provided.</w:t>
      </w:r>
      <w:r w:rsidR="00774D50">
        <w:t xml:space="preserve"> Due to entrainment into the building wake, the </w:t>
      </w:r>
      <w:r w:rsidR="004627B0">
        <w:t>EFFECTS</w:t>
      </w:r>
      <w:r w:rsidR="00873B3A">
        <w:t xml:space="preserve"> simulations</w:t>
      </w:r>
      <w:r w:rsidR="004627B0">
        <w:t xml:space="preserve"> start with an average value</w:t>
      </w:r>
      <w:r w:rsidR="00205492">
        <w:t>,</w:t>
      </w:r>
      <w:r w:rsidR="00873B3A">
        <w:t xml:space="preserve"> and</w:t>
      </w:r>
      <w:r w:rsidR="004627B0">
        <w:t xml:space="preserve"> the maximum peak concentration</w:t>
      </w:r>
      <w:r w:rsidR="00873B3A">
        <w:t xml:space="preserve"> therefore</w:t>
      </w:r>
      <w:r w:rsidR="004627B0">
        <w:t xml:space="preserve"> cannot be</w:t>
      </w:r>
      <w:r w:rsidR="003264CC">
        <w:t xml:space="preserve"> correctly</w:t>
      </w:r>
      <w:r w:rsidR="004627B0">
        <w:t xml:space="preserve"> reproduced. </w:t>
      </w:r>
      <w:r w:rsidR="00D96CBC">
        <w:t>It should be kept in mind that</w:t>
      </w:r>
      <w:r w:rsidR="00873B3A">
        <w:t>,</w:t>
      </w:r>
      <w:r w:rsidR="00D96CBC">
        <w:t xml:space="preserve"> without taking the building wake into account, the concentration distribution would begin at 1.0</w:t>
      </w:r>
      <w:r w:rsidR="000A00AD">
        <w:t xml:space="preserve"> which would lead to a significant overprediction of the </w:t>
      </w:r>
      <w:r w:rsidR="00367E00">
        <w:t>concentration</w:t>
      </w:r>
      <w:r w:rsidR="000A00AD">
        <w:t>.</w:t>
      </w:r>
      <w:r w:rsidR="00367E00">
        <w:t xml:space="preserve"> From a distance of approximately</w:t>
      </w:r>
      <w:r w:rsidR="00896482">
        <w:t xml:space="preserve"> 15</w:t>
      </w:r>
      <w:r w:rsidR="00873B3A">
        <w:t xml:space="preserve"> </w:t>
      </w:r>
      <w:r w:rsidR="00896482">
        <w:t xml:space="preserve">m, </w:t>
      </w:r>
      <w:r w:rsidR="005701AE">
        <w:t xml:space="preserve">the building wake models for both the </w:t>
      </w:r>
      <w:r w:rsidR="003D0FC5">
        <w:t>integral</w:t>
      </w:r>
      <w:r w:rsidR="00873B3A">
        <w:t xml:space="preserve"> </w:t>
      </w:r>
      <w:r w:rsidR="005701AE">
        <w:t>dispersion m</w:t>
      </w:r>
      <w:r w:rsidR="000472B4">
        <w:t xml:space="preserve">odel (Figure 5, left) and the neutral gas </w:t>
      </w:r>
      <w:r w:rsidR="00873B3A">
        <w:t xml:space="preserve">dispersion </w:t>
      </w:r>
      <w:r w:rsidR="000472B4">
        <w:t xml:space="preserve">model (Figure 5, right) agree reasonably </w:t>
      </w:r>
      <w:r w:rsidR="00873B3A">
        <w:t xml:space="preserve">well </w:t>
      </w:r>
      <w:r w:rsidR="000472B4">
        <w:t>with the CFD solution</w:t>
      </w:r>
      <w:r w:rsidR="002C40F2">
        <w:t>. The simulations with 2</w:t>
      </w:r>
      <w:r w:rsidR="00873B3A">
        <w:t xml:space="preserve"> </w:t>
      </w:r>
      <w:r w:rsidR="002C40F2">
        <w:t xml:space="preserve">s time averaging slightly overpredict the CFD solution, </w:t>
      </w:r>
      <w:r w:rsidR="00873B3A">
        <w:t>while those</w:t>
      </w:r>
      <w:r w:rsidR="002C40F2">
        <w:t xml:space="preserve"> with 600</w:t>
      </w:r>
      <w:r w:rsidR="00873B3A">
        <w:t xml:space="preserve"> </w:t>
      </w:r>
      <w:r w:rsidR="002C40F2">
        <w:t xml:space="preserve">s time averaging </w:t>
      </w:r>
      <w:r w:rsidR="005E6707">
        <w:t>show a slight</w:t>
      </w:r>
      <w:r w:rsidR="002C40F2">
        <w:t xml:space="preserve"> u</w:t>
      </w:r>
      <w:r w:rsidR="005E6707">
        <w:t>n</w:t>
      </w:r>
      <w:r w:rsidR="002C40F2">
        <w:t>der predict</w:t>
      </w:r>
      <w:r w:rsidR="005E6707">
        <w:t xml:space="preserve">ion. Overall, the </w:t>
      </w:r>
      <w:r w:rsidR="00BB017F">
        <w:t>integral</w:t>
      </w:r>
      <w:r w:rsidR="00873B3A">
        <w:t xml:space="preserve"> </w:t>
      </w:r>
      <w:r w:rsidR="005E6707">
        <w:t>dispersion model shows slightly better agreement with the CFD solution</w:t>
      </w:r>
      <w:r w:rsidR="00933542">
        <w:t xml:space="preserve"> than the neutral gas model</w:t>
      </w:r>
      <w:r w:rsidR="005E6707">
        <w:t xml:space="preserve"> with a lower </w:t>
      </w:r>
      <w:r w:rsidR="00656987">
        <w:t>spread due to time averaging</w:t>
      </w:r>
      <w:r w:rsidR="00144A1C">
        <w:t xml:space="preserve">. </w:t>
      </w:r>
      <w:r w:rsidR="00873B3A">
        <w:t>In</w:t>
      </w:r>
      <w:r w:rsidR="00FD564E">
        <w:t xml:space="preserve"> the farfield, both building wake models </w:t>
      </w:r>
      <w:r w:rsidR="00873B3A">
        <w:t xml:space="preserve">agree well </w:t>
      </w:r>
      <w:r w:rsidR="00FD564E">
        <w:t>with the CFD solution with respect to the concentration decay.</w:t>
      </w:r>
    </w:p>
    <w:p w14:paraId="26B09FF1" w14:textId="77777777" w:rsidR="00706D5E" w:rsidRDefault="00706D5E" w:rsidP="001877FD">
      <w:pPr>
        <w:pStyle w:val="CETBodytext"/>
      </w:pPr>
    </w:p>
    <w:p w14:paraId="224FBD2C" w14:textId="1460EE94" w:rsidR="00706D5E" w:rsidRDefault="00821F1D" w:rsidP="001877FD">
      <w:pPr>
        <w:pStyle w:val="CETBodytext"/>
      </w:pPr>
      <w:r>
        <w:rPr>
          <w:noProof/>
        </w:rPr>
        <w:drawing>
          <wp:inline distT="0" distB="0" distL="0" distR="0" wp14:anchorId="0C142975" wp14:editId="2BA900C4">
            <wp:extent cx="2160000" cy="1540800"/>
            <wp:effectExtent l="0" t="0" r="0" b="2540"/>
            <wp:docPr id="1934083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0264"/>
                    <a:stretch>
                      <a:fillRect/>
                    </a:stretch>
                  </pic:blipFill>
                  <pic:spPr bwMode="auto">
                    <a:xfrm>
                      <a:off x="0" y="0"/>
                      <a:ext cx="2160000" cy="15408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BE1E34">
        <w:rPr>
          <w:noProof/>
        </w:rPr>
        <w:drawing>
          <wp:inline distT="0" distB="0" distL="0" distR="0" wp14:anchorId="5524F7AD" wp14:editId="0D8F22DE">
            <wp:extent cx="2160000" cy="1540800"/>
            <wp:effectExtent l="0" t="0" r="0" b="2540"/>
            <wp:docPr id="611526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10585"/>
                    <a:stretch>
                      <a:fillRect/>
                    </a:stretch>
                  </pic:blipFill>
                  <pic:spPr bwMode="auto">
                    <a:xfrm>
                      <a:off x="0" y="0"/>
                      <a:ext cx="2160000" cy="1540800"/>
                    </a:xfrm>
                    <a:prstGeom prst="rect">
                      <a:avLst/>
                    </a:prstGeom>
                    <a:noFill/>
                    <a:ln>
                      <a:noFill/>
                    </a:ln>
                    <a:extLst>
                      <a:ext uri="{53640926-AAD7-44D8-BBD7-CCE9431645EC}">
                        <a14:shadowObscured xmlns:a14="http://schemas.microsoft.com/office/drawing/2010/main"/>
                      </a:ext>
                    </a:extLst>
                  </pic:spPr>
                </pic:pic>
              </a:graphicData>
            </a:graphic>
          </wp:inline>
        </w:drawing>
      </w:r>
    </w:p>
    <w:p w14:paraId="24FECFA6" w14:textId="62E06A1E" w:rsidR="00706D5E" w:rsidRDefault="00BE1E34" w:rsidP="001877FD">
      <w:pPr>
        <w:pStyle w:val="CETBodytext"/>
        <w:rPr>
          <w:rStyle w:val="CETCaptionCarattere"/>
        </w:rPr>
      </w:pPr>
      <w:r w:rsidRPr="00BD077D">
        <w:rPr>
          <w:rStyle w:val="CETCaptionCarattere"/>
        </w:rPr>
        <w:t xml:space="preserve">Figure </w:t>
      </w:r>
      <w:r w:rsidR="00144423">
        <w:rPr>
          <w:rStyle w:val="CETCaptionCarattere"/>
        </w:rPr>
        <w:t xml:space="preserve">5: Comparison of </w:t>
      </w:r>
      <w:r w:rsidR="00DB7665">
        <w:rPr>
          <w:rStyle w:val="CETCaptionCarattere"/>
        </w:rPr>
        <w:t xml:space="preserve">building wake model with </w:t>
      </w:r>
      <w:r w:rsidR="00144423">
        <w:rPr>
          <w:rStyle w:val="CETCaptionCarattere"/>
        </w:rPr>
        <w:t>FLACS simulation</w:t>
      </w:r>
      <w:r w:rsidR="00DB7665">
        <w:rPr>
          <w:rStyle w:val="CETCaptionCarattere"/>
        </w:rPr>
        <w:t xml:space="preserve">s with the EFFECTS </w:t>
      </w:r>
      <w:r w:rsidR="00BB017F">
        <w:rPr>
          <w:rStyle w:val="CETCaptionCarattere"/>
        </w:rPr>
        <w:t xml:space="preserve">integral </w:t>
      </w:r>
      <w:r w:rsidR="00DB7665">
        <w:rPr>
          <w:rStyle w:val="CETCaptionCarattere"/>
        </w:rPr>
        <w:t>disp</w:t>
      </w:r>
      <w:r w:rsidR="008119FF">
        <w:rPr>
          <w:rStyle w:val="CETCaptionCarattere"/>
        </w:rPr>
        <w:t>ersion</w:t>
      </w:r>
      <w:r w:rsidR="00DB7665">
        <w:rPr>
          <w:rStyle w:val="CETCaptionCarattere"/>
        </w:rPr>
        <w:t xml:space="preserve"> model (left) and </w:t>
      </w:r>
      <w:r w:rsidR="008119FF">
        <w:rPr>
          <w:rStyle w:val="CETCaptionCarattere"/>
        </w:rPr>
        <w:t>the neutral gas model (right)</w:t>
      </w:r>
      <w:r w:rsidR="00F23A05">
        <w:rPr>
          <w:rStyle w:val="CETCaptionCarattere"/>
        </w:rPr>
        <w:t>.</w:t>
      </w:r>
      <w:r w:rsidRPr="00BD077D">
        <w:rPr>
          <w:rStyle w:val="CETCaptionCarattere"/>
        </w:rPr>
        <w:t xml:space="preserve"> </w:t>
      </w:r>
    </w:p>
    <w:p w14:paraId="7D3005DF" w14:textId="77777777" w:rsidR="00874056" w:rsidRDefault="00874056" w:rsidP="001877FD">
      <w:pPr>
        <w:pStyle w:val="CETBodytext"/>
      </w:pPr>
    </w:p>
    <w:p w14:paraId="1F96CA21" w14:textId="211F850F" w:rsidR="00600535" w:rsidRPr="00B57B36" w:rsidRDefault="00B31F84" w:rsidP="00FA5F5F">
      <w:pPr>
        <w:pStyle w:val="CETheadingx"/>
      </w:pPr>
      <w:r>
        <w:t xml:space="preserve">Pool evaporation at height from a </w:t>
      </w:r>
      <w:r w:rsidR="00E26112">
        <w:t xml:space="preserve">storage </w:t>
      </w:r>
      <w:r>
        <w:t>tank</w:t>
      </w:r>
    </w:p>
    <w:p w14:paraId="7FD42486" w14:textId="0A03787B" w:rsidR="00600535" w:rsidRDefault="007E77CB" w:rsidP="00E26112">
      <w:pPr>
        <w:pStyle w:val="CETListbullets"/>
        <w:ind w:left="0" w:firstLine="0"/>
      </w:pPr>
      <w:r>
        <w:t>Instead of a bund, s</w:t>
      </w:r>
      <w:r w:rsidR="00E26112">
        <w:t>torage tanks</w:t>
      </w:r>
      <w:r>
        <w:t xml:space="preserve"> </w:t>
      </w:r>
      <w:r w:rsidR="00873B3A">
        <w:t xml:space="preserve">may </w:t>
      </w:r>
      <w:r>
        <w:t xml:space="preserve">feature a secondary outer compartment </w:t>
      </w:r>
      <w:r w:rsidR="00873B3A">
        <w:t>to contain</w:t>
      </w:r>
      <w:r w:rsidR="00AE0341">
        <w:t xml:space="preserve"> the </w:t>
      </w:r>
      <w:r w:rsidR="00913794">
        <w:t xml:space="preserve">inventory </w:t>
      </w:r>
      <w:r>
        <w:t>in the case of a failure of the inner</w:t>
      </w:r>
      <w:r w:rsidR="00AE0341">
        <w:t xml:space="preserve"> compartment</w:t>
      </w:r>
      <w:r w:rsidR="00913794">
        <w:t>. This lead</w:t>
      </w:r>
      <w:r w:rsidR="00736CF7">
        <w:t>s</w:t>
      </w:r>
      <w:r w:rsidR="00913794">
        <w:t xml:space="preserve"> to a </w:t>
      </w:r>
      <w:r w:rsidR="008E264D">
        <w:t xml:space="preserve">pool </w:t>
      </w:r>
      <w:r w:rsidR="00FB18CD">
        <w:t xml:space="preserve">evaporation </w:t>
      </w:r>
      <w:r w:rsidR="008E264D">
        <w:t>surface at h</w:t>
      </w:r>
      <w:r w:rsidR="00873B3A">
        <w:t>e</w:t>
      </w:r>
      <w:r w:rsidR="008E264D">
        <w:t xml:space="preserve">ight in a circular shape </w:t>
      </w:r>
      <w:r w:rsidR="008E264D">
        <w:lastRenderedPageBreak/>
        <w:t>around the inner compartment.</w:t>
      </w:r>
      <w:r w:rsidR="00FB18CD">
        <w:t xml:space="preserve"> From this pool, the liquid will evaporate and be entrained into the wake of the tank structure. </w:t>
      </w:r>
      <w:r w:rsidR="001920D6">
        <w:t xml:space="preserve">Since this is a more complex case </w:t>
      </w:r>
      <w:r w:rsidR="00885DB7">
        <w:t>than</w:t>
      </w:r>
      <w:r w:rsidR="001920D6">
        <w:t xml:space="preserve"> a sing</w:t>
      </w:r>
      <w:r w:rsidR="00885DB7">
        <w:t>l</w:t>
      </w:r>
      <w:r w:rsidR="001920D6">
        <w:t>e obstacle, this case was both modelled with the EFFEC</w:t>
      </w:r>
      <w:r w:rsidR="00DD6AB0">
        <w:t>TS</w:t>
      </w:r>
      <w:r w:rsidR="001920D6">
        <w:t xml:space="preserve"> building wake model</w:t>
      </w:r>
      <w:r w:rsidR="00DD6AB0">
        <w:t xml:space="preserve"> and </w:t>
      </w:r>
      <w:r w:rsidR="00885DB7">
        <w:t xml:space="preserve">with </w:t>
      </w:r>
      <w:r w:rsidR="00DD6AB0">
        <w:t>FLACS</w:t>
      </w:r>
      <w:r w:rsidR="00D037EE">
        <w:t xml:space="preserve"> for an ammonia storage tank</w:t>
      </w:r>
      <w:r w:rsidR="00DD6AB0">
        <w:t xml:space="preserve">. The pool evaporation source term was calculated </w:t>
      </w:r>
      <w:r w:rsidR="00885DB7">
        <w:t>in</w:t>
      </w:r>
      <w:r w:rsidR="00DD6AB0">
        <w:t xml:space="preserve"> EFFECTS and </w:t>
      </w:r>
      <w:r w:rsidR="0017730F">
        <w:t>also applied to the FLACS calculation</w:t>
      </w:r>
      <w:r w:rsidR="00885DB7">
        <w:t>, so as</w:t>
      </w:r>
      <w:r w:rsidR="0017730F">
        <w:t xml:space="preserve"> to </w:t>
      </w:r>
      <w:r w:rsidR="00885DB7">
        <w:t xml:space="preserve">ensure </w:t>
      </w:r>
      <w:r w:rsidR="0017730F">
        <w:t xml:space="preserve">consistent </w:t>
      </w:r>
      <w:r w:rsidR="00D037EE">
        <w:t xml:space="preserve">gaseous </w:t>
      </w:r>
      <w:r w:rsidR="0017730F">
        <w:t>source terms</w:t>
      </w:r>
      <w:r w:rsidR="00885DB7">
        <w:t xml:space="preserve"> between the two models</w:t>
      </w:r>
      <w:r w:rsidR="0017730F">
        <w:t>.</w:t>
      </w:r>
      <w:r w:rsidR="006F3EC1">
        <w:t xml:space="preserve"> The storage </w:t>
      </w:r>
      <w:r w:rsidR="00885DB7">
        <w:t xml:space="preserve">tank </w:t>
      </w:r>
      <w:r w:rsidR="006F3EC1">
        <w:t>has a diameter and height of 20</w:t>
      </w:r>
      <w:r w:rsidR="00885DB7">
        <w:t xml:space="preserve"> </w:t>
      </w:r>
      <w:r w:rsidR="006F3EC1">
        <w:t>m</w:t>
      </w:r>
      <w:r w:rsidR="00DD0B67">
        <w:t>; the secondary outer compartment is 10</w:t>
      </w:r>
      <w:r w:rsidR="00885DB7">
        <w:t xml:space="preserve"> </w:t>
      </w:r>
      <w:r w:rsidR="00DD0B67">
        <w:t>m high and has a diameter of 30</w:t>
      </w:r>
      <w:r w:rsidR="00885DB7">
        <w:t xml:space="preserve"> </w:t>
      </w:r>
      <w:r w:rsidR="00DD0B67">
        <w:t>m. The source term is a</w:t>
      </w:r>
      <w:r w:rsidR="00DB0A1E">
        <w:t xml:space="preserve"> at the top of the outer compartment (area 400</w:t>
      </w:r>
      <w:r w:rsidR="00885DB7">
        <w:t xml:space="preserve"> </w:t>
      </w:r>
      <w:r w:rsidR="00DB0A1E">
        <w:t>m</w:t>
      </w:r>
      <w:r w:rsidR="00DB0A1E" w:rsidRPr="00D04A34">
        <w:rPr>
          <w:vertAlign w:val="superscript"/>
        </w:rPr>
        <w:t>2</w:t>
      </w:r>
      <w:r w:rsidR="00DB0A1E">
        <w:t>); the release source term is 4.5</w:t>
      </w:r>
      <w:r w:rsidR="00885DB7">
        <w:t xml:space="preserve"> </w:t>
      </w:r>
      <w:r w:rsidR="00DB0A1E">
        <w:t xml:space="preserve">kg/s. </w:t>
      </w:r>
      <w:r w:rsidR="00D70382">
        <w:t>The wind speed is 2</w:t>
      </w:r>
      <w:r w:rsidR="00885DB7">
        <w:t xml:space="preserve"> </w:t>
      </w:r>
      <w:r w:rsidR="00D70382">
        <w:t>m/s</w:t>
      </w:r>
      <w:r w:rsidR="00AF4FD3">
        <w:t xml:space="preserve"> and the surface roughness length 0.3</w:t>
      </w:r>
      <w:r w:rsidR="00885DB7">
        <w:t xml:space="preserve"> </w:t>
      </w:r>
      <w:r w:rsidR="00AF4FD3">
        <w:t xml:space="preserve">m. </w:t>
      </w:r>
      <w:r w:rsidR="00C619C6">
        <w:t xml:space="preserve">The virtual source was defined </w:t>
      </w:r>
      <w:r w:rsidR="00FD0782">
        <w:t>with a height of 20</w:t>
      </w:r>
      <w:r w:rsidR="00885DB7">
        <w:t xml:space="preserve"> </w:t>
      </w:r>
      <w:r w:rsidR="00FD0782">
        <w:t>m and a width of 25</w:t>
      </w:r>
      <w:r w:rsidR="00885DB7">
        <w:t xml:space="preserve"> </w:t>
      </w:r>
      <w:r w:rsidR="00FD0782">
        <w:t>m to match the cross section of the setup and the overall height</w:t>
      </w:r>
      <w:r w:rsidR="00C80871">
        <w:t xml:space="preserve">. </w:t>
      </w:r>
      <w:r w:rsidR="00DD0B67">
        <w:t xml:space="preserve">The FLACS solution </w:t>
      </w:r>
      <w:r w:rsidR="00885DB7">
        <w:t xml:space="preserve">for </w:t>
      </w:r>
      <w:r w:rsidR="00D037EE">
        <w:t xml:space="preserve">the </w:t>
      </w:r>
      <w:r w:rsidR="00951B22">
        <w:t xml:space="preserve">dispersion is </w:t>
      </w:r>
      <w:r w:rsidR="00885DB7">
        <w:t xml:space="preserve">shown </w:t>
      </w:r>
      <w:r w:rsidR="00951B22">
        <w:t>in Figure 6</w:t>
      </w:r>
      <w:r w:rsidR="00885DB7">
        <w:t xml:space="preserve"> with an aerial view and a plume cross section</w:t>
      </w:r>
      <w:r w:rsidR="00951B22">
        <w:t>.</w:t>
      </w:r>
      <w:r w:rsidR="003B2A29">
        <w:t xml:space="preserve"> The plume sideview in EFFECTS </w:t>
      </w:r>
      <w:r w:rsidR="00885DB7">
        <w:t xml:space="preserve">is </w:t>
      </w:r>
      <w:r w:rsidR="003B2A29">
        <w:t>shown in Figure 7.</w:t>
      </w:r>
      <w:r w:rsidR="00930955">
        <w:t xml:space="preserve"> Here, the origin of the virtual source was kept in the </w:t>
      </w:r>
      <w:r w:rsidR="00885DB7">
        <w:t>centre</w:t>
      </w:r>
      <w:r w:rsidR="00930955">
        <w:t xml:space="preserve"> of the tank since the</w:t>
      </w:r>
      <w:r w:rsidR="00D26C66">
        <w:t xml:space="preserve"> flow</w:t>
      </w:r>
      <w:r w:rsidR="00930955">
        <w:t xml:space="preserve"> </w:t>
      </w:r>
      <w:r w:rsidR="00D26C66">
        <w:t>separation</w:t>
      </w:r>
      <w:r w:rsidR="00885DB7">
        <w:t>,</w:t>
      </w:r>
      <w:r w:rsidR="00D26C66">
        <w:t xml:space="preserve"> and therefore the mixing process</w:t>
      </w:r>
      <w:r w:rsidR="00885DB7">
        <w:t>,</w:t>
      </w:r>
      <w:r w:rsidR="00D26C66">
        <w:t xml:space="preserve"> begins at the maximum width.</w:t>
      </w:r>
      <w:r w:rsidR="0023122C">
        <w:t xml:space="preserve"> </w:t>
      </w:r>
    </w:p>
    <w:p w14:paraId="0804D7DF" w14:textId="77777777" w:rsidR="00C80871" w:rsidRDefault="00C80871" w:rsidP="00E26112">
      <w:pPr>
        <w:pStyle w:val="CETListbullets"/>
        <w:ind w:left="0" w:firstLine="0"/>
      </w:pPr>
    </w:p>
    <w:p w14:paraId="075CF8BD" w14:textId="5F9091F8" w:rsidR="0094662E" w:rsidRDefault="002C11B7" w:rsidP="00E26112">
      <w:pPr>
        <w:pStyle w:val="CETListbullets"/>
        <w:ind w:left="0" w:firstLine="0"/>
        <w:rPr>
          <w:rStyle w:val="CETCaptionCarattere"/>
        </w:rPr>
      </w:pPr>
      <w:r>
        <w:rPr>
          <w:noProof/>
        </w:rPr>
        <w:drawing>
          <wp:anchor distT="0" distB="0" distL="114300" distR="114300" simplePos="0" relativeHeight="251658243" behindDoc="0" locked="0" layoutInCell="1" allowOverlap="1" wp14:anchorId="483CB26E" wp14:editId="5DFF3902">
            <wp:simplePos x="0" y="0"/>
            <wp:positionH relativeFrom="column">
              <wp:posOffset>2185670</wp:posOffset>
            </wp:positionH>
            <wp:positionV relativeFrom="paragraph">
              <wp:posOffset>553085</wp:posOffset>
            </wp:positionV>
            <wp:extent cx="3172570" cy="1005205"/>
            <wp:effectExtent l="0" t="0" r="8890" b="4445"/>
            <wp:wrapNone/>
            <wp:docPr id="1343906525" name="Picture 1">
              <a:extLst xmlns:a="http://schemas.openxmlformats.org/drawingml/2006/main">
                <a:ext uri="{FF2B5EF4-FFF2-40B4-BE49-F238E27FC236}">
                  <a16:creationId xmlns:a16="http://schemas.microsoft.com/office/drawing/2014/main" id="{CFFE78AD-61B7-D514-67B3-5328890672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50271" name="Picture 1017650271">
                      <a:extLst>
                        <a:ext uri="{FF2B5EF4-FFF2-40B4-BE49-F238E27FC236}">
                          <a16:creationId xmlns:a16="http://schemas.microsoft.com/office/drawing/2014/main" id="{CFFE78AD-61B7-D514-67B3-53288906729D}"/>
                        </a:ext>
                      </a:extLst>
                    </pic:cNvPr>
                    <pic:cNvPicPr>
                      <a:picLocks noChangeAspect="1"/>
                    </pic:cNvPicPr>
                  </pic:nvPicPr>
                  <pic:blipFill>
                    <a:blip r:embed="rId17"/>
                    <a:srcRect t="30766" r="19775" b="30619"/>
                    <a:stretch>
                      <a:fillRect/>
                    </a:stretch>
                  </pic:blipFill>
                  <pic:spPr>
                    <a:xfrm>
                      <a:off x="0" y="0"/>
                      <a:ext cx="3172570" cy="1005205"/>
                    </a:xfrm>
                    <a:prstGeom prst="rect">
                      <a:avLst/>
                    </a:prstGeom>
                  </pic:spPr>
                </pic:pic>
              </a:graphicData>
            </a:graphic>
            <wp14:sizeRelH relativeFrom="margin">
              <wp14:pctWidth>0</wp14:pctWidth>
            </wp14:sizeRelH>
          </wp:anchor>
        </w:drawing>
      </w:r>
      <w:r w:rsidR="0094662E" w:rsidRPr="0094662E">
        <w:rPr>
          <w:i/>
          <w:noProof/>
        </w:rPr>
        <w:drawing>
          <wp:inline distT="0" distB="0" distL="0" distR="0" wp14:anchorId="5EDC5D02" wp14:editId="1050E507">
            <wp:extent cx="3067695" cy="1609090"/>
            <wp:effectExtent l="0" t="0" r="0" b="0"/>
            <wp:docPr id="988202796" name="Picture 4">
              <a:extLst xmlns:a="http://schemas.openxmlformats.org/drawingml/2006/main">
                <a:ext uri="{FF2B5EF4-FFF2-40B4-BE49-F238E27FC236}">
                  <a16:creationId xmlns:a16="http://schemas.microsoft.com/office/drawing/2014/main" id="{366D37B8-0C4C-CC40-8E6E-C7B15DC0B2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66D37B8-0C4C-CC40-8E6E-C7B15DC0B2D0}"/>
                        </a:ext>
                      </a:extLst>
                    </pic:cNvPr>
                    <pic:cNvPicPr>
                      <a:picLocks noChangeAspect="1"/>
                    </pic:cNvPicPr>
                  </pic:nvPicPr>
                  <pic:blipFill rotWithShape="1">
                    <a:blip r:embed="rId18"/>
                    <a:srcRect t="24419" r="26958" b="8599"/>
                    <a:stretch>
                      <a:fillRect/>
                    </a:stretch>
                  </pic:blipFill>
                  <pic:spPr bwMode="auto">
                    <a:xfrm>
                      <a:off x="0" y="0"/>
                      <a:ext cx="3072195" cy="1611450"/>
                    </a:xfrm>
                    <a:prstGeom prst="rect">
                      <a:avLst/>
                    </a:prstGeom>
                    <a:ln>
                      <a:noFill/>
                    </a:ln>
                    <a:extLst>
                      <a:ext uri="{53640926-AAD7-44D8-BBD7-CCE9431645EC}">
                        <a14:shadowObscured xmlns:a14="http://schemas.microsoft.com/office/drawing/2010/main"/>
                      </a:ext>
                    </a:extLst>
                  </pic:spPr>
                </pic:pic>
              </a:graphicData>
            </a:graphic>
          </wp:inline>
        </w:drawing>
      </w:r>
    </w:p>
    <w:p w14:paraId="28454A12" w14:textId="661ECBA1" w:rsidR="0017730F" w:rsidRPr="00B57B36" w:rsidRDefault="0094662E" w:rsidP="00E26112">
      <w:pPr>
        <w:pStyle w:val="CETListbullets"/>
        <w:ind w:left="0" w:firstLine="0"/>
      </w:pPr>
      <w:r w:rsidRPr="00BD077D">
        <w:rPr>
          <w:rStyle w:val="CETCaptionCarattere"/>
        </w:rPr>
        <w:t xml:space="preserve">Figure </w:t>
      </w:r>
      <w:r>
        <w:rPr>
          <w:rStyle w:val="CETCaptionCarattere"/>
        </w:rPr>
        <w:t xml:space="preserve">6: </w:t>
      </w:r>
      <w:r w:rsidR="002C11B7">
        <w:rPr>
          <w:rStyle w:val="CETCaptionCarattere"/>
        </w:rPr>
        <w:t>F</w:t>
      </w:r>
      <w:r w:rsidR="00964A07">
        <w:rPr>
          <w:rStyle w:val="CETCaptionCarattere"/>
        </w:rPr>
        <w:t>LACS</w:t>
      </w:r>
      <w:r w:rsidR="002C11B7">
        <w:rPr>
          <w:rStyle w:val="CETCaptionCarattere"/>
        </w:rPr>
        <w:t xml:space="preserve"> simulation of ta</w:t>
      </w:r>
      <w:r w:rsidR="00E37230">
        <w:rPr>
          <w:rStyle w:val="CETCaptionCarattere"/>
        </w:rPr>
        <w:t>nk scenario: 3D dispersion (left) and plume sideview contours by ammonia volume fractions of between 0.0015 and 0.01(</w:t>
      </w:r>
      <w:r w:rsidR="000624B7">
        <w:rPr>
          <w:rStyle w:val="CETCaptionCarattere"/>
        </w:rPr>
        <w:t>right</w:t>
      </w:r>
      <w:r w:rsidR="00E37230">
        <w:rPr>
          <w:rStyle w:val="CETCaptionCarattere"/>
        </w:rPr>
        <w:t>)</w:t>
      </w:r>
    </w:p>
    <w:p w14:paraId="6AF5A268" w14:textId="10D36F1B" w:rsidR="00560F87" w:rsidRDefault="00560F87" w:rsidP="00940FA1">
      <w:pPr>
        <w:pStyle w:val="CETBodytext"/>
        <w:rPr>
          <w:lang w:val="en-GB"/>
        </w:rPr>
      </w:pPr>
    </w:p>
    <w:p w14:paraId="625CFCFC" w14:textId="1A5A24DF" w:rsidR="00560F87" w:rsidRDefault="00E37230" w:rsidP="00940FA1">
      <w:pPr>
        <w:pStyle w:val="CETBodytext"/>
        <w:rPr>
          <w:lang w:val="en-GB"/>
        </w:rPr>
      </w:pPr>
      <w:r>
        <w:rPr>
          <w:noProof/>
          <w:lang w:val="en-GB"/>
        </w:rPr>
        <w:drawing>
          <wp:anchor distT="0" distB="0" distL="114300" distR="114300" simplePos="0" relativeHeight="251658242" behindDoc="0" locked="0" layoutInCell="1" allowOverlap="1" wp14:anchorId="322CFD91" wp14:editId="5911F843">
            <wp:simplePos x="0" y="0"/>
            <wp:positionH relativeFrom="column">
              <wp:posOffset>579562</wp:posOffset>
            </wp:positionH>
            <wp:positionV relativeFrom="paragraph">
              <wp:posOffset>19050</wp:posOffset>
            </wp:positionV>
            <wp:extent cx="4357315" cy="781050"/>
            <wp:effectExtent l="0" t="0" r="5715" b="0"/>
            <wp:wrapNone/>
            <wp:docPr id="585402791" name="Picture 8">
              <a:extLst xmlns:a="http://schemas.openxmlformats.org/drawingml/2006/main">
                <a:ext uri="{FF2B5EF4-FFF2-40B4-BE49-F238E27FC236}">
                  <a16:creationId xmlns:a16="http://schemas.microsoft.com/office/drawing/2014/main" id="{7708635E-19C6-317D-2D0D-6ADD5C7AF3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02791" name="Picture 585402791">
                      <a:extLst>
                        <a:ext uri="{FF2B5EF4-FFF2-40B4-BE49-F238E27FC236}">
                          <a16:creationId xmlns:a16="http://schemas.microsoft.com/office/drawing/2014/main" id="{7708635E-19C6-317D-2D0D-6ADD5C7AF39E}"/>
                        </a:ext>
                      </a:extLst>
                    </pic:cNvPr>
                    <pic:cNvPicPr>
                      <a:picLocks noChangeAspect="1"/>
                    </pic:cNvPicPr>
                  </pic:nvPicPr>
                  <pic:blipFill rotWithShape="1">
                    <a:blip r:embed="rId19"/>
                    <a:srcRect t="75025" r="8240"/>
                    <a:stretch>
                      <a:fillRect/>
                    </a:stretch>
                  </pic:blipFill>
                  <pic:spPr bwMode="auto">
                    <a:xfrm>
                      <a:off x="0" y="0"/>
                      <a:ext cx="4357315"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EB74D7" w14:textId="77777777" w:rsidR="00560F87" w:rsidRDefault="00560F87" w:rsidP="00940FA1">
      <w:pPr>
        <w:pStyle w:val="CETBodytext"/>
        <w:rPr>
          <w:lang w:val="en-GB"/>
        </w:rPr>
      </w:pPr>
    </w:p>
    <w:p w14:paraId="5BE007D7" w14:textId="77777777" w:rsidR="00560F87" w:rsidRDefault="00560F87" w:rsidP="00940FA1">
      <w:pPr>
        <w:pStyle w:val="CETBodytext"/>
        <w:rPr>
          <w:lang w:val="en-GB"/>
        </w:rPr>
      </w:pPr>
    </w:p>
    <w:p w14:paraId="706B1070" w14:textId="77777777" w:rsidR="00560F87" w:rsidRDefault="00560F87" w:rsidP="00940FA1">
      <w:pPr>
        <w:pStyle w:val="CETBodytext"/>
        <w:rPr>
          <w:lang w:val="en-GB"/>
        </w:rPr>
      </w:pPr>
    </w:p>
    <w:p w14:paraId="20876975" w14:textId="77777777" w:rsidR="00560F87" w:rsidRDefault="00560F87" w:rsidP="00940FA1">
      <w:pPr>
        <w:pStyle w:val="CETBodytext"/>
        <w:rPr>
          <w:lang w:val="en-GB"/>
        </w:rPr>
      </w:pPr>
    </w:p>
    <w:p w14:paraId="151799D3" w14:textId="77777777" w:rsidR="00FF3A08" w:rsidRDefault="00FF3A08" w:rsidP="00FF3A08">
      <w:pPr>
        <w:pStyle w:val="CETListbullets"/>
        <w:ind w:left="0" w:firstLine="0"/>
        <w:rPr>
          <w:rStyle w:val="CETCaptionCarattere"/>
        </w:rPr>
      </w:pPr>
    </w:p>
    <w:p w14:paraId="08D78DF0" w14:textId="7BD1E892" w:rsidR="00FF3A08" w:rsidRDefault="00FF3A08" w:rsidP="00FF3A08">
      <w:pPr>
        <w:pStyle w:val="CETListbullets"/>
        <w:ind w:left="0" w:firstLine="0"/>
        <w:rPr>
          <w:rStyle w:val="CETCaptionCarattere"/>
        </w:rPr>
      </w:pPr>
      <w:r w:rsidRPr="00BD077D">
        <w:rPr>
          <w:rStyle w:val="CETCaptionCarattere"/>
        </w:rPr>
        <w:t xml:space="preserve">Figure </w:t>
      </w:r>
      <w:r>
        <w:rPr>
          <w:rStyle w:val="CETCaptionCarattere"/>
        </w:rPr>
        <w:t xml:space="preserve">7: </w:t>
      </w:r>
      <w:r w:rsidR="00F94F21">
        <w:rPr>
          <w:rStyle w:val="CETCaptionCarattere"/>
        </w:rPr>
        <w:t>Plume sideview contours</w:t>
      </w:r>
      <w:r w:rsidR="00176891">
        <w:rPr>
          <w:rStyle w:val="CETCaptionCarattere"/>
        </w:rPr>
        <w:t xml:space="preserve"> </w:t>
      </w:r>
      <w:r w:rsidR="004F26BB">
        <w:rPr>
          <w:rStyle w:val="CETCaptionCarattere"/>
        </w:rPr>
        <w:t xml:space="preserve">by </w:t>
      </w:r>
      <w:r w:rsidR="002211E4">
        <w:rPr>
          <w:rStyle w:val="CETCaptionCarattere"/>
        </w:rPr>
        <w:t xml:space="preserve">ammonia </w:t>
      </w:r>
      <w:r w:rsidR="004F26BB">
        <w:rPr>
          <w:rStyle w:val="CETCaptionCarattere"/>
        </w:rPr>
        <w:t>volume fractions of 0.0015</w:t>
      </w:r>
      <w:r w:rsidR="002211E4">
        <w:rPr>
          <w:rStyle w:val="CETCaptionCarattere"/>
        </w:rPr>
        <w:t xml:space="preserve"> </w:t>
      </w:r>
      <w:r w:rsidR="00E37230">
        <w:rPr>
          <w:rStyle w:val="CETCaptionCarattere"/>
        </w:rPr>
        <w:t>for</w:t>
      </w:r>
      <w:r w:rsidR="003C312C">
        <w:rPr>
          <w:rStyle w:val="CETCaptionCarattere"/>
        </w:rPr>
        <w:t xml:space="preserve"> </w:t>
      </w:r>
      <w:r w:rsidR="00176891">
        <w:rPr>
          <w:rStyle w:val="CETCaptionCarattere"/>
        </w:rPr>
        <w:t>EFFECTS</w:t>
      </w:r>
      <w:r w:rsidR="003C312C">
        <w:rPr>
          <w:rStyle w:val="CETCaptionCarattere"/>
        </w:rPr>
        <w:t xml:space="preserve"> </w:t>
      </w:r>
      <w:r w:rsidR="00614E99">
        <w:rPr>
          <w:rStyle w:val="CETCaptionCarattere"/>
        </w:rPr>
        <w:t xml:space="preserve">integral </w:t>
      </w:r>
      <w:r w:rsidR="003C312C">
        <w:rPr>
          <w:rStyle w:val="CETCaptionCarattere"/>
        </w:rPr>
        <w:t>dispersion model</w:t>
      </w:r>
      <w:r w:rsidR="00A14F80">
        <w:rPr>
          <w:rStyle w:val="CETCaptionCarattere"/>
        </w:rPr>
        <w:t xml:space="preserve"> with </w:t>
      </w:r>
      <w:r w:rsidR="003B2A29">
        <w:rPr>
          <w:rStyle w:val="CETCaptionCarattere"/>
        </w:rPr>
        <w:t>building wake</w:t>
      </w:r>
      <w:r w:rsidR="003C312C">
        <w:rPr>
          <w:rStyle w:val="CETCaptionCarattere"/>
        </w:rPr>
        <w:t xml:space="preserve"> (green)</w:t>
      </w:r>
      <w:r w:rsidR="00F77166">
        <w:rPr>
          <w:rStyle w:val="CETCaptionCarattere"/>
        </w:rPr>
        <w:t xml:space="preserve">, neutral gas </w:t>
      </w:r>
      <w:r w:rsidR="00614E99">
        <w:rPr>
          <w:rStyle w:val="CETCaptionCarattere"/>
        </w:rPr>
        <w:t xml:space="preserve">dispersion </w:t>
      </w:r>
      <w:r w:rsidR="00F77166">
        <w:rPr>
          <w:rStyle w:val="CETCaptionCarattere"/>
        </w:rPr>
        <w:t>model (pool at 10</w:t>
      </w:r>
      <w:r w:rsidR="00885DB7">
        <w:rPr>
          <w:rStyle w:val="CETCaptionCarattere"/>
        </w:rPr>
        <w:t xml:space="preserve"> </w:t>
      </w:r>
      <w:r w:rsidR="00F77166">
        <w:rPr>
          <w:rStyle w:val="CETCaptionCarattere"/>
        </w:rPr>
        <w:t>m) and po</w:t>
      </w:r>
      <w:r w:rsidR="008B0BEF">
        <w:rPr>
          <w:rStyle w:val="CETCaptionCarattere"/>
        </w:rPr>
        <w:t>o</w:t>
      </w:r>
      <w:r w:rsidR="00F77166">
        <w:rPr>
          <w:rStyle w:val="CETCaptionCarattere"/>
        </w:rPr>
        <w:t>l at ground (blue)</w:t>
      </w:r>
      <w:r w:rsidR="00176891">
        <w:rPr>
          <w:rStyle w:val="CETCaptionCarattere"/>
        </w:rPr>
        <w:t xml:space="preserve"> </w:t>
      </w:r>
      <w:r w:rsidR="003B2A29">
        <w:rPr>
          <w:rStyle w:val="CETCaptionCarattere"/>
        </w:rPr>
        <w:t>for 600</w:t>
      </w:r>
      <w:r w:rsidR="00885DB7">
        <w:rPr>
          <w:rStyle w:val="CETCaptionCarattere"/>
        </w:rPr>
        <w:t xml:space="preserve"> </w:t>
      </w:r>
      <w:r w:rsidR="003B2A29">
        <w:rPr>
          <w:rStyle w:val="CETCaptionCarattere"/>
        </w:rPr>
        <w:t>s time averaging</w:t>
      </w:r>
      <w:r w:rsidR="00885DB7">
        <w:rPr>
          <w:rStyle w:val="CETCaptionCarattere"/>
        </w:rPr>
        <w:t>.</w:t>
      </w:r>
    </w:p>
    <w:p w14:paraId="09B52C6B" w14:textId="77777777" w:rsidR="000624B7" w:rsidRPr="00B57B36" w:rsidRDefault="000624B7" w:rsidP="00FF3A08">
      <w:pPr>
        <w:pStyle w:val="CETListbullets"/>
        <w:ind w:left="0" w:firstLine="0"/>
      </w:pPr>
    </w:p>
    <w:p w14:paraId="0590CB86" w14:textId="3FFF6F7B" w:rsidR="00560F87" w:rsidRDefault="002652AF" w:rsidP="00940FA1">
      <w:pPr>
        <w:pStyle w:val="CETBodytext"/>
        <w:rPr>
          <w:lang w:val="en-GB"/>
        </w:rPr>
      </w:pPr>
      <w:r>
        <w:rPr>
          <w:noProof/>
          <w:lang w:val="en-GB"/>
        </w:rPr>
        <w:drawing>
          <wp:inline distT="0" distB="0" distL="0" distR="0" wp14:anchorId="7D99C7C8" wp14:editId="66307F2E">
            <wp:extent cx="2160000" cy="1645200"/>
            <wp:effectExtent l="0" t="0" r="0" b="0"/>
            <wp:docPr id="4428765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0000" cy="1645200"/>
                    </a:xfrm>
                    <a:prstGeom prst="rect">
                      <a:avLst/>
                    </a:prstGeom>
                    <a:noFill/>
                  </pic:spPr>
                </pic:pic>
              </a:graphicData>
            </a:graphic>
          </wp:inline>
        </w:drawing>
      </w:r>
      <w:r w:rsidR="00FF3A08">
        <w:rPr>
          <w:lang w:val="en-GB"/>
        </w:rPr>
        <w:t xml:space="preserve">  </w:t>
      </w:r>
      <w:r w:rsidR="00BC2B48">
        <w:rPr>
          <w:noProof/>
          <w:lang w:val="en-GB"/>
        </w:rPr>
        <w:drawing>
          <wp:inline distT="0" distB="0" distL="0" distR="0" wp14:anchorId="64157C4A" wp14:editId="6D8BEA50">
            <wp:extent cx="2160000" cy="1656000"/>
            <wp:effectExtent l="0" t="0" r="0" b="1905"/>
            <wp:docPr id="11875347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60000" cy="1656000"/>
                    </a:xfrm>
                    <a:prstGeom prst="rect">
                      <a:avLst/>
                    </a:prstGeom>
                    <a:noFill/>
                  </pic:spPr>
                </pic:pic>
              </a:graphicData>
            </a:graphic>
          </wp:inline>
        </w:drawing>
      </w:r>
      <w:r w:rsidR="000545D2">
        <w:rPr>
          <w:lang w:val="en-GB"/>
        </w:rPr>
        <w:t xml:space="preserve">  </w:t>
      </w:r>
      <w:r w:rsidR="00BC2B48">
        <w:rPr>
          <w:lang w:val="en-GB"/>
        </w:rPr>
        <w:t xml:space="preserve"> </w:t>
      </w:r>
    </w:p>
    <w:p w14:paraId="25B15C22" w14:textId="5BA1A8C8" w:rsidR="0023122C" w:rsidRPr="0023122C" w:rsidRDefault="00FF3A08" w:rsidP="006D6CBE">
      <w:pPr>
        <w:pStyle w:val="CETListbullets"/>
        <w:ind w:left="0" w:firstLine="0"/>
        <w:rPr>
          <w:i/>
        </w:rPr>
      </w:pPr>
      <w:r w:rsidRPr="00BD077D">
        <w:rPr>
          <w:rStyle w:val="CETCaptionCarattere"/>
        </w:rPr>
        <w:t xml:space="preserve">Figure </w:t>
      </w:r>
      <w:r>
        <w:rPr>
          <w:rStyle w:val="CETCaptionCarattere"/>
        </w:rPr>
        <w:t>8: Comparison</w:t>
      </w:r>
      <w:r w:rsidR="001D731D">
        <w:rPr>
          <w:rStyle w:val="CETCaptionCarattere"/>
        </w:rPr>
        <w:t xml:space="preserve"> of </w:t>
      </w:r>
      <w:r w:rsidR="003B3977">
        <w:rPr>
          <w:rStyle w:val="CETCaptionCarattere"/>
        </w:rPr>
        <w:t xml:space="preserve">concentrations at the ground for </w:t>
      </w:r>
      <w:r w:rsidR="001D731D">
        <w:rPr>
          <w:rStyle w:val="CETCaptionCarattere"/>
        </w:rPr>
        <w:t>FLACS simulations an</w:t>
      </w:r>
      <w:r w:rsidR="00994F21">
        <w:rPr>
          <w:rStyle w:val="CETCaptionCarattere"/>
        </w:rPr>
        <w:t>d EFFECTS neutral gas model</w:t>
      </w:r>
      <w:r w:rsidR="001D731D">
        <w:rPr>
          <w:rStyle w:val="CETCaptionCarattere"/>
        </w:rPr>
        <w:t xml:space="preserve"> (averaging ti</w:t>
      </w:r>
      <w:r w:rsidR="00994F21">
        <w:rPr>
          <w:rStyle w:val="CETCaptionCarattere"/>
        </w:rPr>
        <w:t>m</w:t>
      </w:r>
      <w:r w:rsidR="001D731D">
        <w:rPr>
          <w:rStyle w:val="CETCaptionCarattere"/>
        </w:rPr>
        <w:t>e 600s, left)</w:t>
      </w:r>
      <w:r w:rsidR="00994F21">
        <w:rPr>
          <w:rStyle w:val="CETCaptionCarattere"/>
        </w:rPr>
        <w:t xml:space="preserve"> and EFFECTS dispersion model</w:t>
      </w:r>
      <w:r w:rsidR="001F4546">
        <w:rPr>
          <w:rStyle w:val="CETCaptionCarattere"/>
        </w:rPr>
        <w:t xml:space="preserve"> and neutral gas model for averaging times of 2</w:t>
      </w:r>
      <w:r w:rsidR="000624B7">
        <w:rPr>
          <w:rStyle w:val="CETCaptionCarattere"/>
        </w:rPr>
        <w:t>s</w:t>
      </w:r>
      <w:r w:rsidR="001F4546">
        <w:rPr>
          <w:rStyle w:val="CETCaptionCarattere"/>
        </w:rPr>
        <w:t xml:space="preserve"> and 600s (right)</w:t>
      </w:r>
      <w:r w:rsidR="00885DB7">
        <w:rPr>
          <w:rStyle w:val="CETCaptionCarattere"/>
        </w:rPr>
        <w:t>.</w:t>
      </w:r>
    </w:p>
    <w:p w14:paraId="7494174D" w14:textId="77777777" w:rsidR="00B14051" w:rsidRDefault="00B14051" w:rsidP="00B14051">
      <w:pPr>
        <w:pStyle w:val="CETBodytext"/>
      </w:pPr>
    </w:p>
    <w:p w14:paraId="74055D76" w14:textId="4676D5E0" w:rsidR="00B14051" w:rsidRDefault="00B14051" w:rsidP="00B14051">
      <w:pPr>
        <w:pStyle w:val="CETBodytext"/>
      </w:pPr>
      <w:r>
        <w:t xml:space="preserve">For the EFFECTS neutral gas dispersion model, a pool release at ground height and a pool release at 10 m height were simulated to show the effect of neglecting the building wake. In both cases, this led to a significant overprediction </w:t>
      </w:r>
      <w:r w:rsidR="006C2145">
        <w:t xml:space="preserve">(almost a factor of two) </w:t>
      </w:r>
      <w:r>
        <w:t xml:space="preserve">of the effect distance (Figure 7). In addition, the solution of the EFFECTS neutral gas dispersion model including the building wake is given in Figure 8; the building wake model only shows minor improvements compared with the pool at 10 m height. This is possibly due to the tabulated dispersion coefficients of this model. A relatively good agreement is achieved for the EFFECTS dispersion model </w:t>
      </w:r>
      <w:r>
        <w:lastRenderedPageBreak/>
        <w:t>with building wake (time averaging 600 s), compare Figure 6 (right), 7 and 8 (right). This model shows a faster decay in concentration for both averaging times compared with the neutral gas dispersion model as can be seen in Figure 8. Overall, the building wake model in the EFFECTS integral dispersion model, with 600 s time-averaging shows the best agreement with the FLACS CFD solution. At larger distances, the effect of the building wake vanishes as expected.</w:t>
      </w:r>
    </w:p>
    <w:p w14:paraId="68D26B83" w14:textId="1449F6F7" w:rsidR="00600535" w:rsidRPr="00B57B36" w:rsidRDefault="00600535" w:rsidP="00600535">
      <w:pPr>
        <w:pStyle w:val="CETHeading1"/>
        <w:rPr>
          <w:lang w:val="en-GB"/>
        </w:rPr>
      </w:pPr>
      <w:r w:rsidRPr="00B57B36">
        <w:rPr>
          <w:lang w:val="en-GB"/>
        </w:rPr>
        <w:t>Conclusions</w:t>
      </w:r>
    </w:p>
    <w:p w14:paraId="7F72BCBA" w14:textId="5F845B60" w:rsidR="006A6EEB" w:rsidRDefault="00622B5F" w:rsidP="00600535">
      <w:pPr>
        <w:pStyle w:val="CETBodytext"/>
        <w:rPr>
          <w:lang w:val="en-GB"/>
        </w:rPr>
      </w:pPr>
      <w:r>
        <w:rPr>
          <w:lang w:val="en-GB"/>
        </w:rPr>
        <w:t>In the present paper</w:t>
      </w:r>
      <w:r w:rsidR="007766AF">
        <w:rPr>
          <w:lang w:val="en-GB"/>
        </w:rPr>
        <w:t>,</w:t>
      </w:r>
      <w:r>
        <w:rPr>
          <w:lang w:val="en-GB"/>
        </w:rPr>
        <w:t xml:space="preserve"> </w:t>
      </w:r>
      <w:r w:rsidR="00716004">
        <w:rPr>
          <w:lang w:val="en-GB"/>
        </w:rPr>
        <w:t xml:space="preserve">the implementation of </w:t>
      </w:r>
      <w:r>
        <w:rPr>
          <w:lang w:val="en-GB"/>
        </w:rPr>
        <w:t>a simple building wake model in the integral</w:t>
      </w:r>
      <w:r w:rsidR="0060511D">
        <w:rPr>
          <w:lang w:val="en-GB"/>
        </w:rPr>
        <w:t xml:space="preserve"> dispersion model </w:t>
      </w:r>
      <w:r w:rsidR="00852C5E">
        <w:rPr>
          <w:lang w:val="en-GB"/>
        </w:rPr>
        <w:t xml:space="preserve">used in </w:t>
      </w:r>
      <w:r w:rsidR="0060511D">
        <w:rPr>
          <w:lang w:val="en-GB"/>
        </w:rPr>
        <w:t>EFFECTS</w:t>
      </w:r>
      <w:r w:rsidR="009E6934">
        <w:rPr>
          <w:lang w:val="en-GB"/>
        </w:rPr>
        <w:t xml:space="preserve"> is presented</w:t>
      </w:r>
      <w:r w:rsidR="0060511D">
        <w:rPr>
          <w:lang w:val="en-GB"/>
        </w:rPr>
        <w:t xml:space="preserve"> and</w:t>
      </w:r>
      <w:r w:rsidR="00852C5E">
        <w:rPr>
          <w:lang w:val="en-GB"/>
        </w:rPr>
        <w:t xml:space="preserve"> was</w:t>
      </w:r>
      <w:r w:rsidR="0060511D">
        <w:rPr>
          <w:lang w:val="en-GB"/>
        </w:rPr>
        <w:t xml:space="preserve"> compared with </w:t>
      </w:r>
      <w:r w:rsidR="002830C1">
        <w:rPr>
          <w:lang w:val="en-GB"/>
        </w:rPr>
        <w:t xml:space="preserve">dispersion </w:t>
      </w:r>
      <w:r w:rsidR="0060511D">
        <w:rPr>
          <w:lang w:val="en-GB"/>
        </w:rPr>
        <w:t>data from CFD for different building wake scenarios</w:t>
      </w:r>
      <w:r w:rsidR="00852C5E">
        <w:rPr>
          <w:lang w:val="en-GB"/>
        </w:rPr>
        <w:t>, and with the neutral gas dispersion model in EFFECTS.</w:t>
      </w:r>
      <w:r w:rsidR="002830C1">
        <w:rPr>
          <w:lang w:val="en-GB"/>
        </w:rPr>
        <w:t xml:space="preserve"> The </w:t>
      </w:r>
      <w:r w:rsidR="00EC2B38">
        <w:rPr>
          <w:lang w:val="en-GB"/>
        </w:rPr>
        <w:t>b</w:t>
      </w:r>
      <w:r w:rsidR="002830C1">
        <w:rPr>
          <w:lang w:val="en-GB"/>
        </w:rPr>
        <w:t xml:space="preserve">uilding wake model </w:t>
      </w:r>
      <w:r w:rsidR="00541D2A">
        <w:rPr>
          <w:lang w:val="en-GB"/>
        </w:rPr>
        <w:t>in the</w:t>
      </w:r>
      <w:r w:rsidR="00FC2723">
        <w:rPr>
          <w:lang w:val="en-GB"/>
        </w:rPr>
        <w:t xml:space="preserve"> </w:t>
      </w:r>
      <w:r w:rsidR="004F0717">
        <w:rPr>
          <w:lang w:val="en-GB"/>
        </w:rPr>
        <w:t xml:space="preserve">integral </w:t>
      </w:r>
      <w:r w:rsidR="00541D2A">
        <w:rPr>
          <w:lang w:val="en-GB"/>
        </w:rPr>
        <w:t>dispersion mode</w:t>
      </w:r>
      <w:r w:rsidR="004F0717">
        <w:rPr>
          <w:lang w:val="en-GB"/>
        </w:rPr>
        <w:t>l resolves more physical effects compared with the neutral gas model</w:t>
      </w:r>
      <w:r w:rsidR="00FC2723">
        <w:rPr>
          <w:lang w:val="en-GB"/>
        </w:rPr>
        <w:t xml:space="preserve">; </w:t>
      </w:r>
      <w:r w:rsidR="00216D6A">
        <w:rPr>
          <w:lang w:val="en-GB"/>
        </w:rPr>
        <w:t xml:space="preserve">therefore </w:t>
      </w:r>
      <w:r w:rsidR="00FC2723">
        <w:rPr>
          <w:lang w:val="en-GB"/>
        </w:rPr>
        <w:t xml:space="preserve">it </w:t>
      </w:r>
      <w:r w:rsidR="004F0717">
        <w:rPr>
          <w:lang w:val="en-GB"/>
        </w:rPr>
        <w:t xml:space="preserve">performs slightly better for a single </w:t>
      </w:r>
      <w:r w:rsidR="004C45B3">
        <w:rPr>
          <w:lang w:val="en-GB"/>
        </w:rPr>
        <w:t xml:space="preserve">building case. For the </w:t>
      </w:r>
      <w:r w:rsidR="0041336D">
        <w:rPr>
          <w:lang w:val="en-GB"/>
        </w:rPr>
        <w:t xml:space="preserve">more </w:t>
      </w:r>
      <w:r w:rsidR="004C45B3">
        <w:rPr>
          <w:lang w:val="en-GB"/>
        </w:rPr>
        <w:t>complex scenario of a pool at h</w:t>
      </w:r>
      <w:r w:rsidR="00852C5E">
        <w:rPr>
          <w:lang w:val="en-GB"/>
        </w:rPr>
        <w:t>e</w:t>
      </w:r>
      <w:r w:rsidR="004C45B3">
        <w:rPr>
          <w:lang w:val="en-GB"/>
        </w:rPr>
        <w:t>ight, th</w:t>
      </w:r>
      <w:r w:rsidR="00B97C0D">
        <w:rPr>
          <w:lang w:val="en-GB"/>
        </w:rPr>
        <w:t>e integral dispersion model including the building wake model</w:t>
      </w:r>
      <w:r w:rsidR="00EC2B38">
        <w:rPr>
          <w:lang w:val="en-GB"/>
        </w:rPr>
        <w:t xml:space="preserve"> also results in the best agreement with the CFD solution and </w:t>
      </w:r>
      <w:r w:rsidR="003F292D">
        <w:rPr>
          <w:lang w:val="en-GB"/>
        </w:rPr>
        <w:t xml:space="preserve">is therefore the recommended model. </w:t>
      </w:r>
      <w:r w:rsidR="00E8562F">
        <w:rPr>
          <w:lang w:val="en-GB"/>
        </w:rPr>
        <w:t>W</w:t>
      </w:r>
      <w:r w:rsidR="008F78F9">
        <w:rPr>
          <w:lang w:val="en-GB"/>
        </w:rPr>
        <w:t>hen using the building wake model, the origin of the virtual source should be set to the beginning of the main separation zone</w:t>
      </w:r>
      <w:r w:rsidR="00852C5E">
        <w:rPr>
          <w:lang w:val="en-GB"/>
        </w:rPr>
        <w:t>,</w:t>
      </w:r>
      <w:r w:rsidR="008F78F9">
        <w:rPr>
          <w:lang w:val="en-GB"/>
        </w:rPr>
        <w:t xml:space="preserve"> which is the end of the building (</w:t>
      </w:r>
      <w:r w:rsidR="00852C5E">
        <w:rPr>
          <w:lang w:val="en-GB"/>
        </w:rPr>
        <w:t xml:space="preserve">for a </w:t>
      </w:r>
      <w:r w:rsidR="008F78F9">
        <w:rPr>
          <w:lang w:val="en-GB"/>
        </w:rPr>
        <w:t xml:space="preserve">rectangular </w:t>
      </w:r>
      <w:r w:rsidR="00852C5E">
        <w:rPr>
          <w:lang w:val="en-GB"/>
        </w:rPr>
        <w:t>building</w:t>
      </w:r>
      <w:r w:rsidR="008F78F9">
        <w:rPr>
          <w:lang w:val="en-GB"/>
        </w:rPr>
        <w:t>)</w:t>
      </w:r>
      <w:r w:rsidR="00852C5E">
        <w:rPr>
          <w:lang w:val="en-GB"/>
        </w:rPr>
        <w:t>,</w:t>
      </w:r>
      <w:r w:rsidR="008F78F9">
        <w:rPr>
          <w:lang w:val="en-GB"/>
        </w:rPr>
        <w:t xml:space="preserve"> or alternatively</w:t>
      </w:r>
      <w:r w:rsidR="00852C5E">
        <w:rPr>
          <w:lang w:val="en-GB"/>
        </w:rPr>
        <w:t>,</w:t>
      </w:r>
      <w:r w:rsidR="008F78F9">
        <w:rPr>
          <w:lang w:val="en-GB"/>
        </w:rPr>
        <w:t xml:space="preserve"> to the position of the largest cross section (vertical cylind</w:t>
      </w:r>
      <w:r w:rsidR="00852C5E">
        <w:rPr>
          <w:lang w:val="en-GB"/>
        </w:rPr>
        <w:t>er</w:t>
      </w:r>
      <w:r w:rsidR="0029775F">
        <w:rPr>
          <w:lang w:val="en-GB"/>
        </w:rPr>
        <w:t>-</w:t>
      </w:r>
      <w:r w:rsidR="008F78F9">
        <w:rPr>
          <w:lang w:val="en-GB"/>
        </w:rPr>
        <w:t>shape</w:t>
      </w:r>
      <w:r w:rsidR="00852C5E">
        <w:rPr>
          <w:lang w:val="en-GB"/>
        </w:rPr>
        <w:t>d building</w:t>
      </w:r>
      <w:r w:rsidR="008F78F9">
        <w:rPr>
          <w:lang w:val="en-GB"/>
        </w:rPr>
        <w:t xml:space="preserve">). </w:t>
      </w:r>
      <w:r w:rsidR="00406940">
        <w:rPr>
          <w:lang w:val="en-GB"/>
        </w:rPr>
        <w:t>For toxic distances or</w:t>
      </w:r>
      <w:r w:rsidR="00B868FE">
        <w:rPr>
          <w:lang w:val="en-GB"/>
        </w:rPr>
        <w:t xml:space="preserve"> </w:t>
      </w:r>
      <w:r w:rsidR="00930955">
        <w:rPr>
          <w:lang w:val="en-GB"/>
        </w:rPr>
        <w:t>other large</w:t>
      </w:r>
      <w:r w:rsidR="00406940">
        <w:rPr>
          <w:lang w:val="en-GB"/>
        </w:rPr>
        <w:t xml:space="preserve"> distances of interest, a </w:t>
      </w:r>
      <w:r w:rsidR="00B868FE">
        <w:rPr>
          <w:lang w:val="en-GB"/>
        </w:rPr>
        <w:t>time averaging of 600</w:t>
      </w:r>
      <w:r w:rsidR="00852C5E">
        <w:rPr>
          <w:lang w:val="en-GB"/>
        </w:rPr>
        <w:t xml:space="preserve"> </w:t>
      </w:r>
      <w:r w:rsidR="00B868FE">
        <w:rPr>
          <w:lang w:val="en-GB"/>
        </w:rPr>
        <w:t xml:space="preserve">s can be applied to take the plume meander correctly into account. </w:t>
      </w:r>
      <w:r w:rsidR="00B73194">
        <w:rPr>
          <w:lang w:val="en-GB"/>
        </w:rPr>
        <w:t xml:space="preserve">Shorter averaging times will tend to slight overpredictions at smaller distances. It should be kept in mind that for </w:t>
      </w:r>
      <w:r w:rsidR="00E35DFE">
        <w:rPr>
          <w:lang w:val="en-GB"/>
        </w:rPr>
        <w:t>downwind distances</w:t>
      </w:r>
      <w:r w:rsidR="003E4C9E">
        <w:rPr>
          <w:lang w:val="en-GB"/>
        </w:rPr>
        <w:t xml:space="preserve"> lower than</w:t>
      </w:r>
      <w:r w:rsidR="00FC28BF">
        <w:rPr>
          <w:lang w:val="en-GB"/>
        </w:rPr>
        <w:t xml:space="preserve"> 5</w:t>
      </w:r>
      <w:r w:rsidR="00E8562F">
        <w:rPr>
          <w:lang w:val="en-GB"/>
        </w:rPr>
        <w:t>-10</w:t>
      </w:r>
      <w:r w:rsidR="00FC28BF">
        <w:rPr>
          <w:lang w:val="en-GB"/>
        </w:rPr>
        <w:t xml:space="preserve"> </w:t>
      </w:r>
      <w:r w:rsidR="00852C5E">
        <w:rPr>
          <w:lang w:val="en-GB"/>
        </w:rPr>
        <w:t xml:space="preserve">times the </w:t>
      </w:r>
      <w:r w:rsidR="00FC28BF">
        <w:rPr>
          <w:lang w:val="en-GB"/>
        </w:rPr>
        <w:t>building</w:t>
      </w:r>
      <w:r w:rsidR="00DF7E55">
        <w:rPr>
          <w:lang w:val="en-GB"/>
        </w:rPr>
        <w:t xml:space="preserve"> height</w:t>
      </w:r>
      <w:r w:rsidR="00852C5E">
        <w:rPr>
          <w:lang w:val="en-GB"/>
        </w:rPr>
        <w:t>,</w:t>
      </w:r>
      <w:r w:rsidR="00DF7E55">
        <w:rPr>
          <w:lang w:val="en-GB"/>
        </w:rPr>
        <w:t xml:space="preserve"> </w:t>
      </w:r>
      <w:r w:rsidR="00E866CE">
        <w:rPr>
          <w:lang w:val="en-GB"/>
        </w:rPr>
        <w:t>t</w:t>
      </w:r>
      <w:r w:rsidR="00DF7E55">
        <w:rPr>
          <w:lang w:val="en-GB"/>
        </w:rPr>
        <w:t xml:space="preserve">he </w:t>
      </w:r>
      <w:r w:rsidR="00E35DFE">
        <w:rPr>
          <w:lang w:val="en-GB"/>
        </w:rPr>
        <w:t>recirculation zone</w:t>
      </w:r>
      <w:r w:rsidR="00DF7E55">
        <w:rPr>
          <w:lang w:val="en-GB"/>
        </w:rPr>
        <w:t xml:space="preserve"> </w:t>
      </w:r>
      <w:r w:rsidR="00852C5E">
        <w:rPr>
          <w:lang w:val="en-GB"/>
        </w:rPr>
        <w:t xml:space="preserve">dominates </w:t>
      </w:r>
      <w:r w:rsidR="00E866CE">
        <w:rPr>
          <w:lang w:val="en-GB"/>
        </w:rPr>
        <w:t>and</w:t>
      </w:r>
      <w:r w:rsidR="00E35DFE">
        <w:rPr>
          <w:lang w:val="en-GB"/>
        </w:rPr>
        <w:t xml:space="preserve"> the present building wake model </w:t>
      </w:r>
      <w:r w:rsidR="00852C5E">
        <w:rPr>
          <w:lang w:val="en-GB"/>
        </w:rPr>
        <w:t>may</w:t>
      </w:r>
      <w:r w:rsidR="00E35DFE">
        <w:rPr>
          <w:lang w:val="en-GB"/>
        </w:rPr>
        <w:t xml:space="preserve"> underpredict the maximum concentration</w:t>
      </w:r>
      <w:r w:rsidR="003E4C9E">
        <w:rPr>
          <w:lang w:val="en-GB"/>
        </w:rPr>
        <w:t>.</w:t>
      </w:r>
      <w:r w:rsidR="00A76B26">
        <w:rPr>
          <w:lang w:val="en-GB"/>
        </w:rPr>
        <w:t xml:space="preserve"> </w:t>
      </w:r>
      <w:r w:rsidR="00930955">
        <w:rPr>
          <w:lang w:val="en-GB"/>
        </w:rPr>
        <w:t>Nevertheless,</w:t>
      </w:r>
      <w:r w:rsidR="00A76B26">
        <w:rPr>
          <w:lang w:val="en-GB"/>
        </w:rPr>
        <w:t xml:space="preserve"> the model shows a relatively good performance compared with CFD solutions at significantly lower computational cost</w:t>
      </w:r>
      <w:r w:rsidR="00852C5E">
        <w:rPr>
          <w:lang w:val="en-GB"/>
        </w:rPr>
        <w:t>,</w:t>
      </w:r>
      <w:r w:rsidR="00C03F16">
        <w:rPr>
          <w:lang w:val="en-GB"/>
        </w:rPr>
        <w:t xml:space="preserve"> which makes it suitable for the design phase</w:t>
      </w:r>
      <w:r w:rsidR="00073A68">
        <w:rPr>
          <w:lang w:val="en-GB"/>
        </w:rPr>
        <w:t xml:space="preserve"> of projects </w:t>
      </w:r>
      <w:r w:rsidR="00852C5E">
        <w:rPr>
          <w:lang w:val="en-GB"/>
        </w:rPr>
        <w:t>and</w:t>
      </w:r>
      <w:r w:rsidR="00073A68">
        <w:rPr>
          <w:lang w:val="en-GB"/>
        </w:rPr>
        <w:t xml:space="preserve"> for </w:t>
      </w:r>
      <w:r w:rsidR="00852C5E">
        <w:rPr>
          <w:lang w:val="en-GB"/>
        </w:rPr>
        <w:t>estimating</w:t>
      </w:r>
      <w:r w:rsidR="00073A68">
        <w:rPr>
          <w:lang w:val="en-GB"/>
        </w:rPr>
        <w:t xml:space="preserve"> more realistic effect </w:t>
      </w:r>
      <w:r w:rsidR="003B5B4B">
        <w:rPr>
          <w:lang w:val="en-GB"/>
        </w:rPr>
        <w:t>distances</w:t>
      </w:r>
      <w:r w:rsidR="00073A68">
        <w:rPr>
          <w:lang w:val="en-GB"/>
        </w:rPr>
        <w:t xml:space="preserve"> in QRA</w:t>
      </w:r>
      <w:r w:rsidR="003B5B4B">
        <w:rPr>
          <w:lang w:val="en-GB"/>
        </w:rPr>
        <w:t>.</w:t>
      </w:r>
      <w:r w:rsidR="00FF7A92">
        <w:rPr>
          <w:lang w:val="en-GB"/>
        </w:rPr>
        <w:t xml:space="preserve"> In </w:t>
      </w:r>
      <w:r w:rsidR="00892B1B">
        <w:rPr>
          <w:lang w:val="en-GB"/>
        </w:rPr>
        <w:t xml:space="preserve">the </w:t>
      </w:r>
      <w:r w:rsidR="00FF7A92">
        <w:rPr>
          <w:lang w:val="en-GB"/>
        </w:rPr>
        <w:t>future, simulation results from the model should be compared with mor</w:t>
      </w:r>
      <w:r w:rsidR="0060420E">
        <w:rPr>
          <w:lang w:val="en-GB"/>
        </w:rPr>
        <w:t>e experimental data sets</w:t>
      </w:r>
      <w:r w:rsidR="00852C5E">
        <w:rPr>
          <w:lang w:val="en-GB"/>
        </w:rPr>
        <w:t>,</w:t>
      </w:r>
      <w:r w:rsidR="0060420E">
        <w:rPr>
          <w:lang w:val="en-GB"/>
        </w:rPr>
        <w:t xml:space="preserve"> including multiple buildings or larger setups such as facility sites.</w:t>
      </w:r>
    </w:p>
    <w:p w14:paraId="07A6D20F" w14:textId="0ECF229E" w:rsidR="00280FAF" w:rsidRPr="00280FAF" w:rsidRDefault="00280FAF" w:rsidP="00280FAF">
      <w:pPr>
        <w:pStyle w:val="CETHeadingxx"/>
        <w:rPr>
          <w:lang w:val="en-GB"/>
        </w:rPr>
        <w:sectPr w:rsidR="00280FAF" w:rsidRPr="00280FAF" w:rsidSect="008314D7">
          <w:type w:val="continuous"/>
          <w:pgSz w:w="11906" w:h="16838" w:code="9"/>
          <w:pgMar w:top="1701" w:right="1418" w:bottom="1701" w:left="1701" w:header="1701" w:footer="0" w:gutter="0"/>
          <w:cols w:space="708"/>
          <w:formProt w:val="0"/>
          <w:titlePg/>
          <w:docGrid w:linePitch="360"/>
        </w:sectPr>
      </w:pPr>
      <w:r>
        <w:t>Nomenclature</w:t>
      </w:r>
    </w:p>
    <w:p w14:paraId="7FB7C028" w14:textId="6F8E239F" w:rsidR="00B87FF1" w:rsidRDefault="00000000" w:rsidP="00841968">
      <w:pPr>
        <w:pStyle w:val="CETBodytext"/>
        <w:jc w:val="left"/>
        <w:rPr>
          <w:rFonts w:eastAsia="SimSun"/>
          <w:lang w:val="en-GB"/>
        </w:rPr>
      </w:pPr>
      <m:oMath>
        <m:sSub>
          <m:sSubPr>
            <m:ctrlPr>
              <w:rPr>
                <w:rFonts w:ascii="Cambria Math" w:hAnsi="Cambria Math"/>
                <w:i/>
                <w:lang w:val="en-GB"/>
              </w:rPr>
            </m:ctrlPr>
          </m:sSubPr>
          <m:e>
            <m:r>
              <w:rPr>
                <w:rFonts w:ascii="Cambria Math" w:hAnsi="Cambria Math"/>
              </w:rPr>
              <m:t>c</m:t>
            </m:r>
          </m:e>
          <m:sub>
            <m:r>
              <w:rPr>
                <w:rFonts w:ascii="Cambria Math" w:hAnsi="Cambria Math"/>
              </w:rPr>
              <m:t>vs</m:t>
            </m:r>
          </m:sub>
        </m:sSub>
      </m:oMath>
      <w:r w:rsidR="00B87FF1" w:rsidRPr="00280FAF">
        <w:rPr>
          <w:rFonts w:eastAsia="SimSun"/>
        </w:rPr>
        <w:t xml:space="preserve"> – </w:t>
      </w:r>
      <w:r w:rsidR="00B87FF1">
        <w:rPr>
          <w:rFonts w:eastAsia="SimSun"/>
        </w:rPr>
        <w:t>mass fraction virtual source</w:t>
      </w:r>
      <w:r w:rsidR="00B87FF1" w:rsidRPr="00280FAF">
        <w:rPr>
          <w:rFonts w:eastAsia="SimSun"/>
        </w:rPr>
        <w:t>,</w:t>
      </w:r>
      <w:r w:rsidR="003D45FA">
        <w:rPr>
          <w:rFonts w:eastAsia="SimSun"/>
        </w:rPr>
        <w:t xml:space="preserve"> -</w:t>
      </w:r>
    </w:p>
    <w:p w14:paraId="172776A1" w14:textId="6B6AEA9F" w:rsidR="00841968" w:rsidRDefault="00000000" w:rsidP="00841968">
      <w:pPr>
        <w:pStyle w:val="CETBodytext"/>
        <w:jc w:val="left"/>
        <w:rPr>
          <w:rFonts w:eastAsia="SimSun"/>
        </w:rPr>
      </w:pP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rPr>
                  <m:t>m</m:t>
                </m:r>
              </m:e>
            </m:acc>
          </m:e>
          <m:sub>
            <m:r>
              <w:rPr>
                <w:rFonts w:ascii="Cambria Math" w:hAnsi="Cambria Math"/>
              </w:rPr>
              <m:t>s</m:t>
            </m:r>
          </m:sub>
        </m:sSub>
      </m:oMath>
      <w:r w:rsidR="00841968" w:rsidRPr="00280FAF">
        <w:rPr>
          <w:rFonts w:eastAsia="SimSun"/>
        </w:rPr>
        <w:t xml:space="preserve"> – </w:t>
      </w:r>
      <w:r w:rsidR="00EB3A32">
        <w:rPr>
          <w:rFonts w:eastAsia="SimSun"/>
        </w:rPr>
        <w:t>mass flow rate source, kg/s</w:t>
      </w:r>
    </w:p>
    <w:p w14:paraId="5883A830" w14:textId="267137C0" w:rsidR="00380DFD" w:rsidRDefault="00000000" w:rsidP="00841968">
      <w:pPr>
        <w:pStyle w:val="CETBodytext"/>
        <w:jc w:val="left"/>
        <w:rPr>
          <w:rFonts w:eastAsia="SimSun"/>
        </w:rPr>
      </w:pP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rPr>
                  <m:t>m</m:t>
                </m:r>
              </m:e>
            </m:acc>
          </m:e>
          <m:sub>
            <m:r>
              <w:rPr>
                <w:rFonts w:ascii="Cambria Math" w:hAnsi="Cambria Math"/>
              </w:rPr>
              <m:t>vs</m:t>
            </m:r>
          </m:sub>
        </m:sSub>
      </m:oMath>
      <w:r w:rsidR="00380DFD" w:rsidRPr="00EB3A32">
        <w:rPr>
          <w:rFonts w:eastAsia="SimSun"/>
        </w:rPr>
        <w:t xml:space="preserve"> – mass flow ra</w:t>
      </w:r>
      <w:r w:rsidR="00380DFD">
        <w:rPr>
          <w:rFonts w:eastAsia="SimSun"/>
        </w:rPr>
        <w:t>te virtual source, kg/s</w:t>
      </w:r>
    </w:p>
    <w:p w14:paraId="4663504A" w14:textId="0F0A0592" w:rsidR="00380DFD" w:rsidRDefault="00000000" w:rsidP="00841968">
      <w:pPr>
        <w:pStyle w:val="CETBodytext"/>
        <w:jc w:val="left"/>
        <w:rPr>
          <w:rFonts w:eastAsia="SimSun"/>
        </w:rPr>
      </w:pPr>
      <m:oMath>
        <m:sSub>
          <m:sSubPr>
            <m:ctrlPr>
              <w:rPr>
                <w:rFonts w:ascii="Cambria Math" w:hAnsi="Cambria Math"/>
                <w:i/>
                <w:lang w:val="en-GB"/>
              </w:rPr>
            </m:ctrlPr>
          </m:sSubPr>
          <m:e>
            <m:acc>
              <m:accPr>
                <m:chr m:val="̇"/>
                <m:ctrlPr>
                  <w:rPr>
                    <w:rFonts w:ascii="Cambria Math" w:hAnsi="Cambria Math"/>
                    <w:i/>
                    <w:lang w:val="en-GB"/>
                  </w:rPr>
                </m:ctrlPr>
              </m:accPr>
              <m:e>
                <m:r>
                  <w:rPr>
                    <w:rFonts w:ascii="Cambria Math" w:hAnsi="Cambria Math"/>
                  </w:rPr>
                  <m:t>m</m:t>
                </m:r>
              </m:e>
            </m:acc>
          </m:e>
          <m:sub>
            <m:r>
              <w:rPr>
                <w:rFonts w:ascii="Cambria Math" w:hAnsi="Cambria Math"/>
              </w:rPr>
              <m:t>w</m:t>
            </m:r>
          </m:sub>
        </m:sSub>
      </m:oMath>
      <w:r w:rsidR="00380DFD" w:rsidRPr="00EB3A32">
        <w:rPr>
          <w:rFonts w:eastAsia="SimSun"/>
        </w:rPr>
        <w:t xml:space="preserve">  – mass flow ra</w:t>
      </w:r>
      <w:r w:rsidR="00380DFD">
        <w:rPr>
          <w:rFonts w:eastAsia="SimSun"/>
        </w:rPr>
        <w:t>te wind field, kg/s</w:t>
      </w:r>
    </w:p>
    <w:p w14:paraId="6F5BB21F" w14:textId="77777777" w:rsidR="00AA0A02" w:rsidRDefault="00000000" w:rsidP="00841968">
      <w:pPr>
        <w:pStyle w:val="CETBodytext"/>
        <w:jc w:val="left"/>
        <w:rPr>
          <w:rFonts w:eastAsia="SimSun"/>
        </w:rPr>
      </w:pPr>
      <m:oMath>
        <m:sSup>
          <m:sSupPr>
            <m:ctrlPr>
              <w:rPr>
                <w:rFonts w:ascii="Cambria Math" w:hAnsi="Cambria Math"/>
                <w:i/>
              </w:rPr>
            </m:ctrlPr>
          </m:sSupPr>
          <m:e>
            <m:r>
              <w:rPr>
                <w:rFonts w:ascii="Cambria Math" w:hAnsi="Cambria Math"/>
              </w:rPr>
              <m:t>u</m:t>
            </m:r>
          </m:e>
          <m:sup>
            <m:r>
              <w:rPr>
                <w:rFonts w:ascii="Cambria Math" w:hAnsi="Cambria Math"/>
              </w:rPr>
              <m:t>*</m:t>
            </m:r>
          </m:sup>
        </m:sSup>
      </m:oMath>
      <w:r w:rsidR="00CF6DA4" w:rsidRPr="00280FAF">
        <w:rPr>
          <w:rFonts w:eastAsia="SimSun"/>
        </w:rPr>
        <w:t xml:space="preserve"> – </w:t>
      </w:r>
      <w:r w:rsidR="00CF6DA4">
        <w:rPr>
          <w:rFonts w:eastAsia="SimSun"/>
        </w:rPr>
        <w:t>surface friction velocity, m/s</w:t>
      </w:r>
    </w:p>
    <w:p w14:paraId="46DE29A3" w14:textId="73B287E8" w:rsidR="00CF6DA4" w:rsidRPr="00280FAF" w:rsidRDefault="00000000" w:rsidP="00841968">
      <w:pPr>
        <w:pStyle w:val="CETBodytext"/>
        <w:jc w:val="left"/>
        <w:rPr>
          <w:rFonts w:eastAsia="SimSun"/>
        </w:rPr>
      </w:pPr>
      <m:oMath>
        <m:sSub>
          <m:sSubPr>
            <m:ctrlPr>
              <w:rPr>
                <w:rFonts w:ascii="Cambria Math" w:hAnsi="Cambria Math"/>
                <w:i/>
              </w:rPr>
            </m:ctrlPr>
          </m:sSubPr>
          <m:e>
            <m:r>
              <w:rPr>
                <w:rFonts w:ascii="Cambria Math" w:hAnsi="Cambria Math"/>
              </w:rPr>
              <m:t>z</m:t>
            </m:r>
          </m:e>
          <m:sub>
            <m:r>
              <w:rPr>
                <w:rFonts w:ascii="Cambria Math" w:hAnsi="Cambria Math"/>
              </w:rPr>
              <m:t>0</m:t>
            </m:r>
          </m:sub>
        </m:sSub>
      </m:oMath>
      <w:r w:rsidR="00CF6DA4" w:rsidRPr="00280FAF">
        <w:rPr>
          <w:rFonts w:eastAsia="SimSun"/>
        </w:rPr>
        <w:t xml:space="preserve"> – </w:t>
      </w:r>
      <w:r w:rsidR="00CF6DA4">
        <w:rPr>
          <w:rFonts w:eastAsia="SimSun"/>
        </w:rPr>
        <w:t>surface roughness length,</w:t>
      </w:r>
      <w:r w:rsidR="003D45FA">
        <w:rPr>
          <w:rFonts w:eastAsia="SimSun"/>
        </w:rPr>
        <w:t xml:space="preserve"> </w:t>
      </w:r>
      <w:r w:rsidR="00CF6DA4">
        <w:rPr>
          <w:rFonts w:eastAsia="SimSun"/>
        </w:rPr>
        <w:t>m</w:t>
      </w:r>
    </w:p>
    <w:p w14:paraId="51D37477" w14:textId="77777777" w:rsidR="0020726A" w:rsidRDefault="0020726A" w:rsidP="0020726A">
      <w:pPr>
        <w:pStyle w:val="CETBodytext"/>
        <w:jc w:val="left"/>
        <w:rPr>
          <w:rFonts w:eastAsia="SimSun"/>
        </w:rPr>
      </w:pPr>
      <w:r>
        <w:rPr>
          <w:rFonts w:eastAsia="SimSun"/>
        </w:rPr>
        <w:t>CFD – Computational Fluid Dynamics</w:t>
      </w:r>
    </w:p>
    <w:p w14:paraId="6D823957" w14:textId="44BF6432" w:rsidR="00052EB6" w:rsidRDefault="00052EB6" w:rsidP="0020726A">
      <w:pPr>
        <w:pStyle w:val="CETBodytext"/>
        <w:jc w:val="left"/>
        <w:rPr>
          <w:rFonts w:eastAsia="SimSun"/>
        </w:rPr>
      </w:pPr>
      <w:r>
        <w:rPr>
          <w:rFonts w:eastAsia="SimSun"/>
        </w:rPr>
        <w:t xml:space="preserve">GPM </w:t>
      </w:r>
      <w:r w:rsidR="009476EB">
        <w:rPr>
          <w:rFonts w:eastAsia="SimSun"/>
        </w:rPr>
        <w:t xml:space="preserve">– </w:t>
      </w:r>
      <w:r>
        <w:rPr>
          <w:rFonts w:eastAsia="SimSun"/>
        </w:rPr>
        <w:t>Gaussian plume model</w:t>
      </w:r>
    </w:p>
    <w:p w14:paraId="6807F54D" w14:textId="6EB90203" w:rsidR="00052EB6" w:rsidRDefault="0020726A" w:rsidP="0020726A">
      <w:pPr>
        <w:pStyle w:val="CETBodytext"/>
        <w:jc w:val="left"/>
        <w:rPr>
          <w:rFonts w:eastAsia="SimSun"/>
        </w:rPr>
      </w:pPr>
      <w:r>
        <w:rPr>
          <w:rFonts w:eastAsia="SimSun"/>
        </w:rPr>
        <w:t>QRA – Quantitative Risk Analysis</w:t>
      </w:r>
    </w:p>
    <w:p w14:paraId="401A072E" w14:textId="76FF9B2B" w:rsidR="00841968" w:rsidRPr="00E377D0" w:rsidRDefault="00841968" w:rsidP="00841968">
      <w:pPr>
        <w:pStyle w:val="CETBodytext"/>
        <w:jc w:val="left"/>
        <w:rPr>
          <w:rFonts w:eastAsia="SimSun"/>
        </w:rPr>
        <w:sectPr w:rsidR="00841968" w:rsidRPr="00E377D0" w:rsidSect="00841968">
          <w:type w:val="continuous"/>
          <w:pgSz w:w="11906" w:h="16838" w:code="9"/>
          <w:pgMar w:top="1701" w:right="1418" w:bottom="1701" w:left="1701" w:header="1701" w:footer="0" w:gutter="0"/>
          <w:cols w:num="2" w:space="708"/>
          <w:formProt w:val="0"/>
          <w:titlePg/>
          <w:docGrid w:linePitch="360"/>
        </w:sectPr>
      </w:pPr>
    </w:p>
    <w:p w14:paraId="459D05E6" w14:textId="77777777" w:rsidR="00600535" w:rsidRPr="00B57B36" w:rsidRDefault="00600535" w:rsidP="00600535">
      <w:pPr>
        <w:pStyle w:val="CETAcknowledgementstitle"/>
      </w:pPr>
      <w:r w:rsidRPr="00B57B36">
        <w:t>Acknowledgments</w:t>
      </w:r>
    </w:p>
    <w:p w14:paraId="33F8138F" w14:textId="73B2493D" w:rsidR="00600535" w:rsidRPr="00B57B36" w:rsidRDefault="00E33A28" w:rsidP="00600535">
      <w:pPr>
        <w:pStyle w:val="CETBodytext"/>
        <w:rPr>
          <w:lang w:val="en-GB"/>
        </w:rPr>
      </w:pPr>
      <w:r>
        <w:rPr>
          <w:lang w:val="en-GB"/>
        </w:rPr>
        <w:t>The authors would like to thank</w:t>
      </w:r>
      <w:r w:rsidR="00304566">
        <w:rPr>
          <w:lang w:val="en-GB"/>
        </w:rPr>
        <w:t xml:space="preserve"> kindly </w:t>
      </w:r>
      <w:r w:rsidR="00EF291A">
        <w:rPr>
          <w:lang w:val="en-GB"/>
        </w:rPr>
        <w:t xml:space="preserve">Dr. </w:t>
      </w:r>
      <w:r w:rsidR="005C467E">
        <w:rPr>
          <w:lang w:val="en-GB"/>
        </w:rPr>
        <w:t xml:space="preserve">Frank Harms </w:t>
      </w:r>
      <w:r w:rsidR="00304566">
        <w:rPr>
          <w:lang w:val="en-GB"/>
        </w:rPr>
        <w:t xml:space="preserve">of </w:t>
      </w:r>
      <w:r w:rsidR="005C467E">
        <w:rPr>
          <w:lang w:val="en-GB"/>
        </w:rPr>
        <w:t>the</w:t>
      </w:r>
      <w:r w:rsidR="00733F27">
        <w:rPr>
          <w:lang w:val="en-GB"/>
        </w:rPr>
        <w:t xml:space="preserve"> </w:t>
      </w:r>
      <w:r w:rsidR="00733F27" w:rsidRPr="00733F27">
        <w:rPr>
          <w:lang w:val="en-GB"/>
        </w:rPr>
        <w:t>Center for Earth System Research and Sus</w:t>
      </w:r>
      <w:r w:rsidR="00ED4E7B">
        <w:rPr>
          <w:lang w:val="en-GB"/>
        </w:rPr>
        <w:t>-</w:t>
      </w:r>
      <w:r w:rsidR="00733F27" w:rsidRPr="00733F27">
        <w:rPr>
          <w:lang w:val="en-GB"/>
        </w:rPr>
        <w:t>tainability (CEN)</w:t>
      </w:r>
      <w:r w:rsidR="00733F27">
        <w:rPr>
          <w:lang w:val="en-GB"/>
        </w:rPr>
        <w:t xml:space="preserve"> of the</w:t>
      </w:r>
      <w:r w:rsidR="005C467E">
        <w:rPr>
          <w:lang w:val="en-GB"/>
        </w:rPr>
        <w:t xml:space="preserve"> </w:t>
      </w:r>
      <w:r w:rsidR="00EF291A">
        <w:rPr>
          <w:lang w:val="en-GB"/>
        </w:rPr>
        <w:t>University of Hamburg</w:t>
      </w:r>
      <w:r w:rsidR="00F14F58">
        <w:rPr>
          <w:lang w:val="en-GB"/>
        </w:rPr>
        <w:t xml:space="preserve"> providing </w:t>
      </w:r>
      <w:r w:rsidR="00C538E0">
        <w:rPr>
          <w:lang w:val="en-GB"/>
        </w:rPr>
        <w:t xml:space="preserve">access to </w:t>
      </w:r>
      <w:r w:rsidR="00F14F58">
        <w:rPr>
          <w:lang w:val="en-GB"/>
        </w:rPr>
        <w:t>the CEDVAL data set</w:t>
      </w:r>
      <w:r w:rsidR="00C538E0">
        <w:rPr>
          <w:lang w:val="en-GB"/>
        </w:rPr>
        <w:t>.</w:t>
      </w:r>
    </w:p>
    <w:p w14:paraId="4F1327F8" w14:textId="7EE76841" w:rsidR="00600535" w:rsidRPr="00B57B36" w:rsidRDefault="00600535" w:rsidP="00600535">
      <w:pPr>
        <w:pStyle w:val="CETReference"/>
      </w:pPr>
      <w:r w:rsidRPr="00B57B36">
        <w:t>References</w:t>
      </w:r>
    </w:p>
    <w:p w14:paraId="27A6E74F" w14:textId="25C08E24" w:rsidR="00AC0234" w:rsidRPr="00AC0234" w:rsidRDefault="00AC0234" w:rsidP="00AC0234">
      <w:pPr>
        <w:pStyle w:val="CETReferencetext"/>
        <w:rPr>
          <w:lang w:val="en-US"/>
        </w:rPr>
      </w:pPr>
      <w:r w:rsidRPr="005106D2">
        <w:t>CEDVA</w:t>
      </w:r>
      <w:r>
        <w:t xml:space="preserve">L, 2024, </w:t>
      </w:r>
      <w:r w:rsidRPr="005106D2">
        <w:t xml:space="preserve">Compilation of Experimental Data for Validation of Micro scale Dispersion Models. </w:t>
      </w:r>
      <w:r w:rsidRPr="00AC0234">
        <w:rPr>
          <w:lang w:val="en-US"/>
        </w:rPr>
        <w:t xml:space="preserve">Internet Database. </w:t>
      </w:r>
      <w:r w:rsidRPr="00771F82">
        <w:rPr>
          <w:lang w:val="en-US"/>
        </w:rPr>
        <w:t xml:space="preserve">Hamburg University, Germany. </w:t>
      </w:r>
      <w:hyperlink r:id="rId22" w:history="1">
        <w:r w:rsidRPr="00BD401B">
          <w:rPr>
            <w:rStyle w:val="Hyperlink"/>
            <w:lang w:val="en-US"/>
          </w:rPr>
          <w:t>https://www.mi.uni-hamburg.de/en/arbeitsgruppen/windkanal labor/ data-sets.htm</w:t>
        </w:r>
      </w:hyperlink>
      <w:r>
        <w:rPr>
          <w:lang w:val="en-US"/>
        </w:rPr>
        <w:t xml:space="preserve"> </w:t>
      </w:r>
    </w:p>
    <w:p w14:paraId="19B3AFFC" w14:textId="4A15212F" w:rsidR="00304566" w:rsidRPr="00304566" w:rsidRDefault="00304566" w:rsidP="00304566">
      <w:pPr>
        <w:pStyle w:val="CETReferencetext"/>
      </w:pPr>
      <w:r w:rsidRPr="00523168">
        <w:t>Bosch, C. J. H.,</w:t>
      </w:r>
      <w:r>
        <w:t xml:space="preserve"> &amp; Weterings, R.A.P.M.,</w:t>
      </w:r>
      <w:r w:rsidRPr="00523168">
        <w:t xml:space="preserve"> 2005, Methods for the calculation of physical effects, Yellow Book, CPR 14E.</w:t>
      </w:r>
    </w:p>
    <w:p w14:paraId="4E1220C9" w14:textId="2ECD6BF7" w:rsidR="00936B2E" w:rsidRDefault="00383C20" w:rsidP="00304566">
      <w:pPr>
        <w:pStyle w:val="CETReferencetext"/>
      </w:pPr>
      <w:r w:rsidRPr="00523168">
        <w:rPr>
          <w:lang w:val="en-US"/>
        </w:rPr>
        <w:t>Duijm, N. J., &amp; Webber, D. M.</w:t>
      </w:r>
      <w:r w:rsidR="00936B2E" w:rsidRPr="00523168">
        <w:rPr>
          <w:lang w:val="en-US"/>
        </w:rPr>
        <w:t xml:space="preserve">, </w:t>
      </w:r>
      <w:r w:rsidRPr="00523168">
        <w:rPr>
          <w:lang w:val="en-US"/>
        </w:rPr>
        <w:t>1994</w:t>
      </w:r>
      <w:r w:rsidR="00936B2E" w:rsidRPr="00523168">
        <w:rPr>
          <w:lang w:val="en-US"/>
        </w:rPr>
        <w:t>,</w:t>
      </w:r>
      <w:r w:rsidRPr="00523168">
        <w:rPr>
          <w:lang w:val="en-US"/>
        </w:rPr>
        <w:t xml:space="preserve"> </w:t>
      </w:r>
      <w:r w:rsidRPr="00523168">
        <w:t>Dispersion in the presence of buildings. Journal of loss prevention in the process industries, 7(2), 118-123.</w:t>
      </w:r>
    </w:p>
    <w:p w14:paraId="7A079157" w14:textId="77777777" w:rsidR="00AC0234" w:rsidRPr="00FA7F2C" w:rsidRDefault="00AC0234" w:rsidP="00AC0234">
      <w:pPr>
        <w:pStyle w:val="CETReferencetext"/>
      </w:pPr>
      <w:r w:rsidRPr="004E3BC9">
        <w:rPr>
          <w:lang w:val="en-US"/>
        </w:rPr>
        <w:t xml:space="preserve">Kimura, A., Asami, M., Oka, H., &amp; Oka, Y., 2021. </w:t>
      </w:r>
      <w:r w:rsidRPr="00FA7F2C">
        <w:t>Development of an Algebraic Model of Empirical Parameterization of Near Wakes around a Vehicle. Fluids, 6(2), 75.</w:t>
      </w:r>
    </w:p>
    <w:p w14:paraId="76140B6F" w14:textId="0E9772B6" w:rsidR="00AC0234" w:rsidRPr="00523168" w:rsidRDefault="00AC0234" w:rsidP="00AC0234">
      <w:pPr>
        <w:pStyle w:val="CETReferencetext"/>
      </w:pPr>
      <w:r w:rsidRPr="00756AD3">
        <w:t>Mack, A., 202</w:t>
      </w:r>
      <w:r>
        <w:t>5</w:t>
      </w:r>
      <w:r w:rsidRPr="00756AD3">
        <w:t>, Dispersion Model in EFFECTS v12, Theoretical Background and Validation Report, Gexcon, Utrecht, The Netherlands</w:t>
      </w:r>
      <w:r w:rsidR="00930955">
        <w:t>.</w:t>
      </w:r>
    </w:p>
    <w:p w14:paraId="3FC2ABFF" w14:textId="09F46AC4" w:rsidR="001B6A8D" w:rsidRPr="00523168" w:rsidRDefault="00F160C4" w:rsidP="006B4888">
      <w:pPr>
        <w:pStyle w:val="CETReferencetext"/>
      </w:pPr>
      <w:r w:rsidRPr="00523168">
        <w:t>Olesen, H. R., &amp; Genikhovich, E., 2000, Building downwash algorithm for the OML atmospheric dispersion model. Ministry of Environment and Energy, National Environmental Research Institute.</w:t>
      </w:r>
    </w:p>
    <w:p w14:paraId="66DFB3D4" w14:textId="63187593" w:rsidR="00936B2E" w:rsidRDefault="00630F34" w:rsidP="006B4888">
      <w:pPr>
        <w:pStyle w:val="CETReferencetext"/>
      </w:pPr>
      <w:r w:rsidRPr="00630F34">
        <w:t>Röckle, R.</w:t>
      </w:r>
      <w:r>
        <w:t>, 1990</w:t>
      </w:r>
      <w:r w:rsidR="00DF3971">
        <w:t>,</w:t>
      </w:r>
      <w:r w:rsidRPr="00630F34">
        <w:t xml:space="preserve"> Bestimmung der Stomungsverhaltnisse im Bereich Komplexer Bebauugsstruckturen. Ph.D. Thesis, Vom Fachbereich Mechanik, der Technischen Hochschule Darmstadt, Darmstadt, Germany</w:t>
      </w:r>
      <w:r w:rsidR="00930955">
        <w:t>.</w:t>
      </w:r>
    </w:p>
    <w:sectPr w:rsidR="00936B2E"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65D3" w14:textId="77777777" w:rsidR="00276936" w:rsidRDefault="00276936" w:rsidP="004F5E36">
      <w:r>
        <w:separator/>
      </w:r>
    </w:p>
  </w:endnote>
  <w:endnote w:type="continuationSeparator" w:id="0">
    <w:p w14:paraId="2E94725F" w14:textId="77777777" w:rsidR="00276936" w:rsidRDefault="0027693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11DD" w14:textId="77777777" w:rsidR="00276936" w:rsidRDefault="00276936" w:rsidP="004F5E36">
      <w:r>
        <w:separator/>
      </w:r>
    </w:p>
  </w:footnote>
  <w:footnote w:type="continuationSeparator" w:id="0">
    <w:p w14:paraId="6CC7615D" w14:textId="77777777" w:rsidR="00276936" w:rsidRDefault="00276936"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8F0"/>
    <w:rsid w:val="00005A19"/>
    <w:rsid w:val="000117CB"/>
    <w:rsid w:val="00030E1B"/>
    <w:rsid w:val="0003148D"/>
    <w:rsid w:val="00031EEC"/>
    <w:rsid w:val="0004236E"/>
    <w:rsid w:val="000472B4"/>
    <w:rsid w:val="00050C42"/>
    <w:rsid w:val="00051566"/>
    <w:rsid w:val="00052EB6"/>
    <w:rsid w:val="00052FEE"/>
    <w:rsid w:val="000545D2"/>
    <w:rsid w:val="000554AF"/>
    <w:rsid w:val="000562A9"/>
    <w:rsid w:val="00057285"/>
    <w:rsid w:val="000624B7"/>
    <w:rsid w:val="00062A9A"/>
    <w:rsid w:val="000630D7"/>
    <w:rsid w:val="00065058"/>
    <w:rsid w:val="0006589B"/>
    <w:rsid w:val="00073A68"/>
    <w:rsid w:val="00076315"/>
    <w:rsid w:val="00077F6C"/>
    <w:rsid w:val="00086C39"/>
    <w:rsid w:val="0009780D"/>
    <w:rsid w:val="000A00AD"/>
    <w:rsid w:val="000A03B2"/>
    <w:rsid w:val="000A1073"/>
    <w:rsid w:val="000A2D4F"/>
    <w:rsid w:val="000A3B24"/>
    <w:rsid w:val="000A3DE3"/>
    <w:rsid w:val="000B42D8"/>
    <w:rsid w:val="000B5E8D"/>
    <w:rsid w:val="000C474F"/>
    <w:rsid w:val="000D0268"/>
    <w:rsid w:val="000D18EC"/>
    <w:rsid w:val="000D1B59"/>
    <w:rsid w:val="000D34BE"/>
    <w:rsid w:val="000D37A7"/>
    <w:rsid w:val="000D39E1"/>
    <w:rsid w:val="000D7525"/>
    <w:rsid w:val="000E102F"/>
    <w:rsid w:val="000E2A85"/>
    <w:rsid w:val="000E36F1"/>
    <w:rsid w:val="000E3A73"/>
    <w:rsid w:val="000E414A"/>
    <w:rsid w:val="000E75FD"/>
    <w:rsid w:val="000F093C"/>
    <w:rsid w:val="000F787B"/>
    <w:rsid w:val="001013EE"/>
    <w:rsid w:val="00101C2D"/>
    <w:rsid w:val="00104C81"/>
    <w:rsid w:val="00107D0F"/>
    <w:rsid w:val="00107FFA"/>
    <w:rsid w:val="00111B16"/>
    <w:rsid w:val="0012091F"/>
    <w:rsid w:val="001223E1"/>
    <w:rsid w:val="00124AAD"/>
    <w:rsid w:val="00126BC2"/>
    <w:rsid w:val="001308B6"/>
    <w:rsid w:val="0013121F"/>
    <w:rsid w:val="00131FE6"/>
    <w:rsid w:val="0013263F"/>
    <w:rsid w:val="001331DF"/>
    <w:rsid w:val="0013419E"/>
    <w:rsid w:val="00134DE4"/>
    <w:rsid w:val="0014034D"/>
    <w:rsid w:val="00140FE3"/>
    <w:rsid w:val="001427A0"/>
    <w:rsid w:val="00144423"/>
    <w:rsid w:val="00144A1C"/>
    <w:rsid w:val="00144D16"/>
    <w:rsid w:val="00150E59"/>
    <w:rsid w:val="00152DE3"/>
    <w:rsid w:val="00156F67"/>
    <w:rsid w:val="00164524"/>
    <w:rsid w:val="00164CF9"/>
    <w:rsid w:val="00166506"/>
    <w:rsid w:val="001667A6"/>
    <w:rsid w:val="00170F7E"/>
    <w:rsid w:val="00174BB7"/>
    <w:rsid w:val="0017669A"/>
    <w:rsid w:val="00176891"/>
    <w:rsid w:val="0017730F"/>
    <w:rsid w:val="00181405"/>
    <w:rsid w:val="001815DF"/>
    <w:rsid w:val="00184AD6"/>
    <w:rsid w:val="001877FD"/>
    <w:rsid w:val="001920D6"/>
    <w:rsid w:val="001922AF"/>
    <w:rsid w:val="001A23F3"/>
    <w:rsid w:val="001A4A2C"/>
    <w:rsid w:val="001A4AF7"/>
    <w:rsid w:val="001A5BDF"/>
    <w:rsid w:val="001B0349"/>
    <w:rsid w:val="001B057F"/>
    <w:rsid w:val="001B1E93"/>
    <w:rsid w:val="001B5F0B"/>
    <w:rsid w:val="001B61A7"/>
    <w:rsid w:val="001B65C1"/>
    <w:rsid w:val="001B6A8D"/>
    <w:rsid w:val="001C11DB"/>
    <w:rsid w:val="001C260F"/>
    <w:rsid w:val="001C33F1"/>
    <w:rsid w:val="001C684B"/>
    <w:rsid w:val="001D0CFB"/>
    <w:rsid w:val="001D21AF"/>
    <w:rsid w:val="001D53FC"/>
    <w:rsid w:val="001D5F9D"/>
    <w:rsid w:val="001D731D"/>
    <w:rsid w:val="001D7495"/>
    <w:rsid w:val="001F42A5"/>
    <w:rsid w:val="001F4546"/>
    <w:rsid w:val="001F7B9D"/>
    <w:rsid w:val="00201C93"/>
    <w:rsid w:val="00203E6C"/>
    <w:rsid w:val="00203F86"/>
    <w:rsid w:val="00205492"/>
    <w:rsid w:val="00207111"/>
    <w:rsid w:val="0020726A"/>
    <w:rsid w:val="00215305"/>
    <w:rsid w:val="00216D6A"/>
    <w:rsid w:val="00221047"/>
    <w:rsid w:val="002211E4"/>
    <w:rsid w:val="002224B4"/>
    <w:rsid w:val="00223584"/>
    <w:rsid w:val="00224871"/>
    <w:rsid w:val="0022689E"/>
    <w:rsid w:val="0023122C"/>
    <w:rsid w:val="00232E8D"/>
    <w:rsid w:val="0023766A"/>
    <w:rsid w:val="002447EF"/>
    <w:rsid w:val="00244CEC"/>
    <w:rsid w:val="00246DDD"/>
    <w:rsid w:val="0025076E"/>
    <w:rsid w:val="00251550"/>
    <w:rsid w:val="0026005E"/>
    <w:rsid w:val="00263B05"/>
    <w:rsid w:val="002652AF"/>
    <w:rsid w:val="00270408"/>
    <w:rsid w:val="0027139C"/>
    <w:rsid w:val="0027221A"/>
    <w:rsid w:val="00275B61"/>
    <w:rsid w:val="00276936"/>
    <w:rsid w:val="00280FAF"/>
    <w:rsid w:val="00281012"/>
    <w:rsid w:val="00282656"/>
    <w:rsid w:val="002830C1"/>
    <w:rsid w:val="00283E29"/>
    <w:rsid w:val="002863D6"/>
    <w:rsid w:val="00296B83"/>
    <w:rsid w:val="0029775F"/>
    <w:rsid w:val="002A1C66"/>
    <w:rsid w:val="002B4015"/>
    <w:rsid w:val="002B429D"/>
    <w:rsid w:val="002B78CE"/>
    <w:rsid w:val="002B7C2E"/>
    <w:rsid w:val="002C0414"/>
    <w:rsid w:val="002C11B7"/>
    <w:rsid w:val="002C1CF6"/>
    <w:rsid w:val="002C2930"/>
    <w:rsid w:val="002C2FB6"/>
    <w:rsid w:val="002C40F2"/>
    <w:rsid w:val="002D0AEB"/>
    <w:rsid w:val="002D3763"/>
    <w:rsid w:val="002D7917"/>
    <w:rsid w:val="002E55ED"/>
    <w:rsid w:val="002E5FA7"/>
    <w:rsid w:val="002E739D"/>
    <w:rsid w:val="002F3309"/>
    <w:rsid w:val="002F641E"/>
    <w:rsid w:val="002F733D"/>
    <w:rsid w:val="003008CE"/>
    <w:rsid w:val="003009B7"/>
    <w:rsid w:val="00300E56"/>
    <w:rsid w:val="0030152C"/>
    <w:rsid w:val="00304566"/>
    <w:rsid w:val="0030469C"/>
    <w:rsid w:val="003068B3"/>
    <w:rsid w:val="00315F17"/>
    <w:rsid w:val="00321CA6"/>
    <w:rsid w:val="00323763"/>
    <w:rsid w:val="00323C5F"/>
    <w:rsid w:val="003262E5"/>
    <w:rsid w:val="003264CC"/>
    <w:rsid w:val="00331C7A"/>
    <w:rsid w:val="00334C09"/>
    <w:rsid w:val="00346E13"/>
    <w:rsid w:val="00351C09"/>
    <w:rsid w:val="00351F76"/>
    <w:rsid w:val="00353487"/>
    <w:rsid w:val="0036509E"/>
    <w:rsid w:val="00367E00"/>
    <w:rsid w:val="003723D4"/>
    <w:rsid w:val="00373515"/>
    <w:rsid w:val="003764FD"/>
    <w:rsid w:val="00380DFD"/>
    <w:rsid w:val="00381905"/>
    <w:rsid w:val="003836C2"/>
    <w:rsid w:val="00383C20"/>
    <w:rsid w:val="003841C0"/>
    <w:rsid w:val="003846CE"/>
    <w:rsid w:val="00384CC8"/>
    <w:rsid w:val="003850A3"/>
    <w:rsid w:val="003871FD"/>
    <w:rsid w:val="003874DA"/>
    <w:rsid w:val="003911E9"/>
    <w:rsid w:val="00393B0E"/>
    <w:rsid w:val="00394CC8"/>
    <w:rsid w:val="0039640E"/>
    <w:rsid w:val="003968E6"/>
    <w:rsid w:val="003A1E30"/>
    <w:rsid w:val="003A2829"/>
    <w:rsid w:val="003A518B"/>
    <w:rsid w:val="003A7D1C"/>
    <w:rsid w:val="003B2A29"/>
    <w:rsid w:val="003B304B"/>
    <w:rsid w:val="003B3146"/>
    <w:rsid w:val="003B3310"/>
    <w:rsid w:val="003B3977"/>
    <w:rsid w:val="003B5B4B"/>
    <w:rsid w:val="003C312C"/>
    <w:rsid w:val="003C3B00"/>
    <w:rsid w:val="003C6640"/>
    <w:rsid w:val="003D0FC5"/>
    <w:rsid w:val="003D1E02"/>
    <w:rsid w:val="003D4235"/>
    <w:rsid w:val="003D45FA"/>
    <w:rsid w:val="003E4C9E"/>
    <w:rsid w:val="003E71E0"/>
    <w:rsid w:val="003F015E"/>
    <w:rsid w:val="003F292D"/>
    <w:rsid w:val="003F4739"/>
    <w:rsid w:val="00400414"/>
    <w:rsid w:val="00400A80"/>
    <w:rsid w:val="004012E6"/>
    <w:rsid w:val="00403E56"/>
    <w:rsid w:val="00406940"/>
    <w:rsid w:val="0041336D"/>
    <w:rsid w:val="0041446B"/>
    <w:rsid w:val="00417660"/>
    <w:rsid w:val="00434B1E"/>
    <w:rsid w:val="004362ED"/>
    <w:rsid w:val="00437281"/>
    <w:rsid w:val="00437699"/>
    <w:rsid w:val="0044071E"/>
    <w:rsid w:val="00440C22"/>
    <w:rsid w:val="0044329C"/>
    <w:rsid w:val="0044383F"/>
    <w:rsid w:val="00443FF0"/>
    <w:rsid w:val="00452406"/>
    <w:rsid w:val="00453E24"/>
    <w:rsid w:val="00457456"/>
    <w:rsid w:val="004577FE"/>
    <w:rsid w:val="00457B9C"/>
    <w:rsid w:val="0046164A"/>
    <w:rsid w:val="004627B0"/>
    <w:rsid w:val="004628D2"/>
    <w:rsid w:val="00462DCD"/>
    <w:rsid w:val="004648AD"/>
    <w:rsid w:val="004703A9"/>
    <w:rsid w:val="00471F02"/>
    <w:rsid w:val="004723D1"/>
    <w:rsid w:val="004738CB"/>
    <w:rsid w:val="004760DE"/>
    <w:rsid w:val="004763D7"/>
    <w:rsid w:val="00484865"/>
    <w:rsid w:val="00494DBA"/>
    <w:rsid w:val="004A004E"/>
    <w:rsid w:val="004A2015"/>
    <w:rsid w:val="004A24CF"/>
    <w:rsid w:val="004A5E57"/>
    <w:rsid w:val="004A6350"/>
    <w:rsid w:val="004A7926"/>
    <w:rsid w:val="004B2D46"/>
    <w:rsid w:val="004C194F"/>
    <w:rsid w:val="004C2927"/>
    <w:rsid w:val="004C3D1D"/>
    <w:rsid w:val="004C3D84"/>
    <w:rsid w:val="004C45B3"/>
    <w:rsid w:val="004C7913"/>
    <w:rsid w:val="004E3BC9"/>
    <w:rsid w:val="004E4DD6"/>
    <w:rsid w:val="004F021E"/>
    <w:rsid w:val="004F0717"/>
    <w:rsid w:val="004F10A4"/>
    <w:rsid w:val="004F26BB"/>
    <w:rsid w:val="004F3B46"/>
    <w:rsid w:val="004F5244"/>
    <w:rsid w:val="004F5E36"/>
    <w:rsid w:val="00507B47"/>
    <w:rsid w:val="00507BEF"/>
    <w:rsid w:val="00507CC9"/>
    <w:rsid w:val="00507E05"/>
    <w:rsid w:val="005106D2"/>
    <w:rsid w:val="005119A5"/>
    <w:rsid w:val="00516B9A"/>
    <w:rsid w:val="005216AE"/>
    <w:rsid w:val="00523168"/>
    <w:rsid w:val="005278B7"/>
    <w:rsid w:val="00532016"/>
    <w:rsid w:val="00534163"/>
    <w:rsid w:val="005346C8"/>
    <w:rsid w:val="00540BE1"/>
    <w:rsid w:val="00541D2A"/>
    <w:rsid w:val="00543E7D"/>
    <w:rsid w:val="005446E0"/>
    <w:rsid w:val="00546F27"/>
    <w:rsid w:val="00547A68"/>
    <w:rsid w:val="0055125C"/>
    <w:rsid w:val="005531C9"/>
    <w:rsid w:val="00553FF3"/>
    <w:rsid w:val="00560F87"/>
    <w:rsid w:val="0056670B"/>
    <w:rsid w:val="005701AE"/>
    <w:rsid w:val="00570C43"/>
    <w:rsid w:val="005867CA"/>
    <w:rsid w:val="00591596"/>
    <w:rsid w:val="00592274"/>
    <w:rsid w:val="0059592E"/>
    <w:rsid w:val="00596775"/>
    <w:rsid w:val="005A0665"/>
    <w:rsid w:val="005B2110"/>
    <w:rsid w:val="005B61E6"/>
    <w:rsid w:val="005C13C1"/>
    <w:rsid w:val="005C4015"/>
    <w:rsid w:val="005C467E"/>
    <w:rsid w:val="005C6C42"/>
    <w:rsid w:val="005C6E63"/>
    <w:rsid w:val="005C77E1"/>
    <w:rsid w:val="005D151A"/>
    <w:rsid w:val="005D425D"/>
    <w:rsid w:val="005D668A"/>
    <w:rsid w:val="005D6A2F"/>
    <w:rsid w:val="005D7679"/>
    <w:rsid w:val="005E0592"/>
    <w:rsid w:val="005E1A82"/>
    <w:rsid w:val="005E6707"/>
    <w:rsid w:val="005E794C"/>
    <w:rsid w:val="005F0A28"/>
    <w:rsid w:val="005F0E5E"/>
    <w:rsid w:val="005F17C9"/>
    <w:rsid w:val="005F1891"/>
    <w:rsid w:val="005F3115"/>
    <w:rsid w:val="005F6520"/>
    <w:rsid w:val="00600535"/>
    <w:rsid w:val="0060420E"/>
    <w:rsid w:val="0060511D"/>
    <w:rsid w:val="00610CD6"/>
    <w:rsid w:val="00611311"/>
    <w:rsid w:val="00614E99"/>
    <w:rsid w:val="00617CC8"/>
    <w:rsid w:val="00620DEE"/>
    <w:rsid w:val="00621F92"/>
    <w:rsid w:val="0062280A"/>
    <w:rsid w:val="00622B5F"/>
    <w:rsid w:val="006231E1"/>
    <w:rsid w:val="00625639"/>
    <w:rsid w:val="00625C87"/>
    <w:rsid w:val="00630F34"/>
    <w:rsid w:val="00631B33"/>
    <w:rsid w:val="0063434B"/>
    <w:rsid w:val="00636E43"/>
    <w:rsid w:val="0064096F"/>
    <w:rsid w:val="00640A1B"/>
    <w:rsid w:val="0064184D"/>
    <w:rsid w:val="006422CC"/>
    <w:rsid w:val="00646AD6"/>
    <w:rsid w:val="00651D18"/>
    <w:rsid w:val="00652AE0"/>
    <w:rsid w:val="00652E7D"/>
    <w:rsid w:val="00656987"/>
    <w:rsid w:val="00660E3E"/>
    <w:rsid w:val="00662E74"/>
    <w:rsid w:val="00666E64"/>
    <w:rsid w:val="006670F8"/>
    <w:rsid w:val="006741EA"/>
    <w:rsid w:val="00675B10"/>
    <w:rsid w:val="00680C23"/>
    <w:rsid w:val="00683DB9"/>
    <w:rsid w:val="00683E23"/>
    <w:rsid w:val="00683F92"/>
    <w:rsid w:val="00693766"/>
    <w:rsid w:val="006944F3"/>
    <w:rsid w:val="00695D1A"/>
    <w:rsid w:val="006A3281"/>
    <w:rsid w:val="006A4625"/>
    <w:rsid w:val="006A6008"/>
    <w:rsid w:val="006A6D6C"/>
    <w:rsid w:val="006A6EEB"/>
    <w:rsid w:val="006A7617"/>
    <w:rsid w:val="006B1408"/>
    <w:rsid w:val="006B4888"/>
    <w:rsid w:val="006C2145"/>
    <w:rsid w:val="006C2E45"/>
    <w:rsid w:val="006C359C"/>
    <w:rsid w:val="006C5408"/>
    <w:rsid w:val="006C5579"/>
    <w:rsid w:val="006C6AF6"/>
    <w:rsid w:val="006C70EB"/>
    <w:rsid w:val="006D0CE9"/>
    <w:rsid w:val="006D6CBE"/>
    <w:rsid w:val="006D6E8B"/>
    <w:rsid w:val="006D7209"/>
    <w:rsid w:val="006E1253"/>
    <w:rsid w:val="006E2F15"/>
    <w:rsid w:val="006E737D"/>
    <w:rsid w:val="006F3EC1"/>
    <w:rsid w:val="006F445B"/>
    <w:rsid w:val="006F47C6"/>
    <w:rsid w:val="00704A42"/>
    <w:rsid w:val="00706D5E"/>
    <w:rsid w:val="00707DD1"/>
    <w:rsid w:val="00707EC5"/>
    <w:rsid w:val="00713973"/>
    <w:rsid w:val="00715C76"/>
    <w:rsid w:val="00716004"/>
    <w:rsid w:val="00720A24"/>
    <w:rsid w:val="007213C9"/>
    <w:rsid w:val="007236B9"/>
    <w:rsid w:val="00725DAD"/>
    <w:rsid w:val="007273DC"/>
    <w:rsid w:val="00730C3A"/>
    <w:rsid w:val="007316A0"/>
    <w:rsid w:val="00732386"/>
    <w:rsid w:val="00733F27"/>
    <w:rsid w:val="00734011"/>
    <w:rsid w:val="0073514D"/>
    <w:rsid w:val="00736CF7"/>
    <w:rsid w:val="00742C23"/>
    <w:rsid w:val="00744134"/>
    <w:rsid w:val="007447F3"/>
    <w:rsid w:val="007452CE"/>
    <w:rsid w:val="0075499F"/>
    <w:rsid w:val="00756AD3"/>
    <w:rsid w:val="007617CC"/>
    <w:rsid w:val="00764FE1"/>
    <w:rsid w:val="007661C8"/>
    <w:rsid w:val="0077098D"/>
    <w:rsid w:val="00771F82"/>
    <w:rsid w:val="007743B5"/>
    <w:rsid w:val="00774D50"/>
    <w:rsid w:val="00775C4E"/>
    <w:rsid w:val="007766AF"/>
    <w:rsid w:val="00785BF9"/>
    <w:rsid w:val="007875F1"/>
    <w:rsid w:val="007931FA"/>
    <w:rsid w:val="007938B3"/>
    <w:rsid w:val="007A0633"/>
    <w:rsid w:val="007A2923"/>
    <w:rsid w:val="007A44A3"/>
    <w:rsid w:val="007A4861"/>
    <w:rsid w:val="007A6DF8"/>
    <w:rsid w:val="007A7BBA"/>
    <w:rsid w:val="007B0C50"/>
    <w:rsid w:val="007B1D54"/>
    <w:rsid w:val="007B3A2B"/>
    <w:rsid w:val="007B48F9"/>
    <w:rsid w:val="007C1A43"/>
    <w:rsid w:val="007C4764"/>
    <w:rsid w:val="007C7DD9"/>
    <w:rsid w:val="007D0951"/>
    <w:rsid w:val="007D4E01"/>
    <w:rsid w:val="007D50AC"/>
    <w:rsid w:val="007E0186"/>
    <w:rsid w:val="007E6AC2"/>
    <w:rsid w:val="007E6B54"/>
    <w:rsid w:val="007E77CB"/>
    <w:rsid w:val="007F02ED"/>
    <w:rsid w:val="007F27C8"/>
    <w:rsid w:val="007F7B27"/>
    <w:rsid w:val="0080013E"/>
    <w:rsid w:val="0080786C"/>
    <w:rsid w:val="008119FF"/>
    <w:rsid w:val="00813288"/>
    <w:rsid w:val="008168FC"/>
    <w:rsid w:val="00821F1D"/>
    <w:rsid w:val="00822398"/>
    <w:rsid w:val="008301BA"/>
    <w:rsid w:val="00830996"/>
    <w:rsid w:val="008314D7"/>
    <w:rsid w:val="00833A67"/>
    <w:rsid w:val="008345F1"/>
    <w:rsid w:val="00841968"/>
    <w:rsid w:val="0084754C"/>
    <w:rsid w:val="0084776E"/>
    <w:rsid w:val="00851BC7"/>
    <w:rsid w:val="00852C5E"/>
    <w:rsid w:val="00856254"/>
    <w:rsid w:val="00864223"/>
    <w:rsid w:val="008643FD"/>
    <w:rsid w:val="00865B07"/>
    <w:rsid w:val="008667EA"/>
    <w:rsid w:val="00873B3A"/>
    <w:rsid w:val="00874056"/>
    <w:rsid w:val="0087637F"/>
    <w:rsid w:val="00885D85"/>
    <w:rsid w:val="00885DB7"/>
    <w:rsid w:val="00886BB5"/>
    <w:rsid w:val="00892A18"/>
    <w:rsid w:val="00892AD5"/>
    <w:rsid w:val="00892B1B"/>
    <w:rsid w:val="00896482"/>
    <w:rsid w:val="008A1023"/>
    <w:rsid w:val="008A1512"/>
    <w:rsid w:val="008A1B0D"/>
    <w:rsid w:val="008A2E28"/>
    <w:rsid w:val="008B0BEF"/>
    <w:rsid w:val="008B6819"/>
    <w:rsid w:val="008B6DBC"/>
    <w:rsid w:val="008D204A"/>
    <w:rsid w:val="008D32B9"/>
    <w:rsid w:val="008D3EF9"/>
    <w:rsid w:val="008D433B"/>
    <w:rsid w:val="008D4A16"/>
    <w:rsid w:val="008D5BC7"/>
    <w:rsid w:val="008E209A"/>
    <w:rsid w:val="008E264D"/>
    <w:rsid w:val="008E280D"/>
    <w:rsid w:val="008E3BDE"/>
    <w:rsid w:val="008E45BC"/>
    <w:rsid w:val="008E566E"/>
    <w:rsid w:val="008F2CBE"/>
    <w:rsid w:val="008F5D75"/>
    <w:rsid w:val="008F61E1"/>
    <w:rsid w:val="008F78F9"/>
    <w:rsid w:val="00901392"/>
    <w:rsid w:val="0090161A"/>
    <w:rsid w:val="00901EB6"/>
    <w:rsid w:val="00902275"/>
    <w:rsid w:val="00903BF2"/>
    <w:rsid w:val="009041F8"/>
    <w:rsid w:val="00904C62"/>
    <w:rsid w:val="00905D91"/>
    <w:rsid w:val="00910458"/>
    <w:rsid w:val="0091195F"/>
    <w:rsid w:val="00913794"/>
    <w:rsid w:val="00922BA8"/>
    <w:rsid w:val="00924DAC"/>
    <w:rsid w:val="00927058"/>
    <w:rsid w:val="00930955"/>
    <w:rsid w:val="00933542"/>
    <w:rsid w:val="009360DA"/>
    <w:rsid w:val="00936B2E"/>
    <w:rsid w:val="00940FA1"/>
    <w:rsid w:val="00942750"/>
    <w:rsid w:val="009450CE"/>
    <w:rsid w:val="009459BB"/>
    <w:rsid w:val="0094662E"/>
    <w:rsid w:val="00947179"/>
    <w:rsid w:val="009476EB"/>
    <w:rsid w:val="0095121A"/>
    <w:rsid w:val="0095164B"/>
    <w:rsid w:val="00951B22"/>
    <w:rsid w:val="00954090"/>
    <w:rsid w:val="009573E7"/>
    <w:rsid w:val="0096267C"/>
    <w:rsid w:val="00963E05"/>
    <w:rsid w:val="00964A07"/>
    <w:rsid w:val="00964A45"/>
    <w:rsid w:val="0096559A"/>
    <w:rsid w:val="00967843"/>
    <w:rsid w:val="00967D54"/>
    <w:rsid w:val="00971028"/>
    <w:rsid w:val="00974A92"/>
    <w:rsid w:val="00975147"/>
    <w:rsid w:val="0098782B"/>
    <w:rsid w:val="00991A5F"/>
    <w:rsid w:val="00993B84"/>
    <w:rsid w:val="00994F21"/>
    <w:rsid w:val="00996483"/>
    <w:rsid w:val="00996F5A"/>
    <w:rsid w:val="009979A4"/>
    <w:rsid w:val="009A568E"/>
    <w:rsid w:val="009A7FEF"/>
    <w:rsid w:val="009B041A"/>
    <w:rsid w:val="009B0630"/>
    <w:rsid w:val="009B087E"/>
    <w:rsid w:val="009B0FFD"/>
    <w:rsid w:val="009C37C3"/>
    <w:rsid w:val="009C7C86"/>
    <w:rsid w:val="009D1535"/>
    <w:rsid w:val="009D2326"/>
    <w:rsid w:val="009D2FF7"/>
    <w:rsid w:val="009D4DB8"/>
    <w:rsid w:val="009E0D1A"/>
    <w:rsid w:val="009E11C7"/>
    <w:rsid w:val="009E452C"/>
    <w:rsid w:val="009E64A2"/>
    <w:rsid w:val="009E6934"/>
    <w:rsid w:val="009E7884"/>
    <w:rsid w:val="009E788A"/>
    <w:rsid w:val="009F0E08"/>
    <w:rsid w:val="009F21C7"/>
    <w:rsid w:val="009F2B1F"/>
    <w:rsid w:val="009F3863"/>
    <w:rsid w:val="00A01160"/>
    <w:rsid w:val="00A079AE"/>
    <w:rsid w:val="00A11EF4"/>
    <w:rsid w:val="00A14F80"/>
    <w:rsid w:val="00A1763D"/>
    <w:rsid w:val="00A17CEC"/>
    <w:rsid w:val="00A2370F"/>
    <w:rsid w:val="00A248B6"/>
    <w:rsid w:val="00A25D70"/>
    <w:rsid w:val="00A26CBB"/>
    <w:rsid w:val="00A27EF0"/>
    <w:rsid w:val="00A32362"/>
    <w:rsid w:val="00A33CD5"/>
    <w:rsid w:val="00A42361"/>
    <w:rsid w:val="00A4285A"/>
    <w:rsid w:val="00A43FB1"/>
    <w:rsid w:val="00A47B1C"/>
    <w:rsid w:val="00A50B20"/>
    <w:rsid w:val="00A51390"/>
    <w:rsid w:val="00A53211"/>
    <w:rsid w:val="00A54B3B"/>
    <w:rsid w:val="00A60D13"/>
    <w:rsid w:val="00A67DE5"/>
    <w:rsid w:val="00A70447"/>
    <w:rsid w:val="00A7223D"/>
    <w:rsid w:val="00A72745"/>
    <w:rsid w:val="00A76B26"/>
    <w:rsid w:val="00A76EFC"/>
    <w:rsid w:val="00A77287"/>
    <w:rsid w:val="00A812FB"/>
    <w:rsid w:val="00A81E0E"/>
    <w:rsid w:val="00A87D50"/>
    <w:rsid w:val="00A91010"/>
    <w:rsid w:val="00A921D6"/>
    <w:rsid w:val="00A97F29"/>
    <w:rsid w:val="00AA0A02"/>
    <w:rsid w:val="00AA16A9"/>
    <w:rsid w:val="00AA702E"/>
    <w:rsid w:val="00AA7D26"/>
    <w:rsid w:val="00AB0640"/>
    <w:rsid w:val="00AB0964"/>
    <w:rsid w:val="00AB2AA0"/>
    <w:rsid w:val="00AB5011"/>
    <w:rsid w:val="00AC0234"/>
    <w:rsid w:val="00AC7368"/>
    <w:rsid w:val="00AC7E3E"/>
    <w:rsid w:val="00AD0278"/>
    <w:rsid w:val="00AD16B9"/>
    <w:rsid w:val="00AD1793"/>
    <w:rsid w:val="00AE0341"/>
    <w:rsid w:val="00AE24C0"/>
    <w:rsid w:val="00AE27E7"/>
    <w:rsid w:val="00AE377D"/>
    <w:rsid w:val="00AE3833"/>
    <w:rsid w:val="00AE3E20"/>
    <w:rsid w:val="00AE67D8"/>
    <w:rsid w:val="00AF0EBA"/>
    <w:rsid w:val="00AF3B35"/>
    <w:rsid w:val="00AF4FD3"/>
    <w:rsid w:val="00AF56B0"/>
    <w:rsid w:val="00AF5E40"/>
    <w:rsid w:val="00B00AC7"/>
    <w:rsid w:val="00B01288"/>
    <w:rsid w:val="00B02C8A"/>
    <w:rsid w:val="00B02FE5"/>
    <w:rsid w:val="00B04D8C"/>
    <w:rsid w:val="00B06C41"/>
    <w:rsid w:val="00B107C5"/>
    <w:rsid w:val="00B12602"/>
    <w:rsid w:val="00B1392C"/>
    <w:rsid w:val="00B14051"/>
    <w:rsid w:val="00B15E21"/>
    <w:rsid w:val="00B17FBD"/>
    <w:rsid w:val="00B2113B"/>
    <w:rsid w:val="00B315A6"/>
    <w:rsid w:val="00B31813"/>
    <w:rsid w:val="00B319FF"/>
    <w:rsid w:val="00B31F84"/>
    <w:rsid w:val="00B33365"/>
    <w:rsid w:val="00B36B24"/>
    <w:rsid w:val="00B374A0"/>
    <w:rsid w:val="00B411EE"/>
    <w:rsid w:val="00B57B36"/>
    <w:rsid w:val="00B57E6F"/>
    <w:rsid w:val="00B61E96"/>
    <w:rsid w:val="00B73194"/>
    <w:rsid w:val="00B73D78"/>
    <w:rsid w:val="00B76985"/>
    <w:rsid w:val="00B80D07"/>
    <w:rsid w:val="00B80F1F"/>
    <w:rsid w:val="00B8595C"/>
    <w:rsid w:val="00B8686D"/>
    <w:rsid w:val="00B868FE"/>
    <w:rsid w:val="00B87FF1"/>
    <w:rsid w:val="00B93F69"/>
    <w:rsid w:val="00B966D8"/>
    <w:rsid w:val="00B97C0D"/>
    <w:rsid w:val="00BB017F"/>
    <w:rsid w:val="00BB01FB"/>
    <w:rsid w:val="00BB1DDC"/>
    <w:rsid w:val="00BB1EE5"/>
    <w:rsid w:val="00BB2BB6"/>
    <w:rsid w:val="00BC2A13"/>
    <w:rsid w:val="00BC2B48"/>
    <w:rsid w:val="00BC30C9"/>
    <w:rsid w:val="00BD077D"/>
    <w:rsid w:val="00BD0874"/>
    <w:rsid w:val="00BD37BF"/>
    <w:rsid w:val="00BD7D06"/>
    <w:rsid w:val="00BE1E34"/>
    <w:rsid w:val="00BE3E48"/>
    <w:rsid w:val="00BE3E58"/>
    <w:rsid w:val="00BE7D59"/>
    <w:rsid w:val="00C01616"/>
    <w:rsid w:val="00C0162B"/>
    <w:rsid w:val="00C03F16"/>
    <w:rsid w:val="00C068ED"/>
    <w:rsid w:val="00C10CDF"/>
    <w:rsid w:val="00C13E99"/>
    <w:rsid w:val="00C200F1"/>
    <w:rsid w:val="00C208E9"/>
    <w:rsid w:val="00C21513"/>
    <w:rsid w:val="00C22E0C"/>
    <w:rsid w:val="00C345B1"/>
    <w:rsid w:val="00C40142"/>
    <w:rsid w:val="00C52C3C"/>
    <w:rsid w:val="00C538E0"/>
    <w:rsid w:val="00C57182"/>
    <w:rsid w:val="00C57863"/>
    <w:rsid w:val="00C6074D"/>
    <w:rsid w:val="00C619C6"/>
    <w:rsid w:val="00C61A31"/>
    <w:rsid w:val="00C637E5"/>
    <w:rsid w:val="00C640AF"/>
    <w:rsid w:val="00C655FD"/>
    <w:rsid w:val="00C72A13"/>
    <w:rsid w:val="00C75407"/>
    <w:rsid w:val="00C75CED"/>
    <w:rsid w:val="00C80871"/>
    <w:rsid w:val="00C83137"/>
    <w:rsid w:val="00C841C6"/>
    <w:rsid w:val="00C870A8"/>
    <w:rsid w:val="00C94434"/>
    <w:rsid w:val="00C947AA"/>
    <w:rsid w:val="00C96B9C"/>
    <w:rsid w:val="00C96F68"/>
    <w:rsid w:val="00CA047F"/>
    <w:rsid w:val="00CA04AB"/>
    <w:rsid w:val="00CA0D75"/>
    <w:rsid w:val="00CA1C95"/>
    <w:rsid w:val="00CA1DF2"/>
    <w:rsid w:val="00CA3BDA"/>
    <w:rsid w:val="00CA5A9C"/>
    <w:rsid w:val="00CB5177"/>
    <w:rsid w:val="00CB66F5"/>
    <w:rsid w:val="00CC2134"/>
    <w:rsid w:val="00CC3EB8"/>
    <w:rsid w:val="00CC4C20"/>
    <w:rsid w:val="00CC7FDD"/>
    <w:rsid w:val="00CD3517"/>
    <w:rsid w:val="00CD5FE2"/>
    <w:rsid w:val="00CD777E"/>
    <w:rsid w:val="00CE49BC"/>
    <w:rsid w:val="00CE507C"/>
    <w:rsid w:val="00CE7B46"/>
    <w:rsid w:val="00CE7C68"/>
    <w:rsid w:val="00CF3552"/>
    <w:rsid w:val="00CF6DA4"/>
    <w:rsid w:val="00D02B4C"/>
    <w:rsid w:val="00D037EE"/>
    <w:rsid w:val="00D040C4"/>
    <w:rsid w:val="00D04A34"/>
    <w:rsid w:val="00D0547E"/>
    <w:rsid w:val="00D05578"/>
    <w:rsid w:val="00D20AD1"/>
    <w:rsid w:val="00D24AFC"/>
    <w:rsid w:val="00D2582C"/>
    <w:rsid w:val="00D26C66"/>
    <w:rsid w:val="00D30BA5"/>
    <w:rsid w:val="00D32FB6"/>
    <w:rsid w:val="00D41008"/>
    <w:rsid w:val="00D43097"/>
    <w:rsid w:val="00D46B7E"/>
    <w:rsid w:val="00D50205"/>
    <w:rsid w:val="00D57C84"/>
    <w:rsid w:val="00D6057D"/>
    <w:rsid w:val="00D64277"/>
    <w:rsid w:val="00D70382"/>
    <w:rsid w:val="00D71640"/>
    <w:rsid w:val="00D71A67"/>
    <w:rsid w:val="00D73545"/>
    <w:rsid w:val="00D751CB"/>
    <w:rsid w:val="00D75236"/>
    <w:rsid w:val="00D816AE"/>
    <w:rsid w:val="00D836C5"/>
    <w:rsid w:val="00D84576"/>
    <w:rsid w:val="00D85370"/>
    <w:rsid w:val="00D86FFC"/>
    <w:rsid w:val="00D9021B"/>
    <w:rsid w:val="00D913E2"/>
    <w:rsid w:val="00D923CC"/>
    <w:rsid w:val="00D924AF"/>
    <w:rsid w:val="00D96CBC"/>
    <w:rsid w:val="00D97F1B"/>
    <w:rsid w:val="00DA1399"/>
    <w:rsid w:val="00DA24C6"/>
    <w:rsid w:val="00DA4D7B"/>
    <w:rsid w:val="00DA7805"/>
    <w:rsid w:val="00DB0A1E"/>
    <w:rsid w:val="00DB7665"/>
    <w:rsid w:val="00DC2D21"/>
    <w:rsid w:val="00DC4B80"/>
    <w:rsid w:val="00DD0B67"/>
    <w:rsid w:val="00DD271C"/>
    <w:rsid w:val="00DD3254"/>
    <w:rsid w:val="00DD5549"/>
    <w:rsid w:val="00DD6AB0"/>
    <w:rsid w:val="00DD725B"/>
    <w:rsid w:val="00DE06D5"/>
    <w:rsid w:val="00DE264A"/>
    <w:rsid w:val="00DE449F"/>
    <w:rsid w:val="00DF3971"/>
    <w:rsid w:val="00DF5072"/>
    <w:rsid w:val="00DF7E55"/>
    <w:rsid w:val="00E02D18"/>
    <w:rsid w:val="00E041E7"/>
    <w:rsid w:val="00E05A6F"/>
    <w:rsid w:val="00E0640D"/>
    <w:rsid w:val="00E06A84"/>
    <w:rsid w:val="00E22D50"/>
    <w:rsid w:val="00E23145"/>
    <w:rsid w:val="00E23CA1"/>
    <w:rsid w:val="00E26112"/>
    <w:rsid w:val="00E27F85"/>
    <w:rsid w:val="00E33A28"/>
    <w:rsid w:val="00E35DFE"/>
    <w:rsid w:val="00E37230"/>
    <w:rsid w:val="00E409A8"/>
    <w:rsid w:val="00E40F21"/>
    <w:rsid w:val="00E45654"/>
    <w:rsid w:val="00E47D61"/>
    <w:rsid w:val="00E50C12"/>
    <w:rsid w:val="00E52C31"/>
    <w:rsid w:val="00E558DC"/>
    <w:rsid w:val="00E62CE3"/>
    <w:rsid w:val="00E648BF"/>
    <w:rsid w:val="00E65B91"/>
    <w:rsid w:val="00E7209D"/>
    <w:rsid w:val="00E72EAD"/>
    <w:rsid w:val="00E77223"/>
    <w:rsid w:val="00E81BE8"/>
    <w:rsid w:val="00E84894"/>
    <w:rsid w:val="00E8528B"/>
    <w:rsid w:val="00E8562F"/>
    <w:rsid w:val="00E85B94"/>
    <w:rsid w:val="00E866CE"/>
    <w:rsid w:val="00E92769"/>
    <w:rsid w:val="00E941B6"/>
    <w:rsid w:val="00E9575A"/>
    <w:rsid w:val="00E978D0"/>
    <w:rsid w:val="00EA0F8E"/>
    <w:rsid w:val="00EA4613"/>
    <w:rsid w:val="00EA7F91"/>
    <w:rsid w:val="00EB1523"/>
    <w:rsid w:val="00EB1AD1"/>
    <w:rsid w:val="00EB3A32"/>
    <w:rsid w:val="00EB4331"/>
    <w:rsid w:val="00EB56C3"/>
    <w:rsid w:val="00EB56E5"/>
    <w:rsid w:val="00EC0E49"/>
    <w:rsid w:val="00EC101F"/>
    <w:rsid w:val="00EC17A2"/>
    <w:rsid w:val="00EC1866"/>
    <w:rsid w:val="00EC1D9F"/>
    <w:rsid w:val="00EC2B38"/>
    <w:rsid w:val="00EC64B1"/>
    <w:rsid w:val="00EC73DF"/>
    <w:rsid w:val="00ED4E7B"/>
    <w:rsid w:val="00ED728E"/>
    <w:rsid w:val="00EE0131"/>
    <w:rsid w:val="00EE02E5"/>
    <w:rsid w:val="00EE12A7"/>
    <w:rsid w:val="00EE17B0"/>
    <w:rsid w:val="00EE3A20"/>
    <w:rsid w:val="00EF06D8"/>
    <w:rsid w:val="00EF06D9"/>
    <w:rsid w:val="00EF0982"/>
    <w:rsid w:val="00EF291A"/>
    <w:rsid w:val="00EF4840"/>
    <w:rsid w:val="00EF5FB1"/>
    <w:rsid w:val="00F0059A"/>
    <w:rsid w:val="00F0080C"/>
    <w:rsid w:val="00F02C9C"/>
    <w:rsid w:val="00F07192"/>
    <w:rsid w:val="00F118F6"/>
    <w:rsid w:val="00F121EC"/>
    <w:rsid w:val="00F12E9C"/>
    <w:rsid w:val="00F14F58"/>
    <w:rsid w:val="00F160C4"/>
    <w:rsid w:val="00F20640"/>
    <w:rsid w:val="00F23A05"/>
    <w:rsid w:val="00F250C1"/>
    <w:rsid w:val="00F3049E"/>
    <w:rsid w:val="00F30C64"/>
    <w:rsid w:val="00F32BA2"/>
    <w:rsid w:val="00F32BF2"/>
    <w:rsid w:val="00F32CDB"/>
    <w:rsid w:val="00F3348F"/>
    <w:rsid w:val="00F3422C"/>
    <w:rsid w:val="00F37280"/>
    <w:rsid w:val="00F41EE4"/>
    <w:rsid w:val="00F42904"/>
    <w:rsid w:val="00F457E8"/>
    <w:rsid w:val="00F50113"/>
    <w:rsid w:val="00F51034"/>
    <w:rsid w:val="00F526C6"/>
    <w:rsid w:val="00F54194"/>
    <w:rsid w:val="00F5658B"/>
    <w:rsid w:val="00F565FE"/>
    <w:rsid w:val="00F63A70"/>
    <w:rsid w:val="00F63D8C"/>
    <w:rsid w:val="00F65CA6"/>
    <w:rsid w:val="00F665AF"/>
    <w:rsid w:val="00F7534E"/>
    <w:rsid w:val="00F7596A"/>
    <w:rsid w:val="00F7706C"/>
    <w:rsid w:val="00F77166"/>
    <w:rsid w:val="00F83884"/>
    <w:rsid w:val="00F93EDF"/>
    <w:rsid w:val="00F94F21"/>
    <w:rsid w:val="00FA0A5E"/>
    <w:rsid w:val="00FA0C79"/>
    <w:rsid w:val="00FA1802"/>
    <w:rsid w:val="00FA21D0"/>
    <w:rsid w:val="00FA5F5F"/>
    <w:rsid w:val="00FA7F2C"/>
    <w:rsid w:val="00FB04DA"/>
    <w:rsid w:val="00FB18CD"/>
    <w:rsid w:val="00FB730C"/>
    <w:rsid w:val="00FC14F1"/>
    <w:rsid w:val="00FC2695"/>
    <w:rsid w:val="00FC2723"/>
    <w:rsid w:val="00FC28BF"/>
    <w:rsid w:val="00FC3E03"/>
    <w:rsid w:val="00FC3FC1"/>
    <w:rsid w:val="00FC7722"/>
    <w:rsid w:val="00FD0782"/>
    <w:rsid w:val="00FD350A"/>
    <w:rsid w:val="00FD55D7"/>
    <w:rsid w:val="00FD564E"/>
    <w:rsid w:val="00FE4060"/>
    <w:rsid w:val="00FF3A08"/>
    <w:rsid w:val="00FF7A92"/>
    <w:rsid w:val="35C2C90F"/>
    <w:rsid w:val="3F5AE933"/>
    <w:rsid w:val="61635C70"/>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3C89E679-4697-4D72-849A-E8BEF611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PlaceholderText">
    <w:name w:val="Placeholder Text"/>
    <w:basedOn w:val="DefaultParagraphFont"/>
    <w:uiPriority w:val="99"/>
    <w:semiHidden/>
    <w:rsid w:val="00D75236"/>
    <w:rPr>
      <w:color w:val="666666"/>
    </w:rPr>
  </w:style>
  <w:style w:type="character" w:styleId="UnresolvedMention">
    <w:name w:val="Unresolved Mention"/>
    <w:basedOn w:val="DefaultParagraphFont"/>
    <w:uiPriority w:val="99"/>
    <w:semiHidden/>
    <w:unhideWhenUsed/>
    <w:rsid w:val="00351F76"/>
    <w:rPr>
      <w:color w:val="605E5C"/>
      <w:shd w:val="clear" w:color="auto" w:fill="E1DFDD"/>
    </w:rPr>
  </w:style>
  <w:style w:type="paragraph" w:styleId="Revision">
    <w:name w:val="Revision"/>
    <w:hidden/>
    <w:uiPriority w:val="99"/>
    <w:semiHidden/>
    <w:rsid w:val="00AA16A9"/>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s://www.mi.uni-hamburg.de/en/arbeitsgruppen/windkanal%20labor/%20data-sets.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3618</Words>
  <Characters>19899</Characters>
  <Application>Microsoft Office Word</Application>
  <DocSecurity>0</DocSecurity>
  <Lines>165</Lines>
  <Paragraphs>46</Paragraphs>
  <ScaleCrop>false</ScaleCrop>
  <Company>Dipartimento CMIC - Politecnico di Milano</Company>
  <LinksUpToDate>false</LinksUpToDate>
  <CharactersWithSpaces>23471</CharactersWithSpaces>
  <SharedDoc>false</SharedDoc>
  <HLinks>
    <vt:vector size="6" baseType="variant">
      <vt:variant>
        <vt:i4>8126510</vt:i4>
      </vt:variant>
      <vt:variant>
        <vt:i4>0</vt:i4>
      </vt:variant>
      <vt:variant>
        <vt:i4>0</vt:i4>
      </vt:variant>
      <vt:variant>
        <vt:i4>5</vt:i4>
      </vt:variant>
      <vt:variant>
        <vt:lpwstr>https://www.mi.uni-hamburg.de/en/arbeitsgruppen/windkanal labor/ data-sets.htm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cp:lastModifiedBy>Andreas Mack</cp:lastModifiedBy>
  <cp:revision>3</cp:revision>
  <cp:lastPrinted>2026-04-13T12:02:00Z</cp:lastPrinted>
  <dcterms:created xsi:type="dcterms:W3CDTF">2026-04-13T12:04:00Z</dcterms:created>
  <dcterms:modified xsi:type="dcterms:W3CDTF">2026-04-13T12:08:00Z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