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775EC904" w:rsidR="00AA7D26" w:rsidRPr="007A6DF8" w:rsidRDefault="004A5E57" w:rsidP="007A6DF8">
            <w:pPr>
              <w:ind w:left="-107"/>
              <w:outlineLvl w:val="2"/>
              <w:rPr>
                <w:rFonts w:ascii="Tahoma" w:hAnsi="Tahoma" w:cs="Tahoma"/>
                <w:color w:val="000000"/>
                <w:sz w:val="14"/>
                <w:szCs w:val="14"/>
                <w:shd w:val="clear" w:color="auto" w:fill="FFFFFF"/>
                <w:lang w:val="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7A6DF8" w:rsidRPr="007A6DF8">
              <w:rPr>
                <w:rFonts w:ascii="Tahoma" w:hAnsi="Tahoma" w:cs="Tahoma"/>
                <w:color w:val="000000"/>
                <w:sz w:val="14"/>
                <w:szCs w:val="14"/>
                <w:shd w:val="clear" w:color="auto" w:fill="FFFFFF"/>
                <w:lang w:val="it-IT"/>
              </w:rPr>
              <w:t>Valerio Cozzani, Bruno Fabiano, Genserik Reniers</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4B5443BD" w:rsidR="00E978D0" w:rsidRPr="00B57B36" w:rsidRDefault="003C55A8" w:rsidP="00E978D0">
      <w:pPr>
        <w:pStyle w:val="CETTitle"/>
      </w:pPr>
      <w:r w:rsidRPr="003C55A8">
        <w:t>Modelling and Validation of Indoor Hydrogen Dispersion and Explosion in Ventilated Enclosures</w:t>
      </w:r>
    </w:p>
    <w:p w14:paraId="0488FED2" w14:textId="5EA7B4EF" w:rsidR="00B57E6F" w:rsidRPr="00B57B36" w:rsidRDefault="00701AC5" w:rsidP="00B57E6F">
      <w:pPr>
        <w:pStyle w:val="CETAuthors"/>
      </w:pPr>
      <w:r>
        <w:t>Paul Brasser</w:t>
      </w:r>
      <w:r w:rsidR="004324CF" w:rsidRPr="00B57B36">
        <w:t>*</w:t>
      </w:r>
      <w:r w:rsidR="00B57E6F" w:rsidRPr="00B57B36">
        <w:t xml:space="preserve">, </w:t>
      </w:r>
      <w:r>
        <w:t>Andreas Mack</w:t>
      </w:r>
    </w:p>
    <w:p w14:paraId="6B2D21B3" w14:textId="62D52CEF" w:rsidR="00B57E6F" w:rsidRPr="002F53ED" w:rsidRDefault="00E36E5A" w:rsidP="00B57E6F">
      <w:pPr>
        <w:pStyle w:val="CETAddress"/>
        <w:rPr>
          <w:lang w:val="en-US"/>
        </w:rPr>
      </w:pPr>
      <w:r w:rsidRPr="002F53ED">
        <w:rPr>
          <w:lang w:val="en-US"/>
        </w:rPr>
        <w:t xml:space="preserve">Gexcon </w:t>
      </w:r>
      <w:r w:rsidR="00194B95" w:rsidRPr="002F53ED">
        <w:rPr>
          <w:lang w:val="en-US"/>
        </w:rPr>
        <w:t>N</w:t>
      </w:r>
      <w:r w:rsidR="00022D7C" w:rsidRPr="002F53ED">
        <w:rPr>
          <w:lang w:val="en-US"/>
        </w:rPr>
        <w:t>etherlands</w:t>
      </w:r>
      <w:r w:rsidR="00194B95" w:rsidRPr="002F53ED">
        <w:rPr>
          <w:lang w:val="en-US"/>
        </w:rPr>
        <w:t xml:space="preserve"> </w:t>
      </w:r>
      <w:r w:rsidRPr="002F53ED">
        <w:rPr>
          <w:lang w:val="en-US"/>
        </w:rPr>
        <w:t>B.V.,</w:t>
      </w:r>
      <w:r w:rsidR="00B165F1" w:rsidRPr="002F53ED">
        <w:rPr>
          <w:lang w:val="en-US"/>
        </w:rPr>
        <w:t xml:space="preserve"> Princenhofpark 18, 3972 NG, Driebergen-Rijsenburg, </w:t>
      </w:r>
      <w:r w:rsidRPr="002F53ED">
        <w:rPr>
          <w:lang w:val="en-US"/>
        </w:rPr>
        <w:t xml:space="preserve"> The Netherlands</w:t>
      </w:r>
    </w:p>
    <w:p w14:paraId="73F1267A" w14:textId="35EC1B2B" w:rsidR="00B57E6F" w:rsidRPr="002F53ED" w:rsidRDefault="00B165F1" w:rsidP="00B57E6F">
      <w:pPr>
        <w:pStyle w:val="CETemail"/>
        <w:rPr>
          <w:lang w:val="en-US"/>
        </w:rPr>
      </w:pPr>
      <w:r w:rsidRPr="002F53ED">
        <w:rPr>
          <w:lang w:val="en-US"/>
        </w:rPr>
        <w:t>*</w:t>
      </w:r>
      <w:hyperlink r:id="rId13" w:history="1">
        <w:r w:rsidRPr="002F53ED">
          <w:rPr>
            <w:rStyle w:val="Hyperlink"/>
            <w:lang w:val="en-US"/>
          </w:rPr>
          <w:t>paul.brasser@gexcon.com</w:t>
        </w:r>
      </w:hyperlink>
    </w:p>
    <w:p w14:paraId="03BAB5F0" w14:textId="77777777" w:rsidR="007D7ACB" w:rsidRPr="007D7ACB" w:rsidRDefault="007D7ACB" w:rsidP="007D7ACB">
      <w:pPr>
        <w:pStyle w:val="CETBodytext"/>
        <w:rPr>
          <w:lang w:eastAsia="nl-NL"/>
        </w:rPr>
      </w:pPr>
      <w:r w:rsidRPr="007D7ACB">
        <w:rPr>
          <w:lang w:eastAsia="nl-NL"/>
        </w:rPr>
        <w:t xml:space="preserve">The increasing use of hydrogen in the energy transition introduces safety challenges, particularly in indoor environments where accidental releases may lead to hazardous accumulations and explosion risks. Due to its low density, high diffusivity, and wide flammability range, hydrogen can rapidly form flammable mixtures, even for relatively small leaks. Accurate prediction of this </w:t>
      </w:r>
      <w:proofErr w:type="spellStart"/>
      <w:r w:rsidRPr="007D7ACB">
        <w:rPr>
          <w:lang w:eastAsia="nl-NL"/>
        </w:rPr>
        <w:t>behaviour</w:t>
      </w:r>
      <w:proofErr w:type="spellEnd"/>
      <w:r w:rsidRPr="007D7ACB">
        <w:rPr>
          <w:lang w:eastAsia="nl-NL"/>
        </w:rPr>
        <w:t xml:space="preserve"> is essential for quantitative risk assessment and safe system design.</w:t>
      </w:r>
    </w:p>
    <w:p w14:paraId="03F319D3" w14:textId="60418D68" w:rsidR="007D7ACB" w:rsidRPr="007D7ACB" w:rsidRDefault="007D7ACB" w:rsidP="007D7ACB">
      <w:pPr>
        <w:pStyle w:val="CETBodytext"/>
        <w:rPr>
          <w:lang w:eastAsia="nl-NL"/>
        </w:rPr>
      </w:pPr>
      <w:r w:rsidRPr="007D7ACB">
        <w:rPr>
          <w:lang w:eastAsia="nl-NL"/>
        </w:rPr>
        <w:t xml:space="preserve">This work presents an indoor dispersion and overpressure model for gaseous releases, implemented in the consequence modelling software EFFECTS. The model </w:t>
      </w:r>
      <w:r w:rsidR="008B1F2E">
        <w:rPr>
          <w:lang w:eastAsia="nl-NL"/>
        </w:rPr>
        <w:t>predicts</w:t>
      </w:r>
      <w:r w:rsidRPr="007D7ACB">
        <w:rPr>
          <w:lang w:eastAsia="nl-NL"/>
        </w:rPr>
        <w:t xml:space="preserve"> gas accumulation, transport, and explosion effects under both mechanical and natural ventilation conditions and is applicable to hydrogen as well as other gases.</w:t>
      </w:r>
      <w:r w:rsidR="00AE359A">
        <w:rPr>
          <w:lang w:eastAsia="nl-NL"/>
        </w:rPr>
        <w:t xml:space="preserve"> </w:t>
      </w:r>
      <w:r w:rsidRPr="007D7ACB">
        <w:rPr>
          <w:lang w:eastAsia="nl-NL"/>
        </w:rPr>
        <w:t xml:space="preserve">Buoyancy-driven </w:t>
      </w:r>
      <w:proofErr w:type="spellStart"/>
      <w:r w:rsidRPr="007D7ACB">
        <w:rPr>
          <w:lang w:eastAsia="nl-NL"/>
        </w:rPr>
        <w:t>behaviour</w:t>
      </w:r>
      <w:proofErr w:type="spellEnd"/>
      <w:r w:rsidRPr="007D7ACB">
        <w:rPr>
          <w:lang w:eastAsia="nl-NL"/>
        </w:rPr>
        <w:t xml:space="preserve"> is captured using multiple approaches: ideal mixing for high release rates or neutral gases, a two-layer model for buoyant gases, and an inverse two-layer model for heavier-than-air gases. Additional sub-models account for jet release </w:t>
      </w:r>
      <w:proofErr w:type="spellStart"/>
      <w:r w:rsidRPr="007D7ACB">
        <w:rPr>
          <w:lang w:eastAsia="nl-NL"/>
        </w:rPr>
        <w:t>behaviour</w:t>
      </w:r>
      <w:proofErr w:type="spellEnd"/>
      <w:r w:rsidRPr="007D7ACB">
        <w:rPr>
          <w:lang w:eastAsia="nl-NL"/>
        </w:rPr>
        <w:t>, ventilation effects, temperature, and overpressure following ignition.</w:t>
      </w:r>
    </w:p>
    <w:p w14:paraId="475ADDCB" w14:textId="3A16038F" w:rsidR="007D7ACB" w:rsidRPr="007D7ACB" w:rsidRDefault="007D7ACB" w:rsidP="007D7ACB">
      <w:pPr>
        <w:pStyle w:val="CETBodytext"/>
        <w:rPr>
          <w:lang w:eastAsia="nl-NL"/>
        </w:rPr>
      </w:pPr>
      <w:r w:rsidRPr="007D7ACB">
        <w:rPr>
          <w:lang w:eastAsia="nl-NL"/>
        </w:rPr>
        <w:t>Validation against experimental data and CFD studies shows good agreement for concentration build-up, steady-state values, and overpressure. Minor deviations at low concentrations and high ventilation rates are attributed to the simplified layer representation.</w:t>
      </w:r>
      <w:r w:rsidR="00E92B3D">
        <w:rPr>
          <w:lang w:eastAsia="nl-NL"/>
        </w:rPr>
        <w:t xml:space="preserve"> </w:t>
      </w:r>
      <w:r w:rsidRPr="007D7ACB">
        <w:rPr>
          <w:lang w:eastAsia="nl-NL"/>
        </w:rPr>
        <w:t xml:space="preserve">Sensitivity analysis demonstrates that ventilation configuration and buoyancy effects strongly influence concentration levels and flammable cloud formation. The model provides an efficient and </w:t>
      </w:r>
      <w:r w:rsidR="007B35C2">
        <w:rPr>
          <w:lang w:eastAsia="nl-NL"/>
        </w:rPr>
        <w:t>reliable</w:t>
      </w:r>
      <w:r w:rsidRPr="007D7ACB">
        <w:rPr>
          <w:lang w:eastAsia="nl-NL"/>
        </w:rPr>
        <w:t xml:space="preserve"> tool for indoor consequence analysis and can be coupled with outdoor dispersion models for integrated risk assessment.</w:t>
      </w:r>
    </w:p>
    <w:p w14:paraId="58AE1A67" w14:textId="4916E3B7" w:rsidR="0047609C" w:rsidRPr="00B57B36" w:rsidRDefault="0047609C" w:rsidP="0047609C">
      <w:pPr>
        <w:pStyle w:val="CETHeading1"/>
        <w:rPr>
          <w:lang w:val="en-GB"/>
        </w:rPr>
      </w:pPr>
      <w:r w:rsidRPr="00B57B36">
        <w:rPr>
          <w:lang w:val="en-GB"/>
        </w:rPr>
        <w:t>Introduction</w:t>
      </w:r>
      <w:r w:rsidR="00203F56">
        <w:rPr>
          <w:lang w:val="en-GB"/>
        </w:rPr>
        <w:t xml:space="preserve"> and </w:t>
      </w:r>
      <w:r w:rsidR="00203F56">
        <w:t>m</w:t>
      </w:r>
      <w:r w:rsidR="00203F56" w:rsidRPr="000C2BE5">
        <w:t>odel description</w:t>
      </w:r>
    </w:p>
    <w:p w14:paraId="3F67E045" w14:textId="35111C59" w:rsidR="009A591C" w:rsidRPr="00931FA4" w:rsidRDefault="00612188" w:rsidP="00877C30">
      <w:pPr>
        <w:pStyle w:val="CETBodytext"/>
      </w:pPr>
      <w:r w:rsidRPr="00612188">
        <w:t xml:space="preserve">Hydrogen poses safety challenges in confined environments due to accumulation and flammable mixture formation. Predictive models are required for risk assessment, for which the Indoor Ventilation, Dispersion and Overpressure Model </w:t>
      </w:r>
      <w:proofErr w:type="gramStart"/>
      <w:r w:rsidRPr="00612188">
        <w:t>provides</w:t>
      </w:r>
      <w:proofErr w:type="gramEnd"/>
      <w:r w:rsidRPr="00612188">
        <w:t xml:space="preserve"> an efficient framework.</w:t>
      </w:r>
      <w:r w:rsidR="00210F1A">
        <w:rPr>
          <w:b/>
          <w:sz w:val="20"/>
        </w:rPr>
        <w:t xml:space="preserve"> </w:t>
      </w:r>
      <w:r w:rsidR="009A591C" w:rsidRPr="003F1F78">
        <w:t xml:space="preserve">To model </w:t>
      </w:r>
      <w:r w:rsidR="005766F9">
        <w:t>buildup</w:t>
      </w:r>
      <w:r w:rsidR="00387278">
        <w:t xml:space="preserve"> of chemicals due to leaks</w:t>
      </w:r>
      <w:r w:rsidR="009A591C" w:rsidRPr="003F1F78">
        <w:t xml:space="preserve">, it is assumed that only one room will be affected. </w:t>
      </w:r>
      <w:r w:rsidR="00860AE6">
        <w:rPr>
          <w:lang w:val="en-GB"/>
        </w:rPr>
        <w:t>L</w:t>
      </w:r>
      <w:r w:rsidR="00860AE6" w:rsidRPr="00860AE6">
        <w:rPr>
          <w:lang w:val="en-GB"/>
        </w:rPr>
        <w:t>eakage to adjacent rooms is not considered</w:t>
      </w:r>
      <w:r w:rsidR="009A591C" w:rsidRPr="003F1F78">
        <w:t xml:space="preserve">. </w:t>
      </w:r>
      <w:r w:rsidR="00931FA4" w:rsidRPr="009E4A6A">
        <w:rPr>
          <w:lang w:val="en-GB"/>
        </w:rPr>
        <w:t xml:space="preserve">The model can be coupled with </w:t>
      </w:r>
      <w:r w:rsidR="00E73D2C">
        <w:rPr>
          <w:lang w:val="en-GB"/>
        </w:rPr>
        <w:t xml:space="preserve">the </w:t>
      </w:r>
      <w:r w:rsidR="00931FA4" w:rsidRPr="009E4A6A">
        <w:rPr>
          <w:lang w:val="en-GB"/>
        </w:rPr>
        <w:t>outdoor dispersion models by treating the enclosure exhaust as a time-dependent source term.</w:t>
      </w:r>
      <w:r w:rsidR="00931FA4">
        <w:rPr>
          <w:lang w:val="en-GB"/>
        </w:rPr>
        <w:t xml:space="preserve"> </w:t>
      </w:r>
      <w:r w:rsidR="009A591C" w:rsidRPr="003F1F78">
        <w:t>Four aspects of the dispersion process are modelled:</w:t>
      </w:r>
    </w:p>
    <w:p w14:paraId="0F138A77" w14:textId="77777777" w:rsidR="009A591C" w:rsidRPr="003F1F78" w:rsidRDefault="009A591C" w:rsidP="000404CB">
      <w:pPr>
        <w:pStyle w:val="CETBodytext"/>
        <w:numPr>
          <w:ilvl w:val="0"/>
          <w:numId w:val="19"/>
        </w:numPr>
      </w:pPr>
      <w:r w:rsidRPr="003F1F78">
        <w:t>Ventilation</w:t>
      </w:r>
    </w:p>
    <w:p w14:paraId="7BB3B112" w14:textId="77777777" w:rsidR="009A591C" w:rsidRPr="003F1F78" w:rsidRDefault="009A591C" w:rsidP="000404CB">
      <w:pPr>
        <w:pStyle w:val="CETBodytext"/>
        <w:numPr>
          <w:ilvl w:val="0"/>
          <w:numId w:val="19"/>
        </w:numPr>
      </w:pPr>
      <w:r w:rsidRPr="003F1F78">
        <w:t>Chemical accumulation and release</w:t>
      </w:r>
    </w:p>
    <w:p w14:paraId="379D086F" w14:textId="77777777" w:rsidR="009A591C" w:rsidRPr="003F1F78" w:rsidRDefault="009A591C" w:rsidP="000404CB">
      <w:pPr>
        <w:pStyle w:val="CETBodytext"/>
        <w:numPr>
          <w:ilvl w:val="0"/>
          <w:numId w:val="19"/>
        </w:numPr>
      </w:pPr>
      <w:r w:rsidRPr="003F1F78">
        <w:t>Temperature variations in the room and in the exhaust.</w:t>
      </w:r>
    </w:p>
    <w:p w14:paraId="1E595EC5" w14:textId="77777777" w:rsidR="009A591C" w:rsidRDefault="009A591C" w:rsidP="000404CB">
      <w:pPr>
        <w:pStyle w:val="CETBodytext"/>
        <w:numPr>
          <w:ilvl w:val="0"/>
          <w:numId w:val="19"/>
        </w:numPr>
      </w:pPr>
      <w:r w:rsidRPr="003F1F78">
        <w:t>Overpressure after ignition</w:t>
      </w:r>
    </w:p>
    <w:p w14:paraId="65957A3D" w14:textId="77777777" w:rsidR="009A591C" w:rsidRPr="003F1F78" w:rsidRDefault="009A591C" w:rsidP="00BB02B4">
      <w:pPr>
        <w:pStyle w:val="CETheadingx"/>
      </w:pPr>
      <w:bookmarkStart w:id="1" w:name="_Ref211262674"/>
      <w:bookmarkStart w:id="2" w:name="_Toc225421704"/>
      <w:r w:rsidRPr="003F1F78">
        <w:t>Ventilation</w:t>
      </w:r>
      <w:bookmarkEnd w:id="1"/>
      <w:r w:rsidRPr="003F1F78">
        <w:t xml:space="preserve"> model</w:t>
      </w:r>
      <w:bookmarkEnd w:id="2"/>
    </w:p>
    <w:p w14:paraId="327F6BB9" w14:textId="77777777" w:rsidR="009A591C" w:rsidRPr="003F1F78" w:rsidRDefault="009A591C" w:rsidP="00877C30">
      <w:pPr>
        <w:pStyle w:val="CETBodytext"/>
      </w:pPr>
      <w:r w:rsidRPr="003F1F78">
        <w:t>Two types of ventilation in a room are considered:</w:t>
      </w:r>
    </w:p>
    <w:p w14:paraId="5D5471D2" w14:textId="77777777" w:rsidR="009A591C" w:rsidRPr="003F1F78" w:rsidRDefault="009A591C" w:rsidP="000404CB">
      <w:pPr>
        <w:pStyle w:val="CETBodytext"/>
        <w:numPr>
          <w:ilvl w:val="0"/>
          <w:numId w:val="20"/>
        </w:numPr>
      </w:pPr>
      <w:r w:rsidRPr="003F1F78">
        <w:t>Mechanical ventilation</w:t>
      </w:r>
    </w:p>
    <w:p w14:paraId="0B9F686C" w14:textId="77777777" w:rsidR="009A591C" w:rsidRPr="003F1F78" w:rsidRDefault="009A591C" w:rsidP="000404CB">
      <w:pPr>
        <w:pStyle w:val="CETBodytext"/>
        <w:numPr>
          <w:ilvl w:val="0"/>
          <w:numId w:val="20"/>
        </w:numPr>
      </w:pPr>
      <w:r w:rsidRPr="003F1F78">
        <w:t>Natural ventilation</w:t>
      </w:r>
    </w:p>
    <w:p w14:paraId="27EBE53A" w14:textId="3E1A867D" w:rsidR="009A591C" w:rsidRPr="003F1F78" w:rsidRDefault="001262FA" w:rsidP="00877C30">
      <w:pPr>
        <w:pStyle w:val="CETBodytext"/>
      </w:pPr>
      <w:r w:rsidRPr="001262FA">
        <w:rPr>
          <w:lang w:val="en-GB"/>
        </w:rPr>
        <w:t>Mechanical ventilation is defined by the air exchange rate</w:t>
      </w:r>
      <w:r w:rsidR="009A591C" w:rsidRPr="003F1F78">
        <w:t>:</w:t>
      </w:r>
    </w:p>
    <w:tbl>
      <w:tblPr>
        <w:tblW w:w="5000" w:type="pct"/>
        <w:tblLook w:val="04A0" w:firstRow="1" w:lastRow="0" w:firstColumn="1" w:lastColumn="0" w:noHBand="0" w:noVBand="1"/>
      </w:tblPr>
      <w:tblGrid>
        <w:gridCol w:w="7982"/>
        <w:gridCol w:w="805"/>
      </w:tblGrid>
      <w:tr w:rsidR="008E2AD6" w:rsidRPr="00B57B36" w14:paraId="5ACDC5CE" w14:textId="77777777" w:rsidTr="003F586A">
        <w:tc>
          <w:tcPr>
            <w:tcW w:w="8188" w:type="dxa"/>
            <w:vAlign w:val="center"/>
          </w:tcPr>
          <w:p w14:paraId="5B805264" w14:textId="5604AA11" w:rsidR="008E2AD6" w:rsidRPr="005C662D" w:rsidRDefault="00000000" w:rsidP="003F586A">
            <w:pPr>
              <w:pStyle w:val="CETEquation"/>
            </w:pPr>
            <m:oMathPara>
              <m:oMathParaPr>
                <m:jc m:val="left"/>
              </m:oMathParaPr>
              <m:oMath>
                <m:sSub>
                  <m:sSubPr>
                    <m:ctrlPr>
                      <w:rPr>
                        <w:rFonts w:ascii="Cambria Math" w:hAnsi="Cambria Math"/>
                        <w:i/>
                      </w:rPr>
                    </m:ctrlPr>
                  </m:sSubPr>
                  <m:e>
                    <m:r>
                      <w:rPr>
                        <w:rFonts w:ascii="Cambria Math" w:hAnsi="Cambria Math"/>
                      </w:rPr>
                      <m:t>∅</m:t>
                    </m:r>
                  </m:e>
                  <m:sub>
                    <m:r>
                      <w:rPr>
                        <w:rFonts w:ascii="Cambria Math" w:hAnsi="Cambria Math"/>
                      </w:rPr>
                      <m:t>v</m:t>
                    </m:r>
                  </m:sub>
                </m:sSub>
                <m:r>
                  <w:rPr>
                    <w:rFonts w:ascii="Cambria Math" w:hAnsi="Cambria Math"/>
                  </w:rPr>
                  <m:t>=R∙V</m:t>
                </m:r>
              </m:oMath>
            </m:oMathPara>
          </w:p>
        </w:tc>
        <w:tc>
          <w:tcPr>
            <w:tcW w:w="815" w:type="dxa"/>
            <w:vAlign w:val="center"/>
          </w:tcPr>
          <w:p w14:paraId="64E5B140" w14:textId="77777777" w:rsidR="008E2AD6" w:rsidRPr="00B57B36" w:rsidRDefault="008E2AD6" w:rsidP="003F586A">
            <w:pPr>
              <w:pStyle w:val="CETEquation"/>
              <w:jc w:val="right"/>
            </w:pPr>
            <w:r w:rsidRPr="00B57B36">
              <w:t>(1)</w:t>
            </w:r>
          </w:p>
        </w:tc>
      </w:tr>
    </w:tbl>
    <w:p w14:paraId="4F1DF3C3" w14:textId="188679BD" w:rsidR="00982D7D" w:rsidRPr="00982D7D" w:rsidRDefault="00CE0D84" w:rsidP="00982D7D">
      <w:pPr>
        <w:pStyle w:val="CETBodytext"/>
        <w:rPr>
          <w:rFonts w:eastAsiaTheme="minorEastAsia"/>
        </w:rPr>
      </w:pPr>
      <w:bookmarkStart w:id="3" w:name="_Toc225421706"/>
      <w:r w:rsidRPr="005F3BAE">
        <w:rPr>
          <w:rFonts w:eastAsiaTheme="minorEastAsia"/>
        </w:rPr>
        <w:lastRenderedPageBreak/>
        <w:t xml:space="preserve">In case of </w:t>
      </w:r>
      <w:r w:rsidR="005F3BAE">
        <w:rPr>
          <w:rFonts w:eastAsiaTheme="minorEastAsia"/>
        </w:rPr>
        <w:t>n</w:t>
      </w:r>
      <w:r w:rsidR="009A591C" w:rsidRPr="005F3BAE">
        <w:rPr>
          <w:rFonts w:eastAsiaTheme="minorEastAsia"/>
        </w:rPr>
        <w:t>atural ventilation</w:t>
      </w:r>
      <w:bookmarkEnd w:id="3"/>
      <w:r w:rsidR="005F3BAE" w:rsidRPr="005F3BAE">
        <w:rPr>
          <w:rFonts w:eastAsiaTheme="minorEastAsia"/>
        </w:rPr>
        <w:t>, a</w:t>
      </w:r>
      <w:r w:rsidR="00982D7D" w:rsidRPr="005F3BAE">
        <w:rPr>
          <w:rFonts w:eastAsiaTheme="minorEastAsia"/>
        </w:rPr>
        <w:t>ir can enter a room through open</w:t>
      </w:r>
      <w:r w:rsidR="007A3141">
        <w:rPr>
          <w:rFonts w:eastAsiaTheme="minorEastAsia"/>
        </w:rPr>
        <w:t>ings,</w:t>
      </w:r>
      <w:r w:rsidR="00982D7D" w:rsidRPr="005F3BAE">
        <w:rPr>
          <w:rFonts w:eastAsiaTheme="minorEastAsia"/>
        </w:rPr>
        <w:t xml:space="preserve"> windows, or leaks around doors and windows,</w:t>
      </w:r>
      <w:r w:rsidR="00982D7D" w:rsidRPr="003F1F78">
        <w:rPr>
          <w:rFonts w:eastAsiaTheme="minorEastAsia"/>
        </w:rPr>
        <w:t xml:space="preserve"> creating drafts inside the building. The inflow of air is dependent on the angle of the wind with respect to the opening:</w:t>
      </w:r>
    </w:p>
    <w:tbl>
      <w:tblPr>
        <w:tblW w:w="5000" w:type="pct"/>
        <w:tblLook w:val="04A0" w:firstRow="1" w:lastRow="0" w:firstColumn="1" w:lastColumn="0" w:noHBand="0" w:noVBand="1"/>
      </w:tblPr>
      <w:tblGrid>
        <w:gridCol w:w="7983"/>
        <w:gridCol w:w="804"/>
      </w:tblGrid>
      <w:tr w:rsidR="005C662D" w:rsidRPr="00B57B36" w14:paraId="661B4CA1" w14:textId="77777777" w:rsidTr="003F586A">
        <w:tc>
          <w:tcPr>
            <w:tcW w:w="8188" w:type="dxa"/>
            <w:vAlign w:val="center"/>
          </w:tcPr>
          <w:p w14:paraId="48FA3290" w14:textId="7BB064A8" w:rsidR="005C662D" w:rsidRPr="005C662D" w:rsidRDefault="00000000" w:rsidP="00982D7D">
            <w:pPr>
              <w:pStyle w:val="CETEquation"/>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wind</m:t>
                    </m:r>
                  </m:sub>
                </m:sSub>
                <m:func>
                  <m:funcPr>
                    <m:ctrlPr>
                      <w:rPr>
                        <w:rFonts w:ascii="Cambria Math" w:eastAsiaTheme="minorEastAsia" w:hAnsi="Cambria Math"/>
                        <w:i/>
                      </w:rPr>
                    </m:ctrlPr>
                  </m:funcPr>
                  <m:fName>
                    <m:r>
                      <m:rPr>
                        <m:sty m:val="p"/>
                      </m:rPr>
                      <w:rPr>
                        <w:rFonts w:ascii="Cambria Math" w:hAnsi="Cambria Math"/>
                      </w:rPr>
                      <m:t>cos</m:t>
                    </m:r>
                  </m:fName>
                  <m:e>
                    <m:r>
                      <w:rPr>
                        <w:rFonts w:ascii="Cambria Math" w:eastAsiaTheme="minorEastAsia" w:hAnsi="Cambria Math"/>
                      </w:rPr>
                      <m:t>θ</m:t>
                    </m:r>
                  </m:e>
                </m:func>
              </m:oMath>
            </m:oMathPara>
          </w:p>
        </w:tc>
        <w:tc>
          <w:tcPr>
            <w:tcW w:w="815" w:type="dxa"/>
            <w:vAlign w:val="center"/>
          </w:tcPr>
          <w:p w14:paraId="4172A471" w14:textId="40007D2D" w:rsidR="005C662D" w:rsidRPr="00B57B36" w:rsidRDefault="005C662D" w:rsidP="003F586A">
            <w:pPr>
              <w:pStyle w:val="CETEquation"/>
              <w:jc w:val="right"/>
            </w:pPr>
            <w:r w:rsidRPr="00B57B36">
              <w:t>(</w:t>
            </w:r>
            <w:r w:rsidR="00A34009">
              <w:t>2</w:t>
            </w:r>
            <w:r w:rsidRPr="00B57B36">
              <w:t>)</w:t>
            </w:r>
          </w:p>
        </w:tc>
      </w:tr>
    </w:tbl>
    <w:p w14:paraId="05966FBC" w14:textId="6AFD2CF5" w:rsidR="009A591C" w:rsidRPr="00875FB9" w:rsidRDefault="009A591C" w:rsidP="00877C30">
      <w:pPr>
        <w:pStyle w:val="CETBodytext"/>
        <w:rPr>
          <w:rFonts w:eastAsiaTheme="minorEastAsia"/>
        </w:rPr>
      </w:pPr>
      <w:r w:rsidRPr="003F1F78">
        <w:rPr>
          <w:rFonts w:eastAsiaTheme="minorEastAsia"/>
        </w:rPr>
        <w:t xml:space="preserve">The inflow follows from </w:t>
      </w:r>
      <w:sdt>
        <w:sdtPr>
          <w:rPr>
            <w:rFonts w:eastAsiaTheme="minorEastAsia" w:cs="Arial"/>
            <w:color w:val="000000"/>
          </w:rPr>
          <w:tag w:val="MENDELEY_CITATION_v3_eyJjaXRhdGlvbklEIjoiTUVOREVMRVlfQ0lUQVRJT05fNWQ5NDFiNWItZDdlYi00OGVjLWJhYzEtYjY0NzA2YTRjZDI5IiwicHJvcGVydGllcyI6eyJub3RlSW5kZXgiOjB9LCJpc0VkaXRlZCI6ZmFsc2UsIm1hbnVhbE92ZXJyaWRlIjp7ImlzTWFudWFsbHlPdmVycmlkZGVuIjpmYWxzZSwiY2l0ZXByb2NUZXh0IjoiKFdhbGtlciAyMDE2KSIsIm1hbnVhbE92ZXJyaWRlVGV4dCI6IiJ9LCJjaXRhdGlvbkl0ZW1zIjpbeyJpZCI6ImI4NzY1ZDkzLWQxMTctM2ZkMC04ZTRkLWIxNGNjMDMyMzk2NCIsIml0ZW1EYXRhIjp7InR5cGUiOiJ3ZWJwYWdlIiwiaWQiOiJiODc2NWQ5My1kMTE3LTNmZDAtOGU0ZC1iMTRjYzAzMjM5NjQiLCJ0aXRsZSI6Ik5hdHVyYWwgVmVudGlsYXRpb24iLCJhdXRob3IiOlt7ImZhbWlseSI6IldhbGtlciIsImdpdmVuIjoiQW5keSIsInBhcnNlLW5hbWVzIjpmYWxzZSwiZHJvcHBpbmctcGFydGljbGUiOiIiLCJub24tZHJvcHBpbmctcGFydGljbGUiOiIifV0sImFjY2Vzc2VkIjp7ImRhdGUtcGFydHMiOltbMjAyNCwzLDI2XV19LCJVUkwiOiJodHRwczovL3d3dy53YmRnLm9yZy9yZXNvdXJjZXMvbmF0dXJhbC12ZW50aWxhdGlvbiIsImlzc3VlZCI6eyJkYXRlLXBhcnRzIjpbWzIwMTYsMiw4XV19LCJjb250YWluZXItdGl0bGUtc2hvcnQiOiIifSwiaXNUZW1wb3JhcnkiOmZhbHNlLCJzdXBwcmVzcy1hdXRob3IiOmZhbHNlLCJjb21wb3NpdGUiOmZhbHNlLCJhdXRob3Itb25seSI6ZmFsc2V9XX0="/>
          <w:id w:val="-168484148"/>
          <w:placeholder>
            <w:docPart w:val="279E403DA33A46C08EC78FEC8F341D34"/>
          </w:placeholder>
        </w:sdtPr>
        <w:sdtContent>
          <w:r w:rsidR="00677AC7" w:rsidRPr="00677AC7">
            <w:rPr>
              <w:rFonts w:eastAsiaTheme="minorEastAsia" w:cs="Arial"/>
              <w:color w:val="000000"/>
            </w:rPr>
            <w:t>(Walker 2016)</w:t>
          </w:r>
        </w:sdtContent>
      </w:sdt>
      <w:r w:rsidRPr="003F1F78">
        <w:rPr>
          <w:rFonts w:eastAsiaTheme="minorEastAsia"/>
        </w:rPr>
        <w:t>:</w:t>
      </w:r>
    </w:p>
    <w:tbl>
      <w:tblPr>
        <w:tblW w:w="5000" w:type="pct"/>
        <w:tblLook w:val="04A0" w:firstRow="1" w:lastRow="0" w:firstColumn="1" w:lastColumn="0" w:noHBand="0" w:noVBand="1"/>
      </w:tblPr>
      <w:tblGrid>
        <w:gridCol w:w="7983"/>
        <w:gridCol w:w="804"/>
      </w:tblGrid>
      <w:tr w:rsidR="00875FB9" w:rsidRPr="00B57B36" w14:paraId="3982FE16" w14:textId="77777777" w:rsidTr="00875FB9">
        <w:tc>
          <w:tcPr>
            <w:tcW w:w="7983" w:type="dxa"/>
            <w:vAlign w:val="center"/>
          </w:tcPr>
          <w:p w14:paraId="5A3130F2" w14:textId="55D69D19" w:rsidR="00875FB9" w:rsidRPr="005C662D" w:rsidRDefault="00000000" w:rsidP="00875FB9">
            <w:pPr>
              <w:pStyle w:val="CETEquation"/>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in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d</m:t>
                    </m:r>
                  </m:sub>
                </m:sSub>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in</m:t>
                    </m:r>
                  </m:sub>
                </m:sSub>
              </m:oMath>
            </m:oMathPara>
          </w:p>
        </w:tc>
        <w:tc>
          <w:tcPr>
            <w:tcW w:w="804" w:type="dxa"/>
            <w:vAlign w:val="center"/>
          </w:tcPr>
          <w:p w14:paraId="2C2F9C11" w14:textId="77967272" w:rsidR="00875FB9" w:rsidRPr="00B57B36" w:rsidRDefault="00875FB9" w:rsidP="003F586A">
            <w:pPr>
              <w:pStyle w:val="CETEquation"/>
              <w:jc w:val="right"/>
            </w:pPr>
            <w:r w:rsidRPr="00B57B36">
              <w:t>(</w:t>
            </w:r>
            <w:r w:rsidR="00A34009">
              <w:t>3</w:t>
            </w:r>
            <w:r w:rsidRPr="00B57B36">
              <w:t>)</w:t>
            </w:r>
          </w:p>
        </w:tc>
      </w:tr>
    </w:tbl>
    <w:p w14:paraId="046375AA" w14:textId="7E6FA006" w:rsidR="00FA1487" w:rsidRDefault="009A591C" w:rsidP="00FA1487">
      <w:pPr>
        <w:pStyle w:val="CETBodytext"/>
      </w:pPr>
      <w:r w:rsidRPr="003F1F78">
        <w:rPr>
          <w:rFonts w:eastAsiaTheme="minorEastAsia"/>
        </w:rPr>
        <w:t xml:space="preserve">In the </w:t>
      </w:r>
      <w:r w:rsidRPr="003F1F78">
        <w:rPr>
          <w:rFonts w:eastAsiaTheme="minorEastAsia"/>
          <w:color w:val="000000"/>
        </w:rPr>
        <w:t xml:space="preserve">ATEX </w:t>
      </w:r>
      <w:r w:rsidR="00740D79" w:rsidRPr="00FA1487">
        <w:rPr>
          <w:rFonts w:eastAsiaTheme="minorEastAsia"/>
        </w:rPr>
        <w:t xml:space="preserve">guideline </w:t>
      </w:r>
      <w:r w:rsidR="00740D79" w:rsidRPr="00FA1487">
        <w:t xml:space="preserve">IEC 60079-10-1:2020, IDT, </w:t>
      </w:r>
      <w:sdt>
        <w:sdtPr>
          <w:rPr>
            <w:rFonts w:cs="Arial"/>
            <w:color w:val="000000"/>
          </w:rPr>
          <w:tag w:val="MENDELEY_CITATION_v3_eyJjaXRhdGlvbklEIjoiTUVOREVMRVlfQ0lUQVRJT05fZGFmZWNjMTUtZjMxMC00NWUwLTkyYWMtNjEzMjY5YzdlNWZjIiwicHJvcGVydGllcyI6eyJub3RlSW5kZXgiOjB9LCJpc0VkaXRlZCI6ZmFsc2UsIm1hbnVhbE92ZXJyaWRlIjp7ImlzTWFudWFsbHlPdmVycmlkZGVuIjpmYWxzZSwiY2l0ZXByb2NUZXh0IjoiKEFURVggMjAyMSkiLCJtYW51YWxPdmVycmlkZVRleHQiOiIifSwiY2l0YXRpb25JdGVtcyI6W3siaWQiOiJlZmQ3YmUxMC0xZGM1LTM2NTQtODI1MC1iNjk0YmVjMmRkN2YiLCJpdGVtRGF0YSI6eyJ0eXBlIjoiYXJ0aWNsZS1qb3VybmFsIiwiaWQiOiJlZmQ3YmUxMC0xZGM1LTM2NTQtODI1MC1iNjk0YmVjMmRkN2YiLCJ0aXRsZSI6Ik5FTi1FTi1JRUMgNjAwNzktMTAtMSBFeHBsb3NpdmUgYXRtb3NwaGVyZXMgLSBQYXJ0IDEwLTE6IENsYXNzaWZpY2F0aW9uXG5vZiBhcmVhcyAtIEV4cGxvc2l2ZSBnYXMgYXRtb3NwaGVyZXMgKElFQyA2MDA3OS1cbjEwLTE6MjAyMCxJRFQpIiwiYXV0aG9yIjpbeyJmYW1pbHkiOiJBVEVYIiwiZ2l2ZW4iOiIiLCJwYXJzZS1uYW1lcyI6ZmFsc2UsImRyb3BwaW5nLXBhcnRpY2xlIjoiIiwibm9uLWRyb3BwaW5nLXBhcnRpY2xlIjoiIn1dLCJpc3N1ZWQiOnsiZGF0ZS1wYXJ0cyI6W1syMDIxXV19fSwiaXNUZW1wb3JhcnkiOmZhbHNlLCJzdXBwcmVzcy1hdXRob3IiOmZhbHNlLCJjb21wb3NpdGUiOmZhbHNlLCJhdXRob3Itb25seSI6ZmFsc2V9XX0="/>
          <w:id w:val="1622567940"/>
          <w:placeholder>
            <w:docPart w:val="6FC89F887D334E50AD83E2FA107BC462"/>
          </w:placeholder>
        </w:sdtPr>
        <w:sdtContent>
          <w:r w:rsidR="00677AC7" w:rsidRPr="00677AC7">
            <w:rPr>
              <w:rFonts w:cs="Arial"/>
              <w:color w:val="000000"/>
            </w:rPr>
            <w:t>(ATEX 2021)</w:t>
          </w:r>
        </w:sdtContent>
      </w:sdt>
      <w:r w:rsidR="00740D79" w:rsidRPr="00FA1487">
        <w:t>.</w:t>
      </w:r>
      <w:r w:rsidRPr="003F1F78">
        <w:rPr>
          <w:rFonts w:eastAsiaTheme="minorEastAsia"/>
          <w:color w:val="000000"/>
        </w:rPr>
        <w:t>, empirical relations are described for the ventilation flow through a room with various openings</w:t>
      </w:r>
      <w:r w:rsidR="0064081F">
        <w:rPr>
          <w:rFonts w:eastAsiaTheme="minorEastAsia" w:cs="Arial"/>
          <w:color w:val="000000"/>
        </w:rPr>
        <w:t>.</w:t>
      </w:r>
      <w:r w:rsidR="00FA1487" w:rsidRPr="00FA1487">
        <w:rPr>
          <w:rFonts w:eastAsiaTheme="minorEastAsia"/>
        </w:rPr>
        <w:t xml:space="preserve"> </w:t>
      </w:r>
      <w:r w:rsidR="008F502C">
        <w:t>Here the various</w:t>
      </w:r>
      <w:r w:rsidR="0082789E">
        <w:t xml:space="preserve"> </w:t>
      </w:r>
      <w:r w:rsidR="00740D79">
        <w:t xml:space="preserve">opening </w:t>
      </w:r>
      <w:r w:rsidR="0082789E">
        <w:t>configuration</w:t>
      </w:r>
      <w:r w:rsidR="00740D79">
        <w:t>s</w:t>
      </w:r>
      <w:r w:rsidR="0082789E">
        <w:t xml:space="preserve"> </w:t>
      </w:r>
      <w:r w:rsidR="002B088D">
        <w:t xml:space="preserve">(angles) </w:t>
      </w:r>
      <w:r w:rsidR="0082789E">
        <w:t>are combined into an overall equation</w:t>
      </w:r>
      <w:r w:rsidR="00B030E7">
        <w:t xml:space="preserve"> for the effective opening area:</w:t>
      </w:r>
    </w:p>
    <w:tbl>
      <w:tblPr>
        <w:tblW w:w="5000" w:type="pct"/>
        <w:tblLook w:val="04A0" w:firstRow="1" w:lastRow="0" w:firstColumn="1" w:lastColumn="0" w:noHBand="0" w:noVBand="1"/>
      </w:tblPr>
      <w:tblGrid>
        <w:gridCol w:w="7983"/>
        <w:gridCol w:w="804"/>
      </w:tblGrid>
      <w:tr w:rsidR="00B030E7" w:rsidRPr="00B57B36" w14:paraId="1F42A592" w14:textId="77777777" w:rsidTr="003F586A">
        <w:tc>
          <w:tcPr>
            <w:tcW w:w="7983" w:type="dxa"/>
            <w:vAlign w:val="center"/>
          </w:tcPr>
          <w:p w14:paraId="31D3BE30" w14:textId="3CFBACCB" w:rsidR="00B030E7" w:rsidRPr="005C662D" w:rsidRDefault="00000000" w:rsidP="003F586A">
            <w:pPr>
              <w:pStyle w:val="CETEquation"/>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effective,x,θ</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180-θ</m:t>
                        </m:r>
                      </m:num>
                      <m:den>
                        <m:r>
                          <w:rPr>
                            <w:rFonts w:ascii="Cambria Math" w:eastAsiaTheme="minorEastAsia" w:hAnsi="Cambria Math"/>
                          </w:rPr>
                          <m:t>180</m:t>
                        </m:r>
                      </m:den>
                    </m:f>
                    <m:d>
                      <m:dPr>
                        <m:ctrlPr>
                          <w:rPr>
                            <w:rFonts w:ascii="Cambria Math" w:eastAsiaTheme="minorEastAsia" w:hAnsi="Cambria Math"/>
                            <w:i/>
                          </w:rPr>
                        </m:ctrlPr>
                      </m:dPr>
                      <m:e>
                        <m:r>
                          <w:rPr>
                            <w:rFonts w:ascii="Cambria Math" w:eastAsiaTheme="minorEastAsia" w:hAnsi="Cambria Math"/>
                          </w:rPr>
                          <m:t>1+x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θ</m:t>
                        </m:r>
                      </m:num>
                      <m:den>
                        <m:r>
                          <w:rPr>
                            <w:rFonts w:ascii="Cambria Math" w:eastAsiaTheme="minorEastAsia" w:hAnsi="Cambria Math"/>
                          </w:rPr>
                          <m:t>180</m:t>
                        </m:r>
                      </m:den>
                    </m:f>
                    <m:f>
                      <m:fPr>
                        <m:ctrlPr>
                          <w:rPr>
                            <w:rFonts w:ascii="Cambria Math" w:eastAsiaTheme="minorEastAsia" w:hAnsi="Cambria Math"/>
                            <w:i/>
                          </w:rPr>
                        </m:ctrlPr>
                      </m:fPr>
                      <m:num>
                        <m:r>
                          <w:rPr>
                            <w:rFonts w:ascii="Cambria Math" w:eastAsiaTheme="minorEastAsia" w:hAnsi="Cambria Math"/>
                          </w:rPr>
                          <m:t>x</m:t>
                        </m:r>
                      </m:num>
                      <m:den>
                        <m:rad>
                          <m:radPr>
                            <m:degHide m:val="1"/>
                            <m:ctrlPr>
                              <w:rPr>
                                <w:rFonts w:ascii="Cambria Math" w:eastAsiaTheme="minorEastAsia" w:hAnsi="Cambria Math"/>
                                <w:i/>
                              </w:rPr>
                            </m:ctrlPr>
                          </m:radPr>
                          <m:deg/>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rad>
                      </m:den>
                    </m:f>
                  </m:e>
                </m:d>
              </m:oMath>
            </m:oMathPara>
          </w:p>
        </w:tc>
        <w:tc>
          <w:tcPr>
            <w:tcW w:w="804" w:type="dxa"/>
            <w:vAlign w:val="center"/>
          </w:tcPr>
          <w:p w14:paraId="23340F7B" w14:textId="6C40CF83" w:rsidR="00B030E7" w:rsidRPr="00B57B36" w:rsidRDefault="00B030E7" w:rsidP="003F586A">
            <w:pPr>
              <w:pStyle w:val="CETEquation"/>
              <w:jc w:val="right"/>
            </w:pPr>
            <w:r w:rsidRPr="00B57B36">
              <w:t>(</w:t>
            </w:r>
            <w:r w:rsidR="00A34009">
              <w:t>4</w:t>
            </w:r>
            <w:r w:rsidRPr="00B57B36">
              <w:t>)</w:t>
            </w:r>
          </w:p>
        </w:tc>
      </w:tr>
    </w:tbl>
    <w:p w14:paraId="399F5D86" w14:textId="5CA36571" w:rsidR="00B030E7" w:rsidRDefault="000C4627" w:rsidP="00FA1487">
      <w:pPr>
        <w:pStyle w:val="CETBodytext"/>
      </w:pPr>
      <w:r>
        <w:t>With:</w:t>
      </w:r>
    </w:p>
    <w:tbl>
      <w:tblPr>
        <w:tblW w:w="5000" w:type="pct"/>
        <w:tblLook w:val="04A0" w:firstRow="1" w:lastRow="0" w:firstColumn="1" w:lastColumn="0" w:noHBand="0" w:noVBand="1"/>
      </w:tblPr>
      <w:tblGrid>
        <w:gridCol w:w="7983"/>
        <w:gridCol w:w="804"/>
      </w:tblGrid>
      <w:tr w:rsidR="000C4627" w:rsidRPr="00B57B36" w14:paraId="0F3981E0" w14:textId="77777777" w:rsidTr="003F586A">
        <w:tc>
          <w:tcPr>
            <w:tcW w:w="7983" w:type="dxa"/>
            <w:vAlign w:val="center"/>
          </w:tcPr>
          <w:p w14:paraId="366A28A8" w14:textId="77777777" w:rsidR="000C4627" w:rsidRPr="005C662D" w:rsidRDefault="000C4627" w:rsidP="003F586A">
            <w:pPr>
              <w:pStyle w:val="CETEquation"/>
            </w:pPr>
            <m:oMathPara>
              <m:oMathParaPr>
                <m:jc m:val="left"/>
              </m:oMathParaPr>
              <m:oMath>
                <m:r>
                  <w:rPr>
                    <w:rFonts w:ascii="Cambria Math" w:eastAsiaTheme="minorEastAsia" w:hAnsi="Cambria Math"/>
                  </w:rPr>
                  <m:t>x=</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den>
                </m:f>
              </m:oMath>
            </m:oMathPara>
          </w:p>
        </w:tc>
        <w:tc>
          <w:tcPr>
            <w:tcW w:w="804" w:type="dxa"/>
            <w:vAlign w:val="center"/>
          </w:tcPr>
          <w:p w14:paraId="21A6989D" w14:textId="51F95B9E" w:rsidR="000C4627" w:rsidRPr="00B57B36" w:rsidRDefault="000C4627" w:rsidP="003F586A">
            <w:pPr>
              <w:pStyle w:val="CETEquation"/>
              <w:jc w:val="right"/>
            </w:pPr>
            <w:r w:rsidRPr="00B57B36">
              <w:t>(</w:t>
            </w:r>
            <w:r w:rsidR="00A34009">
              <w:t>5</w:t>
            </w:r>
            <w:r w:rsidRPr="00B57B36">
              <w:t>)</w:t>
            </w:r>
          </w:p>
        </w:tc>
      </w:tr>
    </w:tbl>
    <w:p w14:paraId="2735E251" w14:textId="6455A15D" w:rsidR="00F40E81" w:rsidRDefault="009A591C" w:rsidP="006B3D55">
      <w:pPr>
        <w:pStyle w:val="CETBodytext"/>
        <w:rPr>
          <w:rFonts w:eastAsiaTheme="minorEastAsia"/>
        </w:rPr>
      </w:pPr>
      <w:r w:rsidRPr="003F1F78">
        <w:rPr>
          <w:rFonts w:eastAsiaTheme="minorEastAsia"/>
        </w:rPr>
        <w:t>The angle dependent discharge coefficient follows from:</w:t>
      </w:r>
    </w:p>
    <w:tbl>
      <w:tblPr>
        <w:tblW w:w="5000" w:type="pct"/>
        <w:tblLook w:val="04A0" w:firstRow="1" w:lastRow="0" w:firstColumn="1" w:lastColumn="0" w:noHBand="0" w:noVBand="1"/>
      </w:tblPr>
      <w:tblGrid>
        <w:gridCol w:w="7983"/>
        <w:gridCol w:w="804"/>
      </w:tblGrid>
      <w:tr w:rsidR="00F40E81" w:rsidRPr="00B57B36" w14:paraId="78A8E19B" w14:textId="77777777" w:rsidTr="003F586A">
        <w:tc>
          <w:tcPr>
            <w:tcW w:w="7983" w:type="dxa"/>
            <w:vAlign w:val="center"/>
          </w:tcPr>
          <w:p w14:paraId="74126D45" w14:textId="4200F56C" w:rsidR="00F40E81" w:rsidRPr="005C662D" w:rsidRDefault="00000000" w:rsidP="003F586A">
            <w:pPr>
              <w:pStyle w:val="CETEquation"/>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d</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180-θ</m:t>
                    </m:r>
                  </m:num>
                  <m:den>
                    <m:r>
                      <w:rPr>
                        <w:rFonts w:ascii="Cambria Math" w:eastAsiaTheme="minorEastAsia" w:hAnsi="Cambria Math"/>
                      </w:rPr>
                      <m:t>180</m:t>
                    </m:r>
                  </m:den>
                </m:f>
                <m:r>
                  <w:rPr>
                    <w:rFonts w:ascii="Cambria Math" w:eastAsiaTheme="minorEastAsia" w:hAnsi="Cambria Math"/>
                  </w:rPr>
                  <m:t>0.025+</m:t>
                </m:r>
                <m:f>
                  <m:fPr>
                    <m:ctrlPr>
                      <w:rPr>
                        <w:rFonts w:ascii="Cambria Math" w:eastAsiaTheme="minorEastAsia" w:hAnsi="Cambria Math"/>
                        <w:i/>
                      </w:rPr>
                    </m:ctrlPr>
                  </m:fPr>
                  <m:num>
                    <m:r>
                      <w:rPr>
                        <w:rFonts w:ascii="Cambria Math" w:eastAsiaTheme="minorEastAsia" w:hAnsi="Cambria Math"/>
                      </w:rPr>
                      <m:t>θ</m:t>
                    </m:r>
                  </m:num>
                  <m:den>
                    <m:r>
                      <w:rPr>
                        <w:rFonts w:ascii="Cambria Math" w:eastAsiaTheme="minorEastAsia" w:hAnsi="Cambria Math"/>
                      </w:rPr>
                      <m:t>180</m:t>
                    </m:r>
                  </m:den>
                </m:f>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s</m:t>
                    </m:r>
                  </m:sub>
                </m:sSub>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e>
                </m:rad>
              </m:oMath>
            </m:oMathPara>
          </w:p>
        </w:tc>
        <w:tc>
          <w:tcPr>
            <w:tcW w:w="804" w:type="dxa"/>
            <w:vAlign w:val="center"/>
          </w:tcPr>
          <w:p w14:paraId="01F6EB2D" w14:textId="4E3ADDB6" w:rsidR="00F40E81" w:rsidRPr="00B57B36" w:rsidRDefault="00F40E81" w:rsidP="003F586A">
            <w:pPr>
              <w:pStyle w:val="CETEquation"/>
              <w:jc w:val="right"/>
            </w:pPr>
            <w:r w:rsidRPr="00B57B36">
              <w:t>(</w:t>
            </w:r>
            <w:r w:rsidR="00A34009">
              <w:t>6</w:t>
            </w:r>
            <w:r w:rsidRPr="00B57B36">
              <w:t>)</w:t>
            </w:r>
          </w:p>
        </w:tc>
      </w:tr>
    </w:tbl>
    <w:p w14:paraId="31BEF2EC" w14:textId="4A795725" w:rsidR="006F70BE" w:rsidRPr="00FB3A5C" w:rsidRDefault="006800AB" w:rsidP="00D92464">
      <w:pPr>
        <w:pStyle w:val="CETBodytext"/>
        <w:rPr>
          <w:rFonts w:eastAsiaTheme="minorEastAsia"/>
          <w:lang w:val="en-GB"/>
        </w:rPr>
      </w:pPr>
      <w:r w:rsidRPr="006800AB">
        <w:rPr>
          <w:rFonts w:eastAsiaTheme="minorEastAsia"/>
          <w:lang w:val="en-GB"/>
        </w:rPr>
        <w:t>Multiple openings are combined using an angle-based aggregation into two representative openings.</w:t>
      </w:r>
    </w:p>
    <w:p w14:paraId="194585C5" w14:textId="77777777" w:rsidR="009A591C" w:rsidRPr="00D92464" w:rsidRDefault="009A591C" w:rsidP="006F70BE">
      <w:pPr>
        <w:pStyle w:val="CETheadingx"/>
      </w:pPr>
      <w:bookmarkStart w:id="4" w:name="_Toc225421707"/>
      <w:r w:rsidRPr="00D92464">
        <w:t>Indoor dispersion model</w:t>
      </w:r>
      <w:bookmarkEnd w:id="4"/>
    </w:p>
    <w:p w14:paraId="1B2992E3" w14:textId="77777777" w:rsidR="009A591C" w:rsidRDefault="009A591C" w:rsidP="00D92464">
      <w:pPr>
        <w:pStyle w:val="CETBodytext"/>
      </w:pPr>
      <w:r>
        <w:t>The indoor dispersion model consists of three sub-models:</w:t>
      </w:r>
    </w:p>
    <w:p w14:paraId="24F4CA69" w14:textId="5A8DD1C3" w:rsidR="009A591C" w:rsidRDefault="009A591C" w:rsidP="000404CB">
      <w:pPr>
        <w:pStyle w:val="CETBodytext"/>
        <w:numPr>
          <w:ilvl w:val="0"/>
          <w:numId w:val="21"/>
        </w:numPr>
      </w:pPr>
      <w:r>
        <w:t>Ideal mixing model</w:t>
      </w:r>
      <w:r w:rsidR="006B12F7">
        <w:t xml:space="preserve"> (f</w:t>
      </w:r>
      <w:r w:rsidR="006B12F7" w:rsidRPr="003F1F78">
        <w:t>or neutral gases or for large releases</w:t>
      </w:r>
      <w:r w:rsidR="007E3B44">
        <w:t xml:space="preserve">, i.e. </w:t>
      </w:r>
      <w:r w:rsidR="007E3B44" w:rsidRPr="003F1F78">
        <w:t xml:space="preserve">filling time </w:t>
      </w:r>
      <w:r w:rsidR="007E3B44">
        <w:t xml:space="preserve">&lt; </w:t>
      </w:r>
      <w:r w:rsidR="007E3B44" w:rsidRPr="003F1F78">
        <w:t>100 seconds</w:t>
      </w:r>
      <w:r w:rsidR="006B12F7">
        <w:t>)</w:t>
      </w:r>
    </w:p>
    <w:p w14:paraId="5E05DD9B" w14:textId="2514E77A" w:rsidR="009A591C" w:rsidRDefault="009A591C" w:rsidP="000404CB">
      <w:pPr>
        <w:pStyle w:val="CETBodytext"/>
        <w:numPr>
          <w:ilvl w:val="0"/>
          <w:numId w:val="21"/>
        </w:numPr>
      </w:pPr>
      <w:r>
        <w:t>Two-layer model</w:t>
      </w:r>
      <w:r w:rsidR="006B12F7">
        <w:t xml:space="preserve"> (f</w:t>
      </w:r>
      <w:r w:rsidR="006B12F7" w:rsidRPr="003F1F78">
        <w:t>or gases, lighter than air</w:t>
      </w:r>
      <w:r w:rsidR="006B12F7">
        <w:t>)</w:t>
      </w:r>
    </w:p>
    <w:p w14:paraId="114F0A54" w14:textId="469A6BB6" w:rsidR="009A591C" w:rsidRDefault="009A591C" w:rsidP="000404CB">
      <w:pPr>
        <w:pStyle w:val="CETBodytext"/>
        <w:numPr>
          <w:ilvl w:val="0"/>
          <w:numId w:val="21"/>
        </w:numPr>
      </w:pPr>
      <w:r>
        <w:t>Inverse two-layer model</w:t>
      </w:r>
      <w:r w:rsidR="006B12F7">
        <w:t xml:space="preserve"> (for </w:t>
      </w:r>
      <w:proofErr w:type="gramStart"/>
      <w:r w:rsidR="006B12F7">
        <w:t>g</w:t>
      </w:r>
      <w:r w:rsidR="006B12F7" w:rsidRPr="003F1F78">
        <w:t>asses</w:t>
      </w:r>
      <w:proofErr w:type="gramEnd"/>
      <w:r w:rsidR="006B12F7" w:rsidRPr="003F1F78">
        <w:t>, heavier than air</w:t>
      </w:r>
      <w:r w:rsidR="000E48BB">
        <w:t>)</w:t>
      </w:r>
    </w:p>
    <w:p w14:paraId="1A614661" w14:textId="72FCCFC3" w:rsidR="00955D83" w:rsidRDefault="009A591C" w:rsidP="00D92464">
      <w:pPr>
        <w:pStyle w:val="CETBodytext"/>
        <w:rPr>
          <w:rFonts w:eastAsiaTheme="minorEastAsia"/>
        </w:rPr>
      </w:pPr>
      <w:r w:rsidRPr="003F1F78">
        <w:rPr>
          <w:rFonts w:eastAsiaTheme="minorEastAsia"/>
        </w:rPr>
        <w:t>When ideal mixing</w:t>
      </w:r>
      <w:r w:rsidR="00A079A8">
        <w:rPr>
          <w:rFonts w:eastAsiaTheme="minorEastAsia"/>
        </w:rPr>
        <w:t xml:space="preserve"> </w:t>
      </w:r>
      <w:r w:rsidR="007E3B44">
        <w:rPr>
          <w:rFonts w:eastAsiaTheme="minorEastAsia"/>
        </w:rPr>
        <w:t>i</w:t>
      </w:r>
      <w:r w:rsidRPr="003F1F78">
        <w:rPr>
          <w:rFonts w:eastAsiaTheme="minorEastAsia"/>
        </w:rPr>
        <w:t>s assumed</w:t>
      </w:r>
      <w:r w:rsidR="009A0D64">
        <w:rPr>
          <w:rFonts w:eastAsiaTheme="minorEastAsia"/>
        </w:rPr>
        <w:t xml:space="preserve">, </w:t>
      </w:r>
      <w:r w:rsidRPr="003F1F78">
        <w:rPr>
          <w:rFonts w:eastAsiaTheme="minorEastAsia"/>
        </w:rPr>
        <w:t>the change in concentration in time in a room follows from a mass balance:</w:t>
      </w:r>
    </w:p>
    <w:tbl>
      <w:tblPr>
        <w:tblW w:w="5000" w:type="pct"/>
        <w:tblLook w:val="04A0" w:firstRow="1" w:lastRow="0" w:firstColumn="1" w:lastColumn="0" w:noHBand="0" w:noVBand="1"/>
      </w:tblPr>
      <w:tblGrid>
        <w:gridCol w:w="7983"/>
        <w:gridCol w:w="804"/>
      </w:tblGrid>
      <w:tr w:rsidR="00955D83" w:rsidRPr="00B57B36" w14:paraId="7F98E573" w14:textId="77777777" w:rsidTr="003F586A">
        <w:tc>
          <w:tcPr>
            <w:tcW w:w="7983" w:type="dxa"/>
            <w:vAlign w:val="center"/>
          </w:tcPr>
          <w:p w14:paraId="55C5C1D6" w14:textId="7D30F311" w:rsidR="00955D83" w:rsidRPr="005C662D" w:rsidRDefault="00955D83" w:rsidP="00E25D2E">
            <w:pPr>
              <w:pStyle w:val="CETEquation"/>
            </w:pPr>
            <m:oMathPara>
              <m:oMathParaPr>
                <m:jc m:val="left"/>
              </m:oMathParaPr>
              <m:oMath>
                <m:r>
                  <w:rPr>
                    <w:rFonts w:ascii="Cambria Math" w:eastAsiaTheme="minorEastAsia" w:hAnsi="Cambria Math"/>
                  </w:rPr>
                  <m:t>V</m:t>
                </m:r>
                <m:f>
                  <m:fPr>
                    <m:ctrlPr>
                      <w:rPr>
                        <w:rFonts w:ascii="Cambria Math" w:eastAsiaTheme="minorEastAsia" w:hAnsi="Cambria Math"/>
                      </w:rPr>
                    </m:ctrlPr>
                  </m:fPr>
                  <m:num>
                    <m:r>
                      <w:rPr>
                        <w:rFonts w:ascii="Cambria Math" w:eastAsiaTheme="minorEastAsia" w:hAnsi="Cambria Math"/>
                      </w:rPr>
                      <m:t>dC</m:t>
                    </m:r>
                  </m:num>
                  <m:den>
                    <m:r>
                      <w:rPr>
                        <w:rFonts w:ascii="Cambria Math" w:eastAsiaTheme="minorEastAsia" w:hAnsi="Cambria Math"/>
                      </w:rPr>
                      <m:t>dt</m:t>
                    </m:r>
                  </m:den>
                </m:f>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Q</m:t>
                    </m:r>
                  </m:e>
                  <m:sub>
                    <m:r>
                      <w:rPr>
                        <w:rFonts w:ascii="Cambria Math" w:eastAsiaTheme="minorEastAsia" w:hAnsi="Cambria Math"/>
                      </w:rPr>
                      <m:t>in</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C</m:t>
                    </m:r>
                  </m:e>
                  <m:sub>
                    <m:r>
                      <w:rPr>
                        <w:rFonts w:ascii="Cambria Math" w:eastAsiaTheme="minorEastAsia" w:hAnsi="Cambria Math"/>
                      </w:rPr>
                      <m:t>in</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Q</m:t>
                    </m:r>
                  </m:e>
                  <m:sub>
                    <m:r>
                      <w:rPr>
                        <w:rFonts w:ascii="Cambria Math" w:eastAsiaTheme="minorEastAsia" w:hAnsi="Cambria Math"/>
                      </w:rPr>
                      <m:t>leak</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C</m:t>
                    </m:r>
                  </m:e>
                  <m:sub>
                    <m:r>
                      <w:rPr>
                        <w:rFonts w:ascii="Cambria Math" w:eastAsiaTheme="minorEastAsia" w:hAnsi="Cambria Math"/>
                      </w:rPr>
                      <m:t>leak</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Q</m:t>
                    </m:r>
                  </m:e>
                  <m:sub>
                    <m:r>
                      <w:rPr>
                        <w:rFonts w:ascii="Cambria Math" w:eastAsiaTheme="minorEastAsia" w:hAnsi="Cambria Math"/>
                      </w:rPr>
                      <m:t>out</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C</m:t>
                    </m:r>
                  </m:e>
                  <m:sub>
                    <m:r>
                      <w:rPr>
                        <w:rFonts w:ascii="Cambria Math" w:eastAsiaTheme="minorEastAsia" w:hAnsi="Cambria Math"/>
                      </w:rPr>
                      <m:t>out</m:t>
                    </m:r>
                  </m:sub>
                </m:sSub>
              </m:oMath>
            </m:oMathPara>
          </w:p>
        </w:tc>
        <w:tc>
          <w:tcPr>
            <w:tcW w:w="804" w:type="dxa"/>
            <w:vAlign w:val="center"/>
          </w:tcPr>
          <w:p w14:paraId="1EAA1FF6" w14:textId="23B02742" w:rsidR="00955D83" w:rsidRPr="00B57B36" w:rsidRDefault="00955D83" w:rsidP="00C01726">
            <w:pPr>
              <w:pStyle w:val="CETEquation"/>
              <w:jc w:val="right"/>
            </w:pPr>
            <w:r w:rsidRPr="00B57B36">
              <w:t>(</w:t>
            </w:r>
            <w:r w:rsidR="00A34009">
              <w:t>7</w:t>
            </w:r>
            <w:r w:rsidRPr="00B57B36">
              <w:t>)</w:t>
            </w:r>
          </w:p>
        </w:tc>
      </w:tr>
    </w:tbl>
    <w:p w14:paraId="1C3FBC98" w14:textId="11143B89" w:rsidR="00886F9C" w:rsidRDefault="009A591C" w:rsidP="00D92464">
      <w:pPr>
        <w:pStyle w:val="CETBodytext"/>
        <w:rPr>
          <w:rFonts w:eastAsiaTheme="minorEastAsia"/>
        </w:rPr>
      </w:pPr>
      <w:r w:rsidRPr="003F1F78">
        <w:rPr>
          <w:rFonts w:eastAsiaTheme="minorEastAsia"/>
        </w:rPr>
        <w:t xml:space="preserve">This differential equation can be solved </w:t>
      </w:r>
      <w:r w:rsidR="00DA2BB3">
        <w:rPr>
          <w:rFonts w:eastAsiaTheme="minorEastAsia"/>
        </w:rPr>
        <w:t>analytically</w:t>
      </w:r>
      <w:r w:rsidR="00DA2BB3" w:rsidRPr="003F1F78">
        <w:rPr>
          <w:rFonts w:eastAsiaTheme="minorEastAsia"/>
        </w:rPr>
        <w:t xml:space="preserve"> </w:t>
      </w:r>
      <w:r w:rsidR="00A079A8">
        <w:rPr>
          <w:rFonts w:eastAsiaTheme="minorEastAsia"/>
        </w:rPr>
        <w:t>if</w:t>
      </w:r>
      <w:r w:rsidRPr="003F1F78">
        <w:rPr>
          <w:rFonts w:eastAsiaTheme="minorEastAsia"/>
        </w:rPr>
        <w:t xml:space="preserve"> the leak flow and concentration will remain constant:</w:t>
      </w:r>
    </w:p>
    <w:tbl>
      <w:tblPr>
        <w:tblW w:w="5000" w:type="pct"/>
        <w:tblLook w:val="04A0" w:firstRow="1" w:lastRow="0" w:firstColumn="1" w:lastColumn="0" w:noHBand="0" w:noVBand="1"/>
      </w:tblPr>
      <w:tblGrid>
        <w:gridCol w:w="7983"/>
        <w:gridCol w:w="804"/>
      </w:tblGrid>
      <w:tr w:rsidR="00886F9C" w:rsidRPr="00B57B36" w14:paraId="7889C99A" w14:textId="77777777" w:rsidTr="003F586A">
        <w:tc>
          <w:tcPr>
            <w:tcW w:w="7983" w:type="dxa"/>
            <w:vAlign w:val="center"/>
          </w:tcPr>
          <w:p w14:paraId="287954A1" w14:textId="6AB8819C" w:rsidR="00886F9C" w:rsidRPr="005C662D" w:rsidRDefault="00000000" w:rsidP="00E25D2E">
            <w:pPr>
              <w:pStyle w:val="CETEquation"/>
            </w:pPr>
            <m:oMathPara>
              <m:oMathParaPr>
                <m:jc m:val="left"/>
              </m:oMathParaPr>
              <m:oMath>
                <m:sSub>
                  <m:sSubPr>
                    <m:ctrlPr>
                      <w:rPr>
                        <w:rFonts w:ascii="Cambria Math" w:eastAsiaTheme="minorEastAsia" w:hAnsi="Cambria Math"/>
                      </w:rPr>
                    </m:ctrlPr>
                  </m:sSubPr>
                  <m:e>
                    <m:r>
                      <w:rPr>
                        <w:rFonts w:ascii="Cambria Math" w:eastAsiaTheme="minorEastAsia" w:hAnsi="Cambria Math"/>
                      </w:rPr>
                      <m:t>C</m:t>
                    </m:r>
                  </m:e>
                  <m:sub>
                    <m:r>
                      <w:rPr>
                        <w:rFonts w:ascii="Cambria Math" w:eastAsiaTheme="minorEastAsia" w:hAnsi="Cambria Math"/>
                      </w:rPr>
                      <m:t>out</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C</m:t>
                    </m:r>
                  </m:e>
                  <m:sub>
                    <m:r>
                      <w:rPr>
                        <w:rFonts w:ascii="Cambria Math" w:eastAsiaTheme="minorEastAsia" w:hAnsi="Cambria Math"/>
                      </w:rPr>
                      <m:t>leak</m:t>
                    </m:r>
                  </m:sub>
                </m:sSub>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Q</m:t>
                        </m:r>
                      </m:e>
                      <m:sub>
                        <m:r>
                          <w:rPr>
                            <w:rFonts w:ascii="Cambria Math" w:eastAsiaTheme="minorEastAsia" w:hAnsi="Cambria Math"/>
                          </w:rPr>
                          <m:t>leak</m:t>
                        </m:r>
                      </m:sub>
                    </m:sSub>
                  </m:num>
                  <m:den>
                    <m:sSub>
                      <m:sSubPr>
                        <m:ctrlPr>
                          <w:rPr>
                            <w:rFonts w:ascii="Cambria Math" w:eastAsiaTheme="minorEastAsia" w:hAnsi="Cambria Math"/>
                          </w:rPr>
                        </m:ctrlPr>
                      </m:sSubPr>
                      <m:e>
                        <m:r>
                          <w:rPr>
                            <w:rFonts w:ascii="Cambria Math" w:eastAsiaTheme="minorEastAsia" w:hAnsi="Cambria Math"/>
                          </w:rPr>
                          <m:t>Q</m:t>
                        </m:r>
                      </m:e>
                      <m:sub>
                        <m:r>
                          <w:rPr>
                            <w:rFonts w:ascii="Cambria Math" w:eastAsiaTheme="minorEastAsia" w:hAnsi="Cambria Math"/>
                          </w:rPr>
                          <m:t>out</m:t>
                        </m:r>
                      </m:sub>
                    </m:sSub>
                  </m:den>
                </m:f>
                <m:r>
                  <m:rPr>
                    <m:sty m:val="p"/>
                  </m:rPr>
                  <w:rPr>
                    <w:rFonts w:ascii="Cambria Math" w:eastAsiaTheme="minorEastAsia" w:hAnsi="Cambria Math"/>
                  </w:rPr>
                  <m:t>∙</m:t>
                </m:r>
                <m:d>
                  <m:dPr>
                    <m:ctrlPr>
                      <w:rPr>
                        <w:rFonts w:ascii="Cambria Math" w:eastAsiaTheme="minorEastAsia" w:hAnsi="Cambria Math"/>
                      </w:rPr>
                    </m:ctrlPr>
                  </m:dPr>
                  <m:e>
                    <m:r>
                      <m:rPr>
                        <m:sty m:val="p"/>
                      </m:rPr>
                      <w:rPr>
                        <w:rFonts w:ascii="Cambria Math" w:eastAsiaTheme="minorEastAsia" w:hAnsi="Cambria Math"/>
                      </w:rPr>
                      <m:t>1-</m:t>
                    </m:r>
                    <m:r>
                      <w:rPr>
                        <w:rFonts w:ascii="Cambria Math" w:eastAsiaTheme="minorEastAsia" w:hAnsi="Cambria Math"/>
                      </w:rPr>
                      <m:t>exp</m:t>
                    </m:r>
                    <m:d>
                      <m:dPr>
                        <m:ctrlPr>
                          <w:rPr>
                            <w:rFonts w:ascii="Cambria Math" w:eastAsiaTheme="minorEastAsia" w:hAnsi="Cambria Math"/>
                          </w:rPr>
                        </m:ctrlPr>
                      </m:dPr>
                      <m:e>
                        <m:r>
                          <m:rPr>
                            <m:sty m:val="p"/>
                          </m:rPr>
                          <w:rPr>
                            <w:rFonts w:ascii="Cambria Math" w:eastAsiaTheme="minorEastAsia" w:hAnsi="Cambria Math"/>
                          </w:rPr>
                          <m:t>-</m:t>
                        </m:r>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Q</m:t>
                                </m:r>
                              </m:e>
                              <m:sub>
                                <m:r>
                                  <w:rPr>
                                    <w:rFonts w:ascii="Cambria Math" w:eastAsiaTheme="minorEastAsia" w:hAnsi="Cambria Math"/>
                                  </w:rPr>
                                  <m:t>out</m:t>
                                </m:r>
                              </m:sub>
                            </m:sSub>
                          </m:num>
                          <m:den>
                            <m:r>
                              <w:rPr>
                                <w:rFonts w:ascii="Cambria Math" w:eastAsiaTheme="minorEastAsia" w:hAnsi="Cambria Math"/>
                              </w:rPr>
                              <m:t>V</m:t>
                            </m:r>
                          </m:den>
                        </m:f>
                        <m:r>
                          <w:rPr>
                            <w:rFonts w:ascii="Cambria Math" w:eastAsiaTheme="minorEastAsia" w:hAnsi="Cambria Math"/>
                          </w:rPr>
                          <m:t>t</m:t>
                        </m:r>
                      </m:e>
                    </m:d>
                  </m:e>
                </m:d>
              </m:oMath>
            </m:oMathPara>
          </w:p>
        </w:tc>
        <w:tc>
          <w:tcPr>
            <w:tcW w:w="804" w:type="dxa"/>
            <w:vAlign w:val="center"/>
          </w:tcPr>
          <w:p w14:paraId="51B06E71" w14:textId="14F91D7D" w:rsidR="00886F9C" w:rsidRPr="00B57B36" w:rsidRDefault="00886F9C" w:rsidP="00C01726">
            <w:pPr>
              <w:pStyle w:val="CETEquation"/>
              <w:jc w:val="right"/>
            </w:pPr>
            <w:r w:rsidRPr="00B57B36">
              <w:t>(</w:t>
            </w:r>
            <w:r w:rsidR="00A34009">
              <w:t>8</w:t>
            </w:r>
            <w:r w:rsidRPr="00B57B36">
              <w:t>)</w:t>
            </w:r>
          </w:p>
        </w:tc>
      </w:tr>
    </w:tbl>
    <w:p w14:paraId="0E04ACCD" w14:textId="0F51263E" w:rsidR="009A591C" w:rsidRPr="003F1F78" w:rsidRDefault="009C6797" w:rsidP="00D92464">
      <w:pPr>
        <w:pStyle w:val="CETBodytext"/>
      </w:pPr>
      <w:r w:rsidRPr="009C6797">
        <w:rPr>
          <w:lang w:val="en-GB"/>
        </w:rPr>
        <w:t xml:space="preserve">Buoyant gases such as hydrogen accumulate near the ceiling, forming a stratified two-layer system </w:t>
      </w:r>
      <w:r w:rsidR="009A591C" w:rsidRPr="003F1F78">
        <w:t>(</w:t>
      </w:r>
      <w:r w:rsidR="00785BDD">
        <w:fldChar w:fldCharType="begin"/>
      </w:r>
      <w:r w:rsidR="00785BDD">
        <w:instrText xml:space="preserve"> REF _Ref204001251 \h </w:instrText>
      </w:r>
      <w:r w:rsidR="00785BDD">
        <w:fldChar w:fldCharType="separate"/>
      </w:r>
      <w:r w:rsidR="00785BDD" w:rsidRPr="003F1F78">
        <w:t xml:space="preserve">Figure </w:t>
      </w:r>
      <w:r w:rsidR="00785BDD">
        <w:rPr>
          <w:noProof/>
        </w:rPr>
        <w:t>1</w:t>
      </w:r>
      <w:r w:rsidR="00785BDD">
        <w:fldChar w:fldCharType="end"/>
      </w:r>
      <w:r w:rsidR="00785BDD">
        <w:t>)</w:t>
      </w:r>
      <w:r w:rsidR="002A4ECC" w:rsidRPr="002A4ECC">
        <w:rPr>
          <w:lang w:val="en-GB"/>
        </w:rPr>
        <w:t>, with a clean lower layer and a gas–air mixture above</w:t>
      </w:r>
      <w:r w:rsidR="00757A7A">
        <w:rPr>
          <w:lang w:val="en-GB"/>
        </w:rPr>
        <w:t xml:space="preserve"> </w:t>
      </w:r>
      <w:sdt>
        <w:sdtPr>
          <w:rPr>
            <w:rFonts w:cs="Arial"/>
            <w:color w:val="000000"/>
          </w:rPr>
          <w:tag w:val="MENDELEY_CITATION_v3_eyJjaXRhdGlvbklEIjoiTUVOREVMRVlfQ0lUQVRJT05fNDQxYWUxY2EtMzAwNS00MTE4LWI3ZWEtYjRkMDg0MTI5Zjg5IiwicHJvcGVydGllcyI6eyJub3RlSW5kZXgiOjB9LCJpc0VkaXRlZCI6ZmFsc2UsIm1hbnVhbE92ZXJyaWRlIjp7ImlzTWFudWFsbHlPdmVycmlkZGVuIjpmYWxzZSwiY2l0ZXByb2NUZXh0IjoiKEtheWUgYW5kIEh1bnQgMjAwNCkiLCJtYW51YWxPdmVycmlkZVRleHQiOiIifSwiY2l0YXRpb25JdGVtcyI6W3siaWQiOiI4YzA1MDA3OC05OGY5LTNlNmYtYTM2OC1iOWQxM2QzODg2MjAiLCJpdGVtRGF0YSI6eyJ0eXBlIjoiYXJ0aWNsZS1qb3VybmFsIiwiaWQiOiI4YzA1MDA3OC05OGY5LTNlNmYtYTM2OC1iOWQxM2QzODg2MjAiLCJ0aXRsZSI6IlRpbWUtZGVwZW5kZW50IGZsb3dzIGluIGFuIGVtcHR5aW5nIGZpbGxpbmcgYm94IiwiYXV0aG9yIjpbeyJmYW1pbHkiOiJLYXllIiwiZ2l2ZW4iOiJOLiBCLiIsInBhcnNlLW5hbWVzIjpmYWxzZSwiZHJvcHBpbmctcGFydGljbGUiOiIiLCJub24tZHJvcHBpbmctcGFydGljbGUiOiIifSx7ImZhbWlseSI6Ikh1bnQiLCJnaXZlbiI6IkcuIFIuIiwicGFyc2UtbmFtZXMiOmZhbHNlLCJkcm9wcGluZy1wYXJ0aWNsZSI6IiIsIm5vbi1kcm9wcGluZy1wYXJ0aWNsZSI6IiJ9XSwiY29udGFpbmVyLXRpdGxlIjoiSm91cm5hbCBvZiBGbHVpZCBNZWNoYW5pY3MiLCJET0kiOiIxMC4xMDE3L1MwMDIyMTEyMDA0MDAxMTU2IiwiSVNTTiI6IjAwMjIxMTIwIiwiaXNzdWVkIjp7ImRhdGUtcGFydHMiOltbMjAwNCwxMiwxMF1dfSwicGFnZSI6IjEzNS0xNTYiLCJhYnN0cmFjdCI6IldlIGV4YW1pbmUgdGhlIHRyYW5zaWVudCBidW95YW5jeS1kcml2ZW4gZmxvdyBpbiBhIHZlbnRpbGF0ZWQgZmlsbGluZyBib3ggdGhhdCBpcyBzdWJqZWN0IHRvIGEgY29udGludW91cyBzdXBwbHkgb2YgYnVveWFuY3kuIEEgcmVjdGFuZ3VsYXIgYm94IGlzIGNvbnNpZGVyZWQgYW5kIHRoZSBidW95YW5jeSBpbnB1dCBpcyByZXByZXNlbnRlZCBhcyBhIHR1cmJ1bGVudCBwbHVtZSwgb3IgYXMgbXVsdGlwbGUgbm9uLWludGVyYWN0aW5nIHBsdW1lcywgcmlzaW5nIGZyb20gdGhlIGZsb29yLiBPcGVuaW5ncyBpbiB0aGUgYmFzZSBhbmQgdG9wIG9mIHRoZSBib3ggbGluayB0aGUgaW50ZXJpb3IgZW52aXJvbm1lbnQgd2l0aCBhIHF1aWVzY2VudCBleHRlcmlvciBlbnZpcm9ubWVudCBvZiBjb25zdGFudCBhbmQgdW5pZm9ybSBkZW5zaXR5LiBBIHRoZW9yZXRpY2FsIG1vZGVsIGlzIGRldmVsb3BlZCB0byBwcmVkaWN0LCBhcyBmdW5jdGlvbnMgb2YgdGltZSwgdGhlIGRlbnNpdHkgc3RyYXRpZmljYXRpb24gYW5kIHRoZSB2b2x1bWUgZmxvdyByYXRlIHRocm91Z2ggdGhlIG9wZW5pbmdzIGxlYWRpbmcgdG8gdGhlIHN0ZWFkeSBzdGF0ZS4gQ29tcGFyaXNvbnMgYXJlIG1hZGUgd2l0aCB0aGUgcmVzdWx0cyBvZiBzbWFsbC1zY2FsZSBhbmFsb2d1ZSBsYWJvcmF0b3J5IGV4cGVyaW1lbnRzIGluIHdoaWNoIHNhbGluZSBzb2x1dGlvbnMgYW5kIGZyZXNoIHdhdGVyIGFyZSB1c2VkIHRvIGNyZWF0ZSBkZW5zaXR5IGRpZmZlcmVuY2VzLiBUd28gY2hhcmFjdGVyaXN0aWMgdGltZXNjYWxlcyBhcmUgaWRlbnRpZmllZDogdGhlIGZpbGxpbmcgYm94IHRpbWUgKFQgZiksIHByb3BvcnRpb25hbCB0byB0aGUgdGltZSB0YWtlbiBmb3IgZmx1aWQgZnJvbSBhIHBsdW1lIHRvIGZpbGwgYSBjbG9zZWQgYm94OyBhbmQgdGhlIGRyYWluaW5nIGJveCB0aW1lIChUZCksIHByb3BvcnRpb25hbCB0byB0aGUgdGltZSB0YWtlbiBmb3IgYSB2ZW50aWxhdGVkIGJveCB0byBkcmFpbiBvZiBidW95YW50IGZsdWlkLiBUaGUgdGltZXNjYWxlIGZvciB0aGUgZmxvdyB0byByZWFjaCB0aGUgc3RlYWR5IHN0YXRlIGRlcGVuZHMgb24gdGhlc2UgdHdvIHRpbWVzY2FsZXMsIHdoaWNoIGFyZSBmdW5jdGlvbnMgb2YgdGhlIGJveCBoZWlnaHQgSCBhbmQgY3Jvc3Mtc2VjdGlvbmFsIGFyZWEgUywgdGhlICdlZmZlY3RpdmUnIG9wZW5pbmcgYXJlYSBBKiwgYW5kIHRoZSBzdHJlbmd0aCwgbnVtYmVyIGFuZCBkaXN0cmlidXRpb24gb2YgdGhlIGJ1b3lhbmN5IGlucHV0cy4gVGhlIHN0ZWFkeS1zdGF0ZSBmbG93IGlzIHNob3duIHRvIGJlIGNoYXJhY3Rlcml6ZWQgYnkgdGhlIHJhdGlvIG9mIHRoZXNlIHRpbWVzY2FsZXMgKM68ID0gVGQvVGYpIHdoaWNoIGlzIGVxdWl2YWxlbnQgdG8gdGhlIGRpbWVuc2lvbmxlc3MgdmVudCBhcmVhIEEqL0gyIC4gQSBmZWF0dXJlIG9mIHRoZXNlIGZsb3dzIGlzIHRoYXQgZm9yIM68ID4gzrxjIHRoZSBkZXB0aCBvZiB0aGUgYnVveWFudCB1cHBlciBsYXllciBtYXkgZXhjZWVkLCBvciAnb3ZlcnNob290JywgdGhlIHN0ZWFkeSBsYXllciBkZXB0aCBkdXJpbmcgdGhlIGluaXRpYWwgdHJhbnNpZW50LiBUaGUgdmFsdWUgb2YgzrxjIGlzIGRldGVybWluZWQgZm9yIGJvdGggbGluZSBhbmQgcG9pbnQtc291cmNlIHBsdW1lcywgYW5kIHRoZSBzZW5zaXRpdml0eSBvZiB0aGUgZGV2ZWxvcGluZyBmbG93IHRvIHRoZSBkaXN0cmlidXRpb24gb2YgYnVveWFuY3kgaW5wdXQgYXNzZXNzZWQuIMKpIDIwMDQgQ2FtYnJpZGdlIFVuaXZlcnNpdHkgUHJlc3MuIiwicHVibGlzaGVyIjoiQ2FtYnJpZGdlIFVuaXZlcnNpdHkgUHJlc3MiLCJ2b2x1bWUiOiI1MjAiLCJjb250YWluZXItdGl0bGUtc2hvcnQiOiJKLiBGbHVpZCBNZWNoLiJ9LCJpc1RlbXBvcmFyeSI6ZmFsc2UsInN1cHByZXNzLWF1dGhvciI6ZmFsc2UsImNvbXBvc2l0ZSI6ZmFsc2UsImF1dGhvci1vbmx5IjpmYWxzZX1dfQ=="/>
          <w:id w:val="105864150"/>
          <w:placeholder>
            <w:docPart w:val="07F8863CB7724DBA983FDD1E1799EA23"/>
          </w:placeholder>
        </w:sdtPr>
        <w:sdtContent>
          <w:r w:rsidR="00677AC7" w:rsidRPr="00677AC7">
            <w:rPr>
              <w:rFonts w:cs="Arial"/>
              <w:color w:val="000000"/>
            </w:rPr>
            <w:t>(Kaye and Hunt 2004)</w:t>
          </w:r>
        </w:sdtContent>
      </w:sdt>
      <w:r w:rsidR="00757A7A" w:rsidRPr="003F1F78">
        <w:t xml:space="preserve">, </w:t>
      </w:r>
      <w:sdt>
        <w:sdtPr>
          <w:rPr>
            <w:rFonts w:cs="Arial"/>
            <w:color w:val="000000"/>
          </w:rPr>
          <w:tag w:val="MENDELEY_CITATION_v3_eyJjaXRhdGlvbklEIjoiTUVOREVMRVlfQ0lUQVRJT05fODNhMTM4MzgtYWY5NS00MTRmLTk0NzctMjdkZGU3N2M3Y2U4IiwicHJvcGVydGllcyI6eyJub3RlSW5kZXgiOjB9LCJpc0VkaXRlZCI6ZmFsc2UsIm1hbnVhbE92ZXJyaWRlIjp7ImlzTWFudWFsbHlPdmVycmlkZGVuIjpmYWxzZSwiY2l0ZXByb2NUZXh0IjoiKExvd2VzbWl0aCBldCBhbC4gMjAwOSkiLCJtYW51YWxPdmVycmlkZVRleHQiOiIifSwiY2l0YXRpb25JdGVtcyI6W3siaWQiOiI4YjRlZGZkMi03ZmYxLTMxMzQtYjcxMC1kNTQ3Y2U1MTNmNWUiLCJpdGVtRGF0YSI6eyJ0eXBlIjoiYXJ0aWNsZS1qb3VybmFsIiwiaWQiOiI4YjRlZGZkMi03ZmYxLTMxMzQtYjcxMC1kNTQ3Y2U1MTNmNWUiLCJ0aXRsZSI6IkdhcyBidWlsZC11cCBpbiBhIGRvbWVzdGljIHByb3BlcnR5IGZvbGxvd2luZyByZWxlYXNlcyBvZiBtZXRoYW5lL2h5ZHJvZ2VuIG1peHR1cmVzIiwiYXV0aG9yIjpbeyJmYW1pbHkiOiJMb3dlc21pdGgiLCJnaXZlbiI6IkIuIEouIiwicGFyc2UtbmFtZXMiOmZhbHNlLCJkcm9wcGluZy1wYXJ0aWNsZSI6IiIsIm5vbi1kcm9wcGluZy1wYXJ0aWNsZSI6IiJ9LHsiZmFtaWx5IjoiSGFua2luc29uIiwiZ2l2ZW4iOiJHLiIsInBhcnNlLW5hbWVzIjpmYWxzZSwiZHJvcHBpbmctcGFydGljbGUiOiIiLCJub24tZHJvcHBpbmctcGFydGljbGUiOiIifSx7ImZhbWlseSI6IlNwYXRhcnUiLCJnaXZlbiI6IkMuIiwicGFyc2UtbmFtZXMiOmZhbHNlLCJkcm9wcGluZy1wYXJ0aWNsZSI6IiIsIm5vbi1kcm9wcGluZy1wYXJ0aWNsZSI6IiJ9LHsiZmFtaWx5IjoiU3RvYmJhcnQiLCJnaXZlbiI6Ik0uIiwicGFyc2UtbmFtZXMiOmZhbHNlLCJkcm9wcGluZy1wYXJ0aWNsZSI6IiIsIm5vbi1kcm9wcGluZy1wYXJ0aWNsZSI6IiJ9XSwiY29udGFpbmVyLXRpdGxlIjoiSW50ZXJuYXRpb25hbCBKb3VybmFsIG9mIEh5ZHJvZ2VuIEVuZXJneSIsIkRPSSI6IjEwLjEwMTYvai5pamh5ZGVuZS4yMDA5LjAxLjA2MCIsIklTU04iOiIwMzYwMzE5OSIsImlzc3VlZCI6eyJkYXRlLXBhcnRzIjpbWzIwMDksN11dfSwicGFnZSI6IjU5MzItNTkzOSIsImFic3RyYWN0IjoiVGhlIHJlc3VsdHMgb2YgbGFyZ2Ugc2NhbGUgZXhwZXJpbWVudHMgdG8gc3R1ZHkgZ2FzIGFjY3VtdWxhdGlvbiB3aXRoaW4gYSB2ZW50aWxhdGVkIGVuY2xvc3VyZSByZXByZXNlbnRpbmcgYSBkb21lc3RpYyByb29tIGFyZSBwcmVzZW50ZWQuIEdhcyB3YXMgcmVsZWFzZWQgdmVydGljYWxseSB1cHdhcmRzIGF0IGEgcHJlc3N1cmUgdHlwaWNhbCBvZiB0aGF0IGV4cGVyaWVuY2VkIGluIGEgZG9tZXN0aWMgZW52aXJvbm1lbnQgZnJvbSBob2xlIHNpemVzIHJlcHJlc2VudGF0aXZlIG9mIGxlYWtzIGFuZCBicmVha3MgaW4gcGlwZXMuIFRoZSByZWxlYXNlZCBnYXMgY29tcG9zaXRpb24gd2FzIGVpdGhlciBtZXRoYW5lIG9yIGEgbWV0aGFuZS9oeWRyb2dlbiBtaXh0dXJlIGNvbnRhaW5pbmcgdXAgdG8gNTAlIGh5ZHJvZ2VuLiBEdXJpbmcgdGhlIGV4cGVyaW1lbnRzLCBnYXMgY29uY2VudHJhdGlvbnMgdGhyb3VnaG91dCB0aGUgZW5jbG9zdXJlIGFuZCB0aGUgZXh0ZXJuYWwgd2luZCBjb25kaXRpb25zIHdlcmUgbW9uaXRvcmVkLiBBIG1hdGhlbWF0aWNhbCBtb2RlbCBoYXMgYWxzbyBiZWVuIGRldmVsb3BlZCB0byBkZXNjcmliZSB0aGUgZ2FzIHJlbGVhc2UgYXMgaXQgbWl4ZXMgd2l0aCBhaXIgYW5kIGZvcm1zIGEgbGF5ZXIgb2YgZ2FzL2FpciBtaXh0dXJlIGluIHRoZSB1cHBlciBwYXJ0IG9mIHRoZSBlbmNsb3N1cmUuIFRoZSBtb2RlbCBhY2NvdW50cyBmb3IgYm90aCB3aW5kIGFuZCBidW95YW5jeSBkcml2ZW4gdmVudGlsYXRpb24sIHdoaWNoIGFyaXNlcyBhcyBhIHJlc3VsdCBvZiB0aGUgZm9ybWF0aW9uIG9mIHRoZSBnYXMgYWNjdW11bGF0aW9uIHdpdGhpbiB0aGUgZW5jbG9zdXJlLiBUaGUgcmVzdWx0cyBzaG93IHRoZSBpbXBvcnRhbmNlIG9mIGJ1b3lhbmN5IGRyaXZlbiB2ZW50aWxhdGlvbiBvbiB0aGUgc3RlYWR5IHN0YXRlIGdhcyBjb25jZW50cmF0aW9ucyBhY2hpZXZlZC4gwqkgMjAwOSBJbnRlcm5hdGlvbmFsIEFzc29jaWF0aW9uIGZvciBIeWRyb2dlbiBFbmVyZ3kuIiwiaXNzdWUiOiIxNCIsInZvbHVtZSI6IjM0IiwiY29udGFpbmVyLXRpdGxlLXNob3J0IjoiSW50LiBKLiBIeWRyb2dlbiBFbmVyZ3kifSwiaXNUZW1wb3JhcnkiOmZhbHNlLCJzdXBwcmVzcy1hdXRob3IiOmZhbHNlLCJjb21wb3NpdGUiOmZhbHNlLCJhdXRob3Itb25seSI6ZmFsc2V9XX0="/>
          <w:id w:val="-1595319804"/>
          <w:placeholder>
            <w:docPart w:val="07F8863CB7724DBA983FDD1E1799EA23"/>
          </w:placeholder>
        </w:sdtPr>
        <w:sdtContent>
          <w:r w:rsidR="00677AC7" w:rsidRPr="00677AC7">
            <w:rPr>
              <w:rFonts w:cs="Arial"/>
              <w:color w:val="000000"/>
            </w:rPr>
            <w:t>(</w:t>
          </w:r>
          <w:proofErr w:type="spellStart"/>
          <w:r w:rsidR="00677AC7" w:rsidRPr="00677AC7">
            <w:rPr>
              <w:rFonts w:cs="Arial"/>
              <w:color w:val="000000"/>
            </w:rPr>
            <w:t>Lowesmith</w:t>
          </w:r>
          <w:proofErr w:type="spellEnd"/>
          <w:r w:rsidR="00677AC7" w:rsidRPr="00677AC7">
            <w:rPr>
              <w:rFonts w:cs="Arial"/>
              <w:color w:val="000000"/>
            </w:rPr>
            <w:t xml:space="preserve"> et al. 2009)</w:t>
          </w:r>
        </w:sdtContent>
      </w:sdt>
      <w:r w:rsidR="002A4ECC" w:rsidRPr="002A4ECC">
        <w:rPr>
          <w:lang w:val="en-GB"/>
        </w:rPr>
        <w:t>.</w:t>
      </w:r>
      <w:r w:rsidR="00474722" w:rsidRPr="00474722">
        <w:t xml:space="preserve"> </w:t>
      </w:r>
      <w:r w:rsidR="00474722">
        <w:t>T</w:t>
      </w:r>
      <w:r w:rsidR="00474722" w:rsidRPr="003F1F78">
        <w:t>he release of hydrogen is model</w:t>
      </w:r>
      <w:r w:rsidR="00474722">
        <w:t>l</w:t>
      </w:r>
      <w:r w:rsidR="00474722" w:rsidRPr="003F1F78">
        <w:t xml:space="preserve">ed as a turbulent jet. </w:t>
      </w:r>
      <w:r w:rsidR="00474722" w:rsidRPr="006778E3">
        <w:rPr>
          <w:lang w:val="en-GB"/>
        </w:rPr>
        <w:t>The jet concentration depends on</w:t>
      </w:r>
      <w:r w:rsidR="003A31A5">
        <w:rPr>
          <w:lang w:val="en-GB"/>
        </w:rPr>
        <w:t xml:space="preserve"> the</w:t>
      </w:r>
      <w:r w:rsidR="00474722" w:rsidRPr="006778E3">
        <w:rPr>
          <w:lang w:val="en-GB"/>
        </w:rPr>
        <w:t xml:space="preserve"> jet length </w:t>
      </w:r>
      <w:r w:rsidR="00164C9D">
        <w:rPr>
          <w:lang w:val="en-GB"/>
        </w:rPr>
        <w:t xml:space="preserve">and the </w:t>
      </w:r>
      <w:r w:rsidR="00E00ABA">
        <w:rPr>
          <w:lang w:val="en-GB"/>
        </w:rPr>
        <w:t>corresponding</w:t>
      </w:r>
      <w:r w:rsidR="00474722" w:rsidRPr="006778E3">
        <w:rPr>
          <w:lang w:val="en-GB"/>
        </w:rPr>
        <w:t xml:space="preserve"> air entrainment. The jet length is defined as the distance from the release point to the layer, accounting for horizontal or diagonal travel to a wall before vertical movement.</w:t>
      </w:r>
    </w:p>
    <w:p w14:paraId="6465F00A" w14:textId="77777777" w:rsidR="009A591C" w:rsidRPr="003F1F78" w:rsidRDefault="009A591C" w:rsidP="00D92464">
      <w:pPr>
        <w:pStyle w:val="CETBodytext"/>
      </w:pPr>
      <w:r w:rsidRPr="003F1F78">
        <w:rPr>
          <w:noProof/>
        </w:rPr>
        <w:drawing>
          <wp:inline distT="0" distB="0" distL="0" distR="0" wp14:anchorId="398CECB8" wp14:editId="3047AA44">
            <wp:extent cx="1853486" cy="1633867"/>
            <wp:effectExtent l="0" t="0" r="0" b="4445"/>
            <wp:docPr id="1477791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0170" cy="1648574"/>
                    </a:xfrm>
                    <a:prstGeom prst="rect">
                      <a:avLst/>
                    </a:prstGeom>
                    <a:noFill/>
                  </pic:spPr>
                </pic:pic>
              </a:graphicData>
            </a:graphic>
          </wp:inline>
        </w:drawing>
      </w:r>
    </w:p>
    <w:p w14:paraId="35B698FC" w14:textId="5A6B0BC9" w:rsidR="009A591C" w:rsidRPr="003F1F78" w:rsidRDefault="009A591C" w:rsidP="00C06508">
      <w:pPr>
        <w:pStyle w:val="CETCaption"/>
      </w:pPr>
      <w:bookmarkStart w:id="5" w:name="_Ref204001251"/>
      <w:bookmarkStart w:id="6" w:name="_Toc225421758"/>
      <w:r w:rsidRPr="003F1F78">
        <w:t xml:space="preserve">Figure </w:t>
      </w:r>
      <w:r w:rsidRPr="003F1F78">
        <w:fldChar w:fldCharType="begin"/>
      </w:r>
      <w:r w:rsidRPr="003F1F78">
        <w:instrText xml:space="preserve"> SEQ Figure \* ARABIC </w:instrText>
      </w:r>
      <w:r w:rsidRPr="003F1F78">
        <w:fldChar w:fldCharType="separate"/>
      </w:r>
      <w:r w:rsidR="00C63A93">
        <w:rPr>
          <w:noProof/>
        </w:rPr>
        <w:t>1</w:t>
      </w:r>
      <w:r w:rsidRPr="003F1F78">
        <w:fldChar w:fldCharType="end"/>
      </w:r>
      <w:bookmarkEnd w:id="5"/>
      <w:r w:rsidRPr="003F1F78">
        <w:t xml:space="preserve"> Schematic representation of the two-layer model</w:t>
      </w:r>
      <w:bookmarkEnd w:id="6"/>
    </w:p>
    <w:p w14:paraId="34765308" w14:textId="16BBD094" w:rsidR="00E51CC5" w:rsidRDefault="00730C75" w:rsidP="00D92464">
      <w:pPr>
        <w:pStyle w:val="CETBodytext"/>
      </w:pPr>
      <w:r>
        <w:t xml:space="preserve">The </w:t>
      </w:r>
      <w:r w:rsidR="0011028B" w:rsidRPr="003F1F78">
        <w:t xml:space="preserve">upper layer </w:t>
      </w:r>
      <w:r w:rsidRPr="003F1F78">
        <w:t>volume</w:t>
      </w:r>
      <w:r w:rsidR="00013C67">
        <w:t xml:space="preserve"> and </w:t>
      </w:r>
      <w:r w:rsidR="00AB35BD">
        <w:t>chemical concentration</w:t>
      </w:r>
      <w:r w:rsidRPr="003F1F78">
        <w:t xml:space="preserve"> </w:t>
      </w:r>
      <w:r w:rsidR="00126A9C">
        <w:t>are</w:t>
      </w:r>
      <w:r w:rsidRPr="003F1F78">
        <w:t xml:space="preserve"> </w:t>
      </w:r>
      <w:r w:rsidR="00DA479A">
        <w:t>predi</w:t>
      </w:r>
      <w:r w:rsidR="00013C67">
        <w:t>cted</w:t>
      </w:r>
      <w:r w:rsidRPr="003F1F78">
        <w:t xml:space="preserve"> </w:t>
      </w:r>
      <w:r w:rsidR="00126A9C">
        <w:t>in</w:t>
      </w:r>
      <w:r w:rsidR="009A591C" w:rsidRPr="003F1F78">
        <w:t>:</w:t>
      </w:r>
    </w:p>
    <w:tbl>
      <w:tblPr>
        <w:tblW w:w="5000" w:type="pct"/>
        <w:tblLook w:val="04A0" w:firstRow="1" w:lastRow="0" w:firstColumn="1" w:lastColumn="0" w:noHBand="0" w:noVBand="1"/>
      </w:tblPr>
      <w:tblGrid>
        <w:gridCol w:w="7983"/>
        <w:gridCol w:w="804"/>
      </w:tblGrid>
      <w:tr w:rsidR="00E51CC5" w:rsidRPr="00B57B36" w14:paraId="096DD976" w14:textId="77777777" w:rsidTr="003F586A">
        <w:tc>
          <w:tcPr>
            <w:tcW w:w="7983" w:type="dxa"/>
            <w:vAlign w:val="center"/>
          </w:tcPr>
          <w:p w14:paraId="213E1931" w14:textId="6F154DCE" w:rsidR="00E51CC5" w:rsidRPr="005C662D" w:rsidRDefault="00000000" w:rsidP="003F586A">
            <w:pPr>
              <w:pStyle w:val="CETEquation"/>
            </w:pPr>
            <m:oMathPara>
              <m:oMathParaPr>
                <m:jc m:val="left"/>
              </m:oMathParaPr>
              <m:oMath>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V</m:t>
                        </m:r>
                      </m:e>
                      <m:sub>
                        <m:r>
                          <m:rPr>
                            <m:sty m:val="p"/>
                          </m:rPr>
                          <w:rPr>
                            <w:rFonts w:ascii="Cambria Math" w:hAnsi="Cambria Math"/>
                          </w:rPr>
                          <m:t>1</m:t>
                        </m:r>
                      </m:sub>
                    </m:sSub>
                  </m:num>
                  <m:den>
                    <m:r>
                      <w:rPr>
                        <w:rFonts w:ascii="Cambria Math" w:hAnsi="Cambria Math"/>
                      </w:rPr>
                      <m:t>dt</m:t>
                    </m:r>
                  </m:den>
                </m:f>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m:rPr>
                        <m:nor/>
                      </m:rPr>
                      <m:t>out</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Q</m:t>
                        </m:r>
                      </m:e>
                      <m:sub>
                        <m:r>
                          <m:rPr>
                            <m:nor/>
                          </m:rPr>
                          <m:t>in</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s</m:t>
                        </m:r>
                      </m:sub>
                    </m:sSub>
                  </m:e>
                </m:d>
                <m:box>
                  <m:boxPr>
                    <m:ctrlPr>
                      <w:rPr>
                        <w:rFonts w:ascii="Cambria Math" w:hAnsi="Cambria Math"/>
                      </w:rPr>
                    </m:ctrlPr>
                  </m:boxPr>
                  <m:e>
                    <m:r>
                      <m:rPr>
                        <m:sty m:val="p"/>
                      </m:rPr>
                      <w:rPr>
                        <w:rFonts w:ascii="Cambria Math" w:hAnsi="Cambria Math"/>
                      </w:rPr>
                      <m:t xml:space="preserve"> </m:t>
                    </m:r>
                  </m:e>
                </m:box>
              </m:oMath>
            </m:oMathPara>
          </w:p>
        </w:tc>
        <w:tc>
          <w:tcPr>
            <w:tcW w:w="804" w:type="dxa"/>
            <w:vAlign w:val="center"/>
          </w:tcPr>
          <w:p w14:paraId="6659430B" w14:textId="65C32F43" w:rsidR="00E51CC5" w:rsidRPr="00B57B36" w:rsidRDefault="00E51CC5" w:rsidP="00C01726">
            <w:pPr>
              <w:pStyle w:val="CETEquation"/>
              <w:jc w:val="right"/>
            </w:pPr>
            <w:r w:rsidRPr="00B57B36">
              <w:t>(</w:t>
            </w:r>
            <w:r w:rsidR="00A34009">
              <w:t>9</w:t>
            </w:r>
            <w:r w:rsidRPr="00B57B36">
              <w:t>)</w:t>
            </w:r>
          </w:p>
        </w:tc>
      </w:tr>
    </w:tbl>
    <w:p w14:paraId="6231EB88" w14:textId="1845DDA1" w:rsidR="00B61E3B" w:rsidRDefault="009A591C" w:rsidP="00D92464">
      <w:pPr>
        <w:pStyle w:val="CETBodytext"/>
        <w:rPr>
          <w:rFonts w:eastAsiaTheme="minorEastAsia"/>
        </w:rPr>
      </w:pPr>
      <w:r w:rsidRPr="003F1F78">
        <w:rPr>
          <w:rFonts w:eastAsiaTheme="minorEastAsia"/>
        </w:rPr>
        <w:t>A mass balance describes the accumulation of gas in the upper layer:</w:t>
      </w:r>
    </w:p>
    <w:tbl>
      <w:tblPr>
        <w:tblW w:w="5000" w:type="pct"/>
        <w:tblLook w:val="04A0" w:firstRow="1" w:lastRow="0" w:firstColumn="1" w:lastColumn="0" w:noHBand="0" w:noVBand="1"/>
      </w:tblPr>
      <w:tblGrid>
        <w:gridCol w:w="7983"/>
        <w:gridCol w:w="804"/>
      </w:tblGrid>
      <w:tr w:rsidR="00B61E3B" w:rsidRPr="00B57B36" w14:paraId="05C57BB7" w14:textId="77777777" w:rsidTr="003F586A">
        <w:tc>
          <w:tcPr>
            <w:tcW w:w="7983" w:type="dxa"/>
            <w:vAlign w:val="center"/>
          </w:tcPr>
          <w:p w14:paraId="73C9E6B6" w14:textId="6EF2D7B8" w:rsidR="00B61E3B" w:rsidRPr="005C662D" w:rsidRDefault="00000000" w:rsidP="003F586A">
            <w:pPr>
              <w:pStyle w:val="CETEquation"/>
            </w:pPr>
            <m:oMathPara>
              <m:oMathParaPr>
                <m:jc m:val="left"/>
              </m:oMathParaPr>
              <m:oMath>
                <m:f>
                  <m:fPr>
                    <m:ctrlPr>
                      <w:rPr>
                        <w:rFonts w:ascii="Cambria Math" w:hAnsi="Cambria Math"/>
                      </w:rPr>
                    </m:ctrlPr>
                  </m:fPr>
                  <m:num>
                    <m:r>
                      <w:rPr>
                        <w:rFonts w:ascii="Cambria Math" w:hAnsi="Cambria Math"/>
                      </w:rPr>
                      <m:t>d</m:t>
                    </m:r>
                    <m:d>
                      <m:dPr>
                        <m:ctrlPr>
                          <w:rPr>
                            <w:rFonts w:ascii="Cambria Math" w:hAnsi="Cambria Math"/>
                          </w:rPr>
                        </m:ctrlPr>
                      </m:dPr>
                      <m:e>
                        <m:sSub>
                          <m:sSubPr>
                            <m:ctrlPr>
                              <w:rPr>
                                <w:rFonts w:ascii="Cambria Math" w:hAnsi="Cambria Math"/>
                              </w:rPr>
                            </m:ctrlPr>
                          </m:sSubPr>
                          <m:e>
                            <m:r>
                              <w:rPr>
                                <w:rFonts w:ascii="Cambria Math" w:hAnsi="Cambria Math"/>
                              </w:rPr>
                              <m:t>V</m:t>
                            </m:r>
                          </m:e>
                          <m:sub>
                            <m:r>
                              <m:rPr>
                                <m:sty m:val="p"/>
                              </m:rPr>
                              <w:rPr>
                                <w:rFonts w:ascii="Cambria Math" w:hAnsi="Cambria Math"/>
                              </w:rPr>
                              <m:t>1</m:t>
                            </m:r>
                          </m:sub>
                        </m:sSub>
                        <m:r>
                          <w:rPr>
                            <w:rFonts w:ascii="Cambria Math" w:hAnsi="Cambria Math"/>
                          </w:rPr>
                          <m:t>x</m:t>
                        </m:r>
                      </m:e>
                    </m:d>
                  </m:num>
                  <m:den>
                    <m:r>
                      <w:rPr>
                        <w:rFonts w:ascii="Cambria Math" w:hAnsi="Cambria Math"/>
                      </w:rPr>
                      <m:t>dt</m:t>
                    </m:r>
                  </m:den>
                </m:f>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1</m:t>
                    </m:r>
                  </m:sub>
                </m:sSub>
                <m:f>
                  <m:fPr>
                    <m:ctrlPr>
                      <w:rPr>
                        <w:rFonts w:ascii="Cambria Math" w:hAnsi="Cambria Math"/>
                      </w:rPr>
                    </m:ctrlPr>
                  </m:fPr>
                  <m:num>
                    <m:r>
                      <w:rPr>
                        <w:rFonts w:ascii="Cambria Math" w:hAnsi="Cambria Math"/>
                      </w:rPr>
                      <m:t>dx</m:t>
                    </m:r>
                  </m:num>
                  <m:den>
                    <m:r>
                      <w:rPr>
                        <w:rFonts w:ascii="Cambria Math" w:hAnsi="Cambria Math"/>
                      </w:rPr>
                      <m:t>dt</m:t>
                    </m:r>
                  </m:den>
                </m:f>
                <m:r>
                  <m:rPr>
                    <m:sty m:val="p"/>
                  </m:rPr>
                  <w:rPr>
                    <w:rFonts w:ascii="Cambria Math" w:hAnsi="Cambria Math"/>
                  </w:rPr>
                  <m:t>+</m:t>
                </m:r>
                <m:r>
                  <w:rPr>
                    <w:rFonts w:ascii="Cambria Math" w:hAnsi="Cambria Math"/>
                  </w:rPr>
                  <m:t>x</m:t>
                </m:r>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V</m:t>
                        </m:r>
                      </m:e>
                      <m:sub>
                        <m:r>
                          <m:rPr>
                            <m:sty m:val="p"/>
                          </m:rPr>
                          <w:rPr>
                            <w:rFonts w:ascii="Cambria Math" w:hAnsi="Cambria Math"/>
                          </w:rPr>
                          <m:t>1</m:t>
                        </m:r>
                      </m:sub>
                    </m:sSub>
                  </m:num>
                  <m:den>
                    <m:r>
                      <w:rPr>
                        <w:rFonts w:ascii="Cambria Math" w:hAnsi="Cambria Math"/>
                      </w:rPr>
                      <m:t>dt</m:t>
                    </m:r>
                  </m:den>
                </m:f>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s</m:t>
                    </m:r>
                  </m:sub>
                </m:sSub>
                <m:r>
                  <m:rPr>
                    <m:sty m:val="p"/>
                  </m:rPr>
                  <w:rPr>
                    <w:rFonts w:ascii="Cambria Math" w:hAnsi="Cambria Math"/>
                  </w:rPr>
                  <m:t>-</m:t>
                </m:r>
                <m:r>
                  <w:rPr>
                    <w:rFonts w:ascii="Cambria Math" w:hAnsi="Cambria Math"/>
                  </w:rPr>
                  <m:t>x</m:t>
                </m:r>
                <m:d>
                  <m:dPr>
                    <m:ctrlPr>
                      <w:rPr>
                        <w:rFonts w:ascii="Cambria Math" w:hAnsi="Cambria Math"/>
                      </w:rPr>
                    </m:ctrlPr>
                  </m:dPr>
                  <m:e>
                    <m:sSub>
                      <m:sSubPr>
                        <m:ctrlPr>
                          <w:rPr>
                            <w:rFonts w:ascii="Cambria Math" w:hAnsi="Cambria Math"/>
                          </w:rPr>
                        </m:ctrlPr>
                      </m:sSubPr>
                      <m:e>
                        <m:r>
                          <w:rPr>
                            <w:rFonts w:ascii="Cambria Math" w:hAnsi="Cambria Math"/>
                          </w:rPr>
                          <m:t>Q</m:t>
                        </m:r>
                      </m:e>
                      <m:sub>
                        <m:r>
                          <m:rPr>
                            <m:nor/>
                          </m:rPr>
                          <m:t>in</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s</m:t>
                        </m:r>
                      </m:sub>
                    </m:sSub>
                  </m:e>
                </m:d>
              </m:oMath>
            </m:oMathPara>
          </w:p>
        </w:tc>
        <w:tc>
          <w:tcPr>
            <w:tcW w:w="804" w:type="dxa"/>
            <w:vAlign w:val="center"/>
          </w:tcPr>
          <w:p w14:paraId="23A4D67F" w14:textId="1C079208" w:rsidR="00B61E3B" w:rsidRPr="00B57B36" w:rsidRDefault="00B61E3B" w:rsidP="00C01726">
            <w:pPr>
              <w:pStyle w:val="CETEquation"/>
              <w:jc w:val="right"/>
            </w:pPr>
            <w:r w:rsidRPr="00B57B36">
              <w:t>(1</w:t>
            </w:r>
            <w:r w:rsidR="00A34009">
              <w:t>0</w:t>
            </w:r>
            <w:r w:rsidRPr="00B57B36">
              <w:t>)</w:t>
            </w:r>
          </w:p>
        </w:tc>
      </w:tr>
    </w:tbl>
    <w:p w14:paraId="423B7D9D" w14:textId="21DECAC2" w:rsidR="005E04FB" w:rsidRDefault="00877A7E" w:rsidP="00D92464">
      <w:pPr>
        <w:pStyle w:val="CETBodytext"/>
        <w:rPr>
          <w:rFonts w:eastAsiaTheme="minorEastAsia"/>
        </w:rPr>
      </w:pPr>
      <w:r>
        <w:rPr>
          <w:rFonts w:eastAsiaTheme="minorEastAsia"/>
        </w:rPr>
        <w:t>Leading to</w:t>
      </w:r>
      <w:r w:rsidR="009A591C" w:rsidRPr="003F1F78">
        <w:rPr>
          <w:rFonts w:eastAsiaTheme="minorEastAsia"/>
        </w:rPr>
        <w:t>:</w:t>
      </w:r>
    </w:p>
    <w:tbl>
      <w:tblPr>
        <w:tblW w:w="5000" w:type="pct"/>
        <w:tblLook w:val="04A0" w:firstRow="1" w:lastRow="0" w:firstColumn="1" w:lastColumn="0" w:noHBand="0" w:noVBand="1"/>
      </w:tblPr>
      <w:tblGrid>
        <w:gridCol w:w="7983"/>
        <w:gridCol w:w="804"/>
      </w:tblGrid>
      <w:tr w:rsidR="005E04FB" w:rsidRPr="00B57B36" w14:paraId="445A2CE5" w14:textId="77777777" w:rsidTr="003F586A">
        <w:tc>
          <w:tcPr>
            <w:tcW w:w="7983" w:type="dxa"/>
            <w:vAlign w:val="center"/>
          </w:tcPr>
          <w:p w14:paraId="60BCF908" w14:textId="2C2FFF4D" w:rsidR="005E04FB" w:rsidRPr="005C662D" w:rsidRDefault="00000000" w:rsidP="003F586A">
            <w:pPr>
              <w:pStyle w:val="CETEquation"/>
            </w:pPr>
            <m:oMathPara>
              <m:oMathParaPr>
                <m:jc m:val="left"/>
              </m:oMathParaPr>
              <m:oMath>
                <m:sSub>
                  <m:sSubPr>
                    <m:ctrlPr>
                      <w:rPr>
                        <w:rFonts w:ascii="Cambria Math" w:hAnsi="Cambria Math"/>
                      </w:rPr>
                    </m:ctrlPr>
                  </m:sSubPr>
                  <m:e>
                    <m:r>
                      <w:rPr>
                        <w:rFonts w:ascii="Cambria Math" w:hAnsi="Cambria Math"/>
                      </w:rPr>
                      <m:t>V</m:t>
                    </m:r>
                  </m:e>
                  <m:sub>
                    <m:r>
                      <m:rPr>
                        <m:sty m:val="p"/>
                      </m:rPr>
                      <w:rPr>
                        <w:rFonts w:ascii="Cambria Math" w:hAnsi="Cambria Math"/>
                      </w:rPr>
                      <m:t>1</m:t>
                    </m:r>
                  </m:sub>
                </m:sSub>
                <m:f>
                  <m:fPr>
                    <m:ctrlPr>
                      <w:rPr>
                        <w:rFonts w:ascii="Cambria Math" w:hAnsi="Cambria Math"/>
                      </w:rPr>
                    </m:ctrlPr>
                  </m:fPr>
                  <m:num>
                    <m:r>
                      <w:rPr>
                        <w:rFonts w:ascii="Cambria Math" w:hAnsi="Cambria Math"/>
                      </w:rPr>
                      <m:t>dx</m:t>
                    </m:r>
                  </m:num>
                  <m:den>
                    <m:r>
                      <w:rPr>
                        <w:rFonts w:ascii="Cambria Math" w:hAnsi="Cambria Math"/>
                      </w:rPr>
                      <m:t>dt</m:t>
                    </m:r>
                  </m:den>
                </m:f>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s</m:t>
                    </m:r>
                  </m:sub>
                </m:sSub>
                <m:r>
                  <m:rPr>
                    <m:sty m:val="p"/>
                  </m:rPr>
                  <w:rPr>
                    <w:rFonts w:ascii="Cambria Math" w:hAnsi="Cambria Math"/>
                  </w:rPr>
                  <m:t>-</m:t>
                </m:r>
                <m:r>
                  <w:rPr>
                    <w:rFonts w:ascii="Cambria Math" w:hAnsi="Cambria Math"/>
                  </w:rPr>
                  <m:t>x</m:t>
                </m:r>
                <m:sSub>
                  <m:sSubPr>
                    <m:ctrlPr>
                      <w:rPr>
                        <w:rFonts w:ascii="Cambria Math" w:hAnsi="Cambria Math"/>
                      </w:rPr>
                    </m:ctrlPr>
                  </m:sSubPr>
                  <m:e>
                    <m:r>
                      <w:rPr>
                        <w:rFonts w:ascii="Cambria Math" w:hAnsi="Cambria Math"/>
                      </w:rPr>
                      <m:t>Q</m:t>
                    </m:r>
                  </m:e>
                  <m:sub>
                    <m:r>
                      <w:rPr>
                        <w:rFonts w:ascii="Cambria Math" w:hAnsi="Cambria Math"/>
                      </w:rPr>
                      <m:t>j</m:t>
                    </m:r>
                  </m:sub>
                </m:sSub>
              </m:oMath>
            </m:oMathPara>
          </w:p>
        </w:tc>
        <w:tc>
          <w:tcPr>
            <w:tcW w:w="804" w:type="dxa"/>
            <w:vAlign w:val="center"/>
          </w:tcPr>
          <w:p w14:paraId="4CAA826B" w14:textId="389DEC15" w:rsidR="005E04FB" w:rsidRPr="00B57B36" w:rsidRDefault="005E04FB" w:rsidP="00C01726">
            <w:pPr>
              <w:pStyle w:val="CETEquation"/>
              <w:jc w:val="right"/>
            </w:pPr>
            <w:r w:rsidRPr="00B57B36">
              <w:t>(1</w:t>
            </w:r>
            <w:r w:rsidR="00A34009">
              <w:t>1</w:t>
            </w:r>
            <w:r w:rsidRPr="00B57B36">
              <w:t>)</w:t>
            </w:r>
          </w:p>
        </w:tc>
      </w:tr>
    </w:tbl>
    <w:p w14:paraId="569CBEFB" w14:textId="427505AE" w:rsidR="004B6405" w:rsidRDefault="009A591C" w:rsidP="00D92464">
      <w:pPr>
        <w:pStyle w:val="CETBodytext"/>
        <w:rPr>
          <w:rFonts w:eastAsiaTheme="minorEastAsia"/>
        </w:rPr>
      </w:pPr>
      <w:r w:rsidRPr="003F1F78">
        <w:rPr>
          <w:rFonts w:eastAsiaTheme="minorEastAsia"/>
        </w:rPr>
        <w:t xml:space="preserve">The air inflow is driven by the ventilation flow, while buoyancy effects lead to </w:t>
      </w:r>
      <w:proofErr w:type="gramStart"/>
      <w:r w:rsidRPr="003F1F78">
        <w:rPr>
          <w:rFonts w:eastAsiaTheme="minorEastAsia"/>
        </w:rPr>
        <w:t>a vertical</w:t>
      </w:r>
      <w:proofErr w:type="gramEnd"/>
      <w:r w:rsidRPr="003F1F78">
        <w:rPr>
          <w:rFonts w:eastAsiaTheme="minorEastAsia"/>
        </w:rPr>
        <w:t xml:space="preserve"> flux in the room. This leads to a combin</w:t>
      </w:r>
      <w:r w:rsidR="00E00ABA">
        <w:rPr>
          <w:rFonts w:eastAsiaTheme="minorEastAsia"/>
        </w:rPr>
        <w:t>ed</w:t>
      </w:r>
      <w:r w:rsidRPr="003F1F78">
        <w:rPr>
          <w:rFonts w:eastAsiaTheme="minorEastAsia"/>
        </w:rPr>
        <w:t xml:space="preserve"> inflow, described as:</w:t>
      </w:r>
    </w:p>
    <w:tbl>
      <w:tblPr>
        <w:tblW w:w="5000" w:type="pct"/>
        <w:tblLook w:val="04A0" w:firstRow="1" w:lastRow="0" w:firstColumn="1" w:lastColumn="0" w:noHBand="0" w:noVBand="1"/>
      </w:tblPr>
      <w:tblGrid>
        <w:gridCol w:w="7983"/>
        <w:gridCol w:w="804"/>
      </w:tblGrid>
      <w:tr w:rsidR="004B6405" w:rsidRPr="00B57B36" w14:paraId="2517E98D" w14:textId="77777777" w:rsidTr="003F586A">
        <w:tc>
          <w:tcPr>
            <w:tcW w:w="7983" w:type="dxa"/>
            <w:vAlign w:val="center"/>
          </w:tcPr>
          <w:p w14:paraId="3067087C" w14:textId="5D5BED1E" w:rsidR="004B6405" w:rsidRPr="005C662D" w:rsidRDefault="00000000" w:rsidP="003F586A">
            <w:pPr>
              <w:pStyle w:val="CETEquation"/>
            </w:pPr>
            <m:oMathPara>
              <m:oMathParaPr>
                <m:jc m:val="left"/>
              </m:oMathParaPr>
              <m:oMath>
                <m:sSub>
                  <m:sSubPr>
                    <m:ctrlPr>
                      <w:rPr>
                        <w:rFonts w:ascii="Cambria Math" w:hAnsi="Cambria Math"/>
                      </w:rPr>
                    </m:ctrlPr>
                  </m:sSubPr>
                  <m:e>
                    <m:r>
                      <w:rPr>
                        <w:rFonts w:ascii="Cambria Math" w:hAnsi="Cambria Math"/>
                      </w:rPr>
                      <m:t>Q</m:t>
                    </m:r>
                  </m:e>
                  <m:sub>
                    <m:r>
                      <w:rPr>
                        <w:rFonts w:ascii="Cambria Math" w:hAnsi="Cambria Math"/>
                      </w:rPr>
                      <m:t>in</m:t>
                    </m:r>
                  </m:sub>
                </m:sSub>
                <m:r>
                  <m:rPr>
                    <m:sty m:val="p"/>
                  </m:rPr>
                  <w:rPr>
                    <w:rFonts w:ascii="Cambria Math" w:hAnsi="Cambria Math"/>
                  </w:rPr>
                  <m:t>=</m:t>
                </m:r>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Q</m:t>
                        </m:r>
                      </m:e>
                      <m:sub>
                        <m:r>
                          <w:rPr>
                            <w:rFonts w:ascii="Cambria Math" w:hAnsi="Cambria Math"/>
                          </w:rPr>
                          <m:t>B</m:t>
                        </m:r>
                      </m:sub>
                      <m:sup>
                        <m:r>
                          <m:rPr>
                            <m:sty m:val="p"/>
                          </m:rP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Q</m:t>
                        </m:r>
                      </m:e>
                      <m:sub>
                        <m:r>
                          <w:rPr>
                            <w:rFonts w:ascii="Cambria Math" w:hAnsi="Cambria Math"/>
                          </w:rPr>
                          <m:t>W</m:t>
                        </m:r>
                      </m:sub>
                      <m:sup>
                        <m:r>
                          <m:rPr>
                            <m:sty m:val="p"/>
                          </m:rPr>
                          <w:rPr>
                            <w:rFonts w:ascii="Cambria Math" w:hAnsi="Cambria Math"/>
                          </w:rPr>
                          <m:t>2</m:t>
                        </m:r>
                      </m:sup>
                    </m:sSubSup>
                  </m:e>
                </m:rad>
              </m:oMath>
            </m:oMathPara>
          </w:p>
        </w:tc>
        <w:tc>
          <w:tcPr>
            <w:tcW w:w="804" w:type="dxa"/>
            <w:vAlign w:val="center"/>
          </w:tcPr>
          <w:p w14:paraId="7BBD37F0" w14:textId="76EC8462" w:rsidR="004B6405" w:rsidRPr="00B57B36" w:rsidRDefault="004B6405" w:rsidP="00C01726">
            <w:pPr>
              <w:pStyle w:val="CETEquation"/>
              <w:jc w:val="right"/>
            </w:pPr>
            <w:r w:rsidRPr="00B57B36">
              <w:t>(1</w:t>
            </w:r>
            <w:r w:rsidR="00A34009">
              <w:t>2</w:t>
            </w:r>
            <w:r w:rsidRPr="00B57B36">
              <w:t>)</w:t>
            </w:r>
          </w:p>
        </w:tc>
      </w:tr>
    </w:tbl>
    <w:p w14:paraId="46DA8646" w14:textId="3E9D50A9" w:rsidR="00EC3373" w:rsidRDefault="009A591C" w:rsidP="00D92464">
      <w:pPr>
        <w:pStyle w:val="CETBodytext"/>
        <w:rPr>
          <w:rFonts w:eastAsiaTheme="minorEastAsia"/>
        </w:rPr>
      </w:pPr>
      <w:r w:rsidRPr="003F1F78">
        <w:rPr>
          <w:rFonts w:eastAsiaTheme="minorEastAsia"/>
        </w:rPr>
        <w:t>The buoyancy flow is described by:</w:t>
      </w:r>
    </w:p>
    <w:tbl>
      <w:tblPr>
        <w:tblW w:w="5000" w:type="pct"/>
        <w:tblLook w:val="04A0" w:firstRow="1" w:lastRow="0" w:firstColumn="1" w:lastColumn="0" w:noHBand="0" w:noVBand="1"/>
      </w:tblPr>
      <w:tblGrid>
        <w:gridCol w:w="7983"/>
        <w:gridCol w:w="804"/>
      </w:tblGrid>
      <w:tr w:rsidR="00EC3373" w:rsidRPr="00B57B36" w14:paraId="4C05F48B" w14:textId="77777777" w:rsidTr="003F586A">
        <w:tc>
          <w:tcPr>
            <w:tcW w:w="7983" w:type="dxa"/>
            <w:vAlign w:val="center"/>
          </w:tcPr>
          <w:p w14:paraId="6A3B22B3" w14:textId="14F8C867" w:rsidR="00EC3373" w:rsidRPr="005C662D" w:rsidRDefault="00000000" w:rsidP="003F586A">
            <w:pPr>
              <w:pStyle w:val="CETEquation"/>
            </w:pPr>
            <m:oMathPara>
              <m:oMathParaPr>
                <m:jc m:val="left"/>
              </m:oMathParaPr>
              <m:oMath>
                <m:sSub>
                  <m:sSubPr>
                    <m:ctrlPr>
                      <w:rPr>
                        <w:rFonts w:ascii="Cambria Math" w:hAnsi="Cambria Math"/>
                      </w:rPr>
                    </m:ctrlPr>
                  </m:sSubPr>
                  <m:e>
                    <m:r>
                      <w:rPr>
                        <w:rFonts w:ascii="Cambria Math" w:hAnsi="Cambria Math"/>
                      </w:rPr>
                      <m:t>Q</m:t>
                    </m:r>
                  </m:e>
                  <m:sub>
                    <m:r>
                      <w:rPr>
                        <w:rFonts w:ascii="Cambria Math" w:hAnsi="Cambria Math"/>
                      </w:rPr>
                      <m:t>B</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d</m:t>
                        </m:r>
                      </m:sub>
                    </m:sSub>
                    <m:sSub>
                      <m:sSubPr>
                        <m:ctrlPr>
                          <w:rPr>
                            <w:rFonts w:ascii="Cambria Math" w:hAnsi="Cambria Math"/>
                          </w:rPr>
                        </m:ctrlPr>
                      </m:sSubPr>
                      <m:e>
                        <m:r>
                          <w:rPr>
                            <w:rFonts w:ascii="Cambria Math" w:hAnsi="Cambria Math"/>
                          </w:rPr>
                          <m:t>A</m:t>
                        </m:r>
                      </m:e>
                      <m:sub>
                        <m:r>
                          <w:rPr>
                            <w:rFonts w:ascii="Cambria Math" w:hAnsi="Cambria Math"/>
                          </w:rPr>
                          <m:t>v</m:t>
                        </m:r>
                      </m:sub>
                    </m:sSub>
                  </m:num>
                  <m:den>
                    <m:rad>
                      <m:radPr>
                        <m:degHide m:val="1"/>
                        <m:ctrlPr>
                          <w:rPr>
                            <w:rFonts w:ascii="Cambria Math" w:hAnsi="Cambria Math"/>
                          </w:rPr>
                        </m:ctrlPr>
                      </m:radPr>
                      <m:deg/>
                      <m:e>
                        <m:r>
                          <m:rPr>
                            <m:sty m:val="p"/>
                          </m:rPr>
                          <w:rPr>
                            <w:rFonts w:ascii="Cambria Math" w:hAnsi="Cambria Math"/>
                          </w:rPr>
                          <m:t>2</m:t>
                        </m:r>
                      </m:e>
                    </m:rad>
                  </m:den>
                </m:f>
                <m:rad>
                  <m:radPr>
                    <m:degHide m:val="1"/>
                    <m:ctrlPr>
                      <w:rPr>
                        <w:rFonts w:ascii="Cambria Math" w:hAnsi="Cambria Math"/>
                      </w:rPr>
                    </m:ctrlPr>
                  </m:radPr>
                  <m:deg/>
                  <m:e>
                    <m:r>
                      <m:rPr>
                        <m:sty m:val="p"/>
                      </m:rPr>
                      <w:rPr>
                        <w:rFonts w:ascii="Cambria Math" w:hAnsi="Cambria Math"/>
                      </w:rPr>
                      <m:t>2</m:t>
                    </m:r>
                    <m:sSup>
                      <m:sSupPr>
                        <m:ctrlPr>
                          <w:rPr>
                            <w:rFonts w:ascii="Cambria Math" w:hAnsi="Cambria Math"/>
                          </w:rPr>
                        </m:ctrlPr>
                      </m:sSupPr>
                      <m:e>
                        <m:r>
                          <w:rPr>
                            <w:rFonts w:ascii="Cambria Math" w:hAnsi="Cambria Math"/>
                          </w:rPr>
                          <m:t>g</m:t>
                        </m:r>
                      </m:e>
                      <m:sup>
                        <m:r>
                          <m:rPr>
                            <m:sty m:val="p"/>
                          </m:rPr>
                          <w:rPr>
                            <w:rFonts w:ascii="Cambria Math" w:hAnsi="Cambria Math"/>
                          </w:rPr>
                          <m:t>'</m:t>
                        </m:r>
                      </m:sup>
                    </m:sSup>
                    <m:sSub>
                      <m:sSubPr>
                        <m:ctrlPr>
                          <w:rPr>
                            <w:rFonts w:ascii="Cambria Math" w:hAnsi="Cambria Math"/>
                          </w:rPr>
                        </m:ctrlPr>
                      </m:sSubPr>
                      <m:e>
                        <m:r>
                          <w:rPr>
                            <w:rFonts w:ascii="Cambria Math" w:hAnsi="Cambria Math"/>
                          </w:rPr>
                          <m:t>H</m:t>
                        </m:r>
                      </m:e>
                      <m:sub>
                        <m:r>
                          <m:rPr>
                            <m:sty m:val="p"/>
                          </m:rPr>
                          <w:rPr>
                            <w:rFonts w:ascii="Cambria Math" w:hAnsi="Cambria Math"/>
                          </w:rPr>
                          <m:t>1</m:t>
                        </m:r>
                      </m:sub>
                    </m:sSub>
                  </m:e>
                </m:rad>
              </m:oMath>
            </m:oMathPara>
          </w:p>
        </w:tc>
        <w:tc>
          <w:tcPr>
            <w:tcW w:w="804" w:type="dxa"/>
            <w:vAlign w:val="center"/>
          </w:tcPr>
          <w:p w14:paraId="79AF1001" w14:textId="0B90AAEA" w:rsidR="00EC3373" w:rsidRPr="00B57B36" w:rsidRDefault="00EC3373" w:rsidP="00C01726">
            <w:pPr>
              <w:pStyle w:val="CETEquation"/>
              <w:jc w:val="right"/>
            </w:pPr>
            <w:r w:rsidRPr="00B57B36">
              <w:t>(1</w:t>
            </w:r>
            <w:r w:rsidR="00A34009">
              <w:t>3</w:t>
            </w:r>
            <w:r w:rsidRPr="00B57B36">
              <w:t>)</w:t>
            </w:r>
          </w:p>
        </w:tc>
      </w:tr>
    </w:tbl>
    <w:p w14:paraId="2AEEA19D" w14:textId="6253D2CA" w:rsidR="000769D9" w:rsidRDefault="009A591C" w:rsidP="00D92464">
      <w:pPr>
        <w:pStyle w:val="CETBodytext"/>
        <w:rPr>
          <w:rFonts w:eastAsiaTheme="minorEastAsia"/>
        </w:rPr>
      </w:pPr>
      <w:r w:rsidRPr="003F1F78">
        <w:rPr>
          <w:rFonts w:eastAsiaTheme="minorEastAsia"/>
        </w:rPr>
        <w:t>With the reduced gravity defined as:</w:t>
      </w:r>
    </w:p>
    <w:tbl>
      <w:tblPr>
        <w:tblW w:w="5000" w:type="pct"/>
        <w:tblLook w:val="04A0" w:firstRow="1" w:lastRow="0" w:firstColumn="1" w:lastColumn="0" w:noHBand="0" w:noVBand="1"/>
      </w:tblPr>
      <w:tblGrid>
        <w:gridCol w:w="7983"/>
        <w:gridCol w:w="804"/>
      </w:tblGrid>
      <w:tr w:rsidR="000769D9" w:rsidRPr="00B57B36" w14:paraId="36671037" w14:textId="77777777" w:rsidTr="003F586A">
        <w:tc>
          <w:tcPr>
            <w:tcW w:w="7983" w:type="dxa"/>
            <w:vAlign w:val="center"/>
          </w:tcPr>
          <w:p w14:paraId="092A712F" w14:textId="42974C3E" w:rsidR="000769D9" w:rsidRPr="005C662D" w:rsidRDefault="00000000" w:rsidP="003F586A">
            <w:pPr>
              <w:pStyle w:val="CETEquation"/>
            </w:pPr>
            <m:oMathPara>
              <m:oMathParaPr>
                <m:jc m:val="left"/>
              </m:oMathParaPr>
              <m:oMath>
                <m:sSup>
                  <m:sSupPr>
                    <m:ctrlPr>
                      <w:rPr>
                        <w:rFonts w:ascii="Cambria Math" w:hAnsi="Cambria Math"/>
                      </w:rPr>
                    </m:ctrlPr>
                  </m:sSupPr>
                  <m:e>
                    <m:r>
                      <w:rPr>
                        <w:rFonts w:ascii="Cambria Math" w:hAnsi="Cambria Math"/>
                      </w:rPr>
                      <m:t>g</m:t>
                    </m:r>
                  </m:e>
                  <m:sup>
                    <m:r>
                      <m:rPr>
                        <m:sty m:val="p"/>
                      </m:rPr>
                      <w:rPr>
                        <w:rFonts w:ascii="Cambria Math" w:hAnsi="Cambria Math"/>
                      </w:rPr>
                      <m:t>'</m:t>
                    </m:r>
                  </m:sup>
                </m:sSup>
                <m:r>
                  <m:rPr>
                    <m:sty m:val="p"/>
                  </m:rPr>
                  <w:rPr>
                    <w:rFonts w:ascii="Cambria Math" w:hAnsi="Cambria Math"/>
                  </w:rPr>
                  <m:t>=</m:t>
                </m:r>
                <m:r>
                  <w:rPr>
                    <w:rFonts w:ascii="Cambria Math" w:hAnsi="Cambria Math"/>
                  </w:rPr>
                  <m:t>g</m:t>
                </m:r>
                <m:f>
                  <m:fPr>
                    <m:ctrlPr>
                      <w:rPr>
                        <w:rFonts w:ascii="Cambria Math" w:hAnsi="Cambria Math"/>
                      </w:rPr>
                    </m:ctrlPr>
                  </m:fPr>
                  <m:num>
                    <m:sSub>
                      <m:sSubPr>
                        <m:ctrlPr>
                          <w:rPr>
                            <w:rFonts w:ascii="Cambria Math" w:hAnsi="Cambria Math"/>
                          </w:rPr>
                        </m:ctrlPr>
                      </m:sSubPr>
                      <m:e>
                        <m:r>
                          <w:rPr>
                            <w:rFonts w:ascii="Cambria Math" w:hAnsi="Cambria Math"/>
                          </w:rPr>
                          <m:t>ρ</m:t>
                        </m:r>
                      </m:e>
                      <m:sub>
                        <m:r>
                          <m:rPr>
                            <m:nor/>
                          </m:rPr>
                          <m:t>air</m:t>
                        </m:r>
                      </m:sub>
                    </m:sSub>
                    <m:r>
                      <m:rPr>
                        <m:sty m:val="p"/>
                      </m:rP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l</m:t>
                        </m:r>
                      </m:sub>
                    </m:sSub>
                  </m:num>
                  <m:den>
                    <m:sSub>
                      <m:sSubPr>
                        <m:ctrlPr>
                          <w:rPr>
                            <w:rFonts w:ascii="Cambria Math" w:hAnsi="Cambria Math"/>
                          </w:rPr>
                        </m:ctrlPr>
                      </m:sSubPr>
                      <m:e>
                        <m:r>
                          <w:rPr>
                            <w:rFonts w:ascii="Cambria Math" w:hAnsi="Cambria Math"/>
                          </w:rPr>
                          <m:t>ρ</m:t>
                        </m:r>
                      </m:e>
                      <m:sub>
                        <m:r>
                          <m:rPr>
                            <m:nor/>
                          </m:rPr>
                          <m:t>air</m:t>
                        </m:r>
                      </m:sub>
                    </m:sSub>
                  </m:den>
                </m:f>
              </m:oMath>
            </m:oMathPara>
          </w:p>
        </w:tc>
        <w:tc>
          <w:tcPr>
            <w:tcW w:w="804" w:type="dxa"/>
            <w:vAlign w:val="center"/>
          </w:tcPr>
          <w:p w14:paraId="3C44CC86" w14:textId="000A8049" w:rsidR="000769D9" w:rsidRPr="00B57B36" w:rsidRDefault="000769D9" w:rsidP="00C01726">
            <w:pPr>
              <w:pStyle w:val="CETEquation"/>
              <w:jc w:val="right"/>
            </w:pPr>
            <w:r w:rsidRPr="00B57B36">
              <w:t>(1</w:t>
            </w:r>
            <w:r w:rsidR="00A34009">
              <w:t>4</w:t>
            </w:r>
            <w:r w:rsidRPr="00B57B36">
              <w:t>)</w:t>
            </w:r>
          </w:p>
        </w:tc>
      </w:tr>
    </w:tbl>
    <w:p w14:paraId="23D8FB23" w14:textId="3D2ECC25" w:rsidR="00286A1E" w:rsidRPr="003F1F78" w:rsidRDefault="003604BD" w:rsidP="00286A1E">
      <w:pPr>
        <w:pStyle w:val="CETBodytext"/>
        <w:rPr>
          <w:rFonts w:eastAsiaTheme="minorEastAsia"/>
        </w:rPr>
      </w:pPr>
      <w:r w:rsidRPr="003604BD">
        <w:rPr>
          <w:rFonts w:eastAsiaTheme="minorEastAsia"/>
          <w:lang w:val="en-GB"/>
        </w:rPr>
        <w:t>The density of the mixture is calculated from the component densities and their fractions.</w:t>
      </w:r>
      <w:r w:rsidR="00214F1C">
        <w:rPr>
          <w:rFonts w:eastAsiaTheme="minorEastAsia"/>
        </w:rPr>
        <w:t xml:space="preserve"> </w:t>
      </w:r>
      <w:r w:rsidR="009A3596">
        <w:rPr>
          <w:rFonts w:eastAsiaTheme="minorEastAsia"/>
        </w:rPr>
        <w:t>V</w:t>
      </w:r>
      <w:r w:rsidR="009A591C" w:rsidRPr="003F1F78">
        <w:rPr>
          <w:rFonts w:eastAsiaTheme="minorEastAsia"/>
        </w:rPr>
        <w:t xml:space="preserve">entilation flow is calculated by the Ventilation Model. This can be calculated either </w:t>
      </w:r>
      <w:r w:rsidR="00765413">
        <w:rPr>
          <w:rFonts w:eastAsiaTheme="minorEastAsia"/>
        </w:rPr>
        <w:t>m</w:t>
      </w:r>
      <w:r w:rsidR="009A591C" w:rsidRPr="003F1F78">
        <w:rPr>
          <w:rFonts w:eastAsiaTheme="minorEastAsia"/>
        </w:rPr>
        <w:t>echanical or</w:t>
      </w:r>
      <w:r w:rsidR="007E3B44">
        <w:rPr>
          <w:rFonts w:eastAsiaTheme="minorEastAsia"/>
        </w:rPr>
        <w:t xml:space="preserve"> </w:t>
      </w:r>
      <w:r w:rsidR="00765413">
        <w:rPr>
          <w:rFonts w:eastAsiaTheme="minorEastAsia"/>
        </w:rPr>
        <w:t>n</w:t>
      </w:r>
      <w:r w:rsidR="009A591C" w:rsidRPr="003F1F78">
        <w:rPr>
          <w:rFonts w:eastAsiaTheme="minorEastAsia"/>
        </w:rPr>
        <w:t xml:space="preserve">atural </w:t>
      </w:r>
      <w:r w:rsidR="009B23C9">
        <w:rPr>
          <w:rFonts w:eastAsiaTheme="minorEastAsia"/>
        </w:rPr>
        <w:t>v</w:t>
      </w:r>
      <w:r w:rsidR="009A591C" w:rsidRPr="003F1F78">
        <w:rPr>
          <w:rFonts w:eastAsiaTheme="minorEastAsia"/>
        </w:rPr>
        <w:t>entilation.</w:t>
      </w:r>
      <w:r w:rsidR="009A3596">
        <w:rPr>
          <w:rFonts w:eastAsiaTheme="minorEastAsia"/>
        </w:rPr>
        <w:t xml:space="preserve"> </w:t>
      </w:r>
      <w:r w:rsidR="00286A1E" w:rsidRPr="00E86286">
        <w:rPr>
          <w:rFonts w:eastAsiaTheme="minorEastAsia"/>
          <w:lang w:val="en-GB"/>
        </w:rPr>
        <w:t>Outflow depends on the relative position of the opening and the gas layer: no outflow occurs if the opening is below the layer, full layer concentration applies if it is above, and partial overlap results in a proportional outflow based on the fraction of the opening within the layer.</w:t>
      </w:r>
    </w:p>
    <w:p w14:paraId="504B98C8" w14:textId="09FB7B78" w:rsidR="009A591C" w:rsidRPr="00FB492B" w:rsidRDefault="00FB492B" w:rsidP="00D92464">
      <w:pPr>
        <w:pStyle w:val="CETBodytext"/>
        <w:rPr>
          <w:rFonts w:eastAsiaTheme="minorEastAsia"/>
          <w:lang w:val="en-GB"/>
        </w:rPr>
      </w:pPr>
      <w:bookmarkStart w:id="7" w:name="_Toc225421710"/>
      <w:r w:rsidRPr="00FB492B">
        <w:rPr>
          <w:rFonts w:eastAsiaTheme="minorEastAsia"/>
          <w:lang w:val="en-GB"/>
        </w:rPr>
        <w:t>For the i</w:t>
      </w:r>
      <w:r w:rsidR="009A591C" w:rsidRPr="00FB492B">
        <w:rPr>
          <w:rFonts w:eastAsiaTheme="minorEastAsia"/>
          <w:lang w:val="en-GB"/>
        </w:rPr>
        <w:t>nverse two-layer model</w:t>
      </w:r>
      <w:bookmarkEnd w:id="7"/>
      <w:r w:rsidRPr="00FB492B">
        <w:rPr>
          <w:rFonts w:eastAsiaTheme="minorEastAsia"/>
          <w:lang w:val="en-GB"/>
        </w:rPr>
        <w:t>, the</w:t>
      </w:r>
      <w:r w:rsidR="009A591C" w:rsidRPr="00FB492B">
        <w:rPr>
          <w:rFonts w:eastAsiaTheme="minorEastAsia"/>
          <w:lang w:val="en-GB"/>
        </w:rPr>
        <w:t xml:space="preserve"> approach is comparable to the two-layer </w:t>
      </w:r>
      <w:proofErr w:type="gramStart"/>
      <w:r w:rsidR="009A591C" w:rsidRPr="00FB492B">
        <w:rPr>
          <w:rFonts w:eastAsiaTheme="minorEastAsia"/>
          <w:lang w:val="en-GB"/>
        </w:rPr>
        <w:t>model</w:t>
      </w:r>
      <w:proofErr w:type="gramEnd"/>
      <w:r w:rsidR="009A591C" w:rsidRPr="00FB492B">
        <w:rPr>
          <w:rFonts w:eastAsiaTheme="minorEastAsia"/>
          <w:lang w:val="en-GB"/>
        </w:rPr>
        <w:t xml:space="preserve"> but </w:t>
      </w:r>
      <w:r w:rsidR="00551191" w:rsidRPr="00FB492B">
        <w:rPr>
          <w:rFonts w:eastAsiaTheme="minorEastAsia"/>
          <w:lang w:val="en-GB"/>
        </w:rPr>
        <w:t>t</w:t>
      </w:r>
      <w:r w:rsidR="009A591C" w:rsidRPr="00FB492B">
        <w:rPr>
          <w:rFonts w:eastAsiaTheme="minorEastAsia"/>
          <w:lang w:val="en-GB"/>
        </w:rPr>
        <w:t>he chemical will accumulate at the bottom of the room. The height of the lowest opening dictates the outflow behaviour.</w:t>
      </w:r>
    </w:p>
    <w:p w14:paraId="6139BF30" w14:textId="77777777" w:rsidR="009A591C" w:rsidRPr="00665B50" w:rsidRDefault="009A591C" w:rsidP="00FB3A5C">
      <w:pPr>
        <w:pStyle w:val="CETheadingx"/>
        <w:rPr>
          <w:rFonts w:eastAsiaTheme="minorEastAsia"/>
        </w:rPr>
      </w:pPr>
      <w:bookmarkStart w:id="8" w:name="_Ref211261753"/>
      <w:bookmarkStart w:id="9" w:name="_Ref211261761"/>
      <w:bookmarkStart w:id="10" w:name="_Toc225421713"/>
      <w:r w:rsidRPr="00665B50">
        <w:rPr>
          <w:rFonts w:eastAsiaTheme="minorEastAsia"/>
        </w:rPr>
        <w:t>Temperature model</w:t>
      </w:r>
      <w:bookmarkEnd w:id="8"/>
      <w:bookmarkEnd w:id="9"/>
      <w:bookmarkEnd w:id="10"/>
    </w:p>
    <w:p w14:paraId="2E718E14" w14:textId="4CBF2560" w:rsidR="004F39F9" w:rsidRDefault="00C17399" w:rsidP="00D92464">
      <w:pPr>
        <w:pStyle w:val="CETBodytext"/>
        <w:rPr>
          <w:rFonts w:eastAsiaTheme="minorEastAsia"/>
        </w:rPr>
      </w:pPr>
      <w:r w:rsidRPr="00C17399">
        <w:rPr>
          <w:rFonts w:eastAsiaTheme="minorEastAsia"/>
          <w:lang w:val="en-GB"/>
        </w:rPr>
        <w:t>The temperature of the gas–air mixture is calculated from an energy balance considering the heat capacities and mass flows of the chemical and ventilation air</w:t>
      </w:r>
      <w:r w:rsidR="003066CE">
        <w:rPr>
          <w:rFonts w:eastAsiaTheme="minorEastAsia"/>
          <w:lang w:val="en-GB"/>
        </w:rPr>
        <w:t>:</w:t>
      </w:r>
    </w:p>
    <w:tbl>
      <w:tblPr>
        <w:tblW w:w="5000" w:type="pct"/>
        <w:tblLook w:val="04A0" w:firstRow="1" w:lastRow="0" w:firstColumn="1" w:lastColumn="0" w:noHBand="0" w:noVBand="1"/>
      </w:tblPr>
      <w:tblGrid>
        <w:gridCol w:w="7983"/>
        <w:gridCol w:w="804"/>
      </w:tblGrid>
      <w:tr w:rsidR="004F39F9" w:rsidRPr="00B57B36" w14:paraId="49E2E228" w14:textId="77777777" w:rsidTr="003F586A">
        <w:tc>
          <w:tcPr>
            <w:tcW w:w="7983" w:type="dxa"/>
            <w:vAlign w:val="center"/>
          </w:tcPr>
          <w:p w14:paraId="38C2EBB9" w14:textId="22BAF031" w:rsidR="004F39F9" w:rsidRPr="005C662D" w:rsidRDefault="00027604" w:rsidP="003F586A">
            <w:pPr>
              <w:pStyle w:val="CETEquation"/>
            </w:pPr>
            <m:oMathPara>
              <m:oMathParaPr>
                <m:jc m:val="left"/>
              </m:oMathParaPr>
              <m:oMath>
                <m:r>
                  <w:rPr>
                    <w:rFonts w:ascii="Cambria Math" w:hAnsi="Cambria Math"/>
                  </w:rPr>
                  <m:t>T=</m:t>
                </m:r>
                <m:f>
                  <m:fPr>
                    <m:ctrlPr>
                      <w:rPr>
                        <w:rFonts w:ascii="Cambria Math" w:hAnsi="Cambria Math"/>
                        <w:i/>
                      </w:rPr>
                    </m:ctrlPr>
                  </m:fPr>
                  <m:num>
                    <m:r>
                      <w:rPr>
                        <w:rFonts w:ascii="Cambria Math" w:hAnsi="Cambria Math"/>
                      </w:rPr>
                      <m:t>x</m:t>
                    </m:r>
                    <m:sSub>
                      <m:sSubPr>
                        <m:ctrlPr>
                          <w:rPr>
                            <w:rFonts w:ascii="Cambria Math" w:hAnsi="Cambria Math"/>
                            <w:i/>
                          </w:rPr>
                        </m:ctrlPr>
                      </m:sSubPr>
                      <m:e>
                        <m:r>
                          <w:rPr>
                            <w:rFonts w:ascii="Cambria Math" w:hAnsi="Cambria Math"/>
                          </w:rPr>
                          <m:t>C</m:t>
                        </m:r>
                      </m:e>
                      <m:sub>
                        <m:r>
                          <w:rPr>
                            <w:rFonts w:ascii="Cambria Math" w:hAnsi="Cambria Math"/>
                          </w:rPr>
                          <m:t>p,chemical</m:t>
                        </m:r>
                      </m:sub>
                    </m:sSub>
                    <m:sSub>
                      <m:sSubPr>
                        <m:ctrlPr>
                          <w:rPr>
                            <w:rFonts w:ascii="Cambria Math" w:hAnsi="Cambria Math"/>
                            <w:i/>
                          </w:rPr>
                        </m:ctrlPr>
                      </m:sSubPr>
                      <m:e>
                        <m:r>
                          <w:rPr>
                            <w:rFonts w:ascii="Cambria Math" w:hAnsi="Cambria Math"/>
                          </w:rPr>
                          <m:t>T</m:t>
                        </m:r>
                      </m:e>
                      <m:sub>
                        <m:r>
                          <w:rPr>
                            <w:rFonts w:ascii="Cambria Math" w:hAnsi="Cambria Math"/>
                          </w:rPr>
                          <m:t>leak</m:t>
                        </m:r>
                      </m:sub>
                    </m:sSub>
                    <m:r>
                      <w:rPr>
                        <w:rFonts w:ascii="Cambria Math" w:hAnsi="Cambria Math"/>
                      </w:rPr>
                      <m:t>+</m:t>
                    </m:r>
                    <m:d>
                      <m:dPr>
                        <m:ctrlPr>
                          <w:rPr>
                            <w:rFonts w:ascii="Cambria Math" w:hAnsi="Cambria Math"/>
                            <w:i/>
                          </w:rPr>
                        </m:ctrlPr>
                      </m:dPr>
                      <m:e>
                        <m:r>
                          <w:rPr>
                            <w:rFonts w:ascii="Cambria Math" w:hAnsi="Cambria Math"/>
                          </w:rPr>
                          <m:t>1-x</m:t>
                        </m:r>
                      </m:e>
                    </m:d>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air</m:t>
                            </m:r>
                          </m:sub>
                        </m:sSub>
                        <m:sSub>
                          <m:sSubPr>
                            <m:ctrlPr>
                              <w:rPr>
                                <w:rFonts w:ascii="Cambria Math" w:hAnsi="Cambria Math"/>
                                <w:i/>
                              </w:rPr>
                            </m:ctrlPr>
                          </m:sSubPr>
                          <m:e>
                            <m:r>
                              <w:rPr>
                                <w:rFonts w:ascii="Cambria Math" w:hAnsi="Cambria Math"/>
                              </w:rPr>
                              <m:t>C</m:t>
                            </m:r>
                          </m:e>
                          <m:sub>
                            <m:r>
                              <w:rPr>
                                <w:rFonts w:ascii="Cambria Math" w:hAnsi="Cambria Math"/>
                              </w:rPr>
                              <m:t>p,air,room</m:t>
                            </m:r>
                          </m:sub>
                        </m:sSub>
                        <m:sSub>
                          <m:sSubPr>
                            <m:ctrlPr>
                              <w:rPr>
                                <w:rFonts w:ascii="Cambria Math" w:hAnsi="Cambria Math"/>
                                <w:i/>
                              </w:rPr>
                            </m:ctrlPr>
                          </m:sSubPr>
                          <m:e>
                            <m:r>
                              <w:rPr>
                                <w:rFonts w:ascii="Cambria Math" w:hAnsi="Cambria Math"/>
                              </w:rPr>
                              <m:t>T</m:t>
                            </m:r>
                          </m:e>
                          <m:sub>
                            <m:r>
                              <w:rPr>
                                <w:rFonts w:ascii="Cambria Math" w:hAnsi="Cambria Math"/>
                              </w:rPr>
                              <m:t>room</m:t>
                            </m:r>
                          </m:sub>
                        </m:sSub>
                        <m:r>
                          <w:rPr>
                            <w:rFonts w:ascii="Cambria Math" w:hAnsi="Cambria Math"/>
                          </w:rPr>
                          <m:t>+</m:t>
                        </m:r>
                        <m:sSub>
                          <m:sSubPr>
                            <m:ctrlPr>
                              <w:rPr>
                                <w:rFonts w:ascii="Cambria Math" w:hAnsi="Cambria Math"/>
                                <w:i/>
                              </w:rPr>
                            </m:ctrlPr>
                          </m:sSub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x</m:t>
                                    </m:r>
                                  </m:e>
                                  <m:sub>
                                    <m:r>
                                      <w:rPr>
                                        <w:rFonts w:ascii="Cambria Math" w:hAnsi="Cambria Math"/>
                                      </w:rPr>
                                      <m:t>air</m:t>
                                    </m:r>
                                  </m:sub>
                                </m:sSub>
                              </m:e>
                            </m:d>
                            <m:r>
                              <w:rPr>
                                <w:rFonts w:ascii="Cambria Math" w:hAnsi="Cambria Math"/>
                              </w:rPr>
                              <m:t>C</m:t>
                            </m:r>
                          </m:e>
                          <m:sub>
                            <m:r>
                              <w:rPr>
                                <w:rFonts w:ascii="Cambria Math" w:hAnsi="Cambria Math"/>
                              </w:rPr>
                              <m:t>p,air,ambient</m:t>
                            </m:r>
                          </m:sub>
                        </m:sSub>
                        <m:sSub>
                          <m:sSubPr>
                            <m:ctrlPr>
                              <w:rPr>
                                <w:rFonts w:ascii="Cambria Math" w:hAnsi="Cambria Math"/>
                                <w:i/>
                              </w:rPr>
                            </m:ctrlPr>
                          </m:sSubPr>
                          <m:e>
                            <m:r>
                              <w:rPr>
                                <w:rFonts w:ascii="Cambria Math" w:hAnsi="Cambria Math"/>
                              </w:rPr>
                              <m:t>T</m:t>
                            </m:r>
                          </m:e>
                          <m:sub>
                            <m:r>
                              <w:rPr>
                                <w:rFonts w:ascii="Cambria Math" w:hAnsi="Cambria Math"/>
                              </w:rPr>
                              <m:t>ambient</m:t>
                            </m:r>
                          </m:sub>
                        </m:sSub>
                      </m:e>
                    </m:d>
                  </m:num>
                  <m:den>
                    <m:sSub>
                      <m:sSubPr>
                        <m:ctrlPr>
                          <w:rPr>
                            <w:rFonts w:ascii="Cambria Math" w:hAnsi="Cambria Math"/>
                            <w:i/>
                          </w:rPr>
                        </m:ctrlPr>
                      </m:sSubPr>
                      <m:e>
                        <m:r>
                          <w:rPr>
                            <w:rFonts w:ascii="Cambria Math" w:hAnsi="Cambria Math"/>
                          </w:rPr>
                          <m:t>C</m:t>
                        </m:r>
                      </m:e>
                      <m:sub>
                        <m:r>
                          <w:rPr>
                            <w:rFonts w:ascii="Cambria Math" w:hAnsi="Cambria Math"/>
                          </w:rPr>
                          <m:t>p,mixture</m:t>
                        </m:r>
                      </m:sub>
                    </m:sSub>
                  </m:den>
                </m:f>
              </m:oMath>
            </m:oMathPara>
          </w:p>
        </w:tc>
        <w:tc>
          <w:tcPr>
            <w:tcW w:w="804" w:type="dxa"/>
            <w:vAlign w:val="center"/>
          </w:tcPr>
          <w:p w14:paraId="28D9E2EA" w14:textId="4A4CA1D7" w:rsidR="004F39F9" w:rsidRPr="00B57B36" w:rsidRDefault="004F39F9" w:rsidP="00C01726">
            <w:pPr>
              <w:pStyle w:val="CETEquation"/>
              <w:jc w:val="right"/>
            </w:pPr>
            <w:r w:rsidRPr="00B57B36">
              <w:t>(1</w:t>
            </w:r>
            <w:r w:rsidR="00A34009">
              <w:t>5</w:t>
            </w:r>
            <w:r w:rsidRPr="00B57B36">
              <w:t>)</w:t>
            </w:r>
          </w:p>
        </w:tc>
      </w:tr>
    </w:tbl>
    <w:p w14:paraId="7134BA4D" w14:textId="4C2EC9FE" w:rsidR="00027604" w:rsidRDefault="009A591C" w:rsidP="00D92464">
      <w:pPr>
        <w:pStyle w:val="CETBodytext"/>
        <w:rPr>
          <w:rFonts w:eastAsiaTheme="minorEastAsia"/>
        </w:rPr>
      </w:pPr>
      <w:r w:rsidRPr="003F1F78">
        <w:rPr>
          <w:rFonts w:eastAsiaTheme="minorEastAsia"/>
        </w:rPr>
        <w:t>The volume fraction of indoor air (</w:t>
      </w:r>
      <w:proofErr w:type="spellStart"/>
      <w:r w:rsidRPr="003F1F78">
        <w:rPr>
          <w:rFonts w:eastAsiaTheme="minorEastAsia"/>
        </w:rPr>
        <w:t>x</w:t>
      </w:r>
      <w:r w:rsidRPr="003F1F78">
        <w:rPr>
          <w:rFonts w:eastAsiaTheme="minorEastAsia"/>
          <w:vertAlign w:val="subscript"/>
        </w:rPr>
        <w:t>air</w:t>
      </w:r>
      <w:proofErr w:type="spellEnd"/>
      <w:r w:rsidRPr="003F1F78">
        <w:rPr>
          <w:rFonts w:eastAsiaTheme="minorEastAsia"/>
        </w:rPr>
        <w:t>) changes over time (t) as outdoor air is introduced via the ventilation system:</w:t>
      </w:r>
    </w:p>
    <w:tbl>
      <w:tblPr>
        <w:tblW w:w="5000" w:type="pct"/>
        <w:tblLook w:val="04A0" w:firstRow="1" w:lastRow="0" w:firstColumn="1" w:lastColumn="0" w:noHBand="0" w:noVBand="1"/>
      </w:tblPr>
      <w:tblGrid>
        <w:gridCol w:w="7983"/>
        <w:gridCol w:w="804"/>
      </w:tblGrid>
      <w:tr w:rsidR="00027604" w:rsidRPr="00B57B36" w14:paraId="70A3CDF0" w14:textId="77777777" w:rsidTr="003F586A">
        <w:tc>
          <w:tcPr>
            <w:tcW w:w="7983" w:type="dxa"/>
            <w:vAlign w:val="center"/>
          </w:tcPr>
          <w:p w14:paraId="0F2B3D23" w14:textId="731B84C9" w:rsidR="00027604" w:rsidRPr="005C662D" w:rsidRDefault="00000000" w:rsidP="003F586A">
            <w:pPr>
              <w:pStyle w:val="CETEquation"/>
            </w:pPr>
            <m:oMathPara>
              <m:oMathParaPr>
                <m:jc m:val="left"/>
              </m:oMathParaPr>
              <m:oMath>
                <m:sSub>
                  <m:sSubPr>
                    <m:ctrlPr>
                      <w:rPr>
                        <w:rFonts w:ascii="Cambria Math" w:hAnsi="Cambria Math"/>
                        <w:i/>
                      </w:rPr>
                    </m:ctrlPr>
                  </m:sSubPr>
                  <m:e>
                    <m:r>
                      <w:rPr>
                        <w:rFonts w:ascii="Cambria Math" w:hAnsi="Cambria Math"/>
                      </w:rPr>
                      <m:t>x</m:t>
                    </m:r>
                  </m:e>
                  <m:sub>
                    <m:r>
                      <w:rPr>
                        <w:rFonts w:ascii="Cambria Math" w:hAnsi="Cambria Math"/>
                      </w:rPr>
                      <m:t>air</m:t>
                    </m:r>
                  </m:sub>
                </m:sSub>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room</m:t>
                        </m:r>
                      </m:sub>
                    </m:sSub>
                  </m:num>
                  <m:den>
                    <m:sSub>
                      <m:sSubPr>
                        <m:ctrlPr>
                          <w:rPr>
                            <w:rFonts w:ascii="Cambria Math" w:hAnsi="Cambria Math"/>
                            <w:i/>
                          </w:rPr>
                        </m:ctrlPr>
                      </m:sSubPr>
                      <m:e>
                        <m:r>
                          <w:rPr>
                            <w:rFonts w:ascii="Cambria Math" w:hAnsi="Cambria Math"/>
                          </w:rPr>
                          <m:t>V</m:t>
                        </m:r>
                      </m:e>
                      <m:sub>
                        <m:r>
                          <w:rPr>
                            <w:rFonts w:ascii="Cambria Math" w:hAnsi="Cambria Math"/>
                          </w:rPr>
                          <m:t>room</m:t>
                        </m:r>
                      </m:sub>
                    </m:sSub>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ventilation</m:t>
                        </m:r>
                      </m:sub>
                    </m:sSub>
                    <m:r>
                      <w:rPr>
                        <w:rFonts w:ascii="Cambria Math" w:hAnsi="Cambria Math"/>
                      </w:rPr>
                      <m:t>t</m:t>
                    </m:r>
                  </m:den>
                </m:f>
              </m:oMath>
            </m:oMathPara>
          </w:p>
        </w:tc>
        <w:tc>
          <w:tcPr>
            <w:tcW w:w="804" w:type="dxa"/>
            <w:vAlign w:val="center"/>
          </w:tcPr>
          <w:p w14:paraId="08D50EC2" w14:textId="4915094E" w:rsidR="00027604" w:rsidRPr="00B57B36" w:rsidRDefault="00027604" w:rsidP="00C01726">
            <w:pPr>
              <w:pStyle w:val="CETEquation"/>
              <w:jc w:val="right"/>
            </w:pPr>
            <w:r w:rsidRPr="00B57B36">
              <w:t>(1</w:t>
            </w:r>
            <w:r w:rsidR="00A34009">
              <w:t>6</w:t>
            </w:r>
            <w:r w:rsidRPr="00B57B36">
              <w:t>)</w:t>
            </w:r>
          </w:p>
        </w:tc>
      </w:tr>
    </w:tbl>
    <w:p w14:paraId="23F81032" w14:textId="3631F168" w:rsidR="00C06508" w:rsidRDefault="009A591C" w:rsidP="00D92464">
      <w:pPr>
        <w:pStyle w:val="CETBodytext"/>
        <w:rPr>
          <w:rFonts w:eastAsiaTheme="minorEastAsia"/>
        </w:rPr>
      </w:pPr>
      <w:r w:rsidRPr="003F1F78">
        <w:rPr>
          <w:rFonts w:eastAsiaTheme="minorEastAsia"/>
        </w:rPr>
        <w:t xml:space="preserve">The overall specific heat capacity of the air-chemical mixture </w:t>
      </w:r>
      <w:r w:rsidR="00D8136F">
        <w:rPr>
          <w:rFonts w:eastAsiaTheme="minorEastAsia"/>
        </w:rPr>
        <w:t>follows from</w:t>
      </w:r>
      <w:r w:rsidRPr="003F1F78">
        <w:rPr>
          <w:rFonts w:eastAsiaTheme="minorEastAsia"/>
        </w:rPr>
        <w:t>:</w:t>
      </w:r>
    </w:p>
    <w:tbl>
      <w:tblPr>
        <w:tblW w:w="5000" w:type="pct"/>
        <w:tblLook w:val="04A0" w:firstRow="1" w:lastRow="0" w:firstColumn="1" w:lastColumn="0" w:noHBand="0" w:noVBand="1"/>
      </w:tblPr>
      <w:tblGrid>
        <w:gridCol w:w="7983"/>
        <w:gridCol w:w="804"/>
      </w:tblGrid>
      <w:tr w:rsidR="00C06508" w:rsidRPr="00B57B36" w14:paraId="045A925D" w14:textId="77777777" w:rsidTr="003F586A">
        <w:tc>
          <w:tcPr>
            <w:tcW w:w="7983" w:type="dxa"/>
            <w:vAlign w:val="center"/>
          </w:tcPr>
          <w:p w14:paraId="2A8C0BBA" w14:textId="77F46580" w:rsidR="00C06508" w:rsidRPr="005C662D" w:rsidRDefault="00000000" w:rsidP="003F586A">
            <w:pPr>
              <w:pStyle w:val="CETEquation"/>
            </w:pPr>
            <m:oMathPara>
              <m:oMathParaPr>
                <m:jc m:val="left"/>
              </m:oMathParaPr>
              <m:oMath>
                <m:sSub>
                  <m:sSubPr>
                    <m:ctrlPr>
                      <w:rPr>
                        <w:rFonts w:ascii="Cambria Math" w:hAnsi="Cambria Math"/>
                        <w:i/>
                      </w:rPr>
                    </m:ctrlPr>
                  </m:sSubPr>
                  <m:e>
                    <m:r>
                      <w:rPr>
                        <w:rFonts w:ascii="Cambria Math" w:hAnsi="Cambria Math"/>
                      </w:rPr>
                      <m:t>C</m:t>
                    </m:r>
                  </m:e>
                  <m:sub>
                    <m:r>
                      <w:rPr>
                        <w:rFonts w:ascii="Cambria Math" w:hAnsi="Cambria Math"/>
                      </w:rPr>
                      <m:t>p, mixture</m:t>
                    </m:r>
                  </m:sub>
                </m:sSub>
                <m:r>
                  <w:rPr>
                    <w:rFonts w:ascii="Cambria Math" w:hAnsi="Cambria Math"/>
                  </w:rPr>
                  <m:t>=x</m:t>
                </m:r>
                <m:sSub>
                  <m:sSubPr>
                    <m:ctrlPr>
                      <w:rPr>
                        <w:rFonts w:ascii="Cambria Math" w:hAnsi="Cambria Math"/>
                        <w:i/>
                      </w:rPr>
                    </m:ctrlPr>
                  </m:sSubPr>
                  <m:e>
                    <m:r>
                      <w:rPr>
                        <w:rFonts w:ascii="Cambria Math" w:hAnsi="Cambria Math"/>
                      </w:rPr>
                      <m:t>C</m:t>
                    </m:r>
                  </m:e>
                  <m:sub>
                    <m:r>
                      <w:rPr>
                        <w:rFonts w:ascii="Cambria Math" w:hAnsi="Cambria Math"/>
                      </w:rPr>
                      <m:t>p,chemical</m:t>
                    </m:r>
                  </m:sub>
                </m:sSub>
                <m:r>
                  <w:rPr>
                    <w:rFonts w:ascii="Cambria Math" w:hAnsi="Cambria Math"/>
                  </w:rPr>
                  <m:t>+</m:t>
                </m:r>
                <m:d>
                  <m:dPr>
                    <m:ctrlPr>
                      <w:rPr>
                        <w:rFonts w:ascii="Cambria Math" w:hAnsi="Cambria Math"/>
                        <w:i/>
                      </w:rPr>
                    </m:ctrlPr>
                  </m:dPr>
                  <m:e>
                    <m:r>
                      <w:rPr>
                        <w:rFonts w:ascii="Cambria Math" w:hAnsi="Cambria Math"/>
                      </w:rPr>
                      <m:t>1-x</m:t>
                    </m:r>
                  </m:e>
                </m:d>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air</m:t>
                        </m:r>
                      </m:sub>
                    </m:sSub>
                    <m:sSub>
                      <m:sSubPr>
                        <m:ctrlPr>
                          <w:rPr>
                            <w:rFonts w:ascii="Cambria Math" w:hAnsi="Cambria Math"/>
                            <w:i/>
                          </w:rPr>
                        </m:ctrlPr>
                      </m:sSubPr>
                      <m:e>
                        <m:r>
                          <w:rPr>
                            <w:rFonts w:ascii="Cambria Math" w:hAnsi="Cambria Math"/>
                          </w:rPr>
                          <m:t>C</m:t>
                        </m:r>
                      </m:e>
                      <m:sub>
                        <m:r>
                          <w:rPr>
                            <w:rFonts w:ascii="Cambria Math" w:hAnsi="Cambria Math"/>
                          </w:rPr>
                          <m:t>p,air,room</m:t>
                        </m:r>
                      </m:sub>
                    </m:sSub>
                    <m:r>
                      <w:rPr>
                        <w:rFonts w:ascii="Cambria Math" w:hAnsi="Cambria Math"/>
                      </w:rPr>
                      <m:t>+</m:t>
                    </m:r>
                    <m:sSub>
                      <m:sSubPr>
                        <m:ctrlPr>
                          <w:rPr>
                            <w:rFonts w:ascii="Cambria Math" w:hAnsi="Cambria Math"/>
                            <w:i/>
                          </w:rPr>
                        </m:ctrlPr>
                      </m:sSub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x</m:t>
                                </m:r>
                              </m:e>
                              <m:sub>
                                <m:r>
                                  <w:rPr>
                                    <w:rFonts w:ascii="Cambria Math" w:hAnsi="Cambria Math"/>
                                  </w:rPr>
                                  <m:t>air</m:t>
                                </m:r>
                              </m:sub>
                            </m:sSub>
                          </m:e>
                        </m:d>
                        <m:r>
                          <w:rPr>
                            <w:rFonts w:ascii="Cambria Math" w:hAnsi="Cambria Math"/>
                          </w:rPr>
                          <m:t>C</m:t>
                        </m:r>
                      </m:e>
                      <m:sub>
                        <m:r>
                          <w:rPr>
                            <w:rFonts w:ascii="Cambria Math" w:hAnsi="Cambria Math"/>
                          </w:rPr>
                          <m:t>p,air,ambient</m:t>
                        </m:r>
                      </m:sub>
                    </m:sSub>
                  </m:e>
                </m:d>
              </m:oMath>
            </m:oMathPara>
          </w:p>
        </w:tc>
        <w:tc>
          <w:tcPr>
            <w:tcW w:w="804" w:type="dxa"/>
            <w:vAlign w:val="center"/>
          </w:tcPr>
          <w:p w14:paraId="59AAB124" w14:textId="6710E577" w:rsidR="00C06508" w:rsidRPr="00B57B36" w:rsidRDefault="00C06508" w:rsidP="00C01726">
            <w:pPr>
              <w:pStyle w:val="CETEquation"/>
              <w:jc w:val="right"/>
            </w:pPr>
            <w:r w:rsidRPr="00B57B36">
              <w:t>(1</w:t>
            </w:r>
            <w:r w:rsidR="00A34009">
              <w:t>7</w:t>
            </w:r>
            <w:r w:rsidRPr="00B57B36">
              <w:t>)</w:t>
            </w:r>
          </w:p>
        </w:tc>
      </w:tr>
    </w:tbl>
    <w:p w14:paraId="1163D62E" w14:textId="77777777" w:rsidR="009A591C" w:rsidRPr="001E7A68" w:rsidRDefault="009A591C" w:rsidP="00FB3A5C">
      <w:pPr>
        <w:pStyle w:val="CETheadingx"/>
        <w:rPr>
          <w:rFonts w:eastAsiaTheme="minorEastAsia"/>
        </w:rPr>
      </w:pPr>
      <w:bookmarkStart w:id="11" w:name="_Toc225421714"/>
      <w:r w:rsidRPr="001E7A68">
        <w:rPr>
          <w:rFonts w:eastAsiaTheme="minorEastAsia"/>
        </w:rPr>
        <w:t>Overpressure model</w:t>
      </w:r>
      <w:bookmarkEnd w:id="11"/>
    </w:p>
    <w:p w14:paraId="293A3E7A" w14:textId="69E01607" w:rsidR="008C4193" w:rsidRDefault="009A591C" w:rsidP="00FA0B72">
      <w:pPr>
        <w:pStyle w:val="CETBodytext"/>
        <w:rPr>
          <w:rFonts w:eastAsiaTheme="minorEastAsia"/>
        </w:rPr>
      </w:pPr>
      <w:r w:rsidRPr="003F1F78">
        <w:rPr>
          <w:rFonts w:eastAsiaTheme="minorEastAsia"/>
        </w:rPr>
        <w:t xml:space="preserve">To calculate the overpressure due to a chemical reaction of a chemical, the total amount of moles of gas </w:t>
      </w:r>
      <w:proofErr w:type="gramStart"/>
      <w:r w:rsidRPr="003F1F78">
        <w:rPr>
          <w:rFonts w:eastAsiaTheme="minorEastAsia"/>
        </w:rPr>
        <w:t>has to</w:t>
      </w:r>
      <w:proofErr w:type="gramEnd"/>
      <w:r w:rsidRPr="003F1F78">
        <w:rPr>
          <w:rFonts w:eastAsiaTheme="minorEastAsia"/>
        </w:rPr>
        <w:t xml:space="preserve"> be calculated, both at the initial stage and at the stage after burning the chemical. This number of moles is the number of moles of the chemical, added with the number of moles of air, under stoichiometric conditions. </w:t>
      </w:r>
      <w:r w:rsidR="00374853">
        <w:rPr>
          <w:rFonts w:eastAsiaTheme="minorEastAsia"/>
        </w:rPr>
        <w:t xml:space="preserve">Reaction products will be formed during </w:t>
      </w:r>
      <w:proofErr w:type="gramStart"/>
      <w:r w:rsidR="00374853">
        <w:rPr>
          <w:rFonts w:eastAsiaTheme="minorEastAsia"/>
        </w:rPr>
        <w:t>explosion</w:t>
      </w:r>
      <w:proofErr w:type="gramEnd"/>
      <w:r w:rsidR="00374853">
        <w:rPr>
          <w:rFonts w:eastAsiaTheme="minorEastAsia"/>
        </w:rPr>
        <w:t>.</w:t>
      </w:r>
      <w:r w:rsidR="00374853" w:rsidRPr="003F1F78">
        <w:rPr>
          <w:rFonts w:eastAsiaTheme="minorEastAsia"/>
        </w:rPr>
        <w:t xml:space="preserve"> </w:t>
      </w:r>
      <w:r w:rsidR="000338B3">
        <w:rPr>
          <w:rFonts w:eastAsiaTheme="minorEastAsia"/>
        </w:rPr>
        <w:t>T</w:t>
      </w:r>
      <w:r w:rsidRPr="003F1F78">
        <w:rPr>
          <w:rFonts w:eastAsiaTheme="minorEastAsia"/>
        </w:rPr>
        <w:t>he volume of</w:t>
      </w:r>
      <w:r w:rsidR="000165C8" w:rsidRPr="000165C8">
        <w:rPr>
          <w:rFonts w:eastAsiaTheme="minorEastAsia"/>
        </w:rPr>
        <w:t xml:space="preserve"> </w:t>
      </w:r>
      <w:r w:rsidR="000165C8" w:rsidRPr="003F1F78">
        <w:rPr>
          <w:rFonts w:eastAsiaTheme="minorEastAsia"/>
        </w:rPr>
        <w:t>the initial moles</w:t>
      </w:r>
      <w:r w:rsidRPr="003F1F78">
        <w:rPr>
          <w:rFonts w:eastAsiaTheme="minorEastAsia"/>
        </w:rPr>
        <w:t xml:space="preserve"> </w:t>
      </w:r>
      <w:r w:rsidR="000165C8">
        <w:rPr>
          <w:rFonts w:eastAsiaTheme="minorEastAsia"/>
        </w:rPr>
        <w:t xml:space="preserve">and </w:t>
      </w:r>
      <w:r w:rsidRPr="003F1F78">
        <w:rPr>
          <w:rFonts w:eastAsiaTheme="minorEastAsia"/>
        </w:rPr>
        <w:t>the products</w:t>
      </w:r>
      <w:r w:rsidR="000165C8">
        <w:rPr>
          <w:rFonts w:eastAsiaTheme="minorEastAsia"/>
        </w:rPr>
        <w:t xml:space="preserve"> are</w:t>
      </w:r>
      <w:r w:rsidR="000338B3">
        <w:rPr>
          <w:rFonts w:eastAsiaTheme="minorEastAsia"/>
        </w:rPr>
        <w:t xml:space="preserve"> (</w:t>
      </w:r>
      <w:r w:rsidR="000338B3" w:rsidRPr="003F1F78">
        <w:rPr>
          <w:rFonts w:eastAsiaTheme="minorEastAsia"/>
        </w:rPr>
        <w:t>assuming ideal gas law,</w:t>
      </w:r>
      <w:r w:rsidR="000338B3">
        <w:rPr>
          <w:rFonts w:eastAsiaTheme="minorEastAsia"/>
        </w:rPr>
        <w:t xml:space="preserve"> </w:t>
      </w:r>
      <w:r w:rsidR="000338B3" w:rsidRPr="003F1F78">
        <w:rPr>
          <w:rFonts w:eastAsiaTheme="minorEastAsia"/>
        </w:rPr>
        <w:t xml:space="preserve">adiabatic burning at a temperature of </w:t>
      </w:r>
      <w:proofErr w:type="spellStart"/>
      <w:r w:rsidR="000338B3" w:rsidRPr="003F1F78">
        <w:rPr>
          <w:rFonts w:eastAsiaTheme="minorEastAsia"/>
        </w:rPr>
        <w:t>T</w:t>
      </w:r>
      <w:r w:rsidR="000338B3" w:rsidRPr="003F1F78">
        <w:rPr>
          <w:rFonts w:eastAsiaTheme="minorEastAsia"/>
          <w:vertAlign w:val="subscript"/>
        </w:rPr>
        <w:t>adiabatic</w:t>
      </w:r>
      <w:proofErr w:type="spellEnd"/>
      <w:r w:rsidR="000338B3" w:rsidRPr="003F1F78">
        <w:rPr>
          <w:rFonts w:eastAsiaTheme="minorEastAsia"/>
          <w:vertAlign w:val="subscript"/>
        </w:rPr>
        <w:t>, flame</w:t>
      </w:r>
      <w:r w:rsidR="000338B3" w:rsidRPr="003F1F78">
        <w:rPr>
          <w:rFonts w:eastAsiaTheme="minorEastAsia"/>
        </w:rPr>
        <w:t xml:space="preserve"> and constant room pressure</w:t>
      </w:r>
      <w:r w:rsidR="000338B3">
        <w:rPr>
          <w:rFonts w:eastAsiaTheme="minorEastAsia"/>
        </w:rPr>
        <w:t>)</w:t>
      </w:r>
      <w:r w:rsidRPr="003F1F78">
        <w:rPr>
          <w:rFonts w:eastAsiaTheme="minorEastAsia"/>
        </w:rPr>
        <w:t>:</w:t>
      </w:r>
    </w:p>
    <w:tbl>
      <w:tblPr>
        <w:tblW w:w="5000" w:type="pct"/>
        <w:tblLook w:val="04A0" w:firstRow="1" w:lastRow="0" w:firstColumn="1" w:lastColumn="0" w:noHBand="0" w:noVBand="1"/>
      </w:tblPr>
      <w:tblGrid>
        <w:gridCol w:w="7983"/>
        <w:gridCol w:w="804"/>
      </w:tblGrid>
      <w:tr w:rsidR="008C4193" w:rsidRPr="00B57B36" w14:paraId="0FC32DD1" w14:textId="77777777" w:rsidTr="003F586A">
        <w:tc>
          <w:tcPr>
            <w:tcW w:w="7983" w:type="dxa"/>
            <w:vAlign w:val="center"/>
          </w:tcPr>
          <w:p w14:paraId="37DB4C0C" w14:textId="26805256" w:rsidR="008C4193" w:rsidRPr="005C662D" w:rsidRDefault="00000000" w:rsidP="003F586A">
            <w:pPr>
              <w:pStyle w:val="CETEquation"/>
            </w:pPr>
            <m:oMathPara>
              <m:oMathParaPr>
                <m:jc m:val="left"/>
              </m:oMathParaPr>
              <m:oMath>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ini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Moles</m:t>
                          </m:r>
                        </m:e>
                        <m:sub>
                          <m:r>
                            <w:rPr>
                              <w:rFonts w:ascii="Cambria Math" w:eastAsiaTheme="minorEastAsia" w:hAnsi="Cambria Math"/>
                            </w:rPr>
                            <m:t>initial</m:t>
                          </m:r>
                        </m:sub>
                      </m:sSub>
                      <m:f>
                        <m:fPr>
                          <m:ctrlPr>
                            <w:rPr>
                              <w:rFonts w:ascii="Cambria Math" w:eastAsiaTheme="minorEastAsia" w:hAnsi="Cambria Math"/>
                              <w:i/>
                            </w:rPr>
                          </m:ctrlPr>
                        </m:fPr>
                        <m:num>
                          <m:r>
                            <w:rPr>
                              <w:rFonts w:ascii="Cambria Math" w:eastAsiaTheme="minorEastAsia" w:hAnsi="Cambria Math"/>
                            </w:rPr>
                            <m:t>R</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room</m:t>
                              </m:r>
                            </m:sub>
                          </m:sSub>
                        </m:num>
                        <m:den>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room</m:t>
                              </m:r>
                            </m:sub>
                          </m:sSub>
                        </m:den>
                      </m:f>
                    </m:e>
                  </m:mr>
                  <m:m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prod</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Moles</m:t>
                          </m:r>
                        </m:e>
                        <m:sub>
                          <m:r>
                            <w:rPr>
                              <w:rFonts w:ascii="Cambria Math" w:eastAsiaTheme="minorEastAsia" w:hAnsi="Cambria Math"/>
                            </w:rPr>
                            <m:t>products</m:t>
                          </m:r>
                        </m:sub>
                      </m:sSub>
                      <m:f>
                        <m:fPr>
                          <m:ctrlPr>
                            <w:rPr>
                              <w:rFonts w:ascii="Cambria Math" w:eastAsiaTheme="minorEastAsia" w:hAnsi="Cambria Math"/>
                              <w:i/>
                            </w:rPr>
                          </m:ctrlPr>
                        </m:fPr>
                        <m:num>
                          <m:r>
                            <w:rPr>
                              <w:rFonts w:ascii="Cambria Math" w:eastAsiaTheme="minorEastAsia" w:hAnsi="Cambria Math"/>
                            </w:rPr>
                            <m:t>R</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adiabatic flame</m:t>
                              </m:r>
                            </m:sub>
                          </m:sSub>
                        </m:num>
                        <m:den>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room</m:t>
                              </m:r>
                            </m:sub>
                          </m:sSub>
                        </m:den>
                      </m:f>
                    </m:e>
                  </m:mr>
                </m:m>
              </m:oMath>
            </m:oMathPara>
          </w:p>
        </w:tc>
        <w:tc>
          <w:tcPr>
            <w:tcW w:w="804" w:type="dxa"/>
            <w:vAlign w:val="center"/>
          </w:tcPr>
          <w:p w14:paraId="73013109" w14:textId="196E4909" w:rsidR="008C4193" w:rsidRPr="00B57B36" w:rsidRDefault="008C4193" w:rsidP="00C01726">
            <w:pPr>
              <w:pStyle w:val="CETEquation"/>
              <w:jc w:val="right"/>
            </w:pPr>
            <w:r w:rsidRPr="00B57B36">
              <w:t>(1</w:t>
            </w:r>
            <w:r w:rsidR="00A34009">
              <w:t>8</w:t>
            </w:r>
            <w:r w:rsidRPr="00B57B36">
              <w:t>)</w:t>
            </w:r>
          </w:p>
        </w:tc>
      </w:tr>
    </w:tbl>
    <w:p w14:paraId="58ED8F3D" w14:textId="4DF55F2E" w:rsidR="007E73E7" w:rsidRDefault="009A591C" w:rsidP="00D92464">
      <w:pPr>
        <w:pStyle w:val="CETBodytext"/>
        <w:rPr>
          <w:rFonts w:eastAsiaTheme="minorEastAsia"/>
        </w:rPr>
      </w:pPr>
      <w:r w:rsidRPr="003F1F78">
        <w:rPr>
          <w:rFonts w:eastAsiaTheme="minorEastAsia"/>
        </w:rPr>
        <w:lastRenderedPageBreak/>
        <w:t>The expansion ratio follows from:</w:t>
      </w:r>
    </w:p>
    <w:tbl>
      <w:tblPr>
        <w:tblW w:w="5000" w:type="pct"/>
        <w:tblLook w:val="04A0" w:firstRow="1" w:lastRow="0" w:firstColumn="1" w:lastColumn="0" w:noHBand="0" w:noVBand="1"/>
      </w:tblPr>
      <w:tblGrid>
        <w:gridCol w:w="7983"/>
        <w:gridCol w:w="804"/>
      </w:tblGrid>
      <w:tr w:rsidR="007E73E7" w:rsidRPr="00B57B36" w14:paraId="376A5022" w14:textId="77777777" w:rsidTr="003F586A">
        <w:tc>
          <w:tcPr>
            <w:tcW w:w="7983" w:type="dxa"/>
            <w:vAlign w:val="center"/>
          </w:tcPr>
          <w:p w14:paraId="72B4398F" w14:textId="676200D5" w:rsidR="007E73E7" w:rsidRPr="005C662D" w:rsidRDefault="007E73E7" w:rsidP="003F586A">
            <w:pPr>
              <w:pStyle w:val="CETEquation"/>
            </w:pPr>
            <m:oMathPara>
              <m:oMathParaPr>
                <m:jc m:val="left"/>
              </m:oMathParaPr>
              <m:oMath>
                <m:r>
                  <w:rPr>
                    <w:rFonts w:ascii="Cambria Math" w:eastAsiaTheme="minorEastAsia" w:hAnsi="Cambria Math"/>
                  </w:rPr>
                  <m:t>σ=</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ini</m:t>
                        </m:r>
                      </m:sub>
                    </m:sSub>
                  </m:num>
                  <m:den>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prod</m:t>
                        </m:r>
                      </m:sub>
                    </m:sSub>
                  </m:den>
                </m:f>
              </m:oMath>
            </m:oMathPara>
          </w:p>
        </w:tc>
        <w:tc>
          <w:tcPr>
            <w:tcW w:w="804" w:type="dxa"/>
            <w:vAlign w:val="center"/>
          </w:tcPr>
          <w:p w14:paraId="071122A2" w14:textId="0C8BC75C" w:rsidR="007E73E7" w:rsidRPr="00B57B36" w:rsidRDefault="007E73E7" w:rsidP="00C01726">
            <w:pPr>
              <w:pStyle w:val="CETEquation"/>
              <w:jc w:val="right"/>
            </w:pPr>
            <w:r w:rsidRPr="00B57B36">
              <w:t>(1</w:t>
            </w:r>
            <w:r w:rsidR="00A34009">
              <w:t>9</w:t>
            </w:r>
            <w:r w:rsidRPr="00B57B36">
              <w:t>)</w:t>
            </w:r>
          </w:p>
        </w:tc>
      </w:tr>
    </w:tbl>
    <w:p w14:paraId="268B8BCB" w14:textId="0B7DABE7" w:rsidR="00434376" w:rsidRDefault="009A591C" w:rsidP="00D92464">
      <w:pPr>
        <w:pStyle w:val="CETBodytext"/>
        <w:rPr>
          <w:rFonts w:eastAsiaTheme="minorEastAsia"/>
        </w:rPr>
      </w:pPr>
      <w:r w:rsidRPr="003F1F78">
        <w:rPr>
          <w:rFonts w:eastAsiaTheme="minorEastAsia"/>
        </w:rPr>
        <w:t>The overpressure will then be calculated with the following equation</w:t>
      </w:r>
      <w:r w:rsidR="00764413">
        <w:rPr>
          <w:rFonts w:eastAsiaTheme="minorEastAsia"/>
        </w:rPr>
        <w:t xml:space="preserve"> of</w:t>
      </w:r>
      <w:r w:rsidRPr="003F1F78">
        <w:rPr>
          <w:rFonts w:eastAsiaTheme="minorEastAsia"/>
        </w:rPr>
        <w:t xml:space="preserve"> </w:t>
      </w:r>
      <w:sdt>
        <w:sdtPr>
          <w:rPr>
            <w:rFonts w:eastAsiaTheme="minorEastAsia" w:cs="Arial"/>
            <w:color w:val="000000"/>
          </w:rPr>
          <w:tag w:val="MENDELEY_CITATION_v3_eyJjaXRhdGlvbklEIjoiTUVOREVMRVlfQ0lUQVRJT05fMTM3ODBkN2YtZGEwNS00YTAxLWI1OGItMWI2MDNkMzEyZGQ4IiwicHJvcGVydGllcyI6eyJub3RlSW5kZXgiOjB9LCJpc0VkaXRlZCI6ZmFsc2UsIm1hbnVhbE92ZXJyaWRlIjp7ImlzTWFudWFsbHlPdmVycmlkZGVuIjpmYWxzZSwiY2l0ZXByb2NUZXh0IjoiKEJhdXdlbnMgYW5kIERvcm9mZWV2IDIwMTQpIiwibWFudWFsT3ZlcnJpZGVUZXh0IjoiIn0sImNpdGF0aW9uSXRlbXMiOlt7ImlkIjoiY2NlMTA1MzItYmQxYS0zYmIxLWE3ZjEtNTlkNzMzODM1NWM0IiwiaXRlbURhdGEiOnsidHlwZSI6InBhcGVyLWNvbmZlcmVuY2UiLCJpZCI6ImNjZTEwNTMyLWJkMWEtM2JiMS1hN2YxLTU5ZDczMzgzNTVjNCIsInRpdGxlIjoiQ0ZEIG1vZGVsaW5nIGFuZCBjb25zZXF1ZW5jZSBhbmFseXNpcyBvZiBhbiBhY2NpZGVudGFsIGh5ZHJvZ2VuIHJlbGVhc2UgaW4gYSBsYXJnZSBzY2FsZSBmYWNpbGl0eSIsImF1dGhvciI6W3siZmFtaWx5IjoiQmF1d2VucyIsImdpdmVuIjoiQy4gUi4iLCJwYXJzZS1uYW1lcyI6ZmFsc2UsImRyb3BwaW5nLXBhcnRpY2xlIjoiIiwibm9uLWRyb3BwaW5nLXBhcnRpY2xlIjoiIn0seyJmYW1pbHkiOiJEb3JvZmVldiIsImdpdmVuIjoiUy4gQi4iLCJwYXJzZS1uYW1lcyI6ZmFsc2UsImRyb3BwaW5nLXBhcnRpY2xlIjoiIiwibm9uLWRyb3BwaW5nLXBhcnRpY2xlIjoiIn1dLCJjb250YWluZXItdGl0bGUiOiJJbnRlcm5hdGlvbmFsIEpvdXJuYWwgb2YgSHlkcm9nZW4gRW5lcmd5IiwiRE9JIjoiMTAuMTAxNi9qLmlqaHlkZW5lLjIwMTQuMDQuMTQyIiwiSVNTTiI6IjAzNjAzMTk5IiwiaXNzdWVkIjp7ImRhdGUtcGFydHMiOltbMjAxNCwxMiwzXV19LCJwYWdlIjoiMjA0NDctMjA0NTQiLCJhYnN0cmFjdCI6IkluIHRoaXMgc3R1ZHksIHRoZSBjb25zZXF1ZW5jZXMgb2YgYW4gYWNjaWRlbnRhbCByZWxlYXNlIG9mIGh5ZHJvZ2VuIHdpdGhpbiBsYXJnZSBzY2FsZSwgKD4xNSwwMDAgbTMpLCBmYWNpbGl0aWVzIHdlcmUgbW9kZWxlZC4gVG8gbW9kZWwgdGhlIGh5ZHJvZ2VuIHJlbGVhc2UsIGFuIExFUyBOYXZpZXItU3Rva2VzIENGRCBzb2x2ZXIsIGNhbGxlZCBmaXJlRm9hbSwgd2FzIHVzZWQgdG8gY2FsY3VsYXRlIHRoZSBkaXNwZXJzaW9uIGFuZCBtaXhpbmcgb2YgaHlkcm9nZW4gd2l0aGluIGEgbGFyZ2Ugc2NhbGUgZmFjaWxpdHkuIFRoZSBwZXJmb3JtYW5jZSBvZiB0aGUgQ0ZEIG1vZGVsaW5nIHRlY2huaXF1ZSB3YXMgZXZhbHVhdGVkIHRocm91Z2ggYSB2YWxpZGF0aW9uIHN0dWR5IHVzaW5nIGV4cGVyaW1lbnRhbCByZXN1bHRzIGZyb20gYSAxLzYgc2NhbGUgaHlkcm9nZW4gcmVsZWFzZSBmcm9tIHRoZSBsaXRlcmF0dXJlIGFuZCBhIGdyaWQgc2Vuc2l0aXZpdHkgc3R1ZHkuIFVzaW5nIHRoZSBtb2RlbCwgYSBwYXJhbWV0cmljIHN0dWR5IHdhcyBwZXJmb3JtZWQgdmFyeWluZyByZWxlYXNlIHJhdGVzIGFuZCBlbmNsb3N1cmUgc2l6ZXMgYW5kIGV4YW1pbmluZyB0aGUgY29uY2VudHJhdGlvbnMgdGhhdCBkZXZlbG9wLiBUaGUgaHlkcm9nZW4gZGlzcGVyc2lvbiByZXN1bHRzIHdlcmUgdGhlbiB1c2VkIHRvIGNhbGN1bGF0ZSB0aGUgY29ycmVzcG9uZGluZyBwcmVzc3VyZSBsb2FkcyBmcm9tIGh5ZHJvZ2VuLWFpciBkZWZsYWdyYXRpb25zIGluIHRoZSBmYWNpbGl0eS4iLCJwdWJsaXNoZXIiOiJFbHNldmllciBMdGQiLCJpc3N1ZSI6IjM1Iiwidm9sdW1lIjoiMzkiLCJjb250YWluZXItdGl0bGUtc2hvcnQiOiJJbnQuIEouIEh5ZHJvZ2VuIEVuZXJneSJ9LCJpc1RlbXBvcmFyeSI6ZmFsc2UsInN1cHByZXNzLWF1dGhvciI6ZmFsc2UsImNvbXBvc2l0ZSI6ZmFsc2UsImF1dGhvci1vbmx5IjpmYWxzZX1dfQ=="/>
          <w:id w:val="-1110973029"/>
          <w:placeholder>
            <w:docPart w:val="9C5FDB5D200145D0A08CD3D34D7A1677"/>
          </w:placeholder>
        </w:sdtPr>
        <w:sdtContent>
          <w:r w:rsidR="00677AC7" w:rsidRPr="00677AC7">
            <w:rPr>
              <w:rFonts w:cs="Arial"/>
              <w:color w:val="000000"/>
            </w:rPr>
            <w:t xml:space="preserve">Bauwens and Dorofeev </w:t>
          </w:r>
          <w:r w:rsidR="008B526A">
            <w:rPr>
              <w:rFonts w:cs="Arial"/>
              <w:color w:val="000000"/>
            </w:rPr>
            <w:t>(</w:t>
          </w:r>
          <w:r w:rsidR="00677AC7" w:rsidRPr="00677AC7">
            <w:rPr>
              <w:rFonts w:cs="Arial"/>
              <w:color w:val="000000"/>
            </w:rPr>
            <w:t>2014)</w:t>
          </w:r>
        </w:sdtContent>
      </w:sdt>
      <w:r w:rsidRPr="003F1F78">
        <w:rPr>
          <w:rFonts w:eastAsiaTheme="minorEastAsia"/>
        </w:rPr>
        <w:t>:</w:t>
      </w:r>
    </w:p>
    <w:tbl>
      <w:tblPr>
        <w:tblW w:w="5000" w:type="pct"/>
        <w:tblLook w:val="04A0" w:firstRow="1" w:lastRow="0" w:firstColumn="1" w:lastColumn="0" w:noHBand="0" w:noVBand="1"/>
      </w:tblPr>
      <w:tblGrid>
        <w:gridCol w:w="7983"/>
        <w:gridCol w:w="804"/>
      </w:tblGrid>
      <w:tr w:rsidR="00434376" w:rsidRPr="00B57B36" w14:paraId="185B1CF6" w14:textId="77777777" w:rsidTr="003F586A">
        <w:tc>
          <w:tcPr>
            <w:tcW w:w="7983" w:type="dxa"/>
            <w:vAlign w:val="center"/>
          </w:tcPr>
          <w:p w14:paraId="06B9CC32" w14:textId="107B088C" w:rsidR="00434376" w:rsidRPr="005C662D" w:rsidRDefault="00434376" w:rsidP="003F586A">
            <w:pPr>
              <w:pStyle w:val="CETEquation"/>
            </w:pPr>
            <m:oMathPara>
              <m:oMathParaPr>
                <m:jc m:val="left"/>
              </m:oMathParaPr>
              <m:oMath>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0</m:t>
                    </m:r>
                  </m:sub>
                </m:sSub>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Room</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Chemical</m:t>
                                        </m:r>
                                      </m:sub>
                                    </m:sSub>
                                  </m:num>
                                  <m:den>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Room</m:t>
                                        </m:r>
                                      </m:sub>
                                    </m:sSub>
                                  </m:den>
                                </m:f>
                              </m:e>
                            </m:d>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Room</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Stoich</m:t>
                                        </m:r>
                                      </m:sub>
                                    </m:sSub>
                                    <m:d>
                                      <m:dPr>
                                        <m:ctrlPr>
                                          <w:rPr>
                                            <w:rFonts w:ascii="Cambria Math" w:eastAsiaTheme="minorEastAsia" w:hAnsi="Cambria Math"/>
                                            <w:i/>
                                          </w:rPr>
                                        </m:ctrlPr>
                                      </m:dPr>
                                      <m:e>
                                        <m:r>
                                          <w:rPr>
                                            <w:rFonts w:ascii="Cambria Math" w:eastAsiaTheme="minorEastAsia" w:hAnsi="Cambria Math"/>
                                          </w:rPr>
                                          <m:t>σ-1</m:t>
                                        </m:r>
                                      </m:e>
                                    </m:d>
                                  </m:num>
                                  <m:den>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Room</m:t>
                                        </m:r>
                                      </m:sub>
                                    </m:sSub>
                                  </m:den>
                                </m:f>
                              </m:e>
                            </m:d>
                          </m:e>
                        </m:d>
                      </m:e>
                      <m:sup>
                        <m:r>
                          <w:rPr>
                            <w:rFonts w:ascii="Cambria Math" w:eastAsiaTheme="minorEastAsia" w:hAnsi="Cambria Math"/>
                          </w:rPr>
                          <m:t>γ</m:t>
                        </m:r>
                      </m:sup>
                    </m:sSup>
                    <m:r>
                      <w:rPr>
                        <w:rFonts w:ascii="Cambria Math" w:eastAsiaTheme="minorEastAsia" w:hAnsi="Cambria Math"/>
                      </w:rPr>
                      <m:t>-1</m:t>
                    </m:r>
                  </m:e>
                </m:d>
              </m:oMath>
            </m:oMathPara>
          </w:p>
        </w:tc>
        <w:tc>
          <w:tcPr>
            <w:tcW w:w="804" w:type="dxa"/>
            <w:vAlign w:val="center"/>
          </w:tcPr>
          <w:p w14:paraId="20DB4E64" w14:textId="30F2652E" w:rsidR="00434376" w:rsidRPr="00B57B36" w:rsidRDefault="00434376" w:rsidP="00C01726">
            <w:pPr>
              <w:pStyle w:val="CETEquation"/>
              <w:jc w:val="right"/>
            </w:pPr>
            <w:r w:rsidRPr="00B57B36">
              <w:t>(</w:t>
            </w:r>
            <w:r w:rsidR="00A34009">
              <w:t>20</w:t>
            </w:r>
            <w:r w:rsidRPr="00B57B36">
              <w:t>)</w:t>
            </w:r>
          </w:p>
        </w:tc>
      </w:tr>
    </w:tbl>
    <w:p w14:paraId="3D8B04C2" w14:textId="5EDEE07E" w:rsidR="00105E13" w:rsidRDefault="009A591C" w:rsidP="00105E13">
      <w:pPr>
        <w:pStyle w:val="CETBodytext"/>
        <w:rPr>
          <w:rFonts w:eastAsiaTheme="minorEastAsia"/>
        </w:rPr>
      </w:pPr>
      <w:r w:rsidRPr="003F1F78">
        <w:rPr>
          <w:rFonts w:eastAsiaTheme="minorEastAsia"/>
        </w:rPr>
        <w:t xml:space="preserve">Where </w:t>
      </w:r>
      <w:r w:rsidR="00BB37BA">
        <w:rPr>
          <w:rFonts w:eastAsiaTheme="minorEastAsia" w:cs="Arial"/>
        </w:rPr>
        <w:t>γ</w:t>
      </w:r>
      <w:r w:rsidRPr="003F1F78">
        <w:rPr>
          <w:rFonts w:eastAsiaTheme="minorEastAsia"/>
        </w:rPr>
        <w:t xml:space="preserve"> is the Poisson number (ratio of specific heats) of air at room temperature (</w:t>
      </w:r>
      <w:r w:rsidRPr="003F1F78">
        <w:rPr>
          <w:rFonts w:eastAsiaTheme="minorEastAsia" w:cs="Arial"/>
        </w:rPr>
        <w:t>≈</w:t>
      </w:r>
      <w:r w:rsidRPr="003F1F78">
        <w:rPr>
          <w:rFonts w:eastAsiaTheme="minorEastAsia"/>
        </w:rPr>
        <w:t xml:space="preserve"> 1.4 for air)</w:t>
      </w:r>
      <w:r w:rsidR="006C54E8">
        <w:rPr>
          <w:rFonts w:eastAsiaTheme="minorEastAsia"/>
        </w:rPr>
        <w:t xml:space="preserve">. </w:t>
      </w:r>
      <w:r w:rsidR="006C54E8" w:rsidRPr="003F1F78">
        <w:rPr>
          <w:rFonts w:eastAsiaTheme="minorEastAsia"/>
        </w:rPr>
        <w:t>The volume of the chemical is the volume of the chemical, when it was pure gas.</w:t>
      </w:r>
      <w:r w:rsidR="006C54E8">
        <w:rPr>
          <w:rFonts w:eastAsiaTheme="minorEastAsia"/>
        </w:rPr>
        <w:t xml:space="preserve"> </w:t>
      </w:r>
      <w:r w:rsidR="00105E13" w:rsidRPr="003F1F78">
        <w:rPr>
          <w:rFonts w:eastAsiaTheme="minorEastAsia"/>
        </w:rPr>
        <w:t>The stoichiometric fraction is defined as:</w:t>
      </w:r>
    </w:p>
    <w:tbl>
      <w:tblPr>
        <w:tblW w:w="5000" w:type="pct"/>
        <w:tblLook w:val="04A0" w:firstRow="1" w:lastRow="0" w:firstColumn="1" w:lastColumn="0" w:noHBand="0" w:noVBand="1"/>
      </w:tblPr>
      <w:tblGrid>
        <w:gridCol w:w="7983"/>
        <w:gridCol w:w="804"/>
      </w:tblGrid>
      <w:tr w:rsidR="00105E13" w:rsidRPr="00B57B36" w14:paraId="212BA47F" w14:textId="77777777" w:rsidTr="003F586A">
        <w:tc>
          <w:tcPr>
            <w:tcW w:w="7983" w:type="dxa"/>
            <w:vAlign w:val="center"/>
          </w:tcPr>
          <w:p w14:paraId="19426A95" w14:textId="77777777" w:rsidR="00105E13" w:rsidRPr="005C662D" w:rsidRDefault="00000000" w:rsidP="003F586A">
            <w:pPr>
              <w:pStyle w:val="CETEquation"/>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stoich</m:t>
                    </m:r>
                  </m:sub>
                </m:sSub>
                <m:r>
                  <w:rPr>
                    <w:rFonts w:ascii="Cambria Math" w:eastAsiaTheme="minorEastAsia" w:hAnsi="Cambria Math"/>
                  </w:rPr>
                  <m:t>=</m:t>
                </m:r>
                <m:f>
                  <m:fPr>
                    <m:type m:val="lin"/>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Moles</m:t>
                        </m:r>
                      </m:e>
                      <m:sub>
                        <m:r>
                          <w:rPr>
                            <w:rFonts w:ascii="Cambria Math" w:eastAsiaTheme="minorEastAsia" w:hAnsi="Cambria Math"/>
                          </w:rPr>
                          <m:t>initial</m:t>
                        </m:r>
                      </m:sub>
                    </m:sSub>
                  </m:den>
                </m:f>
              </m:oMath>
            </m:oMathPara>
          </w:p>
        </w:tc>
        <w:tc>
          <w:tcPr>
            <w:tcW w:w="804" w:type="dxa"/>
            <w:vAlign w:val="center"/>
          </w:tcPr>
          <w:p w14:paraId="23FFA362" w14:textId="5B468789" w:rsidR="00105E13" w:rsidRPr="00B57B36" w:rsidRDefault="00105E13" w:rsidP="00C01726">
            <w:pPr>
              <w:pStyle w:val="CETEquation"/>
              <w:jc w:val="right"/>
            </w:pPr>
            <w:r w:rsidRPr="00B57B36">
              <w:t>(</w:t>
            </w:r>
            <w:r w:rsidR="00A34009">
              <w:t>2</w:t>
            </w:r>
            <w:r w:rsidRPr="00B57B36">
              <w:t>1)</w:t>
            </w:r>
          </w:p>
        </w:tc>
      </w:tr>
    </w:tbl>
    <w:p w14:paraId="2992F41B" w14:textId="225250F7" w:rsidR="00F81733" w:rsidRDefault="006C54E8" w:rsidP="00D92464">
      <w:pPr>
        <w:pStyle w:val="CETBodytext"/>
        <w:rPr>
          <w:rFonts w:eastAsiaTheme="minorEastAsia"/>
        </w:rPr>
      </w:pPr>
      <w:r>
        <w:rPr>
          <w:rFonts w:eastAsiaTheme="minorEastAsia"/>
        </w:rPr>
        <w:t>T</w:t>
      </w:r>
      <w:r w:rsidR="009A591C" w:rsidRPr="003F1F78">
        <w:rPr>
          <w:rFonts w:eastAsiaTheme="minorEastAsia"/>
        </w:rPr>
        <w:t>he stoichiometric volume follows from:</w:t>
      </w:r>
    </w:p>
    <w:tbl>
      <w:tblPr>
        <w:tblW w:w="5000" w:type="pct"/>
        <w:tblLook w:val="04A0" w:firstRow="1" w:lastRow="0" w:firstColumn="1" w:lastColumn="0" w:noHBand="0" w:noVBand="1"/>
      </w:tblPr>
      <w:tblGrid>
        <w:gridCol w:w="7983"/>
        <w:gridCol w:w="804"/>
      </w:tblGrid>
      <w:tr w:rsidR="00F81733" w:rsidRPr="00B57B36" w14:paraId="4551161D" w14:textId="77777777" w:rsidTr="003F586A">
        <w:tc>
          <w:tcPr>
            <w:tcW w:w="7983" w:type="dxa"/>
            <w:vAlign w:val="center"/>
          </w:tcPr>
          <w:p w14:paraId="1392AC58" w14:textId="7703E46B" w:rsidR="00F81733" w:rsidRPr="005C662D" w:rsidRDefault="00000000" w:rsidP="003F586A">
            <w:pPr>
              <w:pStyle w:val="CETEquation"/>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stoich</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chemical</m:t>
                        </m:r>
                      </m:sub>
                    </m:sSub>
                  </m:num>
                  <m:den>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stoich</m:t>
                        </m:r>
                      </m:sub>
                    </m:sSub>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chemical, room</m:t>
                        </m:r>
                      </m:sub>
                    </m:sSub>
                  </m:num>
                  <m:den>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chemical</m:t>
                        </m:r>
                      </m:sub>
                    </m:sSub>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stoich</m:t>
                        </m:r>
                      </m:sub>
                    </m:sSub>
                  </m:den>
                </m:f>
              </m:oMath>
            </m:oMathPara>
          </w:p>
        </w:tc>
        <w:tc>
          <w:tcPr>
            <w:tcW w:w="804" w:type="dxa"/>
            <w:vAlign w:val="center"/>
          </w:tcPr>
          <w:p w14:paraId="7CEA5879" w14:textId="44032BD0" w:rsidR="00F81733" w:rsidRPr="00B57B36" w:rsidRDefault="00F81733" w:rsidP="00C01726">
            <w:pPr>
              <w:pStyle w:val="CETEquation"/>
              <w:jc w:val="right"/>
            </w:pPr>
            <w:r w:rsidRPr="00B57B36">
              <w:t>(</w:t>
            </w:r>
            <w:r w:rsidR="00A34009">
              <w:t>22</w:t>
            </w:r>
            <w:r w:rsidRPr="00B57B36">
              <w:t>)</w:t>
            </w:r>
          </w:p>
        </w:tc>
      </w:tr>
    </w:tbl>
    <w:p w14:paraId="36195410" w14:textId="7833FB9A" w:rsidR="00BB02B4" w:rsidRPr="00DC0EF2" w:rsidRDefault="00BB02B4" w:rsidP="00F6716F">
      <w:pPr>
        <w:pStyle w:val="CETHeading1"/>
      </w:pPr>
      <w:bookmarkStart w:id="12" w:name="_Toc225421731"/>
      <w:r w:rsidRPr="00DC0EF2">
        <w:t>Validation</w:t>
      </w:r>
      <w:bookmarkEnd w:id="12"/>
    </w:p>
    <w:p w14:paraId="0CFC0351" w14:textId="77777777" w:rsidR="00BB02B4" w:rsidRPr="00DC0EF2" w:rsidRDefault="00BB02B4" w:rsidP="00EF6795">
      <w:pPr>
        <w:pStyle w:val="CETheadingx"/>
      </w:pPr>
      <w:bookmarkStart w:id="13" w:name="_Ref211519177"/>
      <w:bookmarkStart w:id="14" w:name="_Toc225421733"/>
      <w:r w:rsidRPr="00DC0EF2">
        <w:t>Two-layer model</w:t>
      </w:r>
      <w:bookmarkEnd w:id="13"/>
      <w:bookmarkEnd w:id="14"/>
    </w:p>
    <w:p w14:paraId="71B0BFFE" w14:textId="09C8EE4D" w:rsidR="00946CC6" w:rsidRDefault="001A16BE" w:rsidP="00ED5026">
      <w:pPr>
        <w:pStyle w:val="CETBodytext"/>
      </w:pPr>
      <w:r w:rsidRPr="001A16BE">
        <w:rPr>
          <w:lang w:val="en-GB"/>
        </w:rPr>
        <w:t>Hydrogen releases</w:t>
      </w:r>
      <w:r w:rsidR="007C335E">
        <w:rPr>
          <w:lang w:val="en-GB"/>
        </w:rPr>
        <w:t xml:space="preserve"> </w:t>
      </w:r>
      <w:r w:rsidR="007C335E" w:rsidRPr="003F1F78">
        <w:t xml:space="preserve">(0.88, 6.7 and 9.22 kg/h) </w:t>
      </w:r>
      <w:r w:rsidRPr="001A16BE">
        <w:rPr>
          <w:lang w:val="en-GB"/>
        </w:rPr>
        <w:t xml:space="preserve">in a 60.4 m³ enclosure </w:t>
      </w:r>
      <w:r w:rsidR="007C335E" w:rsidRPr="001A16BE">
        <w:rPr>
          <w:lang w:val="en-GB"/>
        </w:rPr>
        <w:t xml:space="preserve">were </w:t>
      </w:r>
      <w:r w:rsidR="007C335E">
        <w:rPr>
          <w:lang w:val="en-GB"/>
        </w:rPr>
        <w:t>carried out</w:t>
      </w:r>
      <w:r w:rsidR="00957DD8">
        <w:rPr>
          <w:lang w:val="en-GB"/>
        </w:rPr>
        <w:t xml:space="preserve"> by</w:t>
      </w:r>
      <w:r w:rsidR="007C335E">
        <w:rPr>
          <w:lang w:val="en-GB"/>
        </w:rPr>
        <w:t xml:space="preserve"> </w:t>
      </w:r>
      <w:sdt>
        <w:sdtPr>
          <w:rPr>
            <w:rFonts w:cs="Arial"/>
            <w:color w:val="000000"/>
          </w:rPr>
          <w:tag w:val="MENDELEY_CITATION_v3_eyJjaXRhdGlvbklEIjoiTUVOREVMRVlfQ0lUQVRJT05fMjNlODM3ZWUtNzE2OS00NzkxLThiYWEtMTdjMTcyZWZiYTgyIiwicHJvcGVydGllcyI6eyJub3RlSW5kZXgiOjB9LCJpc0VkaXRlZCI6ZmFsc2UsIm1hbnVhbE92ZXJyaWRlIjp7ImlzTWFudWFsbHlPdmVycmlkZGVuIjpmYWxzZSwiY2l0ZXByb2NUZXh0IjoiKE1lcmlsbyBldCBhbC4gMjAxMSkiLCJtYW51YWxPdmVycmlkZVRleHQiOiIifSwiY2l0YXRpb25JdGVtcyI6W3siaWQiOiJkY2FhYTMwMS1kNWZlLTNmMjktYTBmMC05YmE4YzRkNDJiNTQiLCJpdGVtRGF0YSI6eyJ0eXBlIjoiYXJ0aWNsZS1qb3VybmFsIiwiaWQiOiJkY2FhYTMwMS1kNWZlLTNmMjktYTBmMC05YmE4YzRkNDJiNTQiLCJ0aXRsZSI6IkV4cGVyaW1lbnRhbCBzdHVkeSBvZiBoeWRyb2dlbiByZWxlYXNlIGFjY2lkZW50cyBpbiBhIHZlaGljbGUgZ2FyYWdlIiwiYXV0aG9yIjpbeyJmYW1pbHkiOiJNZXJpbG8iLCJnaXZlbiI6IkUuIEcuIiwicGFyc2UtbmFtZXMiOmZhbHNlLCJkcm9wcGluZy1wYXJ0aWNsZSI6IiIsIm5vbi1kcm9wcGluZy1wYXJ0aWNsZSI6IiJ9LHsiZmFtaWx5IjoiR3JvZXRoZSIsImdpdmVuIjoiTS4gQS4iLCJwYXJzZS1uYW1lcyI6ZmFsc2UsImRyb3BwaW5nLXBhcnRpY2xlIjoiIiwibm9uLWRyb3BwaW5nLXBhcnRpY2xlIjoiIn0seyJmYW1pbHkiOiJDb2x0b24iLCJnaXZlbiI6IkouIEQuIiwicGFyc2UtbmFtZXMiOmZhbHNlLCJkcm9wcGluZy1wYXJ0aWNsZSI6IiIsIm5vbi1kcm9wcGluZy1wYXJ0aWNsZSI6IiJ9LHsiZmFtaWx5IjoiQ2hpYmEiLCJnaXZlbiI6IlMuIiwicGFyc2UtbmFtZXMiOmZhbHNlLCJkcm9wcGluZy1wYXJ0aWNsZSI6IiIsIm5vbi1kcm9wcGluZy1wYXJ0aWNsZSI6IiJ9XSwiY29udGFpbmVyLXRpdGxlIjoiSW50ZXJuYXRpb25hbCBKb3VybmFsIG9mIEh5ZHJvZ2VuIEVuZXJneSIsIkRPSSI6IjEwLjEwMTYvai5pamh5ZGVuZS4yMDEwLjA0LjA1NiIsIklTU04iOiIwMzYwMzE5OSIsImlzc3VlZCI6eyJkYXRlLXBhcnRzIjpbWzIwMTEsMl1dfSwicGFnZSI6IjI0MzYtMjQ0NCIsImFic3RyYWN0IjoiU3RvcmluZyBhIGh5ZHJvZ2VuIGZ1ZWwtY2VsbCB2ZWhpY2xlIGluIGEgZ2FyYWdlIHBvc2VzIGEgcG90ZW50aWFsIHNhZmV0eSBoYXphcmQgYmVjYXVzZSBvZiB0aGUgYWNjaWRlbnRzIHRoYXQgY291bGQgYXJpc2UgZnJvbSBhIGh5ZHJvZ2VuIGxlYWsuIEEgc2VyaWVzIG9mIHRlc3RzIGV4YW1pbmVkIHRoZSByaXNrIGludm9sdmVkIHdpdGggaHlkcm9nZW4gcmVsZWFzZXMgYW5kIGRlZmxhZ3JhdGlvbnMgaW4gYSBzdHJ1Y3R1cmUgYnVpbHQgdG8gc2ltdWxhdGUgYSBvbmUtY2FyIGdhcmFnZS4gVGhlIGV4cGVyaW1lbnRzIGludm9sdmVkIGlnbml0aW5nIGh5ZHJvZ2VuIGdhcyB0aGF0IHdhcyByZWxlYXNlZCBpbnNpZGUgdGhlIHN0cnVjdHVyZSBhbmQgc3R1ZHlpbmcgdGhlIGVmZmVjdHMgb2YgdGhlIGRlZmxhZ3JhdGlvbnMuIFRoZSBcImdhcmFnZVwiIG1lYXN1cmVkIDIuNzIgbSBoaWdoLCAzLjY0IG0gd2lkZSwgYW5kIDYuMTAgbSBsb25nIGludGVybmFsbHkgYW5kIHdhcyBjb25zdHJ1Y3RlZCBmcm9tIHN0ZWVsIHVzaW5nIGEgcmVpbmZvcmNlZCBkZXNpZ24gY2FwYWJsZSBvZiB3aXRoc3RhbmRpbmcgYSBkZXRvbmF0aW9uLiBUaGUgZnJvbnQgZmFjZSBvZiB0aGUgZ2FyYWdlIHdhcyBjb3ZlcmVkIHdpdGggYSB0aGluLCB0cmFuc3BhcmVudCBwbGFzdGljIGZpbG0uIEV4cGVyaW1lbnRzIHdlcmUgcGVyZm9ybWVkIHRvIGludmVzdGlnYXRlIGV4dGVuZGVkLWR1cmF0aW9uICgyMC00MCBtaW4pIGh5ZHJvZ2VuIGxlYWtzLiBUaGUgZWZmZWN0IHRoYXQgdGhlIHByZXNlbmNlIG9mIGEgdmVoaWNsZSBpbiB0aGUgZ2FyYWdlIGhhcyBvbiB0aGUgZGVmbGFncmF0aW9uIHdhcyBhbHNvIHN0dWRpZWQuIFRoZSBleHBlcmltZW50cyBleGFtaW5lZCB0aGUgZWZmZWN0aXZlbmVzcyBvZiBkaWZmZXJlbnQgdmVudGlsYXRpb24gdGVjaG5pcXVlcyBhdCByZWR1Y2luZyB0aGUgaHlkcm9nZW4gY29uY2VudHJhdGlvbiBpbiB0aGUgZW5jbG9zdXJlLiBWZW50aWxhdGlvbiB0ZWNobmlxdWVzIGluY2x1ZGVkIG5hdHVyYWwgdXBwZXIgYW5kIGxvd2VyIG9wZW5pbmdzIGFuZCBtZWNoYW5pY2FsIHZlbnRpbGF0aW9uIHN5c3RlbXMuIEEgc3lzdGVtIG9mIGV2YWN1YXRlZCBzYW1wbGluZyBib3R0bGVzIHdhcyB1c2VkIHRvIG1lYXN1cmUgaHlkcm9nZW4gY29uY2VudHJhdGlvbiB0aHJvdWdob3V0IHRoZSBnYXJhZ2UgcHJpb3IgdG8gaWduaXRpb24sIGFuZCBhdCB2YXJpb3VzIHRpbWVzIGR1cmluZyB0aGUgcmVsZWFzZS4gQWxsIGV4cGVyaW1lbnRzIHdlcmUgZG9jdW1lbnRlZCB3aXRoIHN0YW5kYXJkIGFuZCBpbmZyYXJlZCAoSVIpIHZpZGVvLiBGbGFtZSBmcm9udCBwcm9wYWdhdGlvbiB3YXMgbW9uaXRvcmVkIHdpdGggdGhlcm1vY291cGxlcy4gUHJlc3N1cmVzIHdpdGhpbiB0aGUgZ2FyYWdlIHdlcmUgbWVhc3VyZWQgYnkgZm91ciBwcmVzc3VyZSB0cmFuc2R1Y2VycyBtb3VudGVkIG9uIHRoZSBpbnNpZGUgd2FsbHMgb2YgdGhlIGdhcmFnZS4gU2l4IGZyZWUtZmllbGQgcHJlc3N1cmUgdHJhbnNkdWNlcnMgd2VyZSB1c2VkIHRvIG1lYXN1cmUgdGhlIHByZXNzdXJlcyBvdXRzaWRlIHRoZSBnYXJhZ2UuIMKpIDIwMTAgUHJvZmVzc29yIFQuIE5lamF0IFZlemlyb2dsdS4gUHVibGlzaGVkIGJ5IEVsc2V2aWVyIEx0ZC4gQWxsIHJpZ2h0cyByZXNlcnZlZC4iLCJpc3N1ZSI6IjMiLCJ2b2x1bWUiOiIzNiIsImNvbnRhaW5lci10aXRsZS1zaG9ydCI6IkludC4gSi4gSHlkcm9nZW4gRW5lcmd5In0sImlzVGVtcG9yYXJ5IjpmYWxzZSwic3VwcHJlc3MtYXV0aG9yIjpmYWxzZSwiY29tcG9zaXRlIjpmYWxzZSwiYXV0aG9yLW9ubHkiOmZhbHNlfV19"/>
          <w:id w:val="85663757"/>
          <w:placeholder>
            <w:docPart w:val="4DFAA65D9F2E421297C3DA311DDCFDBB"/>
          </w:placeholder>
        </w:sdtPr>
        <w:sdtContent>
          <w:proofErr w:type="spellStart"/>
          <w:r w:rsidR="00677AC7" w:rsidRPr="00677AC7">
            <w:rPr>
              <w:rFonts w:cs="Arial"/>
              <w:color w:val="000000"/>
            </w:rPr>
            <w:t>Merilo</w:t>
          </w:r>
          <w:proofErr w:type="spellEnd"/>
          <w:r w:rsidR="00677AC7" w:rsidRPr="00677AC7">
            <w:rPr>
              <w:rFonts w:cs="Arial"/>
              <w:color w:val="000000"/>
            </w:rPr>
            <w:t xml:space="preserve"> et al. </w:t>
          </w:r>
          <w:r w:rsidR="00957DD8">
            <w:rPr>
              <w:rFonts w:cs="Arial"/>
              <w:color w:val="000000"/>
            </w:rPr>
            <w:t>(</w:t>
          </w:r>
          <w:r w:rsidR="00677AC7" w:rsidRPr="00677AC7">
            <w:rPr>
              <w:rFonts w:cs="Arial"/>
              <w:color w:val="000000"/>
            </w:rPr>
            <w:t>2011)</w:t>
          </w:r>
        </w:sdtContent>
      </w:sdt>
      <w:r w:rsidR="007C335E">
        <w:rPr>
          <w:lang w:val="en-GB"/>
        </w:rPr>
        <w:t>.</w:t>
      </w:r>
      <w:r w:rsidRPr="001A16BE">
        <w:rPr>
          <w:lang w:val="en-GB"/>
        </w:rPr>
        <w:t xml:space="preserve"> </w:t>
      </w:r>
      <w:r w:rsidR="003C4E4F">
        <w:rPr>
          <w:lang w:val="en-GB"/>
        </w:rPr>
        <w:t>Very</w:t>
      </w:r>
      <w:r w:rsidR="007C335E" w:rsidRPr="003F1F78">
        <w:t xml:space="preserve"> good agreement is found between measurements and calculations of the hydrogen concentration in the upper layer of the room for various release rates</w:t>
      </w:r>
      <w:r w:rsidR="00ED7791">
        <w:t xml:space="preserve"> (</w:t>
      </w:r>
      <w:r w:rsidR="00ED7791">
        <w:fldChar w:fldCharType="begin"/>
      </w:r>
      <w:r w:rsidR="00ED7791">
        <w:instrText xml:space="preserve"> REF _Ref218501123 \h  \* MERGEFORMAT </w:instrText>
      </w:r>
      <w:r w:rsidR="00ED7791">
        <w:fldChar w:fldCharType="separate"/>
      </w:r>
      <w:r w:rsidR="00ED7791">
        <w:t xml:space="preserve">Figure </w:t>
      </w:r>
      <w:r w:rsidR="00ED7791">
        <w:rPr>
          <w:noProof/>
        </w:rPr>
        <w:t>12</w:t>
      </w:r>
      <w:r w:rsidR="00ED7791">
        <w:fldChar w:fldCharType="end"/>
      </w:r>
      <w:r w:rsidR="00485329">
        <w:t>, Left)</w:t>
      </w:r>
      <w:r w:rsidR="007C335E" w:rsidRPr="003F1F78">
        <w:t>.</w:t>
      </w:r>
      <w:r w:rsidR="00703BAD">
        <w:t xml:space="preserve"> </w:t>
      </w:r>
      <w:r w:rsidR="0098407E">
        <w:t>T</w:t>
      </w:r>
      <w:r w:rsidR="00703BAD">
        <w:t xml:space="preserve">he effect of the ventilation </w:t>
      </w:r>
      <w:r w:rsidR="00703BAD" w:rsidRPr="003F1F78">
        <w:rPr>
          <w:color w:val="000000"/>
        </w:rPr>
        <w:t xml:space="preserve">rate was </w:t>
      </w:r>
      <w:r w:rsidR="00E46050">
        <w:rPr>
          <w:color w:val="000000"/>
        </w:rPr>
        <w:t xml:space="preserve">also </w:t>
      </w:r>
      <w:r w:rsidR="00703BAD" w:rsidRPr="003F1F78">
        <w:rPr>
          <w:color w:val="000000"/>
        </w:rPr>
        <w:t>studied</w:t>
      </w:r>
      <w:r w:rsidR="00703BAD">
        <w:rPr>
          <w:color w:val="000000"/>
        </w:rPr>
        <w:t>. M</w:t>
      </w:r>
      <w:r w:rsidR="00703BAD" w:rsidRPr="003F1F78">
        <w:rPr>
          <w:color w:val="000000"/>
        </w:rPr>
        <w:t xml:space="preserve">echanical ventilation was used, with refreshment rates of </w:t>
      </w:r>
      <w:r w:rsidR="008960D3" w:rsidRPr="008960D3">
        <w:rPr>
          <w:color w:val="000000"/>
          <w:lang w:val="en-GB"/>
        </w:rPr>
        <w:t>6, 12, and 24 h</w:t>
      </w:r>
      <w:r w:rsidR="008960D3" w:rsidRPr="008960D3">
        <w:rPr>
          <w:rFonts w:ascii="Cambria Math" w:hAnsi="Cambria Math" w:cs="Cambria Math"/>
          <w:color w:val="000000"/>
          <w:lang w:val="en-GB"/>
        </w:rPr>
        <w:t>⁻</w:t>
      </w:r>
      <w:r w:rsidR="008960D3" w:rsidRPr="008960D3">
        <w:rPr>
          <w:rFonts w:cs="Arial"/>
          <w:color w:val="000000"/>
          <w:lang w:val="en-GB"/>
        </w:rPr>
        <w:t>¹</w:t>
      </w:r>
      <w:r w:rsidR="008960D3" w:rsidRPr="008960D3">
        <w:rPr>
          <w:color w:val="000000"/>
          <w:lang w:val="en-GB"/>
        </w:rPr>
        <w:t xml:space="preserve"> (0.1, 0.2, and 0.4 m</w:t>
      </w:r>
      <w:r w:rsidR="008960D3" w:rsidRPr="008960D3">
        <w:rPr>
          <w:rFonts w:cs="Arial"/>
          <w:color w:val="000000"/>
          <w:lang w:val="en-GB"/>
        </w:rPr>
        <w:t>³</w:t>
      </w:r>
      <w:r w:rsidR="008960D3" w:rsidRPr="008960D3">
        <w:rPr>
          <w:color w:val="000000"/>
          <w:lang w:val="en-GB"/>
        </w:rPr>
        <w:t xml:space="preserve">/s; </w:t>
      </w:r>
      <w:r w:rsidR="00703BAD">
        <w:fldChar w:fldCharType="begin"/>
      </w:r>
      <w:r w:rsidR="00703BAD">
        <w:instrText xml:space="preserve"> REF _Ref218501123 \h  \* MERGEFORMAT </w:instrText>
      </w:r>
      <w:r w:rsidR="00703BAD">
        <w:fldChar w:fldCharType="separate"/>
      </w:r>
      <w:r w:rsidR="00703BAD">
        <w:t xml:space="preserve">Figure </w:t>
      </w:r>
      <w:r w:rsidR="00703BAD">
        <w:rPr>
          <w:noProof/>
        </w:rPr>
        <w:t>12</w:t>
      </w:r>
      <w:r w:rsidR="00703BAD">
        <w:fldChar w:fldCharType="end"/>
      </w:r>
      <w:r w:rsidR="00703BAD">
        <w:t xml:space="preserve">, </w:t>
      </w:r>
      <w:r w:rsidR="00681268">
        <w:t>r</w:t>
      </w:r>
      <w:r w:rsidR="00703BAD">
        <w:t>ight)</w:t>
      </w:r>
      <w:r w:rsidR="00703BAD" w:rsidRPr="003F1F78">
        <w:t>.</w:t>
      </w:r>
      <w:r w:rsidR="002A55A1">
        <w:t xml:space="preserve"> </w:t>
      </w:r>
      <w:r w:rsidR="002A55A1" w:rsidRPr="002A55A1">
        <w:rPr>
          <w:lang w:val="en-GB"/>
        </w:rPr>
        <w:t>Good agreement is obtained for</w:t>
      </w:r>
      <w:r w:rsidR="00E46050">
        <w:rPr>
          <w:lang w:val="en-GB"/>
        </w:rPr>
        <w:t xml:space="preserve"> the</w:t>
      </w:r>
      <w:r w:rsidR="002A55A1" w:rsidRPr="002A55A1">
        <w:rPr>
          <w:lang w:val="en-GB"/>
        </w:rPr>
        <w:t xml:space="preserve"> lower refresh</w:t>
      </w:r>
      <w:r w:rsidR="00E46050">
        <w:rPr>
          <w:lang w:val="en-GB"/>
        </w:rPr>
        <w:t>ment</w:t>
      </w:r>
      <w:r w:rsidR="002A55A1" w:rsidRPr="002A55A1">
        <w:rPr>
          <w:lang w:val="en-GB"/>
        </w:rPr>
        <w:t xml:space="preserve"> rates, while at the highest rate the model slightly underpredicts concentrations, likely due to reduced stratification and local mixing effects.</w:t>
      </w:r>
    </w:p>
    <w:p w14:paraId="47F55B6D" w14:textId="4E6B6DA9" w:rsidR="00BB02B4" w:rsidRDefault="00BD4922" w:rsidP="00D92464">
      <w:pPr>
        <w:pStyle w:val="CETBodytext"/>
      </w:pPr>
      <w:bookmarkStart w:id="15" w:name="_Ref190181681"/>
      <w:r>
        <w:rPr>
          <w:noProof/>
        </w:rPr>
        <w:drawing>
          <wp:inline distT="0" distB="0" distL="0" distR="0" wp14:anchorId="14F0AAEC" wp14:editId="2CF688EA">
            <wp:extent cx="2741695" cy="1469107"/>
            <wp:effectExtent l="0" t="0" r="1905" b="0"/>
            <wp:docPr id="87275888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1933" cy="1554969"/>
                    </a:xfrm>
                    <a:prstGeom prst="rect">
                      <a:avLst/>
                    </a:prstGeom>
                    <a:noFill/>
                  </pic:spPr>
                </pic:pic>
              </a:graphicData>
            </a:graphic>
          </wp:inline>
        </w:drawing>
      </w:r>
      <w:r w:rsidR="00972417">
        <w:rPr>
          <w:noProof/>
        </w:rPr>
        <w:drawing>
          <wp:inline distT="0" distB="0" distL="0" distR="0" wp14:anchorId="5FFD3A11" wp14:editId="28735D9B">
            <wp:extent cx="2800426" cy="1503403"/>
            <wp:effectExtent l="0" t="0" r="0" b="1905"/>
            <wp:docPr id="16101918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42671" cy="1579767"/>
                    </a:xfrm>
                    <a:prstGeom prst="rect">
                      <a:avLst/>
                    </a:prstGeom>
                    <a:noFill/>
                  </pic:spPr>
                </pic:pic>
              </a:graphicData>
            </a:graphic>
          </wp:inline>
        </w:drawing>
      </w:r>
    </w:p>
    <w:p w14:paraId="2AC13E70" w14:textId="5E9EAED7" w:rsidR="00BB02B4" w:rsidRDefault="00BB02B4" w:rsidP="00DC0EF2">
      <w:pPr>
        <w:pStyle w:val="CETCaption"/>
      </w:pPr>
      <w:bookmarkStart w:id="16" w:name="_Ref218501123"/>
      <w:bookmarkStart w:id="17" w:name="_Toc225421766"/>
      <w:r>
        <w:t xml:space="preserve">Figure </w:t>
      </w:r>
      <w:r>
        <w:fldChar w:fldCharType="begin"/>
      </w:r>
      <w:r>
        <w:instrText xml:space="preserve"> SEQ Figure \* ARABIC </w:instrText>
      </w:r>
      <w:r>
        <w:fldChar w:fldCharType="separate"/>
      </w:r>
      <w:r w:rsidR="00C63A93">
        <w:rPr>
          <w:noProof/>
        </w:rPr>
        <w:t>2</w:t>
      </w:r>
      <w:r>
        <w:fldChar w:fldCharType="end"/>
      </w:r>
      <w:bookmarkEnd w:id="16"/>
      <w:r>
        <w:t xml:space="preserve"> </w:t>
      </w:r>
      <w:r w:rsidR="003C6DD0">
        <w:t xml:space="preserve">Left: </w:t>
      </w:r>
      <w:r w:rsidR="007837A3" w:rsidRPr="003F1F78">
        <w:t xml:space="preserve">Hydrogen </w:t>
      </w:r>
      <w:r w:rsidR="000E6514">
        <w:t>volume fraction as a function of time</w:t>
      </w:r>
      <w:r w:rsidR="005F51AB">
        <w:t xml:space="preserve"> for three release rates</w:t>
      </w:r>
      <w:r w:rsidR="000E6514">
        <w:t>, Right:</w:t>
      </w:r>
      <w:r w:rsidR="00C632AC">
        <w:t xml:space="preserve"> </w:t>
      </w:r>
      <w:bookmarkEnd w:id="17"/>
      <w:r w:rsidR="007837A3" w:rsidRPr="003F1F78">
        <w:t xml:space="preserve">Hydrogen </w:t>
      </w:r>
      <w:r w:rsidR="005F51AB" w:rsidRPr="003F1F78">
        <w:t xml:space="preserve">volume fraction as a function of the hydrogen release rate for </w:t>
      </w:r>
      <w:r w:rsidR="00C632AC">
        <w:t>three</w:t>
      </w:r>
      <w:r w:rsidR="005F51AB" w:rsidRPr="003F1F78">
        <w:t xml:space="preserve"> ventilation rates</w:t>
      </w:r>
      <w:r w:rsidR="00C632AC">
        <w:t>.</w:t>
      </w:r>
    </w:p>
    <w:p w14:paraId="583742CF" w14:textId="62DA83A8" w:rsidR="00BB02B4" w:rsidRPr="00ED5026" w:rsidRDefault="00BB02B4" w:rsidP="00FA0B72">
      <w:pPr>
        <w:pStyle w:val="CETheadingx"/>
      </w:pPr>
      <w:bookmarkStart w:id="18" w:name="_Ref214974140"/>
      <w:bookmarkStart w:id="19" w:name="_Toc225421734"/>
      <w:bookmarkEnd w:id="15"/>
      <w:r w:rsidRPr="00ED5026">
        <w:t>Inverse two-layer model</w:t>
      </w:r>
      <w:bookmarkEnd w:id="18"/>
      <w:bookmarkEnd w:id="19"/>
    </w:p>
    <w:p w14:paraId="7EDD5D65" w14:textId="55AA8EA0" w:rsidR="00014064" w:rsidRDefault="00000000" w:rsidP="00D92464">
      <w:pPr>
        <w:pStyle w:val="CETBodytext"/>
        <w:rPr>
          <w:color w:val="000000"/>
        </w:rPr>
      </w:pPr>
      <w:sdt>
        <w:sdtPr>
          <w:rPr>
            <w:rFonts w:cs="Arial"/>
            <w:color w:val="000000"/>
          </w:rPr>
          <w:tag w:val="MENDELEY_CITATION_v3_eyJjaXRhdGlvbklEIjoiTUVOREVMRVlfQ0lUQVRJT05fMzQzYjU2MTMtMjdhMS00ODczLWEyNzAtNTg2MDM1ZmU1M2NjIiwicHJvcGVydGllcyI6eyJub3RlSW5kZXgiOjB9LCJpc0VkaXRlZCI6ZmFsc2UsIm1hbnVhbE92ZXJyaWRlIjp7ImlzTWFudWFsbHlPdmVycmlkZGVuIjpmYWxzZSwiY2l0ZXByb2NUZXh0IjoiKFdhbmcsIEh1LCBhbmQgSmlhbmcgMjAxMykiLCJtYW51YWxPdmVycmlkZVRleHQiOiIifSwiY2l0YXRpb25JdGVtcyI6W3siaWQiOiJkODBiNjhjMC1mZDVkLTNmMDYtOGQ2ZS02MjU4YjZlZWI4MmMiLCJpdGVtRGF0YSI6eyJ0eXBlIjoiYXJ0aWNsZS1qb3VybmFsIiwiaWQiOiJkODBiNjhjMC1mZDVkLTNmMDYtOGQ2ZS02MjU4YjZlZWI4MmMiLCJ0aXRsZSI6Ik51bWVyaWNhbCBpbnZlc3RpZ2F0aW9uIG9mIGxlYWtpbmcgYW5kIGRpc3BlcnNpb24gb2YgY2FyYm9uIGRpb3hpZGUgaW5kb29yIHVuZGVyIHZlbnRpbGF0aW9uIGNvbmRpdGlvbiIsImF1dGhvciI6W3siZmFtaWx5IjoiV2FuZyIsImdpdmVuIjoiWmhpcm9uZyIsInBhcnNlLW5hbWVzIjpmYWxzZSwiZHJvcHBpbmctcGFydGljbGUiOiIiLCJub24tZHJvcHBpbmctcGFydGljbGUiOiIifSx7ImZhbWlseSI6Ikh1IiwiZ2l2ZW4iOiJZdWFueXVhbiIsInBhcnNlLW5hbWVzIjpmYWxzZSwiZHJvcHBpbmctcGFydGljbGUiOiIiLCJub24tZHJvcHBpbmctcGFydGljbGUiOiIifSx7ImZhbWlseSI6IkppYW5nIiwiZ2l2ZW4iOiJKdW5jaGVuZyIsInBhcnNlLW5hbWVzIjpmYWxzZSwiZHJvcHBpbmctcGFydGljbGUiOiIiLCJub24tZHJvcHBpbmctcGFydGljbGUiOiIifV0sImNvbnRhaW5lci10aXRsZSI6IkVuZXJneSBhbmQgQnVpbGRpbmdzIiwiRE9JIjoiMTAuMTAxNi9qLmVuYnVpbGQuMjAxMy4wNi4wMzEiLCJJU1NOIjoiMDM3ODc3ODgiLCJpc3N1ZWQiOnsiZGF0ZS1wYXJ0cyI6W1syMDEzXV19LCJwYWdlIjoiNDYxLTQ2NiIsImFic3RyYWN0IjoiTnVtZXJpY2FsIHNpbXVsYXRpb24gb2YgY29udGludW91cyByZWxlYXNlIGFuZCBkaXNwZXJzaW9uIHByb2Nlc3Mgb2YgY2FyYm9uIGRpb3hpZGUgaW4gYSB2ZW50aWxhdGVkIHJvb20gd2FzIGNhcnJpZWQgb3V0IGJ5IEZMVUVOVCB3aXRoIENvbXB1dGF0aW9uYWwgRmx1aWQgRHluYW1pYyAoQ0ZEKSBtZXRob2QuIFRoZSB2YWxpZGF0aW9uIG9mIHRoZSBzaW11bGF0aW9uIG1ldGhvZCB3YXMgbWFkZSBieSBjb21wYXJpc29uIG9mIHNpbXVsYXRpb24gcmVzdWx0cyB3aXRoIGV4cGVyaW1lbnRhbCBkYXRhLiBUaGUgY29uY2VudHJhdGlvbiBkaXN0cmlidXRpb24gb2YgY2FyYm9uIGRpb3hpZGUgaW5kb29yIHdhcyBpbnZlc3RpZ2F0ZWQuIFRoZSBlZmZlY3Qgb2YgdGhlIHJlbGVhc2UgcmF0ZSwgd2luZCBzcGVlZCBhbmQgb2JzdGFjbGUgb24gZ2FzIGRpc3BlcnNpb24gd2FzIGFuYWx5emVkLiBSZXN1bHRzIHNob3dlZCB0aGF0IGF0IHRoZSBiZWdpbm5pbmcgY2FyYm9uIGRpb3hpZGUgbW92ZWQgdG8gdGhlIHRvcCBvZiByb29tIGJ5IHRoZSBhY3Rpb24gb2YgamV0IGZsb3cuIFVuZGVyIHRoZSBjb25kaXRpb24gb2Ygd2luZCwgdGhlIGNvbmNlbnRyYXRpb24gb2YgY2FyYm9uIGRpb3hpZGUgaW5jcmVhc2VkIGFsb25nIHRoZSBsZWV3YXJkLiBPdmVyIGEgcGVyaW9kIG9mIHRpbWUsIHRoZSBjb25jZW50cmF0aW9uIG9mIGNhcmJvbiBkaW94aWRlIGluZG9vciBrZXB0IGNvbnN0YW50LiBHYXMtZGV0ZWN0aW5nIGFsYXJtIGRldmljZSBzaG91bGQgYmUgaW5zdGFsbGVkIGF0IHRoZSBkb3dud2luZCBwb3NpdGlvbiBhYm92ZSB0aGUgbGVha2luZyBob2xlLiBQZW9wbGUgc2hvdWxkIGdldCBhd2F5IGZyb20gdGhlIHJvb20gYmVmb3JlIGhpZ2ggY29uY2VudHJhdGlvbiBhcmVhIGZvcm1zLiBUaGUgY29uY2VudHJhdGlvbiBvZiBjYXJib24gZGlveGlkZSBkb3dud2luZCBkZWNyZWFzZWQgd2l0aCBpbmNyZW1lbnQgb2Ygd2luZCBzcGVlZCwgd2hpbGUgaW5jcmVhc2VkIHdpdGggaW5jcmVtZW50IG9mIHJlbGVhc2UgcmF0ZS4gVmVudHMgb3IgZm9yY2VkIGRyYWZ0IHNob3VsZCBiZSBzZXQgdG8gZGVjcmVhc2UgdGhlIGNvbmNlbnRyYXRpb24gb2YgY2FyYm9uIGRpb3hpZGUuIFdoZW4gdGhlcmUgd2FzIG9ic3RhY2xlIGJlaGluZCB0aGUgbGVha2luZyBzb3VyY2UsIGEgcmVnaW9uIG9mIGhpZ2ggY29uY2VudHJhdGlvbiBhcHBlYXJlZCBpbiB3aW5kd2FyZCBzaWRlIG9mIHRoZSBvYnN0YWNsZS4gV2hlbiBkZXNpZ25pbmcgdGhlIGxheW91dCBvZiBpbmR1c3RyaWFsIHdvcmtzaG9wLCBpdCBpcyBuZWNlc3NhcnkgdG8gbWluaW1pemUgdGhlIHF1YW50aXR5IG9mIGVxdWlwbWVudCBpbmRvb3Igb3IgcHV0IHRoZW0gbmVhciB0aGUgd2FsbCwgYXdheSBmcm9tIGxlYWthZ2Ugc291cmNlcy4gwqkgMjAxMyBQdWJsaXNoZWQgYnkgRWxzZXZpZXIgQi5WLiBBbGwgcmlnaHRzIHJlc2VydmVkLiIsInZvbHVtZSI6IjY2IiwiY29udGFpbmVyLXRpdGxlLXNob3J0IjoiRW5lcmd5IEJ1aWxkLiJ9LCJpc1RlbXBvcmFyeSI6ZmFsc2UsInN1cHByZXNzLWF1dGhvciI6ZmFsc2UsImNvbXBvc2l0ZSI6ZmFsc2UsImF1dGhvci1vbmx5IjpmYWxzZX1dfQ=="/>
          <w:id w:val="-283271220"/>
          <w:placeholder>
            <w:docPart w:val="6199AE205D1846CA8B2D72614359F7F7"/>
          </w:placeholder>
        </w:sdtPr>
        <w:sdtContent>
          <w:r w:rsidR="00677AC7" w:rsidRPr="00677AC7">
            <w:rPr>
              <w:rFonts w:cs="Arial"/>
              <w:color w:val="000000"/>
            </w:rPr>
            <w:t xml:space="preserve">Wang, Hu, and Jiang </w:t>
          </w:r>
          <w:r w:rsidR="00116782">
            <w:rPr>
              <w:rFonts w:cs="Arial"/>
              <w:color w:val="000000"/>
            </w:rPr>
            <w:t>(</w:t>
          </w:r>
          <w:r w:rsidR="00677AC7" w:rsidRPr="00677AC7">
            <w:rPr>
              <w:rFonts w:cs="Arial"/>
              <w:color w:val="000000"/>
            </w:rPr>
            <w:t>2013)</w:t>
          </w:r>
        </w:sdtContent>
      </w:sdt>
      <w:r w:rsidR="00BB02B4" w:rsidRPr="003F1F78">
        <w:rPr>
          <w:color w:val="000000"/>
        </w:rPr>
        <w:t xml:space="preserve"> performed </w:t>
      </w:r>
      <w:r w:rsidR="0018139B" w:rsidRPr="003F1F78">
        <w:rPr>
          <w:color w:val="000000"/>
        </w:rPr>
        <w:t xml:space="preserve">concentration </w:t>
      </w:r>
      <w:r w:rsidR="00BB02B4" w:rsidRPr="003F1F78">
        <w:rPr>
          <w:color w:val="000000"/>
        </w:rPr>
        <w:t xml:space="preserve">measurements on </w:t>
      </w:r>
      <w:r w:rsidR="0018139B" w:rsidRPr="003F1F78">
        <w:rPr>
          <w:color w:val="000000"/>
        </w:rPr>
        <w:t>CO</w:t>
      </w:r>
      <w:r w:rsidR="0018139B" w:rsidRPr="003F1F78">
        <w:rPr>
          <w:color w:val="000000"/>
          <w:vertAlign w:val="subscript"/>
        </w:rPr>
        <w:t>2</w:t>
      </w:r>
      <w:r w:rsidR="0018139B" w:rsidRPr="003F1F78">
        <w:rPr>
          <w:color w:val="000000"/>
        </w:rPr>
        <w:t xml:space="preserve"> </w:t>
      </w:r>
      <w:r w:rsidR="00402EBC" w:rsidRPr="003F1F78">
        <w:rPr>
          <w:color w:val="000000"/>
        </w:rPr>
        <w:t>jet release</w:t>
      </w:r>
      <w:r w:rsidR="00402EBC">
        <w:rPr>
          <w:color w:val="000000"/>
        </w:rPr>
        <w:t>s</w:t>
      </w:r>
      <w:r w:rsidR="00402EBC" w:rsidRPr="003F1F78">
        <w:rPr>
          <w:color w:val="000000"/>
        </w:rPr>
        <w:t xml:space="preserve"> </w:t>
      </w:r>
      <w:r w:rsidR="0018139B" w:rsidRPr="003F1F78">
        <w:rPr>
          <w:color w:val="000000"/>
        </w:rPr>
        <w:t>in a room</w:t>
      </w:r>
      <w:r w:rsidR="00A0536D">
        <w:rPr>
          <w:color w:val="000000"/>
        </w:rPr>
        <w:t>.</w:t>
      </w:r>
      <w:r w:rsidR="000F3E10">
        <w:rPr>
          <w:color w:val="000000"/>
        </w:rPr>
        <w:t xml:space="preserve"> </w:t>
      </w:r>
      <w:r w:rsidR="000F3E10">
        <w:t>The effect of the CO</w:t>
      </w:r>
      <w:r w:rsidR="000F3E10" w:rsidRPr="00801FC6">
        <w:rPr>
          <w:vertAlign w:val="subscript"/>
        </w:rPr>
        <w:t>2</w:t>
      </w:r>
      <w:r w:rsidR="000F3E10">
        <w:t xml:space="preserve"> release rate (0.01 - 0.1 kg/s) onto the volume fraction as a function of time was measured.</w:t>
      </w:r>
    </w:p>
    <w:p w14:paraId="4032F65E" w14:textId="7E38C177" w:rsidR="00BB02B4" w:rsidRPr="003F1F78" w:rsidRDefault="000F3E10" w:rsidP="00A2642B">
      <w:pPr>
        <w:pStyle w:val="CETBodytext"/>
        <w:keepNext/>
      </w:pPr>
      <w:r>
        <w:rPr>
          <w:noProof/>
        </w:rPr>
        <w:drawing>
          <wp:inline distT="0" distB="0" distL="0" distR="0" wp14:anchorId="2D3BC6A5" wp14:editId="10CAF4D4">
            <wp:extent cx="2617882" cy="1476442"/>
            <wp:effectExtent l="0" t="0" r="0" b="0"/>
            <wp:docPr id="201176270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36760" cy="1487089"/>
                    </a:xfrm>
                    <a:prstGeom prst="rect">
                      <a:avLst/>
                    </a:prstGeom>
                    <a:noFill/>
                  </pic:spPr>
                </pic:pic>
              </a:graphicData>
            </a:graphic>
          </wp:inline>
        </w:drawing>
      </w:r>
      <w:r w:rsidR="000E189E">
        <w:rPr>
          <w:noProof/>
        </w:rPr>
        <w:drawing>
          <wp:inline distT="0" distB="0" distL="0" distR="0" wp14:anchorId="14088A46" wp14:editId="13DE508C">
            <wp:extent cx="2541879" cy="1438519"/>
            <wp:effectExtent l="0" t="0" r="0" b="0"/>
            <wp:docPr id="22466828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3500" cy="1456414"/>
                    </a:xfrm>
                    <a:prstGeom prst="rect">
                      <a:avLst/>
                    </a:prstGeom>
                    <a:noFill/>
                  </pic:spPr>
                </pic:pic>
              </a:graphicData>
            </a:graphic>
          </wp:inline>
        </w:drawing>
      </w:r>
    </w:p>
    <w:p w14:paraId="0091F76F" w14:textId="25A2E411" w:rsidR="00A2642B" w:rsidRDefault="00A2642B" w:rsidP="00A2642B">
      <w:pPr>
        <w:pStyle w:val="CETCaption"/>
      </w:pPr>
      <w:bookmarkStart w:id="20" w:name="_Ref226555454"/>
      <w:bookmarkStart w:id="21" w:name="_Toc225421738"/>
      <w:r w:rsidRPr="003F1F78">
        <w:t xml:space="preserve">Figure </w:t>
      </w:r>
      <w:r w:rsidRPr="003F1F78">
        <w:fldChar w:fldCharType="begin"/>
      </w:r>
      <w:r w:rsidRPr="003F1F78">
        <w:instrText xml:space="preserve"> SEQ Figure \* ARABIC </w:instrText>
      </w:r>
      <w:r w:rsidRPr="003F1F78">
        <w:fldChar w:fldCharType="separate"/>
      </w:r>
      <w:r w:rsidR="00C63A93">
        <w:rPr>
          <w:noProof/>
        </w:rPr>
        <w:t>3</w:t>
      </w:r>
      <w:r w:rsidRPr="003F1F78">
        <w:fldChar w:fldCharType="end"/>
      </w:r>
      <w:bookmarkEnd w:id="20"/>
      <w:r w:rsidRPr="003F1F78">
        <w:t xml:space="preserve"> </w:t>
      </w:r>
      <w:r w:rsidRPr="006113AB">
        <w:t>Left: The volume fraction of CO</w:t>
      </w:r>
      <w:r w:rsidRPr="0000300E">
        <w:rPr>
          <w:vertAlign w:val="subscript"/>
        </w:rPr>
        <w:t>2</w:t>
      </w:r>
      <w:r w:rsidRPr="006113AB">
        <w:t xml:space="preserve"> in the layer for different release rates. Right: The volume fraction of CO</w:t>
      </w:r>
      <w:r w:rsidRPr="0000300E">
        <w:rPr>
          <w:vertAlign w:val="subscript"/>
        </w:rPr>
        <w:t>2</w:t>
      </w:r>
      <w:r w:rsidRPr="006113AB">
        <w:t xml:space="preserve"> in the layer for different outdoor wind velocities.</w:t>
      </w:r>
    </w:p>
    <w:p w14:paraId="34DE01E2" w14:textId="565FBC5B" w:rsidR="008A122D" w:rsidRPr="008A122D" w:rsidRDefault="008B6D42" w:rsidP="008A122D">
      <w:pPr>
        <w:pStyle w:val="CETBodytext"/>
      </w:pPr>
      <w:r w:rsidRPr="008B6D42">
        <w:rPr>
          <w:lang w:val="en-GB"/>
        </w:rPr>
        <w:lastRenderedPageBreak/>
        <w:t>The model slightly overpredicts CO</w:t>
      </w:r>
      <w:r w:rsidRPr="008B6D42">
        <w:rPr>
          <w:rFonts w:ascii="Cambria Math" w:hAnsi="Cambria Math" w:cs="Cambria Math"/>
          <w:lang w:val="en-GB"/>
        </w:rPr>
        <w:t>₂</w:t>
      </w:r>
      <w:r w:rsidRPr="008B6D42">
        <w:rPr>
          <w:lang w:val="en-GB"/>
        </w:rPr>
        <w:t xml:space="preserve"> concentrations at high release rates and underpredicts them at low rates</w:t>
      </w:r>
      <w:r w:rsidR="00A0536D">
        <w:rPr>
          <w:lang w:val="en-GB"/>
        </w:rPr>
        <w:t xml:space="preserve"> </w:t>
      </w:r>
      <w:r w:rsidR="00A0536D">
        <w:rPr>
          <w:color w:val="000000"/>
        </w:rPr>
        <w:t>(</w:t>
      </w:r>
      <w:r w:rsidR="00A0536D">
        <w:rPr>
          <w:color w:val="000000"/>
        </w:rPr>
        <w:fldChar w:fldCharType="begin"/>
      </w:r>
      <w:r w:rsidR="00A0536D">
        <w:rPr>
          <w:color w:val="000000"/>
        </w:rPr>
        <w:instrText xml:space="preserve"> REF _Ref226555454 \h </w:instrText>
      </w:r>
      <w:r w:rsidR="00A0536D">
        <w:rPr>
          <w:color w:val="000000"/>
        </w:rPr>
      </w:r>
      <w:r w:rsidR="00A0536D">
        <w:rPr>
          <w:color w:val="000000"/>
        </w:rPr>
        <w:fldChar w:fldCharType="separate"/>
      </w:r>
      <w:r w:rsidR="00A0536D" w:rsidRPr="003F1F78">
        <w:t xml:space="preserve">Figure </w:t>
      </w:r>
      <w:r w:rsidR="00A0536D">
        <w:rPr>
          <w:noProof/>
        </w:rPr>
        <w:t>3</w:t>
      </w:r>
      <w:r w:rsidR="00A0536D">
        <w:rPr>
          <w:color w:val="000000"/>
        </w:rPr>
        <w:fldChar w:fldCharType="end"/>
      </w:r>
      <w:r w:rsidR="00A0536D">
        <w:rPr>
          <w:color w:val="000000"/>
        </w:rPr>
        <w:t>)</w:t>
      </w:r>
      <w:r w:rsidRPr="008B6D42">
        <w:rPr>
          <w:lang w:val="en-GB"/>
        </w:rPr>
        <w:t>. This is attributed to the two-layer assumption, which neglects vertical gradients, with CO</w:t>
      </w:r>
      <w:r w:rsidRPr="008B6D42">
        <w:rPr>
          <w:rFonts w:ascii="Cambria Math" w:hAnsi="Cambria Math" w:cs="Cambria Math"/>
          <w:lang w:val="en-GB"/>
        </w:rPr>
        <w:t>₂</w:t>
      </w:r>
      <w:r w:rsidRPr="008B6D42">
        <w:rPr>
          <w:lang w:val="en-GB"/>
        </w:rPr>
        <w:t xml:space="preserve"> accumulating near the floor and exceeding the layer-averaged concentration.</w:t>
      </w:r>
      <w:r>
        <w:rPr>
          <w:lang w:val="en-GB"/>
        </w:rPr>
        <w:t xml:space="preserve"> </w:t>
      </w:r>
      <w:r w:rsidR="00397663">
        <w:t>T</w:t>
      </w:r>
      <w:r w:rsidR="008A122D" w:rsidRPr="003F1F78">
        <w:rPr>
          <w:color w:val="000000"/>
        </w:rPr>
        <w:t>he effect of the ventilation rate also was studied</w:t>
      </w:r>
      <w:r w:rsidR="008A122D">
        <w:rPr>
          <w:color w:val="000000"/>
        </w:rPr>
        <w:t xml:space="preserve"> (</w:t>
      </w:r>
      <w:r w:rsidR="008A122D" w:rsidRPr="003F1F78">
        <w:rPr>
          <w:color w:val="000000"/>
        </w:rPr>
        <w:t>air flow speeds of 1.5</w:t>
      </w:r>
      <w:r w:rsidR="00397663">
        <w:rPr>
          <w:color w:val="000000"/>
        </w:rPr>
        <w:t xml:space="preserve"> -</w:t>
      </w:r>
      <w:r w:rsidR="008A122D" w:rsidRPr="003F1F78">
        <w:rPr>
          <w:color w:val="000000"/>
        </w:rPr>
        <w:t xml:space="preserve"> 4 m/s</w:t>
      </w:r>
      <w:r w:rsidR="008A122D">
        <w:rPr>
          <w:color w:val="000000"/>
        </w:rPr>
        <w:t>)</w:t>
      </w:r>
      <w:r w:rsidR="00667482">
        <w:rPr>
          <w:color w:val="000000"/>
        </w:rPr>
        <w:t>, where v</w:t>
      </w:r>
      <w:r w:rsidR="008A122D" w:rsidRPr="003F1F78">
        <w:t>ery good agreement was found between calculations and measurements.</w:t>
      </w:r>
    </w:p>
    <w:p w14:paraId="34B48840" w14:textId="1A83ECD3" w:rsidR="00BB02B4" w:rsidRPr="003C3A3A" w:rsidRDefault="00BB02B4" w:rsidP="008A122D">
      <w:pPr>
        <w:pStyle w:val="CETheadingx"/>
      </w:pPr>
      <w:r w:rsidRPr="003C3A3A">
        <w:t>Overpressure</w:t>
      </w:r>
      <w:bookmarkEnd w:id="21"/>
      <w:r w:rsidR="00C278B9">
        <w:t xml:space="preserve"> model</w:t>
      </w:r>
    </w:p>
    <w:p w14:paraId="5CBFD499" w14:textId="3339E3BE" w:rsidR="006113AB" w:rsidRPr="003F1F78" w:rsidRDefault="00BB02B4" w:rsidP="00D92464">
      <w:pPr>
        <w:pStyle w:val="CETBodytext"/>
      </w:pPr>
      <w:r w:rsidRPr="003F1F78">
        <w:t xml:space="preserve">For the validation of the </w:t>
      </w:r>
      <w:r w:rsidR="00472620">
        <w:t>o</w:t>
      </w:r>
      <w:r w:rsidRPr="003F1F78">
        <w:t xml:space="preserve">verpressure model, </w:t>
      </w:r>
      <w:r w:rsidR="00472620">
        <w:t>the</w:t>
      </w:r>
      <w:r w:rsidRPr="003F1F78">
        <w:t xml:space="preserve"> </w:t>
      </w:r>
      <w:r w:rsidR="00472620">
        <w:t>volume fraction</w:t>
      </w:r>
      <w:r w:rsidR="00472620" w:rsidRPr="003F1F78">
        <w:t xml:space="preserve"> in the upper layer as a function of time</w:t>
      </w:r>
      <w:r w:rsidR="00472620">
        <w:t xml:space="preserve"> was </w:t>
      </w:r>
      <w:r w:rsidR="00472620" w:rsidRPr="003F1F78">
        <w:t xml:space="preserve">experimentally studied in </w:t>
      </w:r>
      <w:sdt>
        <w:sdtPr>
          <w:rPr>
            <w:rFonts w:cs="Arial"/>
            <w:color w:val="000000"/>
          </w:rPr>
          <w:tag w:val="MENDELEY_CITATION_v3_eyJjaXRhdGlvbklEIjoiTUVOREVMRVlfQ0lUQVRJT05fZDliNmI0YzUtMzExMS00MmI2LWI4MTYtNTUxMmQzNGM2ZWI4IiwicHJvcGVydGllcyI6eyJub3RlSW5kZXgiOjB9LCJpc0VkaXRlZCI6ZmFsc2UsIm1hbnVhbE92ZXJyaWRlIjp7ImlzTWFudWFsbHlPdmVycmlkZGVuIjpmYWxzZSwiY2l0ZXByb2NUZXh0IjoiKEVrb3RvIGV0IGFsLiAyMDEyKSIsIm1hbnVhbE92ZXJyaWRlVGV4dCI6IiJ9LCJjaXRhdGlvbkl0ZW1zIjpbeyJpZCI6ImM1OWMwNTZjLWUyYmQtMzIyNi1hZmMwLTk4MDQ5M2I2MDcxMSIsIml0ZW1EYXRhIjp7InR5cGUiOiJhcnRpY2xlLWpvdXJuYWwiLCJpZCI6ImM1OWMwNTZjLWUyYmQtMzIyNi1hZmMwLTk4MDQ5M2I2MDcxMSIsInRpdGxlIjoiRXhwZXJpbWVudGFsIGludmVzdGlnYXRpb24gb2YgaHlkcm9nZW4gcmVsZWFzZSBhbmQgaWduaXRpb24gZnJvbSBmdWVsIGNlbGwgcG93ZXJlZCBmb3JrbGlmdHMgaW4gZW5jbG9zZWQgc3BhY2VzIiwiYXV0aG9yIjpbeyJmYW1pbHkiOiJFa290byIsImdpdmVuIjoiSXNhYWMgVy4iLCJwYXJzZS1uYW1lcyI6ZmFsc2UsImRyb3BwaW5nLXBhcnRpY2xlIjoiIiwibm9uLWRyb3BwaW5nLXBhcnRpY2xlIjoiIn0seyJmYW1pbHkiOiJIb3VmIiwiZ2l2ZW4iOiJXaWxsaWFtIEcuIiwicGFyc2UtbmFtZXMiOmZhbHNlLCJkcm9wcGluZy1wYXJ0aWNsZSI6IiIsIm5vbi1kcm9wcGluZy1wYXJ0aWNsZSI6IiJ9LHsiZmFtaWx5IjoiRXZhbnMiLCJnaXZlbiI6IkdyZWcgSC4iLCJwYXJzZS1uYW1lcyI6ZmFsc2UsImRyb3BwaW5nLXBhcnRpY2xlIjoiIiwibm9uLWRyb3BwaW5nLXBhcnRpY2xlIjoiIn0seyJmYW1pbHkiOiJNZXJpbG8iLCJnaXZlbiI6IkVyaWsgRy4iLCJwYXJzZS1uYW1lcyI6ZmFsc2UsImRyb3BwaW5nLXBhcnRpY2xlIjoiIiwibm9uLWRyb3BwaW5nLXBhcnRpY2xlIjoiIn0seyJmYW1pbHkiOiJHcm9ldGhlIiwiZ2l2ZW4iOiJNYXJrIEEuIiwicGFyc2UtbmFtZXMiOmZhbHNlLCJkcm9wcGluZy1wYXJ0aWNsZSI6IiIsIm5vbi1kcm9wcGluZy1wYXJ0aWNsZSI6IiJ9XSwiY29udGFpbmVyLXRpdGxlIjoiSW50ZXJuYXRpb25hbCBKb3VybmFsIG9mIEh5ZHJvZ2VuIEVuZXJneSIsIkRPSSI6IjEwLjEwMTYvai5pamh5ZGVuZS4yMDEyLjAzLjE2MSIsIklTU04iOiIwMzYwMzE5OSIsImlzc3VlZCI6eyJkYXRlLXBhcnRzIjpbWzIwMTIsMTFdXX0sInBhZ2UiOiIxNzQ0Ni0xNzQ1NiIsImFic3RyYWN0IjoiRHVlIHRvIHJhcGlkIGdyb3d0aCBpbiB0aGUgdXNlIG9mIGh5ZHJvZ2VuIHBvd2VyZWQgZnVlbCBjZWxsIGZvcmtsaWZ0cyB3aXRoaW4gd2FyZWhvdXNlIGVuY2xvc3VyZXMsIFNhbmRpYSBOYXRpb25hbCBMYWJvcmF0b3JpZXMgaGFzIHdvcmtlZCB0byBkZXZlbG9wIHNjaWVudGlmaWMgbWV0aG9kcyB0aGF0IHN1cHBvcnQgdGhlIGNyZWF0aW9uIG9mIG5ldyBoeWRyb2dlbiBzYWZldHkgY29kZXMgYW5kIHN0YW5kYXJkcyBmb3IgaW5kb29yIHJlZnVlbGluZyBvcGVyYXRpb25zLiBCYXNlZCBvbiBpbmR1c3RyeSBzdGFrZWhvbGRlciBpbnB1dCwgY29uZHVjdGVkIGV4cGVyaW1lbnRzIHdlcmUgZGV2aXNlZCB0byBhc3Nlc3MgdGhlIHV0aWxpdHkgb2YgbW9kZWxpbmcgYXBwcm9hY2hlcyB1c2VkIHRvIGFuYWx5emUgcG90ZW50aWFsIGNvbnNlcXVlbmNlcyBmcm9tIGlnbml0ZWQgaHlkcm9nZW4gbGVha3MgaW4gZmFjaWxpdGllcyBjZXJ0aWZpZWQgYWNjb3JkaW5nIHRvIGV4aXN0aW5nIGNvZGUgbGFuZ3VhZ2UuIFJlbGVhc2UgZGlzcGVyc2lvbiBhbmQgY29tYnVzdGlvbiBjaGFyYWN0ZXJpc3RpY3Mgd2VyZSBtZWFzdXJlZCB3aXRoaW4gYSBzY2FsZWQgdGVzdCBmYWNpbGl0eSBsb2NhdGVkIGF0IFNSSSBJbnRlcm5hdGlvbmFsJ3MgQ29ycmFsIEhvbGxvdyBUZXN0IFNpdGUuIE1vcmVvdmVyLCB0aGUgaW1wYWN0IG9mIG1pdGlnYXRpb24gbWVhc3VyZXMgc3VjaCBhcyBhY3RpdmUvcGFzc2l2ZSB2ZW50aWxhdGlvbiBhbmQgcHJlc3N1cmUgcmVsaWVmIHBhbmVscyB3YXMgaW52ZXN0aWdhdGVkLiBTaW5jZSBpdCBpcyBpbXByYWN0aWNhbCB0byBleHBlcmltZW50YWxseSBldmFsdWF0ZSBhbGwgcG9zc2libGUgZmFjaWxpdHkgY29uZmlndXJhdGlvbnMgYW5kIGFjY2lkZW50IHNjZW5hcmlvcywgY2FyZWZ1bCBjaGFyYWN0ZXJpemF0aW9uIG9mIHRoZSBleHBlcmltZW50YWwgYm91bmRhcnkgY29uZGl0aW9ucyBoYXMgYmVlbiBwZXJmb3JtZWQgc28gdGhhdCBjb2xsZWN0ZWQgZGF0YXNldHMgY2FuIGJlIHVzZWQgdG8gdmFsaWRhdGUgY29tcHV0YXRpb25hbCBtb2RlbGluZyBhcHByb2FjaGVzLiBDb3B5cmlnaHQgwqkgMjAxMiwgSHlkcm9nZW4gRW5lcmd5IFB1YmxpY2F0aW9ucywgTExDLiBQdWJsaXNoZWQgYnkgRWxzZXZpZXIgTHRkLiBBbGwgcmlnaHRzLiIsImlzc3VlIjoiMjIiLCJ2b2x1bWUiOiIzNyIsImNvbnRhaW5lci10aXRsZS1zaG9ydCI6IkludC4gSi4gSHlkcm9nZW4gRW5lcmd5In0sImlzVGVtcG9yYXJ5IjpmYWxzZSwic3VwcHJlc3MtYXV0aG9yIjpmYWxzZSwiY29tcG9zaXRlIjpmYWxzZSwiYXV0aG9yLW9ubHkiOmZhbHNlfV19"/>
          <w:id w:val="-1847009630"/>
          <w:placeholder>
            <w:docPart w:val="A27972EA999E44A583F0BDF93DF48EA3"/>
          </w:placeholder>
        </w:sdtPr>
        <w:sdtContent>
          <w:r w:rsidR="00677AC7" w:rsidRPr="00677AC7">
            <w:rPr>
              <w:rFonts w:cs="Arial"/>
              <w:color w:val="000000"/>
            </w:rPr>
            <w:t>(Ekoto et al. 2012)</w:t>
          </w:r>
        </w:sdtContent>
      </w:sdt>
      <w:r w:rsidRPr="003F1F78">
        <w:t>, followed by indoor explosion</w:t>
      </w:r>
      <w:r w:rsidR="00A85EC6">
        <w:t>,</w:t>
      </w:r>
      <w:r w:rsidR="005A5646">
        <w:t xml:space="preserve"> </w:t>
      </w:r>
      <w:r w:rsidR="00A85EC6">
        <w:t>where the overpressure was measured</w:t>
      </w:r>
      <w:r w:rsidR="008E2B01">
        <w:t>, with varying ignition delay time</w:t>
      </w:r>
      <w:r w:rsidRPr="003F1F78">
        <w:t xml:space="preserve"> </w:t>
      </w:r>
      <w:r w:rsidR="000872C4">
        <w:t>(</w:t>
      </w:r>
      <w:r w:rsidR="005363A1">
        <w:fldChar w:fldCharType="begin"/>
      </w:r>
      <w:r w:rsidR="005363A1">
        <w:instrText xml:space="preserve"> REF _Ref210820187 \h </w:instrText>
      </w:r>
      <w:r w:rsidR="005363A1">
        <w:fldChar w:fldCharType="separate"/>
      </w:r>
      <w:r w:rsidR="005363A1" w:rsidRPr="003F1F78">
        <w:t xml:space="preserve">Figure </w:t>
      </w:r>
      <w:r w:rsidR="005363A1">
        <w:rPr>
          <w:noProof/>
        </w:rPr>
        <w:t>4</w:t>
      </w:r>
      <w:r w:rsidR="005363A1">
        <w:fldChar w:fldCharType="end"/>
      </w:r>
      <w:r w:rsidR="005363A1">
        <w:t>)</w:t>
      </w:r>
      <w:r w:rsidRPr="003F1F78">
        <w:t>.</w:t>
      </w:r>
    </w:p>
    <w:p w14:paraId="6F947077" w14:textId="2CDBBEB7" w:rsidR="00BB02B4" w:rsidRPr="003F1F78" w:rsidRDefault="00AC608A" w:rsidP="00D92464">
      <w:pPr>
        <w:pStyle w:val="CETBodytext"/>
      </w:pPr>
      <w:r>
        <w:rPr>
          <w:noProof/>
        </w:rPr>
        <w:drawing>
          <wp:inline distT="0" distB="0" distL="0" distR="0" wp14:anchorId="20182585" wp14:editId="098801E6">
            <wp:extent cx="2478847" cy="1421130"/>
            <wp:effectExtent l="0" t="0" r="0" b="7620"/>
            <wp:docPr id="3001256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36553" cy="1454213"/>
                    </a:xfrm>
                    <a:prstGeom prst="rect">
                      <a:avLst/>
                    </a:prstGeom>
                    <a:noFill/>
                  </pic:spPr>
                </pic:pic>
              </a:graphicData>
            </a:graphic>
          </wp:inline>
        </w:drawing>
      </w:r>
      <w:r w:rsidR="002A3E78">
        <w:rPr>
          <w:noProof/>
        </w:rPr>
        <w:drawing>
          <wp:inline distT="0" distB="0" distL="0" distR="0" wp14:anchorId="1699AFEE" wp14:editId="6AC4EBB5">
            <wp:extent cx="2327169" cy="1424902"/>
            <wp:effectExtent l="0" t="0" r="0" b="4445"/>
            <wp:docPr id="210940968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8299" cy="1456208"/>
                    </a:xfrm>
                    <a:prstGeom prst="rect">
                      <a:avLst/>
                    </a:prstGeom>
                    <a:noFill/>
                  </pic:spPr>
                </pic:pic>
              </a:graphicData>
            </a:graphic>
          </wp:inline>
        </w:drawing>
      </w:r>
    </w:p>
    <w:p w14:paraId="2CAB7D91" w14:textId="001D970C" w:rsidR="00BB02B4" w:rsidRPr="003F1F78" w:rsidRDefault="00BB02B4" w:rsidP="00DC0EF2">
      <w:pPr>
        <w:pStyle w:val="CETCaption"/>
      </w:pPr>
      <w:bookmarkStart w:id="22" w:name="_Ref210820187"/>
      <w:bookmarkStart w:id="23" w:name="_Toc225421770"/>
      <w:r w:rsidRPr="003F1F78">
        <w:t xml:space="preserve">Figure </w:t>
      </w:r>
      <w:r w:rsidRPr="003F1F78">
        <w:fldChar w:fldCharType="begin"/>
      </w:r>
      <w:r w:rsidRPr="003F1F78">
        <w:instrText xml:space="preserve"> SEQ Figure \* ARABIC </w:instrText>
      </w:r>
      <w:r w:rsidRPr="003F1F78">
        <w:fldChar w:fldCharType="separate"/>
      </w:r>
      <w:r w:rsidR="00C63A93">
        <w:rPr>
          <w:noProof/>
        </w:rPr>
        <w:t>4</w:t>
      </w:r>
      <w:r w:rsidRPr="003F1F78">
        <w:fldChar w:fldCharType="end"/>
      </w:r>
      <w:bookmarkEnd w:id="22"/>
      <w:r w:rsidRPr="003F1F78">
        <w:t xml:space="preserve"> </w:t>
      </w:r>
      <w:r w:rsidR="007B3CE0">
        <w:t>Left: Hydrogen</w:t>
      </w:r>
      <w:r w:rsidRPr="003F1F78">
        <w:t xml:space="preserve"> concentrations as a function of time</w:t>
      </w:r>
      <w:r w:rsidR="007B3CE0">
        <w:t>. Right: O</w:t>
      </w:r>
      <w:r w:rsidR="007B3CE0" w:rsidRPr="003F1F78">
        <w:t>verpressure as a function of time.</w:t>
      </w:r>
      <w:bookmarkEnd w:id="23"/>
    </w:p>
    <w:p w14:paraId="40F1F5AE" w14:textId="544E66BD" w:rsidR="00BB02B4" w:rsidRPr="003F1F78" w:rsidRDefault="00BB02B4" w:rsidP="00D92464">
      <w:pPr>
        <w:pStyle w:val="CETBodytext"/>
      </w:pPr>
      <w:r w:rsidRPr="003F1F78">
        <w:t xml:space="preserve">Both the concentration in time and the overpressure in time </w:t>
      </w:r>
      <w:proofErr w:type="gramStart"/>
      <w:r w:rsidRPr="003F1F78">
        <w:t>are</w:t>
      </w:r>
      <w:proofErr w:type="gramEnd"/>
      <w:r w:rsidRPr="003F1F78">
        <w:t xml:space="preserve"> </w:t>
      </w:r>
      <w:r w:rsidR="005D765A">
        <w:t>reproduced</w:t>
      </w:r>
      <w:r w:rsidR="005D765A" w:rsidRPr="003F1F78">
        <w:t xml:space="preserve"> </w:t>
      </w:r>
      <w:r w:rsidRPr="003F1F78">
        <w:t xml:space="preserve">well by </w:t>
      </w:r>
      <w:r w:rsidR="007B35C2">
        <w:t>the model</w:t>
      </w:r>
      <w:r w:rsidRPr="003F1F78">
        <w:t xml:space="preserve">. </w:t>
      </w:r>
      <w:r w:rsidR="00AB1468">
        <w:t>T</w:t>
      </w:r>
      <w:r w:rsidRPr="003F1F78">
        <w:t xml:space="preserve">he height of the maximum pressure and the pressure decay in time show similar results, as the experiments. The somewhat slower pressure decay can be explained by the </w:t>
      </w:r>
      <w:proofErr w:type="gramStart"/>
      <w:r w:rsidRPr="003F1F78">
        <w:t>act</w:t>
      </w:r>
      <w:proofErr w:type="gramEnd"/>
      <w:r w:rsidRPr="003F1F78">
        <w:t xml:space="preserve"> that one of the walls in the container was made of thin plastic foil. Th</w:t>
      </w:r>
      <w:r w:rsidR="000E7548">
        <w:t>e foil will</w:t>
      </w:r>
      <w:r w:rsidRPr="003F1F78">
        <w:t xml:space="preserve"> deform </w:t>
      </w:r>
      <w:r w:rsidR="000E7548">
        <w:t>before rupture</w:t>
      </w:r>
      <w:r w:rsidRPr="003F1F78">
        <w:t xml:space="preserve"> due to the increased pressure, leading to a faster decay in pressure.</w:t>
      </w:r>
    </w:p>
    <w:p w14:paraId="0C3A68B5" w14:textId="7FAE1BFB" w:rsidR="00F17526" w:rsidRPr="00F17526" w:rsidRDefault="00F17526" w:rsidP="00897F70">
      <w:pPr>
        <w:pStyle w:val="CETHeading1"/>
      </w:pPr>
      <w:r w:rsidRPr="00F17526">
        <w:t>Sensitivity analysis</w:t>
      </w:r>
    </w:p>
    <w:p w14:paraId="12DB7579" w14:textId="77777777" w:rsidR="003833C7" w:rsidRDefault="003833C7" w:rsidP="003833C7">
      <w:pPr>
        <w:pStyle w:val="CETBodytext"/>
        <w:rPr>
          <w:b/>
          <w:lang w:eastAsia="nl-NL"/>
        </w:rPr>
      </w:pPr>
      <w:r w:rsidRPr="003833C7">
        <w:rPr>
          <w:lang w:eastAsia="nl-NL"/>
        </w:rPr>
        <w:t>A sensitivity analysis evaluated the impact of key parameters on concentrations and flammable cloud formation.</w:t>
      </w:r>
    </w:p>
    <w:p w14:paraId="6DA20251" w14:textId="7E056E7F" w:rsidR="00D37D20" w:rsidRDefault="00E24E50" w:rsidP="005940DF">
      <w:pPr>
        <w:pStyle w:val="CETheadingx"/>
        <w:rPr>
          <w:lang w:eastAsia="nl-NL"/>
        </w:rPr>
      </w:pPr>
      <w:r w:rsidRPr="00D37D20">
        <w:rPr>
          <w:lang w:eastAsia="nl-NL"/>
        </w:rPr>
        <w:t>Model switching threshold</w:t>
      </w:r>
    </w:p>
    <w:p w14:paraId="130A93F3" w14:textId="4D0CEFA5" w:rsidR="00E24E50" w:rsidRDefault="00E24E50" w:rsidP="00E24E50">
      <w:pPr>
        <w:pStyle w:val="CETBodytext"/>
        <w:rPr>
          <w:lang w:eastAsia="nl-NL"/>
        </w:rPr>
      </w:pPr>
      <w:r w:rsidRPr="00D37D20">
        <w:rPr>
          <w:lang w:eastAsia="nl-NL"/>
        </w:rPr>
        <w:t xml:space="preserve">The transition between the ideal mixing and </w:t>
      </w:r>
      <w:r w:rsidR="00FD0967">
        <w:rPr>
          <w:lang w:eastAsia="nl-NL"/>
        </w:rPr>
        <w:t>two-layer</w:t>
      </w:r>
      <w:r w:rsidR="00F94932">
        <w:rPr>
          <w:lang w:eastAsia="nl-NL"/>
        </w:rPr>
        <w:t xml:space="preserve"> model</w:t>
      </w:r>
      <w:r w:rsidRPr="00D37D20">
        <w:rPr>
          <w:lang w:eastAsia="nl-NL"/>
        </w:rPr>
        <w:t xml:space="preserve"> was assessed as a function of room volume and release rate</w:t>
      </w:r>
      <w:r w:rsidR="00E50F45" w:rsidRPr="00E50F45">
        <w:t xml:space="preserve"> </w:t>
      </w:r>
      <w:r w:rsidR="00E50F45" w:rsidRPr="003F1F78">
        <w:t xml:space="preserve">model for hydrogen and methane at 10 </w:t>
      </w:r>
      <w:r w:rsidR="00E50F45" w:rsidRPr="003F1F78">
        <w:rPr>
          <w:rFonts w:cs="Arial"/>
        </w:rPr>
        <w:t>°</w:t>
      </w:r>
      <w:r w:rsidR="00E50F45" w:rsidRPr="003F1F78">
        <w:t>C.</w:t>
      </w:r>
      <w:r w:rsidRPr="00D37D20">
        <w:rPr>
          <w:lang w:eastAsia="nl-NL"/>
        </w:rPr>
        <w:t xml:space="preserve"> The threshold </w:t>
      </w:r>
      <w:r w:rsidR="00E30F71">
        <w:rPr>
          <w:lang w:eastAsia="nl-NL"/>
        </w:rPr>
        <w:t>increases</w:t>
      </w:r>
      <w:r w:rsidRPr="00D37D20">
        <w:rPr>
          <w:lang w:eastAsia="nl-NL"/>
        </w:rPr>
        <w:t xml:space="preserve"> linear</w:t>
      </w:r>
      <w:r w:rsidR="00E30F71">
        <w:rPr>
          <w:lang w:eastAsia="nl-NL"/>
        </w:rPr>
        <w:t>ly</w:t>
      </w:r>
      <w:r w:rsidRPr="00D37D20">
        <w:rPr>
          <w:lang w:eastAsia="nl-NL"/>
        </w:rPr>
        <w:t xml:space="preserve"> with enclosure volume</w:t>
      </w:r>
      <w:r w:rsidR="00E30F71">
        <w:rPr>
          <w:lang w:eastAsia="nl-NL"/>
        </w:rPr>
        <w:t xml:space="preserve">. </w:t>
      </w:r>
      <w:r w:rsidR="00F67B22">
        <w:rPr>
          <w:lang w:eastAsia="nl-NL"/>
        </w:rPr>
        <w:t xml:space="preserve">This increase </w:t>
      </w:r>
      <w:r w:rsidR="00E20FDA" w:rsidRPr="00D37D20">
        <w:rPr>
          <w:lang w:eastAsia="nl-NL"/>
        </w:rPr>
        <w:t>differs</w:t>
      </w:r>
      <w:r w:rsidRPr="00D37D20">
        <w:rPr>
          <w:lang w:eastAsia="nl-NL"/>
        </w:rPr>
        <w:t xml:space="preserve"> for hydrogen and methane due to density differences.</w:t>
      </w:r>
    </w:p>
    <w:p w14:paraId="606458FB" w14:textId="47FC2B6A" w:rsidR="00C63A93" w:rsidRDefault="009A52EB" w:rsidP="00C63A93">
      <w:pPr>
        <w:pStyle w:val="CETBodytext"/>
        <w:keepNext/>
      </w:pPr>
      <w:r>
        <w:rPr>
          <w:noProof/>
        </w:rPr>
        <w:drawing>
          <wp:inline distT="0" distB="0" distL="0" distR="0" wp14:anchorId="457F1097" wp14:editId="6933066B">
            <wp:extent cx="2532474" cy="1568781"/>
            <wp:effectExtent l="0" t="0" r="1270" b="0"/>
            <wp:docPr id="202196083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61465" cy="1586740"/>
                    </a:xfrm>
                    <a:prstGeom prst="rect">
                      <a:avLst/>
                    </a:prstGeom>
                    <a:noFill/>
                  </pic:spPr>
                </pic:pic>
              </a:graphicData>
            </a:graphic>
          </wp:inline>
        </w:drawing>
      </w:r>
    </w:p>
    <w:p w14:paraId="17725056" w14:textId="78A54631" w:rsidR="00C63A93" w:rsidRPr="00D37D20" w:rsidRDefault="00C63A93" w:rsidP="005E45B7">
      <w:pPr>
        <w:pStyle w:val="CETCaption"/>
        <w:rPr>
          <w:lang w:val="en-US" w:eastAsia="nl-NL"/>
        </w:rPr>
      </w:pPr>
      <w:r>
        <w:t xml:space="preserve">Figure </w:t>
      </w:r>
      <w:r>
        <w:fldChar w:fldCharType="begin"/>
      </w:r>
      <w:r>
        <w:instrText xml:space="preserve"> SEQ Figure \* ARABIC </w:instrText>
      </w:r>
      <w:r>
        <w:fldChar w:fldCharType="separate"/>
      </w:r>
      <w:r>
        <w:rPr>
          <w:noProof/>
        </w:rPr>
        <w:t>5</w:t>
      </w:r>
      <w:r>
        <w:fldChar w:fldCharType="end"/>
      </w:r>
      <w:r w:rsidR="005E45B7">
        <w:t xml:space="preserve"> R</w:t>
      </w:r>
      <w:r w:rsidR="005E45B7" w:rsidRPr="003F1F78">
        <w:t>elease rate at which the model switches between the ideal mixing model and the two-layer model</w:t>
      </w:r>
      <w:r w:rsidR="00E50F45">
        <w:t>.</w:t>
      </w:r>
    </w:p>
    <w:p w14:paraId="425B7ABE" w14:textId="316CFC2B" w:rsidR="002A6C45" w:rsidRDefault="002A6C45" w:rsidP="005940DF">
      <w:pPr>
        <w:pStyle w:val="CETheadingx"/>
        <w:rPr>
          <w:lang w:eastAsia="nl-NL"/>
        </w:rPr>
      </w:pPr>
      <w:r w:rsidRPr="00D37D20">
        <w:rPr>
          <w:lang w:eastAsia="nl-NL"/>
        </w:rPr>
        <w:t>Ventilation opening configuration</w:t>
      </w:r>
    </w:p>
    <w:p w14:paraId="4A80ADA1" w14:textId="77777777" w:rsidR="002A6C45" w:rsidRPr="00E24E50" w:rsidRDefault="002A6C45" w:rsidP="002A6C45">
      <w:pPr>
        <w:pStyle w:val="CETBodytext"/>
        <w:rPr>
          <w:lang w:eastAsia="nl-NL"/>
        </w:rPr>
      </w:pPr>
      <w:r w:rsidRPr="00D37D20">
        <w:rPr>
          <w:lang w:eastAsia="nl-NL"/>
        </w:rPr>
        <w:t xml:space="preserve">The effect of opening orientation and size ratio on natural ventilation was </w:t>
      </w:r>
      <w:proofErr w:type="spellStart"/>
      <w:r w:rsidRPr="00D37D20">
        <w:rPr>
          <w:lang w:eastAsia="nl-NL"/>
        </w:rPr>
        <w:t>analysed</w:t>
      </w:r>
      <w:proofErr w:type="spellEnd"/>
      <w:r w:rsidRPr="00D37D20">
        <w:rPr>
          <w:lang w:eastAsia="nl-NL"/>
        </w:rPr>
        <w:t xml:space="preserve"> through the effective opening area and discharge coefficient. The results show that ventilation performance is strongly affected by opening geometry, with the largest sensitivity observed for small opening angles and unequal opening sizes.</w:t>
      </w:r>
    </w:p>
    <w:p w14:paraId="4591D4D3" w14:textId="3D12C52E" w:rsidR="002A6C45" w:rsidRDefault="002A6C45" w:rsidP="005940DF">
      <w:pPr>
        <w:pStyle w:val="CETheadingx"/>
        <w:rPr>
          <w:lang w:eastAsia="nl-NL"/>
        </w:rPr>
      </w:pPr>
      <w:r w:rsidRPr="00D37D20">
        <w:rPr>
          <w:lang w:eastAsia="nl-NL"/>
        </w:rPr>
        <w:t>Jet characteristics</w:t>
      </w:r>
    </w:p>
    <w:p w14:paraId="069E8C9B" w14:textId="77777777" w:rsidR="002A6C45" w:rsidRPr="00D37D20" w:rsidRDefault="002A6C45" w:rsidP="002A6C45">
      <w:pPr>
        <w:pStyle w:val="CETBodytext"/>
        <w:rPr>
          <w:lang w:eastAsia="nl-NL"/>
        </w:rPr>
      </w:pPr>
      <w:r w:rsidRPr="00D37D20">
        <w:rPr>
          <w:lang w:eastAsia="nl-NL"/>
        </w:rPr>
        <w:t xml:space="preserve">The influence of release </w:t>
      </w:r>
      <w:proofErr w:type="gramStart"/>
      <w:r w:rsidRPr="00D37D20">
        <w:rPr>
          <w:lang w:eastAsia="nl-NL"/>
        </w:rPr>
        <w:t>angle</w:t>
      </w:r>
      <w:proofErr w:type="gramEnd"/>
      <w:r w:rsidRPr="00D37D20">
        <w:rPr>
          <w:lang w:eastAsia="nl-NL"/>
        </w:rPr>
        <w:t xml:space="preserve"> on jet length was evaluated because of its effect on entrainment and layer concentration. The jet length varied continuously with release angle, with discontinuities only at the critical geometric transition angles </w:t>
      </w:r>
      <w:r>
        <w:rPr>
          <w:lang w:eastAsia="nl-NL"/>
        </w:rPr>
        <w:t>between floor and wall or wall and ceiling</w:t>
      </w:r>
      <w:r w:rsidRPr="00D37D20">
        <w:rPr>
          <w:lang w:eastAsia="nl-NL"/>
        </w:rPr>
        <w:t>.</w:t>
      </w:r>
    </w:p>
    <w:p w14:paraId="26A6A972" w14:textId="7FD94640" w:rsidR="00F17526" w:rsidRPr="00F17526" w:rsidRDefault="00F17526" w:rsidP="005940DF">
      <w:pPr>
        <w:pStyle w:val="CETHeading1"/>
        <w:tabs>
          <w:tab w:val="num" w:pos="360"/>
        </w:tabs>
      </w:pPr>
      <w:r w:rsidRPr="00F17526">
        <w:lastRenderedPageBreak/>
        <w:t>Conclusions</w:t>
      </w:r>
    </w:p>
    <w:p w14:paraId="7566A484" w14:textId="7B886F83" w:rsidR="00E546F3" w:rsidRPr="00E546F3" w:rsidRDefault="00E546F3" w:rsidP="00E546F3">
      <w:pPr>
        <w:pStyle w:val="CETBodytext"/>
      </w:pPr>
      <w:r w:rsidRPr="00E546F3">
        <w:t>This work presents the mathematical formulation and validation of the</w:t>
      </w:r>
      <w:r w:rsidR="00E34006">
        <w:t xml:space="preserve"> EFFECTS</w:t>
      </w:r>
      <w:r w:rsidRPr="00E546F3">
        <w:t xml:space="preserve"> Indoor Ventilation, Dispersion and Overpressure model, primarily for hydrogen but applicable to other gases. The model accounts for mechanical and natural ventilation and incorporates ideal mixing, two-layer, and inverse two-layer approaches, enabling simulation of a wide range of dispersion </w:t>
      </w:r>
      <w:proofErr w:type="spellStart"/>
      <w:r w:rsidRPr="00E546F3">
        <w:t>behaviour</w:t>
      </w:r>
      <w:proofErr w:type="spellEnd"/>
      <w:r w:rsidRPr="00E546F3">
        <w:t xml:space="preserve"> depending on release rate, buoyancy, and geometry. Additional features include temperature effects, jet </w:t>
      </w:r>
      <w:proofErr w:type="spellStart"/>
      <w:r w:rsidRPr="00E546F3">
        <w:t>behaviour</w:t>
      </w:r>
      <w:proofErr w:type="spellEnd"/>
      <w:r w:rsidRPr="00E546F3">
        <w:t>, outflow modelling, and overpressure prediction following ignition.</w:t>
      </w:r>
    </w:p>
    <w:p w14:paraId="7DC25A5B" w14:textId="6CCF8359" w:rsidR="00E546F3" w:rsidRPr="00E546F3" w:rsidRDefault="00E546F3" w:rsidP="00E546F3">
      <w:pPr>
        <w:pStyle w:val="CETBodytext"/>
      </w:pPr>
      <w:r w:rsidRPr="00E546F3">
        <w:t>Validation against experimental data shows good agreement for both light gases (hydrogen) and heavy gases (CO</w:t>
      </w:r>
      <w:r w:rsidRPr="00E546F3">
        <w:rPr>
          <w:rFonts w:ascii="Cambria Math" w:hAnsi="Cambria Math" w:cs="Cambria Math"/>
        </w:rPr>
        <w:t>₂</w:t>
      </w:r>
      <w:r w:rsidRPr="00E546F3">
        <w:t xml:space="preserve">). The two-layer approaches accurately reproduce concentration build-up and steady-state </w:t>
      </w:r>
      <w:proofErr w:type="spellStart"/>
      <w:r w:rsidRPr="00E546F3">
        <w:t>behaviour</w:t>
      </w:r>
      <w:proofErr w:type="spellEnd"/>
      <w:r w:rsidRPr="00E546F3">
        <w:t xml:space="preserve">, with minor deviations at low concentrations due to the simplified layer assumption. Ventilation effects are well captured, although </w:t>
      </w:r>
      <w:r w:rsidR="001A7FAC">
        <w:t xml:space="preserve">a </w:t>
      </w:r>
      <w:r w:rsidRPr="00E546F3">
        <w:t xml:space="preserve">slight underprediction </w:t>
      </w:r>
      <w:r w:rsidR="001A7FAC">
        <w:t xml:space="preserve">might </w:t>
      </w:r>
      <w:r w:rsidRPr="00E546F3">
        <w:t>occur at high refresh rates. The overpressure model also shows good agreement with experimental results.</w:t>
      </w:r>
    </w:p>
    <w:p w14:paraId="24113F62" w14:textId="3EFA7ED7" w:rsidR="00E546F3" w:rsidRPr="00E546F3" w:rsidRDefault="00E546F3" w:rsidP="00E546F3">
      <w:pPr>
        <w:pStyle w:val="CETBodytext"/>
      </w:pPr>
      <w:r w:rsidRPr="00E546F3">
        <w:t xml:space="preserve">Sensitivity analysis confirms consistent </w:t>
      </w:r>
      <w:proofErr w:type="spellStart"/>
      <w:r w:rsidRPr="00E546F3">
        <w:t>behaviour</w:t>
      </w:r>
      <w:proofErr w:type="spellEnd"/>
      <w:r w:rsidRPr="00E546F3">
        <w:t xml:space="preserve"> with theoretical expectations, including model switching, ventilation dependence on opening configuration, and jet effects. Coupling with other EFFECTS modules, such as </w:t>
      </w:r>
      <w:r w:rsidR="00C97EA1">
        <w:t xml:space="preserve">the </w:t>
      </w:r>
      <w:r w:rsidR="00C31288">
        <w:t>(</w:t>
      </w:r>
      <w:r w:rsidRPr="00E546F3">
        <w:t>outdoor</w:t>
      </w:r>
      <w:r w:rsidR="00C31288">
        <w:t>)</w:t>
      </w:r>
      <w:r w:rsidRPr="00E546F3">
        <w:t xml:space="preserve"> dispersion</w:t>
      </w:r>
      <w:r w:rsidR="00C97EA1">
        <w:t xml:space="preserve"> </w:t>
      </w:r>
      <w:r w:rsidR="001A3CC5">
        <w:t>model</w:t>
      </w:r>
      <w:r w:rsidRPr="00E546F3">
        <w:t>, demonstrates applicability for integrated risk assessments.</w:t>
      </w:r>
    </w:p>
    <w:p w14:paraId="44B962DA" w14:textId="330E4EA4" w:rsidR="00E546F3" w:rsidRDefault="00E546F3" w:rsidP="00E546F3">
      <w:pPr>
        <w:pStyle w:val="CETBodytext"/>
      </w:pPr>
      <w:r w:rsidRPr="00E546F3">
        <w:t xml:space="preserve">The model provides a practical and </w:t>
      </w:r>
      <w:r w:rsidR="002074C1" w:rsidRPr="002074C1">
        <w:rPr>
          <w:lang w:val="en-GB"/>
        </w:rPr>
        <w:t>reliable</w:t>
      </w:r>
      <w:r w:rsidRPr="00E546F3">
        <w:t xml:space="preserve"> tool for assessing indoor gas dispersion and explosion risks, supporting the safe design of hydrogen and other flammable gas systems.</w:t>
      </w:r>
    </w:p>
    <w:p w14:paraId="7CEEF514" w14:textId="77777777" w:rsidR="002D4A72" w:rsidRPr="002D4A72" w:rsidRDefault="002D4A72" w:rsidP="00702E7B">
      <w:pPr>
        <w:pStyle w:val="CETHeadingxx"/>
      </w:pPr>
      <w:r w:rsidRPr="002D4A72">
        <w:t>Nomenclature</w:t>
      </w:r>
    </w:p>
    <w:p w14:paraId="4449DD1A" w14:textId="77777777" w:rsidR="0098608B" w:rsidRPr="000856BA" w:rsidRDefault="0098608B" w:rsidP="002D4A72">
      <w:pPr>
        <w:pStyle w:val="CETBodytext"/>
        <w:jc w:val="left"/>
        <w:rPr>
          <w:rFonts w:ascii="Cambria Math" w:hAnsi="Cambria Math"/>
          <w:oMath/>
        </w:rPr>
        <w:sectPr w:rsidR="0098608B" w:rsidRPr="000856BA" w:rsidSect="008314D7">
          <w:type w:val="continuous"/>
          <w:pgSz w:w="11906" w:h="16838" w:code="9"/>
          <w:pgMar w:top="1701" w:right="1418" w:bottom="1701" w:left="1701" w:header="1701" w:footer="0" w:gutter="0"/>
          <w:cols w:space="708"/>
          <w:formProt w:val="0"/>
          <w:titlePg/>
          <w:docGrid w:linePitch="360"/>
        </w:sectPr>
      </w:pPr>
    </w:p>
    <w:p w14:paraId="763D0A6E" w14:textId="49DAEE2A" w:rsidR="002D4A72" w:rsidRPr="002D4A72" w:rsidRDefault="002D4A72" w:rsidP="002D4A72">
      <w:pPr>
        <w:pStyle w:val="CETBodytext"/>
        <w:jc w:val="left"/>
      </w:pPr>
      <m:oMath>
        <m:r>
          <w:rPr>
            <w:rFonts w:ascii="Cambria Math" w:hAnsi="Cambria Math"/>
            <w:lang w:val="nl-NL"/>
          </w:rPr>
          <m:t>A</m:t>
        </m:r>
      </m:oMath>
      <w:r w:rsidRPr="002D4A72">
        <w:t>– opening area, m²</w:t>
      </w:r>
      <w:r w:rsidRPr="002D4A72">
        <w:br/>
      </w:r>
      <m:oMath>
        <m:sSub>
          <m:sSubPr>
            <m:ctrlPr>
              <w:rPr>
                <w:rFonts w:ascii="Cambria Math" w:hAnsi="Cambria Math"/>
                <w:lang w:val="nl-NL"/>
              </w:rPr>
            </m:ctrlPr>
          </m:sSubPr>
          <m:e>
            <m:r>
              <w:rPr>
                <w:rFonts w:ascii="Cambria Math" w:hAnsi="Cambria Math"/>
                <w:lang w:val="nl-NL"/>
              </w:rPr>
              <m:t>A</m:t>
            </m:r>
          </m:e>
          <m:sub>
            <m:r>
              <w:rPr>
                <w:rFonts w:ascii="Cambria Math" w:hAnsi="Cambria Math"/>
                <w:lang w:val="nl-NL"/>
              </w:rPr>
              <m:t>eff</m:t>
            </m:r>
          </m:sub>
        </m:sSub>
      </m:oMath>
      <w:r w:rsidRPr="002D4A72">
        <w:t>– effective opening area, m²</w:t>
      </w:r>
      <w:r w:rsidRPr="002D4A72">
        <w:br/>
      </w:r>
      <m:oMath>
        <m:r>
          <w:rPr>
            <w:rFonts w:ascii="Cambria Math" w:hAnsi="Cambria Math"/>
            <w:lang w:val="nl-NL"/>
          </w:rPr>
          <m:t>C</m:t>
        </m:r>
      </m:oMath>
      <w:r w:rsidRPr="002D4A72">
        <w:t>– gas concentration, –</w:t>
      </w:r>
      <w:r w:rsidRPr="002D4A72">
        <w:br/>
      </w:r>
      <m:oMath>
        <m:sSub>
          <m:sSubPr>
            <m:ctrlPr>
              <w:rPr>
                <w:rFonts w:ascii="Cambria Math" w:hAnsi="Cambria Math"/>
                <w:lang w:val="nl-NL"/>
              </w:rPr>
            </m:ctrlPr>
          </m:sSubPr>
          <m:e>
            <m:r>
              <w:rPr>
                <w:rFonts w:ascii="Cambria Math" w:hAnsi="Cambria Math"/>
                <w:lang w:val="nl-NL"/>
              </w:rPr>
              <m:t>C</m:t>
            </m:r>
          </m:e>
          <m:sub>
            <m:r>
              <w:rPr>
                <w:rFonts w:ascii="Cambria Math" w:hAnsi="Cambria Math"/>
                <w:lang w:val="nl-NL"/>
              </w:rPr>
              <m:t>d</m:t>
            </m:r>
          </m:sub>
        </m:sSub>
      </m:oMath>
      <w:r w:rsidRPr="002D4A72">
        <w:t>– discharge coefficient, –</w:t>
      </w:r>
      <w:r w:rsidRPr="002D4A72">
        <w:br/>
      </w:r>
      <m:oMath>
        <m:sSub>
          <m:sSubPr>
            <m:ctrlPr>
              <w:rPr>
                <w:rFonts w:ascii="Cambria Math" w:hAnsi="Cambria Math"/>
                <w:lang w:val="nl-NL"/>
              </w:rPr>
            </m:ctrlPr>
          </m:sSubPr>
          <m:e>
            <m:r>
              <w:rPr>
                <w:rFonts w:ascii="Cambria Math" w:hAnsi="Cambria Math"/>
                <w:lang w:val="nl-NL"/>
              </w:rPr>
              <m:t>C</m:t>
            </m:r>
          </m:e>
          <m:sub>
            <m:r>
              <w:rPr>
                <w:rFonts w:ascii="Cambria Math" w:hAnsi="Cambria Math"/>
                <w:lang w:val="nl-NL"/>
              </w:rPr>
              <m:t>p</m:t>
            </m:r>
          </m:sub>
        </m:sSub>
      </m:oMath>
      <w:r w:rsidRPr="002D4A72">
        <w:t>– specific heat capacity, J/(kg·K)</w:t>
      </w:r>
      <w:r w:rsidRPr="002D4A72">
        <w:br/>
      </w:r>
      <m:oMath>
        <m:sSub>
          <m:sSubPr>
            <m:ctrlPr>
              <w:rPr>
                <w:rFonts w:ascii="Cambria Math" w:hAnsi="Cambria Math"/>
                <w:lang w:val="nl-NL"/>
              </w:rPr>
            </m:ctrlPr>
          </m:sSubPr>
          <m:e>
            <m:r>
              <w:rPr>
                <w:rFonts w:ascii="Cambria Math" w:hAnsi="Cambria Math"/>
                <w:lang w:val="nl-NL"/>
              </w:rPr>
              <m:t>C</m:t>
            </m:r>
          </m:e>
          <m:sub>
            <m:r>
              <w:rPr>
                <w:rFonts w:ascii="Cambria Math" w:hAnsi="Cambria Math"/>
                <w:lang w:val="nl-NL"/>
              </w:rPr>
              <m:t>p</m:t>
            </m:r>
            <m:r>
              <w:rPr>
                <w:rFonts w:ascii="Cambria Math" w:hAnsi="Cambria Math"/>
              </w:rPr>
              <m:t>,</m:t>
            </m:r>
            <m:r>
              <w:rPr>
                <w:rFonts w:ascii="Cambria Math" w:hAnsi="Cambria Math"/>
                <w:lang w:val="nl-NL"/>
              </w:rPr>
              <m:t>mix</m:t>
            </m:r>
          </m:sub>
        </m:sSub>
      </m:oMath>
      <w:r w:rsidRPr="002D4A72">
        <w:t>– mixture specific heat capacity, J/(kg·K)</w:t>
      </w:r>
      <w:r w:rsidRPr="002D4A72">
        <w:br/>
      </w:r>
      <m:oMath>
        <m:r>
          <w:rPr>
            <w:rFonts w:ascii="Cambria Math" w:hAnsi="Cambria Math"/>
            <w:lang w:val="nl-NL"/>
          </w:rPr>
          <m:t>g</m:t>
        </m:r>
      </m:oMath>
      <w:r w:rsidRPr="002D4A72">
        <w:t>– gravitational acceleration, m/s²</w:t>
      </w:r>
      <w:r w:rsidRPr="002D4A72">
        <w:br/>
      </w:r>
      <m:oMath>
        <m:sSup>
          <m:sSupPr>
            <m:ctrlPr>
              <w:rPr>
                <w:rFonts w:ascii="Cambria Math" w:hAnsi="Cambria Math"/>
                <w:lang w:val="nl-NL"/>
              </w:rPr>
            </m:ctrlPr>
          </m:sSupPr>
          <m:e>
            <m:r>
              <w:rPr>
                <w:rFonts w:ascii="Cambria Math" w:hAnsi="Cambria Math"/>
                <w:lang w:val="nl-NL"/>
              </w:rPr>
              <m:t>g</m:t>
            </m:r>
          </m:e>
          <m:sup>
            <m:r>
              <m:rPr>
                <m:sty m:val="p"/>
              </m:rPr>
              <w:rPr>
                <w:rFonts w:ascii="Cambria Math" w:hAnsi="Cambria Math"/>
              </w:rPr>
              <m:t>'</m:t>
            </m:r>
          </m:sup>
        </m:sSup>
      </m:oMath>
      <w:r w:rsidRPr="002D4A72">
        <w:t>– reduced gravity, m/s²</w:t>
      </w:r>
      <w:r w:rsidRPr="002D4A72">
        <w:br/>
      </w:r>
      <m:oMath>
        <m:r>
          <w:rPr>
            <w:rFonts w:ascii="Cambria Math" w:hAnsi="Cambria Math"/>
            <w:lang w:val="nl-NL"/>
          </w:rPr>
          <m:t>H</m:t>
        </m:r>
      </m:oMath>
      <w:r w:rsidRPr="002D4A72">
        <w:t>– room height, m</w:t>
      </w:r>
      <w:r w:rsidRPr="002D4A72">
        <w:br/>
      </w:r>
      <m:oMath>
        <m:r>
          <w:rPr>
            <w:rFonts w:ascii="Cambria Math" w:hAnsi="Cambria Math"/>
            <w:lang w:val="nl-NL"/>
          </w:rPr>
          <m:t>n</m:t>
        </m:r>
      </m:oMath>
      <w:r w:rsidRPr="002D4A72">
        <w:t>– air exchange rate, s</w:t>
      </w:r>
      <w:r w:rsidRPr="002D4A72">
        <w:rPr>
          <w:rFonts w:ascii="Cambria Math" w:hAnsi="Cambria Math" w:cs="Cambria Math"/>
        </w:rPr>
        <w:t>⁻</w:t>
      </w:r>
      <w:r w:rsidRPr="002D4A72">
        <w:rPr>
          <w:rFonts w:cs="Arial"/>
        </w:rPr>
        <w:t>¹</w:t>
      </w:r>
      <w:r w:rsidRPr="002D4A72">
        <w:br/>
      </w:r>
      <m:oMath>
        <m:sSub>
          <m:sSubPr>
            <m:ctrlPr>
              <w:rPr>
                <w:rFonts w:ascii="Cambria Math" w:hAnsi="Cambria Math"/>
                <w:lang w:val="nl-NL"/>
              </w:rPr>
            </m:ctrlPr>
          </m:sSubPr>
          <m:e>
            <m:r>
              <w:rPr>
                <w:rFonts w:ascii="Cambria Math" w:hAnsi="Cambria Math"/>
                <w:lang w:val="nl-NL"/>
              </w:rPr>
              <m:t>P</m:t>
            </m:r>
          </m:e>
          <m:sub>
            <m:r>
              <w:rPr>
                <w:rFonts w:ascii="Cambria Math" w:hAnsi="Cambria Math"/>
              </w:rPr>
              <m:t>0</m:t>
            </m:r>
          </m:sub>
        </m:sSub>
      </m:oMath>
      <w:r w:rsidRPr="002D4A72">
        <w:t>– ambient pressure, Pa</w:t>
      </w:r>
      <w:r w:rsidRPr="002D4A72">
        <w:br/>
      </w:r>
      <m:oMath>
        <m:r>
          <w:rPr>
            <w:rFonts w:ascii="Cambria Math" w:hAnsi="Cambria Math"/>
            <w:lang w:val="nl-NL"/>
          </w:rPr>
          <m:t>Q</m:t>
        </m:r>
      </m:oMath>
      <w:r w:rsidRPr="002D4A72">
        <w:t>– volumetric flow rate, m³/s</w:t>
      </w:r>
      <w:r w:rsidRPr="002D4A72">
        <w:br/>
      </w:r>
      <m:oMath>
        <m:sSub>
          <m:sSubPr>
            <m:ctrlPr>
              <w:rPr>
                <w:rFonts w:ascii="Cambria Math" w:hAnsi="Cambria Math"/>
                <w:lang w:val="nl-NL"/>
              </w:rPr>
            </m:ctrlPr>
          </m:sSubPr>
          <m:e>
            <m:r>
              <w:rPr>
                <w:rFonts w:ascii="Cambria Math" w:hAnsi="Cambria Math"/>
                <w:lang w:val="nl-NL"/>
              </w:rPr>
              <m:t>Q</m:t>
            </m:r>
          </m:e>
          <m:sub>
            <m:r>
              <w:rPr>
                <w:rFonts w:ascii="Cambria Math" w:hAnsi="Cambria Math"/>
                <w:lang w:val="nl-NL"/>
              </w:rPr>
              <m:t>B</m:t>
            </m:r>
          </m:sub>
        </m:sSub>
      </m:oMath>
      <w:r w:rsidRPr="002D4A72">
        <w:t>– buoyancy-driven flow rate, m³/s</w:t>
      </w:r>
      <w:r w:rsidRPr="002D4A72">
        <w:br/>
      </w:r>
      <m:oMath>
        <m:sSub>
          <m:sSubPr>
            <m:ctrlPr>
              <w:rPr>
                <w:rFonts w:ascii="Cambria Math" w:hAnsi="Cambria Math"/>
                <w:lang w:val="nl-NL"/>
              </w:rPr>
            </m:ctrlPr>
          </m:sSubPr>
          <m:e>
            <m:r>
              <w:rPr>
                <w:rFonts w:ascii="Cambria Math" w:hAnsi="Cambria Math"/>
                <w:lang w:val="nl-NL"/>
              </w:rPr>
              <m:t>Q</m:t>
            </m:r>
          </m:e>
          <m:sub>
            <m:r>
              <w:rPr>
                <w:rFonts w:ascii="Cambria Math" w:hAnsi="Cambria Math"/>
                <w:lang w:val="nl-NL"/>
              </w:rPr>
              <m:t>s</m:t>
            </m:r>
          </m:sub>
        </m:sSub>
      </m:oMath>
      <w:r w:rsidRPr="002D4A72">
        <w:t>– source flow rate, m³/s</w:t>
      </w:r>
      <w:r w:rsidRPr="002D4A72">
        <w:br/>
      </w:r>
      <m:oMath>
        <m:sSub>
          <m:sSubPr>
            <m:ctrlPr>
              <w:rPr>
                <w:rFonts w:ascii="Cambria Math" w:hAnsi="Cambria Math"/>
                <w:lang w:val="nl-NL"/>
              </w:rPr>
            </m:ctrlPr>
          </m:sSubPr>
          <m:e>
            <m:r>
              <w:rPr>
                <w:rFonts w:ascii="Cambria Math" w:hAnsi="Cambria Math"/>
                <w:lang w:val="nl-NL"/>
              </w:rPr>
              <m:t>Q</m:t>
            </m:r>
          </m:e>
          <m:sub>
            <m:r>
              <w:rPr>
                <w:rFonts w:ascii="Cambria Math" w:hAnsi="Cambria Math"/>
                <w:lang w:val="nl-NL"/>
              </w:rPr>
              <m:t>w</m:t>
            </m:r>
          </m:sub>
        </m:sSub>
      </m:oMath>
      <w:r w:rsidRPr="002D4A72">
        <w:t>– ventilation flow rate, m³/s</w:t>
      </w:r>
      <w:r w:rsidRPr="002D4A72">
        <w:br/>
      </w:r>
      <m:oMath>
        <m:r>
          <w:rPr>
            <w:rFonts w:ascii="Cambria Math" w:hAnsi="Cambria Math"/>
            <w:lang w:val="nl-NL"/>
          </w:rPr>
          <m:t>t</m:t>
        </m:r>
      </m:oMath>
      <w:r w:rsidRPr="002D4A72">
        <w:t>– time, s</w:t>
      </w:r>
      <w:r w:rsidRPr="002D4A72">
        <w:br/>
      </w:r>
      <m:oMath>
        <m:r>
          <w:rPr>
            <w:rFonts w:ascii="Cambria Math" w:hAnsi="Cambria Math"/>
            <w:lang w:val="nl-NL"/>
          </w:rPr>
          <m:t>T</m:t>
        </m:r>
      </m:oMath>
      <w:r w:rsidRPr="002D4A72">
        <w:t>– temperature, K</w:t>
      </w:r>
      <w:r w:rsidRPr="002D4A72">
        <w:br/>
      </w:r>
      <m:oMath>
        <m:r>
          <w:rPr>
            <w:rFonts w:ascii="Cambria Math" w:hAnsi="Cambria Math"/>
          </w:rPr>
          <m:t>v</m:t>
        </m:r>
      </m:oMath>
      <w:r w:rsidRPr="002D4A72">
        <w:t>– wind velocity, m/s</w:t>
      </w:r>
      <w:r w:rsidRPr="002D4A72">
        <w:br/>
      </w:r>
      <m:oMath>
        <m:sSub>
          <m:sSubPr>
            <m:ctrlPr>
              <w:rPr>
                <w:rFonts w:ascii="Cambria Math" w:hAnsi="Cambria Math"/>
                <w:lang w:val="nl-NL"/>
              </w:rPr>
            </m:ctrlPr>
          </m:sSubPr>
          <m:e>
            <m:r>
              <w:rPr>
                <w:rFonts w:ascii="Cambria Math" w:hAnsi="Cambria Math"/>
              </w:rPr>
              <m:t>v</m:t>
            </m:r>
          </m:e>
          <m:sub>
            <m:r>
              <w:rPr>
                <w:rFonts w:ascii="Cambria Math" w:hAnsi="Cambria Math"/>
                <w:lang w:val="nl-NL"/>
              </w:rPr>
              <m:t>w</m:t>
            </m:r>
          </m:sub>
        </m:sSub>
      </m:oMath>
      <w:r w:rsidRPr="002D4A72">
        <w:t>– wind velocity normal to opening, m/s</w:t>
      </w:r>
      <w:r w:rsidRPr="002D4A72">
        <w:br/>
      </w:r>
      <m:oMath>
        <m:r>
          <w:rPr>
            <w:rFonts w:ascii="Cambria Math" w:hAnsi="Cambria Math"/>
            <w:lang w:val="nl-NL"/>
          </w:rPr>
          <m:t>V</m:t>
        </m:r>
      </m:oMath>
      <w:r w:rsidRPr="002D4A72">
        <w:t>– room volume, m³</w:t>
      </w:r>
      <w:r w:rsidRPr="002D4A72">
        <w:br/>
      </w:r>
      <m:oMath>
        <m:sSub>
          <m:sSubPr>
            <m:ctrlPr>
              <w:rPr>
                <w:rFonts w:ascii="Cambria Math" w:hAnsi="Cambria Math"/>
                <w:lang w:val="nl-NL"/>
              </w:rPr>
            </m:ctrlPr>
          </m:sSubPr>
          <m:e>
            <m:r>
              <w:rPr>
                <w:rFonts w:ascii="Cambria Math" w:hAnsi="Cambria Math"/>
                <w:lang w:val="nl-NL"/>
              </w:rPr>
              <m:t>V</m:t>
            </m:r>
          </m:e>
          <m:sub>
            <m:r>
              <w:rPr>
                <w:rFonts w:ascii="Cambria Math" w:hAnsi="Cambria Math"/>
              </w:rPr>
              <m:t>1</m:t>
            </m:r>
          </m:sub>
        </m:sSub>
      </m:oMath>
      <w:r w:rsidRPr="002D4A72">
        <w:t>– upper layer volume, m³</w:t>
      </w:r>
      <w:r w:rsidRPr="002D4A72">
        <w:br/>
      </w:r>
      <m:oMath>
        <m:r>
          <w:rPr>
            <w:rFonts w:ascii="Cambria Math" w:hAnsi="Cambria Math"/>
            <w:lang w:val="nl-NL"/>
          </w:rPr>
          <m:t>x</m:t>
        </m:r>
      </m:oMath>
      <w:r w:rsidRPr="002D4A72">
        <w:t>– volume fraction of gas, –</w:t>
      </w:r>
      <w:r w:rsidRPr="002D4A72">
        <w:br/>
      </w:r>
      <m:oMath>
        <m:sSub>
          <m:sSubPr>
            <m:ctrlPr>
              <w:rPr>
                <w:rFonts w:ascii="Cambria Math" w:hAnsi="Cambria Math"/>
                <w:lang w:val="nl-NL"/>
              </w:rPr>
            </m:ctrlPr>
          </m:sSubPr>
          <m:e>
            <m:r>
              <w:rPr>
                <w:rFonts w:ascii="Cambria Math" w:hAnsi="Cambria Math"/>
                <w:lang w:val="nl-NL"/>
              </w:rPr>
              <m:t>x</m:t>
            </m:r>
          </m:e>
          <m:sub>
            <m:r>
              <w:rPr>
                <w:rFonts w:ascii="Cambria Math" w:hAnsi="Cambria Math"/>
                <w:lang w:val="nl-NL"/>
              </w:rPr>
              <m:t>air</m:t>
            </m:r>
          </m:sub>
        </m:sSub>
      </m:oMath>
      <w:r w:rsidRPr="002D4A72">
        <w:t>– volume fraction of air, –</w:t>
      </w:r>
    </w:p>
    <w:p w14:paraId="1EC61C11" w14:textId="7D87D89E" w:rsidR="002D4A72" w:rsidRPr="002D4A72" w:rsidRDefault="002D4A72" w:rsidP="002D4A72">
      <w:pPr>
        <w:pStyle w:val="CETBodytext"/>
        <w:jc w:val="left"/>
      </w:pPr>
      <m:oMath>
        <m:r>
          <w:rPr>
            <w:rFonts w:ascii="Cambria Math" w:hAnsi="Cambria Math"/>
            <w:lang w:val="nl-NL"/>
          </w:rPr>
          <m:t>γ</m:t>
        </m:r>
      </m:oMath>
      <w:r w:rsidRPr="002D4A72">
        <w:t>– heat capacity ratio (Poisson constant), –</w:t>
      </w:r>
      <w:r w:rsidRPr="002D4A72">
        <w:br/>
      </w:r>
      <m:oMath>
        <m:r>
          <w:rPr>
            <w:rFonts w:ascii="Cambria Math" w:hAnsi="Cambria Math"/>
            <w:lang w:val="nl-NL"/>
          </w:rPr>
          <m:t>ρ</m:t>
        </m:r>
      </m:oMath>
      <w:r w:rsidRPr="002D4A72">
        <w:t>– density, kg/m³</w:t>
      </w:r>
      <w:r w:rsidRPr="002D4A72">
        <w:br/>
      </w:r>
      <m:oMath>
        <m:sSub>
          <m:sSubPr>
            <m:ctrlPr>
              <w:rPr>
                <w:rFonts w:ascii="Cambria Math" w:hAnsi="Cambria Math"/>
                <w:lang w:val="nl-NL"/>
              </w:rPr>
            </m:ctrlPr>
          </m:sSubPr>
          <m:e>
            <m:r>
              <w:rPr>
                <w:rFonts w:ascii="Cambria Math" w:hAnsi="Cambria Math"/>
                <w:lang w:val="nl-NL"/>
              </w:rPr>
              <m:t>ρ</m:t>
            </m:r>
          </m:e>
          <m:sub>
            <m:r>
              <w:rPr>
                <w:rFonts w:ascii="Cambria Math" w:hAnsi="Cambria Math"/>
                <w:lang w:val="nl-NL"/>
              </w:rPr>
              <m:t>air</m:t>
            </m:r>
          </m:sub>
        </m:sSub>
      </m:oMath>
      <w:r w:rsidRPr="002D4A72">
        <w:t>– air density, kg/m³</w:t>
      </w:r>
      <w:r w:rsidRPr="002D4A72">
        <w:br/>
      </w:r>
      <m:oMath>
        <m:sSub>
          <m:sSubPr>
            <m:ctrlPr>
              <w:rPr>
                <w:rFonts w:ascii="Cambria Math" w:hAnsi="Cambria Math"/>
                <w:lang w:val="nl-NL"/>
              </w:rPr>
            </m:ctrlPr>
          </m:sSubPr>
          <m:e>
            <m:r>
              <w:rPr>
                <w:rFonts w:ascii="Cambria Math" w:hAnsi="Cambria Math"/>
                <w:lang w:val="nl-NL"/>
              </w:rPr>
              <m:t>ρ</m:t>
            </m:r>
          </m:e>
          <m:sub>
            <m:r>
              <w:rPr>
                <w:rFonts w:ascii="Cambria Math" w:hAnsi="Cambria Math"/>
                <w:lang w:val="nl-NL"/>
              </w:rPr>
              <m:t>gas</m:t>
            </m:r>
          </m:sub>
        </m:sSub>
      </m:oMath>
      <w:r w:rsidRPr="002D4A72">
        <w:t>– gas density, kg/m³</w:t>
      </w:r>
      <w:r w:rsidRPr="002D4A72">
        <w:br/>
      </w:r>
      <m:oMath>
        <m:r>
          <w:rPr>
            <w:rFonts w:ascii="Cambria Math" w:hAnsi="Cambria Math"/>
            <w:lang w:val="nl-NL"/>
          </w:rPr>
          <m:t>θ</m:t>
        </m:r>
      </m:oMath>
      <w:r w:rsidRPr="002D4A72">
        <w:t>– wind or jet angle, °</w:t>
      </w:r>
    </w:p>
    <w:p w14:paraId="60B41372" w14:textId="77777777" w:rsidR="0098608B" w:rsidRDefault="0098608B" w:rsidP="00E546F3">
      <w:pPr>
        <w:pStyle w:val="CETBodytext"/>
        <w:sectPr w:rsidR="0098608B" w:rsidSect="0098608B">
          <w:type w:val="continuous"/>
          <w:pgSz w:w="11906" w:h="16838" w:code="9"/>
          <w:pgMar w:top="1701" w:right="1418" w:bottom="1701" w:left="1701" w:header="1701" w:footer="0" w:gutter="0"/>
          <w:cols w:num="2" w:space="708"/>
          <w:formProt w:val="0"/>
          <w:titlePg/>
          <w:docGrid w:linePitch="360"/>
        </w:sectPr>
      </w:pPr>
    </w:p>
    <w:p w14:paraId="023FB889" w14:textId="7C6BCA73" w:rsidR="00914D91" w:rsidRDefault="00914D91" w:rsidP="00E22539">
      <w:pPr>
        <w:pStyle w:val="CETReference"/>
      </w:pPr>
      <w:r>
        <w:t>References</w:t>
      </w:r>
    </w:p>
    <w:sdt>
      <w:sdtPr>
        <w:rPr>
          <w:rFonts w:cs="Arial"/>
          <w:color w:val="000000"/>
        </w:rPr>
        <w:tag w:val="MENDELEY_BIBLIOGRAPHY"/>
        <w:id w:val="1915429838"/>
        <w:placeholder>
          <w:docPart w:val="DefaultPlaceholder_-1854013440"/>
        </w:placeholder>
      </w:sdtPr>
      <w:sdtContent>
        <w:p w14:paraId="453C19C4" w14:textId="77777777" w:rsidR="00677AC7" w:rsidRPr="00677AC7" w:rsidRDefault="00677AC7">
          <w:pPr>
            <w:autoSpaceDE w:val="0"/>
            <w:autoSpaceDN w:val="0"/>
            <w:ind w:hanging="480"/>
            <w:divId w:val="251398253"/>
            <w:rPr>
              <w:rFonts w:cs="Arial"/>
              <w:color w:val="000000"/>
              <w:szCs w:val="24"/>
            </w:rPr>
          </w:pPr>
          <w:r w:rsidRPr="00677AC7">
            <w:rPr>
              <w:rFonts w:cs="Arial"/>
              <w:color w:val="000000"/>
            </w:rPr>
            <w:t>ATEX. 2021. “NEN-EN-IEC 60079-10-1 Explosive Atmospheres - Part 10-1: Classification Areas - Explosive Gas Atmospheres (IEC 60079- 10-1:</w:t>
          </w:r>
          <w:proofErr w:type="gramStart"/>
          <w:r w:rsidRPr="00677AC7">
            <w:rPr>
              <w:rFonts w:cs="Arial"/>
              <w:color w:val="000000"/>
            </w:rPr>
            <w:t>2020,IDT</w:t>
          </w:r>
          <w:proofErr w:type="gramEnd"/>
          <w:r w:rsidRPr="00677AC7">
            <w:rPr>
              <w:rFonts w:cs="Arial"/>
              <w:color w:val="000000"/>
            </w:rPr>
            <w:t>).”</w:t>
          </w:r>
        </w:p>
        <w:p w14:paraId="2DB55B3B" w14:textId="77777777" w:rsidR="00677AC7" w:rsidRPr="00677AC7" w:rsidRDefault="00677AC7">
          <w:pPr>
            <w:autoSpaceDE w:val="0"/>
            <w:autoSpaceDN w:val="0"/>
            <w:ind w:hanging="480"/>
            <w:divId w:val="1366637810"/>
            <w:rPr>
              <w:rFonts w:cs="Arial"/>
              <w:color w:val="000000"/>
            </w:rPr>
          </w:pPr>
          <w:r w:rsidRPr="00677AC7">
            <w:rPr>
              <w:rFonts w:cs="Arial"/>
              <w:color w:val="000000"/>
            </w:rPr>
            <w:t xml:space="preserve">Bauwens, C. R., and S. B. Dorofeev. 2014. “CFD </w:t>
          </w:r>
          <w:proofErr w:type="spellStart"/>
          <w:r w:rsidRPr="00677AC7">
            <w:rPr>
              <w:rFonts w:cs="Arial"/>
              <w:color w:val="000000"/>
            </w:rPr>
            <w:t>Modeling</w:t>
          </w:r>
          <w:proofErr w:type="spellEnd"/>
          <w:r w:rsidRPr="00677AC7">
            <w:rPr>
              <w:rFonts w:cs="Arial"/>
              <w:color w:val="000000"/>
            </w:rPr>
            <w:t xml:space="preserve"> and Consequence Analysis of an Accidental Hydrogen Release in a </w:t>
          </w:r>
          <w:proofErr w:type="gramStart"/>
          <w:r w:rsidRPr="00677AC7">
            <w:rPr>
              <w:rFonts w:cs="Arial"/>
              <w:color w:val="000000"/>
            </w:rPr>
            <w:t>Large Scale</w:t>
          </w:r>
          <w:proofErr w:type="gramEnd"/>
          <w:r w:rsidRPr="00677AC7">
            <w:rPr>
              <w:rFonts w:cs="Arial"/>
              <w:color w:val="000000"/>
            </w:rPr>
            <w:t xml:space="preserve"> Facility.” Pp. 20447–54 in </w:t>
          </w:r>
          <w:r w:rsidRPr="00677AC7">
            <w:rPr>
              <w:rFonts w:cs="Arial"/>
              <w:i/>
              <w:iCs/>
              <w:color w:val="000000"/>
            </w:rPr>
            <w:t>International Journal of Hydrogen Energy</w:t>
          </w:r>
          <w:r w:rsidRPr="00677AC7">
            <w:rPr>
              <w:rFonts w:cs="Arial"/>
              <w:color w:val="000000"/>
            </w:rPr>
            <w:t>. Vol. 39. Elsevier Ltd.</w:t>
          </w:r>
        </w:p>
        <w:p w14:paraId="2179B6E9" w14:textId="77777777" w:rsidR="00677AC7" w:rsidRPr="00677AC7" w:rsidRDefault="00677AC7">
          <w:pPr>
            <w:autoSpaceDE w:val="0"/>
            <w:autoSpaceDN w:val="0"/>
            <w:ind w:hanging="480"/>
            <w:divId w:val="1808860206"/>
            <w:rPr>
              <w:rFonts w:cs="Arial"/>
              <w:color w:val="000000"/>
            </w:rPr>
          </w:pPr>
          <w:r w:rsidRPr="00677AC7">
            <w:rPr>
              <w:rFonts w:cs="Arial"/>
              <w:color w:val="000000"/>
            </w:rPr>
            <w:t xml:space="preserve">Ekoto, Isaac W., William G. Houf, Greg H. Evans, Erik G. </w:t>
          </w:r>
          <w:proofErr w:type="spellStart"/>
          <w:r w:rsidRPr="00677AC7">
            <w:rPr>
              <w:rFonts w:cs="Arial"/>
              <w:color w:val="000000"/>
            </w:rPr>
            <w:t>Merilo</w:t>
          </w:r>
          <w:proofErr w:type="spellEnd"/>
          <w:r w:rsidRPr="00677AC7">
            <w:rPr>
              <w:rFonts w:cs="Arial"/>
              <w:color w:val="000000"/>
            </w:rPr>
            <w:t xml:space="preserve">, and Mark A. Groethe. 2012. “Experimental Investigation of Hydrogen Release and Ignition from Fuel Cell Powered Forklifts in Enclosed Spaces.” </w:t>
          </w:r>
          <w:r w:rsidRPr="00677AC7">
            <w:rPr>
              <w:rFonts w:cs="Arial"/>
              <w:i/>
              <w:iCs/>
              <w:color w:val="000000"/>
            </w:rPr>
            <w:t>International Journal of Hydrogen Energy</w:t>
          </w:r>
          <w:r w:rsidRPr="00677AC7">
            <w:rPr>
              <w:rFonts w:cs="Arial"/>
              <w:color w:val="000000"/>
            </w:rPr>
            <w:t xml:space="preserve"> 37(22):17446–56. </w:t>
          </w:r>
          <w:proofErr w:type="gramStart"/>
          <w:r w:rsidRPr="00677AC7">
            <w:rPr>
              <w:rFonts w:cs="Arial"/>
              <w:color w:val="000000"/>
            </w:rPr>
            <w:t>doi:10.1016/j.ijhydene</w:t>
          </w:r>
          <w:proofErr w:type="gramEnd"/>
          <w:r w:rsidRPr="00677AC7">
            <w:rPr>
              <w:rFonts w:cs="Arial"/>
              <w:color w:val="000000"/>
            </w:rPr>
            <w:t>.2012.03.161.</w:t>
          </w:r>
        </w:p>
        <w:p w14:paraId="556ABF44" w14:textId="77777777" w:rsidR="00677AC7" w:rsidRPr="00677AC7" w:rsidRDefault="00677AC7">
          <w:pPr>
            <w:autoSpaceDE w:val="0"/>
            <w:autoSpaceDN w:val="0"/>
            <w:ind w:hanging="480"/>
            <w:divId w:val="1556038313"/>
            <w:rPr>
              <w:rFonts w:cs="Arial"/>
              <w:color w:val="000000"/>
            </w:rPr>
          </w:pPr>
          <w:r w:rsidRPr="00677AC7">
            <w:rPr>
              <w:rFonts w:cs="Arial"/>
              <w:color w:val="000000"/>
            </w:rPr>
            <w:t xml:space="preserve">Kaye, N. B., and G. R. Hunt. 2004. “Time-Dependent Flows in an Emptying Filling Box.” </w:t>
          </w:r>
          <w:r w:rsidRPr="00677AC7">
            <w:rPr>
              <w:rFonts w:cs="Arial"/>
              <w:i/>
              <w:iCs/>
              <w:color w:val="000000"/>
            </w:rPr>
            <w:t>Journal of Fluid Mechanics</w:t>
          </w:r>
          <w:r w:rsidRPr="00677AC7">
            <w:rPr>
              <w:rFonts w:cs="Arial"/>
              <w:color w:val="000000"/>
            </w:rPr>
            <w:t xml:space="preserve"> 520:135–56. doi:10.1017/S0022112004001156.</w:t>
          </w:r>
        </w:p>
        <w:p w14:paraId="7B387D80" w14:textId="77777777" w:rsidR="00677AC7" w:rsidRPr="00677AC7" w:rsidRDefault="00677AC7">
          <w:pPr>
            <w:autoSpaceDE w:val="0"/>
            <w:autoSpaceDN w:val="0"/>
            <w:ind w:hanging="480"/>
            <w:divId w:val="2054889432"/>
            <w:rPr>
              <w:rFonts w:cs="Arial"/>
              <w:color w:val="000000"/>
            </w:rPr>
          </w:pPr>
          <w:proofErr w:type="spellStart"/>
          <w:r w:rsidRPr="00677AC7">
            <w:rPr>
              <w:rFonts w:cs="Arial"/>
              <w:color w:val="000000"/>
            </w:rPr>
            <w:t>Lowesmith</w:t>
          </w:r>
          <w:proofErr w:type="spellEnd"/>
          <w:r w:rsidRPr="00677AC7">
            <w:rPr>
              <w:rFonts w:cs="Arial"/>
              <w:color w:val="000000"/>
            </w:rPr>
            <w:t xml:space="preserve">, B. J., G. Hankinson, C. Spataru, and M. Stobbart. 2009. “Gas Build-up in a Domestic Property Following Releases of Methane/Hydrogen Mixtures.” </w:t>
          </w:r>
          <w:r w:rsidRPr="00677AC7">
            <w:rPr>
              <w:rFonts w:cs="Arial"/>
              <w:i/>
              <w:iCs/>
              <w:color w:val="000000"/>
            </w:rPr>
            <w:t>International Journal of Hydrogen Energy</w:t>
          </w:r>
          <w:r w:rsidRPr="00677AC7">
            <w:rPr>
              <w:rFonts w:cs="Arial"/>
              <w:color w:val="000000"/>
            </w:rPr>
            <w:t xml:space="preserve"> 34(14):5932–39. </w:t>
          </w:r>
          <w:proofErr w:type="gramStart"/>
          <w:r w:rsidRPr="00677AC7">
            <w:rPr>
              <w:rFonts w:cs="Arial"/>
              <w:color w:val="000000"/>
            </w:rPr>
            <w:t>doi:10.1016/j.ijhydene</w:t>
          </w:r>
          <w:proofErr w:type="gramEnd"/>
          <w:r w:rsidRPr="00677AC7">
            <w:rPr>
              <w:rFonts w:cs="Arial"/>
              <w:color w:val="000000"/>
            </w:rPr>
            <w:t>.2009.01.060.</w:t>
          </w:r>
        </w:p>
        <w:p w14:paraId="4133839F" w14:textId="77777777" w:rsidR="00677AC7" w:rsidRPr="00677AC7" w:rsidRDefault="00677AC7">
          <w:pPr>
            <w:autoSpaceDE w:val="0"/>
            <w:autoSpaceDN w:val="0"/>
            <w:ind w:hanging="480"/>
            <w:divId w:val="1514491778"/>
            <w:rPr>
              <w:rFonts w:cs="Arial"/>
              <w:color w:val="000000"/>
            </w:rPr>
          </w:pPr>
          <w:proofErr w:type="spellStart"/>
          <w:r w:rsidRPr="00677AC7">
            <w:rPr>
              <w:rFonts w:cs="Arial"/>
              <w:color w:val="000000"/>
            </w:rPr>
            <w:t>Merilo</w:t>
          </w:r>
          <w:proofErr w:type="spellEnd"/>
          <w:r w:rsidRPr="00677AC7">
            <w:rPr>
              <w:rFonts w:cs="Arial"/>
              <w:color w:val="000000"/>
            </w:rPr>
            <w:t xml:space="preserve">, E. G., M. A. Groethe, J. D. Colton, and S. Chiba. 2011. “Experimental Study of Hydrogen Release Accidents in a Vehicle Garage.” </w:t>
          </w:r>
          <w:r w:rsidRPr="00677AC7">
            <w:rPr>
              <w:rFonts w:cs="Arial"/>
              <w:i/>
              <w:iCs/>
              <w:color w:val="000000"/>
            </w:rPr>
            <w:t>International Journal of Hydrogen Energy</w:t>
          </w:r>
          <w:r w:rsidRPr="00677AC7">
            <w:rPr>
              <w:rFonts w:cs="Arial"/>
              <w:color w:val="000000"/>
            </w:rPr>
            <w:t xml:space="preserve"> 36(3):2436–44. </w:t>
          </w:r>
          <w:proofErr w:type="gramStart"/>
          <w:r w:rsidRPr="00677AC7">
            <w:rPr>
              <w:rFonts w:cs="Arial"/>
              <w:color w:val="000000"/>
            </w:rPr>
            <w:t>doi:10.1016/j.ijhydene</w:t>
          </w:r>
          <w:proofErr w:type="gramEnd"/>
          <w:r w:rsidRPr="00677AC7">
            <w:rPr>
              <w:rFonts w:cs="Arial"/>
              <w:color w:val="000000"/>
            </w:rPr>
            <w:t>.2010.04.056.</w:t>
          </w:r>
        </w:p>
        <w:p w14:paraId="704D48CB" w14:textId="77777777" w:rsidR="00677AC7" w:rsidRPr="00677AC7" w:rsidRDefault="00677AC7">
          <w:pPr>
            <w:autoSpaceDE w:val="0"/>
            <w:autoSpaceDN w:val="0"/>
            <w:ind w:hanging="480"/>
            <w:divId w:val="734819715"/>
            <w:rPr>
              <w:rFonts w:cs="Arial"/>
              <w:color w:val="000000"/>
            </w:rPr>
          </w:pPr>
          <w:r w:rsidRPr="00677AC7">
            <w:rPr>
              <w:rFonts w:cs="Arial"/>
              <w:color w:val="000000"/>
            </w:rPr>
            <w:t>Walker, Andy. 2016. “Natural Ventilation.” https://www.wbdg.org/resources/natural-ventilation.</w:t>
          </w:r>
        </w:p>
        <w:p w14:paraId="5FEE9260" w14:textId="77777777" w:rsidR="00677AC7" w:rsidRPr="00677AC7" w:rsidRDefault="00677AC7">
          <w:pPr>
            <w:autoSpaceDE w:val="0"/>
            <w:autoSpaceDN w:val="0"/>
            <w:ind w:hanging="480"/>
            <w:divId w:val="789277003"/>
            <w:rPr>
              <w:rFonts w:cs="Arial"/>
              <w:color w:val="000000"/>
            </w:rPr>
          </w:pPr>
          <w:r w:rsidRPr="00677AC7">
            <w:rPr>
              <w:rFonts w:cs="Arial"/>
              <w:color w:val="000000"/>
            </w:rPr>
            <w:t xml:space="preserve">Wang, </w:t>
          </w:r>
          <w:proofErr w:type="spellStart"/>
          <w:r w:rsidRPr="00677AC7">
            <w:rPr>
              <w:rFonts w:cs="Arial"/>
              <w:color w:val="000000"/>
            </w:rPr>
            <w:t>Zhirong</w:t>
          </w:r>
          <w:proofErr w:type="spellEnd"/>
          <w:r w:rsidRPr="00677AC7">
            <w:rPr>
              <w:rFonts w:cs="Arial"/>
              <w:color w:val="000000"/>
            </w:rPr>
            <w:t xml:space="preserve">, Yuanyuan Hu, and </w:t>
          </w:r>
          <w:proofErr w:type="spellStart"/>
          <w:r w:rsidRPr="00677AC7">
            <w:rPr>
              <w:rFonts w:cs="Arial"/>
              <w:color w:val="000000"/>
            </w:rPr>
            <w:t>Juncheng</w:t>
          </w:r>
          <w:proofErr w:type="spellEnd"/>
          <w:r w:rsidRPr="00677AC7">
            <w:rPr>
              <w:rFonts w:cs="Arial"/>
              <w:color w:val="000000"/>
            </w:rPr>
            <w:t xml:space="preserve"> Jiang. 2013. “Numerical Investigation of Leaking and Dispersion of Carbon Dioxide Indoor under Ventilation Condition.” </w:t>
          </w:r>
          <w:r w:rsidRPr="00677AC7">
            <w:rPr>
              <w:rFonts w:cs="Arial"/>
              <w:i/>
              <w:iCs/>
              <w:color w:val="000000"/>
            </w:rPr>
            <w:t>Energy and Buildings</w:t>
          </w:r>
          <w:r w:rsidRPr="00677AC7">
            <w:rPr>
              <w:rFonts w:cs="Arial"/>
              <w:color w:val="000000"/>
            </w:rPr>
            <w:t xml:space="preserve"> 66:461–66. </w:t>
          </w:r>
          <w:proofErr w:type="gramStart"/>
          <w:r w:rsidRPr="00677AC7">
            <w:rPr>
              <w:rFonts w:cs="Arial"/>
              <w:color w:val="000000"/>
            </w:rPr>
            <w:t>doi:10.1016/j.enbuild</w:t>
          </w:r>
          <w:proofErr w:type="gramEnd"/>
          <w:r w:rsidRPr="00677AC7">
            <w:rPr>
              <w:rFonts w:cs="Arial"/>
              <w:color w:val="000000"/>
            </w:rPr>
            <w:t>.2013.06.031.</w:t>
          </w:r>
        </w:p>
        <w:p w14:paraId="580DCBAB" w14:textId="5E7245D0" w:rsidR="00E8315C" w:rsidRPr="00E8315C" w:rsidRDefault="00677AC7" w:rsidP="00673994">
          <w:pPr>
            <w:pStyle w:val="CETReferencetext"/>
          </w:pPr>
          <w:r w:rsidRPr="00677AC7">
            <w:rPr>
              <w:rFonts w:cs="Arial"/>
              <w:color w:val="000000"/>
            </w:rPr>
            <w:t> </w:t>
          </w:r>
        </w:p>
      </w:sdtContent>
    </w:sdt>
    <w:sectPr w:rsidR="00E8315C" w:rsidRPr="00E8315C"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9038" w14:textId="77777777" w:rsidR="00472416" w:rsidRDefault="00472416" w:rsidP="004F5E36">
      <w:r>
        <w:separator/>
      </w:r>
    </w:p>
  </w:endnote>
  <w:endnote w:type="continuationSeparator" w:id="0">
    <w:p w14:paraId="06CB03E1" w14:textId="77777777" w:rsidR="00472416" w:rsidRDefault="00472416"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C7026" w14:textId="77777777" w:rsidR="00472416" w:rsidRDefault="00472416" w:rsidP="004F5E36">
      <w:r>
        <w:separator/>
      </w:r>
    </w:p>
  </w:footnote>
  <w:footnote w:type="continuationSeparator" w:id="0">
    <w:p w14:paraId="7C67F65C" w14:textId="77777777" w:rsidR="00472416" w:rsidRDefault="00472416"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90B11"/>
    <w:multiLevelType w:val="hybridMultilevel"/>
    <w:tmpl w:val="6374ECB4"/>
    <w:lvl w:ilvl="0" w:tplc="7876A1F0">
      <w:start w:val="1"/>
      <w:numFmt w:val="decimal"/>
      <w:pStyle w:val="Tabelltekst"/>
      <w:lvlText w:val="Table %1."/>
      <w:lvlJc w:val="left"/>
      <w:pPr>
        <w:tabs>
          <w:tab w:val="num" w:pos="180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301B6B"/>
    <w:multiLevelType w:val="multilevel"/>
    <w:tmpl w:val="8DFC9392"/>
    <w:lvl w:ilvl="0">
      <w:start w:val="1"/>
      <w:numFmt w:val="upperLetter"/>
      <w:pStyle w:val="BijlageHeader"/>
      <w:lvlText w:val="%1"/>
      <w:lvlJc w:val="left"/>
      <w:pPr>
        <w:tabs>
          <w:tab w:val="num" w:pos="432"/>
        </w:tabs>
        <w:ind w:left="432" w:hanging="432"/>
      </w:pPr>
      <w:rPr>
        <w:rFonts w:hint="default"/>
      </w:rPr>
    </w:lvl>
    <w:lvl w:ilvl="1">
      <w:start w:val="1"/>
      <w:numFmt w:val="decimal"/>
      <w:pStyle w:val="BijlageHeader2"/>
      <w:lvlText w:val="%1.%2"/>
      <w:lvlJc w:val="left"/>
      <w:pPr>
        <w:tabs>
          <w:tab w:val="num" w:pos="576"/>
        </w:tabs>
        <w:ind w:left="576" w:hanging="576"/>
      </w:pPr>
      <w:rPr>
        <w:rFonts w:hint="default"/>
      </w:rPr>
    </w:lvl>
    <w:lvl w:ilvl="2">
      <w:start w:val="1"/>
      <w:numFmt w:val="decimal"/>
      <w:pStyle w:val="BijlageHeader3"/>
      <w:lvlText w:val="%1.%2.%3"/>
      <w:lvlJc w:val="left"/>
      <w:pPr>
        <w:tabs>
          <w:tab w:val="num" w:pos="720"/>
        </w:tabs>
        <w:ind w:left="720" w:hanging="720"/>
      </w:pPr>
      <w:rPr>
        <w:rFonts w:hint="default"/>
      </w:rPr>
    </w:lvl>
    <w:lvl w:ilvl="3">
      <w:start w:val="1"/>
      <w:numFmt w:val="decimal"/>
      <w:pStyle w:val="BijlageHeader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upperLetter"/>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390343D"/>
    <w:multiLevelType w:val="hybridMultilevel"/>
    <w:tmpl w:val="893A0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26B8218C"/>
    <w:multiLevelType w:val="hybridMultilevel"/>
    <w:tmpl w:val="5DE82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D15DA0"/>
    <w:multiLevelType w:val="multilevel"/>
    <w:tmpl w:val="1A4E7DC8"/>
    <w:lvl w:ilvl="0">
      <w:start w:val="1"/>
      <w:numFmt w:val="upperLetter"/>
      <w:pStyle w:val="AppHeadingA1"/>
      <w:lvlText w:val="Appendix %1"/>
      <w:lvlJc w:val="left"/>
      <w:pPr>
        <w:tabs>
          <w:tab w:val="num" w:pos="2880"/>
        </w:tabs>
        <w:ind w:left="1854" w:hanging="1134"/>
      </w:pPr>
      <w:rPr>
        <w:rFonts w:hint="default"/>
      </w:rPr>
    </w:lvl>
    <w:lvl w:ilvl="1">
      <w:start w:val="1"/>
      <w:numFmt w:val="decimal"/>
      <w:pStyle w:val="AppHeadingA2"/>
      <w:lvlText w:val="%1 %2"/>
      <w:lvlJc w:val="left"/>
      <w:pPr>
        <w:tabs>
          <w:tab w:val="num" w:pos="1854"/>
        </w:tabs>
        <w:ind w:left="1854" w:hanging="1134"/>
      </w:pPr>
      <w:rPr>
        <w:rFonts w:hint="default"/>
      </w:rPr>
    </w:lvl>
    <w:lvl w:ilvl="2">
      <w:start w:val="1"/>
      <w:numFmt w:val="decimal"/>
      <w:pStyle w:val="AppHeadingA3"/>
      <w:lvlText w:val="%1 %2.%3"/>
      <w:lvlJc w:val="left"/>
      <w:pPr>
        <w:tabs>
          <w:tab w:val="num" w:pos="1854"/>
        </w:tabs>
        <w:ind w:left="1854" w:hanging="1134"/>
      </w:pPr>
      <w:rPr>
        <w:rFonts w:hint="default"/>
      </w:rPr>
    </w:lvl>
    <w:lvl w:ilvl="3">
      <w:start w:val="1"/>
      <w:numFmt w:val="decimal"/>
      <w:lvlText w:val="A%1.%2.%3.%4."/>
      <w:lvlJc w:val="left"/>
      <w:pPr>
        <w:tabs>
          <w:tab w:val="num" w:pos="1854"/>
        </w:tabs>
        <w:ind w:left="1854" w:hanging="1134"/>
      </w:pPr>
      <w:rPr>
        <w:rFonts w:hint="default"/>
      </w:rPr>
    </w:lvl>
    <w:lvl w:ilvl="4">
      <w:start w:val="1"/>
      <w:numFmt w:val="decimal"/>
      <w:lvlText w:val="A%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7" w15:restartNumberingAfterBreak="0">
    <w:nsid w:val="59926F37"/>
    <w:multiLevelType w:val="hybridMultilevel"/>
    <w:tmpl w:val="F402BB4E"/>
    <w:lvl w:ilvl="0" w:tplc="EB1E7890">
      <w:start w:val="1"/>
      <w:numFmt w:val="decimal"/>
      <w:pStyle w:val="Figurtekst"/>
      <w:lvlText w:val="Figure %1."/>
      <w:lvlJc w:val="left"/>
      <w:pPr>
        <w:tabs>
          <w:tab w:val="num" w:pos="21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3033A7"/>
    <w:multiLevelType w:val="hybridMultilevel"/>
    <w:tmpl w:val="BC9646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6882765">
    <w:abstractNumId w:val="13"/>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695733619">
    <w:abstractNumId w:val="15"/>
  </w:num>
  <w:num w:numId="13" w16cid:durableId="145903400">
    <w:abstractNumId w:val="18"/>
  </w:num>
  <w:num w:numId="14" w16cid:durableId="19162326">
    <w:abstractNumId w:val="19"/>
  </w:num>
  <w:num w:numId="15" w16cid:durableId="1438721287">
    <w:abstractNumId w:val="17"/>
  </w:num>
  <w:num w:numId="16" w16cid:durableId="1828741054">
    <w:abstractNumId w:val="10"/>
  </w:num>
  <w:num w:numId="17" w16cid:durableId="1718243120">
    <w:abstractNumId w:val="16"/>
  </w:num>
  <w:num w:numId="18" w16cid:durableId="2061899865">
    <w:abstractNumId w:val="11"/>
  </w:num>
  <w:num w:numId="19" w16cid:durableId="1331712618">
    <w:abstractNumId w:val="20"/>
  </w:num>
  <w:num w:numId="20" w16cid:durableId="487358452">
    <w:abstractNumId w:val="12"/>
  </w:num>
  <w:num w:numId="21" w16cid:durableId="108268429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10DA"/>
    <w:rsid w:val="000027C0"/>
    <w:rsid w:val="0000300E"/>
    <w:rsid w:val="00004717"/>
    <w:rsid w:val="000052FB"/>
    <w:rsid w:val="00005884"/>
    <w:rsid w:val="00005A19"/>
    <w:rsid w:val="000117CB"/>
    <w:rsid w:val="00013C67"/>
    <w:rsid w:val="00014064"/>
    <w:rsid w:val="000165C8"/>
    <w:rsid w:val="00022CB6"/>
    <w:rsid w:val="00022D7C"/>
    <w:rsid w:val="0002556E"/>
    <w:rsid w:val="00025BDC"/>
    <w:rsid w:val="00027604"/>
    <w:rsid w:val="0003148D"/>
    <w:rsid w:val="00031EEC"/>
    <w:rsid w:val="000338B3"/>
    <w:rsid w:val="00033CDA"/>
    <w:rsid w:val="000404CB"/>
    <w:rsid w:val="00051053"/>
    <w:rsid w:val="00051566"/>
    <w:rsid w:val="000562A9"/>
    <w:rsid w:val="00060BCB"/>
    <w:rsid w:val="00061D60"/>
    <w:rsid w:val="00062A9A"/>
    <w:rsid w:val="00065058"/>
    <w:rsid w:val="00070382"/>
    <w:rsid w:val="00071DB4"/>
    <w:rsid w:val="00071FF6"/>
    <w:rsid w:val="000769D9"/>
    <w:rsid w:val="0008484C"/>
    <w:rsid w:val="000856BA"/>
    <w:rsid w:val="00086C39"/>
    <w:rsid w:val="000872C4"/>
    <w:rsid w:val="0009174E"/>
    <w:rsid w:val="000A03B2"/>
    <w:rsid w:val="000A1A0B"/>
    <w:rsid w:val="000B175F"/>
    <w:rsid w:val="000B2AEE"/>
    <w:rsid w:val="000C2BE5"/>
    <w:rsid w:val="000C4627"/>
    <w:rsid w:val="000D0268"/>
    <w:rsid w:val="000D34BE"/>
    <w:rsid w:val="000D70B8"/>
    <w:rsid w:val="000E102F"/>
    <w:rsid w:val="000E189E"/>
    <w:rsid w:val="000E36F1"/>
    <w:rsid w:val="000E3A73"/>
    <w:rsid w:val="000E414A"/>
    <w:rsid w:val="000E48BB"/>
    <w:rsid w:val="000E6514"/>
    <w:rsid w:val="000E7548"/>
    <w:rsid w:val="000E75FD"/>
    <w:rsid w:val="000F093C"/>
    <w:rsid w:val="000F169D"/>
    <w:rsid w:val="000F3E10"/>
    <w:rsid w:val="000F787B"/>
    <w:rsid w:val="001005B2"/>
    <w:rsid w:val="00105E13"/>
    <w:rsid w:val="0011028B"/>
    <w:rsid w:val="00112B16"/>
    <w:rsid w:val="00116782"/>
    <w:rsid w:val="0012091F"/>
    <w:rsid w:val="00124AAD"/>
    <w:rsid w:val="001262FA"/>
    <w:rsid w:val="00126A9C"/>
    <w:rsid w:val="00126BC2"/>
    <w:rsid w:val="001308B6"/>
    <w:rsid w:val="0013121F"/>
    <w:rsid w:val="00131FE6"/>
    <w:rsid w:val="0013263F"/>
    <w:rsid w:val="001331DF"/>
    <w:rsid w:val="00133777"/>
    <w:rsid w:val="00134DE4"/>
    <w:rsid w:val="0014034D"/>
    <w:rsid w:val="00140FE3"/>
    <w:rsid w:val="00144D16"/>
    <w:rsid w:val="00150E59"/>
    <w:rsid w:val="00152DE3"/>
    <w:rsid w:val="00164A8D"/>
    <w:rsid w:val="00164C9D"/>
    <w:rsid w:val="00164CF9"/>
    <w:rsid w:val="001667A6"/>
    <w:rsid w:val="00177450"/>
    <w:rsid w:val="0018139B"/>
    <w:rsid w:val="00184AD6"/>
    <w:rsid w:val="00194B95"/>
    <w:rsid w:val="00197396"/>
    <w:rsid w:val="001A16BE"/>
    <w:rsid w:val="001A3CC5"/>
    <w:rsid w:val="001A4AF7"/>
    <w:rsid w:val="001A7FAC"/>
    <w:rsid w:val="001B0349"/>
    <w:rsid w:val="001B1E93"/>
    <w:rsid w:val="001B61A7"/>
    <w:rsid w:val="001B65C1"/>
    <w:rsid w:val="001C027D"/>
    <w:rsid w:val="001C260F"/>
    <w:rsid w:val="001C33F1"/>
    <w:rsid w:val="001C684B"/>
    <w:rsid w:val="001D0CFB"/>
    <w:rsid w:val="001D21AF"/>
    <w:rsid w:val="001D2B23"/>
    <w:rsid w:val="001D2F30"/>
    <w:rsid w:val="001D48A6"/>
    <w:rsid w:val="001D53FC"/>
    <w:rsid w:val="001D59E1"/>
    <w:rsid w:val="001E1CFC"/>
    <w:rsid w:val="001E4765"/>
    <w:rsid w:val="001E7A68"/>
    <w:rsid w:val="001F341D"/>
    <w:rsid w:val="001F42A5"/>
    <w:rsid w:val="001F719E"/>
    <w:rsid w:val="001F7B9D"/>
    <w:rsid w:val="00201C93"/>
    <w:rsid w:val="00203F56"/>
    <w:rsid w:val="002074C1"/>
    <w:rsid w:val="00210DFE"/>
    <w:rsid w:val="00210F1A"/>
    <w:rsid w:val="0021137C"/>
    <w:rsid w:val="00211CDA"/>
    <w:rsid w:val="00214F1C"/>
    <w:rsid w:val="002224B4"/>
    <w:rsid w:val="0022705A"/>
    <w:rsid w:val="00230110"/>
    <w:rsid w:val="002447EF"/>
    <w:rsid w:val="00247C06"/>
    <w:rsid w:val="00251550"/>
    <w:rsid w:val="00263B05"/>
    <w:rsid w:val="00265D44"/>
    <w:rsid w:val="0027049A"/>
    <w:rsid w:val="0027221A"/>
    <w:rsid w:val="0027375E"/>
    <w:rsid w:val="00275B61"/>
    <w:rsid w:val="00280FAF"/>
    <w:rsid w:val="00282656"/>
    <w:rsid w:val="00286A1E"/>
    <w:rsid w:val="00294C6D"/>
    <w:rsid w:val="00296B83"/>
    <w:rsid w:val="002A2BF1"/>
    <w:rsid w:val="002A3E78"/>
    <w:rsid w:val="002A4776"/>
    <w:rsid w:val="002A4ECC"/>
    <w:rsid w:val="002A55A1"/>
    <w:rsid w:val="002A6C45"/>
    <w:rsid w:val="002B088D"/>
    <w:rsid w:val="002B2EE7"/>
    <w:rsid w:val="002B4015"/>
    <w:rsid w:val="002B78CE"/>
    <w:rsid w:val="002C2FB6"/>
    <w:rsid w:val="002C6B3E"/>
    <w:rsid w:val="002D37EF"/>
    <w:rsid w:val="002D4A72"/>
    <w:rsid w:val="002D53C5"/>
    <w:rsid w:val="002D5E24"/>
    <w:rsid w:val="002E5FA7"/>
    <w:rsid w:val="002F3309"/>
    <w:rsid w:val="002F3F69"/>
    <w:rsid w:val="002F46FA"/>
    <w:rsid w:val="002F53ED"/>
    <w:rsid w:val="002F6EE4"/>
    <w:rsid w:val="003008CE"/>
    <w:rsid w:val="003009B7"/>
    <w:rsid w:val="00300E56"/>
    <w:rsid w:val="0030152C"/>
    <w:rsid w:val="0030469C"/>
    <w:rsid w:val="003066CE"/>
    <w:rsid w:val="00321CA6"/>
    <w:rsid w:val="003225CB"/>
    <w:rsid w:val="00323763"/>
    <w:rsid w:val="00323C5F"/>
    <w:rsid w:val="00333E88"/>
    <w:rsid w:val="00334C09"/>
    <w:rsid w:val="00353487"/>
    <w:rsid w:val="00353A29"/>
    <w:rsid w:val="0035656A"/>
    <w:rsid w:val="003569CE"/>
    <w:rsid w:val="003604BD"/>
    <w:rsid w:val="00362031"/>
    <w:rsid w:val="003723D4"/>
    <w:rsid w:val="00374853"/>
    <w:rsid w:val="0037643B"/>
    <w:rsid w:val="00381905"/>
    <w:rsid w:val="003833C7"/>
    <w:rsid w:val="00384351"/>
    <w:rsid w:val="00384CC8"/>
    <w:rsid w:val="003871FD"/>
    <w:rsid w:val="00387278"/>
    <w:rsid w:val="00391CE4"/>
    <w:rsid w:val="00397663"/>
    <w:rsid w:val="003A0213"/>
    <w:rsid w:val="003A1E30"/>
    <w:rsid w:val="003A2829"/>
    <w:rsid w:val="003A31A5"/>
    <w:rsid w:val="003A7D1C"/>
    <w:rsid w:val="003B304B"/>
    <w:rsid w:val="003B3146"/>
    <w:rsid w:val="003B5698"/>
    <w:rsid w:val="003C3A3A"/>
    <w:rsid w:val="003C4E4F"/>
    <w:rsid w:val="003C55A8"/>
    <w:rsid w:val="003C6DD0"/>
    <w:rsid w:val="003C7EAF"/>
    <w:rsid w:val="003D1E02"/>
    <w:rsid w:val="003D3EBF"/>
    <w:rsid w:val="003D63EE"/>
    <w:rsid w:val="003D683B"/>
    <w:rsid w:val="003D7BF3"/>
    <w:rsid w:val="003E655B"/>
    <w:rsid w:val="003E6EF9"/>
    <w:rsid w:val="003F015E"/>
    <w:rsid w:val="003F1869"/>
    <w:rsid w:val="003F2B91"/>
    <w:rsid w:val="003F586A"/>
    <w:rsid w:val="00400414"/>
    <w:rsid w:val="00402EBC"/>
    <w:rsid w:val="00404B87"/>
    <w:rsid w:val="0041446B"/>
    <w:rsid w:val="004165FB"/>
    <w:rsid w:val="004254B3"/>
    <w:rsid w:val="004324CF"/>
    <w:rsid w:val="004333FA"/>
    <w:rsid w:val="00433A59"/>
    <w:rsid w:val="00434376"/>
    <w:rsid w:val="0044071E"/>
    <w:rsid w:val="0044329C"/>
    <w:rsid w:val="00451EDC"/>
    <w:rsid w:val="00453E24"/>
    <w:rsid w:val="00457456"/>
    <w:rsid w:val="004577FE"/>
    <w:rsid w:val="00457B9C"/>
    <w:rsid w:val="0046124E"/>
    <w:rsid w:val="0046164A"/>
    <w:rsid w:val="004620B1"/>
    <w:rsid w:val="004628D2"/>
    <w:rsid w:val="00462DCD"/>
    <w:rsid w:val="00463603"/>
    <w:rsid w:val="004648AD"/>
    <w:rsid w:val="004703A9"/>
    <w:rsid w:val="00472416"/>
    <w:rsid w:val="00472620"/>
    <w:rsid w:val="004746D5"/>
    <w:rsid w:val="00474722"/>
    <w:rsid w:val="0047609C"/>
    <w:rsid w:val="004760DE"/>
    <w:rsid w:val="004763D7"/>
    <w:rsid w:val="00476D86"/>
    <w:rsid w:val="00480263"/>
    <w:rsid w:val="00485329"/>
    <w:rsid w:val="004906B5"/>
    <w:rsid w:val="004A004E"/>
    <w:rsid w:val="004A156A"/>
    <w:rsid w:val="004A24CF"/>
    <w:rsid w:val="004A5E57"/>
    <w:rsid w:val="004B224C"/>
    <w:rsid w:val="004B3973"/>
    <w:rsid w:val="004B5784"/>
    <w:rsid w:val="004B6405"/>
    <w:rsid w:val="004C194F"/>
    <w:rsid w:val="004C3D1D"/>
    <w:rsid w:val="004C3D84"/>
    <w:rsid w:val="004C7913"/>
    <w:rsid w:val="004E45F3"/>
    <w:rsid w:val="004E4DD6"/>
    <w:rsid w:val="004F3018"/>
    <w:rsid w:val="004F39F9"/>
    <w:rsid w:val="004F4AFE"/>
    <w:rsid w:val="004F5388"/>
    <w:rsid w:val="004F5E36"/>
    <w:rsid w:val="004F7AE8"/>
    <w:rsid w:val="00507B47"/>
    <w:rsid w:val="00507BEF"/>
    <w:rsid w:val="00507CC9"/>
    <w:rsid w:val="005119A5"/>
    <w:rsid w:val="0052379B"/>
    <w:rsid w:val="005278B7"/>
    <w:rsid w:val="00532016"/>
    <w:rsid w:val="005322A8"/>
    <w:rsid w:val="005346C8"/>
    <w:rsid w:val="005363A1"/>
    <w:rsid w:val="00543E7D"/>
    <w:rsid w:val="00544B25"/>
    <w:rsid w:val="00546AFE"/>
    <w:rsid w:val="00547A68"/>
    <w:rsid w:val="00551191"/>
    <w:rsid w:val="005531C9"/>
    <w:rsid w:val="00570C43"/>
    <w:rsid w:val="005737AE"/>
    <w:rsid w:val="005766F9"/>
    <w:rsid w:val="00581EAA"/>
    <w:rsid w:val="00586A84"/>
    <w:rsid w:val="00591667"/>
    <w:rsid w:val="00592274"/>
    <w:rsid w:val="005940DF"/>
    <w:rsid w:val="005971D7"/>
    <w:rsid w:val="005A5646"/>
    <w:rsid w:val="005B2110"/>
    <w:rsid w:val="005B461E"/>
    <w:rsid w:val="005B61E6"/>
    <w:rsid w:val="005C1727"/>
    <w:rsid w:val="005C662D"/>
    <w:rsid w:val="005C77E1"/>
    <w:rsid w:val="005D668A"/>
    <w:rsid w:val="005D6A2F"/>
    <w:rsid w:val="005D765A"/>
    <w:rsid w:val="005E04FB"/>
    <w:rsid w:val="005E0592"/>
    <w:rsid w:val="005E1A82"/>
    <w:rsid w:val="005E45B7"/>
    <w:rsid w:val="005E794C"/>
    <w:rsid w:val="005F0A28"/>
    <w:rsid w:val="005F0E5E"/>
    <w:rsid w:val="005F3948"/>
    <w:rsid w:val="005F3BAE"/>
    <w:rsid w:val="005F51AB"/>
    <w:rsid w:val="00600535"/>
    <w:rsid w:val="00610689"/>
    <w:rsid w:val="00610CD6"/>
    <w:rsid w:val="00610F39"/>
    <w:rsid w:val="006113AB"/>
    <w:rsid w:val="00612188"/>
    <w:rsid w:val="00613677"/>
    <w:rsid w:val="00620DEE"/>
    <w:rsid w:val="00621F92"/>
    <w:rsid w:val="0062280A"/>
    <w:rsid w:val="006231E1"/>
    <w:rsid w:val="00625639"/>
    <w:rsid w:val="00631B33"/>
    <w:rsid w:val="006345E1"/>
    <w:rsid w:val="00636C8F"/>
    <w:rsid w:val="0064081F"/>
    <w:rsid w:val="0064184D"/>
    <w:rsid w:val="006422CC"/>
    <w:rsid w:val="006478DE"/>
    <w:rsid w:val="00650743"/>
    <w:rsid w:val="00651D18"/>
    <w:rsid w:val="00660E3E"/>
    <w:rsid w:val="00662E74"/>
    <w:rsid w:val="0066338D"/>
    <w:rsid w:val="00665B50"/>
    <w:rsid w:val="00667482"/>
    <w:rsid w:val="00673994"/>
    <w:rsid w:val="006778E3"/>
    <w:rsid w:val="00677AC7"/>
    <w:rsid w:val="006800AB"/>
    <w:rsid w:val="00680C23"/>
    <w:rsid w:val="00681268"/>
    <w:rsid w:val="00683E23"/>
    <w:rsid w:val="00693766"/>
    <w:rsid w:val="006A3281"/>
    <w:rsid w:val="006A7617"/>
    <w:rsid w:val="006B12F7"/>
    <w:rsid w:val="006B3D55"/>
    <w:rsid w:val="006B4888"/>
    <w:rsid w:val="006C2E45"/>
    <w:rsid w:val="006C359C"/>
    <w:rsid w:val="006C54E8"/>
    <w:rsid w:val="006C5579"/>
    <w:rsid w:val="006D626B"/>
    <w:rsid w:val="006D6E8B"/>
    <w:rsid w:val="006D7209"/>
    <w:rsid w:val="006E0F46"/>
    <w:rsid w:val="006E737D"/>
    <w:rsid w:val="006F4034"/>
    <w:rsid w:val="006F70BE"/>
    <w:rsid w:val="006F739A"/>
    <w:rsid w:val="006F7F49"/>
    <w:rsid w:val="00701AC5"/>
    <w:rsid w:val="00702E7B"/>
    <w:rsid w:val="0070326D"/>
    <w:rsid w:val="00703BAD"/>
    <w:rsid w:val="007067C8"/>
    <w:rsid w:val="00707B3B"/>
    <w:rsid w:val="00707DD1"/>
    <w:rsid w:val="00713973"/>
    <w:rsid w:val="00716370"/>
    <w:rsid w:val="00720A24"/>
    <w:rsid w:val="0072795B"/>
    <w:rsid w:val="00730C75"/>
    <w:rsid w:val="00732386"/>
    <w:rsid w:val="0073514D"/>
    <w:rsid w:val="00740D79"/>
    <w:rsid w:val="007447F3"/>
    <w:rsid w:val="0075499F"/>
    <w:rsid w:val="00756008"/>
    <w:rsid w:val="00757A7A"/>
    <w:rsid w:val="007617CC"/>
    <w:rsid w:val="00764413"/>
    <w:rsid w:val="00765413"/>
    <w:rsid w:val="007661C8"/>
    <w:rsid w:val="0077098D"/>
    <w:rsid w:val="00771F27"/>
    <w:rsid w:val="0077236A"/>
    <w:rsid w:val="0078089F"/>
    <w:rsid w:val="00782E02"/>
    <w:rsid w:val="007837A3"/>
    <w:rsid w:val="00785BDD"/>
    <w:rsid w:val="00785BF9"/>
    <w:rsid w:val="007931FA"/>
    <w:rsid w:val="007A3141"/>
    <w:rsid w:val="007A379D"/>
    <w:rsid w:val="007A4861"/>
    <w:rsid w:val="007A6DF8"/>
    <w:rsid w:val="007A7BBA"/>
    <w:rsid w:val="007B0C50"/>
    <w:rsid w:val="007B35C2"/>
    <w:rsid w:val="007B3CE0"/>
    <w:rsid w:val="007B48F9"/>
    <w:rsid w:val="007C0E70"/>
    <w:rsid w:val="007C1A43"/>
    <w:rsid w:val="007C335E"/>
    <w:rsid w:val="007C6880"/>
    <w:rsid w:val="007D0951"/>
    <w:rsid w:val="007D6807"/>
    <w:rsid w:val="007D7ACB"/>
    <w:rsid w:val="007E07B4"/>
    <w:rsid w:val="007E3B44"/>
    <w:rsid w:val="007E6156"/>
    <w:rsid w:val="007E73E7"/>
    <w:rsid w:val="007F27C8"/>
    <w:rsid w:val="007F2999"/>
    <w:rsid w:val="0080013E"/>
    <w:rsid w:val="00800CD6"/>
    <w:rsid w:val="00801FC6"/>
    <w:rsid w:val="00803819"/>
    <w:rsid w:val="00813288"/>
    <w:rsid w:val="008168FC"/>
    <w:rsid w:val="0082789E"/>
    <w:rsid w:val="00830996"/>
    <w:rsid w:val="008314D7"/>
    <w:rsid w:val="008345F1"/>
    <w:rsid w:val="008355F3"/>
    <w:rsid w:val="008420A1"/>
    <w:rsid w:val="008430D5"/>
    <w:rsid w:val="00860AE6"/>
    <w:rsid w:val="0086278C"/>
    <w:rsid w:val="00863B01"/>
    <w:rsid w:val="0086405E"/>
    <w:rsid w:val="008654ED"/>
    <w:rsid w:val="00865B07"/>
    <w:rsid w:val="008667EA"/>
    <w:rsid w:val="0086754D"/>
    <w:rsid w:val="00875FB9"/>
    <w:rsid w:val="00876096"/>
    <w:rsid w:val="0087637F"/>
    <w:rsid w:val="00877A7E"/>
    <w:rsid w:val="00877C30"/>
    <w:rsid w:val="00880266"/>
    <w:rsid w:val="00886F9C"/>
    <w:rsid w:val="00892AD5"/>
    <w:rsid w:val="00895523"/>
    <w:rsid w:val="008960D3"/>
    <w:rsid w:val="00897F70"/>
    <w:rsid w:val="008A122D"/>
    <w:rsid w:val="008A1512"/>
    <w:rsid w:val="008B1F2E"/>
    <w:rsid w:val="008B526A"/>
    <w:rsid w:val="008B6D42"/>
    <w:rsid w:val="008B7A87"/>
    <w:rsid w:val="008C4193"/>
    <w:rsid w:val="008C7A67"/>
    <w:rsid w:val="008D2A80"/>
    <w:rsid w:val="008D32B9"/>
    <w:rsid w:val="008D433B"/>
    <w:rsid w:val="008D4A16"/>
    <w:rsid w:val="008E02A3"/>
    <w:rsid w:val="008E0C48"/>
    <w:rsid w:val="008E209A"/>
    <w:rsid w:val="008E2AD6"/>
    <w:rsid w:val="008E2B01"/>
    <w:rsid w:val="008E45BC"/>
    <w:rsid w:val="008E566E"/>
    <w:rsid w:val="008F026C"/>
    <w:rsid w:val="008F1CA3"/>
    <w:rsid w:val="008F502C"/>
    <w:rsid w:val="0090161A"/>
    <w:rsid w:val="00901EB6"/>
    <w:rsid w:val="009041F8"/>
    <w:rsid w:val="00904C62"/>
    <w:rsid w:val="00914574"/>
    <w:rsid w:val="00914D91"/>
    <w:rsid w:val="00922BA8"/>
    <w:rsid w:val="00924DAC"/>
    <w:rsid w:val="00927058"/>
    <w:rsid w:val="00931FA4"/>
    <w:rsid w:val="00941934"/>
    <w:rsid w:val="00942750"/>
    <w:rsid w:val="00944AFB"/>
    <w:rsid w:val="009450CE"/>
    <w:rsid w:val="009459BB"/>
    <w:rsid w:val="00946CC6"/>
    <w:rsid w:val="00947179"/>
    <w:rsid w:val="00947A45"/>
    <w:rsid w:val="0095164B"/>
    <w:rsid w:val="00954090"/>
    <w:rsid w:val="00955D83"/>
    <w:rsid w:val="009573E7"/>
    <w:rsid w:val="00957DD8"/>
    <w:rsid w:val="00963E05"/>
    <w:rsid w:val="00964A45"/>
    <w:rsid w:val="00964EE6"/>
    <w:rsid w:val="00967843"/>
    <w:rsid w:val="00967B60"/>
    <w:rsid w:val="00967D54"/>
    <w:rsid w:val="00971028"/>
    <w:rsid w:val="00972417"/>
    <w:rsid w:val="00982D7D"/>
    <w:rsid w:val="0098407E"/>
    <w:rsid w:val="0098608B"/>
    <w:rsid w:val="00986CD9"/>
    <w:rsid w:val="00993B84"/>
    <w:rsid w:val="00996483"/>
    <w:rsid w:val="00996F5A"/>
    <w:rsid w:val="0099719B"/>
    <w:rsid w:val="009A0138"/>
    <w:rsid w:val="009A0D64"/>
    <w:rsid w:val="009A3596"/>
    <w:rsid w:val="009A52EB"/>
    <w:rsid w:val="009A591C"/>
    <w:rsid w:val="009B041A"/>
    <w:rsid w:val="009B23C9"/>
    <w:rsid w:val="009C033E"/>
    <w:rsid w:val="009C0A11"/>
    <w:rsid w:val="009C2158"/>
    <w:rsid w:val="009C37C3"/>
    <w:rsid w:val="009C6797"/>
    <w:rsid w:val="009C7C86"/>
    <w:rsid w:val="009D2CBD"/>
    <w:rsid w:val="009D2FF7"/>
    <w:rsid w:val="009E4A6A"/>
    <w:rsid w:val="009E7040"/>
    <w:rsid w:val="009E7884"/>
    <w:rsid w:val="009E788A"/>
    <w:rsid w:val="009F0E08"/>
    <w:rsid w:val="009F3879"/>
    <w:rsid w:val="00A007A9"/>
    <w:rsid w:val="00A00FB6"/>
    <w:rsid w:val="00A0191B"/>
    <w:rsid w:val="00A0357F"/>
    <w:rsid w:val="00A0536D"/>
    <w:rsid w:val="00A079A8"/>
    <w:rsid w:val="00A079AE"/>
    <w:rsid w:val="00A13E88"/>
    <w:rsid w:val="00A1763D"/>
    <w:rsid w:val="00A17CEC"/>
    <w:rsid w:val="00A2642B"/>
    <w:rsid w:val="00A26CBB"/>
    <w:rsid w:val="00A27EF0"/>
    <w:rsid w:val="00A34009"/>
    <w:rsid w:val="00A42361"/>
    <w:rsid w:val="00A50B20"/>
    <w:rsid w:val="00A51390"/>
    <w:rsid w:val="00A60D13"/>
    <w:rsid w:val="00A62596"/>
    <w:rsid w:val="00A7223D"/>
    <w:rsid w:val="00A72745"/>
    <w:rsid w:val="00A7325E"/>
    <w:rsid w:val="00A748C6"/>
    <w:rsid w:val="00A76EFC"/>
    <w:rsid w:val="00A85EC6"/>
    <w:rsid w:val="00A86B20"/>
    <w:rsid w:val="00A87D50"/>
    <w:rsid w:val="00A91010"/>
    <w:rsid w:val="00A97F29"/>
    <w:rsid w:val="00AA3BA1"/>
    <w:rsid w:val="00AA4D0C"/>
    <w:rsid w:val="00AA6D9B"/>
    <w:rsid w:val="00AA702E"/>
    <w:rsid w:val="00AA7D26"/>
    <w:rsid w:val="00AB0964"/>
    <w:rsid w:val="00AB1468"/>
    <w:rsid w:val="00AB1E2B"/>
    <w:rsid w:val="00AB35BD"/>
    <w:rsid w:val="00AB5011"/>
    <w:rsid w:val="00AC608A"/>
    <w:rsid w:val="00AC7368"/>
    <w:rsid w:val="00AD0278"/>
    <w:rsid w:val="00AD16B9"/>
    <w:rsid w:val="00AD700E"/>
    <w:rsid w:val="00AE1E00"/>
    <w:rsid w:val="00AE359A"/>
    <w:rsid w:val="00AE377D"/>
    <w:rsid w:val="00AF0EBA"/>
    <w:rsid w:val="00AF1636"/>
    <w:rsid w:val="00B00E55"/>
    <w:rsid w:val="00B02C8A"/>
    <w:rsid w:val="00B030E7"/>
    <w:rsid w:val="00B146C3"/>
    <w:rsid w:val="00B165F1"/>
    <w:rsid w:val="00B17FBD"/>
    <w:rsid w:val="00B2357C"/>
    <w:rsid w:val="00B315A6"/>
    <w:rsid w:val="00B31813"/>
    <w:rsid w:val="00B33365"/>
    <w:rsid w:val="00B3546C"/>
    <w:rsid w:val="00B56820"/>
    <w:rsid w:val="00B57B36"/>
    <w:rsid w:val="00B57E6F"/>
    <w:rsid w:val="00B61E3B"/>
    <w:rsid w:val="00B64474"/>
    <w:rsid w:val="00B66FC4"/>
    <w:rsid w:val="00B70F99"/>
    <w:rsid w:val="00B73CA0"/>
    <w:rsid w:val="00B811EC"/>
    <w:rsid w:val="00B8269E"/>
    <w:rsid w:val="00B8686D"/>
    <w:rsid w:val="00B91C98"/>
    <w:rsid w:val="00B93F69"/>
    <w:rsid w:val="00B9496B"/>
    <w:rsid w:val="00BB02B4"/>
    <w:rsid w:val="00BB0C07"/>
    <w:rsid w:val="00BB1DDC"/>
    <w:rsid w:val="00BB22B8"/>
    <w:rsid w:val="00BB37BA"/>
    <w:rsid w:val="00BC30C9"/>
    <w:rsid w:val="00BD077D"/>
    <w:rsid w:val="00BD244B"/>
    <w:rsid w:val="00BD2686"/>
    <w:rsid w:val="00BD47C9"/>
    <w:rsid w:val="00BD4922"/>
    <w:rsid w:val="00BD5DCC"/>
    <w:rsid w:val="00BD721E"/>
    <w:rsid w:val="00BE0188"/>
    <w:rsid w:val="00BE2977"/>
    <w:rsid w:val="00BE3E58"/>
    <w:rsid w:val="00C01616"/>
    <w:rsid w:val="00C0162B"/>
    <w:rsid w:val="00C01726"/>
    <w:rsid w:val="00C06508"/>
    <w:rsid w:val="00C068ED"/>
    <w:rsid w:val="00C076C7"/>
    <w:rsid w:val="00C17399"/>
    <w:rsid w:val="00C208E9"/>
    <w:rsid w:val="00C22E0C"/>
    <w:rsid w:val="00C23E38"/>
    <w:rsid w:val="00C278B9"/>
    <w:rsid w:val="00C31288"/>
    <w:rsid w:val="00C345B1"/>
    <w:rsid w:val="00C40142"/>
    <w:rsid w:val="00C52C3C"/>
    <w:rsid w:val="00C5458A"/>
    <w:rsid w:val="00C57182"/>
    <w:rsid w:val="00C57863"/>
    <w:rsid w:val="00C632AC"/>
    <w:rsid w:val="00C63A93"/>
    <w:rsid w:val="00C640AF"/>
    <w:rsid w:val="00C655FD"/>
    <w:rsid w:val="00C75407"/>
    <w:rsid w:val="00C8193C"/>
    <w:rsid w:val="00C841C6"/>
    <w:rsid w:val="00C870A8"/>
    <w:rsid w:val="00C94434"/>
    <w:rsid w:val="00C97EA1"/>
    <w:rsid w:val="00CA0D75"/>
    <w:rsid w:val="00CA1C95"/>
    <w:rsid w:val="00CA2D45"/>
    <w:rsid w:val="00CA5A9C"/>
    <w:rsid w:val="00CB1EC7"/>
    <w:rsid w:val="00CB710B"/>
    <w:rsid w:val="00CC4C20"/>
    <w:rsid w:val="00CC7264"/>
    <w:rsid w:val="00CC77DD"/>
    <w:rsid w:val="00CD3517"/>
    <w:rsid w:val="00CD41EB"/>
    <w:rsid w:val="00CD5FE2"/>
    <w:rsid w:val="00CE0D84"/>
    <w:rsid w:val="00CE6F52"/>
    <w:rsid w:val="00CE7807"/>
    <w:rsid w:val="00CE7C68"/>
    <w:rsid w:val="00D02B4C"/>
    <w:rsid w:val="00D040C4"/>
    <w:rsid w:val="00D11040"/>
    <w:rsid w:val="00D20AD1"/>
    <w:rsid w:val="00D2582C"/>
    <w:rsid w:val="00D36D7A"/>
    <w:rsid w:val="00D37D20"/>
    <w:rsid w:val="00D46B7E"/>
    <w:rsid w:val="00D57C84"/>
    <w:rsid w:val="00D6057D"/>
    <w:rsid w:val="00D71640"/>
    <w:rsid w:val="00D8136F"/>
    <w:rsid w:val="00D836C5"/>
    <w:rsid w:val="00D84576"/>
    <w:rsid w:val="00D85E37"/>
    <w:rsid w:val="00D92464"/>
    <w:rsid w:val="00DA1399"/>
    <w:rsid w:val="00DA24C6"/>
    <w:rsid w:val="00DA2BB3"/>
    <w:rsid w:val="00DA479A"/>
    <w:rsid w:val="00DA4D7B"/>
    <w:rsid w:val="00DC057E"/>
    <w:rsid w:val="00DC0EF2"/>
    <w:rsid w:val="00DD271C"/>
    <w:rsid w:val="00DD5549"/>
    <w:rsid w:val="00DE264A"/>
    <w:rsid w:val="00DE2E43"/>
    <w:rsid w:val="00DF5072"/>
    <w:rsid w:val="00E00ABA"/>
    <w:rsid w:val="00E02D18"/>
    <w:rsid w:val="00E041E7"/>
    <w:rsid w:val="00E0449C"/>
    <w:rsid w:val="00E17D6A"/>
    <w:rsid w:val="00E17F9C"/>
    <w:rsid w:val="00E20FDA"/>
    <w:rsid w:val="00E21BD6"/>
    <w:rsid w:val="00E22539"/>
    <w:rsid w:val="00E23CA1"/>
    <w:rsid w:val="00E24E50"/>
    <w:rsid w:val="00E250FD"/>
    <w:rsid w:val="00E25D2E"/>
    <w:rsid w:val="00E30F71"/>
    <w:rsid w:val="00E34006"/>
    <w:rsid w:val="00E36E5A"/>
    <w:rsid w:val="00E409A8"/>
    <w:rsid w:val="00E43CBF"/>
    <w:rsid w:val="00E46050"/>
    <w:rsid w:val="00E46DAD"/>
    <w:rsid w:val="00E47D61"/>
    <w:rsid w:val="00E50C12"/>
    <w:rsid w:val="00E50F45"/>
    <w:rsid w:val="00E51CC5"/>
    <w:rsid w:val="00E546F3"/>
    <w:rsid w:val="00E55286"/>
    <w:rsid w:val="00E65B91"/>
    <w:rsid w:val="00E7209D"/>
    <w:rsid w:val="00E72EAD"/>
    <w:rsid w:val="00E73D2C"/>
    <w:rsid w:val="00E77223"/>
    <w:rsid w:val="00E8315C"/>
    <w:rsid w:val="00E8528B"/>
    <w:rsid w:val="00E85B94"/>
    <w:rsid w:val="00E86286"/>
    <w:rsid w:val="00E92B3D"/>
    <w:rsid w:val="00E93B87"/>
    <w:rsid w:val="00E95771"/>
    <w:rsid w:val="00E978D0"/>
    <w:rsid w:val="00EA3247"/>
    <w:rsid w:val="00EA3B4D"/>
    <w:rsid w:val="00EA4613"/>
    <w:rsid w:val="00EA7F91"/>
    <w:rsid w:val="00EB1523"/>
    <w:rsid w:val="00EB15F2"/>
    <w:rsid w:val="00EB501F"/>
    <w:rsid w:val="00EC0E49"/>
    <w:rsid w:val="00EC101F"/>
    <w:rsid w:val="00EC1D9F"/>
    <w:rsid w:val="00EC3373"/>
    <w:rsid w:val="00EC7E62"/>
    <w:rsid w:val="00ED5026"/>
    <w:rsid w:val="00ED62AC"/>
    <w:rsid w:val="00ED7791"/>
    <w:rsid w:val="00EE0131"/>
    <w:rsid w:val="00EE08FB"/>
    <w:rsid w:val="00EE17B0"/>
    <w:rsid w:val="00EE73FB"/>
    <w:rsid w:val="00EF06D9"/>
    <w:rsid w:val="00EF0982"/>
    <w:rsid w:val="00EF555D"/>
    <w:rsid w:val="00EF6795"/>
    <w:rsid w:val="00F0002B"/>
    <w:rsid w:val="00F0382A"/>
    <w:rsid w:val="00F17526"/>
    <w:rsid w:val="00F20179"/>
    <w:rsid w:val="00F23702"/>
    <w:rsid w:val="00F3049E"/>
    <w:rsid w:val="00F30C64"/>
    <w:rsid w:val="00F32BA2"/>
    <w:rsid w:val="00F32CDB"/>
    <w:rsid w:val="00F3348F"/>
    <w:rsid w:val="00F37280"/>
    <w:rsid w:val="00F40E81"/>
    <w:rsid w:val="00F41EE4"/>
    <w:rsid w:val="00F5386C"/>
    <w:rsid w:val="00F565FE"/>
    <w:rsid w:val="00F63A70"/>
    <w:rsid w:val="00F63D8C"/>
    <w:rsid w:val="00F64231"/>
    <w:rsid w:val="00F6716F"/>
    <w:rsid w:val="00F67B22"/>
    <w:rsid w:val="00F7534E"/>
    <w:rsid w:val="00F81733"/>
    <w:rsid w:val="00F909FF"/>
    <w:rsid w:val="00F919E3"/>
    <w:rsid w:val="00F93EDF"/>
    <w:rsid w:val="00F94932"/>
    <w:rsid w:val="00FA0B72"/>
    <w:rsid w:val="00FA1487"/>
    <w:rsid w:val="00FA1802"/>
    <w:rsid w:val="00FA21D0"/>
    <w:rsid w:val="00FA327E"/>
    <w:rsid w:val="00FA5F5F"/>
    <w:rsid w:val="00FA696A"/>
    <w:rsid w:val="00FB065A"/>
    <w:rsid w:val="00FB3A5C"/>
    <w:rsid w:val="00FB492B"/>
    <w:rsid w:val="00FB730C"/>
    <w:rsid w:val="00FC2695"/>
    <w:rsid w:val="00FC37F6"/>
    <w:rsid w:val="00FC3E03"/>
    <w:rsid w:val="00FC3FC1"/>
    <w:rsid w:val="00FD0967"/>
    <w:rsid w:val="00FD542E"/>
    <w:rsid w:val="00FE3B99"/>
    <w:rsid w:val="00FE5A9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28E44969-A495-45FB-BBDF-C0B5EC2D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0C4627"/>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qFormat/>
    <w:rsid w:val="004F5E36"/>
    <w:pPr>
      <w:tabs>
        <w:tab w:val="right" w:pos="7100"/>
      </w:tabs>
      <w:jc w:val="both"/>
      <w:outlineLvl w:val="0"/>
    </w:pPr>
    <w:rPr>
      <w:lang w:val="en-GB"/>
    </w:rPr>
  </w:style>
  <w:style w:type="paragraph" w:styleId="Heading2">
    <w:name w:val="heading 2"/>
    <w:basedOn w:val="Normal"/>
    <w:next w:val="Normal"/>
    <w:link w:val="Heading2Char"/>
    <w:uiPriority w:val="9"/>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nhideWhenUsed/>
    <w:rsid w:val="0003148D"/>
    <w:pPr>
      <w:spacing w:after="120"/>
    </w:pPr>
  </w:style>
  <w:style w:type="character" w:customStyle="1" w:styleId="BodyTextChar">
    <w:name w:val="Body Text Char"/>
    <w:basedOn w:val="DefaultParagraphFont"/>
    <w:link w:val="BodyText"/>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semiHidden/>
    <w:unhideWhenUsed/>
    <w:rsid w:val="0003148D"/>
    <w:rPr>
      <w:b/>
      <w:bCs/>
    </w:rPr>
  </w:style>
  <w:style w:type="character" w:customStyle="1" w:styleId="CommentSubjectChar">
    <w:name w:val="Comment Subject Char"/>
    <w:basedOn w:val="CommentTextChar"/>
    <w:link w:val="CommentSubject"/>
    <w:semiHidden/>
    <w:rsid w:val="0003148D"/>
    <w:rPr>
      <w:b/>
      <w:bCs/>
      <w:sz w:val="20"/>
      <w:szCs w:val="20"/>
    </w:rPr>
  </w:style>
  <w:style w:type="paragraph" w:styleId="TOC1">
    <w:name w:val="toc 1"/>
    <w:basedOn w:val="Normal"/>
    <w:next w:val="Normal"/>
    <w:autoRedefine/>
    <w:uiPriority w:val="39"/>
    <w:unhideWhenUsed/>
    <w:rsid w:val="0003148D"/>
    <w:pPr>
      <w:spacing w:after="100"/>
    </w:pPr>
  </w:style>
  <w:style w:type="paragraph" w:styleId="TOC2">
    <w:name w:val="toc 2"/>
    <w:basedOn w:val="Normal"/>
    <w:next w:val="Normal"/>
    <w:autoRedefine/>
    <w:uiPriority w:val="39"/>
    <w:unhideWhenUsed/>
    <w:rsid w:val="0003148D"/>
    <w:pPr>
      <w:spacing w:after="100"/>
      <w:ind w:left="220"/>
    </w:pPr>
  </w:style>
  <w:style w:type="paragraph" w:styleId="TOC3">
    <w:name w:val="toc 3"/>
    <w:basedOn w:val="Normal"/>
    <w:next w:val="Normal"/>
    <w:autoRedefine/>
    <w:uiPriority w:val="39"/>
    <w:unhideWhenUsed/>
    <w:rsid w:val="0003148D"/>
    <w:pPr>
      <w:spacing w:after="100"/>
      <w:ind w:left="440"/>
    </w:pPr>
  </w:style>
  <w:style w:type="paragraph" w:styleId="TOC4">
    <w:name w:val="toc 4"/>
    <w:basedOn w:val="Normal"/>
    <w:next w:val="Normal"/>
    <w:autoRedefine/>
    <w:semiHidden/>
    <w:unhideWhenUsed/>
    <w:rsid w:val="0003148D"/>
    <w:pPr>
      <w:spacing w:after="100"/>
      <w:ind w:left="660"/>
    </w:pPr>
  </w:style>
  <w:style w:type="paragraph" w:styleId="TOC5">
    <w:name w:val="toc 5"/>
    <w:basedOn w:val="Normal"/>
    <w:next w:val="Normal"/>
    <w:autoRedefine/>
    <w:semiHidden/>
    <w:unhideWhenUsed/>
    <w:rsid w:val="0003148D"/>
    <w:pPr>
      <w:spacing w:after="100"/>
      <w:ind w:left="880"/>
    </w:pPr>
  </w:style>
  <w:style w:type="paragraph" w:styleId="TOC6">
    <w:name w:val="toc 6"/>
    <w:basedOn w:val="Normal"/>
    <w:next w:val="Normal"/>
    <w:autoRedefine/>
    <w:semiHidden/>
    <w:unhideWhenUsed/>
    <w:rsid w:val="0003148D"/>
    <w:pPr>
      <w:spacing w:after="100"/>
      <w:ind w:left="1100"/>
    </w:pPr>
  </w:style>
  <w:style w:type="paragraph" w:styleId="TOC7">
    <w:name w:val="toc 7"/>
    <w:basedOn w:val="Normal"/>
    <w:next w:val="Normal"/>
    <w:autoRedefine/>
    <w:semiHidden/>
    <w:unhideWhenUsed/>
    <w:rsid w:val="0003148D"/>
    <w:pPr>
      <w:spacing w:after="100"/>
      <w:ind w:left="1320"/>
    </w:pPr>
  </w:style>
  <w:style w:type="paragraph" w:styleId="TOC8">
    <w:name w:val="toc 8"/>
    <w:basedOn w:val="Normal"/>
    <w:next w:val="Normal"/>
    <w:autoRedefine/>
    <w:semiHidden/>
    <w:unhideWhenUsed/>
    <w:rsid w:val="0003148D"/>
    <w:pPr>
      <w:spacing w:after="100"/>
      <w:ind w:left="1540"/>
    </w:pPr>
  </w:style>
  <w:style w:type="paragraph" w:styleId="TOC9">
    <w:name w:val="toc 9"/>
    <w:basedOn w:val="Normal"/>
    <w:next w:val="Normal"/>
    <w:autoRedefine/>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semiHidden/>
    <w:unhideWhenUsed/>
    <w:rsid w:val="0003148D"/>
    <w:pPr>
      <w:spacing w:line="240" w:lineRule="auto"/>
    </w:pPr>
  </w:style>
  <w:style w:type="character" w:customStyle="1" w:styleId="FootnoteTextChar">
    <w:name w:val="Footnote Text Char"/>
    <w:basedOn w:val="DefaultParagraphFont"/>
    <w:link w:val="FootnoteText"/>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2"/>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3"/>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4"/>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3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qFormat/>
    <w:rsid w:val="00280FAF"/>
    <w:pPr>
      <w:ind w:left="720"/>
      <w:contextualSpacing/>
    </w:pPr>
  </w:style>
  <w:style w:type="character" w:customStyle="1" w:styleId="gmail-apple-converted-space">
    <w:name w:val="gmail-apple-converted-space"/>
    <w:basedOn w:val="DefaultParagraphFont"/>
    <w:rsid w:val="00005A19"/>
  </w:style>
  <w:style w:type="character" w:styleId="UnresolvedMention">
    <w:name w:val="Unresolved Mention"/>
    <w:basedOn w:val="DefaultParagraphFont"/>
    <w:uiPriority w:val="99"/>
    <w:semiHidden/>
    <w:unhideWhenUsed/>
    <w:rsid w:val="00B73CA0"/>
    <w:rPr>
      <w:color w:val="605E5C"/>
      <w:shd w:val="clear" w:color="auto" w:fill="E1DFDD"/>
    </w:rPr>
  </w:style>
  <w:style w:type="character" w:styleId="Strong">
    <w:name w:val="Strong"/>
    <w:basedOn w:val="DefaultParagraphFont"/>
    <w:uiPriority w:val="22"/>
    <w:qFormat/>
    <w:rsid w:val="003D63EE"/>
    <w:rPr>
      <w:b/>
      <w:bCs/>
    </w:rPr>
  </w:style>
  <w:style w:type="paragraph" w:customStyle="1" w:styleId="Rapporttittel">
    <w:name w:val="Rapporttittel"/>
    <w:basedOn w:val="Normal"/>
    <w:rsid w:val="009A591C"/>
    <w:pPr>
      <w:tabs>
        <w:tab w:val="clear" w:pos="7100"/>
      </w:tabs>
      <w:spacing w:line="240" w:lineRule="auto"/>
      <w:jc w:val="left"/>
    </w:pPr>
    <w:rPr>
      <w:b/>
      <w:bCs/>
      <w:color w:val="FF812E"/>
      <w:sz w:val="56"/>
      <w:szCs w:val="24"/>
      <w:lang w:val="nb-NO"/>
    </w:rPr>
  </w:style>
  <w:style w:type="paragraph" w:customStyle="1" w:styleId="Rapportundertittel">
    <w:name w:val="Rapport undertittel"/>
    <w:basedOn w:val="Normal"/>
    <w:rsid w:val="009A591C"/>
    <w:pPr>
      <w:tabs>
        <w:tab w:val="clear" w:pos="7100"/>
      </w:tabs>
      <w:spacing w:line="240" w:lineRule="auto"/>
      <w:jc w:val="left"/>
    </w:pPr>
    <w:rPr>
      <w:color w:val="7F7F7F"/>
      <w:sz w:val="48"/>
      <w:szCs w:val="24"/>
      <w:lang w:val="nb-NO"/>
    </w:rPr>
  </w:style>
  <w:style w:type="paragraph" w:customStyle="1" w:styleId="AppHeadingA1">
    <w:name w:val="AppHeading A1"/>
    <w:basedOn w:val="Heading1"/>
    <w:next w:val="Normal"/>
    <w:link w:val="AppHeadingA1Char"/>
    <w:rsid w:val="009A591C"/>
    <w:pPr>
      <w:keepNext w:val="0"/>
      <w:pageBreakBefore/>
      <w:numPr>
        <w:ilvl w:val="0"/>
        <w:numId w:val="17"/>
      </w:numPr>
      <w:tabs>
        <w:tab w:val="clear" w:pos="7100"/>
      </w:tabs>
      <w:suppressAutoHyphens w:val="0"/>
      <w:spacing w:before="720" w:after="240"/>
    </w:pPr>
    <w:rPr>
      <w:rFonts w:ascii="Times New Roman" w:hAnsi="Times New Roman"/>
      <w:sz w:val="36"/>
      <w:lang w:val="en-US"/>
    </w:rPr>
  </w:style>
  <w:style w:type="paragraph" w:customStyle="1" w:styleId="AppHeadingA2">
    <w:name w:val="AppHeading A2"/>
    <w:basedOn w:val="Heading2"/>
    <w:next w:val="Normal"/>
    <w:link w:val="AppHeadingA2Char"/>
    <w:rsid w:val="009A591C"/>
    <w:pPr>
      <w:keepLines w:val="0"/>
      <w:numPr>
        <w:ilvl w:val="1"/>
        <w:numId w:val="17"/>
      </w:numPr>
      <w:tabs>
        <w:tab w:val="clear" w:pos="7100"/>
      </w:tabs>
      <w:spacing w:before="720" w:after="240" w:line="240" w:lineRule="auto"/>
      <w:jc w:val="left"/>
    </w:pPr>
    <w:rPr>
      <w:rFonts w:ascii="Times New Roman" w:eastAsia="Times New Roman" w:hAnsi="Times New Roman" w:cs="Times New Roman"/>
      <w:bCs w:val="0"/>
      <w:sz w:val="28"/>
      <w:szCs w:val="20"/>
      <w:lang w:val="en-US"/>
    </w:rPr>
  </w:style>
  <w:style w:type="paragraph" w:customStyle="1" w:styleId="AppHeadingA3">
    <w:name w:val="AppHeading A3"/>
    <w:basedOn w:val="Heading3"/>
    <w:next w:val="Normal"/>
    <w:link w:val="AppHeadingA3Char"/>
    <w:rsid w:val="009A591C"/>
    <w:pPr>
      <w:keepLines w:val="0"/>
      <w:numPr>
        <w:ilvl w:val="2"/>
        <w:numId w:val="17"/>
      </w:numPr>
      <w:tabs>
        <w:tab w:val="clear" w:pos="7100"/>
      </w:tabs>
      <w:spacing w:before="480" w:after="240" w:line="240" w:lineRule="auto"/>
    </w:pPr>
    <w:rPr>
      <w:rFonts w:ascii="Times New Roman" w:eastAsia="Times New Roman" w:hAnsi="Times New Roman" w:cs="Times New Roman"/>
      <w:bCs w:val="0"/>
      <w:sz w:val="24"/>
    </w:rPr>
  </w:style>
  <w:style w:type="paragraph" w:customStyle="1" w:styleId="HeadingApp">
    <w:name w:val="Heading_App"/>
    <w:basedOn w:val="Normal"/>
    <w:rsid w:val="009A591C"/>
    <w:pPr>
      <w:tabs>
        <w:tab w:val="clear" w:pos="7100"/>
      </w:tabs>
      <w:spacing w:line="240" w:lineRule="auto"/>
    </w:pPr>
    <w:rPr>
      <w:sz w:val="20"/>
      <w:lang w:val="nb-NO"/>
    </w:rPr>
  </w:style>
  <w:style w:type="paragraph" w:customStyle="1" w:styleId="Overskrift">
    <w:name w:val="Overskrift"/>
    <w:basedOn w:val="Heading1"/>
    <w:rsid w:val="009A591C"/>
    <w:pPr>
      <w:keepNext w:val="0"/>
      <w:numPr>
        <w:ilvl w:val="0"/>
        <w:numId w:val="0"/>
      </w:numPr>
      <w:tabs>
        <w:tab w:val="clear" w:pos="7100"/>
      </w:tabs>
      <w:suppressAutoHyphens w:val="0"/>
      <w:spacing w:after="240"/>
      <w:outlineLvl w:val="9"/>
    </w:pPr>
    <w:rPr>
      <w:rFonts w:ascii="Times New Roman" w:hAnsi="Times New Roman"/>
      <w:sz w:val="36"/>
      <w:lang w:val="en-US"/>
    </w:rPr>
  </w:style>
  <w:style w:type="paragraph" w:customStyle="1" w:styleId="Tabelltekst">
    <w:name w:val="Tabell tekst"/>
    <w:basedOn w:val="Normal"/>
    <w:rsid w:val="009A591C"/>
    <w:pPr>
      <w:numPr>
        <w:numId w:val="16"/>
      </w:numPr>
      <w:tabs>
        <w:tab w:val="clear" w:pos="1800"/>
        <w:tab w:val="clear" w:pos="7100"/>
        <w:tab w:val="left" w:pos="851"/>
      </w:tabs>
      <w:spacing w:before="120" w:after="120" w:line="240" w:lineRule="auto"/>
      <w:ind w:left="851" w:hanging="851"/>
    </w:pPr>
    <w:rPr>
      <w:b/>
      <w:i/>
      <w:lang w:val="nb-NO"/>
    </w:rPr>
  </w:style>
  <w:style w:type="paragraph" w:customStyle="1" w:styleId="Figurtekst">
    <w:name w:val="Figurtekst"/>
    <w:basedOn w:val="Normal"/>
    <w:rsid w:val="009A591C"/>
    <w:pPr>
      <w:numPr>
        <w:numId w:val="15"/>
      </w:numPr>
      <w:tabs>
        <w:tab w:val="clear" w:pos="2160"/>
        <w:tab w:val="clear" w:pos="7100"/>
        <w:tab w:val="left" w:pos="1134"/>
      </w:tabs>
      <w:spacing w:before="120" w:line="240" w:lineRule="auto"/>
      <w:ind w:left="1134" w:hanging="1134"/>
    </w:pPr>
    <w:rPr>
      <w:b/>
      <w:i/>
      <w:szCs w:val="24"/>
      <w:lang w:val="en-US"/>
    </w:rPr>
  </w:style>
  <w:style w:type="paragraph" w:customStyle="1" w:styleId="Appendix">
    <w:name w:val="Appendix"/>
    <w:basedOn w:val="AppHeadingA1"/>
    <w:next w:val="Normal"/>
    <w:link w:val="AppendixChar"/>
    <w:qFormat/>
    <w:rsid w:val="009A591C"/>
    <w:pPr>
      <w:spacing w:before="0"/>
    </w:pPr>
  </w:style>
  <w:style w:type="paragraph" w:customStyle="1" w:styleId="Appendix1">
    <w:name w:val="Appendix 1"/>
    <w:basedOn w:val="AppHeadingA2"/>
    <w:next w:val="Normal"/>
    <w:link w:val="Appendix1Char"/>
    <w:qFormat/>
    <w:rsid w:val="009A591C"/>
  </w:style>
  <w:style w:type="character" w:customStyle="1" w:styleId="AppHeadingA1Char">
    <w:name w:val="AppHeading A1 Char"/>
    <w:basedOn w:val="Heading1Char"/>
    <w:link w:val="AppHeadingA1"/>
    <w:rsid w:val="009A591C"/>
    <w:rPr>
      <w:rFonts w:ascii="Times New Roman" w:eastAsia="Times New Roman" w:hAnsi="Times New Roman" w:cs="Times New Roman"/>
      <w:b/>
      <w:sz w:val="36"/>
      <w:szCs w:val="20"/>
      <w:lang w:val="en-US"/>
    </w:rPr>
  </w:style>
  <w:style w:type="character" w:customStyle="1" w:styleId="AppendixChar">
    <w:name w:val="Appendix Char"/>
    <w:basedOn w:val="AppHeadingA1Char"/>
    <w:link w:val="Appendix"/>
    <w:rsid w:val="009A591C"/>
    <w:rPr>
      <w:rFonts w:ascii="Times New Roman" w:eastAsia="Times New Roman" w:hAnsi="Times New Roman" w:cs="Times New Roman"/>
      <w:b/>
      <w:sz w:val="36"/>
      <w:szCs w:val="20"/>
      <w:lang w:val="en-US"/>
    </w:rPr>
  </w:style>
  <w:style w:type="paragraph" w:customStyle="1" w:styleId="Appendix11">
    <w:name w:val="Appendix 1.1"/>
    <w:basedOn w:val="AppHeadingA3"/>
    <w:next w:val="Normal"/>
    <w:link w:val="Appendix11Char"/>
    <w:qFormat/>
    <w:rsid w:val="009A591C"/>
  </w:style>
  <w:style w:type="character" w:customStyle="1" w:styleId="AppHeadingA2Char">
    <w:name w:val="AppHeading A2 Char"/>
    <w:basedOn w:val="Heading2Char"/>
    <w:link w:val="AppHeadingA2"/>
    <w:rsid w:val="009A591C"/>
    <w:rPr>
      <w:rFonts w:ascii="Times New Roman" w:eastAsia="Times New Roman" w:hAnsi="Times New Roman" w:cs="Times New Roman"/>
      <w:b/>
      <w:bCs w:val="0"/>
      <w:color w:val="4F81BD" w:themeColor="accent1"/>
      <w:sz w:val="28"/>
      <w:szCs w:val="20"/>
      <w:lang w:val="en-US"/>
    </w:rPr>
  </w:style>
  <w:style w:type="character" w:customStyle="1" w:styleId="Appendix1Char">
    <w:name w:val="Appendix 1 Char"/>
    <w:basedOn w:val="AppHeadingA2Char"/>
    <w:link w:val="Appendix1"/>
    <w:rsid w:val="009A591C"/>
    <w:rPr>
      <w:rFonts w:ascii="Times New Roman" w:eastAsia="Times New Roman" w:hAnsi="Times New Roman" w:cs="Times New Roman"/>
      <w:b/>
      <w:bCs w:val="0"/>
      <w:color w:val="4F81BD" w:themeColor="accent1"/>
      <w:sz w:val="28"/>
      <w:szCs w:val="20"/>
      <w:lang w:val="en-US"/>
    </w:rPr>
  </w:style>
  <w:style w:type="character" w:customStyle="1" w:styleId="AppHeadingA3Char">
    <w:name w:val="AppHeading A3 Char"/>
    <w:basedOn w:val="Heading3Char"/>
    <w:link w:val="AppHeadingA3"/>
    <w:rsid w:val="009A591C"/>
    <w:rPr>
      <w:rFonts w:ascii="Times New Roman" w:eastAsia="Times New Roman" w:hAnsi="Times New Roman" w:cs="Times New Roman"/>
      <w:b/>
      <w:bCs w:val="0"/>
      <w:color w:val="4F81BD" w:themeColor="accent1"/>
      <w:sz w:val="24"/>
      <w:szCs w:val="20"/>
      <w:lang w:val="en-GB"/>
    </w:rPr>
  </w:style>
  <w:style w:type="character" w:customStyle="1" w:styleId="Appendix11Char">
    <w:name w:val="Appendix 1.1 Char"/>
    <w:basedOn w:val="AppHeadingA3Char"/>
    <w:link w:val="Appendix11"/>
    <w:rsid w:val="009A591C"/>
    <w:rPr>
      <w:rFonts w:ascii="Times New Roman" w:eastAsia="Times New Roman" w:hAnsi="Times New Roman" w:cs="Times New Roman"/>
      <w:b/>
      <w:bCs w:val="0"/>
      <w:color w:val="4F81BD" w:themeColor="accent1"/>
      <w:sz w:val="24"/>
      <w:szCs w:val="20"/>
      <w:lang w:val="en-GB"/>
    </w:rPr>
  </w:style>
  <w:style w:type="character" w:customStyle="1" w:styleId="shorttext">
    <w:name w:val="short_text"/>
    <w:basedOn w:val="DefaultParagraphFont"/>
    <w:rsid w:val="009A591C"/>
  </w:style>
  <w:style w:type="character" w:customStyle="1" w:styleId="hps">
    <w:name w:val="hps"/>
    <w:basedOn w:val="DefaultParagraphFont"/>
    <w:rsid w:val="009A591C"/>
  </w:style>
  <w:style w:type="paragraph" w:customStyle="1" w:styleId="Body">
    <w:name w:val="Body"/>
    <w:basedOn w:val="Normal"/>
    <w:rsid w:val="009A591C"/>
    <w:pPr>
      <w:tabs>
        <w:tab w:val="clear" w:pos="7100"/>
      </w:tabs>
      <w:suppressAutoHyphens/>
      <w:spacing w:line="260" w:lineRule="atLeast"/>
      <w:jc w:val="left"/>
    </w:pPr>
    <w:rPr>
      <w:rFonts w:eastAsia="Arial Unicode MS"/>
      <w:sz w:val="20"/>
    </w:rPr>
  </w:style>
  <w:style w:type="paragraph" w:customStyle="1" w:styleId="Instituutsnaam">
    <w:name w:val="Instituutsnaam"/>
    <w:basedOn w:val="Normal"/>
    <w:next w:val="Instituutsnaamitalic"/>
    <w:rsid w:val="009A591C"/>
    <w:pPr>
      <w:tabs>
        <w:tab w:val="clear" w:pos="7100"/>
      </w:tabs>
      <w:spacing w:line="260" w:lineRule="atLeast"/>
      <w:jc w:val="left"/>
    </w:pPr>
    <w:rPr>
      <w:rFonts w:eastAsia="Arial Unicode MS"/>
      <w:b/>
      <w:sz w:val="24"/>
    </w:rPr>
  </w:style>
  <w:style w:type="paragraph" w:customStyle="1" w:styleId="Instituutsnaamitalic">
    <w:name w:val="Instituutsnaam italic"/>
    <w:basedOn w:val="Normal"/>
    <w:next w:val="Normal"/>
    <w:rsid w:val="009A591C"/>
    <w:pPr>
      <w:tabs>
        <w:tab w:val="clear" w:pos="7100"/>
      </w:tabs>
      <w:spacing w:line="260" w:lineRule="atLeast"/>
      <w:jc w:val="left"/>
    </w:pPr>
    <w:rPr>
      <w:rFonts w:eastAsia="Arial Unicode MS"/>
      <w:i/>
      <w:noProof/>
      <w:sz w:val="24"/>
    </w:rPr>
  </w:style>
  <w:style w:type="character" w:customStyle="1" w:styleId="Documentsoort">
    <w:name w:val="Documentsoort"/>
    <w:basedOn w:val="DefaultParagraphFont"/>
    <w:rsid w:val="009A591C"/>
    <w:rPr>
      <w:rFonts w:ascii="Arial" w:hAnsi="Arial"/>
      <w:b/>
    </w:rPr>
  </w:style>
  <w:style w:type="paragraph" w:customStyle="1" w:styleId="Rubricering">
    <w:name w:val="Rubricering"/>
    <w:basedOn w:val="Normal"/>
    <w:next w:val="Normal"/>
    <w:rsid w:val="009A591C"/>
    <w:pPr>
      <w:tabs>
        <w:tab w:val="clear" w:pos="7100"/>
      </w:tabs>
      <w:suppressAutoHyphens/>
      <w:spacing w:line="260" w:lineRule="atLeast"/>
      <w:jc w:val="left"/>
    </w:pPr>
    <w:rPr>
      <w:rFonts w:eastAsia="Arial Unicode MS"/>
      <w:b/>
      <w:caps/>
      <w:noProof/>
      <w:sz w:val="17"/>
    </w:rPr>
  </w:style>
  <w:style w:type="paragraph" w:customStyle="1" w:styleId="Algemenevoorwaarden">
    <w:name w:val="Algemene voorwaarden"/>
    <w:basedOn w:val="Normal"/>
    <w:next w:val="Normal"/>
    <w:rsid w:val="009A591C"/>
    <w:pPr>
      <w:tabs>
        <w:tab w:val="clear" w:pos="7100"/>
      </w:tabs>
      <w:spacing w:line="160" w:lineRule="exact"/>
      <w:jc w:val="left"/>
    </w:pPr>
    <w:rPr>
      <w:rFonts w:eastAsia="Arial Unicode MS"/>
      <w:sz w:val="12"/>
      <w:szCs w:val="12"/>
    </w:rPr>
  </w:style>
  <w:style w:type="paragraph" w:customStyle="1" w:styleId="TNO-naam">
    <w:name w:val="TNO-naam"/>
    <w:basedOn w:val="Normal"/>
    <w:next w:val="Body"/>
    <w:rsid w:val="009A591C"/>
    <w:pPr>
      <w:tabs>
        <w:tab w:val="clear" w:pos="7100"/>
      </w:tabs>
      <w:spacing w:line="160" w:lineRule="exact"/>
      <w:jc w:val="left"/>
    </w:pPr>
    <w:rPr>
      <w:rFonts w:eastAsia="Arial Unicode MS"/>
      <w:noProof/>
      <w:vanish/>
      <w:color w:val="000000"/>
      <w:sz w:val="12"/>
      <w:szCs w:val="12"/>
    </w:rPr>
  </w:style>
  <w:style w:type="paragraph" w:customStyle="1" w:styleId="Status">
    <w:name w:val="Status"/>
    <w:basedOn w:val="Normal"/>
    <w:next w:val="Normal"/>
    <w:rsid w:val="009A591C"/>
    <w:pPr>
      <w:tabs>
        <w:tab w:val="clear" w:pos="7100"/>
      </w:tabs>
      <w:suppressAutoHyphens/>
      <w:spacing w:line="260" w:lineRule="atLeast"/>
      <w:jc w:val="left"/>
    </w:pPr>
    <w:rPr>
      <w:rFonts w:eastAsia="Arial Unicode MS"/>
      <w:noProof/>
      <w:color w:val="C0C0C0"/>
      <w:sz w:val="140"/>
    </w:rPr>
  </w:style>
  <w:style w:type="character" w:styleId="PageNumber">
    <w:name w:val="page number"/>
    <w:basedOn w:val="DefaultParagraphFont"/>
    <w:rsid w:val="009A591C"/>
  </w:style>
  <w:style w:type="paragraph" w:customStyle="1" w:styleId="Contents">
    <w:name w:val="Contents"/>
    <w:basedOn w:val="Body"/>
    <w:next w:val="Body"/>
    <w:rsid w:val="009A591C"/>
    <w:pPr>
      <w:spacing w:line="360" w:lineRule="exact"/>
    </w:pPr>
    <w:rPr>
      <w:sz w:val="32"/>
    </w:rPr>
  </w:style>
  <w:style w:type="paragraph" w:customStyle="1" w:styleId="Kopparagraaf">
    <w:name w:val="Kop paragraaf"/>
    <w:basedOn w:val="Normal"/>
    <w:rsid w:val="009A591C"/>
    <w:pPr>
      <w:tabs>
        <w:tab w:val="clear" w:pos="7100"/>
      </w:tabs>
      <w:suppressAutoHyphens/>
      <w:spacing w:line="260" w:lineRule="atLeast"/>
      <w:jc w:val="left"/>
    </w:pPr>
    <w:rPr>
      <w:rFonts w:eastAsia="Arial Unicode MS"/>
      <w:b/>
      <w:sz w:val="20"/>
    </w:rPr>
  </w:style>
  <w:style w:type="paragraph" w:customStyle="1" w:styleId="Arial85pt">
    <w:name w:val="Arial 8.5 pt"/>
    <w:basedOn w:val="Normal"/>
    <w:rsid w:val="009A591C"/>
    <w:pPr>
      <w:tabs>
        <w:tab w:val="clear" w:pos="7100"/>
      </w:tabs>
      <w:suppressAutoHyphens/>
      <w:spacing w:line="280" w:lineRule="atLeast"/>
      <w:jc w:val="left"/>
    </w:pPr>
    <w:rPr>
      <w:rFonts w:eastAsia="Arial Unicode MS"/>
      <w:sz w:val="17"/>
    </w:rPr>
  </w:style>
  <w:style w:type="paragraph" w:customStyle="1" w:styleId="Rapportinfo">
    <w:name w:val="Rapportinfo"/>
    <w:basedOn w:val="Normal"/>
    <w:rsid w:val="009A591C"/>
    <w:pPr>
      <w:tabs>
        <w:tab w:val="clear" w:pos="7100"/>
      </w:tabs>
      <w:spacing w:line="210" w:lineRule="exact"/>
      <w:jc w:val="left"/>
    </w:pPr>
    <w:rPr>
      <w:rFonts w:eastAsia="Arial Unicode MS"/>
      <w:noProof/>
      <w:sz w:val="16"/>
    </w:rPr>
  </w:style>
  <w:style w:type="paragraph" w:customStyle="1" w:styleId="Rapporttitel">
    <w:name w:val="Rapporttitel"/>
    <w:basedOn w:val="Normal"/>
    <w:rsid w:val="009A591C"/>
    <w:pPr>
      <w:widowControl w:val="0"/>
      <w:tabs>
        <w:tab w:val="clear" w:pos="7100"/>
      </w:tabs>
      <w:suppressAutoHyphens/>
      <w:spacing w:line="340" w:lineRule="atLeast"/>
      <w:jc w:val="left"/>
    </w:pPr>
    <w:rPr>
      <w:rFonts w:eastAsia="Arial Unicode MS"/>
      <w:sz w:val="28"/>
    </w:rPr>
  </w:style>
  <w:style w:type="paragraph" w:customStyle="1" w:styleId="CaptionFiguur">
    <w:name w:val="CaptionFiguur"/>
    <w:basedOn w:val="Normal"/>
    <w:next w:val="Body"/>
    <w:rsid w:val="009A591C"/>
    <w:pPr>
      <w:tabs>
        <w:tab w:val="clear" w:pos="7100"/>
      </w:tabs>
      <w:spacing w:before="120" w:after="260" w:line="210" w:lineRule="exact"/>
      <w:ind w:left="907" w:hanging="907"/>
      <w:jc w:val="left"/>
    </w:pPr>
    <w:rPr>
      <w:rFonts w:eastAsia="Arial Unicode MS"/>
      <w:sz w:val="17"/>
    </w:rPr>
  </w:style>
  <w:style w:type="paragraph" w:customStyle="1" w:styleId="CaptionVergelijking">
    <w:name w:val="CaptionVergelijking"/>
    <w:basedOn w:val="Body"/>
    <w:next w:val="Body"/>
    <w:rsid w:val="009A591C"/>
    <w:pPr>
      <w:tabs>
        <w:tab w:val="right" w:pos="7371"/>
      </w:tabs>
      <w:spacing w:before="140" w:after="140" w:line="280" w:lineRule="atLeast"/>
    </w:pPr>
  </w:style>
  <w:style w:type="paragraph" w:customStyle="1" w:styleId="RDPtext">
    <w:name w:val="RDP text"/>
    <w:basedOn w:val="Normal"/>
    <w:rsid w:val="009A591C"/>
    <w:pPr>
      <w:framePr w:hSpace="187" w:wrap="notBeside" w:vAnchor="page" w:hAnchor="page" w:x="1927" w:y="3169"/>
      <w:tabs>
        <w:tab w:val="clear" w:pos="7100"/>
        <w:tab w:val="left" w:pos="432"/>
      </w:tabs>
      <w:spacing w:before="20" w:after="20" w:line="240" w:lineRule="auto"/>
      <w:jc w:val="left"/>
    </w:pPr>
    <w:rPr>
      <w:rFonts w:ascii="Times New Roman" w:eastAsia="Arial Unicode MS" w:hAnsi="Times New Roman"/>
      <w:sz w:val="20"/>
    </w:rPr>
  </w:style>
  <w:style w:type="paragraph" w:customStyle="1" w:styleId="RDPtexthead">
    <w:name w:val="RDP texthead"/>
    <w:basedOn w:val="RDPtext"/>
    <w:rsid w:val="009A591C"/>
    <w:pPr>
      <w:framePr w:wrap="notBeside"/>
    </w:pPr>
    <w:rPr>
      <w:rFonts w:ascii="Arial" w:hAnsi="Arial"/>
      <w:b/>
      <w:smallCaps/>
      <w:sz w:val="18"/>
    </w:rPr>
  </w:style>
  <w:style w:type="paragraph" w:customStyle="1" w:styleId="Bodybold">
    <w:name w:val="Body bold"/>
    <w:basedOn w:val="Body"/>
    <w:next w:val="Body"/>
    <w:rsid w:val="009A591C"/>
    <w:rPr>
      <w:b/>
    </w:rPr>
  </w:style>
  <w:style w:type="paragraph" w:customStyle="1" w:styleId="Kop">
    <w:name w:val="Kop"/>
    <w:basedOn w:val="Normal"/>
    <w:next w:val="Body"/>
    <w:rsid w:val="009A591C"/>
    <w:pPr>
      <w:tabs>
        <w:tab w:val="clear" w:pos="7100"/>
      </w:tabs>
      <w:suppressAutoHyphens/>
      <w:spacing w:after="520" w:line="340" w:lineRule="atLeast"/>
      <w:jc w:val="left"/>
    </w:pPr>
    <w:rPr>
      <w:rFonts w:eastAsia="Arial Unicode MS"/>
      <w:sz w:val="32"/>
    </w:rPr>
  </w:style>
  <w:style w:type="paragraph" w:customStyle="1" w:styleId="Bodyitalic">
    <w:name w:val="Body italic"/>
    <w:basedOn w:val="Body"/>
    <w:next w:val="Body"/>
    <w:rsid w:val="009A591C"/>
    <w:rPr>
      <w:i/>
    </w:rPr>
  </w:style>
  <w:style w:type="paragraph" w:customStyle="1" w:styleId="Rapportinfobold">
    <w:name w:val="Rapportinfo bold"/>
    <w:basedOn w:val="Rapportinfo"/>
    <w:next w:val="Rapportinfo"/>
    <w:rsid w:val="009A591C"/>
    <w:rPr>
      <w:b/>
    </w:rPr>
  </w:style>
  <w:style w:type="paragraph" w:customStyle="1" w:styleId="BijlageHeader4">
    <w:name w:val="BijlageHeader 4"/>
    <w:basedOn w:val="BijlageHeader3"/>
    <w:next w:val="Body"/>
    <w:rsid w:val="009A591C"/>
    <w:pPr>
      <w:numPr>
        <w:ilvl w:val="3"/>
      </w:numPr>
      <w:tabs>
        <w:tab w:val="clear" w:pos="864"/>
      </w:tabs>
      <w:ind w:left="0" w:hanging="907"/>
    </w:pPr>
  </w:style>
  <w:style w:type="paragraph" w:customStyle="1" w:styleId="BijlageHeader">
    <w:name w:val="BijlageHeader"/>
    <w:basedOn w:val="Normal"/>
    <w:next w:val="Body"/>
    <w:rsid w:val="009A591C"/>
    <w:pPr>
      <w:keepNext/>
      <w:keepLines/>
      <w:numPr>
        <w:numId w:val="18"/>
      </w:numPr>
      <w:tabs>
        <w:tab w:val="clear" w:pos="432"/>
        <w:tab w:val="clear" w:pos="7100"/>
        <w:tab w:val="left" w:pos="0"/>
        <w:tab w:val="left" w:pos="907"/>
      </w:tabs>
      <w:spacing w:after="520" w:line="360" w:lineRule="exact"/>
      <w:ind w:left="0" w:hanging="907"/>
      <w:jc w:val="left"/>
      <w:outlineLvl w:val="5"/>
    </w:pPr>
    <w:rPr>
      <w:rFonts w:eastAsia="Arial Unicode MS"/>
      <w:sz w:val="32"/>
    </w:rPr>
  </w:style>
  <w:style w:type="paragraph" w:customStyle="1" w:styleId="BijlageHeader2">
    <w:name w:val="BijlageHeader 2"/>
    <w:basedOn w:val="Normal"/>
    <w:next w:val="Body"/>
    <w:rsid w:val="009A591C"/>
    <w:pPr>
      <w:keepNext/>
      <w:keepLines/>
      <w:numPr>
        <w:ilvl w:val="1"/>
        <w:numId w:val="18"/>
      </w:numPr>
      <w:tabs>
        <w:tab w:val="clear" w:pos="576"/>
        <w:tab w:val="clear" w:pos="7100"/>
        <w:tab w:val="left" w:pos="0"/>
        <w:tab w:val="left" w:pos="907"/>
      </w:tabs>
      <w:spacing w:after="260" w:line="260" w:lineRule="exact"/>
      <w:ind w:left="0" w:hanging="907"/>
      <w:jc w:val="left"/>
      <w:outlineLvl w:val="6"/>
    </w:pPr>
    <w:rPr>
      <w:rFonts w:eastAsia="Arial Unicode MS"/>
      <w:b/>
      <w:sz w:val="26"/>
    </w:rPr>
  </w:style>
  <w:style w:type="paragraph" w:customStyle="1" w:styleId="BijlageHeader3">
    <w:name w:val="BijlageHeader 3"/>
    <w:basedOn w:val="Normal"/>
    <w:next w:val="Body"/>
    <w:rsid w:val="009A591C"/>
    <w:pPr>
      <w:keepNext/>
      <w:keepLines/>
      <w:numPr>
        <w:ilvl w:val="2"/>
        <w:numId w:val="18"/>
      </w:numPr>
      <w:tabs>
        <w:tab w:val="clear" w:pos="720"/>
        <w:tab w:val="clear" w:pos="7100"/>
        <w:tab w:val="left" w:pos="0"/>
        <w:tab w:val="left" w:pos="907"/>
      </w:tabs>
      <w:spacing w:line="260" w:lineRule="exact"/>
      <w:ind w:left="0" w:hanging="907"/>
      <w:jc w:val="left"/>
      <w:outlineLvl w:val="7"/>
    </w:pPr>
    <w:rPr>
      <w:rFonts w:eastAsia="Arial Unicode MS"/>
      <w:i/>
      <w:sz w:val="20"/>
    </w:rPr>
  </w:style>
  <w:style w:type="paragraph" w:customStyle="1" w:styleId="Rapportinfoitalic">
    <w:name w:val="Rapportinfo italic"/>
    <w:basedOn w:val="Rapportinfo"/>
    <w:next w:val="Rapportinfo"/>
    <w:rsid w:val="009A591C"/>
    <w:rPr>
      <w:i/>
    </w:rPr>
  </w:style>
  <w:style w:type="paragraph" w:customStyle="1" w:styleId="Rapportnummer">
    <w:name w:val="Rapportnummer"/>
    <w:basedOn w:val="Body"/>
    <w:rsid w:val="009A591C"/>
    <w:rPr>
      <w:b/>
    </w:rPr>
  </w:style>
  <w:style w:type="paragraph" w:customStyle="1" w:styleId="Bodyklein">
    <w:name w:val="Body klein"/>
    <w:basedOn w:val="Body"/>
    <w:next w:val="Bodybold"/>
    <w:rsid w:val="009A591C"/>
    <w:pPr>
      <w:spacing w:before="190" w:line="210" w:lineRule="exact"/>
    </w:pPr>
    <w:rPr>
      <w:sz w:val="17"/>
    </w:rPr>
  </w:style>
  <w:style w:type="paragraph" w:customStyle="1" w:styleId="Bodykleinitalic">
    <w:name w:val="Body klein italic"/>
    <w:basedOn w:val="Body"/>
    <w:next w:val="Body"/>
    <w:rsid w:val="009A591C"/>
    <w:pPr>
      <w:spacing w:line="210" w:lineRule="exact"/>
    </w:pPr>
    <w:rPr>
      <w:i/>
      <w:sz w:val="16"/>
    </w:rPr>
  </w:style>
  <w:style w:type="paragraph" w:customStyle="1" w:styleId="Bodykleinbold">
    <w:name w:val="Body klein bold"/>
    <w:basedOn w:val="Bodyklein"/>
    <w:next w:val="Body"/>
    <w:rsid w:val="009A591C"/>
    <w:rPr>
      <w:b/>
    </w:rPr>
  </w:style>
  <w:style w:type="paragraph" w:customStyle="1" w:styleId="Bodykleinitalicrechts">
    <w:name w:val="Body klein italic rechts"/>
    <w:basedOn w:val="Body"/>
    <w:next w:val="Body"/>
    <w:rsid w:val="009A591C"/>
    <w:pPr>
      <w:spacing w:line="210" w:lineRule="exact"/>
      <w:jc w:val="right"/>
    </w:pPr>
    <w:rPr>
      <w:i/>
      <w:sz w:val="17"/>
    </w:rPr>
  </w:style>
  <w:style w:type="paragraph" w:customStyle="1" w:styleId="Marge">
    <w:name w:val="Marge"/>
    <w:basedOn w:val="Normal"/>
    <w:rsid w:val="009A591C"/>
    <w:pPr>
      <w:tabs>
        <w:tab w:val="clear" w:pos="7100"/>
        <w:tab w:val="left" w:pos="198"/>
      </w:tabs>
      <w:spacing w:line="210" w:lineRule="exact"/>
      <w:jc w:val="left"/>
    </w:pPr>
    <w:rPr>
      <w:rFonts w:eastAsia="Arial Unicode MS"/>
      <w:noProof/>
      <w:sz w:val="16"/>
      <w:szCs w:val="17"/>
    </w:rPr>
  </w:style>
  <w:style w:type="paragraph" w:customStyle="1" w:styleId="Margebold">
    <w:name w:val="Marge bold"/>
    <w:basedOn w:val="Marge"/>
    <w:next w:val="Marge"/>
    <w:rsid w:val="009A591C"/>
    <w:rPr>
      <w:b/>
    </w:rPr>
  </w:style>
  <w:style w:type="paragraph" w:customStyle="1" w:styleId="Margeitalic">
    <w:name w:val="Marge italic"/>
    <w:basedOn w:val="Marge"/>
    <w:next w:val="Marge"/>
    <w:rsid w:val="009A591C"/>
    <w:rPr>
      <w:i/>
    </w:rPr>
  </w:style>
  <w:style w:type="paragraph" w:customStyle="1" w:styleId="Margewitregel">
    <w:name w:val="Marge witregel"/>
    <w:basedOn w:val="Marge"/>
    <w:next w:val="Marge"/>
    <w:rsid w:val="009A591C"/>
    <w:pPr>
      <w:spacing w:line="140" w:lineRule="exact"/>
    </w:pPr>
  </w:style>
  <w:style w:type="paragraph" w:customStyle="1" w:styleId="BijschriftTabel">
    <w:name w:val="BijschriftTabel"/>
    <w:basedOn w:val="Normal"/>
    <w:next w:val="Normal"/>
    <w:rsid w:val="009A591C"/>
    <w:pPr>
      <w:tabs>
        <w:tab w:val="clear" w:pos="7100"/>
      </w:tabs>
      <w:spacing w:before="120" w:after="260" w:line="210" w:lineRule="exact"/>
      <w:ind w:left="907" w:hanging="907"/>
      <w:jc w:val="left"/>
    </w:pPr>
    <w:rPr>
      <w:rFonts w:eastAsia="Arial Unicode MS"/>
      <w:sz w:val="17"/>
    </w:rPr>
  </w:style>
  <w:style w:type="paragraph" w:customStyle="1" w:styleId="ReferenceNumber">
    <w:name w:val="ReferenceNumber"/>
    <w:basedOn w:val="Body"/>
    <w:next w:val="Body"/>
    <w:rsid w:val="009A591C"/>
    <w:pPr>
      <w:spacing w:line="260" w:lineRule="exact"/>
      <w:ind w:left="454" w:hanging="454"/>
    </w:pPr>
  </w:style>
  <w:style w:type="paragraph" w:customStyle="1" w:styleId="LabelTabel">
    <w:name w:val="LabelTabel"/>
    <w:basedOn w:val="Normal"/>
    <w:next w:val="Normal"/>
    <w:rsid w:val="009A591C"/>
    <w:pPr>
      <w:keepNext/>
      <w:tabs>
        <w:tab w:val="clear" w:pos="7100"/>
      </w:tabs>
      <w:spacing w:before="260" w:after="120" w:line="210" w:lineRule="exact"/>
      <w:ind w:left="907" w:hanging="907"/>
      <w:jc w:val="left"/>
    </w:pPr>
    <w:rPr>
      <w:rFonts w:eastAsia="Arial Unicode MS"/>
      <w:sz w:val="17"/>
    </w:rPr>
  </w:style>
  <w:style w:type="paragraph" w:customStyle="1" w:styleId="tabelinfo">
    <w:name w:val="tabelinfo"/>
    <w:basedOn w:val="Normal"/>
    <w:rsid w:val="009A591C"/>
    <w:pPr>
      <w:tabs>
        <w:tab w:val="clear" w:pos="7100"/>
      </w:tabs>
      <w:suppressAutoHyphens/>
      <w:spacing w:line="280" w:lineRule="atLeast"/>
      <w:jc w:val="right"/>
    </w:pPr>
    <w:rPr>
      <w:rFonts w:ascii="Verdana" w:eastAsia="Arial Unicode MS" w:hAnsi="Verdana"/>
      <w:sz w:val="13"/>
    </w:rPr>
  </w:style>
  <w:style w:type="paragraph" w:customStyle="1" w:styleId="GLPkop">
    <w:name w:val="GLPkop"/>
    <w:basedOn w:val="Heading1"/>
    <w:rsid w:val="009A591C"/>
    <w:pPr>
      <w:keepLines/>
      <w:pageBreakBefore/>
      <w:numPr>
        <w:ilvl w:val="0"/>
        <w:numId w:val="0"/>
      </w:numPr>
      <w:tabs>
        <w:tab w:val="clear" w:pos="7100"/>
        <w:tab w:val="left" w:pos="0"/>
        <w:tab w:val="right" w:pos="7417"/>
      </w:tabs>
      <w:spacing w:before="0" w:after="520" w:line="360" w:lineRule="exact"/>
      <w:jc w:val="left"/>
    </w:pPr>
    <w:rPr>
      <w:rFonts w:ascii="Times New Roman" w:eastAsia="Arial Unicode MS" w:hAnsi="Times New Roman"/>
      <w:b w:val="0"/>
      <w:sz w:val="32"/>
    </w:rPr>
  </w:style>
  <w:style w:type="character" w:styleId="FootnoteReference">
    <w:name w:val="footnote reference"/>
    <w:basedOn w:val="DefaultParagraphFont"/>
    <w:semiHidden/>
    <w:rsid w:val="009A591C"/>
    <w:rPr>
      <w:i/>
      <w:vertAlign w:val="superscript"/>
    </w:rPr>
  </w:style>
  <w:style w:type="paragraph" w:customStyle="1" w:styleId="ReferenceAuthor">
    <w:name w:val="ReferenceAuthor"/>
    <w:basedOn w:val="Body"/>
    <w:rsid w:val="009A591C"/>
    <w:pPr>
      <w:tabs>
        <w:tab w:val="left" w:pos="1814"/>
      </w:tabs>
      <w:ind w:left="1814" w:hanging="1814"/>
    </w:pPr>
    <w:rPr>
      <w:szCs w:val="21"/>
    </w:rPr>
  </w:style>
  <w:style w:type="paragraph" w:customStyle="1" w:styleId="CaptionFiguurBreed">
    <w:name w:val="CaptionFiguurBreed"/>
    <w:basedOn w:val="CaptionFiguur"/>
    <w:next w:val="Body"/>
    <w:rsid w:val="009A591C"/>
    <w:pPr>
      <w:ind w:left="-1191"/>
    </w:pPr>
    <w:rPr>
      <w:szCs w:val="17"/>
    </w:rPr>
  </w:style>
  <w:style w:type="paragraph" w:customStyle="1" w:styleId="CaptionTabelBreed">
    <w:name w:val="CaptionTabelBreed"/>
    <w:basedOn w:val="Caption"/>
    <w:next w:val="Body"/>
    <w:rsid w:val="009A591C"/>
    <w:pPr>
      <w:keepNext/>
      <w:tabs>
        <w:tab w:val="clear" w:pos="7100"/>
      </w:tabs>
      <w:spacing w:before="260" w:after="120" w:line="210" w:lineRule="exact"/>
      <w:ind w:left="-1191" w:hanging="907"/>
      <w:jc w:val="left"/>
    </w:pPr>
    <w:rPr>
      <w:rFonts w:eastAsia="Arial Unicode MS"/>
      <w:b w:val="0"/>
      <w:bCs w:val="0"/>
      <w:color w:val="auto"/>
      <w:sz w:val="17"/>
      <w:szCs w:val="17"/>
    </w:rPr>
  </w:style>
  <w:style w:type="paragraph" w:customStyle="1" w:styleId="Bodykleinbreed">
    <w:name w:val="Body klein breed"/>
    <w:basedOn w:val="Bodyklein"/>
    <w:next w:val="Body"/>
    <w:rsid w:val="009A591C"/>
    <w:pPr>
      <w:ind w:left="-2098"/>
    </w:pPr>
    <w:rPr>
      <w:lang w:val="fr-FR"/>
    </w:rPr>
  </w:style>
  <w:style w:type="paragraph" w:customStyle="1" w:styleId="Distributionlist">
    <w:name w:val="Distributionlist"/>
    <w:basedOn w:val="Body"/>
    <w:next w:val="Body"/>
    <w:rsid w:val="009A591C"/>
  </w:style>
  <w:style w:type="character" w:customStyle="1" w:styleId="DocTypeHeader">
    <w:name w:val="DocTypeHeader"/>
    <w:basedOn w:val="DefaultParagraphFont"/>
    <w:rsid w:val="009A591C"/>
    <w:rPr>
      <w:rFonts w:ascii="Arial" w:hAnsi="Arial" w:cs="Arial"/>
      <w:sz w:val="17"/>
    </w:rPr>
  </w:style>
  <w:style w:type="character" w:customStyle="1" w:styleId="TNO-Logo">
    <w:name w:val="TNO-Logo"/>
    <w:basedOn w:val="DefaultParagraphFont"/>
    <w:rsid w:val="009A591C"/>
    <w:rPr>
      <w:vanish/>
    </w:rPr>
  </w:style>
  <w:style w:type="paragraph" w:customStyle="1" w:styleId="Samenvatting">
    <w:name w:val="Samenvatting"/>
    <w:basedOn w:val="Normal"/>
    <w:next w:val="Body"/>
    <w:rsid w:val="009A591C"/>
    <w:pPr>
      <w:pageBreakBefore/>
      <w:tabs>
        <w:tab w:val="clear" w:pos="7100"/>
      </w:tabs>
      <w:suppressAutoHyphens/>
      <w:spacing w:after="520" w:line="340" w:lineRule="atLeast"/>
      <w:jc w:val="left"/>
    </w:pPr>
    <w:rPr>
      <w:rFonts w:eastAsia="Arial Unicode MS"/>
      <w:sz w:val="32"/>
    </w:rPr>
  </w:style>
  <w:style w:type="paragraph" w:customStyle="1" w:styleId="KopDistributionlist">
    <w:name w:val="KopDistributionlist"/>
    <w:basedOn w:val="Normal"/>
    <w:next w:val="BodyText"/>
    <w:rsid w:val="009A591C"/>
    <w:pPr>
      <w:pageBreakBefore/>
      <w:tabs>
        <w:tab w:val="clear" w:pos="7100"/>
      </w:tabs>
      <w:suppressAutoHyphens/>
      <w:spacing w:after="520" w:line="360" w:lineRule="exact"/>
      <w:jc w:val="left"/>
    </w:pPr>
    <w:rPr>
      <w:noProof/>
      <w:sz w:val="32"/>
      <w:szCs w:val="32"/>
      <w:lang w:val="en-US"/>
    </w:rPr>
  </w:style>
  <w:style w:type="paragraph" w:customStyle="1" w:styleId="A1">
    <w:name w:val="A1"/>
    <w:aliases w:val="normaal"/>
    <w:rsid w:val="009A591C"/>
    <w:pPr>
      <w:spacing w:after="0" w:line="280" w:lineRule="exact"/>
    </w:pPr>
    <w:rPr>
      <w:rFonts w:ascii="Arial" w:eastAsia="Times New Roman" w:hAnsi="Arial" w:cs="Times New Roman"/>
      <w:sz w:val="21"/>
      <w:szCs w:val="20"/>
      <w:lang w:val="nl-NL"/>
    </w:rPr>
  </w:style>
  <w:style w:type="paragraph" w:customStyle="1" w:styleId="Ondertekening">
    <w:name w:val="Ondertekening"/>
    <w:basedOn w:val="Normal"/>
    <w:rsid w:val="009A591C"/>
    <w:pPr>
      <w:tabs>
        <w:tab w:val="clear" w:pos="7100"/>
        <w:tab w:val="left" w:pos="3686"/>
      </w:tabs>
      <w:spacing w:line="240" w:lineRule="auto"/>
      <w:jc w:val="left"/>
    </w:pPr>
    <w:rPr>
      <w:rFonts w:eastAsia="Arial Unicode MS"/>
      <w:sz w:val="20"/>
      <w:szCs w:val="19"/>
      <w:lang w:val="nl-NL"/>
    </w:rPr>
  </w:style>
  <w:style w:type="paragraph" w:customStyle="1" w:styleId="Default">
    <w:name w:val="Default"/>
    <w:rsid w:val="009A591C"/>
    <w:pPr>
      <w:autoSpaceDE w:val="0"/>
      <w:autoSpaceDN w:val="0"/>
      <w:adjustRightInd w:val="0"/>
      <w:spacing w:after="0" w:line="240" w:lineRule="auto"/>
    </w:pPr>
    <w:rPr>
      <w:rFonts w:ascii="Times New Roman" w:hAnsi="Times New Roman" w:cs="Times New Roman"/>
      <w:color w:val="000000"/>
      <w:sz w:val="24"/>
      <w:szCs w:val="24"/>
      <w:lang w:val="nl-NL"/>
    </w:rPr>
  </w:style>
  <w:style w:type="character" w:styleId="PlaceholderText">
    <w:name w:val="Placeholder Text"/>
    <w:basedOn w:val="DefaultParagraphFont"/>
    <w:uiPriority w:val="99"/>
    <w:semiHidden/>
    <w:rsid w:val="009A591C"/>
    <w:rPr>
      <w:color w:val="808080"/>
    </w:rPr>
  </w:style>
  <w:style w:type="character" w:styleId="Emphasis">
    <w:name w:val="Emphasis"/>
    <w:basedOn w:val="DefaultParagraphFont"/>
    <w:qFormat/>
    <w:rsid w:val="009A591C"/>
    <w:rPr>
      <w:i/>
      <w:iCs/>
    </w:rPr>
  </w:style>
  <w:style w:type="paragraph" w:styleId="Revision">
    <w:name w:val="Revision"/>
    <w:hidden/>
    <w:uiPriority w:val="99"/>
    <w:semiHidden/>
    <w:rsid w:val="009A591C"/>
    <w:pPr>
      <w:spacing w:after="0" w:line="240" w:lineRule="auto"/>
    </w:pPr>
    <w:rPr>
      <w:rFonts w:ascii="Arial" w:eastAsia="Times New Roman" w:hAnsi="Arial" w:cs="Times New Roman"/>
      <w:sz w:val="20"/>
      <w:szCs w:val="24"/>
      <w:lang w:val="en-GB"/>
    </w:rPr>
  </w:style>
  <w:style w:type="character" w:styleId="Mention">
    <w:name w:val="Mention"/>
    <w:basedOn w:val="DefaultParagraphFont"/>
    <w:uiPriority w:val="99"/>
    <w:unhideWhenUsed/>
    <w:rsid w:val="009A591C"/>
    <w:rPr>
      <w:color w:val="2B579A"/>
      <w:shd w:val="clear" w:color="auto" w:fill="E1DFDD"/>
    </w:rPr>
  </w:style>
  <w:style w:type="paragraph" w:customStyle="1" w:styleId="Style1">
    <w:name w:val="Style1"/>
    <w:basedOn w:val="Heading3"/>
    <w:link w:val="Style1Char"/>
    <w:qFormat/>
    <w:rsid w:val="009A591C"/>
    <w:pPr>
      <w:keepNext w:val="0"/>
      <w:keepLines w:val="0"/>
      <w:tabs>
        <w:tab w:val="clear" w:pos="7100"/>
        <w:tab w:val="num" w:pos="1134"/>
      </w:tabs>
      <w:spacing w:before="480" w:after="120" w:line="240" w:lineRule="auto"/>
      <w:ind w:left="1134" w:hanging="1134"/>
    </w:pPr>
    <w:rPr>
      <w:rFonts w:ascii="Times New Roman" w:eastAsia="Times New Roman" w:hAnsi="Times New Roman" w:cs="Times New Roman"/>
      <w:bCs w:val="0"/>
      <w:sz w:val="24"/>
      <w:lang w:val="en-US"/>
    </w:rPr>
  </w:style>
  <w:style w:type="character" w:customStyle="1" w:styleId="Style1Char">
    <w:name w:val="Style1 Char"/>
    <w:basedOn w:val="Heading2Char"/>
    <w:link w:val="Style1"/>
    <w:rsid w:val="009A591C"/>
    <w:rPr>
      <w:rFonts w:ascii="Times New Roman" w:eastAsia="Times New Roman" w:hAnsi="Times New Roman" w:cs="Times New Roman"/>
      <w:b/>
      <w:bCs w:val="0"/>
      <w:color w:val="4F81BD" w:themeColor="accent1"/>
      <w:sz w:val="24"/>
      <w:szCs w:val="20"/>
      <w:lang w:val="en-US"/>
    </w:rPr>
  </w:style>
  <w:style w:type="paragraph" w:customStyle="1" w:styleId="Style2">
    <w:name w:val="Style2"/>
    <w:basedOn w:val="Heading4"/>
    <w:link w:val="Style2Char"/>
    <w:qFormat/>
    <w:rsid w:val="009A591C"/>
    <w:pPr>
      <w:tabs>
        <w:tab w:val="clear" w:pos="7100"/>
      </w:tabs>
      <w:spacing w:before="40" w:line="240" w:lineRule="auto"/>
    </w:pPr>
    <w:rPr>
      <w:rFonts w:ascii="Times New Roman" w:hAnsi="Times New Roman"/>
      <w:bCs w:val="0"/>
      <w:i w:val="0"/>
      <w:sz w:val="24"/>
      <w:szCs w:val="24"/>
    </w:rPr>
  </w:style>
  <w:style w:type="character" w:customStyle="1" w:styleId="Style2Char">
    <w:name w:val="Style2 Char"/>
    <w:basedOn w:val="Heading4Char"/>
    <w:link w:val="Style2"/>
    <w:rsid w:val="009A591C"/>
    <w:rPr>
      <w:rFonts w:ascii="Times New Roman" w:eastAsiaTheme="majorEastAsia" w:hAnsi="Times New Roman" w:cstheme="majorBidi"/>
      <w:b/>
      <w:bCs w:val="0"/>
      <w:i w:val="0"/>
      <w:iCs/>
      <w:color w:val="4F81BD" w:themeColor="accent1"/>
      <w:sz w:val="24"/>
      <w:szCs w:val="24"/>
      <w:lang w:val="en-GB"/>
    </w:rPr>
  </w:style>
  <w:style w:type="paragraph" w:styleId="Title">
    <w:name w:val="Title"/>
    <w:basedOn w:val="Normal"/>
    <w:next w:val="Normal"/>
    <w:link w:val="TitleChar"/>
    <w:uiPriority w:val="10"/>
    <w:qFormat/>
    <w:rsid w:val="009A591C"/>
    <w:pPr>
      <w:tabs>
        <w:tab w:val="clear" w:pos="7100"/>
      </w:tabs>
      <w:spacing w:after="80" w:line="240" w:lineRule="auto"/>
      <w:contextualSpacing/>
      <w:jc w:val="left"/>
    </w:pPr>
    <w:rPr>
      <w:rFonts w:asciiTheme="majorHAnsi" w:eastAsiaTheme="majorEastAsia" w:hAnsiTheme="majorHAnsi" w:cstheme="majorBidi"/>
      <w:spacing w:val="-10"/>
      <w:kern w:val="28"/>
      <w:sz w:val="56"/>
      <w:szCs w:val="56"/>
      <w:lang w:val="nl-NL"/>
      <w14:ligatures w14:val="standardContextual"/>
    </w:rPr>
  </w:style>
  <w:style w:type="character" w:customStyle="1" w:styleId="TitleChar">
    <w:name w:val="Title Char"/>
    <w:basedOn w:val="DefaultParagraphFont"/>
    <w:link w:val="Title"/>
    <w:uiPriority w:val="10"/>
    <w:rsid w:val="009A591C"/>
    <w:rPr>
      <w:rFonts w:asciiTheme="majorHAnsi" w:eastAsiaTheme="majorEastAsia" w:hAnsiTheme="majorHAnsi" w:cstheme="majorBidi"/>
      <w:spacing w:val="-10"/>
      <w:kern w:val="28"/>
      <w:sz w:val="56"/>
      <w:szCs w:val="56"/>
      <w:lang w:val="nl-NL"/>
      <w14:ligatures w14:val="standardContextual"/>
    </w:rPr>
  </w:style>
  <w:style w:type="paragraph" w:styleId="Subtitle">
    <w:name w:val="Subtitle"/>
    <w:basedOn w:val="Normal"/>
    <w:next w:val="Normal"/>
    <w:link w:val="SubtitleChar"/>
    <w:uiPriority w:val="11"/>
    <w:qFormat/>
    <w:rsid w:val="009A591C"/>
    <w:pPr>
      <w:numPr>
        <w:ilvl w:val="1"/>
      </w:numPr>
      <w:tabs>
        <w:tab w:val="clear" w:pos="7100"/>
      </w:tabs>
      <w:spacing w:after="160" w:line="259" w:lineRule="auto"/>
      <w:jc w:val="left"/>
    </w:pPr>
    <w:rPr>
      <w:rFonts w:asciiTheme="minorHAnsi" w:eastAsiaTheme="majorEastAsia" w:hAnsiTheme="minorHAnsi" w:cstheme="majorBidi"/>
      <w:color w:val="595959" w:themeColor="text1" w:themeTint="A6"/>
      <w:spacing w:val="15"/>
      <w:kern w:val="2"/>
      <w:sz w:val="28"/>
      <w:szCs w:val="28"/>
      <w:lang w:val="nl-NL"/>
      <w14:ligatures w14:val="standardContextual"/>
    </w:rPr>
  </w:style>
  <w:style w:type="character" w:customStyle="1" w:styleId="SubtitleChar">
    <w:name w:val="Subtitle Char"/>
    <w:basedOn w:val="DefaultParagraphFont"/>
    <w:link w:val="Subtitle"/>
    <w:uiPriority w:val="11"/>
    <w:rsid w:val="009A591C"/>
    <w:rPr>
      <w:rFonts w:eastAsiaTheme="majorEastAsia" w:cstheme="majorBidi"/>
      <w:color w:val="595959" w:themeColor="text1" w:themeTint="A6"/>
      <w:spacing w:val="15"/>
      <w:kern w:val="2"/>
      <w:sz w:val="28"/>
      <w:szCs w:val="28"/>
      <w:lang w:val="nl-NL"/>
      <w14:ligatures w14:val="standardContextual"/>
    </w:rPr>
  </w:style>
  <w:style w:type="paragraph" w:styleId="Quote">
    <w:name w:val="Quote"/>
    <w:basedOn w:val="Normal"/>
    <w:next w:val="Normal"/>
    <w:link w:val="QuoteChar"/>
    <w:uiPriority w:val="29"/>
    <w:qFormat/>
    <w:rsid w:val="009A591C"/>
    <w:pPr>
      <w:tabs>
        <w:tab w:val="clear" w:pos="7100"/>
      </w:tabs>
      <w:spacing w:before="160" w:after="160" w:line="259" w:lineRule="auto"/>
      <w:jc w:val="center"/>
    </w:pPr>
    <w:rPr>
      <w:rFonts w:asciiTheme="minorHAnsi" w:eastAsiaTheme="minorHAnsi" w:hAnsiTheme="minorHAnsi" w:cstheme="minorBidi"/>
      <w:i/>
      <w:iCs/>
      <w:color w:val="404040" w:themeColor="text1" w:themeTint="BF"/>
      <w:kern w:val="2"/>
      <w:sz w:val="22"/>
      <w:szCs w:val="22"/>
      <w:lang w:val="nl-NL"/>
      <w14:ligatures w14:val="standardContextual"/>
    </w:rPr>
  </w:style>
  <w:style w:type="character" w:customStyle="1" w:styleId="QuoteChar">
    <w:name w:val="Quote Char"/>
    <w:basedOn w:val="DefaultParagraphFont"/>
    <w:link w:val="Quote"/>
    <w:uiPriority w:val="29"/>
    <w:rsid w:val="009A591C"/>
    <w:rPr>
      <w:i/>
      <w:iCs/>
      <w:color w:val="404040" w:themeColor="text1" w:themeTint="BF"/>
      <w:kern w:val="2"/>
      <w:lang w:val="nl-NL"/>
      <w14:ligatures w14:val="standardContextual"/>
    </w:rPr>
  </w:style>
  <w:style w:type="character" w:styleId="IntenseEmphasis">
    <w:name w:val="Intense Emphasis"/>
    <w:basedOn w:val="DefaultParagraphFont"/>
    <w:uiPriority w:val="21"/>
    <w:qFormat/>
    <w:rsid w:val="009A591C"/>
    <w:rPr>
      <w:i/>
      <w:iCs/>
      <w:color w:val="365F91" w:themeColor="accent1" w:themeShade="BF"/>
    </w:rPr>
  </w:style>
  <w:style w:type="paragraph" w:styleId="IntenseQuote">
    <w:name w:val="Intense Quote"/>
    <w:basedOn w:val="Normal"/>
    <w:next w:val="Normal"/>
    <w:link w:val="IntenseQuoteChar"/>
    <w:uiPriority w:val="30"/>
    <w:qFormat/>
    <w:rsid w:val="009A591C"/>
    <w:pPr>
      <w:pBdr>
        <w:top w:val="single" w:sz="4" w:space="10" w:color="365F91" w:themeColor="accent1" w:themeShade="BF"/>
        <w:bottom w:val="single" w:sz="4" w:space="10" w:color="365F91" w:themeColor="accent1" w:themeShade="BF"/>
      </w:pBdr>
      <w:tabs>
        <w:tab w:val="clear" w:pos="7100"/>
      </w:tabs>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nl-NL"/>
      <w14:ligatures w14:val="standardContextual"/>
    </w:rPr>
  </w:style>
  <w:style w:type="character" w:customStyle="1" w:styleId="IntenseQuoteChar">
    <w:name w:val="Intense Quote Char"/>
    <w:basedOn w:val="DefaultParagraphFont"/>
    <w:link w:val="IntenseQuote"/>
    <w:uiPriority w:val="30"/>
    <w:rsid w:val="009A591C"/>
    <w:rPr>
      <w:i/>
      <w:iCs/>
      <w:color w:val="365F91" w:themeColor="accent1" w:themeShade="BF"/>
      <w:kern w:val="2"/>
      <w:lang w:val="nl-NL"/>
      <w14:ligatures w14:val="standardContextual"/>
    </w:rPr>
  </w:style>
  <w:style w:type="character" w:styleId="IntenseReference">
    <w:name w:val="Intense Reference"/>
    <w:basedOn w:val="DefaultParagraphFont"/>
    <w:uiPriority w:val="32"/>
    <w:qFormat/>
    <w:rsid w:val="009A591C"/>
    <w:rPr>
      <w:b/>
      <w:bCs/>
      <w:smallCaps/>
      <w:color w:val="365F91" w:themeColor="accent1" w:themeShade="BF"/>
      <w:spacing w:val="5"/>
    </w:rPr>
  </w:style>
  <w:style w:type="table" w:styleId="GridTable4-Accent2">
    <w:name w:val="Grid Table 4 Accent 2"/>
    <w:basedOn w:val="TableNormal"/>
    <w:uiPriority w:val="49"/>
    <w:rsid w:val="009A591C"/>
    <w:pPr>
      <w:spacing w:after="0" w:line="240" w:lineRule="auto"/>
    </w:pPr>
    <w:rPr>
      <w:rFonts w:ascii="Times New Roman" w:eastAsia="Times New Roman" w:hAnsi="Times New Roman" w:cs="Times New Roman"/>
      <w:sz w:val="20"/>
      <w:szCs w:val="20"/>
      <w:lang w:val="nb-NO" w:eastAsia="nb-NO"/>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paragraph">
    <w:name w:val="paragraph"/>
    <w:basedOn w:val="Normal"/>
    <w:rsid w:val="009A591C"/>
    <w:pPr>
      <w:tabs>
        <w:tab w:val="clear" w:pos="7100"/>
      </w:tabs>
      <w:spacing w:before="100" w:beforeAutospacing="1" w:after="100" w:afterAutospacing="1" w:line="240" w:lineRule="auto"/>
      <w:jc w:val="left"/>
    </w:pPr>
    <w:rPr>
      <w:rFonts w:ascii="Times New Roman" w:hAnsi="Times New Roman"/>
      <w:sz w:val="24"/>
      <w:szCs w:val="24"/>
      <w:lang w:val="nl-NL" w:eastAsia="nl-NL"/>
    </w:rPr>
  </w:style>
  <w:style w:type="character" w:customStyle="1" w:styleId="normaltextrun">
    <w:name w:val="normaltextrun"/>
    <w:basedOn w:val="DefaultParagraphFont"/>
    <w:rsid w:val="009A591C"/>
  </w:style>
  <w:style w:type="character" w:customStyle="1" w:styleId="eop">
    <w:name w:val="eop"/>
    <w:basedOn w:val="DefaultParagraphFont"/>
    <w:rsid w:val="009A591C"/>
  </w:style>
  <w:style w:type="character" w:customStyle="1" w:styleId="mathspan">
    <w:name w:val="mathspan"/>
    <w:basedOn w:val="DefaultParagraphFont"/>
    <w:rsid w:val="009A591C"/>
  </w:style>
  <w:style w:type="character" w:customStyle="1" w:styleId="mi">
    <w:name w:val="mi"/>
    <w:basedOn w:val="DefaultParagraphFont"/>
    <w:rsid w:val="009A591C"/>
  </w:style>
  <w:style w:type="character" w:customStyle="1" w:styleId="mo">
    <w:name w:val="mo"/>
    <w:basedOn w:val="DefaultParagraphFont"/>
    <w:rsid w:val="009A591C"/>
  </w:style>
  <w:style w:type="character" w:customStyle="1" w:styleId="mn">
    <w:name w:val="mn"/>
    <w:basedOn w:val="DefaultParagraphFont"/>
    <w:rsid w:val="009A5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293">
      <w:marLeft w:val="480"/>
      <w:marRight w:val="0"/>
      <w:marTop w:val="0"/>
      <w:marBottom w:val="0"/>
      <w:divBdr>
        <w:top w:val="none" w:sz="0" w:space="0" w:color="auto"/>
        <w:left w:val="none" w:sz="0" w:space="0" w:color="auto"/>
        <w:bottom w:val="none" w:sz="0" w:space="0" w:color="auto"/>
        <w:right w:val="none" w:sz="0" w:space="0" w:color="auto"/>
      </w:divBdr>
    </w:div>
    <w:div w:id="2629201">
      <w:marLeft w:val="480"/>
      <w:marRight w:val="0"/>
      <w:marTop w:val="0"/>
      <w:marBottom w:val="0"/>
      <w:divBdr>
        <w:top w:val="none" w:sz="0" w:space="0" w:color="auto"/>
        <w:left w:val="none" w:sz="0" w:space="0" w:color="auto"/>
        <w:bottom w:val="none" w:sz="0" w:space="0" w:color="auto"/>
        <w:right w:val="none" w:sz="0" w:space="0" w:color="auto"/>
      </w:divBdr>
    </w:div>
    <w:div w:id="38555656">
      <w:marLeft w:val="480"/>
      <w:marRight w:val="0"/>
      <w:marTop w:val="0"/>
      <w:marBottom w:val="0"/>
      <w:divBdr>
        <w:top w:val="none" w:sz="0" w:space="0" w:color="auto"/>
        <w:left w:val="none" w:sz="0" w:space="0" w:color="auto"/>
        <w:bottom w:val="none" w:sz="0" w:space="0" w:color="auto"/>
        <w:right w:val="none" w:sz="0" w:space="0" w:color="auto"/>
      </w:divBdr>
    </w:div>
    <w:div w:id="47805006">
      <w:marLeft w:val="480"/>
      <w:marRight w:val="0"/>
      <w:marTop w:val="0"/>
      <w:marBottom w:val="0"/>
      <w:divBdr>
        <w:top w:val="none" w:sz="0" w:space="0" w:color="auto"/>
        <w:left w:val="none" w:sz="0" w:space="0" w:color="auto"/>
        <w:bottom w:val="none" w:sz="0" w:space="0" w:color="auto"/>
        <w:right w:val="none" w:sz="0" w:space="0" w:color="auto"/>
      </w:divBdr>
    </w:div>
    <w:div w:id="51974695">
      <w:marLeft w:val="480"/>
      <w:marRight w:val="0"/>
      <w:marTop w:val="0"/>
      <w:marBottom w:val="0"/>
      <w:divBdr>
        <w:top w:val="none" w:sz="0" w:space="0" w:color="auto"/>
        <w:left w:val="none" w:sz="0" w:space="0" w:color="auto"/>
        <w:bottom w:val="none" w:sz="0" w:space="0" w:color="auto"/>
        <w:right w:val="none" w:sz="0" w:space="0" w:color="auto"/>
      </w:divBdr>
    </w:div>
    <w:div w:id="64111424">
      <w:marLeft w:val="480"/>
      <w:marRight w:val="0"/>
      <w:marTop w:val="0"/>
      <w:marBottom w:val="0"/>
      <w:divBdr>
        <w:top w:val="none" w:sz="0" w:space="0" w:color="auto"/>
        <w:left w:val="none" w:sz="0" w:space="0" w:color="auto"/>
        <w:bottom w:val="none" w:sz="0" w:space="0" w:color="auto"/>
        <w:right w:val="none" w:sz="0" w:space="0" w:color="auto"/>
      </w:divBdr>
    </w:div>
    <w:div w:id="68310509">
      <w:marLeft w:val="480"/>
      <w:marRight w:val="0"/>
      <w:marTop w:val="0"/>
      <w:marBottom w:val="0"/>
      <w:divBdr>
        <w:top w:val="none" w:sz="0" w:space="0" w:color="auto"/>
        <w:left w:val="none" w:sz="0" w:space="0" w:color="auto"/>
        <w:bottom w:val="none" w:sz="0" w:space="0" w:color="auto"/>
        <w:right w:val="none" w:sz="0" w:space="0" w:color="auto"/>
      </w:divBdr>
    </w:div>
    <w:div w:id="123894871">
      <w:marLeft w:val="480"/>
      <w:marRight w:val="0"/>
      <w:marTop w:val="0"/>
      <w:marBottom w:val="0"/>
      <w:divBdr>
        <w:top w:val="none" w:sz="0" w:space="0" w:color="auto"/>
        <w:left w:val="none" w:sz="0" w:space="0" w:color="auto"/>
        <w:bottom w:val="none" w:sz="0" w:space="0" w:color="auto"/>
        <w:right w:val="none" w:sz="0" w:space="0" w:color="auto"/>
      </w:divBdr>
    </w:div>
    <w:div w:id="130679945">
      <w:marLeft w:val="480"/>
      <w:marRight w:val="0"/>
      <w:marTop w:val="0"/>
      <w:marBottom w:val="0"/>
      <w:divBdr>
        <w:top w:val="none" w:sz="0" w:space="0" w:color="auto"/>
        <w:left w:val="none" w:sz="0" w:space="0" w:color="auto"/>
        <w:bottom w:val="none" w:sz="0" w:space="0" w:color="auto"/>
        <w:right w:val="none" w:sz="0" w:space="0" w:color="auto"/>
      </w:divBdr>
    </w:div>
    <w:div w:id="140344037">
      <w:marLeft w:val="480"/>
      <w:marRight w:val="0"/>
      <w:marTop w:val="0"/>
      <w:marBottom w:val="0"/>
      <w:divBdr>
        <w:top w:val="none" w:sz="0" w:space="0" w:color="auto"/>
        <w:left w:val="none" w:sz="0" w:space="0" w:color="auto"/>
        <w:bottom w:val="none" w:sz="0" w:space="0" w:color="auto"/>
        <w:right w:val="none" w:sz="0" w:space="0" w:color="auto"/>
      </w:divBdr>
    </w:div>
    <w:div w:id="156770281">
      <w:marLeft w:val="480"/>
      <w:marRight w:val="0"/>
      <w:marTop w:val="0"/>
      <w:marBottom w:val="0"/>
      <w:divBdr>
        <w:top w:val="none" w:sz="0" w:space="0" w:color="auto"/>
        <w:left w:val="none" w:sz="0" w:space="0" w:color="auto"/>
        <w:bottom w:val="none" w:sz="0" w:space="0" w:color="auto"/>
        <w:right w:val="none" w:sz="0" w:space="0" w:color="auto"/>
      </w:divBdr>
    </w:div>
    <w:div w:id="160005319">
      <w:marLeft w:val="480"/>
      <w:marRight w:val="0"/>
      <w:marTop w:val="0"/>
      <w:marBottom w:val="0"/>
      <w:divBdr>
        <w:top w:val="none" w:sz="0" w:space="0" w:color="auto"/>
        <w:left w:val="none" w:sz="0" w:space="0" w:color="auto"/>
        <w:bottom w:val="none" w:sz="0" w:space="0" w:color="auto"/>
        <w:right w:val="none" w:sz="0" w:space="0" w:color="auto"/>
      </w:divBdr>
    </w:div>
    <w:div w:id="167987295">
      <w:marLeft w:val="480"/>
      <w:marRight w:val="0"/>
      <w:marTop w:val="0"/>
      <w:marBottom w:val="0"/>
      <w:divBdr>
        <w:top w:val="none" w:sz="0" w:space="0" w:color="auto"/>
        <w:left w:val="none" w:sz="0" w:space="0" w:color="auto"/>
        <w:bottom w:val="none" w:sz="0" w:space="0" w:color="auto"/>
        <w:right w:val="none" w:sz="0" w:space="0" w:color="auto"/>
      </w:divBdr>
    </w:div>
    <w:div w:id="185532578">
      <w:marLeft w:val="480"/>
      <w:marRight w:val="0"/>
      <w:marTop w:val="0"/>
      <w:marBottom w:val="0"/>
      <w:divBdr>
        <w:top w:val="none" w:sz="0" w:space="0" w:color="auto"/>
        <w:left w:val="none" w:sz="0" w:space="0" w:color="auto"/>
        <w:bottom w:val="none" w:sz="0" w:space="0" w:color="auto"/>
        <w:right w:val="none" w:sz="0" w:space="0" w:color="auto"/>
      </w:divBdr>
    </w:div>
    <w:div w:id="201554191">
      <w:marLeft w:val="480"/>
      <w:marRight w:val="0"/>
      <w:marTop w:val="0"/>
      <w:marBottom w:val="0"/>
      <w:divBdr>
        <w:top w:val="none" w:sz="0" w:space="0" w:color="auto"/>
        <w:left w:val="none" w:sz="0" w:space="0" w:color="auto"/>
        <w:bottom w:val="none" w:sz="0" w:space="0" w:color="auto"/>
        <w:right w:val="none" w:sz="0" w:space="0" w:color="auto"/>
      </w:divBdr>
    </w:div>
    <w:div w:id="240025401">
      <w:marLeft w:val="480"/>
      <w:marRight w:val="0"/>
      <w:marTop w:val="0"/>
      <w:marBottom w:val="0"/>
      <w:divBdr>
        <w:top w:val="none" w:sz="0" w:space="0" w:color="auto"/>
        <w:left w:val="none" w:sz="0" w:space="0" w:color="auto"/>
        <w:bottom w:val="none" w:sz="0" w:space="0" w:color="auto"/>
        <w:right w:val="none" w:sz="0" w:space="0" w:color="auto"/>
      </w:divBdr>
    </w:div>
    <w:div w:id="245845301">
      <w:marLeft w:val="480"/>
      <w:marRight w:val="0"/>
      <w:marTop w:val="0"/>
      <w:marBottom w:val="0"/>
      <w:divBdr>
        <w:top w:val="none" w:sz="0" w:space="0" w:color="auto"/>
        <w:left w:val="none" w:sz="0" w:space="0" w:color="auto"/>
        <w:bottom w:val="none" w:sz="0" w:space="0" w:color="auto"/>
        <w:right w:val="none" w:sz="0" w:space="0" w:color="auto"/>
      </w:divBdr>
    </w:div>
    <w:div w:id="251398253">
      <w:marLeft w:val="480"/>
      <w:marRight w:val="0"/>
      <w:marTop w:val="0"/>
      <w:marBottom w:val="0"/>
      <w:divBdr>
        <w:top w:val="none" w:sz="0" w:space="0" w:color="auto"/>
        <w:left w:val="none" w:sz="0" w:space="0" w:color="auto"/>
        <w:bottom w:val="none" w:sz="0" w:space="0" w:color="auto"/>
        <w:right w:val="none" w:sz="0" w:space="0" w:color="auto"/>
      </w:divBdr>
    </w:div>
    <w:div w:id="252056575">
      <w:marLeft w:val="480"/>
      <w:marRight w:val="0"/>
      <w:marTop w:val="0"/>
      <w:marBottom w:val="0"/>
      <w:divBdr>
        <w:top w:val="none" w:sz="0" w:space="0" w:color="auto"/>
        <w:left w:val="none" w:sz="0" w:space="0" w:color="auto"/>
        <w:bottom w:val="none" w:sz="0" w:space="0" w:color="auto"/>
        <w:right w:val="none" w:sz="0" w:space="0" w:color="auto"/>
      </w:divBdr>
    </w:div>
    <w:div w:id="253586999">
      <w:marLeft w:val="480"/>
      <w:marRight w:val="0"/>
      <w:marTop w:val="0"/>
      <w:marBottom w:val="0"/>
      <w:divBdr>
        <w:top w:val="none" w:sz="0" w:space="0" w:color="auto"/>
        <w:left w:val="none" w:sz="0" w:space="0" w:color="auto"/>
        <w:bottom w:val="none" w:sz="0" w:space="0" w:color="auto"/>
        <w:right w:val="none" w:sz="0" w:space="0" w:color="auto"/>
      </w:divBdr>
    </w:div>
    <w:div w:id="268125904">
      <w:marLeft w:val="480"/>
      <w:marRight w:val="0"/>
      <w:marTop w:val="0"/>
      <w:marBottom w:val="0"/>
      <w:divBdr>
        <w:top w:val="none" w:sz="0" w:space="0" w:color="auto"/>
        <w:left w:val="none" w:sz="0" w:space="0" w:color="auto"/>
        <w:bottom w:val="none" w:sz="0" w:space="0" w:color="auto"/>
        <w:right w:val="none" w:sz="0" w:space="0" w:color="auto"/>
      </w:divBdr>
    </w:div>
    <w:div w:id="273362722">
      <w:marLeft w:val="480"/>
      <w:marRight w:val="0"/>
      <w:marTop w:val="0"/>
      <w:marBottom w:val="0"/>
      <w:divBdr>
        <w:top w:val="none" w:sz="0" w:space="0" w:color="auto"/>
        <w:left w:val="none" w:sz="0" w:space="0" w:color="auto"/>
        <w:bottom w:val="none" w:sz="0" w:space="0" w:color="auto"/>
        <w:right w:val="none" w:sz="0" w:space="0" w:color="auto"/>
      </w:divBdr>
    </w:div>
    <w:div w:id="278146380">
      <w:marLeft w:val="480"/>
      <w:marRight w:val="0"/>
      <w:marTop w:val="0"/>
      <w:marBottom w:val="0"/>
      <w:divBdr>
        <w:top w:val="none" w:sz="0" w:space="0" w:color="auto"/>
        <w:left w:val="none" w:sz="0" w:space="0" w:color="auto"/>
        <w:bottom w:val="none" w:sz="0" w:space="0" w:color="auto"/>
        <w:right w:val="none" w:sz="0" w:space="0" w:color="auto"/>
      </w:divBdr>
    </w:div>
    <w:div w:id="280185771">
      <w:marLeft w:val="480"/>
      <w:marRight w:val="0"/>
      <w:marTop w:val="0"/>
      <w:marBottom w:val="0"/>
      <w:divBdr>
        <w:top w:val="none" w:sz="0" w:space="0" w:color="auto"/>
        <w:left w:val="none" w:sz="0" w:space="0" w:color="auto"/>
        <w:bottom w:val="none" w:sz="0" w:space="0" w:color="auto"/>
        <w:right w:val="none" w:sz="0" w:space="0" w:color="auto"/>
      </w:divBdr>
    </w:div>
    <w:div w:id="286593260">
      <w:marLeft w:val="480"/>
      <w:marRight w:val="0"/>
      <w:marTop w:val="0"/>
      <w:marBottom w:val="0"/>
      <w:divBdr>
        <w:top w:val="none" w:sz="0" w:space="0" w:color="auto"/>
        <w:left w:val="none" w:sz="0" w:space="0" w:color="auto"/>
        <w:bottom w:val="none" w:sz="0" w:space="0" w:color="auto"/>
        <w:right w:val="none" w:sz="0" w:space="0" w:color="auto"/>
      </w:divBdr>
    </w:div>
    <w:div w:id="288246497">
      <w:marLeft w:val="480"/>
      <w:marRight w:val="0"/>
      <w:marTop w:val="0"/>
      <w:marBottom w:val="0"/>
      <w:divBdr>
        <w:top w:val="none" w:sz="0" w:space="0" w:color="auto"/>
        <w:left w:val="none" w:sz="0" w:space="0" w:color="auto"/>
        <w:bottom w:val="none" w:sz="0" w:space="0" w:color="auto"/>
        <w:right w:val="none" w:sz="0" w:space="0" w:color="auto"/>
      </w:divBdr>
    </w:div>
    <w:div w:id="297806806">
      <w:marLeft w:val="480"/>
      <w:marRight w:val="0"/>
      <w:marTop w:val="0"/>
      <w:marBottom w:val="0"/>
      <w:divBdr>
        <w:top w:val="none" w:sz="0" w:space="0" w:color="auto"/>
        <w:left w:val="none" w:sz="0" w:space="0" w:color="auto"/>
        <w:bottom w:val="none" w:sz="0" w:space="0" w:color="auto"/>
        <w:right w:val="none" w:sz="0" w:space="0" w:color="auto"/>
      </w:divBdr>
    </w:div>
    <w:div w:id="300424514">
      <w:marLeft w:val="480"/>
      <w:marRight w:val="0"/>
      <w:marTop w:val="0"/>
      <w:marBottom w:val="0"/>
      <w:divBdr>
        <w:top w:val="none" w:sz="0" w:space="0" w:color="auto"/>
        <w:left w:val="none" w:sz="0" w:space="0" w:color="auto"/>
        <w:bottom w:val="none" w:sz="0" w:space="0" w:color="auto"/>
        <w:right w:val="none" w:sz="0" w:space="0" w:color="auto"/>
      </w:divBdr>
    </w:div>
    <w:div w:id="310405446">
      <w:marLeft w:val="480"/>
      <w:marRight w:val="0"/>
      <w:marTop w:val="0"/>
      <w:marBottom w:val="0"/>
      <w:divBdr>
        <w:top w:val="none" w:sz="0" w:space="0" w:color="auto"/>
        <w:left w:val="none" w:sz="0" w:space="0" w:color="auto"/>
        <w:bottom w:val="none" w:sz="0" w:space="0" w:color="auto"/>
        <w:right w:val="none" w:sz="0" w:space="0" w:color="auto"/>
      </w:divBdr>
    </w:div>
    <w:div w:id="342785590">
      <w:marLeft w:val="480"/>
      <w:marRight w:val="0"/>
      <w:marTop w:val="0"/>
      <w:marBottom w:val="0"/>
      <w:divBdr>
        <w:top w:val="none" w:sz="0" w:space="0" w:color="auto"/>
        <w:left w:val="none" w:sz="0" w:space="0" w:color="auto"/>
        <w:bottom w:val="none" w:sz="0" w:space="0" w:color="auto"/>
        <w:right w:val="none" w:sz="0" w:space="0" w:color="auto"/>
      </w:divBdr>
    </w:div>
    <w:div w:id="349992955">
      <w:marLeft w:val="480"/>
      <w:marRight w:val="0"/>
      <w:marTop w:val="0"/>
      <w:marBottom w:val="0"/>
      <w:divBdr>
        <w:top w:val="none" w:sz="0" w:space="0" w:color="auto"/>
        <w:left w:val="none" w:sz="0" w:space="0" w:color="auto"/>
        <w:bottom w:val="none" w:sz="0" w:space="0" w:color="auto"/>
        <w:right w:val="none" w:sz="0" w:space="0" w:color="auto"/>
      </w:divBdr>
    </w:div>
    <w:div w:id="360665578">
      <w:marLeft w:val="480"/>
      <w:marRight w:val="0"/>
      <w:marTop w:val="0"/>
      <w:marBottom w:val="0"/>
      <w:divBdr>
        <w:top w:val="none" w:sz="0" w:space="0" w:color="auto"/>
        <w:left w:val="none" w:sz="0" w:space="0" w:color="auto"/>
        <w:bottom w:val="none" w:sz="0" w:space="0" w:color="auto"/>
        <w:right w:val="none" w:sz="0" w:space="0" w:color="auto"/>
      </w:divBdr>
    </w:div>
    <w:div w:id="391925649">
      <w:marLeft w:val="480"/>
      <w:marRight w:val="0"/>
      <w:marTop w:val="0"/>
      <w:marBottom w:val="0"/>
      <w:divBdr>
        <w:top w:val="none" w:sz="0" w:space="0" w:color="auto"/>
        <w:left w:val="none" w:sz="0" w:space="0" w:color="auto"/>
        <w:bottom w:val="none" w:sz="0" w:space="0" w:color="auto"/>
        <w:right w:val="none" w:sz="0" w:space="0" w:color="auto"/>
      </w:divBdr>
    </w:div>
    <w:div w:id="393167322">
      <w:marLeft w:val="480"/>
      <w:marRight w:val="0"/>
      <w:marTop w:val="0"/>
      <w:marBottom w:val="0"/>
      <w:divBdr>
        <w:top w:val="none" w:sz="0" w:space="0" w:color="auto"/>
        <w:left w:val="none" w:sz="0" w:space="0" w:color="auto"/>
        <w:bottom w:val="none" w:sz="0" w:space="0" w:color="auto"/>
        <w:right w:val="none" w:sz="0" w:space="0" w:color="auto"/>
      </w:divBdr>
    </w:div>
    <w:div w:id="410279617">
      <w:marLeft w:val="480"/>
      <w:marRight w:val="0"/>
      <w:marTop w:val="0"/>
      <w:marBottom w:val="0"/>
      <w:divBdr>
        <w:top w:val="none" w:sz="0" w:space="0" w:color="auto"/>
        <w:left w:val="none" w:sz="0" w:space="0" w:color="auto"/>
        <w:bottom w:val="none" w:sz="0" w:space="0" w:color="auto"/>
        <w:right w:val="none" w:sz="0" w:space="0" w:color="auto"/>
      </w:divBdr>
    </w:div>
    <w:div w:id="435638462">
      <w:marLeft w:val="480"/>
      <w:marRight w:val="0"/>
      <w:marTop w:val="0"/>
      <w:marBottom w:val="0"/>
      <w:divBdr>
        <w:top w:val="none" w:sz="0" w:space="0" w:color="auto"/>
        <w:left w:val="none" w:sz="0" w:space="0" w:color="auto"/>
        <w:bottom w:val="none" w:sz="0" w:space="0" w:color="auto"/>
        <w:right w:val="none" w:sz="0" w:space="0" w:color="auto"/>
      </w:divBdr>
    </w:div>
    <w:div w:id="439763322">
      <w:marLeft w:val="480"/>
      <w:marRight w:val="0"/>
      <w:marTop w:val="0"/>
      <w:marBottom w:val="0"/>
      <w:divBdr>
        <w:top w:val="none" w:sz="0" w:space="0" w:color="auto"/>
        <w:left w:val="none" w:sz="0" w:space="0" w:color="auto"/>
        <w:bottom w:val="none" w:sz="0" w:space="0" w:color="auto"/>
        <w:right w:val="none" w:sz="0" w:space="0" w:color="auto"/>
      </w:divBdr>
    </w:div>
    <w:div w:id="440028513">
      <w:marLeft w:val="480"/>
      <w:marRight w:val="0"/>
      <w:marTop w:val="0"/>
      <w:marBottom w:val="0"/>
      <w:divBdr>
        <w:top w:val="none" w:sz="0" w:space="0" w:color="auto"/>
        <w:left w:val="none" w:sz="0" w:space="0" w:color="auto"/>
        <w:bottom w:val="none" w:sz="0" w:space="0" w:color="auto"/>
        <w:right w:val="none" w:sz="0" w:space="0" w:color="auto"/>
      </w:divBdr>
    </w:div>
    <w:div w:id="485628212">
      <w:marLeft w:val="480"/>
      <w:marRight w:val="0"/>
      <w:marTop w:val="0"/>
      <w:marBottom w:val="0"/>
      <w:divBdr>
        <w:top w:val="none" w:sz="0" w:space="0" w:color="auto"/>
        <w:left w:val="none" w:sz="0" w:space="0" w:color="auto"/>
        <w:bottom w:val="none" w:sz="0" w:space="0" w:color="auto"/>
        <w:right w:val="none" w:sz="0" w:space="0" w:color="auto"/>
      </w:divBdr>
    </w:div>
    <w:div w:id="496188071">
      <w:marLeft w:val="480"/>
      <w:marRight w:val="0"/>
      <w:marTop w:val="0"/>
      <w:marBottom w:val="0"/>
      <w:divBdr>
        <w:top w:val="none" w:sz="0" w:space="0" w:color="auto"/>
        <w:left w:val="none" w:sz="0" w:space="0" w:color="auto"/>
        <w:bottom w:val="none" w:sz="0" w:space="0" w:color="auto"/>
        <w:right w:val="none" w:sz="0" w:space="0" w:color="auto"/>
      </w:divBdr>
    </w:div>
    <w:div w:id="496846755">
      <w:marLeft w:val="480"/>
      <w:marRight w:val="0"/>
      <w:marTop w:val="0"/>
      <w:marBottom w:val="0"/>
      <w:divBdr>
        <w:top w:val="none" w:sz="0" w:space="0" w:color="auto"/>
        <w:left w:val="none" w:sz="0" w:space="0" w:color="auto"/>
        <w:bottom w:val="none" w:sz="0" w:space="0" w:color="auto"/>
        <w:right w:val="none" w:sz="0" w:space="0" w:color="auto"/>
      </w:divBdr>
    </w:div>
    <w:div w:id="503009656">
      <w:marLeft w:val="480"/>
      <w:marRight w:val="0"/>
      <w:marTop w:val="0"/>
      <w:marBottom w:val="0"/>
      <w:divBdr>
        <w:top w:val="none" w:sz="0" w:space="0" w:color="auto"/>
        <w:left w:val="none" w:sz="0" w:space="0" w:color="auto"/>
        <w:bottom w:val="none" w:sz="0" w:space="0" w:color="auto"/>
        <w:right w:val="none" w:sz="0" w:space="0" w:color="auto"/>
      </w:divBdr>
    </w:div>
    <w:div w:id="526019374">
      <w:marLeft w:val="480"/>
      <w:marRight w:val="0"/>
      <w:marTop w:val="0"/>
      <w:marBottom w:val="0"/>
      <w:divBdr>
        <w:top w:val="none" w:sz="0" w:space="0" w:color="auto"/>
        <w:left w:val="none" w:sz="0" w:space="0" w:color="auto"/>
        <w:bottom w:val="none" w:sz="0" w:space="0" w:color="auto"/>
        <w:right w:val="none" w:sz="0" w:space="0" w:color="auto"/>
      </w:divBdr>
    </w:div>
    <w:div w:id="537090056">
      <w:marLeft w:val="480"/>
      <w:marRight w:val="0"/>
      <w:marTop w:val="0"/>
      <w:marBottom w:val="0"/>
      <w:divBdr>
        <w:top w:val="none" w:sz="0" w:space="0" w:color="auto"/>
        <w:left w:val="none" w:sz="0" w:space="0" w:color="auto"/>
        <w:bottom w:val="none" w:sz="0" w:space="0" w:color="auto"/>
        <w:right w:val="none" w:sz="0" w:space="0" w:color="auto"/>
      </w:divBdr>
    </w:div>
    <w:div w:id="539245412">
      <w:marLeft w:val="480"/>
      <w:marRight w:val="0"/>
      <w:marTop w:val="0"/>
      <w:marBottom w:val="0"/>
      <w:divBdr>
        <w:top w:val="none" w:sz="0" w:space="0" w:color="auto"/>
        <w:left w:val="none" w:sz="0" w:space="0" w:color="auto"/>
        <w:bottom w:val="none" w:sz="0" w:space="0" w:color="auto"/>
        <w:right w:val="none" w:sz="0" w:space="0" w:color="auto"/>
      </w:divBdr>
    </w:div>
    <w:div w:id="552620699">
      <w:marLeft w:val="480"/>
      <w:marRight w:val="0"/>
      <w:marTop w:val="0"/>
      <w:marBottom w:val="0"/>
      <w:divBdr>
        <w:top w:val="none" w:sz="0" w:space="0" w:color="auto"/>
        <w:left w:val="none" w:sz="0" w:space="0" w:color="auto"/>
        <w:bottom w:val="none" w:sz="0" w:space="0" w:color="auto"/>
        <w:right w:val="none" w:sz="0" w:space="0" w:color="auto"/>
      </w:divBdr>
    </w:div>
    <w:div w:id="564993531">
      <w:marLeft w:val="480"/>
      <w:marRight w:val="0"/>
      <w:marTop w:val="0"/>
      <w:marBottom w:val="0"/>
      <w:divBdr>
        <w:top w:val="none" w:sz="0" w:space="0" w:color="auto"/>
        <w:left w:val="none" w:sz="0" w:space="0" w:color="auto"/>
        <w:bottom w:val="none" w:sz="0" w:space="0" w:color="auto"/>
        <w:right w:val="none" w:sz="0" w:space="0" w:color="auto"/>
      </w:divBdr>
    </w:div>
    <w:div w:id="569585685">
      <w:marLeft w:val="480"/>
      <w:marRight w:val="0"/>
      <w:marTop w:val="0"/>
      <w:marBottom w:val="0"/>
      <w:divBdr>
        <w:top w:val="none" w:sz="0" w:space="0" w:color="auto"/>
        <w:left w:val="none" w:sz="0" w:space="0" w:color="auto"/>
        <w:bottom w:val="none" w:sz="0" w:space="0" w:color="auto"/>
        <w:right w:val="none" w:sz="0" w:space="0" w:color="auto"/>
      </w:divBdr>
    </w:div>
    <w:div w:id="570434670">
      <w:marLeft w:val="480"/>
      <w:marRight w:val="0"/>
      <w:marTop w:val="0"/>
      <w:marBottom w:val="0"/>
      <w:divBdr>
        <w:top w:val="none" w:sz="0" w:space="0" w:color="auto"/>
        <w:left w:val="none" w:sz="0" w:space="0" w:color="auto"/>
        <w:bottom w:val="none" w:sz="0" w:space="0" w:color="auto"/>
        <w:right w:val="none" w:sz="0" w:space="0" w:color="auto"/>
      </w:divBdr>
    </w:div>
    <w:div w:id="581720538">
      <w:marLeft w:val="480"/>
      <w:marRight w:val="0"/>
      <w:marTop w:val="0"/>
      <w:marBottom w:val="0"/>
      <w:divBdr>
        <w:top w:val="none" w:sz="0" w:space="0" w:color="auto"/>
        <w:left w:val="none" w:sz="0" w:space="0" w:color="auto"/>
        <w:bottom w:val="none" w:sz="0" w:space="0" w:color="auto"/>
        <w:right w:val="none" w:sz="0" w:space="0" w:color="auto"/>
      </w:divBdr>
    </w:div>
    <w:div w:id="639923458">
      <w:marLeft w:val="480"/>
      <w:marRight w:val="0"/>
      <w:marTop w:val="0"/>
      <w:marBottom w:val="0"/>
      <w:divBdr>
        <w:top w:val="none" w:sz="0" w:space="0" w:color="auto"/>
        <w:left w:val="none" w:sz="0" w:space="0" w:color="auto"/>
        <w:bottom w:val="none" w:sz="0" w:space="0" w:color="auto"/>
        <w:right w:val="none" w:sz="0" w:space="0" w:color="auto"/>
      </w:divBdr>
    </w:div>
    <w:div w:id="643465051">
      <w:marLeft w:val="480"/>
      <w:marRight w:val="0"/>
      <w:marTop w:val="0"/>
      <w:marBottom w:val="0"/>
      <w:divBdr>
        <w:top w:val="none" w:sz="0" w:space="0" w:color="auto"/>
        <w:left w:val="none" w:sz="0" w:space="0" w:color="auto"/>
        <w:bottom w:val="none" w:sz="0" w:space="0" w:color="auto"/>
        <w:right w:val="none" w:sz="0" w:space="0" w:color="auto"/>
      </w:divBdr>
    </w:div>
    <w:div w:id="658072535">
      <w:marLeft w:val="480"/>
      <w:marRight w:val="0"/>
      <w:marTop w:val="0"/>
      <w:marBottom w:val="0"/>
      <w:divBdr>
        <w:top w:val="none" w:sz="0" w:space="0" w:color="auto"/>
        <w:left w:val="none" w:sz="0" w:space="0" w:color="auto"/>
        <w:bottom w:val="none" w:sz="0" w:space="0" w:color="auto"/>
        <w:right w:val="none" w:sz="0" w:space="0" w:color="auto"/>
      </w:divBdr>
    </w:div>
    <w:div w:id="670379644">
      <w:marLeft w:val="480"/>
      <w:marRight w:val="0"/>
      <w:marTop w:val="0"/>
      <w:marBottom w:val="0"/>
      <w:divBdr>
        <w:top w:val="none" w:sz="0" w:space="0" w:color="auto"/>
        <w:left w:val="none" w:sz="0" w:space="0" w:color="auto"/>
        <w:bottom w:val="none" w:sz="0" w:space="0" w:color="auto"/>
        <w:right w:val="none" w:sz="0" w:space="0" w:color="auto"/>
      </w:divBdr>
    </w:div>
    <w:div w:id="671882322">
      <w:marLeft w:val="480"/>
      <w:marRight w:val="0"/>
      <w:marTop w:val="0"/>
      <w:marBottom w:val="0"/>
      <w:divBdr>
        <w:top w:val="none" w:sz="0" w:space="0" w:color="auto"/>
        <w:left w:val="none" w:sz="0" w:space="0" w:color="auto"/>
        <w:bottom w:val="none" w:sz="0" w:space="0" w:color="auto"/>
        <w:right w:val="none" w:sz="0" w:space="0" w:color="auto"/>
      </w:divBdr>
    </w:div>
    <w:div w:id="673917903">
      <w:marLeft w:val="480"/>
      <w:marRight w:val="0"/>
      <w:marTop w:val="0"/>
      <w:marBottom w:val="0"/>
      <w:divBdr>
        <w:top w:val="none" w:sz="0" w:space="0" w:color="auto"/>
        <w:left w:val="none" w:sz="0" w:space="0" w:color="auto"/>
        <w:bottom w:val="none" w:sz="0" w:space="0" w:color="auto"/>
        <w:right w:val="none" w:sz="0" w:space="0" w:color="auto"/>
      </w:divBdr>
    </w:div>
    <w:div w:id="686639938">
      <w:marLeft w:val="480"/>
      <w:marRight w:val="0"/>
      <w:marTop w:val="0"/>
      <w:marBottom w:val="0"/>
      <w:divBdr>
        <w:top w:val="none" w:sz="0" w:space="0" w:color="auto"/>
        <w:left w:val="none" w:sz="0" w:space="0" w:color="auto"/>
        <w:bottom w:val="none" w:sz="0" w:space="0" w:color="auto"/>
        <w:right w:val="none" w:sz="0" w:space="0" w:color="auto"/>
      </w:divBdr>
    </w:div>
    <w:div w:id="695621648">
      <w:marLeft w:val="480"/>
      <w:marRight w:val="0"/>
      <w:marTop w:val="0"/>
      <w:marBottom w:val="0"/>
      <w:divBdr>
        <w:top w:val="none" w:sz="0" w:space="0" w:color="auto"/>
        <w:left w:val="none" w:sz="0" w:space="0" w:color="auto"/>
        <w:bottom w:val="none" w:sz="0" w:space="0" w:color="auto"/>
        <w:right w:val="none" w:sz="0" w:space="0" w:color="auto"/>
      </w:divBdr>
    </w:div>
    <w:div w:id="695887124">
      <w:marLeft w:val="480"/>
      <w:marRight w:val="0"/>
      <w:marTop w:val="0"/>
      <w:marBottom w:val="0"/>
      <w:divBdr>
        <w:top w:val="none" w:sz="0" w:space="0" w:color="auto"/>
        <w:left w:val="none" w:sz="0" w:space="0" w:color="auto"/>
        <w:bottom w:val="none" w:sz="0" w:space="0" w:color="auto"/>
        <w:right w:val="none" w:sz="0" w:space="0" w:color="auto"/>
      </w:divBdr>
    </w:div>
    <w:div w:id="707411651">
      <w:marLeft w:val="480"/>
      <w:marRight w:val="0"/>
      <w:marTop w:val="0"/>
      <w:marBottom w:val="0"/>
      <w:divBdr>
        <w:top w:val="none" w:sz="0" w:space="0" w:color="auto"/>
        <w:left w:val="none" w:sz="0" w:space="0" w:color="auto"/>
        <w:bottom w:val="none" w:sz="0" w:space="0" w:color="auto"/>
        <w:right w:val="none" w:sz="0" w:space="0" w:color="auto"/>
      </w:divBdr>
    </w:div>
    <w:div w:id="707608821">
      <w:marLeft w:val="480"/>
      <w:marRight w:val="0"/>
      <w:marTop w:val="0"/>
      <w:marBottom w:val="0"/>
      <w:divBdr>
        <w:top w:val="none" w:sz="0" w:space="0" w:color="auto"/>
        <w:left w:val="none" w:sz="0" w:space="0" w:color="auto"/>
        <w:bottom w:val="none" w:sz="0" w:space="0" w:color="auto"/>
        <w:right w:val="none" w:sz="0" w:space="0" w:color="auto"/>
      </w:divBdr>
    </w:div>
    <w:div w:id="734819715">
      <w:marLeft w:val="480"/>
      <w:marRight w:val="0"/>
      <w:marTop w:val="0"/>
      <w:marBottom w:val="0"/>
      <w:divBdr>
        <w:top w:val="none" w:sz="0" w:space="0" w:color="auto"/>
        <w:left w:val="none" w:sz="0" w:space="0" w:color="auto"/>
        <w:bottom w:val="none" w:sz="0" w:space="0" w:color="auto"/>
        <w:right w:val="none" w:sz="0" w:space="0" w:color="auto"/>
      </w:divBdr>
    </w:div>
    <w:div w:id="742220018">
      <w:marLeft w:val="480"/>
      <w:marRight w:val="0"/>
      <w:marTop w:val="0"/>
      <w:marBottom w:val="0"/>
      <w:divBdr>
        <w:top w:val="none" w:sz="0" w:space="0" w:color="auto"/>
        <w:left w:val="none" w:sz="0" w:space="0" w:color="auto"/>
        <w:bottom w:val="none" w:sz="0" w:space="0" w:color="auto"/>
        <w:right w:val="none" w:sz="0" w:space="0" w:color="auto"/>
      </w:divBdr>
    </w:div>
    <w:div w:id="761685888">
      <w:marLeft w:val="480"/>
      <w:marRight w:val="0"/>
      <w:marTop w:val="0"/>
      <w:marBottom w:val="0"/>
      <w:divBdr>
        <w:top w:val="none" w:sz="0" w:space="0" w:color="auto"/>
        <w:left w:val="none" w:sz="0" w:space="0" w:color="auto"/>
        <w:bottom w:val="none" w:sz="0" w:space="0" w:color="auto"/>
        <w:right w:val="none" w:sz="0" w:space="0" w:color="auto"/>
      </w:divBdr>
    </w:div>
    <w:div w:id="762148959">
      <w:marLeft w:val="480"/>
      <w:marRight w:val="0"/>
      <w:marTop w:val="0"/>
      <w:marBottom w:val="0"/>
      <w:divBdr>
        <w:top w:val="none" w:sz="0" w:space="0" w:color="auto"/>
        <w:left w:val="none" w:sz="0" w:space="0" w:color="auto"/>
        <w:bottom w:val="none" w:sz="0" w:space="0" w:color="auto"/>
        <w:right w:val="none" w:sz="0" w:space="0" w:color="auto"/>
      </w:divBdr>
    </w:div>
    <w:div w:id="767165772">
      <w:marLeft w:val="480"/>
      <w:marRight w:val="0"/>
      <w:marTop w:val="0"/>
      <w:marBottom w:val="0"/>
      <w:divBdr>
        <w:top w:val="none" w:sz="0" w:space="0" w:color="auto"/>
        <w:left w:val="none" w:sz="0" w:space="0" w:color="auto"/>
        <w:bottom w:val="none" w:sz="0" w:space="0" w:color="auto"/>
        <w:right w:val="none" w:sz="0" w:space="0" w:color="auto"/>
      </w:divBdr>
    </w:div>
    <w:div w:id="774591195">
      <w:marLeft w:val="48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70387">
      <w:marLeft w:val="480"/>
      <w:marRight w:val="0"/>
      <w:marTop w:val="0"/>
      <w:marBottom w:val="0"/>
      <w:divBdr>
        <w:top w:val="none" w:sz="0" w:space="0" w:color="auto"/>
        <w:left w:val="none" w:sz="0" w:space="0" w:color="auto"/>
        <w:bottom w:val="none" w:sz="0" w:space="0" w:color="auto"/>
        <w:right w:val="none" w:sz="0" w:space="0" w:color="auto"/>
      </w:divBdr>
    </w:div>
    <w:div w:id="789277003">
      <w:marLeft w:val="480"/>
      <w:marRight w:val="0"/>
      <w:marTop w:val="0"/>
      <w:marBottom w:val="0"/>
      <w:divBdr>
        <w:top w:val="none" w:sz="0" w:space="0" w:color="auto"/>
        <w:left w:val="none" w:sz="0" w:space="0" w:color="auto"/>
        <w:bottom w:val="none" w:sz="0" w:space="0" w:color="auto"/>
        <w:right w:val="none" w:sz="0" w:space="0" w:color="auto"/>
      </w:divBdr>
    </w:div>
    <w:div w:id="790247534">
      <w:marLeft w:val="480"/>
      <w:marRight w:val="0"/>
      <w:marTop w:val="0"/>
      <w:marBottom w:val="0"/>
      <w:divBdr>
        <w:top w:val="none" w:sz="0" w:space="0" w:color="auto"/>
        <w:left w:val="none" w:sz="0" w:space="0" w:color="auto"/>
        <w:bottom w:val="none" w:sz="0" w:space="0" w:color="auto"/>
        <w:right w:val="none" w:sz="0" w:space="0" w:color="auto"/>
      </w:divBdr>
    </w:div>
    <w:div w:id="793716916">
      <w:marLeft w:val="480"/>
      <w:marRight w:val="0"/>
      <w:marTop w:val="0"/>
      <w:marBottom w:val="0"/>
      <w:divBdr>
        <w:top w:val="none" w:sz="0" w:space="0" w:color="auto"/>
        <w:left w:val="none" w:sz="0" w:space="0" w:color="auto"/>
        <w:bottom w:val="none" w:sz="0" w:space="0" w:color="auto"/>
        <w:right w:val="none" w:sz="0" w:space="0" w:color="auto"/>
      </w:divBdr>
    </w:div>
    <w:div w:id="797408547">
      <w:marLeft w:val="480"/>
      <w:marRight w:val="0"/>
      <w:marTop w:val="0"/>
      <w:marBottom w:val="0"/>
      <w:divBdr>
        <w:top w:val="none" w:sz="0" w:space="0" w:color="auto"/>
        <w:left w:val="none" w:sz="0" w:space="0" w:color="auto"/>
        <w:bottom w:val="none" w:sz="0" w:space="0" w:color="auto"/>
        <w:right w:val="none" w:sz="0" w:space="0" w:color="auto"/>
      </w:divBdr>
    </w:div>
    <w:div w:id="814104084">
      <w:marLeft w:val="480"/>
      <w:marRight w:val="0"/>
      <w:marTop w:val="0"/>
      <w:marBottom w:val="0"/>
      <w:divBdr>
        <w:top w:val="none" w:sz="0" w:space="0" w:color="auto"/>
        <w:left w:val="none" w:sz="0" w:space="0" w:color="auto"/>
        <w:bottom w:val="none" w:sz="0" w:space="0" w:color="auto"/>
        <w:right w:val="none" w:sz="0" w:space="0" w:color="auto"/>
      </w:divBdr>
    </w:div>
    <w:div w:id="820074569">
      <w:marLeft w:val="480"/>
      <w:marRight w:val="0"/>
      <w:marTop w:val="0"/>
      <w:marBottom w:val="0"/>
      <w:divBdr>
        <w:top w:val="none" w:sz="0" w:space="0" w:color="auto"/>
        <w:left w:val="none" w:sz="0" w:space="0" w:color="auto"/>
        <w:bottom w:val="none" w:sz="0" w:space="0" w:color="auto"/>
        <w:right w:val="none" w:sz="0" w:space="0" w:color="auto"/>
      </w:divBdr>
    </w:div>
    <w:div w:id="822893748">
      <w:marLeft w:val="480"/>
      <w:marRight w:val="0"/>
      <w:marTop w:val="0"/>
      <w:marBottom w:val="0"/>
      <w:divBdr>
        <w:top w:val="none" w:sz="0" w:space="0" w:color="auto"/>
        <w:left w:val="none" w:sz="0" w:space="0" w:color="auto"/>
        <w:bottom w:val="none" w:sz="0" w:space="0" w:color="auto"/>
        <w:right w:val="none" w:sz="0" w:space="0" w:color="auto"/>
      </w:divBdr>
    </w:div>
    <w:div w:id="841625303">
      <w:marLeft w:val="480"/>
      <w:marRight w:val="0"/>
      <w:marTop w:val="0"/>
      <w:marBottom w:val="0"/>
      <w:divBdr>
        <w:top w:val="none" w:sz="0" w:space="0" w:color="auto"/>
        <w:left w:val="none" w:sz="0" w:space="0" w:color="auto"/>
        <w:bottom w:val="none" w:sz="0" w:space="0" w:color="auto"/>
        <w:right w:val="none" w:sz="0" w:space="0" w:color="auto"/>
      </w:divBdr>
    </w:div>
    <w:div w:id="860047805">
      <w:marLeft w:val="480"/>
      <w:marRight w:val="0"/>
      <w:marTop w:val="0"/>
      <w:marBottom w:val="0"/>
      <w:divBdr>
        <w:top w:val="none" w:sz="0" w:space="0" w:color="auto"/>
        <w:left w:val="none" w:sz="0" w:space="0" w:color="auto"/>
        <w:bottom w:val="none" w:sz="0" w:space="0" w:color="auto"/>
        <w:right w:val="none" w:sz="0" w:space="0" w:color="auto"/>
      </w:divBdr>
    </w:div>
    <w:div w:id="860555175">
      <w:marLeft w:val="48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4828980">
      <w:marLeft w:val="480"/>
      <w:marRight w:val="0"/>
      <w:marTop w:val="0"/>
      <w:marBottom w:val="0"/>
      <w:divBdr>
        <w:top w:val="none" w:sz="0" w:space="0" w:color="auto"/>
        <w:left w:val="none" w:sz="0" w:space="0" w:color="auto"/>
        <w:bottom w:val="none" w:sz="0" w:space="0" w:color="auto"/>
        <w:right w:val="none" w:sz="0" w:space="0" w:color="auto"/>
      </w:divBdr>
    </w:div>
    <w:div w:id="888154900">
      <w:marLeft w:val="480"/>
      <w:marRight w:val="0"/>
      <w:marTop w:val="0"/>
      <w:marBottom w:val="0"/>
      <w:divBdr>
        <w:top w:val="none" w:sz="0" w:space="0" w:color="auto"/>
        <w:left w:val="none" w:sz="0" w:space="0" w:color="auto"/>
        <w:bottom w:val="none" w:sz="0" w:space="0" w:color="auto"/>
        <w:right w:val="none" w:sz="0" w:space="0" w:color="auto"/>
      </w:divBdr>
    </w:div>
    <w:div w:id="911769312">
      <w:marLeft w:val="480"/>
      <w:marRight w:val="0"/>
      <w:marTop w:val="0"/>
      <w:marBottom w:val="0"/>
      <w:divBdr>
        <w:top w:val="none" w:sz="0" w:space="0" w:color="auto"/>
        <w:left w:val="none" w:sz="0" w:space="0" w:color="auto"/>
        <w:bottom w:val="none" w:sz="0" w:space="0" w:color="auto"/>
        <w:right w:val="none" w:sz="0" w:space="0" w:color="auto"/>
      </w:divBdr>
    </w:div>
    <w:div w:id="930745851">
      <w:marLeft w:val="48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3869">
      <w:marLeft w:val="480"/>
      <w:marRight w:val="0"/>
      <w:marTop w:val="0"/>
      <w:marBottom w:val="0"/>
      <w:divBdr>
        <w:top w:val="none" w:sz="0" w:space="0" w:color="auto"/>
        <w:left w:val="none" w:sz="0" w:space="0" w:color="auto"/>
        <w:bottom w:val="none" w:sz="0" w:space="0" w:color="auto"/>
        <w:right w:val="none" w:sz="0" w:space="0" w:color="auto"/>
      </w:divBdr>
    </w:div>
    <w:div w:id="961157203">
      <w:marLeft w:val="480"/>
      <w:marRight w:val="0"/>
      <w:marTop w:val="0"/>
      <w:marBottom w:val="0"/>
      <w:divBdr>
        <w:top w:val="none" w:sz="0" w:space="0" w:color="auto"/>
        <w:left w:val="none" w:sz="0" w:space="0" w:color="auto"/>
        <w:bottom w:val="none" w:sz="0" w:space="0" w:color="auto"/>
        <w:right w:val="none" w:sz="0" w:space="0" w:color="auto"/>
      </w:divBdr>
    </w:div>
    <w:div w:id="990519952">
      <w:marLeft w:val="480"/>
      <w:marRight w:val="0"/>
      <w:marTop w:val="0"/>
      <w:marBottom w:val="0"/>
      <w:divBdr>
        <w:top w:val="none" w:sz="0" w:space="0" w:color="auto"/>
        <w:left w:val="none" w:sz="0" w:space="0" w:color="auto"/>
        <w:bottom w:val="none" w:sz="0" w:space="0" w:color="auto"/>
        <w:right w:val="none" w:sz="0" w:space="0" w:color="auto"/>
      </w:divBdr>
    </w:div>
    <w:div w:id="991831053">
      <w:marLeft w:val="480"/>
      <w:marRight w:val="0"/>
      <w:marTop w:val="0"/>
      <w:marBottom w:val="0"/>
      <w:divBdr>
        <w:top w:val="none" w:sz="0" w:space="0" w:color="auto"/>
        <w:left w:val="none" w:sz="0" w:space="0" w:color="auto"/>
        <w:bottom w:val="none" w:sz="0" w:space="0" w:color="auto"/>
        <w:right w:val="none" w:sz="0" w:space="0" w:color="auto"/>
      </w:divBdr>
    </w:div>
    <w:div w:id="1015809293">
      <w:marLeft w:val="480"/>
      <w:marRight w:val="0"/>
      <w:marTop w:val="0"/>
      <w:marBottom w:val="0"/>
      <w:divBdr>
        <w:top w:val="none" w:sz="0" w:space="0" w:color="auto"/>
        <w:left w:val="none" w:sz="0" w:space="0" w:color="auto"/>
        <w:bottom w:val="none" w:sz="0" w:space="0" w:color="auto"/>
        <w:right w:val="none" w:sz="0" w:space="0" w:color="auto"/>
      </w:divBdr>
    </w:div>
    <w:div w:id="1026248156">
      <w:marLeft w:val="480"/>
      <w:marRight w:val="0"/>
      <w:marTop w:val="0"/>
      <w:marBottom w:val="0"/>
      <w:divBdr>
        <w:top w:val="none" w:sz="0" w:space="0" w:color="auto"/>
        <w:left w:val="none" w:sz="0" w:space="0" w:color="auto"/>
        <w:bottom w:val="none" w:sz="0" w:space="0" w:color="auto"/>
        <w:right w:val="none" w:sz="0" w:space="0" w:color="auto"/>
      </w:divBdr>
    </w:div>
    <w:div w:id="1043362315">
      <w:marLeft w:val="480"/>
      <w:marRight w:val="0"/>
      <w:marTop w:val="0"/>
      <w:marBottom w:val="0"/>
      <w:divBdr>
        <w:top w:val="none" w:sz="0" w:space="0" w:color="auto"/>
        <w:left w:val="none" w:sz="0" w:space="0" w:color="auto"/>
        <w:bottom w:val="none" w:sz="0" w:space="0" w:color="auto"/>
        <w:right w:val="none" w:sz="0" w:space="0" w:color="auto"/>
      </w:divBdr>
    </w:div>
    <w:div w:id="1054036787">
      <w:marLeft w:val="480"/>
      <w:marRight w:val="0"/>
      <w:marTop w:val="0"/>
      <w:marBottom w:val="0"/>
      <w:divBdr>
        <w:top w:val="none" w:sz="0" w:space="0" w:color="auto"/>
        <w:left w:val="none" w:sz="0" w:space="0" w:color="auto"/>
        <w:bottom w:val="none" w:sz="0" w:space="0" w:color="auto"/>
        <w:right w:val="none" w:sz="0" w:space="0" w:color="auto"/>
      </w:divBdr>
    </w:div>
    <w:div w:id="1058675895">
      <w:marLeft w:val="480"/>
      <w:marRight w:val="0"/>
      <w:marTop w:val="0"/>
      <w:marBottom w:val="0"/>
      <w:divBdr>
        <w:top w:val="none" w:sz="0" w:space="0" w:color="auto"/>
        <w:left w:val="none" w:sz="0" w:space="0" w:color="auto"/>
        <w:bottom w:val="none" w:sz="0" w:space="0" w:color="auto"/>
        <w:right w:val="none" w:sz="0" w:space="0" w:color="auto"/>
      </w:divBdr>
    </w:div>
    <w:div w:id="1099518946">
      <w:marLeft w:val="480"/>
      <w:marRight w:val="0"/>
      <w:marTop w:val="0"/>
      <w:marBottom w:val="0"/>
      <w:divBdr>
        <w:top w:val="none" w:sz="0" w:space="0" w:color="auto"/>
        <w:left w:val="none" w:sz="0" w:space="0" w:color="auto"/>
        <w:bottom w:val="none" w:sz="0" w:space="0" w:color="auto"/>
        <w:right w:val="none" w:sz="0" w:space="0" w:color="auto"/>
      </w:divBdr>
    </w:div>
    <w:div w:id="1102842285">
      <w:marLeft w:val="480"/>
      <w:marRight w:val="0"/>
      <w:marTop w:val="0"/>
      <w:marBottom w:val="0"/>
      <w:divBdr>
        <w:top w:val="none" w:sz="0" w:space="0" w:color="auto"/>
        <w:left w:val="none" w:sz="0" w:space="0" w:color="auto"/>
        <w:bottom w:val="none" w:sz="0" w:space="0" w:color="auto"/>
        <w:right w:val="none" w:sz="0" w:space="0" w:color="auto"/>
      </w:divBdr>
    </w:div>
    <w:div w:id="1121800928">
      <w:marLeft w:val="480"/>
      <w:marRight w:val="0"/>
      <w:marTop w:val="0"/>
      <w:marBottom w:val="0"/>
      <w:divBdr>
        <w:top w:val="none" w:sz="0" w:space="0" w:color="auto"/>
        <w:left w:val="none" w:sz="0" w:space="0" w:color="auto"/>
        <w:bottom w:val="none" w:sz="0" w:space="0" w:color="auto"/>
        <w:right w:val="none" w:sz="0" w:space="0" w:color="auto"/>
      </w:divBdr>
    </w:div>
    <w:div w:id="1130898597">
      <w:marLeft w:val="480"/>
      <w:marRight w:val="0"/>
      <w:marTop w:val="0"/>
      <w:marBottom w:val="0"/>
      <w:divBdr>
        <w:top w:val="none" w:sz="0" w:space="0" w:color="auto"/>
        <w:left w:val="none" w:sz="0" w:space="0" w:color="auto"/>
        <w:bottom w:val="none" w:sz="0" w:space="0" w:color="auto"/>
        <w:right w:val="none" w:sz="0" w:space="0" w:color="auto"/>
      </w:divBdr>
    </w:div>
    <w:div w:id="1130899392">
      <w:marLeft w:val="480"/>
      <w:marRight w:val="0"/>
      <w:marTop w:val="0"/>
      <w:marBottom w:val="0"/>
      <w:divBdr>
        <w:top w:val="none" w:sz="0" w:space="0" w:color="auto"/>
        <w:left w:val="none" w:sz="0" w:space="0" w:color="auto"/>
        <w:bottom w:val="none" w:sz="0" w:space="0" w:color="auto"/>
        <w:right w:val="none" w:sz="0" w:space="0" w:color="auto"/>
      </w:divBdr>
    </w:div>
    <w:div w:id="1162233615">
      <w:marLeft w:val="480"/>
      <w:marRight w:val="0"/>
      <w:marTop w:val="0"/>
      <w:marBottom w:val="0"/>
      <w:divBdr>
        <w:top w:val="none" w:sz="0" w:space="0" w:color="auto"/>
        <w:left w:val="none" w:sz="0" w:space="0" w:color="auto"/>
        <w:bottom w:val="none" w:sz="0" w:space="0" w:color="auto"/>
        <w:right w:val="none" w:sz="0" w:space="0" w:color="auto"/>
      </w:divBdr>
    </w:div>
    <w:div w:id="1167596270">
      <w:marLeft w:val="480"/>
      <w:marRight w:val="0"/>
      <w:marTop w:val="0"/>
      <w:marBottom w:val="0"/>
      <w:divBdr>
        <w:top w:val="none" w:sz="0" w:space="0" w:color="auto"/>
        <w:left w:val="none" w:sz="0" w:space="0" w:color="auto"/>
        <w:bottom w:val="none" w:sz="0" w:space="0" w:color="auto"/>
        <w:right w:val="none" w:sz="0" w:space="0" w:color="auto"/>
      </w:divBdr>
    </w:div>
    <w:div w:id="1171486789">
      <w:marLeft w:val="480"/>
      <w:marRight w:val="0"/>
      <w:marTop w:val="0"/>
      <w:marBottom w:val="0"/>
      <w:divBdr>
        <w:top w:val="none" w:sz="0" w:space="0" w:color="auto"/>
        <w:left w:val="none" w:sz="0" w:space="0" w:color="auto"/>
        <w:bottom w:val="none" w:sz="0" w:space="0" w:color="auto"/>
        <w:right w:val="none" w:sz="0" w:space="0" w:color="auto"/>
      </w:divBdr>
    </w:div>
    <w:div w:id="1190218439">
      <w:marLeft w:val="480"/>
      <w:marRight w:val="0"/>
      <w:marTop w:val="0"/>
      <w:marBottom w:val="0"/>
      <w:divBdr>
        <w:top w:val="none" w:sz="0" w:space="0" w:color="auto"/>
        <w:left w:val="none" w:sz="0" w:space="0" w:color="auto"/>
        <w:bottom w:val="none" w:sz="0" w:space="0" w:color="auto"/>
        <w:right w:val="none" w:sz="0" w:space="0" w:color="auto"/>
      </w:divBdr>
    </w:div>
    <w:div w:id="1199202851">
      <w:marLeft w:val="480"/>
      <w:marRight w:val="0"/>
      <w:marTop w:val="0"/>
      <w:marBottom w:val="0"/>
      <w:divBdr>
        <w:top w:val="none" w:sz="0" w:space="0" w:color="auto"/>
        <w:left w:val="none" w:sz="0" w:space="0" w:color="auto"/>
        <w:bottom w:val="none" w:sz="0" w:space="0" w:color="auto"/>
        <w:right w:val="none" w:sz="0" w:space="0" w:color="auto"/>
      </w:divBdr>
    </w:div>
    <w:div w:id="1216239460">
      <w:marLeft w:val="480"/>
      <w:marRight w:val="0"/>
      <w:marTop w:val="0"/>
      <w:marBottom w:val="0"/>
      <w:divBdr>
        <w:top w:val="none" w:sz="0" w:space="0" w:color="auto"/>
        <w:left w:val="none" w:sz="0" w:space="0" w:color="auto"/>
        <w:bottom w:val="none" w:sz="0" w:space="0" w:color="auto"/>
        <w:right w:val="none" w:sz="0" w:space="0" w:color="auto"/>
      </w:divBdr>
    </w:div>
    <w:div w:id="1221476565">
      <w:marLeft w:val="480"/>
      <w:marRight w:val="0"/>
      <w:marTop w:val="0"/>
      <w:marBottom w:val="0"/>
      <w:divBdr>
        <w:top w:val="none" w:sz="0" w:space="0" w:color="auto"/>
        <w:left w:val="none" w:sz="0" w:space="0" w:color="auto"/>
        <w:bottom w:val="none" w:sz="0" w:space="0" w:color="auto"/>
        <w:right w:val="none" w:sz="0" w:space="0" w:color="auto"/>
      </w:divBdr>
    </w:div>
    <w:div w:id="1227495192">
      <w:marLeft w:val="480"/>
      <w:marRight w:val="0"/>
      <w:marTop w:val="0"/>
      <w:marBottom w:val="0"/>
      <w:divBdr>
        <w:top w:val="none" w:sz="0" w:space="0" w:color="auto"/>
        <w:left w:val="none" w:sz="0" w:space="0" w:color="auto"/>
        <w:bottom w:val="none" w:sz="0" w:space="0" w:color="auto"/>
        <w:right w:val="none" w:sz="0" w:space="0" w:color="auto"/>
      </w:divBdr>
    </w:div>
    <w:div w:id="1229614514">
      <w:marLeft w:val="480"/>
      <w:marRight w:val="0"/>
      <w:marTop w:val="0"/>
      <w:marBottom w:val="0"/>
      <w:divBdr>
        <w:top w:val="none" w:sz="0" w:space="0" w:color="auto"/>
        <w:left w:val="none" w:sz="0" w:space="0" w:color="auto"/>
        <w:bottom w:val="none" w:sz="0" w:space="0" w:color="auto"/>
        <w:right w:val="none" w:sz="0" w:space="0" w:color="auto"/>
      </w:divBdr>
    </w:div>
    <w:div w:id="1247232567">
      <w:marLeft w:val="480"/>
      <w:marRight w:val="0"/>
      <w:marTop w:val="0"/>
      <w:marBottom w:val="0"/>
      <w:divBdr>
        <w:top w:val="none" w:sz="0" w:space="0" w:color="auto"/>
        <w:left w:val="none" w:sz="0" w:space="0" w:color="auto"/>
        <w:bottom w:val="none" w:sz="0" w:space="0" w:color="auto"/>
        <w:right w:val="none" w:sz="0" w:space="0" w:color="auto"/>
      </w:divBdr>
    </w:div>
    <w:div w:id="1261722301">
      <w:marLeft w:val="480"/>
      <w:marRight w:val="0"/>
      <w:marTop w:val="0"/>
      <w:marBottom w:val="0"/>
      <w:divBdr>
        <w:top w:val="none" w:sz="0" w:space="0" w:color="auto"/>
        <w:left w:val="none" w:sz="0" w:space="0" w:color="auto"/>
        <w:bottom w:val="none" w:sz="0" w:space="0" w:color="auto"/>
        <w:right w:val="none" w:sz="0" w:space="0" w:color="auto"/>
      </w:divBdr>
    </w:div>
    <w:div w:id="1263489814">
      <w:marLeft w:val="480"/>
      <w:marRight w:val="0"/>
      <w:marTop w:val="0"/>
      <w:marBottom w:val="0"/>
      <w:divBdr>
        <w:top w:val="none" w:sz="0" w:space="0" w:color="auto"/>
        <w:left w:val="none" w:sz="0" w:space="0" w:color="auto"/>
        <w:bottom w:val="none" w:sz="0" w:space="0" w:color="auto"/>
        <w:right w:val="none" w:sz="0" w:space="0" w:color="auto"/>
      </w:divBdr>
    </w:div>
    <w:div w:id="1263807095">
      <w:marLeft w:val="480"/>
      <w:marRight w:val="0"/>
      <w:marTop w:val="0"/>
      <w:marBottom w:val="0"/>
      <w:divBdr>
        <w:top w:val="none" w:sz="0" w:space="0" w:color="auto"/>
        <w:left w:val="none" w:sz="0" w:space="0" w:color="auto"/>
        <w:bottom w:val="none" w:sz="0" w:space="0" w:color="auto"/>
        <w:right w:val="none" w:sz="0" w:space="0" w:color="auto"/>
      </w:divBdr>
    </w:div>
    <w:div w:id="1276406145">
      <w:marLeft w:val="480"/>
      <w:marRight w:val="0"/>
      <w:marTop w:val="0"/>
      <w:marBottom w:val="0"/>
      <w:divBdr>
        <w:top w:val="none" w:sz="0" w:space="0" w:color="auto"/>
        <w:left w:val="none" w:sz="0" w:space="0" w:color="auto"/>
        <w:bottom w:val="none" w:sz="0" w:space="0" w:color="auto"/>
        <w:right w:val="none" w:sz="0" w:space="0" w:color="auto"/>
      </w:divBdr>
    </w:div>
    <w:div w:id="1307976747">
      <w:marLeft w:val="48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339964542">
      <w:marLeft w:val="480"/>
      <w:marRight w:val="0"/>
      <w:marTop w:val="0"/>
      <w:marBottom w:val="0"/>
      <w:divBdr>
        <w:top w:val="none" w:sz="0" w:space="0" w:color="auto"/>
        <w:left w:val="none" w:sz="0" w:space="0" w:color="auto"/>
        <w:bottom w:val="none" w:sz="0" w:space="0" w:color="auto"/>
        <w:right w:val="none" w:sz="0" w:space="0" w:color="auto"/>
      </w:divBdr>
    </w:div>
    <w:div w:id="1343434413">
      <w:marLeft w:val="480"/>
      <w:marRight w:val="0"/>
      <w:marTop w:val="0"/>
      <w:marBottom w:val="0"/>
      <w:divBdr>
        <w:top w:val="none" w:sz="0" w:space="0" w:color="auto"/>
        <w:left w:val="none" w:sz="0" w:space="0" w:color="auto"/>
        <w:bottom w:val="none" w:sz="0" w:space="0" w:color="auto"/>
        <w:right w:val="none" w:sz="0" w:space="0" w:color="auto"/>
      </w:divBdr>
    </w:div>
    <w:div w:id="1354453724">
      <w:marLeft w:val="480"/>
      <w:marRight w:val="0"/>
      <w:marTop w:val="0"/>
      <w:marBottom w:val="0"/>
      <w:divBdr>
        <w:top w:val="none" w:sz="0" w:space="0" w:color="auto"/>
        <w:left w:val="none" w:sz="0" w:space="0" w:color="auto"/>
        <w:bottom w:val="none" w:sz="0" w:space="0" w:color="auto"/>
        <w:right w:val="none" w:sz="0" w:space="0" w:color="auto"/>
      </w:divBdr>
    </w:div>
    <w:div w:id="1355498747">
      <w:marLeft w:val="480"/>
      <w:marRight w:val="0"/>
      <w:marTop w:val="0"/>
      <w:marBottom w:val="0"/>
      <w:divBdr>
        <w:top w:val="none" w:sz="0" w:space="0" w:color="auto"/>
        <w:left w:val="none" w:sz="0" w:space="0" w:color="auto"/>
        <w:bottom w:val="none" w:sz="0" w:space="0" w:color="auto"/>
        <w:right w:val="none" w:sz="0" w:space="0" w:color="auto"/>
      </w:divBdr>
    </w:div>
    <w:div w:id="1359701159">
      <w:marLeft w:val="480"/>
      <w:marRight w:val="0"/>
      <w:marTop w:val="0"/>
      <w:marBottom w:val="0"/>
      <w:divBdr>
        <w:top w:val="none" w:sz="0" w:space="0" w:color="auto"/>
        <w:left w:val="none" w:sz="0" w:space="0" w:color="auto"/>
        <w:bottom w:val="none" w:sz="0" w:space="0" w:color="auto"/>
        <w:right w:val="none" w:sz="0" w:space="0" w:color="auto"/>
      </w:divBdr>
    </w:div>
    <w:div w:id="1360862812">
      <w:marLeft w:val="480"/>
      <w:marRight w:val="0"/>
      <w:marTop w:val="0"/>
      <w:marBottom w:val="0"/>
      <w:divBdr>
        <w:top w:val="none" w:sz="0" w:space="0" w:color="auto"/>
        <w:left w:val="none" w:sz="0" w:space="0" w:color="auto"/>
        <w:bottom w:val="none" w:sz="0" w:space="0" w:color="auto"/>
        <w:right w:val="none" w:sz="0" w:space="0" w:color="auto"/>
      </w:divBdr>
    </w:div>
    <w:div w:id="1366637810">
      <w:marLeft w:val="480"/>
      <w:marRight w:val="0"/>
      <w:marTop w:val="0"/>
      <w:marBottom w:val="0"/>
      <w:divBdr>
        <w:top w:val="none" w:sz="0" w:space="0" w:color="auto"/>
        <w:left w:val="none" w:sz="0" w:space="0" w:color="auto"/>
        <w:bottom w:val="none" w:sz="0" w:space="0" w:color="auto"/>
        <w:right w:val="none" w:sz="0" w:space="0" w:color="auto"/>
      </w:divBdr>
    </w:div>
    <w:div w:id="1370183431">
      <w:marLeft w:val="480"/>
      <w:marRight w:val="0"/>
      <w:marTop w:val="0"/>
      <w:marBottom w:val="0"/>
      <w:divBdr>
        <w:top w:val="none" w:sz="0" w:space="0" w:color="auto"/>
        <w:left w:val="none" w:sz="0" w:space="0" w:color="auto"/>
        <w:bottom w:val="none" w:sz="0" w:space="0" w:color="auto"/>
        <w:right w:val="none" w:sz="0" w:space="0" w:color="auto"/>
      </w:divBdr>
    </w:div>
    <w:div w:id="1377702973">
      <w:marLeft w:val="480"/>
      <w:marRight w:val="0"/>
      <w:marTop w:val="0"/>
      <w:marBottom w:val="0"/>
      <w:divBdr>
        <w:top w:val="none" w:sz="0" w:space="0" w:color="auto"/>
        <w:left w:val="none" w:sz="0" w:space="0" w:color="auto"/>
        <w:bottom w:val="none" w:sz="0" w:space="0" w:color="auto"/>
        <w:right w:val="none" w:sz="0" w:space="0" w:color="auto"/>
      </w:divBdr>
    </w:div>
    <w:div w:id="1414664470">
      <w:marLeft w:val="480"/>
      <w:marRight w:val="0"/>
      <w:marTop w:val="0"/>
      <w:marBottom w:val="0"/>
      <w:divBdr>
        <w:top w:val="none" w:sz="0" w:space="0" w:color="auto"/>
        <w:left w:val="none" w:sz="0" w:space="0" w:color="auto"/>
        <w:bottom w:val="none" w:sz="0" w:space="0" w:color="auto"/>
        <w:right w:val="none" w:sz="0" w:space="0" w:color="auto"/>
      </w:divBdr>
    </w:div>
    <w:div w:id="1418012990">
      <w:marLeft w:val="48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54981564">
      <w:marLeft w:val="480"/>
      <w:marRight w:val="0"/>
      <w:marTop w:val="0"/>
      <w:marBottom w:val="0"/>
      <w:divBdr>
        <w:top w:val="none" w:sz="0" w:space="0" w:color="auto"/>
        <w:left w:val="none" w:sz="0" w:space="0" w:color="auto"/>
        <w:bottom w:val="none" w:sz="0" w:space="0" w:color="auto"/>
        <w:right w:val="none" w:sz="0" w:space="0" w:color="auto"/>
      </w:divBdr>
    </w:div>
    <w:div w:id="1461655633">
      <w:marLeft w:val="48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491796181">
      <w:marLeft w:val="480"/>
      <w:marRight w:val="0"/>
      <w:marTop w:val="0"/>
      <w:marBottom w:val="0"/>
      <w:divBdr>
        <w:top w:val="none" w:sz="0" w:space="0" w:color="auto"/>
        <w:left w:val="none" w:sz="0" w:space="0" w:color="auto"/>
        <w:bottom w:val="none" w:sz="0" w:space="0" w:color="auto"/>
        <w:right w:val="none" w:sz="0" w:space="0" w:color="auto"/>
      </w:divBdr>
    </w:div>
    <w:div w:id="1494832504">
      <w:marLeft w:val="480"/>
      <w:marRight w:val="0"/>
      <w:marTop w:val="0"/>
      <w:marBottom w:val="0"/>
      <w:divBdr>
        <w:top w:val="none" w:sz="0" w:space="0" w:color="auto"/>
        <w:left w:val="none" w:sz="0" w:space="0" w:color="auto"/>
        <w:bottom w:val="none" w:sz="0" w:space="0" w:color="auto"/>
        <w:right w:val="none" w:sz="0" w:space="0" w:color="auto"/>
      </w:divBdr>
    </w:div>
    <w:div w:id="1495871690">
      <w:marLeft w:val="480"/>
      <w:marRight w:val="0"/>
      <w:marTop w:val="0"/>
      <w:marBottom w:val="0"/>
      <w:divBdr>
        <w:top w:val="none" w:sz="0" w:space="0" w:color="auto"/>
        <w:left w:val="none" w:sz="0" w:space="0" w:color="auto"/>
        <w:bottom w:val="none" w:sz="0" w:space="0" w:color="auto"/>
        <w:right w:val="none" w:sz="0" w:space="0" w:color="auto"/>
      </w:divBdr>
    </w:div>
    <w:div w:id="1498300947">
      <w:marLeft w:val="480"/>
      <w:marRight w:val="0"/>
      <w:marTop w:val="0"/>
      <w:marBottom w:val="0"/>
      <w:divBdr>
        <w:top w:val="none" w:sz="0" w:space="0" w:color="auto"/>
        <w:left w:val="none" w:sz="0" w:space="0" w:color="auto"/>
        <w:bottom w:val="none" w:sz="0" w:space="0" w:color="auto"/>
        <w:right w:val="none" w:sz="0" w:space="0" w:color="auto"/>
      </w:divBdr>
    </w:div>
    <w:div w:id="1501045961">
      <w:marLeft w:val="480"/>
      <w:marRight w:val="0"/>
      <w:marTop w:val="0"/>
      <w:marBottom w:val="0"/>
      <w:divBdr>
        <w:top w:val="none" w:sz="0" w:space="0" w:color="auto"/>
        <w:left w:val="none" w:sz="0" w:space="0" w:color="auto"/>
        <w:bottom w:val="none" w:sz="0" w:space="0" w:color="auto"/>
        <w:right w:val="none" w:sz="0" w:space="0" w:color="auto"/>
      </w:divBdr>
    </w:div>
    <w:div w:id="1505509729">
      <w:marLeft w:val="480"/>
      <w:marRight w:val="0"/>
      <w:marTop w:val="0"/>
      <w:marBottom w:val="0"/>
      <w:divBdr>
        <w:top w:val="none" w:sz="0" w:space="0" w:color="auto"/>
        <w:left w:val="none" w:sz="0" w:space="0" w:color="auto"/>
        <w:bottom w:val="none" w:sz="0" w:space="0" w:color="auto"/>
        <w:right w:val="none" w:sz="0" w:space="0" w:color="auto"/>
      </w:divBdr>
    </w:div>
    <w:div w:id="1506166378">
      <w:marLeft w:val="480"/>
      <w:marRight w:val="0"/>
      <w:marTop w:val="0"/>
      <w:marBottom w:val="0"/>
      <w:divBdr>
        <w:top w:val="none" w:sz="0" w:space="0" w:color="auto"/>
        <w:left w:val="none" w:sz="0" w:space="0" w:color="auto"/>
        <w:bottom w:val="none" w:sz="0" w:space="0" w:color="auto"/>
        <w:right w:val="none" w:sz="0" w:space="0" w:color="auto"/>
      </w:divBdr>
    </w:div>
    <w:div w:id="1506478107">
      <w:marLeft w:val="480"/>
      <w:marRight w:val="0"/>
      <w:marTop w:val="0"/>
      <w:marBottom w:val="0"/>
      <w:divBdr>
        <w:top w:val="none" w:sz="0" w:space="0" w:color="auto"/>
        <w:left w:val="none" w:sz="0" w:space="0" w:color="auto"/>
        <w:bottom w:val="none" w:sz="0" w:space="0" w:color="auto"/>
        <w:right w:val="none" w:sz="0" w:space="0" w:color="auto"/>
      </w:divBdr>
    </w:div>
    <w:div w:id="1513685965">
      <w:marLeft w:val="480"/>
      <w:marRight w:val="0"/>
      <w:marTop w:val="0"/>
      <w:marBottom w:val="0"/>
      <w:divBdr>
        <w:top w:val="none" w:sz="0" w:space="0" w:color="auto"/>
        <w:left w:val="none" w:sz="0" w:space="0" w:color="auto"/>
        <w:bottom w:val="none" w:sz="0" w:space="0" w:color="auto"/>
        <w:right w:val="none" w:sz="0" w:space="0" w:color="auto"/>
      </w:divBdr>
    </w:div>
    <w:div w:id="1514491778">
      <w:marLeft w:val="480"/>
      <w:marRight w:val="0"/>
      <w:marTop w:val="0"/>
      <w:marBottom w:val="0"/>
      <w:divBdr>
        <w:top w:val="none" w:sz="0" w:space="0" w:color="auto"/>
        <w:left w:val="none" w:sz="0" w:space="0" w:color="auto"/>
        <w:bottom w:val="none" w:sz="0" w:space="0" w:color="auto"/>
        <w:right w:val="none" w:sz="0" w:space="0" w:color="auto"/>
      </w:divBdr>
    </w:div>
    <w:div w:id="1522667597">
      <w:marLeft w:val="480"/>
      <w:marRight w:val="0"/>
      <w:marTop w:val="0"/>
      <w:marBottom w:val="0"/>
      <w:divBdr>
        <w:top w:val="none" w:sz="0" w:space="0" w:color="auto"/>
        <w:left w:val="none" w:sz="0" w:space="0" w:color="auto"/>
        <w:bottom w:val="none" w:sz="0" w:space="0" w:color="auto"/>
        <w:right w:val="none" w:sz="0" w:space="0" w:color="auto"/>
      </w:divBdr>
    </w:div>
    <w:div w:id="1550191457">
      <w:marLeft w:val="480"/>
      <w:marRight w:val="0"/>
      <w:marTop w:val="0"/>
      <w:marBottom w:val="0"/>
      <w:divBdr>
        <w:top w:val="none" w:sz="0" w:space="0" w:color="auto"/>
        <w:left w:val="none" w:sz="0" w:space="0" w:color="auto"/>
        <w:bottom w:val="none" w:sz="0" w:space="0" w:color="auto"/>
        <w:right w:val="none" w:sz="0" w:space="0" w:color="auto"/>
      </w:divBdr>
    </w:div>
    <w:div w:id="1556038313">
      <w:marLeft w:val="480"/>
      <w:marRight w:val="0"/>
      <w:marTop w:val="0"/>
      <w:marBottom w:val="0"/>
      <w:divBdr>
        <w:top w:val="none" w:sz="0" w:space="0" w:color="auto"/>
        <w:left w:val="none" w:sz="0" w:space="0" w:color="auto"/>
        <w:bottom w:val="none" w:sz="0" w:space="0" w:color="auto"/>
        <w:right w:val="none" w:sz="0" w:space="0" w:color="auto"/>
      </w:divBdr>
    </w:div>
    <w:div w:id="1569538336">
      <w:marLeft w:val="480"/>
      <w:marRight w:val="0"/>
      <w:marTop w:val="0"/>
      <w:marBottom w:val="0"/>
      <w:divBdr>
        <w:top w:val="none" w:sz="0" w:space="0" w:color="auto"/>
        <w:left w:val="none" w:sz="0" w:space="0" w:color="auto"/>
        <w:bottom w:val="none" w:sz="0" w:space="0" w:color="auto"/>
        <w:right w:val="none" w:sz="0" w:space="0" w:color="auto"/>
      </w:divBdr>
    </w:div>
    <w:div w:id="1571690030">
      <w:marLeft w:val="480"/>
      <w:marRight w:val="0"/>
      <w:marTop w:val="0"/>
      <w:marBottom w:val="0"/>
      <w:divBdr>
        <w:top w:val="none" w:sz="0" w:space="0" w:color="auto"/>
        <w:left w:val="none" w:sz="0" w:space="0" w:color="auto"/>
        <w:bottom w:val="none" w:sz="0" w:space="0" w:color="auto"/>
        <w:right w:val="none" w:sz="0" w:space="0" w:color="auto"/>
      </w:divBdr>
    </w:div>
    <w:div w:id="1573084447">
      <w:marLeft w:val="480"/>
      <w:marRight w:val="0"/>
      <w:marTop w:val="0"/>
      <w:marBottom w:val="0"/>
      <w:divBdr>
        <w:top w:val="none" w:sz="0" w:space="0" w:color="auto"/>
        <w:left w:val="none" w:sz="0" w:space="0" w:color="auto"/>
        <w:bottom w:val="none" w:sz="0" w:space="0" w:color="auto"/>
        <w:right w:val="none" w:sz="0" w:space="0" w:color="auto"/>
      </w:divBdr>
    </w:div>
    <w:div w:id="1575313644">
      <w:marLeft w:val="480"/>
      <w:marRight w:val="0"/>
      <w:marTop w:val="0"/>
      <w:marBottom w:val="0"/>
      <w:divBdr>
        <w:top w:val="none" w:sz="0" w:space="0" w:color="auto"/>
        <w:left w:val="none" w:sz="0" w:space="0" w:color="auto"/>
        <w:bottom w:val="none" w:sz="0" w:space="0" w:color="auto"/>
        <w:right w:val="none" w:sz="0" w:space="0" w:color="auto"/>
      </w:divBdr>
    </w:div>
    <w:div w:id="1575772270">
      <w:marLeft w:val="480"/>
      <w:marRight w:val="0"/>
      <w:marTop w:val="0"/>
      <w:marBottom w:val="0"/>
      <w:divBdr>
        <w:top w:val="none" w:sz="0" w:space="0" w:color="auto"/>
        <w:left w:val="none" w:sz="0" w:space="0" w:color="auto"/>
        <w:bottom w:val="none" w:sz="0" w:space="0" w:color="auto"/>
        <w:right w:val="none" w:sz="0" w:space="0" w:color="auto"/>
      </w:divBdr>
    </w:div>
    <w:div w:id="1580216625">
      <w:marLeft w:val="480"/>
      <w:marRight w:val="0"/>
      <w:marTop w:val="0"/>
      <w:marBottom w:val="0"/>
      <w:divBdr>
        <w:top w:val="none" w:sz="0" w:space="0" w:color="auto"/>
        <w:left w:val="none" w:sz="0" w:space="0" w:color="auto"/>
        <w:bottom w:val="none" w:sz="0" w:space="0" w:color="auto"/>
        <w:right w:val="none" w:sz="0" w:space="0" w:color="auto"/>
      </w:divBdr>
    </w:div>
    <w:div w:id="1582717658">
      <w:marLeft w:val="480"/>
      <w:marRight w:val="0"/>
      <w:marTop w:val="0"/>
      <w:marBottom w:val="0"/>
      <w:divBdr>
        <w:top w:val="none" w:sz="0" w:space="0" w:color="auto"/>
        <w:left w:val="none" w:sz="0" w:space="0" w:color="auto"/>
        <w:bottom w:val="none" w:sz="0" w:space="0" w:color="auto"/>
        <w:right w:val="none" w:sz="0" w:space="0" w:color="auto"/>
      </w:divBdr>
    </w:div>
    <w:div w:id="1590774840">
      <w:marLeft w:val="480"/>
      <w:marRight w:val="0"/>
      <w:marTop w:val="0"/>
      <w:marBottom w:val="0"/>
      <w:divBdr>
        <w:top w:val="none" w:sz="0" w:space="0" w:color="auto"/>
        <w:left w:val="none" w:sz="0" w:space="0" w:color="auto"/>
        <w:bottom w:val="none" w:sz="0" w:space="0" w:color="auto"/>
        <w:right w:val="none" w:sz="0" w:space="0" w:color="auto"/>
      </w:divBdr>
    </w:div>
    <w:div w:id="1600984911">
      <w:marLeft w:val="480"/>
      <w:marRight w:val="0"/>
      <w:marTop w:val="0"/>
      <w:marBottom w:val="0"/>
      <w:divBdr>
        <w:top w:val="none" w:sz="0" w:space="0" w:color="auto"/>
        <w:left w:val="none" w:sz="0" w:space="0" w:color="auto"/>
        <w:bottom w:val="none" w:sz="0" w:space="0" w:color="auto"/>
        <w:right w:val="none" w:sz="0" w:space="0" w:color="auto"/>
      </w:divBdr>
    </w:div>
    <w:div w:id="1602563477">
      <w:marLeft w:val="480"/>
      <w:marRight w:val="0"/>
      <w:marTop w:val="0"/>
      <w:marBottom w:val="0"/>
      <w:divBdr>
        <w:top w:val="none" w:sz="0" w:space="0" w:color="auto"/>
        <w:left w:val="none" w:sz="0" w:space="0" w:color="auto"/>
        <w:bottom w:val="none" w:sz="0" w:space="0" w:color="auto"/>
        <w:right w:val="none" w:sz="0" w:space="0" w:color="auto"/>
      </w:divBdr>
    </w:div>
    <w:div w:id="1627344747">
      <w:marLeft w:val="480"/>
      <w:marRight w:val="0"/>
      <w:marTop w:val="0"/>
      <w:marBottom w:val="0"/>
      <w:divBdr>
        <w:top w:val="none" w:sz="0" w:space="0" w:color="auto"/>
        <w:left w:val="none" w:sz="0" w:space="0" w:color="auto"/>
        <w:bottom w:val="none" w:sz="0" w:space="0" w:color="auto"/>
        <w:right w:val="none" w:sz="0" w:space="0" w:color="auto"/>
      </w:divBdr>
    </w:div>
    <w:div w:id="1641612188">
      <w:marLeft w:val="480"/>
      <w:marRight w:val="0"/>
      <w:marTop w:val="0"/>
      <w:marBottom w:val="0"/>
      <w:divBdr>
        <w:top w:val="none" w:sz="0" w:space="0" w:color="auto"/>
        <w:left w:val="none" w:sz="0" w:space="0" w:color="auto"/>
        <w:bottom w:val="none" w:sz="0" w:space="0" w:color="auto"/>
        <w:right w:val="none" w:sz="0" w:space="0" w:color="auto"/>
      </w:divBdr>
    </w:div>
    <w:div w:id="1653099166">
      <w:marLeft w:val="480"/>
      <w:marRight w:val="0"/>
      <w:marTop w:val="0"/>
      <w:marBottom w:val="0"/>
      <w:divBdr>
        <w:top w:val="none" w:sz="0" w:space="0" w:color="auto"/>
        <w:left w:val="none" w:sz="0" w:space="0" w:color="auto"/>
        <w:bottom w:val="none" w:sz="0" w:space="0" w:color="auto"/>
        <w:right w:val="none" w:sz="0" w:space="0" w:color="auto"/>
      </w:divBdr>
    </w:div>
    <w:div w:id="1671718101">
      <w:marLeft w:val="48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78851">
      <w:marLeft w:val="480"/>
      <w:marRight w:val="0"/>
      <w:marTop w:val="0"/>
      <w:marBottom w:val="0"/>
      <w:divBdr>
        <w:top w:val="none" w:sz="0" w:space="0" w:color="auto"/>
        <w:left w:val="none" w:sz="0" w:space="0" w:color="auto"/>
        <w:bottom w:val="none" w:sz="0" w:space="0" w:color="auto"/>
        <w:right w:val="none" w:sz="0" w:space="0" w:color="auto"/>
      </w:divBdr>
    </w:div>
    <w:div w:id="1700159319">
      <w:marLeft w:val="480"/>
      <w:marRight w:val="0"/>
      <w:marTop w:val="0"/>
      <w:marBottom w:val="0"/>
      <w:divBdr>
        <w:top w:val="none" w:sz="0" w:space="0" w:color="auto"/>
        <w:left w:val="none" w:sz="0" w:space="0" w:color="auto"/>
        <w:bottom w:val="none" w:sz="0" w:space="0" w:color="auto"/>
        <w:right w:val="none" w:sz="0" w:space="0" w:color="auto"/>
      </w:divBdr>
    </w:div>
    <w:div w:id="1703284682">
      <w:marLeft w:val="480"/>
      <w:marRight w:val="0"/>
      <w:marTop w:val="0"/>
      <w:marBottom w:val="0"/>
      <w:divBdr>
        <w:top w:val="none" w:sz="0" w:space="0" w:color="auto"/>
        <w:left w:val="none" w:sz="0" w:space="0" w:color="auto"/>
        <w:bottom w:val="none" w:sz="0" w:space="0" w:color="auto"/>
        <w:right w:val="none" w:sz="0" w:space="0" w:color="auto"/>
      </w:divBdr>
    </w:div>
    <w:div w:id="1721779321">
      <w:marLeft w:val="480"/>
      <w:marRight w:val="0"/>
      <w:marTop w:val="0"/>
      <w:marBottom w:val="0"/>
      <w:divBdr>
        <w:top w:val="none" w:sz="0" w:space="0" w:color="auto"/>
        <w:left w:val="none" w:sz="0" w:space="0" w:color="auto"/>
        <w:bottom w:val="none" w:sz="0" w:space="0" w:color="auto"/>
        <w:right w:val="none" w:sz="0" w:space="0" w:color="auto"/>
      </w:divBdr>
    </w:div>
    <w:div w:id="1726371033">
      <w:marLeft w:val="480"/>
      <w:marRight w:val="0"/>
      <w:marTop w:val="0"/>
      <w:marBottom w:val="0"/>
      <w:divBdr>
        <w:top w:val="none" w:sz="0" w:space="0" w:color="auto"/>
        <w:left w:val="none" w:sz="0" w:space="0" w:color="auto"/>
        <w:bottom w:val="none" w:sz="0" w:space="0" w:color="auto"/>
        <w:right w:val="none" w:sz="0" w:space="0" w:color="auto"/>
      </w:divBdr>
    </w:div>
    <w:div w:id="1754547256">
      <w:marLeft w:val="480"/>
      <w:marRight w:val="0"/>
      <w:marTop w:val="0"/>
      <w:marBottom w:val="0"/>
      <w:divBdr>
        <w:top w:val="none" w:sz="0" w:space="0" w:color="auto"/>
        <w:left w:val="none" w:sz="0" w:space="0" w:color="auto"/>
        <w:bottom w:val="none" w:sz="0" w:space="0" w:color="auto"/>
        <w:right w:val="none" w:sz="0" w:space="0" w:color="auto"/>
      </w:divBdr>
    </w:div>
    <w:div w:id="1758483309">
      <w:marLeft w:val="480"/>
      <w:marRight w:val="0"/>
      <w:marTop w:val="0"/>
      <w:marBottom w:val="0"/>
      <w:divBdr>
        <w:top w:val="none" w:sz="0" w:space="0" w:color="auto"/>
        <w:left w:val="none" w:sz="0" w:space="0" w:color="auto"/>
        <w:bottom w:val="none" w:sz="0" w:space="0" w:color="auto"/>
        <w:right w:val="none" w:sz="0" w:space="0" w:color="auto"/>
      </w:divBdr>
    </w:div>
    <w:div w:id="1761098857">
      <w:marLeft w:val="480"/>
      <w:marRight w:val="0"/>
      <w:marTop w:val="0"/>
      <w:marBottom w:val="0"/>
      <w:divBdr>
        <w:top w:val="none" w:sz="0" w:space="0" w:color="auto"/>
        <w:left w:val="none" w:sz="0" w:space="0" w:color="auto"/>
        <w:bottom w:val="none" w:sz="0" w:space="0" w:color="auto"/>
        <w:right w:val="none" w:sz="0" w:space="0" w:color="auto"/>
      </w:divBdr>
    </w:div>
    <w:div w:id="1764379713">
      <w:marLeft w:val="480"/>
      <w:marRight w:val="0"/>
      <w:marTop w:val="0"/>
      <w:marBottom w:val="0"/>
      <w:divBdr>
        <w:top w:val="none" w:sz="0" w:space="0" w:color="auto"/>
        <w:left w:val="none" w:sz="0" w:space="0" w:color="auto"/>
        <w:bottom w:val="none" w:sz="0" w:space="0" w:color="auto"/>
        <w:right w:val="none" w:sz="0" w:space="0" w:color="auto"/>
      </w:divBdr>
    </w:div>
    <w:div w:id="1765226053">
      <w:marLeft w:val="480"/>
      <w:marRight w:val="0"/>
      <w:marTop w:val="0"/>
      <w:marBottom w:val="0"/>
      <w:divBdr>
        <w:top w:val="none" w:sz="0" w:space="0" w:color="auto"/>
        <w:left w:val="none" w:sz="0" w:space="0" w:color="auto"/>
        <w:bottom w:val="none" w:sz="0" w:space="0" w:color="auto"/>
        <w:right w:val="none" w:sz="0" w:space="0" w:color="auto"/>
      </w:divBdr>
    </w:div>
    <w:div w:id="1785492537">
      <w:marLeft w:val="480"/>
      <w:marRight w:val="0"/>
      <w:marTop w:val="0"/>
      <w:marBottom w:val="0"/>
      <w:divBdr>
        <w:top w:val="none" w:sz="0" w:space="0" w:color="auto"/>
        <w:left w:val="none" w:sz="0" w:space="0" w:color="auto"/>
        <w:bottom w:val="none" w:sz="0" w:space="0" w:color="auto"/>
        <w:right w:val="none" w:sz="0" w:space="0" w:color="auto"/>
      </w:divBdr>
    </w:div>
    <w:div w:id="1804734507">
      <w:marLeft w:val="480"/>
      <w:marRight w:val="0"/>
      <w:marTop w:val="0"/>
      <w:marBottom w:val="0"/>
      <w:divBdr>
        <w:top w:val="none" w:sz="0" w:space="0" w:color="auto"/>
        <w:left w:val="none" w:sz="0" w:space="0" w:color="auto"/>
        <w:bottom w:val="none" w:sz="0" w:space="0" w:color="auto"/>
        <w:right w:val="none" w:sz="0" w:space="0" w:color="auto"/>
      </w:divBdr>
    </w:div>
    <w:div w:id="1808860206">
      <w:marLeft w:val="480"/>
      <w:marRight w:val="0"/>
      <w:marTop w:val="0"/>
      <w:marBottom w:val="0"/>
      <w:divBdr>
        <w:top w:val="none" w:sz="0" w:space="0" w:color="auto"/>
        <w:left w:val="none" w:sz="0" w:space="0" w:color="auto"/>
        <w:bottom w:val="none" w:sz="0" w:space="0" w:color="auto"/>
        <w:right w:val="none" w:sz="0" w:space="0" w:color="auto"/>
      </w:divBdr>
    </w:div>
    <w:div w:id="1821534530">
      <w:marLeft w:val="480"/>
      <w:marRight w:val="0"/>
      <w:marTop w:val="0"/>
      <w:marBottom w:val="0"/>
      <w:divBdr>
        <w:top w:val="none" w:sz="0" w:space="0" w:color="auto"/>
        <w:left w:val="none" w:sz="0" w:space="0" w:color="auto"/>
        <w:bottom w:val="none" w:sz="0" w:space="0" w:color="auto"/>
        <w:right w:val="none" w:sz="0" w:space="0" w:color="auto"/>
      </w:divBdr>
    </w:div>
    <w:div w:id="1834492320">
      <w:marLeft w:val="480"/>
      <w:marRight w:val="0"/>
      <w:marTop w:val="0"/>
      <w:marBottom w:val="0"/>
      <w:divBdr>
        <w:top w:val="none" w:sz="0" w:space="0" w:color="auto"/>
        <w:left w:val="none" w:sz="0" w:space="0" w:color="auto"/>
        <w:bottom w:val="none" w:sz="0" w:space="0" w:color="auto"/>
        <w:right w:val="none" w:sz="0" w:space="0" w:color="auto"/>
      </w:divBdr>
    </w:div>
    <w:div w:id="1838959825">
      <w:marLeft w:val="480"/>
      <w:marRight w:val="0"/>
      <w:marTop w:val="0"/>
      <w:marBottom w:val="0"/>
      <w:divBdr>
        <w:top w:val="none" w:sz="0" w:space="0" w:color="auto"/>
        <w:left w:val="none" w:sz="0" w:space="0" w:color="auto"/>
        <w:bottom w:val="none" w:sz="0" w:space="0" w:color="auto"/>
        <w:right w:val="none" w:sz="0" w:space="0" w:color="auto"/>
      </w:divBdr>
    </w:div>
    <w:div w:id="1840273615">
      <w:marLeft w:val="480"/>
      <w:marRight w:val="0"/>
      <w:marTop w:val="0"/>
      <w:marBottom w:val="0"/>
      <w:divBdr>
        <w:top w:val="none" w:sz="0" w:space="0" w:color="auto"/>
        <w:left w:val="none" w:sz="0" w:space="0" w:color="auto"/>
        <w:bottom w:val="none" w:sz="0" w:space="0" w:color="auto"/>
        <w:right w:val="none" w:sz="0" w:space="0" w:color="auto"/>
      </w:divBdr>
    </w:div>
    <w:div w:id="1849636772">
      <w:marLeft w:val="480"/>
      <w:marRight w:val="0"/>
      <w:marTop w:val="0"/>
      <w:marBottom w:val="0"/>
      <w:divBdr>
        <w:top w:val="none" w:sz="0" w:space="0" w:color="auto"/>
        <w:left w:val="none" w:sz="0" w:space="0" w:color="auto"/>
        <w:bottom w:val="none" w:sz="0" w:space="0" w:color="auto"/>
        <w:right w:val="none" w:sz="0" w:space="0" w:color="auto"/>
      </w:divBdr>
    </w:div>
    <w:div w:id="1855995966">
      <w:marLeft w:val="480"/>
      <w:marRight w:val="0"/>
      <w:marTop w:val="0"/>
      <w:marBottom w:val="0"/>
      <w:divBdr>
        <w:top w:val="none" w:sz="0" w:space="0" w:color="auto"/>
        <w:left w:val="none" w:sz="0" w:space="0" w:color="auto"/>
        <w:bottom w:val="none" w:sz="0" w:space="0" w:color="auto"/>
        <w:right w:val="none" w:sz="0" w:space="0" w:color="auto"/>
      </w:divBdr>
    </w:div>
    <w:div w:id="1878852037">
      <w:marLeft w:val="480"/>
      <w:marRight w:val="0"/>
      <w:marTop w:val="0"/>
      <w:marBottom w:val="0"/>
      <w:divBdr>
        <w:top w:val="none" w:sz="0" w:space="0" w:color="auto"/>
        <w:left w:val="none" w:sz="0" w:space="0" w:color="auto"/>
        <w:bottom w:val="none" w:sz="0" w:space="0" w:color="auto"/>
        <w:right w:val="none" w:sz="0" w:space="0" w:color="auto"/>
      </w:divBdr>
    </w:div>
    <w:div w:id="1888104676">
      <w:marLeft w:val="480"/>
      <w:marRight w:val="0"/>
      <w:marTop w:val="0"/>
      <w:marBottom w:val="0"/>
      <w:divBdr>
        <w:top w:val="none" w:sz="0" w:space="0" w:color="auto"/>
        <w:left w:val="none" w:sz="0" w:space="0" w:color="auto"/>
        <w:bottom w:val="none" w:sz="0" w:space="0" w:color="auto"/>
        <w:right w:val="none" w:sz="0" w:space="0" w:color="auto"/>
      </w:divBdr>
    </w:div>
    <w:div w:id="1895041257">
      <w:marLeft w:val="480"/>
      <w:marRight w:val="0"/>
      <w:marTop w:val="0"/>
      <w:marBottom w:val="0"/>
      <w:divBdr>
        <w:top w:val="none" w:sz="0" w:space="0" w:color="auto"/>
        <w:left w:val="none" w:sz="0" w:space="0" w:color="auto"/>
        <w:bottom w:val="none" w:sz="0" w:space="0" w:color="auto"/>
        <w:right w:val="none" w:sz="0" w:space="0" w:color="auto"/>
      </w:divBdr>
    </w:div>
    <w:div w:id="1916235162">
      <w:marLeft w:val="480"/>
      <w:marRight w:val="0"/>
      <w:marTop w:val="0"/>
      <w:marBottom w:val="0"/>
      <w:divBdr>
        <w:top w:val="none" w:sz="0" w:space="0" w:color="auto"/>
        <w:left w:val="none" w:sz="0" w:space="0" w:color="auto"/>
        <w:bottom w:val="none" w:sz="0" w:space="0" w:color="auto"/>
        <w:right w:val="none" w:sz="0" w:space="0" w:color="auto"/>
      </w:divBdr>
    </w:div>
    <w:div w:id="1931816261">
      <w:marLeft w:val="480"/>
      <w:marRight w:val="0"/>
      <w:marTop w:val="0"/>
      <w:marBottom w:val="0"/>
      <w:divBdr>
        <w:top w:val="none" w:sz="0" w:space="0" w:color="auto"/>
        <w:left w:val="none" w:sz="0" w:space="0" w:color="auto"/>
        <w:bottom w:val="none" w:sz="0" w:space="0" w:color="auto"/>
        <w:right w:val="none" w:sz="0" w:space="0" w:color="auto"/>
      </w:divBdr>
    </w:div>
    <w:div w:id="1959755287">
      <w:marLeft w:val="480"/>
      <w:marRight w:val="0"/>
      <w:marTop w:val="0"/>
      <w:marBottom w:val="0"/>
      <w:divBdr>
        <w:top w:val="none" w:sz="0" w:space="0" w:color="auto"/>
        <w:left w:val="none" w:sz="0" w:space="0" w:color="auto"/>
        <w:bottom w:val="none" w:sz="0" w:space="0" w:color="auto"/>
        <w:right w:val="none" w:sz="0" w:space="0" w:color="auto"/>
      </w:divBdr>
    </w:div>
    <w:div w:id="1964464053">
      <w:marLeft w:val="480"/>
      <w:marRight w:val="0"/>
      <w:marTop w:val="0"/>
      <w:marBottom w:val="0"/>
      <w:divBdr>
        <w:top w:val="none" w:sz="0" w:space="0" w:color="auto"/>
        <w:left w:val="none" w:sz="0" w:space="0" w:color="auto"/>
        <w:bottom w:val="none" w:sz="0" w:space="0" w:color="auto"/>
        <w:right w:val="none" w:sz="0" w:space="0" w:color="auto"/>
      </w:divBdr>
    </w:div>
    <w:div w:id="1978991917">
      <w:marLeft w:val="480"/>
      <w:marRight w:val="0"/>
      <w:marTop w:val="0"/>
      <w:marBottom w:val="0"/>
      <w:divBdr>
        <w:top w:val="none" w:sz="0" w:space="0" w:color="auto"/>
        <w:left w:val="none" w:sz="0" w:space="0" w:color="auto"/>
        <w:bottom w:val="none" w:sz="0" w:space="0" w:color="auto"/>
        <w:right w:val="none" w:sz="0" w:space="0" w:color="auto"/>
      </w:divBdr>
    </w:div>
    <w:div w:id="1987077657">
      <w:marLeft w:val="480"/>
      <w:marRight w:val="0"/>
      <w:marTop w:val="0"/>
      <w:marBottom w:val="0"/>
      <w:divBdr>
        <w:top w:val="none" w:sz="0" w:space="0" w:color="auto"/>
        <w:left w:val="none" w:sz="0" w:space="0" w:color="auto"/>
        <w:bottom w:val="none" w:sz="0" w:space="0" w:color="auto"/>
        <w:right w:val="none" w:sz="0" w:space="0" w:color="auto"/>
      </w:divBdr>
    </w:div>
    <w:div w:id="1992520142">
      <w:marLeft w:val="480"/>
      <w:marRight w:val="0"/>
      <w:marTop w:val="0"/>
      <w:marBottom w:val="0"/>
      <w:divBdr>
        <w:top w:val="none" w:sz="0" w:space="0" w:color="auto"/>
        <w:left w:val="none" w:sz="0" w:space="0" w:color="auto"/>
        <w:bottom w:val="none" w:sz="0" w:space="0" w:color="auto"/>
        <w:right w:val="none" w:sz="0" w:space="0" w:color="auto"/>
      </w:divBdr>
    </w:div>
    <w:div w:id="2017993047">
      <w:marLeft w:val="480"/>
      <w:marRight w:val="0"/>
      <w:marTop w:val="0"/>
      <w:marBottom w:val="0"/>
      <w:divBdr>
        <w:top w:val="none" w:sz="0" w:space="0" w:color="auto"/>
        <w:left w:val="none" w:sz="0" w:space="0" w:color="auto"/>
        <w:bottom w:val="none" w:sz="0" w:space="0" w:color="auto"/>
        <w:right w:val="none" w:sz="0" w:space="0" w:color="auto"/>
      </w:divBdr>
    </w:div>
    <w:div w:id="2019692321">
      <w:marLeft w:val="480"/>
      <w:marRight w:val="0"/>
      <w:marTop w:val="0"/>
      <w:marBottom w:val="0"/>
      <w:divBdr>
        <w:top w:val="none" w:sz="0" w:space="0" w:color="auto"/>
        <w:left w:val="none" w:sz="0" w:space="0" w:color="auto"/>
        <w:bottom w:val="none" w:sz="0" w:space="0" w:color="auto"/>
        <w:right w:val="none" w:sz="0" w:space="0" w:color="auto"/>
      </w:divBdr>
    </w:div>
    <w:div w:id="2026245212">
      <w:marLeft w:val="480"/>
      <w:marRight w:val="0"/>
      <w:marTop w:val="0"/>
      <w:marBottom w:val="0"/>
      <w:divBdr>
        <w:top w:val="none" w:sz="0" w:space="0" w:color="auto"/>
        <w:left w:val="none" w:sz="0" w:space="0" w:color="auto"/>
        <w:bottom w:val="none" w:sz="0" w:space="0" w:color="auto"/>
        <w:right w:val="none" w:sz="0" w:space="0" w:color="auto"/>
      </w:divBdr>
    </w:div>
    <w:div w:id="2051998207">
      <w:marLeft w:val="480"/>
      <w:marRight w:val="0"/>
      <w:marTop w:val="0"/>
      <w:marBottom w:val="0"/>
      <w:divBdr>
        <w:top w:val="none" w:sz="0" w:space="0" w:color="auto"/>
        <w:left w:val="none" w:sz="0" w:space="0" w:color="auto"/>
        <w:bottom w:val="none" w:sz="0" w:space="0" w:color="auto"/>
        <w:right w:val="none" w:sz="0" w:space="0" w:color="auto"/>
      </w:divBdr>
    </w:div>
    <w:div w:id="2054889432">
      <w:marLeft w:val="480"/>
      <w:marRight w:val="0"/>
      <w:marTop w:val="0"/>
      <w:marBottom w:val="0"/>
      <w:divBdr>
        <w:top w:val="none" w:sz="0" w:space="0" w:color="auto"/>
        <w:left w:val="none" w:sz="0" w:space="0" w:color="auto"/>
        <w:bottom w:val="none" w:sz="0" w:space="0" w:color="auto"/>
        <w:right w:val="none" w:sz="0" w:space="0" w:color="auto"/>
      </w:divBdr>
    </w:div>
    <w:div w:id="2064521196">
      <w:marLeft w:val="480"/>
      <w:marRight w:val="0"/>
      <w:marTop w:val="0"/>
      <w:marBottom w:val="0"/>
      <w:divBdr>
        <w:top w:val="none" w:sz="0" w:space="0" w:color="auto"/>
        <w:left w:val="none" w:sz="0" w:space="0" w:color="auto"/>
        <w:bottom w:val="none" w:sz="0" w:space="0" w:color="auto"/>
        <w:right w:val="none" w:sz="0" w:space="0" w:color="auto"/>
      </w:divBdr>
    </w:div>
    <w:div w:id="2076967913">
      <w:marLeft w:val="480"/>
      <w:marRight w:val="0"/>
      <w:marTop w:val="0"/>
      <w:marBottom w:val="0"/>
      <w:divBdr>
        <w:top w:val="none" w:sz="0" w:space="0" w:color="auto"/>
        <w:left w:val="none" w:sz="0" w:space="0" w:color="auto"/>
        <w:bottom w:val="none" w:sz="0" w:space="0" w:color="auto"/>
        <w:right w:val="none" w:sz="0" w:space="0" w:color="auto"/>
      </w:divBdr>
    </w:div>
    <w:div w:id="2077972704">
      <w:marLeft w:val="480"/>
      <w:marRight w:val="0"/>
      <w:marTop w:val="0"/>
      <w:marBottom w:val="0"/>
      <w:divBdr>
        <w:top w:val="none" w:sz="0" w:space="0" w:color="auto"/>
        <w:left w:val="none" w:sz="0" w:space="0" w:color="auto"/>
        <w:bottom w:val="none" w:sz="0" w:space="0" w:color="auto"/>
        <w:right w:val="none" w:sz="0" w:space="0" w:color="auto"/>
      </w:divBdr>
    </w:div>
    <w:div w:id="2079863626">
      <w:marLeft w:val="480"/>
      <w:marRight w:val="0"/>
      <w:marTop w:val="0"/>
      <w:marBottom w:val="0"/>
      <w:divBdr>
        <w:top w:val="none" w:sz="0" w:space="0" w:color="auto"/>
        <w:left w:val="none" w:sz="0" w:space="0" w:color="auto"/>
        <w:bottom w:val="none" w:sz="0" w:space="0" w:color="auto"/>
        <w:right w:val="none" w:sz="0" w:space="0" w:color="auto"/>
      </w:divBdr>
    </w:div>
    <w:div w:id="2096708080">
      <w:marLeft w:val="480"/>
      <w:marRight w:val="0"/>
      <w:marTop w:val="0"/>
      <w:marBottom w:val="0"/>
      <w:divBdr>
        <w:top w:val="none" w:sz="0" w:space="0" w:color="auto"/>
        <w:left w:val="none" w:sz="0" w:space="0" w:color="auto"/>
        <w:bottom w:val="none" w:sz="0" w:space="0" w:color="auto"/>
        <w:right w:val="none" w:sz="0" w:space="0" w:color="auto"/>
      </w:divBdr>
    </w:div>
    <w:div w:id="2108194055">
      <w:marLeft w:val="480"/>
      <w:marRight w:val="0"/>
      <w:marTop w:val="0"/>
      <w:marBottom w:val="0"/>
      <w:divBdr>
        <w:top w:val="none" w:sz="0" w:space="0" w:color="auto"/>
        <w:left w:val="none" w:sz="0" w:space="0" w:color="auto"/>
        <w:bottom w:val="none" w:sz="0" w:space="0" w:color="auto"/>
        <w:right w:val="none" w:sz="0" w:space="0" w:color="auto"/>
      </w:divBdr>
    </w:div>
    <w:div w:id="2119326960">
      <w:marLeft w:val="480"/>
      <w:marRight w:val="0"/>
      <w:marTop w:val="0"/>
      <w:marBottom w:val="0"/>
      <w:divBdr>
        <w:top w:val="none" w:sz="0" w:space="0" w:color="auto"/>
        <w:left w:val="none" w:sz="0" w:space="0" w:color="auto"/>
        <w:bottom w:val="none" w:sz="0" w:space="0" w:color="auto"/>
        <w:right w:val="none" w:sz="0" w:space="0" w:color="auto"/>
      </w:divBdr>
    </w:div>
    <w:div w:id="2123304793">
      <w:marLeft w:val="48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781329">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brasser@gexcon.com"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9E403DA33A46C08EC78FEC8F341D34"/>
        <w:category>
          <w:name w:val="General"/>
          <w:gallery w:val="placeholder"/>
        </w:category>
        <w:types>
          <w:type w:val="bbPlcHdr"/>
        </w:types>
        <w:behaviors>
          <w:behavior w:val="content"/>
        </w:behaviors>
        <w:guid w:val="{428783FF-B47B-4870-8614-A705E3898369}"/>
      </w:docPartPr>
      <w:docPartBody>
        <w:p w:rsidR="00116CB5" w:rsidRDefault="00E147A9" w:rsidP="00E147A9">
          <w:pPr>
            <w:pStyle w:val="279E403DA33A46C08EC78FEC8F341D34"/>
          </w:pPr>
          <w:r w:rsidRPr="00AD4321">
            <w:rPr>
              <w:rStyle w:val="PlaceholderText"/>
            </w:rPr>
            <w:t>Click or tap here to enter text.</w:t>
          </w:r>
        </w:p>
      </w:docPartBody>
    </w:docPart>
    <w:docPart>
      <w:docPartPr>
        <w:name w:val="9C5FDB5D200145D0A08CD3D34D7A1677"/>
        <w:category>
          <w:name w:val="General"/>
          <w:gallery w:val="placeholder"/>
        </w:category>
        <w:types>
          <w:type w:val="bbPlcHdr"/>
        </w:types>
        <w:behaviors>
          <w:behavior w:val="content"/>
        </w:behaviors>
        <w:guid w:val="{FB456A07-E7E3-4AC1-8C50-798CE14157FC}"/>
      </w:docPartPr>
      <w:docPartBody>
        <w:p w:rsidR="00116CB5" w:rsidRDefault="00E147A9" w:rsidP="00E147A9">
          <w:pPr>
            <w:pStyle w:val="9C5FDB5D200145D0A08CD3D34D7A1677"/>
          </w:pPr>
          <w:r w:rsidRPr="005F4F8E">
            <w:rPr>
              <w:rStyle w:val="PlaceholderText"/>
            </w:rPr>
            <w:t>Click or tap here to enter text.</w:t>
          </w:r>
        </w:p>
      </w:docPartBody>
    </w:docPart>
    <w:docPart>
      <w:docPartPr>
        <w:name w:val="6199AE205D1846CA8B2D72614359F7F7"/>
        <w:category>
          <w:name w:val="General"/>
          <w:gallery w:val="placeholder"/>
        </w:category>
        <w:types>
          <w:type w:val="bbPlcHdr"/>
        </w:types>
        <w:behaviors>
          <w:behavior w:val="content"/>
        </w:behaviors>
        <w:guid w:val="{401D953C-098F-44CA-85D5-D10BE9375508}"/>
      </w:docPartPr>
      <w:docPartBody>
        <w:p w:rsidR="00116CB5" w:rsidRDefault="00E147A9" w:rsidP="00E147A9">
          <w:pPr>
            <w:pStyle w:val="6199AE205D1846CA8B2D72614359F7F7"/>
          </w:pPr>
          <w:r w:rsidRPr="005F4F8E">
            <w:rPr>
              <w:rStyle w:val="PlaceholderText"/>
            </w:rPr>
            <w:t>Click or tap here to enter text.</w:t>
          </w:r>
        </w:p>
      </w:docPartBody>
    </w:docPart>
    <w:docPart>
      <w:docPartPr>
        <w:name w:val="6FC89F887D334E50AD83E2FA107BC462"/>
        <w:category>
          <w:name w:val="General"/>
          <w:gallery w:val="placeholder"/>
        </w:category>
        <w:types>
          <w:type w:val="bbPlcHdr"/>
        </w:types>
        <w:behaviors>
          <w:behavior w:val="content"/>
        </w:behaviors>
        <w:guid w:val="{F21DB362-22ED-4422-887F-DE9552A8D791}"/>
      </w:docPartPr>
      <w:docPartBody>
        <w:p w:rsidR="00116CB5" w:rsidRDefault="00E147A9" w:rsidP="00E147A9">
          <w:pPr>
            <w:pStyle w:val="6FC89F887D334E50AD83E2FA107BC462"/>
          </w:pPr>
          <w:r w:rsidRPr="00AD4321">
            <w:rPr>
              <w:rStyle w:val="PlaceholderText"/>
            </w:rPr>
            <w:t>Click or tap here to enter text.</w:t>
          </w:r>
        </w:p>
      </w:docPartBody>
    </w:docPart>
    <w:docPart>
      <w:docPartPr>
        <w:name w:val="4DFAA65D9F2E421297C3DA311DDCFDBB"/>
        <w:category>
          <w:name w:val="General"/>
          <w:gallery w:val="placeholder"/>
        </w:category>
        <w:types>
          <w:type w:val="bbPlcHdr"/>
        </w:types>
        <w:behaviors>
          <w:behavior w:val="content"/>
        </w:behaviors>
        <w:guid w:val="{7C869C7B-A190-4352-8C2F-BAEB3E3705BC}"/>
      </w:docPartPr>
      <w:docPartBody>
        <w:p w:rsidR="00116CB5" w:rsidRDefault="00E147A9" w:rsidP="00E147A9">
          <w:pPr>
            <w:pStyle w:val="4DFAA65D9F2E421297C3DA311DDCFDBB"/>
          </w:pPr>
          <w:r w:rsidRPr="005F4F8E">
            <w:rPr>
              <w:rStyle w:val="PlaceholderText"/>
            </w:rPr>
            <w:t>Click or tap here to enter text.</w:t>
          </w:r>
        </w:p>
      </w:docPartBody>
    </w:docPart>
    <w:docPart>
      <w:docPartPr>
        <w:name w:val="A27972EA999E44A583F0BDF93DF48EA3"/>
        <w:category>
          <w:name w:val="General"/>
          <w:gallery w:val="placeholder"/>
        </w:category>
        <w:types>
          <w:type w:val="bbPlcHdr"/>
        </w:types>
        <w:behaviors>
          <w:behavior w:val="content"/>
        </w:behaviors>
        <w:guid w:val="{FE46695F-FBB3-48DC-B791-06F4E5B0A817}"/>
      </w:docPartPr>
      <w:docPartBody>
        <w:p w:rsidR="00116CB5" w:rsidRDefault="00E147A9" w:rsidP="00E147A9">
          <w:pPr>
            <w:pStyle w:val="A27972EA999E44A583F0BDF93DF48EA3"/>
          </w:pPr>
          <w:r w:rsidRPr="005F4F8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E2EDB22-3D03-4789-9258-9E28A7216E67}"/>
      </w:docPartPr>
      <w:docPartBody>
        <w:p w:rsidR="00116CB5" w:rsidRDefault="00E147A9">
          <w:r w:rsidRPr="00B418C8">
            <w:rPr>
              <w:rStyle w:val="PlaceholderText"/>
            </w:rPr>
            <w:t>Click or tap here to enter text.</w:t>
          </w:r>
        </w:p>
      </w:docPartBody>
    </w:docPart>
    <w:docPart>
      <w:docPartPr>
        <w:name w:val="07F8863CB7724DBA983FDD1E1799EA23"/>
        <w:category>
          <w:name w:val="General"/>
          <w:gallery w:val="placeholder"/>
        </w:category>
        <w:types>
          <w:type w:val="bbPlcHdr"/>
        </w:types>
        <w:behaviors>
          <w:behavior w:val="content"/>
        </w:behaviors>
        <w:guid w:val="{0DB66774-9924-4A1C-88DB-427D029C5B31}"/>
      </w:docPartPr>
      <w:docPartBody>
        <w:p w:rsidR="00116CB5" w:rsidRDefault="00E147A9" w:rsidP="00E147A9">
          <w:pPr>
            <w:pStyle w:val="07F8863CB7724DBA983FDD1E1799EA23"/>
          </w:pPr>
          <w:r w:rsidRPr="00AD43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A9"/>
    <w:rsid w:val="000F6B6F"/>
    <w:rsid w:val="00116CB5"/>
    <w:rsid w:val="001D2B23"/>
    <w:rsid w:val="00353487"/>
    <w:rsid w:val="00782B95"/>
    <w:rsid w:val="00863B01"/>
    <w:rsid w:val="00AC4205"/>
    <w:rsid w:val="00D2217E"/>
    <w:rsid w:val="00DD5549"/>
    <w:rsid w:val="00E147A9"/>
    <w:rsid w:val="00F75FA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47A9"/>
    <w:rPr>
      <w:color w:val="808080"/>
    </w:rPr>
  </w:style>
  <w:style w:type="paragraph" w:customStyle="1" w:styleId="279E403DA33A46C08EC78FEC8F341D34">
    <w:name w:val="279E403DA33A46C08EC78FEC8F341D34"/>
    <w:rsid w:val="00E147A9"/>
  </w:style>
  <w:style w:type="paragraph" w:customStyle="1" w:styleId="9C5FDB5D200145D0A08CD3D34D7A1677">
    <w:name w:val="9C5FDB5D200145D0A08CD3D34D7A1677"/>
    <w:rsid w:val="00E147A9"/>
  </w:style>
  <w:style w:type="paragraph" w:customStyle="1" w:styleId="6199AE205D1846CA8B2D72614359F7F7">
    <w:name w:val="6199AE205D1846CA8B2D72614359F7F7"/>
    <w:rsid w:val="00E147A9"/>
  </w:style>
  <w:style w:type="paragraph" w:customStyle="1" w:styleId="6FC89F887D334E50AD83E2FA107BC462">
    <w:name w:val="6FC89F887D334E50AD83E2FA107BC462"/>
    <w:rsid w:val="00E147A9"/>
  </w:style>
  <w:style w:type="paragraph" w:customStyle="1" w:styleId="4DFAA65D9F2E421297C3DA311DDCFDBB">
    <w:name w:val="4DFAA65D9F2E421297C3DA311DDCFDBB"/>
    <w:rsid w:val="00E147A9"/>
  </w:style>
  <w:style w:type="paragraph" w:customStyle="1" w:styleId="A27972EA999E44A583F0BDF93DF48EA3">
    <w:name w:val="A27972EA999E44A583F0BDF93DF48EA3"/>
    <w:rsid w:val="00E147A9"/>
  </w:style>
  <w:style w:type="paragraph" w:customStyle="1" w:styleId="07F8863CB7724DBA983FDD1E1799EA23">
    <w:name w:val="07F8863CB7724DBA983FDD1E1799EA23"/>
    <w:rsid w:val="00E14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6673B9-6F0E-492D-A853-91FC410C4B26}">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5721545475"/>
    <we:property name="MENDELEY_CITATIONS" value="[{&quot;citationID&quot;:&quot;MENDELEY_CITATION_5d941b5b-d7eb-48ec-bac1-b64706a4cd29&quot;,&quot;properties&quot;:{&quot;noteIndex&quot;:0},&quot;isEdited&quot;:false,&quot;manualOverride&quot;:{&quot;isManuallyOverridden&quot;:false,&quot;citeprocText&quot;:&quot;(Walker 2016)&quot;,&quot;manualOverrideText&quot;:&quot;&quot;},&quot;citationTag&quot;:&quot;MENDELEY_CITATION_v3_eyJjaXRhdGlvbklEIjoiTUVOREVMRVlfQ0lUQVRJT05fNWQ5NDFiNWItZDdlYi00OGVjLWJhYzEtYjY0NzA2YTRjZDI5IiwicHJvcGVydGllcyI6eyJub3RlSW5kZXgiOjB9LCJpc0VkaXRlZCI6ZmFsc2UsIm1hbnVhbE92ZXJyaWRlIjp7ImlzTWFudWFsbHlPdmVycmlkZGVuIjpmYWxzZSwiY2l0ZXByb2NUZXh0IjoiKFdhbGtlciAyMDE2KSIsIm1hbnVhbE92ZXJyaWRlVGV4dCI6IiJ9LCJjaXRhdGlvbkl0ZW1zIjpbeyJpZCI6ImI4NzY1ZDkzLWQxMTctM2ZkMC04ZTRkLWIxNGNjMDMyMzk2NCIsIml0ZW1EYXRhIjp7InR5cGUiOiJ3ZWJwYWdlIiwiaWQiOiJiODc2NWQ5My1kMTE3LTNmZDAtOGU0ZC1iMTRjYzAzMjM5NjQiLCJ0aXRsZSI6Ik5hdHVyYWwgVmVudGlsYXRpb24iLCJhdXRob3IiOlt7ImZhbWlseSI6IldhbGtlciIsImdpdmVuIjoiQW5keSIsInBhcnNlLW5hbWVzIjpmYWxzZSwiZHJvcHBpbmctcGFydGljbGUiOiIiLCJub24tZHJvcHBpbmctcGFydGljbGUiOiIifV0sImFjY2Vzc2VkIjp7ImRhdGUtcGFydHMiOltbMjAyNCwzLDI2XV19LCJVUkwiOiJodHRwczovL3d3dy53YmRnLm9yZy9yZXNvdXJjZXMvbmF0dXJhbC12ZW50aWxhdGlvbiIsImlzc3VlZCI6eyJkYXRlLXBhcnRzIjpbWzIwMTYsMiw4XV19LCJjb250YWluZXItdGl0bGUtc2hvcnQiOiIifSwiaXNUZW1wb3JhcnkiOmZhbHNlLCJzdXBwcmVzcy1hdXRob3IiOmZhbHNlLCJjb21wb3NpdGUiOmZhbHNlLCJhdXRob3Itb25seSI6ZmFsc2V9XX0=&quot;,&quot;citationItems&quot;:[{&quot;id&quot;:&quot;b8765d93-d117-3fd0-8e4d-b14cc0323964&quot;,&quot;itemData&quot;:{&quot;type&quot;:&quot;webpage&quot;,&quot;id&quot;:&quot;b8765d93-d117-3fd0-8e4d-b14cc0323964&quot;,&quot;title&quot;:&quot;Natural Ventilation&quot;,&quot;author&quot;:[{&quot;family&quot;:&quot;Walker&quot;,&quot;given&quot;:&quot;Andy&quot;,&quot;parse-names&quot;:false,&quot;dropping-particle&quot;:&quot;&quot;,&quot;non-dropping-particle&quot;:&quot;&quot;}],&quot;accessed&quot;:{&quot;date-parts&quot;:[[2024,3,26]]},&quot;URL&quot;:&quot;https://www.wbdg.org/resources/natural-ventilation&quot;,&quot;issued&quot;:{&quot;date-parts&quot;:[[2016,2,8]]},&quot;container-title-short&quot;:&quot;&quot;},&quot;isTemporary&quot;:false,&quot;suppress-author&quot;:false,&quot;composite&quot;:false,&quot;author-only&quot;:false}]},{&quot;citationID&quot;:&quot;MENDELEY_CITATION_dafecc15-f310-45e0-92ac-613269c7e5fc&quot;,&quot;properties&quot;:{&quot;noteIndex&quot;:0},&quot;isEdited&quot;:false,&quot;manualOverride&quot;:{&quot;isManuallyOverridden&quot;:false,&quot;citeprocText&quot;:&quot;(ATEX 2021)&quot;,&quot;manualOverrideText&quot;:&quot;&quot;},&quot;citationTag&quot;:&quot;MENDELEY_CITATION_v3_eyJjaXRhdGlvbklEIjoiTUVOREVMRVlfQ0lUQVRJT05fZGFmZWNjMTUtZjMxMC00NWUwLTkyYWMtNjEzMjY5YzdlNWZjIiwicHJvcGVydGllcyI6eyJub3RlSW5kZXgiOjB9LCJpc0VkaXRlZCI6ZmFsc2UsIm1hbnVhbE92ZXJyaWRlIjp7ImlzTWFudWFsbHlPdmVycmlkZGVuIjpmYWxzZSwiY2l0ZXByb2NUZXh0IjoiKEFURVggMjAyMSkiLCJtYW51YWxPdmVycmlkZVRleHQiOiIifSwiY2l0YXRpb25JdGVtcyI6W3siaWQiOiJlZmQ3YmUxMC0xZGM1LTM2NTQtODI1MC1iNjk0YmVjMmRkN2YiLCJpdGVtRGF0YSI6eyJ0eXBlIjoiYXJ0aWNsZS1qb3VybmFsIiwiaWQiOiJlZmQ3YmUxMC0xZGM1LTM2NTQtODI1MC1iNjk0YmVjMmRkN2YiLCJ0aXRsZSI6Ik5FTi1FTi1JRUMgNjAwNzktMTAtMSBFeHBsb3NpdmUgYXRtb3NwaGVyZXMgLSBQYXJ0IDEwLTE6IENsYXNzaWZpY2F0aW9uXG5vZiBhcmVhcyAtIEV4cGxvc2l2ZSBnYXMgYXRtb3NwaGVyZXMgKElFQyA2MDA3OS1cbjEwLTE6MjAyMCxJRFQpIiwiYXV0aG9yIjpbeyJmYW1pbHkiOiJBVEVYIiwiZ2l2ZW4iOiIiLCJwYXJzZS1uYW1lcyI6ZmFsc2UsImRyb3BwaW5nLXBhcnRpY2xlIjoiIiwibm9uLWRyb3BwaW5nLXBhcnRpY2xlIjoiIn1dLCJpc3N1ZWQiOnsiZGF0ZS1wYXJ0cyI6W1syMDIxXV19fSwiaXNUZW1wb3JhcnkiOmZhbHNlLCJzdXBwcmVzcy1hdXRob3IiOmZhbHNlLCJjb21wb3NpdGUiOmZhbHNlLCJhdXRob3Itb25seSI6ZmFsc2V9XX0=&quot;,&quot;citationItems&quot;:[{&quot;id&quot;:&quot;efd7be10-1dc5-3654-8250-b694bec2dd7f&quot;,&quot;itemData&quot;:{&quot;type&quot;:&quot;article-journal&quot;,&quot;id&quot;:&quot;efd7be10-1dc5-3654-8250-b694bec2dd7f&quot;,&quot;title&quot;:&quot;NEN-EN-IEC 60079-10-1 Explosive atmospheres - Part 10-1: Classification\nof areas - Explosive gas atmospheres (IEC 60079-\n10-1:2020,IDT)&quot;,&quot;author&quot;:[{&quot;family&quot;:&quot;ATEX&quot;,&quot;given&quot;:&quot;&quot;,&quot;parse-names&quot;:false,&quot;dropping-particle&quot;:&quot;&quot;,&quot;non-dropping-particle&quot;:&quot;&quot;}],&quot;issued&quot;:{&quot;date-parts&quot;:[[2021]]}},&quot;isTemporary&quot;:false,&quot;suppress-author&quot;:false,&quot;composite&quot;:false,&quot;author-only&quot;:false}]},{&quot;citationID&quot;:&quot;MENDELEY_CITATION_441ae1ca-3005-4118-b7ea-b4d084129f89&quot;,&quot;properties&quot;:{&quot;noteIndex&quot;:0},&quot;isEdited&quot;:false,&quot;manualOverride&quot;:{&quot;isManuallyOverridden&quot;:false,&quot;citeprocText&quot;:&quot;(Kaye and Hunt 2004)&quot;,&quot;manualOverrideText&quot;:&quot;&quot;},&quot;citationItems&quot;:[{&quot;id&quot;:&quot;8c050078-98f9-3e6f-a368-b9d13d388620&quot;,&quot;itemData&quot;:{&quot;type&quot;:&quot;article-journal&quot;,&quot;id&quot;:&quot;8c050078-98f9-3e6f-a368-b9d13d388620&quot;,&quot;title&quot;:&quot;Time-dependent flows in an emptying filling box&quot;,&quot;author&quot;:[{&quot;family&quot;:&quot;Kaye&quot;,&quot;given&quot;:&quot;N. B.&quot;,&quot;parse-names&quot;:false,&quot;dropping-particle&quot;:&quot;&quot;,&quot;non-dropping-particle&quot;:&quot;&quot;},{&quot;family&quot;:&quot;Hunt&quot;,&quot;given&quot;:&quot;G. R.&quot;,&quot;parse-names&quot;:false,&quot;dropping-particle&quot;:&quot;&quot;,&quot;non-dropping-particle&quot;:&quot;&quot;}],&quot;container-title&quot;:&quot;Journal of Fluid Mechanics&quot;,&quot;DOI&quot;:&quot;10.1017/S0022112004001156&quot;,&quot;ISSN&quot;:&quot;00221120&quot;,&quot;issued&quot;:{&quot;date-parts&quot;:[[2004,12,10]]},&quot;page&quot;:&quot;135-156&quot;,&quot;abstract&quot;:&quot;We examine the transient buoyancy-driven flow in a ventilated filling box that is subject to a continuous supply of buoyancy. A rectangular box is considered and the buoyancy input is represented as a turbulent plume, or as multiple non-interacting plumes, rising from the floor. Openings in the base and top of the box link the interior environment with a quiescent exterior environment of constant and uniform density. A theoretical model is developed to predict, as functions of time, the density stratification and the volume flow rate through the openings leading to the steady state. Comparisons are made with the results of small-scale analogue laboratory experiments in which saline solutions and fresh water are used to create density differences. Two characteristic timescales are identified: the filling box time (T f), proportional to the time taken for fluid from a plume to fill a closed box; and the draining box time (Td), proportional to the time taken for a ventilated box to drain of buoyant fluid. The timescale for the flow to reach the steady state depends on these two timescales, which are functions of the box height H and cross-sectional area S, the 'effective' opening area A*, and the strength, number and distribution of the buoyancy inputs. The steady-state flow is shown to be characterized by the ratio of these timescales (μ = Td/Tf) which is equivalent to the dimensionless vent area A*/H2 . A feature of these flows is that for μ &gt; μc the depth of the buoyant upper layer may exceed, or 'overshoot', the steady layer depth during the initial transient. The value of μc is determined for both line and point-source plumes, and the sensitivity of the developing flow to the distribution of buoyancy input assessed. © 2004 Cambridge University Press.&quot;,&quot;publisher&quot;:&quot;Cambridge University Press&quot;,&quot;volume&quot;:&quot;520&quot;,&quot;container-title-short&quot;:&quot;J. Fluid Mech.&quot;},&quot;isTemporary&quot;:false,&quot;suppress-author&quot;:false,&quot;composite&quot;:false,&quot;author-only&quot;:false}],&quot;citationTag&quot;:&quot;MENDELEY_CITATION_v3_eyJjaXRhdGlvbklEIjoiTUVOREVMRVlfQ0lUQVRJT05fNDQxYWUxY2EtMzAwNS00MTE4LWI3ZWEtYjRkMDg0MTI5Zjg5IiwicHJvcGVydGllcyI6eyJub3RlSW5kZXgiOjB9LCJpc0VkaXRlZCI6ZmFsc2UsIm1hbnVhbE92ZXJyaWRlIjp7ImlzTWFudWFsbHlPdmVycmlkZGVuIjpmYWxzZSwiY2l0ZXByb2NUZXh0IjoiKEtheWUgYW5kIEh1bnQgMjAwNCkiLCJtYW51YWxPdmVycmlkZVRleHQiOiIifSwiY2l0YXRpb25JdGVtcyI6W3siaWQiOiI4YzA1MDA3OC05OGY5LTNlNmYtYTM2OC1iOWQxM2QzODg2MjAiLCJpdGVtRGF0YSI6eyJ0eXBlIjoiYXJ0aWNsZS1qb3VybmFsIiwiaWQiOiI4YzA1MDA3OC05OGY5LTNlNmYtYTM2OC1iOWQxM2QzODg2MjAiLCJ0aXRsZSI6IlRpbWUtZGVwZW5kZW50IGZsb3dzIGluIGFuIGVtcHR5aW5nIGZpbGxpbmcgYm94IiwiYXV0aG9yIjpbeyJmYW1pbHkiOiJLYXllIiwiZ2l2ZW4iOiJOLiBCLiIsInBhcnNlLW5hbWVzIjpmYWxzZSwiZHJvcHBpbmctcGFydGljbGUiOiIiLCJub24tZHJvcHBpbmctcGFydGljbGUiOiIifSx7ImZhbWlseSI6Ikh1bnQiLCJnaXZlbiI6IkcuIFIuIiwicGFyc2UtbmFtZXMiOmZhbHNlLCJkcm9wcGluZy1wYXJ0aWNsZSI6IiIsIm5vbi1kcm9wcGluZy1wYXJ0aWNsZSI6IiJ9XSwiY29udGFpbmVyLXRpdGxlIjoiSm91cm5hbCBvZiBGbHVpZCBNZWNoYW5pY3MiLCJET0kiOiIxMC4xMDE3L1MwMDIyMTEyMDA0MDAxMTU2IiwiSVNTTiI6IjAwMjIxMTIwIiwiaXNzdWVkIjp7ImRhdGUtcGFydHMiOltbMjAwNCwxMiwxMF1dfSwicGFnZSI6IjEzNS0xNTYiLCJhYnN0cmFjdCI6IldlIGV4YW1pbmUgdGhlIHRyYW5zaWVudCBidW95YW5jeS1kcml2ZW4gZmxvdyBpbiBhIHZlbnRpbGF0ZWQgZmlsbGluZyBib3ggdGhhdCBpcyBzdWJqZWN0IHRvIGEgY29udGludW91cyBzdXBwbHkgb2YgYnVveWFuY3kuIEEgcmVjdGFuZ3VsYXIgYm94IGlzIGNvbnNpZGVyZWQgYW5kIHRoZSBidW95YW5jeSBpbnB1dCBpcyByZXByZXNlbnRlZCBhcyBhIHR1cmJ1bGVudCBwbHVtZSwgb3IgYXMgbXVsdGlwbGUgbm9uLWludGVyYWN0aW5nIHBsdW1lcywgcmlzaW5nIGZyb20gdGhlIGZsb29yLiBPcGVuaW5ncyBpbiB0aGUgYmFzZSBhbmQgdG9wIG9mIHRoZSBib3ggbGluayB0aGUgaW50ZXJpb3IgZW52aXJvbm1lbnQgd2l0aCBhIHF1aWVzY2VudCBleHRlcmlvciBlbnZpcm9ubWVudCBvZiBjb25zdGFudCBhbmQgdW5pZm9ybSBkZW5zaXR5LiBBIHRoZW9yZXRpY2FsIG1vZGVsIGlzIGRldmVsb3BlZCB0byBwcmVkaWN0LCBhcyBmdW5jdGlvbnMgb2YgdGltZSwgdGhlIGRlbnNpdHkgc3RyYXRpZmljYXRpb24gYW5kIHRoZSB2b2x1bWUgZmxvdyByYXRlIHRocm91Z2ggdGhlIG9wZW5pbmdzIGxlYWRpbmcgdG8gdGhlIHN0ZWFkeSBzdGF0ZS4gQ29tcGFyaXNvbnMgYXJlIG1hZGUgd2l0aCB0aGUgcmVzdWx0cyBvZiBzbWFsbC1zY2FsZSBhbmFsb2d1ZSBsYWJvcmF0b3J5IGV4cGVyaW1lbnRzIGluIHdoaWNoIHNhbGluZSBzb2x1dGlvbnMgYW5kIGZyZXNoIHdhdGVyIGFyZSB1c2VkIHRvIGNyZWF0ZSBkZW5zaXR5IGRpZmZlcmVuY2VzLiBUd28gY2hhcmFjdGVyaXN0aWMgdGltZXNjYWxlcyBhcmUgaWRlbnRpZmllZDogdGhlIGZpbGxpbmcgYm94IHRpbWUgKFQgZiksIHByb3BvcnRpb25hbCB0byB0aGUgdGltZSB0YWtlbiBmb3IgZmx1aWQgZnJvbSBhIHBsdW1lIHRvIGZpbGwgYSBjbG9zZWQgYm94OyBhbmQgdGhlIGRyYWluaW5nIGJveCB0aW1lIChUZCksIHByb3BvcnRpb25hbCB0byB0aGUgdGltZSB0YWtlbiBmb3IgYSB2ZW50aWxhdGVkIGJveCB0byBkcmFpbiBvZiBidW95YW50IGZsdWlkLiBUaGUgdGltZXNjYWxlIGZvciB0aGUgZmxvdyB0byByZWFjaCB0aGUgc3RlYWR5IHN0YXRlIGRlcGVuZHMgb24gdGhlc2UgdHdvIHRpbWVzY2FsZXMsIHdoaWNoIGFyZSBmdW5jdGlvbnMgb2YgdGhlIGJveCBoZWlnaHQgSCBhbmQgY3Jvc3Mtc2VjdGlvbmFsIGFyZWEgUywgdGhlICdlZmZlY3RpdmUnIG9wZW5pbmcgYXJlYSBBKiwgYW5kIHRoZSBzdHJlbmd0aCwgbnVtYmVyIGFuZCBkaXN0cmlidXRpb24gb2YgdGhlIGJ1b3lhbmN5IGlucHV0cy4gVGhlIHN0ZWFkeS1zdGF0ZSBmbG93IGlzIHNob3duIHRvIGJlIGNoYXJhY3Rlcml6ZWQgYnkgdGhlIHJhdGlvIG9mIHRoZXNlIHRpbWVzY2FsZXMgKM68ID0gVGQvVGYpIHdoaWNoIGlzIGVxdWl2YWxlbnQgdG8gdGhlIGRpbWVuc2lvbmxlc3MgdmVudCBhcmVhIEEqL0gyIC4gQSBmZWF0dXJlIG9mIHRoZXNlIGZsb3dzIGlzIHRoYXQgZm9yIM68ID4gzrxjIHRoZSBkZXB0aCBvZiB0aGUgYnVveWFudCB1cHBlciBsYXllciBtYXkgZXhjZWVkLCBvciAnb3ZlcnNob290JywgdGhlIHN0ZWFkeSBsYXllciBkZXB0aCBkdXJpbmcgdGhlIGluaXRpYWwgdHJhbnNpZW50LiBUaGUgdmFsdWUgb2YgzrxjIGlzIGRldGVybWluZWQgZm9yIGJvdGggbGluZSBhbmQgcG9pbnQtc291cmNlIHBsdW1lcywgYW5kIHRoZSBzZW5zaXRpdml0eSBvZiB0aGUgZGV2ZWxvcGluZyBmbG93IHRvIHRoZSBkaXN0cmlidXRpb24gb2YgYnVveWFuY3kgaW5wdXQgYXNzZXNzZWQuIMKpIDIwMDQgQ2FtYnJpZGdlIFVuaXZlcnNpdHkgUHJlc3MuIiwicHVibGlzaGVyIjoiQ2FtYnJpZGdlIFVuaXZlcnNpdHkgUHJlc3MiLCJ2b2x1bWUiOiI1MjAiLCJjb250YWluZXItdGl0bGUtc2hvcnQiOiJKLiBGbHVpZCBNZWNoLiJ9LCJpc1RlbXBvcmFyeSI6ZmFsc2UsInN1cHByZXNzLWF1dGhvciI6ZmFsc2UsImNvbXBvc2l0ZSI6ZmFsc2UsImF1dGhvci1vbmx5IjpmYWxzZX1dfQ==&quot;},{&quot;citationID&quot;:&quot;MENDELEY_CITATION_83a13838-af95-414f-9477-27dde77c7ce8&quot;,&quot;properties&quot;:{&quot;noteIndex&quot;:0},&quot;isEdited&quot;:false,&quot;manualOverride&quot;:{&quot;isManuallyOverridden&quot;:false,&quot;citeprocText&quot;:&quot;(Lowesmith et al. 2009)&quot;,&quot;manualOverrideText&quot;:&quot;&quot;},&quot;citationItems&quot;:[{&quot;id&quot;:&quot;8b4edfd2-7ff1-3134-b710-d547ce513f5e&quot;,&quot;itemData&quot;:{&quot;type&quot;:&quot;article-journal&quot;,&quot;id&quot;:&quot;8b4edfd2-7ff1-3134-b710-d547ce513f5e&quot;,&quot;title&quot;:&quot;Gas build-up in a domestic property following releases of methane/hydrogen mixtures&quot;,&quot;author&quot;:[{&quot;family&quot;:&quot;Lowesmith&quot;,&quot;given&quot;:&quot;B. J.&quot;,&quot;parse-names&quot;:false,&quot;dropping-particle&quot;:&quot;&quot;,&quot;non-dropping-particle&quot;:&quot;&quot;},{&quot;family&quot;:&quot;Hankinson&quot;,&quot;given&quot;:&quot;G.&quot;,&quot;parse-names&quot;:false,&quot;dropping-particle&quot;:&quot;&quot;,&quot;non-dropping-particle&quot;:&quot;&quot;},{&quot;family&quot;:&quot;Spataru&quot;,&quot;given&quot;:&quot;C.&quot;,&quot;parse-names&quot;:false,&quot;dropping-particle&quot;:&quot;&quot;,&quot;non-dropping-particle&quot;:&quot;&quot;},{&quot;family&quot;:&quot;Stobbart&quot;,&quot;given&quot;:&quot;M.&quot;,&quot;parse-names&quot;:false,&quot;dropping-particle&quot;:&quot;&quot;,&quot;non-dropping-particle&quot;:&quot;&quot;}],&quot;container-title&quot;:&quot;International Journal of Hydrogen Energy&quot;,&quot;DOI&quot;:&quot;10.1016/j.ijhydene.2009.01.060&quot;,&quot;ISSN&quot;:&quot;03603199&quot;,&quot;issued&quot;:{&quot;date-parts&quot;:[[2009,7]]},&quot;page&quot;:&quot;5932-5939&quot;,&quot;abstract&quot;:&quot;The results of large scale experiments to study gas accumulation within a ventilated enclosure representing a domestic room are presented. Gas was released vertically upwards at a pressure typical of that experienced in a domestic environment from hole sizes representative of leaks and breaks in pipes. The released gas composition was either methane or a methane/hydrogen mixture containing up to 50% hydrogen. During the experiments, gas concentrations throughout the enclosure and the external wind conditions were monitored. A mathematical model has also been developed to describe the gas release as it mixes with air and forms a layer of gas/air mixture in the upper part of the enclosure. The model accounts for both wind and buoyancy driven ventilation, which arises as a result of the formation of the gas accumulation within the enclosure. The results show the importance of buoyancy driven ventilation on the steady state gas concentrations achieved. © 2009 International Association for Hydrogen Energy.&quot;,&quot;issue&quot;:&quot;14&quot;,&quot;volume&quot;:&quot;34&quot;,&quot;container-title-short&quot;:&quot;Int. J. Hydrogen Energy&quot;},&quot;isTemporary&quot;:false,&quot;suppress-author&quot;:false,&quot;composite&quot;:false,&quot;author-only&quot;:false}],&quot;citationTag&quot;:&quot;MENDELEY_CITATION_v3_eyJjaXRhdGlvbklEIjoiTUVOREVMRVlfQ0lUQVRJT05fODNhMTM4MzgtYWY5NS00MTRmLTk0NzctMjdkZGU3N2M3Y2U4IiwicHJvcGVydGllcyI6eyJub3RlSW5kZXgiOjB9LCJpc0VkaXRlZCI6ZmFsc2UsIm1hbnVhbE92ZXJyaWRlIjp7ImlzTWFudWFsbHlPdmVycmlkZGVuIjpmYWxzZSwiY2l0ZXByb2NUZXh0IjoiKExvd2VzbWl0aCBldCBhbC4gMjAwOSkiLCJtYW51YWxPdmVycmlkZVRleHQiOiIifSwiY2l0YXRpb25JdGVtcyI6W3siaWQiOiI4YjRlZGZkMi03ZmYxLTMxMzQtYjcxMC1kNTQ3Y2U1MTNmNWUiLCJpdGVtRGF0YSI6eyJ0eXBlIjoiYXJ0aWNsZS1qb3VybmFsIiwiaWQiOiI4YjRlZGZkMi03ZmYxLTMxMzQtYjcxMC1kNTQ3Y2U1MTNmNWUiLCJ0aXRsZSI6IkdhcyBidWlsZC11cCBpbiBhIGRvbWVzdGljIHByb3BlcnR5IGZvbGxvd2luZyByZWxlYXNlcyBvZiBtZXRoYW5lL2h5ZHJvZ2VuIG1peHR1cmVzIiwiYXV0aG9yIjpbeyJmYW1pbHkiOiJMb3dlc21pdGgiLCJnaXZlbiI6IkIuIEouIiwicGFyc2UtbmFtZXMiOmZhbHNlLCJkcm9wcGluZy1wYXJ0aWNsZSI6IiIsIm5vbi1kcm9wcGluZy1wYXJ0aWNsZSI6IiJ9LHsiZmFtaWx5IjoiSGFua2luc29uIiwiZ2l2ZW4iOiJHLiIsInBhcnNlLW5hbWVzIjpmYWxzZSwiZHJvcHBpbmctcGFydGljbGUiOiIiLCJub24tZHJvcHBpbmctcGFydGljbGUiOiIifSx7ImZhbWlseSI6IlNwYXRhcnUiLCJnaXZlbiI6IkMuIiwicGFyc2UtbmFtZXMiOmZhbHNlLCJkcm9wcGluZy1wYXJ0aWNsZSI6IiIsIm5vbi1kcm9wcGluZy1wYXJ0aWNsZSI6IiJ9LHsiZmFtaWx5IjoiU3RvYmJhcnQiLCJnaXZlbiI6Ik0uIiwicGFyc2UtbmFtZXMiOmZhbHNlLCJkcm9wcGluZy1wYXJ0aWNsZSI6IiIsIm5vbi1kcm9wcGluZy1wYXJ0aWNsZSI6IiJ9XSwiY29udGFpbmVyLXRpdGxlIjoiSW50ZXJuYXRpb25hbCBKb3VybmFsIG9mIEh5ZHJvZ2VuIEVuZXJneSIsIkRPSSI6IjEwLjEwMTYvai5pamh5ZGVuZS4yMDA5LjAxLjA2MCIsIklTU04iOiIwMzYwMzE5OSIsImlzc3VlZCI6eyJkYXRlLXBhcnRzIjpbWzIwMDksN11dfSwicGFnZSI6IjU5MzItNTkzOSIsImFic3RyYWN0IjoiVGhlIHJlc3VsdHMgb2YgbGFyZ2Ugc2NhbGUgZXhwZXJpbWVudHMgdG8gc3R1ZHkgZ2FzIGFjY3VtdWxhdGlvbiB3aXRoaW4gYSB2ZW50aWxhdGVkIGVuY2xvc3VyZSByZXByZXNlbnRpbmcgYSBkb21lc3RpYyByb29tIGFyZSBwcmVzZW50ZWQuIEdhcyB3YXMgcmVsZWFzZWQgdmVydGljYWxseSB1cHdhcmRzIGF0IGEgcHJlc3N1cmUgdHlwaWNhbCBvZiB0aGF0IGV4cGVyaWVuY2VkIGluIGEgZG9tZXN0aWMgZW52aXJvbm1lbnQgZnJvbSBob2xlIHNpemVzIHJlcHJlc2VudGF0aXZlIG9mIGxlYWtzIGFuZCBicmVha3MgaW4gcGlwZXMuIFRoZSByZWxlYXNlZCBnYXMgY29tcG9zaXRpb24gd2FzIGVpdGhlciBtZXRoYW5lIG9yIGEgbWV0aGFuZS9oeWRyb2dlbiBtaXh0dXJlIGNvbnRhaW5pbmcgdXAgdG8gNTAlIGh5ZHJvZ2VuLiBEdXJpbmcgdGhlIGV4cGVyaW1lbnRzLCBnYXMgY29uY2VudHJhdGlvbnMgdGhyb3VnaG91dCB0aGUgZW5jbG9zdXJlIGFuZCB0aGUgZXh0ZXJuYWwgd2luZCBjb25kaXRpb25zIHdlcmUgbW9uaXRvcmVkLiBBIG1hdGhlbWF0aWNhbCBtb2RlbCBoYXMgYWxzbyBiZWVuIGRldmVsb3BlZCB0byBkZXNjcmliZSB0aGUgZ2FzIHJlbGVhc2UgYXMgaXQgbWl4ZXMgd2l0aCBhaXIgYW5kIGZvcm1zIGEgbGF5ZXIgb2YgZ2FzL2FpciBtaXh0dXJlIGluIHRoZSB1cHBlciBwYXJ0IG9mIHRoZSBlbmNsb3N1cmUuIFRoZSBtb2RlbCBhY2NvdW50cyBmb3IgYm90aCB3aW5kIGFuZCBidW95YW5jeSBkcml2ZW4gdmVudGlsYXRpb24sIHdoaWNoIGFyaXNlcyBhcyBhIHJlc3VsdCBvZiB0aGUgZm9ybWF0aW9uIG9mIHRoZSBnYXMgYWNjdW11bGF0aW9uIHdpdGhpbiB0aGUgZW5jbG9zdXJlLiBUaGUgcmVzdWx0cyBzaG93IHRoZSBpbXBvcnRhbmNlIG9mIGJ1b3lhbmN5IGRyaXZlbiB2ZW50aWxhdGlvbiBvbiB0aGUgc3RlYWR5IHN0YXRlIGdhcyBjb25jZW50cmF0aW9ucyBhY2hpZXZlZC4gwqkgMjAwOSBJbnRlcm5hdGlvbmFsIEFzc29jaWF0aW9uIGZvciBIeWRyb2dlbiBFbmVyZ3kuIiwiaXNzdWUiOiIxNCIsInZvbHVtZSI6IjM0IiwiY29udGFpbmVyLXRpdGxlLXNob3J0IjoiSW50LiBKLiBIeWRyb2dlbiBFbmVyZ3kifSwiaXNUZW1wb3JhcnkiOmZhbHNlLCJzdXBwcmVzcy1hdXRob3IiOmZhbHNlLCJjb21wb3NpdGUiOmZhbHNlLCJhdXRob3Itb25seSI6ZmFsc2V9XX0=&quot;},{&quot;citationID&quot;:&quot;MENDELEY_CITATION_13780d7f-da05-4a01-b58b-1b603d312dd8&quot;,&quot;properties&quot;:{&quot;noteIndex&quot;:0},&quot;isEdited&quot;:false,&quot;manualOverride&quot;:{&quot;isManuallyOverridden&quot;:false,&quot;citeprocText&quot;:&quot;(Bauwens and Dorofeev 2014)&quot;,&quot;manualOverrideText&quot;:&quot;&quot;},&quot;citationTag&quot;:&quot;MENDELEY_CITATION_v3_eyJjaXRhdGlvbklEIjoiTUVOREVMRVlfQ0lUQVRJT05fMTM3ODBkN2YtZGEwNS00YTAxLWI1OGItMWI2MDNkMzEyZGQ4IiwicHJvcGVydGllcyI6eyJub3RlSW5kZXgiOjB9LCJpc0VkaXRlZCI6ZmFsc2UsIm1hbnVhbE92ZXJyaWRlIjp7ImlzTWFudWFsbHlPdmVycmlkZGVuIjpmYWxzZSwiY2l0ZXByb2NUZXh0IjoiKEJhdXdlbnMgYW5kIERvcm9mZWV2IDIwMTQpIiwibWFudWFsT3ZlcnJpZGVUZXh0IjoiIn0sImNpdGF0aW9uSXRlbXMiOlt7ImlkIjoiY2NlMTA1MzItYmQxYS0zYmIxLWE3ZjEtNTlkNzMzODM1NWM0IiwiaXRlbURhdGEiOnsidHlwZSI6InBhcGVyLWNvbmZlcmVuY2UiLCJpZCI6ImNjZTEwNTMyLWJkMWEtM2JiMS1hN2YxLTU5ZDczMzgzNTVjNCIsInRpdGxlIjoiQ0ZEIG1vZGVsaW5nIGFuZCBjb25zZXF1ZW5jZSBhbmFseXNpcyBvZiBhbiBhY2NpZGVudGFsIGh5ZHJvZ2VuIHJlbGVhc2UgaW4gYSBsYXJnZSBzY2FsZSBmYWNpbGl0eSIsImF1dGhvciI6W3siZmFtaWx5IjoiQmF1d2VucyIsImdpdmVuIjoiQy4gUi4iLCJwYXJzZS1uYW1lcyI6ZmFsc2UsImRyb3BwaW5nLXBhcnRpY2xlIjoiIiwibm9uLWRyb3BwaW5nLXBhcnRpY2xlIjoiIn0seyJmYW1pbHkiOiJEb3JvZmVldiIsImdpdmVuIjoiUy4gQi4iLCJwYXJzZS1uYW1lcyI6ZmFsc2UsImRyb3BwaW5nLXBhcnRpY2xlIjoiIiwibm9uLWRyb3BwaW5nLXBhcnRpY2xlIjoiIn1dLCJjb250YWluZXItdGl0bGUiOiJJbnRlcm5hdGlvbmFsIEpvdXJuYWwgb2YgSHlkcm9nZW4gRW5lcmd5IiwiRE9JIjoiMTAuMTAxNi9qLmlqaHlkZW5lLjIwMTQuMDQuMTQyIiwiSVNTTiI6IjAzNjAzMTk5IiwiaXNzdWVkIjp7ImRhdGUtcGFydHMiOltbMjAxNCwxMiwzXV19LCJwYWdlIjoiMjA0NDctMjA0NTQiLCJhYnN0cmFjdCI6IkluIHRoaXMgc3R1ZHksIHRoZSBjb25zZXF1ZW5jZXMgb2YgYW4gYWNjaWRlbnRhbCByZWxlYXNlIG9mIGh5ZHJvZ2VuIHdpdGhpbiBsYXJnZSBzY2FsZSwgKD4xNSwwMDAgbTMpLCBmYWNpbGl0aWVzIHdlcmUgbW9kZWxlZC4gVG8gbW9kZWwgdGhlIGh5ZHJvZ2VuIHJlbGVhc2UsIGFuIExFUyBOYXZpZXItU3Rva2VzIENGRCBzb2x2ZXIsIGNhbGxlZCBmaXJlRm9hbSwgd2FzIHVzZWQgdG8gY2FsY3VsYXRlIHRoZSBkaXNwZXJzaW9uIGFuZCBtaXhpbmcgb2YgaHlkcm9nZW4gd2l0aGluIGEgbGFyZ2Ugc2NhbGUgZmFjaWxpdHkuIFRoZSBwZXJmb3JtYW5jZSBvZiB0aGUgQ0ZEIG1vZGVsaW5nIHRlY2huaXF1ZSB3YXMgZXZhbHVhdGVkIHRocm91Z2ggYSB2YWxpZGF0aW9uIHN0dWR5IHVzaW5nIGV4cGVyaW1lbnRhbCByZXN1bHRzIGZyb20gYSAxLzYgc2NhbGUgaHlkcm9nZW4gcmVsZWFzZSBmcm9tIHRoZSBsaXRlcmF0dXJlIGFuZCBhIGdyaWQgc2Vuc2l0aXZpdHkgc3R1ZHkuIFVzaW5nIHRoZSBtb2RlbCwgYSBwYXJhbWV0cmljIHN0dWR5IHdhcyBwZXJmb3JtZWQgdmFyeWluZyByZWxlYXNlIHJhdGVzIGFuZCBlbmNsb3N1cmUgc2l6ZXMgYW5kIGV4YW1pbmluZyB0aGUgY29uY2VudHJhdGlvbnMgdGhhdCBkZXZlbG9wLiBUaGUgaHlkcm9nZW4gZGlzcGVyc2lvbiByZXN1bHRzIHdlcmUgdGhlbiB1c2VkIHRvIGNhbGN1bGF0ZSB0aGUgY29ycmVzcG9uZGluZyBwcmVzc3VyZSBsb2FkcyBmcm9tIGh5ZHJvZ2VuLWFpciBkZWZsYWdyYXRpb25zIGluIHRoZSBmYWNpbGl0eS4iLCJwdWJsaXNoZXIiOiJFbHNldmllciBMdGQiLCJpc3N1ZSI6IjM1Iiwidm9sdW1lIjoiMzkiLCJjb250YWluZXItdGl0bGUtc2hvcnQiOiJJbnQuIEouIEh5ZHJvZ2VuIEVuZXJneSJ9LCJpc1RlbXBvcmFyeSI6ZmFsc2UsInN1cHByZXNzLWF1dGhvciI6ZmFsc2UsImNvbXBvc2l0ZSI6ZmFsc2UsImF1dGhvci1vbmx5IjpmYWxzZX1dfQ==&quot;,&quot;citationItems&quot;:[{&quot;id&quot;:&quot;cce10532-bd1a-3bb1-a7f1-59d7338355c4&quot;,&quot;itemData&quot;:{&quot;type&quot;:&quot;paper-conference&quot;,&quot;id&quot;:&quot;cce10532-bd1a-3bb1-a7f1-59d7338355c4&quot;,&quot;title&quot;:&quot;CFD modeling and consequence analysis of an accidental hydrogen release in a large scale facility&quot;,&quot;author&quot;:[{&quot;family&quot;:&quot;Bauwens&quot;,&quot;given&quot;:&quot;C. R.&quot;,&quot;parse-names&quot;:false,&quot;dropping-particle&quot;:&quot;&quot;,&quot;non-dropping-particle&quot;:&quot;&quot;},{&quot;family&quot;:&quot;Dorofeev&quot;,&quot;given&quot;:&quot;S. B.&quot;,&quot;parse-names&quot;:false,&quot;dropping-particle&quot;:&quot;&quot;,&quot;non-dropping-particle&quot;:&quot;&quot;}],&quot;container-title&quot;:&quot;International Journal of Hydrogen Energy&quot;,&quot;DOI&quot;:&quot;10.1016/j.ijhydene.2014.04.142&quot;,&quot;ISSN&quot;:&quot;03603199&quot;,&quot;issued&quot;:{&quot;date-parts&quot;:[[2014,12,3]]},&quot;page&quot;:&quot;20447-20454&quot;,&quot;abstract&quot;:&quot;In this study, the consequences of an accidental release of hydrogen within large scale, (&gt;15,000 m3), facilities were modeled. To model the hydrogen release, an LES Navier-Stokes CFD solver, called fireFoam, was used to calculate the dispersion and mixing of hydrogen within a large scale facility. The performance of the CFD modeling technique was evaluated through a validation study using experimental results from a 1/6 scale hydrogen release from the literature and a grid sensitivity study. Using the model, a parametric study was performed varying release rates and enclosure sizes and examining the concentrations that develop. The hydrogen dispersion results were then used to calculate the corresponding pressure loads from hydrogen-air deflagrations in the facility.&quot;,&quot;publisher&quot;:&quot;Elsevier Ltd&quot;,&quot;issue&quot;:&quot;35&quot;,&quot;volume&quot;:&quot;39&quot;,&quot;container-title-short&quot;:&quot;Int. J. Hydrogen Energy&quot;},&quot;isTemporary&quot;:false,&quot;suppress-author&quot;:false,&quot;composite&quot;:false,&quot;author-only&quot;:false}]},{&quot;citationID&quot;:&quot;MENDELEY_CITATION_23e837ee-7169-4791-8baa-17c172efba82&quot;,&quot;properties&quot;:{&quot;noteIndex&quot;:0},&quot;isEdited&quot;:false,&quot;manualOverride&quot;:{&quot;isManuallyOverridden&quot;:false,&quot;citeprocText&quot;:&quot;(Merilo et al. 2011)&quot;,&quot;manualOverrideText&quot;:&quot;&quot;},&quot;citationTag&quot;:&quot;MENDELEY_CITATION_v3_eyJjaXRhdGlvbklEIjoiTUVOREVMRVlfQ0lUQVRJT05fMjNlODM3ZWUtNzE2OS00NzkxLThiYWEtMTdjMTcyZWZiYTgyIiwicHJvcGVydGllcyI6eyJub3RlSW5kZXgiOjB9LCJpc0VkaXRlZCI6ZmFsc2UsIm1hbnVhbE92ZXJyaWRlIjp7ImlzTWFudWFsbHlPdmVycmlkZGVuIjpmYWxzZSwiY2l0ZXByb2NUZXh0IjoiKE1lcmlsbyBldCBhbC4gMjAxMSkiLCJtYW51YWxPdmVycmlkZVRleHQiOiIifSwiY2l0YXRpb25JdGVtcyI6W3siaWQiOiJkY2FhYTMwMS1kNWZlLTNmMjktYTBmMC05YmE4YzRkNDJiNTQiLCJpdGVtRGF0YSI6eyJ0eXBlIjoiYXJ0aWNsZS1qb3VybmFsIiwiaWQiOiJkY2FhYTMwMS1kNWZlLTNmMjktYTBmMC05YmE4YzRkNDJiNTQiLCJ0aXRsZSI6IkV4cGVyaW1lbnRhbCBzdHVkeSBvZiBoeWRyb2dlbiByZWxlYXNlIGFjY2lkZW50cyBpbiBhIHZlaGljbGUgZ2FyYWdlIiwiYXV0aG9yIjpbeyJmYW1pbHkiOiJNZXJpbG8iLCJnaXZlbiI6IkUuIEcuIiwicGFyc2UtbmFtZXMiOmZhbHNlLCJkcm9wcGluZy1wYXJ0aWNsZSI6IiIsIm5vbi1kcm9wcGluZy1wYXJ0aWNsZSI6IiJ9LHsiZmFtaWx5IjoiR3JvZXRoZSIsImdpdmVuIjoiTS4gQS4iLCJwYXJzZS1uYW1lcyI6ZmFsc2UsImRyb3BwaW5nLXBhcnRpY2xlIjoiIiwibm9uLWRyb3BwaW5nLXBhcnRpY2xlIjoiIn0seyJmYW1pbHkiOiJDb2x0b24iLCJnaXZlbiI6IkouIEQuIiwicGFyc2UtbmFtZXMiOmZhbHNlLCJkcm9wcGluZy1wYXJ0aWNsZSI6IiIsIm5vbi1kcm9wcGluZy1wYXJ0aWNsZSI6IiJ9LHsiZmFtaWx5IjoiQ2hpYmEiLCJnaXZlbiI6IlMuIiwicGFyc2UtbmFtZXMiOmZhbHNlLCJkcm9wcGluZy1wYXJ0aWNsZSI6IiIsIm5vbi1kcm9wcGluZy1wYXJ0aWNsZSI6IiJ9XSwiY29udGFpbmVyLXRpdGxlIjoiSW50ZXJuYXRpb25hbCBKb3VybmFsIG9mIEh5ZHJvZ2VuIEVuZXJneSIsIkRPSSI6IjEwLjEwMTYvai5pamh5ZGVuZS4yMDEwLjA0LjA1NiIsIklTU04iOiIwMzYwMzE5OSIsImlzc3VlZCI6eyJkYXRlLXBhcnRzIjpbWzIwMTEsMl1dfSwicGFnZSI6IjI0MzYtMjQ0NCIsImFic3RyYWN0IjoiU3RvcmluZyBhIGh5ZHJvZ2VuIGZ1ZWwtY2VsbCB2ZWhpY2xlIGluIGEgZ2FyYWdlIHBvc2VzIGEgcG90ZW50aWFsIHNhZmV0eSBoYXphcmQgYmVjYXVzZSBvZiB0aGUgYWNjaWRlbnRzIHRoYXQgY291bGQgYXJpc2UgZnJvbSBhIGh5ZHJvZ2VuIGxlYWsuIEEgc2VyaWVzIG9mIHRlc3RzIGV4YW1pbmVkIHRoZSByaXNrIGludm9sdmVkIHdpdGggaHlkcm9nZW4gcmVsZWFzZXMgYW5kIGRlZmxhZ3JhdGlvbnMgaW4gYSBzdHJ1Y3R1cmUgYnVpbHQgdG8gc2ltdWxhdGUgYSBvbmUtY2FyIGdhcmFnZS4gVGhlIGV4cGVyaW1lbnRzIGludm9sdmVkIGlnbml0aW5nIGh5ZHJvZ2VuIGdhcyB0aGF0IHdhcyByZWxlYXNlZCBpbnNpZGUgdGhlIHN0cnVjdHVyZSBhbmQgc3R1ZHlpbmcgdGhlIGVmZmVjdHMgb2YgdGhlIGRlZmxhZ3JhdGlvbnMuIFRoZSBcImdhcmFnZVwiIG1lYXN1cmVkIDIuNzIgbSBoaWdoLCAzLjY0IG0gd2lkZSwgYW5kIDYuMTAgbSBsb25nIGludGVybmFsbHkgYW5kIHdhcyBjb25zdHJ1Y3RlZCBmcm9tIHN0ZWVsIHVzaW5nIGEgcmVpbmZvcmNlZCBkZXNpZ24gY2FwYWJsZSBvZiB3aXRoc3RhbmRpbmcgYSBkZXRvbmF0aW9uLiBUaGUgZnJvbnQgZmFjZSBvZiB0aGUgZ2FyYWdlIHdhcyBjb3ZlcmVkIHdpdGggYSB0aGluLCB0cmFuc3BhcmVudCBwbGFzdGljIGZpbG0uIEV4cGVyaW1lbnRzIHdlcmUgcGVyZm9ybWVkIHRvIGludmVzdGlnYXRlIGV4dGVuZGVkLWR1cmF0aW9uICgyMC00MCBtaW4pIGh5ZHJvZ2VuIGxlYWtzLiBUaGUgZWZmZWN0IHRoYXQgdGhlIHByZXNlbmNlIG9mIGEgdmVoaWNsZSBpbiB0aGUgZ2FyYWdlIGhhcyBvbiB0aGUgZGVmbGFncmF0aW9uIHdhcyBhbHNvIHN0dWRpZWQuIFRoZSBleHBlcmltZW50cyBleGFtaW5lZCB0aGUgZWZmZWN0aXZlbmVzcyBvZiBkaWZmZXJlbnQgdmVudGlsYXRpb24gdGVjaG5pcXVlcyBhdCByZWR1Y2luZyB0aGUgaHlkcm9nZW4gY29uY2VudHJhdGlvbiBpbiB0aGUgZW5jbG9zdXJlLiBWZW50aWxhdGlvbiB0ZWNobmlxdWVzIGluY2x1ZGVkIG5hdHVyYWwgdXBwZXIgYW5kIGxvd2VyIG9wZW5pbmdzIGFuZCBtZWNoYW5pY2FsIHZlbnRpbGF0aW9uIHN5c3RlbXMuIEEgc3lzdGVtIG9mIGV2YWN1YXRlZCBzYW1wbGluZyBib3R0bGVzIHdhcyB1c2VkIHRvIG1lYXN1cmUgaHlkcm9nZW4gY29uY2VudHJhdGlvbiB0aHJvdWdob3V0IHRoZSBnYXJhZ2UgcHJpb3IgdG8gaWduaXRpb24sIGFuZCBhdCB2YXJpb3VzIHRpbWVzIGR1cmluZyB0aGUgcmVsZWFzZS4gQWxsIGV4cGVyaW1lbnRzIHdlcmUgZG9jdW1lbnRlZCB3aXRoIHN0YW5kYXJkIGFuZCBpbmZyYXJlZCAoSVIpIHZpZGVvLiBGbGFtZSBmcm9udCBwcm9wYWdhdGlvbiB3YXMgbW9uaXRvcmVkIHdpdGggdGhlcm1vY291cGxlcy4gUHJlc3N1cmVzIHdpdGhpbiB0aGUgZ2FyYWdlIHdlcmUgbWVhc3VyZWQgYnkgZm91ciBwcmVzc3VyZSB0cmFuc2R1Y2VycyBtb3VudGVkIG9uIHRoZSBpbnNpZGUgd2FsbHMgb2YgdGhlIGdhcmFnZS4gU2l4IGZyZWUtZmllbGQgcHJlc3N1cmUgdHJhbnNkdWNlcnMgd2VyZSB1c2VkIHRvIG1lYXN1cmUgdGhlIHByZXNzdXJlcyBvdXRzaWRlIHRoZSBnYXJhZ2UuIMKpIDIwMTAgUHJvZmVzc29yIFQuIE5lamF0IFZlemlyb2dsdS4gUHVibGlzaGVkIGJ5IEVsc2V2aWVyIEx0ZC4gQWxsIHJpZ2h0cyByZXNlcnZlZC4iLCJpc3N1ZSI6IjMiLCJ2b2x1bWUiOiIzNiIsImNvbnRhaW5lci10aXRsZS1zaG9ydCI6IkludC4gSi4gSHlkcm9nZW4gRW5lcmd5In0sImlzVGVtcG9yYXJ5IjpmYWxzZSwic3VwcHJlc3MtYXV0aG9yIjpmYWxzZSwiY29tcG9zaXRlIjpmYWxzZSwiYXV0aG9yLW9ubHkiOmZhbHNlfV19&quot;,&quot;citationItems&quot;:[{&quot;id&quot;:&quot;dcaaa301-d5fe-3f29-a0f0-9ba8c4d42b54&quot;,&quot;itemData&quot;:{&quot;type&quot;:&quot;article-journal&quot;,&quot;id&quot;:&quot;dcaaa301-d5fe-3f29-a0f0-9ba8c4d42b54&quot;,&quot;title&quot;:&quot;Experimental study of hydrogen release accidents in a vehicle garage&quot;,&quot;author&quot;:[{&quot;family&quot;:&quot;Merilo&quot;,&quot;given&quot;:&quot;E. G.&quot;,&quot;parse-names&quot;:false,&quot;dropping-particle&quot;:&quot;&quot;,&quot;non-dropping-particle&quot;:&quot;&quot;},{&quot;family&quot;:&quot;Groethe&quot;,&quot;given&quot;:&quot;M. A.&quot;,&quot;parse-names&quot;:false,&quot;dropping-particle&quot;:&quot;&quot;,&quot;non-dropping-particle&quot;:&quot;&quot;},{&quot;family&quot;:&quot;Colton&quot;,&quot;given&quot;:&quot;J. D.&quot;,&quot;parse-names&quot;:false,&quot;dropping-particle&quot;:&quot;&quot;,&quot;non-dropping-particle&quot;:&quot;&quot;},{&quot;family&quot;:&quot;Chiba&quot;,&quot;given&quot;:&quot;S.&quot;,&quot;parse-names&quot;:false,&quot;dropping-particle&quot;:&quot;&quot;,&quot;non-dropping-particle&quot;:&quot;&quot;}],&quot;container-title&quot;:&quot;International Journal of Hydrogen Energy&quot;,&quot;DOI&quot;:&quot;10.1016/j.ijhydene.2010.04.056&quot;,&quot;ISSN&quot;:&quot;03603199&quot;,&quot;issued&quot;:{&quot;date-parts&quot;:[[2011,2]]},&quot;page&quot;:&quot;2436-2444&quot;,&quot;abstract&quot;:&quot;Storing a hydrogen fuel-cell vehicle in a garage poses a potential safety hazard because of the accidents that could arise from a hydrogen leak. A series of tests examined the risk involved with hydrogen releases and deflagrations in a structure built to simulate a one-car garage. The experiments involved igniting hydrogen gas that was released inside the structure and studying the effects of the deflagrations. The \&quot;garage\&quot; measured 2.72 m high, 3.64 m wide, and 6.10 m long internally and was constructed from steel using a reinforced design capable of withstanding a detonation. The front face of the garage was covered with a thin, transparent plastic film. Experiments were performed to investigate extended-duration (20-40 min) hydrogen leaks. The effect that the presence of a vehicle in the garage has on the deflagration was also studied. The experiments examined the effectiveness of different ventilation techniques at reducing the hydrogen concentration in the enclosure. Ventilation techniques included natural upper and lower openings and mechanical ventilation systems. A system of evacuated sampling bottles was used to measure hydrogen concentration throughout the garage prior to ignition, and at various times during the release. All experiments were documented with standard and infrared (IR) video. Flame front propagation was monitored with thermocouples. Pressures within the garage were measured by four pressure transducers mounted on the inside walls of the garage. Six free-field pressure transducers were used to measure the pressures outside the garage. © 2010 Professor T. Nejat Veziroglu. Published by Elsevier Ltd. All rights reserved.&quot;,&quot;issue&quot;:&quot;3&quot;,&quot;volume&quot;:&quot;36&quot;,&quot;container-title-short&quot;:&quot;Int. J. Hydrogen Energy&quot;},&quot;isTemporary&quot;:false,&quot;suppress-author&quot;:false,&quot;composite&quot;:false,&quot;author-only&quot;:false}]},{&quot;citationID&quot;:&quot;MENDELEY_CITATION_343b5613-27a1-4873-a270-586035fe53cc&quot;,&quot;properties&quot;:{&quot;noteIndex&quot;:0},&quot;isEdited&quot;:false,&quot;manualOverride&quot;:{&quot;isManuallyOverridden&quot;:false,&quot;citeprocText&quot;:&quot;(Wang, Hu, and Jiang 2013)&quot;,&quot;manualOverrideText&quot;:&quot;&quot;},&quot;citationTag&quot;:&quot;MENDELEY_CITATION_v3_eyJjaXRhdGlvbklEIjoiTUVOREVMRVlfQ0lUQVRJT05fMzQzYjU2MTMtMjdhMS00ODczLWEyNzAtNTg2MDM1ZmU1M2NjIiwicHJvcGVydGllcyI6eyJub3RlSW5kZXgiOjB9LCJpc0VkaXRlZCI6ZmFsc2UsIm1hbnVhbE92ZXJyaWRlIjp7ImlzTWFudWFsbHlPdmVycmlkZGVuIjpmYWxzZSwiY2l0ZXByb2NUZXh0IjoiKFdhbmcsIEh1LCBhbmQgSmlhbmcgMjAxMykiLCJtYW51YWxPdmVycmlkZVRleHQiOiIifSwiY2l0YXRpb25JdGVtcyI6W3siaWQiOiJkODBiNjhjMC1mZDVkLTNmMDYtOGQ2ZS02MjU4YjZlZWI4MmMiLCJpdGVtRGF0YSI6eyJ0eXBlIjoiYXJ0aWNsZS1qb3VybmFsIiwiaWQiOiJkODBiNjhjMC1mZDVkLTNmMDYtOGQ2ZS02MjU4YjZlZWI4MmMiLCJ0aXRsZSI6Ik51bWVyaWNhbCBpbnZlc3RpZ2F0aW9uIG9mIGxlYWtpbmcgYW5kIGRpc3BlcnNpb24gb2YgY2FyYm9uIGRpb3hpZGUgaW5kb29yIHVuZGVyIHZlbnRpbGF0aW9uIGNvbmRpdGlvbiIsImF1dGhvciI6W3siZmFtaWx5IjoiV2FuZyIsImdpdmVuIjoiWmhpcm9uZyIsInBhcnNlLW5hbWVzIjpmYWxzZSwiZHJvcHBpbmctcGFydGljbGUiOiIiLCJub24tZHJvcHBpbmctcGFydGljbGUiOiIifSx7ImZhbWlseSI6Ikh1IiwiZ2l2ZW4iOiJZdWFueXVhbiIsInBhcnNlLW5hbWVzIjpmYWxzZSwiZHJvcHBpbmctcGFydGljbGUiOiIiLCJub24tZHJvcHBpbmctcGFydGljbGUiOiIifSx7ImZhbWlseSI6IkppYW5nIiwiZ2l2ZW4iOiJKdW5jaGVuZyIsInBhcnNlLW5hbWVzIjpmYWxzZSwiZHJvcHBpbmctcGFydGljbGUiOiIiLCJub24tZHJvcHBpbmctcGFydGljbGUiOiIifV0sImNvbnRhaW5lci10aXRsZSI6IkVuZXJneSBhbmQgQnVpbGRpbmdzIiwiRE9JIjoiMTAuMTAxNi9qLmVuYnVpbGQuMjAxMy4wNi4wMzEiLCJJU1NOIjoiMDM3ODc3ODgiLCJpc3N1ZWQiOnsiZGF0ZS1wYXJ0cyI6W1syMDEzXV19LCJwYWdlIjoiNDYxLTQ2NiIsImFic3RyYWN0IjoiTnVtZXJpY2FsIHNpbXVsYXRpb24gb2YgY29udGludW91cyByZWxlYXNlIGFuZCBkaXNwZXJzaW9uIHByb2Nlc3Mgb2YgY2FyYm9uIGRpb3hpZGUgaW4gYSB2ZW50aWxhdGVkIHJvb20gd2FzIGNhcnJpZWQgb3V0IGJ5IEZMVUVOVCB3aXRoIENvbXB1dGF0aW9uYWwgRmx1aWQgRHluYW1pYyAoQ0ZEKSBtZXRob2QuIFRoZSB2YWxpZGF0aW9uIG9mIHRoZSBzaW11bGF0aW9uIG1ldGhvZCB3YXMgbWFkZSBieSBjb21wYXJpc29uIG9mIHNpbXVsYXRpb24gcmVzdWx0cyB3aXRoIGV4cGVyaW1lbnRhbCBkYXRhLiBUaGUgY29uY2VudHJhdGlvbiBkaXN0cmlidXRpb24gb2YgY2FyYm9uIGRpb3hpZGUgaW5kb29yIHdhcyBpbnZlc3RpZ2F0ZWQuIFRoZSBlZmZlY3Qgb2YgdGhlIHJlbGVhc2UgcmF0ZSwgd2luZCBzcGVlZCBhbmQgb2JzdGFjbGUgb24gZ2FzIGRpc3BlcnNpb24gd2FzIGFuYWx5emVkLiBSZXN1bHRzIHNob3dlZCB0aGF0IGF0IHRoZSBiZWdpbm5pbmcgY2FyYm9uIGRpb3hpZGUgbW92ZWQgdG8gdGhlIHRvcCBvZiByb29tIGJ5IHRoZSBhY3Rpb24gb2YgamV0IGZsb3cuIFVuZGVyIHRoZSBjb25kaXRpb24gb2Ygd2luZCwgdGhlIGNvbmNlbnRyYXRpb24gb2YgY2FyYm9uIGRpb3hpZGUgaW5jcmVhc2VkIGFsb25nIHRoZSBsZWV3YXJkLiBPdmVyIGEgcGVyaW9kIG9mIHRpbWUsIHRoZSBjb25jZW50cmF0aW9uIG9mIGNhcmJvbiBkaW94aWRlIGluZG9vciBrZXB0IGNvbnN0YW50LiBHYXMtZGV0ZWN0aW5nIGFsYXJtIGRldmljZSBzaG91bGQgYmUgaW5zdGFsbGVkIGF0IHRoZSBkb3dud2luZCBwb3NpdGlvbiBhYm92ZSB0aGUgbGVha2luZyBob2xlLiBQZW9wbGUgc2hvdWxkIGdldCBhd2F5IGZyb20gdGhlIHJvb20gYmVmb3JlIGhpZ2ggY29uY2VudHJhdGlvbiBhcmVhIGZvcm1zLiBUaGUgY29uY2VudHJhdGlvbiBvZiBjYXJib24gZGlveGlkZSBkb3dud2luZCBkZWNyZWFzZWQgd2l0aCBpbmNyZW1lbnQgb2Ygd2luZCBzcGVlZCwgd2hpbGUgaW5jcmVhc2VkIHdpdGggaW5jcmVtZW50IG9mIHJlbGVhc2UgcmF0ZS4gVmVudHMgb3IgZm9yY2VkIGRyYWZ0IHNob3VsZCBiZSBzZXQgdG8gZGVjcmVhc2UgdGhlIGNvbmNlbnRyYXRpb24gb2YgY2FyYm9uIGRpb3hpZGUuIFdoZW4gdGhlcmUgd2FzIG9ic3RhY2xlIGJlaGluZCB0aGUgbGVha2luZyBzb3VyY2UsIGEgcmVnaW9uIG9mIGhpZ2ggY29uY2VudHJhdGlvbiBhcHBlYXJlZCBpbiB3aW5kd2FyZCBzaWRlIG9mIHRoZSBvYnN0YWNsZS4gV2hlbiBkZXNpZ25pbmcgdGhlIGxheW91dCBvZiBpbmR1c3RyaWFsIHdvcmtzaG9wLCBpdCBpcyBuZWNlc3NhcnkgdG8gbWluaW1pemUgdGhlIHF1YW50aXR5IG9mIGVxdWlwbWVudCBpbmRvb3Igb3IgcHV0IHRoZW0gbmVhciB0aGUgd2FsbCwgYXdheSBmcm9tIGxlYWthZ2Ugc291cmNlcy4gwqkgMjAxMyBQdWJsaXNoZWQgYnkgRWxzZXZpZXIgQi5WLiBBbGwgcmlnaHRzIHJlc2VydmVkLiIsInZvbHVtZSI6IjY2IiwiY29udGFpbmVyLXRpdGxlLXNob3J0IjoiRW5lcmd5IEJ1aWxkLiJ9LCJpc1RlbXBvcmFyeSI6ZmFsc2UsInN1cHByZXNzLWF1dGhvciI6ZmFsc2UsImNvbXBvc2l0ZSI6ZmFsc2UsImF1dGhvci1vbmx5IjpmYWxzZX1dfQ==&quot;,&quot;citationItems&quot;:[{&quot;id&quot;:&quot;d80b68c0-fd5d-3f06-8d6e-6258b6eeb82c&quot;,&quot;itemData&quot;:{&quot;type&quot;:&quot;article-journal&quot;,&quot;id&quot;:&quot;d80b68c0-fd5d-3f06-8d6e-6258b6eeb82c&quot;,&quot;title&quot;:&quot;Numerical investigation of leaking and dispersion of carbon dioxide indoor under ventilation condition&quot;,&quot;author&quot;:[{&quot;family&quot;:&quot;Wang&quot;,&quot;given&quot;:&quot;Zhirong&quot;,&quot;parse-names&quot;:false,&quot;dropping-particle&quot;:&quot;&quot;,&quot;non-dropping-particle&quot;:&quot;&quot;},{&quot;family&quot;:&quot;Hu&quot;,&quot;given&quot;:&quot;Yuanyuan&quot;,&quot;parse-names&quot;:false,&quot;dropping-particle&quot;:&quot;&quot;,&quot;non-dropping-particle&quot;:&quot;&quot;},{&quot;family&quot;:&quot;Jiang&quot;,&quot;given&quot;:&quot;Juncheng&quot;,&quot;parse-names&quot;:false,&quot;dropping-particle&quot;:&quot;&quot;,&quot;non-dropping-particle&quot;:&quot;&quot;}],&quot;container-title&quot;:&quot;Energy and Buildings&quot;,&quot;DOI&quot;:&quot;10.1016/j.enbuild.2013.06.031&quot;,&quot;ISSN&quot;:&quot;03787788&quot;,&quot;issued&quot;:{&quot;date-parts&quot;:[[2013]]},&quot;page&quot;:&quot;461-466&quot;,&quot;abstract&quot;:&quot;Numerical simulation of continuous release and dispersion process of carbon dioxide in a ventilated room was carried out by FLUENT with Computational Fluid Dynamic (CFD) method. The validation of the simulation method was made by comparison of simulation results with experimental data. The concentration distribution of carbon dioxide indoor was investigated. The effect of the release rate, wind speed and obstacle on gas dispersion was analyzed. Results showed that at the beginning carbon dioxide moved to the top of room by the action of jet flow. Under the condition of wind, the concentration of carbon dioxide increased along the leeward. Over a period of time, the concentration of carbon dioxide indoor kept constant. Gas-detecting alarm device should be installed at the downwind position above the leaking hole. People should get away from the room before high concentration area forms. The concentration of carbon dioxide downwind decreased with increment of wind speed, while increased with increment of release rate. Vents or forced draft should be set to decrease the concentration of carbon dioxide. When there was obstacle behind the leaking source, a region of high concentration appeared in windward side of the obstacle. When designing the layout of industrial workshop, it is necessary to minimize the quantity of equipment indoor or put them near the wall, away from leakage sources. © 2013 Published by Elsevier B.V. All rights reserved.&quot;,&quot;volume&quot;:&quot;66&quot;,&quot;container-title-short&quot;:&quot;Energy Build.&quot;},&quot;isTemporary&quot;:false,&quot;suppress-author&quot;:false,&quot;composite&quot;:false,&quot;author-only&quot;:false}]},{&quot;citationID&quot;:&quot;MENDELEY_CITATION_d9b6b4c5-3111-42b6-b816-5512d34c6eb8&quot;,&quot;properties&quot;:{&quot;noteIndex&quot;:0},&quot;isEdited&quot;:false,&quot;manualOverride&quot;:{&quot;isManuallyOverridden&quot;:false,&quot;citeprocText&quot;:&quot;(Ekoto et al. 2012)&quot;,&quot;manualOverrideText&quot;:&quot;&quot;},&quot;citationTag&quot;:&quot;MENDELEY_CITATION_v3_eyJjaXRhdGlvbklEIjoiTUVOREVMRVlfQ0lUQVRJT05fZDliNmI0YzUtMzExMS00MmI2LWI4MTYtNTUxMmQzNGM2ZWI4IiwicHJvcGVydGllcyI6eyJub3RlSW5kZXgiOjB9LCJpc0VkaXRlZCI6ZmFsc2UsIm1hbnVhbE92ZXJyaWRlIjp7ImlzTWFudWFsbHlPdmVycmlkZGVuIjpmYWxzZSwiY2l0ZXByb2NUZXh0IjoiKEVrb3RvIGV0IGFsLiAyMDEyKSIsIm1hbnVhbE92ZXJyaWRlVGV4dCI6IiJ9LCJjaXRhdGlvbkl0ZW1zIjpbeyJpZCI6ImM1OWMwNTZjLWUyYmQtMzIyNi1hZmMwLTk4MDQ5M2I2MDcxMSIsIml0ZW1EYXRhIjp7InR5cGUiOiJhcnRpY2xlLWpvdXJuYWwiLCJpZCI6ImM1OWMwNTZjLWUyYmQtMzIyNi1hZmMwLTk4MDQ5M2I2MDcxMSIsInRpdGxlIjoiRXhwZXJpbWVudGFsIGludmVzdGlnYXRpb24gb2YgaHlkcm9nZW4gcmVsZWFzZSBhbmQgaWduaXRpb24gZnJvbSBmdWVsIGNlbGwgcG93ZXJlZCBmb3JrbGlmdHMgaW4gZW5jbG9zZWQgc3BhY2VzIiwiYXV0aG9yIjpbeyJmYW1pbHkiOiJFa290byIsImdpdmVuIjoiSXNhYWMgVy4iLCJwYXJzZS1uYW1lcyI6ZmFsc2UsImRyb3BwaW5nLXBhcnRpY2xlIjoiIiwibm9uLWRyb3BwaW5nLXBhcnRpY2xlIjoiIn0seyJmYW1pbHkiOiJIb3VmIiwiZ2l2ZW4iOiJXaWxsaWFtIEcuIiwicGFyc2UtbmFtZXMiOmZhbHNlLCJkcm9wcGluZy1wYXJ0aWNsZSI6IiIsIm5vbi1kcm9wcGluZy1wYXJ0aWNsZSI6IiJ9LHsiZmFtaWx5IjoiRXZhbnMiLCJnaXZlbiI6IkdyZWcgSC4iLCJwYXJzZS1uYW1lcyI6ZmFsc2UsImRyb3BwaW5nLXBhcnRpY2xlIjoiIiwibm9uLWRyb3BwaW5nLXBhcnRpY2xlIjoiIn0seyJmYW1pbHkiOiJNZXJpbG8iLCJnaXZlbiI6IkVyaWsgRy4iLCJwYXJzZS1uYW1lcyI6ZmFsc2UsImRyb3BwaW5nLXBhcnRpY2xlIjoiIiwibm9uLWRyb3BwaW5nLXBhcnRpY2xlIjoiIn0seyJmYW1pbHkiOiJHcm9ldGhlIiwiZ2l2ZW4iOiJNYXJrIEEuIiwicGFyc2UtbmFtZXMiOmZhbHNlLCJkcm9wcGluZy1wYXJ0aWNsZSI6IiIsIm5vbi1kcm9wcGluZy1wYXJ0aWNsZSI6IiJ9XSwiY29udGFpbmVyLXRpdGxlIjoiSW50ZXJuYXRpb25hbCBKb3VybmFsIG9mIEh5ZHJvZ2VuIEVuZXJneSIsIkRPSSI6IjEwLjEwMTYvai5pamh5ZGVuZS4yMDEyLjAzLjE2MSIsIklTU04iOiIwMzYwMzE5OSIsImlzc3VlZCI6eyJkYXRlLXBhcnRzIjpbWzIwMTIsMTFdXX0sInBhZ2UiOiIxNzQ0Ni0xNzQ1NiIsImFic3RyYWN0IjoiRHVlIHRvIHJhcGlkIGdyb3d0aCBpbiB0aGUgdXNlIG9mIGh5ZHJvZ2VuIHBvd2VyZWQgZnVlbCBjZWxsIGZvcmtsaWZ0cyB3aXRoaW4gd2FyZWhvdXNlIGVuY2xvc3VyZXMsIFNhbmRpYSBOYXRpb25hbCBMYWJvcmF0b3JpZXMgaGFzIHdvcmtlZCB0byBkZXZlbG9wIHNjaWVudGlmaWMgbWV0aG9kcyB0aGF0IHN1cHBvcnQgdGhlIGNyZWF0aW9uIG9mIG5ldyBoeWRyb2dlbiBzYWZldHkgY29kZXMgYW5kIHN0YW5kYXJkcyBmb3IgaW5kb29yIHJlZnVlbGluZyBvcGVyYXRpb25zLiBCYXNlZCBvbiBpbmR1c3RyeSBzdGFrZWhvbGRlciBpbnB1dCwgY29uZHVjdGVkIGV4cGVyaW1lbnRzIHdlcmUgZGV2aXNlZCB0byBhc3Nlc3MgdGhlIHV0aWxpdHkgb2YgbW9kZWxpbmcgYXBwcm9hY2hlcyB1c2VkIHRvIGFuYWx5emUgcG90ZW50aWFsIGNvbnNlcXVlbmNlcyBmcm9tIGlnbml0ZWQgaHlkcm9nZW4gbGVha3MgaW4gZmFjaWxpdGllcyBjZXJ0aWZpZWQgYWNjb3JkaW5nIHRvIGV4aXN0aW5nIGNvZGUgbGFuZ3VhZ2UuIFJlbGVhc2UgZGlzcGVyc2lvbiBhbmQgY29tYnVzdGlvbiBjaGFyYWN0ZXJpc3RpY3Mgd2VyZSBtZWFzdXJlZCB3aXRoaW4gYSBzY2FsZWQgdGVzdCBmYWNpbGl0eSBsb2NhdGVkIGF0IFNSSSBJbnRlcm5hdGlvbmFsJ3MgQ29ycmFsIEhvbGxvdyBUZXN0IFNpdGUuIE1vcmVvdmVyLCB0aGUgaW1wYWN0IG9mIG1pdGlnYXRpb24gbWVhc3VyZXMgc3VjaCBhcyBhY3RpdmUvcGFzc2l2ZSB2ZW50aWxhdGlvbiBhbmQgcHJlc3N1cmUgcmVsaWVmIHBhbmVscyB3YXMgaW52ZXN0aWdhdGVkLiBTaW5jZSBpdCBpcyBpbXByYWN0aWNhbCB0byBleHBlcmltZW50YWxseSBldmFsdWF0ZSBhbGwgcG9zc2libGUgZmFjaWxpdHkgY29uZmlndXJhdGlvbnMgYW5kIGFjY2lkZW50IHNjZW5hcmlvcywgY2FyZWZ1bCBjaGFyYWN0ZXJpemF0aW9uIG9mIHRoZSBleHBlcmltZW50YWwgYm91bmRhcnkgY29uZGl0aW9ucyBoYXMgYmVlbiBwZXJmb3JtZWQgc28gdGhhdCBjb2xsZWN0ZWQgZGF0YXNldHMgY2FuIGJlIHVzZWQgdG8gdmFsaWRhdGUgY29tcHV0YXRpb25hbCBtb2RlbGluZyBhcHByb2FjaGVzLiBDb3B5cmlnaHQgwqkgMjAxMiwgSHlkcm9nZW4gRW5lcmd5IFB1YmxpY2F0aW9ucywgTExDLiBQdWJsaXNoZWQgYnkgRWxzZXZpZXIgTHRkLiBBbGwgcmlnaHRzLiIsImlzc3VlIjoiMjIiLCJ2b2x1bWUiOiIzNyIsImNvbnRhaW5lci10aXRsZS1zaG9ydCI6IkludC4gSi4gSHlkcm9nZW4gRW5lcmd5In0sImlzVGVtcG9yYXJ5IjpmYWxzZSwic3VwcHJlc3MtYXV0aG9yIjpmYWxzZSwiY29tcG9zaXRlIjpmYWxzZSwiYXV0aG9yLW9ubHkiOmZhbHNlfV19&quot;,&quot;citationItems&quot;:[{&quot;id&quot;:&quot;c59c056c-e2bd-3226-afc0-980493b60711&quot;,&quot;itemData&quot;:{&quot;type&quot;:&quot;article-journal&quot;,&quot;id&quot;:&quot;c59c056c-e2bd-3226-afc0-980493b60711&quot;,&quot;title&quot;:&quot;Experimental investigation of hydrogen release and ignition from fuel cell powered forklifts in enclosed spaces&quot;,&quot;author&quot;:[{&quot;family&quot;:&quot;Ekoto&quot;,&quot;given&quot;:&quot;Isaac W.&quot;,&quot;parse-names&quot;:false,&quot;dropping-particle&quot;:&quot;&quot;,&quot;non-dropping-particle&quot;:&quot;&quot;},{&quot;family&quot;:&quot;Houf&quot;,&quot;given&quot;:&quot;William G.&quot;,&quot;parse-names&quot;:false,&quot;dropping-particle&quot;:&quot;&quot;,&quot;non-dropping-particle&quot;:&quot;&quot;},{&quot;family&quot;:&quot;Evans&quot;,&quot;given&quot;:&quot;Greg H.&quot;,&quot;parse-names&quot;:false,&quot;dropping-particle&quot;:&quot;&quot;,&quot;non-dropping-particle&quot;:&quot;&quot;},{&quot;family&quot;:&quot;Merilo&quot;,&quot;given&quot;:&quot;Erik G.&quot;,&quot;parse-names&quot;:false,&quot;dropping-particle&quot;:&quot;&quot;,&quot;non-dropping-particle&quot;:&quot;&quot;},{&quot;family&quot;:&quot;Groethe&quot;,&quot;given&quot;:&quot;Mark A.&quot;,&quot;parse-names&quot;:false,&quot;dropping-particle&quot;:&quot;&quot;,&quot;non-dropping-particle&quot;:&quot;&quot;}],&quot;container-title&quot;:&quot;International Journal of Hydrogen Energy&quot;,&quot;DOI&quot;:&quot;10.1016/j.ijhydene.2012.03.161&quot;,&quot;ISSN&quot;:&quot;03603199&quot;,&quot;issued&quot;:{&quot;date-parts&quot;:[[2012,11]]},&quot;page&quot;:&quot;17446-17456&quot;,&quot;abstract&quot;:&quot;Due to rapid growth in the use of hydrogen powered fuel cell forklifts within warehouse enclosures, Sandia National Laboratories has worked to develop scientific methods that support the creation of new hydrogen safety codes and standards for indoor refueling operations. Based on industry stakeholder input, conducted experiments were devised to assess the utility of modeling approaches used to analyze potential consequences from ignited hydrogen leaks in facilities certified according to existing code language. Release dispersion and combustion characteristics were measured within a scaled test facility located at SRI International's Corral Hollow Test Site. Moreover, the impact of mitigation measures such as active/passive ventilation and pressure relief panels was investigated. Since it is impractical to experimentally evaluate all possible facility configurations and accident scenarios, careful characterization of the experimental boundary conditions has been performed so that collected datasets can be used to validate computational modeling approaches. Copyright © 2012, Hydrogen Energy Publications, LLC. Published by Elsevier Ltd. All rights.&quot;,&quot;issue&quot;:&quot;22&quot;,&quot;volume&quot;:&quot;37&quot;,&quot;container-title-short&quot;:&quot;Int. J. Hydrogen Energy&quot;},&quot;isTemporary&quot;:false,&quot;suppress-author&quot;:false,&quot;composite&quot;:false,&quot;author-only&quot;:false}]}]"/>
    <we:property name="MENDELEY_CITATIONS_STYLE" value="{&quot;id&quot;:&quot;https://www.zotero.org/styles/american-sociological-association&quot;,&quot;title&quot;:&quot;ASA Style Guide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88FBEF11605C4EBC013B4B76FAAA72" ma:contentTypeVersion="19" ma:contentTypeDescription="Create a new document." ma:contentTypeScope="" ma:versionID="9794d6de51d71549864f27ea5622ec53">
  <xsd:schema xmlns:xsd="http://www.w3.org/2001/XMLSchema" xmlns:xs="http://www.w3.org/2001/XMLSchema" xmlns:p="http://schemas.microsoft.com/office/2006/metadata/properties" xmlns:ns2="38e15b4c-3ca3-4c31-9819-8c416a6629e1" xmlns:ns3="97184913-76f1-408b-b3bc-f7cdbfb22ba5" targetNamespace="http://schemas.microsoft.com/office/2006/metadata/properties" ma:root="true" ma:fieldsID="477cd9c5e1ef30562e6b5061b99bb0f4" ns2:_="" ns3:_="">
    <xsd:import namespace="38e15b4c-3ca3-4c31-9819-8c416a6629e1"/>
    <xsd:import namespace="97184913-76f1-408b-b3bc-f7cdbfb22b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15b4c-3ca3-4c31-9819-8c416a662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5273069-5cd4-41d7-b942-316e17ecbf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84913-76f1-408b-b3bc-f7cdbfb22ba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fa3e50e-780c-4eba-8cd2-da15c7ef1af7}" ma:internalName="TaxCatchAll" ma:showField="CatchAllData" ma:web="97184913-76f1-408b-b3bc-f7cdbfb22ba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7184913-76f1-408b-b3bc-f7cdbfb22ba5" xsi:nil="true"/>
    <lcf76f155ced4ddcb4097134ff3c332f xmlns="38e15b4c-3ca3-4c31-9819-8c416a6629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2554C4-D80D-4DCC-AB6D-B82DF71B5C3D}">
  <ds:schemaRefs>
    <ds:schemaRef ds:uri="http://schemas.microsoft.com/sharepoint/v3/contenttype/forms"/>
  </ds:schemaRefs>
</ds:datastoreItem>
</file>

<file path=customXml/itemProps2.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customXml/itemProps3.xml><?xml version="1.0" encoding="utf-8"?>
<ds:datastoreItem xmlns:ds="http://schemas.openxmlformats.org/officeDocument/2006/customXml" ds:itemID="{C6741C39-FE7D-4E94-B3DD-9FA78F456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15b4c-3ca3-4c31-9819-8c416a6629e1"/>
    <ds:schemaRef ds:uri="97184913-76f1-408b-b3bc-f7cdbfb22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C95309-F2DC-4875-8F88-0A0614A38E61}">
  <ds:schemaRefs>
    <ds:schemaRef ds:uri="http://schemas.microsoft.com/office/2006/metadata/properties"/>
    <ds:schemaRef ds:uri="http://schemas.microsoft.com/office/infopath/2007/PartnerControls"/>
    <ds:schemaRef ds:uri="97184913-76f1-408b-b3bc-f7cdbfb22ba5"/>
    <ds:schemaRef ds:uri="38e15b4c-3ca3-4c31-9819-8c416a6629e1"/>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2479</Words>
  <Characters>14830</Characters>
  <Application>Microsoft Office Word</Application>
  <DocSecurity>0</DocSecurity>
  <Lines>296</Lines>
  <Paragraphs>176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cp:lastModifiedBy>Paul Brasser</cp:lastModifiedBy>
  <cp:revision>70</cp:revision>
  <cp:lastPrinted>2015-05-12T09:31:00Z</cp:lastPrinted>
  <dcterms:created xsi:type="dcterms:W3CDTF">2026-04-09T00:01:00Z</dcterms:created>
  <dcterms:modified xsi:type="dcterms:W3CDTF">2026-04-13T12:44:00Z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ContentTypeId">
    <vt:lpwstr>0x010100DF88FBEF11605C4EBC013B4B76FAAA72</vt:lpwstr>
  </property>
  <property fmtid="{D5CDD505-2E9C-101B-9397-08002B2CF9AE}" pid="5" name="docLang">
    <vt:lpwstr>en</vt:lpwstr>
  </property>
  <property fmtid="{D5CDD505-2E9C-101B-9397-08002B2CF9AE}" pid="6" name="MediaServiceImageTags">
    <vt:lpwstr/>
  </property>
</Properties>
</file>