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430DE2" w:rsidRPr="00961F9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961F96" w:rsidRDefault="000A03B2" w:rsidP="00DE264A">
            <w:pPr>
              <w:tabs>
                <w:tab w:val="left" w:pos="-108"/>
              </w:tabs>
              <w:ind w:left="-108"/>
              <w:jc w:val="left"/>
              <w:rPr>
                <w:rFonts w:cs="Arial"/>
                <w:b/>
                <w:bCs/>
                <w:i/>
                <w:iCs/>
                <w:color w:val="000066"/>
                <w:sz w:val="12"/>
                <w:szCs w:val="12"/>
                <w:lang w:eastAsia="it-IT"/>
              </w:rPr>
            </w:pPr>
            <w:bookmarkStart w:id="0" w:name="_Hlk145068772"/>
            <w:r w:rsidRPr="00961F9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961F96">
              <w:rPr>
                <w:rFonts w:ascii="AdvP6960" w:hAnsi="AdvP6960" w:cs="AdvP6960"/>
                <w:color w:val="241F20"/>
                <w:szCs w:val="18"/>
                <w:lang w:eastAsia="it-IT"/>
              </w:rPr>
              <w:t xml:space="preserve"> </w:t>
            </w:r>
            <w:r w:rsidRPr="00961F96">
              <w:rPr>
                <w:rFonts w:cs="Arial"/>
                <w:b/>
                <w:bCs/>
                <w:i/>
                <w:iCs/>
                <w:color w:val="000066"/>
                <w:sz w:val="24"/>
                <w:szCs w:val="24"/>
                <w:lang w:eastAsia="it-IT"/>
              </w:rPr>
              <w:t>CHEMICAL ENGINEERING</w:t>
            </w:r>
            <w:r w:rsidRPr="00961F96">
              <w:rPr>
                <w:rFonts w:cs="Arial"/>
                <w:b/>
                <w:bCs/>
                <w:i/>
                <w:iCs/>
                <w:color w:val="0033FF"/>
                <w:sz w:val="24"/>
                <w:szCs w:val="24"/>
                <w:lang w:eastAsia="it-IT"/>
              </w:rPr>
              <w:t xml:space="preserve"> </w:t>
            </w:r>
            <w:r w:rsidRPr="00961F96">
              <w:rPr>
                <w:rFonts w:cs="Arial"/>
                <w:b/>
                <w:bCs/>
                <w:i/>
                <w:iCs/>
                <w:color w:val="666666"/>
                <w:sz w:val="24"/>
                <w:szCs w:val="24"/>
                <w:lang w:eastAsia="it-IT"/>
              </w:rPr>
              <w:t>TRANSACTIONS</w:t>
            </w:r>
            <w:r w:rsidRPr="00961F96">
              <w:rPr>
                <w:color w:val="333333"/>
                <w:sz w:val="24"/>
                <w:szCs w:val="24"/>
                <w:lang w:eastAsia="it-IT"/>
              </w:rPr>
              <w:t xml:space="preserve"> </w:t>
            </w:r>
            <w:r w:rsidRPr="00961F96">
              <w:rPr>
                <w:rFonts w:cs="Arial"/>
                <w:b/>
                <w:bCs/>
                <w:i/>
                <w:iCs/>
                <w:color w:val="000066"/>
                <w:sz w:val="27"/>
                <w:szCs w:val="27"/>
                <w:lang w:eastAsia="it-IT"/>
              </w:rPr>
              <w:br/>
            </w:r>
          </w:p>
          <w:p w14:paraId="4B780582" w14:textId="753620B8" w:rsidR="000A03B2" w:rsidRPr="00961F96" w:rsidRDefault="00A76EFC" w:rsidP="001D21AF">
            <w:pPr>
              <w:tabs>
                <w:tab w:val="left" w:pos="-108"/>
              </w:tabs>
              <w:ind w:left="-108"/>
              <w:rPr>
                <w:rFonts w:cs="Arial"/>
                <w:b/>
                <w:bCs/>
                <w:i/>
                <w:iCs/>
                <w:color w:val="000066"/>
                <w:sz w:val="22"/>
                <w:szCs w:val="22"/>
                <w:lang w:eastAsia="it-IT"/>
              </w:rPr>
            </w:pPr>
            <w:r w:rsidRPr="00961F96">
              <w:rPr>
                <w:rFonts w:cs="Arial"/>
                <w:b/>
                <w:bCs/>
                <w:i/>
                <w:iCs/>
                <w:color w:val="000066"/>
                <w:sz w:val="22"/>
                <w:szCs w:val="22"/>
                <w:lang w:eastAsia="it-IT"/>
              </w:rPr>
              <w:t>VOL.</w:t>
            </w:r>
            <w:r w:rsidR="00785BF9" w:rsidRPr="00961F96">
              <w:rPr>
                <w:rFonts w:cs="Arial"/>
                <w:b/>
                <w:bCs/>
                <w:i/>
                <w:iCs/>
                <w:color w:val="000066"/>
                <w:sz w:val="22"/>
                <w:szCs w:val="22"/>
                <w:lang w:eastAsia="it-IT"/>
              </w:rPr>
              <w:t xml:space="preserve"> </w:t>
            </w:r>
            <w:r w:rsidR="00AD0278" w:rsidRPr="00961F96">
              <w:rPr>
                <w:rFonts w:cs="Arial"/>
                <w:b/>
                <w:bCs/>
                <w:i/>
                <w:iCs/>
                <w:color w:val="000066"/>
                <w:sz w:val="22"/>
                <w:szCs w:val="22"/>
                <w:lang w:eastAsia="it-IT"/>
              </w:rPr>
              <w:t>xxx</w:t>
            </w:r>
            <w:r w:rsidR="007B48F9" w:rsidRPr="00961F96">
              <w:rPr>
                <w:rFonts w:cs="Arial"/>
                <w:b/>
                <w:bCs/>
                <w:i/>
                <w:iCs/>
                <w:color w:val="000066"/>
                <w:sz w:val="22"/>
                <w:szCs w:val="22"/>
                <w:lang w:eastAsia="it-IT"/>
              </w:rPr>
              <w:t>,</w:t>
            </w:r>
            <w:r w:rsidR="00FA5F5F" w:rsidRPr="00961F96">
              <w:rPr>
                <w:rFonts w:cs="Arial"/>
                <w:b/>
                <w:bCs/>
                <w:i/>
                <w:iCs/>
                <w:color w:val="000066"/>
                <w:sz w:val="22"/>
                <w:szCs w:val="22"/>
                <w:lang w:eastAsia="it-IT"/>
              </w:rPr>
              <w:t xml:space="preserve"> </w:t>
            </w:r>
            <w:r w:rsidR="0030152C" w:rsidRPr="00961F96">
              <w:rPr>
                <w:rFonts w:cs="Arial"/>
                <w:b/>
                <w:bCs/>
                <w:i/>
                <w:iCs/>
                <w:color w:val="000066"/>
                <w:sz w:val="22"/>
                <w:szCs w:val="22"/>
                <w:lang w:eastAsia="it-IT"/>
              </w:rPr>
              <w:t>202</w:t>
            </w:r>
            <w:r w:rsidR="00AD0278" w:rsidRPr="00961F96">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961F96" w:rsidRDefault="000A03B2" w:rsidP="00CD5FE2">
            <w:pPr>
              <w:spacing w:line="140" w:lineRule="atLeast"/>
              <w:jc w:val="right"/>
              <w:rPr>
                <w:rFonts w:cs="Arial"/>
                <w:sz w:val="14"/>
                <w:szCs w:val="14"/>
              </w:rPr>
            </w:pPr>
            <w:r w:rsidRPr="00961F96">
              <w:rPr>
                <w:rFonts w:cs="Arial"/>
                <w:sz w:val="14"/>
                <w:szCs w:val="14"/>
              </w:rPr>
              <w:t>A publication of</w:t>
            </w:r>
          </w:p>
          <w:p w14:paraId="599E5441" w14:textId="77777777" w:rsidR="000A03B2" w:rsidRPr="00961F96" w:rsidRDefault="000A03B2" w:rsidP="00CD5FE2">
            <w:pPr>
              <w:jc w:val="right"/>
            </w:pPr>
            <w:r w:rsidRPr="00961F9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430DE2" w:rsidRPr="00961F96" w14:paraId="380FA3CD" w14:textId="77777777" w:rsidTr="00DE264A">
        <w:trPr>
          <w:trHeight w:val="567"/>
          <w:jc w:val="center"/>
        </w:trPr>
        <w:tc>
          <w:tcPr>
            <w:tcW w:w="6946" w:type="dxa"/>
            <w:vMerge/>
            <w:tcBorders>
              <w:right w:val="single" w:sz="4" w:space="0" w:color="auto"/>
            </w:tcBorders>
          </w:tcPr>
          <w:p w14:paraId="39E5E4C1" w14:textId="77777777" w:rsidR="000A03B2" w:rsidRPr="00961F9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961F96" w:rsidRDefault="000A03B2" w:rsidP="00CD5FE2">
            <w:pPr>
              <w:spacing w:line="140" w:lineRule="atLeast"/>
              <w:jc w:val="right"/>
              <w:rPr>
                <w:rFonts w:cs="Arial"/>
                <w:sz w:val="14"/>
                <w:szCs w:val="14"/>
              </w:rPr>
            </w:pPr>
            <w:r w:rsidRPr="00961F96">
              <w:rPr>
                <w:rFonts w:cs="Arial"/>
                <w:sz w:val="14"/>
                <w:szCs w:val="14"/>
              </w:rPr>
              <w:t>The Italian Association</w:t>
            </w:r>
          </w:p>
          <w:p w14:paraId="7522B1D2" w14:textId="77777777" w:rsidR="000A03B2" w:rsidRPr="00961F96" w:rsidRDefault="000A03B2" w:rsidP="00CD5FE2">
            <w:pPr>
              <w:spacing w:line="140" w:lineRule="atLeast"/>
              <w:jc w:val="right"/>
              <w:rPr>
                <w:rFonts w:cs="Arial"/>
                <w:sz w:val="14"/>
                <w:szCs w:val="14"/>
              </w:rPr>
            </w:pPr>
            <w:r w:rsidRPr="00961F96">
              <w:rPr>
                <w:rFonts w:cs="Arial"/>
                <w:sz w:val="14"/>
                <w:szCs w:val="14"/>
              </w:rPr>
              <w:t>of Chemical Engineering</w:t>
            </w:r>
          </w:p>
          <w:p w14:paraId="4F0CC5DE" w14:textId="47FDB2FC" w:rsidR="000A03B2" w:rsidRPr="00961F96" w:rsidRDefault="000D0268" w:rsidP="00CD5FE2">
            <w:pPr>
              <w:spacing w:line="140" w:lineRule="atLeast"/>
              <w:jc w:val="right"/>
              <w:rPr>
                <w:rFonts w:cs="Arial"/>
                <w:sz w:val="13"/>
                <w:szCs w:val="13"/>
              </w:rPr>
            </w:pPr>
            <w:r w:rsidRPr="00961F96">
              <w:rPr>
                <w:rFonts w:cs="Arial"/>
                <w:sz w:val="13"/>
                <w:szCs w:val="13"/>
              </w:rPr>
              <w:t>Online at www.cetjournal.it</w:t>
            </w:r>
          </w:p>
        </w:tc>
      </w:tr>
      <w:tr w:rsidR="00BA1787" w:rsidRPr="00961F96" w14:paraId="2D1B7169" w14:textId="77777777" w:rsidTr="00DE264A">
        <w:trPr>
          <w:trHeight w:val="68"/>
          <w:jc w:val="center"/>
        </w:trPr>
        <w:tc>
          <w:tcPr>
            <w:tcW w:w="8789" w:type="dxa"/>
            <w:gridSpan w:val="2"/>
          </w:tcPr>
          <w:p w14:paraId="1D8DD3C9" w14:textId="775EC904" w:rsidR="00AA7D26" w:rsidRPr="00961F96" w:rsidRDefault="004A5E57" w:rsidP="007A6DF8">
            <w:pPr>
              <w:ind w:left="-107"/>
              <w:outlineLvl w:val="2"/>
              <w:rPr>
                <w:rFonts w:ascii="Tahoma" w:hAnsi="Tahoma" w:cs="Tahoma"/>
                <w:color w:val="000000"/>
                <w:sz w:val="14"/>
                <w:szCs w:val="14"/>
                <w:shd w:val="clear" w:color="auto" w:fill="FFFFFF"/>
                <w:lang w:val="it-IT"/>
              </w:rPr>
            </w:pPr>
            <w:r w:rsidRPr="00961F96">
              <w:rPr>
                <w:rFonts w:ascii="Tahoma" w:hAnsi="Tahoma" w:cs="Tahoma"/>
                <w:iCs/>
                <w:color w:val="333333"/>
                <w:sz w:val="14"/>
                <w:szCs w:val="14"/>
                <w:lang w:val="it-IT" w:eastAsia="it-IT"/>
              </w:rPr>
              <w:t>Guest Editors:</w:t>
            </w:r>
            <w:r w:rsidRPr="00961F96">
              <w:rPr>
                <w:rFonts w:ascii="Tahoma" w:hAnsi="Tahoma" w:cs="Tahoma"/>
                <w:color w:val="000000"/>
                <w:sz w:val="14"/>
                <w:szCs w:val="14"/>
                <w:shd w:val="clear" w:color="auto" w:fill="FFFFFF"/>
                <w:lang w:val="it-IT"/>
              </w:rPr>
              <w:t xml:space="preserve"> </w:t>
            </w:r>
            <w:r w:rsidR="007A6DF8" w:rsidRPr="00961F96">
              <w:rPr>
                <w:rFonts w:ascii="Tahoma" w:hAnsi="Tahoma" w:cs="Tahoma"/>
                <w:color w:val="000000"/>
                <w:sz w:val="14"/>
                <w:szCs w:val="14"/>
                <w:shd w:val="clear" w:color="auto" w:fill="FFFFFF"/>
                <w:lang w:val="it-IT"/>
              </w:rPr>
              <w:t>Valerio Cozzani, Bruno Fabiano, Genserik Reniers</w:t>
            </w:r>
          </w:p>
          <w:p w14:paraId="1B0F1814" w14:textId="710B7B96" w:rsidR="000A03B2" w:rsidRPr="00961F96" w:rsidRDefault="00AA7D26" w:rsidP="00AA7D26">
            <w:pPr>
              <w:tabs>
                <w:tab w:val="left" w:pos="-108"/>
              </w:tabs>
              <w:spacing w:line="140" w:lineRule="atLeast"/>
              <w:ind w:left="-107"/>
              <w:jc w:val="left"/>
            </w:pPr>
            <w:r w:rsidRPr="00961F96">
              <w:rPr>
                <w:rFonts w:ascii="Tahoma" w:hAnsi="Tahoma" w:cs="Tahoma"/>
                <w:iCs/>
                <w:color w:val="333333"/>
                <w:sz w:val="14"/>
                <w:szCs w:val="14"/>
                <w:lang w:eastAsia="it-IT"/>
              </w:rPr>
              <w:t>Copyright © 202</w:t>
            </w:r>
            <w:r w:rsidR="00005884" w:rsidRPr="00961F96">
              <w:rPr>
                <w:rFonts w:ascii="Tahoma" w:hAnsi="Tahoma" w:cs="Tahoma"/>
                <w:iCs/>
                <w:color w:val="333333"/>
                <w:sz w:val="14"/>
                <w:szCs w:val="14"/>
                <w:lang w:eastAsia="it-IT"/>
              </w:rPr>
              <w:t>6</w:t>
            </w:r>
            <w:r w:rsidRPr="00961F96">
              <w:rPr>
                <w:rFonts w:ascii="Tahoma" w:hAnsi="Tahoma" w:cs="Tahoma"/>
                <w:iCs/>
                <w:color w:val="333333"/>
                <w:sz w:val="14"/>
                <w:szCs w:val="14"/>
                <w:lang w:eastAsia="it-IT"/>
              </w:rPr>
              <w:t xml:space="preserve">, AIDIC Servizi </w:t>
            </w:r>
            <w:proofErr w:type="spellStart"/>
            <w:r w:rsidRPr="00961F96">
              <w:rPr>
                <w:rFonts w:ascii="Tahoma" w:hAnsi="Tahoma" w:cs="Tahoma"/>
                <w:iCs/>
                <w:color w:val="333333"/>
                <w:sz w:val="14"/>
                <w:szCs w:val="14"/>
                <w:lang w:eastAsia="it-IT"/>
              </w:rPr>
              <w:t>S.r.l</w:t>
            </w:r>
            <w:proofErr w:type="spellEnd"/>
            <w:r w:rsidRPr="00961F96">
              <w:rPr>
                <w:rFonts w:ascii="Tahoma" w:hAnsi="Tahoma" w:cs="Tahoma"/>
                <w:iCs/>
                <w:color w:val="333333"/>
                <w:sz w:val="14"/>
                <w:szCs w:val="14"/>
                <w:lang w:eastAsia="it-IT"/>
              </w:rPr>
              <w:t>.</w:t>
            </w:r>
            <w:r w:rsidRPr="00961F96">
              <w:rPr>
                <w:rFonts w:ascii="Tahoma" w:hAnsi="Tahoma" w:cs="Tahoma"/>
                <w:iCs/>
                <w:color w:val="333333"/>
                <w:sz w:val="14"/>
                <w:szCs w:val="14"/>
                <w:lang w:eastAsia="it-IT"/>
              </w:rPr>
              <w:br/>
            </w:r>
            <w:r w:rsidRPr="00961F96">
              <w:rPr>
                <w:rFonts w:ascii="Tahoma" w:hAnsi="Tahoma" w:cs="Tahoma"/>
                <w:b/>
                <w:iCs/>
                <w:color w:val="000000"/>
                <w:sz w:val="14"/>
                <w:szCs w:val="14"/>
                <w:lang w:eastAsia="it-IT"/>
              </w:rPr>
              <w:t>ISBN</w:t>
            </w:r>
            <w:r w:rsidRPr="00961F96">
              <w:rPr>
                <w:rFonts w:ascii="Tahoma" w:hAnsi="Tahoma" w:cs="Tahoma"/>
                <w:iCs/>
                <w:color w:val="000000"/>
                <w:sz w:val="14"/>
                <w:szCs w:val="14"/>
                <w:lang w:eastAsia="it-IT"/>
              </w:rPr>
              <w:t xml:space="preserve"> </w:t>
            </w:r>
            <w:r w:rsidR="00D2582C" w:rsidRPr="00961F96">
              <w:rPr>
                <w:rFonts w:ascii="Tahoma" w:hAnsi="Tahoma" w:cs="Tahoma"/>
                <w:sz w:val="14"/>
                <w:szCs w:val="14"/>
              </w:rPr>
              <w:t>979-12-81206-</w:t>
            </w:r>
            <w:r w:rsidR="00005884" w:rsidRPr="00961F96">
              <w:rPr>
                <w:rFonts w:ascii="Tahoma" w:hAnsi="Tahoma" w:cs="Tahoma"/>
                <w:sz w:val="14"/>
                <w:szCs w:val="14"/>
              </w:rPr>
              <w:t>xx</w:t>
            </w:r>
            <w:r w:rsidR="009041F8" w:rsidRPr="00961F96">
              <w:rPr>
                <w:rFonts w:ascii="Tahoma" w:hAnsi="Tahoma" w:cs="Tahoma"/>
                <w:sz w:val="14"/>
                <w:szCs w:val="14"/>
              </w:rPr>
              <w:t>-</w:t>
            </w:r>
            <w:r w:rsidR="00005884" w:rsidRPr="00961F96">
              <w:rPr>
                <w:rFonts w:ascii="Tahoma" w:hAnsi="Tahoma" w:cs="Tahoma"/>
                <w:sz w:val="14"/>
                <w:szCs w:val="14"/>
              </w:rPr>
              <w:t>x</w:t>
            </w:r>
            <w:r w:rsidRPr="00961F96">
              <w:rPr>
                <w:rFonts w:ascii="Tahoma" w:hAnsi="Tahoma" w:cs="Tahoma"/>
                <w:iCs/>
                <w:color w:val="333333"/>
                <w:sz w:val="14"/>
                <w:szCs w:val="14"/>
                <w:lang w:eastAsia="it-IT"/>
              </w:rPr>
              <w:t xml:space="preserve">; </w:t>
            </w:r>
            <w:r w:rsidRPr="00961F96">
              <w:rPr>
                <w:rFonts w:ascii="Tahoma" w:hAnsi="Tahoma" w:cs="Tahoma"/>
                <w:b/>
                <w:iCs/>
                <w:color w:val="333333"/>
                <w:sz w:val="14"/>
                <w:szCs w:val="14"/>
                <w:lang w:eastAsia="it-IT"/>
              </w:rPr>
              <w:t>ISSN</w:t>
            </w:r>
            <w:r w:rsidRPr="00961F96">
              <w:rPr>
                <w:rFonts w:ascii="Tahoma" w:hAnsi="Tahoma" w:cs="Tahoma"/>
                <w:iCs/>
                <w:color w:val="333333"/>
                <w:sz w:val="14"/>
                <w:szCs w:val="14"/>
                <w:lang w:eastAsia="it-IT"/>
              </w:rPr>
              <w:t xml:space="preserve"> 2283-9216</w:t>
            </w:r>
          </w:p>
        </w:tc>
      </w:tr>
    </w:tbl>
    <w:bookmarkEnd w:id="0"/>
    <w:p w14:paraId="2E667253" w14:textId="5B608E73" w:rsidR="00E978D0" w:rsidRPr="00961F96" w:rsidRDefault="00E80587" w:rsidP="00E978D0">
      <w:pPr>
        <w:pStyle w:val="CETTitle"/>
      </w:pPr>
      <w:r w:rsidRPr="00961F96">
        <w:t>Major Hazard Accident Regulation in Italy: Perspectives on Its Application Within an Evolving Industrial Landscape</w:t>
      </w:r>
    </w:p>
    <w:p w14:paraId="0488FED2" w14:textId="57C5B7DC" w:rsidR="00B57E6F" w:rsidRPr="00961F96" w:rsidRDefault="00212CA0" w:rsidP="00B57E6F">
      <w:pPr>
        <w:pStyle w:val="CETAuthors"/>
        <w:rPr>
          <w:lang w:val="it-IT"/>
        </w:rPr>
      </w:pPr>
      <w:r w:rsidRPr="00961F96">
        <w:rPr>
          <w:lang w:val="it-IT"/>
        </w:rPr>
        <w:t>Giulia Marroni</w:t>
      </w:r>
      <w:r w:rsidRPr="00961F96">
        <w:rPr>
          <w:vertAlign w:val="superscript"/>
          <w:lang w:val="it-IT"/>
        </w:rPr>
        <w:t>a,*</w:t>
      </w:r>
      <w:r w:rsidRPr="00961F96">
        <w:rPr>
          <w:lang w:val="it-IT"/>
        </w:rPr>
        <w:t>, Claudio Ceccherini</w:t>
      </w:r>
      <w:r w:rsidRPr="00961F96">
        <w:rPr>
          <w:vertAlign w:val="superscript"/>
          <w:lang w:val="it-IT"/>
        </w:rPr>
        <w:t>a</w:t>
      </w:r>
      <w:r w:rsidRPr="00961F96">
        <w:rPr>
          <w:lang w:val="it-IT"/>
        </w:rPr>
        <w:t>, Gabriele Landucci</w:t>
      </w:r>
      <w:r w:rsidRPr="00961F96">
        <w:rPr>
          <w:vertAlign w:val="superscript"/>
          <w:lang w:val="it-IT"/>
        </w:rPr>
        <w:t>b</w:t>
      </w:r>
      <w:r w:rsidRPr="00961F96">
        <w:rPr>
          <w:lang w:val="it-IT"/>
        </w:rPr>
        <w:t>, Marco Pontiggia</w:t>
      </w:r>
      <w:r w:rsidRPr="00961F96">
        <w:rPr>
          <w:vertAlign w:val="superscript"/>
          <w:lang w:val="it-IT"/>
        </w:rPr>
        <w:t>a</w:t>
      </w:r>
    </w:p>
    <w:p w14:paraId="6B2D21B3" w14:textId="16EB28F5" w:rsidR="00B57E6F" w:rsidRPr="00961F96" w:rsidRDefault="00B57E6F" w:rsidP="00B57E6F">
      <w:pPr>
        <w:pStyle w:val="CETAddress"/>
        <w:rPr>
          <w:lang w:val="it-IT"/>
        </w:rPr>
      </w:pPr>
      <w:r w:rsidRPr="00961F96">
        <w:rPr>
          <w:vertAlign w:val="superscript"/>
          <w:lang w:val="it-IT"/>
        </w:rPr>
        <w:t>a</w:t>
      </w:r>
      <w:r w:rsidR="008067C7" w:rsidRPr="00961F96">
        <w:rPr>
          <w:lang w:val="it-IT"/>
        </w:rPr>
        <w:t>RINA Consulting S.p.A., Via Antonio Cecchi 6,16129 Genova, Italy</w:t>
      </w:r>
      <w:r w:rsidRPr="00961F96">
        <w:rPr>
          <w:lang w:val="it-IT"/>
        </w:rPr>
        <w:t xml:space="preserve"> </w:t>
      </w:r>
    </w:p>
    <w:p w14:paraId="3D72B0B0" w14:textId="5BEC8CAE" w:rsidR="00B57E6F" w:rsidRPr="00961F96" w:rsidRDefault="00B57E6F" w:rsidP="004D4E4C">
      <w:pPr>
        <w:pStyle w:val="CETAddress"/>
      </w:pPr>
      <w:r w:rsidRPr="00961F96">
        <w:rPr>
          <w:vertAlign w:val="superscript"/>
        </w:rPr>
        <w:t>b</w:t>
      </w:r>
      <w:r w:rsidR="004D4E4C" w:rsidRPr="00961F96">
        <w:t>Department of Civil and Industrial Engineering – University of Pisa, Largo Lucio Lazzarino 2, 56126 Pisa, Italy</w:t>
      </w:r>
      <w:r w:rsidRPr="00961F96">
        <w:t xml:space="preserve"> </w:t>
      </w:r>
    </w:p>
    <w:p w14:paraId="73F1267A" w14:textId="45E27DB0" w:rsidR="00B57E6F" w:rsidRPr="00961F96" w:rsidRDefault="00B57E6F" w:rsidP="00B57E6F">
      <w:pPr>
        <w:pStyle w:val="CETemail"/>
      </w:pPr>
      <w:r w:rsidRPr="00961F96">
        <w:t xml:space="preserve"> </w:t>
      </w:r>
      <w:r w:rsidR="004D4E4C" w:rsidRPr="00961F96">
        <w:t>*giulia.marroni@rina.org</w:t>
      </w:r>
    </w:p>
    <w:p w14:paraId="37A61FCE" w14:textId="71C36991" w:rsidR="00DA24C6" w:rsidRPr="00961F96" w:rsidRDefault="00DE0BFF" w:rsidP="00A4747F">
      <w:pPr>
        <w:pStyle w:val="CETBodytext"/>
      </w:pPr>
      <w:r w:rsidRPr="00961F96">
        <w:rPr>
          <w:lang w:val="en-GB"/>
        </w:rPr>
        <w:t>The Seveso Directive</w:t>
      </w:r>
      <w:r w:rsidR="006642AF" w:rsidRPr="00961F96">
        <w:rPr>
          <w:lang w:val="en-GB"/>
        </w:rPr>
        <w:t xml:space="preserve"> of 19</w:t>
      </w:r>
      <w:r w:rsidR="009B2A14">
        <w:rPr>
          <w:lang w:val="en-GB"/>
        </w:rPr>
        <w:t>8</w:t>
      </w:r>
      <w:r w:rsidR="006642AF" w:rsidRPr="00961F96">
        <w:rPr>
          <w:lang w:val="en-GB"/>
        </w:rPr>
        <w:t>2 was the first attempt</w:t>
      </w:r>
      <w:r w:rsidR="002D3CD8">
        <w:rPr>
          <w:lang w:val="en-GB"/>
        </w:rPr>
        <w:t xml:space="preserve"> in the EU</w:t>
      </w:r>
      <w:r w:rsidR="006642AF" w:rsidRPr="00961F96">
        <w:rPr>
          <w:lang w:val="en-GB"/>
        </w:rPr>
        <w:t xml:space="preserve"> at addressing industrial accidents involving dangerous substances.</w:t>
      </w:r>
      <w:r w:rsidR="00914386" w:rsidRPr="00961F96">
        <w:rPr>
          <w:lang w:val="en-GB"/>
        </w:rPr>
        <w:t xml:space="preserve"> Over successive revisions, the Directive has expanded its scope and strengthened requirements on </w:t>
      </w:r>
      <w:r w:rsidR="005B508B" w:rsidRPr="00961F96">
        <w:rPr>
          <w:lang w:val="en-GB"/>
        </w:rPr>
        <w:t xml:space="preserve">major accidents </w:t>
      </w:r>
      <w:r w:rsidR="00914386" w:rsidRPr="00961F96">
        <w:rPr>
          <w:lang w:val="en-GB"/>
        </w:rPr>
        <w:t>prevention, land</w:t>
      </w:r>
      <w:r w:rsidR="005B508B" w:rsidRPr="00961F96">
        <w:rPr>
          <w:lang w:val="en-GB"/>
        </w:rPr>
        <w:t xml:space="preserve"> </w:t>
      </w:r>
      <w:r w:rsidR="00914386" w:rsidRPr="00961F96">
        <w:rPr>
          <w:lang w:val="en-GB"/>
        </w:rPr>
        <w:t xml:space="preserve">use planning, and </w:t>
      </w:r>
      <w:r w:rsidR="005B508B" w:rsidRPr="00961F96">
        <w:rPr>
          <w:lang w:val="en-GB"/>
        </w:rPr>
        <w:t xml:space="preserve">risk </w:t>
      </w:r>
      <w:r w:rsidR="00914386" w:rsidRPr="00961F96">
        <w:rPr>
          <w:lang w:val="en-GB"/>
        </w:rPr>
        <w:t>communication. In Italy, these provisions are</w:t>
      </w:r>
      <w:r w:rsidR="004676A8" w:rsidRPr="00961F96">
        <w:rPr>
          <w:lang w:val="en-GB"/>
        </w:rPr>
        <w:t xml:space="preserve"> currently</w:t>
      </w:r>
      <w:r w:rsidR="00914386" w:rsidRPr="00961F96">
        <w:rPr>
          <w:lang w:val="en-GB"/>
        </w:rPr>
        <w:t xml:space="preserve"> implemented through Legislative Decree 105/2015 and operate in close interaction with other regulatory domains, including fire prevention. At the same time, the energy transition is transforming the industrial landscape. New technologies related to </w:t>
      </w:r>
      <w:r w:rsidR="003B624F" w:rsidRPr="00961F96">
        <w:rPr>
          <w:lang w:val="en-GB"/>
        </w:rPr>
        <w:t xml:space="preserve">green </w:t>
      </w:r>
      <w:r w:rsidR="00914386" w:rsidRPr="00961F96">
        <w:rPr>
          <w:lang w:val="en-GB"/>
        </w:rPr>
        <w:t xml:space="preserve">hydrogen introduce </w:t>
      </w:r>
      <w:r w:rsidR="003E7730" w:rsidRPr="00961F96">
        <w:rPr>
          <w:lang w:val="en-GB"/>
        </w:rPr>
        <w:t xml:space="preserve">new </w:t>
      </w:r>
      <w:r w:rsidR="00914386" w:rsidRPr="00961F96">
        <w:rPr>
          <w:lang w:val="en-GB"/>
        </w:rPr>
        <w:t xml:space="preserve">hazard scenarios and raise questions regarding risk assessment, safety management, and compatibility with surrounding </w:t>
      </w:r>
      <w:r w:rsidR="005B508B" w:rsidRPr="00961F96">
        <w:rPr>
          <w:lang w:val="en-GB"/>
        </w:rPr>
        <w:t>areas</w:t>
      </w:r>
      <w:r w:rsidR="00914386" w:rsidRPr="00961F96">
        <w:rPr>
          <w:lang w:val="en-GB"/>
        </w:rPr>
        <w:t xml:space="preserve">. Although specific technical rules for hydrogen systems have existed in Italy for more than a decade, </w:t>
      </w:r>
      <w:r w:rsidR="00EA72FB">
        <w:rPr>
          <w:lang w:val="en-GB"/>
        </w:rPr>
        <w:t xml:space="preserve">there are open questions regarding the </w:t>
      </w:r>
      <w:r w:rsidR="003B624F" w:rsidRPr="00961F96">
        <w:rPr>
          <w:lang w:val="en-GB"/>
        </w:rPr>
        <w:t xml:space="preserve">safety permitting </w:t>
      </w:r>
      <w:r w:rsidR="005B508B" w:rsidRPr="00961F96">
        <w:rPr>
          <w:lang w:val="en-GB"/>
        </w:rPr>
        <w:t xml:space="preserve">within Seveso </w:t>
      </w:r>
      <w:r w:rsidR="003B624F" w:rsidRPr="00961F96">
        <w:rPr>
          <w:lang w:val="en-GB"/>
        </w:rPr>
        <w:t>establishments</w:t>
      </w:r>
      <w:r w:rsidR="00914386" w:rsidRPr="00961F96">
        <w:rPr>
          <w:lang w:val="en-GB"/>
        </w:rPr>
        <w:t xml:space="preserve">. This paper reviews the Italian approach to major accident prevention in the context of </w:t>
      </w:r>
      <w:r w:rsidR="003B624F" w:rsidRPr="00961F96">
        <w:rPr>
          <w:lang w:val="en-GB"/>
        </w:rPr>
        <w:t>green hydrogen production</w:t>
      </w:r>
      <w:r w:rsidR="00914386" w:rsidRPr="00961F96">
        <w:rPr>
          <w:lang w:val="en-GB"/>
        </w:rPr>
        <w:t xml:space="preserve">. The aim is to </w:t>
      </w:r>
      <w:r w:rsidR="00AD3A18" w:rsidRPr="00961F96">
        <w:rPr>
          <w:lang w:val="en-GB"/>
        </w:rPr>
        <w:t>outline the regulatory framework</w:t>
      </w:r>
      <w:r w:rsidR="008130E8">
        <w:rPr>
          <w:lang w:val="en-GB"/>
        </w:rPr>
        <w:t xml:space="preserve">, </w:t>
      </w:r>
      <w:r w:rsidR="00AD3A18" w:rsidRPr="00961F96">
        <w:rPr>
          <w:lang w:val="en-GB"/>
        </w:rPr>
        <w:t>identify</w:t>
      </w:r>
      <w:r w:rsidR="009B73C6">
        <w:rPr>
          <w:lang w:val="en-GB"/>
        </w:rPr>
        <w:t>ing</w:t>
      </w:r>
      <w:r w:rsidR="00AD3A18" w:rsidRPr="00961F96">
        <w:rPr>
          <w:lang w:val="en-GB"/>
        </w:rPr>
        <w:t xml:space="preserve"> challenges and</w:t>
      </w:r>
      <w:r w:rsidR="00914386" w:rsidRPr="00961F96">
        <w:rPr>
          <w:lang w:val="en-GB"/>
        </w:rPr>
        <w:t xml:space="preserve"> </w:t>
      </w:r>
      <w:r w:rsidR="003B624F" w:rsidRPr="00961F96">
        <w:rPr>
          <w:lang w:val="en-GB"/>
        </w:rPr>
        <w:t>aspects</w:t>
      </w:r>
      <w:r w:rsidR="00914386" w:rsidRPr="00961F96">
        <w:rPr>
          <w:lang w:val="en-GB"/>
        </w:rPr>
        <w:t xml:space="preserve"> that may require further consolidation</w:t>
      </w:r>
      <w:r w:rsidR="000C0B40" w:rsidRPr="00961F96">
        <w:rPr>
          <w:lang w:val="en-GB"/>
        </w:rPr>
        <w:t>.</w:t>
      </w:r>
      <w:r w:rsidR="008130E8">
        <w:rPr>
          <w:lang w:val="en-GB"/>
        </w:rPr>
        <w:t xml:space="preserve"> </w:t>
      </w:r>
      <w:r w:rsidR="00E652E9" w:rsidRPr="00E652E9">
        <w:rPr>
          <w:lang w:val="en-GB"/>
        </w:rPr>
        <w:t>A preliminary comparison with selected countries is also included to support this ongoing assessment.</w:t>
      </w:r>
    </w:p>
    <w:p w14:paraId="476B2F2E" w14:textId="77777777" w:rsidR="00600535" w:rsidRPr="00961F96" w:rsidRDefault="00600535" w:rsidP="00600535">
      <w:pPr>
        <w:pStyle w:val="CETHeading1"/>
        <w:rPr>
          <w:lang w:val="en-GB"/>
        </w:rPr>
      </w:pPr>
      <w:r w:rsidRPr="00961F96">
        <w:rPr>
          <w:lang w:val="en-GB"/>
        </w:rPr>
        <w:t>Introduction</w:t>
      </w:r>
    </w:p>
    <w:p w14:paraId="3C7B1B67" w14:textId="285DD535" w:rsidR="002130FC" w:rsidRPr="00961F96" w:rsidRDefault="002130FC" w:rsidP="002130FC">
      <w:pPr>
        <w:pStyle w:val="CETBodytext"/>
      </w:pPr>
      <w:r w:rsidRPr="00961F96">
        <w:t xml:space="preserve">Energy transition and climate change have challenged </w:t>
      </w:r>
      <w:proofErr w:type="gramStart"/>
      <w:r w:rsidR="00AA5587" w:rsidRPr="00961F96">
        <w:t>the industry</w:t>
      </w:r>
      <w:proofErr w:type="gramEnd"/>
      <w:r w:rsidRPr="00961F96">
        <w:t xml:space="preserve"> in identifying new energy vectors</w:t>
      </w:r>
      <w:r w:rsidR="004742B2" w:rsidRPr="00961F96">
        <w:t xml:space="preserve"> to </w:t>
      </w:r>
      <w:r w:rsidR="00F3137A" w:rsidRPr="00961F96">
        <w:t>replace fossil</w:t>
      </w:r>
      <w:r w:rsidR="00E82E87" w:rsidRPr="00961F96">
        <w:t xml:space="preserve"> fuels</w:t>
      </w:r>
      <w:r w:rsidR="006B2048">
        <w:t>, and</w:t>
      </w:r>
      <w:r w:rsidRPr="00961F96">
        <w:t xml:space="preserve"> hydrogen has emerged as a</w:t>
      </w:r>
      <w:r w:rsidR="000E56CA" w:rsidRPr="00961F96">
        <w:t xml:space="preserve"> versatile </w:t>
      </w:r>
      <w:r w:rsidRPr="00961F96">
        <w:t xml:space="preserve">solution. </w:t>
      </w:r>
      <w:r w:rsidR="00B23F71" w:rsidRPr="00961F96">
        <w:t>H</w:t>
      </w:r>
      <w:r w:rsidR="000E56CA" w:rsidRPr="00961F96">
        <w:t>ydrogen can</w:t>
      </w:r>
      <w:r w:rsidR="00B23F71" w:rsidRPr="00961F96">
        <w:t xml:space="preserve"> </w:t>
      </w:r>
      <w:r w:rsidR="000E56CA" w:rsidRPr="00961F96">
        <w:t>be produced from different sou</w:t>
      </w:r>
      <w:r w:rsidR="00287F8F" w:rsidRPr="00961F96">
        <w:t xml:space="preserve">rces, </w:t>
      </w:r>
      <w:r w:rsidR="00DA66CD" w:rsidRPr="00961F96">
        <w:t xml:space="preserve">from fossil fuels to renewable energy, making it a key player also </w:t>
      </w:r>
      <w:r w:rsidR="00C5460E">
        <w:t>in</w:t>
      </w:r>
      <w:r w:rsidR="00DA66CD" w:rsidRPr="00961F96">
        <w:t xml:space="preserve"> energy security. </w:t>
      </w:r>
      <w:r w:rsidR="00EE60C2" w:rsidRPr="00961F96">
        <w:t xml:space="preserve">The </w:t>
      </w:r>
      <w:r w:rsidR="007F2D7F" w:rsidRPr="00961F96">
        <w:t>main technolog</w:t>
      </w:r>
      <w:r w:rsidR="00DF088E" w:rsidRPr="00961F96">
        <w:t>y</w:t>
      </w:r>
      <w:r w:rsidR="007F2D7F" w:rsidRPr="00961F96">
        <w:t xml:space="preserve"> </w:t>
      </w:r>
      <w:r w:rsidR="00382DFC" w:rsidRPr="00961F96">
        <w:t>behind</w:t>
      </w:r>
      <w:r w:rsidRPr="00961F96">
        <w:t xml:space="preserve"> green hydrogen</w:t>
      </w:r>
      <w:r w:rsidR="003C18C4" w:rsidRPr="00961F96">
        <w:t xml:space="preserve">, </w:t>
      </w:r>
      <w:r w:rsidRPr="00961F96">
        <w:t>i.e., hydrogen derived from renewable sources</w:t>
      </w:r>
      <w:r w:rsidR="003C18C4" w:rsidRPr="00961F96">
        <w:t xml:space="preserve">, </w:t>
      </w:r>
      <w:r w:rsidR="007F2D7F" w:rsidRPr="00961F96">
        <w:t>is the</w:t>
      </w:r>
      <w:r w:rsidR="00703139" w:rsidRPr="00961F96">
        <w:t xml:space="preserve"> </w:t>
      </w:r>
      <w:r w:rsidR="00E8694C" w:rsidRPr="00961F96">
        <w:t>electrolysis</w:t>
      </w:r>
      <w:r w:rsidR="00EE60C2" w:rsidRPr="00961F96">
        <w:t xml:space="preserve"> of water.</w:t>
      </w:r>
    </w:p>
    <w:p w14:paraId="7F359538" w14:textId="62B03623" w:rsidR="00CA50B1" w:rsidRPr="00961F96" w:rsidRDefault="00F4663B" w:rsidP="002130FC">
      <w:pPr>
        <w:pStyle w:val="CETBodytext"/>
      </w:pPr>
      <w:r>
        <w:t>T</w:t>
      </w:r>
      <w:r w:rsidR="002130FC" w:rsidRPr="00961F96">
        <w:t>he EU Hydrogen Strategy for a climate</w:t>
      </w:r>
      <w:r w:rsidR="002130FC" w:rsidRPr="00961F96">
        <w:rPr>
          <w:rFonts w:ascii="Cambria Math" w:hAnsi="Cambria Math" w:cs="Cambria Math"/>
        </w:rPr>
        <w:t>‑</w:t>
      </w:r>
      <w:r w:rsidR="002130FC" w:rsidRPr="00961F96">
        <w:t>neutral Europe</w:t>
      </w:r>
      <w:r w:rsidR="0009362B" w:rsidRPr="00961F96">
        <w:t>,</w:t>
      </w:r>
      <w:r w:rsidR="002130FC" w:rsidRPr="00961F96">
        <w:t xml:space="preserve"> adopted in July 2020, sets</w:t>
      </w:r>
      <w:r w:rsidR="00406CA6" w:rsidRPr="00961F96">
        <w:t xml:space="preserve"> a</w:t>
      </w:r>
      <w:r w:rsidR="002130FC" w:rsidRPr="00961F96">
        <w:t xml:space="preserve"> roadmap for the ramp</w:t>
      </w:r>
      <w:r w:rsidR="002130FC" w:rsidRPr="00961F96">
        <w:rPr>
          <w:rFonts w:ascii="Cambria Math" w:hAnsi="Cambria Math" w:cs="Cambria Math"/>
        </w:rPr>
        <w:t>‑</w:t>
      </w:r>
      <w:r w:rsidR="002130FC" w:rsidRPr="00961F96">
        <w:t>up of hydrogen technologies as part of the European Green Deal</w:t>
      </w:r>
      <w:r w:rsidR="0059486C" w:rsidRPr="00961F96">
        <w:t xml:space="preserve"> (European Commission, 202</w:t>
      </w:r>
      <w:r w:rsidR="0093085A" w:rsidRPr="00961F96">
        <w:t>0</w:t>
      </w:r>
      <w:r w:rsidR="0059486C" w:rsidRPr="00961F96">
        <w:t>)</w:t>
      </w:r>
      <w:r w:rsidR="002130FC" w:rsidRPr="00961F96">
        <w:t xml:space="preserve">. </w:t>
      </w:r>
      <w:r w:rsidR="004D4610" w:rsidRPr="00961F96">
        <w:t>The strategy prioritizes renewable hydrogen and defines ambitious targets, including 40</w:t>
      </w:r>
      <w:r w:rsidR="004D4610" w:rsidRPr="00961F96">
        <w:rPr>
          <w:rFonts w:cs="Arial"/>
        </w:rPr>
        <w:t> </w:t>
      </w:r>
      <w:r w:rsidR="004D4610" w:rsidRPr="00961F96">
        <w:t xml:space="preserve">GW of </w:t>
      </w:r>
      <w:proofErr w:type="spellStart"/>
      <w:r w:rsidR="004D4610" w:rsidRPr="00961F96">
        <w:t>electrol</w:t>
      </w:r>
      <w:r w:rsidR="003912F2" w:rsidRPr="00961F96">
        <w:t>y</w:t>
      </w:r>
      <w:r w:rsidR="004D4610" w:rsidRPr="00961F96">
        <w:t>zers</w:t>
      </w:r>
      <w:proofErr w:type="spellEnd"/>
      <w:r w:rsidR="004D4610" w:rsidRPr="00961F96">
        <w:t xml:space="preserve"> by 2030.</w:t>
      </w:r>
      <w:r w:rsidR="00C72A3B" w:rsidRPr="00961F96">
        <w:t xml:space="preserve"> </w:t>
      </w:r>
      <w:r w:rsidR="00307B73" w:rsidRPr="00961F96">
        <w:t>In alignment with EU objectives, Italy has adopted a National Hydrogen Strategy, targeting</w:t>
      </w:r>
      <w:r w:rsidR="000E27A1" w:rsidRPr="00961F96">
        <w:t xml:space="preserve"> a production of </w:t>
      </w:r>
      <w:r w:rsidR="003A3AAC" w:rsidRPr="00961F96">
        <w:t xml:space="preserve">3GW of </w:t>
      </w:r>
      <w:proofErr w:type="spellStart"/>
      <w:r w:rsidR="003A3AAC" w:rsidRPr="00961F96">
        <w:t>electro</w:t>
      </w:r>
      <w:r w:rsidR="003912F2" w:rsidRPr="00961F96">
        <w:t>ly</w:t>
      </w:r>
      <w:r w:rsidR="003A3AAC" w:rsidRPr="00961F96">
        <w:t>zers</w:t>
      </w:r>
      <w:proofErr w:type="spellEnd"/>
      <w:r w:rsidR="003A3AAC" w:rsidRPr="00961F96">
        <w:t xml:space="preserve"> by 2030</w:t>
      </w:r>
      <w:r w:rsidR="00811AFE" w:rsidRPr="00961F96">
        <w:t>.</w:t>
      </w:r>
      <w:r w:rsidR="00CD6F03" w:rsidRPr="00961F96">
        <w:t xml:space="preserve"> Hence, green hydrogen technologies have been promoted through dedicated research, policy, and funding initiatives</w:t>
      </w:r>
      <w:r w:rsidR="008E7A51" w:rsidRPr="00961F96">
        <w:t xml:space="preserve"> (</w:t>
      </w:r>
      <w:proofErr w:type="spellStart"/>
      <w:r w:rsidR="008E7A51" w:rsidRPr="00961F96">
        <w:t>Gandiglio</w:t>
      </w:r>
      <w:proofErr w:type="spellEnd"/>
      <w:r w:rsidR="008E7A51" w:rsidRPr="00961F96">
        <w:t xml:space="preserve"> and Marocco, 2024)</w:t>
      </w:r>
      <w:r w:rsidR="00CD6F03" w:rsidRPr="00961F96">
        <w:t>.</w:t>
      </w:r>
      <w:r w:rsidR="00B36E8E" w:rsidRPr="00961F96">
        <w:t xml:space="preserve"> </w:t>
      </w:r>
      <w:r w:rsidR="002130FC" w:rsidRPr="00961F96">
        <w:t xml:space="preserve">This push has contributed to </w:t>
      </w:r>
      <w:r w:rsidR="00C436A7" w:rsidRPr="00961F96">
        <w:t>a</w:t>
      </w:r>
      <w:r w:rsidR="002130FC" w:rsidRPr="00961F96">
        <w:t xml:space="preserve"> surge of interest from both researchers</w:t>
      </w:r>
      <w:r w:rsidR="006E08FC" w:rsidRPr="00961F96">
        <w:t xml:space="preserve"> and </w:t>
      </w:r>
      <w:r w:rsidR="002130FC" w:rsidRPr="00961F96">
        <w:t>industry in developing new solution</w:t>
      </w:r>
      <w:r w:rsidR="00C436A7" w:rsidRPr="00961F96">
        <w:t xml:space="preserve">s. </w:t>
      </w:r>
    </w:p>
    <w:p w14:paraId="5889D4B9" w14:textId="4A6EF56C" w:rsidR="00CA50B1" w:rsidRPr="00961F96" w:rsidRDefault="00CA50B1" w:rsidP="002130FC">
      <w:pPr>
        <w:pStyle w:val="CETBodytext"/>
      </w:pPr>
      <w:r w:rsidRPr="00961F96">
        <w:t>However</w:t>
      </w:r>
      <w:r w:rsidR="002130FC" w:rsidRPr="00961F96">
        <w:t xml:space="preserve">, </w:t>
      </w:r>
      <w:r w:rsidR="00470FB8" w:rsidRPr="00961F96">
        <w:t>the development of</w:t>
      </w:r>
      <w:r w:rsidR="002130FC" w:rsidRPr="00961F96">
        <w:t xml:space="preserve"> </w:t>
      </w:r>
      <w:r w:rsidR="00470FB8" w:rsidRPr="00961F96">
        <w:t xml:space="preserve">green </w:t>
      </w:r>
      <w:r w:rsidR="002130FC" w:rsidRPr="00961F96">
        <w:t>hydrogen</w:t>
      </w:r>
      <w:r w:rsidR="00470FB8" w:rsidRPr="00961F96">
        <w:t xml:space="preserve"> technologies</w:t>
      </w:r>
      <w:r w:rsidR="00B36E8E" w:rsidRPr="00961F96">
        <w:t xml:space="preserve"> also</w:t>
      </w:r>
      <w:r w:rsidR="002130FC" w:rsidRPr="00961F96">
        <w:t xml:space="preserve"> presents</w:t>
      </w:r>
      <w:r w:rsidR="00B36E8E" w:rsidRPr="00961F96">
        <w:t xml:space="preserve"> </w:t>
      </w:r>
      <w:r w:rsidR="002130FC" w:rsidRPr="00961F96">
        <w:t>safety challenges</w:t>
      </w:r>
      <w:r w:rsidR="00BA1211" w:rsidRPr="00961F96">
        <w:t xml:space="preserve"> (Mahmoud et al., 2025)</w:t>
      </w:r>
      <w:r w:rsidR="002130FC" w:rsidRPr="00961F96">
        <w:t xml:space="preserve">. Hydrogen is a light </w:t>
      </w:r>
      <w:proofErr w:type="gramStart"/>
      <w:r w:rsidR="002130FC" w:rsidRPr="00961F96">
        <w:t>gas,</w:t>
      </w:r>
      <w:proofErr w:type="gramEnd"/>
      <w:r w:rsidR="002130FC" w:rsidRPr="00961F96">
        <w:t xml:space="preserve"> </w:t>
      </w:r>
      <w:r w:rsidR="007E0FDC">
        <w:t>hence storage is</w:t>
      </w:r>
      <w:r w:rsidR="002130FC" w:rsidRPr="00961F96">
        <w:t xml:space="preserve"> </w:t>
      </w:r>
      <w:r w:rsidR="00FE3CD7" w:rsidRPr="00961F96">
        <w:t xml:space="preserve">challenging </w:t>
      </w:r>
      <w:r w:rsidR="00FA6FFD" w:rsidRPr="00961F96">
        <w:t xml:space="preserve">and </w:t>
      </w:r>
      <w:r w:rsidR="005938E5" w:rsidRPr="00961F96">
        <w:t>energy intensive</w:t>
      </w:r>
      <w:r w:rsidR="002130FC" w:rsidRPr="00961F96">
        <w:t xml:space="preserve">. Moreover, hydrogen is highly flammable, with </w:t>
      </w:r>
      <w:r w:rsidR="00763EF9">
        <w:t>a</w:t>
      </w:r>
      <w:r w:rsidR="002130FC" w:rsidRPr="00961F96">
        <w:t xml:space="preserve"> broad flammability range and </w:t>
      </w:r>
      <w:r w:rsidR="00792A3D" w:rsidRPr="00961F96">
        <w:t>low</w:t>
      </w:r>
      <w:r w:rsidR="002130FC" w:rsidRPr="00961F96">
        <w:t xml:space="preserve"> minimum ignition energy</w:t>
      </w:r>
      <w:r w:rsidR="002B7C3F" w:rsidRPr="00961F96">
        <w:t xml:space="preserve">; </w:t>
      </w:r>
      <w:r w:rsidR="00963F9E" w:rsidRPr="00961F96">
        <w:t>it can</w:t>
      </w:r>
      <w:r w:rsidR="00D459EE" w:rsidRPr="00961F96">
        <w:t xml:space="preserve"> </w:t>
      </w:r>
      <w:r w:rsidR="007E0FDC">
        <w:t xml:space="preserve">also </w:t>
      </w:r>
      <w:r w:rsidR="00D459EE" w:rsidRPr="00961F96">
        <w:t xml:space="preserve">cause </w:t>
      </w:r>
      <w:r w:rsidR="00963F9E" w:rsidRPr="00961F96">
        <w:t xml:space="preserve">severe </w:t>
      </w:r>
      <w:r w:rsidR="00D459EE" w:rsidRPr="00961F96">
        <w:t>material degradation (hydrogen embrittlement)</w:t>
      </w:r>
      <w:r w:rsidR="002130FC" w:rsidRPr="00961F96">
        <w:t xml:space="preserve">. As a result, the growing </w:t>
      </w:r>
      <w:r w:rsidR="00A962C2" w:rsidRPr="00961F96">
        <w:t>development</w:t>
      </w:r>
      <w:r w:rsidR="002130FC" w:rsidRPr="00961F96">
        <w:t xml:space="preserve"> of </w:t>
      </w:r>
      <w:r w:rsidR="00615933" w:rsidRPr="00961F96">
        <w:t xml:space="preserve">green </w:t>
      </w:r>
      <w:r w:rsidR="002130FC" w:rsidRPr="00961F96">
        <w:t xml:space="preserve">hydrogen systems </w:t>
      </w:r>
      <w:r w:rsidR="00A962C2" w:rsidRPr="00961F96">
        <w:t>was complemented</w:t>
      </w:r>
      <w:r w:rsidR="002130FC" w:rsidRPr="00961F96">
        <w:t xml:space="preserve"> by research </w:t>
      </w:r>
      <w:r w:rsidR="007E0FDC">
        <w:t xml:space="preserve">efforts </w:t>
      </w:r>
      <w:r w:rsidR="000828D2">
        <w:t xml:space="preserve">on </w:t>
      </w:r>
      <w:r w:rsidR="005938E5">
        <w:t>their</w:t>
      </w:r>
      <w:r w:rsidR="000828D2">
        <w:t xml:space="preserve"> safe handling. </w:t>
      </w:r>
    </w:p>
    <w:p w14:paraId="7E6D2A4D" w14:textId="0F3581ED" w:rsidR="00D660B3" w:rsidRDefault="000B590E" w:rsidP="00902A26">
      <w:pPr>
        <w:pStyle w:val="CETBodytext"/>
      </w:pPr>
      <w:r w:rsidRPr="00961F96">
        <w:t>T</w:t>
      </w:r>
      <w:r w:rsidR="006E08FC" w:rsidRPr="00961F96">
        <w:t>he</w:t>
      </w:r>
      <w:r w:rsidR="002130FC" w:rsidRPr="00961F96">
        <w:t xml:space="preserve"> implementation of </w:t>
      </w:r>
      <w:r w:rsidR="000828D2">
        <w:t>such</w:t>
      </w:r>
      <w:r w:rsidR="002130FC" w:rsidRPr="00961F96">
        <w:t xml:space="preserve"> systems </w:t>
      </w:r>
      <w:r w:rsidR="000828D2">
        <w:t xml:space="preserve">also </w:t>
      </w:r>
      <w:r w:rsidR="002130FC" w:rsidRPr="00961F96">
        <w:t xml:space="preserve">introduces regulatory </w:t>
      </w:r>
      <w:r w:rsidR="005938E5" w:rsidRPr="00961F96">
        <w:t>challenges,</w:t>
      </w:r>
      <w:r w:rsidR="000828D2">
        <w:t xml:space="preserve"> and </w:t>
      </w:r>
      <w:r w:rsidR="009071EA">
        <w:t>s</w:t>
      </w:r>
      <w:r w:rsidR="002130FC" w:rsidRPr="00961F96">
        <w:t>everal E</w:t>
      </w:r>
      <w:r w:rsidRPr="00961F96">
        <w:t>U</w:t>
      </w:r>
      <w:r w:rsidR="002130FC" w:rsidRPr="00961F96">
        <w:t xml:space="preserve"> initiatives have examined </w:t>
      </w:r>
      <w:r w:rsidR="000828D2">
        <w:t xml:space="preserve">potential </w:t>
      </w:r>
      <w:r w:rsidR="002130FC" w:rsidRPr="00961F96">
        <w:t xml:space="preserve">bottlenecks </w:t>
      </w:r>
      <w:r w:rsidR="00CA50B1" w:rsidRPr="00961F96">
        <w:t>in</w:t>
      </w:r>
      <w:r w:rsidR="002130FC" w:rsidRPr="00961F96">
        <w:t xml:space="preserve"> hydrogen permitting</w:t>
      </w:r>
      <w:r w:rsidR="005A32F0" w:rsidRPr="00961F96">
        <w:t xml:space="preserve"> </w:t>
      </w:r>
      <w:r w:rsidR="00AB4AE0" w:rsidRPr="00961F96">
        <w:t>(</w:t>
      </w:r>
      <w:proofErr w:type="spellStart"/>
      <w:r w:rsidR="00AB4AE0" w:rsidRPr="00961F96">
        <w:t>HyPop</w:t>
      </w:r>
      <w:proofErr w:type="spellEnd"/>
      <w:r w:rsidR="00AB4AE0" w:rsidRPr="00961F96">
        <w:t>, 2024</w:t>
      </w:r>
      <w:r w:rsidR="00B810E7">
        <w:t>a</w:t>
      </w:r>
      <w:r w:rsidR="00AB4AE0" w:rsidRPr="00961F96">
        <w:t>)</w:t>
      </w:r>
      <w:r w:rsidR="002130FC" w:rsidRPr="00961F96">
        <w:t>.</w:t>
      </w:r>
      <w:r w:rsidR="00C2726D" w:rsidRPr="00961F96">
        <w:t xml:space="preserve"> </w:t>
      </w:r>
      <w:r w:rsidR="002130FC" w:rsidRPr="00961F96">
        <w:t>This work focuses</w:t>
      </w:r>
      <w:r w:rsidR="00285BBB" w:rsidRPr="00961F96">
        <w:t xml:space="preserve"> on</w:t>
      </w:r>
      <w:r w:rsidR="002130FC" w:rsidRPr="00961F96">
        <w:t xml:space="preserve"> safety permitting. In Italy, the prevention of major accidents is governed through the national implementation of the EU Seveso Directive</w:t>
      </w:r>
      <w:r w:rsidR="001D0390">
        <w:t xml:space="preserve"> (European Commission, 2012)</w:t>
      </w:r>
      <w:r w:rsidR="002130FC" w:rsidRPr="00961F96">
        <w:t xml:space="preserve">. The Seveso </w:t>
      </w:r>
      <w:r w:rsidR="000828D2">
        <w:t>regulation</w:t>
      </w:r>
      <w:r w:rsidR="002130FC" w:rsidRPr="00961F96">
        <w:t xml:space="preserve"> originated in response </w:t>
      </w:r>
      <w:r w:rsidR="00CA50B1" w:rsidRPr="00961F96">
        <w:t xml:space="preserve">to the </w:t>
      </w:r>
      <w:r w:rsidR="002130FC" w:rsidRPr="00961F96">
        <w:t>Seveso accident in Italy</w:t>
      </w:r>
      <w:r w:rsidR="00D54116" w:rsidRPr="00961F96">
        <w:t xml:space="preserve"> 50 years ago</w:t>
      </w:r>
      <w:r w:rsidR="002130FC" w:rsidRPr="00961F96">
        <w:t xml:space="preserve">, which highlighted the severe consequences associated with the </w:t>
      </w:r>
      <w:r w:rsidRPr="00961F96">
        <w:t xml:space="preserve">accidental </w:t>
      </w:r>
      <w:r w:rsidR="002130FC" w:rsidRPr="00961F96">
        <w:t>release of hazardous substances. The Directive has undergone several revisions to address emerging technological and industrial challenges</w:t>
      </w:r>
      <w:r w:rsidR="001A3139">
        <w:t xml:space="preserve"> which are summarized in Figure 1</w:t>
      </w:r>
      <w:r w:rsidR="00D521BB">
        <w:t xml:space="preserve">. The </w:t>
      </w:r>
      <w:r w:rsidR="002130FC" w:rsidRPr="00961F96">
        <w:t xml:space="preserve">most recent update </w:t>
      </w:r>
      <w:r w:rsidR="00D521BB">
        <w:t xml:space="preserve">is </w:t>
      </w:r>
      <w:r w:rsidR="002130FC" w:rsidRPr="00961F96">
        <w:t>the Seveso III Directive (2012/18/EU)</w:t>
      </w:r>
      <w:r w:rsidR="00CA50B1" w:rsidRPr="00961F96">
        <w:t xml:space="preserve">, </w:t>
      </w:r>
      <w:r w:rsidR="002130FC" w:rsidRPr="00961F96">
        <w:t xml:space="preserve">transposed in Italy via Legislative Decree 105/2015. </w:t>
      </w:r>
    </w:p>
    <w:p w14:paraId="78DD273B" w14:textId="6189CA41" w:rsidR="00902A26" w:rsidRPr="00961F96" w:rsidRDefault="00EA7CF9" w:rsidP="001A3139">
      <w:pPr>
        <w:pStyle w:val="CETBodytext"/>
        <w:jc w:val="left"/>
      </w:pPr>
      <w:r w:rsidRPr="00EA7CF9">
        <w:rPr>
          <w:noProof/>
        </w:rPr>
        <w:lastRenderedPageBreak/>
        <w:drawing>
          <wp:inline distT="0" distB="0" distL="0" distR="0" wp14:anchorId="75DEB1AA" wp14:editId="6425CEE2">
            <wp:extent cx="5579745" cy="1662430"/>
            <wp:effectExtent l="0" t="0" r="1905" b="0"/>
            <wp:docPr id="1118588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1662430"/>
                    </a:xfrm>
                    <a:prstGeom prst="rect">
                      <a:avLst/>
                    </a:prstGeom>
                    <a:noFill/>
                    <a:ln>
                      <a:noFill/>
                    </a:ln>
                  </pic:spPr>
                </pic:pic>
              </a:graphicData>
            </a:graphic>
          </wp:inline>
        </w:drawing>
      </w:r>
    </w:p>
    <w:p w14:paraId="17AF2C2E" w14:textId="09527805" w:rsidR="001A3139" w:rsidRPr="00961F96" w:rsidRDefault="001A3139" w:rsidP="008A26FD">
      <w:pPr>
        <w:pStyle w:val="CETCaption"/>
      </w:pPr>
      <w:r w:rsidRPr="00961F96">
        <w:t xml:space="preserve">Figure 1: Timeline </w:t>
      </w:r>
      <w:r w:rsidRPr="001A3139">
        <w:t>of</w:t>
      </w:r>
      <w:r w:rsidRPr="00961F96">
        <w:t xml:space="preserve"> the major developments of the Seveso Directive </w:t>
      </w:r>
      <w:r w:rsidR="005D4E4F">
        <w:t xml:space="preserve">in relation to different </w:t>
      </w:r>
      <w:r w:rsidR="005D4E4F" w:rsidRPr="008A26FD">
        <w:t>challenges</w:t>
      </w:r>
    </w:p>
    <w:p w14:paraId="45736006" w14:textId="2085FDD8" w:rsidR="003C18C4" w:rsidRPr="00961F96" w:rsidRDefault="002130FC" w:rsidP="00B86D7D">
      <w:pPr>
        <w:pStyle w:val="CETBodytext"/>
      </w:pPr>
      <w:r w:rsidRPr="00961F96">
        <w:t xml:space="preserve">In this paper, </w:t>
      </w:r>
      <w:r w:rsidR="00B8187D">
        <w:t xml:space="preserve">the </w:t>
      </w:r>
      <w:r w:rsidRPr="00961F96">
        <w:t xml:space="preserve">safety permitting of </w:t>
      </w:r>
      <w:r w:rsidR="005938E5">
        <w:t xml:space="preserve">green </w:t>
      </w:r>
      <w:r w:rsidRPr="00961F96">
        <w:t>hydrogen technologies</w:t>
      </w:r>
      <w:r w:rsidR="00B8187D">
        <w:t xml:space="preserve"> </w:t>
      </w:r>
      <w:r w:rsidR="005938E5">
        <w:t>in Ital</w:t>
      </w:r>
      <w:r w:rsidR="006D7652">
        <w:t xml:space="preserve">y </w:t>
      </w:r>
      <w:r w:rsidR="00B8187D">
        <w:t>is reviewed</w:t>
      </w:r>
      <w:r w:rsidRPr="00961F96">
        <w:t>, with a specific focus on green hydrogen systems.</w:t>
      </w:r>
      <w:r w:rsidR="002E55BD">
        <w:t xml:space="preserve"> Firstly, we discuss major hazard accident permitting </w:t>
      </w:r>
      <w:r w:rsidR="00B97DF1">
        <w:t>(Section 2.1)</w:t>
      </w:r>
      <w:r w:rsidR="002E55BD">
        <w:t xml:space="preserve">, </w:t>
      </w:r>
      <w:r w:rsidR="00326842">
        <w:t>while Sections 2.2 and 2.3 ad</w:t>
      </w:r>
      <w:r w:rsidR="001E3985">
        <w:t>d</w:t>
      </w:r>
      <w:r w:rsidR="00326842">
        <w:t>ress</w:t>
      </w:r>
      <w:r w:rsidR="00FD428C">
        <w:t xml:space="preserve"> its interfaces with specific regulation for </w:t>
      </w:r>
      <w:r w:rsidR="002E55BD">
        <w:t>green hydrogen technologies.</w:t>
      </w:r>
      <w:r w:rsidRPr="00961F96">
        <w:t xml:space="preserve"> </w:t>
      </w:r>
      <w:r w:rsidR="002E55BD">
        <w:t xml:space="preserve">Furthermore, a </w:t>
      </w:r>
      <w:r w:rsidR="00FB450E">
        <w:t xml:space="preserve">preliminary </w:t>
      </w:r>
      <w:r w:rsidR="002E55BD">
        <w:t xml:space="preserve">comparison with other countries </w:t>
      </w:r>
      <w:r w:rsidR="00B97DF1">
        <w:t xml:space="preserve">is carried out in Section 3 </w:t>
      </w:r>
      <w:r w:rsidR="00FD428C">
        <w:t>to</w:t>
      </w:r>
      <w:r w:rsidR="002E55BD">
        <w:t xml:space="preserve"> </w:t>
      </w:r>
      <w:r w:rsidR="00013BA2">
        <w:t>contextualize the Italian framework</w:t>
      </w:r>
      <w:r w:rsidR="00FD428C">
        <w:t>.</w:t>
      </w:r>
      <w:r w:rsidR="007F6489">
        <w:t xml:space="preserve"> </w:t>
      </w:r>
      <w:r w:rsidR="000726FF">
        <w:t>The results are discussed in Section 4,</w:t>
      </w:r>
      <w:r w:rsidR="00E14F5C">
        <w:t xml:space="preserve"> and Section 5 contains the conclusive remarks and future </w:t>
      </w:r>
      <w:r w:rsidR="00315819">
        <w:t>perspectives</w:t>
      </w:r>
      <w:r w:rsidR="00E14F5C">
        <w:t>.</w:t>
      </w:r>
    </w:p>
    <w:p w14:paraId="304B8803" w14:textId="5056519C" w:rsidR="00495DB7" w:rsidRPr="00961F96" w:rsidRDefault="0070673A" w:rsidP="00495DB7">
      <w:pPr>
        <w:pStyle w:val="CETHeading1"/>
      </w:pPr>
      <w:r w:rsidRPr="00961F96">
        <w:t>Italian regulatory framework</w:t>
      </w:r>
    </w:p>
    <w:p w14:paraId="3A8D386B" w14:textId="29D77C11" w:rsidR="0070673A" w:rsidRPr="00961F96" w:rsidRDefault="0070673A" w:rsidP="0070673A">
      <w:pPr>
        <w:pStyle w:val="CETheadingx"/>
      </w:pPr>
      <w:r w:rsidRPr="00961F96">
        <w:t>Implementation of the Seveso Directive</w:t>
      </w:r>
    </w:p>
    <w:p w14:paraId="71EC3A10" w14:textId="750D6D61" w:rsidR="00B14628" w:rsidRPr="00961F96" w:rsidRDefault="004925BB" w:rsidP="00B14628">
      <w:pPr>
        <w:pStyle w:val="CETBodytext"/>
      </w:pPr>
      <w:r>
        <w:t>Table 1 summarize</w:t>
      </w:r>
      <w:r w:rsidR="00165792">
        <w:t>s</w:t>
      </w:r>
      <w:r>
        <w:t xml:space="preserve"> the implementation of the </w:t>
      </w:r>
      <w:r w:rsidR="00165792">
        <w:t>revisions of the Seveso Directives</w:t>
      </w:r>
      <w:r w:rsidR="005A287F">
        <w:t xml:space="preserve"> in Italy</w:t>
      </w:r>
      <w:r w:rsidR="00165792">
        <w:t>.</w:t>
      </w:r>
    </w:p>
    <w:p w14:paraId="75BC32F3" w14:textId="10CA6508" w:rsidR="00B14628" w:rsidRPr="00961F96" w:rsidRDefault="00B14628" w:rsidP="00165792">
      <w:pPr>
        <w:pStyle w:val="CETTabletitle"/>
      </w:pPr>
      <w:r w:rsidRPr="00961F96">
        <w:t xml:space="preserve">Table 1: Overview of the </w:t>
      </w:r>
      <w:r w:rsidR="005C5C5F">
        <w:t xml:space="preserve">main </w:t>
      </w:r>
      <w:r w:rsidR="0052150B" w:rsidRPr="00961F96">
        <w:t>regulatory framework for major hazards</w:t>
      </w:r>
      <w:r w:rsidRPr="00961F96">
        <w:t xml:space="preserve"> in Italy</w:t>
      </w:r>
      <w:r w:rsidR="00BB0C12" w:rsidRPr="00961F96">
        <w:t>, in chronological order</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835"/>
        <w:gridCol w:w="3119"/>
        <w:gridCol w:w="2833"/>
      </w:tblGrid>
      <w:tr w:rsidR="00430DE2" w:rsidRPr="00961F96" w14:paraId="3079EA0B" w14:textId="77777777" w:rsidTr="00117A9C">
        <w:tc>
          <w:tcPr>
            <w:tcW w:w="1613" w:type="pct"/>
            <w:tcBorders>
              <w:top w:val="single" w:sz="12" w:space="0" w:color="008000"/>
              <w:bottom w:val="single" w:sz="6" w:space="0" w:color="008000"/>
            </w:tcBorders>
            <w:shd w:val="clear" w:color="auto" w:fill="FFFFFF"/>
          </w:tcPr>
          <w:p w14:paraId="2B815059" w14:textId="289FCA7B" w:rsidR="00FF1F59" w:rsidRPr="00961F96" w:rsidRDefault="00FF1F59" w:rsidP="00143709">
            <w:pPr>
              <w:pStyle w:val="CETBodytext"/>
              <w:rPr>
                <w:lang w:val="en-GB"/>
              </w:rPr>
            </w:pPr>
            <w:r w:rsidRPr="00961F96">
              <w:rPr>
                <w:lang w:val="en-GB"/>
              </w:rPr>
              <w:t>EU Directive</w:t>
            </w:r>
            <w:r w:rsidR="00003208" w:rsidRPr="00961F96">
              <w:rPr>
                <w:lang w:val="en-GB"/>
              </w:rPr>
              <w:t>s</w:t>
            </w:r>
          </w:p>
        </w:tc>
        <w:tc>
          <w:tcPr>
            <w:tcW w:w="1775" w:type="pct"/>
            <w:tcBorders>
              <w:top w:val="single" w:sz="12" w:space="0" w:color="008000"/>
              <w:bottom w:val="single" w:sz="6" w:space="0" w:color="008000"/>
            </w:tcBorders>
            <w:shd w:val="clear" w:color="auto" w:fill="FFFFFF"/>
          </w:tcPr>
          <w:p w14:paraId="1AF42D98" w14:textId="4FC0D5FC" w:rsidR="00FF1F59" w:rsidRPr="00961F96" w:rsidRDefault="00FF1F59" w:rsidP="00143709">
            <w:pPr>
              <w:pStyle w:val="CETBodytext"/>
              <w:rPr>
                <w:lang w:val="en-GB"/>
              </w:rPr>
            </w:pPr>
            <w:r w:rsidRPr="00961F96">
              <w:rPr>
                <w:lang w:val="en-GB"/>
              </w:rPr>
              <w:t>Italian legislation</w:t>
            </w:r>
          </w:p>
        </w:tc>
        <w:tc>
          <w:tcPr>
            <w:tcW w:w="1612" w:type="pct"/>
            <w:tcBorders>
              <w:top w:val="single" w:sz="12" w:space="0" w:color="008000"/>
              <w:bottom w:val="single" w:sz="6" w:space="0" w:color="008000"/>
            </w:tcBorders>
            <w:shd w:val="clear" w:color="auto" w:fill="FFFFFF"/>
          </w:tcPr>
          <w:p w14:paraId="2485D81E" w14:textId="7A010D04" w:rsidR="00FF1F59" w:rsidRPr="00961F96" w:rsidRDefault="00FF1F59" w:rsidP="00143709">
            <w:pPr>
              <w:pStyle w:val="CETBodytext"/>
              <w:rPr>
                <w:lang w:val="en-GB"/>
              </w:rPr>
            </w:pPr>
            <w:r w:rsidRPr="00961F96">
              <w:rPr>
                <w:lang w:val="en-GB"/>
              </w:rPr>
              <w:t>Description</w:t>
            </w:r>
          </w:p>
        </w:tc>
      </w:tr>
      <w:tr w:rsidR="00430DE2" w:rsidRPr="00961F96" w14:paraId="3CF682A4" w14:textId="77777777" w:rsidTr="00117A9C">
        <w:tc>
          <w:tcPr>
            <w:tcW w:w="1613" w:type="pct"/>
            <w:shd w:val="clear" w:color="auto" w:fill="FFFFFF"/>
          </w:tcPr>
          <w:p w14:paraId="1CD5F79E" w14:textId="77777777" w:rsidR="00FF1F59" w:rsidRPr="00961F96" w:rsidRDefault="00912F10" w:rsidP="00143709">
            <w:pPr>
              <w:pStyle w:val="CETBodytext"/>
              <w:rPr>
                <w:lang w:val="en-GB"/>
              </w:rPr>
            </w:pPr>
            <w:r w:rsidRPr="00961F96">
              <w:rPr>
                <w:lang w:val="en-GB"/>
              </w:rPr>
              <w:t>Directive 82/501/EC (Seveso I)</w:t>
            </w:r>
          </w:p>
          <w:p w14:paraId="501463CA" w14:textId="00112F2B" w:rsidR="00590332" w:rsidRPr="00961F96" w:rsidRDefault="00590332" w:rsidP="00143709">
            <w:pPr>
              <w:pStyle w:val="CETBodytext"/>
              <w:rPr>
                <w:lang w:val="en-GB"/>
              </w:rPr>
            </w:pPr>
            <w:r w:rsidRPr="00961F96">
              <w:rPr>
                <w:lang w:val="en-GB"/>
              </w:rPr>
              <w:t>(amended)</w:t>
            </w:r>
          </w:p>
        </w:tc>
        <w:tc>
          <w:tcPr>
            <w:tcW w:w="1775" w:type="pct"/>
            <w:shd w:val="clear" w:color="auto" w:fill="FFFFFF"/>
          </w:tcPr>
          <w:p w14:paraId="61A7DF6E" w14:textId="77777777" w:rsidR="000E1E6C" w:rsidRPr="00961F96" w:rsidRDefault="00122484" w:rsidP="00143709">
            <w:pPr>
              <w:pStyle w:val="CETBodytext"/>
              <w:rPr>
                <w:lang w:val="en-GB"/>
              </w:rPr>
            </w:pPr>
            <w:r w:rsidRPr="00961F96">
              <w:rPr>
                <w:lang w:val="en-GB"/>
              </w:rPr>
              <w:t>Decree of the President of the</w:t>
            </w:r>
          </w:p>
          <w:p w14:paraId="2C0349E3" w14:textId="00337354" w:rsidR="00F40503" w:rsidRPr="00961F96" w:rsidRDefault="00122484" w:rsidP="00143709">
            <w:pPr>
              <w:pStyle w:val="CETBodytext"/>
              <w:rPr>
                <w:lang w:val="en-GB"/>
              </w:rPr>
            </w:pPr>
            <w:r w:rsidRPr="00961F96">
              <w:rPr>
                <w:lang w:val="en-GB"/>
              </w:rPr>
              <w:t>Republic 175</w:t>
            </w:r>
            <w:r w:rsidR="00034A0A" w:rsidRPr="00961F96">
              <w:rPr>
                <w:lang w:val="en-GB"/>
              </w:rPr>
              <w:t>/</w:t>
            </w:r>
            <w:r w:rsidRPr="00961F96">
              <w:rPr>
                <w:lang w:val="en-GB"/>
              </w:rPr>
              <w:t>1988</w:t>
            </w:r>
          </w:p>
          <w:p w14:paraId="39451446" w14:textId="4581CE0E" w:rsidR="00590332" w:rsidRPr="00961F96" w:rsidRDefault="00590332" w:rsidP="00143709">
            <w:pPr>
              <w:pStyle w:val="CETBodytext"/>
              <w:rPr>
                <w:lang w:val="en-GB"/>
              </w:rPr>
            </w:pPr>
            <w:r w:rsidRPr="00961F96">
              <w:rPr>
                <w:lang w:val="en-GB"/>
              </w:rPr>
              <w:t>(amended)</w:t>
            </w:r>
          </w:p>
        </w:tc>
        <w:tc>
          <w:tcPr>
            <w:tcW w:w="1612" w:type="pct"/>
            <w:shd w:val="clear" w:color="auto" w:fill="FFFFFF"/>
          </w:tcPr>
          <w:p w14:paraId="2A279DBE" w14:textId="35BC89CD" w:rsidR="00FF1F59" w:rsidRPr="00961F96" w:rsidRDefault="003156C4" w:rsidP="00143709">
            <w:pPr>
              <w:pStyle w:val="CETBodytext"/>
              <w:rPr>
                <w:lang w:val="en-GB"/>
              </w:rPr>
            </w:pPr>
            <w:r w:rsidRPr="00961F96">
              <w:rPr>
                <w:lang w:val="en-GB"/>
              </w:rPr>
              <w:t>Implementation</w:t>
            </w:r>
          </w:p>
        </w:tc>
      </w:tr>
      <w:tr w:rsidR="00430DE2" w:rsidRPr="00961F96" w14:paraId="535F1367" w14:textId="77777777" w:rsidTr="00117A9C">
        <w:tc>
          <w:tcPr>
            <w:tcW w:w="1613" w:type="pct"/>
            <w:shd w:val="clear" w:color="auto" w:fill="FFFFFF"/>
          </w:tcPr>
          <w:p w14:paraId="5E75D1B4" w14:textId="4B6CCF0A" w:rsidR="0098790E" w:rsidRPr="00961F96" w:rsidRDefault="0066644C" w:rsidP="00143709">
            <w:pPr>
              <w:pStyle w:val="CETBodytext"/>
              <w:ind w:right="-1"/>
              <w:rPr>
                <w:rFonts w:cs="Arial"/>
                <w:szCs w:val="18"/>
                <w:lang w:val="en-GB"/>
              </w:rPr>
            </w:pPr>
            <w:r w:rsidRPr="00961F96">
              <w:rPr>
                <w:rFonts w:cs="Arial"/>
                <w:szCs w:val="18"/>
                <w:lang w:val="en-GB"/>
              </w:rPr>
              <w:t>-</w:t>
            </w:r>
          </w:p>
        </w:tc>
        <w:tc>
          <w:tcPr>
            <w:tcW w:w="1775" w:type="pct"/>
            <w:shd w:val="clear" w:color="auto" w:fill="FFFFFF"/>
          </w:tcPr>
          <w:p w14:paraId="3EED3BE7" w14:textId="3B8D7208" w:rsidR="0098790E" w:rsidRPr="00961F96" w:rsidRDefault="0098790E" w:rsidP="00143709">
            <w:pPr>
              <w:pStyle w:val="CETBodytext"/>
              <w:ind w:right="-1"/>
              <w:rPr>
                <w:lang w:val="en-GB"/>
              </w:rPr>
            </w:pPr>
            <w:r w:rsidRPr="00961F96">
              <w:rPr>
                <w:lang w:val="en-GB"/>
              </w:rPr>
              <w:t>Law 183/19</w:t>
            </w:r>
            <w:r w:rsidR="00561D56" w:rsidRPr="00961F96">
              <w:rPr>
                <w:lang w:val="en-GB"/>
              </w:rPr>
              <w:t>8</w:t>
            </w:r>
            <w:r w:rsidRPr="00961F96">
              <w:rPr>
                <w:lang w:val="en-GB"/>
              </w:rPr>
              <w:t xml:space="preserve">7 </w:t>
            </w:r>
          </w:p>
          <w:p w14:paraId="68FAE04C" w14:textId="74257FFB" w:rsidR="00590332" w:rsidRPr="00961F96" w:rsidRDefault="00590332" w:rsidP="00143709">
            <w:pPr>
              <w:pStyle w:val="CETBodytext"/>
              <w:ind w:right="-1"/>
              <w:rPr>
                <w:rFonts w:cs="Arial"/>
                <w:szCs w:val="18"/>
                <w:lang w:val="en-GB"/>
              </w:rPr>
            </w:pPr>
            <w:r w:rsidRPr="00961F96">
              <w:rPr>
                <w:lang w:val="en-GB"/>
              </w:rPr>
              <w:t>(amended)</w:t>
            </w:r>
          </w:p>
        </w:tc>
        <w:tc>
          <w:tcPr>
            <w:tcW w:w="1612" w:type="pct"/>
            <w:shd w:val="clear" w:color="auto" w:fill="FFFFFF"/>
          </w:tcPr>
          <w:p w14:paraId="7B7BB1C0" w14:textId="22729A96" w:rsidR="0098790E" w:rsidRPr="00961F96" w:rsidRDefault="00884F1B" w:rsidP="00143709">
            <w:pPr>
              <w:pStyle w:val="CETBodytext"/>
              <w:ind w:right="-1"/>
              <w:rPr>
                <w:rFonts w:cs="Arial"/>
                <w:szCs w:val="18"/>
                <w:lang w:val="en-GB"/>
              </w:rPr>
            </w:pPr>
            <w:r>
              <w:rPr>
                <w:rFonts w:cs="Arial"/>
                <w:szCs w:val="18"/>
                <w:lang w:val="en-GB"/>
              </w:rPr>
              <w:t>D</w:t>
            </w:r>
            <w:r w:rsidR="003156C4" w:rsidRPr="00961F96">
              <w:rPr>
                <w:rFonts w:cs="Arial"/>
                <w:szCs w:val="18"/>
                <w:lang w:val="en-GB"/>
              </w:rPr>
              <w:t xml:space="preserve">efine competences for implementation of </w:t>
            </w:r>
            <w:r>
              <w:rPr>
                <w:rFonts w:cs="Arial"/>
                <w:szCs w:val="18"/>
                <w:lang w:val="en-GB"/>
              </w:rPr>
              <w:t xml:space="preserve">EU </w:t>
            </w:r>
            <w:r w:rsidR="003156C4" w:rsidRPr="00961F96">
              <w:rPr>
                <w:rFonts w:cs="Arial"/>
                <w:szCs w:val="18"/>
                <w:lang w:val="en-GB"/>
              </w:rPr>
              <w:t>Directives</w:t>
            </w:r>
          </w:p>
        </w:tc>
      </w:tr>
      <w:tr w:rsidR="00430DE2" w:rsidRPr="00961F96" w14:paraId="45FAEE36" w14:textId="77777777" w:rsidTr="00117A9C">
        <w:tc>
          <w:tcPr>
            <w:tcW w:w="1613" w:type="pct"/>
            <w:shd w:val="clear" w:color="auto" w:fill="FFFFFF"/>
          </w:tcPr>
          <w:p w14:paraId="710BCF44" w14:textId="714C0DA9" w:rsidR="00660132" w:rsidRPr="00961F96" w:rsidRDefault="00E47CA1" w:rsidP="00143709">
            <w:pPr>
              <w:pStyle w:val="CETBodytext"/>
              <w:ind w:right="-1"/>
              <w:rPr>
                <w:rFonts w:cs="Arial"/>
                <w:szCs w:val="18"/>
                <w:lang w:val="en-GB"/>
              </w:rPr>
            </w:pPr>
            <w:r w:rsidRPr="00961F96">
              <w:rPr>
                <w:rFonts w:cs="Arial"/>
                <w:szCs w:val="18"/>
                <w:lang w:val="en-GB"/>
              </w:rPr>
              <w:t>-</w:t>
            </w:r>
          </w:p>
        </w:tc>
        <w:tc>
          <w:tcPr>
            <w:tcW w:w="1775" w:type="pct"/>
            <w:shd w:val="clear" w:color="auto" w:fill="FFFFFF"/>
          </w:tcPr>
          <w:p w14:paraId="52392A09" w14:textId="77777777" w:rsidR="00CE2504" w:rsidRPr="00961F96" w:rsidRDefault="008C5D80" w:rsidP="00CE2504">
            <w:pPr>
              <w:pStyle w:val="CETBodytext"/>
              <w:ind w:right="-1"/>
              <w:rPr>
                <w:rFonts w:cs="Arial"/>
                <w:szCs w:val="18"/>
                <w:lang w:val="en-GB"/>
              </w:rPr>
            </w:pPr>
            <w:r w:rsidRPr="00961F96">
              <w:rPr>
                <w:rFonts w:cs="Arial"/>
                <w:szCs w:val="18"/>
                <w:lang w:val="en-GB"/>
              </w:rPr>
              <w:t>Prime Ministerial Decree</w:t>
            </w:r>
            <w:r w:rsidR="00CE2504" w:rsidRPr="00961F96">
              <w:rPr>
                <w:rFonts w:cs="Arial"/>
                <w:szCs w:val="18"/>
                <w:lang w:val="en-GB"/>
              </w:rPr>
              <w:t xml:space="preserve"> </w:t>
            </w:r>
            <w:r w:rsidR="00FC0068" w:rsidRPr="00961F96">
              <w:rPr>
                <w:rFonts w:cs="Arial"/>
                <w:szCs w:val="18"/>
                <w:lang w:val="en-GB"/>
              </w:rPr>
              <w:t>31/03/1989</w:t>
            </w:r>
          </w:p>
          <w:p w14:paraId="6D1B4854" w14:textId="69433445" w:rsidR="00660132" w:rsidRPr="00961F96" w:rsidRDefault="00E47CA1" w:rsidP="00CE2504">
            <w:pPr>
              <w:pStyle w:val="CETBodytext"/>
              <w:ind w:right="-1"/>
              <w:rPr>
                <w:rFonts w:cs="Arial"/>
                <w:szCs w:val="18"/>
                <w:lang w:val="en-GB"/>
              </w:rPr>
            </w:pPr>
            <w:r w:rsidRPr="00961F96">
              <w:rPr>
                <w:rFonts w:cs="Arial"/>
                <w:szCs w:val="18"/>
                <w:lang w:val="en-GB"/>
              </w:rPr>
              <w:t>(in force)</w:t>
            </w:r>
          </w:p>
        </w:tc>
        <w:tc>
          <w:tcPr>
            <w:tcW w:w="1612" w:type="pct"/>
            <w:shd w:val="clear" w:color="auto" w:fill="FFFFFF"/>
          </w:tcPr>
          <w:p w14:paraId="4AB2BC9F" w14:textId="03146C3F" w:rsidR="00660132" w:rsidRPr="00961F96" w:rsidRDefault="00FC0068" w:rsidP="00143709">
            <w:pPr>
              <w:pStyle w:val="CETBodytext"/>
              <w:ind w:right="-1"/>
              <w:rPr>
                <w:rFonts w:cs="Arial"/>
                <w:szCs w:val="18"/>
                <w:lang w:val="en-GB"/>
              </w:rPr>
            </w:pPr>
            <w:r w:rsidRPr="00961F96">
              <w:rPr>
                <w:rFonts w:cs="Arial"/>
                <w:szCs w:val="18"/>
                <w:lang w:val="en-GB"/>
              </w:rPr>
              <w:t>Index-based</w:t>
            </w:r>
            <w:r w:rsidR="007A3558" w:rsidRPr="00961F96">
              <w:rPr>
                <w:rFonts w:cs="Arial"/>
                <w:szCs w:val="18"/>
                <w:lang w:val="en-GB"/>
              </w:rPr>
              <w:t xml:space="preserve"> method </w:t>
            </w:r>
            <w:r w:rsidR="000636F8" w:rsidRPr="00961F96">
              <w:rPr>
                <w:rFonts w:cs="Arial"/>
                <w:szCs w:val="18"/>
                <w:lang w:val="en-GB"/>
              </w:rPr>
              <w:t>for Seveso sites</w:t>
            </w:r>
          </w:p>
        </w:tc>
      </w:tr>
      <w:tr w:rsidR="00430DE2" w:rsidRPr="00961F96" w14:paraId="63B558ED" w14:textId="77777777" w:rsidTr="00117A9C">
        <w:tc>
          <w:tcPr>
            <w:tcW w:w="1613" w:type="pct"/>
            <w:shd w:val="clear" w:color="auto" w:fill="FFFFFF"/>
          </w:tcPr>
          <w:p w14:paraId="15C8335D" w14:textId="77777777" w:rsidR="00912F10" w:rsidRPr="00961F96" w:rsidRDefault="00912F10" w:rsidP="00143709">
            <w:pPr>
              <w:pStyle w:val="CETBodytext"/>
              <w:ind w:right="-1"/>
              <w:rPr>
                <w:rFonts w:cs="Arial"/>
                <w:szCs w:val="18"/>
                <w:lang w:val="en-GB"/>
              </w:rPr>
            </w:pPr>
            <w:r w:rsidRPr="00961F96">
              <w:rPr>
                <w:rFonts w:cs="Arial"/>
                <w:szCs w:val="18"/>
                <w:lang w:val="en-GB"/>
              </w:rPr>
              <w:t>Directive 96/82/EC (Seveso II)</w:t>
            </w:r>
          </w:p>
          <w:p w14:paraId="57FE9835" w14:textId="312DE4CB" w:rsidR="00590332" w:rsidRPr="00961F96" w:rsidRDefault="00590332" w:rsidP="00143709">
            <w:pPr>
              <w:pStyle w:val="CETBodytext"/>
              <w:ind w:right="-1"/>
              <w:rPr>
                <w:rFonts w:cs="Arial"/>
                <w:szCs w:val="18"/>
                <w:lang w:val="en-GB"/>
              </w:rPr>
            </w:pPr>
            <w:r w:rsidRPr="00961F96">
              <w:rPr>
                <w:rFonts w:cs="Arial"/>
                <w:szCs w:val="18"/>
                <w:lang w:val="en-GB"/>
              </w:rPr>
              <w:t>(amended)</w:t>
            </w:r>
          </w:p>
        </w:tc>
        <w:tc>
          <w:tcPr>
            <w:tcW w:w="1775" w:type="pct"/>
            <w:shd w:val="clear" w:color="auto" w:fill="FFFFFF"/>
          </w:tcPr>
          <w:p w14:paraId="34CF7F55" w14:textId="77777777" w:rsidR="007D28AF" w:rsidRPr="00961F96" w:rsidRDefault="005A26A1" w:rsidP="00143709">
            <w:pPr>
              <w:pStyle w:val="CETBodytext"/>
              <w:ind w:right="-1"/>
              <w:rPr>
                <w:rFonts w:cs="Arial"/>
                <w:szCs w:val="18"/>
                <w:lang w:val="en-GB"/>
              </w:rPr>
            </w:pPr>
            <w:r w:rsidRPr="00961F96">
              <w:rPr>
                <w:rFonts w:cs="Arial"/>
                <w:szCs w:val="18"/>
                <w:lang w:val="en-GB"/>
              </w:rPr>
              <w:t>Legislative Decre</w:t>
            </w:r>
            <w:r w:rsidR="007D28AF" w:rsidRPr="00961F96">
              <w:rPr>
                <w:rFonts w:cs="Arial"/>
                <w:szCs w:val="18"/>
                <w:lang w:val="en-GB"/>
              </w:rPr>
              <w:t xml:space="preserve">e </w:t>
            </w:r>
            <w:r w:rsidRPr="00961F96">
              <w:rPr>
                <w:rFonts w:cs="Arial"/>
                <w:szCs w:val="18"/>
                <w:lang w:val="en-GB"/>
              </w:rPr>
              <w:t>334</w:t>
            </w:r>
            <w:r w:rsidR="007D28AF" w:rsidRPr="00961F96">
              <w:rPr>
                <w:rFonts w:cs="Arial"/>
                <w:szCs w:val="18"/>
                <w:lang w:val="en-GB"/>
              </w:rPr>
              <w:t>/</w:t>
            </w:r>
            <w:r w:rsidR="00561D56" w:rsidRPr="00961F96">
              <w:rPr>
                <w:rFonts w:cs="Arial"/>
                <w:szCs w:val="18"/>
                <w:lang w:val="en-GB"/>
              </w:rPr>
              <w:t>1999</w:t>
            </w:r>
          </w:p>
          <w:p w14:paraId="5D21FFCB" w14:textId="70409368" w:rsidR="00FF1F59" w:rsidRPr="00961F96" w:rsidRDefault="007D28AF" w:rsidP="00143709">
            <w:pPr>
              <w:pStyle w:val="CETBodytext"/>
              <w:ind w:right="-1"/>
              <w:rPr>
                <w:rFonts w:cs="Arial"/>
                <w:szCs w:val="18"/>
                <w:lang w:val="en-GB"/>
              </w:rPr>
            </w:pPr>
            <w:r w:rsidRPr="00961F96">
              <w:rPr>
                <w:rFonts w:cs="Arial"/>
                <w:szCs w:val="18"/>
                <w:lang w:val="en-GB"/>
              </w:rPr>
              <w:t>(</w:t>
            </w:r>
            <w:r w:rsidR="007D2889" w:rsidRPr="00961F96">
              <w:rPr>
                <w:rFonts w:cs="Arial"/>
                <w:szCs w:val="18"/>
                <w:lang w:val="en-GB"/>
              </w:rPr>
              <w:t>amended)</w:t>
            </w:r>
          </w:p>
        </w:tc>
        <w:tc>
          <w:tcPr>
            <w:tcW w:w="1612" w:type="pct"/>
            <w:shd w:val="clear" w:color="auto" w:fill="FFFFFF"/>
          </w:tcPr>
          <w:p w14:paraId="7C5F0714" w14:textId="4C55037B" w:rsidR="00FF1F59" w:rsidRPr="00961F96" w:rsidRDefault="00561D56" w:rsidP="00143709">
            <w:pPr>
              <w:pStyle w:val="CETBodytext"/>
              <w:ind w:right="-1"/>
              <w:rPr>
                <w:rFonts w:cs="Arial"/>
                <w:szCs w:val="18"/>
                <w:lang w:val="en-GB"/>
              </w:rPr>
            </w:pPr>
            <w:r w:rsidRPr="00961F96">
              <w:rPr>
                <w:rFonts w:cs="Arial"/>
                <w:szCs w:val="18"/>
                <w:lang w:val="en-GB"/>
              </w:rPr>
              <w:t>Implementation</w:t>
            </w:r>
          </w:p>
        </w:tc>
      </w:tr>
      <w:tr w:rsidR="00430DE2" w:rsidRPr="00961F96" w14:paraId="1E655C3B" w14:textId="77777777" w:rsidTr="00117A9C">
        <w:tc>
          <w:tcPr>
            <w:tcW w:w="1613" w:type="pct"/>
            <w:shd w:val="clear" w:color="auto" w:fill="FFFFFF"/>
          </w:tcPr>
          <w:p w14:paraId="2F9B9C60" w14:textId="0DB4EDBB" w:rsidR="00561D56" w:rsidRPr="00961F96" w:rsidRDefault="00E47CA1" w:rsidP="0066644C">
            <w:pPr>
              <w:pStyle w:val="CETBodytext"/>
              <w:ind w:right="-1"/>
              <w:rPr>
                <w:rFonts w:cs="Arial"/>
                <w:szCs w:val="18"/>
                <w:lang w:val="en-GB"/>
              </w:rPr>
            </w:pPr>
            <w:r w:rsidRPr="00961F96">
              <w:rPr>
                <w:rFonts w:cs="Arial"/>
                <w:szCs w:val="18"/>
                <w:lang w:val="en-GB"/>
              </w:rPr>
              <w:t>-</w:t>
            </w:r>
          </w:p>
        </w:tc>
        <w:tc>
          <w:tcPr>
            <w:tcW w:w="1775" w:type="pct"/>
            <w:shd w:val="clear" w:color="auto" w:fill="FFFFFF"/>
          </w:tcPr>
          <w:p w14:paraId="69FF142E" w14:textId="1F636FC9" w:rsidR="00561D56" w:rsidRPr="00961F96" w:rsidRDefault="007D2889" w:rsidP="0066644C">
            <w:pPr>
              <w:pStyle w:val="CETBodytext"/>
              <w:ind w:right="-1"/>
              <w:rPr>
                <w:rFonts w:cs="Arial"/>
                <w:szCs w:val="18"/>
                <w:lang w:val="en-GB"/>
              </w:rPr>
            </w:pPr>
            <w:r w:rsidRPr="00961F96">
              <w:rPr>
                <w:rFonts w:cs="Arial"/>
                <w:szCs w:val="18"/>
                <w:lang w:val="en-GB"/>
              </w:rPr>
              <w:t>Ministerial Decree 15/</w:t>
            </w:r>
            <w:r w:rsidR="00660132" w:rsidRPr="00961F96">
              <w:rPr>
                <w:rFonts w:cs="Arial"/>
                <w:szCs w:val="18"/>
                <w:lang w:val="en-GB"/>
              </w:rPr>
              <w:t>05/1996</w:t>
            </w:r>
          </w:p>
          <w:p w14:paraId="7FCACE43" w14:textId="02D34C78" w:rsidR="007D2889" w:rsidRPr="00961F96" w:rsidRDefault="007D2889" w:rsidP="0066644C">
            <w:pPr>
              <w:pStyle w:val="CETBodytext"/>
              <w:ind w:right="-1"/>
              <w:rPr>
                <w:rFonts w:cs="Arial"/>
                <w:szCs w:val="18"/>
                <w:lang w:val="en-GB"/>
              </w:rPr>
            </w:pPr>
            <w:r w:rsidRPr="00961F96">
              <w:rPr>
                <w:rFonts w:cs="Arial"/>
                <w:szCs w:val="18"/>
                <w:lang w:val="en-GB"/>
              </w:rPr>
              <w:t>(in force)</w:t>
            </w:r>
          </w:p>
        </w:tc>
        <w:tc>
          <w:tcPr>
            <w:tcW w:w="1612" w:type="pct"/>
            <w:shd w:val="clear" w:color="auto" w:fill="FFFFFF"/>
          </w:tcPr>
          <w:p w14:paraId="2257D3CE" w14:textId="44193C01" w:rsidR="00561D56" w:rsidRPr="00961F96" w:rsidRDefault="000E333A" w:rsidP="0066644C">
            <w:pPr>
              <w:pStyle w:val="CETBodytext"/>
              <w:ind w:right="-1"/>
              <w:rPr>
                <w:rFonts w:cs="Arial"/>
                <w:szCs w:val="18"/>
                <w:lang w:val="en-GB"/>
              </w:rPr>
            </w:pPr>
            <w:r w:rsidRPr="00961F96">
              <w:rPr>
                <w:rFonts w:cs="Arial"/>
                <w:szCs w:val="18"/>
                <w:lang w:val="en-GB"/>
              </w:rPr>
              <w:t>Land-use planning</w:t>
            </w:r>
            <w:r w:rsidR="007A3558" w:rsidRPr="00961F96">
              <w:rPr>
                <w:rFonts w:cs="Arial"/>
                <w:szCs w:val="18"/>
                <w:lang w:val="en-GB"/>
              </w:rPr>
              <w:t xml:space="preserve"> for </w:t>
            </w:r>
            <w:r w:rsidR="000636F8" w:rsidRPr="00961F96">
              <w:rPr>
                <w:rFonts w:cs="Arial"/>
                <w:szCs w:val="18"/>
                <w:lang w:val="en-GB"/>
              </w:rPr>
              <w:t>LPG establishments</w:t>
            </w:r>
          </w:p>
        </w:tc>
      </w:tr>
      <w:tr w:rsidR="00430DE2" w:rsidRPr="00961F96" w14:paraId="6736B8B3" w14:textId="77777777" w:rsidTr="00117A9C">
        <w:tc>
          <w:tcPr>
            <w:tcW w:w="1613" w:type="pct"/>
            <w:shd w:val="clear" w:color="auto" w:fill="FFFFFF"/>
          </w:tcPr>
          <w:p w14:paraId="20338F00" w14:textId="7110D09C" w:rsidR="00BB0C12" w:rsidRPr="00961F96" w:rsidRDefault="00E47CA1" w:rsidP="0066644C">
            <w:pPr>
              <w:pStyle w:val="CETBodytext"/>
              <w:ind w:right="-1"/>
              <w:rPr>
                <w:rFonts w:cs="Arial"/>
                <w:szCs w:val="18"/>
                <w:lang w:val="en-GB"/>
              </w:rPr>
            </w:pPr>
            <w:r w:rsidRPr="00961F96">
              <w:rPr>
                <w:rFonts w:cs="Arial"/>
                <w:szCs w:val="18"/>
                <w:lang w:val="en-GB"/>
              </w:rPr>
              <w:t>-</w:t>
            </w:r>
          </w:p>
        </w:tc>
        <w:tc>
          <w:tcPr>
            <w:tcW w:w="1775" w:type="pct"/>
            <w:shd w:val="clear" w:color="auto" w:fill="FFFFFF"/>
          </w:tcPr>
          <w:p w14:paraId="71089514" w14:textId="35FCBD10" w:rsidR="00E47CA1" w:rsidRPr="00961F96" w:rsidRDefault="00BB0C12" w:rsidP="0066644C">
            <w:pPr>
              <w:pStyle w:val="CETBodytext"/>
              <w:ind w:right="-1"/>
              <w:rPr>
                <w:rFonts w:cs="Arial"/>
                <w:szCs w:val="18"/>
                <w:lang w:val="en-GB"/>
              </w:rPr>
            </w:pPr>
            <w:r w:rsidRPr="00961F96">
              <w:rPr>
                <w:rFonts w:cs="Arial"/>
                <w:szCs w:val="18"/>
                <w:lang w:val="en-GB"/>
              </w:rPr>
              <w:t>Ministerial Decree 09/05/20</w:t>
            </w:r>
            <w:r w:rsidR="006753F2" w:rsidRPr="00961F96">
              <w:rPr>
                <w:rFonts w:cs="Arial"/>
                <w:szCs w:val="18"/>
                <w:lang w:val="en-GB"/>
              </w:rPr>
              <w:t>0</w:t>
            </w:r>
            <w:r w:rsidRPr="00961F96">
              <w:rPr>
                <w:rFonts w:cs="Arial"/>
                <w:szCs w:val="18"/>
                <w:lang w:val="en-GB"/>
              </w:rPr>
              <w:t>1</w:t>
            </w:r>
          </w:p>
          <w:p w14:paraId="7501B16A" w14:textId="44C913C7" w:rsidR="00BB0C12" w:rsidRPr="00961F96" w:rsidRDefault="007D2889" w:rsidP="0066644C">
            <w:pPr>
              <w:pStyle w:val="CETBodytext"/>
              <w:ind w:right="-1"/>
              <w:rPr>
                <w:rFonts w:cs="Arial"/>
                <w:szCs w:val="18"/>
                <w:lang w:val="en-GB"/>
              </w:rPr>
            </w:pPr>
            <w:r w:rsidRPr="00961F96">
              <w:rPr>
                <w:rFonts w:cs="Arial"/>
                <w:szCs w:val="18"/>
                <w:lang w:val="en-GB"/>
              </w:rPr>
              <w:t>(in force)</w:t>
            </w:r>
          </w:p>
        </w:tc>
        <w:tc>
          <w:tcPr>
            <w:tcW w:w="1612" w:type="pct"/>
            <w:shd w:val="clear" w:color="auto" w:fill="FFFFFF"/>
          </w:tcPr>
          <w:p w14:paraId="5D00151C" w14:textId="7578552D" w:rsidR="00BB0C12" w:rsidRPr="00961F96" w:rsidRDefault="00BB0C12" w:rsidP="0066644C">
            <w:pPr>
              <w:pStyle w:val="CETBodytext"/>
              <w:ind w:right="-1"/>
              <w:rPr>
                <w:rFonts w:cs="Arial"/>
                <w:szCs w:val="18"/>
                <w:lang w:val="en-GB"/>
              </w:rPr>
            </w:pPr>
            <w:r w:rsidRPr="00961F96">
              <w:rPr>
                <w:rFonts w:cs="Arial"/>
                <w:szCs w:val="18"/>
                <w:lang w:val="en-GB"/>
              </w:rPr>
              <w:t>Land-use planning around Seveso establishments</w:t>
            </w:r>
          </w:p>
        </w:tc>
      </w:tr>
      <w:tr w:rsidR="00430DE2" w:rsidRPr="00961F96" w14:paraId="2B0A536B" w14:textId="77777777" w:rsidTr="00117A9C">
        <w:tc>
          <w:tcPr>
            <w:tcW w:w="1613" w:type="pct"/>
            <w:shd w:val="clear" w:color="auto" w:fill="FFFFFF"/>
          </w:tcPr>
          <w:p w14:paraId="40884A33" w14:textId="77777777" w:rsidR="0066644C" w:rsidRPr="00961F96" w:rsidRDefault="0066644C" w:rsidP="0066644C">
            <w:pPr>
              <w:pStyle w:val="CETBodytext"/>
              <w:ind w:right="-1"/>
              <w:rPr>
                <w:rFonts w:cs="Arial"/>
                <w:szCs w:val="18"/>
                <w:lang w:val="en-GB"/>
              </w:rPr>
            </w:pPr>
            <w:r w:rsidRPr="00961F96">
              <w:rPr>
                <w:rFonts w:cs="Arial"/>
                <w:szCs w:val="18"/>
                <w:lang w:val="en-GB"/>
              </w:rPr>
              <w:t>Directive 2012/18/EU (Seveso III)</w:t>
            </w:r>
          </w:p>
          <w:p w14:paraId="0289AD36" w14:textId="47935281" w:rsidR="0066644C" w:rsidRPr="00961F96" w:rsidRDefault="0066644C" w:rsidP="0066644C">
            <w:pPr>
              <w:pStyle w:val="CETBodytext"/>
              <w:ind w:right="-1"/>
              <w:rPr>
                <w:rFonts w:cs="Arial"/>
                <w:szCs w:val="18"/>
                <w:lang w:val="en-GB"/>
              </w:rPr>
            </w:pPr>
            <w:r w:rsidRPr="00961F96">
              <w:rPr>
                <w:rFonts w:cs="Arial"/>
                <w:szCs w:val="18"/>
                <w:lang w:val="en-GB"/>
              </w:rPr>
              <w:t>(in force)</w:t>
            </w:r>
          </w:p>
        </w:tc>
        <w:tc>
          <w:tcPr>
            <w:tcW w:w="1775" w:type="pct"/>
            <w:shd w:val="clear" w:color="auto" w:fill="FFFFFF"/>
          </w:tcPr>
          <w:p w14:paraId="664199CD" w14:textId="77777777" w:rsidR="00034A0A" w:rsidRPr="00961F96" w:rsidRDefault="0066644C" w:rsidP="0066644C">
            <w:pPr>
              <w:pStyle w:val="CETBodytext"/>
              <w:ind w:right="-1"/>
              <w:rPr>
                <w:rFonts w:cs="Arial"/>
                <w:szCs w:val="18"/>
                <w:lang w:val="en-GB"/>
              </w:rPr>
            </w:pPr>
            <w:r w:rsidRPr="00961F96">
              <w:rPr>
                <w:rFonts w:cs="Arial"/>
                <w:szCs w:val="18"/>
                <w:lang w:val="en-GB"/>
              </w:rPr>
              <w:t>Legislative Decree 105/2015</w:t>
            </w:r>
          </w:p>
          <w:p w14:paraId="76C698B3" w14:textId="40ED2F6F" w:rsidR="0066644C" w:rsidRPr="00961F96" w:rsidRDefault="0066644C" w:rsidP="0066644C">
            <w:pPr>
              <w:pStyle w:val="CETBodytext"/>
              <w:ind w:right="-1"/>
              <w:rPr>
                <w:rFonts w:cs="Arial"/>
                <w:szCs w:val="18"/>
                <w:lang w:val="en-GB"/>
              </w:rPr>
            </w:pPr>
            <w:r w:rsidRPr="00961F96">
              <w:rPr>
                <w:rFonts w:cs="Arial"/>
                <w:szCs w:val="18"/>
                <w:lang w:val="en-GB"/>
              </w:rPr>
              <w:t>(in force)</w:t>
            </w:r>
          </w:p>
        </w:tc>
        <w:tc>
          <w:tcPr>
            <w:tcW w:w="1612" w:type="pct"/>
            <w:shd w:val="clear" w:color="auto" w:fill="FFFFFF"/>
          </w:tcPr>
          <w:p w14:paraId="3BDD120D" w14:textId="25FB6417" w:rsidR="0066644C" w:rsidRPr="00961F96" w:rsidRDefault="00561D56" w:rsidP="0066644C">
            <w:pPr>
              <w:pStyle w:val="CETBodytext"/>
              <w:ind w:right="-1"/>
              <w:rPr>
                <w:rFonts w:cs="Arial"/>
                <w:szCs w:val="18"/>
                <w:lang w:val="en-GB"/>
              </w:rPr>
            </w:pPr>
            <w:r w:rsidRPr="00961F96">
              <w:rPr>
                <w:rFonts w:cs="Arial"/>
                <w:szCs w:val="18"/>
                <w:lang w:val="en-GB"/>
              </w:rPr>
              <w:t>Implementation</w:t>
            </w:r>
          </w:p>
        </w:tc>
      </w:tr>
    </w:tbl>
    <w:p w14:paraId="003FD2A9" w14:textId="77777777" w:rsidR="00B14628" w:rsidRPr="00961F96" w:rsidRDefault="00B14628" w:rsidP="00B14628">
      <w:pPr>
        <w:pStyle w:val="CETBodytext"/>
      </w:pPr>
    </w:p>
    <w:p w14:paraId="4C757859" w14:textId="521D5C4B" w:rsidR="00D93F43" w:rsidRPr="00961F96" w:rsidRDefault="00DD17B8" w:rsidP="00BA3AAE">
      <w:pPr>
        <w:pStyle w:val="CETBodytext"/>
      </w:pPr>
      <w:r>
        <w:t>The Seveso III</w:t>
      </w:r>
      <w:r w:rsidR="00EE6170" w:rsidRPr="00961F96">
        <w:t xml:space="preserve"> is </w:t>
      </w:r>
      <w:r w:rsidR="00165792">
        <w:t xml:space="preserve">currently </w:t>
      </w:r>
      <w:r w:rsidR="00EE6170" w:rsidRPr="00961F96">
        <w:t xml:space="preserve">transposed </w:t>
      </w:r>
      <w:r w:rsidR="00165792">
        <w:t xml:space="preserve">with </w:t>
      </w:r>
      <w:r w:rsidR="008A4BCA" w:rsidRPr="00961F96">
        <w:t xml:space="preserve">Legislative </w:t>
      </w:r>
      <w:r w:rsidR="004A5741" w:rsidRPr="00961F96">
        <w:t xml:space="preserve">Decree </w:t>
      </w:r>
      <w:r w:rsidR="00EE6170" w:rsidRPr="00961F96">
        <w:t>(</w:t>
      </w:r>
      <w:proofErr w:type="spellStart"/>
      <w:proofErr w:type="gramStart"/>
      <w:r w:rsidR="00EE6170" w:rsidRPr="00961F96">
        <w:t>D.Lgs</w:t>
      </w:r>
      <w:proofErr w:type="spellEnd"/>
      <w:proofErr w:type="gramEnd"/>
      <w:r w:rsidR="00EE6170" w:rsidRPr="00961F96">
        <w:t xml:space="preserve">.) </w:t>
      </w:r>
      <w:r w:rsidR="00524979" w:rsidRPr="00961F96">
        <w:t>105/2015</w:t>
      </w:r>
      <w:r w:rsidR="004A5741" w:rsidRPr="00961F96">
        <w:t xml:space="preserve"> </w:t>
      </w:r>
      <w:r w:rsidR="003B192E" w:rsidRPr="00961F96">
        <w:t>(Gazzetta Ufficiale, 2015)</w:t>
      </w:r>
      <w:r w:rsidR="00524979" w:rsidRPr="00961F96">
        <w:t>.</w:t>
      </w:r>
      <w:r w:rsidR="00392F1A" w:rsidRPr="00961F96">
        <w:t xml:space="preserve"> </w:t>
      </w:r>
      <w:r>
        <w:t>T</w:t>
      </w:r>
      <w:r w:rsidR="008E78CC" w:rsidRPr="00961F96">
        <w:t xml:space="preserve">he scope </w:t>
      </w:r>
      <w:r>
        <w:t xml:space="preserve">is specified in Article </w:t>
      </w:r>
      <w:proofErr w:type="gramStart"/>
      <w:r>
        <w:t>2</w:t>
      </w:r>
      <w:proofErr w:type="gramEnd"/>
      <w:r>
        <w:t xml:space="preserve"> and</w:t>
      </w:r>
      <w:r w:rsidR="00165792">
        <w:t xml:space="preserve"> it</w:t>
      </w:r>
      <w:r>
        <w:t xml:space="preserve"> </w:t>
      </w:r>
      <w:r w:rsidR="008E78CC" w:rsidRPr="00961F96">
        <w:t>excludes</w:t>
      </w:r>
      <w:r w:rsidR="00E53B64" w:rsidRPr="00961F96">
        <w:t xml:space="preserve"> the transport of hazardous substances</w:t>
      </w:r>
      <w:r w:rsidR="00392F1A" w:rsidRPr="00961F96">
        <w:t>, temporary storage connected by road, rails, sea, or air</w:t>
      </w:r>
      <w:r>
        <w:t>,</w:t>
      </w:r>
      <w:r w:rsidR="00717FDB">
        <w:t xml:space="preserve"> as well as </w:t>
      </w:r>
      <w:r w:rsidR="006C1B34">
        <w:t xml:space="preserve">in </w:t>
      </w:r>
      <w:r w:rsidR="005827D3" w:rsidRPr="00961F96">
        <w:t xml:space="preserve">pipelines, including pumping stations outside the </w:t>
      </w:r>
      <w:r w:rsidR="00595288" w:rsidRPr="00961F96">
        <w:t>establishment</w:t>
      </w:r>
      <w:r w:rsidR="005827D3" w:rsidRPr="00961F96">
        <w:t>. Thi</w:t>
      </w:r>
      <w:r w:rsidR="00717FDB">
        <w:t>s</w:t>
      </w:r>
      <w:r w:rsidR="005827D3" w:rsidRPr="00961F96">
        <w:t xml:space="preserve"> Decree</w:t>
      </w:r>
      <w:r w:rsidR="00795A2E">
        <w:t xml:space="preserve"> </w:t>
      </w:r>
      <w:r w:rsidR="00EE6170" w:rsidRPr="00961F96">
        <w:t>is complemented by</w:t>
      </w:r>
      <w:r w:rsidR="005827D3" w:rsidRPr="00961F96">
        <w:t xml:space="preserve"> Ministerial Decree</w:t>
      </w:r>
      <w:r w:rsidR="00EE6170" w:rsidRPr="00961F96">
        <w:t xml:space="preserve"> (DM)</w:t>
      </w:r>
      <w:r w:rsidR="005827D3" w:rsidRPr="00961F96">
        <w:t xml:space="preserve"> 09/05/2011</w:t>
      </w:r>
      <w:r w:rsidR="00030D17" w:rsidRPr="00961F96">
        <w:t>, which</w:t>
      </w:r>
      <w:r w:rsidR="00A97ABA" w:rsidRPr="00961F96">
        <w:t xml:space="preserve"> establishes </w:t>
      </w:r>
      <w:r w:rsidR="00780737" w:rsidRPr="00961F96">
        <w:t xml:space="preserve">the safety requirements for </w:t>
      </w:r>
      <w:r w:rsidR="00216A9B" w:rsidRPr="00961F96">
        <w:t>land-use</w:t>
      </w:r>
      <w:r w:rsidR="00780737" w:rsidRPr="00961F96">
        <w:t xml:space="preserve"> planning </w:t>
      </w:r>
      <w:r w:rsidR="00216A9B" w:rsidRPr="00961F96">
        <w:t>around Seveso establishments</w:t>
      </w:r>
      <w:r w:rsidR="00030D17" w:rsidRPr="00961F96">
        <w:t xml:space="preserve"> (Gazzetta Ufficiale, 2001)</w:t>
      </w:r>
      <w:r w:rsidR="0027271C" w:rsidRPr="00961F96">
        <w:t>, as required by Seveso II.</w:t>
      </w:r>
      <w:r w:rsidR="001014EC" w:rsidRPr="00961F96">
        <w:t xml:space="preserve"> </w:t>
      </w:r>
      <w:r w:rsidR="002753DF" w:rsidRPr="00961F96">
        <w:t xml:space="preserve">Territorial compatibility in Italy is assessed through </w:t>
      </w:r>
      <w:r w:rsidR="00672EA8" w:rsidRPr="00961F96">
        <w:t>a</w:t>
      </w:r>
      <w:r w:rsidR="002753DF" w:rsidRPr="00961F96">
        <w:t xml:space="preserve"> </w:t>
      </w:r>
      <w:r w:rsidR="0018720A" w:rsidRPr="00961F96">
        <w:t>hybrid</w:t>
      </w:r>
      <w:r w:rsidR="002753DF" w:rsidRPr="00961F96">
        <w:t xml:space="preserve"> scenario-based approach</w:t>
      </w:r>
      <w:r w:rsidR="00D367E5" w:rsidRPr="00961F96">
        <w:t xml:space="preserve">; </w:t>
      </w:r>
      <w:r w:rsidR="00BA7168" w:rsidRPr="00961F96">
        <w:t>the extension of damage areas is assessed using deterministic threshold values for different types of physical effects (</w:t>
      </w:r>
      <w:r w:rsidR="00CB3D83" w:rsidRPr="00961F96">
        <w:t xml:space="preserve">fires, explosion, toxic dispersion). </w:t>
      </w:r>
      <w:r w:rsidR="00E94ABD" w:rsidRPr="00961F96">
        <w:t xml:space="preserve">Then, the frequency of the event </w:t>
      </w:r>
      <w:r w:rsidR="0018720A" w:rsidRPr="00961F96">
        <w:t xml:space="preserve">determines the vulnerability class allowed </w:t>
      </w:r>
      <w:r w:rsidR="008E165D" w:rsidRPr="00961F96">
        <w:t xml:space="preserve">within the </w:t>
      </w:r>
      <w:proofErr w:type="gramStart"/>
      <w:r w:rsidR="008E165D" w:rsidRPr="00961F96">
        <w:t>damage</w:t>
      </w:r>
      <w:proofErr w:type="gramEnd"/>
      <w:r w:rsidR="008E165D" w:rsidRPr="00961F96">
        <w:t xml:space="preserve"> area</w:t>
      </w:r>
      <w:r w:rsidR="00C45FAD" w:rsidRPr="00961F96">
        <w:t xml:space="preserve">. Italy distinguishes </w:t>
      </w:r>
      <w:r w:rsidR="00DC64F4" w:rsidRPr="00961F96">
        <w:t xml:space="preserve">6 vulnerability classes, ranging from A (most vulnerable) to F (least vulnerable). </w:t>
      </w:r>
    </w:p>
    <w:p w14:paraId="22EB763E" w14:textId="0B494A2B" w:rsidR="00D93F43" w:rsidRPr="00961F96" w:rsidRDefault="00EE6170" w:rsidP="00BA3AAE">
      <w:pPr>
        <w:pStyle w:val="CETBodytext"/>
      </w:pPr>
      <w:r w:rsidRPr="00961F96">
        <w:t>F</w:t>
      </w:r>
      <w:r w:rsidR="00C45FAD" w:rsidRPr="00961F96">
        <w:t>or LPG processing and storing plants</w:t>
      </w:r>
      <w:r w:rsidR="00A45217" w:rsidRPr="00961F96">
        <w:t xml:space="preserve">, a specific land-use planning </w:t>
      </w:r>
      <w:r w:rsidR="00A663EB">
        <w:t>method</w:t>
      </w:r>
      <w:r w:rsidR="00A45217" w:rsidRPr="00961F96">
        <w:t xml:space="preserve"> is adopted, following the provisions in</w:t>
      </w:r>
      <w:r w:rsidR="00B025C8" w:rsidRPr="00961F96">
        <w:t xml:space="preserve"> </w:t>
      </w:r>
      <w:r w:rsidRPr="00961F96">
        <w:t>DM</w:t>
      </w:r>
      <w:r w:rsidR="00B025C8" w:rsidRPr="00961F96">
        <w:t xml:space="preserve"> 15/05/1996</w:t>
      </w:r>
      <w:r w:rsidR="004507EC">
        <w:t>. I</w:t>
      </w:r>
      <w:r w:rsidR="00B025C8" w:rsidRPr="00961F96">
        <w:t xml:space="preserve">t follows a similar logic to </w:t>
      </w:r>
      <w:r w:rsidRPr="00961F96">
        <w:t>DM 09/05/2001</w:t>
      </w:r>
      <w:r w:rsidR="00B025C8" w:rsidRPr="00961F96">
        <w:t>, but the</w:t>
      </w:r>
      <w:r w:rsidRPr="00961F96">
        <w:t xml:space="preserve"> </w:t>
      </w:r>
      <w:r w:rsidR="00B025C8" w:rsidRPr="00961F96">
        <w:t>establishments are divided in class</w:t>
      </w:r>
      <w:r w:rsidR="004507EC">
        <w:t>es</w:t>
      </w:r>
      <w:r w:rsidR="00B025C8" w:rsidRPr="00961F96">
        <w:t xml:space="preserve"> according </w:t>
      </w:r>
      <w:r w:rsidR="00F64D0A" w:rsidRPr="00961F96">
        <w:t>to an index-based method</w:t>
      </w:r>
      <w:r w:rsidR="00B159C3">
        <w:t>: hence,</w:t>
      </w:r>
      <w:r w:rsidR="00F64D0A" w:rsidRPr="00961F96">
        <w:t xml:space="preserve"> the likelihood of the event is not a variable for land-use</w:t>
      </w:r>
      <w:r w:rsidR="00B159C3">
        <w:t xml:space="preserve"> around LPG establishments</w:t>
      </w:r>
      <w:r w:rsidR="00F64D0A" w:rsidRPr="00961F96">
        <w:t>.</w:t>
      </w:r>
      <w:r w:rsidR="001D6567" w:rsidRPr="00961F96">
        <w:t xml:space="preserve"> </w:t>
      </w:r>
    </w:p>
    <w:p w14:paraId="09BC1EBA" w14:textId="55E07A99" w:rsidR="001D6567" w:rsidRPr="00961F96" w:rsidRDefault="00C62A34" w:rsidP="00BA3AAE">
      <w:pPr>
        <w:pStyle w:val="CETBodytext"/>
      </w:pPr>
      <w:r w:rsidRPr="00961F96">
        <w:lastRenderedPageBreak/>
        <w:t xml:space="preserve">The competent authority for </w:t>
      </w:r>
      <w:r w:rsidR="00D43484" w:rsidRPr="00961F96">
        <w:t>major-accident prevention is the Regional Technical Committee</w:t>
      </w:r>
      <w:r w:rsidRPr="00961F96">
        <w:t xml:space="preserve"> (CTR)</w:t>
      </w:r>
      <w:r w:rsidR="00D43484" w:rsidRPr="00961F96">
        <w:t xml:space="preserve">, established by the Ministry of Interior. </w:t>
      </w:r>
      <w:r w:rsidR="00E47CA1" w:rsidRPr="00961F96">
        <w:t xml:space="preserve">The composition of the CTR has varied over the successive implementations of the Seveso Directive. Currently, </w:t>
      </w:r>
      <w:r w:rsidRPr="00961F96">
        <w:t>it</w:t>
      </w:r>
      <w:r w:rsidR="00E72723" w:rsidRPr="00961F96">
        <w:t xml:space="preserve"> is defined in Article 10 of </w:t>
      </w:r>
      <w:r w:rsidR="00EE6170" w:rsidRPr="00961F96">
        <w:t xml:space="preserve">D. </w:t>
      </w:r>
      <w:proofErr w:type="spellStart"/>
      <w:r w:rsidR="00EE6170" w:rsidRPr="00961F96">
        <w:t>Lgs</w:t>
      </w:r>
      <w:proofErr w:type="spellEnd"/>
      <w:r w:rsidR="00286B85">
        <w:t xml:space="preserve">. </w:t>
      </w:r>
      <w:r w:rsidR="00E72723" w:rsidRPr="00961F96">
        <w:t>105/15</w:t>
      </w:r>
      <w:r w:rsidR="00D5238B" w:rsidRPr="00961F96">
        <w:t>. It i</w:t>
      </w:r>
      <w:r w:rsidR="00E72723" w:rsidRPr="00961F96">
        <w:t>ncludes</w:t>
      </w:r>
      <w:r w:rsidR="00EC502B" w:rsidRPr="00961F96">
        <w:t xml:space="preserve"> </w:t>
      </w:r>
      <w:r w:rsidR="00743ADE" w:rsidRPr="00961F96">
        <w:t xml:space="preserve">local and regional </w:t>
      </w:r>
      <w:r w:rsidR="00EC502B" w:rsidRPr="00961F96">
        <w:t xml:space="preserve">members </w:t>
      </w:r>
      <w:r w:rsidR="00F7738A">
        <w:t>such as</w:t>
      </w:r>
      <w:r w:rsidR="00EE6170" w:rsidRPr="00961F96">
        <w:t xml:space="preserve"> </w:t>
      </w:r>
      <w:r w:rsidR="00EC502B" w:rsidRPr="00961F96">
        <w:t>Fire Brigades (the Director is the President of the CTR</w:t>
      </w:r>
      <w:r w:rsidR="00260AB1" w:rsidRPr="00961F96">
        <w:t>)</w:t>
      </w:r>
      <w:r w:rsidR="00E47CA1" w:rsidRPr="00961F96">
        <w:t>, the Regional Agency for the Environmental Protection</w:t>
      </w:r>
      <w:r w:rsidR="006A21D8" w:rsidRPr="00961F96">
        <w:t xml:space="preserve"> (ARPA)</w:t>
      </w:r>
      <w:r w:rsidR="00E47CA1" w:rsidRPr="00961F96">
        <w:t xml:space="preserve">, </w:t>
      </w:r>
      <w:r w:rsidR="006A21D8" w:rsidRPr="00961F96">
        <w:t xml:space="preserve">the Territorial </w:t>
      </w:r>
      <w:r w:rsidR="00FD2C71" w:rsidRPr="00961F96">
        <w:t>Labor</w:t>
      </w:r>
      <w:r w:rsidR="006A21D8" w:rsidRPr="00961F96">
        <w:t xml:space="preserve"> Office</w:t>
      </w:r>
      <w:r w:rsidR="005D0C92" w:rsidRPr="00961F96">
        <w:t>, the Region/</w:t>
      </w:r>
      <w:r w:rsidR="00FD2C71" w:rsidRPr="00961F96">
        <w:t>Autonomous</w:t>
      </w:r>
      <w:r w:rsidR="005D0C92" w:rsidRPr="00961F96">
        <w:t xml:space="preserve"> </w:t>
      </w:r>
      <w:r w:rsidR="00FD2C71" w:rsidRPr="00961F96">
        <w:t>Province</w:t>
      </w:r>
      <w:r w:rsidR="00D5238B" w:rsidRPr="00961F96">
        <w:t xml:space="preserve">, </w:t>
      </w:r>
      <w:r w:rsidR="00E47CA1" w:rsidRPr="00961F96">
        <w:t xml:space="preserve">the </w:t>
      </w:r>
      <w:r w:rsidR="005838F0" w:rsidRPr="00961F96">
        <w:t>National Institute of Insurance against Accidents at Work (INAIL)</w:t>
      </w:r>
      <w:r w:rsidR="006A21D8" w:rsidRPr="00961F96">
        <w:t xml:space="preserve">, </w:t>
      </w:r>
      <w:r w:rsidR="005D0C92" w:rsidRPr="00961F96">
        <w:t xml:space="preserve">the </w:t>
      </w:r>
      <w:r w:rsidR="006A21D8" w:rsidRPr="00961F96">
        <w:t xml:space="preserve">Local Health Authority (ASL), </w:t>
      </w:r>
      <w:r w:rsidR="005D0C92" w:rsidRPr="00961F96">
        <w:t>and the Municipality.</w:t>
      </w:r>
    </w:p>
    <w:p w14:paraId="4C65360D" w14:textId="17A76EEA" w:rsidR="00BA3AAE" w:rsidRPr="00961F96" w:rsidRDefault="00C63850" w:rsidP="00BA3AAE">
      <w:pPr>
        <w:pStyle w:val="CETBodytext"/>
      </w:pPr>
      <w:r w:rsidRPr="00961F96">
        <w:t>The</w:t>
      </w:r>
      <w:r w:rsidR="007D5A42">
        <w:t xml:space="preserve"> </w:t>
      </w:r>
      <w:r w:rsidR="000E707F" w:rsidRPr="00961F96">
        <w:t>requirements</w:t>
      </w:r>
      <w:r w:rsidRPr="00961F96">
        <w:t xml:space="preserve"> for major-hazard accident permitting </w:t>
      </w:r>
      <w:r w:rsidR="00A73C9D">
        <w:t xml:space="preserve">vary based </w:t>
      </w:r>
      <w:r w:rsidRPr="00961F96">
        <w:t>on the tier of the establishment. For lower-tier establishments</w:t>
      </w:r>
      <w:r w:rsidR="00A73C9D">
        <w:t>,</w:t>
      </w:r>
      <w:r w:rsidRPr="00961F96">
        <w:t xml:space="preserve"> </w:t>
      </w:r>
      <w:proofErr w:type="spellStart"/>
      <w:proofErr w:type="gramStart"/>
      <w:r w:rsidRPr="00961F96">
        <w:t>D.Lgs</w:t>
      </w:r>
      <w:proofErr w:type="spellEnd"/>
      <w:proofErr w:type="gramEnd"/>
      <w:r w:rsidRPr="00961F96">
        <w:t>.</w:t>
      </w:r>
      <w:r w:rsidR="00E2607A">
        <w:t xml:space="preserve"> </w:t>
      </w:r>
      <w:r w:rsidRPr="00961F96">
        <w:t>105/2015 requires: a notification containing the main information</w:t>
      </w:r>
      <w:r w:rsidR="00643BF2">
        <w:t xml:space="preserve"> on hazardous events</w:t>
      </w:r>
      <w:r w:rsidRPr="00961F96">
        <w:t xml:space="preserve">, the definition of a </w:t>
      </w:r>
      <w:r w:rsidR="003C34BA">
        <w:t>Major Accident Prevention Policy</w:t>
      </w:r>
      <w:r w:rsidRPr="00961F96">
        <w:t xml:space="preserve">, an External Emergency Plan, and land compatibility assessment </w:t>
      </w:r>
      <w:r w:rsidR="00643BF2">
        <w:t>as per</w:t>
      </w:r>
      <w:r w:rsidRPr="00961F96">
        <w:t xml:space="preserve"> </w:t>
      </w:r>
      <w:r w:rsidR="006D5736">
        <w:t xml:space="preserve">DM </w:t>
      </w:r>
      <w:r w:rsidRPr="00961F96">
        <w:t>09/05/2001. For upper</w:t>
      </w:r>
      <w:r w:rsidRPr="00961F96">
        <w:rPr>
          <w:rFonts w:ascii="Cambria Math" w:hAnsi="Cambria Math" w:cs="Cambria Math"/>
        </w:rPr>
        <w:t>‑</w:t>
      </w:r>
      <w:r w:rsidRPr="00961F96">
        <w:t>tier establishments, all lower</w:t>
      </w:r>
      <w:r w:rsidRPr="00961F96">
        <w:rPr>
          <w:rFonts w:ascii="Cambria Math" w:hAnsi="Cambria Math" w:cs="Cambria Math"/>
        </w:rPr>
        <w:t>‑</w:t>
      </w:r>
      <w:r w:rsidRPr="00961F96">
        <w:t>tier obligations apply, and additional requirements are introduced</w:t>
      </w:r>
      <w:r w:rsidR="00643BF2">
        <w:t>: a</w:t>
      </w:r>
      <w:r w:rsidRPr="00961F96">
        <w:t xml:space="preserve">n Internal Emergency Plan and the submission of </w:t>
      </w:r>
      <w:r w:rsidR="00643BF2">
        <w:t xml:space="preserve">a complete </w:t>
      </w:r>
      <w:r w:rsidRPr="00961F96">
        <w:t>Safety Report.</w:t>
      </w:r>
      <w:r w:rsidR="00BA3AAE" w:rsidRPr="00961F96">
        <w:t xml:space="preserve"> </w:t>
      </w:r>
      <w:proofErr w:type="gramStart"/>
      <w:r w:rsidR="00F37852" w:rsidRPr="00961F96">
        <w:t>The CTR</w:t>
      </w:r>
      <w:proofErr w:type="gramEnd"/>
      <w:r w:rsidR="00F37852" w:rsidRPr="00961F96">
        <w:t xml:space="preserve"> oversees the permitting process</w:t>
      </w:r>
      <w:r w:rsidR="00430DE2" w:rsidRPr="00961F96">
        <w:t>. For upper-tier establishments, it is composed of two steps</w:t>
      </w:r>
      <w:r w:rsidR="00F37852" w:rsidRPr="00961F96">
        <w:t>: Construction permit (</w:t>
      </w:r>
      <w:proofErr w:type="spellStart"/>
      <w:r w:rsidR="00F37852" w:rsidRPr="00CB36AA">
        <w:rPr>
          <w:i/>
          <w:iCs/>
        </w:rPr>
        <w:t>Nulla</w:t>
      </w:r>
      <w:proofErr w:type="spellEnd"/>
      <w:r w:rsidR="00F37852" w:rsidRPr="00CB36AA">
        <w:rPr>
          <w:i/>
          <w:iCs/>
        </w:rPr>
        <w:t xml:space="preserve"> Osta di </w:t>
      </w:r>
      <w:proofErr w:type="spellStart"/>
      <w:r w:rsidR="00F37852" w:rsidRPr="00CB36AA">
        <w:rPr>
          <w:i/>
          <w:iCs/>
        </w:rPr>
        <w:t>Fattibilità</w:t>
      </w:r>
      <w:proofErr w:type="spellEnd"/>
      <w:r w:rsidR="00F37852" w:rsidRPr="00961F96">
        <w:t>, based on the Preliminary Safety Report) and Operation Permit (</w:t>
      </w:r>
      <w:proofErr w:type="spellStart"/>
      <w:r w:rsidR="00F37852" w:rsidRPr="00CB36AA">
        <w:rPr>
          <w:i/>
          <w:iCs/>
        </w:rPr>
        <w:t>Parere</w:t>
      </w:r>
      <w:proofErr w:type="spellEnd"/>
      <w:r w:rsidR="00F37852" w:rsidRPr="00CB36AA">
        <w:rPr>
          <w:i/>
          <w:iCs/>
        </w:rPr>
        <w:t xml:space="preserve"> </w:t>
      </w:r>
      <w:proofErr w:type="spellStart"/>
      <w:r w:rsidR="00F37852" w:rsidRPr="00CB36AA">
        <w:rPr>
          <w:i/>
          <w:iCs/>
        </w:rPr>
        <w:t>Tecnico</w:t>
      </w:r>
      <w:proofErr w:type="spellEnd"/>
      <w:r w:rsidR="00F37852" w:rsidRPr="00CB36AA">
        <w:rPr>
          <w:i/>
          <w:iCs/>
        </w:rPr>
        <w:t xml:space="preserve"> </w:t>
      </w:r>
      <w:proofErr w:type="spellStart"/>
      <w:r w:rsidR="00F37852" w:rsidRPr="00CB36AA">
        <w:rPr>
          <w:i/>
          <w:iCs/>
        </w:rPr>
        <w:t>Conclusivo</w:t>
      </w:r>
      <w:proofErr w:type="spellEnd"/>
      <w:r w:rsidR="00F37852" w:rsidRPr="00961F96">
        <w:t xml:space="preserve">, based on the </w:t>
      </w:r>
      <w:r w:rsidR="000C6099" w:rsidRPr="00961F96">
        <w:t>F</w:t>
      </w:r>
      <w:r w:rsidR="00F37852" w:rsidRPr="00961F96">
        <w:t>inal Safety Report)</w:t>
      </w:r>
      <w:r w:rsidR="000C6099" w:rsidRPr="00961F96">
        <w:t>.</w:t>
      </w:r>
    </w:p>
    <w:p w14:paraId="1ABE7890" w14:textId="7C25481F" w:rsidR="00780737" w:rsidRPr="00961F96" w:rsidRDefault="00480F19" w:rsidP="00B14628">
      <w:pPr>
        <w:pStyle w:val="CETBodytext"/>
      </w:pPr>
      <w:r w:rsidRPr="00961F96">
        <w:t xml:space="preserve">For what concerns the assessment of the hazardous events, their likelihood, and their consequences, </w:t>
      </w:r>
      <w:r w:rsidR="00A45B6A">
        <w:t>the approach is not prescriptive</w:t>
      </w:r>
      <w:r w:rsidRPr="00961F96">
        <w:t xml:space="preserve">, </w:t>
      </w:r>
      <w:r w:rsidR="00971B12">
        <w:t>and</w:t>
      </w:r>
      <w:r w:rsidRPr="00961F96">
        <w:t xml:space="preserve"> the </w:t>
      </w:r>
      <w:r w:rsidR="005E76F0" w:rsidRPr="00961F96">
        <w:t>o</w:t>
      </w:r>
      <w:r w:rsidRPr="00961F96">
        <w:t xml:space="preserve">wner can </w:t>
      </w:r>
      <w:r w:rsidR="00A45B6A">
        <w:t>adopt</w:t>
      </w:r>
      <w:r w:rsidRPr="00961F96">
        <w:t xml:space="preserve"> different tools and method</w:t>
      </w:r>
      <w:r w:rsidR="000A0DBB" w:rsidRPr="00961F96">
        <w:t>.</w:t>
      </w:r>
      <w:r w:rsidR="00313435">
        <w:t xml:space="preserve"> However, </w:t>
      </w:r>
      <w:r w:rsidR="0004763D">
        <w:t>there are some</w:t>
      </w:r>
      <w:r w:rsidR="00C472F7" w:rsidRPr="00961F96">
        <w:t xml:space="preserve"> technical rules available</w:t>
      </w:r>
      <w:r w:rsidR="0004763D">
        <w:t xml:space="preserve"> which are reported in Table 1</w:t>
      </w:r>
      <w:r w:rsidR="00C472F7" w:rsidRPr="00961F96">
        <w:t xml:space="preserve">, </w:t>
      </w:r>
      <w:r w:rsidR="00313435">
        <w:t>e.g., the</w:t>
      </w:r>
      <w:r w:rsidR="00C472F7" w:rsidRPr="00961F96">
        <w:t xml:space="preserve"> Index Method ruled by </w:t>
      </w:r>
      <w:r w:rsidR="00EE6170" w:rsidRPr="00961F96">
        <w:t>DM</w:t>
      </w:r>
      <w:r w:rsidR="00C472F7" w:rsidRPr="00961F96">
        <w:t xml:space="preserve"> 31/03/</w:t>
      </w:r>
      <w:r w:rsidR="0095091E" w:rsidRPr="00961F96">
        <w:t>1989</w:t>
      </w:r>
      <w:r w:rsidR="0013125B" w:rsidRPr="00961F96">
        <w:t xml:space="preserve">. </w:t>
      </w:r>
      <w:r w:rsidR="002F591D">
        <w:t>Additionally</w:t>
      </w:r>
      <w:r w:rsidR="00C24F68" w:rsidRPr="00961F96">
        <w:t>, guidelines have been release</w:t>
      </w:r>
      <w:r w:rsidR="0068774A" w:rsidRPr="00961F96">
        <w:t>d by</w:t>
      </w:r>
      <w:r w:rsidR="00215B04" w:rsidRPr="00961F96">
        <w:t xml:space="preserve"> INAIL, and </w:t>
      </w:r>
      <w:r w:rsidR="00FB132C" w:rsidRPr="00961F96">
        <w:t>the</w:t>
      </w:r>
      <w:r w:rsidR="00B94D49" w:rsidRPr="00961F96">
        <w:t xml:space="preserve"> </w:t>
      </w:r>
      <w:r w:rsidR="00837939" w:rsidRPr="00961F96">
        <w:t>SNPA (constituted by ISPRA and ARPA)</w:t>
      </w:r>
      <w:r w:rsidR="0095230A" w:rsidRPr="00961F96">
        <w:t xml:space="preserve"> (SNPA, 2026)</w:t>
      </w:r>
      <w:r w:rsidR="00215B04" w:rsidRPr="00961F96">
        <w:t xml:space="preserve">, </w:t>
      </w:r>
      <w:r w:rsidR="00457089" w:rsidRPr="00961F96">
        <w:t>to</w:t>
      </w:r>
      <w:r w:rsidR="00215B04" w:rsidRPr="00961F96">
        <w:t xml:space="preserve"> provide best practices </w:t>
      </w:r>
      <w:r w:rsidR="00E61A8D">
        <w:t>regarding</w:t>
      </w:r>
      <w:r w:rsidR="00215B04" w:rsidRPr="00961F96">
        <w:t xml:space="preserve"> specific aspects of the </w:t>
      </w:r>
      <w:r w:rsidR="00B71888" w:rsidRPr="00961F96">
        <w:t>Safety Report</w:t>
      </w:r>
      <w:r w:rsidR="00215B04" w:rsidRPr="00961F96">
        <w:t>, e.g., inspections</w:t>
      </w:r>
      <w:r w:rsidR="00636340">
        <w:t>,</w:t>
      </w:r>
      <w:r w:rsidR="00215B04" w:rsidRPr="00961F96">
        <w:t xml:space="preserve"> aging of facilitie</w:t>
      </w:r>
      <w:r w:rsidR="00700E92">
        <w:t>s</w:t>
      </w:r>
      <w:r w:rsidR="00B20888">
        <w:t xml:space="preserve"> (Marrazzo and Bragatto, 2023)</w:t>
      </w:r>
      <w:r w:rsidR="00215B04" w:rsidRPr="00961F96">
        <w:t xml:space="preserve">, </w:t>
      </w:r>
      <w:r w:rsidR="000A1981" w:rsidRPr="00961F96">
        <w:t xml:space="preserve">and </w:t>
      </w:r>
      <w:r w:rsidR="00215B04" w:rsidRPr="00961F96">
        <w:t>assessment of potential environmental damage</w:t>
      </w:r>
      <w:r w:rsidR="000A1981" w:rsidRPr="00961F96">
        <w:t>.</w:t>
      </w:r>
    </w:p>
    <w:p w14:paraId="270DDAA3" w14:textId="08B4536D" w:rsidR="00405740" w:rsidRPr="00961F96" w:rsidRDefault="0070673A" w:rsidP="0070673A">
      <w:pPr>
        <w:pStyle w:val="CETheadingx"/>
      </w:pPr>
      <w:r w:rsidRPr="00961F96">
        <w:t>Specific regulation for hydrogen systems</w:t>
      </w:r>
      <w:r w:rsidR="004B2200" w:rsidRPr="00961F96">
        <w:t xml:space="preserve"> </w:t>
      </w:r>
    </w:p>
    <w:p w14:paraId="1A6DA03F" w14:textId="1CD516D3" w:rsidR="00581D1C" w:rsidRPr="00961F96" w:rsidRDefault="00B45BA9" w:rsidP="00581D1C">
      <w:pPr>
        <w:pStyle w:val="CETBodytext"/>
      </w:pPr>
      <w:r>
        <w:t xml:space="preserve">Specific </w:t>
      </w:r>
      <w:r w:rsidR="009B5E28">
        <w:t xml:space="preserve">regulation has been developed for fire prevention of </w:t>
      </w:r>
      <w:r w:rsidR="000C2976" w:rsidRPr="00961F96">
        <w:t xml:space="preserve">green </w:t>
      </w:r>
      <w:r w:rsidR="007B2EE8" w:rsidRPr="00961F96">
        <w:t>hydrogen systems</w:t>
      </w:r>
      <w:r w:rsidR="009B5E28">
        <w:t>, which is</w:t>
      </w:r>
      <w:r w:rsidR="00581D1C" w:rsidRPr="00961F96">
        <w:t xml:space="preserve"> summed up in Table 2.</w:t>
      </w:r>
    </w:p>
    <w:p w14:paraId="7AA94BA1" w14:textId="73C92140" w:rsidR="00581D1C" w:rsidRPr="00961F96" w:rsidRDefault="00581D1C" w:rsidP="00581D1C">
      <w:pPr>
        <w:pStyle w:val="CETTabletitle"/>
      </w:pPr>
      <w:r w:rsidRPr="00961F96">
        <w:t>Table 2: Fire Prevention regulation for hydrogen systems</w:t>
      </w:r>
      <w:r w:rsidR="009C7FBE" w:rsidRPr="00961F96">
        <w:t>; HRS: Hydrogen Refuelling stations.</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4184"/>
        <w:gridCol w:w="4603"/>
      </w:tblGrid>
      <w:tr w:rsidR="008E4B6A" w:rsidRPr="00961F96" w14:paraId="6D787CF4" w14:textId="77777777" w:rsidTr="00143709">
        <w:tc>
          <w:tcPr>
            <w:tcW w:w="2381" w:type="pct"/>
            <w:tcBorders>
              <w:top w:val="single" w:sz="12" w:space="0" w:color="008000"/>
              <w:bottom w:val="single" w:sz="6" w:space="0" w:color="008000"/>
            </w:tcBorders>
            <w:shd w:val="clear" w:color="auto" w:fill="FFFFFF"/>
          </w:tcPr>
          <w:p w14:paraId="4BC748E9" w14:textId="77777777" w:rsidR="00581D1C" w:rsidRPr="00961F96" w:rsidRDefault="00581D1C" w:rsidP="00143709">
            <w:pPr>
              <w:pStyle w:val="CETBodytext"/>
              <w:rPr>
                <w:lang w:val="en-GB"/>
              </w:rPr>
            </w:pPr>
            <w:r w:rsidRPr="00961F96">
              <w:rPr>
                <w:lang w:val="en-GB"/>
              </w:rPr>
              <w:t>Legislation</w:t>
            </w:r>
          </w:p>
        </w:tc>
        <w:tc>
          <w:tcPr>
            <w:tcW w:w="2619" w:type="pct"/>
            <w:tcBorders>
              <w:top w:val="single" w:sz="12" w:space="0" w:color="008000"/>
              <w:bottom w:val="single" w:sz="6" w:space="0" w:color="008000"/>
            </w:tcBorders>
            <w:shd w:val="clear" w:color="auto" w:fill="FFFFFF"/>
          </w:tcPr>
          <w:p w14:paraId="3745025D" w14:textId="77777777" w:rsidR="00581D1C" w:rsidRPr="00961F96" w:rsidRDefault="00581D1C" w:rsidP="00143709">
            <w:pPr>
              <w:pStyle w:val="CETBodytext"/>
              <w:rPr>
                <w:lang w:val="en-GB"/>
              </w:rPr>
            </w:pPr>
            <w:r w:rsidRPr="00961F96">
              <w:rPr>
                <w:lang w:val="en-GB"/>
              </w:rPr>
              <w:t>Description</w:t>
            </w:r>
          </w:p>
        </w:tc>
      </w:tr>
      <w:tr w:rsidR="002A5D21" w:rsidRPr="00961F96" w14:paraId="584B7904" w14:textId="77777777" w:rsidTr="00143709">
        <w:tc>
          <w:tcPr>
            <w:tcW w:w="2381" w:type="pct"/>
            <w:shd w:val="clear" w:color="auto" w:fill="FFFFFF"/>
          </w:tcPr>
          <w:p w14:paraId="16F0CD92" w14:textId="355F435C" w:rsidR="004F2366" w:rsidRPr="00961F96" w:rsidRDefault="00323603" w:rsidP="00143709">
            <w:pPr>
              <w:pStyle w:val="CETBodytext"/>
              <w:ind w:right="-1"/>
              <w:rPr>
                <w:rFonts w:cs="Arial"/>
                <w:szCs w:val="18"/>
                <w:lang w:val="en-GB"/>
              </w:rPr>
            </w:pPr>
            <w:r w:rsidRPr="00961F96">
              <w:rPr>
                <w:rFonts w:cs="Arial"/>
                <w:szCs w:val="18"/>
                <w:lang w:val="en-GB"/>
              </w:rPr>
              <w:t>Ministerial Decree</w:t>
            </w:r>
            <w:r w:rsidR="007D6594" w:rsidRPr="00961F96">
              <w:rPr>
                <w:rFonts w:cs="Arial"/>
                <w:szCs w:val="18"/>
                <w:lang w:val="en-GB"/>
              </w:rPr>
              <w:t xml:space="preserve"> 31</w:t>
            </w:r>
            <w:r w:rsidRPr="00961F96">
              <w:rPr>
                <w:rFonts w:cs="Arial"/>
                <w:szCs w:val="18"/>
                <w:lang w:val="en-GB"/>
              </w:rPr>
              <w:t>/08</w:t>
            </w:r>
            <w:r w:rsidR="007D6594" w:rsidRPr="00961F96">
              <w:rPr>
                <w:rFonts w:cs="Arial"/>
                <w:szCs w:val="18"/>
                <w:lang w:val="en-GB"/>
              </w:rPr>
              <w:t>2006 (amended)</w:t>
            </w:r>
          </w:p>
        </w:tc>
        <w:tc>
          <w:tcPr>
            <w:tcW w:w="2619" w:type="pct"/>
            <w:shd w:val="clear" w:color="auto" w:fill="FFFFFF"/>
          </w:tcPr>
          <w:p w14:paraId="2F0B1C5A" w14:textId="17647707" w:rsidR="004F2366" w:rsidRPr="00961F96" w:rsidRDefault="007D6594" w:rsidP="00143709">
            <w:pPr>
              <w:pStyle w:val="CETBodytext"/>
              <w:ind w:right="-1"/>
              <w:rPr>
                <w:rFonts w:cs="Arial"/>
                <w:szCs w:val="18"/>
                <w:lang w:val="en-GB"/>
              </w:rPr>
            </w:pPr>
            <w:r w:rsidRPr="00961F96">
              <w:rPr>
                <w:rFonts w:cs="Arial"/>
                <w:szCs w:val="18"/>
                <w:lang w:val="en-GB"/>
              </w:rPr>
              <w:t xml:space="preserve">Technical rule: </w:t>
            </w:r>
            <w:r w:rsidR="00EA0FDC" w:rsidRPr="00961F96">
              <w:rPr>
                <w:rFonts w:cs="Arial"/>
                <w:szCs w:val="18"/>
                <w:lang w:val="en-GB"/>
              </w:rPr>
              <w:t>fire prevention of HRS</w:t>
            </w:r>
          </w:p>
        </w:tc>
      </w:tr>
      <w:tr w:rsidR="008E4B6A" w:rsidRPr="00961F96" w14:paraId="6616CC5D" w14:textId="77777777" w:rsidTr="00143709">
        <w:tc>
          <w:tcPr>
            <w:tcW w:w="2381" w:type="pct"/>
            <w:shd w:val="clear" w:color="auto" w:fill="FFFFFF"/>
          </w:tcPr>
          <w:p w14:paraId="6108AE5F" w14:textId="491151BD" w:rsidR="00581D1C" w:rsidRPr="00961F96" w:rsidRDefault="00581D1C" w:rsidP="00143709">
            <w:pPr>
              <w:pStyle w:val="CETBodytext"/>
              <w:ind w:right="-1"/>
              <w:rPr>
                <w:rFonts w:cs="Arial"/>
                <w:szCs w:val="18"/>
                <w:lang w:val="en-GB"/>
              </w:rPr>
            </w:pPr>
            <w:r w:rsidRPr="00961F96">
              <w:rPr>
                <w:rFonts w:cs="Arial"/>
                <w:szCs w:val="18"/>
                <w:lang w:val="en-GB"/>
              </w:rPr>
              <w:t>Ministerial Decree 23/10/2018</w:t>
            </w:r>
            <w:r w:rsidR="00CA6EE2">
              <w:rPr>
                <w:rFonts w:cs="Arial"/>
                <w:szCs w:val="18"/>
                <w:lang w:val="en-GB"/>
              </w:rPr>
              <w:t xml:space="preserve"> (in force)</w:t>
            </w:r>
          </w:p>
        </w:tc>
        <w:tc>
          <w:tcPr>
            <w:tcW w:w="2619" w:type="pct"/>
            <w:shd w:val="clear" w:color="auto" w:fill="FFFFFF"/>
          </w:tcPr>
          <w:p w14:paraId="25165DBC" w14:textId="08CFDE48" w:rsidR="00581D1C" w:rsidRPr="00961F96" w:rsidRDefault="00581D1C" w:rsidP="00143709">
            <w:pPr>
              <w:pStyle w:val="CETBodytext"/>
              <w:ind w:right="-1"/>
              <w:rPr>
                <w:rFonts w:cs="Arial"/>
                <w:szCs w:val="18"/>
                <w:lang w:val="en-GB"/>
              </w:rPr>
            </w:pPr>
            <w:r w:rsidRPr="00961F96">
              <w:rPr>
                <w:rFonts w:cs="Arial"/>
                <w:szCs w:val="18"/>
                <w:lang w:val="en-GB"/>
              </w:rPr>
              <w:t>Technical rule</w:t>
            </w:r>
            <w:r w:rsidR="009C7FBE" w:rsidRPr="00961F96">
              <w:rPr>
                <w:rFonts w:cs="Arial"/>
                <w:szCs w:val="18"/>
                <w:lang w:val="en-GB"/>
              </w:rPr>
              <w:t>:</w:t>
            </w:r>
            <w:r w:rsidRPr="00961F96">
              <w:rPr>
                <w:rFonts w:cs="Arial"/>
                <w:szCs w:val="18"/>
                <w:lang w:val="en-GB"/>
              </w:rPr>
              <w:t xml:space="preserve"> </w:t>
            </w:r>
            <w:r w:rsidR="003349B7" w:rsidRPr="00961F96">
              <w:rPr>
                <w:rFonts w:cs="Arial"/>
                <w:szCs w:val="18"/>
                <w:lang w:val="en-GB"/>
              </w:rPr>
              <w:t xml:space="preserve">fire prevention of </w:t>
            </w:r>
            <w:r w:rsidRPr="00961F96">
              <w:rPr>
                <w:rFonts w:cs="Arial"/>
                <w:szCs w:val="18"/>
                <w:lang w:val="en-GB"/>
              </w:rPr>
              <w:t>HRS</w:t>
            </w:r>
          </w:p>
        </w:tc>
      </w:tr>
      <w:tr w:rsidR="008E4B6A" w:rsidRPr="00961F96" w14:paraId="0A4407C9" w14:textId="77777777" w:rsidTr="00143709">
        <w:tc>
          <w:tcPr>
            <w:tcW w:w="2381" w:type="pct"/>
            <w:shd w:val="clear" w:color="auto" w:fill="FFFFFF"/>
          </w:tcPr>
          <w:p w14:paraId="13AAE82D" w14:textId="5D67D9D4" w:rsidR="00581D1C" w:rsidRPr="00961F96" w:rsidRDefault="00581D1C" w:rsidP="00143709">
            <w:pPr>
              <w:pStyle w:val="CETBodytext"/>
              <w:ind w:right="-1"/>
              <w:rPr>
                <w:rFonts w:cs="Arial"/>
                <w:szCs w:val="18"/>
                <w:lang w:val="en-GB"/>
              </w:rPr>
            </w:pPr>
            <w:r w:rsidRPr="00961F96">
              <w:rPr>
                <w:rFonts w:cs="Arial"/>
                <w:szCs w:val="18"/>
                <w:lang w:val="en-GB"/>
              </w:rPr>
              <w:t>Ministerial Decree 07/07/2023</w:t>
            </w:r>
            <w:r w:rsidR="00CA6EE2">
              <w:rPr>
                <w:rFonts w:cs="Arial"/>
                <w:szCs w:val="18"/>
                <w:lang w:val="en-GB"/>
              </w:rPr>
              <w:t xml:space="preserve"> (in force)</w:t>
            </w:r>
          </w:p>
        </w:tc>
        <w:tc>
          <w:tcPr>
            <w:tcW w:w="2619" w:type="pct"/>
            <w:shd w:val="clear" w:color="auto" w:fill="FFFFFF"/>
          </w:tcPr>
          <w:p w14:paraId="1E99B867" w14:textId="0E05D9F5" w:rsidR="00581D1C" w:rsidRPr="00961F96" w:rsidRDefault="00581D1C" w:rsidP="00143709">
            <w:pPr>
              <w:pStyle w:val="CETBodytext"/>
              <w:ind w:right="-1"/>
              <w:rPr>
                <w:rFonts w:cs="Arial"/>
                <w:szCs w:val="18"/>
                <w:lang w:val="en-GB"/>
              </w:rPr>
            </w:pPr>
            <w:r w:rsidRPr="00961F96">
              <w:rPr>
                <w:rFonts w:cs="Arial"/>
                <w:szCs w:val="18"/>
                <w:lang w:val="en-GB"/>
              </w:rPr>
              <w:t>Technical rules</w:t>
            </w:r>
            <w:r w:rsidR="009C7FBE" w:rsidRPr="00961F96">
              <w:rPr>
                <w:rFonts w:cs="Arial"/>
                <w:szCs w:val="18"/>
                <w:lang w:val="en-GB"/>
              </w:rPr>
              <w:t>:</w:t>
            </w:r>
            <w:r w:rsidR="003349B7" w:rsidRPr="00961F96">
              <w:rPr>
                <w:rFonts w:cs="Arial"/>
                <w:szCs w:val="18"/>
                <w:lang w:val="en-GB"/>
              </w:rPr>
              <w:t xml:space="preserve"> fire prevention of</w:t>
            </w:r>
            <w:r w:rsidR="0093793F" w:rsidRPr="00961F96">
              <w:rPr>
                <w:rFonts w:cs="Arial"/>
                <w:szCs w:val="18"/>
                <w:lang w:val="en-GB"/>
              </w:rPr>
              <w:t xml:space="preserve"> electrol</w:t>
            </w:r>
            <w:r w:rsidR="003912F2" w:rsidRPr="00961F96">
              <w:rPr>
                <w:rFonts w:cs="Arial"/>
                <w:szCs w:val="18"/>
                <w:lang w:val="en-GB"/>
              </w:rPr>
              <w:t>y</w:t>
            </w:r>
            <w:r w:rsidR="0093793F" w:rsidRPr="00961F96">
              <w:rPr>
                <w:rFonts w:cs="Arial"/>
                <w:szCs w:val="18"/>
                <w:lang w:val="en-GB"/>
              </w:rPr>
              <w:t>zers</w:t>
            </w:r>
          </w:p>
        </w:tc>
      </w:tr>
    </w:tbl>
    <w:p w14:paraId="6EEB5E9E" w14:textId="77777777" w:rsidR="00581D1C" w:rsidRPr="00961F96" w:rsidRDefault="00581D1C" w:rsidP="00581D1C">
      <w:pPr>
        <w:pStyle w:val="CETBodytext"/>
      </w:pPr>
    </w:p>
    <w:p w14:paraId="0B75C9B1" w14:textId="78EDBF87" w:rsidR="000A1981" w:rsidRPr="00961F96" w:rsidRDefault="00005AAC" w:rsidP="003E33D1">
      <w:pPr>
        <w:pStyle w:val="CETBodytext"/>
      </w:pPr>
      <w:r w:rsidRPr="00961F96">
        <w:t xml:space="preserve">The </w:t>
      </w:r>
      <w:r w:rsidR="00303CF7" w:rsidRPr="00961F96">
        <w:t>permitting for fire prevention</w:t>
      </w:r>
      <w:r w:rsidR="007F22B5" w:rsidRPr="00961F96">
        <w:t xml:space="preserve"> is ruled by D</w:t>
      </w:r>
      <w:r w:rsidR="00C146A7" w:rsidRPr="00961F96">
        <w:t xml:space="preserve">ecree of the President of the Republic </w:t>
      </w:r>
      <w:r w:rsidR="00374686" w:rsidRPr="00961F96">
        <w:t>(DP</w:t>
      </w:r>
      <w:r w:rsidR="005923AC">
        <w:t>R</w:t>
      </w:r>
      <w:r w:rsidR="00374686" w:rsidRPr="00961F96">
        <w:t xml:space="preserve">) </w:t>
      </w:r>
      <w:r w:rsidR="000A4268" w:rsidRPr="00961F96">
        <w:t>151/2011</w:t>
      </w:r>
      <w:r w:rsidR="00D101C9" w:rsidRPr="00961F96">
        <w:t xml:space="preserve"> (Gazzetta Ufficiale, 2011)</w:t>
      </w:r>
      <w:r w:rsidR="006D2FDE" w:rsidRPr="00961F96">
        <w:t xml:space="preserve">, which </w:t>
      </w:r>
      <w:r w:rsidR="008D4F79" w:rsidRPr="00961F96">
        <w:t xml:space="preserve">identifies the </w:t>
      </w:r>
      <w:r w:rsidR="00CD48CA">
        <w:t xml:space="preserve">regulated </w:t>
      </w:r>
      <w:r w:rsidR="008D4F79" w:rsidRPr="00961F96">
        <w:t>activities controlled by the Fire Brigades</w:t>
      </w:r>
      <w:r w:rsidR="00C63921" w:rsidRPr="00961F96">
        <w:t>. According to Annex I</w:t>
      </w:r>
      <w:r w:rsidR="007D6FF2" w:rsidRPr="00961F96">
        <w:t xml:space="preserve">, activities can be </w:t>
      </w:r>
      <w:r w:rsidR="00213737" w:rsidRPr="00961F96">
        <w:t>classified in category A, B, C, with increasing hazard</w:t>
      </w:r>
      <w:r w:rsidR="005F0199" w:rsidRPr="00961F96">
        <w:t>s</w:t>
      </w:r>
      <w:r w:rsidR="00213737" w:rsidRPr="00961F96">
        <w:t xml:space="preserve">. </w:t>
      </w:r>
    </w:p>
    <w:p w14:paraId="01F7EF73" w14:textId="07EBD07D" w:rsidR="00D93F43" w:rsidRPr="00961F96" w:rsidRDefault="000A1981" w:rsidP="009A3115">
      <w:pPr>
        <w:pStyle w:val="CETBodytext"/>
      </w:pPr>
      <w:r w:rsidRPr="00961F96">
        <w:t>Green hydrogen production systems typically involve:</w:t>
      </w:r>
      <w:r w:rsidR="00C5031A" w:rsidRPr="00961F96">
        <w:t xml:space="preserve"> an </w:t>
      </w:r>
      <w:proofErr w:type="spellStart"/>
      <w:r w:rsidR="00C5031A" w:rsidRPr="00961F96">
        <w:t>electrol</w:t>
      </w:r>
      <w:r w:rsidR="003912F2" w:rsidRPr="00961F96">
        <w:t>y</w:t>
      </w:r>
      <w:r w:rsidR="00C5031A" w:rsidRPr="00961F96">
        <w:t>zer</w:t>
      </w:r>
      <w:proofErr w:type="spellEnd"/>
      <w:r w:rsidR="00E61AF8" w:rsidRPr="00961F96">
        <w:t xml:space="preserve">, hydrogen storage, compression systems, loading </w:t>
      </w:r>
      <w:r w:rsidR="001A3333" w:rsidRPr="00961F96">
        <w:t>bays</w:t>
      </w:r>
      <w:r w:rsidR="00E61AF8" w:rsidRPr="00961F96">
        <w:t xml:space="preserve">, </w:t>
      </w:r>
      <w:r w:rsidR="001A3333" w:rsidRPr="00961F96">
        <w:t xml:space="preserve">and </w:t>
      </w:r>
      <w:r w:rsidR="00E25C8B">
        <w:t xml:space="preserve">connection </w:t>
      </w:r>
      <w:r w:rsidR="001A3333" w:rsidRPr="00961F96">
        <w:t xml:space="preserve">piping. </w:t>
      </w:r>
      <w:r w:rsidR="00D008B3">
        <w:t>D</w:t>
      </w:r>
      <w:r w:rsidR="00530252" w:rsidRPr="00961F96">
        <w:t>epending on</w:t>
      </w:r>
      <w:r w:rsidR="00B20A7C" w:rsidRPr="00961F96">
        <w:t xml:space="preserve"> </w:t>
      </w:r>
      <w:r w:rsidR="00530252" w:rsidRPr="00961F96">
        <w:t>flowrates, volume</w:t>
      </w:r>
      <w:r w:rsidR="00E25C8B">
        <w:t>s</w:t>
      </w:r>
      <w:r w:rsidR="00530252" w:rsidRPr="00961F96">
        <w:t xml:space="preserve"> and pressures</w:t>
      </w:r>
      <w:r w:rsidR="00D008B3">
        <w:t>, g</w:t>
      </w:r>
      <w:r w:rsidR="00670F46" w:rsidRPr="00961F96">
        <w:t xml:space="preserve">reen </w:t>
      </w:r>
      <w:r w:rsidR="00B752DC" w:rsidRPr="00961F96">
        <w:t>hydrogen production systems are</w:t>
      </w:r>
      <w:r w:rsidR="00ED41A6" w:rsidRPr="00961F96">
        <w:t xml:space="preserve"> mainly</w:t>
      </w:r>
      <w:r w:rsidR="00B752DC" w:rsidRPr="00961F96">
        <w:t xml:space="preserve"> included</w:t>
      </w:r>
      <w:r w:rsidR="00285D0C" w:rsidRPr="00961F96">
        <w:t xml:space="preserve"> in Category B and C, which require an evaluation of the project, and a Positive Opinion from the Fire Brigades</w:t>
      </w:r>
      <w:r w:rsidR="00F8782F" w:rsidRPr="00961F96">
        <w:t xml:space="preserve">. The final output of the authorization process is the Certified Notification of Activity Beginning (SCIA) which is </w:t>
      </w:r>
      <w:r w:rsidR="009537C0" w:rsidRPr="00961F96">
        <w:t xml:space="preserve">issued by </w:t>
      </w:r>
      <w:r w:rsidR="00751027" w:rsidRPr="00961F96">
        <w:t xml:space="preserve">the </w:t>
      </w:r>
      <w:r w:rsidR="005E76F0" w:rsidRPr="00961F96">
        <w:t>o</w:t>
      </w:r>
      <w:r w:rsidR="009537C0" w:rsidRPr="00961F96">
        <w:t>wner, and not by the Fire Brigades.</w:t>
      </w:r>
      <w:r w:rsidR="001D6567" w:rsidRPr="00961F96">
        <w:t xml:space="preserve"> </w:t>
      </w:r>
      <w:r w:rsidR="00751027" w:rsidRPr="00961F96">
        <w:t>F</w:t>
      </w:r>
      <w:r w:rsidR="009A3115" w:rsidRPr="00961F96">
        <w:t>or the fire prevention of upper-tier Seveso establishments</w:t>
      </w:r>
      <w:r w:rsidR="00E20C16">
        <w:t>,</w:t>
      </w:r>
      <w:r w:rsidR="009A3115" w:rsidRPr="00961F96">
        <w:t xml:space="preserve"> the SCIA is included in the </w:t>
      </w:r>
      <w:r w:rsidR="00751027" w:rsidRPr="00961F96">
        <w:t xml:space="preserve">Final </w:t>
      </w:r>
      <w:r w:rsidR="009A3115" w:rsidRPr="00961F96">
        <w:t xml:space="preserve">Safety Report, speeding the permitting process from both </w:t>
      </w:r>
      <w:r w:rsidR="005E76F0" w:rsidRPr="00961F96">
        <w:t>o</w:t>
      </w:r>
      <w:r w:rsidR="009A3115" w:rsidRPr="00961F96">
        <w:t xml:space="preserve">wner and </w:t>
      </w:r>
      <w:r w:rsidR="005E76F0" w:rsidRPr="00961F96">
        <w:t>a</w:t>
      </w:r>
      <w:r w:rsidR="009A3115" w:rsidRPr="00961F96">
        <w:t>uthority.</w:t>
      </w:r>
    </w:p>
    <w:p w14:paraId="0CEB1AAE" w14:textId="31858D71" w:rsidR="00205695" w:rsidRPr="00961F96" w:rsidRDefault="00E935D6" w:rsidP="003E33D1">
      <w:pPr>
        <w:pStyle w:val="CETBodytext"/>
      </w:pPr>
      <w:r w:rsidRPr="00961F96">
        <w:t xml:space="preserve">For what concerns technical rules for fire prevention, Italy </w:t>
      </w:r>
      <w:r w:rsidR="008B370C" w:rsidRPr="00961F96">
        <w:t>had</w:t>
      </w:r>
      <w:r w:rsidRPr="00961F96">
        <w:t xml:space="preserve"> a </w:t>
      </w:r>
      <w:r w:rsidR="000141F2">
        <w:t>l</w:t>
      </w:r>
      <w:r w:rsidRPr="00961F96">
        <w:t xml:space="preserve">aw </w:t>
      </w:r>
      <w:r w:rsidR="00C41D14">
        <w:t>already in</w:t>
      </w:r>
      <w:r w:rsidRPr="00961F96">
        <w:t xml:space="preserve"> 2006 on Hydrogen </w:t>
      </w:r>
      <w:proofErr w:type="spellStart"/>
      <w:r w:rsidRPr="00961F96">
        <w:t>Refuelling</w:t>
      </w:r>
      <w:proofErr w:type="spellEnd"/>
      <w:r w:rsidRPr="00961F96">
        <w:t xml:space="preserve"> Stations (HRS). </w:t>
      </w:r>
      <w:r w:rsidR="005405CF" w:rsidRPr="00961F96">
        <w:t xml:space="preserve">This law was updated in 2018 through </w:t>
      </w:r>
      <w:r w:rsidR="00374686" w:rsidRPr="00961F96">
        <w:t>DM</w:t>
      </w:r>
      <w:r w:rsidR="005D6062" w:rsidRPr="00961F96">
        <w:t xml:space="preserve"> 23/10/2018</w:t>
      </w:r>
      <w:r w:rsidR="008B370C" w:rsidRPr="00961F96">
        <w:t xml:space="preserve"> (Gazzetta Ufficiale, 2018)</w:t>
      </w:r>
      <w:r w:rsidR="000B68C5" w:rsidRPr="00961F96">
        <w:t xml:space="preserve">, and it establishes </w:t>
      </w:r>
      <w:r w:rsidR="007830E6" w:rsidRPr="00961F96">
        <w:t xml:space="preserve">minimum requirements for firefighting, as well as </w:t>
      </w:r>
      <w:r w:rsidR="00BF6E48">
        <w:t>S</w:t>
      </w:r>
      <w:r w:rsidR="007830E6" w:rsidRPr="00961F96">
        <w:t xml:space="preserve">afety </w:t>
      </w:r>
      <w:r w:rsidR="00BF6E48">
        <w:t>D</w:t>
      </w:r>
      <w:r w:rsidR="007830E6" w:rsidRPr="00961F96">
        <w:t>istances</w:t>
      </w:r>
      <w:r w:rsidR="00BF6E48">
        <w:t xml:space="preserve"> (SD)</w:t>
      </w:r>
      <w:r w:rsidR="00AB0B71">
        <w:t xml:space="preserve">, which can range from </w:t>
      </w:r>
      <w:r w:rsidR="00593B6F">
        <w:t>12 to 30 m</w:t>
      </w:r>
      <w:r w:rsidR="007830E6" w:rsidRPr="00961F96">
        <w:t>. However</w:t>
      </w:r>
      <w:r w:rsidR="0032515B" w:rsidRPr="00961F96">
        <w:t>,</w:t>
      </w:r>
      <w:r w:rsidR="007830E6" w:rsidRPr="00961F96">
        <w:t xml:space="preserve"> it d</w:t>
      </w:r>
      <w:r w:rsidR="00B20A7C" w:rsidRPr="00961F96">
        <w:t xml:space="preserve">oes </w:t>
      </w:r>
      <w:r w:rsidR="007830E6" w:rsidRPr="00961F96">
        <w:t>not include</w:t>
      </w:r>
      <w:r w:rsidR="00F57606">
        <w:t xml:space="preserve"> </w:t>
      </w:r>
      <w:r w:rsidR="007830C0" w:rsidRPr="00961F96">
        <w:t xml:space="preserve">provisions for </w:t>
      </w:r>
      <w:proofErr w:type="spellStart"/>
      <w:r w:rsidR="00A3229A" w:rsidRPr="00961F96">
        <w:t>electrolyzer</w:t>
      </w:r>
      <w:proofErr w:type="spellEnd"/>
      <w:r w:rsidR="00A3229A" w:rsidRPr="00961F96">
        <w:t xml:space="preserve"> unit</w:t>
      </w:r>
      <w:r w:rsidR="007830C0" w:rsidRPr="00961F96">
        <w:t>s,</w:t>
      </w:r>
      <w:r w:rsidR="00F57606">
        <w:t xml:space="preserve"> </w:t>
      </w:r>
      <w:r w:rsidR="00E6279B">
        <w:t xml:space="preserve">as </w:t>
      </w:r>
      <w:r w:rsidR="007830C0" w:rsidRPr="00961F96">
        <w:t xml:space="preserve">it </w:t>
      </w:r>
      <w:r w:rsidR="00F31ACF" w:rsidRPr="00961F96">
        <w:t>allows</w:t>
      </w:r>
      <w:r w:rsidR="007830C0" w:rsidRPr="00961F96">
        <w:t xml:space="preserve"> two </w:t>
      </w:r>
      <w:r w:rsidR="00F57606">
        <w:t xml:space="preserve">feed </w:t>
      </w:r>
      <w:r w:rsidR="007830C0" w:rsidRPr="00961F96">
        <w:t>option</w:t>
      </w:r>
      <w:r w:rsidR="000566B3" w:rsidRPr="00961F96">
        <w:t>s</w:t>
      </w:r>
      <w:r w:rsidR="007830C0" w:rsidRPr="00961F96">
        <w:t xml:space="preserve"> for </w:t>
      </w:r>
      <w:r w:rsidR="00F57606">
        <w:t xml:space="preserve">the </w:t>
      </w:r>
      <w:r w:rsidR="000566B3" w:rsidRPr="00961F96">
        <w:t xml:space="preserve">HRS: </w:t>
      </w:r>
      <w:proofErr w:type="spellStart"/>
      <w:r w:rsidR="000566B3" w:rsidRPr="00961F96">
        <w:t>electrolyzers</w:t>
      </w:r>
      <w:proofErr w:type="spellEnd"/>
      <w:r w:rsidR="000566B3" w:rsidRPr="00961F96">
        <w:t xml:space="preserve"> o</w:t>
      </w:r>
      <w:r w:rsidR="00443320" w:rsidRPr="00961F96">
        <w:t>r tank wagons</w:t>
      </w:r>
      <w:r w:rsidR="00A3229A" w:rsidRPr="00961F96">
        <w:t xml:space="preserve">. </w:t>
      </w:r>
      <w:r w:rsidR="00F57606">
        <w:t>Hence, t</w:t>
      </w:r>
      <w:r w:rsidR="004E777B" w:rsidRPr="00961F96">
        <w:t xml:space="preserve">he </w:t>
      </w:r>
      <w:r w:rsidR="00E061C0" w:rsidRPr="00961F96">
        <w:t>scope of application of this decree</w:t>
      </w:r>
      <w:r w:rsidR="00523656">
        <w:t xml:space="preserve"> is</w:t>
      </w:r>
      <w:r w:rsidR="00E061C0" w:rsidRPr="00961F96">
        <w:t xml:space="preserve"> limited</w:t>
      </w:r>
      <w:r w:rsidR="00E6279B">
        <w:t>,</w:t>
      </w:r>
      <w:r w:rsidR="008C1663" w:rsidRPr="00961F96">
        <w:t xml:space="preserve"> </w:t>
      </w:r>
      <w:r w:rsidR="00F1016D" w:rsidRPr="00961F96">
        <w:t>since H</w:t>
      </w:r>
      <w:r w:rsidR="00F1016D" w:rsidRPr="00961F96">
        <w:rPr>
          <w:vertAlign w:val="subscript"/>
        </w:rPr>
        <w:t>2</w:t>
      </w:r>
      <w:r w:rsidR="00F1016D" w:rsidRPr="00961F96">
        <w:t xml:space="preserve"> electrolysi</w:t>
      </w:r>
      <w:r w:rsidR="001E175F" w:rsidRPr="00961F96">
        <w:t>s</w:t>
      </w:r>
      <w:r w:rsidR="00F1016D" w:rsidRPr="00961F96">
        <w:t xml:space="preserve"> plants without HRS elements </w:t>
      </w:r>
      <w:r w:rsidR="001E175F" w:rsidRPr="00961F96">
        <w:t xml:space="preserve">(i.e. production, storage and distribution to industrial </w:t>
      </w:r>
      <w:r w:rsidR="00443320" w:rsidRPr="00961F96">
        <w:t>users</w:t>
      </w:r>
      <w:r w:rsidR="001E175F" w:rsidRPr="00961F96">
        <w:t xml:space="preserve">) </w:t>
      </w:r>
      <w:r w:rsidR="00F1016D" w:rsidRPr="00961F96">
        <w:t>were</w:t>
      </w:r>
      <w:r w:rsidR="00F62FF3" w:rsidRPr="00961F96">
        <w:t xml:space="preserve"> not </w:t>
      </w:r>
      <w:r w:rsidR="001E175F" w:rsidRPr="00961F96">
        <w:t>included. This ga</w:t>
      </w:r>
      <w:r w:rsidR="00443320" w:rsidRPr="00961F96">
        <w:t xml:space="preserve">p </w:t>
      </w:r>
      <w:r w:rsidR="00E606C5" w:rsidRPr="00961F96">
        <w:t xml:space="preserve">was filled with </w:t>
      </w:r>
      <w:r w:rsidR="00374686" w:rsidRPr="00961F96">
        <w:t>DM</w:t>
      </w:r>
      <w:r w:rsidR="00E606C5" w:rsidRPr="00961F96">
        <w:t xml:space="preserve"> 07/07/2023 which establishes</w:t>
      </w:r>
      <w:r w:rsidR="0032515B" w:rsidRPr="00961F96">
        <w:t xml:space="preserve"> minimum requirements and safety distances for </w:t>
      </w:r>
      <w:r w:rsidR="00FF0D06" w:rsidRPr="00961F96">
        <w:t>H</w:t>
      </w:r>
      <w:r w:rsidR="008A1B87" w:rsidRPr="00961F96">
        <w:rPr>
          <w:vertAlign w:val="subscript"/>
        </w:rPr>
        <w:t>2</w:t>
      </w:r>
      <w:r w:rsidR="00FF0D06" w:rsidRPr="00961F96">
        <w:t xml:space="preserve"> production </w:t>
      </w:r>
      <w:r w:rsidR="008A1B87" w:rsidRPr="00961F96">
        <w:t>plants</w:t>
      </w:r>
      <w:r w:rsidR="00FF0D06" w:rsidRPr="00961F96">
        <w:t xml:space="preserve"> </w:t>
      </w:r>
      <w:r w:rsidR="008A1B87" w:rsidRPr="00961F96">
        <w:t>fe</w:t>
      </w:r>
      <w:r w:rsidR="00430DE2" w:rsidRPr="00961F96">
        <w:t>d</w:t>
      </w:r>
      <w:r w:rsidR="008A1B87" w:rsidRPr="00961F96">
        <w:t xml:space="preserve"> by</w:t>
      </w:r>
      <w:r w:rsidR="00FF0D06" w:rsidRPr="00961F96">
        <w:t xml:space="preserve"> </w:t>
      </w:r>
      <w:proofErr w:type="spellStart"/>
      <w:r w:rsidR="0032515B" w:rsidRPr="00961F96">
        <w:t>electrol</w:t>
      </w:r>
      <w:r w:rsidR="00386F2B" w:rsidRPr="00961F96">
        <w:t>y</w:t>
      </w:r>
      <w:r w:rsidR="0032515B" w:rsidRPr="00961F96">
        <w:t>zer</w:t>
      </w:r>
      <w:proofErr w:type="spellEnd"/>
      <w:r w:rsidR="0032515B" w:rsidRPr="00961F96">
        <w:t xml:space="preserve"> systems</w:t>
      </w:r>
      <w:r w:rsidR="00F478DD" w:rsidRPr="00961F96">
        <w:t xml:space="preserve"> (Gazzetta Ufficiale, 2023)</w:t>
      </w:r>
      <w:r w:rsidR="0032515B" w:rsidRPr="00961F96">
        <w:t xml:space="preserve">. This Decree applies to all </w:t>
      </w:r>
      <w:proofErr w:type="spellStart"/>
      <w:r w:rsidR="0032515B" w:rsidRPr="00961F96">
        <w:t>electrol</w:t>
      </w:r>
      <w:r w:rsidR="003912F2" w:rsidRPr="00961F96">
        <w:t>y</w:t>
      </w:r>
      <w:r w:rsidR="0032515B" w:rsidRPr="00961F96">
        <w:t>zers</w:t>
      </w:r>
      <w:proofErr w:type="spellEnd"/>
      <w:r w:rsidR="0032515B" w:rsidRPr="00961F96">
        <w:t xml:space="preserve">, </w:t>
      </w:r>
      <w:r w:rsidR="00E20C16">
        <w:t xml:space="preserve">even if </w:t>
      </w:r>
      <w:r w:rsidR="0032515B" w:rsidRPr="00961F96">
        <w:t>the proces</w:t>
      </w:r>
      <w:r w:rsidR="00E731AF" w:rsidRPr="00961F96">
        <w:t xml:space="preserve">s </w:t>
      </w:r>
      <w:proofErr w:type="gramStart"/>
      <w:r w:rsidR="00F2512D">
        <w:t>not</w:t>
      </w:r>
      <w:proofErr w:type="gramEnd"/>
      <w:r w:rsidR="00F2512D">
        <w:t xml:space="preserve"> in scope </w:t>
      </w:r>
      <w:r w:rsidR="00F56681">
        <w:t>for</w:t>
      </w:r>
      <w:r w:rsidR="00E731AF" w:rsidRPr="00961F96">
        <w:t xml:space="preserve"> DPR 151/2011.</w:t>
      </w:r>
      <w:r w:rsidR="00802E3D" w:rsidRPr="00961F96">
        <w:t xml:space="preserve"> </w:t>
      </w:r>
      <w:r w:rsidR="007468D1">
        <w:t xml:space="preserve">Internal </w:t>
      </w:r>
      <w:r w:rsidR="00F56681">
        <w:t>S</w:t>
      </w:r>
      <w:r w:rsidR="00BF6E48">
        <w:t>D</w:t>
      </w:r>
      <w:r w:rsidR="00802E3D" w:rsidRPr="00961F96">
        <w:t xml:space="preserve"> </w:t>
      </w:r>
      <w:proofErr w:type="gramStart"/>
      <w:r w:rsidR="00802E3D" w:rsidRPr="00961F96">
        <w:t>range</w:t>
      </w:r>
      <w:proofErr w:type="gramEnd"/>
      <w:r w:rsidR="00802E3D" w:rsidRPr="00961F96">
        <w:t xml:space="preserve"> from 3 m to </w:t>
      </w:r>
      <w:r w:rsidR="007468D1">
        <w:t>15</w:t>
      </w:r>
      <w:r w:rsidR="00A41E7F" w:rsidRPr="00961F96">
        <w:t xml:space="preserve"> m</w:t>
      </w:r>
      <w:r w:rsidR="0004452B" w:rsidRPr="00961F96">
        <w:t xml:space="preserve">, depending on the pressure of </w:t>
      </w:r>
      <w:r w:rsidR="000622B8">
        <w:t xml:space="preserve">the </w:t>
      </w:r>
      <w:r w:rsidR="00C0509E" w:rsidRPr="00961F96">
        <w:t>hazardous elements (which include</w:t>
      </w:r>
      <w:r w:rsidR="0004452B" w:rsidRPr="00961F96">
        <w:t xml:space="preserve"> </w:t>
      </w:r>
      <w:proofErr w:type="spellStart"/>
      <w:r w:rsidR="0004452B" w:rsidRPr="00961F96">
        <w:t>electrol</w:t>
      </w:r>
      <w:r w:rsidR="003912F2" w:rsidRPr="00961F96">
        <w:t>y</w:t>
      </w:r>
      <w:r w:rsidR="0004452B" w:rsidRPr="00961F96">
        <w:t>zer</w:t>
      </w:r>
      <w:r w:rsidR="00C0509E" w:rsidRPr="00961F96">
        <w:t>s</w:t>
      </w:r>
      <w:proofErr w:type="spellEnd"/>
      <w:r w:rsidR="00C0509E" w:rsidRPr="00961F96">
        <w:t xml:space="preserve">, storages, compressors, </w:t>
      </w:r>
      <w:r w:rsidR="001407D3" w:rsidRPr="00961F96">
        <w:t>piping)</w:t>
      </w:r>
      <w:r w:rsidR="0004452B" w:rsidRPr="00961F96">
        <w:t xml:space="preserve">; </w:t>
      </w:r>
      <w:r w:rsidR="007468D1">
        <w:t>external SD can reach 30 m, and</w:t>
      </w:r>
      <w:r w:rsidR="0004452B" w:rsidRPr="00961F96">
        <w:t xml:space="preserve"> can be doubled in case of vulnerable target</w:t>
      </w:r>
      <w:r w:rsidR="00430DE2" w:rsidRPr="00961F96">
        <w:t>s</w:t>
      </w:r>
      <w:r w:rsidR="00A41E7F" w:rsidRPr="00961F96">
        <w:t>.</w:t>
      </w:r>
      <w:r w:rsidR="00BC590E" w:rsidRPr="00961F96">
        <w:t xml:space="preserve"> For comparison, the criteria </w:t>
      </w:r>
      <w:r w:rsidR="001407D3" w:rsidRPr="00961F96">
        <w:t>established</w:t>
      </w:r>
      <w:r w:rsidR="00BC590E" w:rsidRPr="00961F96">
        <w:t xml:space="preserve"> in DM </w:t>
      </w:r>
      <w:r w:rsidR="00430DE2" w:rsidRPr="00961F96">
        <w:t>23/10/</w:t>
      </w:r>
      <w:r w:rsidR="00BC590E" w:rsidRPr="00961F96">
        <w:t xml:space="preserve">2018 were not differentiated based on pressure, but only on the type of </w:t>
      </w:r>
      <w:r w:rsidR="001407D3" w:rsidRPr="00961F96">
        <w:t>hazardous</w:t>
      </w:r>
      <w:r w:rsidR="00BC590E" w:rsidRPr="00961F96">
        <w:t xml:space="preserve"> element.</w:t>
      </w:r>
      <w:r w:rsidR="00596295" w:rsidRPr="00961F96">
        <w:t xml:space="preserve"> T</w:t>
      </w:r>
      <w:r w:rsidR="00340676" w:rsidRPr="00961F96">
        <w:t>he technical rules implement a prescriptive approach.</w:t>
      </w:r>
      <w:r w:rsidR="00E22E3E" w:rsidRPr="00961F96">
        <w:t xml:space="preserve"> </w:t>
      </w:r>
      <w:r w:rsidR="00340676" w:rsidRPr="00961F96">
        <w:t>However, for cases in which the prescriptive approach is not possible due to specific constraints,</w:t>
      </w:r>
      <w:r w:rsidR="0093793F" w:rsidRPr="00961F96">
        <w:t xml:space="preserve"> an “engineering</w:t>
      </w:r>
      <w:r w:rsidR="001F2E00" w:rsidRPr="00961F96">
        <w:t xml:space="preserve"> approach” can be adopted. The engineering approach is ruled by</w:t>
      </w:r>
      <w:r w:rsidR="00D46238" w:rsidRPr="00961F96">
        <w:t xml:space="preserve"> </w:t>
      </w:r>
      <w:r w:rsidR="00374686" w:rsidRPr="00961F96">
        <w:t>DM</w:t>
      </w:r>
      <w:r w:rsidR="00D46238" w:rsidRPr="00961F96">
        <w:t xml:space="preserve"> 09/05/2007</w:t>
      </w:r>
      <w:r w:rsidR="00EB6BE3" w:rsidRPr="00961F96">
        <w:t xml:space="preserve"> (Gazzetta Ufficiale, 2007)</w:t>
      </w:r>
      <w:r w:rsidR="006B0710" w:rsidRPr="00961F96">
        <w:t xml:space="preserve">, and it states that accidental scenarios should be </w:t>
      </w:r>
      <w:r w:rsidR="00E65261" w:rsidRPr="00961F96">
        <w:t xml:space="preserve">assessed and calculated </w:t>
      </w:r>
      <w:r w:rsidR="003E1215" w:rsidRPr="00961F96">
        <w:t>to</w:t>
      </w:r>
      <w:r w:rsidR="00E65261" w:rsidRPr="00961F96">
        <w:t xml:space="preserve"> </w:t>
      </w:r>
      <w:r w:rsidR="00386F2B" w:rsidRPr="00961F96">
        <w:t>provide reasoning to</w:t>
      </w:r>
      <w:r w:rsidR="00E65261" w:rsidRPr="00961F96">
        <w:t xml:space="preserve"> the reduction of safety distances.</w:t>
      </w:r>
    </w:p>
    <w:p w14:paraId="17405277" w14:textId="6924E65A" w:rsidR="003A2B7B" w:rsidRDefault="006D419C" w:rsidP="003A2B7B">
      <w:pPr>
        <w:pStyle w:val="CETheadingx"/>
      </w:pPr>
      <w:r>
        <w:lastRenderedPageBreak/>
        <w:t>P</w:t>
      </w:r>
      <w:r w:rsidR="00BD4718">
        <w:t xml:space="preserve">ermitting </w:t>
      </w:r>
      <w:r>
        <w:t xml:space="preserve">process </w:t>
      </w:r>
      <w:r w:rsidR="00BD4718">
        <w:t xml:space="preserve">for </w:t>
      </w:r>
      <w:r>
        <w:t xml:space="preserve">green </w:t>
      </w:r>
      <w:r w:rsidR="00BD4718">
        <w:t>hydrogen project</w:t>
      </w:r>
      <w:r w:rsidR="009B5E28">
        <w:t>s</w:t>
      </w:r>
    </w:p>
    <w:p w14:paraId="5D1ADD85" w14:textId="0BCEE95A" w:rsidR="000C317D" w:rsidRPr="00961F96" w:rsidRDefault="003E1215" w:rsidP="00482C27">
      <w:pPr>
        <w:pStyle w:val="CETBodytext"/>
      </w:pPr>
      <w:r w:rsidRPr="00961F96">
        <w:t>Base</w:t>
      </w:r>
      <w:r w:rsidR="006D7277" w:rsidRPr="00961F96">
        <w:t xml:space="preserve">d on </w:t>
      </w:r>
      <w:r w:rsidR="00EC0100">
        <w:t xml:space="preserve">the Italian regulatory framework discusses in Section 2.1 and 2.2, </w:t>
      </w:r>
      <w:r w:rsidR="0036103B">
        <w:t xml:space="preserve">the permitting process for green hydrogen depends on </w:t>
      </w:r>
      <w:r w:rsidR="007B0965">
        <w:t>its</w:t>
      </w:r>
      <w:r w:rsidR="0036103B">
        <w:t xml:space="preserve"> use, which can be divided in</w:t>
      </w:r>
      <w:r w:rsidR="000C317D" w:rsidRPr="00961F96">
        <w:t>:</w:t>
      </w:r>
    </w:p>
    <w:p w14:paraId="49C6DB9E" w14:textId="2517A085" w:rsidR="000C317D" w:rsidRPr="00961F96" w:rsidRDefault="000C317D" w:rsidP="000C317D">
      <w:pPr>
        <w:pStyle w:val="CETBodytext"/>
        <w:numPr>
          <w:ilvl w:val="0"/>
          <w:numId w:val="23"/>
        </w:numPr>
      </w:pPr>
      <w:r w:rsidRPr="00961F96">
        <w:t>Green hydrogen for automotive and civil uses</w:t>
      </w:r>
      <w:r w:rsidR="00BA6DC2" w:rsidRPr="00961F96">
        <w:t xml:space="preserve"> (</w:t>
      </w:r>
      <w:r w:rsidR="005E6A4C" w:rsidRPr="00961F96">
        <w:t>as per DM 23</w:t>
      </w:r>
      <w:r w:rsidR="00A37988" w:rsidRPr="00961F96">
        <w:t>/</w:t>
      </w:r>
      <w:r w:rsidR="005E6A4C" w:rsidRPr="00961F96">
        <w:t>10</w:t>
      </w:r>
      <w:r w:rsidR="00A37988" w:rsidRPr="00961F96">
        <w:t>/</w:t>
      </w:r>
      <w:r w:rsidR="005E6A4C" w:rsidRPr="00961F96">
        <w:t>2018)</w:t>
      </w:r>
    </w:p>
    <w:p w14:paraId="4F914594" w14:textId="379B3075" w:rsidR="000C317D" w:rsidRPr="00961F96" w:rsidRDefault="000C317D" w:rsidP="000C317D">
      <w:pPr>
        <w:pStyle w:val="CETBodytext"/>
        <w:numPr>
          <w:ilvl w:val="0"/>
          <w:numId w:val="23"/>
        </w:numPr>
      </w:pPr>
      <w:r w:rsidRPr="00961F96">
        <w:t xml:space="preserve">Green hydrogen for industrial use, including </w:t>
      </w:r>
      <w:r w:rsidR="00EC0100">
        <w:t xml:space="preserve">the </w:t>
      </w:r>
      <w:r w:rsidRPr="00961F96">
        <w:t>hard-to-abate sector</w:t>
      </w:r>
      <w:r w:rsidR="005E6A4C" w:rsidRPr="00961F96">
        <w:t xml:space="preserve"> (as per DM </w:t>
      </w:r>
      <w:r w:rsidR="00A37988" w:rsidRPr="00961F96">
        <w:t>07/07/</w:t>
      </w:r>
      <w:r w:rsidR="005E6A4C" w:rsidRPr="00961F96">
        <w:t>2023)</w:t>
      </w:r>
      <w:r w:rsidRPr="00961F96">
        <w:t>.</w:t>
      </w:r>
    </w:p>
    <w:p w14:paraId="51D0F2C1" w14:textId="0F856473" w:rsidR="00C50565" w:rsidRDefault="009001A4" w:rsidP="00DC3FDD">
      <w:pPr>
        <w:pStyle w:val="CETBodytext"/>
        <w:spacing w:after="240"/>
      </w:pPr>
      <w:r>
        <w:t xml:space="preserve">For </w:t>
      </w:r>
      <w:r w:rsidR="006840F6" w:rsidRPr="00961F96">
        <w:t xml:space="preserve">the </w:t>
      </w:r>
      <w:r w:rsidR="008C49FE" w:rsidRPr="00961F96">
        <w:t>automotive</w:t>
      </w:r>
      <w:r w:rsidR="005223CD">
        <w:t xml:space="preserve"> sector</w:t>
      </w:r>
      <w:r w:rsidR="008C49FE" w:rsidRPr="00961F96">
        <w:t xml:space="preserve"> and civil use, </w:t>
      </w:r>
      <w:r w:rsidR="00B00635" w:rsidRPr="00961F96">
        <w:t>t</w:t>
      </w:r>
      <w:r w:rsidR="00017046" w:rsidRPr="00961F96">
        <w:t xml:space="preserve">he </w:t>
      </w:r>
      <w:r w:rsidR="00EC723D" w:rsidRPr="00961F96">
        <w:t>quantities involved are typically w</w:t>
      </w:r>
      <w:r w:rsidR="00F72932" w:rsidRPr="00961F96">
        <w:t>ell</w:t>
      </w:r>
      <w:r w:rsidR="00EC723D" w:rsidRPr="00961F96">
        <w:t xml:space="preserve"> below</w:t>
      </w:r>
      <w:r w:rsidR="00BD13F3" w:rsidRPr="00961F96">
        <w:t xml:space="preserve"> the lower-tier threshold </w:t>
      </w:r>
      <w:r w:rsidR="00EC0100">
        <w:t xml:space="preserve">for </w:t>
      </w:r>
      <w:r w:rsidR="00BD13F3" w:rsidRPr="00961F96">
        <w:t xml:space="preserve">hydrogen (5 </w:t>
      </w:r>
      <w:proofErr w:type="gramStart"/>
      <w:r w:rsidR="00BD13F3" w:rsidRPr="00961F96">
        <w:t>ton</w:t>
      </w:r>
      <w:proofErr w:type="gramEnd"/>
      <w:r w:rsidR="00BD13F3" w:rsidRPr="00961F96">
        <w:t>); so</w:t>
      </w:r>
      <w:r w:rsidR="0070740B">
        <w:t>,</w:t>
      </w:r>
      <w:r w:rsidR="00BD13F3" w:rsidRPr="00961F96">
        <w:t xml:space="preserve"> such structures are not</w:t>
      </w:r>
      <w:r w:rsidR="00A53F41">
        <w:t xml:space="preserve"> included in</w:t>
      </w:r>
      <w:r w:rsidR="00BD13F3" w:rsidRPr="00961F96">
        <w:t xml:space="preserve"> the Seveso Directive</w:t>
      </w:r>
      <w:r w:rsidR="00597615" w:rsidRPr="00961F96">
        <w:t>, and only the fire prevention rule</w:t>
      </w:r>
      <w:r w:rsidR="00C34D59" w:rsidRPr="00961F96">
        <w:t>s</w:t>
      </w:r>
      <w:r w:rsidR="00597615" w:rsidRPr="00961F96">
        <w:t xml:space="preserve"> </w:t>
      </w:r>
      <w:r w:rsidR="00A53F41" w:rsidRPr="00961F96">
        <w:t>apply</w:t>
      </w:r>
      <w:r w:rsidR="00505D5A">
        <w:t>.</w:t>
      </w:r>
      <w:r w:rsidR="00A53F41">
        <w:t xml:space="preserve"> The permitting process is shown in Figure </w:t>
      </w:r>
      <w:r w:rsidR="0070740B">
        <w:t>2</w:t>
      </w:r>
      <w:r w:rsidR="00A53F41">
        <w:t xml:space="preserve"> and retraces what was outlined in Section 2.2.</w:t>
      </w:r>
    </w:p>
    <w:p w14:paraId="4D087473" w14:textId="6A3E3AA3" w:rsidR="009153B7" w:rsidRDefault="00D32A5F" w:rsidP="0059735F">
      <w:pPr>
        <w:pStyle w:val="CETBodytext"/>
        <w:jc w:val="left"/>
      </w:pPr>
      <w:r w:rsidRPr="00D32A5F">
        <w:rPr>
          <w:noProof/>
        </w:rPr>
        <w:drawing>
          <wp:inline distT="0" distB="0" distL="0" distR="0" wp14:anchorId="76B0D54E" wp14:editId="7CC58E10">
            <wp:extent cx="4744677" cy="1360714"/>
            <wp:effectExtent l="0" t="0" r="0" b="0"/>
            <wp:docPr id="13793609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4677" cy="1360714"/>
                    </a:xfrm>
                    <a:prstGeom prst="rect">
                      <a:avLst/>
                    </a:prstGeom>
                    <a:noFill/>
                    <a:ln>
                      <a:noFill/>
                    </a:ln>
                  </pic:spPr>
                </pic:pic>
              </a:graphicData>
            </a:graphic>
          </wp:inline>
        </w:drawing>
      </w:r>
    </w:p>
    <w:p w14:paraId="439AD355" w14:textId="5EB85544" w:rsidR="00651104" w:rsidRDefault="0004795D" w:rsidP="0004795D">
      <w:pPr>
        <w:pStyle w:val="CETCaption"/>
      </w:pPr>
      <w:r>
        <w:t>Figure 2: Permitting process for green hydrogen technologies</w:t>
      </w:r>
    </w:p>
    <w:p w14:paraId="6BA71870" w14:textId="333829F5" w:rsidR="00EA0A3E" w:rsidRDefault="00A53F41" w:rsidP="000C317D">
      <w:pPr>
        <w:pStyle w:val="CETBodytext"/>
      </w:pPr>
      <w:r>
        <w:t>F</w:t>
      </w:r>
      <w:r w:rsidR="001C049C" w:rsidRPr="00961F96">
        <w:t>or industrial use</w:t>
      </w:r>
      <w:r>
        <w:t xml:space="preserve"> of gree</w:t>
      </w:r>
      <w:r w:rsidR="003C7BD5">
        <w:t>n</w:t>
      </w:r>
      <w:r>
        <w:t xml:space="preserve"> hydrogen</w:t>
      </w:r>
      <w:r w:rsidR="001C049C" w:rsidRPr="00961F96">
        <w:t xml:space="preserve">, considering the current size of electrolysis </w:t>
      </w:r>
      <w:r w:rsidR="003C7BD5">
        <w:t>plants</w:t>
      </w:r>
      <w:r w:rsidR="001C049C" w:rsidRPr="00961F96">
        <w:t xml:space="preserve">, it is </w:t>
      </w:r>
      <w:r w:rsidR="003C7BD5">
        <w:t>un</w:t>
      </w:r>
      <w:r w:rsidR="001C049C" w:rsidRPr="00961F96">
        <w:t>common for them to fall within the major-accident prevention regulation as a stand-alone, unless consistent storage is foreseen</w:t>
      </w:r>
      <w:r w:rsidR="007E4E4F">
        <w:t>; as a reference</w:t>
      </w:r>
      <w:r w:rsidR="00073138">
        <w:t>, a storage of 200 m</w:t>
      </w:r>
      <w:r w:rsidR="00073138" w:rsidRPr="00073138">
        <w:rPr>
          <w:vertAlign w:val="superscript"/>
        </w:rPr>
        <w:t>3</w:t>
      </w:r>
      <w:r w:rsidR="00073138">
        <w:t xml:space="preserve"> of hydrogen at 300 </w:t>
      </w:r>
      <w:proofErr w:type="spellStart"/>
      <w:r w:rsidR="00073138">
        <w:t>barg</w:t>
      </w:r>
      <w:proofErr w:type="spellEnd"/>
      <w:r w:rsidR="00073138">
        <w:t xml:space="preserve"> and ambient temperature would be required</w:t>
      </w:r>
      <w:r w:rsidR="00103EC5" w:rsidRPr="00103EC5">
        <w:t xml:space="preserve"> </w:t>
      </w:r>
      <w:r w:rsidR="00103EC5">
        <w:t>to reach such a threshold</w:t>
      </w:r>
      <w:r w:rsidR="001C049C" w:rsidRPr="00961F96">
        <w:t xml:space="preserve">. Nonetheless, </w:t>
      </w:r>
      <w:r w:rsidR="00481305">
        <w:t xml:space="preserve">if </w:t>
      </w:r>
      <w:r w:rsidR="001C049C" w:rsidRPr="00961F96">
        <w:t xml:space="preserve">such technologies are installed within a Seveso plant, </w:t>
      </w:r>
      <w:r w:rsidR="00FD736C">
        <w:t>a detailed risk assessment</w:t>
      </w:r>
      <w:r w:rsidR="00481305">
        <w:t xml:space="preserve"> might be required</w:t>
      </w:r>
      <w:r w:rsidR="004B10D0">
        <w:t xml:space="preserve"> to </w:t>
      </w:r>
      <w:r w:rsidR="00ED549B">
        <w:t>demonstrate that there</w:t>
      </w:r>
      <w:r w:rsidR="00CB7437">
        <w:t xml:space="preserve"> is</w:t>
      </w:r>
      <w:r w:rsidR="00ED549B">
        <w:t xml:space="preserve"> no increas</w:t>
      </w:r>
      <w:r w:rsidR="00CB7437">
        <w:t>e</w:t>
      </w:r>
      <w:r w:rsidR="00ED549B">
        <w:t xml:space="preserve"> in the risk level of the plant</w:t>
      </w:r>
      <w:r w:rsidR="001C049C" w:rsidRPr="00961F96">
        <w:t>, and the CTR could be involved</w:t>
      </w:r>
      <w:r w:rsidR="00BC7323">
        <w:t>, as shown in Figure 2</w:t>
      </w:r>
      <w:r w:rsidR="00F63780">
        <w:t xml:space="preserve"> </w:t>
      </w:r>
      <w:r w:rsidR="005771A3">
        <w:t xml:space="preserve">with </w:t>
      </w:r>
      <w:r w:rsidR="00F63780">
        <w:t>the elements</w:t>
      </w:r>
      <w:r w:rsidR="0036103B">
        <w:t xml:space="preserve"> in the dashed boxes</w:t>
      </w:r>
      <w:r w:rsidR="001C049C" w:rsidRPr="00961F96">
        <w:t>.</w:t>
      </w:r>
      <w:r w:rsidR="001C049C">
        <w:t xml:space="preserve"> </w:t>
      </w:r>
    </w:p>
    <w:p w14:paraId="1DAFC171" w14:textId="48B5D62B" w:rsidR="00656419" w:rsidRDefault="001141A0" w:rsidP="000C317D">
      <w:pPr>
        <w:pStyle w:val="CETBodytext"/>
      </w:pPr>
      <w:r>
        <w:t>Additionally, t</w:t>
      </w:r>
      <w:r w:rsidR="007B397C" w:rsidRPr="00961F96">
        <w:t>he</w:t>
      </w:r>
      <w:r w:rsidR="00BF6E48">
        <w:t xml:space="preserve"> safety dista</w:t>
      </w:r>
      <w:r w:rsidR="008D130F">
        <w:t>n</w:t>
      </w:r>
      <w:r w:rsidR="00BF6E48">
        <w:t xml:space="preserve">ces </w:t>
      </w:r>
      <w:r w:rsidR="007B397C" w:rsidRPr="00961F96">
        <w:t xml:space="preserve">provided by the legislation </w:t>
      </w:r>
      <w:r w:rsidR="00164AB1">
        <w:t xml:space="preserve">may be </w:t>
      </w:r>
      <w:r w:rsidR="007B397C" w:rsidRPr="00961F96">
        <w:t xml:space="preserve">conservative, and their respect might not always be feasible considering potential spatial constraints. </w:t>
      </w:r>
      <w:r>
        <w:t>Moreover, a</w:t>
      </w:r>
      <w:r w:rsidR="00006130" w:rsidRPr="00961F96">
        <w:t xml:space="preserve">ccording to both </w:t>
      </w:r>
      <w:r w:rsidR="009E567B">
        <w:t>DM</w:t>
      </w:r>
      <w:r w:rsidR="00006130" w:rsidRPr="00961F96">
        <w:t xml:space="preserve"> 23/10/2018 and </w:t>
      </w:r>
      <w:r w:rsidR="009E567B">
        <w:t>DM</w:t>
      </w:r>
      <w:r w:rsidR="00006130" w:rsidRPr="00961F96">
        <w:t xml:space="preserve"> 07/07/2023, passive measures</w:t>
      </w:r>
      <w:r w:rsidR="00EA0A3E">
        <w:t>, e.g.,</w:t>
      </w:r>
      <w:r w:rsidR="00006130" w:rsidRPr="00961F96">
        <w:t xml:space="preserve"> concrete walls, cannot be employed to reduce the </w:t>
      </w:r>
      <w:r w:rsidR="00FD5789">
        <w:t>SD</w:t>
      </w:r>
      <w:r w:rsidR="00006130" w:rsidRPr="00961F96">
        <w:t xml:space="preserve">. As a result, the engineering approach is often adopted. </w:t>
      </w:r>
      <w:r w:rsidR="00641729">
        <w:t>To demonstrate t</w:t>
      </w:r>
      <w:r w:rsidR="00FD5789">
        <w:t>he conservativ</w:t>
      </w:r>
      <w:r w:rsidR="00711D2A">
        <w:t>eness</w:t>
      </w:r>
      <w:r w:rsidR="00FD5789">
        <w:t xml:space="preserve"> of the SD</w:t>
      </w:r>
      <w:r w:rsidR="00641729">
        <w:t xml:space="preserve">, we propose a simplified case study. </w:t>
      </w:r>
      <w:r w:rsidR="001A523C">
        <w:t xml:space="preserve">We compare the </w:t>
      </w:r>
      <w:r w:rsidR="00BF6E48">
        <w:t>SD</w:t>
      </w:r>
      <w:r w:rsidR="001A523C">
        <w:t xml:space="preserve"> proposed </w:t>
      </w:r>
      <w:r w:rsidR="00771AF6">
        <w:t xml:space="preserve">in DM 07/07/2023 with </w:t>
      </w:r>
      <w:r w:rsidR="00FD5789">
        <w:t>the ones obtained through a</w:t>
      </w:r>
      <w:r w:rsidR="00771AF6">
        <w:t xml:space="preserve"> consequence assessment </w:t>
      </w:r>
      <w:r w:rsidR="00FD5789">
        <w:t>u</w:t>
      </w:r>
      <w:r w:rsidR="00771AF6">
        <w:t>sing the engineering approach.</w:t>
      </w:r>
      <w:r w:rsidR="009E567B">
        <w:t xml:space="preserve"> The following scenarios are considered</w:t>
      </w:r>
      <w:r w:rsidR="00656419">
        <w:t>:</w:t>
      </w:r>
    </w:p>
    <w:p w14:paraId="182E35EF" w14:textId="2496A59E" w:rsidR="00656419" w:rsidRDefault="00504537" w:rsidP="00656419">
      <w:pPr>
        <w:pStyle w:val="CETBodytext"/>
        <w:numPr>
          <w:ilvl w:val="0"/>
          <w:numId w:val="24"/>
        </w:numPr>
      </w:pPr>
      <w:r>
        <w:t>Installation within a Seveso plant of a</w:t>
      </w:r>
      <w:r w:rsidR="00DA6C46">
        <w:t xml:space="preserve"> </w:t>
      </w:r>
      <w:r w:rsidR="003E04DB">
        <w:t xml:space="preserve">2,5 MW </w:t>
      </w:r>
      <w:r w:rsidR="00DA6C46">
        <w:t>PEM</w:t>
      </w:r>
      <w:r w:rsidR="00771AF6">
        <w:t xml:space="preserve"> </w:t>
      </w:r>
      <w:proofErr w:type="spellStart"/>
      <w:r w:rsidR="00771AF6">
        <w:t>electrolyzer</w:t>
      </w:r>
      <w:proofErr w:type="spellEnd"/>
      <w:r w:rsidR="00771AF6">
        <w:t xml:space="preserve"> unit operating at 30 </w:t>
      </w:r>
      <w:proofErr w:type="spellStart"/>
      <w:r w:rsidR="00771AF6">
        <w:t>barg</w:t>
      </w:r>
      <w:proofErr w:type="spellEnd"/>
      <w:r w:rsidR="00DA6C46">
        <w:t xml:space="preserve"> and 30°C</w:t>
      </w:r>
      <w:r w:rsidR="00FB1F76">
        <w:t xml:space="preserve">, with a </w:t>
      </w:r>
      <w:r w:rsidR="00A11761">
        <w:t xml:space="preserve">hydrogen </w:t>
      </w:r>
      <w:r w:rsidR="00FB1F76">
        <w:t xml:space="preserve">capacity of </w:t>
      </w:r>
      <w:r w:rsidR="00414B15">
        <w:t>500</w:t>
      </w:r>
      <w:r w:rsidR="00EB0564">
        <w:t xml:space="preserve"> </w:t>
      </w:r>
      <w:r w:rsidR="00414B15">
        <w:t>Nm</w:t>
      </w:r>
      <w:r w:rsidR="00414B15" w:rsidRPr="00414B15">
        <w:rPr>
          <w:vertAlign w:val="superscript"/>
        </w:rPr>
        <w:t>3</w:t>
      </w:r>
      <w:r w:rsidR="00414B15">
        <w:t>/h</w:t>
      </w:r>
      <w:r w:rsidR="00B710D3">
        <w:t xml:space="preserve">, </w:t>
      </w:r>
      <w:r w:rsidR="00A11761">
        <w:t>i.e.,</w:t>
      </w:r>
      <w:r w:rsidR="00B710D3">
        <w:t xml:space="preserve"> 50 kg/h</w:t>
      </w:r>
      <w:r w:rsidR="0052337D">
        <w:t xml:space="preserve"> (</w:t>
      </w:r>
      <w:r w:rsidR="00C70DB9">
        <w:t>0.014 kg/s)</w:t>
      </w:r>
      <w:r w:rsidR="00A11761">
        <w:t>. T</w:t>
      </w:r>
      <w:r w:rsidR="009951E6">
        <w:t xml:space="preserve">he average size of the piping in the </w:t>
      </w:r>
      <w:proofErr w:type="spellStart"/>
      <w:r w:rsidR="009951E6">
        <w:t>electrol</w:t>
      </w:r>
      <w:r w:rsidR="00C6450A">
        <w:t>y</w:t>
      </w:r>
      <w:r w:rsidR="009951E6">
        <w:t>zer</w:t>
      </w:r>
      <w:proofErr w:type="spellEnd"/>
      <w:r w:rsidR="009951E6">
        <w:t xml:space="preserve"> is </w:t>
      </w:r>
      <w:proofErr w:type="gramStart"/>
      <w:r w:rsidR="009951E6">
        <w:t>1’’</w:t>
      </w:r>
      <w:proofErr w:type="gramEnd"/>
      <w:r w:rsidR="009951E6">
        <w:t xml:space="preserve"> (25,4 mm)</w:t>
      </w:r>
      <w:r w:rsidR="005E7530">
        <w:t>;</w:t>
      </w:r>
    </w:p>
    <w:p w14:paraId="00D33CCD" w14:textId="0F598FB9" w:rsidR="003D28B0" w:rsidRDefault="00DA6C46" w:rsidP="00656419">
      <w:pPr>
        <w:pStyle w:val="CETBodytext"/>
        <w:numPr>
          <w:ilvl w:val="0"/>
          <w:numId w:val="24"/>
        </w:numPr>
      </w:pPr>
      <w:r>
        <w:t xml:space="preserve">The hydrogen is fed to a </w:t>
      </w:r>
      <w:r w:rsidR="002907C0">
        <w:t>process plant</w:t>
      </w:r>
      <w:r w:rsidR="00990AE8">
        <w:t xml:space="preserve"> at a pressure of 2,3 </w:t>
      </w:r>
      <w:proofErr w:type="spellStart"/>
      <w:r w:rsidR="00990AE8">
        <w:t>barg</w:t>
      </w:r>
      <w:proofErr w:type="spellEnd"/>
      <w:r w:rsidR="00345891">
        <w:t xml:space="preserve"> </w:t>
      </w:r>
      <w:r w:rsidR="00B710D3">
        <w:t xml:space="preserve">through </w:t>
      </w:r>
      <w:r w:rsidR="009951E6">
        <w:t xml:space="preserve">a 3’’ </w:t>
      </w:r>
      <w:r w:rsidR="00345891">
        <w:t xml:space="preserve">pipeline </w:t>
      </w:r>
      <w:r w:rsidR="009951E6">
        <w:t>(</w:t>
      </w:r>
      <w:r w:rsidR="00E14E95">
        <w:t>76,2 mm)</w:t>
      </w:r>
      <w:r w:rsidR="005E7530">
        <w:t>.</w:t>
      </w:r>
    </w:p>
    <w:p w14:paraId="5C15C48C" w14:textId="3B126EC8" w:rsidR="001A523C" w:rsidRPr="006E3C52" w:rsidRDefault="008C4F92" w:rsidP="000C317D">
      <w:pPr>
        <w:pStyle w:val="CETBodytext"/>
      </w:pPr>
      <w:r>
        <w:t>Given the lack of national guidelines, t</w:t>
      </w:r>
      <w:r w:rsidR="00E86D48">
        <w:t>he most conservative release conditions</w:t>
      </w:r>
      <w:r w:rsidR="00BF6E48">
        <w:t xml:space="preserve"> </w:t>
      </w:r>
      <w:r w:rsidR="009E567B">
        <w:t xml:space="preserve">are </w:t>
      </w:r>
      <w:r w:rsidR="00AB34E6">
        <w:t>considered</w:t>
      </w:r>
      <w:r w:rsidR="001D5813">
        <w:t>: nominal pressure and temperature</w:t>
      </w:r>
      <w:r w:rsidR="002907C0">
        <w:t>,</w:t>
      </w:r>
      <w:r w:rsidR="00711D2A">
        <w:t xml:space="preserve"> </w:t>
      </w:r>
      <w:r w:rsidR="00E86D48">
        <w:t>full</w:t>
      </w:r>
      <w:r w:rsidR="001D5813">
        <w:t>-</w:t>
      </w:r>
      <w:r w:rsidR="00E86D48">
        <w:t>bore</w:t>
      </w:r>
      <w:r w:rsidR="00353674">
        <w:t xml:space="preserve"> leak</w:t>
      </w:r>
      <w:r w:rsidR="00711D2A">
        <w:t>,</w:t>
      </w:r>
      <w:r w:rsidR="002E4A8B">
        <w:t xml:space="preserve"> </w:t>
      </w:r>
      <w:r w:rsidR="00353674">
        <w:t>with</w:t>
      </w:r>
      <w:r w:rsidR="009D22FE">
        <w:t xml:space="preserve"> maximum release rate </w:t>
      </w:r>
      <w:r w:rsidR="004E63C2">
        <w:t>capped</w:t>
      </w:r>
      <w:r w:rsidR="009D22FE">
        <w:t xml:space="preserve"> </w:t>
      </w:r>
      <w:r w:rsidR="009E567B">
        <w:t xml:space="preserve">at </w:t>
      </w:r>
      <w:r w:rsidR="009D22FE">
        <w:t xml:space="preserve">the </w:t>
      </w:r>
      <w:proofErr w:type="spellStart"/>
      <w:r w:rsidR="009D22FE">
        <w:t>electrolyzer</w:t>
      </w:r>
      <w:proofErr w:type="spellEnd"/>
      <w:r w:rsidR="009D22FE">
        <w:t xml:space="preserve"> capacity</w:t>
      </w:r>
      <w:r w:rsidR="00A1017F">
        <w:t>.</w:t>
      </w:r>
      <w:r w:rsidR="009B1C8F">
        <w:t xml:space="preserve"> </w:t>
      </w:r>
      <w:r w:rsidR="0041493B">
        <w:t xml:space="preserve">A </w:t>
      </w:r>
      <w:r w:rsidR="00FD1EDF">
        <w:t xml:space="preserve">mitigated </w:t>
      </w:r>
      <w:r w:rsidR="00E05DEB">
        <w:t>3-minute</w:t>
      </w:r>
      <w:r w:rsidR="0041493B">
        <w:t xml:space="preserve"> release was considered</w:t>
      </w:r>
      <w:r w:rsidR="00A1017F">
        <w:t xml:space="preserve">. </w:t>
      </w:r>
      <w:r w:rsidR="000C36A2">
        <w:t xml:space="preserve">The consequences were simulated using </w:t>
      </w:r>
      <w:proofErr w:type="spellStart"/>
      <w:r w:rsidR="000C36A2">
        <w:t>Phast</w:t>
      </w:r>
      <w:proofErr w:type="spellEnd"/>
      <w:r w:rsidR="000C36A2">
        <w:t xml:space="preserve"> 9.11 from DNV. </w:t>
      </w:r>
      <w:r w:rsidR="006E3C52">
        <w:t>The results are shown in Table 3: the SD from DM 07/07/2023 are compared with physical effect thresholds set by DM 09/03/2001.</w:t>
      </w:r>
      <w:r w:rsidR="004E3018">
        <w:t xml:space="preserve"> </w:t>
      </w:r>
      <w:r w:rsidR="003B235A">
        <w:t>Only the jet fire scenario is considered, as no flash fire or explosion are computed due to the low quantity of hydrogen released.</w:t>
      </w:r>
    </w:p>
    <w:p w14:paraId="18F092F7" w14:textId="16DBEE0B" w:rsidR="001A523C" w:rsidRDefault="00190D1A" w:rsidP="00190D1A">
      <w:pPr>
        <w:pStyle w:val="CETTabletitle"/>
      </w:pPr>
      <w:r>
        <w:t xml:space="preserve">Table </w:t>
      </w:r>
      <w:r w:rsidR="006146C7">
        <w:t>3</w:t>
      </w:r>
      <w:r w:rsidR="005261EE">
        <w:t xml:space="preserve"> - Comparison of safety distances</w:t>
      </w:r>
      <w:r w:rsidR="001257FE">
        <w:t xml:space="preserve"> (SD)</w:t>
      </w:r>
      <w:r w:rsidR="005261EE">
        <w:t xml:space="preserve"> using DM 07/07/2023 </w:t>
      </w:r>
      <w:r w:rsidR="00E02B18">
        <w:t>and engineering approach</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6"/>
        <w:gridCol w:w="852"/>
        <w:gridCol w:w="1276"/>
        <w:gridCol w:w="1276"/>
        <w:gridCol w:w="1276"/>
        <w:gridCol w:w="1276"/>
        <w:gridCol w:w="1415"/>
      </w:tblGrid>
      <w:tr w:rsidR="00156ACF" w:rsidRPr="00961F96" w14:paraId="7FCA8B57" w14:textId="77777777" w:rsidTr="004E3018">
        <w:tc>
          <w:tcPr>
            <w:tcW w:w="806" w:type="pct"/>
            <w:tcBorders>
              <w:top w:val="single" w:sz="12" w:space="0" w:color="008000"/>
              <w:bottom w:val="single" w:sz="6" w:space="0" w:color="008000"/>
            </w:tcBorders>
            <w:shd w:val="clear" w:color="auto" w:fill="FFFFFF"/>
          </w:tcPr>
          <w:p w14:paraId="2A31ADD5" w14:textId="4B9604B9" w:rsidR="00156ACF" w:rsidRPr="00961F96" w:rsidRDefault="00156ACF" w:rsidP="00F43DD1">
            <w:pPr>
              <w:pStyle w:val="CETBodytext"/>
              <w:rPr>
                <w:lang w:val="en-GB"/>
              </w:rPr>
            </w:pPr>
            <w:r>
              <w:rPr>
                <w:lang w:val="en-GB"/>
              </w:rPr>
              <w:t>Unit</w:t>
            </w:r>
          </w:p>
        </w:tc>
        <w:tc>
          <w:tcPr>
            <w:tcW w:w="485" w:type="pct"/>
            <w:tcBorders>
              <w:top w:val="single" w:sz="12" w:space="0" w:color="008000"/>
              <w:bottom w:val="single" w:sz="6" w:space="0" w:color="008000"/>
            </w:tcBorders>
            <w:shd w:val="clear" w:color="auto" w:fill="FFFFFF"/>
          </w:tcPr>
          <w:p w14:paraId="461E85A8" w14:textId="77777777" w:rsidR="004B4C00" w:rsidRDefault="000718B8" w:rsidP="00F43DD1">
            <w:pPr>
              <w:pStyle w:val="CETBodytext"/>
              <w:rPr>
                <w:lang w:val="en-GB"/>
              </w:rPr>
            </w:pPr>
            <w:r>
              <w:rPr>
                <w:lang w:val="en-GB"/>
              </w:rPr>
              <w:t>Release diameter</w:t>
            </w:r>
            <w:r w:rsidR="004B4C00">
              <w:rPr>
                <w:lang w:val="en-GB"/>
              </w:rPr>
              <w:t xml:space="preserve"> </w:t>
            </w:r>
          </w:p>
          <w:p w14:paraId="4EE68A70" w14:textId="179B9136" w:rsidR="00156ACF" w:rsidRPr="00961F96" w:rsidRDefault="004B4C00" w:rsidP="00F43DD1">
            <w:pPr>
              <w:pStyle w:val="CETBodytext"/>
              <w:rPr>
                <w:lang w:val="en-GB"/>
              </w:rPr>
            </w:pPr>
            <w:r>
              <w:rPr>
                <w:lang w:val="en-GB"/>
              </w:rPr>
              <w:t>(mm)</w:t>
            </w:r>
          </w:p>
        </w:tc>
        <w:tc>
          <w:tcPr>
            <w:tcW w:w="726" w:type="pct"/>
            <w:tcBorders>
              <w:top w:val="single" w:sz="12" w:space="0" w:color="008000"/>
              <w:bottom w:val="single" w:sz="6" w:space="0" w:color="008000"/>
            </w:tcBorders>
            <w:shd w:val="clear" w:color="auto" w:fill="FFFFFF"/>
          </w:tcPr>
          <w:p w14:paraId="0788B6BC" w14:textId="77777777" w:rsidR="004B4C00" w:rsidRDefault="00156ACF" w:rsidP="00F43DD1">
            <w:pPr>
              <w:pStyle w:val="CETBodytext"/>
              <w:rPr>
                <w:lang w:val="en-GB"/>
              </w:rPr>
            </w:pPr>
            <w:r>
              <w:rPr>
                <w:lang w:val="en-GB"/>
              </w:rPr>
              <w:t xml:space="preserve">Release </w:t>
            </w:r>
          </w:p>
          <w:p w14:paraId="5E22E8B3" w14:textId="62CA576C" w:rsidR="00156ACF" w:rsidRPr="00961F96" w:rsidRDefault="00156ACF" w:rsidP="00F43DD1">
            <w:pPr>
              <w:pStyle w:val="CETBodytext"/>
              <w:rPr>
                <w:lang w:val="en-GB"/>
              </w:rPr>
            </w:pPr>
            <w:r>
              <w:rPr>
                <w:lang w:val="en-GB"/>
              </w:rPr>
              <w:t>conditions</w:t>
            </w:r>
          </w:p>
        </w:tc>
        <w:tc>
          <w:tcPr>
            <w:tcW w:w="726" w:type="pct"/>
            <w:tcBorders>
              <w:top w:val="single" w:sz="12" w:space="0" w:color="008000"/>
              <w:bottom w:val="single" w:sz="6" w:space="0" w:color="008000"/>
            </w:tcBorders>
            <w:shd w:val="clear" w:color="auto" w:fill="FFFFFF"/>
          </w:tcPr>
          <w:p w14:paraId="70060574" w14:textId="004BA189" w:rsidR="00156ACF" w:rsidRDefault="001257FE" w:rsidP="00F43DD1">
            <w:pPr>
              <w:pStyle w:val="CETBodytext"/>
              <w:rPr>
                <w:lang w:val="en-GB"/>
              </w:rPr>
            </w:pPr>
            <w:r>
              <w:rPr>
                <w:lang w:val="en-GB"/>
              </w:rPr>
              <w:t>SD (m)</w:t>
            </w:r>
          </w:p>
          <w:p w14:paraId="320C22C9" w14:textId="77777777" w:rsidR="00156ACF" w:rsidRDefault="00156ACF" w:rsidP="00156ACF">
            <w:pPr>
              <w:pStyle w:val="CETBodytext"/>
              <w:rPr>
                <w:lang w:val="en-GB"/>
              </w:rPr>
            </w:pPr>
            <w:r>
              <w:rPr>
                <w:lang w:val="en-GB"/>
              </w:rPr>
              <w:t>Jet fire</w:t>
            </w:r>
          </w:p>
          <w:p w14:paraId="08D1170A" w14:textId="77777777" w:rsidR="00156ACF" w:rsidRDefault="00156ACF" w:rsidP="00F43DD1">
            <w:pPr>
              <w:pStyle w:val="CETBodytext"/>
              <w:rPr>
                <w:lang w:val="en-GB"/>
              </w:rPr>
            </w:pPr>
            <w:r>
              <w:rPr>
                <w:lang w:val="en-GB"/>
              </w:rPr>
              <w:t>3 kW/m</w:t>
            </w:r>
            <w:r w:rsidRPr="00952862">
              <w:rPr>
                <w:vertAlign w:val="superscript"/>
                <w:lang w:val="en-GB"/>
              </w:rPr>
              <w:t>2</w:t>
            </w:r>
          </w:p>
          <w:p w14:paraId="62475943" w14:textId="205F822B" w:rsidR="006E3C52" w:rsidRPr="00961F96" w:rsidRDefault="004E3018" w:rsidP="00F43DD1">
            <w:pPr>
              <w:pStyle w:val="CETBodytext"/>
              <w:rPr>
                <w:lang w:val="en-GB"/>
              </w:rPr>
            </w:pPr>
            <w:r>
              <w:rPr>
                <w:lang w:val="en-GB"/>
              </w:rPr>
              <w:t xml:space="preserve">Light </w:t>
            </w:r>
            <w:r w:rsidR="006E3C52">
              <w:rPr>
                <w:lang w:val="en-GB"/>
              </w:rPr>
              <w:t>injuries</w:t>
            </w:r>
          </w:p>
        </w:tc>
        <w:tc>
          <w:tcPr>
            <w:tcW w:w="726" w:type="pct"/>
            <w:tcBorders>
              <w:top w:val="single" w:sz="12" w:space="0" w:color="008000"/>
              <w:bottom w:val="single" w:sz="6" w:space="0" w:color="008000"/>
            </w:tcBorders>
            <w:shd w:val="clear" w:color="auto" w:fill="FFFFFF"/>
          </w:tcPr>
          <w:p w14:paraId="6D62BDA3" w14:textId="25CA627E" w:rsidR="00156ACF" w:rsidRDefault="001257FE" w:rsidP="00156ACF">
            <w:pPr>
              <w:pStyle w:val="CETBodytext"/>
              <w:rPr>
                <w:lang w:val="en-GB"/>
              </w:rPr>
            </w:pPr>
            <w:r>
              <w:rPr>
                <w:lang w:val="en-GB"/>
              </w:rPr>
              <w:t>SD (m)</w:t>
            </w:r>
          </w:p>
          <w:p w14:paraId="752540D1" w14:textId="77777777" w:rsidR="007316B7" w:rsidRDefault="007316B7" w:rsidP="007316B7">
            <w:pPr>
              <w:pStyle w:val="CETBodytext"/>
              <w:rPr>
                <w:lang w:val="en-GB"/>
              </w:rPr>
            </w:pPr>
            <w:r>
              <w:rPr>
                <w:lang w:val="en-GB"/>
              </w:rPr>
              <w:t>Jet fire</w:t>
            </w:r>
          </w:p>
          <w:p w14:paraId="2D239D05" w14:textId="2B804B63" w:rsidR="00156ACF" w:rsidRDefault="00655C6C" w:rsidP="001257FE">
            <w:pPr>
              <w:pStyle w:val="CETBodytext"/>
              <w:rPr>
                <w:lang w:val="en-GB"/>
              </w:rPr>
            </w:pPr>
            <w:r>
              <w:rPr>
                <w:lang w:val="en-GB"/>
              </w:rPr>
              <w:t>12,5 kW/m</w:t>
            </w:r>
            <w:r w:rsidRPr="00952862">
              <w:rPr>
                <w:vertAlign w:val="superscript"/>
                <w:lang w:val="en-GB"/>
              </w:rPr>
              <w:t>2</w:t>
            </w:r>
          </w:p>
          <w:p w14:paraId="7C4611A3" w14:textId="4315795C" w:rsidR="006E3C52" w:rsidRPr="00961F96" w:rsidRDefault="006E3C52" w:rsidP="001257FE">
            <w:pPr>
              <w:pStyle w:val="CETBodytext"/>
              <w:rPr>
                <w:lang w:val="en-GB"/>
              </w:rPr>
            </w:pPr>
            <w:r>
              <w:rPr>
                <w:lang w:val="en-GB"/>
              </w:rPr>
              <w:t>High lethality</w:t>
            </w:r>
          </w:p>
        </w:tc>
        <w:tc>
          <w:tcPr>
            <w:tcW w:w="726" w:type="pct"/>
            <w:tcBorders>
              <w:top w:val="single" w:sz="12" w:space="0" w:color="008000"/>
              <w:bottom w:val="single" w:sz="6" w:space="0" w:color="008000"/>
            </w:tcBorders>
            <w:shd w:val="clear" w:color="auto" w:fill="FFFFFF"/>
          </w:tcPr>
          <w:p w14:paraId="00BA33E7" w14:textId="053C1AB9" w:rsidR="00156ACF" w:rsidRDefault="001257FE" w:rsidP="00156ACF">
            <w:pPr>
              <w:pStyle w:val="CETBodytext"/>
              <w:rPr>
                <w:lang w:val="en-GB"/>
              </w:rPr>
            </w:pPr>
            <w:r>
              <w:rPr>
                <w:lang w:val="en-GB"/>
              </w:rPr>
              <w:t>SD (m)</w:t>
            </w:r>
          </w:p>
          <w:p w14:paraId="258FF588" w14:textId="522630B8" w:rsidR="00156ACF" w:rsidRDefault="007316B7" w:rsidP="00156ACF">
            <w:pPr>
              <w:pStyle w:val="CETBodytext"/>
              <w:rPr>
                <w:lang w:val="en-GB"/>
              </w:rPr>
            </w:pPr>
            <w:r>
              <w:rPr>
                <w:lang w:val="en-GB"/>
              </w:rPr>
              <w:t>Jet fire</w:t>
            </w:r>
          </w:p>
          <w:p w14:paraId="330D8C32" w14:textId="1FF8A00F" w:rsidR="00156ACF" w:rsidRDefault="00655C6C" w:rsidP="00156ACF">
            <w:pPr>
              <w:pStyle w:val="CETBodytext"/>
              <w:rPr>
                <w:lang w:val="en-GB"/>
              </w:rPr>
            </w:pPr>
            <w:r>
              <w:rPr>
                <w:lang w:val="en-GB"/>
              </w:rPr>
              <w:t>37,5 kW/m</w:t>
            </w:r>
            <w:r w:rsidRPr="00952862">
              <w:rPr>
                <w:vertAlign w:val="superscript"/>
                <w:lang w:val="en-GB"/>
              </w:rPr>
              <w:t>2</w:t>
            </w:r>
          </w:p>
          <w:p w14:paraId="6896F5F7" w14:textId="041F3441" w:rsidR="006E3C52" w:rsidRPr="00961F96" w:rsidRDefault="006E3C52" w:rsidP="00156ACF">
            <w:pPr>
              <w:pStyle w:val="CETBodytext"/>
              <w:rPr>
                <w:lang w:val="en-GB"/>
              </w:rPr>
            </w:pPr>
            <w:r>
              <w:rPr>
                <w:lang w:val="en-GB"/>
              </w:rPr>
              <w:t>Domino effect</w:t>
            </w:r>
          </w:p>
        </w:tc>
        <w:tc>
          <w:tcPr>
            <w:tcW w:w="805" w:type="pct"/>
            <w:tcBorders>
              <w:top w:val="single" w:sz="12" w:space="0" w:color="008000"/>
              <w:bottom w:val="single" w:sz="6" w:space="0" w:color="008000"/>
            </w:tcBorders>
            <w:shd w:val="clear" w:color="auto" w:fill="FFFFFF"/>
          </w:tcPr>
          <w:p w14:paraId="32E633E0" w14:textId="77777777" w:rsidR="00156ACF" w:rsidRDefault="001257FE" w:rsidP="00F43DD1">
            <w:pPr>
              <w:pStyle w:val="CETBodytext"/>
              <w:rPr>
                <w:lang w:val="en-GB"/>
              </w:rPr>
            </w:pPr>
            <w:r>
              <w:rPr>
                <w:lang w:val="en-GB"/>
              </w:rPr>
              <w:t>SD (m)</w:t>
            </w:r>
          </w:p>
          <w:p w14:paraId="271F88A9" w14:textId="5CB2208A" w:rsidR="001257FE" w:rsidRPr="00961F96" w:rsidRDefault="007E369D" w:rsidP="00F43DD1">
            <w:pPr>
              <w:pStyle w:val="CETBodytext"/>
              <w:rPr>
                <w:lang w:val="en-GB"/>
              </w:rPr>
            </w:pPr>
            <w:r>
              <w:rPr>
                <w:lang w:val="en-GB"/>
              </w:rPr>
              <w:t>DM 07/07/2023</w:t>
            </w:r>
          </w:p>
        </w:tc>
      </w:tr>
      <w:tr w:rsidR="003C7BD5" w:rsidRPr="00961F96" w14:paraId="4DE10FC1" w14:textId="77777777" w:rsidTr="004E3018">
        <w:tc>
          <w:tcPr>
            <w:tcW w:w="806" w:type="pct"/>
            <w:shd w:val="clear" w:color="auto" w:fill="FFFFFF"/>
          </w:tcPr>
          <w:p w14:paraId="2168C8F3" w14:textId="134175B5" w:rsidR="003C7BD5" w:rsidRDefault="003C7BD5" w:rsidP="00F43DD1">
            <w:pPr>
              <w:pStyle w:val="CETBodytext"/>
              <w:rPr>
                <w:lang w:val="en-GB"/>
              </w:rPr>
            </w:pPr>
            <w:r>
              <w:rPr>
                <w:lang w:val="en-GB"/>
              </w:rPr>
              <w:t>Electrolyzer</w:t>
            </w:r>
          </w:p>
        </w:tc>
        <w:tc>
          <w:tcPr>
            <w:tcW w:w="485" w:type="pct"/>
            <w:shd w:val="clear" w:color="auto" w:fill="FFFFFF"/>
          </w:tcPr>
          <w:p w14:paraId="4BF1D94F" w14:textId="49EE3BEC" w:rsidR="003C7BD5" w:rsidRDefault="003C7BD5" w:rsidP="00F43DD1">
            <w:pPr>
              <w:pStyle w:val="CETBodytext"/>
              <w:rPr>
                <w:lang w:val="en-GB"/>
              </w:rPr>
            </w:pPr>
            <w:r>
              <w:rPr>
                <w:lang w:val="en-GB"/>
              </w:rPr>
              <w:t>25,4</w:t>
            </w:r>
          </w:p>
        </w:tc>
        <w:tc>
          <w:tcPr>
            <w:tcW w:w="726" w:type="pct"/>
            <w:shd w:val="clear" w:color="auto" w:fill="FFFFFF"/>
            <w:vAlign w:val="center"/>
          </w:tcPr>
          <w:p w14:paraId="1850818B" w14:textId="01A9FE6D" w:rsidR="003C7BD5" w:rsidRDefault="002D4F56" w:rsidP="000165B8">
            <w:pPr>
              <w:pStyle w:val="CETBodytext"/>
              <w:rPr>
                <w:lang w:val="en-GB"/>
              </w:rPr>
            </w:pPr>
            <w:r>
              <w:rPr>
                <w:lang w:val="en-GB"/>
              </w:rPr>
              <w:t xml:space="preserve">30 </w:t>
            </w:r>
            <w:proofErr w:type="spellStart"/>
            <w:r>
              <w:rPr>
                <w:lang w:val="en-GB"/>
              </w:rPr>
              <w:t>barg</w:t>
            </w:r>
            <w:proofErr w:type="spellEnd"/>
            <w:r>
              <w:rPr>
                <w:lang w:val="en-GB"/>
              </w:rPr>
              <w:t>, 30°C</w:t>
            </w:r>
          </w:p>
        </w:tc>
        <w:tc>
          <w:tcPr>
            <w:tcW w:w="726" w:type="pct"/>
            <w:shd w:val="clear" w:color="auto" w:fill="FFFFFF"/>
          </w:tcPr>
          <w:p w14:paraId="32199A9B" w14:textId="539472DB" w:rsidR="003C7BD5" w:rsidRPr="00961F96" w:rsidRDefault="003C7BD5" w:rsidP="00F43DD1">
            <w:pPr>
              <w:pStyle w:val="CETBodytext"/>
              <w:rPr>
                <w:lang w:val="en-GB"/>
              </w:rPr>
            </w:pPr>
            <w:r>
              <w:rPr>
                <w:lang w:val="en-GB"/>
              </w:rPr>
              <w:t>4,4</w:t>
            </w:r>
          </w:p>
        </w:tc>
        <w:tc>
          <w:tcPr>
            <w:tcW w:w="726" w:type="pct"/>
            <w:shd w:val="clear" w:color="auto" w:fill="FFFFFF"/>
          </w:tcPr>
          <w:p w14:paraId="63866B90" w14:textId="47A9231C" w:rsidR="003C7BD5" w:rsidRPr="00961F96" w:rsidRDefault="00F4605D" w:rsidP="00F43DD1">
            <w:pPr>
              <w:pStyle w:val="CETBodytext"/>
              <w:rPr>
                <w:lang w:val="en-GB"/>
              </w:rPr>
            </w:pPr>
            <w:r>
              <w:rPr>
                <w:lang w:val="en-GB"/>
              </w:rPr>
              <w:t>2,7</w:t>
            </w:r>
          </w:p>
        </w:tc>
        <w:tc>
          <w:tcPr>
            <w:tcW w:w="726" w:type="pct"/>
            <w:shd w:val="clear" w:color="auto" w:fill="FFFFFF"/>
          </w:tcPr>
          <w:p w14:paraId="2E58BC5C" w14:textId="3E0E4B4E" w:rsidR="003C7BD5" w:rsidRPr="00961F96" w:rsidRDefault="003C7BD5" w:rsidP="00F43DD1">
            <w:pPr>
              <w:pStyle w:val="CETBodytext"/>
              <w:rPr>
                <w:lang w:val="en-GB"/>
              </w:rPr>
            </w:pPr>
            <w:r>
              <w:rPr>
                <w:lang w:val="en-GB"/>
              </w:rPr>
              <w:t>-</w:t>
            </w:r>
          </w:p>
        </w:tc>
        <w:tc>
          <w:tcPr>
            <w:tcW w:w="805" w:type="pct"/>
            <w:vMerge w:val="restart"/>
            <w:shd w:val="clear" w:color="auto" w:fill="FFFFFF"/>
          </w:tcPr>
          <w:p w14:paraId="4A74290F" w14:textId="77777777" w:rsidR="003C7BD5" w:rsidRPr="00961F96" w:rsidRDefault="003C7BD5" w:rsidP="00F43DD1">
            <w:pPr>
              <w:pStyle w:val="CETBodytext"/>
              <w:rPr>
                <w:lang w:val="en-GB"/>
              </w:rPr>
            </w:pPr>
            <w:r>
              <w:rPr>
                <w:lang w:val="en-GB"/>
              </w:rPr>
              <w:t>7 to 14 (external)</w:t>
            </w:r>
          </w:p>
          <w:p w14:paraId="36D96AC0" w14:textId="6558051B" w:rsidR="003C7BD5" w:rsidRPr="00961F96" w:rsidRDefault="003C7BD5" w:rsidP="0005564E">
            <w:pPr>
              <w:pStyle w:val="CETBodytext"/>
              <w:rPr>
                <w:lang w:val="en-GB"/>
              </w:rPr>
            </w:pPr>
            <w:r>
              <w:rPr>
                <w:lang w:val="en-GB"/>
              </w:rPr>
              <w:t>5 (internal)</w:t>
            </w:r>
          </w:p>
        </w:tc>
      </w:tr>
      <w:tr w:rsidR="003C7BD5" w:rsidRPr="00961F96" w14:paraId="467C4227" w14:textId="77777777" w:rsidTr="004E3018">
        <w:tc>
          <w:tcPr>
            <w:tcW w:w="806" w:type="pct"/>
            <w:shd w:val="clear" w:color="auto" w:fill="FFFFFF"/>
          </w:tcPr>
          <w:p w14:paraId="59E2FB92" w14:textId="219C0AF7" w:rsidR="003C7BD5" w:rsidRDefault="003C7BD5" w:rsidP="0005564E">
            <w:pPr>
              <w:pStyle w:val="CETBodytext"/>
              <w:rPr>
                <w:lang w:val="en-GB"/>
              </w:rPr>
            </w:pPr>
            <w:r>
              <w:rPr>
                <w:rFonts w:cs="Arial"/>
                <w:szCs w:val="18"/>
                <w:lang w:val="en-GB"/>
              </w:rPr>
              <w:t>Connecting pipe</w:t>
            </w:r>
          </w:p>
        </w:tc>
        <w:tc>
          <w:tcPr>
            <w:tcW w:w="485" w:type="pct"/>
            <w:shd w:val="clear" w:color="auto" w:fill="FFFFFF"/>
          </w:tcPr>
          <w:p w14:paraId="73D9FB42" w14:textId="620291AD" w:rsidR="003C7BD5" w:rsidRDefault="003C7BD5" w:rsidP="0005564E">
            <w:pPr>
              <w:pStyle w:val="CETBodytext"/>
              <w:rPr>
                <w:lang w:val="en-GB"/>
              </w:rPr>
            </w:pPr>
            <w:r>
              <w:rPr>
                <w:rFonts w:cs="Arial"/>
                <w:szCs w:val="18"/>
                <w:lang w:val="en-GB"/>
              </w:rPr>
              <w:t>76,2</w:t>
            </w:r>
          </w:p>
        </w:tc>
        <w:tc>
          <w:tcPr>
            <w:tcW w:w="726" w:type="pct"/>
            <w:shd w:val="clear" w:color="auto" w:fill="FFFFFF"/>
          </w:tcPr>
          <w:p w14:paraId="4E264E4E" w14:textId="12F50468" w:rsidR="003C7BD5" w:rsidRDefault="002D4F56" w:rsidP="0005564E">
            <w:pPr>
              <w:pStyle w:val="CETBodytext"/>
              <w:rPr>
                <w:lang w:val="en-GB"/>
              </w:rPr>
            </w:pPr>
            <w:r>
              <w:rPr>
                <w:lang w:val="en-GB"/>
              </w:rPr>
              <w:t xml:space="preserve">30 </w:t>
            </w:r>
            <w:proofErr w:type="spellStart"/>
            <w:r>
              <w:rPr>
                <w:lang w:val="en-GB"/>
              </w:rPr>
              <w:t>barg</w:t>
            </w:r>
            <w:proofErr w:type="spellEnd"/>
            <w:r>
              <w:rPr>
                <w:lang w:val="en-GB"/>
              </w:rPr>
              <w:t>, 30°C</w:t>
            </w:r>
          </w:p>
        </w:tc>
        <w:tc>
          <w:tcPr>
            <w:tcW w:w="726" w:type="pct"/>
            <w:shd w:val="clear" w:color="auto" w:fill="FFFFFF"/>
          </w:tcPr>
          <w:p w14:paraId="53B0417F" w14:textId="6FB9D501" w:rsidR="003C7BD5" w:rsidRPr="00961F96" w:rsidRDefault="003C7BD5" w:rsidP="0005564E">
            <w:pPr>
              <w:pStyle w:val="CETBodytext"/>
              <w:rPr>
                <w:lang w:val="en-GB"/>
              </w:rPr>
            </w:pPr>
            <w:r>
              <w:rPr>
                <w:lang w:val="en-GB"/>
              </w:rPr>
              <w:t>4,6</w:t>
            </w:r>
          </w:p>
        </w:tc>
        <w:tc>
          <w:tcPr>
            <w:tcW w:w="726" w:type="pct"/>
            <w:shd w:val="clear" w:color="auto" w:fill="FFFFFF"/>
          </w:tcPr>
          <w:p w14:paraId="2E96F575" w14:textId="7400B5B2" w:rsidR="003C7BD5" w:rsidRPr="00961F96" w:rsidRDefault="00F4605D" w:rsidP="0005564E">
            <w:pPr>
              <w:pStyle w:val="CETBodytext"/>
              <w:rPr>
                <w:lang w:val="en-GB"/>
              </w:rPr>
            </w:pPr>
            <w:r>
              <w:rPr>
                <w:lang w:val="en-GB"/>
              </w:rPr>
              <w:t>2,9</w:t>
            </w:r>
          </w:p>
        </w:tc>
        <w:tc>
          <w:tcPr>
            <w:tcW w:w="726" w:type="pct"/>
            <w:shd w:val="clear" w:color="auto" w:fill="FFFFFF"/>
          </w:tcPr>
          <w:p w14:paraId="6CF8E863" w14:textId="1FAE62F1" w:rsidR="003C7BD5" w:rsidRPr="00961F96" w:rsidRDefault="003C7BD5" w:rsidP="0005564E">
            <w:pPr>
              <w:pStyle w:val="CETBodytext"/>
              <w:rPr>
                <w:lang w:val="en-GB"/>
              </w:rPr>
            </w:pPr>
            <w:r>
              <w:rPr>
                <w:lang w:val="en-GB"/>
              </w:rPr>
              <w:t>-</w:t>
            </w:r>
          </w:p>
        </w:tc>
        <w:tc>
          <w:tcPr>
            <w:tcW w:w="805" w:type="pct"/>
            <w:vMerge/>
            <w:shd w:val="clear" w:color="auto" w:fill="FFFFFF"/>
          </w:tcPr>
          <w:p w14:paraId="70534B4A" w14:textId="677103F8" w:rsidR="003C7BD5" w:rsidRPr="00961F96" w:rsidRDefault="003C7BD5" w:rsidP="0005564E">
            <w:pPr>
              <w:pStyle w:val="CETBodytext"/>
              <w:rPr>
                <w:lang w:val="en-GB"/>
              </w:rPr>
            </w:pPr>
          </w:p>
        </w:tc>
      </w:tr>
    </w:tbl>
    <w:p w14:paraId="1323120E" w14:textId="77777777" w:rsidR="005D4E4F" w:rsidRDefault="005D4E4F" w:rsidP="000C317D">
      <w:pPr>
        <w:pStyle w:val="CETBodytext"/>
      </w:pPr>
    </w:p>
    <w:p w14:paraId="189EFADB" w14:textId="46E0E751" w:rsidR="00A40039" w:rsidRDefault="00A40039" w:rsidP="003B235A">
      <w:pPr>
        <w:pStyle w:val="CETBodytext"/>
      </w:pPr>
      <w:r>
        <w:t xml:space="preserve">Even in </w:t>
      </w:r>
      <w:r w:rsidR="00711D2A">
        <w:t xml:space="preserve">the </w:t>
      </w:r>
      <w:r>
        <w:t>case of full</w:t>
      </w:r>
      <w:r w:rsidR="005E7530">
        <w:t>-</w:t>
      </w:r>
      <w:r>
        <w:t xml:space="preserve">bore rupture, </w:t>
      </w:r>
      <w:r w:rsidR="001946DE">
        <w:t xml:space="preserve">the </w:t>
      </w:r>
      <w:r w:rsidR="00122ABA">
        <w:t xml:space="preserve">internal </w:t>
      </w:r>
      <w:r w:rsidR="001946DE">
        <w:t>SD set by the current regulation</w:t>
      </w:r>
      <w:r>
        <w:t xml:space="preserve"> </w:t>
      </w:r>
      <w:r w:rsidR="00CC55A9">
        <w:t>are reached only in the case of light injuries</w:t>
      </w:r>
      <w:r w:rsidR="00A46E05">
        <w:t xml:space="preserve">; </w:t>
      </w:r>
      <w:r w:rsidR="00C953AE">
        <w:t>m</w:t>
      </w:r>
      <w:r w:rsidR="00C953AE" w:rsidRPr="00C953AE">
        <w:t xml:space="preserve">oreover, the regulatory external safety distances are approximately </w:t>
      </w:r>
      <w:r w:rsidR="007F4CD3">
        <w:t xml:space="preserve">up to </w:t>
      </w:r>
      <w:r w:rsidR="00C953AE" w:rsidRPr="00C953AE">
        <w:t>three times larger than those derived from consequence assessment. Although this scenario is severe, it is unlikely, and the regulations provide no guidance on acceptable release frequencies.</w:t>
      </w:r>
      <w:r w:rsidR="00F76AF7">
        <w:t xml:space="preserve"> </w:t>
      </w:r>
      <w:r w:rsidR="009A5CCA">
        <w:t>Additionally,</w:t>
      </w:r>
      <w:r w:rsidR="00E9281C">
        <w:t xml:space="preserve"> there is no clear equivalence</w:t>
      </w:r>
      <w:r w:rsidR="002912C2">
        <w:t xml:space="preserve"> in the regulation</w:t>
      </w:r>
      <w:r w:rsidR="00E9281C">
        <w:t xml:space="preserve"> among safety distances and physical effects</w:t>
      </w:r>
      <w:r w:rsidR="00CF53E1">
        <w:t xml:space="preserve"> thresholds</w:t>
      </w:r>
      <w:r w:rsidR="00E9281C">
        <w:t xml:space="preserve">. </w:t>
      </w:r>
      <w:r w:rsidR="001E04BE" w:rsidRPr="001E04BE">
        <w:t xml:space="preserve">Consequently, for hydrogen systems </w:t>
      </w:r>
      <w:r w:rsidR="001E04BE" w:rsidRPr="001E04BE">
        <w:lastRenderedPageBreak/>
        <w:t>in Seveso plants, the correspondence between risk assessments demonstrating no increase in risk and the safety distances required for fire prevention may not be straightforward.</w:t>
      </w:r>
    </w:p>
    <w:p w14:paraId="67915C0D" w14:textId="6D0EF4A0" w:rsidR="002B56A0" w:rsidRDefault="00B2012A" w:rsidP="00B2012A">
      <w:pPr>
        <w:pStyle w:val="CETHeading1"/>
      </w:pPr>
      <w:r>
        <w:t xml:space="preserve">Comparison </w:t>
      </w:r>
      <w:r w:rsidR="00A6130E">
        <w:t>of safety distances with other</w:t>
      </w:r>
      <w:r w:rsidR="00006130">
        <w:t xml:space="preserve"> standards and</w:t>
      </w:r>
      <w:r w:rsidR="00A6130E">
        <w:t xml:space="preserve"> regulatory frameworks</w:t>
      </w:r>
    </w:p>
    <w:p w14:paraId="18B37E48" w14:textId="66823522" w:rsidR="00D87727" w:rsidRDefault="00037525" w:rsidP="00E5783C">
      <w:pPr>
        <w:pStyle w:val="CETBodytext"/>
      </w:pPr>
      <w:r>
        <w:t xml:space="preserve">Section 2 reviewed the Italian approach to safety permitting of green hydrogen technologies. However, different codes and </w:t>
      </w:r>
      <w:r w:rsidR="008C0ABB">
        <w:t>regulations are</w:t>
      </w:r>
      <w:r>
        <w:t xml:space="preserve"> adopted </w:t>
      </w:r>
      <w:r w:rsidR="00694BFA">
        <w:t xml:space="preserve">across Europe and the world </w:t>
      </w:r>
      <w:r w:rsidR="008C0ABB">
        <w:t xml:space="preserve">(Mazzaro et al., 2023). </w:t>
      </w:r>
      <w:r w:rsidR="00FA6FF4">
        <w:t xml:space="preserve">Hence, </w:t>
      </w:r>
      <w:r w:rsidR="001945AD">
        <w:t>the regulatory</w:t>
      </w:r>
      <w:r w:rsidR="00224CF1">
        <w:t xml:space="preserve"> framework</w:t>
      </w:r>
      <w:r w:rsidR="001945AD">
        <w:t xml:space="preserve"> </w:t>
      </w:r>
      <w:r w:rsidR="00F25DF6">
        <w:t xml:space="preserve">and technical rules available </w:t>
      </w:r>
      <w:r w:rsidR="001945AD">
        <w:t>in other countries</w:t>
      </w:r>
      <w:r w:rsidR="00224CF1">
        <w:t xml:space="preserve"> were analyzed</w:t>
      </w:r>
      <w:r w:rsidR="00FA6FF4">
        <w:t xml:space="preserve"> to contextualize the Italian case</w:t>
      </w:r>
      <w:r w:rsidR="001945AD">
        <w:t>.</w:t>
      </w:r>
      <w:r w:rsidR="00A6130E">
        <w:t xml:space="preserve"> </w:t>
      </w:r>
      <w:r w:rsidR="00224CF1">
        <w:t>The following sub-sections provide an overview of the main findings.</w:t>
      </w:r>
    </w:p>
    <w:p w14:paraId="1C4C446B" w14:textId="7F6148AC" w:rsidR="00F25DF6" w:rsidRDefault="00F25DF6" w:rsidP="00F25DF6">
      <w:pPr>
        <w:pStyle w:val="CETheadingx"/>
      </w:pPr>
      <w:r>
        <w:t>The Netherlands</w:t>
      </w:r>
    </w:p>
    <w:p w14:paraId="48A336D1" w14:textId="62711610" w:rsidR="00F25DF6" w:rsidRDefault="00F406C5" w:rsidP="00F25DF6">
      <w:pPr>
        <w:pStyle w:val="CETBodytext"/>
      </w:pPr>
      <w:r>
        <w:t xml:space="preserve">The </w:t>
      </w:r>
      <w:r w:rsidR="007A6F81">
        <w:t xml:space="preserve">Dutch approach to major-hazard </w:t>
      </w:r>
      <w:r w:rsidR="00211423">
        <w:t xml:space="preserve">regulation </w:t>
      </w:r>
      <w:r w:rsidR="004D70DE">
        <w:t>is prescriptive</w:t>
      </w:r>
      <w:r w:rsidR="00211423">
        <w:t>: a full Quantitative Risk Assessment (QRA) is to be carried out, with specific setting</w:t>
      </w:r>
      <w:r w:rsidR="00671A1A">
        <w:t>s</w:t>
      </w:r>
      <w:r w:rsidR="00211423">
        <w:t xml:space="preserve"> and guidelines</w:t>
      </w:r>
      <w:r w:rsidR="007C789D">
        <w:t xml:space="preserve"> issued by the RIV</w:t>
      </w:r>
      <w:r w:rsidR="00211423">
        <w:t>M</w:t>
      </w:r>
      <w:r w:rsidR="007C789D">
        <w:t>.</w:t>
      </w:r>
      <w:r w:rsidR="00211423">
        <w:t xml:space="preserve"> </w:t>
      </w:r>
      <w:r w:rsidR="00CE39C9">
        <w:t>The</w:t>
      </w:r>
      <w:r w:rsidR="00671A1A">
        <w:t xml:space="preserve"> </w:t>
      </w:r>
      <w:r w:rsidR="00DD5787">
        <w:t>country</w:t>
      </w:r>
      <w:r w:rsidR="00CE39C9">
        <w:t xml:space="preserve"> also</w:t>
      </w:r>
      <w:r w:rsidR="00DD5787">
        <w:t xml:space="preserve"> adopts an all-hazards approach, regulating external safety for</w:t>
      </w:r>
      <w:r w:rsidR="00671A1A">
        <w:t xml:space="preserve"> all</w:t>
      </w:r>
      <w:r w:rsidR="00DD5787">
        <w:t xml:space="preserve"> hazardous activities, not only Seveso-related ones. The reference regulation</w:t>
      </w:r>
      <w:r w:rsidR="00206826">
        <w:t xml:space="preserve"> for external safety</w:t>
      </w:r>
      <w:r w:rsidR="00DD5787">
        <w:t xml:space="preserve"> is the </w:t>
      </w:r>
      <w:proofErr w:type="spellStart"/>
      <w:r w:rsidR="00DD5787" w:rsidRPr="00A02A8B">
        <w:rPr>
          <w:i/>
          <w:iCs/>
        </w:rPr>
        <w:t>Omgevingswet</w:t>
      </w:r>
      <w:proofErr w:type="spellEnd"/>
      <w:r w:rsidR="00A02A8B">
        <w:t xml:space="preserve"> (Environmental Act)</w:t>
      </w:r>
      <w:r w:rsidR="00DD5787">
        <w:t xml:space="preserve">; the technical specifications are instead </w:t>
      </w:r>
      <w:r w:rsidR="00D11002">
        <w:t xml:space="preserve">specified </w:t>
      </w:r>
      <w:r w:rsidR="00DD5787">
        <w:t xml:space="preserve">in the </w:t>
      </w:r>
      <w:proofErr w:type="spellStart"/>
      <w:r w:rsidR="00DD5787" w:rsidRPr="00A02A8B">
        <w:rPr>
          <w:i/>
          <w:iCs/>
        </w:rPr>
        <w:t>Besluits</w:t>
      </w:r>
      <w:proofErr w:type="spellEnd"/>
      <w:r w:rsidR="00DD5787" w:rsidRPr="00A02A8B">
        <w:rPr>
          <w:i/>
          <w:iCs/>
        </w:rPr>
        <w:t xml:space="preserve"> </w:t>
      </w:r>
      <w:proofErr w:type="spellStart"/>
      <w:r w:rsidR="00DD5787" w:rsidRPr="00A02A8B">
        <w:rPr>
          <w:i/>
          <w:iCs/>
        </w:rPr>
        <w:t>Kwaliteit</w:t>
      </w:r>
      <w:proofErr w:type="spellEnd"/>
      <w:r w:rsidR="00DD5787" w:rsidRPr="00A02A8B">
        <w:rPr>
          <w:i/>
          <w:iCs/>
        </w:rPr>
        <w:t xml:space="preserve"> </w:t>
      </w:r>
      <w:proofErr w:type="spellStart"/>
      <w:r w:rsidR="00DD5787" w:rsidRPr="00A02A8B">
        <w:rPr>
          <w:i/>
          <w:iCs/>
        </w:rPr>
        <w:t>Leefomgeving</w:t>
      </w:r>
      <w:proofErr w:type="spellEnd"/>
      <w:r w:rsidR="00640958">
        <w:t xml:space="preserve">. </w:t>
      </w:r>
      <w:r w:rsidR="002B6A94">
        <w:t xml:space="preserve">For hydrogen systems included </w:t>
      </w:r>
      <w:r w:rsidR="00F06BEE">
        <w:t>in Seveso sites, the Individual Risk</w:t>
      </w:r>
      <w:r w:rsidR="00C911B5">
        <w:t xml:space="preserve"> indicator</w:t>
      </w:r>
      <w:r w:rsidR="00F06BEE">
        <w:t xml:space="preserve"> </w:t>
      </w:r>
      <w:r w:rsidR="003A4AE3">
        <w:t xml:space="preserve">should be </w:t>
      </w:r>
      <w:r w:rsidR="00F06BEE">
        <w:t>evaluated to obtain extern</w:t>
      </w:r>
      <w:r w:rsidR="00E53ADC">
        <w:t>al safety distances.</w:t>
      </w:r>
      <w:r w:rsidR="00206826">
        <w:t xml:space="preserve"> </w:t>
      </w:r>
      <w:r w:rsidR="00D11002">
        <w:t xml:space="preserve">A technical guideline is available </w:t>
      </w:r>
      <w:r w:rsidR="00607BBB">
        <w:t>(PGS-35)</w:t>
      </w:r>
      <w:r w:rsidR="004D0AA2">
        <w:t xml:space="preserve"> </w:t>
      </w:r>
      <w:r w:rsidR="00C911B5">
        <w:t>for</w:t>
      </w:r>
      <w:r w:rsidR="004D0AA2">
        <w:t xml:space="preserve"> internal safety distances </w:t>
      </w:r>
      <w:r w:rsidR="00C911B5">
        <w:t>of</w:t>
      </w:r>
      <w:r w:rsidR="004D0AA2">
        <w:t xml:space="preserve"> </w:t>
      </w:r>
      <w:r w:rsidR="00843BC3">
        <w:t>HRS</w:t>
      </w:r>
      <w:r w:rsidR="00E85BD6">
        <w:t xml:space="preserve">. The PGS-35 sets </w:t>
      </w:r>
      <w:r w:rsidR="00373C8E">
        <w:t>reference release scenarios</w:t>
      </w:r>
      <w:r w:rsidR="00FE7018">
        <w:t xml:space="preserve"> which are chosen considering their credibility. It also sets reference </w:t>
      </w:r>
      <w:r w:rsidR="000F62E9">
        <w:t>physical effect thresholds</w:t>
      </w:r>
      <w:r w:rsidR="00FE7018">
        <w:t xml:space="preserve">. </w:t>
      </w:r>
      <w:r w:rsidR="006B5BF3">
        <w:t>SD</w:t>
      </w:r>
      <w:r w:rsidR="000F62E9">
        <w:t xml:space="preserve"> can vary </w:t>
      </w:r>
      <w:r w:rsidR="00373C8E">
        <w:t xml:space="preserve">from </w:t>
      </w:r>
      <w:r w:rsidR="00224CF1">
        <w:t>2.</w:t>
      </w:r>
      <w:r w:rsidR="000F62E9">
        <w:t>2</w:t>
      </w:r>
      <w:r w:rsidR="00E53ADC">
        <w:t xml:space="preserve"> </w:t>
      </w:r>
      <w:r w:rsidR="00224CF1">
        <w:t>to 8.5 m</w:t>
      </w:r>
      <w:r w:rsidR="00FB2D55">
        <w:t xml:space="preserve"> </w:t>
      </w:r>
      <w:r w:rsidR="00FB2D55" w:rsidRPr="004F75EE">
        <w:t>(</w:t>
      </w:r>
      <w:proofErr w:type="spellStart"/>
      <w:r w:rsidR="004F75EE" w:rsidRPr="004F75EE">
        <w:t>Büthker</w:t>
      </w:r>
      <w:proofErr w:type="spellEnd"/>
      <w:r w:rsidR="004F75EE" w:rsidRPr="004F75EE">
        <w:t xml:space="preserve"> et al., 2015</w:t>
      </w:r>
      <w:r w:rsidR="00FB2D55" w:rsidRPr="004F75EE">
        <w:t>)</w:t>
      </w:r>
      <w:r w:rsidR="007468D1">
        <w:t>, almost half of SDs in Italy</w:t>
      </w:r>
      <w:r w:rsidR="00607BBB">
        <w:t xml:space="preserve">. </w:t>
      </w:r>
      <w:r w:rsidR="002D4134">
        <w:t xml:space="preserve">Additionally, </w:t>
      </w:r>
      <w:r w:rsidR="006B5BF3">
        <w:t>SD</w:t>
      </w:r>
      <w:r w:rsidR="00607AF9">
        <w:t xml:space="preserve"> can be </w:t>
      </w:r>
      <w:r w:rsidR="00F916B1">
        <w:t>reduced if passive measures are implemented, e.g., fire-resisting wall</w:t>
      </w:r>
      <w:r w:rsidR="000D1976">
        <w:t>s</w:t>
      </w:r>
      <w:r w:rsidR="00F916B1">
        <w:t>.</w:t>
      </w:r>
    </w:p>
    <w:p w14:paraId="2CE0B1C6" w14:textId="35F90A87" w:rsidR="00783AB3" w:rsidRDefault="00783AB3" w:rsidP="00783AB3">
      <w:pPr>
        <w:pStyle w:val="CETheadingx"/>
      </w:pPr>
      <w:r>
        <w:t>France</w:t>
      </w:r>
    </w:p>
    <w:p w14:paraId="5069FAE1" w14:textId="67CB103E" w:rsidR="005910F0" w:rsidRDefault="00D06735" w:rsidP="00783AB3">
      <w:pPr>
        <w:pStyle w:val="CETBodytext"/>
      </w:pPr>
      <w:r>
        <w:t xml:space="preserve">The Seveso regulation in France is currently implemented through </w:t>
      </w:r>
      <w:r w:rsidR="000D6A25">
        <w:t>Decrees 284-2014 and 285-2014. External safety around</w:t>
      </w:r>
      <w:r w:rsidR="00C5525B">
        <w:t xml:space="preserve"> upper-tier</w:t>
      </w:r>
      <w:r w:rsidR="000D6A25">
        <w:t xml:space="preserve"> Seveso </w:t>
      </w:r>
      <w:r w:rsidR="00DA34FA">
        <w:t>establishments</w:t>
      </w:r>
      <w:r w:rsidR="000D6A25">
        <w:t xml:space="preserve"> is ruled by </w:t>
      </w:r>
      <w:r w:rsidR="00890D93">
        <w:t>the Technological Risk Prevention Plan</w:t>
      </w:r>
      <w:r w:rsidR="000D6A25">
        <w:t xml:space="preserve"> </w:t>
      </w:r>
      <w:r w:rsidR="00890D93">
        <w:t>(</w:t>
      </w:r>
      <w:r w:rsidR="004E097F" w:rsidRPr="004E097F">
        <w:rPr>
          <w:i/>
          <w:iCs/>
        </w:rPr>
        <w:t xml:space="preserve">Plan de </w:t>
      </w:r>
      <w:proofErr w:type="spellStart"/>
      <w:r w:rsidR="004E097F" w:rsidRPr="004E097F">
        <w:rPr>
          <w:i/>
          <w:iCs/>
        </w:rPr>
        <w:t>Prévention</w:t>
      </w:r>
      <w:proofErr w:type="spellEnd"/>
      <w:r w:rsidR="004E097F" w:rsidRPr="004E097F">
        <w:rPr>
          <w:i/>
          <w:iCs/>
        </w:rPr>
        <w:t xml:space="preserve"> des </w:t>
      </w:r>
      <w:proofErr w:type="spellStart"/>
      <w:r w:rsidR="004E097F" w:rsidRPr="004E097F">
        <w:rPr>
          <w:i/>
          <w:iCs/>
        </w:rPr>
        <w:t>Risques</w:t>
      </w:r>
      <w:proofErr w:type="spellEnd"/>
      <w:r w:rsidR="004E097F" w:rsidRPr="004E097F">
        <w:rPr>
          <w:i/>
          <w:iCs/>
        </w:rPr>
        <w:t xml:space="preserve"> </w:t>
      </w:r>
      <w:proofErr w:type="spellStart"/>
      <w:r w:rsidR="004E097F" w:rsidRPr="004E097F">
        <w:rPr>
          <w:i/>
          <w:iCs/>
        </w:rPr>
        <w:t>Technologiques</w:t>
      </w:r>
      <w:proofErr w:type="spellEnd"/>
      <w:r w:rsidR="004E097F">
        <w:t>)</w:t>
      </w:r>
      <w:r w:rsidR="00640958">
        <w:t xml:space="preserve">. The approach is </w:t>
      </w:r>
      <w:proofErr w:type="gramStart"/>
      <w:r w:rsidR="00640958">
        <w:t>similar to</w:t>
      </w:r>
      <w:proofErr w:type="gramEnd"/>
      <w:r w:rsidR="00640958">
        <w:t xml:space="preserve"> the Italian one, as it entails an </w:t>
      </w:r>
      <w:proofErr w:type="spellStart"/>
      <w:r w:rsidR="00640958">
        <w:t>hydrid</w:t>
      </w:r>
      <w:proofErr w:type="spellEnd"/>
      <w:r w:rsidR="00640958">
        <w:t xml:space="preserve"> threshold-based approach.</w:t>
      </w:r>
      <w:r w:rsidR="009E7DEB">
        <w:t xml:space="preserve"> </w:t>
      </w:r>
      <w:r w:rsidR="003A0EE5">
        <w:t>Specific guidelines, such as the Omega 9 are available, but are not prescriptive regarding release scenarios.</w:t>
      </w:r>
      <w:r w:rsidR="00E9341A">
        <w:t xml:space="preserve"> </w:t>
      </w:r>
      <w:r w:rsidR="008C2C40">
        <w:t xml:space="preserve">Additionally, France considers </w:t>
      </w:r>
      <w:r w:rsidR="00C76C5D" w:rsidRPr="00C76C5D">
        <w:t>Installation</w:t>
      </w:r>
      <w:r w:rsidR="008C2C40">
        <w:t>s</w:t>
      </w:r>
      <w:r w:rsidR="00C76C5D" w:rsidRPr="00C76C5D">
        <w:t xml:space="preserve"> Classified for the Protection of the Environment</w:t>
      </w:r>
      <w:r w:rsidR="00566EE0">
        <w:t xml:space="preserve"> (ICPE)</w:t>
      </w:r>
      <w:r w:rsidR="00DA7FDA">
        <w:t xml:space="preserve"> within the French Environment Code</w:t>
      </w:r>
      <w:r w:rsidR="00AE1D1B">
        <w:t xml:space="preserve">; a threshold-based approach is adopted </w:t>
      </w:r>
      <w:r w:rsidR="007E705B">
        <w:t xml:space="preserve">to differentiate the permitting process. </w:t>
      </w:r>
      <w:r w:rsidR="0058118D">
        <w:t>For HRS</w:t>
      </w:r>
      <w:r w:rsidR="00235EB9">
        <w:t xml:space="preserve"> </w:t>
      </w:r>
      <w:r w:rsidR="007E705B">
        <w:t>storing more than 1 ton of hydrogen, s</w:t>
      </w:r>
      <w:r w:rsidR="007F010B">
        <w:t>afe</w:t>
      </w:r>
      <w:r w:rsidR="002C3D64">
        <w:t>ty distances are evaluated according to the max flow rate generated</w:t>
      </w:r>
      <w:r w:rsidR="00E051AD">
        <w:t>, ranging from 6 to 14 m</w:t>
      </w:r>
      <w:r w:rsidR="00B01EFB">
        <w:t xml:space="preserve"> (</w:t>
      </w:r>
      <w:proofErr w:type="spellStart"/>
      <w:r w:rsidR="00B01EFB">
        <w:t>HyPop</w:t>
      </w:r>
      <w:proofErr w:type="spellEnd"/>
      <w:r w:rsidR="00B01EFB">
        <w:t>, 2024</w:t>
      </w:r>
      <w:r w:rsidR="00B810E7">
        <w:t>b</w:t>
      </w:r>
      <w:r w:rsidR="00B01EFB">
        <w:t>)</w:t>
      </w:r>
      <w:r w:rsidR="00E051AD">
        <w:t xml:space="preserve">. </w:t>
      </w:r>
      <w:r w:rsidR="00BD7894">
        <w:t xml:space="preserve">For comparison, </w:t>
      </w:r>
      <w:r w:rsidR="00D73324">
        <w:t xml:space="preserve">the SD for </w:t>
      </w:r>
      <w:r w:rsidR="00BD7894">
        <w:t xml:space="preserve">the </w:t>
      </w:r>
      <w:proofErr w:type="spellStart"/>
      <w:r w:rsidR="00BD7894">
        <w:t>electrolyzer</w:t>
      </w:r>
      <w:proofErr w:type="spellEnd"/>
      <w:r w:rsidR="00BD7894">
        <w:t xml:space="preserve"> system analyzed in Section 2.3 </w:t>
      </w:r>
      <w:r w:rsidR="00D73324">
        <w:t>is 6 m. Additionally, d</w:t>
      </w:r>
      <w:r w:rsidR="00E051AD">
        <w:t xml:space="preserve">istances can be reduced to </w:t>
      </w:r>
      <w:r w:rsidR="007313B7">
        <w:t>a</w:t>
      </w:r>
      <w:r w:rsidR="00D73324">
        <w:t xml:space="preserve"> fixed value </w:t>
      </w:r>
      <w:r w:rsidR="007313B7">
        <w:t>in presence of specific measures</w:t>
      </w:r>
      <w:r w:rsidR="00B01EFB">
        <w:t>.</w:t>
      </w:r>
    </w:p>
    <w:p w14:paraId="4DC8DE30" w14:textId="7E429538" w:rsidR="000A384E" w:rsidRDefault="000A384E" w:rsidP="000A384E">
      <w:pPr>
        <w:pStyle w:val="CETheadingx"/>
      </w:pPr>
      <w:r>
        <w:t>Canada</w:t>
      </w:r>
    </w:p>
    <w:p w14:paraId="0FB49CCA" w14:textId="628FFEED" w:rsidR="00027296" w:rsidRPr="00027296" w:rsidRDefault="00027296" w:rsidP="00B0460B">
      <w:pPr>
        <w:pStyle w:val="CETBodytext"/>
      </w:pPr>
      <w:r>
        <w:t>The case of Canada is briefly analyzed to have insight on a country outside of the Seveso regulation.</w:t>
      </w:r>
      <w:r w:rsidR="00B0460B">
        <w:t xml:space="preserve"> </w:t>
      </w:r>
      <w:r w:rsidR="00E10E32">
        <w:t>Here</w:t>
      </w:r>
      <w:r w:rsidR="0031754A">
        <w:t>,</w:t>
      </w:r>
      <w:r>
        <w:t xml:space="preserve"> CAN/BNQ 1784-000 </w:t>
      </w:r>
      <w:r w:rsidR="00E10E32">
        <w:t>provides</w:t>
      </w:r>
      <w:r>
        <w:t xml:space="preserve"> a range of</w:t>
      </w:r>
      <w:r w:rsidR="00E10E32">
        <w:t xml:space="preserve"> SD to be </w:t>
      </w:r>
      <w:r>
        <w:t xml:space="preserve">maintained from </w:t>
      </w:r>
      <w:r w:rsidR="00B37007">
        <w:t>HRS</w:t>
      </w:r>
      <w:r>
        <w:t xml:space="preserve"> depending on the quantity stored and exposure (e.g., buildings, roads, other storages, etc.)</w:t>
      </w:r>
      <w:r w:rsidR="00D73324">
        <w:t>. The SD</w:t>
      </w:r>
      <w:r>
        <w:t xml:space="preserve"> </w:t>
      </w:r>
      <w:proofErr w:type="gramStart"/>
      <w:r>
        <w:t>rang</w:t>
      </w:r>
      <w:r w:rsidR="00D73324">
        <w:t>e</w:t>
      </w:r>
      <w:proofErr w:type="gramEnd"/>
      <w:r w:rsidR="00D73324">
        <w:t xml:space="preserve"> </w:t>
      </w:r>
      <w:r>
        <w:t xml:space="preserve">from a minimum of 0 m to a maximum of 5 </w:t>
      </w:r>
      <w:proofErr w:type="gramStart"/>
      <w:r>
        <w:t>m</w:t>
      </w:r>
      <w:proofErr w:type="gramEnd"/>
      <w:r>
        <w:t xml:space="preserve"> and which may be reduced in presence of fire </w:t>
      </w:r>
      <w:r w:rsidRPr="00BF1168">
        <w:t>walls</w:t>
      </w:r>
      <w:r w:rsidR="00D73324" w:rsidRPr="00BF1168">
        <w:t xml:space="preserve"> (</w:t>
      </w:r>
      <w:r w:rsidR="00BF1168" w:rsidRPr="00BF1168">
        <w:t xml:space="preserve">Bureau de </w:t>
      </w:r>
      <w:proofErr w:type="spellStart"/>
      <w:r w:rsidR="00BF1168" w:rsidRPr="00BF1168">
        <w:t>normalisation</w:t>
      </w:r>
      <w:proofErr w:type="spellEnd"/>
      <w:r w:rsidR="00BF1168" w:rsidRPr="00BF1168">
        <w:t xml:space="preserve"> du Québec</w:t>
      </w:r>
      <w:r w:rsidR="006F4ED2" w:rsidRPr="00BF1168">
        <w:t>, 2022</w:t>
      </w:r>
      <w:r w:rsidR="00D73324" w:rsidRPr="00BF1168">
        <w:t>)</w:t>
      </w:r>
      <w:r w:rsidR="0031754A" w:rsidRPr="00BF1168">
        <w:t>.</w:t>
      </w:r>
    </w:p>
    <w:p w14:paraId="06085BF3" w14:textId="412BDE4D" w:rsidR="000E5364" w:rsidRPr="000E5364" w:rsidRDefault="000E5364" w:rsidP="000E5364">
      <w:pPr>
        <w:pStyle w:val="CETHeading1"/>
      </w:pPr>
      <w:r>
        <w:t>Discussion</w:t>
      </w:r>
    </w:p>
    <w:p w14:paraId="52325370" w14:textId="77777777" w:rsidR="007D2CFB" w:rsidRDefault="00016391" w:rsidP="00F23D51">
      <w:pPr>
        <w:pStyle w:val="CETBodytext"/>
      </w:pPr>
      <w:r w:rsidRPr="00016391">
        <w:t>Based on the review in Section 2, the Italian safety permitting regulation can adequately address technologies related to green hydrogen. However, consolidated guidelines for applying an engineering approach to green hydrogen within a major</w:t>
      </w:r>
      <w:r w:rsidRPr="00016391">
        <w:rPr>
          <w:rFonts w:ascii="Cambria Math" w:hAnsi="Cambria Math" w:cs="Cambria Math"/>
        </w:rPr>
        <w:t>‑</w:t>
      </w:r>
      <w:r w:rsidRPr="00016391">
        <w:t xml:space="preserve">hazard framework are still lacking. In Seveso </w:t>
      </w:r>
      <w:r w:rsidR="003117F6">
        <w:t>plants</w:t>
      </w:r>
      <w:r w:rsidRPr="00016391">
        <w:t xml:space="preserve">, risk assessment requirements are more detailed than those applied for fire prevention permitting, resulting in additional complexity. </w:t>
      </w:r>
      <w:r w:rsidR="00F743A9" w:rsidRPr="00F743A9">
        <w:t>The consequence analysis presented</w:t>
      </w:r>
      <w:r w:rsidR="0050583E">
        <w:t xml:space="preserve"> in Section 2.3</w:t>
      </w:r>
      <w:r w:rsidR="00F743A9" w:rsidRPr="00F743A9">
        <w:t xml:space="preserve"> is based on simplified modelling.</w:t>
      </w:r>
      <w:r w:rsidR="007D2CFB">
        <w:t xml:space="preserve"> However,</w:t>
      </w:r>
      <w:r w:rsidR="00F743A9" w:rsidRPr="00F743A9">
        <w:t xml:space="preserve"> hydrogen modelling </w:t>
      </w:r>
      <w:r w:rsidR="00796FAC" w:rsidRPr="00F743A9">
        <w:t>remains</w:t>
      </w:r>
      <w:r w:rsidR="00F743A9" w:rsidRPr="00F743A9">
        <w:t xml:space="preserve"> affected by uncertainties, and more advanced approaches (e.g., CFD) may be required in complex conditions. </w:t>
      </w:r>
      <w:r w:rsidRPr="00016391">
        <w:t>This is further compounded by identified gaps in risk and reliability analyses for hydrogen systems (Al</w:t>
      </w:r>
      <w:r w:rsidRPr="00016391">
        <w:rPr>
          <w:rFonts w:ascii="Cambria Math" w:hAnsi="Cambria Math" w:cs="Cambria Math"/>
        </w:rPr>
        <w:t>‑</w:t>
      </w:r>
      <w:proofErr w:type="spellStart"/>
      <w:r w:rsidRPr="00016391">
        <w:t>Douri</w:t>
      </w:r>
      <w:proofErr w:type="spellEnd"/>
      <w:r w:rsidRPr="00016391">
        <w:t xml:space="preserve"> and </w:t>
      </w:r>
      <w:proofErr w:type="spellStart"/>
      <w:r w:rsidRPr="00016391">
        <w:t>Groth</w:t>
      </w:r>
      <w:proofErr w:type="spellEnd"/>
      <w:r w:rsidRPr="00016391">
        <w:t>, 2024).</w:t>
      </w:r>
      <w:r>
        <w:t xml:space="preserve"> </w:t>
      </w:r>
      <w:r w:rsidR="00F743A9" w:rsidRPr="00F743A9">
        <w:t>This further highlights the need for clearer guidance on scenario definition and modelling practices.</w:t>
      </w:r>
      <w:r w:rsidR="00F743A9">
        <w:t xml:space="preserve"> </w:t>
      </w:r>
    </w:p>
    <w:p w14:paraId="4BB2214D" w14:textId="6D64C515" w:rsidR="00F23D51" w:rsidRDefault="00DD2B56" w:rsidP="00F23D51">
      <w:pPr>
        <w:pStyle w:val="CETBodytext"/>
      </w:pPr>
      <w:r>
        <w:t>T</w:t>
      </w:r>
      <w:r w:rsidR="00F23D51">
        <w:t xml:space="preserve">he open technical framework of the major-hazard prevention legislation in Italy </w:t>
      </w:r>
      <w:r w:rsidR="002A5174">
        <w:t xml:space="preserve">may </w:t>
      </w:r>
      <w:r w:rsidR="006F6A9E">
        <w:t>represent</w:t>
      </w:r>
      <w:r w:rsidR="00F23D51">
        <w:t xml:space="preserve"> an advantage, as</w:t>
      </w:r>
      <w:r w:rsidR="00323A5A">
        <w:t xml:space="preserve"> it can, in principle, </w:t>
      </w:r>
      <w:r w:rsidR="00F97700">
        <w:t>accommodate</w:t>
      </w:r>
      <w:r w:rsidR="00F23D51">
        <w:t xml:space="preserve"> the authorization of novel technologies. </w:t>
      </w:r>
      <w:r w:rsidR="00323A5A">
        <w:t>At the same time</w:t>
      </w:r>
      <w:r w:rsidR="00F23D51">
        <w:t xml:space="preserve">, </w:t>
      </w:r>
      <w:r w:rsidR="005C2EEF">
        <w:t xml:space="preserve">the system relies on </w:t>
      </w:r>
      <w:r w:rsidR="00F23D51">
        <w:t xml:space="preserve">the competence of the CTR, as well as the owner. </w:t>
      </w:r>
      <w:r w:rsidR="00653238">
        <w:t xml:space="preserve">As </w:t>
      </w:r>
      <w:r w:rsidR="0050583E">
        <w:t xml:space="preserve">the </w:t>
      </w:r>
      <w:r w:rsidR="00F23D51">
        <w:t xml:space="preserve">CTR </w:t>
      </w:r>
      <w:r w:rsidR="0050583E">
        <w:t>is</w:t>
      </w:r>
      <w:r w:rsidR="00F23D51">
        <w:t xml:space="preserve"> composed </w:t>
      </w:r>
      <w:r w:rsidR="00653238">
        <w:t>of</w:t>
      </w:r>
      <w:r w:rsidR="00F23D51">
        <w:t xml:space="preserve"> members at the regional and local level, </w:t>
      </w:r>
      <w:r w:rsidR="005471A9">
        <w:t xml:space="preserve">the </w:t>
      </w:r>
      <w:r w:rsidR="00F23D51">
        <w:t xml:space="preserve">experience </w:t>
      </w:r>
      <w:r w:rsidR="005471A9">
        <w:t>of</w:t>
      </w:r>
      <w:r w:rsidR="00F23D51">
        <w:t xml:space="preserve"> safety permitting </w:t>
      </w:r>
      <w:r w:rsidR="00653238">
        <w:t>may</w:t>
      </w:r>
      <w:r w:rsidR="008539A8">
        <w:t xml:space="preserve"> vary</w:t>
      </w:r>
      <w:r w:rsidR="00F23D51">
        <w:t xml:space="preserve">. </w:t>
      </w:r>
      <w:r w:rsidR="00653238">
        <w:t>While this issue is common to all Seveso establishments,</w:t>
      </w:r>
      <w:r w:rsidR="00851DCF">
        <w:t xml:space="preserve"> it is critical for emerging technologies, such as those analyzed in this work. In this context</w:t>
      </w:r>
      <w:r w:rsidR="002A5174">
        <w:t xml:space="preserve">, </w:t>
      </w:r>
      <w:r w:rsidR="008A1B61">
        <w:t>coordination between p</w:t>
      </w:r>
      <w:r w:rsidR="002A5174">
        <w:t>ractitioners and competent authority is essential</w:t>
      </w:r>
      <w:r w:rsidR="008A1B61">
        <w:t>.</w:t>
      </w:r>
    </w:p>
    <w:p w14:paraId="1F87A189" w14:textId="154265B8" w:rsidR="00CC6238" w:rsidRDefault="008E7273" w:rsidP="000F283E">
      <w:pPr>
        <w:pStyle w:val="CETBodytext"/>
      </w:pPr>
      <w:r>
        <w:t>The comparison with three other countries showed that different approaches are adopted. T</w:t>
      </w:r>
      <w:r w:rsidR="008F3F2E">
        <w:t xml:space="preserve">he Italian </w:t>
      </w:r>
      <w:r w:rsidR="00DB1297">
        <w:t>technical rules a</w:t>
      </w:r>
      <w:r w:rsidR="008A1B61">
        <w:t xml:space="preserve">ppear </w:t>
      </w:r>
      <w:r w:rsidR="002A5174">
        <w:t>more conservative</w:t>
      </w:r>
      <w:r w:rsidR="008A1B61">
        <w:t>, with larger safety distance</w:t>
      </w:r>
      <w:r w:rsidR="00E14F5C">
        <w:t>s</w:t>
      </w:r>
      <w:r w:rsidR="008A1B61">
        <w:t xml:space="preserve"> and limited allowance </w:t>
      </w:r>
      <w:r w:rsidR="00946315">
        <w:t>for</w:t>
      </w:r>
      <w:r w:rsidR="008A1B61">
        <w:t xml:space="preserve"> </w:t>
      </w:r>
      <w:r w:rsidR="00536CBB">
        <w:t xml:space="preserve">reduction through passive </w:t>
      </w:r>
      <w:r w:rsidR="00536CBB">
        <w:lastRenderedPageBreak/>
        <w:t xml:space="preserve">measures. </w:t>
      </w:r>
      <w:r w:rsidR="00CC6238">
        <w:t>The</w:t>
      </w:r>
      <w:r w:rsidR="00A9070E">
        <w:t xml:space="preserve"> comparison i</w:t>
      </w:r>
      <w:r w:rsidR="00CC6238">
        <w:t>n</w:t>
      </w:r>
      <w:r w:rsidR="00A9070E">
        <w:t xml:space="preserve"> Section 2.</w:t>
      </w:r>
      <w:r w:rsidR="0050583E">
        <w:t>3</w:t>
      </w:r>
      <w:r w:rsidR="00DB1297">
        <w:t xml:space="preserve"> </w:t>
      </w:r>
      <w:r w:rsidR="00536CBB">
        <w:t>shows that, for</w:t>
      </w:r>
      <w:r w:rsidR="00A9070E">
        <w:t xml:space="preserve"> a </w:t>
      </w:r>
      <w:r w:rsidR="000F283E">
        <w:t>typical</w:t>
      </w:r>
      <w:r w:rsidR="00A9070E">
        <w:t xml:space="preserve"> </w:t>
      </w:r>
      <w:proofErr w:type="spellStart"/>
      <w:r w:rsidR="00A9070E">
        <w:t>electrolyzer</w:t>
      </w:r>
      <w:proofErr w:type="spellEnd"/>
      <w:r w:rsidR="00536CBB">
        <w:t xml:space="preserve"> system</w:t>
      </w:r>
      <w:r w:rsidR="00A9070E">
        <w:t xml:space="preserve">, </w:t>
      </w:r>
      <w:r w:rsidR="00F61EA4">
        <w:t xml:space="preserve">safety distances </w:t>
      </w:r>
      <w:r w:rsidR="00060579">
        <w:t xml:space="preserve">set by regulation </w:t>
      </w:r>
      <w:r w:rsidR="0048610F">
        <w:t>can be</w:t>
      </w:r>
      <w:r w:rsidR="00F61EA4">
        <w:t xml:space="preserve"> reache</w:t>
      </w:r>
      <w:r w:rsidR="00F97700">
        <w:t>d</w:t>
      </w:r>
      <w:r w:rsidR="00A9070E">
        <w:t xml:space="preserve"> in case of full-bore rupture</w:t>
      </w:r>
      <w:r w:rsidR="00CC6238">
        <w:t xml:space="preserve">; such a scenario is unlikely, but there are no indications regarding the accepted likelihood of </w:t>
      </w:r>
      <w:r w:rsidR="007C1B8F">
        <w:t xml:space="preserve">accidental </w:t>
      </w:r>
      <w:r w:rsidR="00CC6238">
        <w:t>scenarios</w:t>
      </w:r>
      <w:r w:rsidR="00A9070E">
        <w:t>.</w:t>
      </w:r>
      <w:r w:rsidR="00CC6238">
        <w:t xml:space="preserve"> </w:t>
      </w:r>
      <w:r w:rsidR="00B5647C">
        <w:t xml:space="preserve">Still, the case study is </w:t>
      </w:r>
      <w:proofErr w:type="gramStart"/>
      <w:r w:rsidR="00B5647C">
        <w:t>simplified</w:t>
      </w:r>
      <w:proofErr w:type="gramEnd"/>
      <w:r w:rsidR="0048610F">
        <w:t xml:space="preserve"> and </w:t>
      </w:r>
      <w:r w:rsidR="00B5647C">
        <w:t xml:space="preserve">future </w:t>
      </w:r>
      <w:proofErr w:type="gramStart"/>
      <w:r w:rsidR="00B5647C">
        <w:t>works</w:t>
      </w:r>
      <w:proofErr w:type="gramEnd"/>
      <w:r w:rsidR="00B5647C">
        <w:t xml:space="preserve"> should aim at providing a structured </w:t>
      </w:r>
      <w:r w:rsidR="00F97700">
        <w:t>comparison. Additionally,</w:t>
      </w:r>
      <w:r w:rsidR="00764C83" w:rsidRPr="00764C83">
        <w:t xml:space="preserve"> Italian fire prevention technical rules </w:t>
      </w:r>
      <w:r w:rsidR="00F97700">
        <w:t xml:space="preserve">for </w:t>
      </w:r>
      <w:proofErr w:type="spellStart"/>
      <w:r w:rsidR="00F97700">
        <w:t>electrolyzers</w:t>
      </w:r>
      <w:proofErr w:type="spellEnd"/>
      <w:r w:rsidR="00F97700">
        <w:t xml:space="preserve"> </w:t>
      </w:r>
      <w:r w:rsidR="00764C83" w:rsidRPr="00764C83">
        <w:t>were introduced only three years ago</w:t>
      </w:r>
      <w:r w:rsidR="00946315">
        <w:t>:</w:t>
      </w:r>
      <w:r w:rsidR="00764C83" w:rsidRPr="00764C83">
        <w:t xml:space="preserve"> further applications, together with feedback from completed projects, are necessary to support their consolidation (</w:t>
      </w:r>
      <w:proofErr w:type="spellStart"/>
      <w:r w:rsidR="00764C83" w:rsidRPr="00764C83">
        <w:t>HyPop</w:t>
      </w:r>
      <w:proofErr w:type="spellEnd"/>
      <w:r w:rsidR="00764C83" w:rsidRPr="00764C83">
        <w:t>, 2024).</w:t>
      </w:r>
      <w:r w:rsidR="00F97700" w:rsidRPr="00F97700">
        <w:t xml:space="preserve"> The comparison presented is limited to a selection of countries. Moreover, the definition of safety distances involves aspects of risk </w:t>
      </w:r>
      <w:r w:rsidR="0050583E">
        <w:t xml:space="preserve">perception, </w:t>
      </w:r>
      <w:r w:rsidR="00F97700" w:rsidRPr="00F97700">
        <w:t>acceptance and governance, which are context</w:t>
      </w:r>
      <w:r w:rsidR="00F97700" w:rsidRPr="00F97700">
        <w:rPr>
          <w:rFonts w:ascii="Cambria Math" w:hAnsi="Cambria Math" w:cs="Cambria Math"/>
        </w:rPr>
        <w:t>‑</w:t>
      </w:r>
      <w:r w:rsidR="00F97700" w:rsidRPr="00F97700">
        <w:t>dependent and influenced by national and cultural factors. Future research should therefore adopt an interdisciplinary perspective on permitting processes and technical regulation in both EU and non</w:t>
      </w:r>
      <w:r w:rsidR="00F97700" w:rsidRPr="00F97700">
        <w:rPr>
          <w:rFonts w:ascii="Cambria Math" w:hAnsi="Cambria Math" w:cs="Cambria Math"/>
        </w:rPr>
        <w:t>‑</w:t>
      </w:r>
      <w:r w:rsidR="00F97700" w:rsidRPr="00F97700">
        <w:t>EU countries, with the aim of identifying improvement opportunities and better contextualizing different regulatory approaches.</w:t>
      </w:r>
    </w:p>
    <w:p w14:paraId="06F5EC76" w14:textId="40B5AF15" w:rsidR="00D2729F" w:rsidRDefault="00D2729F" w:rsidP="00D2729F">
      <w:pPr>
        <w:pStyle w:val="CETHeading1"/>
      </w:pPr>
      <w:r>
        <w:t>Conclusions</w:t>
      </w:r>
    </w:p>
    <w:p w14:paraId="0142860C" w14:textId="6D3D74BB" w:rsidR="00A96AD3" w:rsidRDefault="00C20B50" w:rsidP="00C20B50">
      <w:pPr>
        <w:pStyle w:val="CETBodytext"/>
        <w:rPr>
          <w:lang w:val="en-GB"/>
        </w:rPr>
      </w:pPr>
      <w:r w:rsidRPr="00961F96">
        <w:rPr>
          <w:lang w:val="en-GB"/>
        </w:rPr>
        <w:t>This work focused on the safety regulat</w:t>
      </w:r>
      <w:r w:rsidR="00FA42A1">
        <w:rPr>
          <w:lang w:val="en-GB"/>
        </w:rPr>
        <w:t xml:space="preserve">ory </w:t>
      </w:r>
      <w:r w:rsidRPr="00961F96">
        <w:rPr>
          <w:lang w:val="en-GB"/>
        </w:rPr>
        <w:t xml:space="preserve">framework for green hydrogen </w:t>
      </w:r>
      <w:r w:rsidR="00FA42A1">
        <w:rPr>
          <w:lang w:val="en-GB"/>
        </w:rPr>
        <w:t>technologies</w:t>
      </w:r>
      <w:r w:rsidRPr="00961F96">
        <w:rPr>
          <w:lang w:val="en-GB"/>
        </w:rPr>
        <w:t xml:space="preserve"> in Italy. </w:t>
      </w:r>
      <w:r w:rsidR="004A1A93">
        <w:rPr>
          <w:lang w:val="en-GB"/>
        </w:rPr>
        <w:t xml:space="preserve">Section 2.1 and 2.2 </w:t>
      </w:r>
      <w:r w:rsidR="00FA42A1">
        <w:rPr>
          <w:lang w:val="en-GB"/>
        </w:rPr>
        <w:t>outlined the regulatory</w:t>
      </w:r>
      <w:r w:rsidR="004A1A93">
        <w:rPr>
          <w:lang w:val="en-GB"/>
        </w:rPr>
        <w:t xml:space="preserve"> background for major-hazard and fire prevention. </w:t>
      </w:r>
      <w:r w:rsidRPr="00961F96">
        <w:rPr>
          <w:lang w:val="en-GB"/>
        </w:rPr>
        <w:t>The</w:t>
      </w:r>
      <w:r w:rsidR="004A1A93">
        <w:rPr>
          <w:lang w:val="en-GB"/>
        </w:rPr>
        <w:t xml:space="preserve"> </w:t>
      </w:r>
      <w:r w:rsidRPr="00961F96">
        <w:rPr>
          <w:lang w:val="en-GB"/>
        </w:rPr>
        <w:t>analysis</w:t>
      </w:r>
      <w:r w:rsidR="004A1A93">
        <w:rPr>
          <w:lang w:val="en-GB"/>
        </w:rPr>
        <w:t xml:space="preserve"> in Section 2.3</w:t>
      </w:r>
      <w:r w:rsidRPr="00961F96">
        <w:rPr>
          <w:lang w:val="en-GB"/>
        </w:rPr>
        <w:t xml:space="preserve"> </w:t>
      </w:r>
      <w:r w:rsidR="008169EF">
        <w:rPr>
          <w:lang w:val="en-GB"/>
        </w:rPr>
        <w:t xml:space="preserve">showed </w:t>
      </w:r>
      <w:r w:rsidRPr="00961F96">
        <w:rPr>
          <w:lang w:val="en-GB"/>
        </w:rPr>
        <w:t xml:space="preserve">that the Italian framework </w:t>
      </w:r>
      <w:r w:rsidR="008A2E59" w:rsidRPr="00961F96">
        <w:rPr>
          <w:lang w:val="en-GB"/>
        </w:rPr>
        <w:t>can support</w:t>
      </w:r>
      <w:r w:rsidRPr="00961F96">
        <w:rPr>
          <w:lang w:val="en-GB"/>
        </w:rPr>
        <w:t xml:space="preserve"> the </w:t>
      </w:r>
      <w:r>
        <w:rPr>
          <w:lang w:val="en-GB"/>
        </w:rPr>
        <w:t xml:space="preserve">permitting </w:t>
      </w:r>
      <w:r w:rsidRPr="00961F96">
        <w:rPr>
          <w:lang w:val="en-GB"/>
        </w:rPr>
        <w:t>of green hydrogen technologies. However,</w:t>
      </w:r>
      <w:r w:rsidR="00FB3969">
        <w:rPr>
          <w:lang w:val="en-GB"/>
        </w:rPr>
        <w:t xml:space="preserve"> technical regulation may provide conservative results, and</w:t>
      </w:r>
      <w:r w:rsidR="00945E27">
        <w:rPr>
          <w:lang w:val="en-GB"/>
        </w:rPr>
        <w:t xml:space="preserve"> specific national guidelines </w:t>
      </w:r>
      <w:r w:rsidR="004A1A93">
        <w:rPr>
          <w:lang w:val="en-GB"/>
        </w:rPr>
        <w:t xml:space="preserve">to harmonize fire prevention and major-hazard prevention </w:t>
      </w:r>
      <w:r w:rsidR="00945E27">
        <w:rPr>
          <w:lang w:val="en-GB"/>
        </w:rPr>
        <w:t>are</w:t>
      </w:r>
      <w:r w:rsidR="008A2E59">
        <w:rPr>
          <w:lang w:val="en-GB"/>
        </w:rPr>
        <w:t xml:space="preserve"> still</w:t>
      </w:r>
      <w:r w:rsidR="00945E27">
        <w:rPr>
          <w:lang w:val="en-GB"/>
        </w:rPr>
        <w:t xml:space="preserve"> lacking</w:t>
      </w:r>
      <w:r w:rsidR="004A1A93">
        <w:rPr>
          <w:lang w:val="en-GB"/>
        </w:rPr>
        <w:t xml:space="preserve">. </w:t>
      </w:r>
      <w:r w:rsidR="006B3739">
        <w:rPr>
          <w:lang w:val="en-GB"/>
        </w:rPr>
        <w:t>In addition</w:t>
      </w:r>
      <w:r w:rsidR="004A1A93">
        <w:rPr>
          <w:lang w:val="en-GB"/>
        </w:rPr>
        <w:t>, the</w:t>
      </w:r>
      <w:r w:rsidR="00461623">
        <w:rPr>
          <w:lang w:val="en-GB"/>
        </w:rPr>
        <w:t xml:space="preserve"> permitting process may </w:t>
      </w:r>
      <w:r>
        <w:rPr>
          <w:lang w:val="en-GB"/>
        </w:rPr>
        <w:t>be shaped by the specific e</w:t>
      </w:r>
      <w:r w:rsidRPr="00961F96">
        <w:rPr>
          <w:lang w:val="en-GB"/>
        </w:rPr>
        <w:t xml:space="preserve">xpertise of the </w:t>
      </w:r>
      <w:r w:rsidR="006B3739">
        <w:rPr>
          <w:lang w:val="en-GB"/>
        </w:rPr>
        <w:t xml:space="preserve">owner and the </w:t>
      </w:r>
      <w:r w:rsidRPr="00961F96">
        <w:rPr>
          <w:lang w:val="en-GB"/>
        </w:rPr>
        <w:t xml:space="preserve">competent authorities involved. </w:t>
      </w:r>
      <w:r w:rsidR="00461623">
        <w:rPr>
          <w:lang w:val="en-GB"/>
        </w:rPr>
        <w:t xml:space="preserve">The comparison with other countries </w:t>
      </w:r>
      <w:r w:rsidR="006B3739">
        <w:rPr>
          <w:lang w:val="en-GB"/>
        </w:rPr>
        <w:t>presented</w:t>
      </w:r>
      <w:r w:rsidR="00461623">
        <w:rPr>
          <w:lang w:val="en-GB"/>
        </w:rPr>
        <w:t xml:space="preserve"> in Section 3 showed that </w:t>
      </w:r>
      <w:r w:rsidR="00D50ADF">
        <w:rPr>
          <w:lang w:val="en-GB"/>
        </w:rPr>
        <w:t xml:space="preserve">different approaches are adopted </w:t>
      </w:r>
      <w:r w:rsidR="006B3739">
        <w:rPr>
          <w:lang w:val="en-GB"/>
        </w:rPr>
        <w:t>to address similar technical issues</w:t>
      </w:r>
      <w:r w:rsidR="00D50ADF">
        <w:rPr>
          <w:lang w:val="en-GB"/>
        </w:rPr>
        <w:t xml:space="preserve">. </w:t>
      </w:r>
      <w:r w:rsidR="00F87E85" w:rsidRPr="00F87E85">
        <w:rPr>
          <w:lang w:val="en-GB"/>
        </w:rPr>
        <w:t>However, the results remain preliminary, as only a limited number of countries were considered.</w:t>
      </w:r>
      <w:r w:rsidR="005D4136" w:rsidRPr="005D4136">
        <w:t xml:space="preserve"> </w:t>
      </w:r>
      <w:r w:rsidR="005D4136" w:rsidRPr="005D4136">
        <w:rPr>
          <w:lang w:val="en-GB"/>
        </w:rPr>
        <w:t>This aspect requires further investigation, particularly to clarify how national regulatory frameworks influence technical solutions and how these are translated into guidelines. A more systematic comparison of experiences across countries would support greater consistency in permitting practices and contribute to a m</w:t>
      </w:r>
      <w:r w:rsidR="005D4136">
        <w:rPr>
          <w:lang w:val="en-GB"/>
        </w:rPr>
        <w:t>ore</w:t>
      </w:r>
      <w:r w:rsidR="005D4136" w:rsidRPr="005D4136">
        <w:rPr>
          <w:lang w:val="en-GB"/>
        </w:rPr>
        <w:t xml:space="preserve"> effective authorization process.</w:t>
      </w:r>
    </w:p>
    <w:p w14:paraId="711199C8" w14:textId="77777777" w:rsidR="00FD428C" w:rsidRPr="00961F96" w:rsidRDefault="00FD428C" w:rsidP="00FD428C">
      <w:pPr>
        <w:pStyle w:val="CETReference"/>
      </w:pPr>
      <w:r w:rsidRPr="00961F96">
        <w:t>References</w:t>
      </w:r>
    </w:p>
    <w:p w14:paraId="1EDF1DD1" w14:textId="77777777" w:rsidR="00CF7AFD" w:rsidRPr="002479CB" w:rsidRDefault="00CF7AFD" w:rsidP="00CF7AFD">
      <w:pPr>
        <w:pStyle w:val="CETReferencetext"/>
      </w:pPr>
      <w:r w:rsidRPr="002479CB">
        <w:t>Al-</w:t>
      </w:r>
      <w:proofErr w:type="spellStart"/>
      <w:r w:rsidRPr="002479CB">
        <w:t>Douri</w:t>
      </w:r>
      <w:proofErr w:type="spellEnd"/>
      <w:r w:rsidRPr="002479CB">
        <w:t xml:space="preserve"> A., </w:t>
      </w:r>
      <w:proofErr w:type="spellStart"/>
      <w:r w:rsidRPr="002479CB">
        <w:t>Groth</w:t>
      </w:r>
      <w:proofErr w:type="spellEnd"/>
      <w:r w:rsidRPr="002479CB">
        <w:t xml:space="preserve"> K. M., 2024, Hydrogen production via electrolysis: State-of-the-art and research needs in risk and reliability analysis, International Journal of Hydrogen Energy, 63, 775-785.</w:t>
      </w:r>
    </w:p>
    <w:p w14:paraId="7087B091" w14:textId="5A181352" w:rsidR="00CF7AFD" w:rsidRPr="002479CB" w:rsidRDefault="00CF7AFD" w:rsidP="00CF7AFD">
      <w:pPr>
        <w:pStyle w:val="CETReferencetext"/>
      </w:pPr>
      <w:r w:rsidRPr="002479CB">
        <w:t>Bureau de normalisation du Québec, 2022, CAN/BNQ 1784-000/2022: Canadian Hydrogen Installation Code</w:t>
      </w:r>
      <w:r w:rsidR="00246F06" w:rsidRPr="002479CB">
        <w:t>.</w:t>
      </w:r>
    </w:p>
    <w:p w14:paraId="73AB0509" w14:textId="68AA0AED" w:rsidR="00CF7AFD" w:rsidRPr="002479CB" w:rsidRDefault="00CF7AFD" w:rsidP="00CF7AFD">
      <w:pPr>
        <w:pStyle w:val="CETReferencetext"/>
      </w:pPr>
      <w:proofErr w:type="spellStart"/>
      <w:r w:rsidRPr="002479CB">
        <w:t>Büthker</w:t>
      </w:r>
      <w:proofErr w:type="spellEnd"/>
      <w:r w:rsidRPr="002479CB">
        <w:t xml:space="preserve"> E., Elliott A., </w:t>
      </w:r>
      <w:proofErr w:type="spellStart"/>
      <w:r w:rsidRPr="002479CB">
        <w:t>te</w:t>
      </w:r>
      <w:proofErr w:type="spellEnd"/>
      <w:r w:rsidRPr="002479CB">
        <w:t xml:space="preserve"> Ronde I., 2015, Report: Internal Safety Distances for PGS-35</w:t>
      </w:r>
      <w:r w:rsidR="00246F06" w:rsidRPr="002479CB">
        <w:t>.</w:t>
      </w:r>
    </w:p>
    <w:p w14:paraId="02ED17D2" w14:textId="77777777" w:rsidR="00CF7AFD" w:rsidRPr="002479CB" w:rsidRDefault="00CF7AFD" w:rsidP="00CF7AFD">
      <w:pPr>
        <w:pStyle w:val="CETReferencetext"/>
      </w:pPr>
      <w:r w:rsidRPr="002479CB">
        <w:t>European Commission, 2012, Directive 2012/18/EU of the European Parliament and of the Council of 4 July 2012 on the control of major-accident hazards involving dangerous substances, Official Journal of the European Union, 197, 1-37.</w:t>
      </w:r>
    </w:p>
    <w:p w14:paraId="5CB775FB" w14:textId="77777777" w:rsidR="00CF7AFD" w:rsidRPr="002479CB" w:rsidRDefault="00CF7AFD" w:rsidP="00CF7AFD">
      <w:pPr>
        <w:pStyle w:val="CETReferencetext"/>
      </w:pPr>
      <w:r w:rsidRPr="002479CB">
        <w:t>European Commission, 2020, COM/2020/301: A hydrogen strategy for a climate-neutral Europe.</w:t>
      </w:r>
    </w:p>
    <w:p w14:paraId="0535FBDA" w14:textId="77777777" w:rsidR="00CF7AFD" w:rsidRPr="002479CB" w:rsidRDefault="00CF7AFD" w:rsidP="00CF7AFD">
      <w:pPr>
        <w:pStyle w:val="CETReferencetext"/>
      </w:pPr>
      <w:proofErr w:type="spellStart"/>
      <w:r w:rsidRPr="002479CB">
        <w:t>Gandiglio</w:t>
      </w:r>
      <w:proofErr w:type="spellEnd"/>
      <w:r w:rsidRPr="002479CB">
        <w:t>, M.; Marocco, P., 2024, Mapping Hydrogen Initiatives in Italy: An Overview of Funding and Projects, Energies, 17, 2614.</w:t>
      </w:r>
    </w:p>
    <w:p w14:paraId="030B8043" w14:textId="77777777" w:rsidR="00CF7AFD" w:rsidRPr="002479CB" w:rsidRDefault="00CF7AFD" w:rsidP="00CF7AFD">
      <w:pPr>
        <w:pStyle w:val="CETReferencetext"/>
        <w:rPr>
          <w:lang w:val="it-IT"/>
        </w:rPr>
      </w:pPr>
      <w:r w:rsidRPr="002479CB">
        <w:rPr>
          <w:lang w:val="it-IT"/>
        </w:rPr>
        <w:t>Gazzetta Ufficiale, 2001, Decreto 9 maggio 2001, GU Serie Generale n. 138 – Suppl. Ordinario n. 151.</w:t>
      </w:r>
    </w:p>
    <w:p w14:paraId="6B44484E" w14:textId="77777777" w:rsidR="00CF7AFD" w:rsidRPr="002479CB" w:rsidRDefault="00CF7AFD" w:rsidP="00CF7AFD">
      <w:pPr>
        <w:pStyle w:val="CETReferencetext"/>
        <w:rPr>
          <w:lang w:val="it-IT"/>
        </w:rPr>
      </w:pPr>
      <w:r w:rsidRPr="002479CB">
        <w:rPr>
          <w:lang w:val="it-IT"/>
        </w:rPr>
        <w:t>Gazzetta Ufficiale, 2007, Decreto 9 maggio 2007, GU Serie Generale n. 117.</w:t>
      </w:r>
    </w:p>
    <w:p w14:paraId="3596BA7F" w14:textId="77777777" w:rsidR="00CF7AFD" w:rsidRPr="002479CB" w:rsidRDefault="00CF7AFD" w:rsidP="00CF7AFD">
      <w:pPr>
        <w:pStyle w:val="CETReferencetext"/>
        <w:rPr>
          <w:lang w:val="it-IT"/>
        </w:rPr>
      </w:pPr>
      <w:r w:rsidRPr="002479CB">
        <w:rPr>
          <w:lang w:val="it-IT"/>
        </w:rPr>
        <w:t>Gazzetta Ufficiale, 2011, Decreto del Presidente della Repubblica 1 agosto 2011 n. 151, GU n. 221.</w:t>
      </w:r>
    </w:p>
    <w:p w14:paraId="727D62BD" w14:textId="77777777" w:rsidR="00CF7AFD" w:rsidRPr="002479CB" w:rsidRDefault="00CF7AFD" w:rsidP="00CF7AFD">
      <w:pPr>
        <w:pStyle w:val="CETReferencetext"/>
        <w:rPr>
          <w:lang w:val="it-IT"/>
        </w:rPr>
      </w:pPr>
      <w:r w:rsidRPr="002479CB">
        <w:rPr>
          <w:lang w:val="it-IT"/>
        </w:rPr>
        <w:t>Gazzetta Ufficiale, 2015, Decreto Legislativo 26 giugno 2015 n. 105, GU Serie Generale n. 161 - Suppl. Ordinario n. 38.</w:t>
      </w:r>
    </w:p>
    <w:p w14:paraId="4F41ED3D" w14:textId="77777777" w:rsidR="00CF7AFD" w:rsidRPr="002479CB" w:rsidRDefault="00CF7AFD" w:rsidP="00CF7AFD">
      <w:pPr>
        <w:pStyle w:val="CETReferencetext"/>
        <w:rPr>
          <w:lang w:val="it-IT"/>
        </w:rPr>
      </w:pPr>
      <w:r w:rsidRPr="002479CB">
        <w:rPr>
          <w:lang w:val="it-IT"/>
        </w:rPr>
        <w:t>Gazzetta Ufficiale, 2018, Decreto 23 ottobre 2018, GU Serie Generale n. 257.</w:t>
      </w:r>
    </w:p>
    <w:p w14:paraId="2F370B50" w14:textId="77777777" w:rsidR="00CF7AFD" w:rsidRPr="002479CB" w:rsidRDefault="00CF7AFD" w:rsidP="00CF7AFD">
      <w:pPr>
        <w:pStyle w:val="CETReferencetext"/>
        <w:rPr>
          <w:lang w:val="it-IT"/>
        </w:rPr>
      </w:pPr>
      <w:r w:rsidRPr="002479CB">
        <w:rPr>
          <w:lang w:val="it-IT"/>
        </w:rPr>
        <w:t>Gazzetta Ufficiale, 2023, Decreto 7 luglio 2023, GU Serie Generale n. 169.</w:t>
      </w:r>
    </w:p>
    <w:p w14:paraId="6DB9C0D8" w14:textId="743B04FE" w:rsidR="00CF7AFD" w:rsidRPr="002479CB" w:rsidRDefault="00CF7AFD" w:rsidP="00CF7AFD">
      <w:pPr>
        <w:pStyle w:val="CETReferencetext"/>
      </w:pPr>
      <w:proofErr w:type="spellStart"/>
      <w:r w:rsidRPr="002479CB">
        <w:t>HyPop</w:t>
      </w:r>
      <w:proofErr w:type="spellEnd"/>
      <w:r w:rsidRPr="002479CB">
        <w:t>, 2024</w:t>
      </w:r>
      <w:r w:rsidR="00B810E7">
        <w:t>a</w:t>
      </w:r>
      <w:r w:rsidRPr="002479CB">
        <w:t>, Reporting on Permitting Requirements &lt;https://www.hypop-project.eu/wp-content/uploads/2024/07/D2.2.pdf&gt;, accessed 28.03.2026.</w:t>
      </w:r>
    </w:p>
    <w:p w14:paraId="0A2814EF" w14:textId="173B88C0" w:rsidR="00CF7AFD" w:rsidRPr="002479CB" w:rsidRDefault="00CF7AFD" w:rsidP="00CF7AFD">
      <w:pPr>
        <w:pStyle w:val="CETReferencetext"/>
      </w:pPr>
      <w:proofErr w:type="spellStart"/>
      <w:r w:rsidRPr="002479CB">
        <w:t>HyPop</w:t>
      </w:r>
      <w:proofErr w:type="spellEnd"/>
      <w:r w:rsidRPr="002479CB">
        <w:t>, 2024</w:t>
      </w:r>
      <w:r w:rsidR="00B810E7">
        <w:t>b</w:t>
      </w:r>
      <w:r w:rsidRPr="002479CB">
        <w:t>, Reporting on Safety Requirements, &lt;https://www.hypop-project.eu/wp-content/uploads/2024/07/D2.1.pdf&gt;, accessed 29.04.2026.</w:t>
      </w:r>
    </w:p>
    <w:p w14:paraId="3EB7CF0B" w14:textId="77777777" w:rsidR="00CF7AFD" w:rsidRPr="002479CB" w:rsidRDefault="00CF7AFD" w:rsidP="00CF7AFD">
      <w:pPr>
        <w:pStyle w:val="CETReferencetext"/>
      </w:pPr>
      <w:r w:rsidRPr="002479CB">
        <w:t xml:space="preserve">Mahmoud A., </w:t>
      </w:r>
      <w:proofErr w:type="spellStart"/>
      <w:r w:rsidRPr="002479CB">
        <w:t>Jankuj</w:t>
      </w:r>
      <w:proofErr w:type="spellEnd"/>
      <w:r w:rsidRPr="002479CB">
        <w:t xml:space="preserve"> V., </w:t>
      </w:r>
      <w:proofErr w:type="spellStart"/>
      <w:r w:rsidRPr="002479CB">
        <w:t>Bernatik</w:t>
      </w:r>
      <w:proofErr w:type="spellEnd"/>
      <w:r w:rsidRPr="002479CB">
        <w:t xml:space="preserve"> A., 2025, Hydrogen and Major Industrial Accidents - Hydrogen as a Sustainable Energy Solution: Balancing Potential with Safety Challenges, Chemical Engineering Transactions, 116, 301-306.</w:t>
      </w:r>
    </w:p>
    <w:p w14:paraId="41A3BE90" w14:textId="50AD5E33" w:rsidR="00B20888" w:rsidRPr="002479CB" w:rsidRDefault="00B20888" w:rsidP="00B20888">
      <w:pPr>
        <w:pStyle w:val="CETReferencetext"/>
      </w:pPr>
      <w:r w:rsidRPr="002479CB">
        <w:t>Marrazzo R., Bragatto P., 2023, Repercussions on the Safety Management System of Inspection Activity After a Major Accident, Chemical Engineering Transactions, 104, 157-162.</w:t>
      </w:r>
    </w:p>
    <w:p w14:paraId="7A35E47D" w14:textId="77777777" w:rsidR="00CF7AFD" w:rsidRPr="002479CB" w:rsidRDefault="00CF7AFD" w:rsidP="00CF7AFD">
      <w:pPr>
        <w:pStyle w:val="CETReferencetext"/>
      </w:pPr>
      <w:r w:rsidRPr="002479CB">
        <w:t>Mazzaro M., Moretti J., Ceccherini C., Russo P., Lucci A., 2023, Analysis and comparison of hydrogen generators safety measures according to international regulation codes and standards (RCS), Proceedings of the International Conference on Hydrogen Safety 2023.</w:t>
      </w:r>
    </w:p>
    <w:p w14:paraId="3B810746" w14:textId="1DDE18C8" w:rsidR="002479CB" w:rsidRPr="00CF7AFD" w:rsidRDefault="00CF7AFD" w:rsidP="002479CB">
      <w:pPr>
        <w:pStyle w:val="CETReferencetext"/>
        <w:rPr>
          <w:lang w:val="it-IT"/>
        </w:rPr>
      </w:pPr>
      <w:r w:rsidRPr="002479CB">
        <w:rPr>
          <w:lang w:val="it-IT"/>
        </w:rPr>
        <w:t>Sistema Nazionale per la Protezione dell’Ambiente, 2026, Linee Guida SNPA, &lt; https://www.snpambiente.it/category/pubblicazioni/linee-guida-snpa/&gt;, accessed 28</w:t>
      </w:r>
      <w:r w:rsidR="00691676">
        <w:rPr>
          <w:lang w:val="it-IT"/>
        </w:rPr>
        <w:t>.</w:t>
      </w:r>
      <w:r w:rsidRPr="002479CB">
        <w:rPr>
          <w:lang w:val="it-IT"/>
        </w:rPr>
        <w:t>03</w:t>
      </w:r>
      <w:r w:rsidR="00691676">
        <w:rPr>
          <w:lang w:val="it-IT"/>
        </w:rPr>
        <w:t>.</w:t>
      </w:r>
      <w:r w:rsidRPr="002479CB">
        <w:rPr>
          <w:lang w:val="it-IT"/>
        </w:rPr>
        <w:t>2026.</w:t>
      </w:r>
    </w:p>
    <w:sectPr w:rsidR="002479CB" w:rsidRPr="00CF7AFD"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3995" w14:textId="77777777" w:rsidR="00BD3550" w:rsidRDefault="00BD3550" w:rsidP="004F5E36">
      <w:r>
        <w:separator/>
      </w:r>
    </w:p>
  </w:endnote>
  <w:endnote w:type="continuationSeparator" w:id="0">
    <w:p w14:paraId="3057B86D" w14:textId="77777777" w:rsidR="00BD3550" w:rsidRDefault="00BD355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EF32" w14:textId="77777777" w:rsidR="00BD3550" w:rsidRDefault="00BD3550" w:rsidP="004F5E36">
      <w:r>
        <w:separator/>
      </w:r>
    </w:p>
  </w:footnote>
  <w:footnote w:type="continuationSeparator" w:id="0">
    <w:p w14:paraId="33ED0C5C" w14:textId="77777777" w:rsidR="00BD3550" w:rsidRDefault="00BD3550"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EFD083CA"/>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03134"/>
    <w:multiLevelType w:val="hybridMultilevel"/>
    <w:tmpl w:val="B8B2FF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C23762"/>
    <w:multiLevelType w:val="hybridMultilevel"/>
    <w:tmpl w:val="C34E44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9E209B2"/>
    <w:multiLevelType w:val="hybridMultilevel"/>
    <w:tmpl w:val="FAE6DF8A"/>
    <w:lvl w:ilvl="0" w:tplc="14090001">
      <w:start w:val="1"/>
      <w:numFmt w:val="bullet"/>
      <w:lvlText w:val=""/>
      <w:lvlJc w:val="left"/>
      <w:pPr>
        <w:ind w:left="473" w:hanging="360"/>
      </w:pPr>
      <w:rPr>
        <w:rFonts w:ascii="Symbol" w:hAnsi="Symbol"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E63EB1"/>
    <w:multiLevelType w:val="hybridMultilevel"/>
    <w:tmpl w:val="ADC4D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2"/>
  </w:num>
  <w:num w:numId="14" w16cid:durableId="145903400">
    <w:abstractNumId w:val="21"/>
  </w:num>
  <w:num w:numId="15" w16cid:durableId="19162326">
    <w:abstractNumId w:val="23"/>
  </w:num>
  <w:num w:numId="16" w16cid:durableId="1977102699">
    <w:abstractNumId w:val="22"/>
  </w:num>
  <w:num w:numId="17" w16cid:durableId="860774865">
    <w:abstractNumId w:val="11"/>
  </w:num>
  <w:num w:numId="18" w16cid:durableId="313221457">
    <w:abstractNumId w:val="12"/>
    <w:lvlOverride w:ilvl="0">
      <w:startOverride w:val="1"/>
    </w:lvlOverride>
  </w:num>
  <w:num w:numId="19" w16cid:durableId="534971577">
    <w:abstractNumId w:val="18"/>
  </w:num>
  <w:num w:numId="20" w16cid:durableId="1150947773">
    <w:abstractNumId w:val="17"/>
  </w:num>
  <w:num w:numId="21" w16cid:durableId="124660497">
    <w:abstractNumId w:val="16"/>
  </w:num>
  <w:num w:numId="22" w16cid:durableId="2099861471">
    <w:abstractNumId w:val="13"/>
  </w:num>
  <w:num w:numId="23" w16cid:durableId="1552229536">
    <w:abstractNumId w:val="20"/>
  </w:num>
  <w:num w:numId="24" w16cid:durableId="1077442699">
    <w:abstractNumId w:val="14"/>
  </w:num>
  <w:num w:numId="25" w16cid:durableId="1963724591">
    <w:abstractNumId w:val="15"/>
  </w:num>
  <w:num w:numId="26" w16cid:durableId="12957162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6A8"/>
    <w:rsid w:val="000027C0"/>
    <w:rsid w:val="00003208"/>
    <w:rsid w:val="000052FB"/>
    <w:rsid w:val="00005553"/>
    <w:rsid w:val="00005884"/>
    <w:rsid w:val="00005A19"/>
    <w:rsid w:val="00005AAC"/>
    <w:rsid w:val="00006130"/>
    <w:rsid w:val="00006770"/>
    <w:rsid w:val="00006E00"/>
    <w:rsid w:val="00007B7E"/>
    <w:rsid w:val="000117CB"/>
    <w:rsid w:val="000126BB"/>
    <w:rsid w:val="00013BA2"/>
    <w:rsid w:val="000141F2"/>
    <w:rsid w:val="00014DB0"/>
    <w:rsid w:val="00016391"/>
    <w:rsid w:val="000165B8"/>
    <w:rsid w:val="000168F1"/>
    <w:rsid w:val="00017046"/>
    <w:rsid w:val="000228CC"/>
    <w:rsid w:val="000252BD"/>
    <w:rsid w:val="00027296"/>
    <w:rsid w:val="00030487"/>
    <w:rsid w:val="00030D17"/>
    <w:rsid w:val="0003148D"/>
    <w:rsid w:val="00031CDF"/>
    <w:rsid w:val="00031EEC"/>
    <w:rsid w:val="00032621"/>
    <w:rsid w:val="00034A0A"/>
    <w:rsid w:val="00037525"/>
    <w:rsid w:val="000440B4"/>
    <w:rsid w:val="00044259"/>
    <w:rsid w:val="0004452B"/>
    <w:rsid w:val="0004687C"/>
    <w:rsid w:val="0004763D"/>
    <w:rsid w:val="0004795D"/>
    <w:rsid w:val="00047F42"/>
    <w:rsid w:val="00050E51"/>
    <w:rsid w:val="000514E2"/>
    <w:rsid w:val="00051566"/>
    <w:rsid w:val="0005279A"/>
    <w:rsid w:val="00052C0F"/>
    <w:rsid w:val="00054105"/>
    <w:rsid w:val="000547FF"/>
    <w:rsid w:val="000551A6"/>
    <w:rsid w:val="0005564E"/>
    <w:rsid w:val="000562A9"/>
    <w:rsid w:val="000566B3"/>
    <w:rsid w:val="00060579"/>
    <w:rsid w:val="000622B8"/>
    <w:rsid w:val="00062A9A"/>
    <w:rsid w:val="00062D06"/>
    <w:rsid w:val="000636F8"/>
    <w:rsid w:val="000647C0"/>
    <w:rsid w:val="00065058"/>
    <w:rsid w:val="000664A0"/>
    <w:rsid w:val="00067D9F"/>
    <w:rsid w:val="000718B8"/>
    <w:rsid w:val="00071A53"/>
    <w:rsid w:val="000726FF"/>
    <w:rsid w:val="00073054"/>
    <w:rsid w:val="00073138"/>
    <w:rsid w:val="000827A6"/>
    <w:rsid w:val="000828D2"/>
    <w:rsid w:val="00086C39"/>
    <w:rsid w:val="00087C9A"/>
    <w:rsid w:val="000900B9"/>
    <w:rsid w:val="00090B08"/>
    <w:rsid w:val="00091692"/>
    <w:rsid w:val="00091ABC"/>
    <w:rsid w:val="000924A4"/>
    <w:rsid w:val="00093079"/>
    <w:rsid w:val="0009362B"/>
    <w:rsid w:val="0009564C"/>
    <w:rsid w:val="00097934"/>
    <w:rsid w:val="000A03B2"/>
    <w:rsid w:val="000A0DBB"/>
    <w:rsid w:val="000A1981"/>
    <w:rsid w:val="000A1D97"/>
    <w:rsid w:val="000A384E"/>
    <w:rsid w:val="000A39F9"/>
    <w:rsid w:val="000A3DB9"/>
    <w:rsid w:val="000A4268"/>
    <w:rsid w:val="000A6143"/>
    <w:rsid w:val="000B03F2"/>
    <w:rsid w:val="000B153A"/>
    <w:rsid w:val="000B590E"/>
    <w:rsid w:val="000B5DFF"/>
    <w:rsid w:val="000B643A"/>
    <w:rsid w:val="000B68C5"/>
    <w:rsid w:val="000C0B40"/>
    <w:rsid w:val="000C112B"/>
    <w:rsid w:val="000C1F12"/>
    <w:rsid w:val="000C22E7"/>
    <w:rsid w:val="000C2976"/>
    <w:rsid w:val="000C317D"/>
    <w:rsid w:val="000C36A2"/>
    <w:rsid w:val="000C4B08"/>
    <w:rsid w:val="000C6099"/>
    <w:rsid w:val="000D0268"/>
    <w:rsid w:val="000D1976"/>
    <w:rsid w:val="000D34BE"/>
    <w:rsid w:val="000D4030"/>
    <w:rsid w:val="000D6A25"/>
    <w:rsid w:val="000D7E2B"/>
    <w:rsid w:val="000E102F"/>
    <w:rsid w:val="000E10C5"/>
    <w:rsid w:val="000E1E6C"/>
    <w:rsid w:val="000E27A1"/>
    <w:rsid w:val="000E333A"/>
    <w:rsid w:val="000E36F1"/>
    <w:rsid w:val="000E3A73"/>
    <w:rsid w:val="000E414A"/>
    <w:rsid w:val="000E5364"/>
    <w:rsid w:val="000E56CA"/>
    <w:rsid w:val="000E5EA6"/>
    <w:rsid w:val="000E707F"/>
    <w:rsid w:val="000E716C"/>
    <w:rsid w:val="000E75FD"/>
    <w:rsid w:val="000F002B"/>
    <w:rsid w:val="000F04E9"/>
    <w:rsid w:val="000F093C"/>
    <w:rsid w:val="000F283E"/>
    <w:rsid w:val="000F3AC8"/>
    <w:rsid w:val="000F55C3"/>
    <w:rsid w:val="000F62E9"/>
    <w:rsid w:val="000F787B"/>
    <w:rsid w:val="000F7AB1"/>
    <w:rsid w:val="00100A13"/>
    <w:rsid w:val="00100FC4"/>
    <w:rsid w:val="001014EC"/>
    <w:rsid w:val="00103EC5"/>
    <w:rsid w:val="001063D2"/>
    <w:rsid w:val="00110958"/>
    <w:rsid w:val="00111452"/>
    <w:rsid w:val="001141A0"/>
    <w:rsid w:val="00116461"/>
    <w:rsid w:val="001168AC"/>
    <w:rsid w:val="00117A9C"/>
    <w:rsid w:val="00117CB8"/>
    <w:rsid w:val="0012091F"/>
    <w:rsid w:val="00122484"/>
    <w:rsid w:val="00122944"/>
    <w:rsid w:val="00122ABA"/>
    <w:rsid w:val="00123701"/>
    <w:rsid w:val="00124711"/>
    <w:rsid w:val="00124AAD"/>
    <w:rsid w:val="001257FE"/>
    <w:rsid w:val="00126BC2"/>
    <w:rsid w:val="00126F38"/>
    <w:rsid w:val="00130751"/>
    <w:rsid w:val="001308B6"/>
    <w:rsid w:val="00130F20"/>
    <w:rsid w:val="0013121F"/>
    <w:rsid w:val="0013125B"/>
    <w:rsid w:val="00131FE6"/>
    <w:rsid w:val="0013263F"/>
    <w:rsid w:val="00132C7B"/>
    <w:rsid w:val="001331DF"/>
    <w:rsid w:val="00134DE4"/>
    <w:rsid w:val="0013697C"/>
    <w:rsid w:val="0013787F"/>
    <w:rsid w:val="0014034D"/>
    <w:rsid w:val="001407D3"/>
    <w:rsid w:val="001409A5"/>
    <w:rsid w:val="00140BA4"/>
    <w:rsid w:val="00140FE3"/>
    <w:rsid w:val="0014312B"/>
    <w:rsid w:val="001431ED"/>
    <w:rsid w:val="00143450"/>
    <w:rsid w:val="00144D16"/>
    <w:rsid w:val="00150E59"/>
    <w:rsid w:val="00152DE3"/>
    <w:rsid w:val="00156ACF"/>
    <w:rsid w:val="001620A9"/>
    <w:rsid w:val="00162526"/>
    <w:rsid w:val="00162FED"/>
    <w:rsid w:val="00163954"/>
    <w:rsid w:val="00164AB1"/>
    <w:rsid w:val="00164CF9"/>
    <w:rsid w:val="001650ED"/>
    <w:rsid w:val="00165792"/>
    <w:rsid w:val="00165BCF"/>
    <w:rsid w:val="001661A9"/>
    <w:rsid w:val="001667A6"/>
    <w:rsid w:val="00170C89"/>
    <w:rsid w:val="00172296"/>
    <w:rsid w:val="00174658"/>
    <w:rsid w:val="00174E40"/>
    <w:rsid w:val="00183F74"/>
    <w:rsid w:val="00184429"/>
    <w:rsid w:val="00184AD6"/>
    <w:rsid w:val="00185BD4"/>
    <w:rsid w:val="00186D47"/>
    <w:rsid w:val="0018720A"/>
    <w:rsid w:val="00190D1A"/>
    <w:rsid w:val="001937DB"/>
    <w:rsid w:val="001945AD"/>
    <w:rsid w:val="001946DE"/>
    <w:rsid w:val="001A3139"/>
    <w:rsid w:val="001A3333"/>
    <w:rsid w:val="001A3762"/>
    <w:rsid w:val="001A4AF7"/>
    <w:rsid w:val="001A523C"/>
    <w:rsid w:val="001A61CE"/>
    <w:rsid w:val="001A79C1"/>
    <w:rsid w:val="001A7C21"/>
    <w:rsid w:val="001B0349"/>
    <w:rsid w:val="001B1589"/>
    <w:rsid w:val="001B1E93"/>
    <w:rsid w:val="001B3439"/>
    <w:rsid w:val="001B61A7"/>
    <w:rsid w:val="001B65C1"/>
    <w:rsid w:val="001B73CF"/>
    <w:rsid w:val="001B7A52"/>
    <w:rsid w:val="001C049C"/>
    <w:rsid w:val="001C20DA"/>
    <w:rsid w:val="001C260F"/>
    <w:rsid w:val="001C33F1"/>
    <w:rsid w:val="001C581F"/>
    <w:rsid w:val="001C60D5"/>
    <w:rsid w:val="001C684B"/>
    <w:rsid w:val="001D0068"/>
    <w:rsid w:val="001D0390"/>
    <w:rsid w:val="001D0CFB"/>
    <w:rsid w:val="001D0FDC"/>
    <w:rsid w:val="001D21AF"/>
    <w:rsid w:val="001D271A"/>
    <w:rsid w:val="001D4E42"/>
    <w:rsid w:val="001D53FC"/>
    <w:rsid w:val="001D5813"/>
    <w:rsid w:val="001D6567"/>
    <w:rsid w:val="001E04BE"/>
    <w:rsid w:val="001E0E89"/>
    <w:rsid w:val="001E1133"/>
    <w:rsid w:val="001E175F"/>
    <w:rsid w:val="001E3985"/>
    <w:rsid w:val="001E3A4F"/>
    <w:rsid w:val="001E3D00"/>
    <w:rsid w:val="001E5352"/>
    <w:rsid w:val="001E57C9"/>
    <w:rsid w:val="001F1A1B"/>
    <w:rsid w:val="001F1CB7"/>
    <w:rsid w:val="001F26B4"/>
    <w:rsid w:val="001F2D8D"/>
    <w:rsid w:val="001F2E00"/>
    <w:rsid w:val="001F42A5"/>
    <w:rsid w:val="001F4C45"/>
    <w:rsid w:val="001F572D"/>
    <w:rsid w:val="001F7B9D"/>
    <w:rsid w:val="0020080B"/>
    <w:rsid w:val="00201C93"/>
    <w:rsid w:val="00201DE8"/>
    <w:rsid w:val="00202A5B"/>
    <w:rsid w:val="002043B7"/>
    <w:rsid w:val="00205397"/>
    <w:rsid w:val="00205695"/>
    <w:rsid w:val="00206826"/>
    <w:rsid w:val="00206833"/>
    <w:rsid w:val="00207CED"/>
    <w:rsid w:val="00207E4C"/>
    <w:rsid w:val="00211423"/>
    <w:rsid w:val="00212CA0"/>
    <w:rsid w:val="002130FC"/>
    <w:rsid w:val="0021310F"/>
    <w:rsid w:val="00213737"/>
    <w:rsid w:val="00215B04"/>
    <w:rsid w:val="00216A9B"/>
    <w:rsid w:val="00217A1E"/>
    <w:rsid w:val="00220E36"/>
    <w:rsid w:val="002224B4"/>
    <w:rsid w:val="00224323"/>
    <w:rsid w:val="00224CF1"/>
    <w:rsid w:val="00231F71"/>
    <w:rsid w:val="00235EB9"/>
    <w:rsid w:val="00236B6C"/>
    <w:rsid w:val="00240F03"/>
    <w:rsid w:val="002415FF"/>
    <w:rsid w:val="002447EF"/>
    <w:rsid w:val="00245002"/>
    <w:rsid w:val="00245C92"/>
    <w:rsid w:val="00246987"/>
    <w:rsid w:val="00246F06"/>
    <w:rsid w:val="002479CB"/>
    <w:rsid w:val="00247C2B"/>
    <w:rsid w:val="00250878"/>
    <w:rsid w:val="00251550"/>
    <w:rsid w:val="002518D8"/>
    <w:rsid w:val="00257B03"/>
    <w:rsid w:val="00260599"/>
    <w:rsid w:val="00260AB1"/>
    <w:rsid w:val="00263365"/>
    <w:rsid w:val="00263B05"/>
    <w:rsid w:val="00264586"/>
    <w:rsid w:val="0027071A"/>
    <w:rsid w:val="002710A4"/>
    <w:rsid w:val="0027221A"/>
    <w:rsid w:val="0027271C"/>
    <w:rsid w:val="002753DF"/>
    <w:rsid w:val="00275B61"/>
    <w:rsid w:val="00276CC1"/>
    <w:rsid w:val="00280A66"/>
    <w:rsid w:val="00280FAF"/>
    <w:rsid w:val="00282656"/>
    <w:rsid w:val="00283666"/>
    <w:rsid w:val="00285BBB"/>
    <w:rsid w:val="00285D0C"/>
    <w:rsid w:val="00286B85"/>
    <w:rsid w:val="0028713E"/>
    <w:rsid w:val="00287F8F"/>
    <w:rsid w:val="002907C0"/>
    <w:rsid w:val="002912C2"/>
    <w:rsid w:val="00291A13"/>
    <w:rsid w:val="0029300C"/>
    <w:rsid w:val="00293434"/>
    <w:rsid w:val="00293E5D"/>
    <w:rsid w:val="00296B83"/>
    <w:rsid w:val="002A1F26"/>
    <w:rsid w:val="002A4A1C"/>
    <w:rsid w:val="002A5174"/>
    <w:rsid w:val="002A5343"/>
    <w:rsid w:val="002A5D21"/>
    <w:rsid w:val="002A79A9"/>
    <w:rsid w:val="002B0BB8"/>
    <w:rsid w:val="002B1207"/>
    <w:rsid w:val="002B3891"/>
    <w:rsid w:val="002B4015"/>
    <w:rsid w:val="002B54B4"/>
    <w:rsid w:val="002B56A0"/>
    <w:rsid w:val="002B6610"/>
    <w:rsid w:val="002B6A94"/>
    <w:rsid w:val="002B736A"/>
    <w:rsid w:val="002B78CE"/>
    <w:rsid w:val="002B7C3F"/>
    <w:rsid w:val="002C2FB6"/>
    <w:rsid w:val="002C3D64"/>
    <w:rsid w:val="002C6348"/>
    <w:rsid w:val="002D2A6C"/>
    <w:rsid w:val="002D3CD8"/>
    <w:rsid w:val="002D4134"/>
    <w:rsid w:val="002D47A0"/>
    <w:rsid w:val="002D4F56"/>
    <w:rsid w:val="002D6028"/>
    <w:rsid w:val="002D6A88"/>
    <w:rsid w:val="002D7C4D"/>
    <w:rsid w:val="002E00F1"/>
    <w:rsid w:val="002E4182"/>
    <w:rsid w:val="002E4654"/>
    <w:rsid w:val="002E4A8B"/>
    <w:rsid w:val="002E55BD"/>
    <w:rsid w:val="002E5FA7"/>
    <w:rsid w:val="002E7B66"/>
    <w:rsid w:val="002F133E"/>
    <w:rsid w:val="002F3309"/>
    <w:rsid w:val="002F34FD"/>
    <w:rsid w:val="002F4177"/>
    <w:rsid w:val="002F4552"/>
    <w:rsid w:val="002F591D"/>
    <w:rsid w:val="002F5A9C"/>
    <w:rsid w:val="002F6997"/>
    <w:rsid w:val="003008CE"/>
    <w:rsid w:val="003009B7"/>
    <w:rsid w:val="00300E56"/>
    <w:rsid w:val="0030152C"/>
    <w:rsid w:val="00303CF7"/>
    <w:rsid w:val="00303FE8"/>
    <w:rsid w:val="0030469C"/>
    <w:rsid w:val="00307B73"/>
    <w:rsid w:val="00307FCB"/>
    <w:rsid w:val="00310C2C"/>
    <w:rsid w:val="003117F6"/>
    <w:rsid w:val="00313435"/>
    <w:rsid w:val="00313FB3"/>
    <w:rsid w:val="003156C4"/>
    <w:rsid w:val="00315819"/>
    <w:rsid w:val="003164AB"/>
    <w:rsid w:val="0031754A"/>
    <w:rsid w:val="0032112F"/>
    <w:rsid w:val="00321CA6"/>
    <w:rsid w:val="00323603"/>
    <w:rsid w:val="00323763"/>
    <w:rsid w:val="00323A5A"/>
    <w:rsid w:val="00323C5F"/>
    <w:rsid w:val="00324637"/>
    <w:rsid w:val="0032515B"/>
    <w:rsid w:val="00326842"/>
    <w:rsid w:val="00330F83"/>
    <w:rsid w:val="00331BB1"/>
    <w:rsid w:val="003349B7"/>
    <w:rsid w:val="00334C09"/>
    <w:rsid w:val="00334D77"/>
    <w:rsid w:val="00335F93"/>
    <w:rsid w:val="00337B39"/>
    <w:rsid w:val="00340676"/>
    <w:rsid w:val="00341481"/>
    <w:rsid w:val="00344096"/>
    <w:rsid w:val="00344E2F"/>
    <w:rsid w:val="00345891"/>
    <w:rsid w:val="00350DF6"/>
    <w:rsid w:val="0035284F"/>
    <w:rsid w:val="00352E22"/>
    <w:rsid w:val="00353674"/>
    <w:rsid w:val="003542B4"/>
    <w:rsid w:val="00354D5E"/>
    <w:rsid w:val="00354E9C"/>
    <w:rsid w:val="00360AF3"/>
    <w:rsid w:val="0036103B"/>
    <w:rsid w:val="00364243"/>
    <w:rsid w:val="003647A7"/>
    <w:rsid w:val="00364EB8"/>
    <w:rsid w:val="003659B0"/>
    <w:rsid w:val="00365C65"/>
    <w:rsid w:val="003723D4"/>
    <w:rsid w:val="00373C8E"/>
    <w:rsid w:val="00374686"/>
    <w:rsid w:val="0037683E"/>
    <w:rsid w:val="003800A6"/>
    <w:rsid w:val="00381905"/>
    <w:rsid w:val="00382DFC"/>
    <w:rsid w:val="0038373D"/>
    <w:rsid w:val="00384CC8"/>
    <w:rsid w:val="00386F2B"/>
    <w:rsid w:val="003871FD"/>
    <w:rsid w:val="003912F2"/>
    <w:rsid w:val="00391550"/>
    <w:rsid w:val="00391849"/>
    <w:rsid w:val="00392F1A"/>
    <w:rsid w:val="003935CA"/>
    <w:rsid w:val="003941A3"/>
    <w:rsid w:val="003943D8"/>
    <w:rsid w:val="00394DA7"/>
    <w:rsid w:val="00394E51"/>
    <w:rsid w:val="00394F43"/>
    <w:rsid w:val="00396429"/>
    <w:rsid w:val="00396741"/>
    <w:rsid w:val="00397956"/>
    <w:rsid w:val="003A0592"/>
    <w:rsid w:val="003A0EE5"/>
    <w:rsid w:val="003A1262"/>
    <w:rsid w:val="003A1E30"/>
    <w:rsid w:val="003A2829"/>
    <w:rsid w:val="003A2B7B"/>
    <w:rsid w:val="003A3115"/>
    <w:rsid w:val="003A3AAC"/>
    <w:rsid w:val="003A4170"/>
    <w:rsid w:val="003A4AE3"/>
    <w:rsid w:val="003A58AF"/>
    <w:rsid w:val="003A7C25"/>
    <w:rsid w:val="003A7D1C"/>
    <w:rsid w:val="003B1781"/>
    <w:rsid w:val="003B192E"/>
    <w:rsid w:val="003B22BE"/>
    <w:rsid w:val="003B235A"/>
    <w:rsid w:val="003B304B"/>
    <w:rsid w:val="003B3146"/>
    <w:rsid w:val="003B624F"/>
    <w:rsid w:val="003C18C4"/>
    <w:rsid w:val="003C34BA"/>
    <w:rsid w:val="003C3DF8"/>
    <w:rsid w:val="003C482C"/>
    <w:rsid w:val="003C67E5"/>
    <w:rsid w:val="003C7BD5"/>
    <w:rsid w:val="003D01E3"/>
    <w:rsid w:val="003D0D28"/>
    <w:rsid w:val="003D17AF"/>
    <w:rsid w:val="003D19AC"/>
    <w:rsid w:val="003D1E02"/>
    <w:rsid w:val="003D28B0"/>
    <w:rsid w:val="003D4423"/>
    <w:rsid w:val="003D466A"/>
    <w:rsid w:val="003D4EF1"/>
    <w:rsid w:val="003D7E10"/>
    <w:rsid w:val="003E04DB"/>
    <w:rsid w:val="003E0A63"/>
    <w:rsid w:val="003E1215"/>
    <w:rsid w:val="003E2307"/>
    <w:rsid w:val="003E33D1"/>
    <w:rsid w:val="003E497F"/>
    <w:rsid w:val="003E6176"/>
    <w:rsid w:val="003E6CBB"/>
    <w:rsid w:val="003E73C1"/>
    <w:rsid w:val="003E7730"/>
    <w:rsid w:val="003F015E"/>
    <w:rsid w:val="00400414"/>
    <w:rsid w:val="00403EF4"/>
    <w:rsid w:val="00404DCC"/>
    <w:rsid w:val="004051D2"/>
    <w:rsid w:val="00405740"/>
    <w:rsid w:val="00405879"/>
    <w:rsid w:val="00406127"/>
    <w:rsid w:val="00406CA6"/>
    <w:rsid w:val="00410271"/>
    <w:rsid w:val="00413DD3"/>
    <w:rsid w:val="0041446B"/>
    <w:rsid w:val="0041493B"/>
    <w:rsid w:val="00414B15"/>
    <w:rsid w:val="00417DDF"/>
    <w:rsid w:val="00421B64"/>
    <w:rsid w:val="0042207D"/>
    <w:rsid w:val="004229E9"/>
    <w:rsid w:val="004238EF"/>
    <w:rsid w:val="00426626"/>
    <w:rsid w:val="0042670F"/>
    <w:rsid w:val="004275AB"/>
    <w:rsid w:val="00430DE2"/>
    <w:rsid w:val="0043312C"/>
    <w:rsid w:val="00435627"/>
    <w:rsid w:val="00436DA7"/>
    <w:rsid w:val="0044071E"/>
    <w:rsid w:val="0044329C"/>
    <w:rsid w:val="00443320"/>
    <w:rsid w:val="00443E23"/>
    <w:rsid w:val="004450B0"/>
    <w:rsid w:val="0044774C"/>
    <w:rsid w:val="004477F7"/>
    <w:rsid w:val="00447F9B"/>
    <w:rsid w:val="004507EC"/>
    <w:rsid w:val="0045231B"/>
    <w:rsid w:val="004530EB"/>
    <w:rsid w:val="00453E24"/>
    <w:rsid w:val="00457089"/>
    <w:rsid w:val="00457456"/>
    <w:rsid w:val="004577FE"/>
    <w:rsid w:val="00457B9C"/>
    <w:rsid w:val="00461623"/>
    <w:rsid w:val="0046164A"/>
    <w:rsid w:val="004617B9"/>
    <w:rsid w:val="004628D2"/>
    <w:rsid w:val="00462DCD"/>
    <w:rsid w:val="00463DC7"/>
    <w:rsid w:val="004648AD"/>
    <w:rsid w:val="00465409"/>
    <w:rsid w:val="0046656E"/>
    <w:rsid w:val="004676A8"/>
    <w:rsid w:val="004703A9"/>
    <w:rsid w:val="0047079C"/>
    <w:rsid w:val="00470F31"/>
    <w:rsid w:val="00470FB8"/>
    <w:rsid w:val="00472D82"/>
    <w:rsid w:val="004742B2"/>
    <w:rsid w:val="004760DE"/>
    <w:rsid w:val="004763D7"/>
    <w:rsid w:val="00477687"/>
    <w:rsid w:val="00480F19"/>
    <w:rsid w:val="00481305"/>
    <w:rsid w:val="00482C27"/>
    <w:rsid w:val="00482EAC"/>
    <w:rsid w:val="004834C1"/>
    <w:rsid w:val="004850F3"/>
    <w:rsid w:val="0048610F"/>
    <w:rsid w:val="00490532"/>
    <w:rsid w:val="004925BB"/>
    <w:rsid w:val="00495DB7"/>
    <w:rsid w:val="0049657B"/>
    <w:rsid w:val="00497131"/>
    <w:rsid w:val="004974F8"/>
    <w:rsid w:val="004A004E"/>
    <w:rsid w:val="004A01DB"/>
    <w:rsid w:val="004A1244"/>
    <w:rsid w:val="004A1A93"/>
    <w:rsid w:val="004A24CF"/>
    <w:rsid w:val="004A2770"/>
    <w:rsid w:val="004A33B8"/>
    <w:rsid w:val="004A3920"/>
    <w:rsid w:val="004A3BB2"/>
    <w:rsid w:val="004A4F31"/>
    <w:rsid w:val="004A5741"/>
    <w:rsid w:val="004A5E57"/>
    <w:rsid w:val="004B10D0"/>
    <w:rsid w:val="004B1C5B"/>
    <w:rsid w:val="004B2200"/>
    <w:rsid w:val="004B2A27"/>
    <w:rsid w:val="004B48ED"/>
    <w:rsid w:val="004B4C00"/>
    <w:rsid w:val="004B4C5D"/>
    <w:rsid w:val="004B6467"/>
    <w:rsid w:val="004B6667"/>
    <w:rsid w:val="004B67FB"/>
    <w:rsid w:val="004B7C24"/>
    <w:rsid w:val="004C0303"/>
    <w:rsid w:val="004C194F"/>
    <w:rsid w:val="004C3D1D"/>
    <w:rsid w:val="004C3D84"/>
    <w:rsid w:val="004C7038"/>
    <w:rsid w:val="004C7913"/>
    <w:rsid w:val="004C7C26"/>
    <w:rsid w:val="004D04B4"/>
    <w:rsid w:val="004D0AA2"/>
    <w:rsid w:val="004D1188"/>
    <w:rsid w:val="004D18C5"/>
    <w:rsid w:val="004D4610"/>
    <w:rsid w:val="004D4760"/>
    <w:rsid w:val="004D4E4C"/>
    <w:rsid w:val="004D4F9F"/>
    <w:rsid w:val="004D5C27"/>
    <w:rsid w:val="004D5F84"/>
    <w:rsid w:val="004D6001"/>
    <w:rsid w:val="004D669E"/>
    <w:rsid w:val="004D6EED"/>
    <w:rsid w:val="004D70DE"/>
    <w:rsid w:val="004D7159"/>
    <w:rsid w:val="004E097F"/>
    <w:rsid w:val="004E0E87"/>
    <w:rsid w:val="004E107C"/>
    <w:rsid w:val="004E3018"/>
    <w:rsid w:val="004E3749"/>
    <w:rsid w:val="004E41E8"/>
    <w:rsid w:val="004E4DD6"/>
    <w:rsid w:val="004E52D3"/>
    <w:rsid w:val="004E63C2"/>
    <w:rsid w:val="004E777B"/>
    <w:rsid w:val="004F1D5B"/>
    <w:rsid w:val="004F2366"/>
    <w:rsid w:val="004F3B6D"/>
    <w:rsid w:val="004F5E36"/>
    <w:rsid w:val="004F75EE"/>
    <w:rsid w:val="00501514"/>
    <w:rsid w:val="00501FCE"/>
    <w:rsid w:val="00504537"/>
    <w:rsid w:val="0050583E"/>
    <w:rsid w:val="00505C52"/>
    <w:rsid w:val="00505D5A"/>
    <w:rsid w:val="00507B47"/>
    <w:rsid w:val="00507BEF"/>
    <w:rsid w:val="00507CC9"/>
    <w:rsid w:val="005119A5"/>
    <w:rsid w:val="00511DAC"/>
    <w:rsid w:val="0051302D"/>
    <w:rsid w:val="00513508"/>
    <w:rsid w:val="00514FDC"/>
    <w:rsid w:val="005153D4"/>
    <w:rsid w:val="0052150B"/>
    <w:rsid w:val="005223CD"/>
    <w:rsid w:val="0052337D"/>
    <w:rsid w:val="0052342C"/>
    <w:rsid w:val="00523656"/>
    <w:rsid w:val="00523C3F"/>
    <w:rsid w:val="00524979"/>
    <w:rsid w:val="00525805"/>
    <w:rsid w:val="00525894"/>
    <w:rsid w:val="005261EE"/>
    <w:rsid w:val="005278B7"/>
    <w:rsid w:val="005300F0"/>
    <w:rsid w:val="00530252"/>
    <w:rsid w:val="00531A40"/>
    <w:rsid w:val="00532016"/>
    <w:rsid w:val="00533000"/>
    <w:rsid w:val="005346C8"/>
    <w:rsid w:val="00536CBB"/>
    <w:rsid w:val="0053768B"/>
    <w:rsid w:val="005405CF"/>
    <w:rsid w:val="00541E1A"/>
    <w:rsid w:val="00543E7D"/>
    <w:rsid w:val="005471A9"/>
    <w:rsid w:val="00547A68"/>
    <w:rsid w:val="00550F06"/>
    <w:rsid w:val="00552B69"/>
    <w:rsid w:val="005531C9"/>
    <w:rsid w:val="00553285"/>
    <w:rsid w:val="00554141"/>
    <w:rsid w:val="0055423F"/>
    <w:rsid w:val="00554951"/>
    <w:rsid w:val="005556EE"/>
    <w:rsid w:val="00556394"/>
    <w:rsid w:val="00556D2D"/>
    <w:rsid w:val="00561D56"/>
    <w:rsid w:val="005620EC"/>
    <w:rsid w:val="005645C7"/>
    <w:rsid w:val="00564B2B"/>
    <w:rsid w:val="00566B6D"/>
    <w:rsid w:val="00566EE0"/>
    <w:rsid w:val="00570C43"/>
    <w:rsid w:val="00570EBF"/>
    <w:rsid w:val="005720D4"/>
    <w:rsid w:val="00572990"/>
    <w:rsid w:val="0057314B"/>
    <w:rsid w:val="00574DB2"/>
    <w:rsid w:val="00575BB2"/>
    <w:rsid w:val="005771A3"/>
    <w:rsid w:val="0057781F"/>
    <w:rsid w:val="00580C69"/>
    <w:rsid w:val="0058118D"/>
    <w:rsid w:val="00581D1C"/>
    <w:rsid w:val="005827D3"/>
    <w:rsid w:val="005838F0"/>
    <w:rsid w:val="0058468C"/>
    <w:rsid w:val="00590332"/>
    <w:rsid w:val="005910F0"/>
    <w:rsid w:val="0059207F"/>
    <w:rsid w:val="00592274"/>
    <w:rsid w:val="005923AC"/>
    <w:rsid w:val="00593463"/>
    <w:rsid w:val="005938E5"/>
    <w:rsid w:val="00593B6F"/>
    <w:rsid w:val="0059486C"/>
    <w:rsid w:val="00595288"/>
    <w:rsid w:val="00596286"/>
    <w:rsid w:val="00596295"/>
    <w:rsid w:val="005968EA"/>
    <w:rsid w:val="0059735F"/>
    <w:rsid w:val="00597615"/>
    <w:rsid w:val="005A1421"/>
    <w:rsid w:val="005A1792"/>
    <w:rsid w:val="005A1893"/>
    <w:rsid w:val="005A26A1"/>
    <w:rsid w:val="005A287F"/>
    <w:rsid w:val="005A29BD"/>
    <w:rsid w:val="005A32F0"/>
    <w:rsid w:val="005A3501"/>
    <w:rsid w:val="005A4790"/>
    <w:rsid w:val="005A6335"/>
    <w:rsid w:val="005A6C8E"/>
    <w:rsid w:val="005B0625"/>
    <w:rsid w:val="005B0D35"/>
    <w:rsid w:val="005B2110"/>
    <w:rsid w:val="005B508B"/>
    <w:rsid w:val="005B5E3A"/>
    <w:rsid w:val="005B5E42"/>
    <w:rsid w:val="005B61E6"/>
    <w:rsid w:val="005C21CD"/>
    <w:rsid w:val="005C243B"/>
    <w:rsid w:val="005C2EEF"/>
    <w:rsid w:val="005C3620"/>
    <w:rsid w:val="005C395A"/>
    <w:rsid w:val="005C4009"/>
    <w:rsid w:val="005C5C5F"/>
    <w:rsid w:val="005C77E1"/>
    <w:rsid w:val="005D0361"/>
    <w:rsid w:val="005D0C92"/>
    <w:rsid w:val="005D15A2"/>
    <w:rsid w:val="005D162D"/>
    <w:rsid w:val="005D4136"/>
    <w:rsid w:val="005D47BE"/>
    <w:rsid w:val="005D4E4F"/>
    <w:rsid w:val="005D51E3"/>
    <w:rsid w:val="005D6062"/>
    <w:rsid w:val="005D668A"/>
    <w:rsid w:val="005D6A2F"/>
    <w:rsid w:val="005E0592"/>
    <w:rsid w:val="005E0666"/>
    <w:rsid w:val="005E1A82"/>
    <w:rsid w:val="005E55C5"/>
    <w:rsid w:val="005E6A4C"/>
    <w:rsid w:val="005E7530"/>
    <w:rsid w:val="005E76F0"/>
    <w:rsid w:val="005E794C"/>
    <w:rsid w:val="005F0199"/>
    <w:rsid w:val="005F0A28"/>
    <w:rsid w:val="005F0E5E"/>
    <w:rsid w:val="005F1C1A"/>
    <w:rsid w:val="005F2A89"/>
    <w:rsid w:val="005F2FE7"/>
    <w:rsid w:val="005F324E"/>
    <w:rsid w:val="005F3EB8"/>
    <w:rsid w:val="005F5C84"/>
    <w:rsid w:val="005F7289"/>
    <w:rsid w:val="00600535"/>
    <w:rsid w:val="00600B9F"/>
    <w:rsid w:val="0060220B"/>
    <w:rsid w:val="006041B4"/>
    <w:rsid w:val="00604485"/>
    <w:rsid w:val="0060600B"/>
    <w:rsid w:val="00607499"/>
    <w:rsid w:val="00607AF9"/>
    <w:rsid w:val="00607BBB"/>
    <w:rsid w:val="00610CD6"/>
    <w:rsid w:val="006124CE"/>
    <w:rsid w:val="006146C7"/>
    <w:rsid w:val="00615933"/>
    <w:rsid w:val="00615B16"/>
    <w:rsid w:val="00620DEE"/>
    <w:rsid w:val="00621F92"/>
    <w:rsid w:val="0062280A"/>
    <w:rsid w:val="00622D3F"/>
    <w:rsid w:val="006231E1"/>
    <w:rsid w:val="00625639"/>
    <w:rsid w:val="006264CB"/>
    <w:rsid w:val="00631B33"/>
    <w:rsid w:val="00636340"/>
    <w:rsid w:val="0064006B"/>
    <w:rsid w:val="00640958"/>
    <w:rsid w:val="00641729"/>
    <w:rsid w:val="0064184D"/>
    <w:rsid w:val="006422CC"/>
    <w:rsid w:val="00642550"/>
    <w:rsid w:val="00643BF2"/>
    <w:rsid w:val="00645E77"/>
    <w:rsid w:val="00646D34"/>
    <w:rsid w:val="00647DA8"/>
    <w:rsid w:val="00651104"/>
    <w:rsid w:val="00651D18"/>
    <w:rsid w:val="00653238"/>
    <w:rsid w:val="00653DF0"/>
    <w:rsid w:val="00654B47"/>
    <w:rsid w:val="00654D53"/>
    <w:rsid w:val="006553D5"/>
    <w:rsid w:val="00655951"/>
    <w:rsid w:val="00655C6C"/>
    <w:rsid w:val="00656419"/>
    <w:rsid w:val="00657826"/>
    <w:rsid w:val="00660132"/>
    <w:rsid w:val="00660E3E"/>
    <w:rsid w:val="0066135C"/>
    <w:rsid w:val="0066174A"/>
    <w:rsid w:val="00662E74"/>
    <w:rsid w:val="006638D5"/>
    <w:rsid w:val="006642AF"/>
    <w:rsid w:val="00665CDB"/>
    <w:rsid w:val="0066644C"/>
    <w:rsid w:val="00670F46"/>
    <w:rsid w:val="00671A1A"/>
    <w:rsid w:val="00672EA8"/>
    <w:rsid w:val="006753F2"/>
    <w:rsid w:val="00676006"/>
    <w:rsid w:val="00680C23"/>
    <w:rsid w:val="00681018"/>
    <w:rsid w:val="00681810"/>
    <w:rsid w:val="00683E23"/>
    <w:rsid w:val="006840F6"/>
    <w:rsid w:val="00684E21"/>
    <w:rsid w:val="00685474"/>
    <w:rsid w:val="0068774A"/>
    <w:rsid w:val="00691676"/>
    <w:rsid w:val="00693766"/>
    <w:rsid w:val="00693C14"/>
    <w:rsid w:val="006945BF"/>
    <w:rsid w:val="00694BFA"/>
    <w:rsid w:val="00696716"/>
    <w:rsid w:val="006A2082"/>
    <w:rsid w:val="006A21D8"/>
    <w:rsid w:val="006A3281"/>
    <w:rsid w:val="006A3630"/>
    <w:rsid w:val="006A3B6A"/>
    <w:rsid w:val="006A4F42"/>
    <w:rsid w:val="006A55EB"/>
    <w:rsid w:val="006A61D7"/>
    <w:rsid w:val="006A7617"/>
    <w:rsid w:val="006B0710"/>
    <w:rsid w:val="006B1F91"/>
    <w:rsid w:val="006B2048"/>
    <w:rsid w:val="006B3739"/>
    <w:rsid w:val="006B4888"/>
    <w:rsid w:val="006B5BF3"/>
    <w:rsid w:val="006B72B8"/>
    <w:rsid w:val="006B739A"/>
    <w:rsid w:val="006C1B34"/>
    <w:rsid w:val="006C2E45"/>
    <w:rsid w:val="006C359C"/>
    <w:rsid w:val="006C5579"/>
    <w:rsid w:val="006C58DC"/>
    <w:rsid w:val="006C5B42"/>
    <w:rsid w:val="006C71EB"/>
    <w:rsid w:val="006D0104"/>
    <w:rsid w:val="006D102E"/>
    <w:rsid w:val="006D16C1"/>
    <w:rsid w:val="006D2FDE"/>
    <w:rsid w:val="006D419C"/>
    <w:rsid w:val="006D4F7F"/>
    <w:rsid w:val="006D5689"/>
    <w:rsid w:val="006D5736"/>
    <w:rsid w:val="006D69DA"/>
    <w:rsid w:val="006D6E8B"/>
    <w:rsid w:val="006D7024"/>
    <w:rsid w:val="006D7209"/>
    <w:rsid w:val="006D7277"/>
    <w:rsid w:val="006D7652"/>
    <w:rsid w:val="006E08FC"/>
    <w:rsid w:val="006E0F7F"/>
    <w:rsid w:val="006E2699"/>
    <w:rsid w:val="006E3C52"/>
    <w:rsid w:val="006E4862"/>
    <w:rsid w:val="006E5448"/>
    <w:rsid w:val="006E737D"/>
    <w:rsid w:val="006F149B"/>
    <w:rsid w:val="006F1847"/>
    <w:rsid w:val="006F4ED2"/>
    <w:rsid w:val="006F502D"/>
    <w:rsid w:val="006F5721"/>
    <w:rsid w:val="006F6A9E"/>
    <w:rsid w:val="006F776B"/>
    <w:rsid w:val="00700E92"/>
    <w:rsid w:val="007014F3"/>
    <w:rsid w:val="00701C94"/>
    <w:rsid w:val="00703139"/>
    <w:rsid w:val="00705A30"/>
    <w:rsid w:val="0070673A"/>
    <w:rsid w:val="00706CA1"/>
    <w:rsid w:val="0070740B"/>
    <w:rsid w:val="00707DD1"/>
    <w:rsid w:val="007100A2"/>
    <w:rsid w:val="00710E33"/>
    <w:rsid w:val="00711D2A"/>
    <w:rsid w:val="00713973"/>
    <w:rsid w:val="007174E3"/>
    <w:rsid w:val="00717FDB"/>
    <w:rsid w:val="007208C3"/>
    <w:rsid w:val="00720A24"/>
    <w:rsid w:val="007224E0"/>
    <w:rsid w:val="0072568B"/>
    <w:rsid w:val="0072785A"/>
    <w:rsid w:val="00730666"/>
    <w:rsid w:val="007306D7"/>
    <w:rsid w:val="00730F0F"/>
    <w:rsid w:val="007313B7"/>
    <w:rsid w:val="007316B7"/>
    <w:rsid w:val="00732386"/>
    <w:rsid w:val="0073514D"/>
    <w:rsid w:val="00737C4B"/>
    <w:rsid w:val="00740A14"/>
    <w:rsid w:val="00740F77"/>
    <w:rsid w:val="00741E93"/>
    <w:rsid w:val="00743ADE"/>
    <w:rsid w:val="007441A4"/>
    <w:rsid w:val="007447F3"/>
    <w:rsid w:val="007457CF"/>
    <w:rsid w:val="007468D1"/>
    <w:rsid w:val="0075046D"/>
    <w:rsid w:val="00751027"/>
    <w:rsid w:val="00752604"/>
    <w:rsid w:val="007530D1"/>
    <w:rsid w:val="00753E40"/>
    <w:rsid w:val="0075499F"/>
    <w:rsid w:val="007617CC"/>
    <w:rsid w:val="0076216A"/>
    <w:rsid w:val="00763245"/>
    <w:rsid w:val="00763EF9"/>
    <w:rsid w:val="00764C83"/>
    <w:rsid w:val="00765E08"/>
    <w:rsid w:val="007661C8"/>
    <w:rsid w:val="00766A84"/>
    <w:rsid w:val="0077098D"/>
    <w:rsid w:val="00770E31"/>
    <w:rsid w:val="00771AF6"/>
    <w:rsid w:val="00771C63"/>
    <w:rsid w:val="007723EB"/>
    <w:rsid w:val="00773DD1"/>
    <w:rsid w:val="00775714"/>
    <w:rsid w:val="00775919"/>
    <w:rsid w:val="00775EC9"/>
    <w:rsid w:val="0077769E"/>
    <w:rsid w:val="007802DE"/>
    <w:rsid w:val="00780737"/>
    <w:rsid w:val="00780EE0"/>
    <w:rsid w:val="00781FAE"/>
    <w:rsid w:val="007830C0"/>
    <w:rsid w:val="007830E6"/>
    <w:rsid w:val="00783618"/>
    <w:rsid w:val="00783AB3"/>
    <w:rsid w:val="007841D1"/>
    <w:rsid w:val="00785BF9"/>
    <w:rsid w:val="007866FA"/>
    <w:rsid w:val="00786918"/>
    <w:rsid w:val="007869A1"/>
    <w:rsid w:val="00787CAA"/>
    <w:rsid w:val="00792A3D"/>
    <w:rsid w:val="007931FA"/>
    <w:rsid w:val="00795158"/>
    <w:rsid w:val="00795A2E"/>
    <w:rsid w:val="00796316"/>
    <w:rsid w:val="00796FAC"/>
    <w:rsid w:val="007A2A35"/>
    <w:rsid w:val="007A2EC7"/>
    <w:rsid w:val="007A3097"/>
    <w:rsid w:val="007A3558"/>
    <w:rsid w:val="007A4695"/>
    <w:rsid w:val="007A4861"/>
    <w:rsid w:val="007A6DF8"/>
    <w:rsid w:val="007A6F81"/>
    <w:rsid w:val="007A795D"/>
    <w:rsid w:val="007A7BBA"/>
    <w:rsid w:val="007B0965"/>
    <w:rsid w:val="007B0C50"/>
    <w:rsid w:val="007B2EE8"/>
    <w:rsid w:val="007B397C"/>
    <w:rsid w:val="007B3D1E"/>
    <w:rsid w:val="007B48F9"/>
    <w:rsid w:val="007B5958"/>
    <w:rsid w:val="007B60FE"/>
    <w:rsid w:val="007C1A43"/>
    <w:rsid w:val="007C1B8F"/>
    <w:rsid w:val="007C254A"/>
    <w:rsid w:val="007C6B3B"/>
    <w:rsid w:val="007C789D"/>
    <w:rsid w:val="007D0951"/>
    <w:rsid w:val="007D2811"/>
    <w:rsid w:val="007D2889"/>
    <w:rsid w:val="007D28AF"/>
    <w:rsid w:val="007D2CFB"/>
    <w:rsid w:val="007D2DEF"/>
    <w:rsid w:val="007D3594"/>
    <w:rsid w:val="007D4ABD"/>
    <w:rsid w:val="007D5A42"/>
    <w:rsid w:val="007D6594"/>
    <w:rsid w:val="007D6FF2"/>
    <w:rsid w:val="007E0FDC"/>
    <w:rsid w:val="007E16C8"/>
    <w:rsid w:val="007E2A69"/>
    <w:rsid w:val="007E2D05"/>
    <w:rsid w:val="007E369D"/>
    <w:rsid w:val="007E3EF3"/>
    <w:rsid w:val="007E4E4F"/>
    <w:rsid w:val="007E705B"/>
    <w:rsid w:val="007E7337"/>
    <w:rsid w:val="007E7B12"/>
    <w:rsid w:val="007E7E6C"/>
    <w:rsid w:val="007F010B"/>
    <w:rsid w:val="007F2210"/>
    <w:rsid w:val="007F22B5"/>
    <w:rsid w:val="007F27C8"/>
    <w:rsid w:val="007F27F9"/>
    <w:rsid w:val="007F2D7F"/>
    <w:rsid w:val="007F3671"/>
    <w:rsid w:val="007F4508"/>
    <w:rsid w:val="007F4CD3"/>
    <w:rsid w:val="007F6489"/>
    <w:rsid w:val="007F65AF"/>
    <w:rsid w:val="007F6F73"/>
    <w:rsid w:val="0080003C"/>
    <w:rsid w:val="0080013E"/>
    <w:rsid w:val="00800CE4"/>
    <w:rsid w:val="00802E3D"/>
    <w:rsid w:val="008032E3"/>
    <w:rsid w:val="00803881"/>
    <w:rsid w:val="00806299"/>
    <w:rsid w:val="008067C7"/>
    <w:rsid w:val="008109C4"/>
    <w:rsid w:val="008112AB"/>
    <w:rsid w:val="00811AFE"/>
    <w:rsid w:val="00812E35"/>
    <w:rsid w:val="008130E8"/>
    <w:rsid w:val="00813288"/>
    <w:rsid w:val="008168FC"/>
    <w:rsid w:val="008169EF"/>
    <w:rsid w:val="00821326"/>
    <w:rsid w:val="00821860"/>
    <w:rsid w:val="00822903"/>
    <w:rsid w:val="00822CF6"/>
    <w:rsid w:val="0082408C"/>
    <w:rsid w:val="00825D34"/>
    <w:rsid w:val="00826069"/>
    <w:rsid w:val="0082652B"/>
    <w:rsid w:val="00826EDB"/>
    <w:rsid w:val="00830996"/>
    <w:rsid w:val="00830AB3"/>
    <w:rsid w:val="008314D7"/>
    <w:rsid w:val="0083180C"/>
    <w:rsid w:val="008345F1"/>
    <w:rsid w:val="0083558B"/>
    <w:rsid w:val="00837939"/>
    <w:rsid w:val="00843848"/>
    <w:rsid w:val="00843BC3"/>
    <w:rsid w:val="00843DFD"/>
    <w:rsid w:val="00844550"/>
    <w:rsid w:val="00844CFF"/>
    <w:rsid w:val="008468B7"/>
    <w:rsid w:val="008471A1"/>
    <w:rsid w:val="00851DCF"/>
    <w:rsid w:val="008539A8"/>
    <w:rsid w:val="00853BDD"/>
    <w:rsid w:val="00854AE6"/>
    <w:rsid w:val="00856F00"/>
    <w:rsid w:val="0086123A"/>
    <w:rsid w:val="00861965"/>
    <w:rsid w:val="00861982"/>
    <w:rsid w:val="00861EEE"/>
    <w:rsid w:val="00865B07"/>
    <w:rsid w:val="008664CD"/>
    <w:rsid w:val="008667EA"/>
    <w:rsid w:val="008701DF"/>
    <w:rsid w:val="00871341"/>
    <w:rsid w:val="0087325A"/>
    <w:rsid w:val="008754FE"/>
    <w:rsid w:val="008760D3"/>
    <w:rsid w:val="0087637F"/>
    <w:rsid w:val="0087748A"/>
    <w:rsid w:val="00877F28"/>
    <w:rsid w:val="00884F1B"/>
    <w:rsid w:val="00885D74"/>
    <w:rsid w:val="00886702"/>
    <w:rsid w:val="00886B78"/>
    <w:rsid w:val="0088708F"/>
    <w:rsid w:val="0088729A"/>
    <w:rsid w:val="00890438"/>
    <w:rsid w:val="00890D93"/>
    <w:rsid w:val="00892A63"/>
    <w:rsid w:val="00892AD0"/>
    <w:rsid w:val="00892AD5"/>
    <w:rsid w:val="00896B01"/>
    <w:rsid w:val="008A0564"/>
    <w:rsid w:val="008A1512"/>
    <w:rsid w:val="008A1B61"/>
    <w:rsid w:val="008A1B87"/>
    <w:rsid w:val="008A26FD"/>
    <w:rsid w:val="008A2E59"/>
    <w:rsid w:val="008A3A6D"/>
    <w:rsid w:val="008A429F"/>
    <w:rsid w:val="008A4BCA"/>
    <w:rsid w:val="008A6625"/>
    <w:rsid w:val="008B20CA"/>
    <w:rsid w:val="008B2342"/>
    <w:rsid w:val="008B370C"/>
    <w:rsid w:val="008B4B0B"/>
    <w:rsid w:val="008B5763"/>
    <w:rsid w:val="008C0ABB"/>
    <w:rsid w:val="008C1663"/>
    <w:rsid w:val="008C2C40"/>
    <w:rsid w:val="008C3624"/>
    <w:rsid w:val="008C49FE"/>
    <w:rsid w:val="008C4F92"/>
    <w:rsid w:val="008C5D80"/>
    <w:rsid w:val="008C6866"/>
    <w:rsid w:val="008C7A24"/>
    <w:rsid w:val="008D0552"/>
    <w:rsid w:val="008D130F"/>
    <w:rsid w:val="008D1BBE"/>
    <w:rsid w:val="008D1D27"/>
    <w:rsid w:val="008D2711"/>
    <w:rsid w:val="008D32B9"/>
    <w:rsid w:val="008D433B"/>
    <w:rsid w:val="008D4A16"/>
    <w:rsid w:val="008D4CA8"/>
    <w:rsid w:val="008D4F79"/>
    <w:rsid w:val="008D516B"/>
    <w:rsid w:val="008D54B6"/>
    <w:rsid w:val="008E165D"/>
    <w:rsid w:val="008E1B47"/>
    <w:rsid w:val="008E209A"/>
    <w:rsid w:val="008E45BC"/>
    <w:rsid w:val="008E4B6A"/>
    <w:rsid w:val="008E566E"/>
    <w:rsid w:val="008E7273"/>
    <w:rsid w:val="008E78CC"/>
    <w:rsid w:val="008E78EC"/>
    <w:rsid w:val="008E7A51"/>
    <w:rsid w:val="008F3F2E"/>
    <w:rsid w:val="008F484E"/>
    <w:rsid w:val="008F771B"/>
    <w:rsid w:val="009001A4"/>
    <w:rsid w:val="0090161A"/>
    <w:rsid w:val="00901EB6"/>
    <w:rsid w:val="00902A26"/>
    <w:rsid w:val="00902FA4"/>
    <w:rsid w:val="00903DF7"/>
    <w:rsid w:val="009041F8"/>
    <w:rsid w:val="00904C62"/>
    <w:rsid w:val="009071EA"/>
    <w:rsid w:val="009100DB"/>
    <w:rsid w:val="00912F10"/>
    <w:rsid w:val="00914386"/>
    <w:rsid w:val="009153B7"/>
    <w:rsid w:val="00922BA8"/>
    <w:rsid w:val="00922C88"/>
    <w:rsid w:val="00924DAC"/>
    <w:rsid w:val="00926B5F"/>
    <w:rsid w:val="00927058"/>
    <w:rsid w:val="0093085A"/>
    <w:rsid w:val="009314D6"/>
    <w:rsid w:val="00932749"/>
    <w:rsid w:val="0093321F"/>
    <w:rsid w:val="00937674"/>
    <w:rsid w:val="0093793F"/>
    <w:rsid w:val="00940D9C"/>
    <w:rsid w:val="00941BCC"/>
    <w:rsid w:val="00942512"/>
    <w:rsid w:val="00942750"/>
    <w:rsid w:val="00943292"/>
    <w:rsid w:val="0094335E"/>
    <w:rsid w:val="0094345A"/>
    <w:rsid w:val="009450CE"/>
    <w:rsid w:val="009459BB"/>
    <w:rsid w:val="00945E27"/>
    <w:rsid w:val="00946315"/>
    <w:rsid w:val="0094635F"/>
    <w:rsid w:val="00947179"/>
    <w:rsid w:val="00947E25"/>
    <w:rsid w:val="0095091E"/>
    <w:rsid w:val="0095164B"/>
    <w:rsid w:val="0095230A"/>
    <w:rsid w:val="00952862"/>
    <w:rsid w:val="009537C0"/>
    <w:rsid w:val="00954090"/>
    <w:rsid w:val="00956B3E"/>
    <w:rsid w:val="009573E7"/>
    <w:rsid w:val="00961F96"/>
    <w:rsid w:val="00962E76"/>
    <w:rsid w:val="00963E05"/>
    <w:rsid w:val="00963F9E"/>
    <w:rsid w:val="00964A45"/>
    <w:rsid w:val="00964DE9"/>
    <w:rsid w:val="00967843"/>
    <w:rsid w:val="00967D54"/>
    <w:rsid w:val="00971028"/>
    <w:rsid w:val="0097119E"/>
    <w:rsid w:val="00971B12"/>
    <w:rsid w:val="009741F1"/>
    <w:rsid w:val="00974F2C"/>
    <w:rsid w:val="0097500F"/>
    <w:rsid w:val="00977DA5"/>
    <w:rsid w:val="00980A2E"/>
    <w:rsid w:val="00981E01"/>
    <w:rsid w:val="00984666"/>
    <w:rsid w:val="00985392"/>
    <w:rsid w:val="0098790E"/>
    <w:rsid w:val="009879EB"/>
    <w:rsid w:val="00990AE8"/>
    <w:rsid w:val="00992DC0"/>
    <w:rsid w:val="00993B84"/>
    <w:rsid w:val="009951E6"/>
    <w:rsid w:val="00995BE0"/>
    <w:rsid w:val="00996483"/>
    <w:rsid w:val="00996F5A"/>
    <w:rsid w:val="009A3115"/>
    <w:rsid w:val="009A5772"/>
    <w:rsid w:val="009A58BA"/>
    <w:rsid w:val="009A5A67"/>
    <w:rsid w:val="009A5CCA"/>
    <w:rsid w:val="009A6601"/>
    <w:rsid w:val="009A67BA"/>
    <w:rsid w:val="009A707A"/>
    <w:rsid w:val="009B041A"/>
    <w:rsid w:val="009B115F"/>
    <w:rsid w:val="009B1C8F"/>
    <w:rsid w:val="009B2A14"/>
    <w:rsid w:val="009B367D"/>
    <w:rsid w:val="009B5E28"/>
    <w:rsid w:val="009B73C6"/>
    <w:rsid w:val="009C04C0"/>
    <w:rsid w:val="009C37C3"/>
    <w:rsid w:val="009C3ACF"/>
    <w:rsid w:val="009C7C86"/>
    <w:rsid w:val="009C7FBE"/>
    <w:rsid w:val="009D22FE"/>
    <w:rsid w:val="009D2FF7"/>
    <w:rsid w:val="009D318F"/>
    <w:rsid w:val="009D3BAE"/>
    <w:rsid w:val="009D3E6C"/>
    <w:rsid w:val="009D56C0"/>
    <w:rsid w:val="009E10C7"/>
    <w:rsid w:val="009E3630"/>
    <w:rsid w:val="009E567B"/>
    <w:rsid w:val="009E6421"/>
    <w:rsid w:val="009E7884"/>
    <w:rsid w:val="009E788A"/>
    <w:rsid w:val="009E7DEB"/>
    <w:rsid w:val="009F0E08"/>
    <w:rsid w:val="009F195B"/>
    <w:rsid w:val="009F2B64"/>
    <w:rsid w:val="009F6978"/>
    <w:rsid w:val="009F79AC"/>
    <w:rsid w:val="00A01410"/>
    <w:rsid w:val="00A01CE1"/>
    <w:rsid w:val="00A02A8B"/>
    <w:rsid w:val="00A03719"/>
    <w:rsid w:val="00A03EEF"/>
    <w:rsid w:val="00A0414E"/>
    <w:rsid w:val="00A04838"/>
    <w:rsid w:val="00A06EA6"/>
    <w:rsid w:val="00A072D4"/>
    <w:rsid w:val="00A079AE"/>
    <w:rsid w:val="00A1017F"/>
    <w:rsid w:val="00A11737"/>
    <w:rsid w:val="00A11761"/>
    <w:rsid w:val="00A1763D"/>
    <w:rsid w:val="00A17CEC"/>
    <w:rsid w:val="00A2529B"/>
    <w:rsid w:val="00A25EB8"/>
    <w:rsid w:val="00A26CBB"/>
    <w:rsid w:val="00A27EF0"/>
    <w:rsid w:val="00A303BA"/>
    <w:rsid w:val="00A30B97"/>
    <w:rsid w:val="00A30E6F"/>
    <w:rsid w:val="00A310E5"/>
    <w:rsid w:val="00A3229A"/>
    <w:rsid w:val="00A32B7D"/>
    <w:rsid w:val="00A348FE"/>
    <w:rsid w:val="00A376F6"/>
    <w:rsid w:val="00A37988"/>
    <w:rsid w:val="00A40039"/>
    <w:rsid w:val="00A41E7F"/>
    <w:rsid w:val="00A42361"/>
    <w:rsid w:val="00A42B07"/>
    <w:rsid w:val="00A42FF1"/>
    <w:rsid w:val="00A45217"/>
    <w:rsid w:val="00A45B6A"/>
    <w:rsid w:val="00A46E05"/>
    <w:rsid w:val="00A4747F"/>
    <w:rsid w:val="00A50980"/>
    <w:rsid w:val="00A50B20"/>
    <w:rsid w:val="00A51390"/>
    <w:rsid w:val="00A533AE"/>
    <w:rsid w:val="00A53F41"/>
    <w:rsid w:val="00A54961"/>
    <w:rsid w:val="00A55DC2"/>
    <w:rsid w:val="00A56D66"/>
    <w:rsid w:val="00A600FE"/>
    <w:rsid w:val="00A60A83"/>
    <w:rsid w:val="00A60D13"/>
    <w:rsid w:val="00A6130E"/>
    <w:rsid w:val="00A631B9"/>
    <w:rsid w:val="00A63DB8"/>
    <w:rsid w:val="00A65E40"/>
    <w:rsid w:val="00A66111"/>
    <w:rsid w:val="00A663EB"/>
    <w:rsid w:val="00A7223D"/>
    <w:rsid w:val="00A72745"/>
    <w:rsid w:val="00A73C9D"/>
    <w:rsid w:val="00A744AA"/>
    <w:rsid w:val="00A7468C"/>
    <w:rsid w:val="00A766B0"/>
    <w:rsid w:val="00A76EFC"/>
    <w:rsid w:val="00A770D8"/>
    <w:rsid w:val="00A80AB2"/>
    <w:rsid w:val="00A815BD"/>
    <w:rsid w:val="00A83022"/>
    <w:rsid w:val="00A83301"/>
    <w:rsid w:val="00A87D50"/>
    <w:rsid w:val="00A9070E"/>
    <w:rsid w:val="00A91010"/>
    <w:rsid w:val="00A962C2"/>
    <w:rsid w:val="00A96AD3"/>
    <w:rsid w:val="00A97ABA"/>
    <w:rsid w:val="00A97F29"/>
    <w:rsid w:val="00AA5587"/>
    <w:rsid w:val="00AA702E"/>
    <w:rsid w:val="00AA7BBB"/>
    <w:rsid w:val="00AA7D26"/>
    <w:rsid w:val="00AB0964"/>
    <w:rsid w:val="00AB0B71"/>
    <w:rsid w:val="00AB1110"/>
    <w:rsid w:val="00AB1516"/>
    <w:rsid w:val="00AB34E6"/>
    <w:rsid w:val="00AB4797"/>
    <w:rsid w:val="00AB4AE0"/>
    <w:rsid w:val="00AB5011"/>
    <w:rsid w:val="00AC14DB"/>
    <w:rsid w:val="00AC291A"/>
    <w:rsid w:val="00AC428A"/>
    <w:rsid w:val="00AC6B35"/>
    <w:rsid w:val="00AC7368"/>
    <w:rsid w:val="00AD0278"/>
    <w:rsid w:val="00AD12F5"/>
    <w:rsid w:val="00AD16B9"/>
    <w:rsid w:val="00AD1C8A"/>
    <w:rsid w:val="00AD3A18"/>
    <w:rsid w:val="00AD3BE5"/>
    <w:rsid w:val="00AD3C1C"/>
    <w:rsid w:val="00AD4DB0"/>
    <w:rsid w:val="00AD554B"/>
    <w:rsid w:val="00AE0BF2"/>
    <w:rsid w:val="00AE0D9B"/>
    <w:rsid w:val="00AE1649"/>
    <w:rsid w:val="00AE1D1B"/>
    <w:rsid w:val="00AE20AC"/>
    <w:rsid w:val="00AE2773"/>
    <w:rsid w:val="00AE377D"/>
    <w:rsid w:val="00AE558C"/>
    <w:rsid w:val="00AF0EBA"/>
    <w:rsid w:val="00B00635"/>
    <w:rsid w:val="00B01EFB"/>
    <w:rsid w:val="00B025C8"/>
    <w:rsid w:val="00B02AA9"/>
    <w:rsid w:val="00B02C8A"/>
    <w:rsid w:val="00B0339F"/>
    <w:rsid w:val="00B0460B"/>
    <w:rsid w:val="00B04C41"/>
    <w:rsid w:val="00B076DC"/>
    <w:rsid w:val="00B11E14"/>
    <w:rsid w:val="00B12F24"/>
    <w:rsid w:val="00B140E4"/>
    <w:rsid w:val="00B14499"/>
    <w:rsid w:val="00B14628"/>
    <w:rsid w:val="00B159C3"/>
    <w:rsid w:val="00B15BBB"/>
    <w:rsid w:val="00B17FBD"/>
    <w:rsid w:val="00B2012A"/>
    <w:rsid w:val="00B20174"/>
    <w:rsid w:val="00B20888"/>
    <w:rsid w:val="00B20A7C"/>
    <w:rsid w:val="00B21E43"/>
    <w:rsid w:val="00B222FA"/>
    <w:rsid w:val="00B22FED"/>
    <w:rsid w:val="00B23F71"/>
    <w:rsid w:val="00B256B5"/>
    <w:rsid w:val="00B27B85"/>
    <w:rsid w:val="00B315A6"/>
    <w:rsid w:val="00B31813"/>
    <w:rsid w:val="00B33365"/>
    <w:rsid w:val="00B33FEF"/>
    <w:rsid w:val="00B35FF7"/>
    <w:rsid w:val="00B36E8E"/>
    <w:rsid w:val="00B37007"/>
    <w:rsid w:val="00B37DE3"/>
    <w:rsid w:val="00B430BF"/>
    <w:rsid w:val="00B45BA9"/>
    <w:rsid w:val="00B46FBC"/>
    <w:rsid w:val="00B5647C"/>
    <w:rsid w:val="00B56DE7"/>
    <w:rsid w:val="00B57569"/>
    <w:rsid w:val="00B57B36"/>
    <w:rsid w:val="00B57E6F"/>
    <w:rsid w:val="00B70FFE"/>
    <w:rsid w:val="00B710D3"/>
    <w:rsid w:val="00B71888"/>
    <w:rsid w:val="00B71A4F"/>
    <w:rsid w:val="00B752DC"/>
    <w:rsid w:val="00B80729"/>
    <w:rsid w:val="00B810E7"/>
    <w:rsid w:val="00B8187D"/>
    <w:rsid w:val="00B8686D"/>
    <w:rsid w:val="00B86973"/>
    <w:rsid w:val="00B86D7D"/>
    <w:rsid w:val="00B902AB"/>
    <w:rsid w:val="00B92D45"/>
    <w:rsid w:val="00B93F69"/>
    <w:rsid w:val="00B940A1"/>
    <w:rsid w:val="00B94D49"/>
    <w:rsid w:val="00B95044"/>
    <w:rsid w:val="00B95D71"/>
    <w:rsid w:val="00B97DF1"/>
    <w:rsid w:val="00BA1211"/>
    <w:rsid w:val="00BA1787"/>
    <w:rsid w:val="00BA3AAE"/>
    <w:rsid w:val="00BA4032"/>
    <w:rsid w:val="00BA53CA"/>
    <w:rsid w:val="00BA6DC2"/>
    <w:rsid w:val="00BA7168"/>
    <w:rsid w:val="00BB0666"/>
    <w:rsid w:val="00BB0C12"/>
    <w:rsid w:val="00BB1DDC"/>
    <w:rsid w:val="00BC0D9A"/>
    <w:rsid w:val="00BC30C9"/>
    <w:rsid w:val="00BC590E"/>
    <w:rsid w:val="00BC6B6C"/>
    <w:rsid w:val="00BC7323"/>
    <w:rsid w:val="00BD077D"/>
    <w:rsid w:val="00BD13F3"/>
    <w:rsid w:val="00BD3550"/>
    <w:rsid w:val="00BD3DA6"/>
    <w:rsid w:val="00BD4718"/>
    <w:rsid w:val="00BD737F"/>
    <w:rsid w:val="00BD7894"/>
    <w:rsid w:val="00BE23CB"/>
    <w:rsid w:val="00BE2580"/>
    <w:rsid w:val="00BE3E58"/>
    <w:rsid w:val="00BE4224"/>
    <w:rsid w:val="00BE7003"/>
    <w:rsid w:val="00BE7784"/>
    <w:rsid w:val="00BF1168"/>
    <w:rsid w:val="00BF6E48"/>
    <w:rsid w:val="00C01616"/>
    <w:rsid w:val="00C0162B"/>
    <w:rsid w:val="00C025E1"/>
    <w:rsid w:val="00C038BF"/>
    <w:rsid w:val="00C0509E"/>
    <w:rsid w:val="00C0658E"/>
    <w:rsid w:val="00C068ED"/>
    <w:rsid w:val="00C074E8"/>
    <w:rsid w:val="00C107BF"/>
    <w:rsid w:val="00C10A6C"/>
    <w:rsid w:val="00C12084"/>
    <w:rsid w:val="00C144DC"/>
    <w:rsid w:val="00C146A7"/>
    <w:rsid w:val="00C149CC"/>
    <w:rsid w:val="00C16DA3"/>
    <w:rsid w:val="00C2031B"/>
    <w:rsid w:val="00C208E9"/>
    <w:rsid w:val="00C20B50"/>
    <w:rsid w:val="00C212E7"/>
    <w:rsid w:val="00C22E0C"/>
    <w:rsid w:val="00C24349"/>
    <w:rsid w:val="00C24F68"/>
    <w:rsid w:val="00C25673"/>
    <w:rsid w:val="00C2726D"/>
    <w:rsid w:val="00C31A73"/>
    <w:rsid w:val="00C32F3E"/>
    <w:rsid w:val="00C345B1"/>
    <w:rsid w:val="00C34D59"/>
    <w:rsid w:val="00C37FE1"/>
    <w:rsid w:val="00C40142"/>
    <w:rsid w:val="00C40ABC"/>
    <w:rsid w:val="00C40B10"/>
    <w:rsid w:val="00C41D14"/>
    <w:rsid w:val="00C436A7"/>
    <w:rsid w:val="00C4523E"/>
    <w:rsid w:val="00C45315"/>
    <w:rsid w:val="00C45FAD"/>
    <w:rsid w:val="00C472F7"/>
    <w:rsid w:val="00C5031A"/>
    <w:rsid w:val="00C50565"/>
    <w:rsid w:val="00C523C2"/>
    <w:rsid w:val="00C52C3C"/>
    <w:rsid w:val="00C5460E"/>
    <w:rsid w:val="00C5525B"/>
    <w:rsid w:val="00C563ED"/>
    <w:rsid w:val="00C57182"/>
    <w:rsid w:val="00C57863"/>
    <w:rsid w:val="00C600D8"/>
    <w:rsid w:val="00C6183D"/>
    <w:rsid w:val="00C61DCB"/>
    <w:rsid w:val="00C62A34"/>
    <w:rsid w:val="00C62ED1"/>
    <w:rsid w:val="00C63850"/>
    <w:rsid w:val="00C63921"/>
    <w:rsid w:val="00C640AF"/>
    <w:rsid w:val="00C6450A"/>
    <w:rsid w:val="00C655FD"/>
    <w:rsid w:val="00C70DB9"/>
    <w:rsid w:val="00C72A3B"/>
    <w:rsid w:val="00C7312D"/>
    <w:rsid w:val="00C75407"/>
    <w:rsid w:val="00C76C5D"/>
    <w:rsid w:val="00C8178E"/>
    <w:rsid w:val="00C841AD"/>
    <w:rsid w:val="00C841C6"/>
    <w:rsid w:val="00C860F5"/>
    <w:rsid w:val="00C870A8"/>
    <w:rsid w:val="00C87D3A"/>
    <w:rsid w:val="00C90809"/>
    <w:rsid w:val="00C911B5"/>
    <w:rsid w:val="00C92822"/>
    <w:rsid w:val="00C94434"/>
    <w:rsid w:val="00C953AE"/>
    <w:rsid w:val="00C963BD"/>
    <w:rsid w:val="00C9780E"/>
    <w:rsid w:val="00C97CF0"/>
    <w:rsid w:val="00CA0691"/>
    <w:rsid w:val="00CA0D75"/>
    <w:rsid w:val="00CA1C95"/>
    <w:rsid w:val="00CA50B1"/>
    <w:rsid w:val="00CA5A9C"/>
    <w:rsid w:val="00CA5ABD"/>
    <w:rsid w:val="00CA6EE2"/>
    <w:rsid w:val="00CB0816"/>
    <w:rsid w:val="00CB15BB"/>
    <w:rsid w:val="00CB1BEA"/>
    <w:rsid w:val="00CB28F1"/>
    <w:rsid w:val="00CB3546"/>
    <w:rsid w:val="00CB36AA"/>
    <w:rsid w:val="00CB3D83"/>
    <w:rsid w:val="00CB5CBD"/>
    <w:rsid w:val="00CB5DAD"/>
    <w:rsid w:val="00CB6A3D"/>
    <w:rsid w:val="00CB7078"/>
    <w:rsid w:val="00CB7348"/>
    <w:rsid w:val="00CB7437"/>
    <w:rsid w:val="00CC1513"/>
    <w:rsid w:val="00CC4C20"/>
    <w:rsid w:val="00CC55A9"/>
    <w:rsid w:val="00CC5B32"/>
    <w:rsid w:val="00CC6238"/>
    <w:rsid w:val="00CC7E3B"/>
    <w:rsid w:val="00CD2496"/>
    <w:rsid w:val="00CD3517"/>
    <w:rsid w:val="00CD48CA"/>
    <w:rsid w:val="00CD501A"/>
    <w:rsid w:val="00CD5FE2"/>
    <w:rsid w:val="00CD6F03"/>
    <w:rsid w:val="00CD7FE7"/>
    <w:rsid w:val="00CE0106"/>
    <w:rsid w:val="00CE2504"/>
    <w:rsid w:val="00CE342A"/>
    <w:rsid w:val="00CE39C9"/>
    <w:rsid w:val="00CE402A"/>
    <w:rsid w:val="00CE5C1D"/>
    <w:rsid w:val="00CE6025"/>
    <w:rsid w:val="00CE7C68"/>
    <w:rsid w:val="00CE7D77"/>
    <w:rsid w:val="00CF16BB"/>
    <w:rsid w:val="00CF3815"/>
    <w:rsid w:val="00CF53E1"/>
    <w:rsid w:val="00CF7AFD"/>
    <w:rsid w:val="00CF7BE6"/>
    <w:rsid w:val="00D008B3"/>
    <w:rsid w:val="00D00B37"/>
    <w:rsid w:val="00D01690"/>
    <w:rsid w:val="00D02B4C"/>
    <w:rsid w:val="00D040C4"/>
    <w:rsid w:val="00D066D9"/>
    <w:rsid w:val="00D06735"/>
    <w:rsid w:val="00D101C9"/>
    <w:rsid w:val="00D10960"/>
    <w:rsid w:val="00D11002"/>
    <w:rsid w:val="00D127BA"/>
    <w:rsid w:val="00D14074"/>
    <w:rsid w:val="00D14125"/>
    <w:rsid w:val="00D14257"/>
    <w:rsid w:val="00D15D9A"/>
    <w:rsid w:val="00D1659A"/>
    <w:rsid w:val="00D20AD1"/>
    <w:rsid w:val="00D24BBC"/>
    <w:rsid w:val="00D2502B"/>
    <w:rsid w:val="00D2582C"/>
    <w:rsid w:val="00D2729F"/>
    <w:rsid w:val="00D31A7C"/>
    <w:rsid w:val="00D31EE0"/>
    <w:rsid w:val="00D32A5F"/>
    <w:rsid w:val="00D32C3A"/>
    <w:rsid w:val="00D34AF1"/>
    <w:rsid w:val="00D367E5"/>
    <w:rsid w:val="00D4021F"/>
    <w:rsid w:val="00D43484"/>
    <w:rsid w:val="00D4408F"/>
    <w:rsid w:val="00D45837"/>
    <w:rsid w:val="00D459EE"/>
    <w:rsid w:val="00D45ABC"/>
    <w:rsid w:val="00D46238"/>
    <w:rsid w:val="00D46B7E"/>
    <w:rsid w:val="00D50ADF"/>
    <w:rsid w:val="00D51C4D"/>
    <w:rsid w:val="00D521BB"/>
    <w:rsid w:val="00D5238B"/>
    <w:rsid w:val="00D540C9"/>
    <w:rsid w:val="00D54116"/>
    <w:rsid w:val="00D57C84"/>
    <w:rsid w:val="00D6057D"/>
    <w:rsid w:val="00D6088A"/>
    <w:rsid w:val="00D61511"/>
    <w:rsid w:val="00D616B1"/>
    <w:rsid w:val="00D65615"/>
    <w:rsid w:val="00D660B3"/>
    <w:rsid w:val="00D678A8"/>
    <w:rsid w:val="00D70C97"/>
    <w:rsid w:val="00D71640"/>
    <w:rsid w:val="00D71B4A"/>
    <w:rsid w:val="00D720EE"/>
    <w:rsid w:val="00D73324"/>
    <w:rsid w:val="00D74AD8"/>
    <w:rsid w:val="00D75B98"/>
    <w:rsid w:val="00D81088"/>
    <w:rsid w:val="00D81AFE"/>
    <w:rsid w:val="00D836C5"/>
    <w:rsid w:val="00D84576"/>
    <w:rsid w:val="00D84A74"/>
    <w:rsid w:val="00D8742C"/>
    <w:rsid w:val="00D87727"/>
    <w:rsid w:val="00D908A0"/>
    <w:rsid w:val="00D91F5C"/>
    <w:rsid w:val="00D93410"/>
    <w:rsid w:val="00D93F43"/>
    <w:rsid w:val="00D946B0"/>
    <w:rsid w:val="00D973C1"/>
    <w:rsid w:val="00DA0A42"/>
    <w:rsid w:val="00DA105A"/>
    <w:rsid w:val="00DA1399"/>
    <w:rsid w:val="00DA24C6"/>
    <w:rsid w:val="00DA34FA"/>
    <w:rsid w:val="00DA3643"/>
    <w:rsid w:val="00DA4D31"/>
    <w:rsid w:val="00DA4D7B"/>
    <w:rsid w:val="00DA5479"/>
    <w:rsid w:val="00DA5EE6"/>
    <w:rsid w:val="00DA66CD"/>
    <w:rsid w:val="00DA6C46"/>
    <w:rsid w:val="00DA72B6"/>
    <w:rsid w:val="00DA758E"/>
    <w:rsid w:val="00DA7FDA"/>
    <w:rsid w:val="00DB1297"/>
    <w:rsid w:val="00DB2302"/>
    <w:rsid w:val="00DB2B4B"/>
    <w:rsid w:val="00DC01C5"/>
    <w:rsid w:val="00DC2C32"/>
    <w:rsid w:val="00DC3FDD"/>
    <w:rsid w:val="00DC4296"/>
    <w:rsid w:val="00DC4DFF"/>
    <w:rsid w:val="00DC50BF"/>
    <w:rsid w:val="00DC64F4"/>
    <w:rsid w:val="00DC6600"/>
    <w:rsid w:val="00DD06A9"/>
    <w:rsid w:val="00DD12BF"/>
    <w:rsid w:val="00DD17B8"/>
    <w:rsid w:val="00DD271C"/>
    <w:rsid w:val="00DD2B56"/>
    <w:rsid w:val="00DD3BE2"/>
    <w:rsid w:val="00DD3D8F"/>
    <w:rsid w:val="00DD4425"/>
    <w:rsid w:val="00DD4A2C"/>
    <w:rsid w:val="00DD548F"/>
    <w:rsid w:val="00DD5787"/>
    <w:rsid w:val="00DE0BFF"/>
    <w:rsid w:val="00DE18D6"/>
    <w:rsid w:val="00DE264A"/>
    <w:rsid w:val="00DE28B8"/>
    <w:rsid w:val="00DE2AB6"/>
    <w:rsid w:val="00DE3F6D"/>
    <w:rsid w:val="00DE497B"/>
    <w:rsid w:val="00DE6391"/>
    <w:rsid w:val="00DF019B"/>
    <w:rsid w:val="00DF088E"/>
    <w:rsid w:val="00DF171E"/>
    <w:rsid w:val="00DF5072"/>
    <w:rsid w:val="00DF5C7E"/>
    <w:rsid w:val="00E02B18"/>
    <w:rsid w:val="00E02D18"/>
    <w:rsid w:val="00E041E7"/>
    <w:rsid w:val="00E051AD"/>
    <w:rsid w:val="00E05DEB"/>
    <w:rsid w:val="00E061C0"/>
    <w:rsid w:val="00E10E32"/>
    <w:rsid w:val="00E120C4"/>
    <w:rsid w:val="00E141BD"/>
    <w:rsid w:val="00E14B08"/>
    <w:rsid w:val="00E14E95"/>
    <w:rsid w:val="00E14F5C"/>
    <w:rsid w:val="00E1726E"/>
    <w:rsid w:val="00E17B81"/>
    <w:rsid w:val="00E20C16"/>
    <w:rsid w:val="00E22E3E"/>
    <w:rsid w:val="00E23797"/>
    <w:rsid w:val="00E23CA1"/>
    <w:rsid w:val="00E24C1F"/>
    <w:rsid w:val="00E25768"/>
    <w:rsid w:val="00E25C8B"/>
    <w:rsid w:val="00E2607A"/>
    <w:rsid w:val="00E26681"/>
    <w:rsid w:val="00E274CF"/>
    <w:rsid w:val="00E27541"/>
    <w:rsid w:val="00E3470C"/>
    <w:rsid w:val="00E37C24"/>
    <w:rsid w:val="00E409A8"/>
    <w:rsid w:val="00E421C4"/>
    <w:rsid w:val="00E47CA1"/>
    <w:rsid w:val="00E47D61"/>
    <w:rsid w:val="00E50C12"/>
    <w:rsid w:val="00E53ADC"/>
    <w:rsid w:val="00E53B64"/>
    <w:rsid w:val="00E559E7"/>
    <w:rsid w:val="00E5783C"/>
    <w:rsid w:val="00E606C5"/>
    <w:rsid w:val="00E61A8D"/>
    <w:rsid w:val="00E61AF8"/>
    <w:rsid w:val="00E6279B"/>
    <w:rsid w:val="00E636F3"/>
    <w:rsid w:val="00E65261"/>
    <w:rsid w:val="00E652E9"/>
    <w:rsid w:val="00E65B91"/>
    <w:rsid w:val="00E7209D"/>
    <w:rsid w:val="00E7267B"/>
    <w:rsid w:val="00E72723"/>
    <w:rsid w:val="00E72C40"/>
    <w:rsid w:val="00E72EAD"/>
    <w:rsid w:val="00E731AF"/>
    <w:rsid w:val="00E77223"/>
    <w:rsid w:val="00E77C76"/>
    <w:rsid w:val="00E80587"/>
    <w:rsid w:val="00E8098E"/>
    <w:rsid w:val="00E80E62"/>
    <w:rsid w:val="00E817B2"/>
    <w:rsid w:val="00E82043"/>
    <w:rsid w:val="00E8206D"/>
    <w:rsid w:val="00E82C0A"/>
    <w:rsid w:val="00E82E45"/>
    <w:rsid w:val="00E82E87"/>
    <w:rsid w:val="00E83F86"/>
    <w:rsid w:val="00E8528B"/>
    <w:rsid w:val="00E85B94"/>
    <w:rsid w:val="00E85BD6"/>
    <w:rsid w:val="00E86545"/>
    <w:rsid w:val="00E8694C"/>
    <w:rsid w:val="00E86D48"/>
    <w:rsid w:val="00E921D5"/>
    <w:rsid w:val="00E9281C"/>
    <w:rsid w:val="00E933DD"/>
    <w:rsid w:val="00E9341A"/>
    <w:rsid w:val="00E935D6"/>
    <w:rsid w:val="00E94ABD"/>
    <w:rsid w:val="00E96FE2"/>
    <w:rsid w:val="00E97505"/>
    <w:rsid w:val="00E978D0"/>
    <w:rsid w:val="00E97C99"/>
    <w:rsid w:val="00EA0356"/>
    <w:rsid w:val="00EA03FD"/>
    <w:rsid w:val="00EA0A3E"/>
    <w:rsid w:val="00EA0FDC"/>
    <w:rsid w:val="00EA34B3"/>
    <w:rsid w:val="00EA4613"/>
    <w:rsid w:val="00EA72FB"/>
    <w:rsid w:val="00EA7CF9"/>
    <w:rsid w:val="00EA7F91"/>
    <w:rsid w:val="00EB0564"/>
    <w:rsid w:val="00EB0E1D"/>
    <w:rsid w:val="00EB0FF6"/>
    <w:rsid w:val="00EB1523"/>
    <w:rsid w:val="00EB31BA"/>
    <w:rsid w:val="00EB6BE3"/>
    <w:rsid w:val="00EB7A13"/>
    <w:rsid w:val="00EC0100"/>
    <w:rsid w:val="00EC0E49"/>
    <w:rsid w:val="00EC101F"/>
    <w:rsid w:val="00EC15AE"/>
    <w:rsid w:val="00EC1D9F"/>
    <w:rsid w:val="00EC4444"/>
    <w:rsid w:val="00EC46F9"/>
    <w:rsid w:val="00EC502B"/>
    <w:rsid w:val="00EC723D"/>
    <w:rsid w:val="00EC754B"/>
    <w:rsid w:val="00ED3E72"/>
    <w:rsid w:val="00ED41A6"/>
    <w:rsid w:val="00ED549B"/>
    <w:rsid w:val="00EE0131"/>
    <w:rsid w:val="00EE17B0"/>
    <w:rsid w:val="00EE24D2"/>
    <w:rsid w:val="00EE2D73"/>
    <w:rsid w:val="00EE451B"/>
    <w:rsid w:val="00EE4DB3"/>
    <w:rsid w:val="00EE5B2F"/>
    <w:rsid w:val="00EE60C2"/>
    <w:rsid w:val="00EE6170"/>
    <w:rsid w:val="00EE699D"/>
    <w:rsid w:val="00EF06D9"/>
    <w:rsid w:val="00EF0982"/>
    <w:rsid w:val="00EF485C"/>
    <w:rsid w:val="00EF4D7F"/>
    <w:rsid w:val="00EF65D4"/>
    <w:rsid w:val="00F00D1A"/>
    <w:rsid w:val="00F00DA7"/>
    <w:rsid w:val="00F01247"/>
    <w:rsid w:val="00F03281"/>
    <w:rsid w:val="00F06143"/>
    <w:rsid w:val="00F0660B"/>
    <w:rsid w:val="00F06BEE"/>
    <w:rsid w:val="00F1016D"/>
    <w:rsid w:val="00F21D76"/>
    <w:rsid w:val="00F239E0"/>
    <w:rsid w:val="00F23D51"/>
    <w:rsid w:val="00F245AF"/>
    <w:rsid w:val="00F2512D"/>
    <w:rsid w:val="00F25DF6"/>
    <w:rsid w:val="00F278D7"/>
    <w:rsid w:val="00F27DE3"/>
    <w:rsid w:val="00F27E9F"/>
    <w:rsid w:val="00F3049E"/>
    <w:rsid w:val="00F30C64"/>
    <w:rsid w:val="00F3137A"/>
    <w:rsid w:val="00F31ACF"/>
    <w:rsid w:val="00F32BA2"/>
    <w:rsid w:val="00F32C5C"/>
    <w:rsid w:val="00F32CDB"/>
    <w:rsid w:val="00F3348F"/>
    <w:rsid w:val="00F37280"/>
    <w:rsid w:val="00F37852"/>
    <w:rsid w:val="00F40503"/>
    <w:rsid w:val="00F406C5"/>
    <w:rsid w:val="00F4072F"/>
    <w:rsid w:val="00F40878"/>
    <w:rsid w:val="00F411B8"/>
    <w:rsid w:val="00F41EE4"/>
    <w:rsid w:val="00F43A3A"/>
    <w:rsid w:val="00F43DD1"/>
    <w:rsid w:val="00F44090"/>
    <w:rsid w:val="00F444C6"/>
    <w:rsid w:val="00F44558"/>
    <w:rsid w:val="00F4605D"/>
    <w:rsid w:val="00F4663B"/>
    <w:rsid w:val="00F478DD"/>
    <w:rsid w:val="00F4794E"/>
    <w:rsid w:val="00F54472"/>
    <w:rsid w:val="00F54717"/>
    <w:rsid w:val="00F565FE"/>
    <w:rsid w:val="00F56681"/>
    <w:rsid w:val="00F57606"/>
    <w:rsid w:val="00F61EA4"/>
    <w:rsid w:val="00F629F4"/>
    <w:rsid w:val="00F62FF3"/>
    <w:rsid w:val="00F63780"/>
    <w:rsid w:val="00F63A70"/>
    <w:rsid w:val="00F63D8C"/>
    <w:rsid w:val="00F64D0A"/>
    <w:rsid w:val="00F672AF"/>
    <w:rsid w:val="00F72932"/>
    <w:rsid w:val="00F732C7"/>
    <w:rsid w:val="00F743A9"/>
    <w:rsid w:val="00F7534E"/>
    <w:rsid w:val="00F76AF7"/>
    <w:rsid w:val="00F7738A"/>
    <w:rsid w:val="00F8017D"/>
    <w:rsid w:val="00F848B1"/>
    <w:rsid w:val="00F84ADD"/>
    <w:rsid w:val="00F8599A"/>
    <w:rsid w:val="00F8608D"/>
    <w:rsid w:val="00F8782F"/>
    <w:rsid w:val="00F87E85"/>
    <w:rsid w:val="00F916B1"/>
    <w:rsid w:val="00F92183"/>
    <w:rsid w:val="00F93EDF"/>
    <w:rsid w:val="00F969B3"/>
    <w:rsid w:val="00F97700"/>
    <w:rsid w:val="00FA1802"/>
    <w:rsid w:val="00FA21D0"/>
    <w:rsid w:val="00FA3CD9"/>
    <w:rsid w:val="00FA3D8A"/>
    <w:rsid w:val="00FA42A1"/>
    <w:rsid w:val="00FA474C"/>
    <w:rsid w:val="00FA5F5F"/>
    <w:rsid w:val="00FA6FF4"/>
    <w:rsid w:val="00FA6FFD"/>
    <w:rsid w:val="00FB12BF"/>
    <w:rsid w:val="00FB132C"/>
    <w:rsid w:val="00FB1F76"/>
    <w:rsid w:val="00FB2D55"/>
    <w:rsid w:val="00FB3969"/>
    <w:rsid w:val="00FB450E"/>
    <w:rsid w:val="00FB4A47"/>
    <w:rsid w:val="00FB5351"/>
    <w:rsid w:val="00FB730C"/>
    <w:rsid w:val="00FC0068"/>
    <w:rsid w:val="00FC2695"/>
    <w:rsid w:val="00FC28D2"/>
    <w:rsid w:val="00FC3E03"/>
    <w:rsid w:val="00FC3FC1"/>
    <w:rsid w:val="00FC4517"/>
    <w:rsid w:val="00FC4E7D"/>
    <w:rsid w:val="00FC511C"/>
    <w:rsid w:val="00FC546E"/>
    <w:rsid w:val="00FC57DC"/>
    <w:rsid w:val="00FD15E7"/>
    <w:rsid w:val="00FD19EC"/>
    <w:rsid w:val="00FD1EDF"/>
    <w:rsid w:val="00FD2C71"/>
    <w:rsid w:val="00FD2FAD"/>
    <w:rsid w:val="00FD339D"/>
    <w:rsid w:val="00FD38F6"/>
    <w:rsid w:val="00FD428C"/>
    <w:rsid w:val="00FD5517"/>
    <w:rsid w:val="00FD5789"/>
    <w:rsid w:val="00FD736C"/>
    <w:rsid w:val="00FE3CD7"/>
    <w:rsid w:val="00FE6E70"/>
    <w:rsid w:val="00FE7018"/>
    <w:rsid w:val="00FF0D06"/>
    <w:rsid w:val="00FF1A6E"/>
    <w:rsid w:val="00FF1F59"/>
    <w:rsid w:val="00FF2DC4"/>
    <w:rsid w:val="00FF543C"/>
    <w:rsid w:val="00FF5A1F"/>
    <w:rsid w:val="00FF7BA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231F71"/>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231F71"/>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9C3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6</Pages>
  <Words>3933</Words>
  <Characters>22424</Characters>
  <Application>Microsoft Office Word</Application>
  <DocSecurity>0</DocSecurity>
  <Lines>186</Lines>
  <Paragraphs>52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Giulia MARRONI</cp:lastModifiedBy>
  <cp:revision>547</cp:revision>
  <cp:lastPrinted>2026-05-14T11:59:00Z</cp:lastPrinted>
  <dcterms:created xsi:type="dcterms:W3CDTF">2026-03-30T15:50:00Z</dcterms:created>
  <dcterms:modified xsi:type="dcterms:W3CDTF">2026-05-14T12:14:00Z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SIP_Label_a6175487-42af-4492-84fe-2b4054e011bd_Enabled">
    <vt:lpwstr>true</vt:lpwstr>
  </property>
  <property fmtid="{D5CDD505-2E9C-101B-9397-08002B2CF9AE}" pid="5" name="MSIP_Label_a6175487-42af-4492-84fe-2b4054e011bd_SetDate">
    <vt:lpwstr>2026-03-10T07:25:34Z</vt:lpwstr>
  </property>
  <property fmtid="{D5CDD505-2E9C-101B-9397-08002B2CF9AE}" pid="6" name="MSIP_Label_a6175487-42af-4492-84fe-2b4054e011bd_Method">
    <vt:lpwstr>Privileged</vt:lpwstr>
  </property>
  <property fmtid="{D5CDD505-2E9C-101B-9397-08002B2CF9AE}" pid="7" name="MSIP_Label_a6175487-42af-4492-84fe-2b4054e011bd_Name">
    <vt:lpwstr>Public</vt:lpwstr>
  </property>
  <property fmtid="{D5CDD505-2E9C-101B-9397-08002B2CF9AE}" pid="8" name="MSIP_Label_a6175487-42af-4492-84fe-2b4054e011bd_SiteId">
    <vt:lpwstr>76e3e3ff-fce0-45ec-a946-bc44d69a9b7e</vt:lpwstr>
  </property>
  <property fmtid="{D5CDD505-2E9C-101B-9397-08002B2CF9AE}" pid="9" name="MSIP_Label_a6175487-42af-4492-84fe-2b4054e011bd_ActionId">
    <vt:lpwstr>1a717d67-f76f-4058-8562-f9cb3656a291</vt:lpwstr>
  </property>
  <property fmtid="{D5CDD505-2E9C-101B-9397-08002B2CF9AE}" pid="10" name="MSIP_Label_a6175487-42af-4492-84fe-2b4054e011bd_ContentBits">
    <vt:lpwstr>0</vt:lpwstr>
  </property>
  <property fmtid="{D5CDD505-2E9C-101B-9397-08002B2CF9AE}" pid="11" name="MSIP_Label_a6175487-42af-4492-84fe-2b4054e011bd_Tag">
    <vt:lpwstr>10, 0, 1, 1</vt:lpwstr>
  </property>
</Properties>
</file>