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B2AED"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2B2AED" w:rsidRDefault="000A03B2" w:rsidP="00DE264A">
            <w:pPr>
              <w:tabs>
                <w:tab w:val="left" w:pos="-108"/>
              </w:tabs>
              <w:ind w:left="-108"/>
              <w:jc w:val="left"/>
              <w:rPr>
                <w:rFonts w:cs="Arial"/>
                <w:b/>
                <w:bCs/>
                <w:i/>
                <w:iCs/>
                <w:color w:val="000066"/>
                <w:sz w:val="12"/>
                <w:szCs w:val="12"/>
                <w:lang w:eastAsia="it-IT"/>
              </w:rPr>
            </w:pPr>
            <w:bookmarkStart w:id="0" w:name="_Hlk145068772"/>
            <w:r w:rsidRPr="002B2AED">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B2AED">
              <w:rPr>
                <w:rFonts w:ascii="AdvP6960" w:hAnsi="AdvP6960" w:cs="AdvP6960"/>
                <w:color w:val="241F20"/>
                <w:szCs w:val="18"/>
                <w:lang w:eastAsia="it-IT"/>
              </w:rPr>
              <w:t xml:space="preserve"> </w:t>
            </w:r>
            <w:r w:rsidRPr="002B2AED">
              <w:rPr>
                <w:rFonts w:cs="Arial"/>
                <w:b/>
                <w:bCs/>
                <w:i/>
                <w:iCs/>
                <w:color w:val="000066"/>
                <w:sz w:val="24"/>
                <w:szCs w:val="24"/>
                <w:lang w:eastAsia="it-IT"/>
              </w:rPr>
              <w:t>CHEMICAL ENGINEERING</w:t>
            </w:r>
            <w:r w:rsidRPr="002B2AED">
              <w:rPr>
                <w:rFonts w:cs="Arial"/>
                <w:b/>
                <w:bCs/>
                <w:i/>
                <w:iCs/>
                <w:color w:val="0033FF"/>
                <w:sz w:val="24"/>
                <w:szCs w:val="24"/>
                <w:lang w:eastAsia="it-IT"/>
              </w:rPr>
              <w:t xml:space="preserve"> </w:t>
            </w:r>
            <w:r w:rsidRPr="002B2AED">
              <w:rPr>
                <w:rFonts w:cs="Arial"/>
                <w:b/>
                <w:bCs/>
                <w:i/>
                <w:iCs/>
                <w:color w:val="666666"/>
                <w:sz w:val="24"/>
                <w:szCs w:val="24"/>
                <w:lang w:eastAsia="it-IT"/>
              </w:rPr>
              <w:t>TRANSACTIONS</w:t>
            </w:r>
            <w:r w:rsidRPr="002B2AED">
              <w:rPr>
                <w:color w:val="333333"/>
                <w:sz w:val="24"/>
                <w:szCs w:val="24"/>
                <w:lang w:eastAsia="it-IT"/>
              </w:rPr>
              <w:t xml:space="preserve"> </w:t>
            </w:r>
            <w:r w:rsidRPr="002B2AED">
              <w:rPr>
                <w:rFonts w:cs="Arial"/>
                <w:b/>
                <w:bCs/>
                <w:i/>
                <w:iCs/>
                <w:color w:val="000066"/>
                <w:sz w:val="27"/>
                <w:szCs w:val="27"/>
                <w:lang w:eastAsia="it-IT"/>
              </w:rPr>
              <w:br/>
            </w:r>
          </w:p>
          <w:p w14:paraId="4B780582" w14:textId="0C8EB7FE" w:rsidR="000A03B2" w:rsidRPr="002B2AED" w:rsidRDefault="00A76EFC" w:rsidP="001D21AF">
            <w:pPr>
              <w:tabs>
                <w:tab w:val="left" w:pos="-108"/>
              </w:tabs>
              <w:ind w:left="-108"/>
              <w:rPr>
                <w:rFonts w:cs="Arial"/>
                <w:b/>
                <w:bCs/>
                <w:i/>
                <w:iCs/>
                <w:color w:val="000066"/>
                <w:sz w:val="22"/>
                <w:szCs w:val="22"/>
                <w:lang w:eastAsia="it-IT"/>
              </w:rPr>
            </w:pPr>
            <w:r w:rsidRPr="002B2AED">
              <w:rPr>
                <w:rFonts w:cs="Arial"/>
                <w:b/>
                <w:bCs/>
                <w:i/>
                <w:iCs/>
                <w:color w:val="000066"/>
                <w:sz w:val="22"/>
                <w:szCs w:val="22"/>
                <w:lang w:eastAsia="it-IT"/>
              </w:rPr>
              <w:t>VOL.</w:t>
            </w:r>
            <w:r w:rsidR="00785BF9" w:rsidRPr="002B2AED">
              <w:rPr>
                <w:rFonts w:cs="Arial"/>
                <w:b/>
                <w:bCs/>
                <w:i/>
                <w:iCs/>
                <w:color w:val="000066"/>
                <w:sz w:val="22"/>
                <w:szCs w:val="22"/>
                <w:lang w:eastAsia="it-IT"/>
              </w:rPr>
              <w:t xml:space="preserve"> </w:t>
            </w:r>
            <w:r w:rsidR="006D4DB7" w:rsidRPr="002B2AED">
              <w:rPr>
                <w:rFonts w:cs="Arial"/>
                <w:b/>
                <w:bCs/>
                <w:i/>
                <w:iCs/>
                <w:color w:val="000066"/>
                <w:sz w:val="22"/>
                <w:szCs w:val="22"/>
                <w:lang w:eastAsia="it-IT"/>
              </w:rPr>
              <w:t>xxx</w:t>
            </w:r>
            <w:r w:rsidR="007B48F9" w:rsidRPr="002B2AED">
              <w:rPr>
                <w:rFonts w:cs="Arial"/>
                <w:b/>
                <w:bCs/>
                <w:i/>
                <w:iCs/>
                <w:color w:val="000066"/>
                <w:sz w:val="22"/>
                <w:szCs w:val="22"/>
                <w:lang w:eastAsia="it-IT"/>
              </w:rPr>
              <w:t>,</w:t>
            </w:r>
            <w:r w:rsidR="00FA5F5F" w:rsidRPr="002B2AED">
              <w:rPr>
                <w:rFonts w:cs="Arial"/>
                <w:b/>
                <w:bCs/>
                <w:i/>
                <w:iCs/>
                <w:color w:val="000066"/>
                <w:sz w:val="22"/>
                <w:szCs w:val="22"/>
                <w:lang w:eastAsia="it-IT"/>
              </w:rPr>
              <w:t xml:space="preserve"> </w:t>
            </w:r>
            <w:r w:rsidR="0030152C" w:rsidRPr="002B2AED">
              <w:rPr>
                <w:rFonts w:cs="Arial"/>
                <w:b/>
                <w:bCs/>
                <w:i/>
                <w:iCs/>
                <w:color w:val="000066"/>
                <w:sz w:val="22"/>
                <w:szCs w:val="22"/>
                <w:lang w:eastAsia="it-IT"/>
              </w:rPr>
              <w:t>202</w:t>
            </w:r>
            <w:r w:rsidR="00AD0278" w:rsidRPr="002B2AED">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2B2AED" w:rsidRDefault="000A03B2" w:rsidP="00CD5FE2">
            <w:pPr>
              <w:spacing w:line="140" w:lineRule="atLeast"/>
              <w:jc w:val="right"/>
              <w:rPr>
                <w:rFonts w:cs="Arial"/>
                <w:sz w:val="14"/>
                <w:szCs w:val="14"/>
              </w:rPr>
            </w:pPr>
            <w:r w:rsidRPr="002B2AED">
              <w:rPr>
                <w:rFonts w:cs="Arial"/>
                <w:sz w:val="14"/>
                <w:szCs w:val="14"/>
              </w:rPr>
              <w:t>A publication of</w:t>
            </w:r>
          </w:p>
          <w:p w14:paraId="599E5441" w14:textId="77777777" w:rsidR="000A03B2" w:rsidRPr="002B2AED" w:rsidRDefault="000A03B2" w:rsidP="00CD5FE2">
            <w:pPr>
              <w:jc w:val="right"/>
            </w:pPr>
            <w:r w:rsidRPr="002B2AED">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B2AED" w14:paraId="380FA3CD" w14:textId="77777777" w:rsidTr="00DE264A">
        <w:trPr>
          <w:trHeight w:val="567"/>
          <w:jc w:val="center"/>
        </w:trPr>
        <w:tc>
          <w:tcPr>
            <w:tcW w:w="6946" w:type="dxa"/>
            <w:vMerge/>
            <w:tcBorders>
              <w:right w:val="single" w:sz="4" w:space="0" w:color="auto"/>
            </w:tcBorders>
          </w:tcPr>
          <w:p w14:paraId="39E5E4C1" w14:textId="77777777" w:rsidR="000A03B2" w:rsidRPr="002B2AED"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2B2AED" w:rsidRDefault="000A03B2" w:rsidP="00CD5FE2">
            <w:pPr>
              <w:spacing w:line="140" w:lineRule="atLeast"/>
              <w:jc w:val="right"/>
              <w:rPr>
                <w:rFonts w:cs="Arial"/>
                <w:sz w:val="14"/>
                <w:szCs w:val="14"/>
              </w:rPr>
            </w:pPr>
            <w:r w:rsidRPr="002B2AED">
              <w:rPr>
                <w:rFonts w:cs="Arial"/>
                <w:sz w:val="14"/>
                <w:szCs w:val="14"/>
              </w:rPr>
              <w:t>The Italian Association</w:t>
            </w:r>
          </w:p>
          <w:p w14:paraId="7522B1D2" w14:textId="77777777" w:rsidR="000A03B2" w:rsidRPr="002B2AED" w:rsidRDefault="000A03B2" w:rsidP="00CD5FE2">
            <w:pPr>
              <w:spacing w:line="140" w:lineRule="atLeast"/>
              <w:jc w:val="right"/>
              <w:rPr>
                <w:rFonts w:cs="Arial"/>
                <w:sz w:val="14"/>
                <w:szCs w:val="14"/>
              </w:rPr>
            </w:pPr>
            <w:r w:rsidRPr="002B2AED">
              <w:rPr>
                <w:rFonts w:cs="Arial"/>
                <w:sz w:val="14"/>
                <w:szCs w:val="14"/>
              </w:rPr>
              <w:t>of Chemical Engineering</w:t>
            </w:r>
          </w:p>
          <w:p w14:paraId="4F0CC5DE" w14:textId="47FDB2FC" w:rsidR="000A03B2" w:rsidRPr="002B2AED" w:rsidRDefault="000D0268" w:rsidP="00CD5FE2">
            <w:pPr>
              <w:spacing w:line="140" w:lineRule="atLeast"/>
              <w:jc w:val="right"/>
              <w:rPr>
                <w:rFonts w:cs="Arial"/>
                <w:sz w:val="13"/>
                <w:szCs w:val="13"/>
              </w:rPr>
            </w:pPr>
            <w:r w:rsidRPr="002B2AED">
              <w:rPr>
                <w:rFonts w:cs="Arial"/>
                <w:sz w:val="13"/>
                <w:szCs w:val="13"/>
              </w:rPr>
              <w:t>Online at www.cetjournal.it</w:t>
            </w:r>
          </w:p>
        </w:tc>
      </w:tr>
      <w:tr w:rsidR="000A03B2" w:rsidRPr="002B2AED" w14:paraId="2D1B7169" w14:textId="77777777" w:rsidTr="00DE264A">
        <w:trPr>
          <w:trHeight w:val="68"/>
          <w:jc w:val="center"/>
        </w:trPr>
        <w:tc>
          <w:tcPr>
            <w:tcW w:w="8789" w:type="dxa"/>
            <w:gridSpan w:val="2"/>
          </w:tcPr>
          <w:p w14:paraId="1D8DD3C9" w14:textId="775EC904" w:rsidR="00AA7D26" w:rsidRPr="00C4717E" w:rsidRDefault="004A5E57" w:rsidP="007A6DF8">
            <w:pPr>
              <w:ind w:left="-107"/>
              <w:outlineLvl w:val="2"/>
              <w:rPr>
                <w:rFonts w:ascii="Tahoma" w:hAnsi="Tahoma" w:cs="Tahoma"/>
                <w:color w:val="000000"/>
                <w:sz w:val="14"/>
                <w:szCs w:val="14"/>
                <w:shd w:val="clear" w:color="auto" w:fill="FFFFFF"/>
                <w:lang w:val="it-IT"/>
              </w:rPr>
            </w:pPr>
            <w:r w:rsidRPr="00C4717E">
              <w:rPr>
                <w:rFonts w:ascii="Tahoma" w:hAnsi="Tahoma" w:cs="Tahoma"/>
                <w:iCs/>
                <w:color w:val="333333"/>
                <w:sz w:val="14"/>
                <w:szCs w:val="14"/>
                <w:lang w:val="it-IT" w:eastAsia="it-IT"/>
              </w:rPr>
              <w:t>Guest Editors:</w:t>
            </w:r>
            <w:r w:rsidRPr="00C4717E">
              <w:rPr>
                <w:rFonts w:ascii="Tahoma" w:hAnsi="Tahoma" w:cs="Tahoma"/>
                <w:color w:val="000000"/>
                <w:sz w:val="14"/>
                <w:szCs w:val="14"/>
                <w:shd w:val="clear" w:color="auto" w:fill="FFFFFF"/>
                <w:lang w:val="it-IT"/>
              </w:rPr>
              <w:t xml:space="preserve"> </w:t>
            </w:r>
            <w:r w:rsidR="007A6DF8" w:rsidRPr="00C4717E">
              <w:rPr>
                <w:rFonts w:ascii="Tahoma" w:hAnsi="Tahoma" w:cs="Tahoma"/>
                <w:color w:val="000000"/>
                <w:sz w:val="14"/>
                <w:szCs w:val="14"/>
                <w:shd w:val="clear" w:color="auto" w:fill="FFFFFF"/>
                <w:lang w:val="it-IT"/>
              </w:rPr>
              <w:t xml:space="preserve">Valerio Cozzani, Bruno Fabiano, </w:t>
            </w:r>
            <w:proofErr w:type="spellStart"/>
            <w:r w:rsidR="007A6DF8" w:rsidRPr="00C4717E">
              <w:rPr>
                <w:rFonts w:ascii="Tahoma" w:hAnsi="Tahoma" w:cs="Tahoma"/>
                <w:color w:val="000000"/>
                <w:sz w:val="14"/>
                <w:szCs w:val="14"/>
                <w:shd w:val="clear" w:color="auto" w:fill="FFFFFF"/>
                <w:lang w:val="it-IT"/>
              </w:rPr>
              <w:t>Genserik</w:t>
            </w:r>
            <w:proofErr w:type="spellEnd"/>
            <w:r w:rsidR="007A6DF8" w:rsidRPr="00C4717E">
              <w:rPr>
                <w:rFonts w:ascii="Tahoma" w:hAnsi="Tahoma" w:cs="Tahoma"/>
                <w:color w:val="000000"/>
                <w:sz w:val="14"/>
                <w:szCs w:val="14"/>
                <w:shd w:val="clear" w:color="auto" w:fill="FFFFFF"/>
                <w:lang w:val="it-IT"/>
              </w:rPr>
              <w:t xml:space="preserve"> Reniers</w:t>
            </w:r>
          </w:p>
          <w:p w14:paraId="1B0F1814" w14:textId="710B7B96" w:rsidR="000A03B2" w:rsidRPr="002B2AED" w:rsidRDefault="00AA7D26" w:rsidP="00AA7D26">
            <w:pPr>
              <w:tabs>
                <w:tab w:val="left" w:pos="-108"/>
              </w:tabs>
              <w:spacing w:line="140" w:lineRule="atLeast"/>
              <w:ind w:left="-107"/>
              <w:jc w:val="left"/>
            </w:pPr>
            <w:r w:rsidRPr="002B2AED">
              <w:rPr>
                <w:rFonts w:ascii="Tahoma" w:hAnsi="Tahoma" w:cs="Tahoma"/>
                <w:iCs/>
                <w:color w:val="333333"/>
                <w:sz w:val="14"/>
                <w:szCs w:val="14"/>
                <w:lang w:eastAsia="it-IT"/>
              </w:rPr>
              <w:t>Copyright © 202</w:t>
            </w:r>
            <w:r w:rsidR="00005884" w:rsidRPr="002B2AED">
              <w:rPr>
                <w:rFonts w:ascii="Tahoma" w:hAnsi="Tahoma" w:cs="Tahoma"/>
                <w:iCs/>
                <w:color w:val="333333"/>
                <w:sz w:val="14"/>
                <w:szCs w:val="14"/>
                <w:lang w:eastAsia="it-IT"/>
              </w:rPr>
              <w:t>6</w:t>
            </w:r>
            <w:r w:rsidRPr="002B2AED">
              <w:rPr>
                <w:rFonts w:ascii="Tahoma" w:hAnsi="Tahoma" w:cs="Tahoma"/>
                <w:iCs/>
                <w:color w:val="333333"/>
                <w:sz w:val="14"/>
                <w:szCs w:val="14"/>
                <w:lang w:eastAsia="it-IT"/>
              </w:rPr>
              <w:t xml:space="preserve">, AIDIC Servizi </w:t>
            </w:r>
            <w:proofErr w:type="spellStart"/>
            <w:r w:rsidRPr="002B2AED">
              <w:rPr>
                <w:rFonts w:ascii="Tahoma" w:hAnsi="Tahoma" w:cs="Tahoma"/>
                <w:iCs/>
                <w:color w:val="333333"/>
                <w:sz w:val="14"/>
                <w:szCs w:val="14"/>
                <w:lang w:eastAsia="it-IT"/>
              </w:rPr>
              <w:t>S.r.l</w:t>
            </w:r>
            <w:proofErr w:type="spellEnd"/>
            <w:r w:rsidRPr="002B2AED">
              <w:rPr>
                <w:rFonts w:ascii="Tahoma" w:hAnsi="Tahoma" w:cs="Tahoma"/>
                <w:iCs/>
                <w:color w:val="333333"/>
                <w:sz w:val="14"/>
                <w:szCs w:val="14"/>
                <w:lang w:eastAsia="it-IT"/>
              </w:rPr>
              <w:t>.</w:t>
            </w:r>
            <w:r w:rsidRPr="002B2AED">
              <w:rPr>
                <w:rFonts w:ascii="Tahoma" w:hAnsi="Tahoma" w:cs="Tahoma"/>
                <w:iCs/>
                <w:color w:val="333333"/>
                <w:sz w:val="14"/>
                <w:szCs w:val="14"/>
                <w:lang w:eastAsia="it-IT"/>
              </w:rPr>
              <w:br/>
            </w:r>
            <w:r w:rsidRPr="002B2AED">
              <w:rPr>
                <w:rFonts w:ascii="Tahoma" w:hAnsi="Tahoma" w:cs="Tahoma"/>
                <w:b/>
                <w:iCs/>
                <w:color w:val="000000"/>
                <w:sz w:val="14"/>
                <w:szCs w:val="14"/>
                <w:lang w:eastAsia="it-IT"/>
              </w:rPr>
              <w:t>ISBN</w:t>
            </w:r>
            <w:r w:rsidRPr="002B2AED">
              <w:rPr>
                <w:rFonts w:ascii="Tahoma" w:hAnsi="Tahoma" w:cs="Tahoma"/>
                <w:iCs/>
                <w:color w:val="000000"/>
                <w:sz w:val="14"/>
                <w:szCs w:val="14"/>
                <w:lang w:eastAsia="it-IT"/>
              </w:rPr>
              <w:t xml:space="preserve"> </w:t>
            </w:r>
            <w:r w:rsidR="00D2582C" w:rsidRPr="002B2AED">
              <w:rPr>
                <w:rFonts w:ascii="Tahoma" w:hAnsi="Tahoma" w:cs="Tahoma"/>
                <w:sz w:val="14"/>
                <w:szCs w:val="14"/>
              </w:rPr>
              <w:t>979-12-81206-</w:t>
            </w:r>
            <w:r w:rsidR="00005884" w:rsidRPr="002B2AED">
              <w:rPr>
                <w:rFonts w:ascii="Tahoma" w:hAnsi="Tahoma" w:cs="Tahoma"/>
                <w:sz w:val="14"/>
                <w:szCs w:val="14"/>
              </w:rPr>
              <w:t>xx</w:t>
            </w:r>
            <w:r w:rsidR="009041F8" w:rsidRPr="002B2AED">
              <w:rPr>
                <w:rFonts w:ascii="Tahoma" w:hAnsi="Tahoma" w:cs="Tahoma"/>
                <w:sz w:val="14"/>
                <w:szCs w:val="14"/>
              </w:rPr>
              <w:t>-</w:t>
            </w:r>
            <w:r w:rsidR="00005884" w:rsidRPr="002B2AED">
              <w:rPr>
                <w:rFonts w:ascii="Tahoma" w:hAnsi="Tahoma" w:cs="Tahoma"/>
                <w:sz w:val="14"/>
                <w:szCs w:val="14"/>
              </w:rPr>
              <w:t>x</w:t>
            </w:r>
            <w:r w:rsidRPr="002B2AED">
              <w:rPr>
                <w:rFonts w:ascii="Tahoma" w:hAnsi="Tahoma" w:cs="Tahoma"/>
                <w:iCs/>
                <w:color w:val="333333"/>
                <w:sz w:val="14"/>
                <w:szCs w:val="14"/>
                <w:lang w:eastAsia="it-IT"/>
              </w:rPr>
              <w:t xml:space="preserve">; </w:t>
            </w:r>
            <w:r w:rsidRPr="002B2AED">
              <w:rPr>
                <w:rFonts w:ascii="Tahoma" w:hAnsi="Tahoma" w:cs="Tahoma"/>
                <w:b/>
                <w:iCs/>
                <w:color w:val="333333"/>
                <w:sz w:val="14"/>
                <w:szCs w:val="14"/>
                <w:lang w:eastAsia="it-IT"/>
              </w:rPr>
              <w:t>ISSN</w:t>
            </w:r>
            <w:r w:rsidRPr="002B2AED">
              <w:rPr>
                <w:rFonts w:ascii="Tahoma" w:hAnsi="Tahoma" w:cs="Tahoma"/>
                <w:iCs/>
                <w:color w:val="333333"/>
                <w:sz w:val="14"/>
                <w:szCs w:val="14"/>
                <w:lang w:eastAsia="it-IT"/>
              </w:rPr>
              <w:t xml:space="preserve"> 2283-9216</w:t>
            </w:r>
          </w:p>
        </w:tc>
      </w:tr>
    </w:tbl>
    <w:bookmarkEnd w:id="0"/>
    <w:p w14:paraId="2E667253" w14:textId="1E910ED9" w:rsidR="00E978D0" w:rsidRPr="002B2AED" w:rsidRDefault="006D4DB7" w:rsidP="00E978D0">
      <w:pPr>
        <w:pStyle w:val="CETTitle"/>
      </w:pPr>
      <w:r w:rsidRPr="002B2AED">
        <w:t xml:space="preserve">Modelling bottom corrosion of </w:t>
      </w:r>
      <w:r w:rsidR="00764A5B">
        <w:t>atmospheric</w:t>
      </w:r>
      <w:r w:rsidR="00764A5B" w:rsidRPr="002B2AED">
        <w:t xml:space="preserve"> </w:t>
      </w:r>
      <w:r w:rsidRPr="002B2AED">
        <w:t>storage tanks to support the safety management</w:t>
      </w:r>
    </w:p>
    <w:p w14:paraId="0488FED2" w14:textId="358B2B41" w:rsidR="00B57E6F" w:rsidRPr="00C4717E" w:rsidRDefault="006D4DB7" w:rsidP="00B57E6F">
      <w:pPr>
        <w:pStyle w:val="CETAuthors"/>
        <w:rPr>
          <w:noProof w:val="0"/>
          <w:lang w:val="it-IT"/>
        </w:rPr>
      </w:pPr>
      <w:r w:rsidRPr="00C4717E">
        <w:rPr>
          <w:noProof w:val="0"/>
          <w:lang w:val="it-IT"/>
        </w:rPr>
        <w:t>Paolo Carbone</w:t>
      </w:r>
      <w:r w:rsidR="00B57E6F" w:rsidRPr="00C4717E">
        <w:rPr>
          <w:noProof w:val="0"/>
          <w:vertAlign w:val="superscript"/>
          <w:lang w:val="it-IT"/>
        </w:rPr>
        <w:t>a</w:t>
      </w:r>
      <w:r w:rsidR="004D4095">
        <w:rPr>
          <w:noProof w:val="0"/>
          <w:vertAlign w:val="superscript"/>
          <w:lang w:val="it-IT"/>
        </w:rPr>
        <w:t>,</w:t>
      </w:r>
      <w:r w:rsidR="004D4095">
        <w:rPr>
          <w:noProof w:val="0"/>
          <w:lang w:val="it-IT"/>
        </w:rPr>
        <w:t>*</w:t>
      </w:r>
      <w:r w:rsidR="00B57E6F" w:rsidRPr="00C4717E">
        <w:rPr>
          <w:noProof w:val="0"/>
          <w:lang w:val="it-IT"/>
        </w:rPr>
        <w:t>,</w:t>
      </w:r>
      <w:r w:rsidRPr="00C4717E">
        <w:rPr>
          <w:noProof w:val="0"/>
          <w:lang w:val="it-IT"/>
        </w:rPr>
        <w:t xml:space="preserve"> Elpida </w:t>
      </w:r>
      <w:proofErr w:type="spellStart"/>
      <w:r w:rsidRPr="00C4717E">
        <w:rPr>
          <w:noProof w:val="0"/>
          <w:lang w:val="it-IT"/>
        </w:rPr>
        <w:t>Piperopoulos</w:t>
      </w:r>
      <w:r w:rsidRPr="00C4717E">
        <w:rPr>
          <w:noProof w:val="0"/>
          <w:vertAlign w:val="superscript"/>
          <w:lang w:val="it-IT"/>
        </w:rPr>
        <w:t>a</w:t>
      </w:r>
      <w:proofErr w:type="spellEnd"/>
      <w:r w:rsidRPr="00C4717E">
        <w:rPr>
          <w:noProof w:val="0"/>
          <w:lang w:val="it-IT"/>
        </w:rPr>
        <w:t>, Giancarlo Consolo</w:t>
      </w:r>
      <w:r w:rsidRPr="00C4717E">
        <w:rPr>
          <w:noProof w:val="0"/>
          <w:vertAlign w:val="superscript"/>
          <w:lang w:val="it-IT"/>
        </w:rPr>
        <w:t>b</w:t>
      </w:r>
      <w:r w:rsidRPr="00C4717E">
        <w:rPr>
          <w:noProof w:val="0"/>
          <w:lang w:val="it-IT"/>
        </w:rPr>
        <w:t>, Maria Francesca Milazzo</w:t>
      </w:r>
      <w:r w:rsidRPr="00C4717E">
        <w:rPr>
          <w:noProof w:val="0"/>
          <w:vertAlign w:val="superscript"/>
          <w:lang w:val="it-IT"/>
        </w:rPr>
        <w:t>a</w:t>
      </w:r>
    </w:p>
    <w:p w14:paraId="4ADF3361" w14:textId="77777777" w:rsidR="006D4DB7" w:rsidRPr="002B2AED" w:rsidRDefault="006D4DB7" w:rsidP="006D4DB7">
      <w:pPr>
        <w:pStyle w:val="CETAddress"/>
        <w:rPr>
          <w:noProof w:val="0"/>
        </w:rPr>
      </w:pPr>
      <w:proofErr w:type="spellStart"/>
      <w:r w:rsidRPr="002B2AED">
        <w:rPr>
          <w:noProof w:val="0"/>
          <w:vertAlign w:val="superscript"/>
        </w:rPr>
        <w:t>a</w:t>
      </w:r>
      <w:r w:rsidRPr="002B2AED">
        <w:rPr>
          <w:noProof w:val="0"/>
        </w:rPr>
        <w:t>Department</w:t>
      </w:r>
      <w:proofErr w:type="spellEnd"/>
      <w:r w:rsidRPr="002B2AED">
        <w:rPr>
          <w:noProof w:val="0"/>
        </w:rPr>
        <w:t xml:space="preserve"> of Engineering, University of Messina, Contrada di Dio, 98166 Messina, Italy</w:t>
      </w:r>
    </w:p>
    <w:p w14:paraId="3D72B0B0" w14:textId="0EF066FA" w:rsidR="00B57E6F" w:rsidRPr="002B2AED" w:rsidRDefault="00B57E6F" w:rsidP="008C5786">
      <w:pPr>
        <w:pStyle w:val="CETAddress"/>
        <w:jc w:val="both"/>
        <w:rPr>
          <w:noProof w:val="0"/>
        </w:rPr>
      </w:pPr>
      <w:proofErr w:type="spellStart"/>
      <w:r w:rsidRPr="002B2AED">
        <w:rPr>
          <w:noProof w:val="0"/>
          <w:vertAlign w:val="superscript"/>
        </w:rPr>
        <w:t>b</w:t>
      </w:r>
      <w:r w:rsidR="006D4DB7" w:rsidRPr="002B2AED">
        <w:rPr>
          <w:noProof w:val="0"/>
        </w:rPr>
        <w:t>Department</w:t>
      </w:r>
      <w:proofErr w:type="spellEnd"/>
      <w:r w:rsidR="006D4DB7" w:rsidRPr="002B2AED">
        <w:rPr>
          <w:noProof w:val="0"/>
        </w:rPr>
        <w:t xml:space="preserve"> of Mathematical, Computer, Physical and Earth </w:t>
      </w:r>
      <w:r w:rsidR="00677B7A" w:rsidRPr="002B2AED">
        <w:rPr>
          <w:noProof w:val="0"/>
        </w:rPr>
        <w:t>Sciences, University</w:t>
      </w:r>
      <w:r w:rsidR="006D4DB7" w:rsidRPr="002B2AED">
        <w:rPr>
          <w:noProof w:val="0"/>
        </w:rPr>
        <w:t xml:space="preserve"> of Messina,</w:t>
      </w:r>
      <w:r w:rsidR="006D4DB7" w:rsidRPr="002B2AED">
        <w:rPr>
          <w:rFonts w:ascii="Helvetica" w:hAnsi="Helvetica"/>
          <w:noProof w:val="0"/>
          <w:color w:val="212529"/>
          <w:sz w:val="29"/>
          <w:szCs w:val="29"/>
          <w:shd w:val="clear" w:color="auto" w:fill="FFFFFF"/>
        </w:rPr>
        <w:t xml:space="preserve"> </w:t>
      </w:r>
      <w:r w:rsidR="006D4DB7" w:rsidRPr="002B2AED">
        <w:rPr>
          <w:noProof w:val="0"/>
        </w:rPr>
        <w:t xml:space="preserve">Viale Ferdinando Stagno </w:t>
      </w:r>
      <w:proofErr w:type="spellStart"/>
      <w:r w:rsidR="006D4DB7" w:rsidRPr="002B2AED">
        <w:rPr>
          <w:noProof w:val="0"/>
        </w:rPr>
        <w:t>d'Alcontres</w:t>
      </w:r>
      <w:proofErr w:type="spellEnd"/>
      <w:r w:rsidR="006D4DB7" w:rsidRPr="002B2AED">
        <w:rPr>
          <w:noProof w:val="0"/>
        </w:rPr>
        <w:t xml:space="preserve"> 31, 98166 Messina, Italy</w:t>
      </w:r>
    </w:p>
    <w:p w14:paraId="73F1267A" w14:textId="2D2BD8EC" w:rsidR="00B57E6F" w:rsidRPr="002B2AED" w:rsidRDefault="004D4095" w:rsidP="00B57E6F">
      <w:pPr>
        <w:pStyle w:val="CETemail"/>
        <w:rPr>
          <w:noProof w:val="0"/>
        </w:rPr>
      </w:pPr>
      <w:r>
        <w:rPr>
          <w:noProof w:val="0"/>
        </w:rPr>
        <w:t>paolo.carbone@studenti.unime.it</w:t>
      </w:r>
    </w:p>
    <w:p w14:paraId="7863B39F" w14:textId="303F6B09" w:rsidR="009D7412" w:rsidRPr="008C5786" w:rsidRDefault="009D7412" w:rsidP="009D7412">
      <w:pPr>
        <w:pStyle w:val="CETBodytext"/>
      </w:pPr>
      <w:r w:rsidRPr="009D7412">
        <w:t>Th</w:t>
      </w:r>
      <w:r w:rsidR="00C4717E">
        <w:t>is</w:t>
      </w:r>
      <w:r w:rsidRPr="009D7412">
        <w:t xml:space="preserve"> study proposes a procedure for the prediction of the bottom conditions of storage tanks; it is based on the observations of</w:t>
      </w:r>
      <w:r w:rsidR="00C4717E">
        <w:t xml:space="preserve"> the evolution of the pit corrosion </w:t>
      </w:r>
      <w:r w:rsidR="00E1644A">
        <w:t>in</w:t>
      </w:r>
      <w:r w:rsidRPr="009D7412">
        <w:t xml:space="preserve"> some carbon steel samples that were exposed </w:t>
      </w:r>
      <w:r w:rsidR="00E1644A" w:rsidRPr="009D7412">
        <w:t xml:space="preserve">over </w:t>
      </w:r>
      <w:r w:rsidR="00E1644A">
        <w:t>one</w:t>
      </w:r>
      <w:r w:rsidR="00E1644A" w:rsidRPr="009D7412">
        <w:t xml:space="preserve"> year </w:t>
      </w:r>
      <w:r w:rsidRPr="009D7412">
        <w:t xml:space="preserve">to a corrosive environment simulating </w:t>
      </w:r>
      <w:r w:rsidR="00C4717E">
        <w:t>a</w:t>
      </w:r>
      <w:r w:rsidR="00C4717E" w:rsidRPr="009D7412">
        <w:t xml:space="preserve"> </w:t>
      </w:r>
      <w:r w:rsidRPr="009D7412">
        <w:t>real case scenario. The pitting corrosion on the samples was monitored by laser-scanning their surface</w:t>
      </w:r>
      <w:r w:rsidR="00764A5B">
        <w:t>, then,</w:t>
      </w:r>
      <w:r w:rsidRPr="009D7412">
        <w:t xml:space="preserve"> the maximum corrosion depth was calculated</w:t>
      </w:r>
      <w:r w:rsidR="00E1644A">
        <w:t xml:space="preserve"> for each sample</w:t>
      </w:r>
      <w:r w:rsidRPr="009D7412">
        <w:t>. A probabilistic model</w:t>
      </w:r>
      <w:r w:rsidR="00E1644A">
        <w:t>,</w:t>
      </w:r>
      <w:r w:rsidRPr="009D7412">
        <w:t xml:space="preserve"> based on the extreme values theory</w:t>
      </w:r>
      <w:r w:rsidR="00E1644A">
        <w:t>,</w:t>
      </w:r>
      <w:r w:rsidRPr="009D7412">
        <w:t xml:space="preserve"> was developed to model the distribution of pits. The model aims to predict the </w:t>
      </w:r>
      <w:r w:rsidR="00764A5B">
        <w:t xml:space="preserve">probability </w:t>
      </w:r>
      <w:r w:rsidR="00764A5B" w:rsidRPr="009D7412">
        <w:t xml:space="preserve">distribution </w:t>
      </w:r>
      <w:r w:rsidRPr="009D7412">
        <w:t xml:space="preserve">of the corrosion depths at a different time, building a simple time dependence </w:t>
      </w:r>
      <w:r w:rsidR="00764A5B">
        <w:t xml:space="preserve">for the distribution parameters </w:t>
      </w:r>
      <w:r w:rsidRPr="009D7412">
        <w:t xml:space="preserve">and allowing to determine the expected bottom perforation probability. By comparing with previous studies, Bayesian inference was used to adjust the prediction of both the distribution parameters, without losing their interdependence. The extreme values theory, combined with Bayesian inference, allows the model to </w:t>
      </w:r>
      <w:r w:rsidR="00764A5B" w:rsidRPr="009D7412">
        <w:t>give</w:t>
      </w:r>
      <w:r w:rsidRPr="009D7412">
        <w:t xml:space="preserve"> an accurate prediction of failure probability; consequently, the residual useful life of the tank can be precisely estimated, mitigating the risk of release </w:t>
      </w:r>
      <w:r w:rsidR="003D1414">
        <w:t xml:space="preserve">of dangerous substances </w:t>
      </w:r>
      <w:r w:rsidRPr="009D7412">
        <w:t xml:space="preserve">while optimizing management </w:t>
      </w:r>
      <w:r w:rsidR="004264A1">
        <w:t>cost</w:t>
      </w:r>
      <w:r w:rsidR="004264A1" w:rsidRPr="009D7412">
        <w:t>s</w:t>
      </w:r>
      <w:r w:rsidRPr="009D7412">
        <w:t>.</w:t>
      </w:r>
    </w:p>
    <w:p w14:paraId="476B2F2E" w14:textId="3A1CA7F2" w:rsidR="00600535" w:rsidRPr="002B2AED" w:rsidRDefault="00600535" w:rsidP="00600535">
      <w:pPr>
        <w:pStyle w:val="CETHeading1"/>
        <w:rPr>
          <w:lang w:val="en-GB"/>
        </w:rPr>
      </w:pPr>
      <w:r w:rsidRPr="002B2AED">
        <w:rPr>
          <w:lang w:val="en-GB"/>
        </w:rPr>
        <w:t>Introduction</w:t>
      </w:r>
    </w:p>
    <w:p w14:paraId="1F3F9897" w14:textId="67A30716" w:rsidR="00343164" w:rsidRDefault="001133EB" w:rsidP="00C245BB">
      <w:pPr>
        <w:pStyle w:val="CETBodytext"/>
        <w:rPr>
          <w:lang w:val="en-GB"/>
        </w:rPr>
      </w:pPr>
      <w:r w:rsidRPr="00165453">
        <w:rPr>
          <w:lang w:val="en-GB"/>
        </w:rPr>
        <w:t>In the oil and gas industry, atmospheric storage tanks (ASTs) are critical infrastructure, as they play a crucial role in safely holding dangerous materials</w:t>
      </w:r>
      <w:r w:rsidR="008F3D96" w:rsidRPr="00165453">
        <w:rPr>
          <w:lang w:val="en-GB"/>
        </w:rPr>
        <w:t>, but corrosion is one of the major problems (</w:t>
      </w:r>
      <w:proofErr w:type="spellStart"/>
      <w:r w:rsidR="008F3D96" w:rsidRPr="00165453">
        <w:rPr>
          <w:lang w:val="en-GB"/>
        </w:rPr>
        <w:t>Komariah</w:t>
      </w:r>
      <w:proofErr w:type="spellEnd"/>
      <w:r w:rsidR="008F3D96" w:rsidRPr="00165453">
        <w:rPr>
          <w:lang w:val="en-GB"/>
        </w:rPr>
        <w:t xml:space="preserve"> et al., 2021). Since </w:t>
      </w:r>
      <w:r w:rsidRPr="00165453">
        <w:rPr>
          <w:lang w:val="en-GB"/>
        </w:rPr>
        <w:t xml:space="preserve">these vessels are designed for long-term use, their safety heavily depends on the implementation of proper integrity monitoring and maintenance strategies. A major concern in petrochemical plants, oil terminals, and refineries is the degradation of the tank bottoms due to corrosion, a </w:t>
      </w:r>
      <w:r w:rsidR="0051726F" w:rsidRPr="00165453">
        <w:rPr>
          <w:lang w:val="en-GB"/>
        </w:rPr>
        <w:t xml:space="preserve">criticality </w:t>
      </w:r>
      <w:r w:rsidRPr="00165453">
        <w:rPr>
          <w:lang w:val="en-GB"/>
        </w:rPr>
        <w:t xml:space="preserve">that becomes especially concerning as the tank gets older. </w:t>
      </w:r>
      <w:r w:rsidR="0051726F" w:rsidRPr="00165453">
        <w:rPr>
          <w:lang w:val="en-GB"/>
        </w:rPr>
        <w:t>C</w:t>
      </w:r>
      <w:r w:rsidRPr="00165453">
        <w:rPr>
          <w:lang w:val="en-GB"/>
        </w:rPr>
        <w:t>orrosion can lead to hazardous leaks, with severe threats to both humans and the surrounding ecosystem posed by the stored chemicals</w:t>
      </w:r>
      <w:r w:rsidR="0052052E" w:rsidRPr="00165453">
        <w:rPr>
          <w:lang w:val="en-GB"/>
        </w:rPr>
        <w:t xml:space="preserve"> </w:t>
      </w:r>
      <w:r w:rsidR="00E762F3" w:rsidRPr="00165453">
        <w:rPr>
          <w:lang w:val="en-GB"/>
        </w:rPr>
        <w:t xml:space="preserve">(Argyropoulos et al., 2012; Laurent et al., 2021; </w:t>
      </w:r>
      <w:proofErr w:type="spellStart"/>
      <w:r w:rsidR="00E762F3" w:rsidRPr="00165453">
        <w:rPr>
          <w:lang w:val="en-GB"/>
        </w:rPr>
        <w:t>Ikwan</w:t>
      </w:r>
      <w:proofErr w:type="spellEnd"/>
      <w:r w:rsidR="00E762F3" w:rsidRPr="00165453">
        <w:rPr>
          <w:lang w:val="en-GB"/>
        </w:rPr>
        <w:t xml:space="preserve"> et al., 2021)</w:t>
      </w:r>
      <w:r w:rsidRPr="00165453">
        <w:t>.</w:t>
      </w:r>
      <w:r w:rsidRPr="00165453">
        <w:rPr>
          <w:lang w:val="en-GB"/>
        </w:rPr>
        <w:t xml:space="preserve"> To manage these risks, the industry heavily relies on the Risk-Based Inspection (RBI) methodology. Typically, inspectors estimate the corrosion rate by </w:t>
      </w:r>
      <w:r w:rsidR="00B771B3" w:rsidRPr="00165453">
        <w:rPr>
          <w:lang w:val="en-GB"/>
        </w:rPr>
        <w:t>means of multiple observations of the metal thickness over the time</w:t>
      </w:r>
      <w:r w:rsidR="0052052E" w:rsidRPr="00165453">
        <w:rPr>
          <w:lang w:val="en-GB"/>
        </w:rPr>
        <w:t xml:space="preserve"> </w:t>
      </w:r>
      <w:r w:rsidR="00C245BB" w:rsidRPr="00165453">
        <w:t>(EEMUA, 2014</w:t>
      </w:r>
      <w:r w:rsidR="00E762F3" w:rsidRPr="00165453">
        <w:t>)</w:t>
      </w:r>
      <w:r w:rsidRPr="00165453">
        <w:t>.</w:t>
      </w:r>
      <w:r w:rsidRPr="00165453">
        <w:rPr>
          <w:lang w:val="en-GB"/>
        </w:rPr>
        <w:t xml:space="preserve"> This calculation helps </w:t>
      </w:r>
      <w:r w:rsidR="00513C62" w:rsidRPr="00165453">
        <w:rPr>
          <w:lang w:val="en-GB"/>
        </w:rPr>
        <w:t xml:space="preserve">in </w:t>
      </w:r>
      <w:r w:rsidRPr="00165453">
        <w:rPr>
          <w:lang w:val="en-GB"/>
        </w:rPr>
        <w:t>predict</w:t>
      </w:r>
      <w:r w:rsidR="00513C62" w:rsidRPr="00165453">
        <w:rPr>
          <w:lang w:val="en-GB"/>
        </w:rPr>
        <w:t>ing</w:t>
      </w:r>
      <w:r w:rsidRPr="00165453">
        <w:rPr>
          <w:lang w:val="en-GB"/>
        </w:rPr>
        <w:t xml:space="preserve"> the equipment</w:t>
      </w:r>
      <w:r w:rsidR="004264A1">
        <w:rPr>
          <w:lang w:val="en-GB"/>
        </w:rPr>
        <w:t>’</w:t>
      </w:r>
      <w:r w:rsidRPr="00165453">
        <w:rPr>
          <w:lang w:val="en-GB"/>
        </w:rPr>
        <w:t xml:space="preserve">s residual useful life and </w:t>
      </w:r>
      <w:r w:rsidR="00EC6087">
        <w:rPr>
          <w:lang w:val="en-GB"/>
        </w:rPr>
        <w:t>scheduling</w:t>
      </w:r>
      <w:r w:rsidR="00EC6087" w:rsidRPr="00165453">
        <w:rPr>
          <w:lang w:val="en-GB"/>
        </w:rPr>
        <w:t xml:space="preserve"> </w:t>
      </w:r>
      <w:r w:rsidRPr="00165453">
        <w:rPr>
          <w:lang w:val="en-GB"/>
        </w:rPr>
        <w:t>future maintenance. Frameworks like the API recommended practices demand extensive data regarding damage mechanisms</w:t>
      </w:r>
      <w:r w:rsidR="00C245BB" w:rsidRPr="00165453">
        <w:rPr>
          <w:lang w:val="en-GB"/>
        </w:rPr>
        <w:t xml:space="preserve"> (API, 2016a)</w:t>
      </w:r>
      <w:r w:rsidRPr="00165453">
        <w:rPr>
          <w:lang w:val="en-GB"/>
        </w:rPr>
        <w:t xml:space="preserve">, which can </w:t>
      </w:r>
      <w:r w:rsidR="008F3D96" w:rsidRPr="00165453">
        <w:rPr>
          <w:lang w:val="en-GB"/>
        </w:rPr>
        <w:t xml:space="preserve">be excessive for </w:t>
      </w:r>
      <w:r w:rsidRPr="00165453">
        <w:rPr>
          <w:lang w:val="en-GB"/>
        </w:rPr>
        <w:t xml:space="preserve">smaller facilities or fuel depots </w:t>
      </w:r>
      <w:r w:rsidR="00B17030" w:rsidRPr="00165453">
        <w:rPr>
          <w:lang w:val="en-GB"/>
        </w:rPr>
        <w:t xml:space="preserve">because of the </w:t>
      </w:r>
      <w:r w:rsidR="00EC6087">
        <w:rPr>
          <w:lang w:val="en-GB"/>
        </w:rPr>
        <w:t>high</w:t>
      </w:r>
      <w:r w:rsidR="00EC6087" w:rsidRPr="00165453">
        <w:rPr>
          <w:lang w:val="en-GB"/>
        </w:rPr>
        <w:t xml:space="preserve"> </w:t>
      </w:r>
      <w:r w:rsidRPr="00165453">
        <w:rPr>
          <w:lang w:val="en-GB"/>
        </w:rPr>
        <w:t xml:space="preserve">costs and resource drains. More importantly, taking discrete thickness readings simply cannot guarantee the </w:t>
      </w:r>
      <w:r w:rsidR="00B771B3" w:rsidRPr="00165453">
        <w:rPr>
          <w:lang w:val="en-GB"/>
        </w:rPr>
        <w:t>knowledge</w:t>
      </w:r>
      <w:r w:rsidRPr="00165453">
        <w:rPr>
          <w:lang w:val="en-GB"/>
        </w:rPr>
        <w:t xml:space="preserve"> of the absolute deepest point of corrosion. Tank bottoms </w:t>
      </w:r>
      <w:r w:rsidR="00B771B3" w:rsidRPr="00165453">
        <w:rPr>
          <w:lang w:val="en-GB"/>
        </w:rPr>
        <w:t>are heavily subjected</w:t>
      </w:r>
      <w:r w:rsidRPr="00165453">
        <w:rPr>
          <w:lang w:val="en-GB"/>
        </w:rPr>
        <w:t xml:space="preserve"> </w:t>
      </w:r>
      <w:r w:rsidR="00B771B3" w:rsidRPr="00165453">
        <w:rPr>
          <w:lang w:val="en-GB"/>
        </w:rPr>
        <w:t>to</w:t>
      </w:r>
      <w:r w:rsidRPr="00165453">
        <w:rPr>
          <w:lang w:val="en-GB"/>
        </w:rPr>
        <w:t xml:space="preserve"> localized pitting rather than uniform wear, meaning a critical flaw could</w:t>
      </w:r>
      <w:r w:rsidRPr="006018EC">
        <w:rPr>
          <w:lang w:val="en-GB"/>
        </w:rPr>
        <w:t xml:space="preserve"> easily slip past standard measurement</w:t>
      </w:r>
      <w:r w:rsidR="00B17030">
        <w:rPr>
          <w:lang w:val="en-GB"/>
        </w:rPr>
        <w:t>s</w:t>
      </w:r>
      <w:r w:rsidRPr="006018EC">
        <w:rPr>
          <w:lang w:val="en-GB"/>
        </w:rPr>
        <w:t>.</w:t>
      </w:r>
    </w:p>
    <w:p w14:paraId="50F9D4C1" w14:textId="7453B7CC" w:rsidR="00E762F3" w:rsidRDefault="00B17030" w:rsidP="00600535">
      <w:pPr>
        <w:pStyle w:val="CETBodytext"/>
        <w:rPr>
          <w:lang w:val="en-GB"/>
        </w:rPr>
      </w:pPr>
      <w:r>
        <w:rPr>
          <w:lang w:val="en-GB"/>
        </w:rPr>
        <w:t>T</w:t>
      </w:r>
      <w:r w:rsidR="00046C0A" w:rsidRPr="006018EC">
        <w:rPr>
          <w:lang w:val="en-GB"/>
        </w:rPr>
        <w:t>his work aim</w:t>
      </w:r>
      <w:r>
        <w:rPr>
          <w:lang w:val="en-GB"/>
        </w:rPr>
        <w:t>s</w:t>
      </w:r>
      <w:r w:rsidR="00046C0A" w:rsidRPr="006018EC">
        <w:rPr>
          <w:lang w:val="en-GB"/>
        </w:rPr>
        <w:t xml:space="preserve"> to iterate on previous studies</w:t>
      </w:r>
      <w:r>
        <w:rPr>
          <w:lang w:val="en-GB"/>
        </w:rPr>
        <w:t>,</w:t>
      </w:r>
      <w:r w:rsidR="00046C0A" w:rsidRPr="006018EC">
        <w:rPr>
          <w:lang w:val="en-GB"/>
        </w:rPr>
        <w:t xml:space="preserve"> where </w:t>
      </w:r>
      <w:r w:rsidR="00B444AB" w:rsidRPr="006018EC">
        <w:rPr>
          <w:lang w:val="en-GB"/>
        </w:rPr>
        <w:t xml:space="preserve">extreme value theory together with Bayesian inference </w:t>
      </w:r>
      <w:r w:rsidR="004264A1">
        <w:rPr>
          <w:lang w:val="en-GB"/>
        </w:rPr>
        <w:t xml:space="preserve">is </w:t>
      </w:r>
      <w:r w:rsidR="00046C0A" w:rsidRPr="006018EC">
        <w:rPr>
          <w:lang w:val="en-GB"/>
        </w:rPr>
        <w:t xml:space="preserve">successfully used to </w:t>
      </w:r>
      <w:r w:rsidR="00B444AB" w:rsidRPr="006018EC">
        <w:rPr>
          <w:lang w:val="en-GB"/>
        </w:rPr>
        <w:t>model the corrosion rate</w:t>
      </w:r>
      <w:r w:rsidR="0052052E" w:rsidRPr="006018EC">
        <w:rPr>
          <w:lang w:val="en-GB"/>
        </w:rPr>
        <w:t xml:space="preserve"> (</w:t>
      </w:r>
      <w:r w:rsidR="001F4F3B" w:rsidRPr="006018EC">
        <w:rPr>
          <w:lang w:val="en-GB"/>
        </w:rPr>
        <w:t>Kasai et al.,2026</w:t>
      </w:r>
      <w:r w:rsidR="00EC6087">
        <w:rPr>
          <w:lang w:val="en-GB"/>
        </w:rPr>
        <w:t>;</w:t>
      </w:r>
      <w:r w:rsidR="00EC6087" w:rsidRPr="006018EC">
        <w:rPr>
          <w:lang w:val="en-GB"/>
        </w:rPr>
        <w:t xml:space="preserve"> </w:t>
      </w:r>
      <w:r w:rsidR="001F4F3B" w:rsidRPr="006018EC">
        <w:rPr>
          <w:lang w:val="en-GB"/>
        </w:rPr>
        <w:t>Milazzo et al.,</w:t>
      </w:r>
      <w:r w:rsidR="00212C93" w:rsidRPr="006018EC">
        <w:rPr>
          <w:lang w:val="en-GB"/>
        </w:rPr>
        <w:t xml:space="preserve"> 2022</w:t>
      </w:r>
      <w:r w:rsidR="0052052E" w:rsidRPr="006018EC">
        <w:rPr>
          <w:lang w:val="en-GB"/>
        </w:rPr>
        <w:t>)</w:t>
      </w:r>
      <w:r w:rsidR="00046C0A" w:rsidRPr="006018EC">
        <w:rPr>
          <w:lang w:val="en-GB"/>
        </w:rPr>
        <w:t xml:space="preserve">. </w:t>
      </w:r>
      <w:r w:rsidR="00B444AB" w:rsidRPr="006018EC">
        <w:rPr>
          <w:lang w:val="en-GB"/>
        </w:rPr>
        <w:t>This probabilistic approach gives an estimate of the maximum depth of corrosion by fitting the discrete thickness measurements into a Gumbel distribution. Rather than deriving the corrosion rate from these measurements, it is possible to</w:t>
      </w:r>
      <w:r w:rsidR="00B444AB">
        <w:rPr>
          <w:lang w:val="en-GB"/>
        </w:rPr>
        <w:t xml:space="preserve"> measure the time dependence of the parameters</w:t>
      </w:r>
      <w:r>
        <w:rPr>
          <w:lang w:val="en-GB"/>
        </w:rPr>
        <w:t xml:space="preserve"> for the Gumbel</w:t>
      </w:r>
      <w:r w:rsidRPr="00B17030">
        <w:rPr>
          <w:lang w:val="en-GB"/>
        </w:rPr>
        <w:t xml:space="preserve"> </w:t>
      </w:r>
      <w:r>
        <w:rPr>
          <w:lang w:val="en-GB"/>
        </w:rPr>
        <w:t>distribution</w:t>
      </w:r>
      <w:r w:rsidR="00974B8C">
        <w:rPr>
          <w:lang w:val="en-GB"/>
        </w:rPr>
        <w:t>, which allows the prediction of the</w:t>
      </w:r>
      <w:r>
        <w:rPr>
          <w:lang w:val="en-GB"/>
        </w:rPr>
        <w:t xml:space="preserve"> </w:t>
      </w:r>
      <w:r>
        <w:rPr>
          <w:lang w:val="en-GB"/>
        </w:rPr>
        <w:lastRenderedPageBreak/>
        <w:t>probability of a given</w:t>
      </w:r>
      <w:r w:rsidR="00974B8C">
        <w:rPr>
          <w:lang w:val="en-GB"/>
        </w:rPr>
        <w:t xml:space="preserve"> corrosion depth. This prediction is then further refined with</w:t>
      </w:r>
      <w:r>
        <w:rPr>
          <w:lang w:val="en-GB"/>
        </w:rPr>
        <w:t xml:space="preserve"> the</w:t>
      </w:r>
      <w:r w:rsidR="00974B8C">
        <w:rPr>
          <w:lang w:val="en-GB"/>
        </w:rPr>
        <w:t xml:space="preserve"> Bayesian inference, by adjusting the </w:t>
      </w:r>
      <w:r w:rsidR="00974B8C" w:rsidRPr="00343164">
        <w:rPr>
          <w:lang w:val="en-GB"/>
        </w:rPr>
        <w:t>prediction of one of the two distribution parameters.</w:t>
      </w:r>
      <w:r w:rsidR="00974B8C">
        <w:rPr>
          <w:lang w:val="en-GB"/>
        </w:rPr>
        <w:t xml:space="preserve"> This </w:t>
      </w:r>
      <w:r w:rsidR="00343164">
        <w:rPr>
          <w:lang w:val="en-GB"/>
        </w:rPr>
        <w:t xml:space="preserve">work </w:t>
      </w:r>
      <w:r w:rsidR="00974B8C">
        <w:rPr>
          <w:lang w:val="en-GB"/>
        </w:rPr>
        <w:t xml:space="preserve">introduces a </w:t>
      </w:r>
      <w:r w:rsidR="000F3C4F">
        <w:rPr>
          <w:lang w:val="en-GB"/>
        </w:rPr>
        <w:t xml:space="preserve">modification in the previous </w:t>
      </w:r>
      <w:r w:rsidR="00974B8C">
        <w:rPr>
          <w:lang w:val="en-GB"/>
        </w:rPr>
        <w:t>methodology to allow the Bayesian inference to adjust both parameters at the same time, without losing their interdependence.</w:t>
      </w:r>
      <w:r w:rsidR="007208BC">
        <w:rPr>
          <w:lang w:val="en-GB"/>
        </w:rPr>
        <w:t xml:space="preserve"> By </w:t>
      </w:r>
      <w:r w:rsidR="007208BC" w:rsidRPr="00343164">
        <w:rPr>
          <w:lang w:val="en-GB"/>
        </w:rPr>
        <w:t xml:space="preserve">merging the data from recent inspections alongside historical trends from similar storage tanks, this technique offers a dynamic forecast that is tank-specific, </w:t>
      </w:r>
      <w:r w:rsidR="00763D05" w:rsidRPr="00343164">
        <w:rPr>
          <w:lang w:val="en-GB"/>
        </w:rPr>
        <w:t>stepping away from overly conservative blanket standards, allowing facility managers to establish the safest, most cost-effective timeline for the next full inspection</w:t>
      </w:r>
      <w:r w:rsidR="009D7412" w:rsidRPr="00343164">
        <w:rPr>
          <w:lang w:val="en-GB"/>
        </w:rPr>
        <w:t>.</w:t>
      </w:r>
      <w:r w:rsidR="00343164">
        <w:rPr>
          <w:lang w:val="en-GB"/>
        </w:rPr>
        <w:t xml:space="preserve"> </w:t>
      </w:r>
      <w:r w:rsidR="00975FD9">
        <w:rPr>
          <w:lang w:val="en-GB"/>
        </w:rPr>
        <w:t xml:space="preserve">The manuscript is structured as follows: the methodology (experimental investigation, data collection and modelling) is given in Section </w:t>
      </w:r>
      <w:r w:rsidR="00BF05EB">
        <w:rPr>
          <w:lang w:val="en-GB"/>
        </w:rPr>
        <w:fldChar w:fldCharType="begin"/>
      </w:r>
      <w:r w:rsidR="00BF05EB">
        <w:rPr>
          <w:lang w:val="en-GB"/>
        </w:rPr>
        <w:instrText xml:space="preserve"> REF _Ref223429874 \r \h </w:instrText>
      </w:r>
      <w:r w:rsidR="00BF05EB">
        <w:rPr>
          <w:lang w:val="en-GB"/>
        </w:rPr>
      </w:r>
      <w:r w:rsidR="00BF05EB">
        <w:rPr>
          <w:lang w:val="en-GB"/>
        </w:rPr>
        <w:fldChar w:fldCharType="separate"/>
      </w:r>
      <w:r w:rsidR="00BF05EB">
        <w:rPr>
          <w:lang w:val="en-GB"/>
        </w:rPr>
        <w:t>2</w:t>
      </w:r>
      <w:r w:rsidR="00BF05EB">
        <w:rPr>
          <w:lang w:val="en-GB"/>
        </w:rPr>
        <w:fldChar w:fldCharType="end"/>
      </w:r>
      <w:r w:rsidR="00975FD9">
        <w:rPr>
          <w:lang w:val="en-GB"/>
        </w:rPr>
        <w:t>; the results of the study</w:t>
      </w:r>
      <w:r w:rsidR="00056D40">
        <w:rPr>
          <w:lang w:val="en-GB"/>
        </w:rPr>
        <w:t xml:space="preserve"> and related discussion</w:t>
      </w:r>
      <w:r w:rsidR="00975FD9">
        <w:rPr>
          <w:lang w:val="en-GB"/>
        </w:rPr>
        <w:t xml:space="preserve"> are </w:t>
      </w:r>
      <w:r w:rsidR="00056D40">
        <w:rPr>
          <w:lang w:val="en-GB"/>
        </w:rPr>
        <w:t>reported</w:t>
      </w:r>
      <w:r w:rsidR="00975FD9">
        <w:rPr>
          <w:lang w:val="en-GB"/>
        </w:rPr>
        <w:t xml:space="preserve"> in </w:t>
      </w:r>
      <w:r w:rsidR="00056D40">
        <w:rPr>
          <w:lang w:val="en-GB"/>
        </w:rPr>
        <w:t xml:space="preserve">Section </w:t>
      </w:r>
      <w:r w:rsidR="00BF05EB">
        <w:rPr>
          <w:lang w:val="en-GB"/>
        </w:rPr>
        <w:fldChar w:fldCharType="begin"/>
      </w:r>
      <w:r w:rsidR="00BF05EB">
        <w:rPr>
          <w:lang w:val="en-GB"/>
        </w:rPr>
        <w:instrText xml:space="preserve"> REF _Ref223429943 \r \h </w:instrText>
      </w:r>
      <w:r w:rsidR="00BF05EB">
        <w:rPr>
          <w:lang w:val="en-GB"/>
        </w:rPr>
      </w:r>
      <w:r w:rsidR="00BF05EB">
        <w:rPr>
          <w:lang w:val="en-GB"/>
        </w:rPr>
        <w:fldChar w:fldCharType="separate"/>
      </w:r>
      <w:r w:rsidR="00BF05EB">
        <w:rPr>
          <w:lang w:val="en-GB"/>
        </w:rPr>
        <w:t>3</w:t>
      </w:r>
      <w:r w:rsidR="00BF05EB">
        <w:rPr>
          <w:lang w:val="en-GB"/>
        </w:rPr>
        <w:fldChar w:fldCharType="end"/>
      </w:r>
      <w:r w:rsidR="00056D40">
        <w:rPr>
          <w:lang w:val="en-GB"/>
        </w:rPr>
        <w:t xml:space="preserve">; finally, conclusions are given in Section </w:t>
      </w:r>
      <w:r w:rsidR="00BF05EB">
        <w:rPr>
          <w:lang w:val="en-GB"/>
        </w:rPr>
        <w:fldChar w:fldCharType="begin"/>
      </w:r>
      <w:r w:rsidR="00BF05EB">
        <w:rPr>
          <w:lang w:val="en-GB"/>
        </w:rPr>
        <w:instrText xml:space="preserve"> REF _Ref223429949 \r \h </w:instrText>
      </w:r>
      <w:r w:rsidR="00BF05EB">
        <w:rPr>
          <w:lang w:val="en-GB"/>
        </w:rPr>
      </w:r>
      <w:r w:rsidR="00BF05EB">
        <w:rPr>
          <w:lang w:val="en-GB"/>
        </w:rPr>
        <w:fldChar w:fldCharType="separate"/>
      </w:r>
      <w:r w:rsidR="00BF05EB">
        <w:rPr>
          <w:lang w:val="en-GB"/>
        </w:rPr>
        <w:t>4</w:t>
      </w:r>
      <w:r w:rsidR="00BF05EB">
        <w:rPr>
          <w:lang w:val="en-GB"/>
        </w:rPr>
        <w:fldChar w:fldCharType="end"/>
      </w:r>
      <w:r w:rsidR="00056D40">
        <w:rPr>
          <w:lang w:val="en-GB"/>
        </w:rPr>
        <w:t>.</w:t>
      </w:r>
    </w:p>
    <w:p w14:paraId="61F91CC3" w14:textId="5F8E5515" w:rsidR="00E762F3" w:rsidRDefault="00E762F3" w:rsidP="00E762F3">
      <w:pPr>
        <w:pStyle w:val="CETHeading1"/>
      </w:pPr>
      <w:bookmarkStart w:id="1" w:name="_Ref223429874"/>
      <w:r>
        <w:t>Methodology</w:t>
      </w:r>
      <w:bookmarkEnd w:id="1"/>
    </w:p>
    <w:p w14:paraId="1CA002B4" w14:textId="5B5332C8" w:rsidR="00343164" w:rsidRPr="008C5786" w:rsidRDefault="00343164" w:rsidP="00343164">
      <w:pPr>
        <w:pStyle w:val="CETBodytext"/>
        <w:rPr>
          <w:lang w:val="en-GB"/>
        </w:rPr>
      </w:pPr>
      <w:r>
        <w:rPr>
          <w:lang w:val="en-GB"/>
        </w:rPr>
        <w:t xml:space="preserve">The </w:t>
      </w:r>
      <w:r w:rsidRPr="006018EC">
        <w:rPr>
          <w:lang w:val="en-GB"/>
        </w:rPr>
        <w:t xml:space="preserve">probabilistic </w:t>
      </w:r>
      <w:r w:rsidR="006106C0">
        <w:rPr>
          <w:lang w:val="en-GB"/>
        </w:rPr>
        <w:t>model</w:t>
      </w:r>
      <w:r w:rsidRPr="006018EC">
        <w:rPr>
          <w:lang w:val="en-GB"/>
        </w:rPr>
        <w:t xml:space="preserve"> </w:t>
      </w:r>
      <w:r>
        <w:rPr>
          <w:lang w:val="en-GB"/>
        </w:rPr>
        <w:t>estimating</w:t>
      </w:r>
      <w:r w:rsidRPr="006018EC">
        <w:rPr>
          <w:lang w:val="en-GB"/>
        </w:rPr>
        <w:t xml:space="preserve"> the maximum depth of corrosion </w:t>
      </w:r>
      <w:r w:rsidR="006106C0" w:rsidRPr="008E6A3E">
        <w:rPr>
          <w:lang w:val="en-GB"/>
        </w:rPr>
        <w:t>was developed starting from a dataset built by means of laboratory experiments.</w:t>
      </w:r>
      <w:r w:rsidR="006106C0">
        <w:rPr>
          <w:lang w:val="en-GB"/>
        </w:rPr>
        <w:t xml:space="preserve"> The measures</w:t>
      </w:r>
      <w:r w:rsidR="004D298F">
        <w:t xml:space="preserve"> were taken</w:t>
      </w:r>
      <w:r w:rsidRPr="006018EC">
        <w:t xml:space="preserve"> at </w:t>
      </w:r>
      <w:r w:rsidR="004D298F">
        <w:t>different</w:t>
      </w:r>
      <w:r w:rsidRPr="006018EC">
        <w:t xml:space="preserve"> time frame</w:t>
      </w:r>
      <w:r w:rsidR="007C5325">
        <w:t>s</w:t>
      </w:r>
      <w:r w:rsidRPr="006018EC">
        <w:t xml:space="preserve"> </w:t>
      </w:r>
      <w:r w:rsidR="004D298F">
        <w:t>and</w:t>
      </w:r>
      <w:r w:rsidRPr="006018EC">
        <w:t xml:space="preserve"> fitted to a type 1 Gumbel distribution</w:t>
      </w:r>
      <w:r w:rsidR="004D298F">
        <w:t xml:space="preserve"> </w:t>
      </w:r>
      <w:r w:rsidR="004D298F" w:rsidRPr="006018EC">
        <w:t>(Milazzo et al., 20</w:t>
      </w:r>
      <w:r w:rsidR="004D298F">
        <w:t>22</w:t>
      </w:r>
      <w:r w:rsidR="004D298F" w:rsidRPr="006018EC">
        <w:t>)</w:t>
      </w:r>
      <w:r w:rsidRPr="006018EC">
        <w:t>:</w:t>
      </w:r>
    </w:p>
    <w:tbl>
      <w:tblPr>
        <w:tblW w:w="5000" w:type="pct"/>
        <w:tblLook w:val="04A0" w:firstRow="1" w:lastRow="0" w:firstColumn="1" w:lastColumn="0" w:noHBand="0" w:noVBand="1"/>
      </w:tblPr>
      <w:tblGrid>
        <w:gridCol w:w="7986"/>
        <w:gridCol w:w="801"/>
      </w:tblGrid>
      <w:tr w:rsidR="00343164" w:rsidRPr="00B57B36" w14:paraId="32F4CE40" w14:textId="77777777" w:rsidTr="008C5786">
        <w:tc>
          <w:tcPr>
            <w:tcW w:w="7986" w:type="dxa"/>
            <w:vAlign w:val="center"/>
          </w:tcPr>
          <w:p w14:paraId="6527316C" w14:textId="404BCDD1" w:rsidR="00343164" w:rsidRPr="00343164" w:rsidRDefault="00DB17E3" w:rsidP="008E6A3E">
            <w:pPr>
              <w:pStyle w:val="CETEquation"/>
            </w:pPr>
            <w:r w:rsidRPr="00ED7346">
              <w:rPr>
                <w:position w:val="-30"/>
              </w:rPr>
              <w:object w:dxaOrig="2860" w:dyaOrig="720" w14:anchorId="1A182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2.25pt" o:ole="">
                  <v:imagedata r:id="rId10" o:title=""/>
                </v:shape>
                <o:OLEObject Type="Embed" ProgID="Equation.DSMT4" ShapeID="_x0000_i1025" DrawAspect="Content" ObjectID="_1837858053" r:id="rId11"/>
              </w:object>
            </w:r>
          </w:p>
        </w:tc>
        <w:tc>
          <w:tcPr>
            <w:tcW w:w="801" w:type="dxa"/>
            <w:vAlign w:val="center"/>
          </w:tcPr>
          <w:p w14:paraId="2B9FF7DE" w14:textId="77777777" w:rsidR="00343164" w:rsidRPr="00B57B36" w:rsidRDefault="00343164" w:rsidP="008E6A3E">
            <w:pPr>
              <w:pStyle w:val="CETEquation"/>
              <w:jc w:val="right"/>
            </w:pPr>
            <w:r w:rsidRPr="00B57B36">
              <w:t>(1)</w:t>
            </w:r>
          </w:p>
        </w:tc>
      </w:tr>
    </w:tbl>
    <w:p w14:paraId="15BAF3A6" w14:textId="5B823ACF" w:rsidR="00343164" w:rsidRDefault="00343164" w:rsidP="00343164">
      <w:pPr>
        <w:pStyle w:val="CETBodytext"/>
        <w:rPr>
          <w:iCs/>
          <w:color w:val="000000"/>
          <w:kern w:val="24"/>
          <w:szCs w:val="18"/>
          <w:lang w:val="en-GB"/>
        </w:rPr>
      </w:pPr>
      <w:r>
        <w:t>The distribution</w:t>
      </w:r>
      <w:r w:rsidRPr="0012285F">
        <w:t xml:space="preserve"> is then linearized</w:t>
      </w:r>
      <w:r>
        <w:t xml:space="preserve"> </w:t>
      </w:r>
      <w:r w:rsidR="00ED7346">
        <w:t xml:space="preserve">by </w:t>
      </w:r>
      <w:r>
        <w:t xml:space="preserve">introducing the </w:t>
      </w:r>
      <w:r w:rsidR="00950B00">
        <w:t xml:space="preserve">reduced </w:t>
      </w:r>
      <w:r>
        <w:t>variable:</w:t>
      </w:r>
    </w:p>
    <w:tbl>
      <w:tblPr>
        <w:tblW w:w="5000" w:type="pct"/>
        <w:tblLook w:val="04A0" w:firstRow="1" w:lastRow="0" w:firstColumn="1" w:lastColumn="0" w:noHBand="0" w:noVBand="1"/>
      </w:tblPr>
      <w:tblGrid>
        <w:gridCol w:w="7986"/>
        <w:gridCol w:w="801"/>
      </w:tblGrid>
      <w:tr w:rsidR="00ED7346" w:rsidRPr="00B57B36" w14:paraId="02F59BAA" w14:textId="77777777" w:rsidTr="008E6A3E">
        <w:tc>
          <w:tcPr>
            <w:tcW w:w="7986" w:type="dxa"/>
            <w:vAlign w:val="center"/>
          </w:tcPr>
          <w:p w14:paraId="1B71CD61" w14:textId="17747D16" w:rsidR="00ED7346" w:rsidRPr="00343164" w:rsidRDefault="00DB17E3" w:rsidP="008E6A3E">
            <w:pPr>
              <w:pStyle w:val="CETEquation"/>
            </w:pPr>
            <w:r w:rsidRPr="00B96459">
              <w:rPr>
                <w:position w:val="-24"/>
              </w:rPr>
              <w:object w:dxaOrig="999" w:dyaOrig="620" w14:anchorId="2B8B5612">
                <v:shape id="_x0000_i1026" type="#_x0000_t75" style="width:42.75pt;height:27pt" o:ole="">
                  <v:imagedata r:id="rId12" o:title=""/>
                </v:shape>
                <o:OLEObject Type="Embed" ProgID="Equation.DSMT4" ShapeID="_x0000_i1026" DrawAspect="Content" ObjectID="_1837858054" r:id="rId13"/>
              </w:object>
            </w:r>
          </w:p>
        </w:tc>
        <w:tc>
          <w:tcPr>
            <w:tcW w:w="801" w:type="dxa"/>
            <w:vAlign w:val="center"/>
          </w:tcPr>
          <w:p w14:paraId="77E0B7BC" w14:textId="0FDC25A9" w:rsidR="00ED7346" w:rsidRPr="00B57B36" w:rsidRDefault="00ED7346" w:rsidP="008E6A3E">
            <w:pPr>
              <w:pStyle w:val="CETEquation"/>
              <w:jc w:val="right"/>
            </w:pPr>
            <w:r w:rsidRPr="00B57B36">
              <w:t>(</w:t>
            </w:r>
            <w:r>
              <w:t>2</w:t>
            </w:r>
            <w:r w:rsidRPr="00B57B36">
              <w:t>)</w:t>
            </w:r>
          </w:p>
        </w:tc>
      </w:tr>
    </w:tbl>
    <w:p w14:paraId="3AC4B148" w14:textId="194EB1FB" w:rsidR="00343164" w:rsidRDefault="00343164" w:rsidP="00343164">
      <w:pPr>
        <w:pStyle w:val="CETBodytext"/>
        <w:rPr>
          <w:rFonts w:eastAsiaTheme="minorEastAsia"/>
          <w:lang w:val="en-GB"/>
        </w:rPr>
      </w:pPr>
      <w:r w:rsidRPr="0012285F">
        <w:t xml:space="preserve">By plotting </w:t>
      </w:r>
      <w:r w:rsidR="00ED7346">
        <w:rPr>
          <w:rFonts w:ascii="Times New Roman" w:hAnsi="Times New Roman"/>
          <w:i/>
          <w:iCs/>
        </w:rPr>
        <w:t xml:space="preserve">y </w:t>
      </w:r>
      <w:r w:rsidRPr="0012285F">
        <w:t xml:space="preserve">as a function of </w:t>
      </w:r>
      <w:r w:rsidR="00ED7346" w:rsidRPr="008E6A3E">
        <w:rPr>
          <w:rFonts w:ascii="Times New Roman" w:hAnsi="Times New Roman"/>
          <w:i/>
          <w:iCs/>
        </w:rPr>
        <w:t>x</w:t>
      </w:r>
      <w:r w:rsidR="00ED7346">
        <w:t xml:space="preserve"> </w:t>
      </w:r>
      <w:r w:rsidRPr="0012285F">
        <w:t>in a semi-</w:t>
      </w:r>
      <w:r w:rsidR="00ED7346" w:rsidRPr="0012285F">
        <w:t>logarithmic</w:t>
      </w:r>
      <w:r w:rsidRPr="0012285F">
        <w:t xml:space="preserve"> diagram, the straight line obtained (plot position) has </w:t>
      </w:r>
      <w:r w:rsidRPr="006018EC">
        <w:t>a slope and intercept as functions of the distribution parameters, respectively</w:t>
      </w:r>
      <w:r w:rsidR="00ED7346">
        <w:t xml:space="preserve"> </w:t>
      </w:r>
      <w:r w:rsidR="00ED7346" w:rsidRPr="008C5786">
        <w:rPr>
          <w:rFonts w:ascii="Times New Roman" w:hAnsi="Times New Roman"/>
        </w:rPr>
        <w:t>1</w:t>
      </w:r>
      <w:r w:rsidR="00ED7346">
        <w:t>/</w:t>
      </w:r>
      <w:r w:rsidR="00ED7346" w:rsidRPr="008E6A3E">
        <w:rPr>
          <w:rFonts w:ascii="Times New Roman" w:hAnsi="Times New Roman"/>
          <w:i/>
          <w:iCs/>
        </w:rPr>
        <w:sym w:font="Symbol" w:char="F061"/>
      </w:r>
      <w:r w:rsidRPr="006018EC">
        <w:t xml:space="preserve"> and </w:t>
      </w:r>
      <w:r w:rsidR="00ED7346">
        <w:t>– (</w:t>
      </w:r>
      <w:r w:rsidR="00ED7346" w:rsidRPr="008C5786">
        <w:rPr>
          <w:i/>
          <w:iCs/>
        </w:rPr>
        <w:sym w:font="Symbol" w:char="F062"/>
      </w:r>
      <w:r w:rsidR="00ED7346">
        <w:t>/</w:t>
      </w:r>
      <w:r w:rsidR="00ED7346" w:rsidRPr="008C5786">
        <w:rPr>
          <w:i/>
          <w:iCs/>
        </w:rPr>
        <w:sym w:font="Symbol" w:char="F061"/>
      </w:r>
      <w:r w:rsidR="00ED7346">
        <w:t>)</w:t>
      </w:r>
      <w:r w:rsidRPr="006018EC">
        <w:rPr>
          <w:iCs/>
        </w:rPr>
        <w:t xml:space="preserve"> (</w:t>
      </w:r>
      <w:r w:rsidRPr="006018EC">
        <w:rPr>
          <w:iCs/>
        </w:rPr>
        <w:fldChar w:fldCharType="begin"/>
      </w:r>
      <w:r w:rsidRPr="006018EC">
        <w:rPr>
          <w:iCs/>
        </w:rPr>
        <w:instrText xml:space="preserve"> REF _Ref222737336 \h </w:instrText>
      </w:r>
      <w:r>
        <w:rPr>
          <w:iCs/>
        </w:rPr>
        <w:instrText xml:space="preserve"> \* MERGEFORMAT </w:instrText>
      </w:r>
      <w:r w:rsidRPr="006018EC">
        <w:rPr>
          <w:iCs/>
        </w:rPr>
      </w:r>
      <w:r w:rsidRPr="006018EC">
        <w:rPr>
          <w:iCs/>
        </w:rPr>
        <w:fldChar w:fldCharType="separate"/>
      </w:r>
      <w:r w:rsidRPr="006018EC">
        <w:t xml:space="preserve">Figure </w:t>
      </w:r>
      <w:r w:rsidRPr="006018EC">
        <w:rPr>
          <w:noProof/>
        </w:rPr>
        <w:t>2</w:t>
      </w:r>
      <w:r w:rsidRPr="006018EC">
        <w:rPr>
          <w:iCs/>
        </w:rPr>
        <w:fldChar w:fldCharType="end"/>
      </w:r>
      <w:r w:rsidRPr="006018EC">
        <w:rPr>
          <w:iCs/>
        </w:rPr>
        <w:t>)</w:t>
      </w:r>
      <w:r w:rsidRPr="006018EC">
        <w:rPr>
          <w:rFonts w:ascii="Cambria Math" w:hAnsi="Cambria Math"/>
        </w:rPr>
        <w:t>.</w:t>
      </w:r>
      <w:r>
        <w:rPr>
          <w:rFonts w:ascii="Cambria Math" w:hAnsi="Cambria Math"/>
        </w:rPr>
        <w:t xml:space="preserve"> </w:t>
      </w:r>
      <w:r w:rsidRPr="00FE0F18">
        <w:rPr>
          <w:rFonts w:eastAsiaTheme="minorEastAsia"/>
          <w:lang w:val="en-GB"/>
        </w:rPr>
        <w:t>The cumulative probability is calculated as following:</w:t>
      </w:r>
    </w:p>
    <w:tbl>
      <w:tblPr>
        <w:tblW w:w="5000" w:type="pct"/>
        <w:tblLook w:val="04A0" w:firstRow="1" w:lastRow="0" w:firstColumn="1" w:lastColumn="0" w:noHBand="0" w:noVBand="1"/>
      </w:tblPr>
      <w:tblGrid>
        <w:gridCol w:w="7986"/>
        <w:gridCol w:w="801"/>
      </w:tblGrid>
      <w:tr w:rsidR="00ED7346" w:rsidRPr="00B57B36" w14:paraId="0E9267C5" w14:textId="77777777" w:rsidTr="008E6A3E">
        <w:tc>
          <w:tcPr>
            <w:tcW w:w="7986" w:type="dxa"/>
            <w:vAlign w:val="center"/>
          </w:tcPr>
          <w:p w14:paraId="08030DDE" w14:textId="6777F800" w:rsidR="00ED7346" w:rsidRPr="00275627" w:rsidRDefault="00275627" w:rsidP="00275627">
            <w:pPr>
              <w:pStyle w:val="CETEquation"/>
            </w:pPr>
            <m:oMathPara>
              <m:oMathParaPr>
                <m:jc m:val="left"/>
              </m:oMathParaPr>
              <m:oMath>
                <m:r>
                  <w:rPr>
                    <w:rFonts w:ascii="Cambria Math"/>
                  </w:rPr>
                  <m:t>F(y)=</m:t>
                </m:r>
                <m:f>
                  <m:fPr>
                    <m:ctrlPr>
                      <w:rPr>
                        <w:rFonts w:ascii="Cambria Math" w:hAnsi="Cambria Math"/>
                        <w:i/>
                      </w:rPr>
                    </m:ctrlPr>
                  </m:fPr>
                  <m:num>
                    <m:r>
                      <w:rPr>
                        <w:rFonts w:ascii="Cambria Math"/>
                      </w:rPr>
                      <m:t>k</m:t>
                    </m:r>
                  </m:num>
                  <m:den>
                    <m:r>
                      <w:rPr>
                        <w:rFonts w:ascii="Cambria Math"/>
                      </w:rPr>
                      <m:t>n+k</m:t>
                    </m:r>
                  </m:den>
                </m:f>
              </m:oMath>
            </m:oMathPara>
          </w:p>
        </w:tc>
        <w:tc>
          <w:tcPr>
            <w:tcW w:w="801" w:type="dxa"/>
            <w:vAlign w:val="center"/>
          </w:tcPr>
          <w:p w14:paraId="7837C520" w14:textId="07E19435" w:rsidR="00ED7346" w:rsidRPr="00B57B36" w:rsidRDefault="00ED7346" w:rsidP="008E6A3E">
            <w:pPr>
              <w:pStyle w:val="CETEquation"/>
              <w:jc w:val="right"/>
            </w:pPr>
            <w:r w:rsidRPr="00B57B36">
              <w:t>(</w:t>
            </w:r>
            <w:r>
              <w:t>3</w:t>
            </w:r>
            <w:r w:rsidRPr="00B57B36">
              <w:t>)</w:t>
            </w:r>
          </w:p>
        </w:tc>
      </w:tr>
    </w:tbl>
    <w:p w14:paraId="6DDAB994" w14:textId="6B6EA283" w:rsidR="00677B7A" w:rsidRPr="00677B7A" w:rsidRDefault="004A4996" w:rsidP="00677B7A">
      <w:pPr>
        <w:pStyle w:val="CETheadingx"/>
      </w:pPr>
      <w:r>
        <w:t>Experimental setup</w:t>
      </w:r>
    </w:p>
    <w:p w14:paraId="563E44B5" w14:textId="1C971D05" w:rsidR="00A76463" w:rsidRDefault="00677B7A" w:rsidP="00600535">
      <w:pPr>
        <w:pStyle w:val="CETBodytext"/>
        <w:rPr>
          <w:lang w:val="en-GB"/>
        </w:rPr>
      </w:pPr>
      <w:r>
        <w:rPr>
          <w:lang w:val="en-GB"/>
        </w:rPr>
        <w:t xml:space="preserve">Carbon steel specimens </w:t>
      </w:r>
      <w:r w:rsidRPr="00677B7A">
        <w:rPr>
          <w:lang w:val="en-GB"/>
        </w:rPr>
        <w:t>20</w:t>
      </w:r>
      <w:r w:rsidR="00AE39F6">
        <w:rPr>
          <w:lang w:val="en-GB"/>
        </w:rPr>
        <w:t xml:space="preserve"> mm</w:t>
      </w:r>
      <w:r w:rsidRPr="00677B7A">
        <w:rPr>
          <w:lang w:val="en-GB"/>
        </w:rPr>
        <w:t xml:space="preserve"> x 30</w:t>
      </w:r>
      <w:r w:rsidR="00AE39F6">
        <w:rPr>
          <w:lang w:val="en-GB"/>
        </w:rPr>
        <w:t xml:space="preserve"> mm</w:t>
      </w:r>
      <w:r w:rsidRPr="00677B7A">
        <w:rPr>
          <w:lang w:val="en-GB"/>
        </w:rPr>
        <w:t xml:space="preserve"> x 3 mm</w:t>
      </w:r>
      <w:r w:rsidR="004A4996">
        <w:rPr>
          <w:lang w:val="en-GB"/>
        </w:rPr>
        <w:t xml:space="preserve"> </w:t>
      </w:r>
      <w:r w:rsidRPr="00677B7A">
        <w:rPr>
          <w:lang w:val="en-GB"/>
        </w:rPr>
        <w:t>were immersed in</w:t>
      </w:r>
      <w:r>
        <w:rPr>
          <w:lang w:val="en-GB"/>
        </w:rPr>
        <w:t xml:space="preserve"> a</w:t>
      </w:r>
      <w:r w:rsidRPr="00677B7A">
        <w:rPr>
          <w:lang w:val="en-GB"/>
        </w:rPr>
        <w:t xml:space="preserve"> hydrocarbon solution</w:t>
      </w:r>
      <w:r>
        <w:rPr>
          <w:lang w:val="en-GB"/>
        </w:rPr>
        <w:t xml:space="preserve"> </w:t>
      </w:r>
      <w:r w:rsidR="00A14A79" w:rsidRPr="00165453">
        <w:rPr>
          <w:lang w:val="en-GB"/>
        </w:rPr>
        <w:t>(</w:t>
      </w:r>
      <w:r w:rsidR="00A14A79" w:rsidRPr="00165453">
        <w:fldChar w:fldCharType="begin"/>
      </w:r>
      <w:r w:rsidR="00A14A79" w:rsidRPr="00165453">
        <w:rPr>
          <w:lang w:val="en-GB"/>
        </w:rPr>
        <w:instrText xml:space="preserve"> REF _Ref222734280 \h </w:instrText>
      </w:r>
      <w:r w:rsidR="00165453">
        <w:instrText xml:space="preserve"> \* MERGEFORMAT </w:instrText>
      </w:r>
      <w:r w:rsidR="00A14A79" w:rsidRPr="00165453">
        <w:fldChar w:fldCharType="separate"/>
      </w:r>
      <w:r w:rsidR="00A14A79" w:rsidRPr="00165453">
        <w:fldChar w:fldCharType="end"/>
      </w:r>
      <w:r w:rsidR="00A14A79" w:rsidRPr="00165453">
        <w:fldChar w:fldCharType="begin"/>
      </w:r>
      <w:r w:rsidR="00A14A79" w:rsidRPr="00165453">
        <w:rPr>
          <w:lang w:val="en-GB"/>
        </w:rPr>
        <w:instrText xml:space="preserve"> REF _Ref222734289 \h </w:instrText>
      </w:r>
      <w:r w:rsidR="00165453">
        <w:instrText xml:space="preserve"> \* MERGEFORMAT </w:instrText>
      </w:r>
      <w:r w:rsidR="00A14A79" w:rsidRPr="00165453">
        <w:fldChar w:fldCharType="separate"/>
      </w:r>
      <w:r w:rsidR="00A14A79" w:rsidRPr="00165453">
        <w:t xml:space="preserve">Figure </w:t>
      </w:r>
      <w:r w:rsidR="00A14A79" w:rsidRPr="00165453">
        <w:rPr>
          <w:noProof/>
        </w:rPr>
        <w:t>1</w:t>
      </w:r>
      <w:r w:rsidR="00A14A79" w:rsidRPr="00165453">
        <w:fldChar w:fldCharType="end"/>
      </w:r>
      <w:r w:rsidR="00A14A79" w:rsidRPr="00165453">
        <w:rPr>
          <w:lang w:val="en-GB"/>
        </w:rPr>
        <w:t>)</w:t>
      </w:r>
      <w:r w:rsidRPr="00165453">
        <w:rPr>
          <w:lang w:val="en-GB"/>
        </w:rPr>
        <w:t xml:space="preserve">. </w:t>
      </w:r>
      <w:r w:rsidR="000F3C4F" w:rsidRPr="00165453">
        <w:rPr>
          <w:lang w:val="en-GB"/>
        </w:rPr>
        <w:t>The solution simulate</w:t>
      </w:r>
      <w:r w:rsidR="00AE39F6" w:rsidRPr="00165453">
        <w:rPr>
          <w:lang w:val="en-GB"/>
        </w:rPr>
        <w:t>s</w:t>
      </w:r>
      <w:r w:rsidR="000F3C4F" w:rsidRPr="00165453">
        <w:rPr>
          <w:lang w:val="en-GB"/>
        </w:rPr>
        <w:t xml:space="preserve"> a corrosive environment</w:t>
      </w:r>
      <w:r w:rsidR="00950B00" w:rsidRPr="00950B00">
        <w:rPr>
          <w:lang w:val="en-GB"/>
        </w:rPr>
        <w:t xml:space="preserve"> </w:t>
      </w:r>
      <w:r w:rsidR="00950B00" w:rsidRPr="00677B7A">
        <w:rPr>
          <w:lang w:val="en-GB"/>
        </w:rPr>
        <w:t xml:space="preserve">for an </w:t>
      </w:r>
      <w:r w:rsidR="00950B00" w:rsidRPr="00165453">
        <w:rPr>
          <w:lang w:val="en-GB"/>
        </w:rPr>
        <w:t>atmospheric tank</w:t>
      </w:r>
      <w:r w:rsidR="000F3C4F" w:rsidRPr="00165453">
        <w:rPr>
          <w:lang w:val="en-GB"/>
        </w:rPr>
        <w:t>, at pH 2.5; hydrocarbon is mixed in a 4/1 ratio with Sour Water, as indicated in the NACE TM0177 Test Solution B (5.0 wt.% NaCl, 2.5 wt.% glacial acetic acid and sodium thiosulphate 10</w:t>
      </w:r>
      <w:r w:rsidR="000F3C4F" w:rsidRPr="00165453">
        <w:rPr>
          <w:vertAlign w:val="superscript"/>
        </w:rPr>
        <w:t>-1</w:t>
      </w:r>
      <w:r w:rsidR="000F3C4F" w:rsidRPr="00165453">
        <w:rPr>
          <w:lang w:val="en-GB"/>
        </w:rPr>
        <w:t xml:space="preserve"> to 10</w:t>
      </w:r>
      <w:r w:rsidR="000F3C4F" w:rsidRPr="00165453">
        <w:rPr>
          <w:vertAlign w:val="superscript"/>
        </w:rPr>
        <w:t>-3</w:t>
      </w:r>
      <w:r w:rsidR="000F3C4F" w:rsidRPr="00165453">
        <w:rPr>
          <w:lang w:val="en-GB"/>
        </w:rPr>
        <w:t xml:space="preserve"> M in replacement of H</w:t>
      </w:r>
      <w:r w:rsidR="000F3C4F" w:rsidRPr="00165453">
        <w:rPr>
          <w:vertAlign w:val="subscript"/>
        </w:rPr>
        <w:t>2</w:t>
      </w:r>
      <w:r w:rsidR="000F3C4F" w:rsidRPr="00165453">
        <w:rPr>
          <w:lang w:val="en-GB"/>
        </w:rPr>
        <w:t xml:space="preserve">S) (Calabrese et al., 2016). </w:t>
      </w:r>
      <w:r w:rsidRPr="00165453">
        <w:rPr>
          <w:lang w:val="en-GB"/>
        </w:rPr>
        <w:t xml:space="preserve">Before the immersion, the specimens were </w:t>
      </w:r>
      <w:r w:rsidR="00A76463" w:rsidRPr="00165453">
        <w:rPr>
          <w:lang w:val="en-GB"/>
        </w:rPr>
        <w:t>submerged in acetone (CH</w:t>
      </w:r>
      <w:r w:rsidR="00A76463" w:rsidRPr="00165453">
        <w:rPr>
          <w:rFonts w:ascii="Cambria Math" w:hAnsi="Cambria Math" w:cs="Cambria Math"/>
          <w:lang w:val="en-GB"/>
        </w:rPr>
        <w:t>₃</w:t>
      </w:r>
      <w:r w:rsidR="00A76463" w:rsidRPr="00165453">
        <w:rPr>
          <w:lang w:val="en-GB"/>
        </w:rPr>
        <w:t>-CO-CH</w:t>
      </w:r>
      <w:r w:rsidR="00A76463" w:rsidRPr="00165453">
        <w:rPr>
          <w:rFonts w:ascii="Cambria Math" w:hAnsi="Cambria Math" w:cs="Cambria Math"/>
          <w:lang w:val="en-GB"/>
        </w:rPr>
        <w:t>₃</w:t>
      </w:r>
      <w:r w:rsidR="00A76463" w:rsidRPr="00165453">
        <w:rPr>
          <w:lang w:val="en-GB"/>
        </w:rPr>
        <w:t xml:space="preserve">) and </w:t>
      </w:r>
      <w:r w:rsidRPr="00165453">
        <w:rPr>
          <w:lang w:val="en-GB"/>
        </w:rPr>
        <w:t xml:space="preserve">treated </w:t>
      </w:r>
      <w:r w:rsidR="00EC6087">
        <w:rPr>
          <w:lang w:val="en-GB"/>
        </w:rPr>
        <w:t>with</w:t>
      </w:r>
      <w:r w:rsidR="00EC6087" w:rsidRPr="00165453">
        <w:rPr>
          <w:lang w:val="en-GB"/>
        </w:rPr>
        <w:t xml:space="preserve"> </w:t>
      </w:r>
      <w:r w:rsidRPr="00165453">
        <w:rPr>
          <w:lang w:val="en-GB"/>
        </w:rPr>
        <w:t>ultrasound (frequency 30 kHz) to remove possible grease residues. Subsequently</w:t>
      </w:r>
      <w:r w:rsidRPr="00677B7A">
        <w:rPr>
          <w:lang w:val="en-GB"/>
        </w:rPr>
        <w:t xml:space="preserve">, they were </w:t>
      </w:r>
      <w:r w:rsidR="00A76463">
        <w:rPr>
          <w:lang w:val="en-GB"/>
        </w:rPr>
        <w:t>left</w:t>
      </w:r>
      <w:r w:rsidRPr="00677B7A">
        <w:rPr>
          <w:lang w:val="en-GB"/>
        </w:rPr>
        <w:t xml:space="preserve"> in a Clarke solution (250 m</w:t>
      </w:r>
      <w:r w:rsidR="00950B00">
        <w:rPr>
          <w:lang w:val="en-GB"/>
        </w:rPr>
        <w:t>L</w:t>
      </w:r>
      <w:r w:rsidRPr="00677B7A">
        <w:rPr>
          <w:lang w:val="en-GB"/>
        </w:rPr>
        <w:t xml:space="preserve"> of hydrochloric acid, 5 g of antimony oxide, 12.5 g of stannous chloride), in continuous stirring, at room temperature, for 35 minutes. Then, they were washed sequentially with soda, distilled water and ethanol.</w:t>
      </w:r>
      <w:r w:rsidR="000F3C4F">
        <w:rPr>
          <w:lang w:val="en-GB"/>
        </w:rPr>
        <w:t xml:space="preserve"> </w:t>
      </w:r>
      <w:r w:rsidR="00113DAB" w:rsidRPr="00113DAB">
        <w:rPr>
          <w:lang w:val="en-GB"/>
        </w:rPr>
        <w:t>Over the span of one year, the samples were taken out of the corrosive solutions, thoroughly cleaned and then analysed with a laser scan to get a depth map of the surface.</w:t>
      </w:r>
    </w:p>
    <w:p w14:paraId="4DE19F19" w14:textId="77777777" w:rsidR="00113DAB" w:rsidRDefault="00113DAB" w:rsidP="00600535">
      <w:pPr>
        <w:pStyle w:val="CETBodytext"/>
        <w:rPr>
          <w:lang w:val="en-GB"/>
        </w:rPr>
      </w:pPr>
    </w:p>
    <w:p w14:paraId="559E6948" w14:textId="489EF6FF" w:rsidR="004A4996" w:rsidRDefault="00A76463" w:rsidP="008C5786">
      <w:pPr>
        <w:pStyle w:val="CETBodytext"/>
        <w:jc w:val="left"/>
      </w:pPr>
      <w:r w:rsidRPr="00A31CA5">
        <w:rPr>
          <w:lang w:val="en-GB"/>
        </w:rPr>
        <w:t>(a</w:t>
      </w:r>
      <w:r w:rsidR="00F042B1">
        <w:rPr>
          <w:lang w:val="en-GB"/>
        </w:rPr>
        <w:t>)</w:t>
      </w:r>
      <w:r>
        <w:rPr>
          <w:lang w:val="en-GB"/>
        </w:rPr>
        <w:t xml:space="preserve"> </w:t>
      </w:r>
      <w:r w:rsidRPr="00E92F75">
        <w:rPr>
          <w:noProof/>
        </w:rPr>
        <w:drawing>
          <wp:inline distT="0" distB="0" distL="0" distR="0" wp14:anchorId="1B20FC15" wp14:editId="1C23C284">
            <wp:extent cx="2113041" cy="1230898"/>
            <wp:effectExtent l="0" t="0" r="1905"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9" cy="1260634"/>
                    </a:xfrm>
                    <a:prstGeom prst="rect">
                      <a:avLst/>
                    </a:prstGeom>
                    <a:noFill/>
                    <a:ln>
                      <a:noFill/>
                    </a:ln>
                  </pic:spPr>
                </pic:pic>
              </a:graphicData>
            </a:graphic>
          </wp:inline>
        </w:drawing>
      </w:r>
      <w:r w:rsidR="004A4996">
        <w:rPr>
          <w:lang w:val="en-GB"/>
        </w:rPr>
        <w:t xml:space="preserve"> (b)</w:t>
      </w:r>
      <w:r w:rsidRPr="0004475A">
        <w:rPr>
          <w:noProof/>
        </w:rPr>
        <w:drawing>
          <wp:inline distT="0" distB="0" distL="0" distR="0" wp14:anchorId="76FA3775" wp14:editId="2D54F829">
            <wp:extent cx="2892053" cy="1247905"/>
            <wp:effectExtent l="0" t="0" r="381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384"/>
                    <a:stretch/>
                  </pic:blipFill>
                  <pic:spPr bwMode="auto">
                    <a:xfrm>
                      <a:off x="0" y="0"/>
                      <a:ext cx="2901853" cy="1252133"/>
                    </a:xfrm>
                    <a:prstGeom prst="rect">
                      <a:avLst/>
                    </a:prstGeom>
                    <a:noFill/>
                    <a:ln>
                      <a:noFill/>
                    </a:ln>
                    <a:extLst>
                      <a:ext uri="{53640926-AAD7-44D8-BBD7-CCE9431645EC}">
                        <a14:shadowObscured xmlns:a14="http://schemas.microsoft.com/office/drawing/2010/main"/>
                      </a:ext>
                    </a:extLst>
                  </pic:spPr>
                </pic:pic>
              </a:graphicData>
            </a:graphic>
          </wp:inline>
        </w:drawing>
      </w:r>
    </w:p>
    <w:p w14:paraId="3F75894C" w14:textId="520029E1" w:rsidR="00A76463" w:rsidRPr="00BD4116" w:rsidRDefault="004A4996" w:rsidP="00BD4116">
      <w:pPr>
        <w:pStyle w:val="CETCaption"/>
        <w:spacing w:before="0"/>
        <w:rPr>
          <w:rStyle w:val="CETCaptionCarattere"/>
          <w:i/>
        </w:rPr>
      </w:pPr>
      <w:bookmarkStart w:id="2" w:name="_Ref222734289"/>
      <w:bookmarkStart w:id="3" w:name="_Ref222734280"/>
      <w:r w:rsidRPr="00BD4116">
        <w:rPr>
          <w:rStyle w:val="CETCaptionCarattere"/>
          <w:i/>
        </w:rPr>
        <w:t xml:space="preserve">Figure </w:t>
      </w:r>
      <w:r w:rsidRPr="00BD4116">
        <w:rPr>
          <w:rStyle w:val="CETCaptionCarattere"/>
          <w:i/>
        </w:rPr>
        <w:fldChar w:fldCharType="begin"/>
      </w:r>
      <w:r w:rsidRPr="00BD4116">
        <w:rPr>
          <w:rStyle w:val="CETCaptionCarattere"/>
          <w:i/>
        </w:rPr>
        <w:instrText xml:space="preserve"> SEQ Figure \* ARABIC </w:instrText>
      </w:r>
      <w:r w:rsidRPr="00BD4116">
        <w:rPr>
          <w:rStyle w:val="CETCaptionCarattere"/>
          <w:i/>
        </w:rPr>
        <w:fldChar w:fldCharType="separate"/>
      </w:r>
      <w:r w:rsidR="00DD7B75" w:rsidRPr="00BD4116">
        <w:rPr>
          <w:rStyle w:val="CETCaptionCarattere"/>
          <w:i/>
        </w:rPr>
        <w:t>1</w:t>
      </w:r>
      <w:r w:rsidRPr="00BD4116">
        <w:rPr>
          <w:rStyle w:val="CETCaptionCarattere"/>
          <w:i/>
        </w:rPr>
        <w:fldChar w:fldCharType="end"/>
      </w:r>
      <w:bookmarkEnd w:id="2"/>
      <w:r w:rsidRPr="00BD4116">
        <w:rPr>
          <w:rStyle w:val="CETCaptionCarattere"/>
          <w:i/>
        </w:rPr>
        <w:t xml:space="preserve"> (a) Carbon steel specimens; (b) Containers for the simulation.</w:t>
      </w:r>
      <w:bookmarkEnd w:id="3"/>
    </w:p>
    <w:p w14:paraId="064189A7" w14:textId="5763624F" w:rsidR="00113DAB" w:rsidRDefault="00113DAB" w:rsidP="00113DAB">
      <w:pPr>
        <w:pStyle w:val="CETheadingx"/>
      </w:pPr>
      <w:r>
        <w:t>Dataset</w:t>
      </w:r>
    </w:p>
    <w:p w14:paraId="79C68940" w14:textId="46913EFF" w:rsidR="006106C0" w:rsidRPr="00165453" w:rsidRDefault="006106C0" w:rsidP="00113DAB">
      <w:pPr>
        <w:pStyle w:val="CETBodytext"/>
      </w:pPr>
      <w:r>
        <w:t xml:space="preserve">By </w:t>
      </w:r>
      <w:r w:rsidR="009D02CB">
        <w:t>u</w:t>
      </w:r>
      <w:r w:rsidR="00113DAB" w:rsidRPr="00113DAB">
        <w:t xml:space="preserve">sing a custom MATLAB script, the corrosion depth </w:t>
      </w:r>
      <w:r>
        <w:t>wa</w:t>
      </w:r>
      <w:r w:rsidR="00113DAB" w:rsidRPr="00113DAB">
        <w:t xml:space="preserve">s calculated across </w:t>
      </w:r>
      <w:r w:rsidR="00A14A79">
        <w:t>each</w:t>
      </w:r>
      <w:r w:rsidR="00A14A79" w:rsidRPr="00113DAB">
        <w:t xml:space="preserve"> </w:t>
      </w:r>
      <w:r w:rsidR="00113DAB" w:rsidRPr="00113DAB">
        <w:t xml:space="preserve">sample's surface, with </w:t>
      </w:r>
      <w:r w:rsidR="00B77221">
        <w:t>a</w:t>
      </w:r>
      <w:r w:rsidR="00113DAB" w:rsidRPr="00113DAB">
        <w:t xml:space="preserve"> resolution of </w:t>
      </w:r>
      <w:r w:rsidR="00B77221">
        <w:t xml:space="preserve">approximately </w:t>
      </w:r>
      <w:r w:rsidR="00B77221" w:rsidRPr="00B77221">
        <w:t>~</w:t>
      </w:r>
      <w:r w:rsidR="00B77221">
        <w:t>0.1 mm</w:t>
      </w:r>
      <w:r w:rsidR="00113DAB" w:rsidRPr="00113DAB">
        <w:t>.</w:t>
      </w:r>
      <w:r>
        <w:t xml:space="preserve"> </w:t>
      </w:r>
      <w:r w:rsidR="00113DAB" w:rsidRPr="00113DAB">
        <w:t xml:space="preserve">To generate a statistically </w:t>
      </w:r>
      <w:r w:rsidR="00B77221">
        <w:t>robust</w:t>
      </w:r>
      <w:r w:rsidR="00113DAB" w:rsidRPr="00113DAB">
        <w:t xml:space="preserve"> dataset that </w:t>
      </w:r>
      <w:r w:rsidR="00B77221">
        <w:t>recreates</w:t>
      </w:r>
      <w:r w:rsidR="00113DAB" w:rsidRPr="00113DAB">
        <w:t xml:space="preserve"> real-world tank inspections, the algorithm virtually divides each scanned specimen into </w:t>
      </w:r>
      <w:r w:rsidR="00B77221" w:rsidRPr="00B77221">
        <w:t>~</w:t>
      </w:r>
      <w:r w:rsidR="00113DAB" w:rsidRPr="00113DAB">
        <w:t xml:space="preserve">40 distinct sections. Within each region, the script isolates and extracts the </w:t>
      </w:r>
      <w:r w:rsidR="00113DAB" w:rsidRPr="00165453">
        <w:t xml:space="preserve">maximum recorded corrosion depth. This procedure effectively simulates 40 </w:t>
      </w:r>
      <w:r w:rsidR="00113DAB" w:rsidRPr="00165453">
        <w:lastRenderedPageBreak/>
        <w:t>discrete measurement points</w:t>
      </w:r>
      <w:r w:rsidR="00B96459" w:rsidRPr="00165453">
        <w:t>,</w:t>
      </w:r>
      <w:r w:rsidR="00113DAB" w:rsidRPr="00165453">
        <w:t xml:space="preserve"> taken at specific time intervals under identical environmental conditions, closely replicating a scenario where grid measurements EEMUA or API standards are gathered from the bottom plate of </w:t>
      </w:r>
      <w:r w:rsidR="00B77221" w:rsidRPr="00165453">
        <w:t>the</w:t>
      </w:r>
      <w:r w:rsidR="00113DAB" w:rsidRPr="00165453">
        <w:t xml:space="preserve"> atmospheric storage tank.</w:t>
      </w:r>
    </w:p>
    <w:p w14:paraId="42BD1756" w14:textId="488E35ED" w:rsidR="00113DAB" w:rsidRDefault="00113DAB" w:rsidP="00113DAB">
      <w:pPr>
        <w:pStyle w:val="CETBodytext"/>
      </w:pPr>
      <w:r w:rsidRPr="00165453">
        <w:t xml:space="preserve">To further expand the dataset and introduce realistic inspection variability before fitting the data to a probability distribution, a randomization technique is applied. For </w:t>
      </w:r>
      <w:r w:rsidR="006B2FFA" w:rsidRPr="00165453">
        <w:t>each</w:t>
      </w:r>
      <w:r w:rsidRPr="00165453">
        <w:t xml:space="preserve"> established time interval, the script randomly </w:t>
      </w:r>
      <w:r w:rsidR="00B77221" w:rsidRPr="00165453">
        <w:t>delete</w:t>
      </w:r>
      <w:r w:rsidR="004D7900" w:rsidRPr="00165453">
        <w:t>s</w:t>
      </w:r>
      <w:r w:rsidRPr="00165453">
        <w:t xml:space="preserve"> 8 of the 40 measurement points, repeating this randomized removal process 1,000 times. Consequently, this iterative resampling approach yields 1,000 datasets per time interval</w:t>
      </w:r>
      <w:r w:rsidR="006B6ECA" w:rsidRPr="00165453">
        <w:t xml:space="preserve">, </w:t>
      </w:r>
      <w:r w:rsidRPr="00165453">
        <w:t>essentially simulating the discrete inspection data of 1,000 different storage tanks</w:t>
      </w:r>
      <w:r w:rsidR="00B96459" w:rsidRPr="00165453">
        <w:t xml:space="preserve"> having the same characteristics</w:t>
      </w:r>
      <w:r w:rsidRPr="00074AC5">
        <w:t>.</w:t>
      </w:r>
    </w:p>
    <w:p w14:paraId="286F26B5" w14:textId="14366CA3" w:rsidR="00FE0F18" w:rsidRDefault="006B2FFA" w:rsidP="008C5786">
      <w:pPr>
        <w:pStyle w:val="CETheadingx"/>
      </w:pPr>
      <w:r>
        <w:t>Corrosion modelling</w:t>
      </w:r>
      <w:r w:rsidR="00C55AC1">
        <w:t xml:space="preserve"> and predictions</w:t>
      </w:r>
    </w:p>
    <w:p w14:paraId="5BAB51FB" w14:textId="6C411A7C" w:rsidR="006B2FFA" w:rsidRDefault="006B2FFA" w:rsidP="006B2FFA">
      <w:pPr>
        <w:pStyle w:val="CETBodytext"/>
        <w:rPr>
          <w:lang w:val="en-GB"/>
        </w:rPr>
      </w:pPr>
      <w:r w:rsidRPr="008C5786">
        <w:rPr>
          <w:lang w:val="en-GB"/>
        </w:rPr>
        <w:t xml:space="preserve">To make a probabilistic modelling of corrosion, the parameters of </w:t>
      </w:r>
      <w:r w:rsidR="00EB14DB" w:rsidRPr="008B4B56">
        <w:rPr>
          <w:lang w:val="en-GB"/>
        </w:rPr>
        <w:t xml:space="preserve">Eq.(1) </w:t>
      </w:r>
      <w:r w:rsidRPr="008C5786">
        <w:rPr>
          <w:lang w:val="en-GB"/>
        </w:rPr>
        <w:t>must be calculated</w:t>
      </w:r>
      <w:r w:rsidR="00B92ECD" w:rsidRPr="008B4B56">
        <w:rPr>
          <w:lang w:val="en-GB"/>
        </w:rPr>
        <w:t xml:space="preserve"> by using the dataset obtained for each scanned surface. I</w:t>
      </w:r>
      <w:r w:rsidRPr="008C5786">
        <w:rPr>
          <w:lang w:val="en-GB"/>
        </w:rPr>
        <w:t>t is</w:t>
      </w:r>
      <w:r w:rsidR="00B92ECD" w:rsidRPr="008B4B56">
        <w:rPr>
          <w:lang w:val="en-GB"/>
        </w:rPr>
        <w:t xml:space="preserve"> also</w:t>
      </w:r>
      <w:r w:rsidRPr="008C5786">
        <w:rPr>
          <w:lang w:val="en-GB"/>
        </w:rPr>
        <w:t xml:space="preserve"> possible to predict </w:t>
      </w:r>
      <w:r w:rsidR="00C55AC1" w:rsidRPr="008C5786">
        <w:rPr>
          <w:lang w:val="en-GB"/>
        </w:rPr>
        <w:t xml:space="preserve">the parameters at </w:t>
      </w:r>
      <w:r w:rsidRPr="008C5786">
        <w:rPr>
          <w:lang w:val="en-GB"/>
        </w:rPr>
        <w:t>each time frame</w:t>
      </w:r>
      <w:r w:rsidR="00EB14DB" w:rsidRPr="008B4B56">
        <w:rPr>
          <w:lang w:val="en-GB"/>
        </w:rPr>
        <w:t xml:space="preserve"> by means of a developed correlation of the</w:t>
      </w:r>
      <w:r w:rsidR="006628B3" w:rsidRPr="008C5786">
        <w:rPr>
          <w:lang w:val="en-GB"/>
        </w:rPr>
        <w:t>se parameters vs.</w:t>
      </w:r>
      <w:r w:rsidR="00EB14DB" w:rsidRPr="008B4B56">
        <w:rPr>
          <w:lang w:val="en-GB"/>
        </w:rPr>
        <w:t xml:space="preserve"> time</w:t>
      </w:r>
      <w:r w:rsidR="009B53D2" w:rsidRPr="008B4B56">
        <w:rPr>
          <w:lang w:val="en-GB"/>
        </w:rPr>
        <w:t>. The</w:t>
      </w:r>
      <w:r w:rsidR="009B53D2">
        <w:rPr>
          <w:lang w:val="en-GB"/>
        </w:rPr>
        <w:t xml:space="preserve"> values of </w:t>
      </w:r>
      <w:r w:rsidR="009147EE">
        <w:t xml:space="preserve">the </w:t>
      </w:r>
      <w:r w:rsidR="00BD4116">
        <w:t>s</w:t>
      </w:r>
      <w:r w:rsidR="009147EE" w:rsidRPr="00B1140F">
        <w:t>cale (</w:t>
      </w:r>
      <w:r w:rsidR="009147EE" w:rsidRPr="008C5786">
        <w:rPr>
          <w:i/>
          <w:iCs/>
        </w:rPr>
        <w:sym w:font="Symbol" w:char="F061"/>
      </w:r>
      <w:r w:rsidR="009147EE" w:rsidRPr="00B1140F">
        <w:t>) and location (</w:t>
      </w:r>
      <w:r w:rsidR="009147EE" w:rsidRPr="008C5786">
        <w:rPr>
          <w:i/>
          <w:iCs/>
        </w:rPr>
        <w:sym w:font="Symbol" w:char="F062"/>
      </w:r>
      <w:r w:rsidR="009147EE" w:rsidRPr="00B1140F">
        <w:t>) parameters</w:t>
      </w:r>
      <w:r w:rsidR="009147EE" w:rsidRPr="00866702">
        <w:rPr>
          <w:i/>
          <w:iCs/>
        </w:rPr>
        <w:t xml:space="preserve"> </w:t>
      </w:r>
      <w:r w:rsidR="009B53D2">
        <w:rPr>
          <w:lang w:val="en-GB"/>
        </w:rPr>
        <w:t xml:space="preserve">were interpolated </w:t>
      </w:r>
      <w:r w:rsidR="009B53D2" w:rsidRPr="00FE0F18">
        <w:t xml:space="preserve">with a </w:t>
      </w:r>
      <w:r w:rsidR="009B53D2">
        <w:t>power law</w:t>
      </w:r>
      <w:r w:rsidR="009B53D2" w:rsidRPr="00FE0F18">
        <w:t xml:space="preserve"> regression</w:t>
      </w:r>
      <w:r w:rsidR="009B53D2">
        <w:rPr>
          <w:lang w:val="en-GB"/>
        </w:rPr>
        <w:t xml:space="preserve"> to calculate the time dependence and, then, p</w:t>
      </w:r>
      <w:r w:rsidRPr="008C5786">
        <w:rPr>
          <w:lang w:val="en-GB"/>
        </w:rPr>
        <w:t xml:space="preserve">redictions </w:t>
      </w:r>
      <w:r w:rsidR="00BA7D36">
        <w:rPr>
          <w:lang w:val="en-GB"/>
        </w:rPr>
        <w:t>is</w:t>
      </w:r>
      <w:r w:rsidRPr="008C5786">
        <w:rPr>
          <w:lang w:val="en-GB"/>
        </w:rPr>
        <w:t xml:space="preserve"> compared to the actual measured parameters</w:t>
      </w:r>
      <w:r w:rsidR="00BA7D36">
        <w:rPr>
          <w:lang w:val="en-GB"/>
        </w:rPr>
        <w:t>.</w:t>
      </w:r>
    </w:p>
    <w:p w14:paraId="7113C609" w14:textId="46DA2AB3" w:rsidR="00EB14DB" w:rsidRDefault="00EB14DB" w:rsidP="00EB14DB">
      <w:pPr>
        <w:pStyle w:val="CETBodytext"/>
      </w:pPr>
      <w:r>
        <w:rPr>
          <w:lang w:val="en-GB"/>
        </w:rPr>
        <w:t>By using</w:t>
      </w:r>
      <w:r w:rsidRPr="00B1140F">
        <w:rPr>
          <w:lang w:val="en-GB"/>
        </w:rPr>
        <w:t xml:space="preserve"> the 1,000 simulated datasets,</w:t>
      </w:r>
      <w:r>
        <w:rPr>
          <w:lang w:val="en-GB"/>
        </w:rPr>
        <w:t xml:space="preserve"> a</w:t>
      </w:r>
      <w:r w:rsidRPr="00B1140F">
        <w:t xml:space="preserve"> dedicated algorithm calculates discrete intervals</w:t>
      </w:r>
      <w:r>
        <w:t xml:space="preserve"> </w:t>
      </w:r>
      <w:r w:rsidRPr="00B1140F">
        <w:t xml:space="preserve">for both </w:t>
      </w:r>
      <w:r w:rsidR="009147EE" w:rsidRPr="00866702">
        <w:rPr>
          <w:i/>
          <w:iCs/>
        </w:rPr>
        <w:sym w:font="Symbol" w:char="F061"/>
      </w:r>
      <w:r w:rsidR="009147EE">
        <w:rPr>
          <w:i/>
          <w:iCs/>
        </w:rPr>
        <w:t xml:space="preserve"> </w:t>
      </w:r>
      <w:r w:rsidR="009147EE">
        <w:rPr>
          <w:lang w:val="en-GB"/>
        </w:rPr>
        <w:t xml:space="preserve">and </w:t>
      </w:r>
      <w:r w:rsidR="009147EE" w:rsidRPr="00866702">
        <w:rPr>
          <w:i/>
          <w:iCs/>
        </w:rPr>
        <w:sym w:font="Symbol" w:char="F062"/>
      </w:r>
      <w:r w:rsidR="009147EE">
        <w:rPr>
          <w:i/>
          <w:iCs/>
        </w:rPr>
        <w:t xml:space="preserve"> </w:t>
      </w:r>
      <w:r w:rsidRPr="00B1140F">
        <w:t>parameters</w:t>
      </w:r>
      <w:r w:rsidR="008139E9" w:rsidRPr="008139E9">
        <w:rPr>
          <w:lang w:val="en-GB"/>
        </w:rPr>
        <w:t xml:space="preserve"> </w:t>
      </w:r>
      <w:r w:rsidR="008139E9" w:rsidRPr="00B1140F">
        <w:rPr>
          <w:lang w:val="en-GB"/>
        </w:rPr>
        <w:t>for each time interval</w:t>
      </w:r>
      <w:r w:rsidRPr="00B1140F">
        <w:t>. By mapping the intersections of these specific intervals, the system constructs a two-dimensional index matrix. T</w:t>
      </w:r>
      <w:r>
        <w:t>his matrix can be</w:t>
      </w:r>
      <w:r w:rsidRPr="00B1140F">
        <w:t xml:space="preserve"> populated by </w:t>
      </w:r>
      <w:r>
        <w:t>counting</w:t>
      </w:r>
      <w:r w:rsidRPr="00B1140F">
        <w:t xml:space="preserve"> the number of simulated storage tanks whose forecasted </w:t>
      </w:r>
      <w:r w:rsidR="00E96601" w:rsidRPr="00866702">
        <w:rPr>
          <w:i/>
          <w:iCs/>
        </w:rPr>
        <w:sym w:font="Symbol" w:char="F061"/>
      </w:r>
      <w:r w:rsidR="00E96601">
        <w:rPr>
          <w:i/>
          <w:iCs/>
        </w:rPr>
        <w:t xml:space="preserve"> </w:t>
      </w:r>
      <w:r w:rsidRPr="00B1140F">
        <w:t xml:space="preserve">and </w:t>
      </w:r>
      <w:r w:rsidR="00E96601" w:rsidRPr="00866702">
        <w:rPr>
          <w:i/>
          <w:iCs/>
        </w:rPr>
        <w:sym w:font="Symbol" w:char="F062"/>
      </w:r>
      <w:r w:rsidRPr="00B1140F">
        <w:t xml:space="preserve"> values land within each respective coordinate pair. This </w:t>
      </w:r>
      <w:r w:rsidR="00C72670">
        <w:t>is a representation of</w:t>
      </w:r>
      <w:r w:rsidRPr="00B1140F">
        <w:t xml:space="preserve"> the joint probability distribution.</w:t>
      </w:r>
    </w:p>
    <w:p w14:paraId="6F160520" w14:textId="77777777" w:rsidR="00E97BEF" w:rsidRDefault="00E97BEF" w:rsidP="00E97BEF">
      <w:pPr>
        <w:pStyle w:val="CETheadingx"/>
      </w:pPr>
      <w:r>
        <w:t>Bayesian Inference</w:t>
      </w:r>
    </w:p>
    <w:p w14:paraId="3ACF98DB" w14:textId="1F3A09B8" w:rsidR="00E97BEF" w:rsidRDefault="00E97BEF" w:rsidP="00E97BEF">
      <w:pPr>
        <w:pStyle w:val="CETBodytext"/>
      </w:pPr>
      <w:r>
        <w:rPr>
          <w:lang w:val="en-GB"/>
        </w:rPr>
        <w:t xml:space="preserve">By applying Bayesian inference to the </w:t>
      </w:r>
      <w:r w:rsidR="00BD4116">
        <w:rPr>
          <w:lang w:val="en-GB"/>
        </w:rPr>
        <w:t>two-dimensional</w:t>
      </w:r>
      <w:r>
        <w:rPr>
          <w:lang w:val="en-GB"/>
        </w:rPr>
        <w:t xml:space="preserve"> distribution, the predictions of both </w:t>
      </w:r>
      <w:r w:rsidR="00B76017" w:rsidRPr="00866702">
        <w:rPr>
          <w:i/>
          <w:iCs/>
        </w:rPr>
        <w:sym w:font="Symbol" w:char="F061"/>
      </w:r>
      <w:r w:rsidRPr="00B1140F">
        <w:t xml:space="preserve"> and </w:t>
      </w:r>
      <w:r w:rsidR="00B76017" w:rsidRPr="00866702">
        <w:rPr>
          <w:i/>
          <w:iCs/>
        </w:rPr>
        <w:sym w:font="Symbol" w:char="F062"/>
      </w:r>
      <w:r>
        <w:rPr>
          <w:lang w:val="en-GB"/>
        </w:rPr>
        <w:t xml:space="preserve"> can be simultaneously updated. The observable variable</w:t>
      </w:r>
      <w:r w:rsidR="009147EE">
        <w:rPr>
          <w:lang w:val="en-GB"/>
        </w:rPr>
        <w:t>,</w:t>
      </w:r>
      <w:r>
        <w:rPr>
          <w:lang w:val="en-GB"/>
        </w:rPr>
        <w:t xml:space="preserve"> used for the inference</w:t>
      </w:r>
      <w:r w:rsidR="009147EE">
        <w:rPr>
          <w:lang w:val="en-GB"/>
        </w:rPr>
        <w:t>,</w:t>
      </w:r>
      <w:r>
        <w:rPr>
          <w:lang w:val="en-GB"/>
        </w:rPr>
        <w:t xml:space="preserve"> is the maximum recorded corrosion depth </w:t>
      </w:r>
      <w:r w:rsidR="009147EE">
        <w:rPr>
          <w:lang w:val="en-GB"/>
        </w:rPr>
        <w:t xml:space="preserve">at </w:t>
      </w:r>
      <w:r>
        <w:rPr>
          <w:lang w:val="en-GB"/>
        </w:rPr>
        <w:t xml:space="preserve">the previous time frame (i.e. the 378 days predicted distribution is adjusted using the maximum corrosion depth recorded </w:t>
      </w:r>
      <w:r w:rsidR="009147EE">
        <w:rPr>
          <w:lang w:val="en-GB"/>
        </w:rPr>
        <w:t>at</w:t>
      </w:r>
      <w:r>
        <w:rPr>
          <w:lang w:val="en-GB"/>
        </w:rPr>
        <w:t xml:space="preserve"> 276 days). This variable effectively represents the </w:t>
      </w:r>
      <w:r w:rsidRPr="00B1140F">
        <w:t xml:space="preserve">location </w:t>
      </w:r>
      <w:r>
        <w:t>parameter</w:t>
      </w:r>
      <w:r w:rsidR="00B76017">
        <w:t xml:space="preserve"> </w:t>
      </w:r>
      <w:r w:rsidR="00B76017">
        <w:rPr>
          <w:lang w:val="en-GB"/>
        </w:rPr>
        <w:t>(</w:t>
      </w:r>
      <w:r w:rsidR="00B76017" w:rsidRPr="00866702">
        <w:rPr>
          <w:i/>
          <w:iCs/>
        </w:rPr>
        <w:sym w:font="Symbol" w:char="F062"/>
      </w:r>
      <w:r w:rsidR="00B76017">
        <w:t>).</w:t>
      </w:r>
    </w:p>
    <w:p w14:paraId="4927E9B1" w14:textId="10939404" w:rsidR="00E97BEF" w:rsidRDefault="00E97BEF" w:rsidP="00E97BEF">
      <w:pPr>
        <w:pStyle w:val="CETBodytext"/>
      </w:pPr>
      <w:r>
        <w:t>In this framework, the smooth bivariate distribution serves as the prior probability, while the likelihood function Eq</w:t>
      </w:r>
      <w:r w:rsidR="00F22600">
        <w:t>.</w:t>
      </w:r>
      <w:r>
        <w:t xml:space="preserve"> </w:t>
      </w:r>
      <w:r w:rsidR="00F22600">
        <w:t>(</w:t>
      </w:r>
      <w:r w:rsidR="009147EE">
        <w:t>4</w:t>
      </w:r>
      <w:r>
        <w:t>) is constructed as a normal bell curve centered around the value of the observed variable:</w:t>
      </w:r>
    </w:p>
    <w:tbl>
      <w:tblPr>
        <w:tblW w:w="5000" w:type="pct"/>
        <w:tblLook w:val="04A0" w:firstRow="1" w:lastRow="0" w:firstColumn="1" w:lastColumn="0" w:noHBand="0" w:noVBand="1"/>
      </w:tblPr>
      <w:tblGrid>
        <w:gridCol w:w="7986"/>
        <w:gridCol w:w="801"/>
      </w:tblGrid>
      <w:tr w:rsidR="00F22600" w:rsidRPr="00B57B36" w14:paraId="33C50C74" w14:textId="77777777" w:rsidTr="00866702">
        <w:tc>
          <w:tcPr>
            <w:tcW w:w="7986" w:type="dxa"/>
            <w:vAlign w:val="center"/>
          </w:tcPr>
          <w:p w14:paraId="2B174153" w14:textId="6E3A38B8" w:rsidR="00DB17E3" w:rsidRPr="00DB17E3" w:rsidRDefault="00DB17E3" w:rsidP="00DB17E3">
            <w:pPr>
              <w:pStyle w:val="CETEquation"/>
            </w:pPr>
            <w:r w:rsidRPr="00F22600">
              <w:rPr>
                <w:position w:val="-36"/>
              </w:rPr>
              <w:object w:dxaOrig="3680" w:dyaOrig="840" w14:anchorId="2B8F14A1">
                <v:shape id="_x0000_i1027" type="#_x0000_t75" style="width:152.25pt;height:35.25pt" o:ole="">
                  <v:imagedata r:id="rId16" o:title=""/>
                </v:shape>
                <o:OLEObject Type="Embed" ProgID="Equation.DSMT4" ShapeID="_x0000_i1027" DrawAspect="Content" ObjectID="_1837858055" r:id="rId17"/>
              </w:object>
            </w:r>
          </w:p>
        </w:tc>
        <w:tc>
          <w:tcPr>
            <w:tcW w:w="801" w:type="dxa"/>
            <w:vAlign w:val="center"/>
          </w:tcPr>
          <w:p w14:paraId="3631E904" w14:textId="08A20B76" w:rsidR="00F22600" w:rsidRPr="00B57B36" w:rsidRDefault="00F22600" w:rsidP="00866702">
            <w:pPr>
              <w:pStyle w:val="CETEquation"/>
              <w:jc w:val="right"/>
            </w:pPr>
            <w:r w:rsidRPr="00B57B36">
              <w:t>(</w:t>
            </w:r>
            <w:r w:rsidR="009147EE">
              <w:t>4</w:t>
            </w:r>
            <w:r w:rsidRPr="00B57B36">
              <w:t>)</w:t>
            </w:r>
          </w:p>
        </w:tc>
      </w:tr>
    </w:tbl>
    <w:p w14:paraId="08482A2F" w14:textId="18A206CD" w:rsidR="00E97BEF" w:rsidRDefault="00E97BEF" w:rsidP="00E97BEF">
      <w:pPr>
        <w:pStyle w:val="CETBodytext"/>
        <w:rPr>
          <w:lang w:val="en-GB"/>
        </w:rPr>
      </w:pPr>
      <w:r>
        <w:rPr>
          <w:lang w:val="en-GB"/>
        </w:rPr>
        <w:t>The artificial deviation</w:t>
      </w:r>
      <w:r w:rsidR="00F22600">
        <w:rPr>
          <w:lang w:val="en-GB"/>
        </w:rPr>
        <w:t xml:space="preserve"> </w:t>
      </w:r>
      <w:r>
        <w:rPr>
          <w:lang w:val="en-GB"/>
        </w:rPr>
        <w:t>is the parameter that influences the spread of the likelihood bell curve</w:t>
      </w:r>
      <w:r w:rsidR="00EC6087">
        <w:rPr>
          <w:lang w:val="en-GB"/>
        </w:rPr>
        <w:t>; practically,</w:t>
      </w:r>
      <w:r>
        <w:rPr>
          <w:lang w:val="en-GB"/>
        </w:rPr>
        <w:t xml:space="preserve"> it represents how much </w:t>
      </w:r>
      <w:r w:rsidR="00F22600">
        <w:rPr>
          <w:lang w:val="en-GB"/>
        </w:rPr>
        <w:t>to</w:t>
      </w:r>
      <w:r>
        <w:rPr>
          <w:lang w:val="en-GB"/>
        </w:rPr>
        <w:t xml:space="preserve"> trust the observed variable. The adjusted prediction (</w:t>
      </w:r>
      <w:r w:rsidR="00F22600">
        <w:rPr>
          <w:lang w:val="en-GB"/>
        </w:rPr>
        <w:t>p</w:t>
      </w:r>
      <w:r>
        <w:rPr>
          <w:lang w:val="en-GB"/>
        </w:rPr>
        <w:t>osterior probability) is then obtained as follows:</w:t>
      </w:r>
    </w:p>
    <w:tbl>
      <w:tblPr>
        <w:tblW w:w="5000" w:type="pct"/>
        <w:tblLook w:val="04A0" w:firstRow="1" w:lastRow="0" w:firstColumn="1" w:lastColumn="0" w:noHBand="0" w:noVBand="1"/>
      </w:tblPr>
      <w:tblGrid>
        <w:gridCol w:w="7986"/>
        <w:gridCol w:w="801"/>
      </w:tblGrid>
      <w:tr w:rsidR="00F22600" w:rsidRPr="00B57B36" w14:paraId="69FCAE84" w14:textId="77777777" w:rsidTr="00866702">
        <w:tc>
          <w:tcPr>
            <w:tcW w:w="7986" w:type="dxa"/>
            <w:vAlign w:val="center"/>
          </w:tcPr>
          <w:p w14:paraId="1B5A7587" w14:textId="38327D2E" w:rsidR="00F22600" w:rsidRPr="00343164" w:rsidRDefault="00DB17E3" w:rsidP="00866702">
            <w:pPr>
              <w:pStyle w:val="CETEquation"/>
            </w:pPr>
            <w:r w:rsidRPr="007E1AE0">
              <w:rPr>
                <w:position w:val="-14"/>
              </w:rPr>
              <w:object w:dxaOrig="3519" w:dyaOrig="380" w14:anchorId="108A0E7C">
                <v:shape id="_x0000_i1028" type="#_x0000_t75" style="width:142.5pt;height:15.75pt" o:ole="">
                  <v:imagedata r:id="rId18" o:title=""/>
                </v:shape>
                <o:OLEObject Type="Embed" ProgID="Equation.DSMT4" ShapeID="_x0000_i1028" DrawAspect="Content" ObjectID="_1837858056" r:id="rId19"/>
              </w:object>
            </w:r>
          </w:p>
        </w:tc>
        <w:tc>
          <w:tcPr>
            <w:tcW w:w="801" w:type="dxa"/>
            <w:vAlign w:val="center"/>
          </w:tcPr>
          <w:p w14:paraId="785B84A5" w14:textId="5C80B2DC" w:rsidR="00F22600" w:rsidRPr="00B57B36" w:rsidRDefault="00F22600" w:rsidP="00866702">
            <w:pPr>
              <w:pStyle w:val="CETEquation"/>
              <w:jc w:val="right"/>
            </w:pPr>
            <w:r w:rsidRPr="00B57B36">
              <w:t>(</w:t>
            </w:r>
            <w:r w:rsidR="00F042B1">
              <w:t>5</w:t>
            </w:r>
            <w:r w:rsidRPr="00B57B36">
              <w:t>)</w:t>
            </w:r>
          </w:p>
        </w:tc>
      </w:tr>
    </w:tbl>
    <w:p w14:paraId="7F862DA9" w14:textId="5C9D9A5F" w:rsidR="00A14A79" w:rsidRDefault="00A14A79" w:rsidP="00A14A79">
      <w:pPr>
        <w:pStyle w:val="CETHeading1"/>
      </w:pPr>
      <w:bookmarkStart w:id="4" w:name="_Ref223429943"/>
      <w:r>
        <w:t>Results and discussion</w:t>
      </w:r>
      <w:bookmarkEnd w:id="4"/>
    </w:p>
    <w:p w14:paraId="5A4A6C63" w14:textId="4BA2DBAF" w:rsidR="00FE0F18" w:rsidRDefault="008139E9" w:rsidP="00113DAB">
      <w:pPr>
        <w:pStyle w:val="CETBodytext"/>
      </w:pPr>
      <w:r>
        <w:t>The</w:t>
      </w:r>
      <w:r w:rsidR="00FE0F18">
        <w:t xml:space="preserve"> dataset</w:t>
      </w:r>
      <w:r>
        <w:t xml:space="preserve">s, </w:t>
      </w:r>
      <w:r>
        <w:rPr>
          <w:lang w:val="en-GB"/>
        </w:rPr>
        <w:t>obtained for each specimen,</w:t>
      </w:r>
      <w:r w:rsidR="00FE0F18">
        <w:t xml:space="preserve"> were </w:t>
      </w:r>
      <w:r>
        <w:t xml:space="preserve">elaborated and the </w:t>
      </w:r>
      <w:r w:rsidRPr="006018EC">
        <w:rPr>
          <w:lang w:val="en-GB"/>
        </w:rPr>
        <w:t xml:space="preserve">probabilistic </w:t>
      </w:r>
      <w:r>
        <w:rPr>
          <w:lang w:val="en-GB"/>
        </w:rPr>
        <w:t>models</w:t>
      </w:r>
      <w:r w:rsidRPr="006018EC">
        <w:rPr>
          <w:lang w:val="en-GB"/>
        </w:rPr>
        <w:t xml:space="preserve"> </w:t>
      </w:r>
      <w:r>
        <w:rPr>
          <w:lang w:val="en-GB"/>
        </w:rPr>
        <w:t>estimating</w:t>
      </w:r>
      <w:r w:rsidRPr="006018EC">
        <w:rPr>
          <w:lang w:val="en-GB"/>
        </w:rPr>
        <w:t xml:space="preserve"> the maximum depth of corrosion </w:t>
      </w:r>
      <w:r>
        <w:rPr>
          <w:lang w:val="en-GB"/>
        </w:rPr>
        <w:t>were obtained</w:t>
      </w:r>
      <w:r w:rsidR="00E96601">
        <w:rPr>
          <w:lang w:val="en-GB"/>
        </w:rPr>
        <w:t xml:space="preserve"> (</w:t>
      </w:r>
      <w:r w:rsidR="00BF05EB">
        <w:rPr>
          <w:lang w:val="en-GB"/>
        </w:rPr>
        <w:fldChar w:fldCharType="begin"/>
      </w:r>
      <w:r w:rsidR="00BF05EB">
        <w:rPr>
          <w:lang w:val="en-GB"/>
        </w:rPr>
        <w:instrText xml:space="preserve"> REF _Ref222737336 \h </w:instrText>
      </w:r>
      <w:r w:rsidR="00BF05EB">
        <w:rPr>
          <w:lang w:val="en-GB"/>
        </w:rPr>
      </w:r>
      <w:r w:rsidR="00BF05EB">
        <w:rPr>
          <w:lang w:val="en-GB"/>
        </w:rPr>
        <w:fldChar w:fldCharType="separate"/>
      </w:r>
      <w:r w:rsidR="00BF05EB">
        <w:t xml:space="preserve">Figure </w:t>
      </w:r>
      <w:r w:rsidR="00BF05EB">
        <w:rPr>
          <w:noProof/>
        </w:rPr>
        <w:t>2</w:t>
      </w:r>
      <w:r w:rsidR="00BF05EB">
        <w:rPr>
          <w:lang w:val="en-GB"/>
        </w:rPr>
        <w:fldChar w:fldCharType="end"/>
      </w:r>
      <w:r w:rsidR="00E96601">
        <w:rPr>
          <w:lang w:val="en-GB"/>
        </w:rPr>
        <w:t xml:space="preserve">). The </w:t>
      </w:r>
      <w:r w:rsidR="009B53D2">
        <w:rPr>
          <w:lang w:val="en-GB"/>
        </w:rPr>
        <w:t xml:space="preserve">time dependence of </w:t>
      </w:r>
      <w:r w:rsidR="00E96601" w:rsidRPr="00866702">
        <w:rPr>
          <w:i/>
          <w:iCs/>
        </w:rPr>
        <w:sym w:font="Symbol" w:char="F061"/>
      </w:r>
      <w:r w:rsidR="00E96601">
        <w:rPr>
          <w:i/>
          <w:iCs/>
        </w:rPr>
        <w:t xml:space="preserve"> </w:t>
      </w:r>
      <w:r w:rsidR="00E96601">
        <w:rPr>
          <w:lang w:val="en-GB"/>
        </w:rPr>
        <w:t xml:space="preserve">and </w:t>
      </w:r>
      <w:r w:rsidR="00E96601" w:rsidRPr="00866702">
        <w:rPr>
          <w:i/>
          <w:iCs/>
        </w:rPr>
        <w:sym w:font="Symbol" w:char="F062"/>
      </w:r>
      <w:r w:rsidR="00E96601">
        <w:rPr>
          <w:i/>
          <w:iCs/>
        </w:rPr>
        <w:t xml:space="preserve"> </w:t>
      </w:r>
      <w:r w:rsidR="009B53D2">
        <w:rPr>
          <w:lang w:val="en-GB"/>
        </w:rPr>
        <w:t xml:space="preserve">is given in </w:t>
      </w:r>
      <w:r w:rsidR="00BF05EB">
        <w:rPr>
          <w:lang w:val="en-GB"/>
        </w:rPr>
        <w:fldChar w:fldCharType="begin"/>
      </w:r>
      <w:r w:rsidR="00BF05EB">
        <w:rPr>
          <w:lang w:val="en-GB"/>
        </w:rPr>
        <w:instrText xml:space="preserve"> REF _Ref223430170 \h </w:instrText>
      </w:r>
      <w:r w:rsidR="00BF05EB">
        <w:rPr>
          <w:lang w:val="en-GB"/>
        </w:rPr>
      </w:r>
      <w:r w:rsidR="00BF05EB">
        <w:rPr>
          <w:lang w:val="en-GB"/>
        </w:rPr>
        <w:fldChar w:fldCharType="separate"/>
      </w:r>
      <w:r w:rsidR="00BF05EB">
        <w:t xml:space="preserve">Figure </w:t>
      </w:r>
      <w:r w:rsidR="00BF05EB">
        <w:rPr>
          <w:noProof/>
        </w:rPr>
        <w:t>3</w:t>
      </w:r>
      <w:r w:rsidR="00BF05EB">
        <w:rPr>
          <w:lang w:val="en-GB"/>
        </w:rPr>
        <w:fldChar w:fldCharType="end"/>
      </w:r>
      <w:r w:rsidR="009B53D2">
        <w:rPr>
          <w:lang w:val="en-GB"/>
        </w:rPr>
        <w:t>.</w:t>
      </w:r>
      <w:r w:rsidR="007A33B1">
        <w:rPr>
          <w:lang w:val="en-GB"/>
        </w:rPr>
        <w:t xml:space="preserve"> </w:t>
      </w:r>
      <w:r w:rsidR="007A33B1" w:rsidRPr="005759A8">
        <w:rPr>
          <w:lang w:val="en-GB"/>
        </w:rPr>
        <w:t xml:space="preserve">The prediction of </w:t>
      </w:r>
      <w:r w:rsidR="007A33B1" w:rsidRPr="008B4B56">
        <w:rPr>
          <w:lang w:val="en-GB"/>
        </w:rPr>
        <w:t>the distribution parameters at each time frame</w:t>
      </w:r>
      <w:r w:rsidR="007A33B1" w:rsidRPr="005759A8">
        <w:rPr>
          <w:lang w:val="en-GB"/>
        </w:rPr>
        <w:t xml:space="preserve"> was made for each of the 1000 datasets</w:t>
      </w:r>
      <w:r w:rsidR="007A33B1">
        <w:rPr>
          <w:lang w:val="en-GB"/>
        </w:rPr>
        <w:t xml:space="preserve"> and </w:t>
      </w:r>
      <w:r w:rsidR="00EC6087">
        <w:rPr>
          <w:lang w:val="en-GB"/>
        </w:rPr>
        <w:t xml:space="preserve">the </w:t>
      </w:r>
      <w:r w:rsidR="007A33B1">
        <w:rPr>
          <w:lang w:val="en-GB"/>
        </w:rPr>
        <w:t>results were compared with the actual values of both parameters</w:t>
      </w:r>
      <w:r w:rsidR="007A33B1" w:rsidRPr="008B4B56">
        <w:rPr>
          <w:lang w:val="en-GB"/>
        </w:rPr>
        <w:t xml:space="preserve">. </w:t>
      </w:r>
    </w:p>
    <w:p w14:paraId="1108922B" w14:textId="77777777" w:rsidR="00FE0F18" w:rsidRDefault="0012285F" w:rsidP="008C5786">
      <w:pPr>
        <w:pStyle w:val="CETBodytext"/>
        <w:keepNext/>
      </w:pPr>
      <w:r w:rsidRPr="00FE0F18">
        <w:rPr>
          <w:rFonts w:ascii="Cambria Math" w:hAnsi="Cambria Math"/>
          <w:noProof/>
          <w:lang w:val="en-GB"/>
        </w:rPr>
        <w:drawing>
          <wp:inline distT="0" distB="0" distL="0" distR="0" wp14:anchorId="4DCA68EA" wp14:editId="232DC32E">
            <wp:extent cx="3513636" cy="1828800"/>
            <wp:effectExtent l="0" t="0" r="0" b="0"/>
            <wp:docPr id="836320257" name="Immagine 8">
              <a:extLst xmlns:a="http://schemas.openxmlformats.org/drawingml/2006/main">
                <a:ext uri="{FF2B5EF4-FFF2-40B4-BE49-F238E27FC236}">
                  <a16:creationId xmlns:a16="http://schemas.microsoft.com/office/drawing/2014/main" id="{86913AAC-47C3-3E63-622F-C509525BF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20257" name="Immagine 8">
                      <a:extLst>
                        <a:ext uri="{FF2B5EF4-FFF2-40B4-BE49-F238E27FC236}">
                          <a16:creationId xmlns:a16="http://schemas.microsoft.com/office/drawing/2014/main" id="{86913AAC-47C3-3E63-622F-C509525BF392}"/>
                        </a:ext>
                      </a:extLst>
                    </pic:cNvPr>
                    <pic:cNvPicPr>
                      <a:picLocks noChangeAspect="1"/>
                    </pic:cNvPicPr>
                  </pic:nvPicPr>
                  <pic:blipFill rotWithShape="1">
                    <a:blip r:embed="rId20"/>
                    <a:srcRect b="7067"/>
                    <a:stretch>
                      <a:fillRect/>
                    </a:stretch>
                  </pic:blipFill>
                  <pic:spPr bwMode="auto">
                    <a:xfrm>
                      <a:off x="0" y="0"/>
                      <a:ext cx="3517534" cy="1830829"/>
                    </a:xfrm>
                    <a:prstGeom prst="rect">
                      <a:avLst/>
                    </a:prstGeom>
                    <a:ln>
                      <a:noFill/>
                    </a:ln>
                    <a:extLst>
                      <a:ext uri="{53640926-AAD7-44D8-BBD7-CCE9431645EC}">
                        <a14:shadowObscured xmlns:a14="http://schemas.microsoft.com/office/drawing/2010/main"/>
                      </a:ext>
                    </a:extLst>
                  </pic:spPr>
                </pic:pic>
              </a:graphicData>
            </a:graphic>
          </wp:inline>
        </w:drawing>
      </w:r>
    </w:p>
    <w:p w14:paraId="26B7ADD5" w14:textId="7B19AFC5" w:rsidR="00FE0F18" w:rsidRPr="00BD4116" w:rsidRDefault="00FE0F18" w:rsidP="00BD4116">
      <w:pPr>
        <w:pStyle w:val="CETCaption"/>
        <w:spacing w:before="0"/>
        <w:rPr>
          <w:rStyle w:val="CETCaptionCarattere"/>
          <w:i/>
        </w:rPr>
      </w:pPr>
      <w:bookmarkStart w:id="5" w:name="_Ref222737336"/>
      <w:r w:rsidRPr="00BD4116">
        <w:rPr>
          <w:rStyle w:val="CETCaptionCarattere"/>
          <w:i/>
        </w:rPr>
        <w:t xml:space="preserve">Figure </w:t>
      </w:r>
      <w:r w:rsidRPr="00BD4116">
        <w:rPr>
          <w:rStyle w:val="CETCaptionCarattere"/>
          <w:i/>
        </w:rPr>
        <w:fldChar w:fldCharType="begin"/>
      </w:r>
      <w:r w:rsidRPr="00BD4116">
        <w:rPr>
          <w:rStyle w:val="CETCaptionCarattere"/>
          <w:i/>
        </w:rPr>
        <w:instrText xml:space="preserve"> SEQ Figure \* ARABIC </w:instrText>
      </w:r>
      <w:r w:rsidRPr="00BD4116">
        <w:rPr>
          <w:rStyle w:val="CETCaptionCarattere"/>
          <w:i/>
        </w:rPr>
        <w:fldChar w:fldCharType="separate"/>
      </w:r>
      <w:r w:rsidR="00DD7B75" w:rsidRPr="00BD4116">
        <w:rPr>
          <w:rStyle w:val="CETCaptionCarattere"/>
          <w:i/>
        </w:rPr>
        <w:t>2</w:t>
      </w:r>
      <w:r w:rsidRPr="00BD4116">
        <w:rPr>
          <w:rStyle w:val="CETCaptionCarattere"/>
          <w:i/>
        </w:rPr>
        <w:fldChar w:fldCharType="end"/>
      </w:r>
      <w:bookmarkEnd w:id="5"/>
      <w:r w:rsidRPr="00BD4116">
        <w:rPr>
          <w:rStyle w:val="CETCaptionCarattere"/>
          <w:i/>
        </w:rPr>
        <w:t xml:space="preserve"> Linearized Gumbel distributions, the colors represent time of exposure in terms of days.</w:t>
      </w:r>
    </w:p>
    <w:p w14:paraId="1F829A42" w14:textId="4F962B9B" w:rsidR="00FE0F18" w:rsidRPr="00BD4116" w:rsidRDefault="0081638C" w:rsidP="00BD4116">
      <w:pPr>
        <w:pStyle w:val="CETCaption"/>
        <w:rPr>
          <w:noProof/>
          <w:lang w:eastAsia="it-IT"/>
        </w:rPr>
      </w:pPr>
      <w:r w:rsidRPr="00BD4116">
        <w:rPr>
          <w:noProof/>
          <w:lang w:eastAsia="it-IT"/>
        </w:rPr>
        <w:lastRenderedPageBreak/>
        <w:t>(a)</w:t>
      </w:r>
      <w:r w:rsidR="00FE0F18" w:rsidRPr="00BD4116">
        <w:rPr>
          <w:noProof/>
          <w:lang w:val="it-IT" w:eastAsia="it-IT"/>
        </w:rPr>
        <w:drawing>
          <wp:inline distT="0" distB="0" distL="0" distR="0" wp14:anchorId="6AB0860D" wp14:editId="386B075B">
            <wp:extent cx="2578690" cy="1444509"/>
            <wp:effectExtent l="19050" t="19050" r="12700" b="22860"/>
            <wp:docPr id="356677689" name="Immagine 2" descr="Immagine che contiene schermata, linea, spazio, astron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77689" name="Immagine 2" descr="Immagine che contiene schermata, linea, spazio, astronomia&#10;&#10;Il contenuto generato dall'IA potrebbe non essere corrett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1" t="1696" r="1084" b="1421"/>
                    <a:stretch>
                      <a:fillRect/>
                    </a:stretch>
                  </pic:blipFill>
                  <pic:spPr bwMode="auto">
                    <a:xfrm>
                      <a:off x="0" y="0"/>
                      <a:ext cx="2624382" cy="1470104"/>
                    </a:xfrm>
                    <a:prstGeom prst="rect">
                      <a:avLst/>
                    </a:prstGeom>
                    <a:noFill/>
                    <a:ln w="63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D4116">
        <w:rPr>
          <w:noProof/>
          <w:lang w:eastAsia="it-IT"/>
        </w:rPr>
        <w:t xml:space="preserve"> (b)</w:t>
      </w:r>
      <w:r w:rsidR="00FE0F18" w:rsidRPr="00BD4116">
        <w:rPr>
          <w:noProof/>
          <w:lang w:val="it-IT" w:eastAsia="it-IT"/>
        </w:rPr>
        <w:drawing>
          <wp:inline distT="0" distB="0" distL="0" distR="0" wp14:anchorId="47DCDF36" wp14:editId="7AD10F77">
            <wp:extent cx="2592000" cy="1461600"/>
            <wp:effectExtent l="19050" t="19050" r="18415" b="24765"/>
            <wp:docPr id="539624173" name="Immagine 3" descr="Immagine che contiene schermata, linea, spazio, astron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24173" name="Immagine 3" descr="Immagine che contiene schermata, linea, spazio, astronomia&#10;&#10;Il contenuto generato dall'IA potrebbe non essere corret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00" cy="1461600"/>
                    </a:xfrm>
                    <a:prstGeom prst="rect">
                      <a:avLst/>
                    </a:prstGeom>
                    <a:noFill/>
                    <a:ln w="6350">
                      <a:solidFill>
                        <a:schemeClr val="tx1"/>
                      </a:solidFill>
                    </a:ln>
                  </pic:spPr>
                </pic:pic>
              </a:graphicData>
            </a:graphic>
          </wp:inline>
        </w:drawing>
      </w:r>
    </w:p>
    <w:p w14:paraId="20F473E9" w14:textId="27DC53C5" w:rsidR="00FE0F18" w:rsidRPr="00BD4116" w:rsidRDefault="00FE0F18" w:rsidP="00BD4116">
      <w:pPr>
        <w:pStyle w:val="CETCaption"/>
        <w:spacing w:before="0"/>
        <w:rPr>
          <w:rStyle w:val="CETCaptionCarattere"/>
          <w:i/>
        </w:rPr>
      </w:pPr>
      <w:bookmarkStart w:id="6" w:name="_Ref223430170"/>
      <w:r w:rsidRPr="00BD4116">
        <w:rPr>
          <w:rStyle w:val="CETCaptionCarattere"/>
          <w:i/>
        </w:rPr>
        <w:t xml:space="preserve">Figure </w:t>
      </w:r>
      <w:r w:rsidRPr="00BD4116">
        <w:rPr>
          <w:rStyle w:val="CETCaptionCarattere"/>
          <w:i/>
        </w:rPr>
        <w:fldChar w:fldCharType="begin"/>
      </w:r>
      <w:r w:rsidRPr="00BD4116">
        <w:rPr>
          <w:rStyle w:val="CETCaptionCarattere"/>
          <w:i/>
        </w:rPr>
        <w:instrText xml:space="preserve"> SEQ Figure \* ARABIC </w:instrText>
      </w:r>
      <w:r w:rsidRPr="00BD4116">
        <w:rPr>
          <w:rStyle w:val="CETCaptionCarattere"/>
          <w:i/>
        </w:rPr>
        <w:fldChar w:fldCharType="separate"/>
      </w:r>
      <w:r w:rsidR="00DD7B75" w:rsidRPr="00BD4116">
        <w:rPr>
          <w:rStyle w:val="CETCaptionCarattere"/>
          <w:i/>
        </w:rPr>
        <w:t>3</w:t>
      </w:r>
      <w:r w:rsidRPr="00BD4116">
        <w:rPr>
          <w:rStyle w:val="CETCaptionCarattere"/>
          <w:i/>
        </w:rPr>
        <w:fldChar w:fldCharType="end"/>
      </w:r>
      <w:bookmarkEnd w:id="6"/>
      <w:r w:rsidRPr="00BD4116">
        <w:rPr>
          <w:rStyle w:val="CETCaptionCarattere"/>
          <w:i/>
        </w:rPr>
        <w:t xml:space="preserve"> Power law regression of the distribution parameters</w:t>
      </w:r>
      <w:r w:rsidR="00B76017" w:rsidRPr="00BD4116">
        <w:rPr>
          <w:rStyle w:val="CETCaptionCarattere"/>
          <w:i/>
        </w:rPr>
        <w:t>: (a) scale parameter and (b) position parameter</w:t>
      </w:r>
    </w:p>
    <w:p w14:paraId="07CE29D8" w14:textId="24E46224" w:rsidR="00F042B1" w:rsidRDefault="00F042B1" w:rsidP="00F042B1">
      <w:pPr>
        <w:pStyle w:val="CETBodytext"/>
      </w:pPr>
      <w:r>
        <w:fldChar w:fldCharType="begin"/>
      </w:r>
      <w:r>
        <w:instrText xml:space="preserve"> REF _Ref222741482 \h </w:instrText>
      </w:r>
      <w:r>
        <w:fldChar w:fldCharType="separate"/>
      </w:r>
      <w:r>
        <w:t xml:space="preserve">Figure </w:t>
      </w:r>
      <w:r>
        <w:rPr>
          <w:noProof/>
        </w:rPr>
        <w:t>4</w:t>
      </w:r>
      <w:r>
        <w:fldChar w:fldCharType="end"/>
      </w:r>
      <w:r>
        <w:t>(a)</w:t>
      </w:r>
      <w:r>
        <w:rPr>
          <w:lang w:val="en-GB"/>
        </w:rPr>
        <w:t xml:space="preserve"> gives </w:t>
      </w:r>
      <w:r w:rsidRPr="00B1140F">
        <w:t>the intersections of</w:t>
      </w:r>
      <w:r w:rsidRPr="00B1140F">
        <w:rPr>
          <w:lang w:val="en-GB"/>
        </w:rPr>
        <w:t xml:space="preserve"> </w:t>
      </w:r>
      <w:r>
        <w:rPr>
          <w:lang w:val="en-GB"/>
        </w:rPr>
        <w:t xml:space="preserve">the discrete </w:t>
      </w:r>
      <w:r w:rsidRPr="00B1140F">
        <w:t>intervals</w:t>
      </w:r>
      <w:r>
        <w:t xml:space="preserve"> </w:t>
      </w:r>
      <w:r w:rsidRPr="00B1140F">
        <w:t xml:space="preserve">for both </w:t>
      </w:r>
      <w:r w:rsidRPr="00866702">
        <w:rPr>
          <w:i/>
          <w:iCs/>
        </w:rPr>
        <w:sym w:font="Symbol" w:char="F061"/>
      </w:r>
      <w:r>
        <w:rPr>
          <w:i/>
          <w:iCs/>
        </w:rPr>
        <w:t xml:space="preserve"> </w:t>
      </w:r>
      <w:r>
        <w:rPr>
          <w:lang w:val="en-GB"/>
        </w:rPr>
        <w:t xml:space="preserve">and </w:t>
      </w:r>
      <w:r w:rsidRPr="00866702">
        <w:rPr>
          <w:i/>
          <w:iCs/>
        </w:rPr>
        <w:sym w:font="Symbol" w:char="F062"/>
      </w:r>
      <w:r w:rsidRPr="00B1140F">
        <w:t xml:space="preserve"> parameters</w:t>
      </w:r>
      <w:r>
        <w:rPr>
          <w:lang w:val="en-GB"/>
        </w:rPr>
        <w:t xml:space="preserve"> and associated frequencies. </w:t>
      </w:r>
      <w:r w:rsidRPr="00B1140F">
        <w:t xml:space="preserve">This visual and mathematical representation effectively captures the joint probability distribution, allowing for the simultaneous characterization of how the scale and location parameters behave across the entire simulated </w:t>
      </w:r>
      <w:r w:rsidR="00BD4116">
        <w:t>population of tanks</w:t>
      </w:r>
      <w:r w:rsidRPr="00B1140F">
        <w:t>.</w:t>
      </w:r>
      <w:r>
        <w:t xml:space="preserve"> </w:t>
      </w:r>
      <w:r w:rsidRPr="007A33B1">
        <w:rPr>
          <w:lang w:val="en-GB"/>
        </w:rPr>
        <w:t>The generated matrix is essentially an empirical bivariate probability distribution, where the underlying statistical correlation between the parameters is preserved. This distribution can be “smoothed out” by reconstructing it analytically to have a better representation of the data (</w:t>
      </w:r>
      <w:r>
        <w:rPr>
          <w:lang w:val="en-GB"/>
        </w:rPr>
        <w:fldChar w:fldCharType="begin"/>
      </w:r>
      <w:r>
        <w:rPr>
          <w:lang w:val="en-GB"/>
        </w:rPr>
        <w:instrText xml:space="preserve"> REF _Ref222741482 \h </w:instrText>
      </w:r>
      <w:r>
        <w:rPr>
          <w:lang w:val="en-GB"/>
        </w:rPr>
      </w:r>
      <w:r>
        <w:rPr>
          <w:lang w:val="en-GB"/>
        </w:rPr>
        <w:fldChar w:fldCharType="separate"/>
      </w:r>
      <w:r w:rsidRPr="007A33B1">
        <w:t xml:space="preserve">Figure </w:t>
      </w:r>
      <w:r w:rsidRPr="007A33B1">
        <w:rPr>
          <w:noProof/>
        </w:rPr>
        <w:t>4</w:t>
      </w:r>
      <w:r>
        <w:rPr>
          <w:lang w:val="en-GB"/>
        </w:rPr>
        <w:fldChar w:fldCharType="end"/>
      </w:r>
      <w:r>
        <w:rPr>
          <w:lang w:val="en-GB"/>
        </w:rPr>
        <w:t>(b)</w:t>
      </w:r>
      <w:r w:rsidRPr="007A33B1">
        <w:rPr>
          <w:lang w:val="en-GB"/>
        </w:rPr>
        <w:t xml:space="preserve">). </w:t>
      </w:r>
      <w:r>
        <w:t xml:space="preserve">The distribution can be reconstructed using the following probability </w:t>
      </w:r>
      <w:r w:rsidRPr="00165453">
        <w:t>density function (PDF</w:t>
      </w:r>
      <w:r>
        <w:t>):</w:t>
      </w:r>
    </w:p>
    <w:tbl>
      <w:tblPr>
        <w:tblW w:w="5000" w:type="pct"/>
        <w:tblLook w:val="04A0" w:firstRow="1" w:lastRow="0" w:firstColumn="1" w:lastColumn="0" w:noHBand="0" w:noVBand="1"/>
      </w:tblPr>
      <w:tblGrid>
        <w:gridCol w:w="8252"/>
        <w:gridCol w:w="535"/>
      </w:tblGrid>
      <w:tr w:rsidR="00F042B1" w:rsidRPr="00B57B36" w14:paraId="5919906D" w14:textId="77777777" w:rsidTr="00C840A6">
        <w:tc>
          <w:tcPr>
            <w:tcW w:w="8252" w:type="dxa"/>
            <w:vAlign w:val="center"/>
          </w:tcPr>
          <w:p w14:paraId="0B27F1C7" w14:textId="31516E73" w:rsidR="00F042B1" w:rsidRPr="00343164" w:rsidRDefault="00000000" w:rsidP="0003243B">
            <w:pPr>
              <w:pStyle w:val="CETEquation"/>
            </w:pPr>
            <m:oMathPara>
              <m:oMath>
                <m:sSub>
                  <m:sSubPr>
                    <m:ctrlPr>
                      <w:rPr>
                        <w:rFonts w:ascii="Cambria Math" w:hAnsi="Cambria Math"/>
                        <w:i/>
                      </w:rPr>
                    </m:ctrlPr>
                  </m:sSubPr>
                  <m:e>
                    <m:r>
                      <w:rPr>
                        <w:rFonts w:ascii="Cambria Math"/>
                      </w:rPr>
                      <m:t>f(</m:t>
                    </m:r>
                    <m:r>
                      <w:rPr>
                        <w:rFonts w:ascii="Cambria Math" w:hAnsi="Cambria Math"/>
                      </w:rPr>
                      <m:t>β</m:t>
                    </m:r>
                    <m:r>
                      <w:rPr>
                        <w:rFonts w:ascii="Cambria Math"/>
                      </w:rPr>
                      <m:t>,</m:t>
                    </m:r>
                    <m:r>
                      <w:rPr>
                        <w:rFonts w:ascii="Cambria Math" w:hAnsi="Cambria Math"/>
                      </w:rPr>
                      <m:t>α</m:t>
                    </m:r>
                    <m:r>
                      <w:rPr>
                        <w:rFonts w:ascii="Cambria Math"/>
                      </w:rPr>
                      <m:t>)</m:t>
                    </m:r>
                  </m:e>
                  <m:sub>
                    <m:r>
                      <w:rPr>
                        <w:rFonts w:ascii="Cambria Math"/>
                      </w:rPr>
                      <m:t>i,j</m:t>
                    </m:r>
                  </m:sub>
                </m:sSub>
                <m:r>
                  <w:rPr>
                    <w:rFonts w:ascii="Cambria Math" w:hAnsi="Cambria Math"/>
                  </w:rPr>
                  <m:t>=</m:t>
                </m:r>
                <m:f>
                  <m:fPr>
                    <m:ctrlPr>
                      <w:rPr>
                        <w:rFonts w:ascii="Cambria Math" w:eastAsia="Aptos" w:hAnsi="Cambria Math"/>
                        <w:lang w:val="it-IT"/>
                      </w:rPr>
                    </m:ctrlPr>
                  </m:fPr>
                  <m:num>
                    <m:r>
                      <m:rPr>
                        <m:sty m:val="p"/>
                      </m:rPr>
                      <w:rPr>
                        <w:rFonts w:ascii="Cambria Math" w:eastAsia="Aptos" w:hAnsi="Cambria Math"/>
                        <w:lang w:val="it-IT"/>
                      </w:rPr>
                      <m:t>1</m:t>
                    </m:r>
                  </m:num>
                  <m:den>
                    <m:r>
                      <m:rPr>
                        <m:sty m:val="p"/>
                      </m:rPr>
                      <w:rPr>
                        <w:rFonts w:ascii="Cambria Math" w:eastAsia="Aptos" w:hAnsi="Cambria Math"/>
                        <w:lang w:val="it-IT"/>
                      </w:rPr>
                      <m:t>2</m:t>
                    </m:r>
                    <m:r>
                      <w:rPr>
                        <w:rFonts w:ascii="Cambria Math" w:eastAsia="Aptos" w:hAnsi="Cambria Math"/>
                        <w:lang w:val="it-IT"/>
                      </w:rPr>
                      <m:t>π</m:t>
                    </m:r>
                    <m:sSub>
                      <m:sSubPr>
                        <m:ctrlPr>
                          <w:rPr>
                            <w:rFonts w:ascii="Cambria Math" w:eastAsia="Aptos" w:hAnsi="Cambria Math"/>
                            <w:lang w:val="it-IT"/>
                          </w:rPr>
                        </m:ctrlPr>
                      </m:sSubPr>
                      <m:e>
                        <m:r>
                          <w:rPr>
                            <w:rFonts w:ascii="Cambria Math" w:eastAsia="Aptos" w:hAnsi="Cambria Math"/>
                            <w:lang w:val="it-IT"/>
                          </w:rPr>
                          <m:t>σ</m:t>
                        </m:r>
                      </m:e>
                      <m:sub>
                        <m:r>
                          <w:rPr>
                            <w:rFonts w:ascii="Cambria Math" w:eastAsia="Aptos" w:hAnsi="Cambria Math"/>
                            <w:lang w:val="it-IT"/>
                          </w:rPr>
                          <m:t>β</m:t>
                        </m:r>
                      </m:sub>
                    </m:sSub>
                    <m:sSub>
                      <m:sSubPr>
                        <m:ctrlPr>
                          <w:rPr>
                            <w:rFonts w:ascii="Cambria Math" w:eastAsia="Aptos" w:hAnsi="Cambria Math"/>
                            <w:lang w:val="it-IT"/>
                          </w:rPr>
                        </m:ctrlPr>
                      </m:sSubPr>
                      <m:e>
                        <m:r>
                          <w:rPr>
                            <w:rFonts w:ascii="Cambria Math" w:eastAsia="Aptos" w:hAnsi="Cambria Math"/>
                            <w:lang w:val="it-IT"/>
                          </w:rPr>
                          <m:t>σ</m:t>
                        </m:r>
                      </m:e>
                      <m:sub>
                        <m:r>
                          <w:rPr>
                            <w:rFonts w:ascii="Cambria Math" w:eastAsia="Aptos" w:hAnsi="Cambria Math"/>
                            <w:lang w:val="it-IT"/>
                          </w:rPr>
                          <m:t>α</m:t>
                        </m:r>
                      </m:sub>
                    </m:sSub>
                    <m:rad>
                      <m:radPr>
                        <m:degHide m:val="1"/>
                        <m:ctrlPr>
                          <w:rPr>
                            <w:rFonts w:ascii="Cambria Math" w:eastAsia="Aptos" w:hAnsi="Cambria Math"/>
                            <w:lang w:val="it-IT"/>
                          </w:rPr>
                        </m:ctrlPr>
                      </m:radPr>
                      <m:deg/>
                      <m:e>
                        <m:r>
                          <m:rPr>
                            <m:sty m:val="p"/>
                          </m:rPr>
                          <w:rPr>
                            <w:rFonts w:ascii="Cambria Math" w:eastAsia="Aptos" w:hAnsi="Cambria Math"/>
                            <w:lang w:val="it-IT"/>
                          </w:rPr>
                          <m:t>1-</m:t>
                        </m:r>
                        <m:sSup>
                          <m:sSupPr>
                            <m:ctrlPr>
                              <w:rPr>
                                <w:rFonts w:ascii="Cambria Math" w:eastAsia="Aptos" w:hAnsi="Cambria Math"/>
                                <w:lang w:val="it-IT"/>
                              </w:rPr>
                            </m:ctrlPr>
                          </m:sSupPr>
                          <m:e>
                            <m:r>
                              <w:rPr>
                                <w:rFonts w:ascii="Cambria Math" w:eastAsia="Aptos" w:hAnsi="Cambria Math"/>
                                <w:lang w:val="it-IT"/>
                              </w:rPr>
                              <m:t>ρ</m:t>
                            </m:r>
                          </m:e>
                          <m:sup>
                            <m:r>
                              <m:rPr>
                                <m:sty m:val="p"/>
                              </m:rPr>
                              <w:rPr>
                                <w:rFonts w:ascii="Cambria Math" w:eastAsia="Aptos" w:hAnsi="Cambria Math"/>
                                <w:lang w:val="it-IT"/>
                              </w:rPr>
                              <m:t>2</m:t>
                            </m:r>
                          </m:sup>
                        </m:sSup>
                      </m:e>
                    </m:rad>
                  </m:den>
                </m:f>
                <m:r>
                  <w:rPr>
                    <w:rFonts w:ascii="Cambria Math" w:eastAsia="Aptos" w:hAnsi="Cambria Math"/>
                    <w:lang w:val="it-IT"/>
                  </w:rPr>
                  <m:t>exp</m:t>
                </m:r>
                <m:d>
                  <m:dPr>
                    <m:begChr m:val="{"/>
                    <m:endChr m:val="}"/>
                    <m:ctrlPr>
                      <w:rPr>
                        <w:rFonts w:ascii="Cambria Math" w:eastAsia="Aptos" w:hAnsi="Cambria Math"/>
                        <w:lang w:val="it-IT"/>
                      </w:rPr>
                    </m:ctrlPr>
                  </m:dPr>
                  <m:e>
                    <m:r>
                      <m:rPr>
                        <m:sty m:val="p"/>
                      </m:rPr>
                      <w:rPr>
                        <w:rFonts w:ascii="Cambria Math" w:eastAsia="Aptos" w:hAnsi="Cambria Math"/>
                        <w:lang w:val="it-IT"/>
                      </w:rPr>
                      <m:t>-</m:t>
                    </m:r>
                    <m:f>
                      <m:fPr>
                        <m:ctrlPr>
                          <w:rPr>
                            <w:rFonts w:ascii="Cambria Math" w:eastAsia="Aptos" w:hAnsi="Cambria Math"/>
                            <w:lang w:val="it-IT"/>
                          </w:rPr>
                        </m:ctrlPr>
                      </m:fPr>
                      <m:num>
                        <m:r>
                          <m:rPr>
                            <m:sty m:val="p"/>
                          </m:rPr>
                          <w:rPr>
                            <w:rFonts w:ascii="Cambria Math" w:eastAsia="Aptos" w:hAnsi="Cambria Math"/>
                            <w:lang w:val="it-IT"/>
                          </w:rPr>
                          <m:t>1</m:t>
                        </m:r>
                      </m:num>
                      <m:den>
                        <m:r>
                          <m:rPr>
                            <m:sty m:val="p"/>
                          </m:rPr>
                          <w:rPr>
                            <w:rFonts w:ascii="Cambria Math" w:eastAsia="Aptos" w:hAnsi="Cambria Math"/>
                            <w:lang w:val="it-IT"/>
                          </w:rPr>
                          <m:t>2</m:t>
                        </m:r>
                        <m:d>
                          <m:dPr>
                            <m:ctrlPr>
                              <w:rPr>
                                <w:rFonts w:ascii="Cambria Math" w:eastAsia="Aptos" w:hAnsi="Cambria Math"/>
                                <w:lang w:val="it-IT"/>
                              </w:rPr>
                            </m:ctrlPr>
                          </m:dPr>
                          <m:e>
                            <m:r>
                              <m:rPr>
                                <m:sty m:val="p"/>
                              </m:rPr>
                              <w:rPr>
                                <w:rFonts w:ascii="Cambria Math" w:eastAsia="Aptos" w:hAnsi="Cambria Math"/>
                                <w:lang w:val="it-IT"/>
                              </w:rPr>
                              <m:t>1-</m:t>
                            </m:r>
                            <m:sSup>
                              <m:sSupPr>
                                <m:ctrlPr>
                                  <w:rPr>
                                    <w:rFonts w:ascii="Cambria Math" w:eastAsia="Aptos" w:hAnsi="Cambria Math"/>
                                    <w:lang w:val="it-IT"/>
                                  </w:rPr>
                                </m:ctrlPr>
                              </m:sSupPr>
                              <m:e>
                                <m:r>
                                  <w:rPr>
                                    <w:rFonts w:ascii="Cambria Math" w:eastAsia="Aptos" w:hAnsi="Cambria Math"/>
                                    <w:lang w:val="it-IT"/>
                                  </w:rPr>
                                  <m:t>ρ</m:t>
                                </m:r>
                              </m:e>
                              <m:sup>
                                <m:r>
                                  <m:rPr>
                                    <m:sty m:val="p"/>
                                  </m:rPr>
                                  <w:rPr>
                                    <w:rFonts w:ascii="Cambria Math" w:eastAsia="Aptos" w:hAnsi="Cambria Math"/>
                                    <w:lang w:val="it-IT"/>
                                  </w:rPr>
                                  <m:t>2</m:t>
                                </m:r>
                              </m:sup>
                            </m:sSup>
                          </m:e>
                        </m:d>
                      </m:den>
                    </m:f>
                    <m:d>
                      <m:dPr>
                        <m:begChr m:val="["/>
                        <m:endChr m:val="]"/>
                        <m:ctrlPr>
                          <w:rPr>
                            <w:rFonts w:ascii="Cambria Math" w:eastAsia="Aptos" w:hAnsi="Cambria Math"/>
                            <w:lang w:val="it-IT"/>
                          </w:rPr>
                        </m:ctrlPr>
                      </m:dPr>
                      <m:e>
                        <m:f>
                          <m:fPr>
                            <m:ctrlPr>
                              <w:rPr>
                                <w:rFonts w:ascii="Cambria Math" w:eastAsia="Aptos" w:hAnsi="Cambria Math"/>
                                <w:lang w:val="it-IT"/>
                              </w:rPr>
                            </m:ctrlPr>
                          </m:fPr>
                          <m:num>
                            <m:sSup>
                              <m:sSupPr>
                                <m:ctrlPr>
                                  <w:rPr>
                                    <w:rFonts w:ascii="Cambria Math" w:eastAsia="Aptos" w:hAnsi="Cambria Math"/>
                                    <w:lang w:val="it-IT"/>
                                  </w:rPr>
                                </m:ctrlPr>
                              </m:sSupPr>
                              <m:e>
                                <m:d>
                                  <m:dPr>
                                    <m:ctrlPr>
                                      <w:rPr>
                                        <w:rFonts w:ascii="Cambria Math" w:eastAsia="Aptos" w:hAnsi="Cambria Math"/>
                                        <w:lang w:val="it-IT"/>
                                      </w:rPr>
                                    </m:ctrlPr>
                                  </m:dPr>
                                  <m:e>
                                    <m:sSub>
                                      <m:sSubPr>
                                        <m:ctrlPr>
                                          <w:rPr>
                                            <w:rFonts w:ascii="Cambria Math" w:eastAsia="Aptos" w:hAnsi="Cambria Math"/>
                                            <w:lang w:val="it-IT"/>
                                          </w:rPr>
                                        </m:ctrlPr>
                                      </m:sSubPr>
                                      <m:e>
                                        <m:r>
                                          <w:rPr>
                                            <w:rFonts w:ascii="Cambria Math" w:eastAsia="Aptos" w:hAnsi="Cambria Math"/>
                                            <w:lang w:val="it-IT"/>
                                          </w:rPr>
                                          <m:t>β</m:t>
                                        </m:r>
                                      </m:e>
                                      <m:sub>
                                        <m:r>
                                          <w:rPr>
                                            <w:rFonts w:ascii="Cambria Math" w:eastAsia="Aptos" w:hAnsi="Cambria Math"/>
                                            <w:lang w:val="it-IT"/>
                                          </w:rPr>
                                          <m:t>i</m:t>
                                        </m:r>
                                      </m:sub>
                                    </m:sSub>
                                    <m:r>
                                      <m:rPr>
                                        <m:sty m:val="p"/>
                                      </m:rPr>
                                      <w:rPr>
                                        <w:rFonts w:ascii="Cambria Math" w:eastAsia="Aptos" w:hAnsi="Cambria Math"/>
                                        <w:lang w:val="it-IT"/>
                                      </w:rPr>
                                      <m:t>-</m:t>
                                    </m:r>
                                    <m:sSub>
                                      <m:sSubPr>
                                        <m:ctrlPr>
                                          <w:rPr>
                                            <w:rFonts w:ascii="Cambria Math" w:eastAsia="Aptos" w:hAnsi="Cambria Math"/>
                                            <w:lang w:val="it-IT"/>
                                          </w:rPr>
                                        </m:ctrlPr>
                                      </m:sSubPr>
                                      <m:e>
                                        <m:r>
                                          <w:rPr>
                                            <w:rFonts w:ascii="Cambria Math" w:eastAsia="Aptos" w:hAnsi="Cambria Math"/>
                                            <w:lang w:val="it-IT"/>
                                          </w:rPr>
                                          <m:t>μ</m:t>
                                        </m:r>
                                      </m:e>
                                      <m:sub>
                                        <m:r>
                                          <w:rPr>
                                            <w:rFonts w:ascii="Cambria Math" w:eastAsia="Aptos" w:hAnsi="Cambria Math"/>
                                            <w:lang w:val="it-IT"/>
                                          </w:rPr>
                                          <m:t>β</m:t>
                                        </m:r>
                                      </m:sub>
                                    </m:sSub>
                                  </m:e>
                                </m:d>
                              </m:e>
                              <m:sup>
                                <m:r>
                                  <m:rPr>
                                    <m:sty m:val="p"/>
                                  </m:rPr>
                                  <w:rPr>
                                    <w:rFonts w:ascii="Cambria Math" w:eastAsia="Aptos" w:hAnsi="Cambria Math"/>
                                    <w:lang w:val="it-IT"/>
                                  </w:rPr>
                                  <m:t>2</m:t>
                                </m:r>
                              </m:sup>
                            </m:sSup>
                          </m:num>
                          <m:den>
                            <m:sSubSup>
                              <m:sSubSupPr>
                                <m:ctrlPr>
                                  <w:rPr>
                                    <w:rFonts w:ascii="Cambria Math" w:eastAsia="Aptos" w:hAnsi="Cambria Math"/>
                                    <w:lang w:val="it-IT"/>
                                  </w:rPr>
                                </m:ctrlPr>
                              </m:sSubSupPr>
                              <m:e>
                                <m:r>
                                  <w:rPr>
                                    <w:rFonts w:ascii="Cambria Math" w:eastAsia="Aptos" w:hAnsi="Cambria Math"/>
                                    <w:lang w:val="it-IT"/>
                                  </w:rPr>
                                  <m:t>σ</m:t>
                                </m:r>
                              </m:e>
                              <m:sub>
                                <m:r>
                                  <w:rPr>
                                    <w:rFonts w:ascii="Cambria Math" w:eastAsia="Aptos" w:hAnsi="Cambria Math"/>
                                    <w:lang w:val="it-IT"/>
                                  </w:rPr>
                                  <m:t>β</m:t>
                                </m:r>
                              </m:sub>
                              <m:sup>
                                <m:r>
                                  <m:rPr>
                                    <m:sty m:val="p"/>
                                  </m:rPr>
                                  <w:rPr>
                                    <w:rFonts w:ascii="Cambria Math" w:eastAsia="Aptos" w:hAnsi="Cambria Math"/>
                                    <w:lang w:val="it-IT"/>
                                  </w:rPr>
                                  <m:t>2</m:t>
                                </m:r>
                              </m:sup>
                            </m:sSubSup>
                          </m:den>
                        </m:f>
                        <m:r>
                          <m:rPr>
                            <m:sty m:val="p"/>
                          </m:rPr>
                          <w:rPr>
                            <w:rFonts w:ascii="Cambria Math" w:eastAsia="Aptos" w:hAnsi="Cambria Math"/>
                            <w:lang w:val="it-IT"/>
                          </w:rPr>
                          <m:t>+</m:t>
                        </m:r>
                        <m:f>
                          <m:fPr>
                            <m:ctrlPr>
                              <w:rPr>
                                <w:rFonts w:ascii="Cambria Math" w:eastAsia="Aptos" w:hAnsi="Cambria Math"/>
                                <w:lang w:val="it-IT"/>
                              </w:rPr>
                            </m:ctrlPr>
                          </m:fPr>
                          <m:num>
                            <m:sSup>
                              <m:sSupPr>
                                <m:ctrlPr>
                                  <w:rPr>
                                    <w:rFonts w:ascii="Cambria Math" w:eastAsia="Aptos" w:hAnsi="Cambria Math"/>
                                    <w:lang w:val="it-IT"/>
                                  </w:rPr>
                                </m:ctrlPr>
                              </m:sSupPr>
                              <m:e>
                                <m:d>
                                  <m:dPr>
                                    <m:ctrlPr>
                                      <w:rPr>
                                        <w:rFonts w:ascii="Cambria Math" w:eastAsia="Aptos" w:hAnsi="Cambria Math"/>
                                        <w:lang w:val="it-IT"/>
                                      </w:rPr>
                                    </m:ctrlPr>
                                  </m:dPr>
                                  <m:e>
                                    <m:sSub>
                                      <m:sSubPr>
                                        <m:ctrlPr>
                                          <w:rPr>
                                            <w:rFonts w:ascii="Cambria Math" w:eastAsia="Aptos" w:hAnsi="Cambria Math"/>
                                            <w:lang w:val="it-IT"/>
                                          </w:rPr>
                                        </m:ctrlPr>
                                      </m:sSubPr>
                                      <m:e>
                                        <m:r>
                                          <w:rPr>
                                            <w:rFonts w:ascii="Cambria Math" w:eastAsia="Aptos" w:hAnsi="Cambria Math"/>
                                            <w:lang w:val="it-IT"/>
                                          </w:rPr>
                                          <m:t>α</m:t>
                                        </m:r>
                                      </m:e>
                                      <m:sub>
                                        <m:r>
                                          <w:rPr>
                                            <w:rFonts w:ascii="Cambria Math" w:eastAsia="Aptos" w:hAnsi="Cambria Math"/>
                                            <w:lang w:val="it-IT"/>
                                          </w:rPr>
                                          <m:t>j</m:t>
                                        </m:r>
                                      </m:sub>
                                    </m:sSub>
                                    <m:r>
                                      <m:rPr>
                                        <m:sty m:val="p"/>
                                      </m:rPr>
                                      <w:rPr>
                                        <w:rFonts w:ascii="Cambria Math" w:eastAsia="Aptos" w:hAnsi="Cambria Math"/>
                                        <w:lang w:val="it-IT"/>
                                      </w:rPr>
                                      <m:t>-</m:t>
                                    </m:r>
                                    <m:sSub>
                                      <m:sSubPr>
                                        <m:ctrlPr>
                                          <w:rPr>
                                            <w:rFonts w:ascii="Cambria Math" w:eastAsia="Aptos" w:hAnsi="Cambria Math"/>
                                            <w:lang w:val="it-IT"/>
                                          </w:rPr>
                                        </m:ctrlPr>
                                      </m:sSubPr>
                                      <m:e>
                                        <m:r>
                                          <w:rPr>
                                            <w:rFonts w:ascii="Cambria Math" w:eastAsia="Aptos" w:hAnsi="Cambria Math"/>
                                            <w:lang w:val="it-IT"/>
                                          </w:rPr>
                                          <m:t>μ</m:t>
                                        </m:r>
                                      </m:e>
                                      <m:sub>
                                        <m:r>
                                          <w:rPr>
                                            <w:rFonts w:ascii="Cambria Math" w:eastAsia="Aptos" w:hAnsi="Cambria Math"/>
                                            <w:lang w:val="it-IT"/>
                                          </w:rPr>
                                          <m:t>α</m:t>
                                        </m:r>
                                      </m:sub>
                                    </m:sSub>
                                  </m:e>
                                </m:d>
                              </m:e>
                              <m:sup>
                                <m:r>
                                  <m:rPr>
                                    <m:sty m:val="p"/>
                                  </m:rPr>
                                  <w:rPr>
                                    <w:rFonts w:ascii="Cambria Math" w:eastAsia="Aptos" w:hAnsi="Cambria Math"/>
                                    <w:lang w:val="it-IT"/>
                                  </w:rPr>
                                  <m:t>2</m:t>
                                </m:r>
                              </m:sup>
                            </m:sSup>
                          </m:num>
                          <m:den>
                            <m:sSubSup>
                              <m:sSubSupPr>
                                <m:ctrlPr>
                                  <w:rPr>
                                    <w:rFonts w:ascii="Cambria Math" w:eastAsia="Aptos" w:hAnsi="Cambria Math"/>
                                    <w:lang w:val="it-IT"/>
                                  </w:rPr>
                                </m:ctrlPr>
                              </m:sSubSupPr>
                              <m:e>
                                <m:r>
                                  <w:rPr>
                                    <w:rFonts w:ascii="Cambria Math" w:eastAsia="Aptos" w:hAnsi="Cambria Math"/>
                                    <w:lang w:val="it-IT"/>
                                  </w:rPr>
                                  <m:t>σ</m:t>
                                </m:r>
                              </m:e>
                              <m:sub>
                                <m:r>
                                  <w:rPr>
                                    <w:rFonts w:ascii="Cambria Math" w:eastAsia="Aptos" w:hAnsi="Cambria Math"/>
                                    <w:lang w:val="it-IT"/>
                                  </w:rPr>
                                  <m:t>α</m:t>
                                </m:r>
                              </m:sub>
                              <m:sup>
                                <m:r>
                                  <m:rPr>
                                    <m:sty m:val="p"/>
                                  </m:rPr>
                                  <w:rPr>
                                    <w:rFonts w:ascii="Cambria Math" w:eastAsia="Aptos" w:hAnsi="Cambria Math"/>
                                    <w:lang w:val="it-IT"/>
                                  </w:rPr>
                                  <m:t>2</m:t>
                                </m:r>
                              </m:sup>
                            </m:sSubSup>
                          </m:den>
                        </m:f>
                        <m:r>
                          <m:rPr>
                            <m:sty m:val="p"/>
                          </m:rPr>
                          <w:rPr>
                            <w:rFonts w:ascii="Cambria Math" w:eastAsia="Aptos" w:hAnsi="Cambria Math"/>
                            <w:lang w:val="it-IT"/>
                          </w:rPr>
                          <m:t>-</m:t>
                        </m:r>
                        <m:f>
                          <m:fPr>
                            <m:ctrlPr>
                              <w:rPr>
                                <w:rFonts w:ascii="Cambria Math" w:eastAsia="Aptos" w:hAnsi="Cambria Math"/>
                                <w:lang w:val="it-IT"/>
                              </w:rPr>
                            </m:ctrlPr>
                          </m:fPr>
                          <m:num>
                            <m:r>
                              <m:rPr>
                                <m:sty m:val="p"/>
                              </m:rPr>
                              <w:rPr>
                                <w:rFonts w:ascii="Cambria Math" w:eastAsia="Aptos" w:hAnsi="Cambria Math"/>
                                <w:lang w:val="it-IT"/>
                              </w:rPr>
                              <m:t>2</m:t>
                            </m:r>
                            <m:r>
                              <w:rPr>
                                <w:rFonts w:ascii="Cambria Math" w:eastAsia="Aptos" w:hAnsi="Cambria Math"/>
                                <w:lang w:val="it-IT"/>
                              </w:rPr>
                              <m:t>ρ</m:t>
                            </m:r>
                            <m:d>
                              <m:dPr>
                                <m:ctrlPr>
                                  <w:rPr>
                                    <w:rFonts w:ascii="Cambria Math" w:eastAsia="Aptos" w:hAnsi="Cambria Math"/>
                                    <w:lang w:val="it-IT"/>
                                  </w:rPr>
                                </m:ctrlPr>
                              </m:dPr>
                              <m:e>
                                <m:sSub>
                                  <m:sSubPr>
                                    <m:ctrlPr>
                                      <w:rPr>
                                        <w:rFonts w:ascii="Cambria Math" w:eastAsia="Aptos" w:hAnsi="Cambria Math"/>
                                        <w:lang w:val="it-IT"/>
                                      </w:rPr>
                                    </m:ctrlPr>
                                  </m:sSubPr>
                                  <m:e>
                                    <m:r>
                                      <w:rPr>
                                        <w:rFonts w:ascii="Cambria Math" w:eastAsia="Aptos" w:hAnsi="Cambria Math"/>
                                        <w:lang w:val="it-IT"/>
                                      </w:rPr>
                                      <m:t>β</m:t>
                                    </m:r>
                                  </m:e>
                                  <m:sub>
                                    <m:r>
                                      <w:rPr>
                                        <w:rFonts w:ascii="Cambria Math" w:eastAsia="Aptos" w:hAnsi="Cambria Math"/>
                                        <w:lang w:val="it-IT"/>
                                      </w:rPr>
                                      <m:t>i</m:t>
                                    </m:r>
                                  </m:sub>
                                </m:sSub>
                                <m:r>
                                  <m:rPr>
                                    <m:sty m:val="p"/>
                                  </m:rPr>
                                  <w:rPr>
                                    <w:rFonts w:ascii="Cambria Math" w:eastAsia="Aptos" w:hAnsi="Cambria Math"/>
                                    <w:lang w:val="it-IT"/>
                                  </w:rPr>
                                  <m:t>-</m:t>
                                </m:r>
                                <m:sSub>
                                  <m:sSubPr>
                                    <m:ctrlPr>
                                      <w:rPr>
                                        <w:rFonts w:ascii="Cambria Math" w:eastAsia="Aptos" w:hAnsi="Cambria Math"/>
                                        <w:lang w:val="it-IT"/>
                                      </w:rPr>
                                    </m:ctrlPr>
                                  </m:sSubPr>
                                  <m:e>
                                    <m:r>
                                      <w:rPr>
                                        <w:rFonts w:ascii="Cambria Math" w:eastAsia="Aptos" w:hAnsi="Cambria Math"/>
                                        <w:lang w:val="it-IT"/>
                                      </w:rPr>
                                      <m:t>μ</m:t>
                                    </m:r>
                                  </m:e>
                                  <m:sub>
                                    <m:r>
                                      <w:rPr>
                                        <w:rFonts w:ascii="Cambria Math" w:eastAsia="Aptos" w:hAnsi="Cambria Math"/>
                                        <w:lang w:val="it-IT"/>
                                      </w:rPr>
                                      <m:t>β</m:t>
                                    </m:r>
                                  </m:sub>
                                </m:sSub>
                              </m:e>
                            </m:d>
                            <m:d>
                              <m:dPr>
                                <m:ctrlPr>
                                  <w:rPr>
                                    <w:rFonts w:ascii="Cambria Math" w:eastAsia="Aptos" w:hAnsi="Cambria Math"/>
                                    <w:lang w:val="it-IT"/>
                                  </w:rPr>
                                </m:ctrlPr>
                              </m:dPr>
                              <m:e>
                                <m:sSub>
                                  <m:sSubPr>
                                    <m:ctrlPr>
                                      <w:rPr>
                                        <w:rFonts w:ascii="Cambria Math" w:eastAsia="Aptos" w:hAnsi="Cambria Math"/>
                                        <w:lang w:val="it-IT"/>
                                      </w:rPr>
                                    </m:ctrlPr>
                                  </m:sSubPr>
                                  <m:e>
                                    <m:r>
                                      <w:rPr>
                                        <w:rFonts w:ascii="Cambria Math" w:eastAsia="Aptos" w:hAnsi="Cambria Math"/>
                                        <w:lang w:val="it-IT"/>
                                      </w:rPr>
                                      <m:t>α</m:t>
                                    </m:r>
                                  </m:e>
                                  <m:sub>
                                    <m:r>
                                      <w:rPr>
                                        <w:rFonts w:ascii="Cambria Math" w:eastAsia="Aptos" w:hAnsi="Cambria Math"/>
                                        <w:lang w:val="it-IT"/>
                                      </w:rPr>
                                      <m:t>j</m:t>
                                    </m:r>
                                  </m:sub>
                                </m:sSub>
                                <m:r>
                                  <m:rPr>
                                    <m:sty m:val="p"/>
                                  </m:rPr>
                                  <w:rPr>
                                    <w:rFonts w:ascii="Cambria Math" w:eastAsia="Aptos" w:hAnsi="Cambria Math"/>
                                    <w:lang w:val="it-IT"/>
                                  </w:rPr>
                                  <m:t>-</m:t>
                                </m:r>
                                <m:sSub>
                                  <m:sSubPr>
                                    <m:ctrlPr>
                                      <w:rPr>
                                        <w:rFonts w:ascii="Cambria Math" w:eastAsia="Aptos" w:hAnsi="Cambria Math"/>
                                        <w:lang w:val="it-IT"/>
                                      </w:rPr>
                                    </m:ctrlPr>
                                  </m:sSubPr>
                                  <m:e>
                                    <m:r>
                                      <w:rPr>
                                        <w:rFonts w:ascii="Cambria Math" w:eastAsia="Aptos" w:hAnsi="Cambria Math"/>
                                        <w:lang w:val="it-IT"/>
                                      </w:rPr>
                                      <m:t>μ</m:t>
                                    </m:r>
                                  </m:e>
                                  <m:sub>
                                    <m:r>
                                      <w:rPr>
                                        <w:rFonts w:ascii="Cambria Math" w:eastAsia="Aptos" w:hAnsi="Cambria Math"/>
                                        <w:lang w:val="it-IT"/>
                                      </w:rPr>
                                      <m:t>α</m:t>
                                    </m:r>
                                  </m:sub>
                                </m:sSub>
                              </m:e>
                            </m:d>
                          </m:num>
                          <m:den>
                            <m:sSub>
                              <m:sSubPr>
                                <m:ctrlPr>
                                  <w:rPr>
                                    <w:rFonts w:ascii="Cambria Math" w:eastAsia="Aptos" w:hAnsi="Cambria Math"/>
                                    <w:lang w:val="it-IT"/>
                                  </w:rPr>
                                </m:ctrlPr>
                              </m:sSubPr>
                              <m:e>
                                <m:r>
                                  <w:rPr>
                                    <w:rFonts w:ascii="Cambria Math" w:eastAsia="Aptos" w:hAnsi="Cambria Math"/>
                                    <w:lang w:val="it-IT"/>
                                  </w:rPr>
                                  <m:t>σ</m:t>
                                </m:r>
                              </m:e>
                              <m:sub>
                                <m:r>
                                  <w:rPr>
                                    <w:rFonts w:ascii="Cambria Math" w:eastAsia="Aptos" w:hAnsi="Cambria Math"/>
                                    <w:lang w:val="it-IT"/>
                                  </w:rPr>
                                  <m:t>β</m:t>
                                </m:r>
                              </m:sub>
                            </m:sSub>
                            <m:sSub>
                              <m:sSubPr>
                                <m:ctrlPr>
                                  <w:rPr>
                                    <w:rFonts w:ascii="Cambria Math" w:eastAsia="Aptos" w:hAnsi="Cambria Math"/>
                                    <w:lang w:val="it-IT"/>
                                  </w:rPr>
                                </m:ctrlPr>
                              </m:sSubPr>
                              <m:e>
                                <m:r>
                                  <w:rPr>
                                    <w:rFonts w:ascii="Cambria Math" w:eastAsia="Aptos" w:hAnsi="Cambria Math"/>
                                    <w:lang w:val="it-IT"/>
                                  </w:rPr>
                                  <m:t>σ</m:t>
                                </m:r>
                              </m:e>
                              <m:sub>
                                <m:r>
                                  <w:rPr>
                                    <w:rFonts w:ascii="Cambria Math" w:eastAsia="Aptos" w:hAnsi="Cambria Math"/>
                                    <w:lang w:val="it-IT"/>
                                  </w:rPr>
                                  <m:t>α</m:t>
                                </m:r>
                              </m:sub>
                            </m:sSub>
                          </m:den>
                        </m:f>
                      </m:e>
                    </m:d>
                  </m:e>
                </m:d>
              </m:oMath>
            </m:oMathPara>
          </w:p>
        </w:tc>
        <w:tc>
          <w:tcPr>
            <w:tcW w:w="535" w:type="dxa"/>
            <w:vAlign w:val="center"/>
          </w:tcPr>
          <w:p w14:paraId="16731C83" w14:textId="77777777" w:rsidR="00F042B1" w:rsidRPr="00B57B36" w:rsidRDefault="00F042B1" w:rsidP="00C840A6">
            <w:pPr>
              <w:pStyle w:val="CETEquation"/>
              <w:jc w:val="right"/>
            </w:pPr>
            <w:r w:rsidRPr="00B57B36">
              <w:t>(</w:t>
            </w:r>
            <w:r>
              <w:t>6</w:t>
            </w:r>
            <w:r w:rsidRPr="00B57B36">
              <w:t>)</w:t>
            </w:r>
          </w:p>
        </w:tc>
      </w:tr>
    </w:tbl>
    <w:p w14:paraId="4E1A9D3D" w14:textId="7FBEF21C" w:rsidR="00F042B1" w:rsidRDefault="00F042B1" w:rsidP="00D3599C">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36B52" w14:paraId="46F4BD7F" w14:textId="77777777" w:rsidTr="00364058">
        <w:tc>
          <w:tcPr>
            <w:tcW w:w="4388" w:type="dxa"/>
          </w:tcPr>
          <w:p w14:paraId="4FD9A1F7" w14:textId="56B172F9" w:rsidR="00F042B1" w:rsidRDefault="00F042B1" w:rsidP="00D3599C">
            <w:pPr>
              <w:pStyle w:val="CETBodytext"/>
              <w:rPr>
                <w:lang w:val="en-GB"/>
              </w:rPr>
            </w:pPr>
            <w:r>
              <w:rPr>
                <w:noProof/>
                <w:lang w:val="en-GB"/>
              </w:rPr>
              <w:drawing>
                <wp:anchor distT="0" distB="0" distL="114300" distR="114300" simplePos="0" relativeHeight="251658240" behindDoc="1" locked="0" layoutInCell="1" allowOverlap="1" wp14:anchorId="0A39BFA6" wp14:editId="1DC568D5">
                  <wp:simplePos x="0" y="0"/>
                  <wp:positionH relativeFrom="column">
                    <wp:posOffset>-68580</wp:posOffset>
                  </wp:positionH>
                  <wp:positionV relativeFrom="paragraph">
                    <wp:posOffset>0</wp:posOffset>
                  </wp:positionV>
                  <wp:extent cx="2621280" cy="1852930"/>
                  <wp:effectExtent l="0" t="0" r="0" b="0"/>
                  <wp:wrapTight wrapText="bothSides">
                    <wp:wrapPolygon edited="0">
                      <wp:start x="7378" y="444"/>
                      <wp:lineTo x="1099" y="3109"/>
                      <wp:lineTo x="628" y="13546"/>
                      <wp:lineTo x="1099" y="15101"/>
                      <wp:lineTo x="1727" y="15101"/>
                      <wp:lineTo x="1727" y="17099"/>
                      <wp:lineTo x="4709" y="18654"/>
                      <wp:lineTo x="4238" y="19098"/>
                      <wp:lineTo x="4238" y="20875"/>
                      <wp:lineTo x="5023" y="20875"/>
                      <wp:lineTo x="11773" y="20430"/>
                      <wp:lineTo x="15384" y="19764"/>
                      <wp:lineTo x="15070" y="18654"/>
                      <wp:lineTo x="19308" y="16877"/>
                      <wp:lineTo x="19936" y="15323"/>
                      <wp:lineTo x="18837" y="15101"/>
                      <wp:lineTo x="19779" y="12880"/>
                      <wp:lineTo x="19465" y="11770"/>
                      <wp:lineTo x="20093" y="11548"/>
                      <wp:lineTo x="20878" y="10659"/>
                      <wp:lineTo x="20250" y="7995"/>
                      <wp:lineTo x="20564" y="1777"/>
                      <wp:lineTo x="18680" y="1332"/>
                      <wp:lineTo x="9105" y="444"/>
                      <wp:lineTo x="7378" y="444"/>
                    </wp:wrapPolygon>
                  </wp:wrapTight>
                  <wp:docPr id="1756112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286" name="Immagine 1"/>
                          <pic:cNvPicPr>
                            <a:picLocks noChangeAspect="1" noChangeArrowheads="1"/>
                          </pic:cNvPicPr>
                        </pic:nvPicPr>
                        <pic:blipFill>
                          <a:blip r:embed="rId23"/>
                          <a:stretch>
                            <a:fillRect/>
                          </a:stretch>
                        </pic:blipFill>
                        <pic:spPr bwMode="auto">
                          <a:xfrm>
                            <a:off x="0" y="0"/>
                            <a:ext cx="2621280" cy="1852930"/>
                          </a:xfrm>
                          <a:prstGeom prst="rect">
                            <a:avLst/>
                          </a:prstGeom>
                          <a:noFill/>
                        </pic:spPr>
                      </pic:pic>
                    </a:graphicData>
                  </a:graphic>
                </wp:anchor>
              </w:drawing>
            </w:r>
          </w:p>
          <w:p w14:paraId="5EAF1597" w14:textId="77777777" w:rsidR="00F042B1" w:rsidRDefault="00F042B1" w:rsidP="00D3599C">
            <w:pPr>
              <w:pStyle w:val="CETBodytext"/>
              <w:rPr>
                <w:lang w:val="en-GB"/>
              </w:rPr>
            </w:pPr>
          </w:p>
          <w:p w14:paraId="532F6617" w14:textId="3E08AD52" w:rsidR="00136B52" w:rsidRDefault="00CC640D" w:rsidP="00D3599C">
            <w:pPr>
              <w:pStyle w:val="CETBodytext"/>
              <w:rPr>
                <w:lang w:val="en-GB"/>
              </w:rPr>
            </w:pPr>
            <w:r>
              <w:rPr>
                <w:lang w:val="en-GB"/>
              </w:rPr>
              <w:t>(a)</w:t>
            </w:r>
          </w:p>
        </w:tc>
        <w:tc>
          <w:tcPr>
            <w:tcW w:w="4389" w:type="dxa"/>
          </w:tcPr>
          <w:p w14:paraId="0FFB802E" w14:textId="2943C766" w:rsidR="00E62F0D" w:rsidRDefault="00E62F0D" w:rsidP="00D3599C">
            <w:pPr>
              <w:pStyle w:val="CETBodytext"/>
              <w:rPr>
                <w:lang w:val="en-GB"/>
              </w:rPr>
            </w:pPr>
            <w:r>
              <w:rPr>
                <w:noProof/>
                <w:lang w:val="en-GB"/>
              </w:rPr>
              <w:drawing>
                <wp:anchor distT="0" distB="0" distL="114300" distR="114300" simplePos="0" relativeHeight="251659264" behindDoc="1" locked="0" layoutInCell="1" allowOverlap="1" wp14:anchorId="17800E30" wp14:editId="6B26BC07">
                  <wp:simplePos x="0" y="0"/>
                  <wp:positionH relativeFrom="column">
                    <wp:posOffset>8255</wp:posOffset>
                  </wp:positionH>
                  <wp:positionV relativeFrom="paragraph">
                    <wp:posOffset>15875</wp:posOffset>
                  </wp:positionV>
                  <wp:extent cx="2627630" cy="1864995"/>
                  <wp:effectExtent l="0" t="0" r="0" b="0"/>
                  <wp:wrapTight wrapText="bothSides">
                    <wp:wrapPolygon edited="0">
                      <wp:start x="7517" y="1103"/>
                      <wp:lineTo x="2349" y="3309"/>
                      <wp:lineTo x="1253" y="3971"/>
                      <wp:lineTo x="1253" y="12135"/>
                      <wp:lineTo x="2506" y="15665"/>
                      <wp:lineTo x="2819" y="17651"/>
                      <wp:lineTo x="6577" y="19195"/>
                      <wp:lineTo x="5951" y="19416"/>
                      <wp:lineTo x="5951" y="21181"/>
                      <wp:lineTo x="6890" y="21181"/>
                      <wp:lineTo x="15347" y="19857"/>
                      <wp:lineTo x="15347" y="19195"/>
                      <wp:lineTo x="20201" y="15665"/>
                      <wp:lineTo x="20358" y="14121"/>
                      <wp:lineTo x="19261" y="12135"/>
                      <wp:lineTo x="18165" y="12135"/>
                      <wp:lineTo x="20671" y="9046"/>
                      <wp:lineTo x="20358" y="1765"/>
                      <wp:lineTo x="10022" y="1103"/>
                      <wp:lineTo x="7517" y="1103"/>
                    </wp:wrapPolygon>
                  </wp:wrapTight>
                  <wp:docPr id="69211522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15225" name="Immagine 2"/>
                          <pic:cNvPicPr>
                            <a:picLocks noChangeAspect="1" noChangeArrowheads="1"/>
                          </pic:cNvPicPr>
                        </pic:nvPicPr>
                        <pic:blipFill>
                          <a:blip r:embed="rId24"/>
                          <a:stretch>
                            <a:fillRect/>
                          </a:stretch>
                        </pic:blipFill>
                        <pic:spPr bwMode="auto">
                          <a:xfrm>
                            <a:off x="0" y="0"/>
                            <a:ext cx="2627630" cy="1864995"/>
                          </a:xfrm>
                          <a:prstGeom prst="rect">
                            <a:avLst/>
                          </a:prstGeom>
                          <a:noFill/>
                        </pic:spPr>
                      </pic:pic>
                    </a:graphicData>
                  </a:graphic>
                </wp:anchor>
              </w:drawing>
            </w:r>
          </w:p>
          <w:p w14:paraId="43812F35" w14:textId="53922935" w:rsidR="00E62F0D" w:rsidRDefault="00E62F0D" w:rsidP="00D3599C">
            <w:pPr>
              <w:pStyle w:val="CETBodytext"/>
              <w:rPr>
                <w:lang w:val="en-GB"/>
              </w:rPr>
            </w:pPr>
          </w:p>
          <w:p w14:paraId="37D4356B" w14:textId="77777777" w:rsidR="00E62F0D" w:rsidRDefault="00E62F0D" w:rsidP="00D3599C">
            <w:pPr>
              <w:pStyle w:val="CETBodytext"/>
              <w:rPr>
                <w:lang w:val="en-GB"/>
              </w:rPr>
            </w:pPr>
          </w:p>
          <w:p w14:paraId="5C6C6F3F" w14:textId="6D5013A6" w:rsidR="00136B52" w:rsidRDefault="00CC640D" w:rsidP="00D3599C">
            <w:pPr>
              <w:pStyle w:val="CETBodytext"/>
              <w:rPr>
                <w:lang w:val="en-GB"/>
              </w:rPr>
            </w:pPr>
            <w:r>
              <w:rPr>
                <w:lang w:val="en-GB"/>
              </w:rPr>
              <w:t>(b)</w:t>
            </w:r>
          </w:p>
        </w:tc>
      </w:tr>
    </w:tbl>
    <w:p w14:paraId="0BF63274" w14:textId="00B82C8A" w:rsidR="00A979B8" w:rsidRPr="00BD4116" w:rsidRDefault="00655EE9" w:rsidP="00BD4116">
      <w:pPr>
        <w:pStyle w:val="CETCaption"/>
        <w:spacing w:before="0"/>
        <w:rPr>
          <w:rStyle w:val="CETCaptionCarattere"/>
          <w:i/>
        </w:rPr>
      </w:pPr>
      <w:bookmarkStart w:id="7" w:name="_Ref222741482"/>
      <w:r w:rsidRPr="00BD4116">
        <w:rPr>
          <w:rStyle w:val="CETCaptionCarattere"/>
          <w:i/>
        </w:rPr>
        <w:t xml:space="preserve">Figure </w:t>
      </w:r>
      <w:r w:rsidRPr="00BD4116">
        <w:rPr>
          <w:rStyle w:val="CETCaptionCarattere"/>
          <w:i/>
        </w:rPr>
        <w:fldChar w:fldCharType="begin"/>
      </w:r>
      <w:r w:rsidRPr="00BD4116">
        <w:rPr>
          <w:rStyle w:val="CETCaptionCarattere"/>
          <w:i/>
        </w:rPr>
        <w:instrText xml:space="preserve"> SEQ Figure \* ARABIC </w:instrText>
      </w:r>
      <w:r w:rsidRPr="00BD4116">
        <w:rPr>
          <w:rStyle w:val="CETCaptionCarattere"/>
          <w:i/>
        </w:rPr>
        <w:fldChar w:fldCharType="separate"/>
      </w:r>
      <w:r w:rsidR="00DD7B75" w:rsidRPr="00BD4116">
        <w:rPr>
          <w:rStyle w:val="CETCaptionCarattere"/>
          <w:i/>
        </w:rPr>
        <w:t>4</w:t>
      </w:r>
      <w:r w:rsidRPr="00BD4116">
        <w:rPr>
          <w:rStyle w:val="CETCaptionCarattere"/>
          <w:i/>
        </w:rPr>
        <w:fldChar w:fldCharType="end"/>
      </w:r>
      <w:bookmarkEnd w:id="7"/>
      <w:r w:rsidRPr="00BD4116">
        <w:rPr>
          <w:rStyle w:val="CETCaptionCarattere"/>
          <w:i/>
        </w:rPr>
        <w:t xml:space="preserve"> </w:t>
      </w:r>
      <w:r w:rsidR="00B96176" w:rsidRPr="00BD4116">
        <w:rPr>
          <w:rStyle w:val="CETCaptionCarattere"/>
          <w:i/>
        </w:rPr>
        <w:t>F</w:t>
      </w:r>
      <w:r w:rsidRPr="00BD4116">
        <w:rPr>
          <w:rStyle w:val="CETCaptionCarattere"/>
          <w:i/>
        </w:rPr>
        <w:t xml:space="preserve">requency distribution matrix of the </w:t>
      </w:r>
      <w:r w:rsidR="000918B4" w:rsidRPr="00BD4116">
        <w:rPr>
          <w:rStyle w:val="CETCaptionCarattere"/>
          <w:i/>
        </w:rPr>
        <w:t xml:space="preserve">predicted </w:t>
      </w:r>
      <w:r w:rsidRPr="00BD4116">
        <w:rPr>
          <w:rStyle w:val="CETCaptionCarattere"/>
          <w:i/>
        </w:rPr>
        <w:t>distribution parameters at 378 days</w:t>
      </w:r>
      <w:r w:rsidR="00B96176" w:rsidRPr="00BD4116">
        <w:rPr>
          <w:rStyle w:val="CETCaptionCarattere"/>
          <w:i/>
        </w:rPr>
        <w:t>: (a) discrete values; (b) continuous values.</w:t>
      </w:r>
    </w:p>
    <w:p w14:paraId="189977B1" w14:textId="1AEBB4C6" w:rsidR="00E62F0D" w:rsidRDefault="00E62F0D" w:rsidP="00F042B1">
      <w:pPr>
        <w:pStyle w:val="CETBodytext"/>
        <w:rPr>
          <w:lang w:val="en-GB"/>
        </w:rPr>
      </w:pPr>
      <w:r w:rsidRPr="007A33B1">
        <w:rPr>
          <w:lang w:val="en-GB"/>
        </w:rPr>
        <w:t xml:space="preserve">This step </w:t>
      </w:r>
      <w:r>
        <w:rPr>
          <w:lang w:val="en-GB"/>
        </w:rPr>
        <w:t>was</w:t>
      </w:r>
      <w:r w:rsidRPr="007A33B1">
        <w:rPr>
          <w:lang w:val="en-GB"/>
        </w:rPr>
        <w:t xml:space="preserve"> also useful to remove the absolute zeros from the distribution</w:t>
      </w:r>
      <w:r w:rsidR="00BD4116">
        <w:rPr>
          <w:lang w:val="en-GB"/>
        </w:rPr>
        <w:t>,</w:t>
      </w:r>
      <w:r w:rsidRPr="007A33B1">
        <w:rPr>
          <w:lang w:val="en-GB"/>
        </w:rPr>
        <w:t xml:space="preserve"> which can </w:t>
      </w:r>
      <w:r w:rsidR="00EC6087">
        <w:rPr>
          <w:lang w:val="en-GB"/>
        </w:rPr>
        <w:t>significantly</w:t>
      </w:r>
      <w:r w:rsidR="00EC6087" w:rsidRPr="007A33B1">
        <w:rPr>
          <w:lang w:val="en-GB"/>
        </w:rPr>
        <w:t xml:space="preserve"> </w:t>
      </w:r>
      <w:r w:rsidRPr="007A33B1">
        <w:rPr>
          <w:lang w:val="en-GB"/>
        </w:rPr>
        <w:t>limit the effect of the Bayesian inference.</w:t>
      </w:r>
      <w:r>
        <w:rPr>
          <w:lang w:val="en-GB"/>
        </w:rPr>
        <w:t xml:space="preserve"> The resulting posterior bivariate distribution provides a dynamically updated, site-specific forecast of the corrosion development (</w:t>
      </w:r>
      <w:r>
        <w:rPr>
          <w:lang w:val="en-GB"/>
        </w:rPr>
        <w:fldChar w:fldCharType="begin"/>
      </w:r>
      <w:r>
        <w:rPr>
          <w:lang w:val="en-GB"/>
        </w:rPr>
        <w:instrText xml:space="preserve"> REF _Ref223430357 \h </w:instrText>
      </w:r>
      <w:r>
        <w:rPr>
          <w:lang w:val="en-GB"/>
        </w:rPr>
      </w:r>
      <w:r>
        <w:rPr>
          <w:lang w:val="en-GB"/>
        </w:rPr>
        <w:fldChar w:fldCharType="separate"/>
      </w:r>
      <w:r>
        <w:t xml:space="preserve">Figure </w:t>
      </w:r>
      <w:r>
        <w:rPr>
          <w:noProof/>
        </w:rPr>
        <w:t>5</w:t>
      </w:r>
      <w:r>
        <w:rPr>
          <w:lang w:val="en-GB"/>
        </w:rPr>
        <w:fldChar w:fldCharType="end"/>
      </w:r>
      <w:r>
        <w:rPr>
          <w:lang w:val="en-GB"/>
        </w:rPr>
        <w:t>).</w:t>
      </w:r>
    </w:p>
    <w:p w14:paraId="18A066BE" w14:textId="77777777" w:rsidR="00DD7B75" w:rsidRDefault="00364058" w:rsidP="00DD7B75">
      <w:pPr>
        <w:pStyle w:val="CETBodytext"/>
        <w:keepNext/>
      </w:pPr>
      <w:r>
        <w:rPr>
          <w:noProof/>
        </w:rPr>
        <w:drawing>
          <wp:inline distT="0" distB="0" distL="0" distR="0" wp14:anchorId="728BA85B" wp14:editId="0EFB2D3B">
            <wp:extent cx="3647455" cy="1765145"/>
            <wp:effectExtent l="0" t="0" r="0" b="6985"/>
            <wp:docPr id="12560840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2831" cy="1782265"/>
                    </a:xfrm>
                    <a:prstGeom prst="rect">
                      <a:avLst/>
                    </a:prstGeom>
                    <a:noFill/>
                  </pic:spPr>
                </pic:pic>
              </a:graphicData>
            </a:graphic>
          </wp:inline>
        </w:drawing>
      </w:r>
    </w:p>
    <w:p w14:paraId="3ABF4C81" w14:textId="57C10B64" w:rsidR="0002382E" w:rsidRPr="00BD4116" w:rsidRDefault="00DD7B75" w:rsidP="00BD4116">
      <w:pPr>
        <w:pStyle w:val="CETCaption"/>
        <w:spacing w:before="0"/>
        <w:rPr>
          <w:rStyle w:val="CETCaptionCarattere"/>
          <w:i/>
        </w:rPr>
      </w:pPr>
      <w:bookmarkStart w:id="8" w:name="_Ref223430357"/>
      <w:r w:rsidRPr="00BD4116">
        <w:rPr>
          <w:rStyle w:val="CETCaptionCarattere"/>
          <w:i/>
        </w:rPr>
        <w:t xml:space="preserve">Figure </w:t>
      </w:r>
      <w:r w:rsidRPr="00BD4116">
        <w:rPr>
          <w:rStyle w:val="CETCaptionCarattere"/>
          <w:i/>
        </w:rPr>
        <w:fldChar w:fldCharType="begin"/>
      </w:r>
      <w:r w:rsidRPr="00BD4116">
        <w:rPr>
          <w:rStyle w:val="CETCaptionCarattere"/>
          <w:i/>
        </w:rPr>
        <w:instrText xml:space="preserve"> SEQ Figure \* ARABIC </w:instrText>
      </w:r>
      <w:r w:rsidRPr="00BD4116">
        <w:rPr>
          <w:rStyle w:val="CETCaptionCarattere"/>
          <w:i/>
        </w:rPr>
        <w:fldChar w:fldCharType="separate"/>
      </w:r>
      <w:r w:rsidRPr="00BD4116">
        <w:rPr>
          <w:rStyle w:val="CETCaptionCarattere"/>
          <w:i/>
        </w:rPr>
        <w:t>5</w:t>
      </w:r>
      <w:r w:rsidRPr="00BD4116">
        <w:rPr>
          <w:rStyle w:val="CETCaptionCarattere"/>
          <w:i/>
        </w:rPr>
        <w:fldChar w:fldCharType="end"/>
      </w:r>
      <w:bookmarkEnd w:id="8"/>
      <w:r w:rsidRPr="00BD4116">
        <w:rPr>
          <w:rStyle w:val="CETCaptionCarattere"/>
          <w:i/>
        </w:rPr>
        <w:t xml:space="preserve"> Updated predicted distribution at 378 days, using the actual data at 276 days.</w:t>
      </w:r>
    </w:p>
    <w:p w14:paraId="7014B5E9" w14:textId="4E6A1535" w:rsidR="00410F2A" w:rsidRDefault="0002382E" w:rsidP="00600535">
      <w:pPr>
        <w:pStyle w:val="CETBodytext"/>
        <w:rPr>
          <w:lang w:val="en-GB"/>
        </w:rPr>
      </w:pPr>
      <w:r>
        <w:rPr>
          <w:lang w:val="en-GB"/>
        </w:rPr>
        <w:lastRenderedPageBreak/>
        <w:t>To verify the effectiveness of the Bayesian inference</w:t>
      </w:r>
      <w:r w:rsidR="00E7071A">
        <w:rPr>
          <w:lang w:val="en-GB"/>
        </w:rPr>
        <w:t>,</w:t>
      </w:r>
      <w:r>
        <w:rPr>
          <w:lang w:val="en-GB"/>
        </w:rPr>
        <w:t xml:space="preserve"> the predicted distribution was compared </w:t>
      </w:r>
      <w:r w:rsidR="00BD4116">
        <w:rPr>
          <w:lang w:val="en-GB"/>
        </w:rPr>
        <w:t xml:space="preserve">to the </w:t>
      </w:r>
      <w:r w:rsidR="003B2B5D">
        <w:rPr>
          <w:lang w:val="en-GB"/>
        </w:rPr>
        <w:t>actual ones</w:t>
      </w:r>
      <w:r w:rsidR="00D3599C">
        <w:rPr>
          <w:lang w:val="en-GB"/>
        </w:rPr>
        <w:t xml:space="preserve"> </w:t>
      </w:r>
      <w:r w:rsidR="00082E53">
        <w:rPr>
          <w:lang w:val="en-GB"/>
        </w:rPr>
        <w:t>(</w:t>
      </w:r>
      <w:r w:rsidR="00DD7B75">
        <w:rPr>
          <w:lang w:val="en-GB"/>
        </w:rPr>
        <w:fldChar w:fldCharType="begin"/>
      </w:r>
      <w:r w:rsidR="00DD7B75">
        <w:rPr>
          <w:lang w:val="en-GB"/>
        </w:rPr>
        <w:instrText xml:space="preserve"> REF _Ref223430505 \h </w:instrText>
      </w:r>
      <w:r w:rsidR="00DD7B75">
        <w:rPr>
          <w:lang w:val="en-GB"/>
        </w:rPr>
      </w:r>
      <w:r w:rsidR="00DD7B75">
        <w:rPr>
          <w:lang w:val="en-GB"/>
        </w:rPr>
        <w:fldChar w:fldCharType="separate"/>
      </w:r>
      <w:r w:rsidR="00DD7B75">
        <w:t xml:space="preserve">Figure </w:t>
      </w:r>
      <w:r w:rsidR="00DD7B75">
        <w:rPr>
          <w:noProof/>
        </w:rPr>
        <w:t>6</w:t>
      </w:r>
      <w:r w:rsidR="00DD7B75">
        <w:rPr>
          <w:lang w:val="en-GB"/>
        </w:rPr>
        <w:fldChar w:fldCharType="end"/>
      </w:r>
      <w:r w:rsidR="00082E53">
        <w:rPr>
          <w:lang w:val="en-GB"/>
        </w:rPr>
        <w:t>)</w:t>
      </w:r>
      <w:r w:rsidR="00E7071A">
        <w:rPr>
          <w:lang w:val="en-GB"/>
        </w:rPr>
        <w:t xml:space="preserve">. </w:t>
      </w:r>
      <w:r w:rsidR="00E7071A" w:rsidRPr="00E7071A">
        <w:rPr>
          <w:lang w:val="en-GB"/>
        </w:rPr>
        <w:t xml:space="preserve">The primary objective of this comparison </w:t>
      </w:r>
      <w:r w:rsidR="00E7071A">
        <w:rPr>
          <w:lang w:val="en-GB"/>
        </w:rPr>
        <w:t xml:space="preserve">was to evaluate </w:t>
      </w:r>
      <w:r w:rsidR="00082E53">
        <w:rPr>
          <w:lang w:val="en-GB"/>
        </w:rPr>
        <w:t>how effectively the mathematical model transitions from a generalized theoretical state to a highly accurate, site-specific forecast.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E62F0D" w14:paraId="4CFD4626" w14:textId="77777777" w:rsidTr="00C840A6">
        <w:trPr>
          <w:trHeight w:val="2788"/>
        </w:trPr>
        <w:tc>
          <w:tcPr>
            <w:tcW w:w="4331" w:type="dxa"/>
            <w:vAlign w:val="center"/>
          </w:tcPr>
          <w:p w14:paraId="37FE887E" w14:textId="1595E49A" w:rsidR="00E62F0D" w:rsidRDefault="00E62F0D" w:rsidP="00C840A6">
            <w:pPr>
              <w:pStyle w:val="CETBodytext"/>
              <w:rPr>
                <w:lang w:val="en-GB"/>
              </w:rPr>
            </w:pPr>
            <w:r>
              <w:rPr>
                <w:noProof/>
                <w:color w:val="000000" w:themeColor="text1"/>
              </w:rPr>
              <w:drawing>
                <wp:anchor distT="0" distB="0" distL="114300" distR="114300" simplePos="0" relativeHeight="251665408" behindDoc="1" locked="0" layoutInCell="1" allowOverlap="1" wp14:anchorId="1DC46D37" wp14:editId="332E3C65">
                  <wp:simplePos x="0" y="0"/>
                  <wp:positionH relativeFrom="column">
                    <wp:posOffset>3175</wp:posOffset>
                  </wp:positionH>
                  <wp:positionV relativeFrom="paragraph">
                    <wp:posOffset>66040</wp:posOffset>
                  </wp:positionV>
                  <wp:extent cx="2621280" cy="1853565"/>
                  <wp:effectExtent l="0" t="0" r="0" b="0"/>
                  <wp:wrapTight wrapText="bothSides">
                    <wp:wrapPolygon edited="0">
                      <wp:start x="7378" y="444"/>
                      <wp:lineTo x="1099" y="3108"/>
                      <wp:lineTo x="628" y="13542"/>
                      <wp:lineTo x="1099" y="15096"/>
                      <wp:lineTo x="1727" y="15096"/>
                      <wp:lineTo x="1727" y="17094"/>
                      <wp:lineTo x="4709" y="18647"/>
                      <wp:lineTo x="4238" y="19091"/>
                      <wp:lineTo x="4238" y="20867"/>
                      <wp:lineTo x="5023" y="20867"/>
                      <wp:lineTo x="11773" y="20423"/>
                      <wp:lineTo x="15384" y="19757"/>
                      <wp:lineTo x="15070" y="18647"/>
                      <wp:lineTo x="19308" y="16872"/>
                      <wp:lineTo x="19936" y="15318"/>
                      <wp:lineTo x="18837" y="15096"/>
                      <wp:lineTo x="19779" y="12876"/>
                      <wp:lineTo x="19465" y="11766"/>
                      <wp:lineTo x="20093" y="11544"/>
                      <wp:lineTo x="20878" y="10656"/>
                      <wp:lineTo x="20250" y="7992"/>
                      <wp:lineTo x="20564" y="1776"/>
                      <wp:lineTo x="18680" y="1332"/>
                      <wp:lineTo x="9105" y="444"/>
                      <wp:lineTo x="7378" y="444"/>
                    </wp:wrapPolygon>
                  </wp:wrapTight>
                  <wp:docPr id="152765610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853565"/>
                          </a:xfrm>
                          <a:prstGeom prst="rect">
                            <a:avLst/>
                          </a:prstGeom>
                          <a:noFill/>
                        </pic:spPr>
                      </pic:pic>
                    </a:graphicData>
                  </a:graphic>
                  <wp14:sizeRelH relativeFrom="margin">
                    <wp14:pctWidth>0</wp14:pctWidth>
                  </wp14:sizeRelH>
                  <wp14:sizeRelV relativeFrom="margin">
                    <wp14:pctHeight>0</wp14:pctHeight>
                  </wp14:sizeRelV>
                </wp:anchor>
              </w:drawing>
            </w:r>
          </w:p>
          <w:p w14:paraId="68E06F73" w14:textId="46191074" w:rsidR="00E62F0D" w:rsidRDefault="00E62F0D" w:rsidP="00C840A6">
            <w:pPr>
              <w:pStyle w:val="CETBodytext"/>
              <w:rPr>
                <w:lang w:val="en-GB"/>
              </w:rPr>
            </w:pPr>
            <w:r>
              <w:rPr>
                <w:lang w:val="en-GB"/>
              </w:rPr>
              <w:t>(a)</w:t>
            </w:r>
            <w:r w:rsidRPr="00457F94">
              <w:rPr>
                <w:noProof/>
                <w:color w:val="000000" w:themeColor="text1"/>
              </w:rPr>
              <w:t xml:space="preserve"> </w:t>
            </w:r>
          </w:p>
        </w:tc>
        <w:tc>
          <w:tcPr>
            <w:tcW w:w="4403" w:type="dxa"/>
          </w:tcPr>
          <w:p w14:paraId="00A09E2C" w14:textId="2BA2954E" w:rsidR="00E62F0D" w:rsidRDefault="00E62F0D" w:rsidP="00C840A6">
            <w:pPr>
              <w:pStyle w:val="CETBodytext"/>
              <w:rPr>
                <w:lang w:val="en-GB"/>
              </w:rPr>
            </w:pPr>
            <w:r>
              <w:rPr>
                <w:noProof/>
              </w:rPr>
              <w:drawing>
                <wp:anchor distT="0" distB="0" distL="114300" distR="114300" simplePos="0" relativeHeight="251666432" behindDoc="1" locked="0" layoutInCell="1" allowOverlap="1" wp14:anchorId="46CA7E4D" wp14:editId="1AF2485B">
                  <wp:simplePos x="0" y="0"/>
                  <wp:positionH relativeFrom="column">
                    <wp:posOffset>-13970</wp:posOffset>
                  </wp:positionH>
                  <wp:positionV relativeFrom="paragraph">
                    <wp:posOffset>7620</wp:posOffset>
                  </wp:positionV>
                  <wp:extent cx="2627630" cy="1865630"/>
                  <wp:effectExtent l="0" t="0" r="0" b="0"/>
                  <wp:wrapTight wrapText="bothSides">
                    <wp:wrapPolygon edited="0">
                      <wp:start x="7517" y="1103"/>
                      <wp:lineTo x="2349" y="3308"/>
                      <wp:lineTo x="1253" y="3970"/>
                      <wp:lineTo x="1253" y="12131"/>
                      <wp:lineTo x="2506" y="15660"/>
                      <wp:lineTo x="2819" y="17645"/>
                      <wp:lineTo x="6577" y="19189"/>
                      <wp:lineTo x="5951" y="19409"/>
                      <wp:lineTo x="5951" y="21174"/>
                      <wp:lineTo x="6890" y="21174"/>
                      <wp:lineTo x="15347" y="19850"/>
                      <wp:lineTo x="15347" y="19189"/>
                      <wp:lineTo x="20201" y="15660"/>
                      <wp:lineTo x="20358" y="14116"/>
                      <wp:lineTo x="19261" y="12131"/>
                      <wp:lineTo x="18165" y="12131"/>
                      <wp:lineTo x="20671" y="9043"/>
                      <wp:lineTo x="20358" y="1764"/>
                      <wp:lineTo x="10022" y="1103"/>
                      <wp:lineTo x="7517" y="1103"/>
                    </wp:wrapPolygon>
                  </wp:wrapTight>
                  <wp:docPr id="65597550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630" cy="1865630"/>
                          </a:xfrm>
                          <a:prstGeom prst="rect">
                            <a:avLst/>
                          </a:prstGeom>
                          <a:noFill/>
                        </pic:spPr>
                      </pic:pic>
                    </a:graphicData>
                  </a:graphic>
                </wp:anchor>
              </w:drawing>
            </w:r>
          </w:p>
          <w:p w14:paraId="567D8E67" w14:textId="77777777" w:rsidR="00E62F0D" w:rsidRDefault="00E62F0D" w:rsidP="00C840A6">
            <w:pPr>
              <w:pStyle w:val="CETBodytext"/>
              <w:rPr>
                <w:lang w:val="en-GB"/>
              </w:rPr>
            </w:pPr>
          </w:p>
          <w:p w14:paraId="05208E3C" w14:textId="0A400E9F" w:rsidR="00E62F0D" w:rsidRDefault="00E62F0D" w:rsidP="00C840A6">
            <w:pPr>
              <w:pStyle w:val="CETBodytext"/>
              <w:rPr>
                <w:lang w:val="en-GB"/>
              </w:rPr>
            </w:pPr>
            <w:r>
              <w:rPr>
                <w:lang w:val="en-GB"/>
              </w:rPr>
              <w:t>(b)</w:t>
            </w:r>
            <w:r>
              <w:rPr>
                <w:noProof/>
              </w:rPr>
              <w:t xml:space="preserve"> </w:t>
            </w:r>
          </w:p>
        </w:tc>
      </w:tr>
      <w:tr w:rsidR="00E62F0D" w14:paraId="0C079CEE" w14:textId="77777777" w:rsidTr="00C840A6">
        <w:trPr>
          <w:trHeight w:val="2788"/>
        </w:trPr>
        <w:tc>
          <w:tcPr>
            <w:tcW w:w="4331" w:type="dxa"/>
          </w:tcPr>
          <w:p w14:paraId="62145BA4" w14:textId="0BB62936" w:rsidR="00E62F0D" w:rsidRDefault="00E62F0D" w:rsidP="00C840A6">
            <w:pPr>
              <w:pStyle w:val="CETBodytext"/>
              <w:rPr>
                <w:color w:val="000000" w:themeColor="text1"/>
                <w:lang w:val="en-GB"/>
              </w:rPr>
            </w:pPr>
            <w:r>
              <w:rPr>
                <w:noProof/>
              </w:rPr>
              <w:drawing>
                <wp:anchor distT="0" distB="0" distL="114300" distR="114300" simplePos="0" relativeHeight="251667456" behindDoc="1" locked="0" layoutInCell="1" allowOverlap="1" wp14:anchorId="28BCB6BA" wp14:editId="5C3DAE17">
                  <wp:simplePos x="0" y="0"/>
                  <wp:positionH relativeFrom="column">
                    <wp:posOffset>-15875</wp:posOffset>
                  </wp:positionH>
                  <wp:positionV relativeFrom="paragraph">
                    <wp:posOffset>20955</wp:posOffset>
                  </wp:positionV>
                  <wp:extent cx="2676525" cy="1865630"/>
                  <wp:effectExtent l="0" t="0" r="0" b="0"/>
                  <wp:wrapTight wrapText="bothSides">
                    <wp:wrapPolygon edited="0">
                      <wp:start x="7379" y="441"/>
                      <wp:lineTo x="1537" y="3308"/>
                      <wp:lineTo x="1537" y="4191"/>
                      <wp:lineTo x="4612" y="4411"/>
                      <wp:lineTo x="1999" y="5293"/>
                      <wp:lineTo x="922" y="6396"/>
                      <wp:lineTo x="922" y="13233"/>
                      <wp:lineTo x="1230" y="14998"/>
                      <wp:lineTo x="1691" y="17204"/>
                      <wp:lineTo x="3843" y="18527"/>
                      <wp:lineTo x="5073" y="19630"/>
                      <wp:lineTo x="5073" y="21174"/>
                      <wp:lineTo x="5842" y="21174"/>
                      <wp:lineTo x="11684" y="20732"/>
                      <wp:lineTo x="15220" y="19850"/>
                      <wp:lineTo x="15066" y="18527"/>
                      <wp:lineTo x="19371" y="16983"/>
                      <wp:lineTo x="19986" y="15439"/>
                      <wp:lineTo x="18756" y="14998"/>
                      <wp:lineTo x="19832" y="12572"/>
                      <wp:lineTo x="19217" y="11690"/>
                      <wp:lineTo x="18448" y="11469"/>
                      <wp:lineTo x="20754" y="9484"/>
                      <wp:lineTo x="20754" y="2426"/>
                      <wp:lineTo x="16296" y="1103"/>
                      <wp:lineTo x="9070" y="441"/>
                      <wp:lineTo x="7379" y="441"/>
                    </wp:wrapPolygon>
                  </wp:wrapTight>
                  <wp:docPr id="209688425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1865630"/>
                          </a:xfrm>
                          <a:prstGeom prst="rect">
                            <a:avLst/>
                          </a:prstGeom>
                          <a:noFill/>
                        </pic:spPr>
                      </pic:pic>
                    </a:graphicData>
                  </a:graphic>
                </wp:anchor>
              </w:drawing>
            </w:r>
          </w:p>
          <w:p w14:paraId="2B78FC0B" w14:textId="05CFB096" w:rsidR="00E62F0D" w:rsidRPr="00457F94" w:rsidRDefault="00E62F0D" w:rsidP="00C840A6">
            <w:pPr>
              <w:pStyle w:val="CETBodytext"/>
              <w:rPr>
                <w:color w:val="000000" w:themeColor="text1"/>
                <w:lang w:val="en-GB"/>
              </w:rPr>
            </w:pPr>
            <w:r>
              <w:rPr>
                <w:color w:val="000000" w:themeColor="text1"/>
                <w:lang w:val="en-GB"/>
              </w:rPr>
              <w:t>(c)</w:t>
            </w:r>
            <w:r>
              <w:rPr>
                <w:noProof/>
              </w:rPr>
              <w:t xml:space="preserve"> </w:t>
            </w:r>
          </w:p>
        </w:tc>
        <w:tc>
          <w:tcPr>
            <w:tcW w:w="4403" w:type="dxa"/>
          </w:tcPr>
          <w:p w14:paraId="72D3DE3E" w14:textId="0A27BE64" w:rsidR="00E62F0D" w:rsidRDefault="00E62F0D" w:rsidP="00C840A6">
            <w:pPr>
              <w:pStyle w:val="CETBodytext"/>
              <w:keepNext/>
              <w:rPr>
                <w:lang w:val="en-GB"/>
              </w:rPr>
            </w:pPr>
            <w:r>
              <w:rPr>
                <w:noProof/>
                <w:lang w:val="en-GB"/>
              </w:rPr>
              <w:drawing>
                <wp:anchor distT="0" distB="0" distL="114300" distR="114300" simplePos="0" relativeHeight="251668480" behindDoc="1" locked="0" layoutInCell="1" allowOverlap="1" wp14:anchorId="199C6EB6" wp14:editId="3C166759">
                  <wp:simplePos x="0" y="0"/>
                  <wp:positionH relativeFrom="column">
                    <wp:posOffset>-33020</wp:posOffset>
                  </wp:positionH>
                  <wp:positionV relativeFrom="paragraph">
                    <wp:posOffset>40005</wp:posOffset>
                  </wp:positionV>
                  <wp:extent cx="2676525" cy="1823085"/>
                  <wp:effectExtent l="0" t="0" r="0" b="0"/>
                  <wp:wrapTight wrapText="bothSides">
                    <wp:wrapPolygon edited="0">
                      <wp:start x="7841" y="451"/>
                      <wp:lineTo x="1691" y="3386"/>
                      <wp:lineTo x="1537" y="4288"/>
                      <wp:lineTo x="2152" y="4740"/>
                      <wp:lineTo x="922" y="6545"/>
                      <wp:lineTo x="769" y="13091"/>
                      <wp:lineTo x="1537" y="15348"/>
                      <wp:lineTo x="1999" y="17379"/>
                      <wp:lineTo x="4920" y="18959"/>
                      <wp:lineTo x="5073" y="20991"/>
                      <wp:lineTo x="5842" y="20991"/>
                      <wp:lineTo x="13375" y="20539"/>
                      <wp:lineTo x="15835" y="20088"/>
                      <wp:lineTo x="15527" y="18959"/>
                      <wp:lineTo x="16757" y="18959"/>
                      <wp:lineTo x="20601" y="16251"/>
                      <wp:lineTo x="20754" y="13994"/>
                      <wp:lineTo x="19678" y="11962"/>
                      <wp:lineTo x="18602" y="11737"/>
                      <wp:lineTo x="20754" y="9931"/>
                      <wp:lineTo x="20754" y="2257"/>
                      <wp:lineTo x="17680" y="1354"/>
                      <wp:lineTo x="8456" y="451"/>
                      <wp:lineTo x="7841" y="451"/>
                    </wp:wrapPolygon>
                  </wp:wrapTight>
                  <wp:docPr id="10615275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1823085"/>
                          </a:xfrm>
                          <a:prstGeom prst="rect">
                            <a:avLst/>
                          </a:prstGeom>
                          <a:noFill/>
                        </pic:spPr>
                      </pic:pic>
                    </a:graphicData>
                  </a:graphic>
                </wp:anchor>
              </w:drawing>
            </w:r>
          </w:p>
          <w:p w14:paraId="5B69FC79" w14:textId="4EB829C8" w:rsidR="00E62F0D" w:rsidRDefault="00E62F0D" w:rsidP="00C840A6">
            <w:pPr>
              <w:pStyle w:val="CETBodytext"/>
              <w:keepNext/>
              <w:rPr>
                <w:lang w:val="en-GB"/>
              </w:rPr>
            </w:pPr>
            <w:r>
              <w:rPr>
                <w:lang w:val="en-GB"/>
              </w:rPr>
              <w:t>(d)</w:t>
            </w:r>
          </w:p>
        </w:tc>
      </w:tr>
    </w:tbl>
    <w:p w14:paraId="1B1C0A50" w14:textId="77777777" w:rsidR="00E62F0D" w:rsidRPr="00BD4116" w:rsidRDefault="00E62F0D" w:rsidP="00BD4116">
      <w:pPr>
        <w:pStyle w:val="CETCaption"/>
        <w:spacing w:before="0"/>
        <w:rPr>
          <w:rStyle w:val="CETCaptionCarattere"/>
          <w:i/>
        </w:rPr>
      </w:pPr>
      <w:bookmarkStart w:id="9" w:name="_Ref223430505"/>
      <w:bookmarkStart w:id="10" w:name="_Ref222908943"/>
      <w:r w:rsidRPr="00BD4116">
        <w:rPr>
          <w:rStyle w:val="CETCaptionCarattere"/>
          <w:i/>
        </w:rPr>
        <w:t xml:space="preserve">Figure </w:t>
      </w:r>
      <w:r w:rsidRPr="00BD4116">
        <w:rPr>
          <w:rStyle w:val="CETCaptionCarattere"/>
          <w:i/>
        </w:rPr>
        <w:fldChar w:fldCharType="begin"/>
      </w:r>
      <w:r w:rsidRPr="00BD4116">
        <w:rPr>
          <w:rStyle w:val="CETCaptionCarattere"/>
          <w:i/>
        </w:rPr>
        <w:instrText xml:space="preserve"> SEQ Figure \* ARABIC </w:instrText>
      </w:r>
      <w:r w:rsidRPr="00BD4116">
        <w:rPr>
          <w:rStyle w:val="CETCaptionCarattere"/>
          <w:i/>
        </w:rPr>
        <w:fldChar w:fldCharType="separate"/>
      </w:r>
      <w:r w:rsidRPr="00BD4116">
        <w:rPr>
          <w:rStyle w:val="CETCaptionCarattere"/>
          <w:i/>
        </w:rPr>
        <w:t>6</w:t>
      </w:r>
      <w:r w:rsidRPr="00BD4116">
        <w:rPr>
          <w:rStyle w:val="CETCaptionCarattere"/>
          <w:i/>
        </w:rPr>
        <w:fldChar w:fldCharType="end"/>
      </w:r>
      <w:bookmarkEnd w:id="9"/>
      <w:r w:rsidRPr="00BD4116">
        <w:rPr>
          <w:rStyle w:val="CETCaptionCarattere"/>
          <w:i/>
        </w:rPr>
        <w:t xml:space="preserve"> Comparison between the predicted distributions (both with and without Bayesian inference) and actual distributions: at 378 days (a) discrete predicted distribution; (b) continuous predicted distribution; (c) updated predicted distribution; (d) actual distribution.</w:t>
      </w:r>
    </w:p>
    <w:bookmarkEnd w:id="10"/>
    <w:p w14:paraId="2EBDCE59" w14:textId="5F82E2A6" w:rsidR="00B96176" w:rsidRDefault="00B96176" w:rsidP="00B96176">
      <w:pPr>
        <w:pStyle w:val="CETBodytext"/>
        <w:rPr>
          <w:lang w:val="en-GB"/>
        </w:rPr>
      </w:pPr>
      <w:r>
        <w:rPr>
          <w:lang w:val="en-GB"/>
        </w:rPr>
        <w:t>From this comparison</w:t>
      </w:r>
      <w:r w:rsidR="00EC6087">
        <w:rPr>
          <w:lang w:val="en-GB"/>
        </w:rPr>
        <w:t>,</w:t>
      </w:r>
      <w:r>
        <w:rPr>
          <w:lang w:val="en-GB"/>
        </w:rPr>
        <w:t xml:space="preserve"> it is clear that Bayesian inference allows for a more accurate prediction. </w:t>
      </w:r>
      <w:r w:rsidRPr="00CA2957">
        <w:rPr>
          <w:lang w:val="en-GB"/>
        </w:rPr>
        <w:t>The probability mass visibly shifts, effectively discarding irrelevant baseline noise and tuning the</w:t>
      </w:r>
      <w:r>
        <w:rPr>
          <w:lang w:val="en-GB"/>
        </w:rPr>
        <w:t xml:space="preserve"> prediction to </w:t>
      </w:r>
      <w:r w:rsidRPr="00CA2957">
        <w:rPr>
          <w:lang w:val="en-GB"/>
        </w:rPr>
        <w:t xml:space="preserve">capture the unique conditions that may occur in the single tank, without the </w:t>
      </w:r>
      <w:r w:rsidR="00EC6087">
        <w:rPr>
          <w:lang w:val="en-GB"/>
        </w:rPr>
        <w:t>need</w:t>
      </w:r>
      <w:r w:rsidR="00EC6087" w:rsidRPr="00CA2957">
        <w:rPr>
          <w:lang w:val="en-GB"/>
        </w:rPr>
        <w:t xml:space="preserve"> </w:t>
      </w:r>
      <w:r w:rsidRPr="00CA2957">
        <w:rPr>
          <w:lang w:val="en-GB"/>
        </w:rPr>
        <w:t>for special measuring techniques or complex physical data.</w:t>
      </w:r>
    </w:p>
    <w:p w14:paraId="0C3E6B95" w14:textId="77777777" w:rsidR="000918B4" w:rsidRPr="00517F82" w:rsidRDefault="000918B4" w:rsidP="000918B4">
      <w:pPr>
        <w:pStyle w:val="CETHeading1"/>
        <w:rPr>
          <w:lang w:val="en-GB"/>
        </w:rPr>
      </w:pPr>
      <w:bookmarkStart w:id="11" w:name="_Ref223429949"/>
      <w:r w:rsidRPr="002B2AED">
        <w:rPr>
          <w:lang w:val="en-GB"/>
        </w:rPr>
        <w:t>Conclusions</w:t>
      </w:r>
      <w:bookmarkEnd w:id="11"/>
    </w:p>
    <w:p w14:paraId="51B1E9FA" w14:textId="77777777" w:rsidR="000918B4" w:rsidRDefault="000918B4" w:rsidP="000918B4">
      <w:pPr>
        <w:pStyle w:val="CETBodytext"/>
        <w:rPr>
          <w:lang w:val="en-GB"/>
        </w:rPr>
      </w:pPr>
      <w:r w:rsidRPr="00517F82">
        <w:rPr>
          <w:lang w:val="en-GB"/>
        </w:rPr>
        <w:t>Managing atmospheric storage tanks within major hazard establishments requires a balance between safety and operational efficiency. Operators are tasked with preventing hazardous bottom leakages while simultaneously avoiding the excessive financial costs and occupational risks associated with frequent tank emptying, cleaning, and internal inspections.</w:t>
      </w:r>
    </w:p>
    <w:p w14:paraId="557E23A7" w14:textId="7ED46AAE" w:rsidR="00082E53" w:rsidRDefault="000918B4" w:rsidP="00600535">
      <w:pPr>
        <w:pStyle w:val="CETBodytext"/>
        <w:rPr>
          <w:lang w:val="en-GB"/>
        </w:rPr>
      </w:pPr>
      <w:r w:rsidRPr="00D01FC0">
        <w:rPr>
          <w:lang w:val="en-GB"/>
        </w:rPr>
        <w:t xml:space="preserve">While the fundamental application of extreme value theory and Bayesian inference to predict the maximum depth of localized corrosion is an established approach in recent literature, the methodology presented in this study offers </w:t>
      </w:r>
      <w:r w:rsidR="00BD4116">
        <w:rPr>
          <w:lang w:val="en-GB"/>
        </w:rPr>
        <w:t>an</w:t>
      </w:r>
      <w:r w:rsidR="00BD4116" w:rsidRPr="00D01FC0">
        <w:rPr>
          <w:lang w:val="en-GB"/>
        </w:rPr>
        <w:t xml:space="preserve"> </w:t>
      </w:r>
      <w:r>
        <w:rPr>
          <w:lang w:val="en-GB"/>
        </w:rPr>
        <w:t>essential refine</w:t>
      </w:r>
      <w:r w:rsidRPr="00D01FC0">
        <w:rPr>
          <w:lang w:val="en-GB"/>
        </w:rPr>
        <w:t>ment to these existing probabilistic frameworks. By transitioning from simplified or univariate parameter updates to a comprehensive bivariate distribution, this enhanced model successfully captures the joint probability of both the scale and location parameters simultaneously.</w:t>
      </w:r>
      <w:r>
        <w:rPr>
          <w:lang w:val="en-GB"/>
        </w:rPr>
        <w:t xml:space="preserve"> Integrating empirical inspection data into the prior distribution yields a more precise, site-specific posterior forecast that closely mirrors actual physical degradation.</w:t>
      </w:r>
      <w:r w:rsidRPr="0039697C">
        <w:rPr>
          <w:lang w:val="en-GB"/>
        </w:rPr>
        <w:t xml:space="preserve"> With shifting energy demands and the transition toward low-carbon fuels, many ageing tanks will be forced to remain safely in service far beyond their original design lives. </w:t>
      </w:r>
      <w:r>
        <w:rPr>
          <w:lang w:val="en-GB"/>
        </w:rPr>
        <w:t xml:space="preserve">The presented framework can be a valuable support to the standard </w:t>
      </w:r>
      <w:r w:rsidRPr="0039697C">
        <w:rPr>
          <w:lang w:val="en-GB"/>
        </w:rPr>
        <w:t>Risk-Based Inspection (RBI) protocols</w:t>
      </w:r>
      <w:r>
        <w:rPr>
          <w:lang w:val="en-GB"/>
        </w:rPr>
        <w:t>, leading to a more realistic evaluation of failure fre</w:t>
      </w:r>
      <w:r w:rsidRPr="00165453">
        <w:rPr>
          <w:lang w:val="en-GB"/>
        </w:rPr>
        <w:t>quen</w:t>
      </w:r>
      <w:r>
        <w:rPr>
          <w:lang w:val="en-GB"/>
        </w:rPr>
        <w:t>cies</w:t>
      </w:r>
      <w:r w:rsidR="00CD35E6">
        <w:rPr>
          <w:lang w:val="en-GB"/>
        </w:rPr>
        <w:t xml:space="preserve"> </w:t>
      </w:r>
      <w:r w:rsidR="00CD35E6" w:rsidRPr="00BD4116">
        <w:rPr>
          <w:lang w:val="en-GB"/>
        </w:rPr>
        <w:t>by predicting the exceedance probability of a given corrosion thickness</w:t>
      </w:r>
      <w:r>
        <w:rPr>
          <w:lang w:val="en-GB"/>
        </w:rPr>
        <w:t>.</w:t>
      </w:r>
      <w:r w:rsidRPr="00F535FF">
        <w:t xml:space="preserve"> </w:t>
      </w:r>
      <w:r w:rsidRPr="00F535FF">
        <w:rPr>
          <w:lang w:val="en-GB"/>
        </w:rPr>
        <w:t xml:space="preserve">Consequently, it empowers facility managers to confidently determine the maximum safe time interval between successive physical inspections, </w:t>
      </w:r>
      <w:r>
        <w:rPr>
          <w:lang w:val="en-GB"/>
        </w:rPr>
        <w:t>minimizing</w:t>
      </w:r>
      <w:r w:rsidRPr="00F535FF">
        <w:rPr>
          <w:lang w:val="en-GB"/>
        </w:rPr>
        <w:t xml:space="preserve"> the risk of unexpected environmental releases</w:t>
      </w:r>
      <w:r>
        <w:rPr>
          <w:lang w:val="en-GB"/>
        </w:rPr>
        <w:t>.</w:t>
      </w:r>
    </w:p>
    <w:p w14:paraId="749B7917" w14:textId="77777777" w:rsidR="00432EB2" w:rsidRDefault="00432EB2" w:rsidP="00600535">
      <w:pPr>
        <w:pStyle w:val="CETBodytext"/>
        <w:rPr>
          <w:lang w:val="en-GB"/>
        </w:rPr>
      </w:pPr>
    </w:p>
    <w:p w14:paraId="7A3E7B02" w14:textId="4A01E5AD" w:rsidR="00432EB2" w:rsidRDefault="00432EB2">
      <w:pPr>
        <w:tabs>
          <w:tab w:val="clear" w:pos="7100"/>
        </w:tabs>
        <w:spacing w:after="200" w:line="276" w:lineRule="auto"/>
        <w:jc w:val="left"/>
      </w:pPr>
      <w:r>
        <w:br w:type="page"/>
      </w:r>
    </w:p>
    <w:p w14:paraId="5269A6DC" w14:textId="26AD5C55" w:rsidR="003C1710" w:rsidRDefault="003C1710" w:rsidP="00600535">
      <w:pPr>
        <w:pStyle w:val="CETReference"/>
      </w:pPr>
      <w:r>
        <w:lastRenderedPageBreak/>
        <w:t>Nomenclature</w:t>
      </w:r>
    </w:p>
    <w:tbl>
      <w:tblPr>
        <w:tblW w:w="8505" w:type="dxa"/>
        <w:tblBorders>
          <w:top w:val="single" w:sz="12" w:space="0" w:color="008000"/>
          <w:bottom w:val="single" w:sz="12" w:space="0" w:color="008000"/>
          <w:insideH w:val="single" w:sz="4" w:space="0" w:color="auto"/>
          <w:insideV w:val="single" w:sz="4" w:space="0" w:color="auto"/>
        </w:tblBorders>
        <w:shd w:val="clear" w:color="auto" w:fill="FFFFFF"/>
        <w:tblCellMar>
          <w:left w:w="0" w:type="dxa"/>
          <w:right w:w="0" w:type="dxa"/>
        </w:tblCellMar>
        <w:tblLook w:val="00A0" w:firstRow="1" w:lastRow="0" w:firstColumn="1" w:lastColumn="0" w:noHBand="0" w:noVBand="0"/>
      </w:tblPr>
      <w:tblGrid>
        <w:gridCol w:w="1276"/>
        <w:gridCol w:w="3827"/>
        <w:gridCol w:w="709"/>
        <w:gridCol w:w="2693"/>
      </w:tblGrid>
      <w:tr w:rsidR="008712A3" w:rsidRPr="00B57B36" w14:paraId="4E37B601" w14:textId="215114EE" w:rsidTr="005D27FF">
        <w:trPr>
          <w:trHeight w:val="455"/>
        </w:trPr>
        <w:tc>
          <w:tcPr>
            <w:tcW w:w="1276" w:type="dxa"/>
            <w:tcBorders>
              <w:bottom w:val="nil"/>
              <w:right w:val="nil"/>
            </w:tcBorders>
            <w:shd w:val="clear" w:color="auto" w:fill="FFFFFF"/>
            <w:vAlign w:val="center"/>
          </w:tcPr>
          <w:p w14:paraId="495BB9BB" w14:textId="06E797BD" w:rsidR="008712A3" w:rsidRPr="00B57B36" w:rsidRDefault="008712A3" w:rsidP="00271DA7">
            <w:pPr>
              <w:pStyle w:val="CETBodytext"/>
              <w:jc w:val="center"/>
              <w:rPr>
                <w:lang w:val="en-GB"/>
              </w:rPr>
            </w:pPr>
            <w:r w:rsidRPr="008C5786">
              <w:rPr>
                <w:rFonts w:ascii="Times New Roman" w:hAnsi="Times New Roman"/>
                <w:i/>
                <w:iCs/>
              </w:rPr>
              <w:t>F</w:t>
            </w:r>
            <w:r>
              <w:t>(</w:t>
            </w:r>
            <w:r w:rsidRPr="008C5786">
              <w:rPr>
                <w:rFonts w:ascii="Times New Roman" w:hAnsi="Times New Roman"/>
                <w:i/>
                <w:iCs/>
              </w:rPr>
              <w:t>x</w:t>
            </w:r>
            <w:r>
              <w:t>)</w:t>
            </w:r>
          </w:p>
        </w:tc>
        <w:tc>
          <w:tcPr>
            <w:tcW w:w="3827" w:type="dxa"/>
            <w:tcBorders>
              <w:left w:val="nil"/>
              <w:bottom w:val="nil"/>
              <w:right w:val="nil"/>
            </w:tcBorders>
            <w:shd w:val="clear" w:color="auto" w:fill="FFFFFF"/>
          </w:tcPr>
          <w:p w14:paraId="095073C0" w14:textId="77777777" w:rsidR="00271DA7" w:rsidRDefault="008712A3" w:rsidP="008712A3">
            <w:pPr>
              <w:pStyle w:val="CETBodytext"/>
              <w:jc w:val="left"/>
            </w:pPr>
            <w:r>
              <w:t xml:space="preserve">Cumulative distribution probability </w:t>
            </w:r>
          </w:p>
          <w:p w14:paraId="5EF11F43" w14:textId="4E901A5E" w:rsidR="008712A3" w:rsidRPr="00B57B36" w:rsidRDefault="008712A3" w:rsidP="008712A3">
            <w:pPr>
              <w:pStyle w:val="CETBodytext"/>
              <w:jc w:val="left"/>
              <w:rPr>
                <w:lang w:val="en-GB"/>
              </w:rPr>
            </w:pPr>
            <w:r>
              <w:t>(Type I Gumbel)</w:t>
            </w:r>
          </w:p>
        </w:tc>
        <w:tc>
          <w:tcPr>
            <w:tcW w:w="709" w:type="dxa"/>
            <w:tcBorders>
              <w:left w:val="nil"/>
              <w:bottom w:val="nil"/>
              <w:right w:val="nil"/>
            </w:tcBorders>
            <w:shd w:val="clear" w:color="auto" w:fill="FFFFFF"/>
            <w:vAlign w:val="center"/>
          </w:tcPr>
          <w:p w14:paraId="4C408D37" w14:textId="2E4826FF" w:rsidR="008712A3" w:rsidRDefault="008712A3" w:rsidP="00271DA7">
            <w:pPr>
              <w:pStyle w:val="CETBodytext"/>
              <w:jc w:val="center"/>
            </w:pPr>
            <w:proofErr w:type="spellStart"/>
            <w:r w:rsidRPr="008C5786">
              <w:rPr>
                <w:rFonts w:ascii="Times New Roman" w:hAnsi="Times New Roman"/>
                <w:i/>
                <w:iCs/>
              </w:rPr>
              <w:t>x</w:t>
            </w:r>
            <w:r w:rsidRPr="008C5786">
              <w:rPr>
                <w:rFonts w:ascii="Times New Roman" w:hAnsi="Times New Roman"/>
                <w:vertAlign w:val="subscript"/>
              </w:rPr>
              <w:t>max</w:t>
            </w:r>
            <w:proofErr w:type="spellEnd"/>
          </w:p>
        </w:tc>
        <w:tc>
          <w:tcPr>
            <w:tcW w:w="2693" w:type="dxa"/>
            <w:tcBorders>
              <w:left w:val="nil"/>
              <w:bottom w:val="nil"/>
            </w:tcBorders>
            <w:shd w:val="clear" w:color="auto" w:fill="FFFFFF"/>
            <w:vAlign w:val="center"/>
          </w:tcPr>
          <w:p w14:paraId="6376620D" w14:textId="21415785" w:rsidR="008712A3" w:rsidRDefault="008712A3" w:rsidP="00271DA7">
            <w:pPr>
              <w:pStyle w:val="CETBodytext"/>
              <w:jc w:val="left"/>
            </w:pPr>
            <w:r>
              <w:rPr>
                <w:rFonts w:cs="Arial"/>
                <w:szCs w:val="18"/>
                <w:lang w:val="en-GB"/>
              </w:rPr>
              <w:t>Maximum corrosion</w:t>
            </w:r>
          </w:p>
        </w:tc>
      </w:tr>
      <w:tr w:rsidR="008712A3" w:rsidRPr="00B57B36" w14:paraId="2CEF41C8" w14:textId="1DCE99E4" w:rsidTr="005D27FF">
        <w:trPr>
          <w:trHeight w:val="455"/>
        </w:trPr>
        <w:tc>
          <w:tcPr>
            <w:tcW w:w="1276" w:type="dxa"/>
            <w:tcBorders>
              <w:top w:val="nil"/>
              <w:bottom w:val="nil"/>
              <w:right w:val="nil"/>
            </w:tcBorders>
            <w:shd w:val="clear" w:color="auto" w:fill="FFFFFF"/>
            <w:vAlign w:val="center"/>
          </w:tcPr>
          <w:p w14:paraId="313DBDE4" w14:textId="696263CD" w:rsidR="008712A3" w:rsidRPr="00BD4116" w:rsidRDefault="008712A3" w:rsidP="005D27FF">
            <w:pPr>
              <w:pStyle w:val="CETBodytext"/>
              <w:jc w:val="center"/>
              <w:rPr>
                <w:highlight w:val="yellow"/>
                <w:lang w:val="en-GB"/>
              </w:rPr>
            </w:pPr>
            <w:r w:rsidRPr="00BD4116">
              <w:rPr>
                <w:position w:val="-14"/>
              </w:rPr>
              <w:object w:dxaOrig="1520" w:dyaOrig="380" w14:anchorId="7E7C46DF">
                <v:shape id="_x0000_i1029" type="#_x0000_t75" style="width:57.75pt;height:14.25pt" o:ole="">
                  <v:imagedata r:id="rId30" o:title=""/>
                </v:shape>
                <o:OLEObject Type="Embed" ProgID="Equation.DSMT4" ShapeID="_x0000_i1029" DrawAspect="Content" ObjectID="_1837858057" r:id="rId31"/>
              </w:object>
            </w:r>
          </w:p>
        </w:tc>
        <w:tc>
          <w:tcPr>
            <w:tcW w:w="3827" w:type="dxa"/>
            <w:tcBorders>
              <w:top w:val="nil"/>
              <w:left w:val="nil"/>
              <w:bottom w:val="nil"/>
              <w:right w:val="nil"/>
            </w:tcBorders>
            <w:shd w:val="clear" w:color="auto" w:fill="FFFFFF"/>
            <w:vAlign w:val="center"/>
          </w:tcPr>
          <w:p w14:paraId="28AAADF8" w14:textId="3123E7A8" w:rsidR="008712A3" w:rsidRPr="00BD4116" w:rsidRDefault="008712A3" w:rsidP="005D27FF">
            <w:pPr>
              <w:pStyle w:val="CETBodytext"/>
              <w:jc w:val="left"/>
              <w:rPr>
                <w:highlight w:val="yellow"/>
              </w:rPr>
            </w:pPr>
            <w:r w:rsidRPr="008712A3">
              <w:t>Likelihood function</w:t>
            </w:r>
          </w:p>
        </w:tc>
        <w:tc>
          <w:tcPr>
            <w:tcW w:w="709" w:type="dxa"/>
            <w:tcBorders>
              <w:top w:val="nil"/>
              <w:left w:val="nil"/>
              <w:bottom w:val="nil"/>
              <w:right w:val="nil"/>
            </w:tcBorders>
            <w:shd w:val="clear" w:color="auto" w:fill="FFFFFF"/>
            <w:vAlign w:val="center"/>
          </w:tcPr>
          <w:p w14:paraId="41562E9C" w14:textId="493538FB" w:rsidR="008712A3" w:rsidRDefault="008712A3" w:rsidP="005D27FF">
            <w:pPr>
              <w:pStyle w:val="CETBodytext"/>
              <w:jc w:val="center"/>
            </w:pPr>
            <w:r w:rsidRPr="00C840A6">
              <w:rPr>
                <w:rFonts w:ascii="Times New Roman" w:hAnsi="Times New Roman"/>
                <w:i/>
                <w:iCs/>
              </w:rPr>
              <w:t>y</w:t>
            </w:r>
          </w:p>
        </w:tc>
        <w:tc>
          <w:tcPr>
            <w:tcW w:w="2693" w:type="dxa"/>
            <w:tcBorders>
              <w:top w:val="nil"/>
              <w:left w:val="nil"/>
              <w:bottom w:val="nil"/>
            </w:tcBorders>
            <w:shd w:val="clear" w:color="auto" w:fill="FFFFFF"/>
            <w:vAlign w:val="center"/>
          </w:tcPr>
          <w:p w14:paraId="2246EE57" w14:textId="19D7CF7A" w:rsidR="008712A3" w:rsidRDefault="008712A3" w:rsidP="005D27FF">
            <w:pPr>
              <w:pStyle w:val="CETBodytext"/>
              <w:jc w:val="left"/>
            </w:pPr>
            <w:r>
              <w:t>Reduced variable</w:t>
            </w:r>
          </w:p>
        </w:tc>
      </w:tr>
      <w:tr w:rsidR="008712A3" w:rsidRPr="00B57B36" w14:paraId="12E56DD3" w14:textId="77777777" w:rsidTr="005D27FF">
        <w:trPr>
          <w:trHeight w:val="455"/>
        </w:trPr>
        <w:tc>
          <w:tcPr>
            <w:tcW w:w="1276" w:type="dxa"/>
            <w:tcBorders>
              <w:top w:val="nil"/>
              <w:bottom w:val="nil"/>
              <w:right w:val="nil"/>
            </w:tcBorders>
            <w:shd w:val="clear" w:color="auto" w:fill="FFFFFF"/>
            <w:vAlign w:val="center"/>
          </w:tcPr>
          <w:p w14:paraId="3E0EB9BA" w14:textId="0C142E9D" w:rsidR="008712A3" w:rsidRPr="0003243B" w:rsidRDefault="008712A3" w:rsidP="00271DA7">
            <w:pPr>
              <w:pStyle w:val="CETBodytext"/>
              <w:jc w:val="center"/>
              <w:rPr>
                <w:rFonts w:ascii="Times New Roman" w:hAnsi="Times New Roman"/>
                <w:i/>
                <w:iCs/>
              </w:rPr>
            </w:pPr>
            <w:r>
              <w:rPr>
                <w:rFonts w:ascii="Times New Roman" w:hAnsi="Times New Roman"/>
                <w:i/>
                <w:iCs/>
              </w:rPr>
              <w:t>F(y)</w:t>
            </w:r>
          </w:p>
        </w:tc>
        <w:tc>
          <w:tcPr>
            <w:tcW w:w="3827" w:type="dxa"/>
            <w:tcBorders>
              <w:top w:val="nil"/>
              <w:left w:val="nil"/>
              <w:bottom w:val="nil"/>
              <w:right w:val="nil"/>
            </w:tcBorders>
            <w:shd w:val="clear" w:color="auto" w:fill="FFFFFF"/>
          </w:tcPr>
          <w:p w14:paraId="55F7F454" w14:textId="06F34369" w:rsidR="008712A3" w:rsidRPr="0003243B" w:rsidRDefault="008712A3" w:rsidP="008712A3">
            <w:pPr>
              <w:pStyle w:val="CETBodytext"/>
              <w:jc w:val="left"/>
            </w:pPr>
            <w:r>
              <w:t>Linearized cumulative distribution probability (Type I Gumbel)</w:t>
            </w:r>
          </w:p>
        </w:tc>
        <w:tc>
          <w:tcPr>
            <w:tcW w:w="709" w:type="dxa"/>
            <w:tcBorders>
              <w:top w:val="nil"/>
              <w:left w:val="nil"/>
              <w:bottom w:val="nil"/>
              <w:right w:val="nil"/>
            </w:tcBorders>
            <w:shd w:val="clear" w:color="auto" w:fill="FFFFFF"/>
            <w:vAlign w:val="center"/>
          </w:tcPr>
          <w:p w14:paraId="2465199A" w14:textId="108E4D78" w:rsidR="008712A3" w:rsidRPr="008C5786" w:rsidRDefault="008712A3" w:rsidP="00271DA7">
            <w:pPr>
              <w:pStyle w:val="CETBodytext"/>
              <w:jc w:val="center"/>
              <w:rPr>
                <w:rFonts w:ascii="Times New Roman" w:hAnsi="Times New Roman"/>
                <w:i/>
                <w:iCs/>
              </w:rPr>
            </w:pPr>
            <w:r w:rsidRPr="008C5786">
              <w:rPr>
                <w:rFonts w:ascii="Times New Roman" w:hAnsi="Times New Roman"/>
                <w:i/>
                <w:iCs/>
              </w:rPr>
              <w:sym w:font="Symbol" w:char="F061"/>
            </w:r>
          </w:p>
        </w:tc>
        <w:tc>
          <w:tcPr>
            <w:tcW w:w="2693" w:type="dxa"/>
            <w:tcBorders>
              <w:top w:val="nil"/>
              <w:left w:val="nil"/>
              <w:bottom w:val="nil"/>
            </w:tcBorders>
            <w:shd w:val="clear" w:color="auto" w:fill="FFFFFF"/>
            <w:vAlign w:val="center"/>
          </w:tcPr>
          <w:p w14:paraId="5593EFAD" w14:textId="70F39F51" w:rsidR="008712A3" w:rsidRDefault="008712A3" w:rsidP="00271DA7">
            <w:pPr>
              <w:pStyle w:val="CETBodytext"/>
              <w:jc w:val="left"/>
            </w:pPr>
            <w:r w:rsidRPr="008712A3">
              <w:t>Scale distribution parameter</w:t>
            </w:r>
          </w:p>
        </w:tc>
      </w:tr>
      <w:tr w:rsidR="008712A3" w:rsidRPr="00B57B36" w14:paraId="4925FCCE" w14:textId="77777777" w:rsidTr="005D27FF">
        <w:trPr>
          <w:trHeight w:val="455"/>
        </w:trPr>
        <w:tc>
          <w:tcPr>
            <w:tcW w:w="1276" w:type="dxa"/>
            <w:tcBorders>
              <w:top w:val="nil"/>
              <w:bottom w:val="nil"/>
              <w:right w:val="nil"/>
            </w:tcBorders>
            <w:shd w:val="clear" w:color="auto" w:fill="FFFFFF"/>
            <w:vAlign w:val="center"/>
          </w:tcPr>
          <w:p w14:paraId="71579B9C" w14:textId="4895731C" w:rsidR="008712A3" w:rsidRPr="00D96A29" w:rsidRDefault="008712A3" w:rsidP="00271DA7">
            <w:pPr>
              <w:pStyle w:val="CETBodytext"/>
              <w:jc w:val="center"/>
              <w:rPr>
                <w:rFonts w:ascii="Times New Roman" w:hAnsi="Times New Roman"/>
                <w:i/>
                <w:iCs/>
              </w:rPr>
            </w:pPr>
            <m:oMathPara>
              <m:oMathParaPr>
                <m:jc m:val="center"/>
              </m:oMathParaPr>
              <m:oMath>
                <m:r>
                  <w:rPr>
                    <w:rFonts w:ascii="Cambria Math"/>
                  </w:rPr>
                  <m:t>f(</m:t>
                </m:r>
                <m:sSub>
                  <m:sSubPr>
                    <m:ctrlPr>
                      <w:rPr>
                        <w:rFonts w:ascii="Cambria Math" w:hAnsi="Cambria Math"/>
                        <w:i/>
                      </w:rPr>
                    </m:ctrlPr>
                  </m:sSubPr>
                  <m:e>
                    <m:r>
                      <w:rPr>
                        <w:rFonts w:ascii="Cambria Math" w:hAnsi="Cambria Math"/>
                      </w:rPr>
                      <m:t>β</m:t>
                    </m:r>
                    <m:r>
                      <w:rPr>
                        <w:rFonts w:ascii="Cambria Math"/>
                      </w:rPr>
                      <m:t>,</m:t>
                    </m:r>
                    <m:r>
                      <w:rPr>
                        <w:rFonts w:ascii="Cambria Math" w:hAnsi="Cambria Math"/>
                      </w:rPr>
                      <m:t>α</m:t>
                    </m:r>
                    <m:r>
                      <w:rPr>
                        <w:rFonts w:ascii="Cambria Math"/>
                      </w:rPr>
                      <m:t>)</m:t>
                    </m:r>
                  </m:e>
                  <m:sub>
                    <m:r>
                      <w:rPr>
                        <w:rFonts w:ascii="Cambria Math"/>
                      </w:rPr>
                      <m:t>i,j</m:t>
                    </m:r>
                  </m:sub>
                </m:sSub>
              </m:oMath>
            </m:oMathPara>
          </w:p>
        </w:tc>
        <w:tc>
          <w:tcPr>
            <w:tcW w:w="3827" w:type="dxa"/>
            <w:tcBorders>
              <w:top w:val="nil"/>
              <w:left w:val="nil"/>
              <w:bottom w:val="nil"/>
              <w:right w:val="nil"/>
            </w:tcBorders>
            <w:shd w:val="clear" w:color="auto" w:fill="FFFFFF"/>
          </w:tcPr>
          <w:p w14:paraId="223C4D9C" w14:textId="77777777" w:rsidR="00271DA7" w:rsidRDefault="008712A3" w:rsidP="008712A3">
            <w:pPr>
              <w:pStyle w:val="CETBodytext"/>
              <w:jc w:val="left"/>
            </w:pPr>
            <w:r>
              <w:t xml:space="preserve">Probability density function </w:t>
            </w:r>
          </w:p>
          <w:p w14:paraId="48F9949A" w14:textId="6E7539EE" w:rsidR="008712A3" w:rsidRPr="0038169D" w:rsidRDefault="008712A3" w:rsidP="008712A3">
            <w:pPr>
              <w:pStyle w:val="CETBodytext"/>
              <w:jc w:val="left"/>
            </w:pPr>
            <w:r>
              <w:t>(bivariate distribution)</w:t>
            </w:r>
          </w:p>
        </w:tc>
        <w:tc>
          <w:tcPr>
            <w:tcW w:w="709" w:type="dxa"/>
            <w:tcBorders>
              <w:top w:val="nil"/>
              <w:left w:val="nil"/>
              <w:bottom w:val="nil"/>
              <w:right w:val="nil"/>
            </w:tcBorders>
            <w:shd w:val="clear" w:color="auto" w:fill="FFFFFF"/>
            <w:vAlign w:val="center"/>
          </w:tcPr>
          <w:p w14:paraId="29C6A533" w14:textId="34097EF1" w:rsidR="008712A3" w:rsidRPr="008C5786" w:rsidRDefault="008712A3" w:rsidP="00271DA7">
            <w:pPr>
              <w:pStyle w:val="CETBodytext"/>
              <w:jc w:val="center"/>
              <w:rPr>
                <w:rFonts w:ascii="Times New Roman" w:hAnsi="Times New Roman"/>
                <w:i/>
                <w:iCs/>
              </w:rPr>
            </w:pPr>
            <w:r w:rsidRPr="008C5786">
              <w:rPr>
                <w:rFonts w:ascii="Times New Roman" w:hAnsi="Times New Roman"/>
                <w:i/>
                <w:iCs/>
              </w:rPr>
              <w:sym w:font="Symbol" w:char="F062"/>
            </w:r>
          </w:p>
        </w:tc>
        <w:tc>
          <w:tcPr>
            <w:tcW w:w="2693" w:type="dxa"/>
            <w:tcBorders>
              <w:top w:val="nil"/>
              <w:left w:val="nil"/>
              <w:bottom w:val="nil"/>
            </w:tcBorders>
            <w:shd w:val="clear" w:color="auto" w:fill="FFFFFF"/>
            <w:vAlign w:val="center"/>
          </w:tcPr>
          <w:p w14:paraId="44BC536B" w14:textId="7AF57F84" w:rsidR="008712A3" w:rsidRDefault="008712A3" w:rsidP="00271DA7">
            <w:pPr>
              <w:pStyle w:val="CETBodytext"/>
              <w:jc w:val="left"/>
            </w:pPr>
            <w:r w:rsidRPr="008712A3">
              <w:t>Location distribution parameter</w:t>
            </w:r>
          </w:p>
        </w:tc>
      </w:tr>
      <w:tr w:rsidR="008712A3" w:rsidRPr="00B57B36" w14:paraId="02764564" w14:textId="77777777" w:rsidTr="005D27FF">
        <w:trPr>
          <w:trHeight w:val="455"/>
        </w:trPr>
        <w:tc>
          <w:tcPr>
            <w:tcW w:w="1276" w:type="dxa"/>
            <w:tcBorders>
              <w:top w:val="nil"/>
              <w:bottom w:val="nil"/>
              <w:right w:val="nil"/>
            </w:tcBorders>
            <w:shd w:val="clear" w:color="auto" w:fill="FFFFFF"/>
            <w:vAlign w:val="center"/>
          </w:tcPr>
          <w:p w14:paraId="4307B303" w14:textId="7B3B2AE8" w:rsidR="008712A3" w:rsidRPr="0003243B" w:rsidRDefault="008712A3" w:rsidP="005D27FF">
            <w:pPr>
              <w:pStyle w:val="CETBodytext"/>
              <w:jc w:val="center"/>
              <w:rPr>
                <w:rFonts w:ascii="Times New Roman" w:hAnsi="Times New Roman"/>
                <w:i/>
                <w:iCs/>
              </w:rPr>
            </w:pPr>
            <w:proofErr w:type="spellStart"/>
            <w:r w:rsidRPr="0038169D">
              <w:rPr>
                <w:rFonts w:ascii="Times New Roman" w:hAnsi="Times New Roman"/>
                <w:i/>
                <w:iCs/>
              </w:rPr>
              <w:t>i</w:t>
            </w:r>
            <w:proofErr w:type="spellEnd"/>
            <w:r w:rsidRPr="0038169D">
              <w:rPr>
                <w:rFonts w:ascii="Times New Roman" w:hAnsi="Times New Roman"/>
                <w:i/>
                <w:iCs/>
              </w:rPr>
              <w:t>, j</w:t>
            </w:r>
          </w:p>
        </w:tc>
        <w:tc>
          <w:tcPr>
            <w:tcW w:w="3827" w:type="dxa"/>
            <w:tcBorders>
              <w:top w:val="nil"/>
              <w:left w:val="nil"/>
              <w:bottom w:val="nil"/>
              <w:right w:val="nil"/>
            </w:tcBorders>
            <w:shd w:val="clear" w:color="auto" w:fill="FFFFFF"/>
            <w:vAlign w:val="center"/>
          </w:tcPr>
          <w:p w14:paraId="196B40AD" w14:textId="7A9D8467" w:rsidR="008712A3" w:rsidRPr="0003243B" w:rsidRDefault="008712A3" w:rsidP="005D27FF">
            <w:pPr>
              <w:pStyle w:val="CETBodytext"/>
              <w:jc w:val="left"/>
            </w:pPr>
            <w:r w:rsidRPr="0038169D">
              <w:t>Matrix position indices</w:t>
            </w:r>
          </w:p>
        </w:tc>
        <w:tc>
          <w:tcPr>
            <w:tcW w:w="709" w:type="dxa"/>
            <w:tcBorders>
              <w:top w:val="nil"/>
              <w:left w:val="nil"/>
              <w:bottom w:val="nil"/>
              <w:right w:val="nil"/>
            </w:tcBorders>
            <w:shd w:val="clear" w:color="auto" w:fill="FFFFFF"/>
            <w:vAlign w:val="center"/>
          </w:tcPr>
          <w:p w14:paraId="429CE45F" w14:textId="67E2AB5D" w:rsidR="008712A3" w:rsidRPr="008C5786" w:rsidRDefault="008712A3" w:rsidP="005D27FF">
            <w:pPr>
              <w:pStyle w:val="CETBodytext"/>
              <w:jc w:val="center"/>
              <w:rPr>
                <w:rFonts w:ascii="Times New Roman" w:hAnsi="Times New Roman"/>
                <w:i/>
                <w:iCs/>
              </w:rPr>
            </w:pPr>
            <w:r>
              <w:rPr>
                <w:rFonts w:ascii="Times New Roman" w:hAnsi="Times New Roman"/>
                <w:i/>
                <w:iCs/>
              </w:rPr>
              <w:sym w:font="Symbol" w:char="F020"/>
            </w:r>
            <w:r>
              <w:rPr>
                <w:rFonts w:ascii="Times New Roman" w:hAnsi="Times New Roman"/>
                <w:i/>
                <w:iCs/>
              </w:rPr>
              <w:sym w:font="Symbol" w:char="F06D"/>
            </w:r>
            <w:r>
              <w:rPr>
                <w:rFonts w:ascii="Times New Roman" w:hAnsi="Times New Roman"/>
                <w:i/>
                <w:iCs/>
                <w:vertAlign w:val="subscript"/>
              </w:rPr>
              <w:t>A</w:t>
            </w:r>
            <w:r>
              <w:t xml:space="preserve">, </w:t>
            </w:r>
            <w:r>
              <w:rPr>
                <w:rFonts w:ascii="Times New Roman" w:hAnsi="Times New Roman"/>
                <w:i/>
                <w:iCs/>
              </w:rPr>
              <w:sym w:font="Symbol" w:char="F06D"/>
            </w:r>
            <w:r>
              <w:rPr>
                <w:rFonts w:ascii="Times New Roman" w:hAnsi="Times New Roman"/>
                <w:i/>
                <w:iCs/>
                <w:vertAlign w:val="subscript"/>
              </w:rPr>
              <w:t>B</w:t>
            </w:r>
          </w:p>
        </w:tc>
        <w:tc>
          <w:tcPr>
            <w:tcW w:w="2693" w:type="dxa"/>
            <w:tcBorders>
              <w:top w:val="nil"/>
              <w:left w:val="nil"/>
              <w:bottom w:val="nil"/>
            </w:tcBorders>
            <w:shd w:val="clear" w:color="auto" w:fill="FFFFFF"/>
            <w:vAlign w:val="center"/>
          </w:tcPr>
          <w:p w14:paraId="17F1DAD8" w14:textId="0CFBF595" w:rsidR="008712A3" w:rsidRDefault="008712A3" w:rsidP="005D27FF">
            <w:pPr>
              <w:pStyle w:val="CETBodytext"/>
              <w:jc w:val="left"/>
            </w:pPr>
            <w:r>
              <w:t xml:space="preserve">Average values of </w:t>
            </w:r>
            <w:r w:rsidRPr="00866702">
              <w:rPr>
                <w:i/>
                <w:iCs/>
              </w:rPr>
              <w:sym w:font="Symbol" w:char="F061"/>
            </w:r>
            <w:r w:rsidRPr="00B1140F">
              <w:t xml:space="preserve"> and </w:t>
            </w:r>
            <w:r w:rsidRPr="00866702">
              <w:rPr>
                <w:i/>
                <w:iCs/>
              </w:rPr>
              <w:sym w:font="Symbol" w:char="F062"/>
            </w:r>
          </w:p>
        </w:tc>
      </w:tr>
      <w:tr w:rsidR="008712A3" w:rsidRPr="00B57B36" w14:paraId="67E4D715" w14:textId="07EA6A3B" w:rsidTr="005D27FF">
        <w:trPr>
          <w:trHeight w:val="455"/>
        </w:trPr>
        <w:tc>
          <w:tcPr>
            <w:tcW w:w="1276" w:type="dxa"/>
            <w:tcBorders>
              <w:top w:val="nil"/>
              <w:bottom w:val="nil"/>
              <w:right w:val="nil"/>
            </w:tcBorders>
            <w:shd w:val="clear" w:color="auto" w:fill="FFFFFF"/>
            <w:vAlign w:val="center"/>
          </w:tcPr>
          <w:p w14:paraId="0F19CB0A" w14:textId="240382C1" w:rsidR="008712A3" w:rsidRPr="0003243B" w:rsidRDefault="008712A3" w:rsidP="005D27FF">
            <w:pPr>
              <w:pStyle w:val="CETBodytext"/>
              <w:jc w:val="center"/>
              <w:rPr>
                <w:rFonts w:ascii="Times New Roman" w:hAnsi="Times New Roman"/>
                <w:i/>
                <w:iCs/>
              </w:rPr>
            </w:pPr>
            <w:r w:rsidRPr="0003243B">
              <w:rPr>
                <w:rFonts w:ascii="Times New Roman" w:hAnsi="Times New Roman"/>
                <w:i/>
                <w:iCs/>
              </w:rPr>
              <w:t>k</w:t>
            </w:r>
          </w:p>
        </w:tc>
        <w:tc>
          <w:tcPr>
            <w:tcW w:w="3827" w:type="dxa"/>
            <w:tcBorders>
              <w:top w:val="nil"/>
              <w:left w:val="nil"/>
              <w:bottom w:val="nil"/>
              <w:right w:val="nil"/>
            </w:tcBorders>
            <w:shd w:val="clear" w:color="auto" w:fill="FFFFFF"/>
            <w:vAlign w:val="center"/>
          </w:tcPr>
          <w:p w14:paraId="6B8EFF4B" w14:textId="314667BA" w:rsidR="008712A3" w:rsidRPr="0003243B" w:rsidRDefault="008712A3" w:rsidP="005D27FF">
            <w:pPr>
              <w:pStyle w:val="CETBodytext"/>
              <w:jc w:val="left"/>
            </w:pPr>
            <w:r w:rsidRPr="0003243B">
              <w:t>Corrosion measure rank</w:t>
            </w:r>
          </w:p>
        </w:tc>
        <w:tc>
          <w:tcPr>
            <w:tcW w:w="709" w:type="dxa"/>
            <w:tcBorders>
              <w:top w:val="nil"/>
              <w:left w:val="nil"/>
              <w:bottom w:val="nil"/>
              <w:right w:val="nil"/>
            </w:tcBorders>
            <w:shd w:val="clear" w:color="auto" w:fill="FFFFFF"/>
            <w:vAlign w:val="center"/>
          </w:tcPr>
          <w:p w14:paraId="21DB1BE7" w14:textId="6CD55376" w:rsidR="008712A3" w:rsidRDefault="008712A3" w:rsidP="005D27FF">
            <w:pPr>
              <w:pStyle w:val="CETBodytext"/>
              <w:jc w:val="center"/>
            </w:pPr>
            <w:r w:rsidRPr="008C5786">
              <w:rPr>
                <w:i/>
                <w:iCs/>
              </w:rPr>
              <w:sym w:font="Symbol" w:char="F072"/>
            </w:r>
          </w:p>
        </w:tc>
        <w:tc>
          <w:tcPr>
            <w:tcW w:w="2693" w:type="dxa"/>
            <w:tcBorders>
              <w:top w:val="nil"/>
              <w:left w:val="nil"/>
              <w:bottom w:val="nil"/>
            </w:tcBorders>
            <w:shd w:val="clear" w:color="auto" w:fill="FFFFFF"/>
            <w:vAlign w:val="center"/>
          </w:tcPr>
          <w:p w14:paraId="6DCA3047" w14:textId="4EEFCF40" w:rsidR="008712A3" w:rsidRDefault="008712A3" w:rsidP="005D27FF">
            <w:pPr>
              <w:pStyle w:val="CETBodytext"/>
              <w:jc w:val="left"/>
            </w:pPr>
            <w:r>
              <w:t>Correlation</w:t>
            </w:r>
          </w:p>
        </w:tc>
      </w:tr>
      <w:tr w:rsidR="008712A3" w:rsidRPr="00B57B36" w14:paraId="7DA5D262" w14:textId="043AFC63" w:rsidTr="005D27FF">
        <w:trPr>
          <w:trHeight w:val="455"/>
        </w:trPr>
        <w:tc>
          <w:tcPr>
            <w:tcW w:w="1276" w:type="dxa"/>
            <w:tcBorders>
              <w:top w:val="nil"/>
              <w:bottom w:val="nil"/>
              <w:right w:val="nil"/>
            </w:tcBorders>
            <w:shd w:val="clear" w:color="auto" w:fill="FFFFFF"/>
            <w:vAlign w:val="center"/>
          </w:tcPr>
          <w:p w14:paraId="4C85AD0D" w14:textId="05B5B895" w:rsidR="008712A3" w:rsidRPr="008C5786" w:rsidRDefault="008712A3" w:rsidP="005D27FF">
            <w:pPr>
              <w:pStyle w:val="CETBodytext"/>
              <w:jc w:val="center"/>
              <w:rPr>
                <w:rFonts w:ascii="Times New Roman" w:hAnsi="Times New Roman"/>
                <w:i/>
                <w:iCs/>
              </w:rPr>
            </w:pPr>
            <w:r>
              <w:rPr>
                <w:rFonts w:ascii="Times New Roman" w:hAnsi="Times New Roman"/>
                <w:i/>
                <w:iCs/>
              </w:rPr>
              <w:t>n</w:t>
            </w:r>
          </w:p>
        </w:tc>
        <w:tc>
          <w:tcPr>
            <w:tcW w:w="3827" w:type="dxa"/>
            <w:tcBorders>
              <w:top w:val="nil"/>
              <w:left w:val="nil"/>
              <w:bottom w:val="nil"/>
              <w:right w:val="nil"/>
            </w:tcBorders>
            <w:shd w:val="clear" w:color="auto" w:fill="FFFFFF"/>
            <w:vAlign w:val="center"/>
          </w:tcPr>
          <w:p w14:paraId="3F4CBAC4" w14:textId="0A970A43" w:rsidR="008712A3" w:rsidRPr="00BD4116" w:rsidRDefault="008712A3" w:rsidP="005D27FF">
            <w:pPr>
              <w:pStyle w:val="CETBodytext"/>
              <w:jc w:val="left"/>
              <w:rPr>
                <w:lang w:val="en-GB"/>
              </w:rPr>
            </w:pPr>
            <w:r>
              <w:t>number of corrosion measures</w:t>
            </w:r>
          </w:p>
        </w:tc>
        <w:tc>
          <w:tcPr>
            <w:tcW w:w="709" w:type="dxa"/>
            <w:tcBorders>
              <w:top w:val="nil"/>
              <w:left w:val="nil"/>
              <w:bottom w:val="nil"/>
              <w:right w:val="nil"/>
            </w:tcBorders>
            <w:shd w:val="clear" w:color="auto" w:fill="FFFFFF"/>
            <w:vAlign w:val="center"/>
          </w:tcPr>
          <w:p w14:paraId="3A1D3E25" w14:textId="56C460D5" w:rsidR="008712A3" w:rsidDel="00950B00" w:rsidRDefault="008712A3" w:rsidP="005D27FF">
            <w:pPr>
              <w:pStyle w:val="CETBodytext"/>
              <w:jc w:val="center"/>
            </w:pPr>
            <w:r w:rsidRPr="008C5786">
              <w:rPr>
                <w:i/>
                <w:iCs/>
              </w:rPr>
              <w:sym w:font="Symbol" w:char="F073"/>
            </w:r>
            <w:r w:rsidRPr="008C5786">
              <w:rPr>
                <w:rFonts w:ascii="Times New Roman" w:hAnsi="Times New Roman"/>
                <w:vertAlign w:val="subscript"/>
              </w:rPr>
              <w:t>err</w:t>
            </w:r>
          </w:p>
        </w:tc>
        <w:tc>
          <w:tcPr>
            <w:tcW w:w="2693" w:type="dxa"/>
            <w:tcBorders>
              <w:top w:val="nil"/>
              <w:left w:val="nil"/>
              <w:bottom w:val="nil"/>
            </w:tcBorders>
            <w:shd w:val="clear" w:color="auto" w:fill="FFFFFF"/>
            <w:vAlign w:val="center"/>
          </w:tcPr>
          <w:p w14:paraId="0EE5F04E" w14:textId="46C39E79" w:rsidR="008712A3" w:rsidDel="00950B00" w:rsidRDefault="008712A3" w:rsidP="005D27FF">
            <w:pPr>
              <w:pStyle w:val="CETBodytext"/>
              <w:jc w:val="left"/>
            </w:pPr>
            <w:r>
              <w:t>Artificial deviation</w:t>
            </w:r>
          </w:p>
        </w:tc>
      </w:tr>
      <w:tr w:rsidR="008712A3" w:rsidRPr="00B57B36" w14:paraId="73E16EE8" w14:textId="6B942FF2" w:rsidTr="005D27FF">
        <w:trPr>
          <w:trHeight w:val="456"/>
        </w:trPr>
        <w:tc>
          <w:tcPr>
            <w:tcW w:w="1276" w:type="dxa"/>
            <w:tcBorders>
              <w:top w:val="nil"/>
              <w:right w:val="nil"/>
            </w:tcBorders>
            <w:shd w:val="clear" w:color="auto" w:fill="FFFFFF"/>
            <w:vAlign w:val="center"/>
          </w:tcPr>
          <w:p w14:paraId="4A4E2F36" w14:textId="5F716715" w:rsidR="008712A3" w:rsidRPr="00B57B36" w:rsidRDefault="008712A3" w:rsidP="005D27FF">
            <w:pPr>
              <w:pStyle w:val="CETBodytext"/>
              <w:ind w:right="-1"/>
              <w:jc w:val="center"/>
              <w:rPr>
                <w:rFonts w:cs="Arial"/>
                <w:szCs w:val="18"/>
                <w:lang w:val="en-GB"/>
              </w:rPr>
            </w:pPr>
            <w:r w:rsidRPr="008C5786">
              <w:rPr>
                <w:rFonts w:ascii="Times New Roman" w:hAnsi="Times New Roman"/>
                <w:i/>
                <w:iCs/>
              </w:rPr>
              <w:t>x</w:t>
            </w:r>
          </w:p>
        </w:tc>
        <w:tc>
          <w:tcPr>
            <w:tcW w:w="3827" w:type="dxa"/>
            <w:tcBorders>
              <w:top w:val="nil"/>
              <w:left w:val="nil"/>
              <w:right w:val="nil"/>
            </w:tcBorders>
            <w:shd w:val="clear" w:color="auto" w:fill="FFFFFF"/>
            <w:vAlign w:val="center"/>
          </w:tcPr>
          <w:p w14:paraId="34760535" w14:textId="3893E8CF" w:rsidR="008712A3" w:rsidRPr="00B57B36" w:rsidRDefault="008712A3" w:rsidP="005D27FF">
            <w:pPr>
              <w:pStyle w:val="CETBodytext"/>
              <w:ind w:right="-1"/>
              <w:jc w:val="left"/>
              <w:rPr>
                <w:rFonts w:cs="Arial"/>
                <w:szCs w:val="18"/>
                <w:lang w:val="en-GB"/>
              </w:rPr>
            </w:pPr>
            <w:r>
              <w:t>Corrosion depth</w:t>
            </w:r>
          </w:p>
        </w:tc>
        <w:tc>
          <w:tcPr>
            <w:tcW w:w="709" w:type="dxa"/>
            <w:tcBorders>
              <w:top w:val="nil"/>
              <w:left w:val="nil"/>
              <w:right w:val="nil"/>
            </w:tcBorders>
            <w:shd w:val="clear" w:color="auto" w:fill="FFFFFF"/>
            <w:vAlign w:val="center"/>
          </w:tcPr>
          <w:p w14:paraId="17EBF34C" w14:textId="52D7CE6A" w:rsidR="008712A3" w:rsidRDefault="008712A3" w:rsidP="005D27FF">
            <w:pPr>
              <w:pStyle w:val="CETBodytext"/>
              <w:ind w:right="-1"/>
              <w:jc w:val="center"/>
              <w:rPr>
                <w:rFonts w:cs="Arial"/>
                <w:szCs w:val="18"/>
                <w:lang w:val="en-GB"/>
              </w:rPr>
            </w:pPr>
            <w:r>
              <w:rPr>
                <w:rFonts w:ascii="Times New Roman" w:hAnsi="Times New Roman"/>
                <w:i/>
                <w:iCs/>
              </w:rPr>
              <w:sym w:font="Symbol" w:char="F073"/>
            </w:r>
            <w:r>
              <w:rPr>
                <w:rFonts w:ascii="Times New Roman" w:hAnsi="Times New Roman"/>
                <w:i/>
                <w:iCs/>
                <w:vertAlign w:val="subscript"/>
              </w:rPr>
              <w:t>A</w:t>
            </w:r>
            <w:r>
              <w:t xml:space="preserve">, </w:t>
            </w:r>
            <w:r>
              <w:rPr>
                <w:rFonts w:ascii="Times New Roman" w:hAnsi="Times New Roman"/>
                <w:i/>
                <w:iCs/>
              </w:rPr>
              <w:sym w:font="Symbol" w:char="F073"/>
            </w:r>
            <w:r>
              <w:rPr>
                <w:rFonts w:ascii="Times New Roman" w:hAnsi="Times New Roman"/>
                <w:i/>
                <w:iCs/>
                <w:vertAlign w:val="subscript"/>
              </w:rPr>
              <w:t>B</w:t>
            </w:r>
          </w:p>
        </w:tc>
        <w:tc>
          <w:tcPr>
            <w:tcW w:w="2693" w:type="dxa"/>
            <w:tcBorders>
              <w:top w:val="nil"/>
              <w:left w:val="nil"/>
            </w:tcBorders>
            <w:shd w:val="clear" w:color="auto" w:fill="FFFFFF"/>
            <w:vAlign w:val="center"/>
          </w:tcPr>
          <w:p w14:paraId="51E15ADD" w14:textId="3C168A68" w:rsidR="008712A3" w:rsidRDefault="008712A3" w:rsidP="005D27FF">
            <w:pPr>
              <w:pStyle w:val="CETBodytext"/>
              <w:ind w:right="-1"/>
              <w:jc w:val="left"/>
              <w:rPr>
                <w:rFonts w:cs="Arial"/>
                <w:szCs w:val="18"/>
                <w:lang w:val="en-GB"/>
              </w:rPr>
            </w:pPr>
            <w:r>
              <w:t>Standard deviations</w:t>
            </w:r>
            <w:r w:rsidRPr="00DB17E3">
              <w:t xml:space="preserve"> </w:t>
            </w:r>
            <w:r>
              <w:t xml:space="preserve">of </w:t>
            </w:r>
            <w:r w:rsidRPr="00866702">
              <w:rPr>
                <w:i/>
                <w:iCs/>
              </w:rPr>
              <w:sym w:font="Symbol" w:char="F061"/>
            </w:r>
            <w:r w:rsidRPr="00B1140F">
              <w:t xml:space="preserve"> and </w:t>
            </w:r>
            <w:r w:rsidRPr="00866702">
              <w:rPr>
                <w:i/>
                <w:iCs/>
              </w:rPr>
              <w:sym w:font="Symbol" w:char="F062"/>
            </w:r>
          </w:p>
        </w:tc>
      </w:tr>
    </w:tbl>
    <w:p w14:paraId="4F1327F8" w14:textId="6DD9AA5D" w:rsidR="00600535" w:rsidRPr="002B2AED" w:rsidRDefault="00600535" w:rsidP="00600535">
      <w:pPr>
        <w:pStyle w:val="CETReference"/>
      </w:pPr>
      <w:r w:rsidRPr="002B2AED">
        <w:t>References</w:t>
      </w:r>
    </w:p>
    <w:p w14:paraId="3D935FB6" w14:textId="40074022" w:rsidR="001F4F3B" w:rsidRDefault="001F4F3B" w:rsidP="001F4F3B">
      <w:pPr>
        <w:pStyle w:val="CETReferencetext"/>
      </w:pPr>
      <w:r>
        <w:t>API, American Petroleum Institute, 2016a. Risk-Based Inspection. API Recommended Practice API RP, third ed., vol. 580 (New York, US).</w:t>
      </w:r>
    </w:p>
    <w:p w14:paraId="1D18011E" w14:textId="06030995" w:rsidR="001F4F3B" w:rsidRDefault="001F4F3B" w:rsidP="001F4F3B">
      <w:pPr>
        <w:pStyle w:val="CETReferencetext"/>
      </w:pPr>
      <w:r>
        <w:t xml:space="preserve">Argyropoulos, C.D., </w:t>
      </w:r>
      <w:proofErr w:type="spellStart"/>
      <w:r>
        <w:t>Christolis</w:t>
      </w:r>
      <w:proofErr w:type="spellEnd"/>
      <w:r>
        <w:t xml:space="preserve">, M.N., </w:t>
      </w:r>
      <w:proofErr w:type="spellStart"/>
      <w:r>
        <w:t>Nivolianitou</w:t>
      </w:r>
      <w:proofErr w:type="spellEnd"/>
      <w:r>
        <w:t>, Z., Markatos, N.C., 2012. A hazards assessment methodology for large liquid hydrocarbon fuel tanks. J. Loss Prev. Process. Ind. 25, 329–335.</w:t>
      </w:r>
    </w:p>
    <w:p w14:paraId="5E60DCA4" w14:textId="247A79D9" w:rsidR="00B902DA" w:rsidRDefault="00B902DA" w:rsidP="00B902DA">
      <w:pPr>
        <w:pStyle w:val="CETReferencetext"/>
      </w:pPr>
      <w:r w:rsidRPr="005A04D2">
        <w:t xml:space="preserve">Calabrese L., Galeano M., Proverbio E., Di Pietro D., </w:t>
      </w:r>
      <w:proofErr w:type="spellStart"/>
      <w:r w:rsidRPr="005A04D2">
        <w:t>Cappuccini</w:t>
      </w:r>
      <w:proofErr w:type="spellEnd"/>
      <w:r w:rsidRPr="005A04D2">
        <w:t xml:space="preserve"> F., Donato A, 2016, </w:t>
      </w:r>
      <w:r w:rsidRPr="000945A1">
        <w:t>Monitoring of 13% Cr martensitic stainless steel corrosion in chloride solution in presence of thiosulphate by acoustic emission technique</w:t>
      </w:r>
      <w:r>
        <w:t>,</w:t>
      </w:r>
      <w:r w:rsidRPr="000945A1">
        <w:t xml:space="preserve"> Corrosion Science, 111, 151-161</w:t>
      </w:r>
      <w:r>
        <w:t>.</w:t>
      </w:r>
    </w:p>
    <w:p w14:paraId="2429FDD3" w14:textId="77777777" w:rsidR="00B902DA" w:rsidRDefault="00B902DA" w:rsidP="00B902DA">
      <w:pPr>
        <w:pStyle w:val="CETReferencetext"/>
      </w:pPr>
      <w:r w:rsidRPr="007423AD">
        <w:t>EEMUA, 2014, Users’ Guide to the Inspection, Maintenance and Repair of above Ground Vertical Cylindrical Steel Storage Tanks, EEMUA 159.</w:t>
      </w:r>
    </w:p>
    <w:p w14:paraId="5E829564" w14:textId="005BB52A" w:rsidR="001F4F3B" w:rsidRPr="00BD4116" w:rsidRDefault="001F4F3B" w:rsidP="001F4F3B">
      <w:pPr>
        <w:pStyle w:val="CETBodytext"/>
        <w:ind w:left="284" w:hanging="284"/>
        <w:rPr>
          <w:lang w:val="it-IT"/>
        </w:rPr>
      </w:pPr>
      <w:proofErr w:type="spellStart"/>
      <w:r w:rsidRPr="001F4F3B">
        <w:rPr>
          <w:lang w:val="en-GB"/>
        </w:rPr>
        <w:t>Ikwan</w:t>
      </w:r>
      <w:proofErr w:type="spellEnd"/>
      <w:r w:rsidRPr="001F4F3B">
        <w:rPr>
          <w:lang w:val="en-GB"/>
        </w:rPr>
        <w:t xml:space="preserve"> F., Sanders D., Hassan M., 2021. Safety evaluation of leak in a storage tank using fault tree analysis and risk matrix analysis. J. Loss Prev. Process. </w:t>
      </w:r>
      <w:proofErr w:type="spellStart"/>
      <w:r w:rsidRPr="00BD4116">
        <w:rPr>
          <w:lang w:val="it-IT"/>
        </w:rPr>
        <w:t>Ind</w:t>
      </w:r>
      <w:proofErr w:type="spellEnd"/>
      <w:r w:rsidRPr="00BD4116">
        <w:rPr>
          <w:lang w:val="it-IT"/>
        </w:rPr>
        <w:t>. 73, 104597.</w:t>
      </w:r>
    </w:p>
    <w:p w14:paraId="6C2AB7C5" w14:textId="09941F74" w:rsidR="00B902DA" w:rsidRDefault="00B902DA" w:rsidP="00B902DA">
      <w:pPr>
        <w:pStyle w:val="CETBodytext"/>
        <w:ind w:left="284" w:hanging="284"/>
        <w:rPr>
          <w:lang w:val="en-GB"/>
        </w:rPr>
      </w:pPr>
      <w:r w:rsidRPr="00BD4116">
        <w:rPr>
          <w:lang w:val="it-IT"/>
        </w:rPr>
        <w:t>Kasai N</w:t>
      </w:r>
      <w:r w:rsidR="001F4F3B" w:rsidRPr="00BD4116">
        <w:rPr>
          <w:lang w:val="it-IT"/>
        </w:rPr>
        <w:t>.</w:t>
      </w:r>
      <w:r w:rsidRPr="00BD4116">
        <w:rPr>
          <w:lang w:val="it-IT"/>
        </w:rPr>
        <w:t>, Mori S</w:t>
      </w:r>
      <w:r w:rsidR="001F4F3B" w:rsidRPr="00BD4116">
        <w:rPr>
          <w:lang w:val="it-IT"/>
        </w:rPr>
        <w:t>.</w:t>
      </w:r>
      <w:r w:rsidRPr="00BD4116">
        <w:rPr>
          <w:lang w:val="it-IT"/>
        </w:rPr>
        <w:t>, Tamura K</w:t>
      </w:r>
      <w:r w:rsidR="001F4F3B" w:rsidRPr="00BD4116">
        <w:rPr>
          <w:lang w:val="it-IT"/>
        </w:rPr>
        <w:t>.</w:t>
      </w:r>
      <w:r w:rsidRPr="00BD4116">
        <w:rPr>
          <w:lang w:val="it-IT"/>
        </w:rPr>
        <w:t>, Sekine K</w:t>
      </w:r>
      <w:r w:rsidR="001F4F3B" w:rsidRPr="00BD4116">
        <w:rPr>
          <w:lang w:val="it-IT"/>
        </w:rPr>
        <w:t>.</w:t>
      </w:r>
      <w:r w:rsidRPr="00BD4116">
        <w:rPr>
          <w:lang w:val="it-IT"/>
        </w:rPr>
        <w:t>, Tsuchida T</w:t>
      </w:r>
      <w:r w:rsidR="001F4F3B" w:rsidRPr="00BD4116">
        <w:rPr>
          <w:lang w:val="it-IT"/>
        </w:rPr>
        <w:t>.</w:t>
      </w:r>
      <w:r w:rsidRPr="00BD4116">
        <w:rPr>
          <w:lang w:val="it-IT"/>
        </w:rPr>
        <w:t xml:space="preserve">, </w:t>
      </w:r>
      <w:proofErr w:type="spellStart"/>
      <w:r w:rsidRPr="00BD4116">
        <w:rPr>
          <w:lang w:val="it-IT"/>
        </w:rPr>
        <w:t>Serizawa</w:t>
      </w:r>
      <w:proofErr w:type="spellEnd"/>
      <w:r w:rsidRPr="00BD4116">
        <w:rPr>
          <w:lang w:val="it-IT"/>
        </w:rPr>
        <w:t xml:space="preserve"> Y</w:t>
      </w:r>
      <w:r w:rsidR="001F4F3B" w:rsidRPr="00BD4116">
        <w:rPr>
          <w:lang w:val="it-IT"/>
        </w:rPr>
        <w:t>.</w:t>
      </w:r>
      <w:r w:rsidRPr="00BD4116">
        <w:rPr>
          <w:lang w:val="it-IT"/>
        </w:rPr>
        <w:t xml:space="preserve">, 2016. </w:t>
      </w:r>
      <w:r w:rsidRPr="00B902DA">
        <w:rPr>
          <w:lang w:val="en-GB"/>
        </w:rPr>
        <w:t>Predicting maximum depth of corrosion</w:t>
      </w:r>
      <w:r>
        <w:rPr>
          <w:lang w:val="en-GB"/>
        </w:rPr>
        <w:t xml:space="preserve"> </w:t>
      </w:r>
      <w:r w:rsidRPr="00B902DA">
        <w:rPr>
          <w:lang w:val="en-GB"/>
        </w:rPr>
        <w:t>using extreme value analysis and Bayesian inference. Int. J. Pressure Vessels Piping.</w:t>
      </w:r>
    </w:p>
    <w:p w14:paraId="2C59A3C5" w14:textId="77777777" w:rsidR="00B902DA" w:rsidRPr="00353BDC" w:rsidRDefault="00B902DA" w:rsidP="00B902DA">
      <w:pPr>
        <w:pStyle w:val="CETReferencetext"/>
      </w:pPr>
      <w:proofErr w:type="spellStart"/>
      <w:r w:rsidRPr="00F72512">
        <w:t>Komariah</w:t>
      </w:r>
      <w:proofErr w:type="spellEnd"/>
      <w:r>
        <w:t xml:space="preserve"> L.N.</w:t>
      </w:r>
      <w:r w:rsidRPr="00F72512">
        <w:t>, Arita</w:t>
      </w:r>
      <w:r>
        <w:t xml:space="preserve"> S.</w:t>
      </w:r>
      <w:r w:rsidRPr="00F72512">
        <w:t xml:space="preserve">, </w:t>
      </w:r>
      <w:proofErr w:type="spellStart"/>
      <w:r w:rsidRPr="00F72512">
        <w:t>Prianda</w:t>
      </w:r>
      <w:proofErr w:type="spellEnd"/>
      <w:r>
        <w:t xml:space="preserve"> B.E.</w:t>
      </w:r>
      <w:r w:rsidRPr="00F72512">
        <w:t>, Dewi</w:t>
      </w:r>
      <w:r>
        <w:t xml:space="preserve"> T.K., 2021,</w:t>
      </w:r>
      <w:r w:rsidRPr="00F72512">
        <w:t xml:space="preserve"> Technical assessment of biodiesel storage tank; A corrosion case study</w:t>
      </w:r>
      <w:r>
        <w:t>,</w:t>
      </w:r>
      <w:r w:rsidRPr="00F72512">
        <w:t xml:space="preserve"> Journal of King Saud University - Engineering Sciences</w:t>
      </w:r>
      <w:r>
        <w:t xml:space="preserve"> (forthcoming).</w:t>
      </w:r>
    </w:p>
    <w:p w14:paraId="5E183807" w14:textId="067F3413" w:rsidR="00AA08BF" w:rsidRDefault="001F4F3B" w:rsidP="001F4F3B">
      <w:pPr>
        <w:pStyle w:val="CETBodytext"/>
        <w:ind w:left="284" w:hanging="284"/>
        <w:rPr>
          <w:lang w:val="en-GB"/>
        </w:rPr>
      </w:pPr>
      <w:r w:rsidRPr="001F4F3B">
        <w:rPr>
          <w:lang w:val="en-GB"/>
        </w:rPr>
        <w:t xml:space="preserve">Laurent A., Pey A., </w:t>
      </w:r>
      <w:proofErr w:type="spellStart"/>
      <w:r w:rsidRPr="001F4F3B">
        <w:rPr>
          <w:lang w:val="en-GB"/>
        </w:rPr>
        <w:t>Gurtel</w:t>
      </w:r>
      <w:proofErr w:type="spellEnd"/>
      <w:r w:rsidRPr="001F4F3B">
        <w:rPr>
          <w:lang w:val="en-GB"/>
        </w:rPr>
        <w:t xml:space="preserve"> P., Fabiano B., 2021. A critical perspective on the implementation of the EU Council Seveso Directives in France, Germany, Italy and Spain. Process Saf. Environ. Protect. 148, 47–74.</w:t>
      </w:r>
    </w:p>
    <w:p w14:paraId="3D3DF84C" w14:textId="100AC856" w:rsidR="001F4F3B" w:rsidRDefault="00212C93" w:rsidP="000918B4">
      <w:pPr>
        <w:pStyle w:val="CETBodytext"/>
        <w:ind w:left="284" w:hanging="284"/>
        <w:rPr>
          <w:lang w:val="en-GB"/>
        </w:rPr>
      </w:pPr>
      <w:r w:rsidRPr="00212C93">
        <w:rPr>
          <w:lang w:val="en-GB"/>
        </w:rPr>
        <w:t>Milazzo</w:t>
      </w:r>
      <w:r>
        <w:rPr>
          <w:lang w:val="en-GB"/>
        </w:rPr>
        <w:t xml:space="preserve"> M.F.</w:t>
      </w:r>
      <w:r w:rsidRPr="00212C93">
        <w:rPr>
          <w:lang w:val="en-GB"/>
        </w:rPr>
        <w:t xml:space="preserve">, </w:t>
      </w:r>
      <w:proofErr w:type="spellStart"/>
      <w:r w:rsidRPr="00212C93">
        <w:rPr>
          <w:lang w:val="en-GB"/>
        </w:rPr>
        <w:t>Ancione</w:t>
      </w:r>
      <w:proofErr w:type="spellEnd"/>
      <w:r>
        <w:rPr>
          <w:lang w:val="en-GB"/>
        </w:rPr>
        <w:t xml:space="preserve"> G.</w:t>
      </w:r>
      <w:r w:rsidRPr="00212C93">
        <w:rPr>
          <w:lang w:val="en-GB"/>
        </w:rPr>
        <w:t>, Bragatto</w:t>
      </w:r>
      <w:r>
        <w:rPr>
          <w:lang w:val="en-GB"/>
        </w:rPr>
        <w:t xml:space="preserve"> P.</w:t>
      </w:r>
      <w:r w:rsidRPr="00212C93">
        <w:rPr>
          <w:lang w:val="en-GB"/>
        </w:rPr>
        <w:t>, Proverbio</w:t>
      </w:r>
      <w:r>
        <w:rPr>
          <w:lang w:val="en-GB"/>
        </w:rPr>
        <w:t xml:space="preserve"> E</w:t>
      </w:r>
      <w:r w:rsidRPr="00212C93">
        <w:rPr>
          <w:lang w:val="en-GB"/>
        </w:rPr>
        <w:t>,</w:t>
      </w:r>
      <w:r>
        <w:rPr>
          <w:lang w:val="en-GB"/>
        </w:rPr>
        <w:t xml:space="preserve"> 2022, </w:t>
      </w:r>
      <w:r w:rsidRPr="00212C93">
        <w:rPr>
          <w:lang w:val="en-GB"/>
        </w:rPr>
        <w:t>A probabilistic approach for the estimation of the residual useful lifetime of atmospheric storage tanks in oil industry,</w:t>
      </w:r>
      <w:r>
        <w:rPr>
          <w:lang w:val="en-GB"/>
        </w:rPr>
        <w:t xml:space="preserve"> </w:t>
      </w:r>
      <w:r w:rsidRPr="00212C93">
        <w:rPr>
          <w:lang w:val="en-GB"/>
        </w:rPr>
        <w:t>Journal of Loss Prevention in the Process Industries,</w:t>
      </w:r>
      <w:r>
        <w:rPr>
          <w:lang w:val="en-GB"/>
        </w:rPr>
        <w:t xml:space="preserve"> </w:t>
      </w:r>
      <w:r w:rsidRPr="00212C93">
        <w:rPr>
          <w:lang w:val="en-GB"/>
        </w:rPr>
        <w:t>Volume 77.</w:t>
      </w:r>
    </w:p>
    <w:sectPr w:rsidR="001F4F3B"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4D2C6" w14:textId="77777777" w:rsidR="00E055D7" w:rsidRPr="002B2AED" w:rsidRDefault="00E055D7" w:rsidP="004F5E36">
      <w:r w:rsidRPr="002B2AED">
        <w:separator/>
      </w:r>
    </w:p>
  </w:endnote>
  <w:endnote w:type="continuationSeparator" w:id="0">
    <w:p w14:paraId="23B67F0C" w14:textId="77777777" w:rsidR="00E055D7" w:rsidRPr="002B2AED" w:rsidRDefault="00E055D7" w:rsidP="004F5E36">
      <w:r w:rsidRPr="002B2A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0C2C3" w14:textId="77777777" w:rsidR="00E055D7" w:rsidRPr="002B2AED" w:rsidRDefault="00E055D7" w:rsidP="004F5E36">
      <w:r w:rsidRPr="002B2AED">
        <w:separator/>
      </w:r>
    </w:p>
  </w:footnote>
  <w:footnote w:type="continuationSeparator" w:id="0">
    <w:p w14:paraId="2E37531A" w14:textId="77777777" w:rsidR="00E055D7" w:rsidRPr="002B2AED" w:rsidRDefault="00E055D7" w:rsidP="004F5E36">
      <w:r w:rsidRPr="002B2AE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78B4132"/>
    <w:multiLevelType w:val="hybridMultilevel"/>
    <w:tmpl w:val="CA32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2111928293">
    <w:abstractNumId w:val="18"/>
  </w:num>
  <w:num w:numId="24" w16cid:durableId="14542460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382E"/>
    <w:rsid w:val="0003148D"/>
    <w:rsid w:val="00031EEC"/>
    <w:rsid w:val="0003243B"/>
    <w:rsid w:val="00041D5F"/>
    <w:rsid w:val="00046C0A"/>
    <w:rsid w:val="00051566"/>
    <w:rsid w:val="000562A9"/>
    <w:rsid w:val="00056D40"/>
    <w:rsid w:val="00062A9A"/>
    <w:rsid w:val="00065058"/>
    <w:rsid w:val="00074AC5"/>
    <w:rsid w:val="00082E53"/>
    <w:rsid w:val="00086C39"/>
    <w:rsid w:val="000918B4"/>
    <w:rsid w:val="00094EE9"/>
    <w:rsid w:val="000A03B2"/>
    <w:rsid w:val="000A718E"/>
    <w:rsid w:val="000D0268"/>
    <w:rsid w:val="000D34BE"/>
    <w:rsid w:val="000E102F"/>
    <w:rsid w:val="000E36F1"/>
    <w:rsid w:val="000E3A73"/>
    <w:rsid w:val="000E414A"/>
    <w:rsid w:val="000E75FD"/>
    <w:rsid w:val="000F093C"/>
    <w:rsid w:val="000F3C4F"/>
    <w:rsid w:val="000F787B"/>
    <w:rsid w:val="001133EB"/>
    <w:rsid w:val="00113DAB"/>
    <w:rsid w:val="0012091F"/>
    <w:rsid w:val="0012285E"/>
    <w:rsid w:val="0012285F"/>
    <w:rsid w:val="00124AAD"/>
    <w:rsid w:val="00126BC2"/>
    <w:rsid w:val="001308B6"/>
    <w:rsid w:val="0013121F"/>
    <w:rsid w:val="00131FE6"/>
    <w:rsid w:val="0013263F"/>
    <w:rsid w:val="001331DF"/>
    <w:rsid w:val="00134DE4"/>
    <w:rsid w:val="00136B52"/>
    <w:rsid w:val="0014034D"/>
    <w:rsid w:val="001408CE"/>
    <w:rsid w:val="00140FE3"/>
    <w:rsid w:val="00144D16"/>
    <w:rsid w:val="00146A2D"/>
    <w:rsid w:val="00150E59"/>
    <w:rsid w:val="00152DE3"/>
    <w:rsid w:val="00164CF9"/>
    <w:rsid w:val="00165453"/>
    <w:rsid w:val="001667A6"/>
    <w:rsid w:val="00175440"/>
    <w:rsid w:val="00184AD6"/>
    <w:rsid w:val="001A4AF7"/>
    <w:rsid w:val="001B0349"/>
    <w:rsid w:val="001B1E93"/>
    <w:rsid w:val="001B61A7"/>
    <w:rsid w:val="001B65C1"/>
    <w:rsid w:val="001C260F"/>
    <w:rsid w:val="001C33F1"/>
    <w:rsid w:val="001C684B"/>
    <w:rsid w:val="001D0CFB"/>
    <w:rsid w:val="001D21AF"/>
    <w:rsid w:val="001D53FC"/>
    <w:rsid w:val="001E63E2"/>
    <w:rsid w:val="001E6ABD"/>
    <w:rsid w:val="001F42A5"/>
    <w:rsid w:val="001F4F3B"/>
    <w:rsid w:val="001F5C6E"/>
    <w:rsid w:val="001F7B9D"/>
    <w:rsid w:val="00201C93"/>
    <w:rsid w:val="0020700E"/>
    <w:rsid w:val="00212C93"/>
    <w:rsid w:val="00220DAB"/>
    <w:rsid w:val="002224B4"/>
    <w:rsid w:val="002447EF"/>
    <w:rsid w:val="0024702F"/>
    <w:rsid w:val="00251550"/>
    <w:rsid w:val="00263B05"/>
    <w:rsid w:val="00271DA7"/>
    <w:rsid w:val="0027221A"/>
    <w:rsid w:val="00275627"/>
    <w:rsid w:val="00275B61"/>
    <w:rsid w:val="00280FAF"/>
    <w:rsid w:val="00282656"/>
    <w:rsid w:val="00284E5F"/>
    <w:rsid w:val="00296B83"/>
    <w:rsid w:val="002B2AED"/>
    <w:rsid w:val="002B4015"/>
    <w:rsid w:val="002B78CE"/>
    <w:rsid w:val="002C2FB6"/>
    <w:rsid w:val="002D50E9"/>
    <w:rsid w:val="002E5FA7"/>
    <w:rsid w:val="002F3309"/>
    <w:rsid w:val="002F775D"/>
    <w:rsid w:val="003008CE"/>
    <w:rsid w:val="003009B7"/>
    <w:rsid w:val="00300E56"/>
    <w:rsid w:val="0030152C"/>
    <w:rsid w:val="0030469C"/>
    <w:rsid w:val="00312162"/>
    <w:rsid w:val="003166A2"/>
    <w:rsid w:val="00321CA6"/>
    <w:rsid w:val="00322387"/>
    <w:rsid w:val="00323763"/>
    <w:rsid w:val="00323C5F"/>
    <w:rsid w:val="003241A0"/>
    <w:rsid w:val="00334C09"/>
    <w:rsid w:val="00343164"/>
    <w:rsid w:val="00364058"/>
    <w:rsid w:val="003723D4"/>
    <w:rsid w:val="0038169D"/>
    <w:rsid w:val="00381905"/>
    <w:rsid w:val="00384CC8"/>
    <w:rsid w:val="003871FD"/>
    <w:rsid w:val="00387FF1"/>
    <w:rsid w:val="0039697C"/>
    <w:rsid w:val="003A1E30"/>
    <w:rsid w:val="003A2829"/>
    <w:rsid w:val="003A7D1C"/>
    <w:rsid w:val="003B2B5D"/>
    <w:rsid w:val="003B304B"/>
    <w:rsid w:val="003B3146"/>
    <w:rsid w:val="003C1710"/>
    <w:rsid w:val="003D1414"/>
    <w:rsid w:val="003D1E02"/>
    <w:rsid w:val="003D510D"/>
    <w:rsid w:val="003F015E"/>
    <w:rsid w:val="00400414"/>
    <w:rsid w:val="00410F2A"/>
    <w:rsid w:val="0041446B"/>
    <w:rsid w:val="004264A1"/>
    <w:rsid w:val="00430834"/>
    <w:rsid w:val="00432EB2"/>
    <w:rsid w:val="0044071E"/>
    <w:rsid w:val="0044329C"/>
    <w:rsid w:val="00453E24"/>
    <w:rsid w:val="00457456"/>
    <w:rsid w:val="004577FE"/>
    <w:rsid w:val="00457B9C"/>
    <w:rsid w:val="00457F94"/>
    <w:rsid w:val="0046164A"/>
    <w:rsid w:val="004628D2"/>
    <w:rsid w:val="00462DCD"/>
    <w:rsid w:val="0046453B"/>
    <w:rsid w:val="004648AD"/>
    <w:rsid w:val="004703A9"/>
    <w:rsid w:val="0047367B"/>
    <w:rsid w:val="004760DE"/>
    <w:rsid w:val="004763D7"/>
    <w:rsid w:val="004A004E"/>
    <w:rsid w:val="004A24CF"/>
    <w:rsid w:val="004A4996"/>
    <w:rsid w:val="004A5E57"/>
    <w:rsid w:val="004C194F"/>
    <w:rsid w:val="004C3D1D"/>
    <w:rsid w:val="004C3D84"/>
    <w:rsid w:val="004C7913"/>
    <w:rsid w:val="004D298F"/>
    <w:rsid w:val="004D4095"/>
    <w:rsid w:val="004D7900"/>
    <w:rsid w:val="004E4DD6"/>
    <w:rsid w:val="004E57F0"/>
    <w:rsid w:val="004F5E36"/>
    <w:rsid w:val="00501C98"/>
    <w:rsid w:val="00507B47"/>
    <w:rsid w:val="00507BEF"/>
    <w:rsid w:val="00507CC9"/>
    <w:rsid w:val="005119A5"/>
    <w:rsid w:val="00513C62"/>
    <w:rsid w:val="0051726F"/>
    <w:rsid w:val="00517F82"/>
    <w:rsid w:val="0052052E"/>
    <w:rsid w:val="005278B7"/>
    <w:rsid w:val="00532016"/>
    <w:rsid w:val="005346C8"/>
    <w:rsid w:val="00543E7D"/>
    <w:rsid w:val="0054545E"/>
    <w:rsid w:val="00547A68"/>
    <w:rsid w:val="005531C9"/>
    <w:rsid w:val="005679D9"/>
    <w:rsid w:val="00570C43"/>
    <w:rsid w:val="00592274"/>
    <w:rsid w:val="00595742"/>
    <w:rsid w:val="005B2110"/>
    <w:rsid w:val="005B38C1"/>
    <w:rsid w:val="005B61E6"/>
    <w:rsid w:val="005C77E1"/>
    <w:rsid w:val="005D27FF"/>
    <w:rsid w:val="005D668A"/>
    <w:rsid w:val="005D6A2F"/>
    <w:rsid w:val="005E0592"/>
    <w:rsid w:val="005E1A82"/>
    <w:rsid w:val="005E794C"/>
    <w:rsid w:val="005F0A28"/>
    <w:rsid w:val="005F0E5E"/>
    <w:rsid w:val="005F6570"/>
    <w:rsid w:val="00600535"/>
    <w:rsid w:val="006018EC"/>
    <w:rsid w:val="006106C0"/>
    <w:rsid w:val="00610CD6"/>
    <w:rsid w:val="00620DEE"/>
    <w:rsid w:val="00621F92"/>
    <w:rsid w:val="0062280A"/>
    <w:rsid w:val="00622EC0"/>
    <w:rsid w:val="006231E1"/>
    <w:rsid w:val="00625639"/>
    <w:rsid w:val="00631B33"/>
    <w:rsid w:val="0064184D"/>
    <w:rsid w:val="006422CC"/>
    <w:rsid w:val="00651D18"/>
    <w:rsid w:val="00652AD6"/>
    <w:rsid w:val="00655EE9"/>
    <w:rsid w:val="00660E3E"/>
    <w:rsid w:val="00661A42"/>
    <w:rsid w:val="006628B3"/>
    <w:rsid w:val="00662E74"/>
    <w:rsid w:val="0066605F"/>
    <w:rsid w:val="006768B8"/>
    <w:rsid w:val="00677B7A"/>
    <w:rsid w:val="00680C23"/>
    <w:rsid w:val="00683E23"/>
    <w:rsid w:val="006932EF"/>
    <w:rsid w:val="00693766"/>
    <w:rsid w:val="006A3281"/>
    <w:rsid w:val="006A7617"/>
    <w:rsid w:val="006B2FFA"/>
    <w:rsid w:val="006B4888"/>
    <w:rsid w:val="006B6ECA"/>
    <w:rsid w:val="006C2E45"/>
    <w:rsid w:val="006C359C"/>
    <w:rsid w:val="006C5579"/>
    <w:rsid w:val="006D4DB7"/>
    <w:rsid w:val="006D6E8B"/>
    <w:rsid w:val="006D7209"/>
    <w:rsid w:val="006E3968"/>
    <w:rsid w:val="006E737D"/>
    <w:rsid w:val="006F5C75"/>
    <w:rsid w:val="00707DD1"/>
    <w:rsid w:val="00713973"/>
    <w:rsid w:val="00715840"/>
    <w:rsid w:val="007208BC"/>
    <w:rsid w:val="00720A24"/>
    <w:rsid w:val="00732386"/>
    <w:rsid w:val="007342FC"/>
    <w:rsid w:val="0073514D"/>
    <w:rsid w:val="007447F3"/>
    <w:rsid w:val="00752C0F"/>
    <w:rsid w:val="0075343F"/>
    <w:rsid w:val="0075499F"/>
    <w:rsid w:val="00754C0E"/>
    <w:rsid w:val="007617CC"/>
    <w:rsid w:val="00763D05"/>
    <w:rsid w:val="00764A5B"/>
    <w:rsid w:val="007661C8"/>
    <w:rsid w:val="007669DD"/>
    <w:rsid w:val="0077098D"/>
    <w:rsid w:val="0077798C"/>
    <w:rsid w:val="00785BF9"/>
    <w:rsid w:val="007931FA"/>
    <w:rsid w:val="00795202"/>
    <w:rsid w:val="007A33B1"/>
    <w:rsid w:val="007A4861"/>
    <w:rsid w:val="007A6DF8"/>
    <w:rsid w:val="007A7BBA"/>
    <w:rsid w:val="007B0C50"/>
    <w:rsid w:val="007B157A"/>
    <w:rsid w:val="007B48F9"/>
    <w:rsid w:val="007B5320"/>
    <w:rsid w:val="007B60E9"/>
    <w:rsid w:val="007C1A43"/>
    <w:rsid w:val="007C5195"/>
    <w:rsid w:val="007C5325"/>
    <w:rsid w:val="007D0951"/>
    <w:rsid w:val="007E1AE0"/>
    <w:rsid w:val="007E364E"/>
    <w:rsid w:val="007F27C8"/>
    <w:rsid w:val="0080013E"/>
    <w:rsid w:val="00810201"/>
    <w:rsid w:val="00813288"/>
    <w:rsid w:val="008139E9"/>
    <w:rsid w:val="0081638C"/>
    <w:rsid w:val="008168FC"/>
    <w:rsid w:val="00830996"/>
    <w:rsid w:val="008314D7"/>
    <w:rsid w:val="008345F1"/>
    <w:rsid w:val="00840B97"/>
    <w:rsid w:val="00853DEF"/>
    <w:rsid w:val="00861D09"/>
    <w:rsid w:val="00865B07"/>
    <w:rsid w:val="008667EA"/>
    <w:rsid w:val="008712A3"/>
    <w:rsid w:val="0087226A"/>
    <w:rsid w:val="0087637F"/>
    <w:rsid w:val="00892AD5"/>
    <w:rsid w:val="008A1512"/>
    <w:rsid w:val="008B4B56"/>
    <w:rsid w:val="008C5786"/>
    <w:rsid w:val="008D32B9"/>
    <w:rsid w:val="008D433B"/>
    <w:rsid w:val="008D4A16"/>
    <w:rsid w:val="008D6AC1"/>
    <w:rsid w:val="008E1D34"/>
    <w:rsid w:val="008E209A"/>
    <w:rsid w:val="008E45BC"/>
    <w:rsid w:val="008E566E"/>
    <w:rsid w:val="008F3D96"/>
    <w:rsid w:val="0090161A"/>
    <w:rsid w:val="00901EB6"/>
    <w:rsid w:val="009041F8"/>
    <w:rsid w:val="00904C62"/>
    <w:rsid w:val="00907F59"/>
    <w:rsid w:val="009147EE"/>
    <w:rsid w:val="0091482C"/>
    <w:rsid w:val="009218F3"/>
    <w:rsid w:val="00922BA8"/>
    <w:rsid w:val="00924DAC"/>
    <w:rsid w:val="00927058"/>
    <w:rsid w:val="00933140"/>
    <w:rsid w:val="00942750"/>
    <w:rsid w:val="00944FDB"/>
    <w:rsid w:val="009450CE"/>
    <w:rsid w:val="009459BB"/>
    <w:rsid w:val="00947179"/>
    <w:rsid w:val="00950B00"/>
    <w:rsid w:val="0095164B"/>
    <w:rsid w:val="00954090"/>
    <w:rsid w:val="009573E7"/>
    <w:rsid w:val="00963E05"/>
    <w:rsid w:val="00964A45"/>
    <w:rsid w:val="00967843"/>
    <w:rsid w:val="00967D54"/>
    <w:rsid w:val="00971028"/>
    <w:rsid w:val="00974B8C"/>
    <w:rsid w:val="00975FD9"/>
    <w:rsid w:val="0098733B"/>
    <w:rsid w:val="00987784"/>
    <w:rsid w:val="00987B04"/>
    <w:rsid w:val="00993B84"/>
    <w:rsid w:val="00996483"/>
    <w:rsid w:val="00996F5A"/>
    <w:rsid w:val="009A1DEC"/>
    <w:rsid w:val="009B041A"/>
    <w:rsid w:val="009B53D2"/>
    <w:rsid w:val="009C298E"/>
    <w:rsid w:val="009C37C3"/>
    <w:rsid w:val="009C593B"/>
    <w:rsid w:val="009C7C86"/>
    <w:rsid w:val="009D02CB"/>
    <w:rsid w:val="009D2FF7"/>
    <w:rsid w:val="009D7412"/>
    <w:rsid w:val="009E7884"/>
    <w:rsid w:val="009E788A"/>
    <w:rsid w:val="009F0E08"/>
    <w:rsid w:val="00A0401D"/>
    <w:rsid w:val="00A079AE"/>
    <w:rsid w:val="00A14A79"/>
    <w:rsid w:val="00A1763D"/>
    <w:rsid w:val="00A17CEC"/>
    <w:rsid w:val="00A26CBB"/>
    <w:rsid w:val="00A27EF0"/>
    <w:rsid w:val="00A41C18"/>
    <w:rsid w:val="00A42361"/>
    <w:rsid w:val="00A457C1"/>
    <w:rsid w:val="00A50B20"/>
    <w:rsid w:val="00A51390"/>
    <w:rsid w:val="00A5615F"/>
    <w:rsid w:val="00A60D13"/>
    <w:rsid w:val="00A7223D"/>
    <w:rsid w:val="00A72745"/>
    <w:rsid w:val="00A7588F"/>
    <w:rsid w:val="00A76463"/>
    <w:rsid w:val="00A76EFC"/>
    <w:rsid w:val="00A87D50"/>
    <w:rsid w:val="00A91010"/>
    <w:rsid w:val="00A979B8"/>
    <w:rsid w:val="00A97F29"/>
    <w:rsid w:val="00AA08BF"/>
    <w:rsid w:val="00AA702E"/>
    <w:rsid w:val="00AA7583"/>
    <w:rsid w:val="00AA7D26"/>
    <w:rsid w:val="00AB0964"/>
    <w:rsid w:val="00AB5011"/>
    <w:rsid w:val="00AC7368"/>
    <w:rsid w:val="00AD0278"/>
    <w:rsid w:val="00AD16B9"/>
    <w:rsid w:val="00AD5AEF"/>
    <w:rsid w:val="00AE3125"/>
    <w:rsid w:val="00AE377D"/>
    <w:rsid w:val="00AE39F6"/>
    <w:rsid w:val="00AE4E43"/>
    <w:rsid w:val="00AF0EBA"/>
    <w:rsid w:val="00B02C8A"/>
    <w:rsid w:val="00B1140F"/>
    <w:rsid w:val="00B14FF0"/>
    <w:rsid w:val="00B17030"/>
    <w:rsid w:val="00B17FBD"/>
    <w:rsid w:val="00B315A6"/>
    <w:rsid w:val="00B31813"/>
    <w:rsid w:val="00B33365"/>
    <w:rsid w:val="00B444AB"/>
    <w:rsid w:val="00B556EA"/>
    <w:rsid w:val="00B57B36"/>
    <w:rsid w:val="00B57E6F"/>
    <w:rsid w:val="00B60EB1"/>
    <w:rsid w:val="00B76017"/>
    <w:rsid w:val="00B771B3"/>
    <w:rsid w:val="00B77221"/>
    <w:rsid w:val="00B8686D"/>
    <w:rsid w:val="00B902DA"/>
    <w:rsid w:val="00B92ECD"/>
    <w:rsid w:val="00B93F69"/>
    <w:rsid w:val="00B944A5"/>
    <w:rsid w:val="00B96176"/>
    <w:rsid w:val="00B96459"/>
    <w:rsid w:val="00BA7D36"/>
    <w:rsid w:val="00BB1DDC"/>
    <w:rsid w:val="00BC30C9"/>
    <w:rsid w:val="00BD077D"/>
    <w:rsid w:val="00BD4116"/>
    <w:rsid w:val="00BD70D0"/>
    <w:rsid w:val="00BE3E58"/>
    <w:rsid w:val="00BF05EB"/>
    <w:rsid w:val="00C01616"/>
    <w:rsid w:val="00C0162B"/>
    <w:rsid w:val="00C068ED"/>
    <w:rsid w:val="00C17952"/>
    <w:rsid w:val="00C208E9"/>
    <w:rsid w:val="00C22440"/>
    <w:rsid w:val="00C22E0C"/>
    <w:rsid w:val="00C245BB"/>
    <w:rsid w:val="00C33A60"/>
    <w:rsid w:val="00C345B1"/>
    <w:rsid w:val="00C40142"/>
    <w:rsid w:val="00C4717E"/>
    <w:rsid w:val="00C52739"/>
    <w:rsid w:val="00C52C3C"/>
    <w:rsid w:val="00C536EE"/>
    <w:rsid w:val="00C55AC1"/>
    <w:rsid w:val="00C57182"/>
    <w:rsid w:val="00C57863"/>
    <w:rsid w:val="00C640AF"/>
    <w:rsid w:val="00C655FD"/>
    <w:rsid w:val="00C72670"/>
    <w:rsid w:val="00C73834"/>
    <w:rsid w:val="00C75407"/>
    <w:rsid w:val="00C841C6"/>
    <w:rsid w:val="00C870A8"/>
    <w:rsid w:val="00C94434"/>
    <w:rsid w:val="00C95E57"/>
    <w:rsid w:val="00CA0D75"/>
    <w:rsid w:val="00CA1C95"/>
    <w:rsid w:val="00CA2957"/>
    <w:rsid w:val="00CA5A9C"/>
    <w:rsid w:val="00CC4C20"/>
    <w:rsid w:val="00CC640D"/>
    <w:rsid w:val="00CD3517"/>
    <w:rsid w:val="00CD35E6"/>
    <w:rsid w:val="00CD4D6A"/>
    <w:rsid w:val="00CD5FE2"/>
    <w:rsid w:val="00CE1A3D"/>
    <w:rsid w:val="00CE7C68"/>
    <w:rsid w:val="00CF2EF4"/>
    <w:rsid w:val="00D01FC0"/>
    <w:rsid w:val="00D02B4C"/>
    <w:rsid w:val="00D040C4"/>
    <w:rsid w:val="00D20AD1"/>
    <w:rsid w:val="00D2582C"/>
    <w:rsid w:val="00D27007"/>
    <w:rsid w:val="00D32606"/>
    <w:rsid w:val="00D3599C"/>
    <w:rsid w:val="00D46B7E"/>
    <w:rsid w:val="00D57C84"/>
    <w:rsid w:val="00D6057D"/>
    <w:rsid w:val="00D65E55"/>
    <w:rsid w:val="00D71640"/>
    <w:rsid w:val="00D836C5"/>
    <w:rsid w:val="00D84576"/>
    <w:rsid w:val="00D96209"/>
    <w:rsid w:val="00D96A29"/>
    <w:rsid w:val="00DA1399"/>
    <w:rsid w:val="00DA24C6"/>
    <w:rsid w:val="00DA4D7B"/>
    <w:rsid w:val="00DB17E3"/>
    <w:rsid w:val="00DD271C"/>
    <w:rsid w:val="00DD7B75"/>
    <w:rsid w:val="00DE264A"/>
    <w:rsid w:val="00DF5072"/>
    <w:rsid w:val="00E02D18"/>
    <w:rsid w:val="00E041E7"/>
    <w:rsid w:val="00E055D7"/>
    <w:rsid w:val="00E1644A"/>
    <w:rsid w:val="00E23CA1"/>
    <w:rsid w:val="00E2672A"/>
    <w:rsid w:val="00E409A8"/>
    <w:rsid w:val="00E46595"/>
    <w:rsid w:val="00E47D61"/>
    <w:rsid w:val="00E50C12"/>
    <w:rsid w:val="00E567A1"/>
    <w:rsid w:val="00E62F0D"/>
    <w:rsid w:val="00E63830"/>
    <w:rsid w:val="00E650BD"/>
    <w:rsid w:val="00E65B91"/>
    <w:rsid w:val="00E65DA4"/>
    <w:rsid w:val="00E7071A"/>
    <w:rsid w:val="00E7209D"/>
    <w:rsid w:val="00E72EAD"/>
    <w:rsid w:val="00E762F3"/>
    <w:rsid w:val="00E77223"/>
    <w:rsid w:val="00E8528B"/>
    <w:rsid w:val="00E85B94"/>
    <w:rsid w:val="00E96601"/>
    <w:rsid w:val="00E978D0"/>
    <w:rsid w:val="00E97BEF"/>
    <w:rsid w:val="00EA4613"/>
    <w:rsid w:val="00EA7732"/>
    <w:rsid w:val="00EA7F91"/>
    <w:rsid w:val="00EB14DB"/>
    <w:rsid w:val="00EB1523"/>
    <w:rsid w:val="00EC0E49"/>
    <w:rsid w:val="00EC101F"/>
    <w:rsid w:val="00EC1D9F"/>
    <w:rsid w:val="00EC2EB9"/>
    <w:rsid w:val="00EC6087"/>
    <w:rsid w:val="00ED5738"/>
    <w:rsid w:val="00ED7346"/>
    <w:rsid w:val="00EE0131"/>
    <w:rsid w:val="00EE17B0"/>
    <w:rsid w:val="00EF06D9"/>
    <w:rsid w:val="00EF0982"/>
    <w:rsid w:val="00F042B1"/>
    <w:rsid w:val="00F215E9"/>
    <w:rsid w:val="00F22600"/>
    <w:rsid w:val="00F3049E"/>
    <w:rsid w:val="00F30C64"/>
    <w:rsid w:val="00F32BA2"/>
    <w:rsid w:val="00F32CDB"/>
    <w:rsid w:val="00F3348F"/>
    <w:rsid w:val="00F37280"/>
    <w:rsid w:val="00F41EE4"/>
    <w:rsid w:val="00F535FF"/>
    <w:rsid w:val="00F565FE"/>
    <w:rsid w:val="00F63A70"/>
    <w:rsid w:val="00F63D8C"/>
    <w:rsid w:val="00F71F14"/>
    <w:rsid w:val="00F7534E"/>
    <w:rsid w:val="00F93EDF"/>
    <w:rsid w:val="00F952A8"/>
    <w:rsid w:val="00FA1802"/>
    <w:rsid w:val="00FA19BF"/>
    <w:rsid w:val="00FA21D0"/>
    <w:rsid w:val="00FA5F5F"/>
    <w:rsid w:val="00FA6053"/>
    <w:rsid w:val="00FB730C"/>
    <w:rsid w:val="00FC2695"/>
    <w:rsid w:val="00FC3E03"/>
    <w:rsid w:val="00FC3FC1"/>
    <w:rsid w:val="00FD6C5F"/>
    <w:rsid w:val="00FE0F1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E567A1"/>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qFormat/>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B1140F"/>
    <w:rPr>
      <w:color w:val="666666"/>
    </w:rPr>
  </w:style>
  <w:style w:type="paragraph" w:styleId="Revisione">
    <w:name w:val="Revision"/>
    <w:hidden/>
    <w:uiPriority w:val="99"/>
    <w:semiHidden/>
    <w:rsid w:val="00C4717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12012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854074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8550">
      <w:bodyDiv w:val="1"/>
      <w:marLeft w:val="0"/>
      <w:marRight w:val="0"/>
      <w:marTop w:val="0"/>
      <w:marBottom w:val="0"/>
      <w:divBdr>
        <w:top w:val="none" w:sz="0" w:space="0" w:color="auto"/>
        <w:left w:val="none" w:sz="0" w:space="0" w:color="auto"/>
        <w:bottom w:val="none" w:sz="0" w:space="0" w:color="auto"/>
        <w:right w:val="none" w:sz="0" w:space="0" w:color="auto"/>
      </w:divBdr>
    </w:div>
    <w:div w:id="201957830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wmf"/><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2B820C-AA84-434B-9DF9-3BB4DF30F7A1}">
  <we:reference id="f78a3046-9e99-4300-aa2b-5814002b01a2" version="1.55.1.0" store="EXCatalog" storeType="EXCatalog"/>
  <we:alternateReferences>
    <we:reference id="WA104382081" version="1.55.1.0" store="it-IT"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Mar22</b:Tag>
    <b:SourceType>JournalArticle</b:SourceType>
    <b:Guid>{91E0152D-2148-4225-A64F-E0DB5076D439}</b:Guid>
    <b:Title>A probabilistic approach for the estimation of the residual useful lifetime of atmospheric storage tanks in oil industry </b:Title>
    <b:Year>2022</b:Year>
    <b:Author>
      <b:Author>
        <b:NameList>
          <b:Person>
            <b:Last>Maria Francesca Milazzo</b:Last>
            <b:First>Giusi</b:First>
            <b:Middle>Ancione, Paolo Bragatto, Edoardo Proverbio</b:Middle>
          </b:Person>
        </b:NameList>
      </b:Author>
    </b:Author>
    <b:JournalName>Journal of Loss Prevention in the Process Industries</b:JournalName>
    <b:RefOrder>1</b:RefOrder>
  </b:Source>
</b:Sources>
</file>

<file path=customXml/itemProps1.xml><?xml version="1.0" encoding="utf-8"?>
<ds:datastoreItem xmlns:ds="http://schemas.openxmlformats.org/officeDocument/2006/customXml" ds:itemID="{106BA47D-1E2E-456F-9CB9-DDF26757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2656</Words>
  <Characters>15140</Characters>
  <Application>Microsoft Office Word</Application>
  <DocSecurity>0</DocSecurity>
  <Lines>126</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PAOLO CARBONE 567906</cp:lastModifiedBy>
  <cp:revision>12</cp:revision>
  <cp:lastPrinted>2015-05-12T18:31:00Z</cp:lastPrinted>
  <dcterms:created xsi:type="dcterms:W3CDTF">2026-04-15T21:27:00Z</dcterms:created>
  <dcterms:modified xsi:type="dcterms:W3CDTF">2026-04-16T13:20:00Z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538c1940-3e1b-45f3-9526-411e733b0a4a</vt:lpwstr>
  </property>
</Properties>
</file>