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863B98">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863B98">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863B98">
        <w:trPr>
          <w:trHeight w:val="68"/>
          <w:jc w:val="center"/>
        </w:trPr>
        <w:tc>
          <w:tcPr>
            <w:tcW w:w="8782"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Valerio Cozzani, Bruno Fabiano, Genserik Reniers</w:t>
            </w:r>
          </w:p>
          <w:p w14:paraId="1B0F1814" w14:textId="31422424"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r w:rsidR="00D51C03" w:rsidRPr="00B57B36">
              <w:rPr>
                <w:rFonts w:ascii="Tahoma" w:hAnsi="Tahoma" w:cs="Tahoma"/>
                <w:iCs/>
                <w:color w:val="333333"/>
                <w:sz w:val="14"/>
                <w:szCs w:val="14"/>
                <w:lang w:eastAsia="it-IT"/>
              </w:rPr>
              <w:t>U.R.L.</w:t>
            </w:r>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499AA39B" w:rsidR="00E978D0" w:rsidRPr="00B57B36" w:rsidRDefault="00863B98" w:rsidP="00E978D0">
      <w:pPr>
        <w:pStyle w:val="CETTitle"/>
      </w:pPr>
      <w:r w:rsidRPr="00863B98">
        <w:t>Combined Theoretical and Experimental Analysis of Dust Explosion Venting Efficiency</w:t>
      </w:r>
    </w:p>
    <w:p w14:paraId="0488FED2" w14:textId="0C81335F" w:rsidR="00B57E6F" w:rsidRPr="008E72AB" w:rsidRDefault="00863B98" w:rsidP="00B57E6F">
      <w:pPr>
        <w:pStyle w:val="CETAuthors"/>
        <w:rPr>
          <w:lang w:val="en-US"/>
        </w:rPr>
      </w:pPr>
      <w:r w:rsidRPr="008E72AB">
        <w:rPr>
          <w:lang w:val="en-US"/>
        </w:rPr>
        <w:t>Lorenz R. Boeck</w:t>
      </w:r>
      <w:r w:rsidR="00B57E6F" w:rsidRPr="008E72AB">
        <w:rPr>
          <w:vertAlign w:val="superscript"/>
          <w:lang w:val="en-US"/>
        </w:rPr>
        <w:t>a</w:t>
      </w:r>
      <w:r w:rsidRPr="008E72AB">
        <w:rPr>
          <w:vertAlign w:val="superscript"/>
          <w:lang w:val="en-US"/>
        </w:rPr>
        <w:t>,</w:t>
      </w:r>
      <w:r w:rsidRPr="008E72AB">
        <w:rPr>
          <w:lang w:val="en-US"/>
        </w:rPr>
        <w:t>*</w:t>
      </w:r>
      <w:r w:rsidR="00B57E6F" w:rsidRPr="008E72AB">
        <w:rPr>
          <w:lang w:val="en-US"/>
        </w:rPr>
        <w:t xml:space="preserve">, </w:t>
      </w:r>
      <w:r w:rsidRPr="008E72AB">
        <w:rPr>
          <w:lang w:val="en-US"/>
        </w:rPr>
        <w:t>Marius Bloching</w:t>
      </w:r>
      <w:r w:rsidR="00B57E6F" w:rsidRPr="008E72AB">
        <w:rPr>
          <w:vertAlign w:val="superscript"/>
          <w:lang w:val="en-US"/>
        </w:rPr>
        <w:t>b</w:t>
      </w:r>
    </w:p>
    <w:p w14:paraId="6B2D21B3" w14:textId="24A4AB08" w:rsidR="00B57E6F" w:rsidRPr="00103697" w:rsidRDefault="00B57E6F" w:rsidP="00B57E6F">
      <w:pPr>
        <w:pStyle w:val="CETAddress"/>
        <w:rPr>
          <w:lang w:val="en-US"/>
        </w:rPr>
      </w:pPr>
      <w:r w:rsidRPr="00103697">
        <w:rPr>
          <w:vertAlign w:val="superscript"/>
          <w:lang w:val="en-US"/>
        </w:rPr>
        <w:t>a</w:t>
      </w:r>
      <w:r w:rsidR="009D1092" w:rsidRPr="00103697">
        <w:rPr>
          <w:lang w:val="en-US"/>
        </w:rPr>
        <w:t>REMBE</w:t>
      </w:r>
      <w:r w:rsidR="009D1092" w:rsidRPr="00103697">
        <w:rPr>
          <w:vertAlign w:val="superscript"/>
          <w:lang w:val="en-US"/>
        </w:rPr>
        <w:t>®</w:t>
      </w:r>
      <w:r w:rsidR="009D1092" w:rsidRPr="00103697">
        <w:rPr>
          <w:lang w:val="en-US"/>
        </w:rPr>
        <w:t xml:space="preserve"> Inc., </w:t>
      </w:r>
      <w:r w:rsidR="00D576FB" w:rsidRPr="00103697">
        <w:rPr>
          <w:lang w:val="en-US"/>
        </w:rPr>
        <w:t xml:space="preserve">9567 Yarborough Rd, </w:t>
      </w:r>
      <w:r w:rsidR="009D1092" w:rsidRPr="00103697">
        <w:rPr>
          <w:lang w:val="en-US"/>
        </w:rPr>
        <w:t>Fort Mill, S</w:t>
      </w:r>
      <w:r w:rsidR="00D24FBE" w:rsidRPr="00103697">
        <w:rPr>
          <w:lang w:val="en-US"/>
        </w:rPr>
        <w:t>outh Carolina</w:t>
      </w:r>
      <w:r w:rsidR="009D1092" w:rsidRPr="00103697">
        <w:rPr>
          <w:lang w:val="en-US"/>
        </w:rPr>
        <w:t>, USA</w:t>
      </w:r>
      <w:r w:rsidRPr="00103697">
        <w:rPr>
          <w:lang w:val="en-US"/>
        </w:rPr>
        <w:t xml:space="preserve"> </w:t>
      </w:r>
    </w:p>
    <w:p w14:paraId="3D72B0B0" w14:textId="4FA8F27D" w:rsidR="00B57E6F" w:rsidRPr="009D1092" w:rsidRDefault="00B57E6F" w:rsidP="00B57E6F">
      <w:pPr>
        <w:pStyle w:val="CETAddress"/>
        <w:rPr>
          <w:lang w:val="en-US"/>
        </w:rPr>
      </w:pPr>
      <w:r w:rsidRPr="00B57B36">
        <w:rPr>
          <w:vertAlign w:val="superscript"/>
        </w:rPr>
        <w:t>b</w:t>
      </w:r>
      <w:r w:rsidR="009D1092" w:rsidRPr="009D1092">
        <w:rPr>
          <w:lang w:val="en-US"/>
        </w:rPr>
        <w:t>REMBE</w:t>
      </w:r>
      <w:r w:rsidR="009D1092" w:rsidRPr="009D1092">
        <w:rPr>
          <w:vertAlign w:val="superscript"/>
          <w:lang w:val="en-US"/>
        </w:rPr>
        <w:t>®</w:t>
      </w:r>
      <w:r w:rsidR="009D1092" w:rsidRPr="009D1092">
        <w:rPr>
          <w:lang w:val="en-US"/>
        </w:rPr>
        <w:t xml:space="preserve"> GmbH Safety + Control,</w:t>
      </w:r>
      <w:r w:rsidR="009D1092">
        <w:rPr>
          <w:lang w:val="en-US"/>
        </w:rPr>
        <w:t xml:space="preserve"> </w:t>
      </w:r>
      <w:r w:rsidR="006B2AA7">
        <w:rPr>
          <w:lang w:val="en-US"/>
        </w:rPr>
        <w:t xml:space="preserve">Zur Heide 35, </w:t>
      </w:r>
      <w:r w:rsidR="009D1092">
        <w:rPr>
          <w:lang w:val="en-US"/>
        </w:rPr>
        <w:t>Brilon, Germany</w:t>
      </w:r>
    </w:p>
    <w:p w14:paraId="73F1267A" w14:textId="7AAEF19D" w:rsidR="00B57E6F" w:rsidRPr="00B57B36" w:rsidRDefault="00B57E6F" w:rsidP="00B57E6F">
      <w:pPr>
        <w:pStyle w:val="CETemail"/>
      </w:pPr>
      <w:r>
        <w:t xml:space="preserve"> </w:t>
      </w:r>
      <w:r w:rsidR="00863B98">
        <w:t>lorenz.boeck</w:t>
      </w:r>
      <w:r w:rsidRPr="00B57B36">
        <w:t>@</w:t>
      </w:r>
      <w:r w:rsidR="00863B98">
        <w:t>rembe.us</w:t>
      </w:r>
    </w:p>
    <w:p w14:paraId="03CEA04C" w14:textId="4BDA25B3" w:rsidR="00C52C3C" w:rsidRDefault="0093389B" w:rsidP="000F1AD7">
      <w:pPr>
        <w:pStyle w:val="CETBodytext"/>
      </w:pPr>
      <w:r>
        <w:t>Explosion vents represent a crucial passive explosion protection solution, distinguished by their simplicity, reliability, and cost-effectiveness. Accurate vent sizing is paramount for effective protection, with current engineering standards like NFPA 68 and EN 14491 incorporating effects including venting device efficiency—typically defined as the ratio of effective to geometric vent areas. Despite the universal physics underlying venting device performance, existing standards employ divergent methodological approaches, leading to significant variations in calculated vent area requirements.</w:t>
      </w:r>
      <w:r w:rsidR="00E1453F">
        <w:t xml:space="preserve"> </w:t>
      </w:r>
      <w:r>
        <w:t xml:space="preserve">This research </w:t>
      </w:r>
      <w:r w:rsidR="00427E5C">
        <w:t>revisits</w:t>
      </w:r>
      <w:r>
        <w:t xml:space="preserve"> the understanding of deflagration venting device efficiency by integrating physics-based models for vented dust deflagrations with kinetic models of vent panel response. </w:t>
      </w:r>
      <w:r w:rsidR="00A97081">
        <w:t>T</w:t>
      </w:r>
      <w:r>
        <w:t xml:space="preserve">he physics-based model is compared against established engineering equations, demonstrating efficiency trends across application parameters. The study shows how device efficiency approaches 100% under specific </w:t>
      </w:r>
      <w:r w:rsidR="005538FD">
        <w:t xml:space="preserve">scenarios, </w:t>
      </w:r>
      <w:r>
        <w:t>particularly in large volumes with low reactivity. By emphasizing realistic explosion dynamics in modeling, this research contributes refinements to understanding deflagration vent performance and provides a path for unified incorporation of venting efficiency effects into international codes and standards.</w:t>
      </w:r>
    </w:p>
    <w:p w14:paraId="13EA665E" w14:textId="77777777" w:rsidR="00501167" w:rsidRPr="00B57B36" w:rsidRDefault="00501167" w:rsidP="00501167">
      <w:pPr>
        <w:pStyle w:val="CETHeading1"/>
        <w:rPr>
          <w:lang w:val="en-GB"/>
        </w:rPr>
      </w:pPr>
      <w:r w:rsidRPr="00B57B36">
        <w:rPr>
          <w:lang w:val="en-GB"/>
        </w:rPr>
        <w:t>Introduction</w:t>
      </w:r>
    </w:p>
    <w:p w14:paraId="28E8379D" w14:textId="77777777" w:rsidR="00C52C3C" w:rsidRDefault="00C52C3C" w:rsidP="00E65B91">
      <w:pPr>
        <w:pStyle w:val="CETReferencetext"/>
      </w:pPr>
    </w:p>
    <w:p w14:paraId="3A1126B1" w14:textId="272C6723" w:rsidR="00ED432D" w:rsidRDefault="00F017D9" w:rsidP="00F017D9">
      <w:pPr>
        <w:pStyle w:val="CETBodytext"/>
      </w:pPr>
      <w:r w:rsidRPr="00F017D9">
        <w:t xml:space="preserve">Deflagration venting remains the most widely adopted </w:t>
      </w:r>
      <w:r w:rsidR="00FB4DEF">
        <w:t>explosion mitigation</w:t>
      </w:r>
      <w:r w:rsidRPr="00F017D9">
        <w:t xml:space="preserve"> strategy for industrial equipment due to its </w:t>
      </w:r>
      <w:r w:rsidR="00D76789">
        <w:t xml:space="preserve">simplicity, </w:t>
      </w:r>
      <w:r w:rsidRPr="00F017D9">
        <w:t>reliability and cost-effectiveness. Central to the design of these systems is the accurate determination of the required vent area, which is governed by engineering standards such as NFPA 68</w:t>
      </w:r>
      <w:r w:rsidR="00552957">
        <w:t xml:space="preserve"> or</w:t>
      </w:r>
      <w:r w:rsidRPr="00F017D9">
        <w:t xml:space="preserve"> </w:t>
      </w:r>
      <w:r w:rsidR="00B41FAB">
        <w:br/>
      </w:r>
      <w:r w:rsidRPr="00F017D9">
        <w:t>EN 14491</w:t>
      </w:r>
      <w:r w:rsidR="00552957">
        <w:t xml:space="preserve"> for combustible dust applications</w:t>
      </w:r>
      <w:r w:rsidRPr="00F017D9">
        <w:t>. These standards must account for venting efficiency (E</w:t>
      </w:r>
      <w:r w:rsidRPr="00EB37D7">
        <w:t>f</w:t>
      </w:r>
      <w:r w:rsidRPr="00F017D9">
        <w:t>), defined as the ratio of a device’s effective vent area (A</w:t>
      </w:r>
      <w:r w:rsidR="00ED432D" w:rsidRPr="00ED432D">
        <w:rPr>
          <w:vertAlign w:val="subscript"/>
        </w:rPr>
        <w:t>E</w:t>
      </w:r>
      <w:r w:rsidRPr="00F017D9">
        <w:t>) to its geometric area (A</w:t>
      </w:r>
      <w:r w:rsidRPr="00ED432D">
        <w:rPr>
          <w:vertAlign w:val="subscript"/>
        </w:rPr>
        <w:t>d</w:t>
      </w:r>
      <w:r w:rsidRPr="00F017D9">
        <w:t>). This efficiency quantifies how a practical venting device, such as a hinged panel, deviates from an idealized, inertia-free membrane.</w:t>
      </w:r>
    </w:p>
    <w:p w14:paraId="610E248D" w14:textId="77777777" w:rsidR="000D499D" w:rsidRDefault="000D499D" w:rsidP="00F017D9">
      <w:pPr>
        <w:pStyle w:val="CETBodytext"/>
      </w:pPr>
    </w:p>
    <w:p w14:paraId="6FAA4342" w14:textId="359D3321" w:rsidR="00C52C3C" w:rsidRDefault="00F017D9" w:rsidP="00F017D9">
      <w:pPr>
        <w:pStyle w:val="CETBodytext"/>
      </w:pPr>
      <w:r w:rsidRPr="00F017D9">
        <w:t>Currently, a significant methodological rift exists between international standards. The European approach</w:t>
      </w:r>
      <w:r w:rsidR="007D5F83">
        <w:t xml:space="preserve"> for determining efficiency</w:t>
      </w:r>
      <w:r w:rsidRPr="00F017D9">
        <w:t xml:space="preserve"> (EN 14797) relies on experimental large-scale tests, which </w:t>
      </w:r>
      <w:r w:rsidR="003127DA">
        <w:t>can</w:t>
      </w:r>
      <w:r w:rsidRPr="00F017D9">
        <w:t xml:space="preserve"> suffer from high scatter and limited repeatability</w:t>
      </w:r>
      <w:r w:rsidR="00B24A23">
        <w:t xml:space="preserve"> and is limited to a specific range of test conditions</w:t>
      </w:r>
      <w:r w:rsidRPr="00F017D9">
        <w:t xml:space="preserve">. Conversely, the US standard </w:t>
      </w:r>
      <w:r w:rsidR="00FB383A">
        <w:br/>
      </w:r>
      <w:r w:rsidRPr="00F017D9">
        <w:t>(NFPA 68) utilizes empirical correlations to account for mass inertia</w:t>
      </w:r>
      <w:r w:rsidR="00576DAB">
        <w:t xml:space="preserve"> rather than relying on testing</w:t>
      </w:r>
      <w:r w:rsidRPr="00F017D9">
        <w:t xml:space="preserve">. These differing philosophies result in inconsistent efficiency values </w:t>
      </w:r>
      <w:r w:rsidR="003127DA">
        <w:t xml:space="preserve">applied </w:t>
      </w:r>
      <w:r w:rsidRPr="00F017D9">
        <w:t xml:space="preserve">for identical </w:t>
      </w:r>
      <w:r w:rsidR="005A340B">
        <w:t>venting devices</w:t>
      </w:r>
      <w:r w:rsidR="00E01753">
        <w:t xml:space="preserve"> and applications</w:t>
      </w:r>
      <w:r w:rsidRPr="00F017D9">
        <w:t xml:space="preserve">. As </w:t>
      </w:r>
      <w:r w:rsidR="001863A8" w:rsidRPr="00F017D9">
        <w:t>industry</w:t>
      </w:r>
      <w:r w:rsidRPr="00F017D9">
        <w:t xml:space="preserve"> moves toward international harmonization (e.g., ISO 80079:50), there is a need for a unified</w:t>
      </w:r>
      <w:r w:rsidR="007E00C7">
        <w:t xml:space="preserve"> and </w:t>
      </w:r>
      <w:r w:rsidR="00DA599B">
        <w:t xml:space="preserve">physically </w:t>
      </w:r>
      <w:r w:rsidR="007E00C7">
        <w:t xml:space="preserve">sound </w:t>
      </w:r>
      <w:r w:rsidRPr="00F017D9">
        <w:t xml:space="preserve">framework that accurately </w:t>
      </w:r>
      <w:r w:rsidR="001D2992">
        <w:t>determine</w:t>
      </w:r>
      <w:r w:rsidR="00C15AE9">
        <w:t>s</w:t>
      </w:r>
      <w:r w:rsidR="001D2992">
        <w:t xml:space="preserve"> venting efficienc</w:t>
      </w:r>
      <w:r w:rsidR="00A42C49">
        <w:t>ies</w:t>
      </w:r>
      <w:r w:rsidR="001D2992">
        <w:t xml:space="preserve"> for a wide range of application conditions</w:t>
      </w:r>
      <w:r w:rsidR="00AF5C40">
        <w:t xml:space="preserve"> and devices.</w:t>
      </w:r>
    </w:p>
    <w:p w14:paraId="02044E3D" w14:textId="77777777" w:rsidR="000D499D" w:rsidRDefault="000D499D" w:rsidP="00F017D9">
      <w:pPr>
        <w:pStyle w:val="CETBodytext"/>
      </w:pPr>
    </w:p>
    <w:p w14:paraId="516264B3" w14:textId="591AB7FB" w:rsidR="000C26E0" w:rsidRDefault="00B86736" w:rsidP="00F017D9">
      <w:pPr>
        <w:pStyle w:val="CETBodytext"/>
      </w:pPr>
      <w:r>
        <w:rPr>
          <w:lang w:val="en-GB"/>
        </w:rPr>
        <w:t>T</w:t>
      </w:r>
      <w:r w:rsidR="000C26E0" w:rsidRPr="000C26E0">
        <w:rPr>
          <w:lang w:val="en-GB"/>
        </w:rPr>
        <w:t xml:space="preserve">his research develops a </w:t>
      </w:r>
      <w:r>
        <w:rPr>
          <w:lang w:val="en-GB"/>
        </w:rPr>
        <w:t>physics-based</w:t>
      </w:r>
      <w:r w:rsidR="000C26E0" w:rsidRPr="000C26E0">
        <w:rPr>
          <w:lang w:val="en-GB"/>
        </w:rPr>
        <w:t xml:space="preserve"> theoretical framework</w:t>
      </w:r>
      <w:r w:rsidR="000C26E0">
        <w:rPr>
          <w:lang w:val="en-GB"/>
        </w:rPr>
        <w:t xml:space="preserve"> for describing venting device efficiency</w:t>
      </w:r>
      <w:r w:rsidR="000C26E0" w:rsidRPr="000C26E0">
        <w:rPr>
          <w:lang w:val="en-GB"/>
        </w:rPr>
        <w:t xml:space="preserve">. By integrating a </w:t>
      </w:r>
      <w:r w:rsidR="00E020B7">
        <w:rPr>
          <w:lang w:val="en-GB"/>
        </w:rPr>
        <w:t>state-of-the-art</w:t>
      </w:r>
      <w:r w:rsidR="000C26E0" w:rsidRPr="000C26E0">
        <w:rPr>
          <w:lang w:val="en-GB"/>
        </w:rPr>
        <w:t xml:space="preserve"> dust explosion model with a kinetic vent response model, we evaluate the impact of explosion dynamics, mechanical inertia, and application scaling. This physics-based approach provides a path for harmonizing international codes by emphasizing realistic interaction between combustion and mechanical deployment</w:t>
      </w:r>
      <w:r>
        <w:rPr>
          <w:lang w:val="en-GB"/>
        </w:rPr>
        <w:t>.</w:t>
      </w:r>
    </w:p>
    <w:p w14:paraId="09E874D1" w14:textId="083E31EA" w:rsidR="00F017D9" w:rsidRDefault="008E09EF" w:rsidP="00F017D9">
      <w:pPr>
        <w:pStyle w:val="CETHeading1"/>
      </w:pPr>
      <w:r>
        <w:lastRenderedPageBreak/>
        <w:t>Physics-based</w:t>
      </w:r>
      <w:r w:rsidR="00DE6D85">
        <w:t xml:space="preserve"> </w:t>
      </w:r>
      <w:r w:rsidR="00F017D9">
        <w:t>Model Description</w:t>
      </w:r>
    </w:p>
    <w:p w14:paraId="19A86067" w14:textId="3CDF9DE8" w:rsidR="00F017D9" w:rsidRDefault="00F62D03" w:rsidP="00F017D9">
      <w:pPr>
        <w:pStyle w:val="CETBodytext"/>
      </w:pPr>
      <w:r w:rsidRPr="00F62D03">
        <w:t xml:space="preserve">The model employed in this study integrates two distinct physical domains: the </w:t>
      </w:r>
      <w:r w:rsidR="00C534CE">
        <w:t>dynamics</w:t>
      </w:r>
      <w:r w:rsidRPr="00F62D03">
        <w:t xml:space="preserve"> of </w:t>
      </w:r>
      <w:r w:rsidR="00C534CE">
        <w:t xml:space="preserve">vented </w:t>
      </w:r>
      <w:r w:rsidRPr="00F62D03">
        <w:t>dust deflagration</w:t>
      </w:r>
      <w:r w:rsidR="007E1FF8">
        <w:t>s</w:t>
      </w:r>
      <w:r w:rsidRPr="00F62D03">
        <w:t xml:space="preserve"> and the mechanical kinetics of the venting device.</w:t>
      </w:r>
      <w:r w:rsidR="00C534CE">
        <w:t xml:space="preserve"> </w:t>
      </w:r>
      <w:r w:rsidRPr="00F62D03">
        <w:t xml:space="preserve">This approach builds upon the framework </w:t>
      </w:r>
      <w:r w:rsidR="00EB3C1B">
        <w:t>introduced</w:t>
      </w:r>
      <w:r w:rsidRPr="00F62D03">
        <w:t xml:space="preserve"> in Boeck </w:t>
      </w:r>
      <w:r w:rsidR="006360C4">
        <w:t>and</w:t>
      </w:r>
      <w:r w:rsidRPr="00F62D03">
        <w:t xml:space="preserve"> Bloching (2026)</w:t>
      </w:r>
      <w:r w:rsidR="00C4162A">
        <w:t xml:space="preserve"> where detailed mathematical derivations are provided.</w:t>
      </w:r>
      <w:r w:rsidR="00EB3C1B">
        <w:t xml:space="preserve"> </w:t>
      </w:r>
    </w:p>
    <w:p w14:paraId="59418102" w14:textId="61DA1DA4" w:rsidR="00F62D03" w:rsidRDefault="00F62D03" w:rsidP="00F62D03">
      <w:pPr>
        <w:pStyle w:val="CETheadingx"/>
      </w:pPr>
      <w:r>
        <w:t>Dust Deflagration Dynamics</w:t>
      </w:r>
    </w:p>
    <w:p w14:paraId="02FDC8AD" w14:textId="7F4B23CC" w:rsidR="001639AA" w:rsidRDefault="005F02BF" w:rsidP="005F02BF">
      <w:pPr>
        <w:pStyle w:val="CETBodytext"/>
      </w:pPr>
      <w:r>
        <w:t xml:space="preserve">The </w:t>
      </w:r>
      <w:r w:rsidR="00AA3C09">
        <w:t xml:space="preserve">vented </w:t>
      </w:r>
      <w:r>
        <w:t>explosion is modeled using a mass-balance approach for burned and unburned mixtures, solved numerically via a Runge-</w:t>
      </w:r>
      <w:r w:rsidR="00D51C03">
        <w:t>Kutti</w:t>
      </w:r>
      <w:r>
        <w:t xml:space="preserve"> method</w:t>
      </w:r>
      <w:r w:rsidR="00655955">
        <w:t xml:space="preserve"> (Boeck et al., 2023)</w:t>
      </w:r>
      <w:r>
        <w:t xml:space="preserve">. </w:t>
      </w:r>
    </w:p>
    <w:p w14:paraId="20BA561D" w14:textId="77777777" w:rsidR="001639AA" w:rsidRDefault="001639AA" w:rsidP="005F02BF">
      <w:pPr>
        <w:pStyle w:val="CETBodytext"/>
      </w:pPr>
    </w:p>
    <w:p w14:paraId="1D6CE4A9" w14:textId="5C429FEA" w:rsidR="00E46F84" w:rsidRDefault="005F02BF" w:rsidP="005F02BF">
      <w:pPr>
        <w:pStyle w:val="CETBodytext"/>
      </w:pPr>
      <w:r>
        <w:t>Unlike "thin-flame" models that assume an infinitesimally thin reaction zone, this model utilizes a two-parameter combustion framework</w:t>
      </w:r>
      <w:r w:rsidR="00655955">
        <w:t xml:space="preserve"> (Bauwens et al., 2024)</w:t>
      </w:r>
      <w:r>
        <w:t>. This approach characterizes the process through:</w:t>
      </w:r>
    </w:p>
    <w:p w14:paraId="00AE5514" w14:textId="77777777" w:rsidR="00655955" w:rsidRDefault="00655955" w:rsidP="005F02BF">
      <w:pPr>
        <w:pStyle w:val="CETBodytext"/>
      </w:pPr>
    </w:p>
    <w:p w14:paraId="0A665024" w14:textId="46A88BDF" w:rsidR="005F02BF" w:rsidRDefault="005F02BF" w:rsidP="00E46F84">
      <w:pPr>
        <w:pStyle w:val="CETBodytext"/>
        <w:numPr>
          <w:ilvl w:val="0"/>
          <w:numId w:val="26"/>
        </w:numPr>
      </w:pPr>
      <w:r>
        <w:t>Turbulent Burning Velocity (S</w:t>
      </w:r>
      <w:r w:rsidR="0035491E" w:rsidRPr="0035491E">
        <w:rPr>
          <w:vertAlign w:val="subscript"/>
        </w:rPr>
        <w:t>T</w:t>
      </w:r>
      <w:r>
        <w:t>): The flame front expands spherically from a central ignition point. The velocity increases as a function of flame radius (r</w:t>
      </w:r>
      <w:r w:rsidR="0035491E" w:rsidRPr="0035491E">
        <w:rPr>
          <w:vertAlign w:val="subscript"/>
        </w:rPr>
        <w:t>f</w:t>
      </w:r>
      <w:r>
        <w:t>) due to interactions with growing turbulent length scales, reaching a maximum (S</w:t>
      </w:r>
      <w:r w:rsidRPr="0035491E">
        <w:rPr>
          <w:vertAlign w:val="subscript"/>
        </w:rPr>
        <w:t>T,R</w:t>
      </w:r>
      <w:r>
        <w:t>) at the vessel wall:</w:t>
      </w:r>
    </w:p>
    <w:p w14:paraId="1ADA74CF" w14:textId="77777777" w:rsidR="00AB5C65" w:rsidRDefault="00AB5C65" w:rsidP="00AB5C65">
      <w:pPr>
        <w:pStyle w:val="CETBodytext"/>
        <w:ind w:left="720"/>
      </w:pPr>
    </w:p>
    <w:tbl>
      <w:tblPr>
        <w:tblW w:w="5000" w:type="pct"/>
        <w:tblLook w:val="04A0" w:firstRow="1" w:lastRow="0" w:firstColumn="1" w:lastColumn="0" w:noHBand="0" w:noVBand="1"/>
      </w:tblPr>
      <w:tblGrid>
        <w:gridCol w:w="7983"/>
        <w:gridCol w:w="804"/>
      </w:tblGrid>
      <w:tr w:rsidR="00AB5C65" w:rsidRPr="00B57B36" w14:paraId="70AA4C04" w14:textId="77777777" w:rsidTr="00223EFA">
        <w:tc>
          <w:tcPr>
            <w:tcW w:w="8188" w:type="dxa"/>
            <w:vAlign w:val="center"/>
          </w:tcPr>
          <w:p w14:paraId="04F1CE5A" w14:textId="7F93D045" w:rsidR="00AB5C65" w:rsidRPr="00B6017C" w:rsidRDefault="00000000" w:rsidP="00A949EF">
            <w:pPr>
              <w:pStyle w:val="CETBodytext"/>
              <w:ind w:left="250" w:hanging="250"/>
            </w:pPr>
            <m:oMathPara>
              <m:oMathParaPr>
                <m:jc m:val="left"/>
              </m:oMathParaPr>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T,R</m:t>
                    </m:r>
                  </m:sub>
                </m:sSub>
                <m:sSup>
                  <m:sSupPr>
                    <m:ctrlPr>
                      <w:rPr>
                        <w:rFonts w:ascii="Cambria Math" w:hAnsi="Cambria Math"/>
                        <w:i/>
                      </w:rPr>
                    </m:ctrlPr>
                  </m:sSupPr>
                  <m:e>
                    <m:d>
                      <m:dPr>
                        <m:ctrlPr>
                          <w:rPr>
                            <w:rFonts w:ascii="Cambria Math" w:hAnsi="Cambria Math"/>
                          </w:rPr>
                        </m:ctrlPr>
                      </m:dPr>
                      <m:e>
                        <m:f>
                          <m:fPr>
                            <m:ctrlPr>
                              <w:rPr>
                                <w:rFonts w:ascii="Cambria Math" w:hAnsi="Cambria Math"/>
                              </w:rPr>
                            </m:ctrlPr>
                          </m:fPr>
                          <m:num>
                            <m:sSub>
                              <m:sSubPr>
                                <m:ctrlPr>
                                  <w:rPr>
                                    <w:rFonts w:ascii="Cambria Math" w:hAnsi="Cambria Math"/>
                                    <w:i/>
                                  </w:rPr>
                                </m:ctrlPr>
                              </m:sSubPr>
                              <m:e>
                                <m:r>
                                  <w:rPr>
                                    <w:rFonts w:ascii="Cambria Math" w:hAnsi="Cambria Math"/>
                                  </w:rPr>
                                  <m:t>r</m:t>
                                </m:r>
                              </m:e>
                              <m:sub>
                                <m:r>
                                  <w:rPr>
                                    <w:rFonts w:ascii="Cambria Math" w:hAnsi="Cambria Math"/>
                                  </w:rPr>
                                  <m:t>f</m:t>
                                </m:r>
                              </m:sub>
                            </m:sSub>
                            <m:ctrlPr>
                              <w:rPr>
                                <w:rFonts w:ascii="Cambria Math" w:hAnsi="Cambria Math"/>
                                <w:i/>
                              </w:rPr>
                            </m:ctrlPr>
                          </m:num>
                          <m:den>
                            <m:r>
                              <w:rPr>
                                <w:rFonts w:ascii="Cambria Math" w:hAnsi="Cambria Math"/>
                              </w:rPr>
                              <m:t>R</m:t>
                            </m:r>
                            <m:ctrlPr>
                              <w:rPr>
                                <w:rFonts w:ascii="Cambria Math" w:hAnsi="Cambria Math"/>
                                <w:i/>
                              </w:rPr>
                            </m:ctrlPr>
                          </m:den>
                        </m:f>
                        <m:ctrlPr>
                          <w:rPr>
                            <w:rFonts w:ascii="Cambria Math" w:hAnsi="Cambria Math"/>
                            <w:i/>
                          </w:rPr>
                        </m:ctrlPr>
                      </m:e>
                    </m:d>
                  </m:e>
                  <m:sup>
                    <m:r>
                      <w:rPr>
                        <w:rFonts w:ascii="Cambria Math" w:hAnsi="Cambria Math"/>
                      </w:rPr>
                      <m:t>1</m:t>
                    </m:r>
                    <m:r>
                      <m:rPr>
                        <m:lit/>
                      </m:rPr>
                      <w:rPr>
                        <w:rFonts w:ascii="Cambria Math" w:hAnsi="Cambria Math"/>
                      </w:rPr>
                      <m:t>/</m:t>
                    </m:r>
                    <m:r>
                      <w:rPr>
                        <w:rFonts w:ascii="Cambria Math" w:hAnsi="Cambria Math"/>
                      </w:rPr>
                      <m:t>3</m:t>
                    </m:r>
                  </m:sup>
                </m:sSup>
              </m:oMath>
            </m:oMathPara>
          </w:p>
        </w:tc>
        <w:tc>
          <w:tcPr>
            <w:tcW w:w="815" w:type="dxa"/>
            <w:vAlign w:val="center"/>
          </w:tcPr>
          <w:p w14:paraId="4B860CEA" w14:textId="37870FBC" w:rsidR="00AB5C65" w:rsidRPr="00B57B36" w:rsidRDefault="00AB5C65" w:rsidP="00223EFA">
            <w:pPr>
              <w:pStyle w:val="CETEquation"/>
              <w:jc w:val="right"/>
            </w:pPr>
            <w:r w:rsidRPr="00B57B36">
              <w:t>(</w:t>
            </w:r>
            <w:r w:rsidR="00A04B7F">
              <w:t>1</w:t>
            </w:r>
            <w:r w:rsidRPr="00B57B36">
              <w:t>)</w:t>
            </w:r>
          </w:p>
        </w:tc>
      </w:tr>
    </w:tbl>
    <w:p w14:paraId="785E6479" w14:textId="77777777" w:rsidR="0035491E" w:rsidRDefault="0035491E" w:rsidP="005F02BF">
      <w:pPr>
        <w:pStyle w:val="CETBodytext"/>
      </w:pPr>
    </w:p>
    <w:p w14:paraId="3D96B131" w14:textId="52E31F3A" w:rsidR="00F10525" w:rsidRDefault="005F02BF" w:rsidP="001E26A2">
      <w:pPr>
        <w:pStyle w:val="CETBodytext"/>
        <w:numPr>
          <w:ilvl w:val="0"/>
          <w:numId w:val="26"/>
        </w:numPr>
      </w:pPr>
      <w:r>
        <w:t xml:space="preserve">Diffusion-Limited Combustion: </w:t>
      </w:r>
      <w:r w:rsidR="00FF2657">
        <w:t xml:space="preserve">Organic dusts typically combust according to homogeneous combustion, where oxygen diffusion and mixing with pyrolysis products, and potentially heat transfer, control the rate of reaction. The present model implements </w:t>
      </w:r>
      <w:r>
        <w:t>oxygen diffusion</w:t>
      </w:r>
      <w:r w:rsidR="00FF2657">
        <w:t xml:space="preserve"> as the </w:t>
      </w:r>
      <w:r w:rsidR="004F2DAE">
        <w:t xml:space="preserve">dominant </w:t>
      </w:r>
      <w:r w:rsidR="00FF2657">
        <w:t>rate-limiting mechanism</w:t>
      </w:r>
      <w:r w:rsidR="004F2DAE">
        <w:t>, which is captured</w:t>
      </w:r>
      <w:r>
        <w:t xml:space="preserve"> by the dimensionless parameter </w:t>
      </w:r>
      <m:oMath>
        <m:r>
          <w:rPr>
            <w:rFonts w:ascii="Cambria Math" w:hAnsi="Cambria Math"/>
          </w:rPr>
          <m:t>χ</m:t>
        </m:r>
      </m:oMath>
      <w:r>
        <w:t xml:space="preserve">, representing the ratio of characteristic oxygen diffusion time to combustion time. For dusts </w:t>
      </w:r>
      <w:r w:rsidR="00704D62">
        <w:t>such as</w:t>
      </w:r>
      <w:r>
        <w:t xml:space="preserve"> cornstarch,</w:t>
      </w:r>
      <w:r w:rsidR="001A16FF">
        <w:t xml:space="preserve"> for example,</w:t>
      </w:r>
      <w:r>
        <w:t xml:space="preserve"> </w:t>
      </w:r>
      <m:oMath>
        <m:r>
          <w:rPr>
            <w:rFonts w:ascii="Cambria Math" w:hAnsi="Cambria Math"/>
          </w:rPr>
          <m:t>χ≈0.12</m:t>
        </m:r>
      </m:oMath>
      <w:r>
        <w:t xml:space="preserve"> accurately reproduces pressure histories in closed vessels.</w:t>
      </w:r>
    </w:p>
    <w:p w14:paraId="2345508B" w14:textId="77777777" w:rsidR="00107953" w:rsidRDefault="00107953" w:rsidP="00107953">
      <w:pPr>
        <w:pStyle w:val="CETBodytext"/>
        <w:ind w:left="360"/>
      </w:pPr>
    </w:p>
    <w:tbl>
      <w:tblPr>
        <w:tblW w:w="5000" w:type="pct"/>
        <w:tblLook w:val="04A0" w:firstRow="1" w:lastRow="0" w:firstColumn="1" w:lastColumn="0" w:noHBand="0" w:noVBand="1"/>
      </w:tblPr>
      <w:tblGrid>
        <w:gridCol w:w="7983"/>
        <w:gridCol w:w="804"/>
      </w:tblGrid>
      <w:tr w:rsidR="00107953" w:rsidRPr="00B57B36" w14:paraId="05377782" w14:textId="77777777" w:rsidTr="00223EFA">
        <w:tc>
          <w:tcPr>
            <w:tcW w:w="8188" w:type="dxa"/>
            <w:vAlign w:val="center"/>
          </w:tcPr>
          <w:p w14:paraId="60CAD1DF" w14:textId="6115CC12" w:rsidR="00107953" w:rsidRPr="00B6017C" w:rsidRDefault="002E608F" w:rsidP="00A949EF">
            <w:pPr>
              <w:pStyle w:val="CETBodytext"/>
              <w:ind w:left="250"/>
            </w:pPr>
            <m:oMathPara>
              <m:oMathParaPr>
                <m:jc m:val="left"/>
              </m:oMathParaPr>
              <m:oMath>
                <m:r>
                  <w:rPr>
                    <w:rFonts w:ascii="Cambria Math" w:hAnsi="Cambria Math"/>
                    <w:color w:val="000000" w:themeColor="text1"/>
                    <w:lang w:eastAsia="zh-CN"/>
                  </w:rPr>
                  <m:t>χ=</m:t>
                </m:r>
                <m:f>
                  <m:fPr>
                    <m:ctrlPr>
                      <w:rPr>
                        <w:rFonts w:ascii="Cambria Math" w:hAnsi="Cambria Math"/>
                        <w:color w:val="000000" w:themeColor="text1"/>
                        <w:lang w:eastAsia="zh-CN"/>
                      </w:rPr>
                    </m:ctrlPr>
                  </m:fPr>
                  <m:num>
                    <m:r>
                      <w:rPr>
                        <w:rFonts w:ascii="Cambria Math" w:hAnsi="Cambria Math"/>
                        <w:color w:val="000000" w:themeColor="text1"/>
                        <w:lang w:eastAsia="zh-CN"/>
                      </w:rPr>
                      <m:t>τ</m:t>
                    </m:r>
                  </m:num>
                  <m:den>
                    <m:r>
                      <w:rPr>
                        <w:rFonts w:ascii="Cambria Math" w:hAnsi="Cambria Math"/>
                        <w:color w:val="000000" w:themeColor="text1"/>
                        <w:lang w:eastAsia="zh-CN"/>
                      </w:rPr>
                      <m:t>R/</m:t>
                    </m:r>
                    <m:sSub>
                      <m:sSubPr>
                        <m:ctrlPr>
                          <w:rPr>
                            <w:rFonts w:ascii="Cambria Math" w:hAnsi="Cambria Math"/>
                            <w:color w:val="000000" w:themeColor="text1"/>
                            <w:lang w:eastAsia="zh-CN"/>
                          </w:rPr>
                        </m:ctrlPr>
                      </m:sSubPr>
                      <m:e>
                        <m:r>
                          <w:rPr>
                            <w:rFonts w:ascii="Cambria Math" w:hAnsi="Cambria Math"/>
                            <w:color w:val="000000" w:themeColor="text1"/>
                            <w:lang w:eastAsia="zh-CN"/>
                          </w:rPr>
                          <m:t>S</m:t>
                        </m:r>
                      </m:e>
                      <m:sub>
                        <m:r>
                          <w:rPr>
                            <w:rFonts w:ascii="Cambria Math" w:hAnsi="Cambria Math"/>
                            <w:color w:val="000000" w:themeColor="text1"/>
                            <w:lang w:eastAsia="zh-CN"/>
                          </w:rPr>
                          <m:t>T,R</m:t>
                        </m:r>
                      </m:sub>
                    </m:sSub>
                  </m:den>
                </m:f>
              </m:oMath>
            </m:oMathPara>
          </w:p>
        </w:tc>
        <w:tc>
          <w:tcPr>
            <w:tcW w:w="815" w:type="dxa"/>
            <w:vAlign w:val="center"/>
          </w:tcPr>
          <w:p w14:paraId="5FE23C7D" w14:textId="0F2EEE92" w:rsidR="00107953" w:rsidRPr="00B57B36" w:rsidRDefault="00107953" w:rsidP="00223EFA">
            <w:pPr>
              <w:pStyle w:val="CETEquation"/>
              <w:jc w:val="right"/>
            </w:pPr>
            <w:r w:rsidRPr="00B57B36">
              <w:t>(</w:t>
            </w:r>
            <w:r w:rsidR="00A04B7F">
              <w:t>2</w:t>
            </w:r>
            <w:r w:rsidRPr="00B57B36">
              <w:t>)</w:t>
            </w:r>
          </w:p>
        </w:tc>
      </w:tr>
    </w:tbl>
    <w:p w14:paraId="1C7CE2B8" w14:textId="77777777" w:rsidR="00F10525" w:rsidRDefault="00F10525" w:rsidP="00F10525">
      <w:pPr>
        <w:pStyle w:val="CETBodytext"/>
      </w:pPr>
    </w:p>
    <w:p w14:paraId="535505FE" w14:textId="0ADBEC73" w:rsidR="005F02BF" w:rsidRDefault="005F02BF" w:rsidP="00F10525">
      <w:pPr>
        <w:pStyle w:val="CETBodytext"/>
      </w:pPr>
      <w:r>
        <w:t>The 2-parameter model allows for physically correct scaling of the pressure rise rate (</w:t>
      </w:r>
      <w:proofErr w:type="spellStart"/>
      <w:r w:rsidR="00D51C03">
        <w:t>dp</w:t>
      </w:r>
      <w:proofErr w:type="spellEnd"/>
      <w:r>
        <w:t>/dt) across varying vessel volumes.</w:t>
      </w:r>
      <w:r w:rsidR="004E7CA6">
        <w:t xml:space="preserve"> </w:t>
      </w:r>
      <w:r w:rsidR="00A12F04">
        <w:t>A realistic</w:t>
      </w:r>
      <w:r>
        <w:t xml:space="preserve"> representation of the explosion </w:t>
      </w:r>
      <w:r w:rsidR="00F10525">
        <w:t>“</w:t>
      </w:r>
      <w:r w:rsidR="00A12F04">
        <w:t xml:space="preserve">pressure </w:t>
      </w:r>
      <w:r>
        <w:t xml:space="preserve">source term" is critical because the efficiency of the vent is not </w:t>
      </w:r>
      <w:r w:rsidR="00AF2869">
        <w:t>simply</w:t>
      </w:r>
      <w:r>
        <w:t xml:space="preserve"> a mechanical property—it is a result of the dynamic competition between the accelerating combustion rate and the inertia-limited opening of the vent panel</w:t>
      </w:r>
      <w:r w:rsidR="0035491E">
        <w:t>.</w:t>
      </w:r>
    </w:p>
    <w:p w14:paraId="601A0F8E" w14:textId="0555F86F" w:rsidR="0056608E" w:rsidRDefault="0056608E" w:rsidP="0056608E">
      <w:pPr>
        <w:pStyle w:val="CETheadingx"/>
      </w:pPr>
      <w:r>
        <w:t xml:space="preserve">Mechanical Vent </w:t>
      </w:r>
      <w:r w:rsidR="00B81E4A">
        <w:t xml:space="preserve">Panel </w:t>
      </w:r>
      <w:r>
        <w:t>Response</w:t>
      </w:r>
    </w:p>
    <w:p w14:paraId="33432845" w14:textId="101496B4" w:rsidR="00A60230" w:rsidRDefault="00A60230" w:rsidP="00A60230">
      <w:pPr>
        <w:pStyle w:val="CETBodytext"/>
      </w:pPr>
      <w:r w:rsidRPr="00A60230">
        <w:t xml:space="preserve">The venting device is modeled as a hinged rigid body where the opening </w:t>
      </w:r>
      <w:r w:rsidR="00354D09">
        <w:t>kinetics</w:t>
      </w:r>
      <w:r w:rsidRPr="00A60230">
        <w:t xml:space="preserve"> are governed by a second-order differential equation for rotational motion. This model calculates the instantaneous opening angle </w:t>
      </w:r>
      <m:oMath>
        <m:r>
          <m:rPr>
            <m:sty m:val="p"/>
          </m:rPr>
          <w:rPr>
            <w:rFonts w:ascii="Cambria Math" w:hAnsi="Cambria Math"/>
          </w:rPr>
          <m:t>θ</m:t>
        </m:r>
      </m:oMath>
      <w:r w:rsidRPr="00A60230">
        <w:t xml:space="preserve"> by evaluating the moment equilibrium between driving and resisting forces:</w:t>
      </w:r>
    </w:p>
    <w:p w14:paraId="40561C9A" w14:textId="77777777" w:rsidR="00801B43" w:rsidRDefault="00801B43" w:rsidP="00A60230">
      <w:pPr>
        <w:pStyle w:val="CETBodytext"/>
      </w:pPr>
    </w:p>
    <w:tbl>
      <w:tblPr>
        <w:tblW w:w="5000" w:type="pct"/>
        <w:tblLook w:val="04A0" w:firstRow="1" w:lastRow="0" w:firstColumn="1" w:lastColumn="0" w:noHBand="0" w:noVBand="1"/>
      </w:tblPr>
      <w:tblGrid>
        <w:gridCol w:w="7983"/>
        <w:gridCol w:w="804"/>
      </w:tblGrid>
      <w:tr w:rsidR="00801B43" w:rsidRPr="00B57B36" w14:paraId="2F73126A" w14:textId="77777777" w:rsidTr="00223EFA">
        <w:tc>
          <w:tcPr>
            <w:tcW w:w="8188" w:type="dxa"/>
            <w:vAlign w:val="center"/>
          </w:tcPr>
          <w:p w14:paraId="2EB7A9B2" w14:textId="596F1790" w:rsidR="00801B43" w:rsidRPr="00B6017C" w:rsidRDefault="00C36A6E" w:rsidP="00223EFA">
            <w:pPr>
              <w:pStyle w:val="CETBodytext"/>
            </w:pPr>
            <m:oMathPara>
              <m:oMathParaPr>
                <m:jc m:val="left"/>
              </m:oMathParaPr>
              <m:oMath>
                <m:r>
                  <w:rPr>
                    <w:rFonts w:ascii="Cambria Math" w:hAnsi="Cambria Math"/>
                    <w:color w:val="000000" w:themeColor="text1"/>
                    <w:lang w:eastAsia="zh-CN"/>
                  </w:rPr>
                  <m:t>I</m:t>
                </m:r>
                <m:f>
                  <m:fPr>
                    <m:ctrlPr>
                      <w:rPr>
                        <w:rFonts w:ascii="Cambria Math" w:hAnsi="Cambria Math"/>
                        <w:color w:val="000000" w:themeColor="text1"/>
                        <w:lang w:eastAsia="zh-CN"/>
                      </w:rPr>
                    </m:ctrlPr>
                  </m:fPr>
                  <m:num>
                    <m:sSup>
                      <m:sSupPr>
                        <m:ctrlPr>
                          <w:rPr>
                            <w:rFonts w:ascii="Cambria Math" w:hAnsi="Cambria Math"/>
                            <w:color w:val="000000" w:themeColor="text1"/>
                            <w:lang w:eastAsia="zh-CN"/>
                          </w:rPr>
                        </m:ctrlPr>
                      </m:sSupPr>
                      <m:e>
                        <m:r>
                          <w:rPr>
                            <w:rFonts w:ascii="Cambria Math" w:hAnsi="Cambria Math"/>
                            <w:color w:val="000000" w:themeColor="text1"/>
                            <w:lang w:eastAsia="zh-CN"/>
                          </w:rPr>
                          <m:t>d</m:t>
                        </m:r>
                      </m:e>
                      <m:sup>
                        <m:r>
                          <w:rPr>
                            <w:rFonts w:ascii="Cambria Math" w:hAnsi="Cambria Math"/>
                            <w:color w:val="000000" w:themeColor="text1"/>
                            <w:lang w:eastAsia="zh-CN"/>
                          </w:rPr>
                          <m:t>2</m:t>
                        </m:r>
                      </m:sup>
                    </m:sSup>
                    <m:r>
                      <w:rPr>
                        <w:rFonts w:ascii="Cambria Math" w:hAnsi="Cambria Math"/>
                        <w:color w:val="000000" w:themeColor="text1"/>
                        <w:lang w:eastAsia="zh-CN"/>
                      </w:rPr>
                      <m:t>θ</m:t>
                    </m:r>
                  </m:num>
                  <m:den>
                    <m:r>
                      <w:rPr>
                        <w:rFonts w:ascii="Cambria Math" w:hAnsi="Cambria Math"/>
                        <w:color w:val="000000" w:themeColor="text1"/>
                        <w:lang w:eastAsia="zh-CN"/>
                      </w:rPr>
                      <m:t>d</m:t>
                    </m:r>
                    <m:sSup>
                      <m:sSupPr>
                        <m:ctrlPr>
                          <w:rPr>
                            <w:rFonts w:ascii="Cambria Math" w:hAnsi="Cambria Math"/>
                            <w:color w:val="000000" w:themeColor="text1"/>
                            <w:lang w:eastAsia="zh-CN"/>
                          </w:rPr>
                        </m:ctrlPr>
                      </m:sSupPr>
                      <m:e>
                        <m:r>
                          <w:rPr>
                            <w:rFonts w:ascii="Cambria Math" w:hAnsi="Cambria Math"/>
                            <w:color w:val="000000" w:themeColor="text1"/>
                            <w:lang w:eastAsia="zh-CN"/>
                          </w:rPr>
                          <m:t>t</m:t>
                        </m:r>
                      </m:e>
                      <m:sup>
                        <m:r>
                          <w:rPr>
                            <w:rFonts w:ascii="Cambria Math" w:hAnsi="Cambria Math"/>
                            <w:color w:val="000000" w:themeColor="text1"/>
                            <w:lang w:eastAsia="zh-CN"/>
                          </w:rPr>
                          <m:t>2</m:t>
                        </m:r>
                      </m:sup>
                    </m:sSup>
                  </m:den>
                </m:f>
                <m:r>
                  <w:rPr>
                    <w:rFonts w:ascii="Cambria Math" w:hAnsi="Cambria Math"/>
                    <w:color w:val="000000" w:themeColor="text1"/>
                    <w:lang w:eastAsia="zh-CN"/>
                  </w:rPr>
                  <m:t>=</m:t>
                </m:r>
                <m:sSub>
                  <m:sSubPr>
                    <m:ctrlPr>
                      <w:rPr>
                        <w:rFonts w:ascii="Cambria Math" w:hAnsi="Cambria Math"/>
                        <w:color w:val="000000" w:themeColor="text1"/>
                        <w:lang w:eastAsia="zh-CN"/>
                      </w:rPr>
                    </m:ctrlPr>
                  </m:sSubPr>
                  <m:e>
                    <m:r>
                      <w:rPr>
                        <w:rFonts w:ascii="Cambria Math" w:hAnsi="Cambria Math"/>
                        <w:color w:val="000000" w:themeColor="text1"/>
                        <w:lang w:eastAsia="zh-CN"/>
                      </w:rPr>
                      <m:t>M</m:t>
                    </m:r>
                  </m:e>
                  <m:sub>
                    <m:r>
                      <m:rPr>
                        <m:nor/>
                      </m:rPr>
                      <w:rPr>
                        <w:rFonts w:ascii="Cambria Math"/>
                        <w:color w:val="000000" w:themeColor="text1"/>
                        <w:lang w:eastAsia="zh-CN"/>
                      </w:rPr>
                      <m:t>driving</m:t>
                    </m:r>
                  </m:sub>
                </m:sSub>
                <m:r>
                  <w:rPr>
                    <w:rFonts w:ascii="Cambria Math" w:hAnsi="Cambria Math"/>
                    <w:color w:val="000000" w:themeColor="text1"/>
                    <w:lang w:eastAsia="zh-CN"/>
                  </w:rPr>
                  <m:t>-</m:t>
                </m:r>
                <m:sSub>
                  <m:sSubPr>
                    <m:ctrlPr>
                      <w:rPr>
                        <w:rFonts w:ascii="Cambria Math" w:hAnsi="Cambria Math"/>
                        <w:color w:val="000000" w:themeColor="text1"/>
                        <w:lang w:eastAsia="zh-CN"/>
                      </w:rPr>
                    </m:ctrlPr>
                  </m:sSubPr>
                  <m:e>
                    <m:r>
                      <w:rPr>
                        <w:rFonts w:ascii="Cambria Math" w:hAnsi="Cambria Math"/>
                        <w:color w:val="000000" w:themeColor="text1"/>
                        <w:lang w:eastAsia="zh-CN"/>
                      </w:rPr>
                      <m:t>M</m:t>
                    </m:r>
                  </m:e>
                  <m:sub>
                    <m:r>
                      <m:rPr>
                        <m:nor/>
                      </m:rPr>
                      <w:rPr>
                        <w:rFonts w:ascii="Cambria Math" w:hAnsi="Cambria Math"/>
                        <w:color w:val="000000" w:themeColor="text1"/>
                        <w:lang w:eastAsia="zh-CN"/>
                      </w:rPr>
                      <m:t>bending</m:t>
                    </m:r>
                  </m:sub>
                </m:sSub>
              </m:oMath>
            </m:oMathPara>
          </w:p>
        </w:tc>
        <w:tc>
          <w:tcPr>
            <w:tcW w:w="815" w:type="dxa"/>
            <w:vAlign w:val="center"/>
          </w:tcPr>
          <w:p w14:paraId="56F5D180" w14:textId="3FC0B2E3" w:rsidR="00801B43" w:rsidRPr="00B57B36" w:rsidRDefault="00801B43" w:rsidP="00223EFA">
            <w:pPr>
              <w:pStyle w:val="CETEquation"/>
              <w:jc w:val="right"/>
            </w:pPr>
            <w:r w:rsidRPr="00B57B36">
              <w:t>(</w:t>
            </w:r>
            <w:r w:rsidR="00A04B7F">
              <w:t>3</w:t>
            </w:r>
            <w:r w:rsidRPr="00B57B36">
              <w:t>)</w:t>
            </w:r>
          </w:p>
        </w:tc>
      </w:tr>
    </w:tbl>
    <w:p w14:paraId="4EB10B9B" w14:textId="77777777" w:rsidR="006C3DF6" w:rsidRDefault="006C3DF6" w:rsidP="00A60230">
      <w:pPr>
        <w:pStyle w:val="CETBodytext"/>
      </w:pPr>
    </w:p>
    <w:p w14:paraId="0EFCBE6A" w14:textId="3CA1A7CA" w:rsidR="008E4473" w:rsidRDefault="00A60230" w:rsidP="00A60230">
      <w:pPr>
        <w:pStyle w:val="CETBodytext"/>
      </w:pPr>
      <w:r w:rsidRPr="00A60230">
        <w:t>The components of this equilibrium are defined as follows:</w:t>
      </w:r>
    </w:p>
    <w:p w14:paraId="6B9F493D" w14:textId="77777777" w:rsidR="008E4473" w:rsidRDefault="008E4473" w:rsidP="00A60230">
      <w:pPr>
        <w:pStyle w:val="CETBodytext"/>
      </w:pPr>
    </w:p>
    <w:p w14:paraId="5DE97C9A" w14:textId="41B99AA4" w:rsidR="00961D39" w:rsidRDefault="00A60230" w:rsidP="006C3DF6">
      <w:pPr>
        <w:pStyle w:val="CETBodytext"/>
        <w:numPr>
          <w:ilvl w:val="0"/>
          <w:numId w:val="26"/>
        </w:numPr>
      </w:pPr>
      <w:r w:rsidRPr="00A60230">
        <w:t>Driving Moment (M</w:t>
      </w:r>
      <w:r w:rsidRPr="00C36A6E">
        <w:rPr>
          <w:vertAlign w:val="subscript"/>
        </w:rPr>
        <w:t>driving</w:t>
      </w:r>
      <w:r w:rsidRPr="00A60230">
        <w:t>): The primary opening force is derived from the pressure differential (</w:t>
      </w:r>
      <m:oMath>
        <m:r>
          <w:rPr>
            <w:rFonts w:ascii="Cambria Math" w:hAnsi="Cambria Math"/>
          </w:rPr>
          <m:t>∆p=p-</m:t>
        </m:r>
        <m:sSub>
          <m:sSubPr>
            <m:ctrlPr>
              <w:rPr>
                <w:rFonts w:ascii="Cambria Math" w:hAnsi="Cambria Math"/>
                <w:i/>
              </w:rPr>
            </m:ctrlPr>
          </m:sSubPr>
          <m:e>
            <m:r>
              <w:rPr>
                <w:rFonts w:ascii="Cambria Math" w:hAnsi="Cambria Math"/>
              </w:rPr>
              <m:t>p</m:t>
            </m:r>
          </m:e>
          <m:sub>
            <m:r>
              <w:rPr>
                <w:rFonts w:ascii="Cambria Math" w:hAnsi="Cambria Math"/>
              </w:rPr>
              <m:t>ambient</m:t>
            </m:r>
          </m:sub>
        </m:sSub>
      </m:oMath>
      <w:r w:rsidRPr="00A60230">
        <w:t>) acting upon the geometric area A</w:t>
      </w:r>
      <w:r w:rsidR="00C36A6E" w:rsidRPr="00C36A6E">
        <w:rPr>
          <w:vertAlign w:val="subscript"/>
        </w:rPr>
        <w:t>v</w:t>
      </w:r>
      <w:r w:rsidRPr="00A60230">
        <w:t xml:space="preserve"> of the panel. The resulting force acts at the panel center, leading to the expression </w:t>
      </w:r>
      <m:oMath>
        <m:sSub>
          <m:sSubPr>
            <m:ctrlPr>
              <w:rPr>
                <w:rFonts w:ascii="Cambria Math" w:hAnsi="Cambria Math"/>
                <w:color w:val="000000" w:themeColor="text1"/>
                <w:lang w:eastAsia="zh-CN"/>
              </w:rPr>
            </m:ctrlPr>
          </m:sSubPr>
          <m:e>
            <m:r>
              <w:rPr>
                <w:rFonts w:ascii="Cambria Math" w:hAnsi="Cambria Math"/>
                <w:color w:val="000000" w:themeColor="text1"/>
                <w:lang w:eastAsia="zh-CN"/>
              </w:rPr>
              <m:t>M</m:t>
            </m:r>
          </m:e>
          <m:sub>
            <m:r>
              <m:rPr>
                <m:nor/>
              </m:rPr>
              <w:rPr>
                <w:color w:val="000000" w:themeColor="text1"/>
                <w:lang w:eastAsia="zh-CN"/>
              </w:rPr>
              <m:t>dri</m:t>
            </m:r>
            <m:r>
              <m:rPr>
                <m:nor/>
              </m:rPr>
              <w:rPr>
                <w:rFonts w:ascii="Cambria Math"/>
                <w:color w:val="000000" w:themeColor="text1"/>
                <w:lang w:eastAsia="zh-CN"/>
              </w:rPr>
              <m:t>ving</m:t>
            </m:r>
          </m:sub>
        </m:sSub>
        <m:r>
          <w:rPr>
            <w:rFonts w:ascii="Cambria Math" w:hAnsi="Cambria Math"/>
            <w:color w:val="000000" w:themeColor="text1"/>
            <w:lang w:eastAsia="zh-CN"/>
          </w:rPr>
          <m:t>=Δp</m:t>
        </m:r>
        <m:sSub>
          <m:sSubPr>
            <m:ctrlPr>
              <w:rPr>
                <w:rFonts w:ascii="Cambria Math" w:hAnsi="Cambria Math"/>
                <w:color w:val="000000" w:themeColor="text1"/>
                <w:lang w:eastAsia="zh-CN"/>
              </w:rPr>
            </m:ctrlPr>
          </m:sSubPr>
          <m:e>
            <m:r>
              <w:rPr>
                <w:rFonts w:ascii="Cambria Math" w:hAnsi="Cambria Math"/>
                <w:color w:val="000000" w:themeColor="text1"/>
                <w:lang w:eastAsia="zh-CN"/>
              </w:rPr>
              <m:t>A</m:t>
            </m:r>
          </m:e>
          <m:sub>
            <m:r>
              <w:rPr>
                <w:rFonts w:ascii="Cambria Math" w:hAnsi="Cambria Math"/>
                <w:color w:val="000000" w:themeColor="text1"/>
                <w:lang w:eastAsia="zh-CN"/>
              </w:rPr>
              <m:t>v</m:t>
            </m:r>
          </m:sub>
        </m:sSub>
        <m:f>
          <m:fPr>
            <m:ctrlPr>
              <w:rPr>
                <w:rFonts w:ascii="Cambria Math" w:hAnsi="Cambria Math"/>
                <w:color w:val="000000" w:themeColor="text1"/>
                <w:lang w:eastAsia="zh-CN"/>
              </w:rPr>
            </m:ctrlPr>
          </m:fPr>
          <m:num>
            <m:sSub>
              <m:sSubPr>
                <m:ctrlPr>
                  <w:rPr>
                    <w:rFonts w:ascii="Cambria Math" w:hAnsi="Cambria Math"/>
                    <w:color w:val="000000" w:themeColor="text1"/>
                    <w:lang w:eastAsia="zh-CN"/>
                  </w:rPr>
                </m:ctrlPr>
              </m:sSubPr>
              <m:e>
                <m:r>
                  <w:rPr>
                    <w:rFonts w:ascii="Cambria Math" w:hAnsi="Cambria Math"/>
                    <w:color w:val="000000" w:themeColor="text1"/>
                    <w:lang w:eastAsia="zh-CN"/>
                  </w:rPr>
                  <m:t>L</m:t>
                </m:r>
              </m:e>
              <m:sub>
                <m:r>
                  <w:rPr>
                    <w:rFonts w:ascii="Cambria Math" w:hAnsi="Cambria Math"/>
                    <w:color w:val="000000" w:themeColor="text1"/>
                    <w:lang w:eastAsia="zh-CN"/>
                  </w:rPr>
                  <m:t>v</m:t>
                </m:r>
              </m:sub>
            </m:sSub>
          </m:num>
          <m:den>
            <m:r>
              <w:rPr>
                <w:rFonts w:ascii="Cambria Math" w:hAnsi="Cambria Math"/>
                <w:color w:val="000000" w:themeColor="text1"/>
                <w:lang w:eastAsia="zh-CN"/>
              </w:rPr>
              <m:t>2</m:t>
            </m:r>
          </m:den>
        </m:f>
        <m:r>
          <w:rPr>
            <w:rFonts w:ascii="Cambria Math" w:hAnsi="Cambria Math"/>
            <w:color w:val="000000" w:themeColor="text1"/>
            <w:lang w:eastAsia="zh-CN"/>
          </w:rPr>
          <m:t>cos</m:t>
        </m:r>
        <m:d>
          <m:dPr>
            <m:ctrlPr>
              <w:rPr>
                <w:rFonts w:ascii="Cambria Math" w:hAnsi="Cambria Math"/>
                <w:color w:val="000000" w:themeColor="text1"/>
                <w:lang w:eastAsia="zh-CN"/>
              </w:rPr>
            </m:ctrlPr>
          </m:dPr>
          <m:e>
            <m:r>
              <w:rPr>
                <w:rFonts w:ascii="Cambria Math" w:hAnsi="Cambria Math"/>
                <w:color w:val="000000" w:themeColor="text1"/>
                <w:lang w:eastAsia="zh-CN"/>
              </w:rPr>
              <m:t>θ</m:t>
            </m:r>
          </m:e>
        </m:d>
      </m:oMath>
      <w:r w:rsidR="009443A8">
        <w:rPr>
          <w:color w:val="000000" w:themeColor="text1"/>
          <w:lang w:eastAsia="zh-CN"/>
        </w:rPr>
        <w:t>,</w:t>
      </w:r>
      <w:r w:rsidR="003A1E2C" w:rsidRPr="003A1E2C">
        <w:t xml:space="preserve"> </w:t>
      </w:r>
      <w:r w:rsidR="003A1E2C" w:rsidRPr="00A60230">
        <w:t>where L</w:t>
      </w:r>
      <w:r w:rsidR="003A1E2C" w:rsidRPr="00F019F4">
        <w:rPr>
          <w:vertAlign w:val="subscript"/>
        </w:rPr>
        <w:t>v</w:t>
      </w:r>
      <w:r w:rsidR="003A1E2C" w:rsidRPr="00A60230">
        <w:t xml:space="preserve"> is the panel length perpendicular to the hinge</w:t>
      </w:r>
      <w:r w:rsidR="00036253">
        <w:rPr>
          <w:color w:val="000000" w:themeColor="text1"/>
          <w:lang w:eastAsia="zh-CN"/>
        </w:rPr>
        <w:t>.</w:t>
      </w:r>
    </w:p>
    <w:p w14:paraId="49E2B8F8" w14:textId="77777777" w:rsidR="008E4473" w:rsidRDefault="008E4473" w:rsidP="00036253">
      <w:pPr>
        <w:pStyle w:val="CETBodytext"/>
      </w:pPr>
    </w:p>
    <w:p w14:paraId="3BA60FB3" w14:textId="2B6B1AD5" w:rsidR="006C3DF6" w:rsidRDefault="00A60230" w:rsidP="006C3DF6">
      <w:pPr>
        <w:pStyle w:val="CETBodytext"/>
        <w:numPr>
          <w:ilvl w:val="0"/>
          <w:numId w:val="26"/>
        </w:numPr>
      </w:pPr>
      <w:r w:rsidRPr="00A60230">
        <w:t xml:space="preserve">Inertial Resistance (I): The resistance due to mass is characterized by the moment of inertia. For a hinged rectangular panel, this is defined as </w:t>
      </w:r>
      <m:oMath>
        <m:r>
          <w:rPr>
            <w:rFonts w:ascii="Cambria Math" w:hAnsi="Cambria Math"/>
          </w:rPr>
          <m:t>I=</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3</m:t>
            </m:r>
            <m:ctrlPr>
              <w:rPr>
                <w:rFonts w:ascii="Cambria Math" w:hAnsi="Cambria Math"/>
                <w:i/>
              </w:rPr>
            </m:ctrlPr>
          </m:den>
        </m:f>
        <m:sSub>
          <m:sSubPr>
            <m:ctrlPr>
              <w:rPr>
                <w:rFonts w:ascii="Cambria Math" w:hAnsi="Cambria Math"/>
                <w:i/>
              </w:rPr>
            </m:ctrlPr>
          </m:sSubPr>
          <m:e>
            <m:r>
              <w:rPr>
                <w:rFonts w:ascii="Cambria Math" w:hAnsi="Cambria Math"/>
              </w:rPr>
              <m:t>m</m:t>
            </m:r>
          </m:e>
          <m:sub>
            <m:r>
              <w:rPr>
                <w:rFonts w:ascii="Cambria Math" w:hAnsi="Cambria Math"/>
              </w:rPr>
              <m:t>v</m:t>
            </m:r>
          </m:sub>
        </m:sSub>
        <m:sSub>
          <m:sSubPr>
            <m:ctrlPr>
              <w:rPr>
                <w:rFonts w:ascii="Cambria Math" w:hAnsi="Cambria Math"/>
                <w:i/>
              </w:rPr>
            </m:ctrlPr>
          </m:sSubPr>
          <m:e>
            <m:r>
              <w:rPr>
                <w:rFonts w:ascii="Cambria Math" w:hAnsi="Cambria Math"/>
              </w:rPr>
              <m:t>A</m:t>
            </m:r>
          </m:e>
          <m:sub>
            <m:r>
              <w:rPr>
                <w:rFonts w:ascii="Cambria Math" w:hAnsi="Cambria Math"/>
              </w:rPr>
              <m:t>v</m:t>
            </m:r>
          </m:sub>
        </m:sSub>
        <m:sSubSup>
          <m:sSubSupPr>
            <m:ctrlPr>
              <w:rPr>
                <w:rFonts w:ascii="Cambria Math" w:hAnsi="Cambria Math"/>
                <w:i/>
              </w:rPr>
            </m:ctrlPr>
          </m:sSubSupPr>
          <m:e>
            <m:r>
              <w:rPr>
                <w:rFonts w:ascii="Cambria Math" w:hAnsi="Cambria Math"/>
              </w:rPr>
              <m:t>L</m:t>
            </m:r>
          </m:e>
          <m:sub>
            <m:r>
              <w:rPr>
                <w:rFonts w:ascii="Cambria Math" w:hAnsi="Cambria Math"/>
              </w:rPr>
              <m:t>v</m:t>
            </m:r>
          </m:sub>
          <m:sup>
            <m:r>
              <w:rPr>
                <w:rFonts w:ascii="Cambria Math" w:hAnsi="Cambria Math"/>
              </w:rPr>
              <m:t>2</m:t>
            </m:r>
          </m:sup>
        </m:sSubSup>
      </m:oMath>
      <w:r w:rsidRPr="00A60230">
        <w:t>, where m</w:t>
      </w:r>
      <w:r w:rsidRPr="00F019F4">
        <w:rPr>
          <w:vertAlign w:val="subscript"/>
        </w:rPr>
        <w:t>v</w:t>
      </w:r>
      <w:r w:rsidRPr="00A60230">
        <w:t xml:space="preserve"> is the </w:t>
      </w:r>
      <w:r w:rsidR="003A1E2C">
        <w:t>panel area density</w:t>
      </w:r>
      <w:r w:rsidRPr="00A60230">
        <w:t>.</w:t>
      </w:r>
    </w:p>
    <w:p w14:paraId="13A5A8A6" w14:textId="77777777" w:rsidR="008E4473" w:rsidRDefault="008E4473" w:rsidP="008E4473">
      <w:pPr>
        <w:pStyle w:val="CETBodytext"/>
      </w:pPr>
    </w:p>
    <w:p w14:paraId="23D6BAD4" w14:textId="5627BAB8" w:rsidR="006C3DF6" w:rsidRDefault="00A60230" w:rsidP="006C3DF6">
      <w:pPr>
        <w:pStyle w:val="CETBodytext"/>
        <w:numPr>
          <w:ilvl w:val="0"/>
          <w:numId w:val="26"/>
        </w:numPr>
      </w:pPr>
      <w:r w:rsidRPr="00A60230">
        <w:t>Material Bending (M</w:t>
      </w:r>
      <w:r w:rsidRPr="00036253">
        <w:rPr>
          <w:vertAlign w:val="subscript"/>
        </w:rPr>
        <w:t>bending</w:t>
      </w:r>
      <w:r w:rsidRPr="00A60230">
        <w:t>): Counteracting moments from material deformation are integrated using elastic beam theory. The model converts the opening angle into an equivalent end deflection to determine the effective radius of panel curvature and the corresponding bending moment</w:t>
      </w:r>
      <w:r w:rsidR="00C579EB">
        <w:t xml:space="preserve"> </w:t>
      </w:r>
      <m:oMath>
        <m:sSub>
          <m:sSubPr>
            <m:ctrlPr>
              <w:rPr>
                <w:rFonts w:ascii="Cambria Math" w:hAnsi="Cambria Math"/>
                <w:color w:val="000000" w:themeColor="text1"/>
                <w:lang w:eastAsia="zh-CN"/>
              </w:rPr>
            </m:ctrlPr>
          </m:sSubPr>
          <m:e>
            <m:r>
              <w:rPr>
                <w:rFonts w:ascii="Cambria Math" w:hAnsi="Cambria Math"/>
                <w:color w:val="000000" w:themeColor="text1"/>
                <w:lang w:eastAsia="zh-CN"/>
              </w:rPr>
              <m:t>M</m:t>
            </m:r>
          </m:e>
          <m:sub>
            <m:r>
              <m:rPr>
                <m:nor/>
              </m:rPr>
              <w:rPr>
                <w:rFonts w:ascii="Cambria Math"/>
                <w:color w:val="000000" w:themeColor="text1"/>
                <w:lang w:eastAsia="zh-CN"/>
              </w:rPr>
              <m:t>bending</m:t>
            </m:r>
          </m:sub>
        </m:sSub>
        <m:r>
          <w:rPr>
            <w:rFonts w:ascii="Cambria Math" w:hAnsi="Cambria Math"/>
            <w:color w:val="000000" w:themeColor="text1"/>
            <w:lang w:eastAsia="zh-CN"/>
          </w:rPr>
          <m:t>=</m:t>
        </m:r>
        <m:f>
          <m:fPr>
            <m:ctrlPr>
              <w:rPr>
                <w:rFonts w:ascii="Cambria Math" w:hAnsi="Cambria Math"/>
                <w:color w:val="000000" w:themeColor="text1"/>
                <w:lang w:eastAsia="zh-CN"/>
              </w:rPr>
            </m:ctrlPr>
          </m:fPr>
          <m:num>
            <m:r>
              <w:rPr>
                <w:rFonts w:ascii="Cambria Math" w:hAnsi="Cambria Math"/>
                <w:color w:val="000000" w:themeColor="text1"/>
                <w:lang w:eastAsia="zh-CN"/>
              </w:rPr>
              <m:t>E</m:t>
            </m:r>
            <m:sSub>
              <m:sSubPr>
                <m:ctrlPr>
                  <w:rPr>
                    <w:rFonts w:ascii="Cambria Math" w:hAnsi="Cambria Math"/>
                    <w:color w:val="000000" w:themeColor="text1"/>
                    <w:lang w:eastAsia="zh-CN"/>
                  </w:rPr>
                </m:ctrlPr>
              </m:sSubPr>
              <m:e>
                <m:r>
                  <w:rPr>
                    <w:rFonts w:ascii="Cambria Math" w:hAnsi="Cambria Math"/>
                    <w:color w:val="000000" w:themeColor="text1"/>
                    <w:lang w:eastAsia="zh-CN"/>
                  </w:rPr>
                  <m:t>I</m:t>
                </m:r>
              </m:e>
              <m:sub>
                <m:r>
                  <m:rPr>
                    <m:nor/>
                  </m:rPr>
                  <w:rPr>
                    <w:color w:val="000000" w:themeColor="text1"/>
                    <w:lang w:eastAsia="zh-CN"/>
                  </w:rPr>
                  <m:t>beam</m:t>
                </m:r>
              </m:sub>
            </m:sSub>
          </m:num>
          <m:den>
            <m:sSub>
              <m:sSubPr>
                <m:ctrlPr>
                  <w:rPr>
                    <w:rFonts w:ascii="Cambria Math" w:hAnsi="Cambria Math"/>
                    <w:color w:val="000000" w:themeColor="text1"/>
                    <w:lang w:eastAsia="zh-CN"/>
                  </w:rPr>
                </m:ctrlPr>
              </m:sSubPr>
              <m:e>
                <m:r>
                  <w:rPr>
                    <w:rFonts w:ascii="Cambria Math" w:hAnsi="Cambria Math"/>
                    <w:color w:val="000000" w:themeColor="text1"/>
                    <w:lang w:eastAsia="zh-CN"/>
                  </w:rPr>
                  <m:t>R</m:t>
                </m:r>
              </m:e>
              <m:sub>
                <m:r>
                  <m:rPr>
                    <m:nor/>
                  </m:rPr>
                  <w:rPr>
                    <w:color w:val="000000" w:themeColor="text1"/>
                    <w:lang w:eastAsia="zh-CN"/>
                  </w:rPr>
                  <m:t>eff</m:t>
                </m:r>
              </m:sub>
            </m:sSub>
          </m:den>
        </m:f>
      </m:oMath>
      <w:r w:rsidRPr="00A60230">
        <w:t>.</w:t>
      </w:r>
    </w:p>
    <w:p w14:paraId="6CF156EF" w14:textId="77777777" w:rsidR="008E4473" w:rsidRDefault="008E4473" w:rsidP="008E4473">
      <w:pPr>
        <w:pStyle w:val="CETBodytext"/>
      </w:pPr>
    </w:p>
    <w:p w14:paraId="21C497A5" w14:textId="7AAF370D" w:rsidR="00EA24C8" w:rsidRDefault="00A60230" w:rsidP="006C3DF6">
      <w:pPr>
        <w:pStyle w:val="CETBodytext"/>
        <w:numPr>
          <w:ilvl w:val="0"/>
          <w:numId w:val="26"/>
        </w:numPr>
      </w:pPr>
      <w:r w:rsidRPr="00A60230">
        <w:lastRenderedPageBreak/>
        <w:t>Plastic Deformation: When bending stresses exceed the material yield strength, the resisting moment reaches a plateau at the plastic limit.</w:t>
      </w:r>
    </w:p>
    <w:p w14:paraId="65B6561A" w14:textId="4B311E98" w:rsidR="00CB7302" w:rsidRPr="00CB7302" w:rsidRDefault="00A60230" w:rsidP="00CB7302">
      <w:pPr>
        <w:pStyle w:val="CETBodytext"/>
        <w:numPr>
          <w:ilvl w:val="0"/>
          <w:numId w:val="26"/>
        </w:numPr>
        <w:rPr>
          <w:b/>
          <w:sz w:val="20"/>
        </w:rPr>
      </w:pPr>
      <w:r w:rsidRPr="00A60230">
        <w:t>Effective Venting Area (A</w:t>
      </w:r>
      <w:r w:rsidR="008A0171" w:rsidRPr="008A0171">
        <w:rPr>
          <w:vertAlign w:val="subscript"/>
        </w:rPr>
        <w:t>E</w:t>
      </w:r>
      <w:r w:rsidRPr="00A60230">
        <w:t>): As the panel rotates (up to a limit of 90</w:t>
      </w:r>
      <w:r w:rsidR="008A0171">
        <w:t>°</w:t>
      </w:r>
      <w:r w:rsidRPr="00A60230">
        <w:t>), the model geometrically calculates the evolving flow area formed at the side edges and the edge opposite the hinge:</w:t>
      </w:r>
      <w:r w:rsidR="00EA24C8">
        <w:t xml:space="preserve"> </w:t>
      </w:r>
      <w:r w:rsidR="008C3C5C">
        <w:br/>
      </w:r>
      <m:oMath>
        <m:sSub>
          <m:sSubPr>
            <m:ctrlPr>
              <w:rPr>
                <w:rFonts w:ascii="Cambria Math" w:hAnsi="Cambria Math"/>
                <w:i/>
              </w:rPr>
            </m:ctrlPr>
          </m:sSubPr>
          <m:e>
            <m:r>
              <w:rPr>
                <w:rFonts w:ascii="Cambria Math" w:hAnsi="Cambria Math"/>
              </w:rPr>
              <m:t>A</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v</m:t>
            </m:r>
          </m:sub>
        </m:sSub>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r>
                  <m:rPr>
                    <m:sty m:val="p"/>
                  </m:rPr>
                  <w:rPr>
                    <w:rFonts w:ascii="Cambria Math" w:hAnsi="Cambria Math"/>
                  </w:rPr>
                  <m:t>θ</m:t>
                </m:r>
              </m:e>
            </m:d>
          </m:e>
        </m:func>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v</m:t>
                </m:r>
              </m:sub>
            </m:sSub>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m:rPr>
                        <m:sty m:val="p"/>
                      </m:rPr>
                      <w:rPr>
                        <w:rFonts w:ascii="Cambria Math" w:hAnsi="Cambria Math"/>
                      </w:rPr>
                      <m:t>θ</m:t>
                    </m:r>
                  </m:e>
                </m:d>
              </m:e>
            </m:func>
          </m:e>
        </m:d>
      </m:oMath>
      <w:r w:rsidR="003E7469">
        <w:t>.</w:t>
      </w:r>
      <w:r w:rsidR="00EA5F8A">
        <w:t xml:space="preserve"> </w:t>
      </w:r>
      <w:r w:rsidRPr="00A60230">
        <w:t xml:space="preserve">This effective area is fed back into the explosion mass-balance equations at each numerical time step, allowing for a fully coupled simulation of the vessel pressure development and the dynamic </w:t>
      </w:r>
      <w:r w:rsidR="009B726C">
        <w:t>vent</w:t>
      </w:r>
      <w:r w:rsidRPr="00A60230">
        <w:t xml:space="preserve"> response.</w:t>
      </w:r>
    </w:p>
    <w:p w14:paraId="39E01C9C" w14:textId="3432BA85" w:rsidR="00CB7302" w:rsidRDefault="00CB7302" w:rsidP="00CB7302">
      <w:pPr>
        <w:pStyle w:val="CETheadingx"/>
      </w:pPr>
      <w:r>
        <w:t>Venting Efficiency Prediction</w:t>
      </w:r>
    </w:p>
    <w:p w14:paraId="05144D46" w14:textId="510827F8" w:rsidR="00CB7302" w:rsidRDefault="00DE54B2" w:rsidP="00CB7302">
      <w:pPr>
        <w:pStyle w:val="CETBodytext"/>
      </w:pPr>
      <w:r>
        <w:t>By comparing reduced pressures for vented explosions using practical venting devices and inertia-less foil, the method allows for determining the venting device efficiency. Figure 1 shows a sample calculation result for</w:t>
      </w:r>
      <w:r w:rsidR="00E032D1">
        <w:t xml:space="preserve"> vessel and dust reactivity parameters given in the figure.</w:t>
      </w:r>
    </w:p>
    <w:p w14:paraId="01C0E0DC" w14:textId="77777777" w:rsidR="005D1F9D" w:rsidRDefault="005D1F9D" w:rsidP="00CB7302">
      <w:pPr>
        <w:pStyle w:val="CETBodytext"/>
      </w:pPr>
    </w:p>
    <w:tbl>
      <w:tblPr>
        <w:tblStyle w:val="TableGrid"/>
        <w:tblpPr w:leftFromText="180" w:rightFromText="180" w:vertAnchor="text" w:horzAnchor="margin" w:tblpXSpec="right" w:tblpY="897"/>
        <w:tblOverlap w:val="never"/>
        <w:tblW w:w="0" w:type="auto"/>
        <w:tblLook w:val="04A0" w:firstRow="1" w:lastRow="0" w:firstColumn="1" w:lastColumn="0" w:noHBand="0" w:noVBand="1"/>
      </w:tblPr>
      <w:tblGrid>
        <w:gridCol w:w="1433"/>
        <w:gridCol w:w="992"/>
      </w:tblGrid>
      <w:tr w:rsidR="00337E8C" w14:paraId="4744642C" w14:textId="77777777" w:rsidTr="00FB4417">
        <w:trPr>
          <w:trHeight w:val="261"/>
        </w:trPr>
        <w:tc>
          <w:tcPr>
            <w:tcW w:w="1433" w:type="dxa"/>
          </w:tcPr>
          <w:p w14:paraId="7662F696" w14:textId="36CE8670" w:rsidR="00337E8C" w:rsidRDefault="00D52CEF" w:rsidP="005D1F9D">
            <w:pPr>
              <w:pStyle w:val="CETBodytext"/>
            </w:pPr>
            <m:oMath>
              <m:r>
                <w:rPr>
                  <w:rFonts w:ascii="Cambria Math" w:hAnsi="Cambria Math"/>
                </w:rPr>
                <m:t>V</m:t>
              </m:r>
            </m:oMath>
            <w:r w:rsidR="00337E8C">
              <w:t xml:space="preserve"> (m</w:t>
            </w:r>
            <w:r w:rsidR="00337E8C" w:rsidRPr="00D52CEF">
              <w:rPr>
                <w:vertAlign w:val="superscript"/>
              </w:rPr>
              <w:t>3</w:t>
            </w:r>
            <w:r w:rsidR="00337E8C">
              <w:t>)</w:t>
            </w:r>
          </w:p>
        </w:tc>
        <w:tc>
          <w:tcPr>
            <w:tcW w:w="992" w:type="dxa"/>
          </w:tcPr>
          <w:p w14:paraId="4D9AD0AD" w14:textId="3CEECDB6" w:rsidR="00337E8C" w:rsidRDefault="00337E8C" w:rsidP="005D1F9D">
            <w:pPr>
              <w:pStyle w:val="CETBodytext"/>
            </w:pPr>
            <w:r>
              <w:t>10</w:t>
            </w:r>
          </w:p>
        </w:tc>
      </w:tr>
      <w:tr w:rsidR="00337E8C" w14:paraId="22F4D18A" w14:textId="77777777" w:rsidTr="00FB4417">
        <w:trPr>
          <w:trHeight w:val="261"/>
        </w:trPr>
        <w:tc>
          <w:tcPr>
            <w:tcW w:w="1433" w:type="dxa"/>
          </w:tcPr>
          <w:p w14:paraId="25C3D855" w14:textId="58ED4F2C" w:rsidR="00337E8C" w:rsidRDefault="00000000" w:rsidP="005D1F9D">
            <w:pPr>
              <w:pStyle w:val="CETBodytext"/>
            </w:pPr>
            <m:oMath>
              <m:sSub>
                <m:sSubPr>
                  <m:ctrlPr>
                    <w:rPr>
                      <w:rFonts w:ascii="Cambria Math" w:hAnsi="Cambria Math"/>
                      <w:i/>
                    </w:rPr>
                  </m:ctrlPr>
                </m:sSubPr>
                <m:e>
                  <m:r>
                    <w:rPr>
                      <w:rFonts w:ascii="Cambria Math" w:hAnsi="Cambria Math"/>
                    </w:rPr>
                    <m:t>K</m:t>
                  </m:r>
                </m:e>
                <m:sub>
                  <m:r>
                    <w:rPr>
                      <w:rFonts w:ascii="Cambria Math" w:hAnsi="Cambria Math"/>
                    </w:rPr>
                    <m:t>St</m:t>
                  </m:r>
                </m:sub>
              </m:sSub>
            </m:oMath>
            <w:r w:rsidR="00D52CEF">
              <w:t xml:space="preserve"> (bar</w:t>
            </w:r>
            <w:r w:rsidR="00D52CEF">
              <w:rPr>
                <w:rFonts w:cs="Arial"/>
              </w:rPr>
              <w:t>·</w:t>
            </w:r>
            <w:r w:rsidR="00D52CEF">
              <w:t>m/s)</w:t>
            </w:r>
          </w:p>
        </w:tc>
        <w:tc>
          <w:tcPr>
            <w:tcW w:w="992" w:type="dxa"/>
          </w:tcPr>
          <w:p w14:paraId="654F0161" w14:textId="4B4435A5" w:rsidR="00337E8C" w:rsidRDefault="00D52CEF" w:rsidP="005D1F9D">
            <w:pPr>
              <w:pStyle w:val="CETBodytext"/>
            </w:pPr>
            <w:r>
              <w:t>200</w:t>
            </w:r>
          </w:p>
        </w:tc>
      </w:tr>
      <w:tr w:rsidR="00803830" w14:paraId="7BF59B3B" w14:textId="77777777" w:rsidTr="00FB4417">
        <w:trPr>
          <w:trHeight w:val="261"/>
        </w:trPr>
        <w:tc>
          <w:tcPr>
            <w:tcW w:w="1433" w:type="dxa"/>
          </w:tcPr>
          <w:p w14:paraId="251752CE" w14:textId="015B1003" w:rsidR="00803830" w:rsidRDefault="00000000" w:rsidP="00803830">
            <w:pPr>
              <w:pStyle w:val="CETBodytext"/>
            </w:pPr>
            <m:oMath>
              <m:sSub>
                <m:sSubPr>
                  <m:ctrlPr>
                    <w:rPr>
                      <w:rFonts w:ascii="Cambria Math" w:hAnsi="Cambria Math"/>
                      <w:i/>
                    </w:rPr>
                  </m:ctrlPr>
                </m:sSubPr>
                <m:e>
                  <m:r>
                    <w:rPr>
                      <w:rFonts w:ascii="Cambria Math" w:hAnsi="Cambria Math"/>
                    </w:rPr>
                    <m:t>A</m:t>
                  </m:r>
                </m:e>
                <m:sub>
                  <m:r>
                    <w:rPr>
                      <w:rFonts w:ascii="Cambria Math" w:hAnsi="Cambria Math"/>
                    </w:rPr>
                    <m:t>v</m:t>
                  </m:r>
                </m:sub>
              </m:sSub>
            </m:oMath>
            <w:r w:rsidR="00803830">
              <w:t xml:space="preserve"> (m</w:t>
            </w:r>
            <w:r w:rsidR="00803830" w:rsidRPr="00D52CEF">
              <w:rPr>
                <w:vertAlign w:val="superscript"/>
              </w:rPr>
              <w:t>2</w:t>
            </w:r>
            <w:r w:rsidR="00803830">
              <w:t>)</w:t>
            </w:r>
          </w:p>
        </w:tc>
        <w:tc>
          <w:tcPr>
            <w:tcW w:w="992" w:type="dxa"/>
          </w:tcPr>
          <w:p w14:paraId="0AD0811B" w14:textId="3C032920" w:rsidR="00803830" w:rsidRDefault="00803830" w:rsidP="00803830">
            <w:pPr>
              <w:pStyle w:val="CETBodytext"/>
            </w:pPr>
            <w:r>
              <w:t>0.8</w:t>
            </w:r>
          </w:p>
        </w:tc>
      </w:tr>
      <w:tr w:rsidR="00803830" w14:paraId="3210EE30" w14:textId="77777777" w:rsidTr="00FB4417">
        <w:trPr>
          <w:trHeight w:val="261"/>
        </w:trPr>
        <w:tc>
          <w:tcPr>
            <w:tcW w:w="1433" w:type="dxa"/>
          </w:tcPr>
          <w:p w14:paraId="18513001" w14:textId="7B818A7A" w:rsidR="00803830" w:rsidRDefault="00000000" w:rsidP="00803830">
            <w:pPr>
              <w:pStyle w:val="CETBodytext"/>
            </w:pPr>
            <m:oMath>
              <m:sSub>
                <m:sSubPr>
                  <m:ctrlPr>
                    <w:rPr>
                      <w:rFonts w:ascii="Cambria Math" w:hAnsi="Cambria Math"/>
                      <w:i/>
                    </w:rPr>
                  </m:ctrlPr>
                </m:sSubPr>
                <m:e>
                  <m:r>
                    <w:rPr>
                      <w:rFonts w:ascii="Cambria Math" w:hAnsi="Cambria Math"/>
                    </w:rPr>
                    <m:t>m</m:t>
                  </m:r>
                </m:e>
                <m:sub>
                  <m:r>
                    <w:rPr>
                      <w:rFonts w:ascii="Cambria Math" w:hAnsi="Cambria Math"/>
                    </w:rPr>
                    <m:t>v</m:t>
                  </m:r>
                </m:sub>
              </m:sSub>
            </m:oMath>
            <w:r w:rsidR="00803830">
              <w:t xml:space="preserve"> (kg/m</w:t>
            </w:r>
            <w:r w:rsidR="00803830" w:rsidRPr="00D52CEF">
              <w:rPr>
                <w:vertAlign w:val="superscript"/>
              </w:rPr>
              <w:t>2</w:t>
            </w:r>
            <w:r w:rsidR="00803830">
              <w:t>)</w:t>
            </w:r>
          </w:p>
        </w:tc>
        <w:tc>
          <w:tcPr>
            <w:tcW w:w="992" w:type="dxa"/>
          </w:tcPr>
          <w:p w14:paraId="7DAB5CB8" w14:textId="33AA6FEB" w:rsidR="00803830" w:rsidRDefault="00803830" w:rsidP="00803830">
            <w:pPr>
              <w:pStyle w:val="CETBodytext"/>
            </w:pPr>
            <w:r>
              <w:t>10</w:t>
            </w:r>
          </w:p>
        </w:tc>
      </w:tr>
      <w:tr w:rsidR="00803830" w14:paraId="259F4AD3" w14:textId="77777777" w:rsidTr="00FB4417">
        <w:trPr>
          <w:trHeight w:val="261"/>
        </w:trPr>
        <w:tc>
          <w:tcPr>
            <w:tcW w:w="1433" w:type="dxa"/>
          </w:tcPr>
          <w:p w14:paraId="240F2884" w14:textId="0594DEB6" w:rsidR="00803830" w:rsidRDefault="00000000" w:rsidP="00803830">
            <w:pPr>
              <w:pStyle w:val="CETBodytext"/>
            </w:pPr>
            <m:oMath>
              <m:sSub>
                <m:sSubPr>
                  <m:ctrlPr>
                    <w:rPr>
                      <w:rFonts w:ascii="Cambria Math" w:hAnsi="Cambria Math"/>
                      <w:i/>
                    </w:rPr>
                  </m:ctrlPr>
                </m:sSubPr>
                <m:e>
                  <m:r>
                    <w:rPr>
                      <w:rFonts w:ascii="Cambria Math" w:hAnsi="Cambria Math"/>
                    </w:rPr>
                    <m:t>p</m:t>
                  </m:r>
                </m:e>
                <m:sub>
                  <m:r>
                    <w:rPr>
                      <w:rFonts w:ascii="Cambria Math" w:hAnsi="Cambria Math"/>
                    </w:rPr>
                    <m:t>stat</m:t>
                  </m:r>
                </m:sub>
              </m:sSub>
            </m:oMath>
            <w:r w:rsidR="00803830">
              <w:t xml:space="preserve"> (bar-g)</w:t>
            </w:r>
          </w:p>
        </w:tc>
        <w:tc>
          <w:tcPr>
            <w:tcW w:w="992" w:type="dxa"/>
          </w:tcPr>
          <w:p w14:paraId="749224EB" w14:textId="6DE9705B" w:rsidR="00803830" w:rsidRDefault="00803830" w:rsidP="00803830">
            <w:pPr>
              <w:pStyle w:val="CETBodytext"/>
            </w:pPr>
            <w:r>
              <w:t>0.1</w:t>
            </w:r>
          </w:p>
        </w:tc>
      </w:tr>
    </w:tbl>
    <w:p w14:paraId="1E4596D8" w14:textId="77777777" w:rsidR="00DE7F5D" w:rsidRDefault="007C4521" w:rsidP="006F22CD">
      <w:pPr>
        <w:pStyle w:val="CETBodytext"/>
        <w:keepNext/>
        <w:jc w:val="left"/>
      </w:pPr>
      <w:r w:rsidRPr="00664527">
        <w:rPr>
          <w:i/>
          <w:noProof/>
          <w:color w:val="000000" w:themeColor="text1"/>
        </w:rPr>
        <w:drawing>
          <wp:inline distT="0" distB="0" distL="0" distR="0" wp14:anchorId="1A634622" wp14:editId="40A21441">
            <wp:extent cx="3657600" cy="2337910"/>
            <wp:effectExtent l="0" t="0" r="0" b="5715"/>
            <wp:docPr id="390249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49075" name="Picture 1"/>
                    <pic:cNvPicPr/>
                  </pic:nvPicPr>
                  <pic:blipFill>
                    <a:blip r:embed="rId10"/>
                    <a:stretch>
                      <a:fillRect/>
                    </a:stretch>
                  </pic:blipFill>
                  <pic:spPr>
                    <a:xfrm>
                      <a:off x="0" y="0"/>
                      <a:ext cx="3657600" cy="2337910"/>
                    </a:xfrm>
                    <a:prstGeom prst="rect">
                      <a:avLst/>
                    </a:prstGeom>
                  </pic:spPr>
                </pic:pic>
              </a:graphicData>
            </a:graphic>
          </wp:inline>
        </w:drawing>
      </w:r>
    </w:p>
    <w:p w14:paraId="4E484F84" w14:textId="436A46D9" w:rsidR="007C4521" w:rsidRDefault="00DE7F5D" w:rsidP="00DE7F5D">
      <w:pPr>
        <w:pStyle w:val="CETCaption"/>
      </w:pPr>
      <w:r>
        <w:t xml:space="preserve">Figure </w:t>
      </w:r>
      <w:r>
        <w:fldChar w:fldCharType="begin"/>
      </w:r>
      <w:r>
        <w:instrText xml:space="preserve"> SEQ Figure \* ARABIC </w:instrText>
      </w:r>
      <w:r>
        <w:fldChar w:fldCharType="separate"/>
      </w:r>
      <w:r w:rsidR="00B228C0">
        <w:rPr>
          <w:noProof/>
        </w:rPr>
        <w:t>1</w:t>
      </w:r>
      <w:r>
        <w:fldChar w:fldCharType="end"/>
      </w:r>
      <w:r>
        <w:t xml:space="preserve">: </w:t>
      </w:r>
      <w:r w:rsidR="008A0565">
        <w:t>Sample calculations of pressure histories for vented explosions using inertia-less membr</w:t>
      </w:r>
      <w:r w:rsidR="00D14415">
        <w:t>ane</w:t>
      </w:r>
      <w:r w:rsidR="008A0565">
        <w:t xml:space="preserve"> and practical venting device</w:t>
      </w:r>
      <w:r w:rsidR="00D14415">
        <w:t>.</w:t>
      </w:r>
    </w:p>
    <w:p w14:paraId="26473544" w14:textId="746549AA" w:rsidR="00027DD5" w:rsidRDefault="00027DD5" w:rsidP="00027DD5">
      <w:pPr>
        <w:pStyle w:val="CETBodytext"/>
      </w:pPr>
      <w:r>
        <w:t xml:space="preserve">By applying </w:t>
      </w:r>
      <w:r w:rsidR="00F94A11">
        <w:t>the EN 14</w:t>
      </w:r>
      <w:r w:rsidR="005F389F">
        <w:t>491</w:t>
      </w:r>
      <w:r w:rsidR="00F94A11">
        <w:t xml:space="preserve"> relationship between reduced pressure and </w:t>
      </w:r>
      <w:r w:rsidR="00D86892">
        <w:t>vent area, venting efficiency is inferred from the observed reduced pressures:</w:t>
      </w:r>
    </w:p>
    <w:p w14:paraId="0F40926A" w14:textId="77777777" w:rsidR="000A3EBD" w:rsidRPr="00027DD5" w:rsidRDefault="000A3EBD" w:rsidP="00027DD5">
      <w:pPr>
        <w:pStyle w:val="CETBodytext"/>
      </w:pPr>
    </w:p>
    <w:tbl>
      <w:tblPr>
        <w:tblW w:w="5000" w:type="pct"/>
        <w:tblLook w:val="04A0" w:firstRow="1" w:lastRow="0" w:firstColumn="1" w:lastColumn="0" w:noHBand="0" w:noVBand="1"/>
      </w:tblPr>
      <w:tblGrid>
        <w:gridCol w:w="7985"/>
        <w:gridCol w:w="802"/>
      </w:tblGrid>
      <w:tr w:rsidR="00130750" w:rsidRPr="00B57B36" w14:paraId="184C6DB4" w14:textId="77777777" w:rsidTr="00223EFA">
        <w:tc>
          <w:tcPr>
            <w:tcW w:w="8188" w:type="dxa"/>
            <w:vAlign w:val="center"/>
          </w:tcPr>
          <w:p w14:paraId="3C9283BF" w14:textId="564D4B56" w:rsidR="00130750" w:rsidRPr="00AB0830" w:rsidRDefault="00AB0830" w:rsidP="00223EFA">
            <w:pPr>
              <w:pStyle w:val="CETBodytext"/>
              <w:rPr>
                <w:i/>
              </w:rPr>
            </w:pPr>
            <m:oMathPara>
              <m:oMathParaPr>
                <m:jc m:val="left"/>
              </m:oMathParaPr>
              <m:oMath>
                <m:r>
                  <w:rPr>
                    <w:rFonts w:ascii="Cambria Math" w:hAnsi="Cambria Math"/>
                    <w:color w:val="000000" w:themeColor="text1"/>
                    <w:lang w:eastAsia="zh-CN"/>
                  </w:rPr>
                  <m:t>Ef=</m:t>
                </m:r>
                <m:f>
                  <m:fPr>
                    <m:ctrlPr>
                      <w:rPr>
                        <w:rFonts w:ascii="Cambria Math" w:hAnsi="Cambria Math"/>
                        <w:i/>
                        <w:color w:val="000000" w:themeColor="text1"/>
                        <w:lang w:eastAsia="zh-CN"/>
                      </w:rPr>
                    </m:ctrlPr>
                  </m:fPr>
                  <m:num>
                    <m:sSub>
                      <m:sSubPr>
                        <m:ctrlPr>
                          <w:rPr>
                            <w:rFonts w:ascii="Cambria Math" w:hAnsi="Cambria Math"/>
                            <w:i/>
                            <w:color w:val="000000" w:themeColor="text1"/>
                            <w:lang w:eastAsia="zh-CN"/>
                          </w:rPr>
                        </m:ctrlPr>
                      </m:sSubPr>
                      <m:e>
                        <m:r>
                          <w:rPr>
                            <w:rFonts w:ascii="Cambria Math" w:hAnsi="Cambria Math"/>
                            <w:color w:val="000000" w:themeColor="text1"/>
                            <w:lang w:eastAsia="zh-CN"/>
                          </w:rPr>
                          <m:t>A</m:t>
                        </m:r>
                      </m:e>
                      <m:sub>
                        <m:r>
                          <w:rPr>
                            <w:rFonts w:ascii="Cambria Math" w:hAnsi="Cambria Math"/>
                            <w:color w:val="000000" w:themeColor="text1"/>
                            <w:lang w:eastAsia="zh-CN"/>
                          </w:rPr>
                          <m:t>E</m:t>
                        </m:r>
                      </m:sub>
                    </m:sSub>
                  </m:num>
                  <m:den>
                    <m:sSub>
                      <m:sSubPr>
                        <m:ctrlPr>
                          <w:rPr>
                            <w:rFonts w:ascii="Cambria Math" w:hAnsi="Cambria Math"/>
                            <w:i/>
                            <w:color w:val="000000" w:themeColor="text1"/>
                            <w:lang w:eastAsia="zh-CN"/>
                          </w:rPr>
                        </m:ctrlPr>
                      </m:sSubPr>
                      <m:e>
                        <m:r>
                          <w:rPr>
                            <w:rFonts w:ascii="Cambria Math" w:hAnsi="Cambria Math"/>
                            <w:color w:val="000000" w:themeColor="text1"/>
                            <w:lang w:eastAsia="zh-CN"/>
                          </w:rPr>
                          <m:t>A</m:t>
                        </m:r>
                      </m:e>
                      <m:sub>
                        <m:r>
                          <w:rPr>
                            <w:rFonts w:ascii="Cambria Math" w:hAnsi="Cambria Math"/>
                            <w:color w:val="000000" w:themeColor="text1"/>
                            <w:lang w:eastAsia="zh-CN"/>
                          </w:rPr>
                          <m:t>d</m:t>
                        </m:r>
                      </m:sub>
                    </m:sSub>
                  </m:den>
                </m:f>
                <m:r>
                  <w:rPr>
                    <w:rFonts w:ascii="Cambria Math" w:hAnsi="Cambria Math"/>
                    <w:color w:val="000000" w:themeColor="text1"/>
                    <w:lang w:eastAsia="zh-CN"/>
                  </w:rPr>
                  <m:t>=</m:t>
                </m:r>
                <m:sSup>
                  <m:sSupPr>
                    <m:ctrlPr>
                      <w:rPr>
                        <w:rFonts w:ascii="Cambria Math" w:hAnsi="Cambria Math"/>
                        <w:i/>
                        <w:color w:val="000000" w:themeColor="text1"/>
                      </w:rPr>
                    </m:ctrlPr>
                  </m:sSupPr>
                  <m:e>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red,  inertia-less</m:t>
                                </m:r>
                              </m:sub>
                            </m:sSub>
                          </m:num>
                          <m:den>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red,venting device</m:t>
                                </m:r>
                              </m:sub>
                            </m:sSub>
                          </m:den>
                        </m:f>
                      </m:e>
                    </m:d>
                  </m:e>
                  <m:sup>
                    <m:r>
                      <w:rPr>
                        <w:rFonts w:ascii="Cambria Math" w:hAnsi="Cambria Math"/>
                        <w:color w:val="000000" w:themeColor="text1"/>
                      </w:rPr>
                      <m:t>0.569</m:t>
                    </m:r>
                  </m:sup>
                </m:sSup>
              </m:oMath>
            </m:oMathPara>
          </w:p>
        </w:tc>
        <w:tc>
          <w:tcPr>
            <w:tcW w:w="815" w:type="dxa"/>
            <w:vAlign w:val="center"/>
          </w:tcPr>
          <w:p w14:paraId="5BD51326" w14:textId="10A6400E" w:rsidR="00130750" w:rsidRPr="00B57B36" w:rsidRDefault="00130750" w:rsidP="00223EFA">
            <w:pPr>
              <w:pStyle w:val="CETEquation"/>
              <w:jc w:val="right"/>
            </w:pPr>
            <w:r w:rsidRPr="00B57B36">
              <w:t>(</w:t>
            </w:r>
            <w:r w:rsidR="00A04B7F">
              <w:t>4</w:t>
            </w:r>
            <w:r w:rsidRPr="00B57B36">
              <w:t>)</w:t>
            </w:r>
          </w:p>
        </w:tc>
      </w:tr>
    </w:tbl>
    <w:p w14:paraId="722343A4" w14:textId="77777777" w:rsidR="00FD23DE" w:rsidRDefault="00FD23DE" w:rsidP="00FD23DE">
      <w:pPr>
        <w:pStyle w:val="CETBodytext"/>
      </w:pPr>
    </w:p>
    <w:p w14:paraId="5BB0FFD8" w14:textId="56DAB05B" w:rsidR="00FD23DE" w:rsidRDefault="009677FA" w:rsidP="00FD23DE">
      <w:pPr>
        <w:pStyle w:val="CETBodytext"/>
      </w:pPr>
      <w:r>
        <w:t>Overall, venting efficiency depends on various parameters, including both application parameters (V, K</w:t>
      </w:r>
      <w:r w:rsidRPr="006644C3">
        <w:rPr>
          <w:vertAlign w:val="subscript"/>
        </w:rPr>
        <w:t>St</w:t>
      </w:r>
      <w:r>
        <w:t xml:space="preserve">, </w:t>
      </w:r>
      <w:r w:rsidR="002A1E88">
        <w:t>p</w:t>
      </w:r>
      <w:r w:rsidR="002A1E88" w:rsidRPr="002A1E88">
        <w:rPr>
          <w:vertAlign w:val="subscript"/>
        </w:rPr>
        <w:t>max</w:t>
      </w:r>
      <w:r w:rsidR="002A1E88">
        <w:t xml:space="preserve">, </w:t>
      </w:r>
      <w:r>
        <w:t>p</w:t>
      </w:r>
      <w:r w:rsidRPr="006644C3">
        <w:rPr>
          <w:vertAlign w:val="subscript"/>
        </w:rPr>
        <w:t>red</w:t>
      </w:r>
      <w:r>
        <w:t>) and vent panel properties (m</w:t>
      </w:r>
      <w:r w:rsidRPr="006644C3">
        <w:rPr>
          <w:vertAlign w:val="subscript"/>
        </w:rPr>
        <w:t>v</w:t>
      </w:r>
      <w:r>
        <w:t>, p</w:t>
      </w:r>
      <w:r w:rsidRPr="006644C3">
        <w:rPr>
          <w:vertAlign w:val="subscript"/>
        </w:rPr>
        <w:t>stat</w:t>
      </w:r>
      <w:r>
        <w:t>, L</w:t>
      </w:r>
      <w:r w:rsidRPr="006644C3">
        <w:rPr>
          <w:vertAlign w:val="subscript"/>
        </w:rPr>
        <w:t>v</w:t>
      </w:r>
      <w:r>
        <w:t>, W</w:t>
      </w:r>
      <w:r w:rsidRPr="006644C3">
        <w:rPr>
          <w:vertAlign w:val="subscript"/>
        </w:rPr>
        <w:t>v</w:t>
      </w:r>
      <w:r>
        <w:t>, N</w:t>
      </w:r>
      <w:r w:rsidRPr="006644C3">
        <w:rPr>
          <w:vertAlign w:val="subscript"/>
        </w:rPr>
        <w:t>v</w:t>
      </w:r>
      <w:r>
        <w:t>, material properties)</w:t>
      </w:r>
      <w:r w:rsidR="00C43209">
        <w:t>.</w:t>
      </w:r>
    </w:p>
    <w:p w14:paraId="28D0A895" w14:textId="3C1AFB30" w:rsidR="00856DB2" w:rsidRDefault="00955816" w:rsidP="00A60230">
      <w:pPr>
        <w:pStyle w:val="CETHeading1"/>
      </w:pPr>
      <w:r>
        <w:t>Model Evaluation</w:t>
      </w:r>
    </w:p>
    <w:p w14:paraId="77E0EB14" w14:textId="08F3CDCD" w:rsidR="009731E8" w:rsidRDefault="00A73BF8" w:rsidP="00955816">
      <w:pPr>
        <w:pStyle w:val="CETBodytext"/>
      </w:pPr>
      <w:r w:rsidRPr="00A73BF8">
        <w:t>To provide a</w:t>
      </w:r>
      <w:r w:rsidR="00AB063A">
        <w:t>n empirical evaluation of</w:t>
      </w:r>
      <w:r w:rsidRPr="00A73BF8">
        <w:t xml:space="preserve"> the physics-based approach, the model is </w:t>
      </w:r>
      <w:r w:rsidR="00AB063A">
        <w:t>compared</w:t>
      </w:r>
      <w:r w:rsidRPr="00A73BF8">
        <w:t xml:space="preserve"> against the methodolog</w:t>
      </w:r>
      <w:r w:rsidR="009731E8">
        <w:t>y</w:t>
      </w:r>
      <w:r w:rsidRPr="00A73BF8">
        <w:t xml:space="preserve"> currently used in NFPA 68 (2023)</w:t>
      </w:r>
      <w:r w:rsidR="009731E8">
        <w:t xml:space="preserve"> and Lorenz’s (2020) method</w:t>
      </w:r>
      <w:r w:rsidR="00B9612D">
        <w:t>.</w:t>
      </w:r>
    </w:p>
    <w:p w14:paraId="10CCD7D6" w14:textId="1D80F919" w:rsidR="009731E8" w:rsidRDefault="00A73BF8" w:rsidP="00955816">
      <w:pPr>
        <w:pStyle w:val="CETBodytext"/>
      </w:pPr>
      <w:r w:rsidRPr="00A73BF8">
        <w:t xml:space="preserve"> </w:t>
      </w:r>
    </w:p>
    <w:p w14:paraId="7A3CDF6C" w14:textId="2E2794E8" w:rsidR="00B9612D" w:rsidRDefault="00B9612D" w:rsidP="00DF7334">
      <w:pPr>
        <w:pStyle w:val="CETBodytext"/>
        <w:numPr>
          <w:ilvl w:val="0"/>
          <w:numId w:val="27"/>
        </w:numPr>
      </w:pPr>
      <w:r>
        <w:t>NFPA 68 (2</w:t>
      </w:r>
      <w:r w:rsidR="000007BE">
        <w:t>0</w:t>
      </w:r>
      <w:r>
        <w:t xml:space="preserve">23) </w:t>
      </w:r>
      <w:r w:rsidR="00A73BF8" w:rsidRPr="00A73BF8">
        <w:t>simplifies the complex interaction between the explosion and the vent panel into a mass-inertia problem</w:t>
      </w:r>
      <w:r w:rsidR="00DC5D5A">
        <w:t xml:space="preserve"> and</w:t>
      </w:r>
      <w:r w:rsidR="00A73BF8" w:rsidRPr="00A73BF8">
        <w:t xml:space="preserve"> employs </w:t>
      </w:r>
      <w:r w:rsidR="007536E9">
        <w:t>a</w:t>
      </w:r>
      <w:r w:rsidR="00EB6ADC">
        <w:t>n empirical</w:t>
      </w:r>
      <w:r w:rsidR="007536E9">
        <w:t xml:space="preserve"> </w:t>
      </w:r>
      <w:r w:rsidR="00A73BF8" w:rsidRPr="00A73BF8">
        <w:t>correlation to calculate a mass threshold</w:t>
      </w:r>
      <w:r w:rsidR="00E4325F">
        <w:t xml:space="preserve"> (M</w:t>
      </w:r>
      <w:r w:rsidR="00E4325F" w:rsidRPr="00E4325F">
        <w:rPr>
          <w:vertAlign w:val="subscript"/>
        </w:rPr>
        <w:t>T</w:t>
      </w:r>
      <w:r w:rsidR="00E4325F">
        <w:t>)</w:t>
      </w:r>
      <w:r w:rsidR="00A73BF8" w:rsidRPr="00A73BF8">
        <w:t xml:space="preserve">. If the vent panel's </w:t>
      </w:r>
      <w:r w:rsidR="00B97BA3">
        <w:t>area density</w:t>
      </w:r>
      <w:r w:rsidR="00C61520">
        <w:t xml:space="preserve"> (m</w:t>
      </w:r>
      <w:r w:rsidR="00C61520" w:rsidRPr="00C61520">
        <w:rPr>
          <w:vertAlign w:val="subscript"/>
        </w:rPr>
        <w:t>v</w:t>
      </w:r>
      <w:r w:rsidR="00C61520">
        <w:t>)</w:t>
      </w:r>
      <w:r w:rsidR="00A73BF8" w:rsidRPr="00A73BF8">
        <w:t xml:space="preserve"> falls below this limit, it is treated as a 100</w:t>
      </w:r>
      <w:r w:rsidR="00D059A2">
        <w:t>-</w:t>
      </w:r>
      <w:r w:rsidR="00A73BF8" w:rsidRPr="00A73BF8">
        <w:t xml:space="preserve">% efficient, inertia-free device; otherwise, an area compensation factor is applied. While computationally straightforward, this </w:t>
      </w:r>
      <w:r w:rsidR="00C57768">
        <w:t xml:space="preserve">empirical </w:t>
      </w:r>
      <w:r w:rsidR="00A73BF8" w:rsidRPr="00A73BF8">
        <w:t xml:space="preserve">methodology results in a step behavior in efficiency predictions that </w:t>
      </w:r>
      <w:r w:rsidR="00DC5D5A">
        <w:t>does</w:t>
      </w:r>
      <w:r w:rsidR="00A73BF8" w:rsidRPr="00A73BF8">
        <w:t xml:space="preserve"> not reflect physical reality.</w:t>
      </w:r>
    </w:p>
    <w:p w14:paraId="1FFF25D9" w14:textId="77777777" w:rsidR="00FF209C" w:rsidRDefault="00FF209C" w:rsidP="00FF209C">
      <w:pPr>
        <w:pStyle w:val="CETBodytext"/>
        <w:ind w:left="360"/>
      </w:pPr>
    </w:p>
    <w:p w14:paraId="6B110996" w14:textId="1D07384E" w:rsidR="00AB063A" w:rsidRDefault="00A73BF8" w:rsidP="00DF7334">
      <w:pPr>
        <w:pStyle w:val="CETBodytext"/>
        <w:numPr>
          <w:ilvl w:val="0"/>
          <w:numId w:val="27"/>
        </w:numPr>
      </w:pPr>
      <w:r w:rsidRPr="00A73BF8">
        <w:t>The Lorenz (2020) Model offers a</w:t>
      </w:r>
      <w:r w:rsidR="00D51C03">
        <w:t>n</w:t>
      </w:r>
      <w:r w:rsidR="00F86C42">
        <w:t>other</w:t>
      </w:r>
      <w:r w:rsidRPr="00A73BF8">
        <w:t xml:space="preserve"> empirical alternative, originally developed </w:t>
      </w:r>
      <w:r w:rsidR="00B9612D">
        <w:t xml:space="preserve">for characterizing the efficiency of </w:t>
      </w:r>
      <w:r w:rsidRPr="00A73BF8">
        <w:t xml:space="preserve">high-inertia reclosable explosion doors. This model introduces a resistance parameter </w:t>
      </w:r>
      <w:r w:rsidR="000830B2">
        <w:t>(</w:t>
      </w:r>
      <w:r w:rsidRPr="00A73BF8">
        <w:t>Q</w:t>
      </w:r>
      <w:r w:rsidR="000830B2">
        <w:t>),</w:t>
      </w:r>
      <w:r w:rsidRPr="00A73BF8">
        <w:t xml:space="preserve"> which characterizes the device based on its moment of inertia relative to its geometric dimensions and hinge axis. By using </w:t>
      </w:r>
      <w:proofErr w:type="gramStart"/>
      <w:r w:rsidRPr="00A73BF8">
        <w:t>a</w:t>
      </w:r>
      <w:proofErr w:type="gramEnd"/>
      <w:r w:rsidR="00104CC9">
        <w:t xml:space="preserve"> empirical</w:t>
      </w:r>
      <w:r w:rsidRPr="00A73BF8">
        <w:t xml:space="preserve"> exponential decay function, it </w:t>
      </w:r>
      <w:r w:rsidR="0091249F">
        <w:t>predicts</w:t>
      </w:r>
      <w:r w:rsidRPr="00A73BF8">
        <w:t xml:space="preserve"> how this resistance reduces efficiency as a function of the vessel volume and dust reactivity.</w:t>
      </w:r>
    </w:p>
    <w:p w14:paraId="344E0726" w14:textId="30384E27" w:rsidR="00955816" w:rsidRDefault="00955816" w:rsidP="00955816">
      <w:pPr>
        <w:pStyle w:val="CETheadingx"/>
      </w:pPr>
      <w:r>
        <w:lastRenderedPageBreak/>
        <w:t>Volumetric Scaling and Efficiency Trends</w:t>
      </w:r>
    </w:p>
    <w:p w14:paraId="72E8E329" w14:textId="765C3F0F" w:rsidR="00234E65" w:rsidRPr="00C90572" w:rsidRDefault="00234E65" w:rsidP="00955816">
      <w:pPr>
        <w:pStyle w:val="CETBodytext"/>
      </w:pPr>
      <w:r w:rsidRPr="00C90572">
        <w:t>Figure 2 compares efficiency</w:t>
      </w:r>
      <w:r w:rsidR="00411563">
        <w:t xml:space="preserve"> (Ef)</w:t>
      </w:r>
      <w:r w:rsidRPr="00C90572">
        <w:t xml:space="preserve"> predictions </w:t>
      </w:r>
      <w:r w:rsidR="002A1E88" w:rsidRPr="00C90572">
        <w:t xml:space="preserve">as a function of </w:t>
      </w:r>
      <w:r w:rsidR="00C90572">
        <w:t xml:space="preserve">protected </w:t>
      </w:r>
      <w:r w:rsidR="002A1E88" w:rsidRPr="00C90572">
        <w:t>volume</w:t>
      </w:r>
      <w:r w:rsidR="004B5A3E">
        <w:t xml:space="preserve"> (V)</w:t>
      </w:r>
      <w:r w:rsidR="002A1E88" w:rsidRPr="00C90572">
        <w:t xml:space="preserve"> for a sample set of application parameters (K</w:t>
      </w:r>
      <w:r w:rsidR="002A1E88" w:rsidRPr="00C90572">
        <w:rPr>
          <w:vertAlign w:val="subscript"/>
        </w:rPr>
        <w:t>St</w:t>
      </w:r>
      <w:r w:rsidR="002A1E88" w:rsidRPr="00C90572">
        <w:t>, p</w:t>
      </w:r>
      <w:r w:rsidR="002A1E88" w:rsidRPr="00C90572">
        <w:rPr>
          <w:vertAlign w:val="subscript"/>
        </w:rPr>
        <w:t>max</w:t>
      </w:r>
      <w:r w:rsidR="002A1E88" w:rsidRPr="00C90572">
        <w:t>,  p</w:t>
      </w:r>
      <w:r w:rsidR="002A1E88" w:rsidRPr="00C90572">
        <w:rPr>
          <w:vertAlign w:val="subscript"/>
        </w:rPr>
        <w:t>red</w:t>
      </w:r>
      <w:r w:rsidR="002A1E88" w:rsidRPr="00C90572">
        <w:t>) and vent panel properties (</w:t>
      </w:r>
      <w:r w:rsidR="00C90572" w:rsidRPr="00C90572">
        <w:t>m</w:t>
      </w:r>
      <w:r w:rsidR="00C90572" w:rsidRPr="00C90572">
        <w:rPr>
          <w:vertAlign w:val="subscript"/>
        </w:rPr>
        <w:t>v</w:t>
      </w:r>
      <w:r w:rsidR="00C90572" w:rsidRPr="00C90572">
        <w:t>, p</w:t>
      </w:r>
      <w:r w:rsidR="00C90572" w:rsidRPr="00C90572">
        <w:rPr>
          <w:vertAlign w:val="subscript"/>
        </w:rPr>
        <w:t>stat</w:t>
      </w:r>
      <w:r w:rsidR="002A1E88" w:rsidRPr="00C90572">
        <w:t>)</w:t>
      </w:r>
      <w:r w:rsidR="00C90572" w:rsidRPr="00C90572">
        <w:t>.</w:t>
      </w:r>
      <w:r w:rsidR="00E37E5E">
        <w:t xml:space="preserve"> The number of vent panels</w:t>
      </w:r>
      <w:r w:rsidR="00F21F1B">
        <w:t xml:space="preserve"> (N</w:t>
      </w:r>
      <w:r w:rsidR="00F21F1B" w:rsidRPr="00F21F1B">
        <w:rPr>
          <w:vertAlign w:val="subscript"/>
        </w:rPr>
        <w:t>v</w:t>
      </w:r>
      <w:r w:rsidR="00F21F1B">
        <w:t>)</w:t>
      </w:r>
      <w:r w:rsidR="00E37E5E">
        <w:t xml:space="preserve"> was dynamically calculated to meet the vent area required to achieve the desired p</w:t>
      </w:r>
      <w:r w:rsidR="00E37E5E" w:rsidRPr="00E37E5E">
        <w:rPr>
          <w:vertAlign w:val="subscript"/>
        </w:rPr>
        <w:t>red</w:t>
      </w:r>
      <w:r w:rsidR="00E37E5E">
        <w:t xml:space="preserve"> of 0.15 bar-g </w:t>
      </w:r>
      <w:r w:rsidR="001166E6">
        <w:t>used in this example</w:t>
      </w:r>
      <w:r w:rsidR="00E37E5E">
        <w:t>, assuming individual panel dimensions of 0.61 m x 0.61 m.</w:t>
      </w:r>
    </w:p>
    <w:p w14:paraId="28EEF670" w14:textId="77777777" w:rsidR="002A1E88" w:rsidRPr="00235900" w:rsidRDefault="002A1E88" w:rsidP="00955816">
      <w:pPr>
        <w:pStyle w:val="CETBodytext"/>
      </w:pPr>
    </w:p>
    <w:p w14:paraId="5BE6A8D2" w14:textId="2CFCA23E" w:rsidR="002827B5" w:rsidRDefault="002827B5" w:rsidP="00955816">
      <w:pPr>
        <w:pStyle w:val="CETBodytext"/>
      </w:pPr>
      <w:r w:rsidRPr="00235900">
        <w:t>All models qualitatively agree that efficiency increases with vessel volume. However, the quantitative progression differs significantly:</w:t>
      </w:r>
    </w:p>
    <w:p w14:paraId="041E6AAD" w14:textId="77777777" w:rsidR="00BC396E" w:rsidRDefault="00BC396E" w:rsidP="00955816">
      <w:pPr>
        <w:pStyle w:val="CETBodytext"/>
      </w:pPr>
    </w:p>
    <w:p w14:paraId="394C285C" w14:textId="43AE49D7" w:rsidR="002827B5" w:rsidRDefault="002827B5" w:rsidP="00016349">
      <w:pPr>
        <w:pStyle w:val="CETBodytext"/>
        <w:numPr>
          <w:ilvl w:val="0"/>
          <w:numId w:val="24"/>
        </w:numPr>
      </w:pPr>
      <w:r w:rsidRPr="002827B5">
        <w:t>NFPA 68</w:t>
      </w:r>
      <w:r w:rsidR="00235900">
        <w:t xml:space="preserve"> (2023)</w:t>
      </w:r>
      <w:r w:rsidRPr="002827B5">
        <w:t xml:space="preserve">: </w:t>
      </w:r>
      <w:r w:rsidR="00016349" w:rsidRPr="00016349">
        <w:t>Employs a step-function approach that assumes 100</w:t>
      </w:r>
      <w:r w:rsidR="00016349">
        <w:t xml:space="preserve"> </w:t>
      </w:r>
      <w:r w:rsidR="00016349" w:rsidRPr="00016349">
        <w:t>% efficiency once a specific mass threshold (M</w:t>
      </w:r>
      <w:r w:rsidR="00016349" w:rsidRPr="00016349">
        <w:rPr>
          <w:vertAlign w:val="subscript"/>
        </w:rPr>
        <w:t>T</w:t>
      </w:r>
      <w:r w:rsidR="00016349" w:rsidRPr="00016349">
        <w:t>) is met, causing abrupt transitions in vent area requirements. This behavior is illustrated in Figure 2, where the unconstrained physics (dashed red) are compared against the threshold-limited constrained method (solid red).</w:t>
      </w:r>
    </w:p>
    <w:p w14:paraId="795DE352" w14:textId="77777777" w:rsidR="00BC396E" w:rsidRDefault="00BC396E" w:rsidP="00BC396E">
      <w:pPr>
        <w:pStyle w:val="CETBodytext"/>
        <w:ind w:left="720"/>
      </w:pPr>
    </w:p>
    <w:p w14:paraId="1C0F2984" w14:textId="48347397" w:rsidR="002827B5" w:rsidRDefault="002827B5" w:rsidP="002827B5">
      <w:pPr>
        <w:pStyle w:val="CETBodytext"/>
        <w:numPr>
          <w:ilvl w:val="0"/>
          <w:numId w:val="24"/>
        </w:numPr>
      </w:pPr>
      <w:r w:rsidRPr="002827B5">
        <w:t xml:space="preserve">Lorenz (2020): Shows a </w:t>
      </w:r>
      <w:r w:rsidR="00147D60">
        <w:t>continuous</w:t>
      </w:r>
      <w:r w:rsidRPr="002827B5">
        <w:t xml:space="preserve"> asymptotic approach to 100% but tends to be overly conservative for volumes exceeding 25</w:t>
      </w:r>
      <w:r w:rsidR="00956047">
        <w:t xml:space="preserve"> </w:t>
      </w:r>
      <w:r w:rsidRPr="002827B5">
        <w:t>m</w:t>
      </w:r>
      <w:r w:rsidRPr="00956047">
        <w:rPr>
          <w:vertAlign w:val="superscript"/>
        </w:rPr>
        <w:t>3</w:t>
      </w:r>
      <w:r w:rsidR="00956047">
        <w:t>, according to the author</w:t>
      </w:r>
      <w:r w:rsidRPr="002827B5">
        <w:t>.</w:t>
      </w:r>
      <w:r w:rsidR="005858D5">
        <w:t xml:space="preserve"> Several values of Q were considered to capture uncertainties of panel bending resistance contributions.</w:t>
      </w:r>
    </w:p>
    <w:p w14:paraId="2DC8938A" w14:textId="77777777" w:rsidR="00BC396E" w:rsidRDefault="00BC396E" w:rsidP="00BC396E">
      <w:pPr>
        <w:pStyle w:val="CETBodytext"/>
      </w:pPr>
    </w:p>
    <w:p w14:paraId="5E3EE0E7" w14:textId="572D006E" w:rsidR="00955816" w:rsidRDefault="002827B5" w:rsidP="002827B5">
      <w:pPr>
        <w:pStyle w:val="CETBodytext"/>
        <w:numPr>
          <w:ilvl w:val="0"/>
          <w:numId w:val="24"/>
        </w:numPr>
      </w:pPr>
      <w:r w:rsidRPr="002827B5">
        <w:t>Physic</w:t>
      </w:r>
      <w:r w:rsidR="00B04B8B">
        <w:t>s-based</w:t>
      </w:r>
      <w:r w:rsidRPr="002827B5">
        <w:t xml:space="preserve"> Model: </w:t>
      </w:r>
      <w:r w:rsidR="00956047">
        <w:t>Agrees</w:t>
      </w:r>
      <w:r w:rsidR="00AA1A4F">
        <w:t xml:space="preserve"> closely</w:t>
      </w:r>
      <w:r w:rsidR="00956047">
        <w:t xml:space="preserve"> with NFPA and Lorenz predictions for volume</w:t>
      </w:r>
      <w:r w:rsidR="00EB6532">
        <w:t>s</w:t>
      </w:r>
      <w:r w:rsidR="00956047">
        <w:t xml:space="preserve"> </w:t>
      </w:r>
      <w:r w:rsidR="00EB6532">
        <w:t>up to 10 m</w:t>
      </w:r>
      <w:r w:rsidR="00EB6532" w:rsidRPr="00EB6532">
        <w:rPr>
          <w:vertAlign w:val="superscript"/>
        </w:rPr>
        <w:t>3</w:t>
      </w:r>
      <w:r w:rsidR="00EB6532">
        <w:t xml:space="preserve"> followed by a smooth transition toward </w:t>
      </w:r>
      <w:r w:rsidRPr="002827B5">
        <w:t>near</w:t>
      </w:r>
      <w:r w:rsidR="00EB6532">
        <w:t>-</w:t>
      </w:r>
      <w:r w:rsidRPr="002827B5">
        <w:t>ideal efficiency (close to 100%) for volumes larger than 4</w:t>
      </w:r>
      <w:r w:rsidR="00B77595">
        <w:t>5</w:t>
      </w:r>
      <w:r w:rsidR="00956047">
        <w:t xml:space="preserve"> </w:t>
      </w:r>
      <w:r w:rsidRPr="002827B5">
        <w:t>m</w:t>
      </w:r>
      <w:r w:rsidRPr="00956047">
        <w:rPr>
          <w:vertAlign w:val="superscript"/>
        </w:rPr>
        <w:t>3</w:t>
      </w:r>
      <w:r w:rsidRPr="002827B5">
        <w:t>.</w:t>
      </w:r>
    </w:p>
    <w:p w14:paraId="454778E0" w14:textId="77777777" w:rsidR="00416E28" w:rsidRDefault="00416E28" w:rsidP="00416E28">
      <w:pPr>
        <w:pStyle w:val="CETBodytext"/>
      </w:pPr>
    </w:p>
    <w:p w14:paraId="707B8DA5" w14:textId="0B2EA1B0" w:rsidR="006C69E5" w:rsidRPr="006C69E5" w:rsidRDefault="006C69E5" w:rsidP="006C69E5">
      <w:pPr>
        <w:pStyle w:val="CETBodytext"/>
      </w:pPr>
      <w:r w:rsidRPr="006C69E5">
        <w:t xml:space="preserve">Crucially, the interplay between application parameters and vent closure properties dictates the quantitative divergence between models, as analyzed </w:t>
      </w:r>
      <w:r>
        <w:t xml:space="preserve">more </w:t>
      </w:r>
      <w:r w:rsidRPr="006C69E5">
        <w:t>extensively by Boeck and Bloching (2026). The results in Figure 2 thus characterize specific model behaviors</w:t>
      </w:r>
      <w:r>
        <w:t xml:space="preserve"> for the present conditions</w:t>
      </w:r>
      <w:r w:rsidRPr="006C69E5">
        <w:t xml:space="preserve"> rather than </w:t>
      </w:r>
      <w:r w:rsidR="00DA115B">
        <w:t xml:space="preserve">providing </w:t>
      </w:r>
      <w:r w:rsidRPr="006C69E5">
        <w:t xml:space="preserve">a universal </w:t>
      </w:r>
      <w:r w:rsidR="00DA115B">
        <w:t>solution</w:t>
      </w:r>
      <w:r w:rsidRPr="006C69E5">
        <w:t xml:space="preserve">, focusing on a regime of low </w:t>
      </w:r>
      <w:r w:rsidR="00A47E22">
        <w:t>p</w:t>
      </w:r>
      <w:r w:rsidRPr="006C69E5">
        <w:rPr>
          <w:vertAlign w:val="subscript"/>
        </w:rPr>
        <w:t>red</w:t>
      </w:r>
      <w:r w:rsidRPr="006C69E5">
        <w:t xml:space="preserve"> where venting efficiency is minimized and the influence of dynamic </w:t>
      </w:r>
      <w:r w:rsidR="0057773A">
        <w:t>vent panel opening</w:t>
      </w:r>
      <w:r w:rsidRPr="006C69E5">
        <w:t xml:space="preserve"> effects is most pronounced.</w:t>
      </w:r>
    </w:p>
    <w:tbl>
      <w:tblPr>
        <w:tblStyle w:val="TableGrid"/>
        <w:tblpPr w:leftFromText="180" w:rightFromText="180" w:vertAnchor="text" w:horzAnchor="margin" w:tblpXSpec="right" w:tblpY="943"/>
        <w:tblOverlap w:val="never"/>
        <w:tblW w:w="0" w:type="auto"/>
        <w:tblLook w:val="04A0" w:firstRow="1" w:lastRow="0" w:firstColumn="1" w:lastColumn="0" w:noHBand="0" w:noVBand="1"/>
      </w:tblPr>
      <w:tblGrid>
        <w:gridCol w:w="1433"/>
        <w:gridCol w:w="992"/>
      </w:tblGrid>
      <w:tr w:rsidR="00E17D0B" w14:paraId="50AB5873" w14:textId="77777777" w:rsidTr="00E17D0B">
        <w:trPr>
          <w:trHeight w:val="261"/>
        </w:trPr>
        <w:tc>
          <w:tcPr>
            <w:tcW w:w="1433" w:type="dxa"/>
          </w:tcPr>
          <w:p w14:paraId="312D704E" w14:textId="77777777" w:rsidR="00E17D0B" w:rsidRDefault="00000000" w:rsidP="00E17D0B">
            <w:pPr>
              <w:pStyle w:val="CETBodytext"/>
            </w:pPr>
            <m:oMath>
              <m:sSub>
                <m:sSubPr>
                  <m:ctrlPr>
                    <w:rPr>
                      <w:rFonts w:ascii="Cambria Math" w:hAnsi="Cambria Math"/>
                      <w:i/>
                    </w:rPr>
                  </m:ctrlPr>
                </m:sSubPr>
                <m:e>
                  <m:r>
                    <w:rPr>
                      <w:rFonts w:ascii="Cambria Math" w:hAnsi="Cambria Math"/>
                    </w:rPr>
                    <m:t>K</m:t>
                  </m:r>
                </m:e>
                <m:sub>
                  <m:r>
                    <w:rPr>
                      <w:rFonts w:ascii="Cambria Math" w:hAnsi="Cambria Math"/>
                    </w:rPr>
                    <m:t>St</m:t>
                  </m:r>
                </m:sub>
              </m:sSub>
            </m:oMath>
            <w:r w:rsidR="00E17D0B">
              <w:t xml:space="preserve"> (bar</w:t>
            </w:r>
            <w:r w:rsidR="00E17D0B">
              <w:rPr>
                <w:rFonts w:cs="Arial"/>
              </w:rPr>
              <w:t>·</w:t>
            </w:r>
            <w:r w:rsidR="00E17D0B">
              <w:t>m/s)</w:t>
            </w:r>
          </w:p>
        </w:tc>
        <w:tc>
          <w:tcPr>
            <w:tcW w:w="992" w:type="dxa"/>
          </w:tcPr>
          <w:p w14:paraId="373A3FB8" w14:textId="77777777" w:rsidR="00E17D0B" w:rsidRDefault="00E17D0B" w:rsidP="00E17D0B">
            <w:pPr>
              <w:pStyle w:val="CETBodytext"/>
            </w:pPr>
            <w:r>
              <w:t>200</w:t>
            </w:r>
          </w:p>
        </w:tc>
      </w:tr>
      <w:tr w:rsidR="003C59DD" w14:paraId="22E429BE" w14:textId="77777777" w:rsidTr="00E17D0B">
        <w:trPr>
          <w:trHeight w:val="261"/>
        </w:trPr>
        <w:tc>
          <w:tcPr>
            <w:tcW w:w="1433" w:type="dxa"/>
          </w:tcPr>
          <w:p w14:paraId="586D0F1D" w14:textId="0A317AB2" w:rsidR="003C59DD" w:rsidRDefault="00000000" w:rsidP="003C59DD">
            <w:pPr>
              <w:pStyle w:val="CETBodytext"/>
            </w:pPr>
            <m:oMath>
              <m:sSub>
                <m:sSubPr>
                  <m:ctrlPr>
                    <w:rPr>
                      <w:rFonts w:ascii="Cambria Math" w:hAnsi="Cambria Math"/>
                      <w:i/>
                    </w:rPr>
                  </m:ctrlPr>
                </m:sSubPr>
                <m:e>
                  <m:r>
                    <w:rPr>
                      <w:rFonts w:ascii="Cambria Math" w:hAnsi="Cambria Math"/>
                    </w:rPr>
                    <m:t>p</m:t>
                  </m:r>
                </m:e>
                <m:sub>
                  <m:r>
                    <w:rPr>
                      <w:rFonts w:ascii="Cambria Math" w:hAnsi="Cambria Math"/>
                    </w:rPr>
                    <m:t>red</m:t>
                  </m:r>
                </m:sub>
              </m:sSub>
            </m:oMath>
            <w:r w:rsidR="003C59DD">
              <w:t xml:space="preserve"> (bar-g)</w:t>
            </w:r>
          </w:p>
        </w:tc>
        <w:tc>
          <w:tcPr>
            <w:tcW w:w="992" w:type="dxa"/>
          </w:tcPr>
          <w:p w14:paraId="6AE9B57B" w14:textId="18F503D3" w:rsidR="003C59DD" w:rsidRDefault="003C59DD" w:rsidP="003C59DD">
            <w:pPr>
              <w:pStyle w:val="CETBodytext"/>
            </w:pPr>
            <w:r>
              <w:t>0.15</w:t>
            </w:r>
          </w:p>
        </w:tc>
      </w:tr>
      <w:tr w:rsidR="003C59DD" w14:paraId="45F93C4C" w14:textId="77777777" w:rsidTr="00E17D0B">
        <w:trPr>
          <w:trHeight w:val="261"/>
        </w:trPr>
        <w:tc>
          <w:tcPr>
            <w:tcW w:w="1433" w:type="dxa"/>
          </w:tcPr>
          <w:p w14:paraId="262233D1" w14:textId="77777777" w:rsidR="003C59DD" w:rsidRDefault="00000000" w:rsidP="003C59DD">
            <w:pPr>
              <w:pStyle w:val="CETBodytext"/>
            </w:pPr>
            <m:oMath>
              <m:sSub>
                <m:sSubPr>
                  <m:ctrlPr>
                    <w:rPr>
                      <w:rFonts w:ascii="Cambria Math" w:hAnsi="Cambria Math"/>
                      <w:i/>
                    </w:rPr>
                  </m:ctrlPr>
                </m:sSubPr>
                <m:e>
                  <m:r>
                    <w:rPr>
                      <w:rFonts w:ascii="Cambria Math" w:hAnsi="Cambria Math"/>
                    </w:rPr>
                    <m:t>m</m:t>
                  </m:r>
                </m:e>
                <m:sub>
                  <m:r>
                    <w:rPr>
                      <w:rFonts w:ascii="Cambria Math" w:hAnsi="Cambria Math"/>
                    </w:rPr>
                    <m:t>v</m:t>
                  </m:r>
                </m:sub>
              </m:sSub>
            </m:oMath>
            <w:r w:rsidR="003C59DD">
              <w:t xml:space="preserve"> (kg/m</w:t>
            </w:r>
            <w:r w:rsidR="003C59DD" w:rsidRPr="00D52CEF">
              <w:rPr>
                <w:vertAlign w:val="superscript"/>
              </w:rPr>
              <w:t>2</w:t>
            </w:r>
            <w:r w:rsidR="003C59DD">
              <w:t>)</w:t>
            </w:r>
          </w:p>
        </w:tc>
        <w:tc>
          <w:tcPr>
            <w:tcW w:w="992" w:type="dxa"/>
          </w:tcPr>
          <w:p w14:paraId="092AB1F2" w14:textId="77777777" w:rsidR="003C59DD" w:rsidRDefault="003C59DD" w:rsidP="003C59DD">
            <w:pPr>
              <w:pStyle w:val="CETBodytext"/>
            </w:pPr>
            <w:r>
              <w:t>10</w:t>
            </w:r>
          </w:p>
        </w:tc>
      </w:tr>
      <w:tr w:rsidR="003C59DD" w14:paraId="0AB6ADB6" w14:textId="77777777" w:rsidTr="00E17D0B">
        <w:trPr>
          <w:trHeight w:val="261"/>
        </w:trPr>
        <w:tc>
          <w:tcPr>
            <w:tcW w:w="1433" w:type="dxa"/>
          </w:tcPr>
          <w:p w14:paraId="3C71551D" w14:textId="5F589C7B" w:rsidR="003C59DD" w:rsidRDefault="00000000" w:rsidP="003C59DD">
            <w:pPr>
              <w:pStyle w:val="CETBodytext"/>
            </w:pPr>
            <m:oMath>
              <m:sSub>
                <m:sSubPr>
                  <m:ctrlPr>
                    <w:rPr>
                      <w:rFonts w:ascii="Cambria Math" w:hAnsi="Cambria Math"/>
                      <w:i/>
                    </w:rPr>
                  </m:ctrlPr>
                </m:sSubPr>
                <m:e>
                  <m:r>
                    <w:rPr>
                      <w:rFonts w:ascii="Cambria Math" w:hAnsi="Cambria Math"/>
                    </w:rPr>
                    <m:t>p</m:t>
                  </m:r>
                </m:e>
                <m:sub>
                  <m:r>
                    <w:rPr>
                      <w:rFonts w:ascii="Cambria Math" w:hAnsi="Cambria Math"/>
                    </w:rPr>
                    <m:t>stat</m:t>
                  </m:r>
                </m:sub>
              </m:sSub>
            </m:oMath>
            <w:r w:rsidR="003C59DD">
              <w:t xml:space="preserve"> (bar-g)</w:t>
            </w:r>
          </w:p>
        </w:tc>
        <w:tc>
          <w:tcPr>
            <w:tcW w:w="992" w:type="dxa"/>
          </w:tcPr>
          <w:p w14:paraId="62DB1B64" w14:textId="65780920" w:rsidR="003C59DD" w:rsidRDefault="003C59DD" w:rsidP="003C59DD">
            <w:pPr>
              <w:pStyle w:val="CETBodytext"/>
            </w:pPr>
            <w:r>
              <w:t>0.1</w:t>
            </w:r>
          </w:p>
        </w:tc>
      </w:tr>
    </w:tbl>
    <w:p w14:paraId="08DB71E5" w14:textId="77777777" w:rsidR="00D0574A" w:rsidRDefault="009148F9" w:rsidP="00D0574A">
      <w:pPr>
        <w:pStyle w:val="CETBodytext"/>
        <w:keepNext/>
        <w:jc w:val="left"/>
      </w:pPr>
      <w:r w:rsidRPr="00664527">
        <w:rPr>
          <w:i/>
          <w:iCs/>
          <w:noProof/>
          <w:color w:val="000000" w:themeColor="text1"/>
        </w:rPr>
        <w:drawing>
          <wp:inline distT="0" distB="0" distL="0" distR="0" wp14:anchorId="0903C4D6" wp14:editId="74137C62">
            <wp:extent cx="3657600" cy="2412942"/>
            <wp:effectExtent l="0" t="0" r="0" b="6985"/>
            <wp:docPr id="189587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7857" name="Picture 2"/>
                    <pic:cNvPicPr/>
                  </pic:nvPicPr>
                  <pic:blipFill>
                    <a:blip r:embed="rId11"/>
                    <a:stretch>
                      <a:fillRect/>
                    </a:stretch>
                  </pic:blipFill>
                  <pic:spPr>
                    <a:xfrm>
                      <a:off x="0" y="0"/>
                      <a:ext cx="3657600" cy="2412942"/>
                    </a:xfrm>
                    <a:prstGeom prst="rect">
                      <a:avLst/>
                    </a:prstGeom>
                  </pic:spPr>
                </pic:pic>
              </a:graphicData>
            </a:graphic>
          </wp:inline>
        </w:drawing>
      </w:r>
    </w:p>
    <w:p w14:paraId="5807E91E" w14:textId="01296C9E" w:rsidR="00BA2E99" w:rsidRDefault="00D0574A" w:rsidP="00D0574A">
      <w:pPr>
        <w:pStyle w:val="CETCaption"/>
      </w:pPr>
      <w:r>
        <w:t xml:space="preserve">Figure </w:t>
      </w:r>
      <w:r>
        <w:fldChar w:fldCharType="begin"/>
      </w:r>
      <w:r>
        <w:instrText xml:space="preserve"> SEQ Figure \* ARABIC </w:instrText>
      </w:r>
      <w:r>
        <w:fldChar w:fldCharType="separate"/>
      </w:r>
      <w:r w:rsidR="00B228C0">
        <w:rPr>
          <w:noProof/>
        </w:rPr>
        <w:t>2</w:t>
      </w:r>
      <w:r>
        <w:fldChar w:fldCharType="end"/>
      </w:r>
      <w:r>
        <w:t xml:space="preserve">: Volumetric scaling of venting device efficiency, including </w:t>
      </w:r>
      <w:r w:rsidR="00761CAC">
        <w:t xml:space="preserve">predictions of </w:t>
      </w:r>
      <w:r>
        <w:t>NFPA 68</w:t>
      </w:r>
      <w:r w:rsidR="00761CAC">
        <w:t xml:space="preserve"> (2023)</w:t>
      </w:r>
      <w:r>
        <w:t>, Lorenz</w:t>
      </w:r>
      <w:r w:rsidR="00761CAC">
        <w:t xml:space="preserve"> (2020), and physics-based model according to Section 2 of this work.</w:t>
      </w:r>
    </w:p>
    <w:p w14:paraId="1AC231D5" w14:textId="64258C28" w:rsidR="002827B5" w:rsidRDefault="002827B5" w:rsidP="002827B5">
      <w:pPr>
        <w:pStyle w:val="CETheadingx"/>
      </w:pPr>
      <w:r>
        <w:t>Impact of Explosion Regime</w:t>
      </w:r>
    </w:p>
    <w:p w14:paraId="0DD1500B" w14:textId="760A3530" w:rsidR="002827B5" w:rsidRDefault="00750199" w:rsidP="002827B5">
      <w:pPr>
        <w:pStyle w:val="CETBodytext"/>
      </w:pPr>
      <w:r>
        <w:t xml:space="preserve">It was </w:t>
      </w:r>
      <w:r w:rsidR="004302E7">
        <w:t>discussed</w:t>
      </w:r>
      <w:r>
        <w:t xml:space="preserve"> previously</w:t>
      </w:r>
      <w:r w:rsidR="00747D54">
        <w:t xml:space="preserve"> (Boeck </w:t>
      </w:r>
      <w:r w:rsidR="006360C4">
        <w:t>and</w:t>
      </w:r>
      <w:r w:rsidR="00747D54">
        <w:t xml:space="preserve"> Bloching, 2026)</w:t>
      </w:r>
      <w:r w:rsidR="009F1562" w:rsidRPr="009F1562">
        <w:t xml:space="preserve"> that efficiency </w:t>
      </w:r>
      <w:r w:rsidR="00293F09">
        <w:t>may</w:t>
      </w:r>
      <w:r>
        <w:t xml:space="preserve"> depend</w:t>
      </w:r>
      <w:r w:rsidR="00293F09">
        <w:t xml:space="preserve"> significantly</w:t>
      </w:r>
      <w:r w:rsidR="009F1562" w:rsidRPr="009F1562">
        <w:t xml:space="preserve"> on the reduced explosion pressure (p</w:t>
      </w:r>
      <w:r w:rsidR="009F1562" w:rsidRPr="001454C1">
        <w:rPr>
          <w:vertAlign w:val="subscript"/>
        </w:rPr>
        <w:t>red</w:t>
      </w:r>
      <w:r w:rsidR="009F1562" w:rsidRPr="009F1562">
        <w:t>) relative to the static burst pressure (p</w:t>
      </w:r>
      <w:r w:rsidR="009F1562" w:rsidRPr="001454C1">
        <w:rPr>
          <w:vertAlign w:val="subscript"/>
        </w:rPr>
        <w:t>stat</w:t>
      </w:r>
      <w:r w:rsidR="009F1562" w:rsidRPr="009F1562">
        <w:t xml:space="preserve">). At </w:t>
      </w:r>
      <w:r w:rsidR="00A70935">
        <w:t>values of</w:t>
      </w:r>
      <w:r w:rsidR="009F1562" w:rsidRPr="009F1562">
        <w:t xml:space="preserve"> p</w:t>
      </w:r>
      <w:r w:rsidR="001454C1" w:rsidRPr="001454C1">
        <w:rPr>
          <w:vertAlign w:val="subscript"/>
        </w:rPr>
        <w:t>r</w:t>
      </w:r>
      <w:r w:rsidR="009F1562" w:rsidRPr="001454C1">
        <w:rPr>
          <w:vertAlign w:val="subscript"/>
        </w:rPr>
        <w:t>e</w:t>
      </w:r>
      <w:r w:rsidR="001454C1" w:rsidRPr="001454C1">
        <w:rPr>
          <w:vertAlign w:val="subscript"/>
        </w:rPr>
        <w:t>d</w:t>
      </w:r>
      <w:r w:rsidR="00A70935">
        <w:t xml:space="preserve"> close to p</w:t>
      </w:r>
      <w:r w:rsidR="00A70935" w:rsidRPr="00A70935">
        <w:rPr>
          <w:vertAlign w:val="subscript"/>
        </w:rPr>
        <w:t>stat</w:t>
      </w:r>
      <w:r w:rsidR="009F1562" w:rsidRPr="009F1562">
        <w:t xml:space="preserve">, the dynamic </w:t>
      </w:r>
      <w:r w:rsidR="00A70935">
        <w:t xml:space="preserve">vent </w:t>
      </w:r>
      <w:r w:rsidR="009F1562" w:rsidRPr="009F1562">
        <w:t xml:space="preserve">opening behavior </w:t>
      </w:r>
      <w:r w:rsidR="00B537D8">
        <w:t xml:space="preserve">tends to </w:t>
      </w:r>
      <w:r w:rsidR="009F1562" w:rsidRPr="009F1562">
        <w:t xml:space="preserve">dominate the </w:t>
      </w:r>
      <w:r w:rsidR="00BA4DD9">
        <w:t>reduced pressure</w:t>
      </w:r>
      <w:r w:rsidR="009F1562" w:rsidRPr="009F1562">
        <w:t xml:space="preserve">, resulting in </w:t>
      </w:r>
      <w:r w:rsidR="005F682A">
        <w:t>limited</w:t>
      </w:r>
      <w:r w:rsidR="009F1562" w:rsidRPr="009F1562">
        <w:t xml:space="preserve"> efficiency. At elevated</w:t>
      </w:r>
      <w:r w:rsidR="00A70935">
        <w:t xml:space="preserve"> </w:t>
      </w:r>
      <w:r w:rsidR="009F1562" w:rsidRPr="009F1562">
        <w:t>p</w:t>
      </w:r>
      <w:r w:rsidR="009F1562" w:rsidRPr="00A70935">
        <w:rPr>
          <w:vertAlign w:val="subscript"/>
        </w:rPr>
        <w:t>red</w:t>
      </w:r>
      <w:r w:rsidR="0023078B">
        <w:t xml:space="preserve"> compared to p</w:t>
      </w:r>
      <w:r w:rsidR="0023078B" w:rsidRPr="0023078B">
        <w:rPr>
          <w:vertAlign w:val="subscript"/>
        </w:rPr>
        <w:t>stat</w:t>
      </w:r>
      <w:r w:rsidR="009F1562" w:rsidRPr="009F1562">
        <w:t xml:space="preserve">, the balance between the maximum combustion rate and the capacity of the fully opened vent </w:t>
      </w:r>
      <w:r w:rsidR="00B90177">
        <w:t xml:space="preserve">dominates over </w:t>
      </w:r>
      <w:r w:rsidR="005755A3">
        <w:t xml:space="preserve">the dynamic </w:t>
      </w:r>
      <w:r w:rsidR="00B90177">
        <w:t>vent opening behavior</w:t>
      </w:r>
      <w:r w:rsidR="00036EB4">
        <w:t xml:space="preserve">, </w:t>
      </w:r>
      <w:r w:rsidR="009F1562" w:rsidRPr="009F1562">
        <w:t>allowing the device to achieve near-ideal efficiency.</w:t>
      </w:r>
      <w:r w:rsidR="00A70935">
        <w:t xml:space="preserve"> </w:t>
      </w:r>
      <w:r w:rsidR="00C3085C">
        <w:t>Quantifying the</w:t>
      </w:r>
      <w:r w:rsidR="00A70935">
        <w:t xml:space="preserve"> effect of p</w:t>
      </w:r>
      <w:r w:rsidR="00A70935" w:rsidRPr="000E23B2">
        <w:rPr>
          <w:vertAlign w:val="subscript"/>
        </w:rPr>
        <w:t>red</w:t>
      </w:r>
      <w:r w:rsidR="00A70935">
        <w:t xml:space="preserve"> to p</w:t>
      </w:r>
      <w:r w:rsidR="00A70935" w:rsidRPr="00A70935">
        <w:rPr>
          <w:vertAlign w:val="subscript"/>
        </w:rPr>
        <w:t>stat</w:t>
      </w:r>
      <w:r w:rsidR="00A70935">
        <w:t xml:space="preserve"> ratio on venting efficiency </w:t>
      </w:r>
      <w:r w:rsidR="00122A14">
        <w:t xml:space="preserve">requires specific additional investigation and validation, which will </w:t>
      </w:r>
      <w:r w:rsidR="00B53990">
        <w:t>be addressed in</w:t>
      </w:r>
      <w:r w:rsidR="00A70935">
        <w:t xml:space="preserve"> future work</w:t>
      </w:r>
      <w:r w:rsidR="00CD1C39">
        <w:t>.</w:t>
      </w:r>
    </w:p>
    <w:p w14:paraId="75FB9965" w14:textId="77777777" w:rsidR="00EE6DC6" w:rsidRDefault="00EE6DC6">
      <w:pPr>
        <w:tabs>
          <w:tab w:val="clear" w:pos="7100"/>
        </w:tabs>
        <w:spacing w:after="200" w:line="276" w:lineRule="auto"/>
        <w:jc w:val="left"/>
        <w:rPr>
          <w:b/>
          <w:sz w:val="20"/>
          <w:lang w:val="en-US"/>
        </w:rPr>
      </w:pPr>
      <w:r>
        <w:br w:type="page"/>
      </w:r>
    </w:p>
    <w:p w14:paraId="7901B45C" w14:textId="0F6D7A5A" w:rsidR="009F1562" w:rsidRDefault="009F1562" w:rsidP="009F1562">
      <w:pPr>
        <w:pStyle w:val="CETHeading1"/>
      </w:pPr>
      <w:r>
        <w:lastRenderedPageBreak/>
        <w:t>Comparison with Experiments</w:t>
      </w:r>
    </w:p>
    <w:p w14:paraId="14E7A436" w14:textId="3927B96D" w:rsidR="00360E1B" w:rsidRPr="00CF4F3D" w:rsidRDefault="00D94547" w:rsidP="00CF4F3D">
      <w:pPr>
        <w:pStyle w:val="CETBodytext"/>
      </w:pPr>
      <w:r w:rsidRPr="00CF4F3D">
        <w:t xml:space="preserve">A series of 36 </w:t>
      </w:r>
      <w:r w:rsidR="0021583D">
        <w:t xml:space="preserve">large-scale </w:t>
      </w:r>
      <w:r w:rsidR="00FC685A">
        <w:t xml:space="preserve">dust </w:t>
      </w:r>
      <w:r w:rsidR="0021583D">
        <w:t xml:space="preserve">explosion </w:t>
      </w:r>
      <w:r w:rsidRPr="00CF4F3D">
        <w:t xml:space="preserve">tests </w:t>
      </w:r>
      <w:r w:rsidR="00CA42E1">
        <w:t>were</w:t>
      </w:r>
      <w:r w:rsidRPr="00CF4F3D">
        <w:t xml:space="preserve"> conducted </w:t>
      </w:r>
      <w:r w:rsidR="00D15390">
        <w:t xml:space="preserve">by independent third-party testing laboratories </w:t>
      </w:r>
      <w:r w:rsidR="007E497C" w:rsidRPr="00CF4F3D">
        <w:t>to evaluate venting efficiencies of hinged deflagration vent panels of varying construction</w:t>
      </w:r>
      <w:r w:rsidR="00CF4F3D">
        <w:t xml:space="preserve"> </w:t>
      </w:r>
      <w:r w:rsidR="00072C0A">
        <w:t>in accordance with the direct comparison method of EN 14797</w:t>
      </w:r>
      <w:r w:rsidR="007E497C" w:rsidRPr="00CF4F3D">
        <w:t xml:space="preserve">. Experimental parameters </w:t>
      </w:r>
      <w:r w:rsidR="00CF4F3D">
        <w:t>covered wide ranges of test volumes</w:t>
      </w:r>
      <w:r w:rsidR="0018557A">
        <w:t xml:space="preserve"> </w:t>
      </w:r>
      <w:r w:rsidR="008A0F06">
        <w:br/>
      </w:r>
      <w:r w:rsidR="0018557A">
        <w:t>(1 m</w:t>
      </w:r>
      <w:r w:rsidR="0018557A" w:rsidRPr="0018557A">
        <w:rPr>
          <w:vertAlign w:val="superscript"/>
        </w:rPr>
        <w:t>3</w:t>
      </w:r>
      <w:r w:rsidR="0018557A">
        <w:t xml:space="preserve"> </w:t>
      </w:r>
      <w:r w:rsidR="0018557A">
        <w:rPr>
          <w:rFonts w:cs="Arial"/>
        </w:rPr>
        <w:t xml:space="preserve">≤ </w:t>
      </w:r>
      <w:r w:rsidR="0018557A">
        <w:t xml:space="preserve">V </w:t>
      </w:r>
      <w:r w:rsidR="0018557A">
        <w:rPr>
          <w:rFonts w:cs="Arial"/>
        </w:rPr>
        <w:t xml:space="preserve">≤ </w:t>
      </w:r>
      <w:r w:rsidR="0018557A">
        <w:t>26.5 m</w:t>
      </w:r>
      <w:r w:rsidR="0018557A" w:rsidRPr="0018557A">
        <w:rPr>
          <w:vertAlign w:val="superscript"/>
        </w:rPr>
        <w:t>3</w:t>
      </w:r>
      <w:r w:rsidR="0018557A">
        <w:t>)</w:t>
      </w:r>
      <w:r w:rsidR="00CF4F3D">
        <w:t>, dust reactivities</w:t>
      </w:r>
      <w:r w:rsidR="0018557A">
        <w:t xml:space="preserve"> (50</w:t>
      </w:r>
      <w:r w:rsidR="00D66E59">
        <w:t xml:space="preserve"> bar</w:t>
      </w:r>
      <w:r w:rsidR="00D66E59">
        <w:rPr>
          <w:rFonts w:cs="Arial"/>
        </w:rPr>
        <w:t>·</w:t>
      </w:r>
      <w:r w:rsidR="00D66E59">
        <w:t>m/s</w:t>
      </w:r>
      <w:r w:rsidR="0018557A">
        <w:t xml:space="preserve"> </w:t>
      </w:r>
      <w:r w:rsidR="0018557A">
        <w:rPr>
          <w:rFonts w:cs="Arial"/>
        </w:rPr>
        <w:t>≤ K</w:t>
      </w:r>
      <w:r w:rsidR="0018557A" w:rsidRPr="00D66E59">
        <w:rPr>
          <w:rFonts w:cs="Arial"/>
          <w:vertAlign w:val="subscript"/>
        </w:rPr>
        <w:t>St</w:t>
      </w:r>
      <w:r w:rsidR="0018557A">
        <w:rPr>
          <w:rFonts w:cs="Arial"/>
        </w:rPr>
        <w:t xml:space="preserve"> ≤ 550</w:t>
      </w:r>
      <w:r w:rsidR="00D66E59" w:rsidRPr="00D66E59">
        <w:t xml:space="preserve"> </w:t>
      </w:r>
      <w:proofErr w:type="spellStart"/>
      <w:r w:rsidR="00D66E59">
        <w:t>bar</w:t>
      </w:r>
      <w:r w:rsidR="00D66E59">
        <w:rPr>
          <w:rFonts w:cs="Arial"/>
        </w:rPr>
        <w:t>·</w:t>
      </w:r>
      <w:r w:rsidR="00D66E59">
        <w:t>m</w:t>
      </w:r>
      <w:proofErr w:type="spellEnd"/>
      <w:r w:rsidR="00D66E59">
        <w:t>/s</w:t>
      </w:r>
      <w:r w:rsidR="0018557A">
        <w:t>) and</w:t>
      </w:r>
      <w:r w:rsidR="00CF4F3D">
        <w:t xml:space="preserve"> </w:t>
      </w:r>
      <w:r w:rsidR="00E01B63">
        <w:t>panel area density</w:t>
      </w:r>
      <w:r w:rsidR="005C3E5A">
        <w:t xml:space="preserve"> </w:t>
      </w:r>
      <w:r w:rsidR="008A0F06">
        <w:br/>
      </w:r>
      <w:r w:rsidR="0018557A">
        <w:t>(</w:t>
      </w:r>
      <w:r w:rsidR="00D66E59">
        <w:t xml:space="preserve">8 </w:t>
      </w:r>
      <w:r w:rsidR="00D66E59">
        <w:rPr>
          <w:rFonts w:cs="Arial"/>
        </w:rPr>
        <w:t>kg/m</w:t>
      </w:r>
      <w:r w:rsidR="00D66E59" w:rsidRPr="00D66E59">
        <w:rPr>
          <w:rFonts w:cs="Arial"/>
          <w:vertAlign w:val="superscript"/>
        </w:rPr>
        <w:t>2</w:t>
      </w:r>
      <w:r w:rsidR="00D66E59" w:rsidRPr="00D66E59">
        <w:rPr>
          <w:rFonts w:cs="Arial"/>
        </w:rPr>
        <w:t xml:space="preserve"> </w:t>
      </w:r>
      <w:r w:rsidR="00D66E59">
        <w:rPr>
          <w:rFonts w:cs="Arial"/>
        </w:rPr>
        <w:t>≤ m</w:t>
      </w:r>
      <w:r w:rsidR="00D66E59" w:rsidRPr="00D66E59">
        <w:rPr>
          <w:rFonts w:cs="Arial"/>
          <w:vertAlign w:val="subscript"/>
        </w:rPr>
        <w:t>v</w:t>
      </w:r>
      <w:r w:rsidR="00D66E59">
        <w:rPr>
          <w:rFonts w:cs="Arial"/>
        </w:rPr>
        <w:t xml:space="preserve"> ≤ 17 kg/m</w:t>
      </w:r>
      <w:r w:rsidR="00D66E59" w:rsidRPr="00D66E59">
        <w:rPr>
          <w:rFonts w:cs="Arial"/>
          <w:vertAlign w:val="superscript"/>
        </w:rPr>
        <w:t>2</w:t>
      </w:r>
      <w:r w:rsidR="0018557A">
        <w:t>)</w:t>
      </w:r>
      <w:r w:rsidR="005C3E5A">
        <w:t>.</w:t>
      </w:r>
      <w:r w:rsidR="00072C0A">
        <w:t xml:space="preserve"> </w:t>
      </w:r>
      <w:r w:rsidR="00AD487E">
        <w:t>Figure 3 compares v</w:t>
      </w:r>
      <w:r w:rsidR="00072C0A">
        <w:t xml:space="preserve">enting efficiency results </w:t>
      </w:r>
      <w:r w:rsidR="00935537">
        <w:t>against</w:t>
      </w:r>
      <w:r w:rsidR="00C94253">
        <w:t xml:space="preserve"> the</w:t>
      </w:r>
      <w:r w:rsidR="00935537">
        <w:t xml:space="preserve"> predictions of </w:t>
      </w:r>
      <w:r w:rsidR="00C94253">
        <w:t xml:space="preserve">theoretical </w:t>
      </w:r>
      <w:r w:rsidR="00280491">
        <w:t>models</w:t>
      </w:r>
      <w:r w:rsidR="00935537">
        <w:t xml:space="preserve"> including NFPA 68 (2023), Lorenz (2020), and the physics-based model</w:t>
      </w:r>
      <w:r w:rsidR="008E09EF">
        <w:t xml:space="preserve"> </w:t>
      </w:r>
      <w:r w:rsidR="00ED5A4F">
        <w:t>of this work</w:t>
      </w:r>
      <w:r w:rsidR="008E09EF">
        <w:t>.</w:t>
      </w:r>
    </w:p>
    <w:p w14:paraId="65584EEB" w14:textId="55ECCEB4" w:rsidR="007201A9" w:rsidRDefault="00DC58B2" w:rsidP="0059396B">
      <w:pPr>
        <w:tabs>
          <w:tab w:val="clear" w:pos="7100"/>
        </w:tabs>
        <w:spacing w:after="200" w:line="276" w:lineRule="auto"/>
        <w:jc w:val="left"/>
        <w:rPr>
          <w:b/>
          <w:sz w:val="20"/>
          <w:lang w:val="en-US"/>
        </w:rPr>
      </w:pPr>
      <w:r>
        <w:rPr>
          <w:noProof/>
        </w:rPr>
        <w:drawing>
          <wp:inline distT="0" distB="0" distL="0" distR="0" wp14:anchorId="42F00543" wp14:editId="3B5A245F">
            <wp:extent cx="2672805" cy="2304822"/>
            <wp:effectExtent l="0" t="0" r="0" b="635"/>
            <wp:docPr id="1271869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69544" name="Picture 1"/>
                    <pic:cNvPicPr/>
                  </pic:nvPicPr>
                  <pic:blipFill>
                    <a:blip r:embed="rId12"/>
                    <a:stretch>
                      <a:fillRect/>
                    </a:stretch>
                  </pic:blipFill>
                  <pic:spPr>
                    <a:xfrm>
                      <a:off x="0" y="0"/>
                      <a:ext cx="2672805" cy="2304822"/>
                    </a:xfrm>
                    <a:prstGeom prst="rect">
                      <a:avLst/>
                    </a:prstGeom>
                  </pic:spPr>
                </pic:pic>
              </a:graphicData>
            </a:graphic>
          </wp:inline>
        </w:drawing>
      </w:r>
      <w:r>
        <w:rPr>
          <w:noProof/>
        </w:rPr>
        <w:drawing>
          <wp:inline distT="0" distB="0" distL="0" distR="0" wp14:anchorId="03016FC2" wp14:editId="79002DDA">
            <wp:extent cx="2672805" cy="2304822"/>
            <wp:effectExtent l="0" t="0" r="0" b="635"/>
            <wp:docPr id="1007458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58377" name="Picture 1"/>
                    <pic:cNvPicPr/>
                  </pic:nvPicPr>
                  <pic:blipFill>
                    <a:blip r:embed="rId13"/>
                    <a:stretch>
                      <a:fillRect/>
                    </a:stretch>
                  </pic:blipFill>
                  <pic:spPr>
                    <a:xfrm>
                      <a:off x="0" y="0"/>
                      <a:ext cx="2672805" cy="2304822"/>
                    </a:xfrm>
                    <a:prstGeom prst="rect">
                      <a:avLst/>
                    </a:prstGeom>
                  </pic:spPr>
                </pic:pic>
              </a:graphicData>
            </a:graphic>
          </wp:inline>
        </w:drawing>
      </w:r>
    </w:p>
    <w:p w14:paraId="372C3101" w14:textId="77777777" w:rsidR="00B228C0" w:rsidRDefault="00D8797D" w:rsidP="00B228C0">
      <w:pPr>
        <w:keepNext/>
        <w:tabs>
          <w:tab w:val="clear" w:pos="7100"/>
        </w:tabs>
        <w:spacing w:after="200" w:line="276" w:lineRule="auto"/>
        <w:jc w:val="left"/>
      </w:pPr>
      <w:r>
        <w:rPr>
          <w:noProof/>
        </w:rPr>
        <w:drawing>
          <wp:inline distT="0" distB="0" distL="0" distR="0" wp14:anchorId="34501C89" wp14:editId="7474F133">
            <wp:extent cx="2672185" cy="2304288"/>
            <wp:effectExtent l="0" t="0" r="0" b="1270"/>
            <wp:docPr id="566950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50204" name="Picture 1"/>
                    <pic:cNvPicPr/>
                  </pic:nvPicPr>
                  <pic:blipFill>
                    <a:blip r:embed="rId14"/>
                    <a:stretch>
                      <a:fillRect/>
                    </a:stretch>
                  </pic:blipFill>
                  <pic:spPr>
                    <a:xfrm>
                      <a:off x="0" y="0"/>
                      <a:ext cx="2672185" cy="2304288"/>
                    </a:xfrm>
                    <a:prstGeom prst="rect">
                      <a:avLst/>
                    </a:prstGeom>
                  </pic:spPr>
                </pic:pic>
              </a:graphicData>
            </a:graphic>
          </wp:inline>
        </w:drawing>
      </w:r>
      <w:r w:rsidR="001E6D89">
        <w:rPr>
          <w:b/>
          <w:sz w:val="20"/>
          <w:lang w:val="en-US"/>
        </w:rPr>
        <w:t xml:space="preserve"> </w:t>
      </w:r>
      <w:r w:rsidR="00F41BA4">
        <w:rPr>
          <w:noProof/>
        </w:rPr>
        <w:drawing>
          <wp:inline distT="0" distB="0" distL="0" distR="0" wp14:anchorId="118E052E" wp14:editId="1546158D">
            <wp:extent cx="2672185" cy="2304288"/>
            <wp:effectExtent l="0" t="0" r="0" b="1270"/>
            <wp:docPr id="138530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0869" name="Picture 1"/>
                    <pic:cNvPicPr/>
                  </pic:nvPicPr>
                  <pic:blipFill>
                    <a:blip r:embed="rId15"/>
                    <a:stretch>
                      <a:fillRect/>
                    </a:stretch>
                  </pic:blipFill>
                  <pic:spPr>
                    <a:xfrm>
                      <a:off x="0" y="0"/>
                      <a:ext cx="2672185" cy="2304288"/>
                    </a:xfrm>
                    <a:prstGeom prst="rect">
                      <a:avLst/>
                    </a:prstGeom>
                  </pic:spPr>
                </pic:pic>
              </a:graphicData>
            </a:graphic>
          </wp:inline>
        </w:drawing>
      </w:r>
    </w:p>
    <w:p w14:paraId="59509918" w14:textId="742F4C3A" w:rsidR="00B228C0" w:rsidRDefault="00B228C0" w:rsidP="00B228C0">
      <w:pPr>
        <w:pStyle w:val="CETCaption"/>
        <w:rPr>
          <w:b/>
          <w:sz w:val="20"/>
          <w:lang w:val="en-US"/>
        </w:rPr>
      </w:pPr>
      <w:r>
        <w:t xml:space="preserve">Figure </w:t>
      </w:r>
      <w:r>
        <w:fldChar w:fldCharType="begin"/>
      </w:r>
      <w:r>
        <w:instrText xml:space="preserve"> SEQ Figure \* ARABIC </w:instrText>
      </w:r>
      <w:r>
        <w:fldChar w:fldCharType="separate"/>
      </w:r>
      <w:r>
        <w:rPr>
          <w:noProof/>
        </w:rPr>
        <w:t>3</w:t>
      </w:r>
      <w:r>
        <w:fldChar w:fldCharType="end"/>
      </w:r>
      <w:r>
        <w:t>:</w:t>
      </w:r>
      <w:r w:rsidR="003D4510">
        <w:t xml:space="preserve"> </w:t>
      </w:r>
      <w:r w:rsidR="003D4510" w:rsidRPr="003D4510">
        <w:t>Binned parity analysis of venting efficiency (Ef) for (a) NFPA 68</w:t>
      </w:r>
      <w:r w:rsidR="003D4510">
        <w:t xml:space="preserve"> (2023)</w:t>
      </w:r>
      <w:r w:rsidR="003D4510" w:rsidRPr="003D4510">
        <w:t xml:space="preserve"> Unconstrained, (b) NFPA 68 </w:t>
      </w:r>
      <w:r w:rsidR="003D4510">
        <w:t xml:space="preserve">(2023) </w:t>
      </w:r>
      <w:r w:rsidR="003D4510" w:rsidRPr="003D4510">
        <w:t xml:space="preserve">Constrained, (c) Lorenz (2020), and (d) </w:t>
      </w:r>
      <w:r w:rsidR="001A08B0">
        <w:t>P</w:t>
      </w:r>
      <w:r w:rsidR="003D4510">
        <w:t>hysics-based</w:t>
      </w:r>
      <w:r w:rsidR="003D4510" w:rsidRPr="003D4510">
        <w:t xml:space="preserve"> model. Markers represent experimental means sized by volume and colored by dust </w:t>
      </w:r>
      <w:r w:rsidR="003D4510">
        <w:t xml:space="preserve">reactivity </w:t>
      </w:r>
      <w:r w:rsidR="003D4510" w:rsidRPr="003D4510">
        <w:t>class, with error bars denoting one standard deviation of scatter.</w:t>
      </w:r>
    </w:p>
    <w:p w14:paraId="29B8575B" w14:textId="347BA536" w:rsidR="00B228C0" w:rsidRPr="00B228C0" w:rsidRDefault="002203C7" w:rsidP="00B228C0">
      <w:pPr>
        <w:pStyle w:val="CETBodytext"/>
      </w:pPr>
      <w:r>
        <w:t>G</w:t>
      </w:r>
      <w:r w:rsidR="00B228C0" w:rsidRPr="00B228C0">
        <w:t>rouping tests into discrete bins based on vessel volume (V) and dust hazard class (K</w:t>
      </w:r>
      <w:r w:rsidR="00B228C0" w:rsidRPr="0068157A">
        <w:rPr>
          <w:vertAlign w:val="subscript"/>
        </w:rPr>
        <w:t>St</w:t>
      </w:r>
      <w:r w:rsidR="00B228C0" w:rsidRPr="00B228C0">
        <w:t>)</w:t>
      </w:r>
      <w:r>
        <w:t xml:space="preserve"> helps manage the inherent experimental variability and </w:t>
      </w:r>
      <w:r w:rsidR="00B228C0" w:rsidRPr="00B228C0">
        <w:t>reveal</w:t>
      </w:r>
      <w:r w:rsidR="000F207F">
        <w:t>s</w:t>
      </w:r>
      <w:r w:rsidR="00B228C0" w:rsidRPr="00B228C0">
        <w:t xml:space="preserve"> the underlying </w:t>
      </w:r>
      <w:r w:rsidR="00B24CB1">
        <w:t>predictive performance</w:t>
      </w:r>
      <w:r w:rsidR="00B228C0" w:rsidRPr="00B228C0">
        <w:t xml:space="preserve"> of each model. A critical observation is the impact of the NFPA 68 mass threshold (M</w:t>
      </w:r>
      <w:r w:rsidR="00B228C0" w:rsidRPr="00B24CB1">
        <w:rPr>
          <w:vertAlign w:val="subscript"/>
        </w:rPr>
        <w:t>T</w:t>
      </w:r>
      <w:r w:rsidR="00B228C0" w:rsidRPr="00B228C0">
        <w:t xml:space="preserve">); comparing the unconstrained and constrained plots reveals </w:t>
      </w:r>
      <w:r w:rsidR="00632C4B">
        <w:t>the</w:t>
      </w:r>
      <w:r w:rsidR="00B228C0" w:rsidRPr="00B228C0">
        <w:t xml:space="preserve"> significant vertical </w:t>
      </w:r>
      <w:r w:rsidR="00B24CB1">
        <w:t>step</w:t>
      </w:r>
      <w:r w:rsidR="00B228C0" w:rsidRPr="00B228C0">
        <w:t xml:space="preserve"> </w:t>
      </w:r>
      <w:r w:rsidR="00E03E5E">
        <w:t xml:space="preserve">behavior </w:t>
      </w:r>
      <w:r w:rsidR="00DA146D">
        <w:t>to</w:t>
      </w:r>
      <w:r w:rsidR="00B228C0" w:rsidRPr="00B228C0">
        <w:t xml:space="preserve"> 100% efficiency </w:t>
      </w:r>
      <w:r w:rsidR="00774243">
        <w:t>when</w:t>
      </w:r>
      <w:r w:rsidR="00B24CB1">
        <w:t xml:space="preserve"> m</w:t>
      </w:r>
      <w:r w:rsidR="00B24CB1" w:rsidRPr="00E03E5E">
        <w:rPr>
          <w:vertAlign w:val="subscript"/>
        </w:rPr>
        <w:t>v</w:t>
      </w:r>
      <w:r w:rsidR="00B24CB1">
        <w:t xml:space="preserve"> </w:t>
      </w:r>
      <w:r w:rsidR="00E03E5E">
        <w:t>&lt; M</w:t>
      </w:r>
      <w:r w:rsidR="00E03E5E" w:rsidRPr="00E03E5E">
        <w:rPr>
          <w:vertAlign w:val="subscript"/>
        </w:rPr>
        <w:t>T</w:t>
      </w:r>
      <w:r w:rsidR="00B228C0" w:rsidRPr="00B228C0">
        <w:t>. While this shift improves the model’s R</w:t>
      </w:r>
      <w:r w:rsidR="00B228C0" w:rsidRPr="00E03E5E">
        <w:rPr>
          <w:vertAlign w:val="superscript"/>
        </w:rPr>
        <w:t>2</w:t>
      </w:r>
      <w:r w:rsidR="00B228C0" w:rsidRPr="00B228C0">
        <w:t xml:space="preserve"> value, the experimental data (Ef) for these same cases </w:t>
      </w:r>
      <w:r w:rsidR="003D18CC">
        <w:t>may</w:t>
      </w:r>
      <w:r w:rsidR="00B228C0" w:rsidRPr="00B228C0">
        <w:t xml:space="preserve"> remain below 100%, suggesting that the constraint </w:t>
      </w:r>
      <w:r w:rsidR="00C9419B">
        <w:t>can</w:t>
      </w:r>
      <w:r w:rsidR="00E03E5E">
        <w:t xml:space="preserve"> </w:t>
      </w:r>
      <w:r w:rsidR="00B228C0" w:rsidRPr="00B228C0">
        <w:t>introduce a non-conservative bias.</w:t>
      </w:r>
      <w:r w:rsidR="00414915">
        <w:t xml:space="preserve"> </w:t>
      </w:r>
      <w:r w:rsidR="00B228C0" w:rsidRPr="00B228C0">
        <w:t xml:space="preserve">In contrast, the Lorenz (2020) model and the </w:t>
      </w:r>
      <w:r w:rsidR="00C9419B">
        <w:t>physics-based</w:t>
      </w:r>
      <w:r w:rsidR="00B228C0" w:rsidRPr="00B228C0">
        <w:t xml:space="preserve"> model track the experimental </w:t>
      </w:r>
      <w:r w:rsidR="00C9419B">
        <w:t>results</w:t>
      </w:r>
      <w:r w:rsidR="00B228C0" w:rsidRPr="00B228C0">
        <w:t xml:space="preserve"> more consistently.</w:t>
      </w:r>
      <w:r w:rsidR="00B443C6">
        <w:t xml:space="preserve"> While the Lorenz (2020) model provides largely conservative predictions of Ef</w:t>
      </w:r>
      <w:r w:rsidR="00C44B9E">
        <w:t xml:space="preserve"> consistent with its intended conservative calibration</w:t>
      </w:r>
      <w:r w:rsidR="00A82E77">
        <w:t xml:space="preserve"> as a bounding curve to experimental data</w:t>
      </w:r>
      <w:r w:rsidR="00B443C6">
        <w:t>, the physics-based model provides the most accurate predictions for the present dataset</w:t>
      </w:r>
      <w:r w:rsidR="00CD5EE3">
        <w:t xml:space="preserve"> as it reflects directly the interplay of explosion dynamics and vent panel deployment</w:t>
      </w:r>
      <w:r w:rsidR="00A6546E">
        <w:t xml:space="preserve">, suggesting </w:t>
      </w:r>
      <w:r w:rsidR="00902A94">
        <w:t xml:space="preserve">it </w:t>
      </w:r>
      <w:r w:rsidR="00A6546E">
        <w:t xml:space="preserve">can be used </w:t>
      </w:r>
      <w:r w:rsidR="00EA4676">
        <w:t>as a basis for deriving</w:t>
      </w:r>
      <w:r w:rsidR="00D020AC">
        <w:t xml:space="preserve"> future simplified engineering </w:t>
      </w:r>
      <w:r w:rsidR="00D97BA7">
        <w:t>correlations</w:t>
      </w:r>
      <w:r w:rsidR="00D020AC">
        <w:t xml:space="preserve"> for venting efficiency predictions.</w:t>
      </w:r>
      <w:r w:rsidR="00EE6125">
        <w:t xml:space="preserve"> Conservative margins can be applied </w:t>
      </w:r>
      <w:r w:rsidR="00FC75F2">
        <w:t>when developing such correlations as needed.</w:t>
      </w:r>
    </w:p>
    <w:p w14:paraId="22DFC9A6" w14:textId="478FDFD5" w:rsidR="006B741F" w:rsidRDefault="006B741F" w:rsidP="006B741F">
      <w:pPr>
        <w:pStyle w:val="CETHeading1"/>
      </w:pPr>
      <w:r>
        <w:lastRenderedPageBreak/>
        <w:t>Conclusions</w:t>
      </w:r>
    </w:p>
    <w:p w14:paraId="3845E748" w14:textId="66AFF261" w:rsidR="00AD29F4" w:rsidRDefault="00AD29F4" w:rsidP="00AD29F4">
      <w:pPr>
        <w:pStyle w:val="CETBodytext"/>
      </w:pPr>
      <w:r w:rsidRPr="00AD29F4">
        <w:t xml:space="preserve">This study </w:t>
      </w:r>
      <w:r w:rsidR="00905759">
        <w:t>discusse</w:t>
      </w:r>
      <w:r w:rsidR="00E14EF8">
        <w:t>d</w:t>
      </w:r>
      <w:r w:rsidR="00905759">
        <w:t xml:space="preserve"> how</w:t>
      </w:r>
      <w:r w:rsidRPr="00AD29F4">
        <w:t xml:space="preserve"> venting efficiency is not a static property</w:t>
      </w:r>
      <w:r w:rsidR="00A6329F">
        <w:t xml:space="preserve"> of a venting device</w:t>
      </w:r>
      <w:r w:rsidRPr="00AD29F4">
        <w:t xml:space="preserve"> but rather a result of the </w:t>
      </w:r>
      <w:r w:rsidR="000821BD">
        <w:t>interplay</w:t>
      </w:r>
      <w:r w:rsidRPr="00AD29F4">
        <w:t xml:space="preserve"> between </w:t>
      </w:r>
      <w:r w:rsidR="00905759">
        <w:t>explosion dynamics</w:t>
      </w:r>
      <w:r w:rsidRPr="00AD29F4">
        <w:t xml:space="preserve"> and the inertia-limited response of the </w:t>
      </w:r>
      <w:r w:rsidR="009F7B05">
        <w:t>device</w:t>
      </w:r>
      <w:r w:rsidRPr="00AD29F4">
        <w:t xml:space="preserve">. The developed physics-based model, which integrates two-parameter dust deflagration dynamics with rotational </w:t>
      </w:r>
      <w:r w:rsidR="00EC37DE">
        <w:t xml:space="preserve">vent panel </w:t>
      </w:r>
      <w:r w:rsidRPr="00AD29F4">
        <w:t xml:space="preserve">kinetics, provides a robust theoretical framework for capturing </w:t>
      </w:r>
      <w:r w:rsidR="009F7B05">
        <w:t>this interaction</w:t>
      </w:r>
      <w:r w:rsidRPr="00AD29F4">
        <w:t>.</w:t>
      </w:r>
      <w:r w:rsidR="003D4439">
        <w:t xml:space="preserve"> </w:t>
      </w:r>
      <w:r w:rsidRPr="00AD29F4">
        <w:t>Key findings from the volumetric scaling analysis and empirical evaluation include:</w:t>
      </w:r>
    </w:p>
    <w:p w14:paraId="5A64422C" w14:textId="77777777" w:rsidR="00D25FA8" w:rsidRPr="00AD29F4" w:rsidRDefault="00D25FA8" w:rsidP="00AD29F4">
      <w:pPr>
        <w:pStyle w:val="CETBodytext"/>
      </w:pPr>
    </w:p>
    <w:p w14:paraId="6CC677C4" w14:textId="643E5EBF" w:rsidR="00AD29F4" w:rsidRDefault="00AD29F4" w:rsidP="009F7B05">
      <w:pPr>
        <w:pStyle w:val="CETBodytext"/>
        <w:numPr>
          <w:ilvl w:val="0"/>
          <w:numId w:val="29"/>
        </w:numPr>
      </w:pPr>
      <w:r w:rsidRPr="00AD29F4">
        <w:t xml:space="preserve">Model Divergence at Scale: While the physics-based model agrees closely with established NFPA 68 </w:t>
      </w:r>
      <w:r w:rsidR="001F1E0C">
        <w:t xml:space="preserve">(2023) </w:t>
      </w:r>
      <w:r w:rsidRPr="00AD29F4">
        <w:t xml:space="preserve">and Lorenz (2020) predictions for small volumes, </w:t>
      </w:r>
      <w:r w:rsidR="00D25FA8">
        <w:t xml:space="preserve">models </w:t>
      </w:r>
      <w:r w:rsidR="004F4C5D">
        <w:t xml:space="preserve">tend to </w:t>
      </w:r>
      <w:r w:rsidR="00D25FA8">
        <w:t>diverge toward larger volumes</w:t>
      </w:r>
      <w:r w:rsidRPr="00AD29F4">
        <w:t>.</w:t>
      </w:r>
      <w:r w:rsidR="00D25FA8">
        <w:t xml:space="preserve"> Validating mode</w:t>
      </w:r>
      <w:r w:rsidR="00D315FE">
        <w:t>l</w:t>
      </w:r>
      <w:r w:rsidR="00D25FA8">
        <w:t xml:space="preserve">s for large volumes remains a challenge due to the relative lack of </w:t>
      </w:r>
      <w:r w:rsidR="00BB297F">
        <w:t xml:space="preserve">large-scale </w:t>
      </w:r>
      <w:r w:rsidR="00D25FA8">
        <w:t>test data</w:t>
      </w:r>
      <w:r w:rsidR="00163C7B">
        <w:t xml:space="preserve"> and test-to-test variability</w:t>
      </w:r>
      <w:r w:rsidR="005A13A9">
        <w:t xml:space="preserve"> inherent to dust explosions.</w:t>
      </w:r>
    </w:p>
    <w:p w14:paraId="0E5A7BB6" w14:textId="77777777" w:rsidR="009F7B05" w:rsidRPr="00AD29F4" w:rsidRDefault="009F7B05" w:rsidP="009F7B05">
      <w:pPr>
        <w:pStyle w:val="CETBodytext"/>
        <w:ind w:left="720"/>
      </w:pPr>
    </w:p>
    <w:p w14:paraId="14ED8667" w14:textId="561BF8B0" w:rsidR="00AD29F4" w:rsidRPr="00AD29F4" w:rsidRDefault="00AD29F4" w:rsidP="009F7B05">
      <w:pPr>
        <w:pStyle w:val="CETBodytext"/>
        <w:numPr>
          <w:ilvl w:val="0"/>
          <w:numId w:val="29"/>
        </w:numPr>
      </w:pPr>
      <w:r w:rsidRPr="00AD29F4">
        <w:t>NFPA 68 Limitations: The current NFPA 68 (2023) methodology exhibits a non-physical step behavior due to the application of mass threshold M</w:t>
      </w:r>
      <w:r w:rsidRPr="00D25FA8">
        <w:rPr>
          <w:vertAlign w:val="subscript"/>
        </w:rPr>
        <w:t>T</w:t>
      </w:r>
      <w:r w:rsidRPr="00AD29F4">
        <w:t xml:space="preserve">. Experimental parity analysis reveals that assuming </w:t>
      </w:r>
      <w:r w:rsidR="00F43020">
        <w:br/>
      </w:r>
      <w:r w:rsidRPr="00AD29F4">
        <w:t>100</w:t>
      </w:r>
      <w:r w:rsidR="00C75DE0">
        <w:t xml:space="preserve"> </w:t>
      </w:r>
      <w:r w:rsidRPr="00AD29F4">
        <w:t>% efficiency when m</w:t>
      </w:r>
      <w:r w:rsidRPr="00C75DE0">
        <w:rPr>
          <w:vertAlign w:val="subscript"/>
        </w:rPr>
        <w:t>v</w:t>
      </w:r>
      <w:r w:rsidRPr="00AD29F4">
        <w:t xml:space="preserve"> &lt; M</w:t>
      </w:r>
      <w:r w:rsidRPr="00C75DE0">
        <w:rPr>
          <w:vertAlign w:val="subscript"/>
        </w:rPr>
        <w:t>T</w:t>
      </w:r>
      <w:r w:rsidRPr="00AD29F4">
        <w:t xml:space="preserve"> can introduce a non-conservative bias.</w:t>
      </w:r>
    </w:p>
    <w:p w14:paraId="7749DBFB" w14:textId="0C83396F" w:rsidR="00AD29F4" w:rsidRPr="00AD29F4" w:rsidRDefault="00AD29F4" w:rsidP="00AD29F4">
      <w:pPr>
        <w:pStyle w:val="CETBodytext"/>
      </w:pPr>
    </w:p>
    <w:p w14:paraId="67891FB9" w14:textId="1E1EEFA3" w:rsidR="00AD29F4" w:rsidRPr="00AD29F4" w:rsidRDefault="00AD29F4" w:rsidP="009F7B05">
      <w:pPr>
        <w:pStyle w:val="CETBodytext"/>
        <w:numPr>
          <w:ilvl w:val="0"/>
          <w:numId w:val="29"/>
        </w:numPr>
      </w:pPr>
      <w:r w:rsidRPr="00AD29F4">
        <w:t>Accuracy of the Physics-</w:t>
      </w:r>
      <w:r w:rsidR="00CE6A2D">
        <w:t>b</w:t>
      </w:r>
      <w:r w:rsidRPr="00AD29F4">
        <w:t xml:space="preserve">ased Approach: The physics-based model achieved the highest predictive accuracy against the dataset of 36 large-scale experimental tests. Unlike empirical correlations, this approach </w:t>
      </w:r>
      <w:r w:rsidR="00407DBF">
        <w:t xml:space="preserve">directly </w:t>
      </w:r>
      <w:r w:rsidRPr="00AD29F4">
        <w:t>reflects the interplay of explosion dynamics and mechanical vent deployment</w:t>
      </w:r>
      <w:r w:rsidR="00F903ED">
        <w:t xml:space="preserve"> and</w:t>
      </w:r>
      <w:r w:rsidR="006A1125" w:rsidRPr="006A1125">
        <w:t xml:space="preserve"> provides controlled extrapolation behavior, making it a robust foundation for engineering </w:t>
      </w:r>
      <w:r w:rsidR="006A1125">
        <w:t>methods</w:t>
      </w:r>
      <w:r w:rsidR="006A1125" w:rsidRPr="006A1125">
        <w:t>.</w:t>
      </w:r>
    </w:p>
    <w:p w14:paraId="105FA721" w14:textId="77777777" w:rsidR="009F7B05" w:rsidRPr="00AD29F4" w:rsidRDefault="009F7B05" w:rsidP="009F7B05">
      <w:pPr>
        <w:pStyle w:val="CETBodytext"/>
      </w:pPr>
    </w:p>
    <w:p w14:paraId="0477D392" w14:textId="4EE15950" w:rsidR="00AD29F4" w:rsidRPr="00AD29F4" w:rsidRDefault="00AD29F4" w:rsidP="00AD29F4">
      <w:pPr>
        <w:pStyle w:val="CETBodytext"/>
      </w:pPr>
      <w:r w:rsidRPr="00AD29F4">
        <w:t xml:space="preserve">Ultimately, the results suggest that the physics-based framework provides a viable path for the unified incorporation of venting efficiency into </w:t>
      </w:r>
      <w:r w:rsidR="00E84F32">
        <w:t>vent sizing methods</w:t>
      </w:r>
      <w:r w:rsidRPr="00AD29F4">
        <w:t xml:space="preserve">. By replacing divergent methodological philosophies with a harmonized, mechanistic understanding of vent response, industrial safety standards can achieve greater consistency and reliability. Future work will focus on additional validation across a broader range of </w:t>
      </w:r>
      <w:r w:rsidR="00407DBF">
        <w:t>large-scale test data</w:t>
      </w:r>
      <w:r w:rsidRPr="00AD29F4">
        <w:t xml:space="preserve"> </w:t>
      </w:r>
      <w:r w:rsidR="00C07465">
        <w:t>and development of simplified</w:t>
      </w:r>
      <w:r w:rsidRPr="00AD29F4">
        <w:t xml:space="preserve"> engineering correlations</w:t>
      </w:r>
      <w:r w:rsidR="00CB01A9">
        <w:t xml:space="preserve"> for incorporation into</w:t>
      </w:r>
      <w:r w:rsidR="00805F9A">
        <w:t xml:space="preserve"> codes and standards.</w:t>
      </w:r>
    </w:p>
    <w:p w14:paraId="1782EBAF" w14:textId="77777777" w:rsidR="007201A9" w:rsidRDefault="007201A9" w:rsidP="006B4888">
      <w:pPr>
        <w:pStyle w:val="CETReferencetext"/>
      </w:pPr>
    </w:p>
    <w:p w14:paraId="66BEB2B5" w14:textId="77777777" w:rsidR="008D7170" w:rsidRPr="00280FAF" w:rsidRDefault="008D7170" w:rsidP="008D7170">
      <w:pPr>
        <w:pStyle w:val="CETHeadingxx"/>
        <w:rPr>
          <w:lang w:val="en-GB"/>
        </w:rPr>
        <w:sectPr w:rsidR="008D7170" w:rsidRPr="00280FAF" w:rsidSect="008D7170">
          <w:type w:val="continuous"/>
          <w:pgSz w:w="11906" w:h="16838" w:code="9"/>
          <w:pgMar w:top="1701" w:right="1418" w:bottom="1701" w:left="1701" w:header="1701" w:footer="0" w:gutter="0"/>
          <w:cols w:space="708"/>
          <w:formProt w:val="0"/>
          <w:titlePg/>
          <w:docGrid w:linePitch="360"/>
        </w:sectPr>
      </w:pPr>
      <w:r>
        <w:t>Nomenclature</w:t>
      </w:r>
    </w:p>
    <w:p w14:paraId="7965BC99" w14:textId="22374C72" w:rsidR="00D62958" w:rsidRDefault="00E011A7" w:rsidP="00D62958">
      <w:pPr>
        <w:pStyle w:val="CETBodytext"/>
        <w:jc w:val="left"/>
        <w:rPr>
          <w:rFonts w:eastAsia="SimSun"/>
        </w:rPr>
      </w:pPr>
      <w:r w:rsidRPr="00E011A7">
        <w:rPr>
          <w:bCs/>
          <w:iCs/>
          <w:color w:val="000000"/>
          <w:szCs w:val="24"/>
        </w:rPr>
        <w:t>A</w:t>
      </w:r>
      <w:r w:rsidRPr="00E011A7">
        <w:rPr>
          <w:bCs/>
          <w:iCs/>
          <w:color w:val="000000"/>
          <w:szCs w:val="24"/>
          <w:vertAlign w:val="subscript"/>
        </w:rPr>
        <w:t>d</w:t>
      </w:r>
      <w:r w:rsidRPr="00E011A7">
        <w:rPr>
          <w:bCs/>
          <w:iCs/>
          <w:color w:val="000000"/>
          <w:szCs w:val="24"/>
        </w:rPr>
        <w:t xml:space="preserve"> ; A</w:t>
      </w:r>
      <w:r w:rsidRPr="00E011A7">
        <w:rPr>
          <w:bCs/>
          <w:iCs/>
          <w:color w:val="000000"/>
          <w:szCs w:val="24"/>
          <w:vertAlign w:val="subscript"/>
        </w:rPr>
        <w:t>v</w:t>
      </w:r>
      <w:r w:rsidR="00D62958" w:rsidRPr="00280FAF">
        <w:rPr>
          <w:rFonts w:eastAsia="SimSun"/>
        </w:rPr>
        <w:t xml:space="preserve"> – </w:t>
      </w:r>
      <w:r>
        <w:rPr>
          <w:rFonts w:eastAsia="SimSun"/>
        </w:rPr>
        <w:t>Geometric vent area</w:t>
      </w:r>
      <w:r w:rsidR="00D62958" w:rsidRPr="00280FAF">
        <w:rPr>
          <w:rFonts w:eastAsia="SimSun"/>
        </w:rPr>
        <w:t>, m</w:t>
      </w:r>
      <w:r w:rsidRPr="00280FAF">
        <w:rPr>
          <w:rFonts w:eastAsia="SimSun"/>
          <w:vertAlign w:val="superscript"/>
        </w:rPr>
        <w:t>2</w:t>
      </w:r>
    </w:p>
    <w:p w14:paraId="2111A559" w14:textId="450AFCE1" w:rsidR="00E41631" w:rsidRDefault="00E41631" w:rsidP="00D62958">
      <w:pPr>
        <w:pStyle w:val="CETBodytext"/>
        <w:jc w:val="left"/>
        <w:rPr>
          <w:rFonts w:eastAsia="SimSun"/>
        </w:rPr>
      </w:pPr>
      <w:r>
        <w:rPr>
          <w:rFonts w:eastAsia="SimSun"/>
        </w:rPr>
        <w:t>A</w:t>
      </w:r>
      <w:r w:rsidRPr="00E41631">
        <w:rPr>
          <w:rFonts w:eastAsia="SimSun"/>
          <w:vertAlign w:val="subscript"/>
        </w:rPr>
        <w:t>E</w:t>
      </w:r>
      <w:r>
        <w:rPr>
          <w:rFonts w:eastAsia="SimSun"/>
        </w:rPr>
        <w:t xml:space="preserve"> – Effective vent area, m</w:t>
      </w:r>
      <w:r w:rsidRPr="00E41631">
        <w:rPr>
          <w:rFonts w:eastAsia="SimSun"/>
          <w:vertAlign w:val="superscript"/>
        </w:rPr>
        <w:t>2</w:t>
      </w:r>
    </w:p>
    <w:p w14:paraId="49901B18" w14:textId="0C991977" w:rsidR="00CE52A9" w:rsidRPr="00CE52A9" w:rsidRDefault="00CE52A9" w:rsidP="00D62958">
      <w:pPr>
        <w:pStyle w:val="CETBodytext"/>
        <w:jc w:val="left"/>
        <w:rPr>
          <w:rFonts w:eastAsia="SimSun"/>
        </w:rPr>
      </w:pPr>
      <w:r>
        <w:rPr>
          <w:rFonts w:eastAsia="SimSun"/>
        </w:rPr>
        <w:t>E – Elastic modulus, Pa</w:t>
      </w:r>
    </w:p>
    <w:p w14:paraId="7265CAF8" w14:textId="57F1CA05" w:rsidR="00E011A7" w:rsidRPr="00E011A7" w:rsidRDefault="00E011A7" w:rsidP="00D62958">
      <w:pPr>
        <w:pStyle w:val="CETBodytext"/>
        <w:jc w:val="left"/>
        <w:rPr>
          <w:rFonts w:eastAsia="SimSun"/>
        </w:rPr>
      </w:pPr>
      <w:r>
        <w:rPr>
          <w:rFonts w:eastAsia="SimSun"/>
        </w:rPr>
        <w:t>Ef – Venting device efficiency, -</w:t>
      </w:r>
    </w:p>
    <w:p w14:paraId="11BBA5EA" w14:textId="671F2C39" w:rsidR="00E011A7" w:rsidRDefault="00E011A7" w:rsidP="00D62958">
      <w:pPr>
        <w:pStyle w:val="CETBodytext"/>
        <w:jc w:val="left"/>
        <w:rPr>
          <w:rFonts w:eastAsia="SimSun"/>
        </w:rPr>
      </w:pPr>
      <w:r>
        <w:rPr>
          <w:rFonts w:eastAsia="SimSun"/>
        </w:rPr>
        <w:t>I – Moment of inertia</w:t>
      </w:r>
      <w:r w:rsidR="008F14D8">
        <w:rPr>
          <w:rFonts w:eastAsia="SimSun"/>
        </w:rPr>
        <w:t>, kg</w:t>
      </w:r>
      <w:r w:rsidR="008F14D8">
        <w:rPr>
          <w:rFonts w:eastAsia="SimSun" w:cs="Arial"/>
        </w:rPr>
        <w:t>·</w:t>
      </w:r>
      <w:r w:rsidR="008F14D8">
        <w:rPr>
          <w:rFonts w:eastAsia="SimSun"/>
        </w:rPr>
        <w:t>m</w:t>
      </w:r>
      <w:r w:rsidR="008F14D8" w:rsidRPr="008F14D8">
        <w:rPr>
          <w:rFonts w:eastAsia="SimSun"/>
          <w:vertAlign w:val="superscript"/>
        </w:rPr>
        <w:t>2</w:t>
      </w:r>
    </w:p>
    <w:p w14:paraId="3FB02191" w14:textId="77777777" w:rsidR="008D7170" w:rsidRDefault="008F14D8" w:rsidP="00D62958">
      <w:pPr>
        <w:pStyle w:val="CETBodytext"/>
        <w:jc w:val="left"/>
        <w:rPr>
          <w:rFonts w:eastAsia="SimSun"/>
        </w:rPr>
      </w:pPr>
      <w:r>
        <w:rPr>
          <w:rFonts w:eastAsia="SimSun"/>
        </w:rPr>
        <w:t>K</w:t>
      </w:r>
      <w:r w:rsidRPr="008D7170">
        <w:rPr>
          <w:rFonts w:eastAsia="SimSun"/>
          <w:vertAlign w:val="subscript"/>
        </w:rPr>
        <w:t>St</w:t>
      </w:r>
      <w:r>
        <w:rPr>
          <w:rFonts w:eastAsia="SimSun"/>
        </w:rPr>
        <w:t xml:space="preserve"> – Dust deflagration index, bar m/s</w:t>
      </w:r>
    </w:p>
    <w:p w14:paraId="407759C5" w14:textId="3E708B31" w:rsidR="008D7170" w:rsidRPr="00FE41D3" w:rsidRDefault="00FE41D3" w:rsidP="00D62958">
      <w:pPr>
        <w:pStyle w:val="CETBodytext"/>
        <w:jc w:val="left"/>
        <w:rPr>
          <w:rFonts w:eastAsia="SimSun"/>
        </w:rPr>
      </w:pPr>
      <w:r w:rsidRPr="00FE41D3">
        <w:rPr>
          <w:rFonts w:eastAsia="SimSun"/>
        </w:rPr>
        <w:t>L</w:t>
      </w:r>
      <w:r w:rsidRPr="000D327F">
        <w:rPr>
          <w:rFonts w:eastAsia="SimSun"/>
          <w:vertAlign w:val="subscript"/>
        </w:rPr>
        <w:t>v</w:t>
      </w:r>
      <w:r w:rsidRPr="00FE41D3">
        <w:rPr>
          <w:rFonts w:eastAsia="SimSun"/>
        </w:rPr>
        <w:t xml:space="preserve"> – Lengt</w:t>
      </w:r>
      <w:r>
        <w:rPr>
          <w:rFonts w:eastAsia="SimSun"/>
        </w:rPr>
        <w:t>h</w:t>
      </w:r>
      <w:r w:rsidRPr="00FE41D3">
        <w:rPr>
          <w:rFonts w:eastAsia="SimSun"/>
        </w:rPr>
        <w:t xml:space="preserve"> of </w:t>
      </w:r>
      <w:r>
        <w:rPr>
          <w:rFonts w:eastAsia="SimSun"/>
        </w:rPr>
        <w:t>vent panel normal to hinge, m</w:t>
      </w:r>
    </w:p>
    <w:p w14:paraId="759ED432" w14:textId="6507EEE8" w:rsidR="00D62958" w:rsidRDefault="000D327F" w:rsidP="00D62958">
      <w:pPr>
        <w:pStyle w:val="CETBodytext"/>
        <w:jc w:val="left"/>
        <w:rPr>
          <w:rFonts w:eastAsia="SimSun"/>
        </w:rPr>
      </w:pPr>
      <w:r>
        <w:rPr>
          <w:rFonts w:eastAsia="SimSun"/>
        </w:rPr>
        <w:t>m</w:t>
      </w:r>
      <w:r w:rsidRPr="000D327F">
        <w:rPr>
          <w:rFonts w:eastAsia="SimSun"/>
          <w:vertAlign w:val="subscript"/>
        </w:rPr>
        <w:t>v</w:t>
      </w:r>
      <w:r w:rsidRPr="000D327F">
        <w:rPr>
          <w:rFonts w:eastAsia="SimSun"/>
        </w:rPr>
        <w:t xml:space="preserve"> </w:t>
      </w:r>
      <w:r>
        <w:rPr>
          <w:rFonts w:eastAsia="SimSun"/>
        </w:rPr>
        <w:t xml:space="preserve">– </w:t>
      </w:r>
      <w:r w:rsidR="00536378">
        <w:rPr>
          <w:rFonts w:eastAsia="SimSun"/>
        </w:rPr>
        <w:t>Area density</w:t>
      </w:r>
      <w:r>
        <w:rPr>
          <w:rFonts w:eastAsia="SimSun"/>
        </w:rPr>
        <w:t xml:space="preserve"> of vent panel, kg/m</w:t>
      </w:r>
      <w:r w:rsidRPr="000D327F">
        <w:rPr>
          <w:rFonts w:eastAsia="SimSun"/>
          <w:vertAlign w:val="superscript"/>
        </w:rPr>
        <w:t>2</w:t>
      </w:r>
    </w:p>
    <w:p w14:paraId="43EED5C1" w14:textId="461F7404" w:rsidR="000D327F" w:rsidRDefault="00B40E71" w:rsidP="00D62958">
      <w:pPr>
        <w:pStyle w:val="CETBodytext"/>
        <w:jc w:val="left"/>
        <w:rPr>
          <w:rFonts w:eastAsia="SimSun"/>
        </w:rPr>
      </w:pPr>
      <w:r>
        <w:rPr>
          <w:rFonts w:eastAsia="SimSun"/>
        </w:rPr>
        <w:t>M – Moment, N</w:t>
      </w:r>
      <w:r>
        <w:rPr>
          <w:rFonts w:eastAsia="SimSun" w:cs="Arial"/>
        </w:rPr>
        <w:t>·</w:t>
      </w:r>
      <w:r>
        <w:rPr>
          <w:rFonts w:eastAsia="SimSun"/>
        </w:rPr>
        <w:t>m</w:t>
      </w:r>
    </w:p>
    <w:p w14:paraId="17A48BC7" w14:textId="0F653EB0" w:rsidR="00DB396D" w:rsidRDefault="00DB396D" w:rsidP="00D62958">
      <w:pPr>
        <w:pStyle w:val="CETBodytext"/>
        <w:jc w:val="left"/>
        <w:rPr>
          <w:rFonts w:eastAsia="SimSun"/>
        </w:rPr>
      </w:pPr>
      <w:r>
        <w:rPr>
          <w:rFonts w:eastAsia="SimSun"/>
        </w:rPr>
        <w:t>M</w:t>
      </w:r>
      <w:r w:rsidRPr="00DB396D">
        <w:rPr>
          <w:rFonts w:eastAsia="SimSun"/>
          <w:vertAlign w:val="subscript"/>
        </w:rPr>
        <w:t>T</w:t>
      </w:r>
      <w:r>
        <w:rPr>
          <w:rFonts w:eastAsia="SimSun"/>
        </w:rPr>
        <w:t xml:space="preserve"> – NFPA 68 mass threshold, kg/m</w:t>
      </w:r>
      <w:r w:rsidRPr="00DB396D">
        <w:rPr>
          <w:rFonts w:eastAsia="SimSun"/>
          <w:vertAlign w:val="superscript"/>
        </w:rPr>
        <w:t>2</w:t>
      </w:r>
    </w:p>
    <w:p w14:paraId="419C6755" w14:textId="1ECE898E" w:rsidR="00B40E71" w:rsidRDefault="00B40E71" w:rsidP="00D62958">
      <w:pPr>
        <w:pStyle w:val="CETBodytext"/>
        <w:jc w:val="left"/>
        <w:rPr>
          <w:rFonts w:eastAsia="SimSun"/>
        </w:rPr>
      </w:pPr>
      <w:r>
        <w:rPr>
          <w:rFonts w:eastAsia="SimSun"/>
        </w:rPr>
        <w:t>N</w:t>
      </w:r>
      <w:r w:rsidRPr="00B40E71">
        <w:rPr>
          <w:rFonts w:eastAsia="SimSun"/>
          <w:vertAlign w:val="subscript"/>
        </w:rPr>
        <w:t>v</w:t>
      </w:r>
      <w:r>
        <w:rPr>
          <w:rFonts w:eastAsia="SimSun"/>
        </w:rPr>
        <w:t xml:space="preserve"> – Number of vents, -</w:t>
      </w:r>
    </w:p>
    <w:p w14:paraId="645C448D" w14:textId="6909FC45" w:rsidR="005B2DD0" w:rsidRDefault="005B2DD0" w:rsidP="00D62958">
      <w:pPr>
        <w:pStyle w:val="CETBodytext"/>
        <w:jc w:val="left"/>
        <w:rPr>
          <w:rFonts w:eastAsia="SimSun"/>
        </w:rPr>
      </w:pPr>
      <w:r>
        <w:rPr>
          <w:rFonts w:eastAsia="SimSun"/>
        </w:rPr>
        <w:t>p</w:t>
      </w:r>
      <w:r w:rsidRPr="005B2DD0">
        <w:rPr>
          <w:rFonts w:eastAsia="SimSun"/>
          <w:vertAlign w:val="subscript"/>
        </w:rPr>
        <w:t>max</w:t>
      </w:r>
      <w:r>
        <w:rPr>
          <w:rFonts w:eastAsia="SimSun"/>
        </w:rPr>
        <w:t xml:space="preserve"> – Maximum explosion pressure, bar-g</w:t>
      </w:r>
    </w:p>
    <w:p w14:paraId="3BCF2D30" w14:textId="4B740E5A" w:rsidR="005B2DD0" w:rsidRDefault="005B2DD0" w:rsidP="00D62958">
      <w:pPr>
        <w:pStyle w:val="CETBodytext"/>
        <w:jc w:val="left"/>
        <w:rPr>
          <w:rFonts w:eastAsia="SimSun"/>
        </w:rPr>
      </w:pPr>
      <w:r>
        <w:rPr>
          <w:rFonts w:eastAsia="SimSun"/>
        </w:rPr>
        <w:t>p</w:t>
      </w:r>
      <w:r w:rsidRPr="005B2DD0">
        <w:rPr>
          <w:rFonts w:eastAsia="SimSun"/>
          <w:vertAlign w:val="subscript"/>
        </w:rPr>
        <w:t>red</w:t>
      </w:r>
      <w:r>
        <w:rPr>
          <w:rFonts w:eastAsia="SimSun"/>
        </w:rPr>
        <w:t xml:space="preserve"> – Reduced explosion pressure, bar-g</w:t>
      </w:r>
    </w:p>
    <w:p w14:paraId="3936A91A" w14:textId="589BE044" w:rsidR="005B2DD0" w:rsidRDefault="005B2DD0" w:rsidP="00D62958">
      <w:pPr>
        <w:pStyle w:val="CETBodytext"/>
        <w:jc w:val="left"/>
        <w:rPr>
          <w:rFonts w:eastAsia="SimSun"/>
        </w:rPr>
      </w:pPr>
      <w:r>
        <w:rPr>
          <w:rFonts w:eastAsia="SimSun"/>
        </w:rPr>
        <w:t>p</w:t>
      </w:r>
      <w:r w:rsidRPr="005B2DD0">
        <w:rPr>
          <w:rFonts w:eastAsia="SimSun"/>
          <w:vertAlign w:val="subscript"/>
        </w:rPr>
        <w:t>stat</w:t>
      </w:r>
      <w:r>
        <w:rPr>
          <w:rFonts w:eastAsia="SimSun"/>
        </w:rPr>
        <w:t xml:space="preserve"> – Static vent burs</w:t>
      </w:r>
      <w:r w:rsidR="00F76EAE">
        <w:rPr>
          <w:rFonts w:eastAsia="SimSun"/>
        </w:rPr>
        <w:t>t</w:t>
      </w:r>
      <w:r>
        <w:rPr>
          <w:rFonts w:eastAsia="SimSun"/>
        </w:rPr>
        <w:t xml:space="preserve"> pressure, bar-g</w:t>
      </w:r>
    </w:p>
    <w:p w14:paraId="4F551BEE" w14:textId="0CEE514C" w:rsidR="005B2DD0" w:rsidRDefault="009E3E2B" w:rsidP="00D62958">
      <w:pPr>
        <w:pStyle w:val="CETBodytext"/>
        <w:jc w:val="left"/>
        <w:rPr>
          <w:rFonts w:eastAsia="SimSun"/>
        </w:rPr>
      </w:pPr>
      <w:r>
        <w:rPr>
          <w:rFonts w:eastAsia="SimSun"/>
        </w:rPr>
        <w:t>Q – Resistance parameter of venting device, kg/m</w:t>
      </w:r>
    </w:p>
    <w:p w14:paraId="2C5858AE" w14:textId="1FD7C21F" w:rsidR="00263321" w:rsidRDefault="00263321" w:rsidP="00D62958">
      <w:pPr>
        <w:pStyle w:val="CETBodytext"/>
        <w:jc w:val="left"/>
        <w:rPr>
          <w:rFonts w:eastAsia="SimSun"/>
        </w:rPr>
      </w:pPr>
      <w:r>
        <w:rPr>
          <w:rFonts w:eastAsia="SimSun"/>
        </w:rPr>
        <w:t>R – Vessel radius, m</w:t>
      </w:r>
    </w:p>
    <w:p w14:paraId="10CE5304" w14:textId="020CF222" w:rsidR="009E3E2B" w:rsidRDefault="009E3E2B" w:rsidP="00D62958">
      <w:pPr>
        <w:pStyle w:val="CETBodytext"/>
        <w:jc w:val="left"/>
        <w:rPr>
          <w:rFonts w:eastAsia="SimSun"/>
        </w:rPr>
      </w:pPr>
      <w:r>
        <w:rPr>
          <w:rFonts w:eastAsia="SimSun"/>
        </w:rPr>
        <w:t>R</w:t>
      </w:r>
      <w:r w:rsidRPr="009E3E2B">
        <w:rPr>
          <w:rFonts w:eastAsia="SimSun"/>
          <w:vertAlign w:val="subscript"/>
        </w:rPr>
        <w:t>eff</w:t>
      </w:r>
      <w:r>
        <w:rPr>
          <w:rFonts w:eastAsia="SimSun"/>
        </w:rPr>
        <w:t xml:space="preserve"> – Effective radius of curvature, m</w:t>
      </w:r>
    </w:p>
    <w:p w14:paraId="78E7B048" w14:textId="69B5BC97" w:rsidR="00263321" w:rsidRDefault="00263321" w:rsidP="00D62958">
      <w:pPr>
        <w:pStyle w:val="CETBodytext"/>
        <w:jc w:val="left"/>
        <w:rPr>
          <w:rFonts w:eastAsia="SimSun"/>
        </w:rPr>
      </w:pPr>
      <w:r>
        <w:rPr>
          <w:rFonts w:eastAsia="SimSun"/>
        </w:rPr>
        <w:t>r</w:t>
      </w:r>
      <w:r w:rsidRPr="00263321">
        <w:rPr>
          <w:rFonts w:eastAsia="SimSun"/>
          <w:vertAlign w:val="subscript"/>
        </w:rPr>
        <w:t>f</w:t>
      </w:r>
      <w:r>
        <w:rPr>
          <w:rFonts w:eastAsia="SimSun"/>
        </w:rPr>
        <w:t xml:space="preserve"> – Flame radius, m</w:t>
      </w:r>
    </w:p>
    <w:p w14:paraId="4BB94D49" w14:textId="30AEA963" w:rsidR="009E3E2B" w:rsidRDefault="00222953" w:rsidP="00D62958">
      <w:pPr>
        <w:pStyle w:val="CETBodytext"/>
        <w:jc w:val="left"/>
        <w:rPr>
          <w:rFonts w:eastAsia="SimSun"/>
        </w:rPr>
      </w:pPr>
      <w:r>
        <w:rPr>
          <w:rFonts w:eastAsia="SimSun"/>
        </w:rPr>
        <w:t>S</w:t>
      </w:r>
      <w:r w:rsidRPr="00222953">
        <w:rPr>
          <w:rFonts w:eastAsia="SimSun"/>
          <w:vertAlign w:val="subscript"/>
        </w:rPr>
        <w:t>T</w:t>
      </w:r>
      <w:r>
        <w:rPr>
          <w:rFonts w:eastAsia="SimSun"/>
        </w:rPr>
        <w:t xml:space="preserve"> – Turbulent burning velocity, m/s</w:t>
      </w:r>
    </w:p>
    <w:p w14:paraId="4EC6666D" w14:textId="5D3EF823" w:rsidR="00222953" w:rsidRDefault="00222953" w:rsidP="00D62958">
      <w:pPr>
        <w:pStyle w:val="CETBodytext"/>
        <w:jc w:val="left"/>
        <w:rPr>
          <w:rFonts w:eastAsia="SimSun"/>
        </w:rPr>
      </w:pPr>
      <w:r>
        <w:rPr>
          <w:rFonts w:eastAsia="SimSun"/>
        </w:rPr>
        <w:t>S</w:t>
      </w:r>
      <w:r w:rsidRPr="00222953">
        <w:rPr>
          <w:rFonts w:eastAsia="SimSun"/>
          <w:vertAlign w:val="subscript"/>
        </w:rPr>
        <w:t>T,R</w:t>
      </w:r>
      <w:r>
        <w:rPr>
          <w:rFonts w:eastAsia="SimSun"/>
        </w:rPr>
        <w:t xml:space="preserve"> – Maximum turbulent burning velocity, m/s</w:t>
      </w:r>
    </w:p>
    <w:p w14:paraId="02870622" w14:textId="6D32699C" w:rsidR="007D444A" w:rsidRPr="008E72AB" w:rsidRDefault="007D444A" w:rsidP="00D62958">
      <w:pPr>
        <w:pStyle w:val="CETBodytext"/>
        <w:jc w:val="left"/>
        <w:rPr>
          <w:rFonts w:eastAsia="SimSun"/>
        </w:rPr>
      </w:pPr>
      <w:r w:rsidRPr="008E72AB">
        <w:rPr>
          <w:rFonts w:eastAsia="SimSun"/>
        </w:rPr>
        <w:t>t – Time, s</w:t>
      </w:r>
    </w:p>
    <w:p w14:paraId="60066418" w14:textId="37EDFEBA" w:rsidR="00222953" w:rsidRPr="008E72AB" w:rsidRDefault="00222953" w:rsidP="00D62958">
      <w:pPr>
        <w:pStyle w:val="CETBodytext"/>
        <w:jc w:val="left"/>
        <w:rPr>
          <w:rFonts w:eastAsia="SimSun"/>
        </w:rPr>
      </w:pPr>
      <w:r w:rsidRPr="008E72AB">
        <w:rPr>
          <w:rFonts w:eastAsia="SimSun"/>
        </w:rPr>
        <w:t>V – Vessel volume, m</w:t>
      </w:r>
      <w:r w:rsidRPr="008E72AB">
        <w:rPr>
          <w:rFonts w:eastAsia="SimSun"/>
          <w:vertAlign w:val="superscript"/>
        </w:rPr>
        <w:t>3</w:t>
      </w:r>
    </w:p>
    <w:p w14:paraId="111859CE" w14:textId="478B27C1" w:rsidR="00687FDC" w:rsidRPr="00687FDC" w:rsidRDefault="00687FDC" w:rsidP="00D62958">
      <w:pPr>
        <w:pStyle w:val="CETBodytext"/>
        <w:jc w:val="left"/>
        <w:rPr>
          <w:rFonts w:eastAsia="SimSun"/>
        </w:rPr>
      </w:pPr>
      <w:r w:rsidRPr="00687FDC">
        <w:rPr>
          <w:rFonts w:eastAsia="SimSun"/>
        </w:rPr>
        <w:t>W</w:t>
      </w:r>
      <w:r w:rsidRPr="00687FDC">
        <w:rPr>
          <w:rFonts w:eastAsia="SimSun"/>
          <w:vertAlign w:val="subscript"/>
        </w:rPr>
        <w:t>v</w:t>
      </w:r>
      <w:r w:rsidRPr="00687FDC">
        <w:rPr>
          <w:rFonts w:eastAsia="SimSun"/>
        </w:rPr>
        <w:t xml:space="preserve"> – Width of the v</w:t>
      </w:r>
      <w:r>
        <w:rPr>
          <w:rFonts w:eastAsia="SimSun"/>
        </w:rPr>
        <w:t>ent panel along the hinge, m</w:t>
      </w:r>
    </w:p>
    <w:p w14:paraId="22E30649" w14:textId="059A9E26" w:rsidR="00222953" w:rsidRDefault="00D508A8" w:rsidP="00D62958">
      <w:pPr>
        <w:pStyle w:val="CETBodytext"/>
        <w:jc w:val="left"/>
        <w:rPr>
          <w:rFonts w:eastAsia="SimSun"/>
        </w:rPr>
      </w:pPr>
      <m:oMath>
        <m:r>
          <m:rPr>
            <m:sty m:val="p"/>
          </m:rPr>
          <w:rPr>
            <w:rFonts w:ascii="Cambria Math" w:eastAsia="SimSun" w:hAnsi="Cambria Math"/>
          </w:rPr>
          <m:t>θ</m:t>
        </m:r>
      </m:oMath>
      <w:r w:rsidR="00DB73BC">
        <w:rPr>
          <w:rFonts w:eastAsia="SimSun"/>
        </w:rPr>
        <w:t xml:space="preserve"> </w:t>
      </w:r>
      <w:r>
        <w:rPr>
          <w:rFonts w:eastAsia="SimSun"/>
        </w:rPr>
        <w:t>–</w:t>
      </w:r>
      <w:r w:rsidR="00DB73BC">
        <w:rPr>
          <w:rFonts w:eastAsia="SimSun"/>
        </w:rPr>
        <w:t xml:space="preserve"> </w:t>
      </w:r>
      <w:r>
        <w:rPr>
          <w:rFonts w:eastAsia="SimSun"/>
        </w:rPr>
        <w:t>Vent panel opening angle, rad</w:t>
      </w:r>
    </w:p>
    <w:p w14:paraId="10D0F442" w14:textId="4204A1EC" w:rsidR="007D444A" w:rsidRPr="007D444A" w:rsidRDefault="007D444A" w:rsidP="00D62958">
      <w:pPr>
        <w:pStyle w:val="CETBodytext"/>
        <w:jc w:val="left"/>
        <w:rPr>
          <w:rFonts w:eastAsia="SimSun"/>
          <w:iCs/>
        </w:rPr>
      </w:pPr>
      <m:oMath>
        <m:r>
          <m:rPr>
            <m:sty m:val="p"/>
          </m:rPr>
          <w:rPr>
            <w:rFonts w:ascii="Cambria Math" w:hAnsi="Cambria Math"/>
            <w:color w:val="000000"/>
            <w:szCs w:val="24"/>
            <w:lang w:val="de-DE"/>
          </w:rPr>
          <m:t>τ</m:t>
        </m:r>
      </m:oMath>
      <w:r w:rsidRPr="007D444A">
        <w:rPr>
          <w:rFonts w:eastAsia="SimSun"/>
          <w:iCs/>
          <w:color w:val="000000"/>
          <w:szCs w:val="24"/>
        </w:rPr>
        <w:t xml:space="preserve"> – Characteristic oxygen diffusion ti</w:t>
      </w:r>
      <w:r>
        <w:rPr>
          <w:rFonts w:eastAsia="SimSun"/>
          <w:iCs/>
          <w:color w:val="000000"/>
          <w:szCs w:val="24"/>
        </w:rPr>
        <w:t>me, s</w:t>
      </w:r>
    </w:p>
    <w:p w14:paraId="1A911DAD" w14:textId="24894883" w:rsidR="00D508A8" w:rsidRPr="00770544" w:rsidRDefault="00770544" w:rsidP="00D62958">
      <w:pPr>
        <w:pStyle w:val="CETBodytext"/>
        <w:jc w:val="left"/>
        <w:rPr>
          <w:rFonts w:eastAsia="SimSun"/>
        </w:rPr>
      </w:pPr>
      <m:oMath>
        <m:r>
          <m:rPr>
            <m:sty m:val="p"/>
          </m:rPr>
          <w:rPr>
            <w:rFonts w:ascii="Cambria Math" w:hAnsi="Cambria Math"/>
            <w:color w:val="000000"/>
            <w:szCs w:val="24"/>
            <w:lang w:val="de-DE"/>
          </w:rPr>
          <m:t>χ</m:t>
        </m:r>
      </m:oMath>
      <w:r w:rsidRPr="00770544">
        <w:rPr>
          <w:rFonts w:eastAsia="SimSun"/>
          <w:color w:val="000000"/>
          <w:szCs w:val="24"/>
        </w:rPr>
        <w:t xml:space="preserve"> – Ratio of dif</w:t>
      </w:r>
      <w:r>
        <w:rPr>
          <w:rFonts w:eastAsia="SimSun"/>
          <w:color w:val="000000"/>
          <w:szCs w:val="24"/>
        </w:rPr>
        <w:t>fusion and combustion times, -</w:t>
      </w:r>
    </w:p>
    <w:p w14:paraId="00BE4CC3" w14:textId="117C78FC" w:rsidR="00D62958" w:rsidRPr="00E377D0" w:rsidRDefault="00D62958" w:rsidP="00D62958">
      <w:pPr>
        <w:pStyle w:val="CETBodytext"/>
        <w:jc w:val="left"/>
        <w:rPr>
          <w:rFonts w:eastAsia="SimSun"/>
        </w:rPr>
        <w:sectPr w:rsidR="00D62958" w:rsidRPr="00E377D0" w:rsidSect="00D62958">
          <w:type w:val="continuous"/>
          <w:pgSz w:w="11906" w:h="16838" w:code="9"/>
          <w:pgMar w:top="1701" w:right="1418" w:bottom="1701" w:left="1701" w:header="1701" w:footer="0" w:gutter="0"/>
          <w:cols w:num="2" w:space="708"/>
          <w:formProt w:val="0"/>
          <w:titlePg/>
          <w:docGrid w:linePitch="360"/>
        </w:sectPr>
      </w:pPr>
    </w:p>
    <w:p w14:paraId="36A13A9F" w14:textId="444D1213" w:rsidR="007201A9" w:rsidRDefault="007201A9" w:rsidP="007201A9">
      <w:pPr>
        <w:pStyle w:val="CETReference"/>
      </w:pPr>
      <w:r>
        <w:t>References</w:t>
      </w:r>
    </w:p>
    <w:p w14:paraId="52899EE9" w14:textId="77777777" w:rsidR="00193620" w:rsidRDefault="00193620" w:rsidP="009330CE">
      <w:pPr>
        <w:pStyle w:val="CETReferencetext"/>
      </w:pPr>
      <w:r w:rsidRPr="00886C0E">
        <w:t>Bauwens, C.R.L., Boeck, L.R., Dorofeev, S.B. (2024). Characterizing the reactivity of large-scale dust explosions with a dimensionless two-parameter model. Proceedings of the Combustion Institute, 40, 105280.</w:t>
      </w:r>
    </w:p>
    <w:p w14:paraId="37C21972" w14:textId="77777777" w:rsidR="00193620" w:rsidRDefault="00193620" w:rsidP="009330CE">
      <w:pPr>
        <w:pStyle w:val="CETReferencetext"/>
      </w:pPr>
      <w:r w:rsidRPr="009330CE">
        <w:t>Boeck, L.R., Bauwens, C.R.L., Dorofeev, S.B. (2023). Large-scale dust explosions in vessel-pipe systems. Journal of Loss Prevention in the Process Industries, 82, 104980.</w:t>
      </w:r>
    </w:p>
    <w:p w14:paraId="5EC8CC00" w14:textId="6758C682" w:rsidR="00B91445" w:rsidRDefault="00B91445" w:rsidP="009330CE">
      <w:pPr>
        <w:pStyle w:val="CETReferencetext"/>
      </w:pPr>
      <w:r>
        <w:t>Boeck, L.R. and Bloching, M. (2026). Examining efficiency of deflagration vents through physics-based modelling. 16 International Symposium on Hazards, Prevention, and Mitigation of Industrial Explosions</w:t>
      </w:r>
      <w:r w:rsidR="00DE005D">
        <w:t>, Kaohsiung, Taiwan.</w:t>
      </w:r>
    </w:p>
    <w:p w14:paraId="4A54528C" w14:textId="77777777" w:rsidR="004F6483" w:rsidRPr="007D54AB" w:rsidRDefault="004F6483" w:rsidP="004F6483">
      <w:pPr>
        <w:pStyle w:val="CETReferencetext"/>
        <w:rPr>
          <w:b/>
        </w:rPr>
      </w:pPr>
      <w:r w:rsidRPr="00EE2381">
        <w:t xml:space="preserve">EN 14797 (2006). </w:t>
      </w:r>
      <w:r w:rsidRPr="00886C0E">
        <w:t>Explosion venting devices.</w:t>
      </w:r>
    </w:p>
    <w:p w14:paraId="1FEFB029" w14:textId="77777777" w:rsidR="004F6483" w:rsidRPr="00886C0E" w:rsidRDefault="004F6483" w:rsidP="004F6483">
      <w:pPr>
        <w:pStyle w:val="CETReferencetext"/>
      </w:pPr>
      <w:r w:rsidRPr="00886C0E">
        <w:t>EN 14491 (2012). Dust explosion venting protective systems.</w:t>
      </w:r>
    </w:p>
    <w:p w14:paraId="4945CC91" w14:textId="77777777" w:rsidR="004F6483" w:rsidRDefault="004F6483" w:rsidP="004F6483">
      <w:pPr>
        <w:pStyle w:val="CETReferencetext"/>
      </w:pPr>
      <w:r w:rsidRPr="00886C0E">
        <w:t>EN 14994 (2007). Gas explosion venting protective systems.</w:t>
      </w:r>
    </w:p>
    <w:p w14:paraId="5EB78EB4" w14:textId="2D8EB9EF" w:rsidR="00B5419A" w:rsidRDefault="00B5419A" w:rsidP="00B5419A">
      <w:pPr>
        <w:pStyle w:val="CETReferencetext"/>
      </w:pPr>
      <w:r w:rsidRPr="00886C0E">
        <w:t xml:space="preserve">Lorenz, D. (2020). </w:t>
      </w:r>
      <w:r w:rsidR="00D86834" w:rsidRPr="00D86834">
        <w:rPr>
          <w:lang w:val="de-DE"/>
        </w:rPr>
        <w:t xml:space="preserve">Modellgestützte Optimierung des Schutzsystems Explosionsklappe </w:t>
      </w:r>
      <w:r w:rsidR="00D86834">
        <w:rPr>
          <w:lang w:val="de-DE"/>
        </w:rPr>
        <w:t>zur kontrollierten Druckentlastung verfahrenstechnischer Apparate bei Staubexplosionen</w:t>
      </w:r>
      <w:r w:rsidRPr="00D86834">
        <w:rPr>
          <w:lang w:val="de-DE"/>
        </w:rPr>
        <w:t xml:space="preserve">. </w:t>
      </w:r>
      <w:r w:rsidR="00050080" w:rsidRPr="00D86834">
        <w:rPr>
          <w:lang w:val="de-DE"/>
        </w:rPr>
        <w:t>Ph.D. Thesis</w:t>
      </w:r>
      <w:r w:rsidRPr="00D86834">
        <w:rPr>
          <w:lang w:val="de-DE"/>
        </w:rPr>
        <w:t xml:space="preserve">. </w:t>
      </w:r>
      <w:r w:rsidRPr="00886C0E">
        <w:t>Wuppertal.</w:t>
      </w:r>
    </w:p>
    <w:p w14:paraId="19C4FC68" w14:textId="5166A1B2" w:rsidR="004628D2" w:rsidRDefault="001E2A9E" w:rsidP="003D3A40">
      <w:pPr>
        <w:pStyle w:val="CETReferencetext"/>
      </w:pPr>
      <w:r w:rsidRPr="00886C0E">
        <w:t>NFPA 68 (2023). Standard on explosion protection by deflagration venting.</w:t>
      </w: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92F4" w14:textId="77777777" w:rsidR="007226A0" w:rsidRDefault="007226A0" w:rsidP="004F5E36">
      <w:r>
        <w:separator/>
      </w:r>
    </w:p>
  </w:endnote>
  <w:endnote w:type="continuationSeparator" w:id="0">
    <w:p w14:paraId="3EFC791B" w14:textId="77777777" w:rsidR="007226A0" w:rsidRDefault="007226A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Cambria"/>
    <w:panose1 w:val="020B0604020202020204"/>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73A3" w14:textId="77777777" w:rsidR="007226A0" w:rsidRDefault="007226A0" w:rsidP="004F5E36">
      <w:r>
        <w:separator/>
      </w:r>
    </w:p>
  </w:footnote>
  <w:footnote w:type="continuationSeparator" w:id="0">
    <w:p w14:paraId="53D40939" w14:textId="77777777" w:rsidR="007226A0" w:rsidRDefault="007226A0"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6320A9"/>
    <w:multiLevelType w:val="multilevel"/>
    <w:tmpl w:val="4CE4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E127B"/>
    <w:multiLevelType w:val="hybridMultilevel"/>
    <w:tmpl w:val="43B2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76E3C"/>
    <w:multiLevelType w:val="hybridMultilevel"/>
    <w:tmpl w:val="8B26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18C589E"/>
    <w:multiLevelType w:val="hybridMultilevel"/>
    <w:tmpl w:val="0292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25C2B"/>
    <w:multiLevelType w:val="hybridMultilevel"/>
    <w:tmpl w:val="76946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E67DF8"/>
    <w:multiLevelType w:val="hybridMultilevel"/>
    <w:tmpl w:val="C9AE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B70526"/>
    <w:multiLevelType w:val="hybridMultilevel"/>
    <w:tmpl w:val="0480F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6882765">
    <w:abstractNumId w:val="13"/>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3"/>
  </w:num>
  <w:num w:numId="13" w16cid:durableId="695733619">
    <w:abstractNumId w:val="15"/>
  </w:num>
  <w:num w:numId="14" w16cid:durableId="145903400">
    <w:abstractNumId w:val="24"/>
  </w:num>
  <w:num w:numId="15" w16cid:durableId="19162326">
    <w:abstractNumId w:val="26"/>
  </w:num>
  <w:num w:numId="16" w16cid:durableId="1977102699">
    <w:abstractNumId w:val="25"/>
  </w:num>
  <w:num w:numId="17" w16cid:durableId="860774865">
    <w:abstractNumId w:val="14"/>
  </w:num>
  <w:num w:numId="18" w16cid:durableId="313221457">
    <w:abstractNumId w:val="15"/>
    <w:lvlOverride w:ilvl="0">
      <w:startOverride w:val="1"/>
    </w:lvlOverride>
  </w:num>
  <w:num w:numId="19" w16cid:durableId="534971577">
    <w:abstractNumId w:val="22"/>
  </w:num>
  <w:num w:numId="20" w16cid:durableId="1150947773">
    <w:abstractNumId w:val="21"/>
  </w:num>
  <w:num w:numId="21" w16cid:durableId="124660497">
    <w:abstractNumId w:val="17"/>
  </w:num>
  <w:num w:numId="22" w16cid:durableId="2099861471">
    <w:abstractNumId w:val="16"/>
  </w:num>
  <w:num w:numId="23" w16cid:durableId="1863781347">
    <w:abstractNumId w:val="18"/>
  </w:num>
  <w:num w:numId="24" w16cid:durableId="255987964">
    <w:abstractNumId w:val="20"/>
  </w:num>
  <w:num w:numId="25" w16cid:durableId="856575848">
    <w:abstractNumId w:val="11"/>
  </w:num>
  <w:num w:numId="26" w16cid:durableId="1659310033">
    <w:abstractNumId w:val="27"/>
  </w:num>
  <w:num w:numId="27" w16cid:durableId="1162434300">
    <w:abstractNumId w:val="19"/>
  </w:num>
  <w:num w:numId="28" w16cid:durableId="1793549605">
    <w:abstractNumId w:val="10"/>
  </w:num>
  <w:num w:numId="29" w16cid:durableId="956257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7BE"/>
    <w:rsid w:val="000027C0"/>
    <w:rsid w:val="000050A3"/>
    <w:rsid w:val="000052FB"/>
    <w:rsid w:val="00005884"/>
    <w:rsid w:val="00005A19"/>
    <w:rsid w:val="000117CB"/>
    <w:rsid w:val="00016349"/>
    <w:rsid w:val="00027DD5"/>
    <w:rsid w:val="000305DA"/>
    <w:rsid w:val="0003148D"/>
    <w:rsid w:val="00031EEC"/>
    <w:rsid w:val="000357B4"/>
    <w:rsid w:val="00036253"/>
    <w:rsid w:val="00036EB4"/>
    <w:rsid w:val="00045220"/>
    <w:rsid w:val="00047F94"/>
    <w:rsid w:val="00050080"/>
    <w:rsid w:val="00051566"/>
    <w:rsid w:val="000562A9"/>
    <w:rsid w:val="00062A9A"/>
    <w:rsid w:val="00065058"/>
    <w:rsid w:val="000670AA"/>
    <w:rsid w:val="00072C0A"/>
    <w:rsid w:val="00074BE5"/>
    <w:rsid w:val="00076933"/>
    <w:rsid w:val="000821BD"/>
    <w:rsid w:val="000830B2"/>
    <w:rsid w:val="00086C39"/>
    <w:rsid w:val="00092ADF"/>
    <w:rsid w:val="00095AE7"/>
    <w:rsid w:val="000A03B2"/>
    <w:rsid w:val="000A1256"/>
    <w:rsid w:val="000A3EBD"/>
    <w:rsid w:val="000B1B18"/>
    <w:rsid w:val="000B3AE5"/>
    <w:rsid w:val="000C26E0"/>
    <w:rsid w:val="000C2D4E"/>
    <w:rsid w:val="000C3BC9"/>
    <w:rsid w:val="000C67EA"/>
    <w:rsid w:val="000D0268"/>
    <w:rsid w:val="000D14DD"/>
    <w:rsid w:val="000D1B23"/>
    <w:rsid w:val="000D26A0"/>
    <w:rsid w:val="000D327F"/>
    <w:rsid w:val="000D34BE"/>
    <w:rsid w:val="000D499D"/>
    <w:rsid w:val="000D6E8D"/>
    <w:rsid w:val="000E102F"/>
    <w:rsid w:val="000E23B2"/>
    <w:rsid w:val="000E36F1"/>
    <w:rsid w:val="000E3A73"/>
    <w:rsid w:val="000E414A"/>
    <w:rsid w:val="000E75FD"/>
    <w:rsid w:val="000F093C"/>
    <w:rsid w:val="000F1AD7"/>
    <w:rsid w:val="000F207F"/>
    <w:rsid w:val="000F20EF"/>
    <w:rsid w:val="000F3545"/>
    <w:rsid w:val="000F787B"/>
    <w:rsid w:val="00103697"/>
    <w:rsid w:val="00104CC9"/>
    <w:rsid w:val="00107953"/>
    <w:rsid w:val="001166E6"/>
    <w:rsid w:val="0012091F"/>
    <w:rsid w:val="00122A14"/>
    <w:rsid w:val="00124AAD"/>
    <w:rsid w:val="00126BC2"/>
    <w:rsid w:val="001277B9"/>
    <w:rsid w:val="00130750"/>
    <w:rsid w:val="001308B6"/>
    <w:rsid w:val="0013121F"/>
    <w:rsid w:val="00131672"/>
    <w:rsid w:val="00131FE6"/>
    <w:rsid w:val="0013263F"/>
    <w:rsid w:val="001331DF"/>
    <w:rsid w:val="00134DE4"/>
    <w:rsid w:val="00135218"/>
    <w:rsid w:val="0014034D"/>
    <w:rsid w:val="00140FE3"/>
    <w:rsid w:val="00144CA3"/>
    <w:rsid w:val="00144D16"/>
    <w:rsid w:val="001454C1"/>
    <w:rsid w:val="00147D60"/>
    <w:rsid w:val="00150CC4"/>
    <w:rsid w:val="00150E59"/>
    <w:rsid w:val="00151F01"/>
    <w:rsid w:val="00152DE3"/>
    <w:rsid w:val="00154E5D"/>
    <w:rsid w:val="001639AA"/>
    <w:rsid w:val="00163C7B"/>
    <w:rsid w:val="00164CF9"/>
    <w:rsid w:val="001667A6"/>
    <w:rsid w:val="00180D38"/>
    <w:rsid w:val="00184AD6"/>
    <w:rsid w:val="0018557A"/>
    <w:rsid w:val="001863A8"/>
    <w:rsid w:val="00186BF7"/>
    <w:rsid w:val="00191E08"/>
    <w:rsid w:val="00193620"/>
    <w:rsid w:val="00196868"/>
    <w:rsid w:val="001A08B0"/>
    <w:rsid w:val="001A16FF"/>
    <w:rsid w:val="001A1A67"/>
    <w:rsid w:val="001A4AF7"/>
    <w:rsid w:val="001B0349"/>
    <w:rsid w:val="001B1E93"/>
    <w:rsid w:val="001B61A7"/>
    <w:rsid w:val="001B65C1"/>
    <w:rsid w:val="001C260F"/>
    <w:rsid w:val="001C33F1"/>
    <w:rsid w:val="001C684B"/>
    <w:rsid w:val="001D0CFB"/>
    <w:rsid w:val="001D21AF"/>
    <w:rsid w:val="001D2992"/>
    <w:rsid w:val="001D53FC"/>
    <w:rsid w:val="001D798E"/>
    <w:rsid w:val="001E2A9E"/>
    <w:rsid w:val="001E32DF"/>
    <w:rsid w:val="001E6D89"/>
    <w:rsid w:val="001F1E0C"/>
    <w:rsid w:val="001F42A5"/>
    <w:rsid w:val="001F7B9D"/>
    <w:rsid w:val="00201785"/>
    <w:rsid w:val="00201C93"/>
    <w:rsid w:val="00201CE5"/>
    <w:rsid w:val="00202EA5"/>
    <w:rsid w:val="00203A84"/>
    <w:rsid w:val="0021583D"/>
    <w:rsid w:val="002203C7"/>
    <w:rsid w:val="002219D0"/>
    <w:rsid w:val="002224B4"/>
    <w:rsid w:val="00222953"/>
    <w:rsid w:val="0023078B"/>
    <w:rsid w:val="00234E65"/>
    <w:rsid w:val="00235900"/>
    <w:rsid w:val="00237552"/>
    <w:rsid w:val="00242E51"/>
    <w:rsid w:val="002447EF"/>
    <w:rsid w:val="00251550"/>
    <w:rsid w:val="002602D8"/>
    <w:rsid w:val="00263321"/>
    <w:rsid w:val="00263B05"/>
    <w:rsid w:val="00267CF7"/>
    <w:rsid w:val="00267EA6"/>
    <w:rsid w:val="0027221A"/>
    <w:rsid w:val="00272FF1"/>
    <w:rsid w:val="00275B61"/>
    <w:rsid w:val="00280491"/>
    <w:rsid w:val="00280FAF"/>
    <w:rsid w:val="00282656"/>
    <w:rsid w:val="002827B5"/>
    <w:rsid w:val="00293F09"/>
    <w:rsid w:val="00296B83"/>
    <w:rsid w:val="002A1E88"/>
    <w:rsid w:val="002B4015"/>
    <w:rsid w:val="002B78CE"/>
    <w:rsid w:val="002C2FB6"/>
    <w:rsid w:val="002E5FA7"/>
    <w:rsid w:val="002E608F"/>
    <w:rsid w:val="002F1BF3"/>
    <w:rsid w:val="002F3309"/>
    <w:rsid w:val="003008CE"/>
    <w:rsid w:val="003009B7"/>
    <w:rsid w:val="00300E56"/>
    <w:rsid w:val="0030152C"/>
    <w:rsid w:val="0030469C"/>
    <w:rsid w:val="003127DA"/>
    <w:rsid w:val="0031460C"/>
    <w:rsid w:val="00316868"/>
    <w:rsid w:val="00320F38"/>
    <w:rsid w:val="00321CA6"/>
    <w:rsid w:val="00323763"/>
    <w:rsid w:val="00323C5F"/>
    <w:rsid w:val="00326C46"/>
    <w:rsid w:val="00331821"/>
    <w:rsid w:val="00332389"/>
    <w:rsid w:val="00334C09"/>
    <w:rsid w:val="00336683"/>
    <w:rsid w:val="00337E8C"/>
    <w:rsid w:val="00340ED4"/>
    <w:rsid w:val="00342539"/>
    <w:rsid w:val="00353485"/>
    <w:rsid w:val="0035491E"/>
    <w:rsid w:val="00354D09"/>
    <w:rsid w:val="00360E1B"/>
    <w:rsid w:val="003616E7"/>
    <w:rsid w:val="0036419D"/>
    <w:rsid w:val="003723D4"/>
    <w:rsid w:val="00381905"/>
    <w:rsid w:val="00384CC8"/>
    <w:rsid w:val="003871FD"/>
    <w:rsid w:val="003A1E2C"/>
    <w:rsid w:val="003A1E30"/>
    <w:rsid w:val="003A2829"/>
    <w:rsid w:val="003A7D1C"/>
    <w:rsid w:val="003B304B"/>
    <w:rsid w:val="003B3146"/>
    <w:rsid w:val="003C59DD"/>
    <w:rsid w:val="003C66D7"/>
    <w:rsid w:val="003D170A"/>
    <w:rsid w:val="003D18CC"/>
    <w:rsid w:val="003D1E02"/>
    <w:rsid w:val="003D3A40"/>
    <w:rsid w:val="003D4439"/>
    <w:rsid w:val="003D4510"/>
    <w:rsid w:val="003D548C"/>
    <w:rsid w:val="003E7469"/>
    <w:rsid w:val="003F015E"/>
    <w:rsid w:val="003F04C3"/>
    <w:rsid w:val="00400414"/>
    <w:rsid w:val="00405D89"/>
    <w:rsid w:val="00407DBF"/>
    <w:rsid w:val="00411563"/>
    <w:rsid w:val="00412111"/>
    <w:rsid w:val="00412279"/>
    <w:rsid w:val="0041446B"/>
    <w:rsid w:val="00414915"/>
    <w:rsid w:val="00416E28"/>
    <w:rsid w:val="00427E5C"/>
    <w:rsid w:val="004302E7"/>
    <w:rsid w:val="0044071E"/>
    <w:rsid w:val="0044329C"/>
    <w:rsid w:val="00447138"/>
    <w:rsid w:val="00450528"/>
    <w:rsid w:val="00453E24"/>
    <w:rsid w:val="0045466A"/>
    <w:rsid w:val="00456013"/>
    <w:rsid w:val="00456E00"/>
    <w:rsid w:val="00457456"/>
    <w:rsid w:val="004577FE"/>
    <w:rsid w:val="00457B9C"/>
    <w:rsid w:val="0046164A"/>
    <w:rsid w:val="004628D2"/>
    <w:rsid w:val="00462DCD"/>
    <w:rsid w:val="004648AD"/>
    <w:rsid w:val="00465225"/>
    <w:rsid w:val="00467E87"/>
    <w:rsid w:val="004703A9"/>
    <w:rsid w:val="00470A62"/>
    <w:rsid w:val="004760DE"/>
    <w:rsid w:val="004763D7"/>
    <w:rsid w:val="00490D91"/>
    <w:rsid w:val="004A004E"/>
    <w:rsid w:val="004A24CF"/>
    <w:rsid w:val="004A5E57"/>
    <w:rsid w:val="004B01C3"/>
    <w:rsid w:val="004B5A3E"/>
    <w:rsid w:val="004C0154"/>
    <w:rsid w:val="004C194F"/>
    <w:rsid w:val="004C3D1D"/>
    <w:rsid w:val="004C3D84"/>
    <w:rsid w:val="004C7913"/>
    <w:rsid w:val="004D2602"/>
    <w:rsid w:val="004D32E5"/>
    <w:rsid w:val="004D3CFC"/>
    <w:rsid w:val="004D58DD"/>
    <w:rsid w:val="004D6911"/>
    <w:rsid w:val="004D7A84"/>
    <w:rsid w:val="004E473B"/>
    <w:rsid w:val="004E4DD6"/>
    <w:rsid w:val="004E6500"/>
    <w:rsid w:val="004E7CA6"/>
    <w:rsid w:val="004F2DAE"/>
    <w:rsid w:val="004F4C5D"/>
    <w:rsid w:val="004F5E36"/>
    <w:rsid w:val="004F6483"/>
    <w:rsid w:val="00501167"/>
    <w:rsid w:val="00505EFD"/>
    <w:rsid w:val="00507B47"/>
    <w:rsid w:val="00507BEF"/>
    <w:rsid w:val="00507CC9"/>
    <w:rsid w:val="005119A5"/>
    <w:rsid w:val="00513CD0"/>
    <w:rsid w:val="005143D8"/>
    <w:rsid w:val="005203CF"/>
    <w:rsid w:val="00524AB6"/>
    <w:rsid w:val="005278B7"/>
    <w:rsid w:val="00532016"/>
    <w:rsid w:val="005328EC"/>
    <w:rsid w:val="005346C8"/>
    <w:rsid w:val="00536378"/>
    <w:rsid w:val="005371B2"/>
    <w:rsid w:val="00543E7D"/>
    <w:rsid w:val="00547113"/>
    <w:rsid w:val="00547A68"/>
    <w:rsid w:val="00551FB2"/>
    <w:rsid w:val="00552957"/>
    <w:rsid w:val="005531C9"/>
    <w:rsid w:val="005538FD"/>
    <w:rsid w:val="0056608E"/>
    <w:rsid w:val="00570C43"/>
    <w:rsid w:val="005710BE"/>
    <w:rsid w:val="005755A3"/>
    <w:rsid w:val="00576DAB"/>
    <w:rsid w:val="0057773A"/>
    <w:rsid w:val="005822F8"/>
    <w:rsid w:val="005858D5"/>
    <w:rsid w:val="00592274"/>
    <w:rsid w:val="0059396B"/>
    <w:rsid w:val="00595407"/>
    <w:rsid w:val="0059765D"/>
    <w:rsid w:val="005A13A9"/>
    <w:rsid w:val="005A240A"/>
    <w:rsid w:val="005A340B"/>
    <w:rsid w:val="005B2110"/>
    <w:rsid w:val="005B2DD0"/>
    <w:rsid w:val="005B61E6"/>
    <w:rsid w:val="005C3E5A"/>
    <w:rsid w:val="005C4C8F"/>
    <w:rsid w:val="005C77E1"/>
    <w:rsid w:val="005D06F1"/>
    <w:rsid w:val="005D0A3E"/>
    <w:rsid w:val="005D12F6"/>
    <w:rsid w:val="005D1512"/>
    <w:rsid w:val="005D1F9D"/>
    <w:rsid w:val="005D668A"/>
    <w:rsid w:val="005D6A2F"/>
    <w:rsid w:val="005E0592"/>
    <w:rsid w:val="005E1A82"/>
    <w:rsid w:val="005E6ED6"/>
    <w:rsid w:val="005E794C"/>
    <w:rsid w:val="005F02BF"/>
    <w:rsid w:val="005F0A28"/>
    <w:rsid w:val="005F0E5E"/>
    <w:rsid w:val="005F389F"/>
    <w:rsid w:val="005F682A"/>
    <w:rsid w:val="00600535"/>
    <w:rsid w:val="0061065B"/>
    <w:rsid w:val="00610CD6"/>
    <w:rsid w:val="006177FF"/>
    <w:rsid w:val="00620DEE"/>
    <w:rsid w:val="00621E22"/>
    <w:rsid w:val="00621F92"/>
    <w:rsid w:val="0062280A"/>
    <w:rsid w:val="006231E1"/>
    <w:rsid w:val="00625639"/>
    <w:rsid w:val="00625732"/>
    <w:rsid w:val="00631B33"/>
    <w:rsid w:val="006320A4"/>
    <w:rsid w:val="00632C4B"/>
    <w:rsid w:val="006360C4"/>
    <w:rsid w:val="0064184D"/>
    <w:rsid w:val="006422CC"/>
    <w:rsid w:val="0064349B"/>
    <w:rsid w:val="0064679B"/>
    <w:rsid w:val="00651D18"/>
    <w:rsid w:val="00655955"/>
    <w:rsid w:val="006579F0"/>
    <w:rsid w:val="00660E3E"/>
    <w:rsid w:val="00661622"/>
    <w:rsid w:val="00662E74"/>
    <w:rsid w:val="006657FB"/>
    <w:rsid w:val="00670A89"/>
    <w:rsid w:val="00677B06"/>
    <w:rsid w:val="00680C23"/>
    <w:rsid w:val="0068157A"/>
    <w:rsid w:val="00683E23"/>
    <w:rsid w:val="006858E8"/>
    <w:rsid w:val="0068680E"/>
    <w:rsid w:val="00687FDC"/>
    <w:rsid w:val="00693766"/>
    <w:rsid w:val="006A1125"/>
    <w:rsid w:val="006A3281"/>
    <w:rsid w:val="006A7617"/>
    <w:rsid w:val="006B2AA7"/>
    <w:rsid w:val="006B3EB4"/>
    <w:rsid w:val="006B4888"/>
    <w:rsid w:val="006B741F"/>
    <w:rsid w:val="006C2E45"/>
    <w:rsid w:val="006C359C"/>
    <w:rsid w:val="006C3DF6"/>
    <w:rsid w:val="006C5579"/>
    <w:rsid w:val="006C69E5"/>
    <w:rsid w:val="006D6E8B"/>
    <w:rsid w:val="006D7209"/>
    <w:rsid w:val="006E1C98"/>
    <w:rsid w:val="006E737D"/>
    <w:rsid w:val="006F22CD"/>
    <w:rsid w:val="00700675"/>
    <w:rsid w:val="00704D62"/>
    <w:rsid w:val="00707DD1"/>
    <w:rsid w:val="00713973"/>
    <w:rsid w:val="007201A9"/>
    <w:rsid w:val="00720A24"/>
    <w:rsid w:val="007226A0"/>
    <w:rsid w:val="00732386"/>
    <w:rsid w:val="0073514D"/>
    <w:rsid w:val="00744710"/>
    <w:rsid w:val="007447F3"/>
    <w:rsid w:val="0074524F"/>
    <w:rsid w:val="00747D54"/>
    <w:rsid w:val="00750199"/>
    <w:rsid w:val="007536E9"/>
    <w:rsid w:val="0075499F"/>
    <w:rsid w:val="007614A2"/>
    <w:rsid w:val="007617CC"/>
    <w:rsid w:val="00761CAC"/>
    <w:rsid w:val="007661C8"/>
    <w:rsid w:val="0076656F"/>
    <w:rsid w:val="00770544"/>
    <w:rsid w:val="0077098D"/>
    <w:rsid w:val="00774243"/>
    <w:rsid w:val="00785BF9"/>
    <w:rsid w:val="007931FA"/>
    <w:rsid w:val="007A4861"/>
    <w:rsid w:val="007A6DF8"/>
    <w:rsid w:val="007A7BB3"/>
    <w:rsid w:val="007A7BBA"/>
    <w:rsid w:val="007B0C50"/>
    <w:rsid w:val="007B48F9"/>
    <w:rsid w:val="007C026B"/>
    <w:rsid w:val="007C1A43"/>
    <w:rsid w:val="007C4521"/>
    <w:rsid w:val="007D0951"/>
    <w:rsid w:val="007D34ED"/>
    <w:rsid w:val="007D379F"/>
    <w:rsid w:val="007D444A"/>
    <w:rsid w:val="007D5F83"/>
    <w:rsid w:val="007E00C7"/>
    <w:rsid w:val="007E1FF8"/>
    <w:rsid w:val="007E2310"/>
    <w:rsid w:val="007E497C"/>
    <w:rsid w:val="007F27C8"/>
    <w:rsid w:val="0080013E"/>
    <w:rsid w:val="00801B43"/>
    <w:rsid w:val="00803830"/>
    <w:rsid w:val="00805F9A"/>
    <w:rsid w:val="00813288"/>
    <w:rsid w:val="008168FC"/>
    <w:rsid w:val="008203B1"/>
    <w:rsid w:val="00830996"/>
    <w:rsid w:val="008314D7"/>
    <w:rsid w:val="00832319"/>
    <w:rsid w:val="008345F1"/>
    <w:rsid w:val="00836376"/>
    <w:rsid w:val="00856DB2"/>
    <w:rsid w:val="00863B98"/>
    <w:rsid w:val="00865B07"/>
    <w:rsid w:val="008667EA"/>
    <w:rsid w:val="0087288F"/>
    <w:rsid w:val="0087637F"/>
    <w:rsid w:val="00880FE9"/>
    <w:rsid w:val="00886CCC"/>
    <w:rsid w:val="0089102F"/>
    <w:rsid w:val="00892AD5"/>
    <w:rsid w:val="00892FE9"/>
    <w:rsid w:val="008A0171"/>
    <w:rsid w:val="008A0565"/>
    <w:rsid w:val="008A0F06"/>
    <w:rsid w:val="008A1512"/>
    <w:rsid w:val="008A4069"/>
    <w:rsid w:val="008C17B9"/>
    <w:rsid w:val="008C3C5C"/>
    <w:rsid w:val="008D069F"/>
    <w:rsid w:val="008D32B9"/>
    <w:rsid w:val="008D433B"/>
    <w:rsid w:val="008D4A16"/>
    <w:rsid w:val="008D7170"/>
    <w:rsid w:val="008E09EF"/>
    <w:rsid w:val="008E209A"/>
    <w:rsid w:val="008E4473"/>
    <w:rsid w:val="008E45BC"/>
    <w:rsid w:val="008E566E"/>
    <w:rsid w:val="008E72AB"/>
    <w:rsid w:val="008F14D8"/>
    <w:rsid w:val="008F7362"/>
    <w:rsid w:val="009004EC"/>
    <w:rsid w:val="0090161A"/>
    <w:rsid w:val="00901EB6"/>
    <w:rsid w:val="00902A94"/>
    <w:rsid w:val="009041F8"/>
    <w:rsid w:val="00904C62"/>
    <w:rsid w:val="00905759"/>
    <w:rsid w:val="009060FA"/>
    <w:rsid w:val="0091249F"/>
    <w:rsid w:val="009148F9"/>
    <w:rsid w:val="00916FBF"/>
    <w:rsid w:val="00917E06"/>
    <w:rsid w:val="00922BA8"/>
    <w:rsid w:val="00924DAC"/>
    <w:rsid w:val="00927058"/>
    <w:rsid w:val="00932276"/>
    <w:rsid w:val="009330CE"/>
    <w:rsid w:val="0093389B"/>
    <w:rsid w:val="00935537"/>
    <w:rsid w:val="00942750"/>
    <w:rsid w:val="00943A38"/>
    <w:rsid w:val="009443A8"/>
    <w:rsid w:val="009450CE"/>
    <w:rsid w:val="009459BB"/>
    <w:rsid w:val="00947179"/>
    <w:rsid w:val="0095164B"/>
    <w:rsid w:val="00954090"/>
    <w:rsid w:val="00955816"/>
    <w:rsid w:val="00956047"/>
    <w:rsid w:val="009573E7"/>
    <w:rsid w:val="00961D39"/>
    <w:rsid w:val="00963E05"/>
    <w:rsid w:val="00964A45"/>
    <w:rsid w:val="009677FA"/>
    <w:rsid w:val="00967843"/>
    <w:rsid w:val="00967D54"/>
    <w:rsid w:val="00971028"/>
    <w:rsid w:val="009731E8"/>
    <w:rsid w:val="00975276"/>
    <w:rsid w:val="00980C6F"/>
    <w:rsid w:val="00993B84"/>
    <w:rsid w:val="00996483"/>
    <w:rsid w:val="00996F5A"/>
    <w:rsid w:val="009A4231"/>
    <w:rsid w:val="009A479B"/>
    <w:rsid w:val="009A7B9E"/>
    <w:rsid w:val="009B041A"/>
    <w:rsid w:val="009B726C"/>
    <w:rsid w:val="009C2525"/>
    <w:rsid w:val="009C37C3"/>
    <w:rsid w:val="009C7C86"/>
    <w:rsid w:val="009D1092"/>
    <w:rsid w:val="009D2FF7"/>
    <w:rsid w:val="009E2424"/>
    <w:rsid w:val="009E3E2B"/>
    <w:rsid w:val="009E7884"/>
    <w:rsid w:val="009E788A"/>
    <w:rsid w:val="009F0E08"/>
    <w:rsid w:val="009F1562"/>
    <w:rsid w:val="009F370A"/>
    <w:rsid w:val="009F7B05"/>
    <w:rsid w:val="00A046C8"/>
    <w:rsid w:val="00A04B7F"/>
    <w:rsid w:val="00A05854"/>
    <w:rsid w:val="00A079AE"/>
    <w:rsid w:val="00A104F6"/>
    <w:rsid w:val="00A12F04"/>
    <w:rsid w:val="00A13394"/>
    <w:rsid w:val="00A143F2"/>
    <w:rsid w:val="00A1763D"/>
    <w:rsid w:val="00A17CEC"/>
    <w:rsid w:val="00A22D31"/>
    <w:rsid w:val="00A23835"/>
    <w:rsid w:val="00A26CBB"/>
    <w:rsid w:val="00A27EF0"/>
    <w:rsid w:val="00A42361"/>
    <w:rsid w:val="00A42C49"/>
    <w:rsid w:val="00A45CE1"/>
    <w:rsid w:val="00A47E22"/>
    <w:rsid w:val="00A50B20"/>
    <w:rsid w:val="00A51390"/>
    <w:rsid w:val="00A60230"/>
    <w:rsid w:val="00A60D13"/>
    <w:rsid w:val="00A6329F"/>
    <w:rsid w:val="00A6546E"/>
    <w:rsid w:val="00A70935"/>
    <w:rsid w:val="00A7223D"/>
    <w:rsid w:val="00A72745"/>
    <w:rsid w:val="00A73BF8"/>
    <w:rsid w:val="00A75215"/>
    <w:rsid w:val="00A76EFC"/>
    <w:rsid w:val="00A7767D"/>
    <w:rsid w:val="00A809FD"/>
    <w:rsid w:val="00A82E77"/>
    <w:rsid w:val="00A87D50"/>
    <w:rsid w:val="00A91010"/>
    <w:rsid w:val="00A91979"/>
    <w:rsid w:val="00A949EF"/>
    <w:rsid w:val="00A97081"/>
    <w:rsid w:val="00A97B6C"/>
    <w:rsid w:val="00A97F29"/>
    <w:rsid w:val="00AA1A4F"/>
    <w:rsid w:val="00AA3C09"/>
    <w:rsid w:val="00AA702E"/>
    <w:rsid w:val="00AA7D26"/>
    <w:rsid w:val="00AB063A"/>
    <w:rsid w:val="00AB0830"/>
    <w:rsid w:val="00AB0964"/>
    <w:rsid w:val="00AB5011"/>
    <w:rsid w:val="00AB5C65"/>
    <w:rsid w:val="00AB6FAD"/>
    <w:rsid w:val="00AC1E35"/>
    <w:rsid w:val="00AC7368"/>
    <w:rsid w:val="00AC7472"/>
    <w:rsid w:val="00AD0278"/>
    <w:rsid w:val="00AD0489"/>
    <w:rsid w:val="00AD1697"/>
    <w:rsid w:val="00AD16B9"/>
    <w:rsid w:val="00AD29F4"/>
    <w:rsid w:val="00AD487E"/>
    <w:rsid w:val="00AE377D"/>
    <w:rsid w:val="00AF0EBA"/>
    <w:rsid w:val="00AF2869"/>
    <w:rsid w:val="00AF5C40"/>
    <w:rsid w:val="00B02C8A"/>
    <w:rsid w:val="00B04B8B"/>
    <w:rsid w:val="00B11829"/>
    <w:rsid w:val="00B17FBD"/>
    <w:rsid w:val="00B228C0"/>
    <w:rsid w:val="00B24A23"/>
    <w:rsid w:val="00B24CB1"/>
    <w:rsid w:val="00B25244"/>
    <w:rsid w:val="00B2588B"/>
    <w:rsid w:val="00B315A6"/>
    <w:rsid w:val="00B31813"/>
    <w:rsid w:val="00B33365"/>
    <w:rsid w:val="00B33618"/>
    <w:rsid w:val="00B36A2F"/>
    <w:rsid w:val="00B37A97"/>
    <w:rsid w:val="00B40E71"/>
    <w:rsid w:val="00B41FAB"/>
    <w:rsid w:val="00B443C6"/>
    <w:rsid w:val="00B537D8"/>
    <w:rsid w:val="00B53990"/>
    <w:rsid w:val="00B5419A"/>
    <w:rsid w:val="00B57B36"/>
    <w:rsid w:val="00B57B88"/>
    <w:rsid w:val="00B57E6F"/>
    <w:rsid w:val="00B6017C"/>
    <w:rsid w:val="00B77595"/>
    <w:rsid w:val="00B81E4A"/>
    <w:rsid w:val="00B82D5E"/>
    <w:rsid w:val="00B86736"/>
    <w:rsid w:val="00B8686D"/>
    <w:rsid w:val="00B90177"/>
    <w:rsid w:val="00B91445"/>
    <w:rsid w:val="00B93F69"/>
    <w:rsid w:val="00B9612D"/>
    <w:rsid w:val="00B97BA3"/>
    <w:rsid w:val="00BA2E99"/>
    <w:rsid w:val="00BA4DD9"/>
    <w:rsid w:val="00BA61BD"/>
    <w:rsid w:val="00BB1DDC"/>
    <w:rsid w:val="00BB297F"/>
    <w:rsid w:val="00BB4F7E"/>
    <w:rsid w:val="00BC0F40"/>
    <w:rsid w:val="00BC1E14"/>
    <w:rsid w:val="00BC30C9"/>
    <w:rsid w:val="00BC396E"/>
    <w:rsid w:val="00BC3D20"/>
    <w:rsid w:val="00BD077D"/>
    <w:rsid w:val="00BD1DF3"/>
    <w:rsid w:val="00BE3E58"/>
    <w:rsid w:val="00BE7DC1"/>
    <w:rsid w:val="00C01616"/>
    <w:rsid w:val="00C0162B"/>
    <w:rsid w:val="00C068ED"/>
    <w:rsid w:val="00C07465"/>
    <w:rsid w:val="00C11D9A"/>
    <w:rsid w:val="00C15AE9"/>
    <w:rsid w:val="00C208E9"/>
    <w:rsid w:val="00C20CFE"/>
    <w:rsid w:val="00C22E0C"/>
    <w:rsid w:val="00C3085C"/>
    <w:rsid w:val="00C3385E"/>
    <w:rsid w:val="00C341D4"/>
    <w:rsid w:val="00C345B1"/>
    <w:rsid w:val="00C36A6E"/>
    <w:rsid w:val="00C40142"/>
    <w:rsid w:val="00C4162A"/>
    <w:rsid w:val="00C43209"/>
    <w:rsid w:val="00C44B9E"/>
    <w:rsid w:val="00C52C3C"/>
    <w:rsid w:val="00C534CE"/>
    <w:rsid w:val="00C57182"/>
    <w:rsid w:val="00C57768"/>
    <w:rsid w:val="00C57863"/>
    <w:rsid w:val="00C579EB"/>
    <w:rsid w:val="00C57A03"/>
    <w:rsid w:val="00C61520"/>
    <w:rsid w:val="00C640AF"/>
    <w:rsid w:val="00C655FD"/>
    <w:rsid w:val="00C65FF9"/>
    <w:rsid w:val="00C75407"/>
    <w:rsid w:val="00C75DE0"/>
    <w:rsid w:val="00C841C6"/>
    <w:rsid w:val="00C870A8"/>
    <w:rsid w:val="00C90572"/>
    <w:rsid w:val="00C9419B"/>
    <w:rsid w:val="00C94253"/>
    <w:rsid w:val="00C94434"/>
    <w:rsid w:val="00C96A8C"/>
    <w:rsid w:val="00CA0D75"/>
    <w:rsid w:val="00CA1C95"/>
    <w:rsid w:val="00CA42E1"/>
    <w:rsid w:val="00CA5A9C"/>
    <w:rsid w:val="00CB01A9"/>
    <w:rsid w:val="00CB7302"/>
    <w:rsid w:val="00CC105C"/>
    <w:rsid w:val="00CC1C95"/>
    <w:rsid w:val="00CC4C20"/>
    <w:rsid w:val="00CC5174"/>
    <w:rsid w:val="00CC6679"/>
    <w:rsid w:val="00CD1C39"/>
    <w:rsid w:val="00CD3517"/>
    <w:rsid w:val="00CD5EE3"/>
    <w:rsid w:val="00CD5FE2"/>
    <w:rsid w:val="00CD67BD"/>
    <w:rsid w:val="00CE52A9"/>
    <w:rsid w:val="00CE6A2D"/>
    <w:rsid w:val="00CE6CAB"/>
    <w:rsid w:val="00CE7C68"/>
    <w:rsid w:val="00CF2F80"/>
    <w:rsid w:val="00CF3609"/>
    <w:rsid w:val="00CF4F3D"/>
    <w:rsid w:val="00D020AC"/>
    <w:rsid w:val="00D02B4C"/>
    <w:rsid w:val="00D03740"/>
    <w:rsid w:val="00D040C4"/>
    <w:rsid w:val="00D0574A"/>
    <w:rsid w:val="00D059A2"/>
    <w:rsid w:val="00D12466"/>
    <w:rsid w:val="00D14415"/>
    <w:rsid w:val="00D15390"/>
    <w:rsid w:val="00D20AD1"/>
    <w:rsid w:val="00D20FCD"/>
    <w:rsid w:val="00D24FBE"/>
    <w:rsid w:val="00D2582C"/>
    <w:rsid w:val="00D25FA8"/>
    <w:rsid w:val="00D260D1"/>
    <w:rsid w:val="00D315FE"/>
    <w:rsid w:val="00D376DE"/>
    <w:rsid w:val="00D46B7E"/>
    <w:rsid w:val="00D508A8"/>
    <w:rsid w:val="00D51C03"/>
    <w:rsid w:val="00D52CEF"/>
    <w:rsid w:val="00D576FB"/>
    <w:rsid w:val="00D57C84"/>
    <w:rsid w:val="00D6057D"/>
    <w:rsid w:val="00D62958"/>
    <w:rsid w:val="00D64015"/>
    <w:rsid w:val="00D66E59"/>
    <w:rsid w:val="00D672A0"/>
    <w:rsid w:val="00D70B01"/>
    <w:rsid w:val="00D71640"/>
    <w:rsid w:val="00D76789"/>
    <w:rsid w:val="00D836C5"/>
    <w:rsid w:val="00D84576"/>
    <w:rsid w:val="00D86834"/>
    <w:rsid w:val="00D86892"/>
    <w:rsid w:val="00D8797D"/>
    <w:rsid w:val="00D93E97"/>
    <w:rsid w:val="00D94547"/>
    <w:rsid w:val="00D95DD5"/>
    <w:rsid w:val="00D97BA7"/>
    <w:rsid w:val="00DA115B"/>
    <w:rsid w:val="00DA1399"/>
    <w:rsid w:val="00DA146D"/>
    <w:rsid w:val="00DA24C6"/>
    <w:rsid w:val="00DA4D7B"/>
    <w:rsid w:val="00DA58C3"/>
    <w:rsid w:val="00DA599B"/>
    <w:rsid w:val="00DB396D"/>
    <w:rsid w:val="00DB5CC4"/>
    <w:rsid w:val="00DB73BC"/>
    <w:rsid w:val="00DC0FF5"/>
    <w:rsid w:val="00DC58B2"/>
    <w:rsid w:val="00DC5D5A"/>
    <w:rsid w:val="00DD271C"/>
    <w:rsid w:val="00DE005D"/>
    <w:rsid w:val="00DE1549"/>
    <w:rsid w:val="00DE264A"/>
    <w:rsid w:val="00DE54B2"/>
    <w:rsid w:val="00DE5FC3"/>
    <w:rsid w:val="00DE6D85"/>
    <w:rsid w:val="00DE7F5D"/>
    <w:rsid w:val="00DF5072"/>
    <w:rsid w:val="00DF5A06"/>
    <w:rsid w:val="00DF7334"/>
    <w:rsid w:val="00E011A7"/>
    <w:rsid w:val="00E01753"/>
    <w:rsid w:val="00E01B63"/>
    <w:rsid w:val="00E020B7"/>
    <w:rsid w:val="00E02D18"/>
    <w:rsid w:val="00E032D1"/>
    <w:rsid w:val="00E03E5E"/>
    <w:rsid w:val="00E041E7"/>
    <w:rsid w:val="00E05722"/>
    <w:rsid w:val="00E1080F"/>
    <w:rsid w:val="00E1453F"/>
    <w:rsid w:val="00E14EF8"/>
    <w:rsid w:val="00E17D0B"/>
    <w:rsid w:val="00E23CA1"/>
    <w:rsid w:val="00E31784"/>
    <w:rsid w:val="00E346B6"/>
    <w:rsid w:val="00E37E5E"/>
    <w:rsid w:val="00E409A8"/>
    <w:rsid w:val="00E41631"/>
    <w:rsid w:val="00E4325F"/>
    <w:rsid w:val="00E46F84"/>
    <w:rsid w:val="00E47D61"/>
    <w:rsid w:val="00E50C12"/>
    <w:rsid w:val="00E54DBA"/>
    <w:rsid w:val="00E554F1"/>
    <w:rsid w:val="00E572E7"/>
    <w:rsid w:val="00E61532"/>
    <w:rsid w:val="00E65B91"/>
    <w:rsid w:val="00E70338"/>
    <w:rsid w:val="00E7209D"/>
    <w:rsid w:val="00E72EAD"/>
    <w:rsid w:val="00E76DC8"/>
    <w:rsid w:val="00E77223"/>
    <w:rsid w:val="00E84F32"/>
    <w:rsid w:val="00E8528B"/>
    <w:rsid w:val="00E85B94"/>
    <w:rsid w:val="00E9420E"/>
    <w:rsid w:val="00E978D0"/>
    <w:rsid w:val="00E97CD7"/>
    <w:rsid w:val="00EA01DD"/>
    <w:rsid w:val="00EA24C8"/>
    <w:rsid w:val="00EA4613"/>
    <w:rsid w:val="00EA4676"/>
    <w:rsid w:val="00EA5F8A"/>
    <w:rsid w:val="00EA7F91"/>
    <w:rsid w:val="00EB0869"/>
    <w:rsid w:val="00EB1523"/>
    <w:rsid w:val="00EB37D7"/>
    <w:rsid w:val="00EB3C1B"/>
    <w:rsid w:val="00EB6532"/>
    <w:rsid w:val="00EB6ADC"/>
    <w:rsid w:val="00EC0E49"/>
    <w:rsid w:val="00EC101F"/>
    <w:rsid w:val="00EC1D9F"/>
    <w:rsid w:val="00EC37DE"/>
    <w:rsid w:val="00ED0397"/>
    <w:rsid w:val="00ED432D"/>
    <w:rsid w:val="00ED5A4F"/>
    <w:rsid w:val="00EE0131"/>
    <w:rsid w:val="00EE17B0"/>
    <w:rsid w:val="00EE47CD"/>
    <w:rsid w:val="00EE6125"/>
    <w:rsid w:val="00EE6DC6"/>
    <w:rsid w:val="00EF06D9"/>
    <w:rsid w:val="00EF0982"/>
    <w:rsid w:val="00F017D9"/>
    <w:rsid w:val="00F019F4"/>
    <w:rsid w:val="00F10525"/>
    <w:rsid w:val="00F1175E"/>
    <w:rsid w:val="00F20EF7"/>
    <w:rsid w:val="00F2106E"/>
    <w:rsid w:val="00F21F1B"/>
    <w:rsid w:val="00F242BE"/>
    <w:rsid w:val="00F26E57"/>
    <w:rsid w:val="00F27265"/>
    <w:rsid w:val="00F3049E"/>
    <w:rsid w:val="00F30C64"/>
    <w:rsid w:val="00F32BA2"/>
    <w:rsid w:val="00F32CDB"/>
    <w:rsid w:val="00F3325A"/>
    <w:rsid w:val="00F3348F"/>
    <w:rsid w:val="00F34F68"/>
    <w:rsid w:val="00F37280"/>
    <w:rsid w:val="00F41BA4"/>
    <w:rsid w:val="00F41D91"/>
    <w:rsid w:val="00F41EE4"/>
    <w:rsid w:val="00F43020"/>
    <w:rsid w:val="00F565FE"/>
    <w:rsid w:val="00F57FB9"/>
    <w:rsid w:val="00F604F7"/>
    <w:rsid w:val="00F6197C"/>
    <w:rsid w:val="00F62D03"/>
    <w:rsid w:val="00F63A70"/>
    <w:rsid w:val="00F63D8C"/>
    <w:rsid w:val="00F7534E"/>
    <w:rsid w:val="00F76EAE"/>
    <w:rsid w:val="00F86C42"/>
    <w:rsid w:val="00F903ED"/>
    <w:rsid w:val="00F93EDF"/>
    <w:rsid w:val="00F94A11"/>
    <w:rsid w:val="00FA1802"/>
    <w:rsid w:val="00FA21D0"/>
    <w:rsid w:val="00FA5F5F"/>
    <w:rsid w:val="00FB383A"/>
    <w:rsid w:val="00FB4417"/>
    <w:rsid w:val="00FB4DEF"/>
    <w:rsid w:val="00FB730C"/>
    <w:rsid w:val="00FC0449"/>
    <w:rsid w:val="00FC2695"/>
    <w:rsid w:val="00FC27F3"/>
    <w:rsid w:val="00FC3E03"/>
    <w:rsid w:val="00FC3FC1"/>
    <w:rsid w:val="00FC685A"/>
    <w:rsid w:val="00FC75F2"/>
    <w:rsid w:val="00FD23DE"/>
    <w:rsid w:val="00FE41D3"/>
    <w:rsid w:val="00FF209C"/>
    <w:rsid w:val="00FF2202"/>
    <w:rsid w:val="00FF2657"/>
    <w:rsid w:val="00FF2BF1"/>
    <w:rsid w:val="00FF4DA1"/>
    <w:rsid w:val="00FF6AB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PlaceholderText">
    <w:name w:val="Placeholder Text"/>
    <w:basedOn w:val="DefaultParagraphFont"/>
    <w:uiPriority w:val="99"/>
    <w:semiHidden/>
    <w:rsid w:val="008C17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2755</TotalTime>
  <Pages>6</Pages>
  <Words>2864</Words>
  <Characters>16328</Characters>
  <Application>Microsoft Office Word</Application>
  <DocSecurity>0</DocSecurity>
  <Lines>136</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Lorenz Boeck</cp:lastModifiedBy>
  <cp:revision>655</cp:revision>
  <cp:lastPrinted>2026-02-26T21:48:00Z</cp:lastPrinted>
  <dcterms:created xsi:type="dcterms:W3CDTF">2024-02-20T10:29:00Z</dcterms:created>
  <dcterms:modified xsi:type="dcterms:W3CDTF">2026-04-10T16:14:00Z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