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EE83D" w14:textId="77777777" w:rsidR="00EB60B9" w:rsidRDefault="00EB60B9">
      <w:pPr>
        <w:widowControl w:val="0"/>
        <w:pBdr>
          <w:top w:val="nil"/>
          <w:left w:val="nil"/>
          <w:bottom w:val="nil"/>
          <w:right w:val="nil"/>
          <w:between w:val="nil"/>
        </w:pBdr>
        <w:spacing w:line="276" w:lineRule="auto"/>
        <w:jc w:val="left"/>
        <w:rPr>
          <w:color w:val="000000"/>
          <w:sz w:val="22"/>
          <w:szCs w:val="22"/>
        </w:rPr>
      </w:pPr>
    </w:p>
    <w:tbl>
      <w:tblPr>
        <w:tblStyle w:val="a"/>
        <w:tblW w:w="8782" w:type="dxa"/>
        <w:jc w:val="center"/>
        <w:tblInd w:w="0" w:type="dxa"/>
        <w:tblBorders>
          <w:bottom w:val="single" w:sz="4" w:space="0" w:color="000000"/>
        </w:tblBorders>
        <w:tblLayout w:type="fixed"/>
        <w:tblLook w:val="0000" w:firstRow="0" w:lastRow="0" w:firstColumn="0" w:lastColumn="0" w:noHBand="0" w:noVBand="0"/>
      </w:tblPr>
      <w:tblGrid>
        <w:gridCol w:w="6940"/>
        <w:gridCol w:w="1842"/>
      </w:tblGrid>
      <w:tr w:rsidR="00EB60B9" w14:paraId="12A73FB6" w14:textId="77777777">
        <w:trPr>
          <w:trHeight w:val="852"/>
          <w:jc w:val="center"/>
        </w:trPr>
        <w:tc>
          <w:tcPr>
            <w:tcW w:w="6940" w:type="dxa"/>
            <w:vMerge w:val="restart"/>
            <w:tcBorders>
              <w:right w:val="single" w:sz="4" w:space="0" w:color="000000"/>
            </w:tcBorders>
          </w:tcPr>
          <w:p w14:paraId="18506BB1" w14:textId="77777777" w:rsidR="00EB60B9" w:rsidRDefault="00000000">
            <w:pPr>
              <w:tabs>
                <w:tab w:val="left" w:pos="-108"/>
              </w:tabs>
              <w:ind w:left="-108"/>
              <w:jc w:val="left"/>
              <w:rPr>
                <w:b/>
                <w:bCs/>
                <w:i/>
                <w:iCs/>
                <w:color w:val="000066"/>
                <w:sz w:val="12"/>
                <w:szCs w:val="12"/>
              </w:rPr>
            </w:pPr>
            <w:bookmarkStart w:id="0" w:name="_rkd4t5jtnjqn" w:colFirst="0" w:colLast="0"/>
            <w:bookmarkEnd w:id="0"/>
            <w:r>
              <w:rPr>
                <w:rFonts w:ascii="AdvP6960" w:eastAsia="AdvP6960" w:hAnsi="AdvP6960" w:cs="AdvP6960"/>
                <w:noProof/>
                <w:color w:val="241F20"/>
              </w:rPr>
              <w:drawing>
                <wp:inline distT="0" distB="0" distL="0" distR="0" wp14:anchorId="6A96038E" wp14:editId="18134CCF">
                  <wp:extent cx="640080" cy="373380"/>
                  <wp:effectExtent l="0" t="0" r="0" b="0"/>
                  <wp:docPr id="1" name="image1.jpg" descr="cetlogo"/>
                  <wp:cNvGraphicFramePr/>
                  <a:graphic xmlns:a="http://schemas.openxmlformats.org/drawingml/2006/main">
                    <a:graphicData uri="http://schemas.openxmlformats.org/drawingml/2006/picture">
                      <pic:pic xmlns:pic="http://schemas.openxmlformats.org/drawingml/2006/picture">
                        <pic:nvPicPr>
                          <pic:cNvPr id="0" name="image1.jpg" descr="cetlogo"/>
                          <pic:cNvPicPr preferRelativeResize="0"/>
                        </pic:nvPicPr>
                        <pic:blipFill>
                          <a:blip r:embed="rId5"/>
                          <a:srcRect/>
                          <a:stretch>
                            <a:fillRect/>
                          </a:stretch>
                        </pic:blipFill>
                        <pic:spPr>
                          <a:xfrm>
                            <a:off x="0" y="0"/>
                            <a:ext cx="640080" cy="373380"/>
                          </a:xfrm>
                          <a:prstGeom prst="rect">
                            <a:avLst/>
                          </a:prstGeom>
                          <a:ln/>
                        </pic:spPr>
                      </pic:pic>
                    </a:graphicData>
                  </a:graphic>
                </wp:inline>
              </w:drawing>
            </w:r>
            <w:r>
              <w:rPr>
                <w:rFonts w:ascii="AdvP6960" w:eastAsia="AdvP6960" w:hAnsi="AdvP6960" w:cs="AdvP6960"/>
                <w:color w:val="241F20"/>
              </w:rPr>
              <w:t xml:space="preserve"> </w:t>
            </w:r>
            <w:r>
              <w:rPr>
                <w:b/>
                <w:bCs/>
                <w:i/>
                <w:iCs/>
                <w:color w:val="000066"/>
                <w:sz w:val="24"/>
                <w:szCs w:val="24"/>
              </w:rPr>
              <w:t>CHEMICAL ENGINEERING</w:t>
            </w:r>
            <w:r>
              <w:rPr>
                <w:b/>
                <w:bCs/>
                <w:i/>
                <w:iCs/>
                <w:color w:val="0033FF"/>
                <w:sz w:val="24"/>
                <w:szCs w:val="24"/>
              </w:rPr>
              <w:t xml:space="preserve"> </w:t>
            </w:r>
            <w:r>
              <w:rPr>
                <w:b/>
                <w:bCs/>
                <w:i/>
                <w:iCs/>
                <w:color w:val="666666"/>
                <w:sz w:val="24"/>
                <w:szCs w:val="24"/>
              </w:rPr>
              <w:t>TRANSACTIONS</w:t>
            </w:r>
            <w:r>
              <w:rPr>
                <w:color w:val="333333"/>
                <w:sz w:val="24"/>
                <w:szCs w:val="24"/>
              </w:rPr>
              <w:t xml:space="preserve"> </w:t>
            </w:r>
            <w:r>
              <w:rPr>
                <w:b/>
                <w:bCs/>
                <w:i/>
                <w:iCs/>
                <w:color w:val="000066"/>
                <w:sz w:val="27"/>
                <w:szCs w:val="27"/>
              </w:rPr>
              <w:br/>
            </w:r>
          </w:p>
          <w:p w14:paraId="60401EC5" w14:textId="77777777" w:rsidR="00EB60B9" w:rsidRDefault="00000000">
            <w:pPr>
              <w:tabs>
                <w:tab w:val="left" w:pos="-108"/>
              </w:tabs>
              <w:ind w:left="-108"/>
              <w:rPr>
                <w:b/>
                <w:bCs/>
                <w:i/>
                <w:iCs/>
                <w:color w:val="000066"/>
                <w:sz w:val="22"/>
                <w:szCs w:val="22"/>
              </w:rPr>
            </w:pPr>
            <w:r>
              <w:rPr>
                <w:b/>
                <w:bCs/>
                <w:i/>
                <w:iCs/>
                <w:color w:val="000066"/>
                <w:sz w:val="22"/>
                <w:szCs w:val="22"/>
              </w:rPr>
              <w:t>VOL. 12, 2026</w:t>
            </w:r>
          </w:p>
        </w:tc>
        <w:tc>
          <w:tcPr>
            <w:tcW w:w="1842" w:type="dxa"/>
            <w:tcBorders>
              <w:left w:val="single" w:sz="4" w:space="0" w:color="000000"/>
              <w:bottom w:val="nil"/>
              <w:right w:val="single" w:sz="4" w:space="0" w:color="000000"/>
            </w:tcBorders>
          </w:tcPr>
          <w:p w14:paraId="16E9519F" w14:textId="77777777" w:rsidR="00EB60B9" w:rsidRDefault="00000000">
            <w:pPr>
              <w:jc w:val="right"/>
              <w:rPr>
                <w:sz w:val="14"/>
                <w:szCs w:val="14"/>
              </w:rPr>
            </w:pPr>
            <w:r>
              <w:rPr>
                <w:sz w:val="14"/>
                <w:szCs w:val="14"/>
              </w:rPr>
              <w:t>A publication of</w:t>
            </w:r>
          </w:p>
          <w:p w14:paraId="0FED0360" w14:textId="77777777" w:rsidR="00EB60B9" w:rsidRDefault="00000000">
            <w:pPr>
              <w:jc w:val="right"/>
            </w:pPr>
            <w:r>
              <w:rPr>
                <w:noProof/>
              </w:rPr>
              <w:drawing>
                <wp:inline distT="0" distB="0" distL="0" distR="0" wp14:anchorId="37765C18" wp14:editId="52B7D5B7">
                  <wp:extent cx="670560" cy="358140"/>
                  <wp:effectExtent l="0" t="0" r="0" b="0"/>
                  <wp:docPr id="2" name="image2.jpg" descr="aidiclogo_grande"/>
                  <wp:cNvGraphicFramePr/>
                  <a:graphic xmlns:a="http://schemas.openxmlformats.org/drawingml/2006/main">
                    <a:graphicData uri="http://schemas.openxmlformats.org/drawingml/2006/picture">
                      <pic:pic xmlns:pic="http://schemas.openxmlformats.org/drawingml/2006/picture">
                        <pic:nvPicPr>
                          <pic:cNvPr id="0" name="image2.jpg" descr="aidiclogo_grande"/>
                          <pic:cNvPicPr preferRelativeResize="0"/>
                        </pic:nvPicPr>
                        <pic:blipFill>
                          <a:blip r:embed="rId6"/>
                          <a:srcRect/>
                          <a:stretch>
                            <a:fillRect/>
                          </a:stretch>
                        </pic:blipFill>
                        <pic:spPr>
                          <a:xfrm>
                            <a:off x="0" y="0"/>
                            <a:ext cx="670560" cy="358140"/>
                          </a:xfrm>
                          <a:prstGeom prst="rect">
                            <a:avLst/>
                          </a:prstGeom>
                          <a:ln/>
                        </pic:spPr>
                      </pic:pic>
                    </a:graphicData>
                  </a:graphic>
                </wp:inline>
              </w:drawing>
            </w:r>
          </w:p>
        </w:tc>
      </w:tr>
      <w:tr w:rsidR="00EB60B9" w14:paraId="5E791167" w14:textId="77777777">
        <w:trPr>
          <w:trHeight w:val="567"/>
          <w:jc w:val="center"/>
        </w:trPr>
        <w:tc>
          <w:tcPr>
            <w:tcW w:w="6940" w:type="dxa"/>
            <w:vMerge/>
            <w:tcBorders>
              <w:right w:val="single" w:sz="4" w:space="0" w:color="000000"/>
            </w:tcBorders>
          </w:tcPr>
          <w:p w14:paraId="3543E7AF" w14:textId="77777777" w:rsidR="00EB60B9" w:rsidRDefault="00EB60B9">
            <w:pPr>
              <w:widowControl w:val="0"/>
              <w:pBdr>
                <w:top w:val="nil"/>
                <w:left w:val="nil"/>
                <w:bottom w:val="nil"/>
                <w:right w:val="nil"/>
                <w:between w:val="nil"/>
              </w:pBdr>
              <w:spacing w:line="276" w:lineRule="auto"/>
              <w:jc w:val="left"/>
            </w:pPr>
          </w:p>
        </w:tc>
        <w:tc>
          <w:tcPr>
            <w:tcW w:w="1842" w:type="dxa"/>
            <w:tcBorders>
              <w:left w:val="single" w:sz="4" w:space="0" w:color="000000"/>
              <w:bottom w:val="nil"/>
              <w:right w:val="single" w:sz="4" w:space="0" w:color="000000"/>
            </w:tcBorders>
          </w:tcPr>
          <w:p w14:paraId="091BF1C1" w14:textId="77777777" w:rsidR="00EB60B9" w:rsidRDefault="00000000">
            <w:pPr>
              <w:jc w:val="right"/>
              <w:rPr>
                <w:sz w:val="14"/>
                <w:szCs w:val="14"/>
              </w:rPr>
            </w:pPr>
            <w:r>
              <w:rPr>
                <w:sz w:val="14"/>
                <w:szCs w:val="14"/>
              </w:rPr>
              <w:t>The Italian Association</w:t>
            </w:r>
          </w:p>
          <w:p w14:paraId="1016300A" w14:textId="77777777" w:rsidR="00EB60B9" w:rsidRDefault="00000000">
            <w:pPr>
              <w:jc w:val="right"/>
              <w:rPr>
                <w:sz w:val="14"/>
                <w:szCs w:val="14"/>
              </w:rPr>
            </w:pPr>
            <w:r>
              <w:rPr>
                <w:sz w:val="14"/>
                <w:szCs w:val="14"/>
              </w:rPr>
              <w:t>of Chemical Engineering</w:t>
            </w:r>
          </w:p>
          <w:p w14:paraId="3E3DA894" w14:textId="77777777" w:rsidR="00EB60B9" w:rsidRDefault="00000000">
            <w:pPr>
              <w:jc w:val="right"/>
              <w:rPr>
                <w:sz w:val="13"/>
                <w:szCs w:val="13"/>
              </w:rPr>
            </w:pPr>
            <w:r>
              <w:rPr>
                <w:sz w:val="13"/>
                <w:szCs w:val="13"/>
              </w:rPr>
              <w:t>Online at www.cetjournal.it</w:t>
            </w:r>
          </w:p>
        </w:tc>
      </w:tr>
      <w:tr w:rsidR="00EB60B9" w14:paraId="32A4267F" w14:textId="77777777">
        <w:trPr>
          <w:trHeight w:val="68"/>
          <w:jc w:val="center"/>
        </w:trPr>
        <w:tc>
          <w:tcPr>
            <w:tcW w:w="8782" w:type="dxa"/>
            <w:gridSpan w:val="2"/>
          </w:tcPr>
          <w:p w14:paraId="659D7BE0" w14:textId="77777777" w:rsidR="00EB60B9" w:rsidRDefault="00000000">
            <w:pPr>
              <w:ind w:left="-107"/>
              <w:rPr>
                <w:rFonts w:ascii="Tahoma" w:eastAsia="Tahoma" w:hAnsi="Tahoma" w:cs="Tahoma"/>
                <w:color w:val="000000"/>
                <w:sz w:val="14"/>
                <w:szCs w:val="14"/>
                <w:highlight w:val="white"/>
              </w:rPr>
            </w:pPr>
            <w:r>
              <w:rPr>
                <w:rFonts w:ascii="Tahoma" w:eastAsia="Tahoma" w:hAnsi="Tahoma" w:cs="Tahoma"/>
                <w:color w:val="333333"/>
                <w:sz w:val="14"/>
                <w:szCs w:val="14"/>
              </w:rPr>
              <w:t>Guest Editors:</w:t>
            </w:r>
            <w:r>
              <w:rPr>
                <w:rFonts w:ascii="Tahoma" w:eastAsia="Tahoma" w:hAnsi="Tahoma" w:cs="Tahoma"/>
                <w:color w:val="000000"/>
                <w:sz w:val="14"/>
                <w:szCs w:val="14"/>
                <w:highlight w:val="white"/>
              </w:rPr>
              <w:t xml:space="preserve"> Valerio Cozzani, Bruno Fabiano, Genserik Reniers</w:t>
            </w:r>
          </w:p>
          <w:p w14:paraId="65A629F2" w14:textId="77777777" w:rsidR="00EB60B9" w:rsidRDefault="00000000">
            <w:pPr>
              <w:tabs>
                <w:tab w:val="left" w:pos="-108"/>
              </w:tabs>
              <w:ind w:left="-107"/>
              <w:jc w:val="left"/>
            </w:pPr>
            <w:r>
              <w:rPr>
                <w:rFonts w:ascii="Tahoma" w:eastAsia="Tahoma" w:hAnsi="Tahoma" w:cs="Tahoma"/>
                <w:color w:val="333333"/>
                <w:sz w:val="14"/>
                <w:szCs w:val="14"/>
              </w:rPr>
              <w:t>Copyright © 2026, AIDIC Servizi S.r.l.</w:t>
            </w:r>
            <w:r>
              <w:rPr>
                <w:rFonts w:ascii="Tahoma" w:eastAsia="Tahoma" w:hAnsi="Tahoma" w:cs="Tahoma"/>
                <w:color w:val="333333"/>
                <w:sz w:val="14"/>
                <w:szCs w:val="14"/>
              </w:rPr>
              <w:br/>
            </w:r>
            <w:r>
              <w:rPr>
                <w:rFonts w:ascii="Tahoma" w:eastAsia="Tahoma" w:hAnsi="Tahoma" w:cs="Tahoma"/>
                <w:b/>
                <w:bCs/>
                <w:color w:val="000000"/>
                <w:sz w:val="14"/>
                <w:szCs w:val="14"/>
              </w:rPr>
              <w:t>ISBN</w:t>
            </w:r>
            <w:r>
              <w:rPr>
                <w:rFonts w:ascii="Tahoma" w:eastAsia="Tahoma" w:hAnsi="Tahoma" w:cs="Tahoma"/>
                <w:color w:val="000000"/>
                <w:sz w:val="14"/>
                <w:szCs w:val="14"/>
              </w:rPr>
              <w:t xml:space="preserve"> </w:t>
            </w:r>
            <w:r>
              <w:rPr>
                <w:rFonts w:ascii="Tahoma" w:eastAsia="Tahoma" w:hAnsi="Tahoma" w:cs="Tahoma"/>
                <w:sz w:val="14"/>
                <w:szCs w:val="14"/>
              </w:rPr>
              <w:t>979-12-81206-xx-x</w:t>
            </w:r>
            <w:r>
              <w:rPr>
                <w:rFonts w:ascii="Tahoma" w:eastAsia="Tahoma" w:hAnsi="Tahoma" w:cs="Tahoma"/>
                <w:color w:val="333333"/>
                <w:sz w:val="14"/>
                <w:szCs w:val="14"/>
              </w:rPr>
              <w:t xml:space="preserve">; </w:t>
            </w:r>
            <w:r>
              <w:rPr>
                <w:rFonts w:ascii="Tahoma" w:eastAsia="Tahoma" w:hAnsi="Tahoma" w:cs="Tahoma"/>
                <w:b/>
                <w:bCs/>
                <w:color w:val="333333"/>
                <w:sz w:val="14"/>
                <w:szCs w:val="14"/>
              </w:rPr>
              <w:t>ISSN</w:t>
            </w:r>
            <w:r>
              <w:rPr>
                <w:rFonts w:ascii="Tahoma" w:eastAsia="Tahoma" w:hAnsi="Tahoma" w:cs="Tahoma"/>
                <w:color w:val="333333"/>
                <w:sz w:val="14"/>
                <w:szCs w:val="14"/>
              </w:rPr>
              <w:t xml:space="preserve"> 2283-9216</w:t>
            </w:r>
          </w:p>
        </w:tc>
      </w:tr>
    </w:tbl>
    <w:p w14:paraId="5E659A18" w14:textId="77777777" w:rsidR="00EB60B9" w:rsidRDefault="00000000">
      <w:pPr>
        <w:pBdr>
          <w:top w:val="nil"/>
          <w:left w:val="nil"/>
          <w:bottom w:val="nil"/>
          <w:right w:val="nil"/>
          <w:between w:val="nil"/>
        </w:pBdr>
        <w:spacing w:before="480" w:after="120"/>
        <w:jc w:val="center"/>
        <w:rPr>
          <w:color w:val="000000"/>
          <w:sz w:val="32"/>
          <w:szCs w:val="32"/>
        </w:rPr>
      </w:pPr>
      <w:r>
        <w:rPr>
          <w:color w:val="000000"/>
          <w:sz w:val="32"/>
          <w:szCs w:val="32"/>
        </w:rPr>
        <w:t>Analysis of industrial accidents related to the operation of chlorine management systems in water treatment plants</w:t>
      </w:r>
    </w:p>
    <w:p w14:paraId="7AD58141" w14:textId="77777777" w:rsidR="00EB60B9" w:rsidRDefault="00000000">
      <w:pPr>
        <w:keepNext/>
        <w:pBdr>
          <w:top w:val="nil"/>
          <w:left w:val="nil"/>
          <w:bottom w:val="nil"/>
          <w:right w:val="nil"/>
          <w:between w:val="nil"/>
        </w:pBdr>
        <w:spacing w:after="120"/>
        <w:rPr>
          <w:color w:val="000000"/>
          <w:sz w:val="24"/>
          <w:szCs w:val="24"/>
        </w:rPr>
      </w:pPr>
      <w:r>
        <w:rPr>
          <w:color w:val="000000"/>
          <w:sz w:val="24"/>
          <w:szCs w:val="24"/>
        </w:rPr>
        <w:t>David Křivánek</w:t>
      </w:r>
      <w:r>
        <w:rPr>
          <w:color w:val="000000"/>
          <w:sz w:val="24"/>
          <w:szCs w:val="24"/>
          <w:vertAlign w:val="superscript"/>
        </w:rPr>
        <w:t>a,</w:t>
      </w:r>
      <w:r>
        <w:rPr>
          <w:color w:val="000000"/>
          <w:sz w:val="24"/>
          <w:szCs w:val="24"/>
        </w:rPr>
        <w:t>*, Petr Trávníček</w:t>
      </w:r>
      <w:r>
        <w:rPr>
          <w:color w:val="000000"/>
          <w:sz w:val="24"/>
          <w:szCs w:val="24"/>
          <w:vertAlign w:val="superscript"/>
        </w:rPr>
        <w:t>b</w:t>
      </w:r>
      <w:r>
        <w:rPr>
          <w:color w:val="000000"/>
          <w:sz w:val="24"/>
          <w:szCs w:val="24"/>
        </w:rPr>
        <w:t>, Luboš Kotek</w:t>
      </w:r>
      <w:r>
        <w:rPr>
          <w:color w:val="000000"/>
          <w:sz w:val="24"/>
          <w:szCs w:val="24"/>
          <w:vertAlign w:val="superscript"/>
        </w:rPr>
        <w:t>a</w:t>
      </w:r>
    </w:p>
    <w:p w14:paraId="6BCC8216" w14:textId="77777777" w:rsidR="00EB60B9" w:rsidRDefault="00000000">
      <w:pPr>
        <w:keepNext/>
        <w:pBdr>
          <w:top w:val="nil"/>
          <w:left w:val="nil"/>
          <w:bottom w:val="nil"/>
          <w:right w:val="nil"/>
          <w:between w:val="nil"/>
        </w:pBdr>
        <w:spacing w:line="276" w:lineRule="auto"/>
        <w:jc w:val="left"/>
        <w:rPr>
          <w:color w:val="000000"/>
          <w:sz w:val="16"/>
          <w:szCs w:val="16"/>
        </w:rPr>
      </w:pPr>
      <w:r>
        <w:rPr>
          <w:color w:val="000000"/>
          <w:sz w:val="16"/>
          <w:szCs w:val="16"/>
          <w:vertAlign w:val="superscript"/>
        </w:rPr>
        <w:t>a</w:t>
      </w:r>
      <w:r>
        <w:rPr>
          <w:color w:val="000000"/>
          <w:sz w:val="16"/>
          <w:szCs w:val="16"/>
        </w:rPr>
        <w:t xml:space="preserve">Brno University of Technology, Faculty of Mechanical Engineering, Dept. of Production Systems and Virtual Reality, Czech Republic </w:t>
      </w:r>
    </w:p>
    <w:p w14:paraId="1FA7805A" w14:textId="77777777" w:rsidR="00EB60B9" w:rsidRDefault="00000000">
      <w:pPr>
        <w:keepNext/>
        <w:pBdr>
          <w:top w:val="nil"/>
          <w:left w:val="nil"/>
          <w:bottom w:val="nil"/>
          <w:right w:val="nil"/>
          <w:between w:val="nil"/>
        </w:pBdr>
        <w:spacing w:line="276" w:lineRule="auto"/>
        <w:jc w:val="left"/>
        <w:rPr>
          <w:color w:val="000000"/>
          <w:sz w:val="16"/>
          <w:szCs w:val="16"/>
        </w:rPr>
      </w:pPr>
      <w:r>
        <w:rPr>
          <w:color w:val="000000"/>
          <w:sz w:val="16"/>
          <w:szCs w:val="16"/>
          <w:vertAlign w:val="superscript"/>
        </w:rPr>
        <w:t>b</w:t>
      </w:r>
      <w:r>
        <w:rPr>
          <w:color w:val="000000"/>
          <w:sz w:val="16"/>
          <w:szCs w:val="16"/>
        </w:rPr>
        <w:t xml:space="preserve">Mendel University in Brno, Faculty of AgriScience, Dept. of Agricultural, Food and Environmental Engineering, Czech Republic </w:t>
      </w:r>
    </w:p>
    <w:p w14:paraId="77F3C7FF" w14:textId="77777777" w:rsidR="00EB60B9" w:rsidRDefault="00000000">
      <w:pPr>
        <w:pBdr>
          <w:top w:val="nil"/>
          <w:left w:val="nil"/>
          <w:bottom w:val="nil"/>
          <w:right w:val="nil"/>
          <w:between w:val="nil"/>
        </w:pBdr>
        <w:spacing w:after="240" w:line="276" w:lineRule="auto"/>
        <w:jc w:val="left"/>
        <w:rPr>
          <w:color w:val="000000"/>
          <w:sz w:val="16"/>
          <w:szCs w:val="16"/>
        </w:rPr>
      </w:pPr>
      <w:r>
        <w:rPr>
          <w:color w:val="000000"/>
          <w:sz w:val="16"/>
          <w:szCs w:val="16"/>
        </w:rPr>
        <w:t>254416@vutbr.cz</w:t>
      </w:r>
    </w:p>
    <w:p w14:paraId="5E4C7087" w14:textId="77777777" w:rsidR="00EB60B9" w:rsidRDefault="00000000" w:rsidP="00E25BDF">
      <w:pPr>
        <w:pBdr>
          <w:top w:val="nil"/>
          <w:left w:val="nil"/>
          <w:bottom w:val="nil"/>
          <w:right w:val="nil"/>
          <w:between w:val="nil"/>
        </w:pBdr>
        <w:rPr>
          <w:color w:val="000000"/>
        </w:rPr>
      </w:pPr>
      <w:r>
        <w:rPr>
          <w:color w:val="000000"/>
        </w:rPr>
        <w:t xml:space="preserve">The disinfection of drinking water with gaseous chlorine remains a key element of urban and regional infrastructure, primarily due to its high microbiological effectivity and economic efficiency. However, due to the high toxicity and physicochemical properties of chlorine, this technology poses significant risks to both plant operators and the surrounding area. This paper presents an analysis of industrial accidents related to the operation of chlorine management systems in water treatment plants from 2005 to the present. </w:t>
      </w:r>
    </w:p>
    <w:p w14:paraId="3585E4A7" w14:textId="77777777" w:rsidR="00EB60B9" w:rsidRDefault="00000000" w:rsidP="00E25BDF">
      <w:pPr>
        <w:pBdr>
          <w:top w:val="nil"/>
          <w:left w:val="nil"/>
          <w:bottom w:val="nil"/>
          <w:right w:val="nil"/>
          <w:between w:val="nil"/>
        </w:pBdr>
        <w:rPr>
          <w:color w:val="000000"/>
        </w:rPr>
      </w:pPr>
      <w:r>
        <w:rPr>
          <w:color w:val="000000"/>
        </w:rPr>
        <w:t xml:space="preserve">The research is based on a review of international databases of industrial accidents (e.g., eMARS, ARIA, and CSB) and relevant published reports and technical reports from national supervisory authorities. The study classifies historical accidents based on their initiating events, which include technical failures of pressure systems, external influences, and human error.  </w:t>
      </w:r>
    </w:p>
    <w:p w14:paraId="6CA1ACF0" w14:textId="77777777" w:rsidR="00EB60B9" w:rsidRDefault="00000000" w:rsidP="00E25BDF">
      <w:pPr>
        <w:pBdr>
          <w:top w:val="nil"/>
          <w:left w:val="nil"/>
          <w:bottom w:val="nil"/>
          <w:right w:val="nil"/>
          <w:between w:val="nil"/>
        </w:pBdr>
        <w:rPr>
          <w:color w:val="000000"/>
        </w:rPr>
      </w:pPr>
      <w:r>
        <w:rPr>
          <w:color w:val="000000"/>
        </w:rPr>
        <w:t xml:space="preserve">The results of the analysis suggest that while catastrophic integrity loss is rare, there are still numerous small and medium-scale leaks caused by corrosion, inadequate maintenance of dosing equipment, and improper handling when replacing pressure cylinders and drums... </w:t>
      </w:r>
    </w:p>
    <w:p w14:paraId="11745DF7" w14:textId="629B7DB4" w:rsidR="00EB60B9" w:rsidRDefault="00000000" w:rsidP="00E25BDF">
      <w:pPr>
        <w:pBdr>
          <w:top w:val="nil"/>
          <w:left w:val="nil"/>
          <w:bottom w:val="nil"/>
          <w:right w:val="nil"/>
          <w:between w:val="nil"/>
        </w:pBdr>
        <w:rPr>
          <w:color w:val="000000"/>
        </w:rPr>
      </w:pPr>
      <w:r>
        <w:rPr>
          <w:color w:val="000000"/>
        </w:rPr>
        <w:t>Based on a synthesis of the findings, the article proposes a set of general safety recommendations aimed at eliminating or mitigating the risks of such accidents. The conclusion of the paper emphasizes the need to incorporate inherent safety principles into the design and life cycle of water treatment plants to ensure a high level of protection for their surroundings.</w:t>
      </w:r>
    </w:p>
    <w:p w14:paraId="38457A10" w14:textId="77777777" w:rsidR="00EB60B9" w:rsidRPr="00E25BDF" w:rsidRDefault="00000000" w:rsidP="00E25BDF">
      <w:pPr>
        <w:pStyle w:val="Odstavecseseznamem"/>
        <w:keepNext/>
        <w:numPr>
          <w:ilvl w:val="0"/>
          <w:numId w:val="3"/>
        </w:numPr>
        <w:pBdr>
          <w:top w:val="nil"/>
          <w:left w:val="nil"/>
          <w:bottom w:val="nil"/>
          <w:right w:val="nil"/>
          <w:between w:val="nil"/>
        </w:pBdr>
        <w:spacing w:before="240" w:after="120" w:line="240" w:lineRule="auto"/>
        <w:jc w:val="left"/>
        <w:rPr>
          <w:b/>
          <w:bCs/>
          <w:color w:val="000000"/>
          <w:sz w:val="20"/>
          <w:szCs w:val="20"/>
        </w:rPr>
      </w:pPr>
      <w:r w:rsidRPr="00E25BDF">
        <w:rPr>
          <w:b/>
          <w:bCs/>
          <w:color w:val="000000"/>
          <w:sz w:val="20"/>
          <w:szCs w:val="20"/>
        </w:rPr>
        <w:t>Introduction</w:t>
      </w:r>
    </w:p>
    <w:p w14:paraId="5C688D87" w14:textId="77777777" w:rsidR="00EB60B9" w:rsidRDefault="00000000" w:rsidP="00E25BDF">
      <w:pPr>
        <w:pBdr>
          <w:top w:val="nil"/>
          <w:left w:val="nil"/>
          <w:bottom w:val="nil"/>
          <w:right w:val="nil"/>
          <w:between w:val="nil"/>
        </w:pBdr>
        <w:rPr>
          <w:color w:val="000000"/>
        </w:rPr>
      </w:pPr>
      <w:r>
        <w:rPr>
          <w:color w:val="000000"/>
        </w:rPr>
        <w:t>Chlorine has been used for the disinfection of drinking water since the early 20th century. Its high microbiological effectivity, relatively low cost, and ability to maintain a residual disinfectant concentration in distribution networks have made it the dominant disinfectant in both urban and rural water supply systems worldwide. The physicochemical properties of chlorine that make it a highly effective disinfectant are, however, inseparable from the hazards - a highly toxic gas, approximately 2.5 times denser than air. Upon catastrophic release from a pressurised container, chlorine forms a dense, ground-hugging vapour cloud that can travel into inhabited areas, basements, and drainage systems before effective emergency response is possible.</w:t>
      </w:r>
    </w:p>
    <w:p w14:paraId="320A6C74" w14:textId="6F0D53BE" w:rsidR="00EB60B9" w:rsidRDefault="001559DF" w:rsidP="00E25BDF">
      <w:pPr>
        <w:pBdr>
          <w:top w:val="nil"/>
          <w:left w:val="nil"/>
          <w:bottom w:val="nil"/>
          <w:right w:val="nil"/>
          <w:between w:val="nil"/>
        </w:pBdr>
        <w:rPr>
          <w:color w:val="000000"/>
        </w:rPr>
      </w:pPr>
      <w:r>
        <w:rPr>
          <w:color w:val="000000"/>
        </w:rPr>
        <w:t>Drinking water treatment plants (DWTPs) present a distinct risk profile within the broader landscape of industrial chemical hazards. Unlike petrochemical facilities, where the management of hazardous substances is the core business activity and process safety is a primary design driver, DWTPs use hazardous chemicals only as an auxiliary process step. This context leads to inherently different safety cultures, lower levels of dedicated process safety engineering, and reduced regulatory scrutiny in many jurisdictions. Most of DWTPs hold quantities of chlorine deeply below the lower-tier threshold of the European Seveso III Directive (10 t for chlorine under Directive 2012/18/EU), yet they may still present substantial risks to adjacent communities. (Gajek, 2013) demonstrated that computer simulations of chlorine releases from non-Seveso establishments could produce significant toxic effects on surrounding populations.</w:t>
      </w:r>
    </w:p>
    <w:p w14:paraId="54EF7402" w14:textId="6D52A0FA" w:rsidR="00EB60B9" w:rsidRDefault="00000000" w:rsidP="00E25BDF">
      <w:pPr>
        <w:pBdr>
          <w:top w:val="nil"/>
          <w:left w:val="nil"/>
          <w:bottom w:val="nil"/>
          <w:right w:val="nil"/>
          <w:between w:val="nil"/>
        </w:pBdr>
        <w:rPr>
          <w:color w:val="000000"/>
        </w:rPr>
      </w:pPr>
      <w:r>
        <w:rPr>
          <w:color w:val="000000"/>
        </w:rPr>
        <w:lastRenderedPageBreak/>
        <w:t xml:space="preserve">Despite this risk profile, a systematic, database-driven analysis of accidents specifically related to chlorine management systems at </w:t>
      </w:r>
      <w:r w:rsidR="001559DF">
        <w:rPr>
          <w:color w:val="000000"/>
        </w:rPr>
        <w:t>D</w:t>
      </w:r>
      <w:r>
        <w:rPr>
          <w:color w:val="000000"/>
        </w:rPr>
        <w:t>WTPs covering the period from 2005 to the present has not been widely published. (Travnicek et al., 2022) analysed accidents at municipal wastewater treatment plants in Europe from a broader perspective, while (Zainulabidin et al., 2025) recently examined root causes of two specific incidents in Malaysia. The present paper addresses this gap by compiling and analysing a structured dataset of documented incidents, identifying recurring causal patterns, and deriving evidence-based safety recommendations aligned with recognised risk assessment methodologies and inherent safety principles.</w:t>
      </w:r>
    </w:p>
    <w:p w14:paraId="014250B7" w14:textId="77777777" w:rsidR="00EB60B9" w:rsidRDefault="00000000" w:rsidP="00E25BDF">
      <w:pPr>
        <w:pStyle w:val="Odstavecseseznamem"/>
        <w:keepNext/>
        <w:numPr>
          <w:ilvl w:val="0"/>
          <w:numId w:val="3"/>
        </w:numPr>
        <w:pBdr>
          <w:top w:val="nil"/>
          <w:left w:val="nil"/>
          <w:bottom w:val="nil"/>
          <w:right w:val="nil"/>
          <w:between w:val="nil"/>
        </w:pBdr>
        <w:spacing w:before="240" w:after="120" w:line="240" w:lineRule="auto"/>
        <w:jc w:val="left"/>
      </w:pPr>
      <w:r w:rsidRPr="00E25BDF">
        <w:rPr>
          <w:b/>
          <w:bCs/>
          <w:color w:val="000000"/>
          <w:sz w:val="20"/>
          <w:szCs w:val="20"/>
        </w:rPr>
        <w:t>Hazard profile of chlorine in water treatment</w:t>
      </w:r>
    </w:p>
    <w:p w14:paraId="681F23BE" w14:textId="15F67874" w:rsidR="00EB60B9" w:rsidRDefault="00000000">
      <w:pPr>
        <w:pBdr>
          <w:top w:val="nil"/>
          <w:left w:val="nil"/>
          <w:bottom w:val="nil"/>
          <w:right w:val="nil"/>
          <w:between w:val="nil"/>
        </w:pBdr>
        <w:rPr>
          <w:color w:val="000000"/>
        </w:rPr>
      </w:pPr>
      <w:r>
        <w:rPr>
          <w:color w:val="000000"/>
        </w:rPr>
        <w:t xml:space="preserve">Chlorine is stored and transported as a liquefied gas under moderate pressure (approximately 0.67 MPa at </w:t>
      </w:r>
      <w:r>
        <w:rPr>
          <w:color w:val="000000"/>
        </w:rPr>
        <w:br/>
        <w:t xml:space="preserve">20 °C). </w:t>
      </w:r>
      <w:r w:rsidR="001559DF">
        <w:rPr>
          <w:color w:val="000000"/>
        </w:rPr>
        <w:t>D</w:t>
      </w:r>
      <w:r>
        <w:rPr>
          <w:color w:val="000000"/>
        </w:rPr>
        <w:t>WTPs typically hold chlorine in steel pressure cylinders (40–70 kg), one-tone drums, or, at larger facilities, tank cars. The dual-phase nature of the stored substance means that a rupture or valve failure produces both flash evaporation and a persisting liquid pool that continues to vaporize. Even trace moisture accelerates corrosion of carbon steel components markedly; at moisture concentrations above 50 ppm, corrosion rates can exceed 5 mm per year with pronounced pitting and stress corrosion cracking (Euro Chlor, 2022). This behavior makes the integrity of valves, gaskets, and transfer connections a critical determinant of containment.</w:t>
      </w:r>
    </w:p>
    <w:p w14:paraId="0DAB10C3" w14:textId="2B77C7B1" w:rsidR="00EB60B9" w:rsidRDefault="00000000">
      <w:pPr>
        <w:pBdr>
          <w:top w:val="nil"/>
          <w:left w:val="nil"/>
          <w:bottom w:val="nil"/>
          <w:right w:val="nil"/>
          <w:between w:val="nil"/>
        </w:pBdr>
        <w:rPr>
          <w:color w:val="000000"/>
        </w:rPr>
      </w:pPr>
      <w:r>
        <w:rPr>
          <w:color w:val="000000"/>
        </w:rPr>
        <w:t xml:space="preserve">The principal exposure thresholds relevant to </w:t>
      </w:r>
      <w:r w:rsidR="001559DF">
        <w:rPr>
          <w:color w:val="000000"/>
        </w:rPr>
        <w:t>D</w:t>
      </w:r>
      <w:r>
        <w:rPr>
          <w:color w:val="000000"/>
        </w:rPr>
        <w:t>WTP risk management are summarized in Table 1. Chlorine's odor threshold (approximately 0.3–0.5 ppm) is close to the occupational exposure limit, meaning that olfactory detection alone provides an unreliable primary alarm for personnel. This reinforces the need for fixed electrochemical detection systems. The high density of chlorine vapor relative to air governs the dispersion behavior upon release: the gas tends to accumulate in below-grade spaces, trenches, and drainage channels, extending the affected zone significantly beyond the immediate release point (ATSDR, 2010).</w:t>
      </w:r>
    </w:p>
    <w:p w14:paraId="76AEB485" w14:textId="77777777" w:rsidR="00EB60B9" w:rsidRDefault="00000000">
      <w:pPr>
        <w:keepNext/>
        <w:pBdr>
          <w:top w:val="nil"/>
          <w:left w:val="nil"/>
          <w:bottom w:val="nil"/>
          <w:right w:val="nil"/>
          <w:between w:val="nil"/>
        </w:pBdr>
        <w:spacing w:before="240" w:after="80" w:line="240" w:lineRule="auto"/>
        <w:jc w:val="left"/>
        <w:rPr>
          <w:i/>
          <w:iCs/>
          <w:color w:val="000000"/>
        </w:rPr>
      </w:pPr>
      <w:r>
        <w:rPr>
          <w:i/>
          <w:iCs/>
          <w:color w:val="000000"/>
        </w:rPr>
        <w:t>Table 1: Key chlorine exposure thresholds relevant to WTP risk management</w:t>
      </w:r>
    </w:p>
    <w:tbl>
      <w:tblPr>
        <w:tblStyle w:val="a0"/>
        <w:tblW w:w="8787" w:type="dxa"/>
        <w:tblInd w:w="0" w:type="dxa"/>
        <w:tblBorders>
          <w:top w:val="single" w:sz="12" w:space="0" w:color="008000"/>
          <w:bottom w:val="single" w:sz="12" w:space="0" w:color="008000"/>
          <w:insideH w:val="single" w:sz="4" w:space="0" w:color="008000"/>
        </w:tblBorders>
        <w:tblLayout w:type="fixed"/>
        <w:tblLook w:val="0400" w:firstRow="0" w:lastRow="0" w:firstColumn="0" w:lastColumn="0" w:noHBand="0" w:noVBand="1"/>
      </w:tblPr>
      <w:tblGrid>
        <w:gridCol w:w="2200"/>
        <w:gridCol w:w="1200"/>
        <w:gridCol w:w="5387"/>
      </w:tblGrid>
      <w:tr w:rsidR="00EB60B9" w14:paraId="4895F93B" w14:textId="77777777">
        <w:trPr>
          <w:tblHeader/>
        </w:trPr>
        <w:tc>
          <w:tcPr>
            <w:tcW w:w="2200" w:type="dxa"/>
            <w:shd w:val="clear" w:color="auto" w:fill="FFFFFF"/>
            <w:tcMar>
              <w:top w:w="60" w:type="dxa"/>
              <w:left w:w="80" w:type="dxa"/>
              <w:bottom w:w="60" w:type="dxa"/>
              <w:right w:w="80" w:type="dxa"/>
            </w:tcMar>
          </w:tcPr>
          <w:p w14:paraId="27504E8D" w14:textId="77777777" w:rsidR="00EB60B9" w:rsidRDefault="00000000">
            <w:pPr>
              <w:pBdr>
                <w:top w:val="nil"/>
                <w:left w:val="nil"/>
                <w:bottom w:val="nil"/>
                <w:right w:val="nil"/>
                <w:between w:val="nil"/>
              </w:pBdr>
              <w:rPr>
                <w:color w:val="000000"/>
              </w:rPr>
            </w:pPr>
            <w:r>
              <w:rPr>
                <w:color w:val="000000"/>
              </w:rPr>
              <w:t>Parameter</w:t>
            </w:r>
          </w:p>
        </w:tc>
        <w:tc>
          <w:tcPr>
            <w:tcW w:w="1200" w:type="dxa"/>
            <w:shd w:val="clear" w:color="auto" w:fill="FFFFFF"/>
            <w:tcMar>
              <w:top w:w="60" w:type="dxa"/>
              <w:left w:w="80" w:type="dxa"/>
              <w:bottom w:w="60" w:type="dxa"/>
              <w:right w:w="80" w:type="dxa"/>
            </w:tcMar>
          </w:tcPr>
          <w:p w14:paraId="4EE230FE" w14:textId="77777777" w:rsidR="00EB60B9" w:rsidRDefault="00000000">
            <w:pPr>
              <w:pBdr>
                <w:top w:val="nil"/>
                <w:left w:val="nil"/>
                <w:bottom w:val="nil"/>
                <w:right w:val="nil"/>
                <w:between w:val="nil"/>
              </w:pBdr>
              <w:rPr>
                <w:color w:val="000000"/>
              </w:rPr>
            </w:pPr>
            <w:r>
              <w:rPr>
                <w:color w:val="000000"/>
              </w:rPr>
              <w:t>Value</w:t>
            </w:r>
          </w:p>
        </w:tc>
        <w:tc>
          <w:tcPr>
            <w:tcW w:w="5387" w:type="dxa"/>
            <w:shd w:val="clear" w:color="auto" w:fill="FFFFFF"/>
            <w:tcMar>
              <w:top w:w="60" w:type="dxa"/>
              <w:left w:w="80" w:type="dxa"/>
              <w:bottom w:w="60" w:type="dxa"/>
              <w:right w:w="80" w:type="dxa"/>
            </w:tcMar>
          </w:tcPr>
          <w:p w14:paraId="567E5BD6" w14:textId="77777777" w:rsidR="00EB60B9" w:rsidRDefault="00000000">
            <w:pPr>
              <w:pBdr>
                <w:top w:val="nil"/>
                <w:left w:val="nil"/>
                <w:bottom w:val="nil"/>
                <w:right w:val="nil"/>
                <w:between w:val="nil"/>
              </w:pBdr>
              <w:rPr>
                <w:color w:val="000000"/>
              </w:rPr>
            </w:pPr>
            <w:r>
              <w:rPr>
                <w:color w:val="000000"/>
              </w:rPr>
              <w:t>Significance</w:t>
            </w:r>
          </w:p>
        </w:tc>
      </w:tr>
      <w:tr w:rsidR="00EB60B9" w14:paraId="5868B0B3" w14:textId="77777777">
        <w:tc>
          <w:tcPr>
            <w:tcW w:w="2200" w:type="dxa"/>
            <w:shd w:val="clear" w:color="auto" w:fill="FFFFFF"/>
            <w:tcMar>
              <w:top w:w="60" w:type="dxa"/>
              <w:left w:w="80" w:type="dxa"/>
              <w:bottom w:w="60" w:type="dxa"/>
              <w:right w:w="80" w:type="dxa"/>
            </w:tcMar>
          </w:tcPr>
          <w:p w14:paraId="3C873A21" w14:textId="77777777" w:rsidR="00EB60B9" w:rsidRDefault="00000000">
            <w:pPr>
              <w:pBdr>
                <w:top w:val="nil"/>
                <w:left w:val="nil"/>
                <w:bottom w:val="nil"/>
                <w:right w:val="nil"/>
                <w:between w:val="nil"/>
              </w:pBdr>
              <w:rPr>
                <w:color w:val="000000"/>
              </w:rPr>
            </w:pPr>
            <w:r>
              <w:rPr>
                <w:color w:val="000000"/>
              </w:rPr>
              <w:t>OSHA PEL (ceiling)</w:t>
            </w:r>
          </w:p>
        </w:tc>
        <w:tc>
          <w:tcPr>
            <w:tcW w:w="1200" w:type="dxa"/>
            <w:shd w:val="clear" w:color="auto" w:fill="FFFFFF"/>
            <w:tcMar>
              <w:top w:w="60" w:type="dxa"/>
              <w:left w:w="80" w:type="dxa"/>
              <w:bottom w:w="60" w:type="dxa"/>
              <w:right w:w="80" w:type="dxa"/>
            </w:tcMar>
          </w:tcPr>
          <w:p w14:paraId="2ACDDAD5" w14:textId="77777777" w:rsidR="00EB60B9" w:rsidRDefault="00000000">
            <w:pPr>
              <w:pBdr>
                <w:top w:val="nil"/>
                <w:left w:val="nil"/>
                <w:bottom w:val="nil"/>
                <w:right w:val="nil"/>
                <w:between w:val="nil"/>
              </w:pBdr>
              <w:rPr>
                <w:color w:val="000000"/>
              </w:rPr>
            </w:pPr>
            <w:r>
              <w:rPr>
                <w:color w:val="000000"/>
              </w:rPr>
              <w:t>1 ppm</w:t>
            </w:r>
          </w:p>
        </w:tc>
        <w:tc>
          <w:tcPr>
            <w:tcW w:w="5387" w:type="dxa"/>
            <w:shd w:val="clear" w:color="auto" w:fill="FFFFFF"/>
            <w:tcMar>
              <w:top w:w="60" w:type="dxa"/>
              <w:left w:w="80" w:type="dxa"/>
              <w:bottom w:w="60" w:type="dxa"/>
              <w:right w:w="80" w:type="dxa"/>
            </w:tcMar>
          </w:tcPr>
          <w:p w14:paraId="3650E4DD" w14:textId="77777777" w:rsidR="00EB60B9" w:rsidRDefault="00000000">
            <w:pPr>
              <w:pBdr>
                <w:top w:val="nil"/>
                <w:left w:val="nil"/>
                <w:bottom w:val="nil"/>
                <w:right w:val="nil"/>
                <w:between w:val="nil"/>
              </w:pBdr>
              <w:rPr>
                <w:color w:val="000000"/>
              </w:rPr>
            </w:pPr>
            <w:r>
              <w:rPr>
                <w:color w:val="000000"/>
              </w:rPr>
              <w:t>Maximum permissible exposure; must not be exceeded at any time</w:t>
            </w:r>
          </w:p>
        </w:tc>
      </w:tr>
      <w:tr w:rsidR="00EB60B9" w14:paraId="120FEBC6" w14:textId="77777777">
        <w:tc>
          <w:tcPr>
            <w:tcW w:w="2200" w:type="dxa"/>
            <w:shd w:val="clear" w:color="auto" w:fill="FFFFFF"/>
            <w:tcMar>
              <w:top w:w="60" w:type="dxa"/>
              <w:left w:w="80" w:type="dxa"/>
              <w:bottom w:w="60" w:type="dxa"/>
              <w:right w:w="80" w:type="dxa"/>
            </w:tcMar>
          </w:tcPr>
          <w:p w14:paraId="434FA8A1" w14:textId="77777777" w:rsidR="00EB60B9" w:rsidRDefault="00000000">
            <w:pPr>
              <w:pBdr>
                <w:top w:val="nil"/>
                <w:left w:val="nil"/>
                <w:bottom w:val="nil"/>
                <w:right w:val="nil"/>
                <w:between w:val="nil"/>
              </w:pBdr>
              <w:rPr>
                <w:color w:val="000000"/>
              </w:rPr>
            </w:pPr>
            <w:r>
              <w:rPr>
                <w:color w:val="000000"/>
              </w:rPr>
              <w:t>ACGIH TLV-TWA</w:t>
            </w:r>
          </w:p>
        </w:tc>
        <w:tc>
          <w:tcPr>
            <w:tcW w:w="1200" w:type="dxa"/>
            <w:shd w:val="clear" w:color="auto" w:fill="FFFFFF"/>
            <w:tcMar>
              <w:top w:w="60" w:type="dxa"/>
              <w:left w:w="80" w:type="dxa"/>
              <w:bottom w:w="60" w:type="dxa"/>
              <w:right w:w="80" w:type="dxa"/>
            </w:tcMar>
          </w:tcPr>
          <w:p w14:paraId="62050E04" w14:textId="77777777" w:rsidR="00EB60B9" w:rsidRDefault="00000000">
            <w:pPr>
              <w:pBdr>
                <w:top w:val="nil"/>
                <w:left w:val="nil"/>
                <w:bottom w:val="nil"/>
                <w:right w:val="nil"/>
                <w:between w:val="nil"/>
              </w:pBdr>
              <w:rPr>
                <w:color w:val="000000"/>
              </w:rPr>
            </w:pPr>
            <w:r>
              <w:rPr>
                <w:color w:val="000000"/>
              </w:rPr>
              <w:t>0.5 ppm</w:t>
            </w:r>
          </w:p>
        </w:tc>
        <w:tc>
          <w:tcPr>
            <w:tcW w:w="5387" w:type="dxa"/>
            <w:shd w:val="clear" w:color="auto" w:fill="FFFFFF"/>
            <w:tcMar>
              <w:top w:w="60" w:type="dxa"/>
              <w:left w:w="80" w:type="dxa"/>
              <w:bottom w:w="60" w:type="dxa"/>
              <w:right w:w="80" w:type="dxa"/>
            </w:tcMar>
          </w:tcPr>
          <w:p w14:paraId="76F78E02" w14:textId="77777777" w:rsidR="00EB60B9" w:rsidRDefault="00000000">
            <w:pPr>
              <w:pBdr>
                <w:top w:val="nil"/>
                <w:left w:val="nil"/>
                <w:bottom w:val="nil"/>
                <w:right w:val="nil"/>
                <w:between w:val="nil"/>
              </w:pBdr>
              <w:rPr>
                <w:color w:val="000000"/>
              </w:rPr>
            </w:pPr>
            <w:r>
              <w:rPr>
                <w:color w:val="000000"/>
              </w:rPr>
              <w:t>8-h time-weighted average for repeated occupational exposure</w:t>
            </w:r>
          </w:p>
        </w:tc>
      </w:tr>
      <w:tr w:rsidR="00EB60B9" w14:paraId="79C9EABE" w14:textId="77777777">
        <w:tc>
          <w:tcPr>
            <w:tcW w:w="2200" w:type="dxa"/>
            <w:shd w:val="clear" w:color="auto" w:fill="FFFFFF"/>
            <w:tcMar>
              <w:top w:w="60" w:type="dxa"/>
              <w:left w:w="80" w:type="dxa"/>
              <w:bottom w:w="60" w:type="dxa"/>
              <w:right w:w="80" w:type="dxa"/>
            </w:tcMar>
          </w:tcPr>
          <w:p w14:paraId="07D4C6F3" w14:textId="77777777" w:rsidR="00EB60B9" w:rsidRDefault="00000000">
            <w:pPr>
              <w:pBdr>
                <w:top w:val="nil"/>
                <w:left w:val="nil"/>
                <w:bottom w:val="nil"/>
                <w:right w:val="nil"/>
                <w:between w:val="nil"/>
              </w:pBdr>
              <w:rPr>
                <w:color w:val="000000"/>
              </w:rPr>
            </w:pPr>
            <w:r>
              <w:rPr>
                <w:color w:val="000000"/>
              </w:rPr>
              <w:t>NIOSH IDLH</w:t>
            </w:r>
          </w:p>
        </w:tc>
        <w:tc>
          <w:tcPr>
            <w:tcW w:w="1200" w:type="dxa"/>
            <w:shd w:val="clear" w:color="auto" w:fill="FFFFFF"/>
            <w:tcMar>
              <w:top w:w="60" w:type="dxa"/>
              <w:left w:w="80" w:type="dxa"/>
              <w:bottom w:w="60" w:type="dxa"/>
              <w:right w:w="80" w:type="dxa"/>
            </w:tcMar>
          </w:tcPr>
          <w:p w14:paraId="08E11EB7" w14:textId="77777777" w:rsidR="00EB60B9" w:rsidRDefault="00000000">
            <w:pPr>
              <w:pBdr>
                <w:top w:val="nil"/>
                <w:left w:val="nil"/>
                <w:bottom w:val="nil"/>
                <w:right w:val="nil"/>
                <w:between w:val="nil"/>
              </w:pBdr>
              <w:rPr>
                <w:color w:val="000000"/>
              </w:rPr>
            </w:pPr>
            <w:r>
              <w:rPr>
                <w:color w:val="000000"/>
              </w:rPr>
              <w:t>10 ppm</w:t>
            </w:r>
          </w:p>
        </w:tc>
        <w:tc>
          <w:tcPr>
            <w:tcW w:w="5387" w:type="dxa"/>
            <w:shd w:val="clear" w:color="auto" w:fill="FFFFFF"/>
            <w:tcMar>
              <w:top w:w="60" w:type="dxa"/>
              <w:left w:w="80" w:type="dxa"/>
              <w:bottom w:w="60" w:type="dxa"/>
              <w:right w:w="80" w:type="dxa"/>
            </w:tcMar>
          </w:tcPr>
          <w:p w14:paraId="3F63FC11" w14:textId="77777777" w:rsidR="00EB60B9" w:rsidRDefault="00000000">
            <w:pPr>
              <w:pBdr>
                <w:top w:val="nil"/>
                <w:left w:val="nil"/>
                <w:bottom w:val="nil"/>
                <w:right w:val="nil"/>
                <w:between w:val="nil"/>
              </w:pBdr>
              <w:rPr>
                <w:color w:val="000000"/>
              </w:rPr>
            </w:pPr>
            <w:r>
              <w:rPr>
                <w:color w:val="000000"/>
              </w:rPr>
              <w:t>Immediately dangerous to life or health; maximum 30-min escape</w:t>
            </w:r>
          </w:p>
        </w:tc>
      </w:tr>
      <w:tr w:rsidR="00EB60B9" w14:paraId="5C674F0F" w14:textId="77777777">
        <w:tc>
          <w:tcPr>
            <w:tcW w:w="2200" w:type="dxa"/>
            <w:shd w:val="clear" w:color="auto" w:fill="FFFFFF"/>
            <w:tcMar>
              <w:top w:w="60" w:type="dxa"/>
              <w:left w:w="80" w:type="dxa"/>
              <w:bottom w:w="60" w:type="dxa"/>
              <w:right w:w="80" w:type="dxa"/>
            </w:tcMar>
          </w:tcPr>
          <w:p w14:paraId="523F81AB" w14:textId="77777777" w:rsidR="00EB60B9" w:rsidRDefault="00000000">
            <w:pPr>
              <w:pBdr>
                <w:top w:val="nil"/>
                <w:left w:val="nil"/>
                <w:bottom w:val="nil"/>
                <w:right w:val="nil"/>
                <w:between w:val="nil"/>
              </w:pBdr>
              <w:rPr>
                <w:color w:val="000000"/>
              </w:rPr>
            </w:pPr>
            <w:r>
              <w:rPr>
                <w:color w:val="000000"/>
              </w:rPr>
              <w:t>AEGL-2 (60 min)</w:t>
            </w:r>
          </w:p>
        </w:tc>
        <w:tc>
          <w:tcPr>
            <w:tcW w:w="1200" w:type="dxa"/>
            <w:shd w:val="clear" w:color="auto" w:fill="FFFFFF"/>
            <w:tcMar>
              <w:top w:w="60" w:type="dxa"/>
              <w:left w:w="80" w:type="dxa"/>
              <w:bottom w:w="60" w:type="dxa"/>
              <w:right w:w="80" w:type="dxa"/>
            </w:tcMar>
          </w:tcPr>
          <w:p w14:paraId="695E66B1" w14:textId="77777777" w:rsidR="00EB60B9" w:rsidRDefault="00000000">
            <w:pPr>
              <w:pBdr>
                <w:top w:val="nil"/>
                <w:left w:val="nil"/>
                <w:bottom w:val="nil"/>
                <w:right w:val="nil"/>
                <w:between w:val="nil"/>
              </w:pBdr>
              <w:rPr>
                <w:color w:val="000000"/>
              </w:rPr>
            </w:pPr>
            <w:r>
              <w:rPr>
                <w:color w:val="000000"/>
              </w:rPr>
              <w:t>2.0 ppm</w:t>
            </w:r>
          </w:p>
        </w:tc>
        <w:tc>
          <w:tcPr>
            <w:tcW w:w="5387" w:type="dxa"/>
            <w:shd w:val="clear" w:color="auto" w:fill="FFFFFF"/>
            <w:tcMar>
              <w:top w:w="60" w:type="dxa"/>
              <w:left w:w="80" w:type="dxa"/>
              <w:bottom w:w="60" w:type="dxa"/>
              <w:right w:w="80" w:type="dxa"/>
            </w:tcMar>
          </w:tcPr>
          <w:p w14:paraId="659691E1" w14:textId="77777777" w:rsidR="00EB60B9" w:rsidRDefault="00000000">
            <w:pPr>
              <w:pBdr>
                <w:top w:val="nil"/>
                <w:left w:val="nil"/>
                <w:bottom w:val="nil"/>
                <w:right w:val="nil"/>
                <w:between w:val="nil"/>
              </w:pBdr>
              <w:rPr>
                <w:color w:val="000000"/>
              </w:rPr>
            </w:pPr>
            <w:r>
              <w:rPr>
                <w:color w:val="000000"/>
              </w:rPr>
              <w:t>Irreversible or other serious effects impairing ability to escape</w:t>
            </w:r>
          </w:p>
        </w:tc>
      </w:tr>
      <w:tr w:rsidR="00EB60B9" w14:paraId="49851DC8" w14:textId="77777777">
        <w:tc>
          <w:tcPr>
            <w:tcW w:w="2200" w:type="dxa"/>
            <w:shd w:val="clear" w:color="auto" w:fill="FFFFFF"/>
            <w:tcMar>
              <w:top w:w="60" w:type="dxa"/>
              <w:left w:w="80" w:type="dxa"/>
              <w:bottom w:w="60" w:type="dxa"/>
              <w:right w:w="80" w:type="dxa"/>
            </w:tcMar>
          </w:tcPr>
          <w:p w14:paraId="0250E8FD" w14:textId="77777777" w:rsidR="00EB60B9" w:rsidRDefault="00000000">
            <w:pPr>
              <w:pBdr>
                <w:top w:val="nil"/>
                <w:left w:val="nil"/>
                <w:bottom w:val="nil"/>
                <w:right w:val="nil"/>
                <w:between w:val="nil"/>
              </w:pBdr>
              <w:rPr>
                <w:color w:val="000000"/>
              </w:rPr>
            </w:pPr>
            <w:r>
              <w:rPr>
                <w:color w:val="000000"/>
              </w:rPr>
              <w:t>AEGL-3 (60 min)</w:t>
            </w:r>
          </w:p>
        </w:tc>
        <w:tc>
          <w:tcPr>
            <w:tcW w:w="1200" w:type="dxa"/>
            <w:shd w:val="clear" w:color="auto" w:fill="FFFFFF"/>
            <w:tcMar>
              <w:top w:w="60" w:type="dxa"/>
              <w:left w:w="80" w:type="dxa"/>
              <w:bottom w:w="60" w:type="dxa"/>
              <w:right w:w="80" w:type="dxa"/>
            </w:tcMar>
          </w:tcPr>
          <w:p w14:paraId="7506F305" w14:textId="77777777" w:rsidR="00EB60B9" w:rsidRDefault="00000000">
            <w:pPr>
              <w:pBdr>
                <w:top w:val="nil"/>
                <w:left w:val="nil"/>
                <w:bottom w:val="nil"/>
                <w:right w:val="nil"/>
                <w:between w:val="nil"/>
              </w:pBdr>
              <w:rPr>
                <w:color w:val="000000"/>
              </w:rPr>
            </w:pPr>
            <w:r>
              <w:rPr>
                <w:color w:val="000000"/>
              </w:rPr>
              <w:t>20 ppm</w:t>
            </w:r>
          </w:p>
        </w:tc>
        <w:tc>
          <w:tcPr>
            <w:tcW w:w="5387" w:type="dxa"/>
            <w:shd w:val="clear" w:color="auto" w:fill="FFFFFF"/>
            <w:tcMar>
              <w:top w:w="60" w:type="dxa"/>
              <w:left w:w="80" w:type="dxa"/>
              <w:bottom w:w="60" w:type="dxa"/>
              <w:right w:w="80" w:type="dxa"/>
            </w:tcMar>
          </w:tcPr>
          <w:p w14:paraId="26A6011B" w14:textId="77777777" w:rsidR="00EB60B9" w:rsidRDefault="00000000">
            <w:pPr>
              <w:pBdr>
                <w:top w:val="nil"/>
                <w:left w:val="nil"/>
                <w:bottom w:val="nil"/>
                <w:right w:val="nil"/>
                <w:between w:val="nil"/>
              </w:pBdr>
              <w:rPr>
                <w:color w:val="000000"/>
              </w:rPr>
            </w:pPr>
            <w:r>
              <w:rPr>
                <w:color w:val="000000"/>
              </w:rPr>
              <w:t>Life-threatening effects; threshold for mortality risk (EPA, 2021)</w:t>
            </w:r>
          </w:p>
        </w:tc>
      </w:tr>
      <w:tr w:rsidR="00EB60B9" w14:paraId="3E9298AD" w14:textId="77777777">
        <w:tc>
          <w:tcPr>
            <w:tcW w:w="2200" w:type="dxa"/>
            <w:shd w:val="clear" w:color="auto" w:fill="FFFFFF"/>
            <w:tcMar>
              <w:top w:w="60" w:type="dxa"/>
              <w:left w:w="80" w:type="dxa"/>
              <w:bottom w:w="60" w:type="dxa"/>
              <w:right w:w="80" w:type="dxa"/>
            </w:tcMar>
          </w:tcPr>
          <w:p w14:paraId="12D46B9C" w14:textId="77777777" w:rsidR="00EB60B9" w:rsidRDefault="00000000">
            <w:pPr>
              <w:pBdr>
                <w:top w:val="nil"/>
                <w:left w:val="nil"/>
                <w:bottom w:val="nil"/>
                <w:right w:val="nil"/>
                <w:between w:val="nil"/>
              </w:pBdr>
              <w:rPr>
                <w:color w:val="000000"/>
              </w:rPr>
            </w:pPr>
            <w:r>
              <w:rPr>
                <w:color w:val="000000"/>
              </w:rPr>
              <w:t>EPA RMP toxic endpoint</w:t>
            </w:r>
          </w:p>
        </w:tc>
        <w:tc>
          <w:tcPr>
            <w:tcW w:w="1200" w:type="dxa"/>
            <w:shd w:val="clear" w:color="auto" w:fill="FFFFFF"/>
            <w:tcMar>
              <w:top w:w="60" w:type="dxa"/>
              <w:left w:w="80" w:type="dxa"/>
              <w:bottom w:w="60" w:type="dxa"/>
              <w:right w:w="80" w:type="dxa"/>
            </w:tcMar>
          </w:tcPr>
          <w:p w14:paraId="7A30ED00" w14:textId="77777777" w:rsidR="00EB60B9" w:rsidRDefault="00000000">
            <w:pPr>
              <w:pBdr>
                <w:top w:val="nil"/>
                <w:left w:val="nil"/>
                <w:bottom w:val="nil"/>
                <w:right w:val="nil"/>
                <w:between w:val="nil"/>
              </w:pBdr>
              <w:rPr>
                <w:color w:val="000000"/>
              </w:rPr>
            </w:pPr>
            <w:r>
              <w:rPr>
                <w:color w:val="000000"/>
              </w:rPr>
              <w:t>3 ppm</w:t>
            </w:r>
          </w:p>
        </w:tc>
        <w:tc>
          <w:tcPr>
            <w:tcW w:w="5387" w:type="dxa"/>
            <w:shd w:val="clear" w:color="auto" w:fill="FFFFFF"/>
            <w:tcMar>
              <w:top w:w="60" w:type="dxa"/>
              <w:left w:w="80" w:type="dxa"/>
              <w:bottom w:w="60" w:type="dxa"/>
              <w:right w:w="80" w:type="dxa"/>
            </w:tcMar>
          </w:tcPr>
          <w:p w14:paraId="42011515" w14:textId="77777777" w:rsidR="00EB60B9" w:rsidRDefault="00000000">
            <w:pPr>
              <w:pBdr>
                <w:top w:val="nil"/>
                <w:left w:val="nil"/>
                <w:bottom w:val="nil"/>
                <w:right w:val="nil"/>
                <w:between w:val="nil"/>
              </w:pBdr>
              <w:rPr>
                <w:color w:val="000000"/>
              </w:rPr>
            </w:pPr>
            <w:r>
              <w:rPr>
                <w:color w:val="000000"/>
              </w:rPr>
              <w:t>Concentration used to define the hazard zone radius in US RMP off-site consequence analysis</w:t>
            </w:r>
          </w:p>
        </w:tc>
      </w:tr>
    </w:tbl>
    <w:p w14:paraId="18F7FAB8" w14:textId="77777777" w:rsidR="00EB60B9" w:rsidRPr="00C80551" w:rsidRDefault="00000000" w:rsidP="00E25BDF">
      <w:pPr>
        <w:pStyle w:val="Odstavecseseznamem"/>
        <w:keepNext/>
        <w:numPr>
          <w:ilvl w:val="0"/>
          <w:numId w:val="3"/>
        </w:numPr>
        <w:pBdr>
          <w:top w:val="nil"/>
          <w:left w:val="nil"/>
          <w:bottom w:val="nil"/>
          <w:right w:val="nil"/>
          <w:between w:val="nil"/>
        </w:pBdr>
        <w:spacing w:before="240" w:after="120" w:line="240" w:lineRule="auto"/>
        <w:jc w:val="left"/>
      </w:pPr>
      <w:r w:rsidRPr="00C80551">
        <w:rPr>
          <w:b/>
          <w:bCs/>
          <w:color w:val="000000"/>
          <w:sz w:val="20"/>
          <w:szCs w:val="20"/>
        </w:rPr>
        <w:t>Methods</w:t>
      </w:r>
    </w:p>
    <w:p w14:paraId="7C5A1E76" w14:textId="77777777" w:rsidR="00EB60B9" w:rsidRPr="008A6494" w:rsidRDefault="00000000">
      <w:pPr>
        <w:spacing w:after="80"/>
      </w:pPr>
      <w:r w:rsidRPr="008A6494">
        <w:rPr>
          <w:rFonts w:eastAsia="Times New Roman"/>
        </w:rPr>
        <w:t xml:space="preserve">The study is based on a systematic review of publicly available industrial accident reports covering the period from January 2005 to March 2025. The primary data sources were: the French ARIA database (Analyse, Recherche et Information sur les Accidents) maintained by the Bureau d'Analyse des Risques et des Pollutions Industrielles; the European major accident database eMARS operated by the European Commission's Major Accident Hazards Bureau; reports from the US Chemical Safety and Hazard Investigation Board (CSB); and news reports and official statements from national regulatory and emergency management authorities in individual incident jurisdictions. </w:t>
      </w:r>
    </w:p>
    <w:p w14:paraId="284F88DC" w14:textId="77777777" w:rsidR="00EB60B9" w:rsidRPr="008A6494" w:rsidRDefault="00000000">
      <w:pPr>
        <w:spacing w:after="80"/>
      </w:pPr>
      <w:r w:rsidRPr="008A6494">
        <w:rPr>
          <w:rFonts w:eastAsia="Times New Roman"/>
        </w:rPr>
        <w:t>Incidents were included if they: (a) occurred at a drinking water treatment plant or at a facility directly supplying chemicals for water treatment; (b) involved gaseous chlorine, liquefied chlorine, or chlorine-generating reactions between dosing chemicals (sodium hypochlorite and incompatible substances); and (c) were documented with sufficient detail to allow identification of the initiating event. Each incident was classified by: (I) primary category of the initiating event (technical failure, human error, or external influence including cybersecurity); (II) the specific causal mechanism; and (III) the scale of consequences (small: fewer than 10 persons affected or exposure confined to plant premises; medium: 10–100 persons affected or off-site impact without mass casualties; large: more than 100 persons affected or one or more fatalities).</w:t>
      </w:r>
    </w:p>
    <w:p w14:paraId="0E421A4B" w14:textId="77777777" w:rsidR="00EB60B9" w:rsidRDefault="00000000" w:rsidP="00E25BDF">
      <w:pPr>
        <w:pStyle w:val="Odstavecseseznamem"/>
        <w:keepNext/>
        <w:numPr>
          <w:ilvl w:val="0"/>
          <w:numId w:val="3"/>
        </w:numPr>
        <w:pBdr>
          <w:top w:val="nil"/>
          <w:left w:val="nil"/>
          <w:bottom w:val="nil"/>
          <w:right w:val="nil"/>
          <w:between w:val="nil"/>
        </w:pBdr>
        <w:spacing w:before="240" w:after="120" w:line="240" w:lineRule="auto"/>
        <w:jc w:val="left"/>
      </w:pPr>
      <w:r w:rsidRPr="00E25BDF">
        <w:rPr>
          <w:b/>
          <w:bCs/>
          <w:color w:val="000000"/>
          <w:sz w:val="20"/>
          <w:szCs w:val="20"/>
        </w:rPr>
        <w:lastRenderedPageBreak/>
        <w:t>Results</w:t>
      </w:r>
    </w:p>
    <w:p w14:paraId="2092972E" w14:textId="77777777" w:rsidR="008A6494" w:rsidRDefault="008A6494" w:rsidP="008A6494">
      <w:pPr>
        <w:spacing w:after="80"/>
        <w:rPr>
          <w:lang w:val="cs-CZ"/>
        </w:rPr>
      </w:pPr>
      <w:r w:rsidRPr="008A6494">
        <w:rPr>
          <w:lang w:val="cs-CZ"/>
        </w:rPr>
        <w:t>Fifteen incidents meeting the inclusion criteria were identified for the study period. Table 2 provides a structured summary of each event. The full dataset spans four continents and encompasses a wide range of operational contexts, from advanced water utilities in North America and Europe to facilities in developing economies.</w:t>
      </w:r>
    </w:p>
    <w:p w14:paraId="60A16649" w14:textId="77777777" w:rsidR="008A6494" w:rsidRPr="008A6494" w:rsidRDefault="008A6494" w:rsidP="008A6494">
      <w:pPr>
        <w:spacing w:after="80"/>
        <w:rPr>
          <w:lang w:val="cs-CZ"/>
        </w:rPr>
      </w:pPr>
    </w:p>
    <w:p w14:paraId="32BE7C8E" w14:textId="77777777" w:rsidR="008A6494" w:rsidRPr="008A6494" w:rsidRDefault="008A6494" w:rsidP="008A6494">
      <w:pPr>
        <w:spacing w:after="80"/>
        <w:rPr>
          <w:lang w:val="cs-CZ"/>
        </w:rPr>
      </w:pPr>
      <w:r w:rsidRPr="008A6494">
        <w:rPr>
          <w:i/>
          <w:iCs/>
          <w:lang w:val="cs-CZ"/>
        </w:rPr>
        <w:t>Table 2: Summary of chlorine-related accidents at water treatment plants (2005–2025).</w:t>
      </w:r>
    </w:p>
    <w:tbl>
      <w:tblPr>
        <w:tblW w:w="0" w:type="auto"/>
        <w:tblCellMar>
          <w:top w:w="15" w:type="dxa"/>
          <w:left w:w="15" w:type="dxa"/>
          <w:bottom w:w="15" w:type="dxa"/>
          <w:right w:w="15" w:type="dxa"/>
        </w:tblCellMar>
        <w:tblLook w:val="04A0" w:firstRow="1" w:lastRow="0" w:firstColumn="1" w:lastColumn="0" w:noHBand="0" w:noVBand="1"/>
      </w:tblPr>
      <w:tblGrid>
        <w:gridCol w:w="811"/>
        <w:gridCol w:w="1251"/>
        <w:gridCol w:w="1042"/>
        <w:gridCol w:w="2380"/>
        <w:gridCol w:w="900"/>
        <w:gridCol w:w="2403"/>
      </w:tblGrid>
      <w:tr w:rsidR="008A6494" w:rsidRPr="008A6494" w14:paraId="1FD82901" w14:textId="77777777">
        <w:trPr>
          <w:tblHeader/>
        </w:trPr>
        <w:tc>
          <w:tcPr>
            <w:tcW w:w="0" w:type="auto"/>
            <w:tcBorders>
              <w:top w:val="single" w:sz="12" w:space="0" w:color="008000"/>
              <w:bottom w:val="single" w:sz="8" w:space="0" w:color="008000"/>
            </w:tcBorders>
            <w:shd w:val="clear" w:color="auto" w:fill="FFFFFF"/>
            <w:tcMar>
              <w:top w:w="60" w:type="dxa"/>
              <w:left w:w="80" w:type="dxa"/>
              <w:bottom w:w="60" w:type="dxa"/>
              <w:right w:w="80" w:type="dxa"/>
            </w:tcMar>
            <w:hideMark/>
          </w:tcPr>
          <w:p w14:paraId="50BD19F1" w14:textId="77777777" w:rsidR="008A6494" w:rsidRPr="008A6494" w:rsidRDefault="008A6494" w:rsidP="008A6494">
            <w:pPr>
              <w:spacing w:after="80"/>
              <w:rPr>
                <w:b/>
                <w:bCs/>
                <w:lang w:val="cs-CZ"/>
              </w:rPr>
            </w:pPr>
            <w:r w:rsidRPr="008A6494">
              <w:rPr>
                <w:lang w:val="cs-CZ"/>
              </w:rPr>
              <w:t>Date</w:t>
            </w:r>
          </w:p>
        </w:tc>
        <w:tc>
          <w:tcPr>
            <w:tcW w:w="0" w:type="auto"/>
            <w:tcBorders>
              <w:top w:val="single" w:sz="12" w:space="0" w:color="008000"/>
              <w:bottom w:val="single" w:sz="8" w:space="0" w:color="008000"/>
            </w:tcBorders>
            <w:shd w:val="clear" w:color="auto" w:fill="FFFFFF"/>
            <w:tcMar>
              <w:top w:w="60" w:type="dxa"/>
              <w:left w:w="80" w:type="dxa"/>
              <w:bottom w:w="60" w:type="dxa"/>
              <w:right w:w="80" w:type="dxa"/>
            </w:tcMar>
            <w:hideMark/>
          </w:tcPr>
          <w:p w14:paraId="019921E6" w14:textId="77777777" w:rsidR="008A6494" w:rsidRPr="008A6494" w:rsidRDefault="008A6494" w:rsidP="008A6494">
            <w:pPr>
              <w:spacing w:after="80"/>
              <w:rPr>
                <w:b/>
                <w:bCs/>
                <w:lang w:val="cs-CZ"/>
              </w:rPr>
            </w:pPr>
            <w:r w:rsidRPr="008A6494">
              <w:rPr>
                <w:lang w:val="cs-CZ"/>
              </w:rPr>
              <w:t>Location</w:t>
            </w:r>
          </w:p>
        </w:tc>
        <w:tc>
          <w:tcPr>
            <w:tcW w:w="0" w:type="auto"/>
            <w:tcBorders>
              <w:top w:val="single" w:sz="12" w:space="0" w:color="008000"/>
              <w:bottom w:val="single" w:sz="8" w:space="0" w:color="008000"/>
            </w:tcBorders>
            <w:shd w:val="clear" w:color="auto" w:fill="FFFFFF"/>
            <w:tcMar>
              <w:top w:w="60" w:type="dxa"/>
              <w:left w:w="80" w:type="dxa"/>
              <w:bottom w:w="60" w:type="dxa"/>
              <w:right w:w="80" w:type="dxa"/>
            </w:tcMar>
            <w:hideMark/>
          </w:tcPr>
          <w:p w14:paraId="6AB624E2" w14:textId="77777777" w:rsidR="008A6494" w:rsidRPr="008A6494" w:rsidRDefault="008A6494" w:rsidP="008A6494">
            <w:pPr>
              <w:spacing w:after="80"/>
              <w:rPr>
                <w:b/>
                <w:bCs/>
                <w:lang w:val="cs-CZ"/>
              </w:rPr>
            </w:pPr>
            <w:r w:rsidRPr="008A6494">
              <w:rPr>
                <w:lang w:val="cs-CZ"/>
              </w:rPr>
              <w:t>Category</w:t>
            </w:r>
          </w:p>
        </w:tc>
        <w:tc>
          <w:tcPr>
            <w:tcW w:w="0" w:type="auto"/>
            <w:tcBorders>
              <w:top w:val="single" w:sz="12" w:space="0" w:color="008000"/>
              <w:bottom w:val="single" w:sz="8" w:space="0" w:color="008000"/>
            </w:tcBorders>
            <w:shd w:val="clear" w:color="auto" w:fill="FFFFFF"/>
            <w:tcMar>
              <w:top w:w="60" w:type="dxa"/>
              <w:left w:w="80" w:type="dxa"/>
              <w:bottom w:w="60" w:type="dxa"/>
              <w:right w:w="80" w:type="dxa"/>
            </w:tcMar>
            <w:hideMark/>
          </w:tcPr>
          <w:p w14:paraId="68B1D202" w14:textId="77777777" w:rsidR="008A6494" w:rsidRPr="008A6494" w:rsidRDefault="008A6494" w:rsidP="008A6494">
            <w:pPr>
              <w:spacing w:after="80"/>
              <w:rPr>
                <w:b/>
                <w:bCs/>
                <w:lang w:val="cs-CZ"/>
              </w:rPr>
            </w:pPr>
            <w:r w:rsidRPr="008A6494">
              <w:rPr>
                <w:lang w:val="cs-CZ"/>
              </w:rPr>
              <w:t>Cause / Initiating event</w:t>
            </w:r>
          </w:p>
        </w:tc>
        <w:tc>
          <w:tcPr>
            <w:tcW w:w="0" w:type="auto"/>
            <w:tcBorders>
              <w:top w:val="single" w:sz="12" w:space="0" w:color="008000"/>
              <w:bottom w:val="single" w:sz="8" w:space="0" w:color="008000"/>
            </w:tcBorders>
            <w:shd w:val="clear" w:color="auto" w:fill="FFFFFF"/>
            <w:tcMar>
              <w:top w:w="60" w:type="dxa"/>
              <w:left w:w="80" w:type="dxa"/>
              <w:bottom w:w="60" w:type="dxa"/>
              <w:right w:w="80" w:type="dxa"/>
            </w:tcMar>
            <w:hideMark/>
          </w:tcPr>
          <w:p w14:paraId="08D28F37" w14:textId="77777777" w:rsidR="008A6494" w:rsidRPr="008A6494" w:rsidRDefault="008A6494" w:rsidP="008A6494">
            <w:pPr>
              <w:spacing w:after="80"/>
              <w:rPr>
                <w:b/>
                <w:bCs/>
                <w:lang w:val="cs-CZ"/>
              </w:rPr>
            </w:pPr>
            <w:r w:rsidRPr="008A6494">
              <w:rPr>
                <w:lang w:val="cs-CZ"/>
              </w:rPr>
              <w:t>Scale</w:t>
            </w:r>
          </w:p>
        </w:tc>
        <w:tc>
          <w:tcPr>
            <w:tcW w:w="0" w:type="auto"/>
            <w:tcBorders>
              <w:top w:val="single" w:sz="12" w:space="0" w:color="008000"/>
              <w:bottom w:val="single" w:sz="8" w:space="0" w:color="008000"/>
            </w:tcBorders>
            <w:shd w:val="clear" w:color="auto" w:fill="FFFFFF"/>
            <w:tcMar>
              <w:top w:w="60" w:type="dxa"/>
              <w:left w:w="80" w:type="dxa"/>
              <w:bottom w:w="60" w:type="dxa"/>
              <w:right w:w="80" w:type="dxa"/>
            </w:tcMar>
            <w:hideMark/>
          </w:tcPr>
          <w:p w14:paraId="10CCE775" w14:textId="77777777" w:rsidR="008A6494" w:rsidRPr="008A6494" w:rsidRDefault="008A6494" w:rsidP="008A6494">
            <w:pPr>
              <w:spacing w:after="80"/>
              <w:rPr>
                <w:b/>
                <w:bCs/>
                <w:lang w:val="cs-CZ"/>
              </w:rPr>
            </w:pPr>
            <w:r w:rsidRPr="008A6494">
              <w:rPr>
                <w:lang w:val="cs-CZ"/>
              </w:rPr>
              <w:t>Consequences</w:t>
            </w:r>
          </w:p>
        </w:tc>
      </w:tr>
      <w:tr w:rsidR="006A5E9B" w:rsidRPr="008A6494" w14:paraId="45DA11EB" w14:textId="77777777">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42A9D95D" w14:textId="77777777" w:rsidR="006A5E9B" w:rsidRPr="008A6494" w:rsidRDefault="006A5E9B" w:rsidP="006A5E9B">
            <w:pPr>
              <w:spacing w:after="80"/>
              <w:rPr>
                <w:lang w:val="cs-CZ"/>
              </w:rPr>
            </w:pPr>
            <w:r w:rsidRPr="008A6494">
              <w:rPr>
                <w:lang w:val="cs-CZ"/>
              </w:rPr>
              <w:t>07/2005</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0904A200" w14:textId="1A83A1A5" w:rsidR="006A5E9B" w:rsidRPr="008A6494" w:rsidRDefault="006A5E9B" w:rsidP="006A5E9B">
            <w:pPr>
              <w:spacing w:after="80"/>
              <w:rPr>
                <w:lang w:val="cs-CZ"/>
              </w:rPr>
            </w:pPr>
            <w:r>
              <w:rPr>
                <w:lang w:val="cs-CZ"/>
              </w:rPr>
              <w:t>Fairfax, Virginia USA</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11C78BFB" w14:textId="14C7C83D" w:rsidR="006A5E9B" w:rsidRPr="008A6494" w:rsidRDefault="006A5E9B" w:rsidP="006A5E9B">
            <w:pPr>
              <w:spacing w:after="80"/>
              <w:rPr>
                <w:lang w:val="cs-CZ"/>
              </w:rPr>
            </w:pPr>
            <w:r w:rsidRPr="008A6494">
              <w:rPr>
                <w:lang w:val="cs-CZ"/>
              </w:rPr>
              <w:t>Technical failure</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2F51D594" w14:textId="55E89C11" w:rsidR="006A5E9B" w:rsidRPr="008A6494" w:rsidRDefault="00EE6646" w:rsidP="006A5E9B">
            <w:pPr>
              <w:spacing w:after="80"/>
              <w:rPr>
                <w:lang w:val="cs-CZ"/>
              </w:rPr>
            </w:pPr>
            <w:r w:rsidRPr="00EE6646">
              <w:rPr>
                <w:lang w:val="cs-CZ"/>
              </w:rPr>
              <w:t>Seal failure on a one-ton container with chlorine.</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717B6DD9" w14:textId="3DDC4492" w:rsidR="006A5E9B" w:rsidRPr="008A6494" w:rsidRDefault="00B3750F" w:rsidP="006A5E9B">
            <w:pPr>
              <w:spacing w:after="80"/>
              <w:rPr>
                <w:lang w:val="cs-CZ"/>
              </w:rPr>
            </w:pPr>
            <w:r>
              <w:rPr>
                <w:lang w:val="cs-CZ"/>
              </w:rPr>
              <w:t>Medium</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27320AEE" w14:textId="01D23EB2" w:rsidR="006A5E9B" w:rsidRPr="008A6494" w:rsidRDefault="00EE6646" w:rsidP="006A5E9B">
            <w:pPr>
              <w:spacing w:after="80"/>
              <w:rPr>
                <w:lang w:val="cs-CZ"/>
              </w:rPr>
            </w:pPr>
            <w:r>
              <w:rPr>
                <w:lang w:val="cs-CZ"/>
              </w:rPr>
              <w:t>35</w:t>
            </w:r>
            <w:r w:rsidR="006A5E9B" w:rsidRPr="008A6494">
              <w:rPr>
                <w:lang w:val="cs-CZ"/>
              </w:rPr>
              <w:t xml:space="preserve"> evacuated,</w:t>
            </w:r>
            <w:r>
              <w:rPr>
                <w:lang w:val="cs-CZ"/>
              </w:rPr>
              <w:t xml:space="preserve"> 1 worker treated, 2</w:t>
            </w:r>
            <w:r w:rsidR="006A5E9B" w:rsidRPr="008A6494">
              <w:rPr>
                <w:lang w:val="cs-CZ"/>
              </w:rPr>
              <w:t xml:space="preserve"> examined, </w:t>
            </w:r>
          </w:p>
        </w:tc>
      </w:tr>
      <w:tr w:rsidR="006A5E9B" w:rsidRPr="008A6494" w14:paraId="217F59A4" w14:textId="77777777">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59EE4CD2" w14:textId="77777777" w:rsidR="006A5E9B" w:rsidRPr="008A6494" w:rsidRDefault="006A5E9B" w:rsidP="006A5E9B">
            <w:pPr>
              <w:spacing w:after="80"/>
              <w:rPr>
                <w:lang w:val="cs-CZ"/>
              </w:rPr>
            </w:pPr>
            <w:r w:rsidRPr="008A6494">
              <w:rPr>
                <w:lang w:val="cs-CZ"/>
              </w:rPr>
              <w:t>10/2006</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2605F613" w14:textId="77777777" w:rsidR="006A5E9B" w:rsidRPr="008A6494" w:rsidRDefault="006A5E9B" w:rsidP="006A5E9B">
            <w:pPr>
              <w:spacing w:after="80"/>
              <w:rPr>
                <w:lang w:val="cs-CZ"/>
              </w:rPr>
            </w:pPr>
            <w:r w:rsidRPr="008A6494">
              <w:rPr>
                <w:lang w:val="cs-CZ"/>
              </w:rPr>
              <w:t>Nová Bystrica, SK</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4DBDEBF3" w14:textId="77777777" w:rsidR="006A5E9B" w:rsidRPr="008A6494" w:rsidRDefault="006A5E9B" w:rsidP="006A5E9B">
            <w:pPr>
              <w:spacing w:after="80"/>
              <w:rPr>
                <w:lang w:val="cs-CZ"/>
              </w:rPr>
            </w:pPr>
            <w:r w:rsidRPr="008A6494">
              <w:rPr>
                <w:lang w:val="cs-CZ"/>
              </w:rPr>
              <w:t>Human error / Technical</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0A11BA33" w14:textId="77777777" w:rsidR="006A5E9B" w:rsidRPr="008A6494" w:rsidRDefault="006A5E9B" w:rsidP="006A5E9B">
            <w:pPr>
              <w:spacing w:after="80"/>
              <w:rPr>
                <w:lang w:val="cs-CZ"/>
              </w:rPr>
            </w:pPr>
            <w:r w:rsidRPr="008A6494">
              <w:rPr>
                <w:lang w:val="cs-CZ"/>
              </w:rPr>
              <w:t>Unexpected reaction of two incompatible chemicals; tank containing NaClO</w:t>
            </w:r>
            <w:r w:rsidRPr="008A6494">
              <w:rPr>
                <w:rFonts w:ascii="Cambria Math" w:hAnsi="Cambria Math" w:cs="Cambria Math"/>
                <w:lang w:val="cs-CZ"/>
              </w:rPr>
              <w:t>₂</w:t>
            </w:r>
            <w:r w:rsidRPr="008A6494">
              <w:rPr>
                <w:lang w:val="cs-CZ"/>
              </w:rPr>
              <w:t xml:space="preserve"> exploded; ~20 m³ of toxic vapour released; building severely damaged</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6520DFBC" w14:textId="77777777" w:rsidR="006A5E9B" w:rsidRPr="008A6494" w:rsidRDefault="006A5E9B" w:rsidP="006A5E9B">
            <w:pPr>
              <w:spacing w:after="80"/>
              <w:rPr>
                <w:lang w:val="cs-CZ"/>
              </w:rPr>
            </w:pPr>
            <w:r w:rsidRPr="008A6494">
              <w:rPr>
                <w:lang w:val="cs-CZ"/>
              </w:rPr>
              <w:t>Medium</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39342BC1" w14:textId="77777777" w:rsidR="006A5E9B" w:rsidRPr="008A6494" w:rsidRDefault="006A5E9B" w:rsidP="006A5E9B">
            <w:pPr>
              <w:spacing w:after="80"/>
              <w:rPr>
                <w:lang w:val="cs-CZ"/>
              </w:rPr>
            </w:pPr>
            <w:r w:rsidRPr="008A6494">
              <w:rPr>
                <w:lang w:val="cs-CZ"/>
              </w:rPr>
              <w:t>2 persons hospitalised; residents in wide area advised to stay indoors or move to upper floors; contents transferred to emergency drums overnight; building damage ~1 M SKK</w:t>
            </w:r>
          </w:p>
        </w:tc>
      </w:tr>
      <w:tr w:rsidR="006A5E9B" w:rsidRPr="008A6494" w14:paraId="314BC209" w14:textId="77777777">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2D9EA9D8" w14:textId="77777777" w:rsidR="006A5E9B" w:rsidRPr="008A6494" w:rsidRDefault="006A5E9B" w:rsidP="006A5E9B">
            <w:pPr>
              <w:spacing w:after="80"/>
              <w:rPr>
                <w:lang w:val="cs-CZ"/>
              </w:rPr>
            </w:pPr>
            <w:r w:rsidRPr="008A6494">
              <w:rPr>
                <w:lang w:val="cs-CZ"/>
              </w:rPr>
              <w:t>02/2009</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3AE67EF6" w14:textId="77777777" w:rsidR="006A5E9B" w:rsidRPr="008A6494" w:rsidRDefault="006A5E9B" w:rsidP="006A5E9B">
            <w:pPr>
              <w:spacing w:after="80"/>
              <w:rPr>
                <w:lang w:val="cs-CZ"/>
              </w:rPr>
            </w:pPr>
            <w:r w:rsidRPr="008A6494">
              <w:rPr>
                <w:lang w:val="cs-CZ"/>
              </w:rPr>
              <w:t>Vítkov-Podhradí, CZ</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37A185C0" w14:textId="77777777" w:rsidR="006A5E9B" w:rsidRPr="008A6494" w:rsidRDefault="006A5E9B" w:rsidP="006A5E9B">
            <w:pPr>
              <w:spacing w:after="80"/>
              <w:rPr>
                <w:lang w:val="cs-CZ"/>
              </w:rPr>
            </w:pPr>
            <w:r w:rsidRPr="008A6494">
              <w:rPr>
                <w:lang w:val="cs-CZ"/>
              </w:rPr>
              <w:t>Human error (cascade)</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4A94DD2F" w14:textId="1D311267" w:rsidR="006A5E9B" w:rsidRPr="008A6494" w:rsidRDefault="006A5E9B" w:rsidP="006A5E9B">
            <w:pPr>
              <w:spacing w:after="80"/>
              <w:rPr>
                <w:lang w:val="cs-CZ"/>
              </w:rPr>
            </w:pPr>
            <w:r w:rsidRPr="008A6494">
              <w:rPr>
                <w:lang w:val="cs-CZ"/>
              </w:rPr>
              <w:t>An employee connected FeSO</w:t>
            </w:r>
            <w:r w:rsidRPr="008A6494">
              <w:rPr>
                <w:rFonts w:ascii="Cambria Math" w:hAnsi="Cambria Math" w:cs="Cambria Math"/>
                <w:lang w:val="cs-CZ"/>
              </w:rPr>
              <w:t>₄</w:t>
            </w:r>
            <w:r w:rsidRPr="008A6494">
              <w:rPr>
                <w:lang w:val="cs-CZ"/>
              </w:rPr>
              <w:t xml:space="preserve"> tanker to wrong tank containing NaClO</w:t>
            </w:r>
            <w:r w:rsidRPr="008A6494">
              <w:rPr>
                <w:rFonts w:ascii="Cambria Math" w:hAnsi="Cambria Math" w:cs="Cambria Math"/>
                <w:lang w:val="cs-CZ"/>
              </w:rPr>
              <w:t>₂</w:t>
            </w:r>
            <w:r w:rsidRPr="008A6494">
              <w:rPr>
                <w:lang w:val="cs-CZ"/>
              </w:rPr>
              <w:t xml:space="preserve"> residue; highly exothermic reaction producing Cl</w:t>
            </w:r>
            <w:r w:rsidRPr="008A6494">
              <w:rPr>
                <w:rFonts w:ascii="Cambria Math" w:hAnsi="Cambria Math" w:cs="Cambria Math"/>
                <w:lang w:val="cs-CZ"/>
              </w:rPr>
              <w:t>₂</w:t>
            </w:r>
            <w:r w:rsidRPr="008A6494">
              <w:rPr>
                <w:lang w:val="cs-CZ"/>
              </w:rPr>
              <w:t xml:space="preserve">; reaction reignited twice on days 2 and 3 during remediation. </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4BF62406" w14:textId="77777777" w:rsidR="006A5E9B" w:rsidRPr="008A6494" w:rsidRDefault="006A5E9B" w:rsidP="006A5E9B">
            <w:pPr>
              <w:spacing w:after="80"/>
              <w:rPr>
                <w:lang w:val="cs-CZ"/>
              </w:rPr>
            </w:pPr>
            <w:r w:rsidRPr="008A6494">
              <w:rPr>
                <w:lang w:val="cs-CZ"/>
              </w:rPr>
              <w:t>Large</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3CD0CCC0" w14:textId="77777777" w:rsidR="006A5E9B" w:rsidRPr="008A6494" w:rsidRDefault="006A5E9B" w:rsidP="006A5E9B">
            <w:pPr>
              <w:spacing w:after="80"/>
              <w:rPr>
                <w:lang w:val="cs-CZ"/>
              </w:rPr>
            </w:pPr>
            <w:r w:rsidRPr="008A6494">
              <w:rPr>
                <w:lang w:val="cs-CZ"/>
              </w:rPr>
              <w:t>2 workers hospitalised (day 1); up to 200 persons evacuated (day 2, school + residents); ~300 persons evacuated (day 3, entire hamlet); police investigation for criminal negligence</w:t>
            </w:r>
          </w:p>
        </w:tc>
      </w:tr>
      <w:tr w:rsidR="006A5E9B" w:rsidRPr="008A6494" w14:paraId="75CE412D" w14:textId="77777777">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425F9668" w14:textId="77777777" w:rsidR="006A5E9B" w:rsidRPr="008A6494" w:rsidRDefault="006A5E9B" w:rsidP="006A5E9B">
            <w:pPr>
              <w:spacing w:after="80"/>
              <w:rPr>
                <w:lang w:val="cs-CZ"/>
              </w:rPr>
            </w:pPr>
            <w:r w:rsidRPr="008A6494">
              <w:rPr>
                <w:lang w:val="cs-CZ"/>
              </w:rPr>
              <w:t>07/2010</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6819E407" w14:textId="77777777" w:rsidR="006A5E9B" w:rsidRPr="008A6494" w:rsidRDefault="006A5E9B" w:rsidP="006A5E9B">
            <w:pPr>
              <w:spacing w:after="80"/>
              <w:rPr>
                <w:lang w:val="cs-CZ"/>
              </w:rPr>
            </w:pPr>
            <w:r w:rsidRPr="008A6494">
              <w:rPr>
                <w:lang w:val="cs-CZ"/>
              </w:rPr>
              <w:t>Loc-Eguiner, FR</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444DCEFD" w14:textId="77777777" w:rsidR="006A5E9B" w:rsidRPr="008A6494" w:rsidRDefault="006A5E9B" w:rsidP="006A5E9B">
            <w:pPr>
              <w:spacing w:after="80"/>
              <w:rPr>
                <w:lang w:val="cs-CZ"/>
              </w:rPr>
            </w:pPr>
            <w:r w:rsidRPr="008A6494">
              <w:rPr>
                <w:lang w:val="cs-CZ"/>
              </w:rPr>
              <w:t>Technical failure</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780A8FB5" w14:textId="77777777" w:rsidR="006A5E9B" w:rsidRPr="008A6494" w:rsidRDefault="006A5E9B" w:rsidP="006A5E9B">
            <w:pPr>
              <w:spacing w:after="80"/>
              <w:rPr>
                <w:lang w:val="cs-CZ"/>
              </w:rPr>
            </w:pPr>
            <w:r w:rsidRPr="008A6494">
              <w:rPr>
                <w:lang w:val="cs-CZ"/>
              </w:rPr>
              <w:t>Dosing pump failure – NaOCl leak (800 L); river contaminated</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4837FDC0" w14:textId="77777777" w:rsidR="006A5E9B" w:rsidRPr="008A6494" w:rsidRDefault="006A5E9B" w:rsidP="006A5E9B">
            <w:pPr>
              <w:spacing w:after="80"/>
              <w:rPr>
                <w:lang w:val="cs-CZ"/>
              </w:rPr>
            </w:pPr>
            <w:r w:rsidRPr="008A6494">
              <w:rPr>
                <w:lang w:val="cs-CZ"/>
              </w:rPr>
              <w:t>Medium</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270E9747" w14:textId="77777777" w:rsidR="006A5E9B" w:rsidRPr="008A6494" w:rsidRDefault="006A5E9B" w:rsidP="006A5E9B">
            <w:pPr>
              <w:spacing w:after="80"/>
              <w:rPr>
                <w:lang w:val="cs-CZ"/>
              </w:rPr>
            </w:pPr>
            <w:r w:rsidRPr="008A6494">
              <w:rPr>
                <w:lang w:val="cs-CZ"/>
              </w:rPr>
              <w:t>6–7 t of dead fish; 1 km river stretch affected</w:t>
            </w:r>
          </w:p>
        </w:tc>
      </w:tr>
      <w:tr w:rsidR="006A5E9B" w:rsidRPr="008A6494" w14:paraId="64B9B08F" w14:textId="77777777">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04A75902" w14:textId="77777777" w:rsidR="006A5E9B" w:rsidRPr="008A6494" w:rsidRDefault="006A5E9B" w:rsidP="006A5E9B">
            <w:pPr>
              <w:spacing w:after="80"/>
              <w:rPr>
                <w:lang w:val="cs-CZ"/>
              </w:rPr>
            </w:pPr>
            <w:r w:rsidRPr="008A6494">
              <w:rPr>
                <w:lang w:val="cs-CZ"/>
              </w:rPr>
              <w:t>02/2013</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230E465E" w14:textId="77777777" w:rsidR="006A5E9B" w:rsidRPr="008A6494" w:rsidRDefault="006A5E9B" w:rsidP="006A5E9B">
            <w:pPr>
              <w:spacing w:after="80"/>
              <w:rPr>
                <w:lang w:val="cs-CZ"/>
              </w:rPr>
            </w:pPr>
            <w:r w:rsidRPr="008A6494">
              <w:rPr>
                <w:lang w:val="cs-CZ"/>
              </w:rPr>
              <w:t>Thionville, FR</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75AE572B" w14:textId="77777777" w:rsidR="006A5E9B" w:rsidRPr="008A6494" w:rsidRDefault="006A5E9B" w:rsidP="006A5E9B">
            <w:pPr>
              <w:spacing w:after="80"/>
              <w:rPr>
                <w:lang w:val="cs-CZ"/>
              </w:rPr>
            </w:pPr>
            <w:r w:rsidRPr="008A6494">
              <w:rPr>
                <w:lang w:val="cs-CZ"/>
              </w:rPr>
              <w:t>Technical failure</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3C52F05A" w14:textId="77777777" w:rsidR="006A5E9B" w:rsidRPr="008A6494" w:rsidRDefault="006A5E9B" w:rsidP="006A5E9B">
            <w:pPr>
              <w:spacing w:after="80"/>
              <w:rPr>
                <w:lang w:val="cs-CZ"/>
              </w:rPr>
            </w:pPr>
            <w:r w:rsidRPr="008A6494">
              <w:rPr>
                <w:lang w:val="cs-CZ"/>
              </w:rPr>
              <w:t>Cylinder valve failure – 8 kg Cl</w:t>
            </w:r>
            <w:r w:rsidRPr="008A6494">
              <w:rPr>
                <w:rFonts w:ascii="Cambria Math" w:hAnsi="Cambria Math" w:cs="Cambria Math"/>
                <w:lang w:val="cs-CZ"/>
              </w:rPr>
              <w:t>₂</w:t>
            </w:r>
            <w:r w:rsidRPr="008A6494">
              <w:rPr>
                <w:lang w:val="cs-CZ"/>
              </w:rPr>
              <w:t xml:space="preserve"> released from 50 L cylinder</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54DB7D8B" w14:textId="77777777" w:rsidR="006A5E9B" w:rsidRPr="008A6494" w:rsidRDefault="006A5E9B" w:rsidP="006A5E9B">
            <w:pPr>
              <w:spacing w:after="80"/>
              <w:rPr>
                <w:lang w:val="cs-CZ"/>
              </w:rPr>
            </w:pPr>
            <w:r w:rsidRPr="008A6494">
              <w:rPr>
                <w:lang w:val="cs-CZ"/>
              </w:rPr>
              <w:t>Small–Medium</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036C16F7" w14:textId="77777777" w:rsidR="006A5E9B" w:rsidRPr="008A6494" w:rsidRDefault="006A5E9B" w:rsidP="006A5E9B">
            <w:pPr>
              <w:spacing w:after="80"/>
              <w:rPr>
                <w:lang w:val="cs-CZ"/>
              </w:rPr>
            </w:pPr>
            <w:r w:rsidRPr="008A6494">
              <w:rPr>
                <w:lang w:val="cs-CZ"/>
              </w:rPr>
              <w:t>8 persons treated; 50 m cordon; school and pool affected</w:t>
            </w:r>
          </w:p>
        </w:tc>
      </w:tr>
      <w:tr w:rsidR="006A5E9B" w:rsidRPr="008A6494" w14:paraId="4411EE69" w14:textId="77777777">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42B74BF2" w14:textId="77777777" w:rsidR="006A5E9B" w:rsidRPr="008A6494" w:rsidRDefault="006A5E9B" w:rsidP="006A5E9B">
            <w:pPr>
              <w:spacing w:after="80"/>
              <w:rPr>
                <w:lang w:val="cs-CZ"/>
              </w:rPr>
            </w:pPr>
            <w:r w:rsidRPr="008A6494">
              <w:rPr>
                <w:lang w:val="cs-CZ"/>
              </w:rPr>
              <w:t>07/2015</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0CE94F45" w14:textId="77777777" w:rsidR="006A5E9B" w:rsidRPr="008A6494" w:rsidRDefault="006A5E9B" w:rsidP="006A5E9B">
            <w:pPr>
              <w:spacing w:after="80"/>
              <w:rPr>
                <w:lang w:val="cs-CZ"/>
              </w:rPr>
            </w:pPr>
            <w:r w:rsidRPr="008A6494">
              <w:rPr>
                <w:lang w:val="cs-CZ"/>
              </w:rPr>
              <w:t>Jos, Nigeria</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6D92C110" w14:textId="77777777" w:rsidR="006A5E9B" w:rsidRPr="008A6494" w:rsidRDefault="006A5E9B" w:rsidP="006A5E9B">
            <w:pPr>
              <w:spacing w:after="80"/>
              <w:rPr>
                <w:lang w:val="cs-CZ"/>
              </w:rPr>
            </w:pPr>
            <w:r w:rsidRPr="008A6494">
              <w:rPr>
                <w:lang w:val="cs-CZ"/>
              </w:rPr>
              <w:t>Technical failure</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32056917" w14:textId="7F2A1338" w:rsidR="006A5E9B" w:rsidRPr="008A6494" w:rsidRDefault="006A5E9B" w:rsidP="006A5E9B">
            <w:pPr>
              <w:spacing w:after="80"/>
              <w:rPr>
                <w:lang w:val="cs-CZ"/>
              </w:rPr>
            </w:pPr>
            <w:r w:rsidRPr="008A6494">
              <w:rPr>
                <w:lang w:val="cs-CZ"/>
              </w:rPr>
              <w:t xml:space="preserve">Cylinder explosion at </w:t>
            </w:r>
            <w:r w:rsidR="00B3750F">
              <w:rPr>
                <w:lang w:val="cs-CZ"/>
              </w:rPr>
              <w:t>D</w:t>
            </w:r>
            <w:r w:rsidRPr="008A6494">
              <w:rPr>
                <w:lang w:val="cs-CZ"/>
              </w:rPr>
              <w:t>WTP (Plateau State Water Board)</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149D6EF3" w14:textId="77777777" w:rsidR="006A5E9B" w:rsidRPr="008A6494" w:rsidRDefault="006A5E9B" w:rsidP="006A5E9B">
            <w:pPr>
              <w:spacing w:after="80"/>
              <w:rPr>
                <w:lang w:val="cs-CZ"/>
              </w:rPr>
            </w:pPr>
            <w:r w:rsidRPr="008A6494">
              <w:rPr>
                <w:lang w:val="cs-CZ"/>
              </w:rPr>
              <w:t>Large</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76B620B6" w14:textId="77777777" w:rsidR="006A5E9B" w:rsidRPr="008A6494" w:rsidRDefault="006A5E9B" w:rsidP="006A5E9B">
            <w:pPr>
              <w:spacing w:after="80"/>
              <w:rPr>
                <w:lang w:val="cs-CZ"/>
              </w:rPr>
            </w:pPr>
            <w:r w:rsidRPr="008A6494">
              <w:rPr>
                <w:lang w:val="cs-CZ"/>
              </w:rPr>
              <w:t>8 fatalities; &gt;100 hospitalised; respiratory injuries</w:t>
            </w:r>
          </w:p>
        </w:tc>
      </w:tr>
      <w:tr w:rsidR="006A5E9B" w:rsidRPr="008A6494" w14:paraId="76BB12EB" w14:textId="77777777">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7EF41B91" w14:textId="77777777" w:rsidR="006A5E9B" w:rsidRPr="008A6494" w:rsidRDefault="006A5E9B" w:rsidP="006A5E9B">
            <w:pPr>
              <w:spacing w:after="80"/>
              <w:rPr>
                <w:lang w:val="cs-CZ"/>
              </w:rPr>
            </w:pPr>
            <w:r w:rsidRPr="008A6494">
              <w:rPr>
                <w:lang w:val="cs-CZ"/>
              </w:rPr>
              <w:t>05/2016</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75D27951" w14:textId="77777777" w:rsidR="006A5E9B" w:rsidRPr="008A6494" w:rsidRDefault="006A5E9B" w:rsidP="006A5E9B">
            <w:pPr>
              <w:spacing w:after="80"/>
              <w:rPr>
                <w:lang w:val="cs-CZ"/>
              </w:rPr>
            </w:pPr>
            <w:r w:rsidRPr="008A6494">
              <w:rPr>
                <w:lang w:val="cs-CZ"/>
              </w:rPr>
              <w:t>Norton, KS, USA</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26850B25" w14:textId="77777777" w:rsidR="006A5E9B" w:rsidRPr="008A6494" w:rsidRDefault="006A5E9B" w:rsidP="006A5E9B">
            <w:pPr>
              <w:spacing w:after="80"/>
              <w:rPr>
                <w:lang w:val="cs-CZ"/>
              </w:rPr>
            </w:pPr>
            <w:r w:rsidRPr="008A6494">
              <w:rPr>
                <w:lang w:val="cs-CZ"/>
              </w:rPr>
              <w:t>Technical failure</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59094183" w14:textId="77777777" w:rsidR="006A5E9B" w:rsidRPr="008A6494" w:rsidRDefault="006A5E9B" w:rsidP="006A5E9B">
            <w:pPr>
              <w:spacing w:after="80"/>
              <w:rPr>
                <w:lang w:val="cs-CZ"/>
              </w:rPr>
            </w:pPr>
            <w:r w:rsidRPr="008A6494">
              <w:rPr>
                <w:lang w:val="cs-CZ"/>
              </w:rPr>
              <w:t>Heater malfunction – fusible plug melted; full cylinder content released</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53232BD6" w14:textId="77777777" w:rsidR="006A5E9B" w:rsidRPr="008A6494" w:rsidRDefault="006A5E9B" w:rsidP="006A5E9B">
            <w:pPr>
              <w:spacing w:after="80"/>
              <w:rPr>
                <w:lang w:val="cs-CZ"/>
              </w:rPr>
            </w:pPr>
            <w:r w:rsidRPr="008A6494">
              <w:rPr>
                <w:lang w:val="cs-CZ"/>
              </w:rPr>
              <w:t>Medium</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07558424" w14:textId="32E915F4" w:rsidR="006A5E9B" w:rsidRPr="008A6494" w:rsidRDefault="00B3750F" w:rsidP="006A5E9B">
            <w:pPr>
              <w:spacing w:after="80"/>
              <w:rPr>
                <w:lang w:val="cs-CZ"/>
              </w:rPr>
            </w:pPr>
            <w:r>
              <w:rPr>
                <w:lang w:val="cs-CZ"/>
              </w:rPr>
              <w:t>D</w:t>
            </w:r>
            <w:r w:rsidR="006A5E9B" w:rsidRPr="008A6494">
              <w:rPr>
                <w:lang w:val="cs-CZ"/>
              </w:rPr>
              <w:t>WTP evacuated; SCADA failure; boil-water order; 4-month repair</w:t>
            </w:r>
          </w:p>
        </w:tc>
      </w:tr>
      <w:tr w:rsidR="006A5E9B" w:rsidRPr="008A6494" w14:paraId="7E46E2AC" w14:textId="77777777">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01D1CA45" w14:textId="77777777" w:rsidR="006A5E9B" w:rsidRPr="008A6494" w:rsidRDefault="006A5E9B" w:rsidP="006A5E9B">
            <w:pPr>
              <w:spacing w:after="80"/>
              <w:rPr>
                <w:lang w:val="cs-CZ"/>
              </w:rPr>
            </w:pPr>
            <w:r w:rsidRPr="008A6494">
              <w:rPr>
                <w:lang w:val="cs-CZ"/>
              </w:rPr>
              <w:t>07/2017</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68496725" w14:textId="77777777" w:rsidR="006A5E9B" w:rsidRPr="008A6494" w:rsidRDefault="006A5E9B" w:rsidP="006A5E9B">
            <w:pPr>
              <w:spacing w:after="80"/>
              <w:rPr>
                <w:lang w:val="cs-CZ"/>
              </w:rPr>
            </w:pPr>
            <w:r w:rsidRPr="008A6494">
              <w:rPr>
                <w:lang w:val="cs-CZ"/>
              </w:rPr>
              <w:t>Kota Belud, Malaysia</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6306EB7B" w14:textId="77777777" w:rsidR="006A5E9B" w:rsidRPr="008A6494" w:rsidRDefault="006A5E9B" w:rsidP="006A5E9B">
            <w:pPr>
              <w:spacing w:after="80"/>
              <w:rPr>
                <w:lang w:val="cs-CZ"/>
              </w:rPr>
            </w:pPr>
            <w:r w:rsidRPr="008A6494">
              <w:rPr>
                <w:lang w:val="cs-CZ"/>
              </w:rPr>
              <w:t>Technical failure</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1B84B3E3" w14:textId="77777777" w:rsidR="006A5E9B" w:rsidRPr="008A6494" w:rsidRDefault="006A5E9B" w:rsidP="006A5E9B">
            <w:pPr>
              <w:spacing w:after="80"/>
              <w:rPr>
                <w:lang w:val="cs-CZ"/>
              </w:rPr>
            </w:pPr>
            <w:r w:rsidRPr="008A6494">
              <w:rPr>
                <w:lang w:val="cs-CZ"/>
              </w:rPr>
              <w:t>Valve corrosion – hole in drum valve; continuous Cl</w:t>
            </w:r>
            <w:r w:rsidRPr="008A6494">
              <w:rPr>
                <w:rFonts w:ascii="Cambria Math" w:hAnsi="Cambria Math" w:cs="Cambria Math"/>
                <w:lang w:val="cs-CZ"/>
              </w:rPr>
              <w:t>₂</w:t>
            </w:r>
            <w:r w:rsidRPr="008A6494">
              <w:rPr>
                <w:lang w:val="cs-CZ"/>
              </w:rPr>
              <w:t xml:space="preserve"> release</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4CF5DC03" w14:textId="77777777" w:rsidR="006A5E9B" w:rsidRPr="008A6494" w:rsidRDefault="006A5E9B" w:rsidP="006A5E9B">
            <w:pPr>
              <w:spacing w:after="80"/>
              <w:rPr>
                <w:lang w:val="cs-CZ"/>
              </w:rPr>
            </w:pPr>
            <w:r w:rsidRPr="008A6494">
              <w:rPr>
                <w:lang w:val="cs-CZ"/>
              </w:rPr>
              <w:t>Small–Medium</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0F06430C" w14:textId="77777777" w:rsidR="006A5E9B" w:rsidRPr="008A6494" w:rsidRDefault="006A5E9B" w:rsidP="006A5E9B">
            <w:pPr>
              <w:spacing w:after="80"/>
              <w:rPr>
                <w:lang w:val="cs-CZ"/>
              </w:rPr>
            </w:pPr>
            <w:r w:rsidRPr="008A6494">
              <w:rPr>
                <w:lang w:val="cs-CZ"/>
              </w:rPr>
              <w:t>Several respiratory cases; communities affected</w:t>
            </w:r>
          </w:p>
        </w:tc>
      </w:tr>
      <w:tr w:rsidR="006A5E9B" w:rsidRPr="008A6494" w14:paraId="0F547FD6" w14:textId="77777777">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0072CCFC" w14:textId="77777777" w:rsidR="006A5E9B" w:rsidRPr="008A6494" w:rsidRDefault="006A5E9B" w:rsidP="006A5E9B">
            <w:pPr>
              <w:spacing w:after="80"/>
              <w:rPr>
                <w:lang w:val="cs-CZ"/>
              </w:rPr>
            </w:pPr>
            <w:r w:rsidRPr="008A6494">
              <w:rPr>
                <w:lang w:val="cs-CZ"/>
              </w:rPr>
              <w:t>05/2017</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4F2E939F" w14:textId="77777777" w:rsidR="006A5E9B" w:rsidRPr="008A6494" w:rsidRDefault="006A5E9B" w:rsidP="006A5E9B">
            <w:pPr>
              <w:spacing w:after="80"/>
              <w:rPr>
                <w:lang w:val="cs-CZ"/>
              </w:rPr>
            </w:pPr>
            <w:r w:rsidRPr="008A6494">
              <w:rPr>
                <w:lang w:val="cs-CZ"/>
              </w:rPr>
              <w:t>Fort McMurray, Canada</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48E21DD1" w14:textId="77777777" w:rsidR="006A5E9B" w:rsidRPr="008A6494" w:rsidRDefault="006A5E9B" w:rsidP="006A5E9B">
            <w:pPr>
              <w:spacing w:after="80"/>
              <w:rPr>
                <w:lang w:val="cs-CZ"/>
              </w:rPr>
            </w:pPr>
            <w:r w:rsidRPr="008A6494">
              <w:rPr>
                <w:lang w:val="cs-CZ"/>
              </w:rPr>
              <w:t>Human error</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259EC52D" w14:textId="77777777" w:rsidR="006A5E9B" w:rsidRPr="008A6494" w:rsidRDefault="006A5E9B" w:rsidP="006A5E9B">
            <w:pPr>
              <w:spacing w:after="80"/>
              <w:rPr>
                <w:lang w:val="cs-CZ"/>
              </w:rPr>
            </w:pPr>
            <w:r w:rsidRPr="008A6494">
              <w:rPr>
                <w:lang w:val="cs-CZ"/>
              </w:rPr>
              <w:t>Inadvertent mixing of NaOCl + polyaluminium chloride</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56FF188D" w14:textId="77777777" w:rsidR="006A5E9B" w:rsidRPr="008A6494" w:rsidRDefault="006A5E9B" w:rsidP="006A5E9B">
            <w:pPr>
              <w:spacing w:after="80"/>
              <w:rPr>
                <w:lang w:val="cs-CZ"/>
              </w:rPr>
            </w:pPr>
            <w:r w:rsidRPr="008A6494">
              <w:rPr>
                <w:lang w:val="cs-CZ"/>
              </w:rPr>
              <w:t>Small</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135DC4D3" w14:textId="0C30458E" w:rsidR="006A5E9B" w:rsidRPr="008A6494" w:rsidRDefault="006A5E9B" w:rsidP="006A5E9B">
            <w:pPr>
              <w:spacing w:after="80"/>
              <w:rPr>
                <w:lang w:val="cs-CZ"/>
              </w:rPr>
            </w:pPr>
            <w:r w:rsidRPr="008A6494">
              <w:rPr>
                <w:lang w:val="cs-CZ"/>
              </w:rPr>
              <w:t>Cl</w:t>
            </w:r>
            <w:r w:rsidRPr="008A6494">
              <w:rPr>
                <w:rFonts w:ascii="Cambria Math" w:hAnsi="Cambria Math" w:cs="Cambria Math"/>
                <w:lang w:val="cs-CZ"/>
              </w:rPr>
              <w:t>₂</w:t>
            </w:r>
            <w:r w:rsidRPr="008A6494">
              <w:rPr>
                <w:lang w:val="cs-CZ"/>
              </w:rPr>
              <w:t xml:space="preserve"> generated; </w:t>
            </w:r>
            <w:r w:rsidR="00B3750F">
              <w:rPr>
                <w:lang w:val="cs-CZ"/>
              </w:rPr>
              <w:t>D</w:t>
            </w:r>
            <w:r w:rsidRPr="008A6494">
              <w:rPr>
                <w:lang w:val="cs-CZ"/>
              </w:rPr>
              <w:t>WTP evacuated; no injuries</w:t>
            </w:r>
          </w:p>
        </w:tc>
      </w:tr>
      <w:tr w:rsidR="006A5E9B" w:rsidRPr="008A6494" w14:paraId="699E9FA5" w14:textId="77777777">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37B8FC86" w14:textId="77777777" w:rsidR="006A5E9B" w:rsidRPr="008A6494" w:rsidRDefault="006A5E9B" w:rsidP="006A5E9B">
            <w:pPr>
              <w:spacing w:after="80"/>
              <w:rPr>
                <w:lang w:val="cs-CZ"/>
              </w:rPr>
            </w:pPr>
            <w:r w:rsidRPr="008A6494">
              <w:rPr>
                <w:lang w:val="cs-CZ"/>
              </w:rPr>
              <w:t>02/2019</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4EBC7AF8" w14:textId="77777777" w:rsidR="006A5E9B" w:rsidRPr="008A6494" w:rsidRDefault="006A5E9B" w:rsidP="006A5E9B">
            <w:pPr>
              <w:spacing w:after="80"/>
              <w:rPr>
                <w:lang w:val="cs-CZ"/>
              </w:rPr>
            </w:pPr>
            <w:r w:rsidRPr="008A6494">
              <w:rPr>
                <w:lang w:val="cs-CZ"/>
              </w:rPr>
              <w:t>Birmingham, AL, USA</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2FC65137" w14:textId="77777777" w:rsidR="006A5E9B" w:rsidRPr="008A6494" w:rsidRDefault="006A5E9B" w:rsidP="006A5E9B">
            <w:pPr>
              <w:spacing w:after="80"/>
              <w:rPr>
                <w:lang w:val="cs-CZ"/>
              </w:rPr>
            </w:pPr>
            <w:r w:rsidRPr="008A6494">
              <w:rPr>
                <w:lang w:val="cs-CZ"/>
              </w:rPr>
              <w:t>Human error</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66266BA4" w14:textId="77777777" w:rsidR="006A5E9B" w:rsidRPr="008A6494" w:rsidRDefault="006A5E9B" w:rsidP="006A5E9B">
            <w:pPr>
              <w:spacing w:after="80"/>
              <w:rPr>
                <w:lang w:val="cs-CZ"/>
              </w:rPr>
            </w:pPr>
            <w:r w:rsidRPr="008A6494">
              <w:rPr>
                <w:lang w:val="cs-CZ"/>
              </w:rPr>
              <w:t>Inadvertent mixing of NaOCl + ferrous sulphate; toxic Cl</w:t>
            </w:r>
            <w:r w:rsidRPr="008A6494">
              <w:rPr>
                <w:rFonts w:ascii="Cambria Math" w:hAnsi="Cambria Math" w:cs="Cambria Math"/>
                <w:lang w:val="cs-CZ"/>
              </w:rPr>
              <w:t>₂</w:t>
            </w:r>
            <w:r w:rsidRPr="008A6494">
              <w:rPr>
                <w:lang w:val="cs-CZ"/>
              </w:rPr>
              <w:t xml:space="preserve"> cloud</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6AFC6969" w14:textId="77777777" w:rsidR="006A5E9B" w:rsidRPr="008A6494" w:rsidRDefault="006A5E9B" w:rsidP="006A5E9B">
            <w:pPr>
              <w:spacing w:after="80"/>
              <w:rPr>
                <w:lang w:val="cs-CZ"/>
              </w:rPr>
            </w:pPr>
            <w:r w:rsidRPr="008A6494">
              <w:rPr>
                <w:lang w:val="cs-CZ"/>
              </w:rPr>
              <w:t>Large</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7064E47E" w14:textId="77777777" w:rsidR="006A5E9B" w:rsidRPr="008A6494" w:rsidRDefault="006A5E9B" w:rsidP="006A5E9B">
            <w:pPr>
              <w:spacing w:after="80"/>
              <w:rPr>
                <w:lang w:val="cs-CZ"/>
              </w:rPr>
            </w:pPr>
            <w:r w:rsidRPr="008A6494">
              <w:rPr>
                <w:lang w:val="cs-CZ"/>
              </w:rPr>
              <w:t>55 hospitalised; highway I-280 closed for 2 h</w:t>
            </w:r>
          </w:p>
        </w:tc>
      </w:tr>
      <w:tr w:rsidR="006A5E9B" w:rsidRPr="008A6494" w14:paraId="3D3C53D2" w14:textId="77777777">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055F701C" w14:textId="77777777" w:rsidR="006A5E9B" w:rsidRPr="008A6494" w:rsidRDefault="006A5E9B" w:rsidP="006A5E9B">
            <w:pPr>
              <w:spacing w:after="80"/>
              <w:rPr>
                <w:lang w:val="cs-CZ"/>
              </w:rPr>
            </w:pPr>
            <w:r w:rsidRPr="008A6494">
              <w:rPr>
                <w:lang w:val="cs-CZ"/>
              </w:rPr>
              <w:lastRenderedPageBreak/>
              <w:t>02/2021</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395C9C9E" w14:textId="77777777" w:rsidR="006A5E9B" w:rsidRPr="008A6494" w:rsidRDefault="006A5E9B" w:rsidP="006A5E9B">
            <w:pPr>
              <w:spacing w:after="80"/>
              <w:rPr>
                <w:lang w:val="cs-CZ"/>
              </w:rPr>
            </w:pPr>
            <w:r w:rsidRPr="008A6494">
              <w:rPr>
                <w:lang w:val="cs-CZ"/>
              </w:rPr>
              <w:t>Oldsmar, FL, USA</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30F126F3" w14:textId="77777777" w:rsidR="006A5E9B" w:rsidRPr="008A6494" w:rsidRDefault="006A5E9B" w:rsidP="006A5E9B">
            <w:pPr>
              <w:spacing w:after="80"/>
              <w:rPr>
                <w:lang w:val="cs-CZ"/>
              </w:rPr>
            </w:pPr>
            <w:r w:rsidRPr="008A6494">
              <w:rPr>
                <w:lang w:val="cs-CZ"/>
              </w:rPr>
              <w:t>Human error</w:t>
            </w:r>
          </w:p>
          <w:p w14:paraId="2E70120B" w14:textId="77777777" w:rsidR="006A5E9B" w:rsidRPr="008A6494" w:rsidRDefault="006A5E9B" w:rsidP="006A5E9B">
            <w:pPr>
              <w:spacing w:after="80"/>
              <w:rPr>
                <w:lang w:val="cs-CZ"/>
              </w:rPr>
            </w:pP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1C70FAB4" w14:textId="77777777" w:rsidR="006A5E9B" w:rsidRPr="008A6494" w:rsidRDefault="006A5E9B" w:rsidP="006A5E9B">
            <w:pPr>
              <w:spacing w:after="80"/>
              <w:rPr>
                <w:lang w:val="cs-CZ"/>
              </w:rPr>
            </w:pPr>
            <w:r w:rsidRPr="008A6494">
              <w:rPr>
                <w:lang w:val="cs-CZ"/>
              </w:rPr>
              <w:t>Remote TeamViewer access; The operator incorrectly set NaOH to be 100 times higher.</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354E828A" w14:textId="77777777" w:rsidR="006A5E9B" w:rsidRPr="008A6494" w:rsidRDefault="006A5E9B" w:rsidP="006A5E9B">
            <w:pPr>
              <w:spacing w:after="80"/>
              <w:rPr>
                <w:lang w:val="cs-CZ"/>
              </w:rPr>
            </w:pPr>
            <w:r w:rsidRPr="008A6494">
              <w:rPr>
                <w:lang w:val="cs-CZ"/>
              </w:rPr>
              <w:t>Potential large</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1FF2B5FC" w14:textId="52BA994E" w:rsidR="006A5E9B" w:rsidRPr="008A6494" w:rsidRDefault="006A5E9B" w:rsidP="006A5E9B">
            <w:pPr>
              <w:spacing w:after="80"/>
              <w:rPr>
                <w:lang w:val="cs-CZ"/>
              </w:rPr>
            </w:pPr>
            <w:r w:rsidRPr="008A6494">
              <w:rPr>
                <w:lang w:val="cs-CZ"/>
              </w:rPr>
              <w:t xml:space="preserve">No casualties; </w:t>
            </w:r>
            <w:r>
              <w:t>High risk of takeover uncovered during cyberattack investigation.</w:t>
            </w:r>
          </w:p>
        </w:tc>
      </w:tr>
      <w:tr w:rsidR="006A5E9B" w:rsidRPr="008A6494" w14:paraId="35E23A5F" w14:textId="77777777">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4E687FDF" w14:textId="77777777" w:rsidR="006A5E9B" w:rsidRPr="008A6494" w:rsidRDefault="006A5E9B" w:rsidP="006A5E9B">
            <w:pPr>
              <w:spacing w:after="80"/>
              <w:rPr>
                <w:lang w:val="cs-CZ"/>
              </w:rPr>
            </w:pPr>
            <w:r w:rsidRPr="008A6494">
              <w:rPr>
                <w:lang w:val="cs-CZ"/>
              </w:rPr>
              <w:t>07/2022</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19FE6D06" w14:textId="77777777" w:rsidR="006A5E9B" w:rsidRPr="008A6494" w:rsidRDefault="006A5E9B" w:rsidP="006A5E9B">
            <w:pPr>
              <w:spacing w:after="80"/>
              <w:rPr>
                <w:lang w:val="cs-CZ"/>
              </w:rPr>
            </w:pPr>
            <w:r w:rsidRPr="008A6494">
              <w:rPr>
                <w:lang w:val="cs-CZ"/>
              </w:rPr>
              <w:t>Nasiriyah, Iraq</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50A93EF1" w14:textId="77777777" w:rsidR="006A5E9B" w:rsidRPr="008A6494" w:rsidRDefault="006A5E9B" w:rsidP="006A5E9B">
            <w:pPr>
              <w:spacing w:after="80"/>
              <w:rPr>
                <w:lang w:val="cs-CZ"/>
              </w:rPr>
            </w:pPr>
            <w:r w:rsidRPr="008A6494">
              <w:rPr>
                <w:lang w:val="cs-CZ"/>
              </w:rPr>
              <w:t>Technical failure</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07E0937F" w14:textId="77777777" w:rsidR="006A5E9B" w:rsidRPr="008A6494" w:rsidRDefault="006A5E9B" w:rsidP="006A5E9B">
            <w:pPr>
              <w:spacing w:after="80"/>
              <w:rPr>
                <w:lang w:val="cs-CZ"/>
              </w:rPr>
            </w:pPr>
            <w:r w:rsidRPr="008A6494">
              <w:rPr>
                <w:lang w:val="cs-CZ"/>
              </w:rPr>
              <w:t>Cl</w:t>
            </w:r>
            <w:r w:rsidRPr="008A6494">
              <w:rPr>
                <w:rFonts w:ascii="Cambria Math" w:hAnsi="Cambria Math" w:cs="Cambria Math"/>
                <w:lang w:val="cs-CZ"/>
              </w:rPr>
              <w:t>₂</w:t>
            </w:r>
            <w:r w:rsidRPr="008A6494">
              <w:rPr>
                <w:lang w:val="cs-CZ"/>
              </w:rPr>
              <w:t xml:space="preserve"> storage tank leak at WTP (Dhi Qar Province)</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4D8730D9" w14:textId="77777777" w:rsidR="006A5E9B" w:rsidRPr="008A6494" w:rsidRDefault="006A5E9B" w:rsidP="006A5E9B">
            <w:pPr>
              <w:spacing w:after="80"/>
              <w:rPr>
                <w:lang w:val="cs-CZ"/>
              </w:rPr>
            </w:pPr>
            <w:r w:rsidRPr="008A6494">
              <w:rPr>
                <w:lang w:val="cs-CZ"/>
              </w:rPr>
              <w:t>Large</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5669DA22" w14:textId="77777777" w:rsidR="006A5E9B" w:rsidRPr="008A6494" w:rsidRDefault="006A5E9B" w:rsidP="006A5E9B">
            <w:pPr>
              <w:spacing w:after="80"/>
              <w:rPr>
                <w:lang w:val="cs-CZ"/>
              </w:rPr>
            </w:pPr>
            <w:r w:rsidRPr="008A6494">
              <w:rPr>
                <w:lang w:val="cs-CZ"/>
              </w:rPr>
              <w:t>&gt;300 persons poisoned</w:t>
            </w:r>
          </w:p>
        </w:tc>
      </w:tr>
      <w:tr w:rsidR="006A5E9B" w:rsidRPr="008A6494" w14:paraId="4C02E1BF" w14:textId="77777777">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42E61731" w14:textId="77777777" w:rsidR="006A5E9B" w:rsidRPr="008A6494" w:rsidRDefault="006A5E9B" w:rsidP="006A5E9B">
            <w:pPr>
              <w:spacing w:after="80"/>
              <w:rPr>
                <w:lang w:val="cs-CZ"/>
              </w:rPr>
            </w:pPr>
            <w:r w:rsidRPr="008A6494">
              <w:rPr>
                <w:lang w:val="cs-CZ"/>
              </w:rPr>
              <w:t>10/2022</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101493FC" w14:textId="77777777" w:rsidR="006A5E9B" w:rsidRPr="008A6494" w:rsidRDefault="006A5E9B" w:rsidP="006A5E9B">
            <w:pPr>
              <w:spacing w:after="80"/>
              <w:rPr>
                <w:lang w:val="cs-CZ"/>
              </w:rPr>
            </w:pPr>
            <w:r w:rsidRPr="008A6494">
              <w:rPr>
                <w:lang w:val="cs-CZ"/>
              </w:rPr>
              <w:t>Bhopal, India</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007DF495" w14:textId="77777777" w:rsidR="006A5E9B" w:rsidRPr="008A6494" w:rsidRDefault="006A5E9B" w:rsidP="006A5E9B">
            <w:pPr>
              <w:spacing w:after="80"/>
              <w:rPr>
                <w:lang w:val="cs-CZ"/>
              </w:rPr>
            </w:pPr>
            <w:r w:rsidRPr="008A6494">
              <w:rPr>
                <w:lang w:val="cs-CZ"/>
              </w:rPr>
              <w:t>Technical failure</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7B1C96EC" w14:textId="77777777" w:rsidR="006A5E9B" w:rsidRPr="008A6494" w:rsidRDefault="006A5E9B" w:rsidP="006A5E9B">
            <w:pPr>
              <w:spacing w:after="80"/>
              <w:rPr>
                <w:lang w:val="cs-CZ"/>
              </w:rPr>
            </w:pPr>
            <w:r w:rsidRPr="008A6494">
              <w:rPr>
                <w:lang w:val="cs-CZ"/>
              </w:rPr>
              <w:t>Cylinder nozzle failure – approx. 900 kg Cl</w:t>
            </w:r>
            <w:r w:rsidRPr="008A6494">
              <w:rPr>
                <w:rFonts w:ascii="Cambria Math" w:hAnsi="Cambria Math" w:cs="Cambria Math"/>
                <w:lang w:val="cs-CZ"/>
              </w:rPr>
              <w:t>₂</w:t>
            </w:r>
            <w:r w:rsidRPr="008A6494">
              <w:rPr>
                <w:lang w:val="cs-CZ"/>
              </w:rPr>
              <w:t xml:space="preserve"> released; cloud formed</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12D6CEAE" w14:textId="77777777" w:rsidR="006A5E9B" w:rsidRPr="008A6494" w:rsidRDefault="006A5E9B" w:rsidP="006A5E9B">
            <w:pPr>
              <w:spacing w:after="80"/>
              <w:rPr>
                <w:lang w:val="cs-CZ"/>
              </w:rPr>
            </w:pPr>
            <w:r w:rsidRPr="008A6494">
              <w:rPr>
                <w:lang w:val="cs-CZ"/>
              </w:rPr>
              <w:t>Medium</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55C39A4A" w14:textId="77777777" w:rsidR="006A5E9B" w:rsidRPr="008A6494" w:rsidRDefault="006A5E9B" w:rsidP="006A5E9B">
            <w:pPr>
              <w:spacing w:after="80"/>
              <w:rPr>
                <w:lang w:val="cs-CZ"/>
              </w:rPr>
            </w:pPr>
            <w:r w:rsidRPr="008A6494">
              <w:rPr>
                <w:lang w:val="cs-CZ"/>
              </w:rPr>
              <w:t>15 hospitalised incl. 2 children; container submerged to stop leak</w:t>
            </w:r>
          </w:p>
        </w:tc>
      </w:tr>
      <w:tr w:rsidR="006A5E9B" w:rsidRPr="008A6494" w14:paraId="0464E95E" w14:textId="77777777">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259B4690" w14:textId="77777777" w:rsidR="006A5E9B" w:rsidRPr="008A6494" w:rsidRDefault="006A5E9B" w:rsidP="006A5E9B">
            <w:pPr>
              <w:spacing w:after="80"/>
              <w:rPr>
                <w:lang w:val="cs-CZ"/>
              </w:rPr>
            </w:pPr>
            <w:r w:rsidRPr="008A6494">
              <w:rPr>
                <w:lang w:val="cs-CZ"/>
              </w:rPr>
              <w:t>03/2025</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50EEC48C" w14:textId="77777777" w:rsidR="006A5E9B" w:rsidRPr="008A6494" w:rsidRDefault="006A5E9B" w:rsidP="006A5E9B">
            <w:pPr>
              <w:spacing w:after="80"/>
              <w:rPr>
                <w:lang w:val="cs-CZ"/>
              </w:rPr>
            </w:pPr>
            <w:r w:rsidRPr="008A6494">
              <w:rPr>
                <w:lang w:val="cs-CZ"/>
              </w:rPr>
              <w:t>Mannheim WTP, Canada</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72F71E93" w14:textId="77777777" w:rsidR="006A5E9B" w:rsidRPr="008A6494" w:rsidRDefault="006A5E9B" w:rsidP="006A5E9B">
            <w:pPr>
              <w:spacing w:after="80"/>
              <w:rPr>
                <w:lang w:val="cs-CZ"/>
              </w:rPr>
            </w:pPr>
            <w:r w:rsidRPr="008A6494">
              <w:rPr>
                <w:lang w:val="cs-CZ"/>
              </w:rPr>
              <w:t>Human error</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0D5CE6F1" w14:textId="77777777" w:rsidR="006A5E9B" w:rsidRPr="008A6494" w:rsidRDefault="006A5E9B" w:rsidP="006A5E9B">
            <w:pPr>
              <w:spacing w:after="80"/>
              <w:rPr>
                <w:lang w:val="cs-CZ"/>
              </w:rPr>
            </w:pPr>
            <w:r w:rsidRPr="008A6494">
              <w:rPr>
                <w:lang w:val="cs-CZ"/>
              </w:rPr>
              <w:t>Inexperienced strike-replacement workers during cylinder change</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401450A4" w14:textId="77777777" w:rsidR="006A5E9B" w:rsidRPr="008A6494" w:rsidRDefault="006A5E9B" w:rsidP="006A5E9B">
            <w:pPr>
              <w:spacing w:after="80"/>
              <w:rPr>
                <w:lang w:val="cs-CZ"/>
              </w:rPr>
            </w:pPr>
            <w:r w:rsidRPr="008A6494">
              <w:rPr>
                <w:lang w:val="cs-CZ"/>
              </w:rPr>
              <w:t>Small</w:t>
            </w:r>
          </w:p>
        </w:tc>
        <w:tc>
          <w:tcPr>
            <w:tcW w:w="0" w:type="auto"/>
            <w:tcBorders>
              <w:top w:val="single" w:sz="8" w:space="0" w:color="008000"/>
              <w:bottom w:val="single" w:sz="8" w:space="0" w:color="008000"/>
            </w:tcBorders>
            <w:shd w:val="clear" w:color="auto" w:fill="FFFFFF"/>
            <w:tcMar>
              <w:top w:w="60" w:type="dxa"/>
              <w:left w:w="80" w:type="dxa"/>
              <w:bottom w:w="60" w:type="dxa"/>
              <w:right w:w="80" w:type="dxa"/>
            </w:tcMar>
            <w:hideMark/>
          </w:tcPr>
          <w:p w14:paraId="66667A0B" w14:textId="77777777" w:rsidR="006A5E9B" w:rsidRPr="008A6494" w:rsidRDefault="006A5E9B" w:rsidP="006A5E9B">
            <w:pPr>
              <w:spacing w:after="80"/>
              <w:rPr>
                <w:lang w:val="cs-CZ"/>
              </w:rPr>
            </w:pPr>
            <w:r w:rsidRPr="008A6494">
              <w:rPr>
                <w:lang w:val="cs-CZ"/>
              </w:rPr>
              <w:t>Cl</w:t>
            </w:r>
            <w:r w:rsidRPr="008A6494">
              <w:rPr>
                <w:rFonts w:ascii="Cambria Math" w:hAnsi="Cambria Math" w:cs="Cambria Math"/>
                <w:lang w:val="cs-CZ"/>
              </w:rPr>
              <w:t>₂</w:t>
            </w:r>
            <w:r w:rsidRPr="008A6494">
              <w:rPr>
                <w:lang w:val="cs-CZ"/>
              </w:rPr>
              <w:t xml:space="preserve"> leak; thousands of residents at risk; no hospitalisation reported</w:t>
            </w:r>
          </w:p>
        </w:tc>
      </w:tr>
      <w:tr w:rsidR="006A5E9B" w:rsidRPr="008A6494" w14:paraId="153087D1" w14:textId="77777777">
        <w:tc>
          <w:tcPr>
            <w:tcW w:w="0" w:type="auto"/>
            <w:tcBorders>
              <w:top w:val="single" w:sz="8" w:space="0" w:color="008000"/>
              <w:bottom w:val="single" w:sz="12" w:space="0" w:color="008000"/>
            </w:tcBorders>
            <w:shd w:val="clear" w:color="auto" w:fill="FFFFFF"/>
            <w:tcMar>
              <w:top w:w="60" w:type="dxa"/>
              <w:left w:w="80" w:type="dxa"/>
              <w:bottom w:w="60" w:type="dxa"/>
              <w:right w:w="80" w:type="dxa"/>
            </w:tcMar>
            <w:hideMark/>
          </w:tcPr>
          <w:p w14:paraId="2E5967CF" w14:textId="77777777" w:rsidR="006A5E9B" w:rsidRPr="008A6494" w:rsidRDefault="006A5E9B" w:rsidP="006A5E9B">
            <w:pPr>
              <w:spacing w:after="80"/>
              <w:rPr>
                <w:lang w:val="cs-CZ"/>
              </w:rPr>
            </w:pPr>
            <w:r w:rsidRPr="008A6494">
              <w:rPr>
                <w:lang w:val="cs-CZ"/>
              </w:rPr>
              <w:t>05/2025</w:t>
            </w:r>
          </w:p>
        </w:tc>
        <w:tc>
          <w:tcPr>
            <w:tcW w:w="0" w:type="auto"/>
            <w:tcBorders>
              <w:top w:val="single" w:sz="8" w:space="0" w:color="008000"/>
              <w:bottom w:val="single" w:sz="12" w:space="0" w:color="008000"/>
            </w:tcBorders>
            <w:shd w:val="clear" w:color="auto" w:fill="FFFFFF"/>
            <w:tcMar>
              <w:top w:w="60" w:type="dxa"/>
              <w:left w:w="80" w:type="dxa"/>
              <w:bottom w:w="60" w:type="dxa"/>
              <w:right w:w="80" w:type="dxa"/>
            </w:tcMar>
            <w:hideMark/>
          </w:tcPr>
          <w:p w14:paraId="36F02D91" w14:textId="77777777" w:rsidR="006A5E9B" w:rsidRPr="008A6494" w:rsidRDefault="006A5E9B" w:rsidP="006A5E9B">
            <w:pPr>
              <w:spacing w:after="80"/>
              <w:rPr>
                <w:lang w:val="cs-CZ"/>
              </w:rPr>
            </w:pPr>
            <w:r w:rsidRPr="008A6494">
              <w:rPr>
                <w:lang w:val="cs-CZ"/>
              </w:rPr>
              <w:t>Allouez, WI, USA</w:t>
            </w:r>
          </w:p>
        </w:tc>
        <w:tc>
          <w:tcPr>
            <w:tcW w:w="0" w:type="auto"/>
            <w:tcBorders>
              <w:top w:val="single" w:sz="8" w:space="0" w:color="008000"/>
              <w:bottom w:val="single" w:sz="12" w:space="0" w:color="008000"/>
            </w:tcBorders>
            <w:shd w:val="clear" w:color="auto" w:fill="FFFFFF"/>
            <w:tcMar>
              <w:top w:w="60" w:type="dxa"/>
              <w:left w:w="80" w:type="dxa"/>
              <w:bottom w:w="60" w:type="dxa"/>
              <w:right w:w="80" w:type="dxa"/>
            </w:tcMar>
            <w:hideMark/>
          </w:tcPr>
          <w:p w14:paraId="3710E473" w14:textId="77777777" w:rsidR="006A5E9B" w:rsidRPr="008A6494" w:rsidRDefault="006A5E9B" w:rsidP="006A5E9B">
            <w:pPr>
              <w:spacing w:after="80"/>
              <w:rPr>
                <w:lang w:val="cs-CZ"/>
              </w:rPr>
            </w:pPr>
            <w:r w:rsidRPr="008A6494">
              <w:rPr>
                <w:lang w:val="cs-CZ"/>
              </w:rPr>
              <w:t>Technical failure</w:t>
            </w:r>
          </w:p>
        </w:tc>
        <w:tc>
          <w:tcPr>
            <w:tcW w:w="0" w:type="auto"/>
            <w:tcBorders>
              <w:top w:val="single" w:sz="8" w:space="0" w:color="008000"/>
              <w:bottom w:val="single" w:sz="12" w:space="0" w:color="008000"/>
            </w:tcBorders>
            <w:shd w:val="clear" w:color="auto" w:fill="FFFFFF"/>
            <w:tcMar>
              <w:top w:w="60" w:type="dxa"/>
              <w:left w:w="80" w:type="dxa"/>
              <w:bottom w:w="60" w:type="dxa"/>
              <w:right w:w="80" w:type="dxa"/>
            </w:tcMar>
            <w:hideMark/>
          </w:tcPr>
          <w:p w14:paraId="1E18E247" w14:textId="77777777" w:rsidR="006A5E9B" w:rsidRPr="008A6494" w:rsidRDefault="006A5E9B" w:rsidP="006A5E9B">
            <w:pPr>
              <w:spacing w:after="80"/>
              <w:rPr>
                <w:lang w:val="cs-CZ"/>
              </w:rPr>
            </w:pPr>
            <w:r w:rsidRPr="008A6494">
              <w:rPr>
                <w:lang w:val="cs-CZ"/>
              </w:rPr>
              <w:t>Valve failure on 50 kg cylinder; leak confined indoors</w:t>
            </w:r>
          </w:p>
        </w:tc>
        <w:tc>
          <w:tcPr>
            <w:tcW w:w="0" w:type="auto"/>
            <w:tcBorders>
              <w:top w:val="single" w:sz="8" w:space="0" w:color="008000"/>
              <w:bottom w:val="single" w:sz="12" w:space="0" w:color="008000"/>
            </w:tcBorders>
            <w:shd w:val="clear" w:color="auto" w:fill="FFFFFF"/>
            <w:tcMar>
              <w:top w:w="60" w:type="dxa"/>
              <w:left w:w="80" w:type="dxa"/>
              <w:bottom w:w="60" w:type="dxa"/>
              <w:right w:w="80" w:type="dxa"/>
            </w:tcMar>
            <w:hideMark/>
          </w:tcPr>
          <w:p w14:paraId="3BAD70BF" w14:textId="77777777" w:rsidR="006A5E9B" w:rsidRPr="008A6494" w:rsidRDefault="006A5E9B" w:rsidP="006A5E9B">
            <w:pPr>
              <w:spacing w:after="80"/>
              <w:rPr>
                <w:lang w:val="cs-CZ"/>
              </w:rPr>
            </w:pPr>
            <w:r w:rsidRPr="008A6494">
              <w:rPr>
                <w:lang w:val="cs-CZ"/>
              </w:rPr>
              <w:t>Small</w:t>
            </w:r>
          </w:p>
        </w:tc>
        <w:tc>
          <w:tcPr>
            <w:tcW w:w="0" w:type="auto"/>
            <w:tcBorders>
              <w:top w:val="single" w:sz="8" w:space="0" w:color="008000"/>
              <w:bottom w:val="single" w:sz="12" w:space="0" w:color="008000"/>
            </w:tcBorders>
            <w:shd w:val="clear" w:color="auto" w:fill="FFFFFF"/>
            <w:tcMar>
              <w:top w:w="60" w:type="dxa"/>
              <w:left w:w="80" w:type="dxa"/>
              <w:bottom w:w="60" w:type="dxa"/>
              <w:right w:w="80" w:type="dxa"/>
            </w:tcMar>
            <w:hideMark/>
          </w:tcPr>
          <w:p w14:paraId="07CB16A6" w14:textId="77777777" w:rsidR="006A5E9B" w:rsidRPr="008A6494" w:rsidRDefault="006A5E9B" w:rsidP="006A5E9B">
            <w:pPr>
              <w:spacing w:after="80"/>
              <w:rPr>
                <w:lang w:val="cs-CZ"/>
              </w:rPr>
            </w:pPr>
            <w:r w:rsidRPr="008A6494">
              <w:rPr>
                <w:lang w:val="cs-CZ"/>
              </w:rPr>
              <w:t>Localised indoor release; no public impact reported</w:t>
            </w:r>
          </w:p>
        </w:tc>
      </w:tr>
    </w:tbl>
    <w:p w14:paraId="01D72888" w14:textId="77777777" w:rsidR="008A6494" w:rsidRPr="008A6494" w:rsidRDefault="008A6494" w:rsidP="008A6494">
      <w:pPr>
        <w:spacing w:after="80"/>
        <w:rPr>
          <w:lang w:val="cs-CZ"/>
        </w:rPr>
      </w:pPr>
    </w:p>
    <w:p w14:paraId="035EC0F7" w14:textId="77777777" w:rsidR="00EB60B9" w:rsidRPr="00C80551" w:rsidRDefault="00000000">
      <w:pPr>
        <w:spacing w:after="80"/>
      </w:pPr>
      <w:r w:rsidRPr="00C80551">
        <w:rPr>
          <w:rFonts w:eastAsia="Times New Roman"/>
        </w:rPr>
        <w:t>Of the 15 incidents, 9 (60 %) were initiated by technical failures of pressure equipment, 6 (40 %) by human error or procedural violations. In one case (2021 Oldsmar), a cyberattack was investigated. Although it was ultimately ruled out, a high risk of potential takeover was identified due to unsecured internet access to computer technology and a shared password for all computers, including the TeamViewer application.  Four incidents were classified as large-scale</w:t>
      </w:r>
      <w:r w:rsidRPr="00C80551">
        <w:rPr>
          <w:rFonts w:eastAsia="Times New Roman"/>
          <w:color w:val="FF0000"/>
        </w:rPr>
        <w:t xml:space="preserve">: </w:t>
      </w:r>
      <w:r w:rsidRPr="00C80551">
        <w:rPr>
          <w:rFonts w:eastAsia="Times New Roman"/>
        </w:rPr>
        <w:t>the Vítkov-Podhradí cascade event (2009) with three  successive releases and the evacuation of an entire hamlet; the Jos, Nigeria cylinder explosion (2015) with 8 fatalities and more than 100 hospitalised; the Birmingham, Alabama chemical mixing event (2019) with 55 hospitalisations; and the Nasiriyah, Iraq tank leak (2022) with more than 300 persons poisoned. No catastrophic failure of a major storage tank was recorded within this dataset; the most severe outcomes were associated with cylinder explosions, inadvertent chemical mixing, or large releases from tanks at facilities lacking adequate containment and emergency response capacity.</w:t>
      </w:r>
    </w:p>
    <w:p w14:paraId="651D8152" w14:textId="38107935" w:rsidR="00EB60B9" w:rsidRPr="00C80551" w:rsidRDefault="00000000">
      <w:pPr>
        <w:spacing w:after="80"/>
        <w:rPr>
          <w:rFonts w:eastAsia="Times New Roman"/>
          <w:color w:val="FF0000"/>
        </w:rPr>
      </w:pPr>
      <w:r w:rsidRPr="00C80551">
        <w:rPr>
          <w:rFonts w:eastAsia="Times New Roman"/>
        </w:rPr>
        <w:t>Among technical failures, corrosion of valves, fusible plugs, or transfer connections was the dominant causal mechanism, consistent with findings reported by (Gangopadhyay et al., 2005</w:t>
      </w:r>
      <w:r w:rsidR="00BD0331">
        <w:rPr>
          <w:rFonts w:eastAsia="Times New Roman"/>
        </w:rPr>
        <w:t>) or (</w:t>
      </w:r>
      <w:r w:rsidR="00BD0331">
        <w:rPr>
          <w:color w:val="000000"/>
        </w:rPr>
        <w:t>Gyenes Z., Heraty Wood M., 2016</w:t>
      </w:r>
      <w:r w:rsidRPr="00C80551">
        <w:rPr>
          <w:rFonts w:eastAsia="Times New Roman"/>
        </w:rPr>
        <w:t>) and with the material science basis documented by (Euro Chlor, 2022). The Norton, Kansas (2016) event illustrates how a secondary environmental factor – a faulty heater – can cause a fusible plug to melt and release an entire cylinder inventory, independently of the primary chlorine handling process. The accidents in Nová Bystrica (2006) and Vítkov-Podhradí (2009) in Central Europe are significant because in both cases there was an uncontrolled reaction between sodium hypochlorite, a precursor used in the production of chlorine dioxide on site, and an incompatible chemical. This combination can very quickly produce large amounts of chlorine or chlorine dioxide, which in enclosed spaces can rapidly exceed the capacity of the room/building. The Vítkov-Podhradí accident is a classic cascade accident: the initial reaction was not fully neutralized, intermediates accumulated in the sump and drainage system, and reactivation occurred over the next two days during remediation work. (</w:t>
      </w:r>
      <w:r w:rsidRPr="00C80551">
        <w:t>Kukuczka et al., 2025) identified inadvertent chemical mixing as a recurring pattern across ARIA and eMARS records, predominantly attributable to absence of physical interlocks (poka-yoke measures) and to organizational failures during chemical deliveries.</w:t>
      </w:r>
    </w:p>
    <w:p w14:paraId="37F70C78" w14:textId="589375E1" w:rsidR="00EB60B9" w:rsidRDefault="00000000">
      <w:pPr>
        <w:pBdr>
          <w:top w:val="nil"/>
          <w:left w:val="nil"/>
          <w:bottom w:val="nil"/>
          <w:right w:val="nil"/>
          <w:between w:val="nil"/>
        </w:pBdr>
        <w:rPr>
          <w:color w:val="000000"/>
        </w:rPr>
      </w:pPr>
      <w:r>
        <w:t xml:space="preserve">The Oldsmar, Florida incident (2021) represents a qualitatively different category. During the investigation of a possible cyberattack, it was discovered that it was possible easily penetrate the water treatment plant's control systems and gain remote access via the TeamViewer application, with the ability to increase the concentration of sodium hydroxide dosing to a level that would result in a harmful chemical composition of the water. Although this event did not directly involve gaseous chlorine, it demonstrates the emerging vulnerability of </w:t>
      </w:r>
      <w:r w:rsidR="001559DF">
        <w:t>D</w:t>
      </w:r>
      <w:r>
        <w:t xml:space="preserve">WTP chemical dosing systems to cyberattacks as a pathway to either mass contamination or, in scenarios involving on-line chlorine gas dosing, to a forced over-release. </w:t>
      </w:r>
      <w:r>
        <w:rPr>
          <w:color w:val="000000"/>
        </w:rPr>
        <w:t xml:space="preserve">The Mannheim </w:t>
      </w:r>
      <w:r w:rsidR="001559DF">
        <w:rPr>
          <w:color w:val="000000"/>
        </w:rPr>
        <w:t>D</w:t>
      </w:r>
      <w:r>
        <w:rPr>
          <w:color w:val="000000"/>
        </w:rPr>
        <w:t xml:space="preserve">WTP (2025) event illustrates a further dimension of human factor risk: replacement workers without task-specific training performed cylinder change-out operations during a labor dispute, generating a chlorine release that placed thousands of residents at risk. This </w:t>
      </w:r>
      <w:r>
        <w:rPr>
          <w:color w:val="000000"/>
        </w:rPr>
        <w:lastRenderedPageBreak/>
        <w:t>incident underlines that competency requirements must be explicitly defined for all personnel undertaking safety-critical tasks, regardless of employment status.</w:t>
      </w:r>
    </w:p>
    <w:p w14:paraId="6D245AC8" w14:textId="4C449274" w:rsidR="0081091A" w:rsidRDefault="00000000" w:rsidP="0081091A">
      <w:pPr>
        <w:pStyle w:val="Odstavecseseznamem"/>
        <w:keepNext/>
        <w:numPr>
          <w:ilvl w:val="0"/>
          <w:numId w:val="3"/>
        </w:numPr>
        <w:pBdr>
          <w:top w:val="nil"/>
          <w:left w:val="nil"/>
          <w:bottom w:val="nil"/>
          <w:right w:val="nil"/>
          <w:between w:val="nil"/>
        </w:pBdr>
        <w:spacing w:before="240" w:after="120" w:line="240" w:lineRule="auto"/>
        <w:jc w:val="left"/>
      </w:pPr>
      <w:r w:rsidRPr="0081091A">
        <w:rPr>
          <w:b/>
          <w:bCs/>
          <w:color w:val="000000"/>
          <w:sz w:val="20"/>
          <w:szCs w:val="20"/>
        </w:rPr>
        <w:t>Discussion and safety recommendations</w:t>
      </w:r>
    </w:p>
    <w:p w14:paraId="4ECF4302" w14:textId="77777777" w:rsidR="00EB60B9" w:rsidRDefault="00000000">
      <w:pPr>
        <w:pBdr>
          <w:top w:val="nil"/>
          <w:left w:val="nil"/>
          <w:bottom w:val="nil"/>
          <w:right w:val="nil"/>
          <w:between w:val="nil"/>
        </w:pBdr>
        <w:rPr>
          <w:color w:val="000000"/>
        </w:rPr>
      </w:pPr>
      <w:r>
        <w:rPr>
          <w:color w:val="000000"/>
        </w:rPr>
        <w:t>The analysis identifies three principal causal patterns that safety measures should address: (a) progressive equipment degradation through corrosion; (b) human error during chemical handling and maintenance; and (c) insufficient barriers at the system level. The following recommendations are organized according to the hierarchy of controls, progressing from engineering measures to administrative controls.</w:t>
      </w:r>
    </w:p>
    <w:p w14:paraId="190C5699" w14:textId="7D3E582C" w:rsidR="000C0DC1" w:rsidRDefault="00000000" w:rsidP="000C0DC1">
      <w:pPr>
        <w:pStyle w:val="Odstavecseseznamem"/>
        <w:keepNext/>
        <w:numPr>
          <w:ilvl w:val="1"/>
          <w:numId w:val="10"/>
        </w:numPr>
        <w:pBdr>
          <w:top w:val="nil"/>
          <w:left w:val="nil"/>
          <w:bottom w:val="nil"/>
          <w:right w:val="nil"/>
          <w:between w:val="nil"/>
        </w:pBdr>
        <w:spacing w:before="120" w:after="120" w:line="240" w:lineRule="auto"/>
        <w:jc w:val="left"/>
      </w:pPr>
      <w:r w:rsidRPr="000C0DC1">
        <w:rPr>
          <w:b/>
          <w:bCs/>
          <w:color w:val="000000"/>
        </w:rPr>
        <w:t>Engineering measures</w:t>
      </w:r>
    </w:p>
    <w:p w14:paraId="46218571" w14:textId="7165B2C6" w:rsidR="00EB60B9" w:rsidRDefault="00000000">
      <w:pPr>
        <w:pBdr>
          <w:top w:val="nil"/>
          <w:left w:val="nil"/>
          <w:bottom w:val="nil"/>
          <w:right w:val="nil"/>
          <w:between w:val="nil"/>
        </w:pBdr>
        <w:rPr>
          <w:color w:val="000000"/>
        </w:rPr>
      </w:pPr>
      <w:r>
        <w:rPr>
          <w:color w:val="000000"/>
        </w:rPr>
        <w:t xml:space="preserve">Fixed electrochemical gas detection systems should be installed in all enclosed chlorine storage and handling areas, with alarm set points calibrated to AEGL-1 or the occupational TLV, and with automatic notification to emergency responders. (Soltanzadeh et al., 2022) found that 82 % of workers in chlorine-exposed </w:t>
      </w:r>
      <w:r w:rsidR="00BA5891">
        <w:rPr>
          <w:color w:val="000000"/>
        </w:rPr>
        <w:t>D</w:t>
      </w:r>
      <w:r>
        <w:rPr>
          <w:color w:val="000000"/>
        </w:rPr>
        <w:t>WTP facilities reported respiratory symptoms attributable to chronic low-level exposure, suggesting that detection is systematically inadequate. Emergency scrubbing systems based on sodium hydroxide absorption, as specified by the (Chlorine Institute, 2006) in Pamphlet 89, should be considered for any facility storing more than one ton of chlorine. Water curtain and spray systems provide supplementary mitigation of external cloud propagation, though their effectiveness depends heavily on proper hydraulic design and the degree of confinement (Buchlin, 2017). The elimination of sources of ignition and heat near cylinder storage areas – as the Norton, Kansas event demonstrates – must be addressed through engineering design, not only through procedural controls.</w:t>
      </w:r>
    </w:p>
    <w:p w14:paraId="0F091147" w14:textId="77777777" w:rsidR="00EB60B9" w:rsidRDefault="00000000">
      <w:pPr>
        <w:pBdr>
          <w:top w:val="nil"/>
          <w:left w:val="nil"/>
          <w:bottom w:val="nil"/>
          <w:right w:val="nil"/>
          <w:between w:val="nil"/>
        </w:pBdr>
        <w:rPr>
          <w:color w:val="000000"/>
        </w:rPr>
      </w:pPr>
      <w:r>
        <w:rPr>
          <w:color w:val="000000"/>
        </w:rPr>
        <w:t>The material compatibility of all components in contact with chlorine must be rigorously specified and verified. The DPC Enterprises Festus incident (Joseph, 2004) demonstrated that visually identical materials with different alloy compositions can be installed incorrectly; this risk is managed through color-coding, dedicated tooling, and a double-check procedure before commissioning any connection. Inspection and maintenance programs for valves, gaskets, and piping should be based on corrosion rate data and condition monitoring rather than time-based schedules alone, following guidance in (Euro Chlor, 2022) and in (Chlorine Institute, 2020).</w:t>
      </w:r>
    </w:p>
    <w:p w14:paraId="69E88EC2" w14:textId="5DB1A407" w:rsidR="00EB60B9" w:rsidRDefault="00000000" w:rsidP="000C0DC1">
      <w:pPr>
        <w:pStyle w:val="Odstavecseseznamem"/>
        <w:keepNext/>
        <w:numPr>
          <w:ilvl w:val="1"/>
          <w:numId w:val="10"/>
        </w:numPr>
        <w:pBdr>
          <w:top w:val="nil"/>
          <w:left w:val="nil"/>
          <w:bottom w:val="nil"/>
          <w:right w:val="nil"/>
          <w:between w:val="nil"/>
        </w:pBdr>
        <w:spacing w:before="120" w:after="120" w:line="240" w:lineRule="auto"/>
        <w:jc w:val="left"/>
      </w:pPr>
      <w:r w:rsidRPr="000C0DC1">
        <w:rPr>
          <w:b/>
          <w:bCs/>
          <w:color w:val="000000"/>
        </w:rPr>
        <w:t>Risk assessment of operating procedures</w:t>
      </w:r>
    </w:p>
    <w:p w14:paraId="19B98AA3" w14:textId="1D6EDA72" w:rsidR="00EB60B9" w:rsidRDefault="00000000">
      <w:pPr>
        <w:pBdr>
          <w:top w:val="nil"/>
          <w:left w:val="nil"/>
          <w:bottom w:val="nil"/>
          <w:right w:val="nil"/>
          <w:between w:val="nil"/>
        </w:pBdr>
        <w:rPr>
          <w:color w:val="000000"/>
        </w:rPr>
      </w:pPr>
      <w:r>
        <w:rPr>
          <w:color w:val="000000"/>
        </w:rPr>
        <w:t xml:space="preserve">HAZOP (Hazard and Operability Study) analysis of chlorine handling procedures is recommended as a structured method for identifying deviations from design intent that can lead to releases. (Mohammadfam et al., 2012) compared HAZOP and ETBA methodologies for a </w:t>
      </w:r>
      <w:r w:rsidR="001559DF">
        <w:rPr>
          <w:color w:val="000000"/>
        </w:rPr>
        <w:t>D</w:t>
      </w:r>
      <w:r>
        <w:rPr>
          <w:color w:val="000000"/>
        </w:rPr>
        <w:t xml:space="preserve">WTP chlorination unit in Tehran and demonstrated that both methods identify complementary sets of hazards. </w:t>
      </w:r>
      <w:r w:rsidR="00B267D2" w:rsidRPr="00B267D2">
        <w:rPr>
          <w:color w:val="000000"/>
          <w:lang w:val="cs-CZ"/>
        </w:rPr>
        <w:t>(Abu Bakar et al., 2017)</w:t>
      </w:r>
      <w:r w:rsidR="00B267D2">
        <w:rPr>
          <w:color w:val="000000"/>
          <w:lang w:val="cs-CZ"/>
        </w:rPr>
        <w:t xml:space="preserve"> based on 770 cases from online </w:t>
      </w:r>
      <w:r w:rsidR="00B267D2" w:rsidRPr="00B267D2">
        <w:rPr>
          <w:color w:val="000000"/>
          <w:lang w:val="cs-CZ"/>
        </w:rPr>
        <w:t xml:space="preserve">database such as </w:t>
      </w:r>
      <w:r w:rsidR="00B267D2">
        <w:rPr>
          <w:color w:val="000000"/>
          <w:lang w:val="cs-CZ"/>
        </w:rPr>
        <w:t xml:space="preserve">the </w:t>
      </w:r>
      <w:r w:rsidR="00B267D2" w:rsidRPr="00B267D2">
        <w:rPr>
          <w:color w:val="000000"/>
          <w:lang w:val="cs-CZ"/>
        </w:rPr>
        <w:t>US Chemical Safety and Hazard</w:t>
      </w:r>
      <w:r w:rsidR="00B267D2">
        <w:rPr>
          <w:color w:val="000000"/>
          <w:lang w:val="cs-CZ"/>
        </w:rPr>
        <w:t xml:space="preserve"> </w:t>
      </w:r>
      <w:r w:rsidR="00B267D2" w:rsidRPr="00B267D2">
        <w:rPr>
          <w:color w:val="000000"/>
          <w:lang w:val="cs-CZ"/>
        </w:rPr>
        <w:t>Investigation Board (CSB-US), European Major Accident Reporting System (EMARS), Failure Knowledge</w:t>
      </w:r>
      <w:r w:rsidR="00B267D2">
        <w:rPr>
          <w:color w:val="000000"/>
          <w:lang w:val="cs-CZ"/>
        </w:rPr>
        <w:t xml:space="preserve"> </w:t>
      </w:r>
      <w:r w:rsidR="00B267D2" w:rsidRPr="00B267D2">
        <w:rPr>
          <w:color w:val="000000"/>
          <w:lang w:val="cs-CZ"/>
        </w:rPr>
        <w:t>Database (FKD-Japan) and Accident Reporting Information Analysis (ARIA)</w:t>
      </w:r>
      <w:r w:rsidR="00B267D2">
        <w:rPr>
          <w:color w:val="000000"/>
          <w:lang w:val="cs-CZ"/>
        </w:rPr>
        <w:t xml:space="preserve"> and later </w:t>
      </w:r>
      <w:r>
        <w:rPr>
          <w:color w:val="000000"/>
        </w:rPr>
        <w:t xml:space="preserve">(Yang et al., 2022) using eMARS data, </w:t>
      </w:r>
      <w:r w:rsidR="00B267D2">
        <w:rPr>
          <w:color w:val="000000"/>
        </w:rPr>
        <w:t xml:space="preserve">demonstrated </w:t>
      </w:r>
      <w:r>
        <w:rPr>
          <w:color w:val="000000"/>
        </w:rPr>
        <w:t xml:space="preserve">that the most frequently deficient process safety management elements are process hazard analysis, operating procedures, and training – precisely the areas </w:t>
      </w:r>
      <w:r w:rsidR="00B267D2">
        <w:rPr>
          <w:color w:val="000000"/>
        </w:rPr>
        <w:t xml:space="preserve">targeted by </w:t>
      </w:r>
      <w:r>
        <w:rPr>
          <w:color w:val="000000"/>
        </w:rPr>
        <w:t>structured HAZOP and LOPA programs.</w:t>
      </w:r>
    </w:p>
    <w:p w14:paraId="61E32DF8" w14:textId="51565EAB" w:rsidR="002671C7" w:rsidRDefault="002671C7">
      <w:pPr>
        <w:pBdr>
          <w:top w:val="nil"/>
          <w:left w:val="nil"/>
          <w:bottom w:val="nil"/>
          <w:right w:val="nil"/>
          <w:between w:val="nil"/>
        </w:pBdr>
        <w:rPr>
          <w:color w:val="000000"/>
        </w:rPr>
      </w:pPr>
      <w:r>
        <w:rPr>
          <w:color w:val="000000"/>
        </w:rPr>
        <w:t>O</w:t>
      </w:r>
      <w:r w:rsidRPr="002671C7">
        <w:rPr>
          <w:color w:val="000000"/>
        </w:rPr>
        <w:t>n the other hand, (Fabiano et al., 2021), highlights the issue of inspector training, the diversity of their approaches and procedures, and their general ability to assess risks</w:t>
      </w:r>
      <w:r>
        <w:rPr>
          <w:color w:val="000000"/>
        </w:rPr>
        <w:t>.</w:t>
      </w:r>
    </w:p>
    <w:p w14:paraId="7E0840BD" w14:textId="1948631A" w:rsidR="00EB60B9" w:rsidRDefault="00000000">
      <w:pPr>
        <w:pBdr>
          <w:top w:val="nil"/>
          <w:left w:val="nil"/>
          <w:bottom w:val="nil"/>
          <w:right w:val="nil"/>
          <w:between w:val="nil"/>
        </w:pBdr>
        <w:rPr>
          <w:color w:val="000000"/>
        </w:rPr>
      </w:pPr>
      <w:r>
        <w:rPr>
          <w:color w:val="000000"/>
        </w:rPr>
        <w:t xml:space="preserve">Procedures for cylinder and drum replacement must include mandatory double-person verification, written work permits, pre-connection leak testing with ammonia vapor or a suitable indicator, and a check of environmental conditions (temperature, ventilation). The Mannheim </w:t>
      </w:r>
      <w:r w:rsidR="001559DF">
        <w:rPr>
          <w:color w:val="000000"/>
        </w:rPr>
        <w:t>D</w:t>
      </w:r>
      <w:r>
        <w:rPr>
          <w:color w:val="000000"/>
        </w:rPr>
        <w:t>WTP incident highlights that these procedures must also address the competency requirements for personnel performing the work, and that contractors or replacement workers must receive task-specific training before undertaking cylinder change-out operations.</w:t>
      </w:r>
    </w:p>
    <w:p w14:paraId="1DA89556" w14:textId="52E3AB4D" w:rsidR="00EB60B9" w:rsidRPr="000C0DC1" w:rsidRDefault="00000000" w:rsidP="000C0DC1">
      <w:pPr>
        <w:pStyle w:val="Odstavecseseznamem"/>
        <w:keepNext/>
        <w:numPr>
          <w:ilvl w:val="1"/>
          <w:numId w:val="10"/>
        </w:numPr>
        <w:pBdr>
          <w:top w:val="nil"/>
          <w:left w:val="nil"/>
          <w:bottom w:val="nil"/>
          <w:right w:val="nil"/>
          <w:between w:val="nil"/>
        </w:pBdr>
        <w:spacing w:before="120" w:after="120" w:line="240" w:lineRule="auto"/>
        <w:jc w:val="left"/>
        <w:rPr>
          <w:b/>
          <w:bCs/>
          <w:color w:val="000000"/>
        </w:rPr>
      </w:pPr>
      <w:r w:rsidRPr="000C0DC1">
        <w:rPr>
          <w:b/>
          <w:bCs/>
          <w:color w:val="000000"/>
        </w:rPr>
        <w:t>Inherent safety in the design and life cycle of water treatment plants</w:t>
      </w:r>
      <w:r w:rsidR="0081091A" w:rsidRPr="000C0DC1">
        <w:rPr>
          <w:b/>
          <w:bCs/>
          <w:color w:val="000000"/>
        </w:rPr>
        <w:t xml:space="preserve"> </w:t>
      </w:r>
    </w:p>
    <w:p w14:paraId="6775D5B0" w14:textId="090EABB9" w:rsidR="00EB60B9" w:rsidRPr="00C80551" w:rsidRDefault="00000000">
      <w:pPr>
        <w:spacing w:after="80"/>
      </w:pPr>
      <w:r w:rsidRPr="00C80551">
        <w:rPr>
          <w:rFonts w:eastAsia="Times New Roman"/>
        </w:rPr>
        <w:t xml:space="preserve">The concept of inherent safety proposes that hazards should be eliminated or reduced at source through design choices rather than managed through added protective systems. The four principal strategies – substitution, intensification, attenuation, and simplification – are directly applicable to </w:t>
      </w:r>
      <w:r w:rsidR="001559DF">
        <w:rPr>
          <w:rFonts w:eastAsia="Times New Roman"/>
        </w:rPr>
        <w:t>D</w:t>
      </w:r>
      <w:r w:rsidRPr="00C80551">
        <w:rPr>
          <w:rFonts w:eastAsia="Times New Roman"/>
        </w:rPr>
        <w:t>WTP chlorine systems and should be considered at every stage of the plant life cycle.</w:t>
      </w:r>
    </w:p>
    <w:p w14:paraId="2E93ABC9" w14:textId="77777777" w:rsidR="00EB60B9" w:rsidRPr="00C80551" w:rsidRDefault="00000000">
      <w:pPr>
        <w:spacing w:after="80"/>
      </w:pPr>
      <w:r w:rsidRPr="00C80551">
        <w:rPr>
          <w:rFonts w:eastAsia="Times New Roman"/>
        </w:rPr>
        <w:t>Substitution of gaseous chlorine with alternatives such as sodium hypochlorite, ultraviolet irradiation, or on-site electrolytic generation eliminates the hazard of pressurised toxic gas storage entirely, at the cost of operational complexity or reduced disinfection residual. (Li and Wang, 2020) developed a systematic inherent safety metric and applied it to a chlorine liquefaction process, demonstrating quantifiable risk reduction from design-stage substitution. For large facilities where gaseous chlorine is retained for economic reasons, reduction of the on-site inventory to the minimum operationally necessary quantity is an application of the intensification strategy. The Chlorine Institute recommends limiting the number of connected cylinders and maintaining a managed delivery schedule rather than holding large buffer stocks.</w:t>
      </w:r>
    </w:p>
    <w:p w14:paraId="7232189B" w14:textId="5C57B240" w:rsidR="00EB60B9" w:rsidRDefault="00000000" w:rsidP="000C0DC1">
      <w:pPr>
        <w:pStyle w:val="Odstavecseseznamem"/>
        <w:keepNext/>
        <w:numPr>
          <w:ilvl w:val="0"/>
          <w:numId w:val="3"/>
        </w:numPr>
        <w:pBdr>
          <w:top w:val="nil"/>
          <w:left w:val="nil"/>
          <w:bottom w:val="nil"/>
          <w:right w:val="nil"/>
          <w:between w:val="nil"/>
        </w:pBdr>
        <w:spacing w:before="240" w:after="120" w:line="240" w:lineRule="auto"/>
        <w:jc w:val="left"/>
      </w:pPr>
      <w:r w:rsidRPr="000C0DC1">
        <w:rPr>
          <w:b/>
          <w:bCs/>
          <w:color w:val="000000"/>
          <w:sz w:val="20"/>
          <w:szCs w:val="20"/>
        </w:rPr>
        <w:lastRenderedPageBreak/>
        <w:t>Conclusions</w:t>
      </w:r>
    </w:p>
    <w:p w14:paraId="06E6E34E" w14:textId="77777777" w:rsidR="00EB60B9" w:rsidRPr="00C80551" w:rsidRDefault="00000000">
      <w:pPr>
        <w:spacing w:after="80"/>
      </w:pPr>
      <w:r w:rsidRPr="00C80551">
        <w:rPr>
          <w:rFonts w:eastAsia="Times New Roman"/>
        </w:rPr>
        <w:t>The analysis of 15 documented chlorine-related incidents at water treatment plants between 2005 and 2025 reveals that: (I) technical failures, principally corrosion and material incompatibility of pressure equipment, are the most frequent initiating event category (60 %); (II) human error in chemical handling and maintenance operations, including inadvertent mixing of incompatible dosing chemicals, accounts for approximately 40 % of incidents; (III) catastrophic failure of major storage vessels is rare, but small and medium-scale cylinder, drum, and dosing-system leaks occur with sufficient frequency to cause repeated casualties and environmental damage; and (IV) cascade accidents involving reactive intermediates in drainage and containment systems – exemplified by the Vítkov-Podhradí event – represent an underappreciated failure mode that demands specific attention during both hazard assessment and remediation planning; (V) emerging threats such as cyberattacks on water infrastructure control systems constitute a qualitatively new risk pathway that current process safety frameworks do not fully address.</w:t>
      </w:r>
    </w:p>
    <w:p w14:paraId="62AAD783" w14:textId="77777777" w:rsidR="00EB60B9" w:rsidRPr="00C80551" w:rsidRDefault="00000000">
      <w:pPr>
        <w:pBdr>
          <w:top w:val="nil"/>
          <w:left w:val="nil"/>
          <w:bottom w:val="nil"/>
          <w:right w:val="nil"/>
          <w:between w:val="nil"/>
        </w:pBdr>
        <w:spacing w:before="200" w:after="120" w:line="276" w:lineRule="auto"/>
        <w:jc w:val="left"/>
        <w:rPr>
          <w:b/>
          <w:bCs/>
          <w:color w:val="000000"/>
        </w:rPr>
      </w:pPr>
      <w:r w:rsidRPr="00C80551">
        <w:rPr>
          <w:b/>
          <w:bCs/>
          <w:color w:val="000000"/>
        </w:rPr>
        <w:t>Acknowledgements</w:t>
      </w:r>
    </w:p>
    <w:p w14:paraId="4F1AB4ED" w14:textId="77777777" w:rsidR="00EB60B9" w:rsidRPr="00C80551" w:rsidRDefault="00000000">
      <w:pPr>
        <w:pBdr>
          <w:top w:val="nil"/>
          <w:left w:val="nil"/>
          <w:bottom w:val="nil"/>
          <w:right w:val="nil"/>
          <w:between w:val="nil"/>
        </w:pBdr>
        <w:rPr>
          <w:color w:val="000000"/>
        </w:rPr>
      </w:pPr>
      <w:r w:rsidRPr="00C80551">
        <w:rPr>
          <w:color w:val="000000"/>
        </w:rPr>
        <w:t>Financial support from the project: TACR SS07010163, SAFE-AGEING: Methodology for the Ageing Audit of</w:t>
      </w:r>
    </w:p>
    <w:p w14:paraId="4E9BB6FF" w14:textId="77777777" w:rsidR="00EB60B9" w:rsidRPr="00C80551" w:rsidRDefault="00000000">
      <w:pPr>
        <w:pBdr>
          <w:top w:val="nil"/>
          <w:left w:val="nil"/>
          <w:bottom w:val="nil"/>
          <w:right w:val="nil"/>
          <w:between w:val="nil"/>
        </w:pBdr>
        <w:rPr>
          <w:color w:val="000000"/>
        </w:rPr>
      </w:pPr>
      <w:r w:rsidRPr="00C80551">
        <w:rPr>
          <w:color w:val="000000"/>
        </w:rPr>
        <w:t>Major Accident Risk Sources.</w:t>
      </w:r>
    </w:p>
    <w:p w14:paraId="46C838BE" w14:textId="77777777" w:rsidR="00EB60B9" w:rsidRDefault="00000000">
      <w:pPr>
        <w:pBdr>
          <w:top w:val="nil"/>
          <w:left w:val="nil"/>
          <w:bottom w:val="nil"/>
          <w:right w:val="nil"/>
          <w:between w:val="nil"/>
        </w:pBdr>
        <w:spacing w:before="200" w:after="120" w:line="240" w:lineRule="auto"/>
        <w:jc w:val="left"/>
        <w:rPr>
          <w:b/>
          <w:bCs/>
          <w:color w:val="000000"/>
        </w:rPr>
      </w:pPr>
      <w:r>
        <w:rPr>
          <w:b/>
          <w:bCs/>
          <w:color w:val="000000"/>
        </w:rPr>
        <w:t>References</w:t>
      </w:r>
    </w:p>
    <w:p w14:paraId="0A359E47" w14:textId="77777777" w:rsidR="00EB60B9" w:rsidRDefault="00000000">
      <w:pPr>
        <w:pBdr>
          <w:top w:val="nil"/>
          <w:left w:val="nil"/>
          <w:bottom w:val="nil"/>
          <w:right w:val="nil"/>
          <w:between w:val="nil"/>
        </w:pBdr>
        <w:ind w:left="284" w:hanging="284"/>
        <w:rPr>
          <w:color w:val="000000"/>
        </w:rPr>
      </w:pPr>
      <w:r>
        <w:rPr>
          <w:color w:val="000000"/>
        </w:rPr>
        <w:t>Abu Bakar H., Siong P., Yan C., Kidam K., Ali M., Hassim M., Kamarden H., 2017, Analysis of Main Accident Contributor According to Process Safety Management Elements Failure, Chemical Engineering Transactions, 56, 991–996.</w:t>
      </w:r>
    </w:p>
    <w:p w14:paraId="4605C7AF" w14:textId="77777777" w:rsidR="00EB60B9" w:rsidRDefault="00000000">
      <w:pPr>
        <w:pBdr>
          <w:top w:val="nil"/>
          <w:left w:val="nil"/>
          <w:bottom w:val="nil"/>
          <w:right w:val="nil"/>
          <w:between w:val="nil"/>
        </w:pBdr>
        <w:ind w:left="284" w:hanging="284"/>
        <w:rPr>
          <w:color w:val="000000"/>
        </w:rPr>
      </w:pPr>
      <w:r>
        <w:rPr>
          <w:color w:val="000000"/>
        </w:rPr>
        <w:t>ATSDR, 2010, Toxicological Profile for Chlorine, Agency for Toxic Substances and Disease Registry, US Department of Health and Human Services, Atlanta, GA.</w:t>
      </w:r>
    </w:p>
    <w:p w14:paraId="66CA5FC3" w14:textId="77777777" w:rsidR="00EB60B9" w:rsidRDefault="00000000">
      <w:pPr>
        <w:pBdr>
          <w:top w:val="nil"/>
          <w:left w:val="nil"/>
          <w:bottom w:val="nil"/>
          <w:right w:val="nil"/>
          <w:between w:val="nil"/>
        </w:pBdr>
        <w:ind w:left="284" w:hanging="284"/>
        <w:rPr>
          <w:color w:val="000000"/>
        </w:rPr>
      </w:pPr>
      <w:r>
        <w:rPr>
          <w:color w:val="000000"/>
        </w:rPr>
        <w:t>Buchlin J.-M., 2017, Mitigation of industrial hazards by water spray curtains, Journal of Loss Prevention in the Process Industries, 46, 15–25.</w:t>
      </w:r>
    </w:p>
    <w:p w14:paraId="7CC897D9" w14:textId="77777777" w:rsidR="00EB60B9" w:rsidRDefault="00000000">
      <w:pPr>
        <w:pBdr>
          <w:top w:val="nil"/>
          <w:left w:val="nil"/>
          <w:bottom w:val="nil"/>
          <w:right w:val="nil"/>
          <w:between w:val="nil"/>
        </w:pBdr>
        <w:ind w:left="284" w:hanging="284"/>
        <w:rPr>
          <w:color w:val="000000"/>
        </w:rPr>
      </w:pPr>
      <w:r>
        <w:rPr>
          <w:color w:val="000000"/>
        </w:rPr>
        <w:t>Chlorine Institute, 2020, Pamphlet 6 – Piping Systems for Dry Chlorine, Ed. 17, The Chlorine Institute, Arlington, VA.</w:t>
      </w:r>
    </w:p>
    <w:p w14:paraId="36766222" w14:textId="77777777" w:rsidR="00EB60B9" w:rsidRDefault="00000000">
      <w:pPr>
        <w:pBdr>
          <w:top w:val="nil"/>
          <w:left w:val="nil"/>
          <w:bottom w:val="nil"/>
          <w:right w:val="nil"/>
          <w:between w:val="nil"/>
        </w:pBdr>
        <w:ind w:left="284" w:hanging="284"/>
        <w:rPr>
          <w:color w:val="000000"/>
        </w:rPr>
      </w:pPr>
      <w:r>
        <w:rPr>
          <w:color w:val="000000"/>
        </w:rPr>
        <w:t>Chlorine Institute, 2006, Pamphlet 89 – Chlorine Scrubbing Systems, Ed. 3, The Chlorine Institute, Arlington, VA.</w:t>
      </w:r>
    </w:p>
    <w:p w14:paraId="769F8764" w14:textId="77777777" w:rsidR="00EB60B9" w:rsidRDefault="00000000">
      <w:pPr>
        <w:pBdr>
          <w:top w:val="nil"/>
          <w:left w:val="nil"/>
          <w:bottom w:val="nil"/>
          <w:right w:val="nil"/>
          <w:between w:val="nil"/>
        </w:pBdr>
        <w:ind w:left="284" w:hanging="284"/>
        <w:rPr>
          <w:color w:val="000000"/>
        </w:rPr>
      </w:pPr>
      <w:r>
        <w:rPr>
          <w:color w:val="000000"/>
        </w:rPr>
        <w:t>EPA, 2021, Acute Exposure Guideline Levels (AEGLs) for Chlorine, US Environmental Protection Agency, Washington, DC.</w:t>
      </w:r>
    </w:p>
    <w:p w14:paraId="611A0DBF" w14:textId="77777777" w:rsidR="00EB60B9" w:rsidRDefault="00000000">
      <w:pPr>
        <w:pBdr>
          <w:top w:val="nil"/>
          <w:left w:val="nil"/>
          <w:bottom w:val="nil"/>
          <w:right w:val="nil"/>
          <w:between w:val="nil"/>
        </w:pBdr>
        <w:ind w:left="284" w:hanging="284"/>
        <w:rPr>
          <w:color w:val="000000"/>
        </w:rPr>
      </w:pPr>
      <w:r>
        <w:rPr>
          <w:color w:val="000000"/>
        </w:rPr>
        <w:t>Euro Chlor, 2022, GEST 10/362 – Corrosion Behaviour of Carbon Steel in Wet and Dry Chlorine, Ed. 4, Euro Chlor, Brussels.</w:t>
      </w:r>
    </w:p>
    <w:p w14:paraId="3F8E537F" w14:textId="77777777" w:rsidR="00EB60B9" w:rsidRDefault="00000000">
      <w:pPr>
        <w:pBdr>
          <w:top w:val="nil"/>
          <w:left w:val="nil"/>
          <w:bottom w:val="nil"/>
          <w:right w:val="nil"/>
          <w:between w:val="nil"/>
        </w:pBdr>
        <w:ind w:left="284" w:hanging="284"/>
        <w:rPr>
          <w:color w:val="000000"/>
        </w:rPr>
      </w:pPr>
      <w:r>
        <w:rPr>
          <w:color w:val="000000"/>
        </w:rPr>
        <w:t>Fabiano B., Vianello C., Mannan M.S., Reniers G., Lung C.W., 2021, A critical perspective on the implementation of the EU Council Seveso Directives in France, Germany, Italy and Spain, Process Safety and Environmental Protection, 148, 47–74.</w:t>
      </w:r>
    </w:p>
    <w:p w14:paraId="5225F352" w14:textId="77777777" w:rsidR="00EB60B9" w:rsidRDefault="00000000">
      <w:pPr>
        <w:pBdr>
          <w:top w:val="nil"/>
          <w:left w:val="nil"/>
          <w:bottom w:val="nil"/>
          <w:right w:val="nil"/>
          <w:between w:val="nil"/>
        </w:pBdr>
        <w:ind w:left="284" w:hanging="284"/>
        <w:rPr>
          <w:color w:val="000000"/>
        </w:rPr>
      </w:pPr>
      <w:r>
        <w:rPr>
          <w:color w:val="000000"/>
        </w:rPr>
        <w:t>Gajek A., 2013, Major Accident Hazard Posed by Non-Seveso Establishments, Chemical Engineering Transactions, 31, 169–174.</w:t>
      </w:r>
    </w:p>
    <w:p w14:paraId="14F475DF" w14:textId="77777777" w:rsidR="00EB60B9" w:rsidRDefault="00000000">
      <w:pPr>
        <w:pBdr>
          <w:top w:val="nil"/>
          <w:left w:val="nil"/>
          <w:bottom w:val="nil"/>
          <w:right w:val="nil"/>
          <w:between w:val="nil"/>
        </w:pBdr>
        <w:ind w:left="284" w:hanging="284"/>
        <w:rPr>
          <w:color w:val="000000"/>
        </w:rPr>
      </w:pPr>
      <w:r>
        <w:rPr>
          <w:color w:val="000000"/>
        </w:rPr>
        <w:t>Gangopadhyay U., Das S., Mukherjee S., 2005, Chlorine leakage from bonnet of a valve in a bullet – a case study, Journal of Loss Prevention in the Process Industries, 18, 33–38.</w:t>
      </w:r>
    </w:p>
    <w:p w14:paraId="015AA0C4" w14:textId="77777777" w:rsidR="00EB60B9" w:rsidRDefault="00000000">
      <w:pPr>
        <w:pBdr>
          <w:top w:val="nil"/>
          <w:left w:val="nil"/>
          <w:bottom w:val="nil"/>
          <w:right w:val="nil"/>
          <w:between w:val="nil"/>
        </w:pBdr>
        <w:ind w:left="284" w:hanging="284"/>
        <w:rPr>
          <w:color w:val="000000"/>
        </w:rPr>
      </w:pPr>
      <w:r>
        <w:rPr>
          <w:color w:val="000000"/>
        </w:rPr>
        <w:t>Gyenes Z., Heraty Wood M., 2016, Lessons Learned from Major Accidents Relating to Ageing of Chemical Plants, Chemical Engineering Transactions, 48, 733–738.</w:t>
      </w:r>
    </w:p>
    <w:p w14:paraId="0CD62DE3" w14:textId="77777777" w:rsidR="00EB60B9" w:rsidRDefault="00000000">
      <w:pPr>
        <w:pBdr>
          <w:top w:val="nil"/>
          <w:left w:val="nil"/>
          <w:bottom w:val="nil"/>
          <w:right w:val="nil"/>
          <w:between w:val="nil"/>
        </w:pBdr>
        <w:ind w:left="284" w:hanging="284"/>
        <w:rPr>
          <w:color w:val="000000"/>
        </w:rPr>
      </w:pPr>
      <w:r>
        <w:rPr>
          <w:color w:val="000000"/>
        </w:rPr>
        <w:t>Joseph G., 2004, Chlorine transfer hose failure, Journal of Hazardous Materials, 115, 91–96.</w:t>
      </w:r>
    </w:p>
    <w:p w14:paraId="0FAB172A" w14:textId="77777777" w:rsidR="00EB60B9" w:rsidRDefault="00000000">
      <w:pPr>
        <w:pBdr>
          <w:top w:val="nil"/>
          <w:left w:val="nil"/>
          <w:bottom w:val="nil"/>
          <w:right w:val="nil"/>
          <w:between w:val="nil"/>
        </w:pBdr>
        <w:ind w:left="284" w:hanging="284"/>
        <w:rPr>
          <w:color w:val="000000"/>
        </w:rPr>
      </w:pPr>
      <w:r>
        <w:rPr>
          <w:color w:val="000000"/>
        </w:rPr>
        <w:t>Kukuczka P., El Boustani M., Villemur C., Masse F., Lacome J.-M., Becu E., Bolvin C., 2025, Preventing Inadvertent Mixing During Chemical Unloading Operations, Chemical Engineering Transactions, 117, 523–528.</w:t>
      </w:r>
    </w:p>
    <w:p w14:paraId="31A45FFE" w14:textId="77777777" w:rsidR="00EB60B9" w:rsidRDefault="00000000">
      <w:pPr>
        <w:pBdr>
          <w:top w:val="nil"/>
          <w:left w:val="nil"/>
          <w:bottom w:val="nil"/>
          <w:right w:val="nil"/>
          <w:between w:val="nil"/>
        </w:pBdr>
        <w:ind w:left="284" w:hanging="284"/>
        <w:rPr>
          <w:color w:val="000000"/>
        </w:rPr>
      </w:pPr>
      <w:r>
        <w:rPr>
          <w:color w:val="000000"/>
        </w:rPr>
        <w:t>Li X., Wang F., 2020, Systematic inherent safety and its implementation in chlorine liquefaction process, Journal of Loss Prevention in the Process Industries, 68, 104297.</w:t>
      </w:r>
    </w:p>
    <w:p w14:paraId="0A03582C" w14:textId="77777777" w:rsidR="00EB60B9" w:rsidRDefault="00000000">
      <w:pPr>
        <w:pBdr>
          <w:top w:val="nil"/>
          <w:left w:val="nil"/>
          <w:bottom w:val="nil"/>
          <w:right w:val="nil"/>
          <w:between w:val="nil"/>
        </w:pBdr>
        <w:ind w:left="284" w:hanging="284"/>
        <w:rPr>
          <w:color w:val="000000"/>
        </w:rPr>
      </w:pPr>
      <w:r>
        <w:rPr>
          <w:color w:val="000000"/>
        </w:rPr>
        <w:t>Mohammadfam I., Mahmoudi S., Kianfar A., 2012, Comparative safety assessment of chlorination unit in Tehran treatment plants with HAZOP and ETBA techniques, Procedia Engineering, 45, 27–30.</w:t>
      </w:r>
    </w:p>
    <w:p w14:paraId="3D5A575B" w14:textId="77777777" w:rsidR="00EB60B9" w:rsidRDefault="00000000">
      <w:pPr>
        <w:pBdr>
          <w:top w:val="nil"/>
          <w:left w:val="nil"/>
          <w:bottom w:val="nil"/>
          <w:right w:val="nil"/>
          <w:between w:val="nil"/>
        </w:pBdr>
        <w:ind w:left="284" w:hanging="284"/>
        <w:rPr>
          <w:color w:val="000000"/>
        </w:rPr>
      </w:pPr>
      <w:r>
        <w:rPr>
          <w:color w:val="000000"/>
        </w:rPr>
        <w:t>Soltanzadeh A., Mohammadi H., Arsang-Jang S., Eskandari T., Faghihi A., Mohammadbeigi A., 2022, Designing a smart risk analysis method for gas chlorination units of water treatment plants, Ecotoxicology and Environmental Safety, 234, 113365.</w:t>
      </w:r>
    </w:p>
    <w:p w14:paraId="4DD60534" w14:textId="77777777" w:rsidR="00EB60B9" w:rsidRDefault="00000000">
      <w:pPr>
        <w:pBdr>
          <w:top w:val="nil"/>
          <w:left w:val="nil"/>
          <w:bottom w:val="nil"/>
          <w:right w:val="nil"/>
          <w:between w:val="nil"/>
        </w:pBdr>
        <w:ind w:left="284" w:hanging="284"/>
        <w:rPr>
          <w:color w:val="000000"/>
        </w:rPr>
      </w:pPr>
      <w:r>
        <w:rPr>
          <w:color w:val="000000"/>
        </w:rPr>
        <w:t>Travnicek P., Adamovsky R., Valasek M., Tucek P., 2022, Analysis of accidents at municipal wastewater treatment plants in Europe, Journal of Loss Prevention in the Process Industries, 74, 104634.</w:t>
      </w:r>
    </w:p>
    <w:p w14:paraId="26927475" w14:textId="77777777" w:rsidR="00EB60B9" w:rsidRDefault="00000000">
      <w:pPr>
        <w:pBdr>
          <w:top w:val="nil"/>
          <w:left w:val="nil"/>
          <w:bottom w:val="nil"/>
          <w:right w:val="nil"/>
          <w:between w:val="nil"/>
        </w:pBdr>
        <w:ind w:left="284" w:hanging="284"/>
        <w:rPr>
          <w:color w:val="000000"/>
        </w:rPr>
      </w:pPr>
      <w:r>
        <w:rPr>
          <w:color w:val="000000"/>
        </w:rPr>
        <w:t>Yang S., Demichela M., Geng J., Wang L., Ling Z., 2022, Contributions and Consequences Coming from Human and Organizational Factors to the Accidents, Chemical Engineering Transactions, 91, 523–528.</w:t>
      </w:r>
    </w:p>
    <w:p w14:paraId="5B8A7ACD" w14:textId="77777777" w:rsidR="00EB60B9" w:rsidRDefault="00000000">
      <w:pPr>
        <w:pBdr>
          <w:top w:val="nil"/>
          <w:left w:val="nil"/>
          <w:bottom w:val="nil"/>
          <w:right w:val="nil"/>
          <w:between w:val="nil"/>
        </w:pBdr>
        <w:ind w:left="284" w:hanging="284"/>
        <w:rPr>
          <w:color w:val="000000"/>
        </w:rPr>
      </w:pPr>
      <w:r>
        <w:rPr>
          <w:color w:val="000000"/>
        </w:rPr>
        <w:lastRenderedPageBreak/>
        <w:t>Zainulabidin S., Abdul Rashid A., Ahmad A., Zamri M., 2025, Chlorine-related from two (2) incidents in water treatment plant: A comprehensive review on root cause analysis, Process Safety and Environmental Protection, 199, 107286.</w:t>
      </w:r>
    </w:p>
    <w:sectPr w:rsidR="00EB60B9">
      <w:pgSz w:w="11906" w:h="16838"/>
      <w:pgMar w:top="1701" w:right="1418" w:bottom="1701" w:left="1701" w:header="1701" w:footer="0" w:gutter="0"/>
      <w:pgNumType w:start="1"/>
      <w:cols w:space="708"/>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FE31F26B-7322-40ED-8031-D2E5F0240E14}"/>
    <w:embedBold r:id="rId2" w:fontKey="{9EB53894-1D86-4D6C-B534-9F6109CD1348}"/>
    <w:embedItalic r:id="rId3" w:fontKey="{03669B2B-2936-4721-8276-71593E10980A}"/>
    <w:embedBoldItalic r:id="rId4" w:fontKey="{CEF8DD87-DA17-4649-B916-8FD851DE9FD6}"/>
  </w:font>
  <w:font w:name="Georgia">
    <w:panose1 w:val="02040502050405020303"/>
    <w:charset w:val="EE"/>
    <w:family w:val="roman"/>
    <w:pitch w:val="variable"/>
    <w:sig w:usb0="00000287" w:usb1="00000000" w:usb2="00000000" w:usb3="00000000" w:csb0="0000009F" w:csb1="00000000"/>
    <w:embedItalic r:id="rId5" w:fontKey="{DF4B6BCD-CA6A-4E14-AF28-6BF81D8BB9BD}"/>
  </w:font>
  <w:font w:name="Consolas">
    <w:panose1 w:val="020B0609020204030204"/>
    <w:charset w:val="EE"/>
    <w:family w:val="modern"/>
    <w:pitch w:val="fixed"/>
    <w:sig w:usb0="E00006FF" w:usb1="0000FCFF" w:usb2="00000001" w:usb3="00000000" w:csb0="0000019F" w:csb1="00000000"/>
    <w:embedRegular r:id="rId6" w:fontKey="{7AC8E5FA-8DD0-4900-97AD-3F2D4586C064}"/>
  </w:font>
  <w:font w:name="AdvP6960">
    <w:altName w:val="Calibri"/>
    <w:charset w:val="00"/>
    <w:family w:val="auto"/>
    <w:pitch w:val="default"/>
  </w:font>
  <w:font w:name="Tahoma">
    <w:panose1 w:val="020B0604030504040204"/>
    <w:charset w:val="EE"/>
    <w:family w:val="swiss"/>
    <w:pitch w:val="variable"/>
    <w:sig w:usb0="E1002EFF" w:usb1="C000605B" w:usb2="00000029" w:usb3="00000000" w:csb0="000101FF" w:csb1="00000000"/>
    <w:embedRegular r:id="rId7" w:fontKey="{9905CD93-9E72-413B-8750-FC767D785C98}"/>
    <w:embedBold r:id="rId8" w:fontKey="{F5F3E90B-2D8B-4439-8C43-C9B8768BE4BD}"/>
  </w:font>
  <w:font w:name="Cambria Math">
    <w:panose1 w:val="02040503050406030204"/>
    <w:charset w:val="EE"/>
    <w:family w:val="roman"/>
    <w:pitch w:val="variable"/>
    <w:sig w:usb0="E00006FF" w:usb1="420024FF" w:usb2="02000000" w:usb3="00000000" w:csb0="0000019F" w:csb1="00000000"/>
    <w:embedRegular r:id="rId9" w:fontKey="{CEFE79E1-16FA-4816-AD5A-73443D075130}"/>
  </w:font>
  <w:font w:name="Calibri">
    <w:panose1 w:val="020F0502020204030204"/>
    <w:charset w:val="EE"/>
    <w:family w:val="swiss"/>
    <w:pitch w:val="variable"/>
    <w:sig w:usb0="E4002EFF" w:usb1="C000247B" w:usb2="00000009" w:usb3="00000000" w:csb0="000001FF" w:csb1="00000000"/>
    <w:embedRegular r:id="rId10" w:fontKey="{62C01DD1-A6A9-4E0D-ABB5-F9C301306D2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D6B5A"/>
    <w:multiLevelType w:val="multilevel"/>
    <w:tmpl w:val="4F747834"/>
    <w:lvl w:ilvl="0">
      <w:start w:val="1"/>
      <w:numFmt w:val="decimal"/>
      <w:lvlText w:val="%1."/>
      <w:lvlJc w:val="left"/>
      <w:pPr>
        <w:ind w:left="360" w:hanging="360"/>
      </w:pPr>
      <w:rPr>
        <w:rFonts w:hint="default"/>
        <w:b/>
        <w:bCs/>
        <w:color w:val="000000"/>
        <w:sz w:val="20"/>
        <w:szCs w:val="20"/>
      </w:rPr>
    </w:lvl>
    <w:lvl w:ilvl="1">
      <w:start w:val="1"/>
      <w:numFmt w:val="decimal"/>
      <w:lvlText w:val="%1.%2"/>
      <w:lvlJc w:val="left"/>
      <w:pPr>
        <w:ind w:left="785" w:hanging="360"/>
      </w:pPr>
      <w:rPr>
        <w:rFonts w:hint="default"/>
        <w:b/>
        <w:color w:val="000000"/>
      </w:rPr>
    </w:lvl>
    <w:lvl w:ilvl="2">
      <w:start w:val="1"/>
      <w:numFmt w:val="decimal"/>
      <w:lvlText w:val="%1.%2.%3"/>
      <w:lvlJc w:val="left"/>
      <w:pPr>
        <w:ind w:left="1570" w:hanging="720"/>
      </w:pPr>
      <w:rPr>
        <w:rFonts w:hint="default"/>
        <w:b/>
        <w:color w:val="000000"/>
      </w:rPr>
    </w:lvl>
    <w:lvl w:ilvl="3">
      <w:start w:val="1"/>
      <w:numFmt w:val="decimal"/>
      <w:lvlText w:val="%1.%2.%3.%4"/>
      <w:lvlJc w:val="left"/>
      <w:pPr>
        <w:ind w:left="1995" w:hanging="720"/>
      </w:pPr>
      <w:rPr>
        <w:rFonts w:hint="default"/>
        <w:b/>
        <w:color w:val="000000"/>
      </w:rPr>
    </w:lvl>
    <w:lvl w:ilvl="4">
      <w:start w:val="1"/>
      <w:numFmt w:val="decimal"/>
      <w:lvlText w:val="%1.%2.%3.%4.%5"/>
      <w:lvlJc w:val="left"/>
      <w:pPr>
        <w:ind w:left="2420" w:hanging="720"/>
      </w:pPr>
      <w:rPr>
        <w:rFonts w:hint="default"/>
        <w:b/>
        <w:color w:val="000000"/>
      </w:rPr>
    </w:lvl>
    <w:lvl w:ilvl="5">
      <w:start w:val="1"/>
      <w:numFmt w:val="decimal"/>
      <w:lvlText w:val="%1.%2.%3.%4.%5.%6"/>
      <w:lvlJc w:val="left"/>
      <w:pPr>
        <w:ind w:left="3205" w:hanging="1080"/>
      </w:pPr>
      <w:rPr>
        <w:rFonts w:hint="default"/>
        <w:b/>
        <w:color w:val="000000"/>
      </w:rPr>
    </w:lvl>
    <w:lvl w:ilvl="6">
      <w:start w:val="1"/>
      <w:numFmt w:val="decimal"/>
      <w:lvlText w:val="%1.%2.%3.%4.%5.%6.%7"/>
      <w:lvlJc w:val="left"/>
      <w:pPr>
        <w:ind w:left="3630" w:hanging="1080"/>
      </w:pPr>
      <w:rPr>
        <w:rFonts w:hint="default"/>
        <w:b/>
        <w:color w:val="000000"/>
      </w:rPr>
    </w:lvl>
    <w:lvl w:ilvl="7">
      <w:start w:val="1"/>
      <w:numFmt w:val="decimal"/>
      <w:lvlText w:val="%1.%2.%3.%4.%5.%6.%7.%8"/>
      <w:lvlJc w:val="left"/>
      <w:pPr>
        <w:ind w:left="4415" w:hanging="1440"/>
      </w:pPr>
      <w:rPr>
        <w:rFonts w:hint="default"/>
        <w:b/>
        <w:color w:val="000000"/>
      </w:rPr>
    </w:lvl>
    <w:lvl w:ilvl="8">
      <w:start w:val="1"/>
      <w:numFmt w:val="decimal"/>
      <w:lvlText w:val="%1.%2.%3.%4.%5.%6.%7.%8.%9"/>
      <w:lvlJc w:val="left"/>
      <w:pPr>
        <w:ind w:left="4840" w:hanging="1440"/>
      </w:pPr>
      <w:rPr>
        <w:rFonts w:hint="default"/>
        <w:b/>
        <w:color w:val="000000"/>
      </w:rPr>
    </w:lvl>
  </w:abstractNum>
  <w:abstractNum w:abstractNumId="1" w15:restartNumberingAfterBreak="0">
    <w:nsid w:val="2F895AEA"/>
    <w:multiLevelType w:val="multilevel"/>
    <w:tmpl w:val="E234851E"/>
    <w:lvl w:ilvl="0">
      <w:start w:val="1"/>
      <w:numFmt w:val="decimal"/>
      <w:lvlText w:val="Chapter %1"/>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2" w15:restartNumberingAfterBreak="0">
    <w:nsid w:val="38D17763"/>
    <w:multiLevelType w:val="multilevel"/>
    <w:tmpl w:val="AA168ADA"/>
    <w:lvl w:ilvl="0">
      <w:start w:val="5"/>
      <w:numFmt w:val="decimal"/>
      <w:lvlText w:val="%1"/>
      <w:lvlJc w:val="left"/>
      <w:pPr>
        <w:ind w:left="360" w:hanging="360"/>
      </w:pPr>
      <w:rPr>
        <w:rFonts w:hint="default"/>
        <w:b/>
        <w:color w:val="000000"/>
      </w:rPr>
    </w:lvl>
    <w:lvl w:ilvl="1">
      <w:start w:val="1"/>
      <w:numFmt w:val="decimal"/>
      <w:lvlText w:val="%1.%2"/>
      <w:lvlJc w:val="left"/>
      <w:pPr>
        <w:ind w:left="1210" w:hanging="360"/>
      </w:pPr>
      <w:rPr>
        <w:rFonts w:hint="default"/>
        <w:b/>
        <w:color w:val="000000"/>
      </w:rPr>
    </w:lvl>
    <w:lvl w:ilvl="2">
      <w:start w:val="1"/>
      <w:numFmt w:val="decimal"/>
      <w:lvlText w:val="%1.%2.%3"/>
      <w:lvlJc w:val="left"/>
      <w:pPr>
        <w:ind w:left="2160" w:hanging="720"/>
      </w:pPr>
      <w:rPr>
        <w:rFonts w:hint="default"/>
        <w:b/>
        <w:color w:val="000000"/>
      </w:rPr>
    </w:lvl>
    <w:lvl w:ilvl="3">
      <w:start w:val="1"/>
      <w:numFmt w:val="decimal"/>
      <w:lvlText w:val="%1.%2.%3.%4"/>
      <w:lvlJc w:val="left"/>
      <w:pPr>
        <w:ind w:left="2880" w:hanging="720"/>
      </w:pPr>
      <w:rPr>
        <w:rFonts w:hint="default"/>
        <w:b/>
        <w:color w:val="000000"/>
      </w:rPr>
    </w:lvl>
    <w:lvl w:ilvl="4">
      <w:start w:val="1"/>
      <w:numFmt w:val="decimal"/>
      <w:lvlText w:val="%1.%2.%3.%4.%5"/>
      <w:lvlJc w:val="left"/>
      <w:pPr>
        <w:ind w:left="3600" w:hanging="720"/>
      </w:pPr>
      <w:rPr>
        <w:rFonts w:hint="default"/>
        <w:b/>
        <w:color w:val="000000"/>
      </w:rPr>
    </w:lvl>
    <w:lvl w:ilvl="5">
      <w:start w:val="1"/>
      <w:numFmt w:val="decimal"/>
      <w:lvlText w:val="%1.%2.%3.%4.%5.%6"/>
      <w:lvlJc w:val="left"/>
      <w:pPr>
        <w:ind w:left="4680" w:hanging="1080"/>
      </w:pPr>
      <w:rPr>
        <w:rFonts w:hint="default"/>
        <w:b/>
        <w:color w:val="000000"/>
      </w:rPr>
    </w:lvl>
    <w:lvl w:ilvl="6">
      <w:start w:val="1"/>
      <w:numFmt w:val="decimal"/>
      <w:lvlText w:val="%1.%2.%3.%4.%5.%6.%7"/>
      <w:lvlJc w:val="left"/>
      <w:pPr>
        <w:ind w:left="5400" w:hanging="1080"/>
      </w:pPr>
      <w:rPr>
        <w:rFonts w:hint="default"/>
        <w:b/>
        <w:color w:val="000000"/>
      </w:rPr>
    </w:lvl>
    <w:lvl w:ilvl="7">
      <w:start w:val="1"/>
      <w:numFmt w:val="decimal"/>
      <w:lvlText w:val="%1.%2.%3.%4.%5.%6.%7.%8"/>
      <w:lvlJc w:val="left"/>
      <w:pPr>
        <w:ind w:left="6480" w:hanging="1440"/>
      </w:pPr>
      <w:rPr>
        <w:rFonts w:hint="default"/>
        <w:b/>
        <w:color w:val="000000"/>
      </w:rPr>
    </w:lvl>
    <w:lvl w:ilvl="8">
      <w:start w:val="1"/>
      <w:numFmt w:val="decimal"/>
      <w:lvlText w:val="%1.%2.%3.%4.%5.%6.%7.%8.%9"/>
      <w:lvlJc w:val="left"/>
      <w:pPr>
        <w:ind w:left="7200" w:hanging="1440"/>
      </w:pPr>
      <w:rPr>
        <w:rFonts w:hint="default"/>
        <w:b/>
        <w:color w:val="000000"/>
      </w:rPr>
    </w:lvl>
  </w:abstractNum>
  <w:abstractNum w:abstractNumId="3" w15:restartNumberingAfterBreak="0">
    <w:nsid w:val="3D79113B"/>
    <w:multiLevelType w:val="multilevel"/>
    <w:tmpl w:val="7144D09E"/>
    <w:lvl w:ilvl="0">
      <w:start w:val="5"/>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720" w:hanging="72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080" w:hanging="108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440" w:hanging="1440"/>
      </w:pPr>
      <w:rPr>
        <w:rFonts w:hint="default"/>
        <w:b/>
        <w:color w:val="000000"/>
      </w:rPr>
    </w:lvl>
  </w:abstractNum>
  <w:abstractNum w:abstractNumId="4" w15:restartNumberingAfterBreak="0">
    <w:nsid w:val="419A66EA"/>
    <w:multiLevelType w:val="multilevel"/>
    <w:tmpl w:val="7144D09E"/>
    <w:lvl w:ilvl="0">
      <w:start w:val="5"/>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720" w:hanging="72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080" w:hanging="108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440" w:hanging="1440"/>
      </w:pPr>
      <w:rPr>
        <w:rFonts w:hint="default"/>
        <w:b/>
        <w:color w:val="000000"/>
      </w:rPr>
    </w:lvl>
  </w:abstractNum>
  <w:abstractNum w:abstractNumId="5" w15:restartNumberingAfterBreak="0">
    <w:nsid w:val="4C756B6D"/>
    <w:multiLevelType w:val="multilevel"/>
    <w:tmpl w:val="4F747834"/>
    <w:lvl w:ilvl="0">
      <w:start w:val="1"/>
      <w:numFmt w:val="decimal"/>
      <w:lvlText w:val="%1."/>
      <w:lvlJc w:val="left"/>
      <w:pPr>
        <w:ind w:left="360" w:hanging="360"/>
      </w:pPr>
      <w:rPr>
        <w:rFonts w:hint="default"/>
        <w:b/>
        <w:bCs/>
        <w:color w:val="000000"/>
        <w:sz w:val="20"/>
        <w:szCs w:val="20"/>
      </w:rPr>
    </w:lvl>
    <w:lvl w:ilvl="1">
      <w:start w:val="1"/>
      <w:numFmt w:val="decimal"/>
      <w:lvlText w:val="%1.%2"/>
      <w:lvlJc w:val="left"/>
      <w:pPr>
        <w:ind w:left="785" w:hanging="360"/>
      </w:pPr>
      <w:rPr>
        <w:rFonts w:hint="default"/>
        <w:b/>
        <w:color w:val="000000"/>
      </w:rPr>
    </w:lvl>
    <w:lvl w:ilvl="2">
      <w:start w:val="1"/>
      <w:numFmt w:val="decimal"/>
      <w:lvlText w:val="%1.%2.%3"/>
      <w:lvlJc w:val="left"/>
      <w:pPr>
        <w:ind w:left="1570" w:hanging="720"/>
      </w:pPr>
      <w:rPr>
        <w:rFonts w:hint="default"/>
        <w:b/>
        <w:color w:val="000000"/>
      </w:rPr>
    </w:lvl>
    <w:lvl w:ilvl="3">
      <w:start w:val="1"/>
      <w:numFmt w:val="decimal"/>
      <w:lvlText w:val="%1.%2.%3.%4"/>
      <w:lvlJc w:val="left"/>
      <w:pPr>
        <w:ind w:left="1995" w:hanging="720"/>
      </w:pPr>
      <w:rPr>
        <w:rFonts w:hint="default"/>
        <w:b/>
        <w:color w:val="000000"/>
      </w:rPr>
    </w:lvl>
    <w:lvl w:ilvl="4">
      <w:start w:val="1"/>
      <w:numFmt w:val="decimal"/>
      <w:lvlText w:val="%1.%2.%3.%4.%5"/>
      <w:lvlJc w:val="left"/>
      <w:pPr>
        <w:ind w:left="2420" w:hanging="720"/>
      </w:pPr>
      <w:rPr>
        <w:rFonts w:hint="default"/>
        <w:b/>
        <w:color w:val="000000"/>
      </w:rPr>
    </w:lvl>
    <w:lvl w:ilvl="5">
      <w:start w:val="1"/>
      <w:numFmt w:val="decimal"/>
      <w:lvlText w:val="%1.%2.%3.%4.%5.%6"/>
      <w:lvlJc w:val="left"/>
      <w:pPr>
        <w:ind w:left="3205" w:hanging="1080"/>
      </w:pPr>
      <w:rPr>
        <w:rFonts w:hint="default"/>
        <w:b/>
        <w:color w:val="000000"/>
      </w:rPr>
    </w:lvl>
    <w:lvl w:ilvl="6">
      <w:start w:val="1"/>
      <w:numFmt w:val="decimal"/>
      <w:lvlText w:val="%1.%2.%3.%4.%5.%6.%7"/>
      <w:lvlJc w:val="left"/>
      <w:pPr>
        <w:ind w:left="3630" w:hanging="1080"/>
      </w:pPr>
      <w:rPr>
        <w:rFonts w:hint="default"/>
        <w:b/>
        <w:color w:val="000000"/>
      </w:rPr>
    </w:lvl>
    <w:lvl w:ilvl="7">
      <w:start w:val="1"/>
      <w:numFmt w:val="decimal"/>
      <w:lvlText w:val="%1.%2.%3.%4.%5.%6.%7.%8"/>
      <w:lvlJc w:val="left"/>
      <w:pPr>
        <w:ind w:left="4415" w:hanging="1440"/>
      </w:pPr>
      <w:rPr>
        <w:rFonts w:hint="default"/>
        <w:b/>
        <w:color w:val="000000"/>
      </w:rPr>
    </w:lvl>
    <w:lvl w:ilvl="8">
      <w:start w:val="1"/>
      <w:numFmt w:val="decimal"/>
      <w:lvlText w:val="%1.%2.%3.%4.%5.%6.%7.%8.%9"/>
      <w:lvlJc w:val="left"/>
      <w:pPr>
        <w:ind w:left="4840" w:hanging="1440"/>
      </w:pPr>
      <w:rPr>
        <w:rFonts w:hint="default"/>
        <w:b/>
        <w:color w:val="000000"/>
      </w:rPr>
    </w:lvl>
  </w:abstractNum>
  <w:abstractNum w:abstractNumId="6" w15:restartNumberingAfterBreak="0">
    <w:nsid w:val="576E70F8"/>
    <w:multiLevelType w:val="multilevel"/>
    <w:tmpl w:val="7144D09E"/>
    <w:lvl w:ilvl="0">
      <w:start w:val="5"/>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720" w:hanging="72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080" w:hanging="108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440" w:hanging="1440"/>
      </w:pPr>
      <w:rPr>
        <w:rFonts w:hint="default"/>
        <w:b/>
        <w:color w:val="000000"/>
      </w:rPr>
    </w:lvl>
  </w:abstractNum>
  <w:abstractNum w:abstractNumId="7" w15:restartNumberingAfterBreak="0">
    <w:nsid w:val="62A64395"/>
    <w:multiLevelType w:val="multilevel"/>
    <w:tmpl w:val="7144D09E"/>
    <w:lvl w:ilvl="0">
      <w:start w:val="5"/>
      <w:numFmt w:val="decimal"/>
      <w:lvlText w:val="%1"/>
      <w:lvlJc w:val="left"/>
      <w:pPr>
        <w:ind w:left="1080" w:hanging="360"/>
      </w:pPr>
      <w:rPr>
        <w:rFonts w:hint="default"/>
        <w:b/>
        <w:color w:val="000000"/>
      </w:rPr>
    </w:lvl>
    <w:lvl w:ilvl="1">
      <w:start w:val="1"/>
      <w:numFmt w:val="decimal"/>
      <w:lvlText w:val="%1.%2"/>
      <w:lvlJc w:val="left"/>
      <w:pPr>
        <w:ind w:left="1080" w:hanging="36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1440" w:hanging="720"/>
      </w:pPr>
      <w:rPr>
        <w:rFonts w:hint="default"/>
        <w:b/>
        <w:color w:val="000000"/>
      </w:rPr>
    </w:lvl>
    <w:lvl w:ilvl="4">
      <w:start w:val="1"/>
      <w:numFmt w:val="decimal"/>
      <w:lvlText w:val="%1.%2.%3.%4.%5"/>
      <w:lvlJc w:val="left"/>
      <w:pPr>
        <w:ind w:left="1440" w:hanging="720"/>
      </w:pPr>
      <w:rPr>
        <w:rFonts w:hint="default"/>
        <w:b/>
        <w:color w:val="000000"/>
      </w:rPr>
    </w:lvl>
    <w:lvl w:ilvl="5">
      <w:start w:val="1"/>
      <w:numFmt w:val="decimal"/>
      <w:lvlText w:val="%1.%2.%3.%4.%5.%6"/>
      <w:lvlJc w:val="left"/>
      <w:pPr>
        <w:ind w:left="1800" w:hanging="1080"/>
      </w:pPr>
      <w:rPr>
        <w:rFonts w:hint="default"/>
        <w:b/>
        <w:color w:val="000000"/>
      </w:rPr>
    </w:lvl>
    <w:lvl w:ilvl="6">
      <w:start w:val="1"/>
      <w:numFmt w:val="decimal"/>
      <w:lvlText w:val="%1.%2.%3.%4.%5.%6.%7"/>
      <w:lvlJc w:val="left"/>
      <w:pPr>
        <w:ind w:left="1800" w:hanging="1080"/>
      </w:pPr>
      <w:rPr>
        <w:rFonts w:hint="default"/>
        <w:b/>
        <w:color w:val="000000"/>
      </w:rPr>
    </w:lvl>
    <w:lvl w:ilvl="7">
      <w:start w:val="1"/>
      <w:numFmt w:val="decimal"/>
      <w:lvlText w:val="%1.%2.%3.%4.%5.%6.%7.%8"/>
      <w:lvlJc w:val="left"/>
      <w:pPr>
        <w:ind w:left="2160" w:hanging="1440"/>
      </w:pPr>
      <w:rPr>
        <w:rFonts w:hint="default"/>
        <w:b/>
        <w:color w:val="000000"/>
      </w:rPr>
    </w:lvl>
    <w:lvl w:ilvl="8">
      <w:start w:val="1"/>
      <w:numFmt w:val="decimal"/>
      <w:lvlText w:val="%1.%2.%3.%4.%5.%6.%7.%8.%9"/>
      <w:lvlJc w:val="left"/>
      <w:pPr>
        <w:ind w:left="2160" w:hanging="1440"/>
      </w:pPr>
      <w:rPr>
        <w:rFonts w:hint="default"/>
        <w:b/>
        <w:color w:val="000000"/>
      </w:rPr>
    </w:lvl>
  </w:abstractNum>
  <w:abstractNum w:abstractNumId="8" w15:restartNumberingAfterBreak="0">
    <w:nsid w:val="6AEC313C"/>
    <w:multiLevelType w:val="hybridMultilevel"/>
    <w:tmpl w:val="5E3230A2"/>
    <w:lvl w:ilvl="0" w:tplc="0405000F">
      <w:start w:val="1"/>
      <w:numFmt w:val="decimal"/>
      <w:lvlText w:val="%1."/>
      <w:lvlJc w:val="left"/>
      <w:pPr>
        <w:ind w:left="927"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7DD8086E"/>
    <w:multiLevelType w:val="hybridMultilevel"/>
    <w:tmpl w:val="DF74FD3C"/>
    <w:lvl w:ilvl="0" w:tplc="9522DAFC">
      <w:start w:val="1"/>
      <w:numFmt w:val="decimal"/>
      <w:lvlText w:val="%1."/>
      <w:lvlJc w:val="left"/>
      <w:pPr>
        <w:ind w:left="785" w:hanging="360"/>
      </w:pPr>
      <w:rPr>
        <w:b/>
        <w:bCs/>
        <w:sz w:val="20"/>
        <w:szCs w:val="20"/>
      </w:rPr>
    </w:lvl>
    <w:lvl w:ilvl="1" w:tplc="9522DAFC">
      <w:start w:val="1"/>
      <w:numFmt w:val="decimal"/>
      <w:lvlText w:val="%2."/>
      <w:lvlJc w:val="left"/>
      <w:pPr>
        <w:ind w:left="1440" w:hanging="360"/>
      </w:pPr>
      <w:rPr>
        <w:b/>
        <w:bCs/>
        <w:sz w:val="20"/>
        <w:szCs w:val="2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090657849">
    <w:abstractNumId w:val="1"/>
  </w:num>
  <w:num w:numId="2" w16cid:durableId="1951473755">
    <w:abstractNumId w:val="8"/>
  </w:num>
  <w:num w:numId="3" w16cid:durableId="1424063352">
    <w:abstractNumId w:val="9"/>
  </w:num>
  <w:num w:numId="4" w16cid:durableId="1950695832">
    <w:abstractNumId w:val="0"/>
  </w:num>
  <w:num w:numId="5" w16cid:durableId="899747862">
    <w:abstractNumId w:val="5"/>
  </w:num>
  <w:num w:numId="6" w16cid:durableId="2017488833">
    <w:abstractNumId w:val="6"/>
  </w:num>
  <w:num w:numId="7" w16cid:durableId="816384698">
    <w:abstractNumId w:val="3"/>
  </w:num>
  <w:num w:numId="8" w16cid:durableId="1861776789">
    <w:abstractNumId w:val="4"/>
  </w:num>
  <w:num w:numId="9" w16cid:durableId="194659798">
    <w:abstractNumId w:val="7"/>
  </w:num>
  <w:num w:numId="10" w16cid:durableId="7629205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3"/>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0B9"/>
    <w:rsid w:val="000C0DC1"/>
    <w:rsid w:val="001559DF"/>
    <w:rsid w:val="001B7AB9"/>
    <w:rsid w:val="002671C7"/>
    <w:rsid w:val="002B1032"/>
    <w:rsid w:val="003E2B17"/>
    <w:rsid w:val="00481126"/>
    <w:rsid w:val="006A5E9B"/>
    <w:rsid w:val="00751F19"/>
    <w:rsid w:val="0081091A"/>
    <w:rsid w:val="008A6494"/>
    <w:rsid w:val="00B267D2"/>
    <w:rsid w:val="00B3750F"/>
    <w:rsid w:val="00BA5891"/>
    <w:rsid w:val="00BD0331"/>
    <w:rsid w:val="00C80551"/>
    <w:rsid w:val="00C935EE"/>
    <w:rsid w:val="00D435D0"/>
    <w:rsid w:val="00E25BDF"/>
    <w:rsid w:val="00EB60B9"/>
    <w:rsid w:val="00EC2282"/>
    <w:rsid w:val="00EE664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C24C7"/>
  <w15:docId w15:val="{DD365440-0694-4BE5-8837-097273EAF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8"/>
        <w:szCs w:val="18"/>
        <w:lang w:val="en-GB" w:eastAsia="cs-CZ" w:bidi="ar-SA"/>
      </w:rPr>
    </w:rPrDefault>
    <w:pPrDefault>
      <w:pPr>
        <w:tabs>
          <w:tab w:val="right" w:pos="7100"/>
        </w:tabs>
        <w:spacing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pBdr>
        <w:top w:val="nil"/>
        <w:left w:val="nil"/>
        <w:bottom w:val="nil"/>
        <w:right w:val="nil"/>
        <w:between w:val="nil"/>
      </w:pBdr>
      <w:spacing w:before="240" w:after="120" w:line="240" w:lineRule="auto"/>
      <w:outlineLvl w:val="0"/>
    </w:pPr>
    <w:rPr>
      <w:b/>
      <w:bCs/>
      <w:color w:val="000000"/>
      <w:sz w:val="20"/>
      <w:szCs w:val="20"/>
    </w:rPr>
  </w:style>
  <w:style w:type="paragraph" w:styleId="Nadpis2">
    <w:name w:val="heading 2"/>
    <w:basedOn w:val="Normln"/>
    <w:next w:val="Normln"/>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Nadpis3">
    <w:name w:val="heading 3"/>
    <w:basedOn w:val="Normln"/>
    <w:next w:val="Normln"/>
    <w:uiPriority w:val="9"/>
    <w:semiHidden/>
    <w:unhideWhenUsed/>
    <w:qFormat/>
    <w:pPr>
      <w:keepNext/>
      <w:keepLines/>
      <w:spacing w:before="200"/>
      <w:outlineLvl w:val="2"/>
    </w:pPr>
    <w:rPr>
      <w:rFonts w:ascii="Cambria" w:eastAsia="Cambria" w:hAnsi="Cambria" w:cs="Cambria"/>
      <w:b/>
      <w:bCs/>
      <w:color w:val="4F81BD"/>
    </w:rPr>
  </w:style>
  <w:style w:type="paragraph" w:styleId="Nadpis4">
    <w:name w:val="heading 4"/>
    <w:basedOn w:val="Normln"/>
    <w:next w:val="Normln"/>
    <w:uiPriority w:val="9"/>
    <w:semiHidden/>
    <w:unhideWhenUsed/>
    <w:qFormat/>
    <w:pPr>
      <w:keepNext/>
      <w:keepLines/>
      <w:spacing w:before="200"/>
      <w:outlineLvl w:val="3"/>
    </w:pPr>
    <w:rPr>
      <w:rFonts w:ascii="Cambria" w:eastAsia="Cambria" w:hAnsi="Cambria" w:cs="Cambria"/>
      <w:b/>
      <w:bCs/>
      <w:i/>
      <w:iCs/>
      <w:color w:val="4F81BD"/>
    </w:rPr>
  </w:style>
  <w:style w:type="paragraph" w:styleId="Nadpis5">
    <w:name w:val="heading 5"/>
    <w:basedOn w:val="Normln"/>
    <w:next w:val="Normln"/>
    <w:uiPriority w:val="9"/>
    <w:semiHidden/>
    <w:unhideWhenUsed/>
    <w:qFormat/>
    <w:pPr>
      <w:keepNext/>
      <w:keepLines/>
      <w:spacing w:before="200"/>
      <w:outlineLvl w:val="4"/>
    </w:pPr>
    <w:rPr>
      <w:rFonts w:ascii="Cambria" w:eastAsia="Cambria" w:hAnsi="Cambria" w:cs="Cambria"/>
      <w:color w:val="243F61"/>
    </w:rPr>
  </w:style>
  <w:style w:type="paragraph" w:styleId="Nadpis6">
    <w:name w:val="heading 6"/>
    <w:basedOn w:val="Normln"/>
    <w:next w:val="Normln"/>
    <w:uiPriority w:val="9"/>
    <w:semiHidden/>
    <w:unhideWhenUsed/>
    <w:qFormat/>
    <w:pPr>
      <w:keepNext/>
      <w:keepLines/>
      <w:spacing w:before="200"/>
      <w:outlineLvl w:val="5"/>
    </w:pPr>
    <w:rPr>
      <w:rFonts w:ascii="Cambria" w:eastAsia="Cambria" w:hAnsi="Cambria" w:cs="Cambria"/>
      <w:i/>
      <w:iCs/>
      <w:color w:val="243F61"/>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 w:type="dxa"/>
        <w:bottom w:w="0" w:type="dxa"/>
        <w:right w:w="10" w:type="dxa"/>
      </w:tblCellMar>
    </w:tblPr>
  </w:style>
  <w:style w:type="table" w:customStyle="1" w:styleId="a1">
    <w:basedOn w:val="TableNormal"/>
    <w:tblPr>
      <w:tblStyleRowBandSize w:val="1"/>
      <w:tblStyleColBandSize w:val="1"/>
      <w:tblCellMar>
        <w:top w:w="0" w:type="dxa"/>
        <w:left w:w="10" w:type="dxa"/>
        <w:bottom w:w="0" w:type="dxa"/>
        <w:right w:w="10" w:type="dxa"/>
      </w:tblCellMar>
    </w:tblPr>
  </w:style>
  <w:style w:type="paragraph" w:styleId="Odstavecseseznamem">
    <w:name w:val="List Paragraph"/>
    <w:basedOn w:val="Normln"/>
    <w:uiPriority w:val="34"/>
    <w:qFormat/>
    <w:rsid w:val="00E25BDF"/>
    <w:pPr>
      <w:ind w:left="720"/>
      <w:contextualSpacing/>
    </w:pPr>
  </w:style>
  <w:style w:type="paragraph" w:styleId="FormtovanvHTML">
    <w:name w:val="HTML Preformatted"/>
    <w:basedOn w:val="Normln"/>
    <w:link w:val="FormtovanvHTMLChar"/>
    <w:uiPriority w:val="99"/>
    <w:semiHidden/>
    <w:unhideWhenUsed/>
    <w:rsid w:val="00B267D2"/>
    <w:pPr>
      <w:spacing w:line="240" w:lineRule="auto"/>
    </w:pPr>
    <w:rPr>
      <w:rFonts w:ascii="Consolas" w:hAnsi="Consolas"/>
      <w:sz w:val="20"/>
      <w:szCs w:val="20"/>
    </w:rPr>
  </w:style>
  <w:style w:type="character" w:customStyle="1" w:styleId="FormtovanvHTMLChar">
    <w:name w:val="Formátovaný v HTML Char"/>
    <w:basedOn w:val="Standardnpsmoodstavce"/>
    <w:link w:val="FormtovanvHTML"/>
    <w:uiPriority w:val="99"/>
    <w:semiHidden/>
    <w:rsid w:val="00B267D2"/>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363</TotalTime>
  <Pages>7</Pages>
  <Words>3653</Words>
  <Characters>21555</Characters>
  <Application>Microsoft Office Word</Application>
  <DocSecurity>0</DocSecurity>
  <Lines>179</Lines>
  <Paragraphs>50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Křivánek David</cp:lastModifiedBy>
  <cp:revision>3</cp:revision>
  <dcterms:created xsi:type="dcterms:W3CDTF">2026-02-26T16:25:00Z</dcterms:created>
  <dcterms:modified xsi:type="dcterms:W3CDTF">2026-04-10T14:14:00Z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