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491961">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proofErr w:type="spellStart"/>
            <w:r w:rsidR="00B57E6F" w:rsidRPr="00825DD9">
              <w:rPr>
                <w:rFonts w:ascii="Tahoma" w:hAnsi="Tahoma" w:cs="Tahoma"/>
                <w:bCs/>
                <w:color w:val="000000"/>
                <w:sz w:val="14"/>
                <w:szCs w:val="14"/>
                <w:lang w:val="it-IT" w:eastAsia="it-IT"/>
              </w:rPr>
              <w:t>Genserik</w:t>
            </w:r>
            <w:proofErr w:type="spellEnd"/>
            <w:r w:rsidR="00B57E6F" w:rsidRPr="00825DD9">
              <w:rPr>
                <w:rFonts w:ascii="Tahoma" w:hAnsi="Tahoma" w:cs="Tahoma"/>
                <w:bCs/>
                <w:color w:val="000000"/>
                <w:sz w:val="14"/>
                <w:szCs w:val="14"/>
                <w:lang w:val="it-IT" w:eastAsia="it-IT"/>
              </w:rPr>
              <w:t xml:space="preserve"> </w:t>
            </w:r>
            <w:proofErr w:type="spellStart"/>
            <w:r w:rsidR="00B57E6F" w:rsidRPr="00825DD9">
              <w:rPr>
                <w:rFonts w:ascii="Tahoma" w:hAnsi="Tahoma" w:cs="Tahoma"/>
                <w:bCs/>
                <w:color w:val="000000"/>
                <w:sz w:val="14"/>
                <w:szCs w:val="14"/>
                <w:lang w:val="it-IT" w:eastAsia="it-IT"/>
              </w:rPr>
              <w:t>Reniers</w:t>
            </w:r>
            <w:proofErr w:type="spellEnd"/>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196FDD">
          <w:type w:val="continuous"/>
          <w:pgSz w:w="11906" w:h="16838" w:code="9"/>
          <w:pgMar w:top="1701" w:right="1418" w:bottom="1701" w:left="1701" w:header="1701" w:footer="0" w:gutter="0"/>
          <w:cols w:space="708"/>
          <w:titlePg/>
          <w:docGrid w:linePitch="360"/>
        </w:sectPr>
      </w:pPr>
    </w:p>
    <w:p w14:paraId="2E667253" w14:textId="1F5B5AF8" w:rsidR="00E978D0" w:rsidRPr="00665323" w:rsidRDefault="008C249D" w:rsidP="00665323">
      <w:pPr>
        <w:pStyle w:val="CETTitle"/>
      </w:pPr>
      <w:r>
        <w:t>Addressing safety and risk mitigation in academic laboratories: a case study</w:t>
      </w:r>
    </w:p>
    <w:p w14:paraId="0488FED2" w14:textId="591B0D60" w:rsidR="00B57E6F" w:rsidRPr="00C928DC" w:rsidRDefault="008C249D" w:rsidP="00B57E6F">
      <w:pPr>
        <w:pStyle w:val="CETAuthors"/>
        <w:rPr>
          <w:lang w:val="it-IT"/>
        </w:rPr>
      </w:pPr>
      <w:r w:rsidRPr="00C928DC">
        <w:rPr>
          <w:lang w:val="it-IT"/>
        </w:rPr>
        <w:t>Francesca Gasparotto</w:t>
      </w:r>
      <w:r w:rsidR="006D2EB1">
        <w:rPr>
          <w:lang w:val="it-IT"/>
        </w:rPr>
        <w:t xml:space="preserve"> </w:t>
      </w:r>
      <w:r w:rsidR="00B57E6F" w:rsidRPr="00C928DC">
        <w:rPr>
          <w:vertAlign w:val="superscript"/>
          <w:lang w:val="it-IT"/>
        </w:rPr>
        <w:t>a</w:t>
      </w:r>
      <w:r w:rsidR="00B57E6F" w:rsidRPr="00C928DC">
        <w:rPr>
          <w:lang w:val="it-IT"/>
        </w:rPr>
        <w:t xml:space="preserve">, </w:t>
      </w:r>
      <w:r w:rsidRPr="00C928DC">
        <w:rPr>
          <w:lang w:val="it-IT"/>
        </w:rPr>
        <w:t>Arian Grainca</w:t>
      </w:r>
      <w:r w:rsidR="006D2EB1">
        <w:rPr>
          <w:lang w:val="it-IT"/>
        </w:rPr>
        <w:t xml:space="preserve"> </w:t>
      </w:r>
      <w:r w:rsidRPr="00C928DC">
        <w:rPr>
          <w:vertAlign w:val="superscript"/>
          <w:lang w:val="it-IT"/>
        </w:rPr>
        <w:t>b</w:t>
      </w:r>
      <w:r w:rsidR="00B57E6F" w:rsidRPr="00C928DC">
        <w:rPr>
          <w:lang w:val="it-IT"/>
        </w:rPr>
        <w:t xml:space="preserve">, </w:t>
      </w:r>
      <w:r w:rsidRPr="00C928DC">
        <w:rPr>
          <w:lang w:val="it-IT"/>
        </w:rPr>
        <w:t>Paolo Mocellin</w:t>
      </w:r>
      <w:r w:rsidR="006D2EB1">
        <w:rPr>
          <w:lang w:val="it-IT"/>
        </w:rPr>
        <w:t xml:space="preserve"> </w:t>
      </w:r>
      <w:r w:rsidRPr="00C928DC">
        <w:rPr>
          <w:vertAlign w:val="superscript"/>
          <w:lang w:val="it-IT"/>
        </w:rPr>
        <w:t>a,*</w:t>
      </w:r>
      <w:r w:rsidRPr="00C928DC">
        <w:rPr>
          <w:lang w:val="it-IT"/>
        </w:rPr>
        <w:t>, Carlo Pirola</w:t>
      </w:r>
      <w:r w:rsidR="006D2EB1">
        <w:rPr>
          <w:lang w:val="it-IT"/>
        </w:rPr>
        <w:t xml:space="preserve"> </w:t>
      </w:r>
      <w:r w:rsidRPr="00C928DC">
        <w:rPr>
          <w:vertAlign w:val="superscript"/>
          <w:lang w:val="it-IT"/>
        </w:rPr>
        <w:t>b</w:t>
      </w:r>
    </w:p>
    <w:p w14:paraId="6B2D21B3" w14:textId="1F4A1EC2" w:rsidR="00B57E6F" w:rsidRPr="00C928DC" w:rsidRDefault="00B57E6F" w:rsidP="00B57E6F">
      <w:pPr>
        <w:pStyle w:val="CETAddress"/>
        <w:rPr>
          <w:lang w:val="it-IT"/>
        </w:rPr>
      </w:pPr>
      <w:r w:rsidRPr="00C928DC">
        <w:rPr>
          <w:vertAlign w:val="superscript"/>
          <w:lang w:val="it-IT"/>
        </w:rPr>
        <w:t>a</w:t>
      </w:r>
      <w:r w:rsidR="002333F5" w:rsidRPr="00C928DC">
        <w:rPr>
          <w:lang w:val="it-IT"/>
        </w:rPr>
        <w:t>Università degli Studi di Padova. Dipartimento di Ingegneria Industriale, Via Marzolo 9, Padova, Italia.</w:t>
      </w:r>
    </w:p>
    <w:p w14:paraId="3D72B0B0" w14:textId="73C7A354" w:rsidR="00B57E6F" w:rsidRPr="00C928DC" w:rsidRDefault="00B57E6F" w:rsidP="00B57E6F">
      <w:pPr>
        <w:pStyle w:val="CETAddress"/>
        <w:rPr>
          <w:lang w:val="it-IT"/>
        </w:rPr>
      </w:pPr>
      <w:r w:rsidRPr="00C928DC">
        <w:rPr>
          <w:vertAlign w:val="superscript"/>
          <w:lang w:val="it-IT"/>
        </w:rPr>
        <w:t>b</w:t>
      </w:r>
      <w:r w:rsidR="002333F5" w:rsidRPr="00C928DC">
        <w:rPr>
          <w:lang w:val="it-IT"/>
        </w:rPr>
        <w:t>Università degli Studi di Milano. Dipartimento di Chimica, Via Golgi 19, Milano, Italia.</w:t>
      </w:r>
    </w:p>
    <w:p w14:paraId="73F1267A" w14:textId="2A1BB0C4" w:rsidR="00B57E6F" w:rsidRPr="00B57B36" w:rsidRDefault="00B57E6F" w:rsidP="00B57E6F">
      <w:pPr>
        <w:pStyle w:val="CETemail"/>
      </w:pPr>
      <w:r w:rsidRPr="00C928DC">
        <w:rPr>
          <w:lang w:val="it-IT"/>
        </w:rPr>
        <w:t xml:space="preserve"> </w:t>
      </w:r>
      <w:hyperlink r:id="rId10" w:history="1">
        <w:r w:rsidR="00C00CB3" w:rsidRPr="00DD5222">
          <w:rPr>
            <w:rStyle w:val="Collegamentoipertestuale"/>
          </w:rPr>
          <w:t>paolo.mocellin@unipd.it</w:t>
        </w:r>
      </w:hyperlink>
      <w:r w:rsidR="002333F5">
        <w:t xml:space="preserve"> </w:t>
      </w:r>
    </w:p>
    <w:p w14:paraId="60261443" w14:textId="33E54C16" w:rsidR="002A489A" w:rsidRDefault="002A489A" w:rsidP="002A489A">
      <w:pPr>
        <w:pStyle w:val="CETBodytext"/>
      </w:pPr>
      <w:r>
        <w:t>This study addresses the critical need for effective risk assessment and mitigation strategies in academic research environments. As research laboratories engage in increasingly complex projects, ensuring the safety of personnel, equipment, and the surrounding environment becomes paramount. These settings are prone to various vulnerabilities, including manual operations, transient states, and diverse training backgrounds.</w:t>
      </w:r>
    </w:p>
    <w:p w14:paraId="60EE86F9" w14:textId="48061422" w:rsidR="002A489A" w:rsidRDefault="002A489A" w:rsidP="002A489A">
      <w:pPr>
        <w:pStyle w:val="CETBodytext"/>
      </w:pPr>
      <w:r>
        <w:t>This work presents a case study focusing on the potential hazards and risks associated with Fischer-</w:t>
      </w:r>
      <w:proofErr w:type="spellStart"/>
      <w:r>
        <w:t>Tropsch</w:t>
      </w:r>
      <w:proofErr w:type="spellEnd"/>
      <w:r>
        <w:t xml:space="preserve"> synthesis. The analysis examines </w:t>
      </w:r>
      <w:r w:rsidR="007D0823">
        <w:t>critical</w:t>
      </w:r>
      <w:r>
        <w:t xml:space="preserve"> factors such as catalyst use, high-temperature reactions, potential by-products, and the influence of human error during manual operations.</w:t>
      </w:r>
    </w:p>
    <w:p w14:paraId="1FE4A934" w14:textId="78968884" w:rsidR="002A489A" w:rsidRDefault="002A489A" w:rsidP="002A489A">
      <w:pPr>
        <w:pStyle w:val="CETBodytext"/>
      </w:pPr>
      <w:r>
        <w:t>Utilizing a systematic approach that incorporates interaction matrices and HAZOP analysis, the study identifies potential undesired scenarios, ranging from minor incidents to severe consequences, and evaluates their likelihood and impact. In response to the identified risks, the paper proposes targeted mitigation measures specifically designed for the Fischer-</w:t>
      </w:r>
      <w:proofErr w:type="spellStart"/>
      <w:r>
        <w:t>Tropsch</w:t>
      </w:r>
      <w:proofErr w:type="spellEnd"/>
      <w:r>
        <w:t xml:space="preserve"> experimental setting, structured as layers of protection.</w:t>
      </w:r>
    </w:p>
    <w:p w14:paraId="6A912672" w14:textId="2C3F29AE" w:rsidR="00871933" w:rsidRDefault="002A489A" w:rsidP="002A489A">
      <w:pPr>
        <w:pStyle w:val="CETBodytext"/>
      </w:pPr>
      <w:r>
        <w:t>The findings of this research offer valuable insights into laboratory safety in academic settings, providing a risk assessment and mitigation model adaptable to various experimental setups. By integrating theoretical frameworks with practical applications, this study aims to enhance safety standards in academic laboratories conducting Fischer-</w:t>
      </w:r>
      <w:proofErr w:type="spellStart"/>
      <w:r>
        <w:t>Tropsch</w:t>
      </w:r>
      <w:proofErr w:type="spellEnd"/>
      <w:r>
        <w:t xml:space="preserve"> synthesis and establish a foundation for continuous improvement in laboratory practices.</w:t>
      </w:r>
    </w:p>
    <w:p w14:paraId="23F86FEF" w14:textId="332732E7" w:rsidR="00600535" w:rsidRDefault="00600535" w:rsidP="00600535">
      <w:pPr>
        <w:pStyle w:val="CETHeading1"/>
        <w:rPr>
          <w:lang w:val="en-GB"/>
        </w:rPr>
      </w:pPr>
      <w:r w:rsidRPr="00B57B36">
        <w:rPr>
          <w:lang w:val="en-GB"/>
        </w:rPr>
        <w:t>Introducti</w:t>
      </w:r>
      <w:r w:rsidR="002F3DE1">
        <w:rPr>
          <w:lang w:val="en-GB"/>
        </w:rPr>
        <w:t>on</w:t>
      </w:r>
    </w:p>
    <w:p w14:paraId="1E74786C" w14:textId="0F7A99F7" w:rsidR="003730B8" w:rsidRDefault="006A3E9E" w:rsidP="00FB7130">
      <w:pPr>
        <w:pStyle w:val="CETBodytext"/>
        <w:rPr>
          <w:lang w:val="en-GB"/>
        </w:rPr>
      </w:pPr>
      <w:r w:rsidRPr="006A3E9E">
        <w:rPr>
          <w:lang w:val="en-GB"/>
        </w:rPr>
        <w:t xml:space="preserve">Pursuing scientific knowledge within academic laboratories is </w:t>
      </w:r>
      <w:r w:rsidR="00A44517">
        <w:rPr>
          <w:lang w:val="en-GB"/>
        </w:rPr>
        <w:t>fundamental to</w:t>
      </w:r>
      <w:r w:rsidRPr="006A3E9E">
        <w:rPr>
          <w:lang w:val="en-GB"/>
        </w:rPr>
        <w:t xml:space="preserve"> innovation and education. These dynamic environments, where theory meets practice, are the birthplace of new discoveries. Laboratories serve as arenas of experimentation and learning, where students and researchers continuously push the boundaries of science. However, this noble pursuit is accompanied by inherent </w:t>
      </w:r>
      <w:r>
        <w:rPr>
          <w:lang w:val="en-GB"/>
        </w:rPr>
        <w:t xml:space="preserve">hazards and potential </w:t>
      </w:r>
      <w:r w:rsidRPr="006A3E9E">
        <w:rPr>
          <w:lang w:val="en-GB"/>
        </w:rPr>
        <w:t>risks</w:t>
      </w:r>
      <w:r w:rsidR="00A44517">
        <w:rPr>
          <w:lang w:val="en-GB"/>
        </w:rPr>
        <w:t xml:space="preserve"> </w:t>
      </w:r>
      <w:r w:rsidR="00A44517" w:rsidRPr="006A3E9E">
        <w:rPr>
          <w:lang w:val="en-GB"/>
        </w:rPr>
        <w:t>(Mocellin et al., 2022)</w:t>
      </w:r>
      <w:r w:rsidRPr="006A3E9E">
        <w:rPr>
          <w:lang w:val="en-GB"/>
        </w:rPr>
        <w:t>.</w:t>
      </w:r>
      <w:r w:rsidR="00FB7130" w:rsidRPr="00FB7130">
        <w:rPr>
          <w:lang w:val="en-GB"/>
        </w:rPr>
        <w:t xml:space="preserve"> Academic laboratories are characterized by activities that involve </w:t>
      </w:r>
      <w:r w:rsidR="005B29A3">
        <w:rPr>
          <w:lang w:val="en-GB"/>
        </w:rPr>
        <w:t>handling</w:t>
      </w:r>
      <w:r w:rsidR="00FB7130" w:rsidRPr="00FB7130">
        <w:rPr>
          <w:lang w:val="en-GB"/>
        </w:rPr>
        <w:t xml:space="preserve"> hazardous chemicals, which may be flammable, toxic, carcinogenic, or reactive. </w:t>
      </w:r>
      <w:r w:rsidR="005B29A3">
        <w:rPr>
          <w:lang w:val="en-GB"/>
        </w:rPr>
        <w:t xml:space="preserve">Moreover, </w:t>
      </w:r>
      <w:r w:rsidR="008762E8">
        <w:rPr>
          <w:lang w:val="en-GB"/>
        </w:rPr>
        <w:t>equipment with proper operating conditions is always present when focusing on chemical process experimentation</w:t>
      </w:r>
      <w:r w:rsidR="005B29A3">
        <w:rPr>
          <w:lang w:val="en-GB"/>
        </w:rPr>
        <w:t xml:space="preserve">. </w:t>
      </w:r>
      <w:r w:rsidR="00FB7130" w:rsidRPr="00FB7130">
        <w:rPr>
          <w:lang w:val="en-GB"/>
        </w:rPr>
        <w:t>The operation of complex machinery, ranging from high-pressure systems to electrical devices, introduces additional layers of risk.</w:t>
      </w:r>
      <w:r w:rsidR="00C84A4C">
        <w:rPr>
          <w:lang w:val="en-GB"/>
        </w:rPr>
        <w:t xml:space="preserve"> </w:t>
      </w:r>
      <w:r w:rsidR="00FB7130" w:rsidRPr="00FB7130">
        <w:rPr>
          <w:lang w:val="en-GB"/>
        </w:rPr>
        <w:t xml:space="preserve">Ensuring the safety of researchers, students, and staff in these environments is not merely a regulatory compliance issue but a fundamental ethical obligation. Safety measures are crucial to prevent accidents, which can lead to injuries, chronic health issues, or even fatalities. Beyond the immediate health impacts, accidents can disrupt the scientific process, leading to </w:t>
      </w:r>
      <w:r w:rsidR="008762E8">
        <w:rPr>
          <w:lang w:val="en-GB"/>
        </w:rPr>
        <w:t>data loss</w:t>
      </w:r>
      <w:r w:rsidR="00FB7130" w:rsidRPr="00FB7130">
        <w:rPr>
          <w:lang w:val="en-GB"/>
        </w:rPr>
        <w:t>, damage to expensive equipment, and significant delays in research progress. Moreover, safety incidents can erode trust in scientific institutions, affecting public perception and funding.</w:t>
      </w:r>
    </w:p>
    <w:p w14:paraId="67DEEEC4" w14:textId="6993332B" w:rsidR="003730B8" w:rsidRDefault="00FB7130" w:rsidP="00FB7130">
      <w:pPr>
        <w:pStyle w:val="CETBodytext"/>
        <w:rPr>
          <w:lang w:val="en-GB"/>
        </w:rPr>
      </w:pPr>
      <w:r w:rsidRPr="00FB7130">
        <w:rPr>
          <w:lang w:val="en-GB"/>
        </w:rPr>
        <w:t xml:space="preserve">Despite the establishment of rigorous safety protocols and adherence to strict regulations, incidents in academic laboratories continue to occur with unsettling frequency. </w:t>
      </w:r>
      <w:r w:rsidR="0034657B">
        <w:rPr>
          <w:lang w:val="en-GB"/>
        </w:rPr>
        <w:t xml:space="preserve">Recent statistics on accidents in academic settings </w:t>
      </w:r>
      <w:r w:rsidR="00B471BA">
        <w:rPr>
          <w:lang w:val="en-GB"/>
        </w:rPr>
        <w:t xml:space="preserve">indicate that more than 25% of personnel acting in labs have experienced unreported accidents or injuries. </w:t>
      </w:r>
      <w:r w:rsidR="008D2BA9">
        <w:rPr>
          <w:lang w:val="en-GB"/>
        </w:rPr>
        <w:t>In addition, an aggravating factor</w:t>
      </w:r>
      <w:r w:rsidR="00C71984">
        <w:rPr>
          <w:lang w:val="en-GB"/>
        </w:rPr>
        <w:t xml:space="preserve"> is ascribed to the fact that around 27% of researchers ha</w:t>
      </w:r>
      <w:r w:rsidR="008762E8">
        <w:rPr>
          <w:lang w:val="en-GB"/>
        </w:rPr>
        <w:t>ve</w:t>
      </w:r>
      <w:r w:rsidR="00C71984">
        <w:rPr>
          <w:lang w:val="en-GB"/>
        </w:rPr>
        <w:t xml:space="preserve"> skipped risk </w:t>
      </w:r>
      <w:r w:rsidR="00C71984">
        <w:rPr>
          <w:lang w:val="en-GB"/>
        </w:rPr>
        <w:lastRenderedPageBreak/>
        <w:t>assessment before performing experiments</w:t>
      </w:r>
      <w:r w:rsidR="0056545C">
        <w:rPr>
          <w:lang w:val="en-GB"/>
        </w:rPr>
        <w:t xml:space="preserve"> (Ayi and Hon, 2018)</w:t>
      </w:r>
      <w:r w:rsidR="008762E8">
        <w:rPr>
          <w:lang w:val="en-GB"/>
        </w:rPr>
        <w:t>,</w:t>
      </w:r>
      <w:r w:rsidR="00172D0C">
        <w:rPr>
          <w:lang w:val="en-GB"/>
        </w:rPr>
        <w:t xml:space="preserve"> and one in four has not been </w:t>
      </w:r>
      <w:r w:rsidR="008762E8">
        <w:rPr>
          <w:lang w:val="en-GB"/>
        </w:rPr>
        <w:t>appropriately trained</w:t>
      </w:r>
      <w:r w:rsidR="00172D0C">
        <w:rPr>
          <w:lang w:val="en-GB"/>
        </w:rPr>
        <w:t xml:space="preserve"> for specific laboratory hazards</w:t>
      </w:r>
      <w:r w:rsidR="00C71984">
        <w:rPr>
          <w:lang w:val="en-GB"/>
        </w:rPr>
        <w:t xml:space="preserve">. </w:t>
      </w:r>
      <w:r w:rsidR="00F24926">
        <w:rPr>
          <w:lang w:val="en-GB"/>
        </w:rPr>
        <w:t xml:space="preserve">Teaching labs appear as the most </w:t>
      </w:r>
      <w:r w:rsidR="00347EB0">
        <w:rPr>
          <w:lang w:val="en-GB"/>
        </w:rPr>
        <w:t>affected</w:t>
      </w:r>
      <w:r w:rsidR="00F24926">
        <w:rPr>
          <w:lang w:val="en-GB"/>
        </w:rPr>
        <w:t xml:space="preserve"> framework</w:t>
      </w:r>
      <w:r w:rsidR="00AB1245">
        <w:rPr>
          <w:lang w:val="en-GB"/>
        </w:rPr>
        <w:t xml:space="preserve"> </w:t>
      </w:r>
      <w:r w:rsidR="00AB1245">
        <w:rPr>
          <w:lang w:val="en-GB"/>
        </w:rPr>
        <w:fldChar w:fldCharType="begin" w:fldLock="1"/>
      </w:r>
      <w:r w:rsidR="00A0515A">
        <w:rPr>
          <w:lang w:val="en-GB"/>
        </w:rPr>
        <w:instrText>ADDIN CSL_CITATION {"citationItems":[{"id":"ITEM-1","itemData":{"DOI":"10.1038/s41557-019-0375-x","ISSN":"17554349","PMID":"31740762","abstract":"Over the past ten years, there have been several high-profile accidents in academic laboratories around the world, resulting in significant injuries and fatalities. The aftermath of these incidents is often characterized by calls for reflection and re-examination of the academic discipline’s approach to safety research and policy. However, the study of academic lab safety is still underdeveloped and necessary data about changes in safety attitudes and behaviours has not been gathered. This Review article critically examines the state of academic chemical safety research from a multifactorial stance, including research on the occurrence of lab accidents, contributors to lab accidents, the state of safety training research and the cultural barriers to conducting safety research and implementing safer lab practices. The Review concludes by delineating research questions that must be addressed to minimize future serious academic laboratory incidents as well as stressing the need for committed leadership from our research institutions.","author":[{"dropping-particle":"","family":"Ménard","given":"A. Dana","non-dropping-particle":"","parse-names":false,"suffix":""},{"dropping-particle":"","family":"Trant","given":"John F.","non-dropping-particle":"","parse-names":false,"suffix":""}],"container-title":"Nature Chemistry","id":"ITEM-1","issue":"1","issued":{"date-parts":[["2020"]]},"page":"17-25","publisher":"Springer US","title":"A review and critique of academic lab safety research","type":"article-journal","volume":"12"},"uris":["http://www.mendeley.com/documents/?uuid=5037a7f2-524c-44ab-9f2d-06c490ad44bc"]}],"mendeley":{"formattedCitation":"(Ménard and Trant, 2020)","plainTextFormattedCitation":"(Ménard and Trant, 2020)","previouslyFormattedCitation":"(Ménard and Trant, 2020)"},"properties":{"noteIndex":0},"schema":"https://github.com/citation-style-language/schema/raw/master/csl-citation.json"}</w:instrText>
      </w:r>
      <w:r w:rsidR="00AB1245">
        <w:rPr>
          <w:lang w:val="en-GB"/>
        </w:rPr>
        <w:fldChar w:fldCharType="separate"/>
      </w:r>
      <w:r w:rsidR="00214A5A" w:rsidRPr="00214A5A">
        <w:rPr>
          <w:noProof/>
          <w:lang w:val="en-GB"/>
        </w:rPr>
        <w:t>(Ménard and Trant, 2020)</w:t>
      </w:r>
      <w:r w:rsidR="00AB1245">
        <w:rPr>
          <w:lang w:val="en-GB"/>
        </w:rPr>
        <w:fldChar w:fldCharType="end"/>
      </w:r>
      <w:r w:rsidR="00F24926">
        <w:rPr>
          <w:lang w:val="en-GB"/>
        </w:rPr>
        <w:t xml:space="preserve">. </w:t>
      </w:r>
      <w:r w:rsidR="008D630F">
        <w:rPr>
          <w:lang w:val="en-GB"/>
        </w:rPr>
        <w:t>Further statistics are provided by t</w:t>
      </w:r>
      <w:r w:rsidR="0025669C">
        <w:rPr>
          <w:lang w:val="en-GB"/>
        </w:rPr>
        <w:t>he U.S. Chemical Safety and Hazard Investigation Board (CSB)</w:t>
      </w:r>
      <w:r w:rsidR="008762E8">
        <w:rPr>
          <w:lang w:val="en-GB"/>
        </w:rPr>
        <w:t>,</w:t>
      </w:r>
      <w:r w:rsidR="0025669C">
        <w:rPr>
          <w:lang w:val="en-GB"/>
        </w:rPr>
        <w:t xml:space="preserve"> </w:t>
      </w:r>
      <w:r w:rsidR="008762E8">
        <w:rPr>
          <w:lang w:val="en-GB"/>
        </w:rPr>
        <w:t>which</w:t>
      </w:r>
      <w:r w:rsidR="008D630F">
        <w:rPr>
          <w:lang w:val="en-GB"/>
        </w:rPr>
        <w:t xml:space="preserve"> </w:t>
      </w:r>
      <w:r w:rsidR="0025669C">
        <w:rPr>
          <w:lang w:val="en-GB"/>
        </w:rPr>
        <w:t>reported 120 accidents in academic settings between 2001 and 2018.</w:t>
      </w:r>
      <w:r w:rsidR="008D630F">
        <w:rPr>
          <w:lang w:val="en-GB"/>
        </w:rPr>
        <w:t xml:space="preserve"> The </w:t>
      </w:r>
      <w:r w:rsidR="002A2A15">
        <w:rPr>
          <w:lang w:val="en-GB"/>
        </w:rPr>
        <w:t>consequences have</w:t>
      </w:r>
      <w:r w:rsidR="00722461">
        <w:rPr>
          <w:lang w:val="en-GB"/>
        </w:rPr>
        <w:t xml:space="preserve"> ranged</w:t>
      </w:r>
      <w:r w:rsidR="008D630F">
        <w:rPr>
          <w:lang w:val="en-GB"/>
        </w:rPr>
        <w:t xml:space="preserve"> from </w:t>
      </w:r>
      <w:r w:rsidR="007B26DD">
        <w:rPr>
          <w:lang w:val="en-GB"/>
        </w:rPr>
        <w:t>limited</w:t>
      </w:r>
      <w:r w:rsidR="008D630F">
        <w:rPr>
          <w:lang w:val="en-GB"/>
        </w:rPr>
        <w:t xml:space="preserve"> </w:t>
      </w:r>
      <w:r w:rsidR="00AE1E59">
        <w:rPr>
          <w:lang w:val="en-GB"/>
        </w:rPr>
        <w:t>impacts (e.g. need for evacuation) to se</w:t>
      </w:r>
      <w:r w:rsidR="008762E8">
        <w:rPr>
          <w:lang w:val="en-GB"/>
        </w:rPr>
        <w:t>vere</w:t>
      </w:r>
      <w:r w:rsidR="00AE1E59">
        <w:rPr>
          <w:lang w:val="en-GB"/>
        </w:rPr>
        <w:t xml:space="preserve"> injuries in around 100 cases</w:t>
      </w:r>
      <w:r w:rsidR="00F213F5">
        <w:rPr>
          <w:lang w:val="en-GB"/>
        </w:rPr>
        <w:t xml:space="preserve"> </w:t>
      </w:r>
      <w:r w:rsidR="00AB1245">
        <w:rPr>
          <w:lang w:val="en-GB"/>
        </w:rPr>
        <w:fldChar w:fldCharType="begin" w:fldLock="1"/>
      </w:r>
      <w:r w:rsidR="003C0FAD">
        <w:rPr>
          <w:lang w:val="en-GB"/>
        </w:rPr>
        <w:instrText>ADDIN CSL_CITATION {"citationItems":[{"id":"ITEM-1","itemData":{"URL":"https://www.csb.gov/assets/1/6/csb_laboratory_incident_data.pdf","accessed":{"date-parts":[["2024","2","16"]]},"author":[{"dropping-particle":"","family":"U.S. Chemical Safety and Hazard Investigation Board","given":"","non-dropping-particle":"","parse-names":false,"suffix":""}],"id":"ITEM-1","issue":"January 2001","issued":{"date-parts":[["2018"]]},"page":"1 - 8","title":"Laboratory Incidents January 2001 – July 2018","type":"webpage"},"uris":["http://www.mendeley.com/documents/?uuid=2ef1fe6b-5f2a-4423-9932-42d09db64a95"]}],"mendeley":{"formattedCitation":"(U.S. Chemical Safety and Hazard Investigation Board, 2018)","plainTextFormattedCitation":"(U.S. Chemical Safety and Hazard Investigation Board, 2018)","previouslyFormattedCitation":"(U.S. CSB, 2018)"},"properties":{"noteIndex":0},"schema":"https://github.com/citation-style-language/schema/raw/master/csl-citation.json"}</w:instrText>
      </w:r>
      <w:r w:rsidR="00AB1245">
        <w:rPr>
          <w:lang w:val="en-GB"/>
        </w:rPr>
        <w:fldChar w:fldCharType="separate"/>
      </w:r>
      <w:r w:rsidR="003C0FAD" w:rsidRPr="003C0FAD">
        <w:rPr>
          <w:noProof/>
          <w:lang w:val="en-GB"/>
        </w:rPr>
        <w:t>(U.S. Chemical Safety and Hazard Investigation Board, 2018)</w:t>
      </w:r>
      <w:r w:rsidR="00AB1245">
        <w:rPr>
          <w:lang w:val="en-GB"/>
        </w:rPr>
        <w:fldChar w:fldCharType="end"/>
      </w:r>
      <w:r w:rsidR="00AB1245">
        <w:rPr>
          <w:lang w:val="en-GB"/>
        </w:rPr>
        <w:t>.</w:t>
      </w:r>
    </w:p>
    <w:p w14:paraId="739374A2" w14:textId="452CA071" w:rsidR="008762E8" w:rsidRDefault="00FB7130" w:rsidP="00FB7130">
      <w:pPr>
        <w:pStyle w:val="CETBodytext"/>
        <w:rPr>
          <w:lang w:val="en-GB"/>
        </w:rPr>
      </w:pPr>
      <w:r w:rsidRPr="00FB7130">
        <w:rPr>
          <w:lang w:val="en-GB"/>
        </w:rPr>
        <w:t>These incidents are not always the result of flagrant disregard for safety rules but can also arise from gaps in knowledge, insufficient training, or even complacency. This reality underscores the need for a culture of continuous improvement in risk management strategies</w:t>
      </w:r>
      <w:r w:rsidR="00A11A5D">
        <w:rPr>
          <w:lang w:val="en-GB"/>
        </w:rPr>
        <w:t xml:space="preserve"> (</w:t>
      </w:r>
      <w:r w:rsidR="00FF3808">
        <w:rPr>
          <w:lang w:val="en-GB"/>
        </w:rPr>
        <w:t>Stricker et al., 2019</w:t>
      </w:r>
      <w:r w:rsidR="00A11A5D">
        <w:rPr>
          <w:lang w:val="en-GB"/>
        </w:rPr>
        <w:t>)</w:t>
      </w:r>
      <w:r w:rsidRPr="00FB7130">
        <w:rPr>
          <w:lang w:val="en-GB"/>
        </w:rPr>
        <w:t xml:space="preserve">. </w:t>
      </w:r>
      <w:r w:rsidR="008762E8">
        <w:rPr>
          <w:lang w:val="en-GB"/>
        </w:rPr>
        <w:t xml:space="preserve">Moreover, </w:t>
      </w:r>
      <w:r w:rsidR="004C2925">
        <w:rPr>
          <w:lang w:val="en-GB"/>
        </w:rPr>
        <w:t xml:space="preserve">many qualitative and quantitative approaches are available and </w:t>
      </w:r>
      <w:r w:rsidR="00336A46">
        <w:rPr>
          <w:lang w:val="en-GB"/>
        </w:rPr>
        <w:t>well-established</w:t>
      </w:r>
      <w:r w:rsidR="004C2925">
        <w:rPr>
          <w:lang w:val="en-GB"/>
        </w:rPr>
        <w:t xml:space="preserve"> </w:t>
      </w:r>
      <w:r w:rsidR="005F2B0D">
        <w:rPr>
          <w:lang w:val="en-GB"/>
        </w:rPr>
        <w:t>for</w:t>
      </w:r>
      <w:r w:rsidR="004C2925">
        <w:rPr>
          <w:lang w:val="en-GB"/>
        </w:rPr>
        <w:t xml:space="preserve"> traditional risk assessment in the process industries</w:t>
      </w:r>
      <w:r w:rsidR="008762E8">
        <w:rPr>
          <w:lang w:val="en-GB"/>
        </w:rPr>
        <w:t xml:space="preserve">. </w:t>
      </w:r>
    </w:p>
    <w:p w14:paraId="12FF0799" w14:textId="4930068F" w:rsidR="008762E8" w:rsidRDefault="00D62841" w:rsidP="008762E8">
      <w:pPr>
        <w:shd w:val="clear" w:color="auto" w:fill="FFFFFF" w:themeFill="background1"/>
        <w:rPr>
          <w:sz w:val="20"/>
        </w:rPr>
      </w:pPr>
      <w:r>
        <w:t>HAZOP</w:t>
      </w:r>
      <w:r w:rsidR="008762E8">
        <w:t xml:space="preserve"> analysis</w:t>
      </w:r>
      <w:r>
        <w:t xml:space="preserve"> and other safety assessment approaches are primarily applied in the</w:t>
      </w:r>
      <w:r w:rsidR="008762E8">
        <w:t xml:space="preserve"> process industry. More in detail, HAZOP is commonly employed during </w:t>
      </w:r>
      <w:r w:rsidR="00807CA7">
        <w:t xml:space="preserve">large-scale industrial facilities' design and operation phases </w:t>
      </w:r>
      <w:r w:rsidR="008762E8">
        <w:t xml:space="preserve">to ensure safety and prevent accidents. In the context of chemical laboratories in research </w:t>
      </w:r>
      <w:proofErr w:type="spellStart"/>
      <w:r w:rsidR="008762E8">
        <w:t>center</w:t>
      </w:r>
      <w:r w:rsidR="00BA4D46">
        <w:t>s</w:t>
      </w:r>
      <w:proofErr w:type="spellEnd"/>
      <w:r w:rsidR="008762E8">
        <w:t xml:space="preserve"> or universities, HAZOP cannot be applied as in industrial scenarios. Laboratories in educational institutions always deal with smaller-scale processes and different types of hazards compared to large industrial plants. However, universities and research institutions still prioritize safety and employ other risk assessment methods suitable for laboratory environments. </w:t>
      </w:r>
      <w:r>
        <w:t>S</w:t>
      </w:r>
      <w:r w:rsidR="008762E8">
        <w:t xml:space="preserve">afety aspects in these laboratories are usually evaluated using </w:t>
      </w:r>
      <w:r w:rsidR="00957F7A">
        <w:t>different</w:t>
      </w:r>
      <w:r w:rsidR="008762E8">
        <w:t xml:space="preserve"> approaches based on specific operations</w:t>
      </w:r>
      <w:r w:rsidR="002940FC">
        <w:t>. Particular</w:t>
      </w:r>
      <w:r w:rsidR="008762E8">
        <w:t xml:space="preserve"> attention is paid to the danger of individual reagents or specific working conditions (</w:t>
      </w:r>
      <w:r w:rsidR="00BA4D46">
        <w:t>e.g.</w:t>
      </w:r>
      <w:r w:rsidR="008762E8">
        <w:t xml:space="preserve"> high temperature </w:t>
      </w:r>
      <w:r>
        <w:t>or</w:t>
      </w:r>
      <w:r w:rsidR="008762E8">
        <w:t xml:space="preserve"> pressure).  However, </w:t>
      </w:r>
      <w:r w:rsidR="007E599B">
        <w:t>these frameworks must consider particular characteristics</w:t>
      </w:r>
      <w:r w:rsidR="008762E8">
        <w:t xml:space="preserve"> for a careful risk assessment</w:t>
      </w:r>
      <w:r w:rsidR="00AB1245">
        <w:t xml:space="preserve"> </w:t>
      </w:r>
      <w:r w:rsidR="00AB1245">
        <w:fldChar w:fldCharType="begin" w:fldLock="1"/>
      </w:r>
      <w:r w:rsidR="00A0515A">
        <w:instrText>ADDIN CSL_CITATION {"citationItems":[{"id":"ITEM-1","itemData":{"DOI":"10.1016/j.jchas.2008.06.001","ISSN":"1871-5532","abstract":"A Total Quality Management plan was developed and implemented on a chemical engineering laboratory at the University of California, Berkeley. The plan addressed proactive, reactive, and interactive methods to improve general safety of the laboratory and was designed to augment the safety plans already in-place by the College of Chemistry. The proactive elements included a HAZOP analysis and safety audits. Reactive elements included Accident and Near-miss Reports and In-service Inspections. The interactive element primarily involved crisis management. A method to implement Quality Assurance and Quality Control was also addressed. The safety measures contained herein were introduced to the research group in the lab. After time was allowed for implementation, the results were analyzed by further inspection and feedback forms distributed to the researchers who work in the laboratory. Elements of Enterprise Risk Management were also addressed. Feedback from the researchers in the lab indicated that the safety measures introduced in this report successfully improved laboratory safety.","author":[{"dropping-particle":"","family":"Zakzeski","given":"Joseph","non-dropping-particle":"","parse-names":false,"suffix":""}],"container-title":"Journal of Chemical Health &amp; Safety","id":"ITEM-1","issue":"3","issued":{"date-parts":[["2009","5","1"]]},"note":"doi: 10.1016/j.jchas.2008.06.001","page":"5-20","publisher":"American Chemical Society","title":"Improving engineering research laboratory safety by addressing the human aspects of research management","type":"article-journal","volume":"16"},"uris":["http://www.mendeley.com/documents/?uuid=acf65cb4-d332-46c3-8818-3959dbb76c41"]}],"mendeley":{"formattedCitation":"(Zakzeski, 2009)","plainTextFormattedCitation":"(Zakzeski, 2009)","previouslyFormattedCitation":"(Zakzeski, 2009)"},"properties":{"noteIndex":0},"schema":"https://github.com/citation-style-language/schema/raw/master/csl-citation.json"}</w:instrText>
      </w:r>
      <w:r w:rsidR="00AB1245">
        <w:fldChar w:fldCharType="separate"/>
      </w:r>
      <w:r w:rsidR="00214A5A" w:rsidRPr="00214A5A">
        <w:rPr>
          <w:noProof/>
        </w:rPr>
        <w:t>(Zakzeski, 2009)</w:t>
      </w:r>
      <w:r w:rsidR="00AB1245">
        <w:fldChar w:fldCharType="end"/>
      </w:r>
      <w:r w:rsidR="00AB1245">
        <w:t>.</w:t>
      </w:r>
      <w:r w:rsidR="008762E8">
        <w:t xml:space="preserve"> The activities carried out vary continuously</w:t>
      </w:r>
      <w:r w:rsidR="00BA4D46">
        <w:t>,</w:t>
      </w:r>
      <w:r w:rsidR="008762E8">
        <w:t xml:space="preserve"> and human interventions on the equipment are frequent. The work protocols are continuously varied due to research needs</w:t>
      </w:r>
      <w:r w:rsidR="00BA4D46">
        <w:t>,</w:t>
      </w:r>
      <w:r w:rsidR="008762E8">
        <w:t xml:space="preserve"> and the staff </w:t>
      </w:r>
      <w:r w:rsidR="00FB41AC">
        <w:t>often comprises</w:t>
      </w:r>
      <w:r w:rsidR="008762E8">
        <w:t xml:space="preserve"> students with limited experience. In some cases, the performed operations can be carried out with dangerous, toxic, flammable, explosive reagents </w:t>
      </w:r>
      <w:r w:rsidR="00F12FF7">
        <w:t>under</w:t>
      </w:r>
      <w:r w:rsidR="008762E8">
        <w:t xml:space="preserve"> </w:t>
      </w:r>
      <w:r w:rsidR="00F12FF7">
        <w:t xml:space="preserve">severe </w:t>
      </w:r>
      <w:r w:rsidR="008762E8">
        <w:t xml:space="preserve">conditions and </w:t>
      </w:r>
      <w:r w:rsidR="00F12FF7">
        <w:t xml:space="preserve">in </w:t>
      </w:r>
      <w:r w:rsidR="008762E8">
        <w:t xml:space="preserve">the presence of activators such as heterogeneous catalysts. In these contexts, HAZOP analysis can </w:t>
      </w:r>
      <w:r w:rsidR="00BA4D46">
        <w:t>undoubted</w:t>
      </w:r>
      <w:r w:rsidR="008762E8">
        <w:t xml:space="preserve">ly </w:t>
      </w:r>
      <w:r w:rsidR="00022EED">
        <w:t>help detect and resolve</w:t>
      </w:r>
      <w:r w:rsidR="008762E8">
        <w:t xml:space="preserve"> potential critical issues, but it must be adapted to the size and characteristics of the laboratory world. In the scientific literature, examples of HAZOP </w:t>
      </w:r>
      <w:proofErr w:type="spellStart"/>
      <w:r w:rsidR="008762E8">
        <w:t>analyzes</w:t>
      </w:r>
      <w:proofErr w:type="spellEnd"/>
      <w:r w:rsidR="008762E8">
        <w:t xml:space="preserve"> on a laboratory scale are very limited and generally generic </w:t>
      </w:r>
      <w:r w:rsidR="00AB1245">
        <w:fldChar w:fldCharType="begin" w:fldLock="1"/>
      </w:r>
      <w:r w:rsidR="00A0515A">
        <w:instrText>ADDIN CSL_CITATION {"citationItems":[{"id":"ITEM-1","itemData":{"DOI":"10.1016/j.jchas.2012.01.013","ISSN":"1871-5532","abstract":"The combination of hazard evaluation and risk analysis is an organized effort to pinpoint weaknesses in the design and operation of facilities that could lead to accidental or unintentional chemical releases, fires or explosions. These studies assist organizations with the goal of improving safety and managing the risk of operations. However, reported data on incidents in academic chemistry laboratories indicates that the accident rate is 10–50 times higher than that in industrial laboratories. These data suggest that risk reduction efforts in academic laboratories are less successful than those practiced by the chemical industry. Investigation findings of accidents in academic laboratories often point to the absence of a risk analysis of the synthesis that led to the accident.This paper discusses the relationship between the hazards and consequences of an upset event, the likelihood of the upset happening, and the resulting risk to personnel, property and the environment. Some well-established risk procedures have been adapted to the task of hazard identification and risk assessment in the chemical research laboratory. These risk studies are preceded by a Chemical Hazard Review that is used to identify those aspects of a chemical synthesis that could have a hazardous outcome if there is an upset or a deviation from the desired synthesis procedure.A powerful advantage of this approach is that it encourages and enables a research laboratory group to consider less obvious ways in which an upset may occur, even though it may seem unlikely at first consideration. The risk assessment becomes much more than a mechanistic check-list type of review making it more likely that potential failures and problems, not previously encountered with this activity, will be identified.","author":[{"dropping-particle":"","family":"Leggett","given":"David J","non-dropping-particle":"","parse-names":false,"suffix":""}],"container-title":"Journal of Chemical Health &amp; Safety","id":"ITEM-1","issue":"5","issued":{"date-parts":[["2012","9","1"]]},"note":"doi: 10.1016/j.jchas.2012.01.013","page":"25-36","publisher":"American Chemical Society","title":"Lab-HIRA: Hazard identification and risk analysis for the chemical research laboratory. Part 2. Risk analysis of laboratory operations","type":"article-journal","volume":"19"},"uris":["http://www.mendeley.com/documents/?uuid=753f92aa-3d22-45aa-ab2a-9e4ca6c2cf78"]}],"mendeley":{"formattedCitation":"(Leggett, 2012)","plainTextFormattedCitation":"(Leggett, 2012)","previouslyFormattedCitation":"(Leggett, 2012)"},"properties":{"noteIndex":0},"schema":"https://github.com/citation-style-language/schema/raw/master/csl-citation.json"}</w:instrText>
      </w:r>
      <w:r w:rsidR="00AB1245">
        <w:fldChar w:fldCharType="separate"/>
      </w:r>
      <w:r w:rsidR="00214A5A" w:rsidRPr="00214A5A">
        <w:rPr>
          <w:noProof/>
        </w:rPr>
        <w:t>(Leggett, 2012)</w:t>
      </w:r>
      <w:r w:rsidR="00AB1245">
        <w:fldChar w:fldCharType="end"/>
      </w:r>
      <w:r w:rsidR="008762E8">
        <w:t xml:space="preserve"> </w:t>
      </w:r>
      <w:r w:rsidR="00AB1245">
        <w:fldChar w:fldCharType="begin" w:fldLock="1"/>
      </w:r>
      <w:r w:rsidR="00BA1E5F">
        <w:instrText>ADDIN CSL_CITATION {"citationItems":[{"id":"ITEM-1","itemData":{"DOI":"10.47750/RAA/11.3.30","author":[{"dropping-particle":"","family":"Lei","given":"Chao","non-dropping-particle":"","parse-names":false,"suffix":""},{"dropping-particle":"","family":"Wu","given":"Huizhen","non-dropping-particle":"","parse-names":false,"suffix":""},{"dropping-particle":"","family":"Sun","given":"Nabo","non-dropping-particle":"","parse-names":false,"suffix":""},{"dropping-particle":"","family":"Ye","given":"Mingli","non-dropping-particle":"","parse-names":false,"suffix":""}],"id":"ITEM-1","issue":"3","issued":{"date-parts":[["2023"]]},"page":"559-582","title":"Chemical Laboratory Hazardous Chemical Management Based on HAZOP","type":"article-journal","volume":"11"},"uris":["http://www.mendeley.com/documents/?uuid=df520bc8-7fec-4e19-9deb-b14594992c83"]}],"mendeley":{"formattedCitation":"(Lei et al., 2023)","plainTextFormattedCitation":"(Lei et al., 2023)","previouslyFormattedCitation":"(Lei et al., 2023)"},"properties":{"noteIndex":0},"schema":"https://github.com/citation-style-language/schema/raw/master/csl-citation.json"}</w:instrText>
      </w:r>
      <w:r w:rsidR="00AB1245">
        <w:fldChar w:fldCharType="separate"/>
      </w:r>
      <w:r w:rsidR="00214A5A" w:rsidRPr="00D64E9C">
        <w:rPr>
          <w:noProof/>
        </w:rPr>
        <w:t>(Lei et al., 2023)</w:t>
      </w:r>
      <w:r w:rsidR="00AB1245">
        <w:fldChar w:fldCharType="end"/>
      </w:r>
      <w:r w:rsidR="008762E8" w:rsidRPr="0FE7D6D6">
        <w:rPr>
          <w:sz w:val="20"/>
        </w:rPr>
        <w:t xml:space="preserve">. </w:t>
      </w:r>
      <w:r w:rsidR="00E00C8F">
        <w:t>Therefore, understanding the impact of process conditions on the safety framework of an experimental apparatus is critical</w:t>
      </w:r>
      <w:r w:rsidR="00953FD5">
        <w:t>,</w:t>
      </w:r>
      <w:r w:rsidR="00E00C8F">
        <w:t xml:space="preserve"> and the interaction among the different components (i.e. chemicals, materials, equipment, operating conditions and human factor</w:t>
      </w:r>
      <w:r w:rsidR="00953FD5">
        <w:t>s</w:t>
      </w:r>
      <w:r w:rsidR="00E00C8F">
        <w:t xml:space="preserve">) </w:t>
      </w:r>
      <w:r w:rsidR="00096215">
        <w:t xml:space="preserve">must be adequately </w:t>
      </w:r>
      <w:r w:rsidR="003715E3">
        <w:t xml:space="preserve">accounted </w:t>
      </w:r>
      <w:r w:rsidR="00953FD5">
        <w:t xml:space="preserve">for </w:t>
      </w:r>
      <w:r w:rsidR="003715E3">
        <w:t xml:space="preserve">to </w:t>
      </w:r>
      <w:r w:rsidR="00953FD5">
        <w:t xml:space="preserve">ensure a high level of safety. </w:t>
      </w:r>
      <w:r w:rsidR="00096215">
        <w:t xml:space="preserve">  </w:t>
      </w:r>
      <w:r w:rsidR="00E00C8F">
        <w:t xml:space="preserve"> </w:t>
      </w:r>
    </w:p>
    <w:p w14:paraId="5EE51470" w14:textId="1DC76809" w:rsidR="009C5C9B" w:rsidRDefault="002A798B" w:rsidP="00FB7130">
      <w:pPr>
        <w:pStyle w:val="CETBodytext"/>
        <w:rPr>
          <w:lang w:val="en-GB"/>
        </w:rPr>
      </w:pPr>
      <w:r>
        <w:rPr>
          <w:lang w:val="en-GB"/>
        </w:rPr>
        <w:t>In this direction, t</w:t>
      </w:r>
      <w:r w:rsidR="009C5C9B">
        <w:rPr>
          <w:lang w:val="en-GB"/>
        </w:rPr>
        <w:t xml:space="preserve">he present work </w:t>
      </w:r>
      <w:r w:rsidR="00E10311">
        <w:rPr>
          <w:lang w:val="en-GB"/>
        </w:rPr>
        <w:t xml:space="preserve">discusses an attempt to </w:t>
      </w:r>
      <w:r w:rsidR="00E8002B">
        <w:rPr>
          <w:lang w:val="en-GB"/>
        </w:rPr>
        <w:t xml:space="preserve">systematize a quantitative risk assessment applied to </w:t>
      </w:r>
      <w:r w:rsidR="00DF7050">
        <w:rPr>
          <w:lang w:val="en-GB"/>
        </w:rPr>
        <w:t xml:space="preserve">an </w:t>
      </w:r>
      <w:r w:rsidR="00DF7050" w:rsidRPr="00186887">
        <w:rPr>
          <w:lang w:val="en-GB"/>
        </w:rPr>
        <w:t>operating experimental setup that runs a Fischer-</w:t>
      </w:r>
      <w:proofErr w:type="spellStart"/>
      <w:r w:rsidR="00DF7050" w:rsidRPr="00186887">
        <w:rPr>
          <w:lang w:val="en-GB"/>
        </w:rPr>
        <w:t>Tropsch</w:t>
      </w:r>
      <w:proofErr w:type="spellEnd"/>
      <w:r w:rsidR="00DF7050" w:rsidRPr="00186887">
        <w:rPr>
          <w:lang w:val="en-GB"/>
        </w:rPr>
        <w:t xml:space="preserve"> synthesis. </w:t>
      </w:r>
      <w:r w:rsidR="00C86206" w:rsidRPr="00186887">
        <w:rPr>
          <w:lang w:val="en-GB"/>
        </w:rPr>
        <w:t xml:space="preserve">The aim is to </w:t>
      </w:r>
      <w:r w:rsidR="00F473E3" w:rsidRPr="00186887">
        <w:rPr>
          <w:lang w:val="en-GB"/>
        </w:rPr>
        <w:t xml:space="preserve">detect critical sections and vulnerabilities while providing suggestions for improving the overall safety of the </w:t>
      </w:r>
      <w:r w:rsidR="009B3CA8" w:rsidRPr="00186887">
        <w:rPr>
          <w:lang w:val="en-GB"/>
        </w:rPr>
        <w:t>experimental apparatus.</w:t>
      </w:r>
      <w:r w:rsidR="004D3E55" w:rsidRPr="00186887">
        <w:t xml:space="preserve"> </w:t>
      </w:r>
      <w:r w:rsidR="004D3E55" w:rsidRPr="00186887">
        <w:rPr>
          <w:lang w:val="en-GB"/>
        </w:rPr>
        <w:t xml:space="preserve">High-risk scenarios associated with deviations from the experimental test intent </w:t>
      </w:r>
      <w:r w:rsidR="007F6FBE" w:rsidRPr="00186887">
        <w:rPr>
          <w:lang w:val="en-GB"/>
        </w:rPr>
        <w:t>are identified</w:t>
      </w:r>
      <w:r w:rsidR="008762E8" w:rsidRPr="00186887">
        <w:rPr>
          <w:lang w:val="en-GB"/>
        </w:rPr>
        <w:t>,</w:t>
      </w:r>
      <w:r w:rsidR="007F6FBE" w:rsidRPr="00186887">
        <w:rPr>
          <w:lang w:val="en-GB"/>
        </w:rPr>
        <w:t xml:space="preserve"> and </w:t>
      </w:r>
      <w:r w:rsidR="004D3E55" w:rsidRPr="00186887">
        <w:rPr>
          <w:lang w:val="en-GB"/>
        </w:rPr>
        <w:t>proper risk reduction strategies</w:t>
      </w:r>
      <w:r w:rsidR="007F6FBE" w:rsidRPr="00186887">
        <w:rPr>
          <w:lang w:val="en-GB"/>
        </w:rPr>
        <w:t xml:space="preserve"> </w:t>
      </w:r>
      <w:r w:rsidR="008762E8" w:rsidRPr="00186887">
        <w:rPr>
          <w:lang w:val="en-GB"/>
        </w:rPr>
        <w:t xml:space="preserve">are </w:t>
      </w:r>
      <w:r w:rsidR="007F6FBE" w:rsidRPr="00186887">
        <w:rPr>
          <w:lang w:val="en-GB"/>
        </w:rPr>
        <w:t>implemented</w:t>
      </w:r>
      <w:r w:rsidR="004D3E55" w:rsidRPr="00186887">
        <w:rPr>
          <w:lang w:val="en-GB"/>
        </w:rPr>
        <w:t>.</w:t>
      </w:r>
      <w:r w:rsidR="009B3CA8">
        <w:rPr>
          <w:lang w:val="en-GB"/>
        </w:rPr>
        <w:t xml:space="preserve"> </w:t>
      </w:r>
    </w:p>
    <w:p w14:paraId="5741900F" w14:textId="6F833D64" w:rsidR="00453E24" w:rsidRDefault="00453E24" w:rsidP="00453E24">
      <w:pPr>
        <w:pStyle w:val="CETHeading1"/>
      </w:pPr>
      <w:r>
        <w:t>S</w:t>
      </w:r>
      <w:r w:rsidR="009948CA">
        <w:t>afety in academic laboratories</w:t>
      </w:r>
    </w:p>
    <w:p w14:paraId="522122DD" w14:textId="1AF598D8" w:rsidR="00305427" w:rsidRDefault="00305427" w:rsidP="00305427">
      <w:pPr>
        <w:pStyle w:val="CETBodytext"/>
      </w:pPr>
      <w:r>
        <w:t>Research laboratories and industrial installations differ significantly in terms of safety due to their distinct operational environments, goals, and scales of operation. The specificities of equipment and safety protocols in each context reflect these differences:</w:t>
      </w:r>
    </w:p>
    <w:p w14:paraId="1A02E624" w14:textId="0C3783CE" w:rsidR="00305427" w:rsidRDefault="00305427" w:rsidP="005156D1">
      <w:pPr>
        <w:pStyle w:val="CETBodytext"/>
        <w:numPr>
          <w:ilvl w:val="0"/>
          <w:numId w:val="30"/>
        </w:numPr>
      </w:pPr>
      <w:r>
        <w:t>Scale and Scope of Operations: Research laboratories typically focus on small-scale</w:t>
      </w:r>
      <w:r w:rsidR="001D2FCF">
        <w:t>, often exploratory experiments</w:t>
      </w:r>
      <w:r>
        <w:t xml:space="preserve"> </w:t>
      </w:r>
      <w:r w:rsidR="002A798B">
        <w:t>to generate new knowledge or test</w:t>
      </w:r>
      <w:r>
        <w:t xml:space="preserve"> scientific hypotheses. This contrasts with industrial installations, where processes are s</w:t>
      </w:r>
      <w:r w:rsidR="002A798B">
        <w:t>ignificantly scaled up for production</w:t>
      </w:r>
      <w:r>
        <w:t xml:space="preserve">. The small scale of research labs may lead some to perceive the risks as lower, potentially leading to less stringent adherence to safety protocols </w:t>
      </w:r>
      <w:r w:rsidR="002A798B">
        <w:t>than</w:t>
      </w:r>
      <w:r>
        <w:t xml:space="preserve"> the rigorous safety standards applied in industrial settings​​.</w:t>
      </w:r>
    </w:p>
    <w:p w14:paraId="3B7D35E6" w14:textId="41E0BB50" w:rsidR="00305427" w:rsidRDefault="00305427" w:rsidP="005156D1">
      <w:pPr>
        <w:pStyle w:val="CETBodytext"/>
        <w:numPr>
          <w:ilvl w:val="0"/>
          <w:numId w:val="30"/>
        </w:numPr>
      </w:pPr>
      <w:r>
        <w:t xml:space="preserve">Safety Culture and Reporting: A significant challenge in academic research laboratories is underreporting </w:t>
      </w:r>
      <w:r w:rsidR="002A798B">
        <w:t>accidents and a generally less developed safety culture than</w:t>
      </w:r>
      <w:r>
        <w:t xml:space="preserve"> </w:t>
      </w:r>
      <w:r w:rsidR="002A798B">
        <w:t xml:space="preserve">in </w:t>
      </w:r>
      <w:r>
        <w:t>industrial environments. Industrial labs benefit from a more structured approach to incident and near-miss reporting, which is crucial for ongoing safety improvements. Academic labs often lack this level of structure and rigor, leading to gaps in safety awareness and compliance​​.</w:t>
      </w:r>
    </w:p>
    <w:p w14:paraId="1552FBEA" w14:textId="77777777" w:rsidR="00305427" w:rsidRDefault="00305427" w:rsidP="005156D1">
      <w:pPr>
        <w:pStyle w:val="CETBodytext"/>
        <w:numPr>
          <w:ilvl w:val="0"/>
          <w:numId w:val="30"/>
        </w:numPr>
      </w:pPr>
      <w:r>
        <w:t xml:space="preserve">Training and Turnover: The dynamic nature of academic settings, characterized by high turnover and a mix of experience levels among researchers, poses unique challenges for maintaining a strong safety culture. This </w:t>
      </w:r>
      <w:proofErr w:type="gramStart"/>
      <w:r>
        <w:t>is in contrast to</w:t>
      </w:r>
      <w:proofErr w:type="gramEnd"/>
      <w:r>
        <w:t xml:space="preserve"> industrial labs, where employees typically have more stable roles and undergo regular, comprehensive safety training aligned with the specific hazards of their work environment​​.</w:t>
      </w:r>
    </w:p>
    <w:p w14:paraId="38E09A9F" w14:textId="394B557B" w:rsidR="00305427" w:rsidRDefault="00305427" w:rsidP="005156D1">
      <w:pPr>
        <w:pStyle w:val="CETBodytext"/>
        <w:numPr>
          <w:ilvl w:val="0"/>
          <w:numId w:val="30"/>
        </w:numPr>
      </w:pPr>
      <w:r>
        <w:t xml:space="preserve">Personal Protective Equipment (PPE) and Safety Procedures: </w:t>
      </w:r>
      <w:r w:rsidR="00A406A6">
        <w:t>PPE use</w:t>
      </w:r>
      <w:r>
        <w:t xml:space="preserve"> and adherence to safety procedures vary widely between academic and industrial settings. Industrial researchers are more </w:t>
      </w:r>
      <w:r>
        <w:lastRenderedPageBreak/>
        <w:t>likely to use risk assessment methods before experiments and consistently use PPE</w:t>
      </w:r>
      <w:r w:rsidR="00A340E2">
        <w:t>. At the same time,</w:t>
      </w:r>
      <w:r>
        <w:t xml:space="preserve"> academic labs show lower compliance, partly due to a culture of autonomy and intellectual freedom that may prioritize research outcomes over safety protocols​​.</w:t>
      </w:r>
    </w:p>
    <w:p w14:paraId="17C7E24E" w14:textId="7DC9BCC8" w:rsidR="00305427" w:rsidRDefault="00305427" w:rsidP="005156D1">
      <w:pPr>
        <w:pStyle w:val="CETBodytext"/>
        <w:numPr>
          <w:ilvl w:val="0"/>
          <w:numId w:val="30"/>
        </w:numPr>
      </w:pPr>
      <w:r>
        <w:t xml:space="preserve">Safety Training and Education: In academic research labs, safety education often emphasizes preparation for teaching rather than research, leaving a gap in safety training for research activities that involve new and potentially unknown hazards. Conversely, industrial and governmental labs </w:t>
      </w:r>
      <w:r w:rsidR="00E16CDD">
        <w:t>strongly emphasize</w:t>
      </w:r>
      <w:r>
        <w:t xml:space="preserve"> detailed safety planning, extensive safety checks before experiments, and a comprehensive safety training regime that contributes to a culture of safety respected at all levels of the organization​​.</w:t>
      </w:r>
    </w:p>
    <w:p w14:paraId="1BD0D26E" w14:textId="4D6D7E7F" w:rsidR="00305427" w:rsidRDefault="00305427" w:rsidP="005156D1">
      <w:pPr>
        <w:pStyle w:val="CETBodytext"/>
        <w:numPr>
          <w:ilvl w:val="0"/>
          <w:numId w:val="30"/>
        </w:numPr>
      </w:pPr>
      <w:r>
        <w:t xml:space="preserve">Regulatory Compliance and Oversight: Industrial installations are typically subject to stricter regulatory oversight </w:t>
      </w:r>
      <w:r w:rsidR="00ED6102">
        <w:t>than</w:t>
      </w:r>
      <w:r>
        <w:t xml:space="preserve"> academic labs, driving a more disciplined approach to safety management. This includes detailed hazard evaluations, mitigation strategies, and direct reporting mechanisms for safety issues, which may not be as thoroughly implemented in academic settings​​.</w:t>
      </w:r>
    </w:p>
    <w:p w14:paraId="7A433443" w14:textId="131FBFFC" w:rsidR="00305427" w:rsidRDefault="00E463BE" w:rsidP="00305427">
      <w:pPr>
        <w:pStyle w:val="CETBodytext"/>
      </w:pPr>
      <w:r w:rsidRPr="00E463BE">
        <w:t xml:space="preserve">In academic research laboratories, the pursuit of scientific knowledge often involves the handling of various hazardous materials and the operation of complex equipment. This environment inherently brings a range of hazards and risks, from chemical exposures to physical dangers and equipment malfunctions. </w:t>
      </w:r>
      <w:r>
        <w:t>Table 1</w:t>
      </w:r>
      <w:r w:rsidRPr="00E463BE">
        <w:t xml:space="preserve"> presents a detailed overview of these </w:t>
      </w:r>
      <w:r>
        <w:t>primary</w:t>
      </w:r>
      <w:r w:rsidRPr="00E463BE">
        <w:t xml:space="preserve"> sources of </w:t>
      </w:r>
      <w:r>
        <w:t xml:space="preserve">hazard and </w:t>
      </w:r>
      <w:r w:rsidRPr="00E463BE">
        <w:t>risk. This framework aims to enhance the understanding of potential dangers within the lab and emphasize the importance of a comprehensive approach to laboratory safety.</w:t>
      </w:r>
    </w:p>
    <w:p w14:paraId="4D9B5A31" w14:textId="4BC83A60" w:rsidR="000A2741" w:rsidRDefault="001B23D6" w:rsidP="000A2741">
      <w:pPr>
        <w:pStyle w:val="CETTabletitle"/>
      </w:pPr>
      <w:r w:rsidRPr="009730A1">
        <w:t xml:space="preserve">Table </w:t>
      </w:r>
      <w:r w:rsidR="00186887">
        <w:t>1</w:t>
      </w:r>
      <w:r w:rsidRPr="009730A1">
        <w:t xml:space="preserve">: </w:t>
      </w:r>
      <w:r>
        <w:t xml:space="preserve">Overview of </w:t>
      </w:r>
      <w:r w:rsidR="00C37B2B">
        <w:t>primary</w:t>
      </w:r>
      <w:r>
        <w:t xml:space="preserve"> sources of hazards and risks in academic research laboratories. </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60"/>
        <w:gridCol w:w="7229"/>
      </w:tblGrid>
      <w:tr w:rsidR="001B23D6" w:rsidRPr="00B57B36" w14:paraId="48D77092" w14:textId="77777777" w:rsidTr="00015D59">
        <w:trPr>
          <w:trHeight w:val="300"/>
        </w:trPr>
        <w:tc>
          <w:tcPr>
            <w:tcW w:w="1560" w:type="dxa"/>
            <w:tcBorders>
              <w:top w:val="single" w:sz="12" w:space="0" w:color="008000"/>
              <w:bottom w:val="single" w:sz="6" w:space="0" w:color="008000"/>
            </w:tcBorders>
            <w:shd w:val="clear" w:color="auto" w:fill="FFFFFF" w:themeFill="background1"/>
          </w:tcPr>
          <w:p w14:paraId="2859EDE1" w14:textId="5EFAA0F7" w:rsidR="001B23D6" w:rsidRPr="00B57B36" w:rsidRDefault="00086E73" w:rsidP="005156D1">
            <w:pPr>
              <w:pStyle w:val="CETBodytext"/>
              <w:rPr>
                <w:lang w:val="en-GB"/>
              </w:rPr>
            </w:pPr>
            <w:r>
              <w:rPr>
                <w:lang w:val="en-GB"/>
              </w:rPr>
              <w:t>Source</w:t>
            </w:r>
          </w:p>
        </w:tc>
        <w:tc>
          <w:tcPr>
            <w:tcW w:w="7229" w:type="dxa"/>
            <w:tcBorders>
              <w:top w:val="single" w:sz="12" w:space="0" w:color="008000"/>
              <w:bottom w:val="single" w:sz="6" w:space="0" w:color="008000"/>
            </w:tcBorders>
            <w:shd w:val="clear" w:color="auto" w:fill="FFFFFF" w:themeFill="background1"/>
          </w:tcPr>
          <w:p w14:paraId="1D07A1D0" w14:textId="11F6DC7B" w:rsidR="001B23D6" w:rsidRPr="00B57B36" w:rsidRDefault="00086E73" w:rsidP="00533C37">
            <w:pPr>
              <w:pStyle w:val="CETBodytext"/>
              <w:ind w:left="141"/>
              <w:rPr>
                <w:lang w:val="en-GB"/>
              </w:rPr>
            </w:pPr>
            <w:r>
              <w:rPr>
                <w:lang w:val="en-GB"/>
              </w:rPr>
              <w:t>Description and example</w:t>
            </w:r>
          </w:p>
        </w:tc>
      </w:tr>
      <w:tr w:rsidR="001B23D6" w:rsidRPr="00B57B36" w14:paraId="5E35AF5A" w14:textId="77777777" w:rsidTr="00015D59">
        <w:trPr>
          <w:trHeight w:val="300"/>
        </w:trPr>
        <w:tc>
          <w:tcPr>
            <w:tcW w:w="1560" w:type="dxa"/>
            <w:shd w:val="clear" w:color="auto" w:fill="FFFFFF" w:themeFill="background1"/>
          </w:tcPr>
          <w:p w14:paraId="0C0659DF" w14:textId="52296DBD" w:rsidR="001B23D6" w:rsidRPr="00B57B36" w:rsidRDefault="00EC53DC" w:rsidP="00015D59">
            <w:pPr>
              <w:pStyle w:val="CETBodytext"/>
              <w:jc w:val="left"/>
              <w:rPr>
                <w:lang w:val="en-GB"/>
              </w:rPr>
            </w:pPr>
            <w:r w:rsidRPr="00EC53DC">
              <w:rPr>
                <w:lang w:val="en-GB"/>
              </w:rPr>
              <w:t>Chemical Exposure</w:t>
            </w:r>
          </w:p>
        </w:tc>
        <w:tc>
          <w:tcPr>
            <w:tcW w:w="7229" w:type="dxa"/>
            <w:shd w:val="clear" w:color="auto" w:fill="FFFFFF" w:themeFill="background1"/>
          </w:tcPr>
          <w:p w14:paraId="6AB288C4" w14:textId="47AEEF31" w:rsidR="001B23D6" w:rsidRPr="00B57B36" w:rsidRDefault="00663DE8" w:rsidP="00CD1C5A">
            <w:pPr>
              <w:pStyle w:val="CETBodytext"/>
              <w:ind w:left="141"/>
              <w:jc w:val="left"/>
              <w:rPr>
                <w:lang w:val="en-GB"/>
              </w:rPr>
            </w:pPr>
            <w:r w:rsidRPr="00663DE8">
              <w:rPr>
                <w:lang w:val="en-GB"/>
              </w:rPr>
              <w:t>Exposure to hazardous chemicals is a primary risk. This includes direct contact with corrosive acids, bases, toxic reagents, or volatile organic compounds (VOCs) that can lead to chemical burns, poisoning, or respiratory issues. For example, handling hydrochloric acid without proper PPE can cause skin burns and inhalation injuries.</w:t>
            </w:r>
          </w:p>
        </w:tc>
      </w:tr>
      <w:tr w:rsidR="001B23D6" w:rsidRPr="00B57B36" w14:paraId="490ACF8B" w14:textId="77777777" w:rsidTr="00015D59">
        <w:trPr>
          <w:trHeight w:val="300"/>
        </w:trPr>
        <w:tc>
          <w:tcPr>
            <w:tcW w:w="1560" w:type="dxa"/>
            <w:shd w:val="clear" w:color="auto" w:fill="FFFFFF" w:themeFill="background1"/>
          </w:tcPr>
          <w:p w14:paraId="4C94FBF7" w14:textId="6B175FAF" w:rsidR="001B23D6" w:rsidRPr="00B57B36" w:rsidRDefault="00663DE8" w:rsidP="00015D59">
            <w:pPr>
              <w:pStyle w:val="CETBodytext"/>
              <w:ind w:right="-1"/>
              <w:jc w:val="left"/>
              <w:rPr>
                <w:rFonts w:cs="Arial"/>
                <w:szCs w:val="18"/>
                <w:lang w:val="en-GB"/>
              </w:rPr>
            </w:pPr>
            <w:r w:rsidRPr="00663DE8">
              <w:rPr>
                <w:rFonts w:cs="Arial"/>
                <w:szCs w:val="18"/>
                <w:lang w:val="en-GB"/>
              </w:rPr>
              <w:t>Reactive Chemical Hazards</w:t>
            </w:r>
          </w:p>
        </w:tc>
        <w:tc>
          <w:tcPr>
            <w:tcW w:w="7229" w:type="dxa"/>
            <w:shd w:val="clear" w:color="auto" w:fill="FFFFFF" w:themeFill="background1"/>
          </w:tcPr>
          <w:p w14:paraId="0A931EA1" w14:textId="2388734B" w:rsidR="001B23D6" w:rsidRPr="00B57B36" w:rsidRDefault="00663DE8" w:rsidP="00CD1C5A">
            <w:pPr>
              <w:pStyle w:val="CETBodytext"/>
              <w:ind w:left="141" w:right="-1"/>
              <w:jc w:val="left"/>
              <w:rPr>
                <w:rFonts w:cs="Arial"/>
                <w:szCs w:val="18"/>
                <w:lang w:val="en-GB"/>
              </w:rPr>
            </w:pPr>
            <w:r w:rsidRPr="00663DE8">
              <w:rPr>
                <w:rFonts w:cs="Arial"/>
                <w:szCs w:val="18"/>
                <w:lang w:val="en-GB"/>
              </w:rPr>
              <w:t xml:space="preserve">Chemical reactions can pose risks due to the potential for explosive, exothermic, or otherwise uncontrollable reactions. This includes the use of peroxides, </w:t>
            </w:r>
            <w:proofErr w:type="spellStart"/>
            <w:r w:rsidRPr="00663DE8">
              <w:rPr>
                <w:rFonts w:cs="Arial"/>
                <w:szCs w:val="18"/>
                <w:lang w:val="en-GB"/>
              </w:rPr>
              <w:t>azides</w:t>
            </w:r>
            <w:proofErr w:type="spellEnd"/>
            <w:r w:rsidRPr="00663DE8">
              <w:rPr>
                <w:rFonts w:cs="Arial"/>
                <w:szCs w:val="18"/>
                <w:lang w:val="en-GB"/>
              </w:rPr>
              <w:t xml:space="preserve">, or highly reactive metals. An example </w:t>
            </w:r>
            <w:r w:rsidR="00DF7FAF">
              <w:rPr>
                <w:rFonts w:cs="Arial"/>
                <w:szCs w:val="18"/>
                <w:lang w:val="en-GB"/>
              </w:rPr>
              <w:t>is</w:t>
            </w:r>
            <w:r w:rsidRPr="00663DE8">
              <w:rPr>
                <w:rFonts w:cs="Arial"/>
                <w:szCs w:val="18"/>
                <w:lang w:val="en-GB"/>
              </w:rPr>
              <w:t xml:space="preserve"> the risk of explosion when working with</w:t>
            </w:r>
            <w:r w:rsidR="00DF7FAF">
              <w:rPr>
                <w:rFonts w:cs="Arial"/>
                <w:szCs w:val="18"/>
                <w:lang w:val="en-GB"/>
              </w:rPr>
              <w:t xml:space="preserve"> peroxide-based materials under improperly controlled conditions</w:t>
            </w:r>
            <w:r w:rsidRPr="00663DE8">
              <w:rPr>
                <w:rFonts w:cs="Arial"/>
                <w:szCs w:val="18"/>
                <w:lang w:val="en-GB"/>
              </w:rPr>
              <w:t>.</w:t>
            </w:r>
          </w:p>
        </w:tc>
      </w:tr>
      <w:tr w:rsidR="001B23D6" w:rsidRPr="00B57B36" w14:paraId="351B0FD2" w14:textId="77777777" w:rsidTr="00015D59">
        <w:trPr>
          <w:trHeight w:val="300"/>
        </w:trPr>
        <w:tc>
          <w:tcPr>
            <w:tcW w:w="1560" w:type="dxa"/>
            <w:shd w:val="clear" w:color="auto" w:fill="FFFFFF" w:themeFill="background1"/>
          </w:tcPr>
          <w:p w14:paraId="3EC8E528" w14:textId="567ACA0F" w:rsidR="001B23D6" w:rsidRDefault="002E3CD6" w:rsidP="00015D59">
            <w:pPr>
              <w:pStyle w:val="CETBodytext"/>
              <w:ind w:right="-1"/>
              <w:jc w:val="left"/>
              <w:rPr>
                <w:rFonts w:cs="Arial"/>
                <w:szCs w:val="18"/>
                <w:lang w:val="en-GB"/>
              </w:rPr>
            </w:pPr>
            <w:r w:rsidRPr="002E3CD6">
              <w:rPr>
                <w:rFonts w:cs="Arial"/>
                <w:szCs w:val="18"/>
                <w:lang w:val="en-GB"/>
              </w:rPr>
              <w:t>Pressure and Vacuum Systems</w:t>
            </w:r>
          </w:p>
        </w:tc>
        <w:tc>
          <w:tcPr>
            <w:tcW w:w="7229" w:type="dxa"/>
            <w:shd w:val="clear" w:color="auto" w:fill="FFFFFF" w:themeFill="background1"/>
          </w:tcPr>
          <w:p w14:paraId="3C0C0B52" w14:textId="44BBDACA" w:rsidR="001B23D6" w:rsidRPr="00B57B36" w:rsidRDefault="00015D59" w:rsidP="00CD1C5A">
            <w:pPr>
              <w:pStyle w:val="CETBodytext"/>
              <w:ind w:left="141" w:right="-1"/>
              <w:jc w:val="left"/>
              <w:rPr>
                <w:rFonts w:cs="Arial"/>
                <w:lang w:val="en-GB"/>
              </w:rPr>
            </w:pPr>
            <w:r w:rsidRPr="00015D59">
              <w:rPr>
                <w:rFonts w:cs="Arial"/>
                <w:lang w:val="en-GB"/>
              </w:rPr>
              <w:t>Systems under high pressure or vacuum can fail, leading to explosions or implosions. Examples include pressure vessel rupture during high-pressure reactions or vacuum system collapse during distillation.</w:t>
            </w:r>
          </w:p>
        </w:tc>
      </w:tr>
      <w:tr w:rsidR="001B23D6" w:rsidRPr="00B57B36" w14:paraId="6DA30DD9" w14:textId="77777777" w:rsidTr="00015D59">
        <w:trPr>
          <w:trHeight w:val="300"/>
        </w:trPr>
        <w:tc>
          <w:tcPr>
            <w:tcW w:w="1560" w:type="dxa"/>
            <w:shd w:val="clear" w:color="auto" w:fill="FFFFFF" w:themeFill="background1"/>
          </w:tcPr>
          <w:p w14:paraId="6A3ACC9E" w14:textId="5E3A000A" w:rsidR="001B23D6" w:rsidRDefault="00015D59" w:rsidP="00015D59">
            <w:pPr>
              <w:pStyle w:val="CETBodytext"/>
              <w:ind w:right="-1"/>
              <w:jc w:val="left"/>
              <w:rPr>
                <w:rFonts w:cs="Arial"/>
                <w:szCs w:val="18"/>
                <w:lang w:val="en-GB"/>
              </w:rPr>
            </w:pPr>
            <w:r w:rsidRPr="00015D59">
              <w:rPr>
                <w:rFonts w:cs="Arial"/>
                <w:szCs w:val="18"/>
                <w:lang w:val="en-GB"/>
              </w:rPr>
              <w:t>Thermal Hazards</w:t>
            </w:r>
          </w:p>
        </w:tc>
        <w:tc>
          <w:tcPr>
            <w:tcW w:w="7229" w:type="dxa"/>
            <w:shd w:val="clear" w:color="auto" w:fill="FFFFFF" w:themeFill="background1"/>
          </w:tcPr>
          <w:p w14:paraId="6CC8C7BA" w14:textId="60B1B0E1" w:rsidR="001B23D6" w:rsidRPr="00B57B36" w:rsidRDefault="00616F58" w:rsidP="00CD1C5A">
            <w:pPr>
              <w:pStyle w:val="CETBodytext"/>
              <w:ind w:left="141" w:right="-1"/>
              <w:jc w:val="left"/>
              <w:rPr>
                <w:rFonts w:cs="Arial"/>
                <w:szCs w:val="18"/>
                <w:lang w:val="en-GB"/>
              </w:rPr>
            </w:pPr>
            <w:r w:rsidRPr="00616F58">
              <w:rPr>
                <w:rFonts w:cs="Arial"/>
                <w:szCs w:val="18"/>
                <w:lang w:val="en-GB"/>
              </w:rPr>
              <w:t>Processes requiring high temperatures can lead to burns, fires, or thermal decomposition of materials, producing hazardous by-products. For instance, overheating an oil bath can lead to fires, while improperly managed exothermic reactions can result in runaway reactions.</w:t>
            </w:r>
          </w:p>
        </w:tc>
      </w:tr>
      <w:tr w:rsidR="00015D59" w:rsidRPr="00B57B36" w14:paraId="1771ACC2" w14:textId="77777777" w:rsidTr="00015D59">
        <w:trPr>
          <w:trHeight w:val="300"/>
        </w:trPr>
        <w:tc>
          <w:tcPr>
            <w:tcW w:w="1560" w:type="dxa"/>
            <w:shd w:val="clear" w:color="auto" w:fill="FFFFFF" w:themeFill="background1"/>
          </w:tcPr>
          <w:p w14:paraId="0764BF89" w14:textId="0A001F23" w:rsidR="00015D59" w:rsidRDefault="00616F58" w:rsidP="00015D59">
            <w:pPr>
              <w:pStyle w:val="CETBodytext"/>
              <w:ind w:right="-1"/>
              <w:jc w:val="left"/>
              <w:rPr>
                <w:rFonts w:cs="Arial"/>
                <w:szCs w:val="18"/>
                <w:lang w:val="en-GB"/>
              </w:rPr>
            </w:pPr>
            <w:r w:rsidRPr="00616F58">
              <w:rPr>
                <w:rFonts w:cs="Arial"/>
                <w:szCs w:val="18"/>
                <w:lang w:val="en-GB"/>
              </w:rPr>
              <w:t>Equipment and Instrumentation</w:t>
            </w:r>
          </w:p>
        </w:tc>
        <w:tc>
          <w:tcPr>
            <w:tcW w:w="7229" w:type="dxa"/>
            <w:shd w:val="clear" w:color="auto" w:fill="FFFFFF" w:themeFill="background1"/>
          </w:tcPr>
          <w:p w14:paraId="3F14AE5B" w14:textId="233D22F4" w:rsidR="00015D59" w:rsidRPr="00B57B36" w:rsidRDefault="00616F58" w:rsidP="00CD1C5A">
            <w:pPr>
              <w:pStyle w:val="CETBodytext"/>
              <w:ind w:left="141" w:right="-1"/>
              <w:jc w:val="left"/>
              <w:rPr>
                <w:rFonts w:cs="Arial"/>
                <w:szCs w:val="18"/>
                <w:lang w:val="en-GB"/>
              </w:rPr>
            </w:pPr>
            <w:r w:rsidRPr="00616F58">
              <w:rPr>
                <w:rFonts w:cs="Arial"/>
                <w:szCs w:val="18"/>
                <w:lang w:val="en-GB"/>
              </w:rPr>
              <w:t>Malfunction or improper use of laboratory equipment can lead to accidents. This includes stirrers, heaters, and pressure reactors. For example, failure of a magnetic stirrer in a closed system can lead to pressure buildup and potential rupture.</w:t>
            </w:r>
          </w:p>
        </w:tc>
      </w:tr>
      <w:tr w:rsidR="00015D59" w:rsidRPr="00B57B36" w14:paraId="4CD8777F" w14:textId="77777777" w:rsidTr="00015D59">
        <w:trPr>
          <w:trHeight w:val="300"/>
        </w:trPr>
        <w:tc>
          <w:tcPr>
            <w:tcW w:w="1560" w:type="dxa"/>
            <w:shd w:val="clear" w:color="auto" w:fill="FFFFFF" w:themeFill="background1"/>
          </w:tcPr>
          <w:p w14:paraId="4C49B98A" w14:textId="3AA4D07F" w:rsidR="00015D59" w:rsidRDefault="00616F58" w:rsidP="00533C37">
            <w:pPr>
              <w:pStyle w:val="CETBodytext"/>
              <w:ind w:right="142"/>
              <w:jc w:val="left"/>
              <w:rPr>
                <w:rFonts w:cs="Arial"/>
                <w:szCs w:val="18"/>
                <w:lang w:val="en-GB"/>
              </w:rPr>
            </w:pPr>
            <w:r w:rsidRPr="00616F58">
              <w:rPr>
                <w:rFonts w:cs="Arial"/>
                <w:szCs w:val="18"/>
                <w:lang w:val="en-GB"/>
              </w:rPr>
              <w:t>Electrical Safety</w:t>
            </w:r>
          </w:p>
        </w:tc>
        <w:tc>
          <w:tcPr>
            <w:tcW w:w="7229" w:type="dxa"/>
            <w:shd w:val="clear" w:color="auto" w:fill="FFFFFF" w:themeFill="background1"/>
          </w:tcPr>
          <w:p w14:paraId="435FCA16" w14:textId="01F9C1BC" w:rsidR="00015D59" w:rsidRPr="00B57B36" w:rsidRDefault="00D924C8" w:rsidP="00CD1C5A">
            <w:pPr>
              <w:pStyle w:val="CETBodytext"/>
              <w:ind w:left="141" w:right="-1"/>
              <w:jc w:val="left"/>
              <w:rPr>
                <w:rFonts w:cs="Arial"/>
                <w:szCs w:val="18"/>
                <w:lang w:val="en-GB"/>
              </w:rPr>
            </w:pPr>
            <w:r w:rsidRPr="00D924C8">
              <w:rPr>
                <w:rFonts w:cs="Arial"/>
                <w:szCs w:val="18"/>
                <w:lang w:val="en-GB"/>
              </w:rPr>
              <w:t xml:space="preserve">Laboratory equipment and instruments pose electrical risks, including shocks, short circuits, and fires, especially when improperly used or maintained. An example is the use of non-explosion-proof equipment in an environment where flammable </w:t>
            </w:r>
            <w:proofErr w:type="spellStart"/>
            <w:r w:rsidRPr="00D924C8">
              <w:rPr>
                <w:rFonts w:cs="Arial"/>
                <w:szCs w:val="18"/>
                <w:lang w:val="en-GB"/>
              </w:rPr>
              <w:t>vapors</w:t>
            </w:r>
            <w:proofErr w:type="spellEnd"/>
            <w:r w:rsidRPr="00D924C8">
              <w:rPr>
                <w:rFonts w:cs="Arial"/>
                <w:szCs w:val="18"/>
                <w:lang w:val="en-GB"/>
              </w:rPr>
              <w:t xml:space="preserve"> are present.</w:t>
            </w:r>
          </w:p>
        </w:tc>
      </w:tr>
      <w:tr w:rsidR="00616F58" w:rsidRPr="00B57B36" w14:paraId="32A6DEDA" w14:textId="77777777" w:rsidTr="00015D59">
        <w:trPr>
          <w:trHeight w:val="300"/>
        </w:trPr>
        <w:tc>
          <w:tcPr>
            <w:tcW w:w="1560" w:type="dxa"/>
            <w:shd w:val="clear" w:color="auto" w:fill="FFFFFF" w:themeFill="background1"/>
          </w:tcPr>
          <w:p w14:paraId="3FFC4DF1" w14:textId="56CEEB44" w:rsidR="00616F58" w:rsidRDefault="00D924C8" w:rsidP="00015D59">
            <w:pPr>
              <w:pStyle w:val="CETBodytext"/>
              <w:ind w:right="-1"/>
              <w:jc w:val="left"/>
              <w:rPr>
                <w:rFonts w:cs="Arial"/>
                <w:szCs w:val="18"/>
                <w:lang w:val="en-GB"/>
              </w:rPr>
            </w:pPr>
            <w:r w:rsidRPr="00D924C8">
              <w:rPr>
                <w:rFonts w:cs="Arial"/>
                <w:szCs w:val="18"/>
                <w:lang w:val="en-GB"/>
              </w:rPr>
              <w:t>Ventilation and Air Quality</w:t>
            </w:r>
          </w:p>
        </w:tc>
        <w:tc>
          <w:tcPr>
            <w:tcW w:w="7229" w:type="dxa"/>
            <w:shd w:val="clear" w:color="auto" w:fill="FFFFFF" w:themeFill="background1"/>
          </w:tcPr>
          <w:p w14:paraId="4D46DD5C" w14:textId="30E62146" w:rsidR="00616F58" w:rsidRPr="00B57B36" w:rsidRDefault="00D924C8" w:rsidP="00CD1C5A">
            <w:pPr>
              <w:pStyle w:val="CETBodytext"/>
              <w:ind w:left="141" w:right="-1"/>
              <w:jc w:val="left"/>
              <w:rPr>
                <w:rFonts w:cs="Arial"/>
                <w:szCs w:val="18"/>
                <w:lang w:val="en-GB"/>
              </w:rPr>
            </w:pPr>
            <w:r w:rsidRPr="00D924C8">
              <w:rPr>
                <w:rFonts w:cs="Arial"/>
                <w:szCs w:val="18"/>
                <w:lang w:val="en-GB"/>
              </w:rPr>
              <w:t>Inadequate ventilation can lead to the accumulation of toxic</w:t>
            </w:r>
            <w:r w:rsidR="0070052E">
              <w:rPr>
                <w:rFonts w:cs="Arial"/>
                <w:szCs w:val="18"/>
                <w:lang w:val="en-GB"/>
              </w:rPr>
              <w:t xml:space="preserve"> or flammable</w:t>
            </w:r>
            <w:r w:rsidRPr="00D924C8">
              <w:rPr>
                <w:rFonts w:cs="Arial"/>
                <w:szCs w:val="18"/>
                <w:lang w:val="en-GB"/>
              </w:rPr>
              <w:t xml:space="preserve"> fumes or insufficient oxygen levels. For example, </w:t>
            </w:r>
            <w:r w:rsidR="00DA1615">
              <w:rPr>
                <w:rFonts w:cs="Arial"/>
                <w:szCs w:val="18"/>
                <w:lang w:val="en-GB"/>
              </w:rPr>
              <w:t>failing to use a fume hood when working with ammonia or other pungent gases can cause</w:t>
            </w:r>
            <w:r w:rsidRPr="00D924C8">
              <w:rPr>
                <w:rFonts w:cs="Arial"/>
                <w:szCs w:val="18"/>
                <w:lang w:val="en-GB"/>
              </w:rPr>
              <w:t xml:space="preserve"> respiratory irritation or worse.</w:t>
            </w:r>
          </w:p>
        </w:tc>
      </w:tr>
      <w:tr w:rsidR="00D924C8" w:rsidRPr="00B57B36" w14:paraId="25496178" w14:textId="77777777" w:rsidTr="00015D59">
        <w:trPr>
          <w:trHeight w:val="300"/>
        </w:trPr>
        <w:tc>
          <w:tcPr>
            <w:tcW w:w="1560" w:type="dxa"/>
            <w:shd w:val="clear" w:color="auto" w:fill="FFFFFF" w:themeFill="background1"/>
          </w:tcPr>
          <w:p w14:paraId="3D08BFDB" w14:textId="0754643A" w:rsidR="00D924C8" w:rsidRDefault="0070052E" w:rsidP="00015D59">
            <w:pPr>
              <w:pStyle w:val="CETBodytext"/>
              <w:ind w:right="-1"/>
              <w:jc w:val="left"/>
              <w:rPr>
                <w:rFonts w:cs="Arial"/>
                <w:szCs w:val="18"/>
                <w:lang w:val="en-GB"/>
              </w:rPr>
            </w:pPr>
            <w:r w:rsidRPr="0070052E">
              <w:rPr>
                <w:rFonts w:cs="Arial"/>
                <w:szCs w:val="18"/>
                <w:lang w:val="en-GB"/>
              </w:rPr>
              <w:t>Personal Protective Equipment (PPE)</w:t>
            </w:r>
          </w:p>
        </w:tc>
        <w:tc>
          <w:tcPr>
            <w:tcW w:w="7229" w:type="dxa"/>
            <w:shd w:val="clear" w:color="auto" w:fill="FFFFFF" w:themeFill="background1"/>
          </w:tcPr>
          <w:p w14:paraId="13B5173E" w14:textId="5160C591" w:rsidR="00D924C8" w:rsidRPr="00B57B36" w:rsidRDefault="00533C37" w:rsidP="00533C37">
            <w:pPr>
              <w:pStyle w:val="CETBodytext"/>
              <w:ind w:left="141" w:right="-1"/>
              <w:jc w:val="left"/>
              <w:rPr>
                <w:rFonts w:cs="Arial"/>
                <w:szCs w:val="18"/>
                <w:lang w:val="en-GB"/>
              </w:rPr>
            </w:pPr>
            <w:r w:rsidRPr="00533C37">
              <w:rPr>
                <w:rFonts w:cs="Arial"/>
                <w:szCs w:val="18"/>
                <w:lang w:val="en-GB"/>
              </w:rPr>
              <w:t xml:space="preserve">Failure to use or improper use of PPE can lead to exposure to hazardous substances. This includes lab coats, gloves, goggles, and face shields. An example of risk </w:t>
            </w:r>
            <w:r w:rsidR="00DA1615">
              <w:rPr>
                <w:rFonts w:cs="Arial"/>
                <w:szCs w:val="18"/>
                <w:lang w:val="en-GB"/>
              </w:rPr>
              <w:t>is not using flame-resistant lab coats while working near open flames or not utilizing appropriate gloves when handling cryogenic materials, which can lead</w:t>
            </w:r>
            <w:r w:rsidRPr="00533C37">
              <w:rPr>
                <w:rFonts w:cs="Arial"/>
                <w:szCs w:val="18"/>
                <w:lang w:val="en-GB"/>
              </w:rPr>
              <w:t xml:space="preserve"> to frostbite or burns.</w:t>
            </w:r>
          </w:p>
        </w:tc>
      </w:tr>
      <w:tr w:rsidR="0070052E" w:rsidRPr="00B57B36" w14:paraId="79B40794" w14:textId="77777777" w:rsidTr="00015D59">
        <w:trPr>
          <w:trHeight w:val="300"/>
        </w:trPr>
        <w:tc>
          <w:tcPr>
            <w:tcW w:w="1560" w:type="dxa"/>
            <w:shd w:val="clear" w:color="auto" w:fill="FFFFFF" w:themeFill="background1"/>
          </w:tcPr>
          <w:p w14:paraId="25A0EC0A" w14:textId="1AC84451" w:rsidR="0070052E" w:rsidRDefault="00533C37" w:rsidP="00015D59">
            <w:pPr>
              <w:pStyle w:val="CETBodytext"/>
              <w:ind w:right="-1"/>
              <w:jc w:val="left"/>
              <w:rPr>
                <w:rFonts w:cs="Arial"/>
                <w:szCs w:val="18"/>
                <w:lang w:val="en-GB"/>
              </w:rPr>
            </w:pPr>
            <w:r w:rsidRPr="00533C37">
              <w:rPr>
                <w:rFonts w:cs="Arial"/>
                <w:szCs w:val="18"/>
                <w:lang w:val="en-GB"/>
              </w:rPr>
              <w:t>Training and Safety Culture</w:t>
            </w:r>
          </w:p>
        </w:tc>
        <w:tc>
          <w:tcPr>
            <w:tcW w:w="7229" w:type="dxa"/>
            <w:shd w:val="clear" w:color="auto" w:fill="FFFFFF" w:themeFill="background1"/>
          </w:tcPr>
          <w:p w14:paraId="298BF7F4" w14:textId="6364DB44" w:rsidR="0070052E" w:rsidRPr="00B57B36" w:rsidRDefault="00533C37" w:rsidP="00533C37">
            <w:pPr>
              <w:pStyle w:val="CETBodytext"/>
              <w:ind w:left="141" w:right="-1"/>
              <w:jc w:val="left"/>
              <w:rPr>
                <w:rFonts w:cs="Arial"/>
                <w:szCs w:val="18"/>
                <w:lang w:val="en-GB"/>
              </w:rPr>
            </w:pPr>
            <w:r w:rsidRPr="00533C37">
              <w:rPr>
                <w:rFonts w:cs="Arial"/>
                <w:szCs w:val="18"/>
                <w:lang w:val="en-GB"/>
              </w:rPr>
              <w:t xml:space="preserve">Lack of adequate training and a weak safety culture contribute significantly to laboratory accidents. This includes not understanding the proper use of equipment, underestimating chemical hazards, and not engaging in regular safety meetings. An example is </w:t>
            </w:r>
            <w:r w:rsidR="00DA1615">
              <w:rPr>
                <w:rFonts w:cs="Arial"/>
                <w:szCs w:val="18"/>
                <w:lang w:val="en-GB"/>
              </w:rPr>
              <w:t>improperly</w:t>
            </w:r>
            <w:r w:rsidRPr="00533C37">
              <w:rPr>
                <w:rFonts w:cs="Arial"/>
                <w:szCs w:val="18"/>
                <w:lang w:val="en-GB"/>
              </w:rPr>
              <w:t xml:space="preserve"> </w:t>
            </w:r>
            <w:r w:rsidR="00C76F75">
              <w:rPr>
                <w:rFonts w:cs="Arial"/>
                <w:szCs w:val="18"/>
                <w:lang w:val="en-GB"/>
              </w:rPr>
              <w:t>scaling up</w:t>
            </w:r>
            <w:r w:rsidRPr="00533C37">
              <w:rPr>
                <w:rFonts w:cs="Arial"/>
                <w:szCs w:val="18"/>
                <w:lang w:val="en-GB"/>
              </w:rPr>
              <w:t xml:space="preserve"> reactions without adequate review of the hazards involved or bypassing safety protocols for expediency.</w:t>
            </w:r>
          </w:p>
        </w:tc>
      </w:tr>
    </w:tbl>
    <w:p w14:paraId="43FE3EE6" w14:textId="087B923B" w:rsidR="00A64979" w:rsidRDefault="00A64979" w:rsidP="00A64979">
      <w:pPr>
        <w:pStyle w:val="CETHeading1"/>
      </w:pPr>
      <w:r>
        <w:lastRenderedPageBreak/>
        <w:t>Methodology and results</w:t>
      </w:r>
    </w:p>
    <w:p w14:paraId="1F62538E" w14:textId="56B399D0" w:rsidR="00553C61" w:rsidRPr="00A00CCE" w:rsidRDefault="00553C61" w:rsidP="00C928DC">
      <w:pPr>
        <w:pStyle w:val="CETBodytext"/>
      </w:pPr>
      <w:r w:rsidRPr="00A00CCE">
        <w:t xml:space="preserve">The risk assessment of the experimental setup </w:t>
      </w:r>
      <w:r w:rsidR="0004169C" w:rsidRPr="00A00CCE">
        <w:t>was</w:t>
      </w:r>
      <w:r w:rsidRPr="00A00CCE">
        <w:t xml:space="preserve"> </w:t>
      </w:r>
      <w:r w:rsidR="00F61AAF" w:rsidRPr="00A00CCE">
        <w:t>based on</w:t>
      </w:r>
      <w:r w:rsidRPr="00A00CCE">
        <w:t xml:space="preserve"> a set of techniques focusing on peculiarities and </w:t>
      </w:r>
      <w:r w:rsidR="004075C8" w:rsidRPr="00A00CCE">
        <w:t xml:space="preserve">the impact of human actions on the operability of the plant. </w:t>
      </w:r>
    </w:p>
    <w:p w14:paraId="32F7E210" w14:textId="23AB4F23" w:rsidR="00C928DC" w:rsidRPr="00A00CCE" w:rsidRDefault="004075C8" w:rsidP="00C928DC">
      <w:pPr>
        <w:pStyle w:val="CETBodytext"/>
      </w:pPr>
      <w:r w:rsidRPr="00A00CCE">
        <w:t xml:space="preserve">The </w:t>
      </w:r>
      <w:r w:rsidR="0004169C" w:rsidRPr="00A00CCE">
        <w:t xml:space="preserve">following </w:t>
      </w:r>
      <w:r w:rsidR="00E24649" w:rsidRPr="00A00CCE">
        <w:t xml:space="preserve">techniques </w:t>
      </w:r>
      <w:r w:rsidR="0004169C" w:rsidRPr="00A00CCE">
        <w:t xml:space="preserve">were </w:t>
      </w:r>
      <w:r w:rsidRPr="00A00CCE">
        <w:t>used</w:t>
      </w:r>
      <w:r w:rsidR="0004169C" w:rsidRPr="00A00CCE">
        <w:t xml:space="preserve"> to perform the analysis</w:t>
      </w:r>
      <w:r w:rsidR="00E24649" w:rsidRPr="00A00CCE">
        <w:t>:</w:t>
      </w:r>
    </w:p>
    <w:p w14:paraId="6C06A6E7" w14:textId="1911EBAA" w:rsidR="00C928DC" w:rsidRPr="00A00CCE" w:rsidRDefault="00C928DC" w:rsidP="00C928DC">
      <w:pPr>
        <w:pStyle w:val="CETBodytext"/>
        <w:numPr>
          <w:ilvl w:val="0"/>
          <w:numId w:val="29"/>
        </w:numPr>
      </w:pPr>
      <w:r w:rsidRPr="00A00CCE">
        <w:t>Interaction matrix</w:t>
      </w:r>
      <w:r w:rsidR="00465369" w:rsidRPr="00A00CCE">
        <w:t xml:space="preserve"> (IM)</w:t>
      </w:r>
      <w:r w:rsidR="00B60D2F">
        <w:t>.</w:t>
      </w:r>
    </w:p>
    <w:p w14:paraId="563DD484" w14:textId="63F00BE9" w:rsidR="00C928DC" w:rsidRPr="00A00CCE" w:rsidRDefault="00C928DC" w:rsidP="00C928DC">
      <w:pPr>
        <w:pStyle w:val="CETBodytext"/>
        <w:numPr>
          <w:ilvl w:val="0"/>
          <w:numId w:val="29"/>
        </w:numPr>
      </w:pPr>
      <w:r w:rsidRPr="00A00CCE">
        <w:t>Hazard and operability analysis</w:t>
      </w:r>
      <w:r w:rsidR="00465369" w:rsidRPr="00A00CCE">
        <w:t xml:space="preserve"> (HAZOP)</w:t>
      </w:r>
      <w:r w:rsidR="00B60D2F">
        <w:t>.</w:t>
      </w:r>
      <w:r w:rsidRPr="00A00CCE">
        <w:t xml:space="preserve"> </w:t>
      </w:r>
    </w:p>
    <w:p w14:paraId="1D0EBBAC" w14:textId="0C7D8D23" w:rsidR="00C928DC" w:rsidRPr="00A00CCE" w:rsidRDefault="00C928DC" w:rsidP="00C928DC">
      <w:pPr>
        <w:pStyle w:val="CETBodytext"/>
        <w:numPr>
          <w:ilvl w:val="0"/>
          <w:numId w:val="29"/>
        </w:numPr>
      </w:pPr>
      <w:r w:rsidRPr="00A00CCE">
        <w:t>Layer of protection analysis (LOPA)</w:t>
      </w:r>
      <w:r w:rsidR="00A90E10" w:rsidRPr="00A00CCE">
        <w:t>.</w:t>
      </w:r>
    </w:p>
    <w:p w14:paraId="0E1C8236" w14:textId="374E72D4" w:rsidR="00A00CCE" w:rsidRDefault="00E24649" w:rsidP="00A00CCE">
      <w:pPr>
        <w:pStyle w:val="CETBodytext"/>
      </w:pPr>
      <w:r w:rsidRPr="00A00CCE">
        <w:t xml:space="preserve">The first technique, the interaction matrix, </w:t>
      </w:r>
      <w:r w:rsidR="0004169C" w:rsidRPr="00A00CCE">
        <w:t xml:space="preserve">was adopted </w:t>
      </w:r>
      <w:r w:rsidRPr="00A00CCE">
        <w:t xml:space="preserve">to determine any incompatibilities </w:t>
      </w:r>
      <w:r w:rsidR="00553C61" w:rsidRPr="00A00CCE">
        <w:t>among substances, materials and operating conditions</w:t>
      </w:r>
      <w:r w:rsidR="0069560C">
        <w:t xml:space="preserve"> </w:t>
      </w:r>
      <w:r w:rsidR="00AB1245">
        <w:fldChar w:fldCharType="begin" w:fldLock="1"/>
      </w:r>
      <w:r w:rsidR="00A0515A">
        <w:instrText>ADDIN CSL_CITATION {"citationItems":[{"id":"ITEM-1","itemData":{"DOI":"https://doi.org/10.1002/9780470924891.ch3","ISBN":"9780470924891","abstract":"Summary This chapter contains sections titled: Analyzing Material Properties and Process Conditions Using Experience Developing Interaction Matrixes Hazard Identification Results Using Hazard Evaluation Techniques to Identify Hazards Initial Assessment of Worst-case Consequences Hazard Reduction Approaches and Inherent Safety Reviews","author":[{"dropping-particle":"","family":"CCPS","given":"","non-dropping-particle":"","parse-names":false,"suffix":""}],"container-title":"Guidelines for Hazard Evaluation Procedures","id":"ITEM-1","issued":{"date-parts":[["2008","4","3"]]},"note":"Wiley Online Books","page":"51-69","title":"Hazard Identification Methods","type":"chapter"},"uris":["http://www.mendeley.com/documents/?uuid=eec984a7-8bde-4bf2-a551-21eec51cf554"]}],"mendeley":{"formattedCitation":"(CCPS, 2008)","plainTextFormattedCitation":"(CCPS, 2008)","previouslyFormattedCitation":"(CCPS, 2008)"},"properties":{"noteIndex":0},"schema":"https://github.com/citation-style-language/schema/raw/master/csl-citation.json"}</w:instrText>
      </w:r>
      <w:r w:rsidR="00AB1245">
        <w:fldChar w:fldCharType="separate"/>
      </w:r>
      <w:r w:rsidR="00214A5A" w:rsidRPr="00214A5A">
        <w:rPr>
          <w:noProof/>
        </w:rPr>
        <w:t>(CCPS, 2008)</w:t>
      </w:r>
      <w:r w:rsidR="00AB1245">
        <w:fldChar w:fldCharType="end"/>
      </w:r>
      <w:r w:rsidR="00C928DC" w:rsidRPr="00A00CCE">
        <w:t>.</w:t>
      </w:r>
      <w:r w:rsidR="00F61AAF" w:rsidRPr="00A00CCE">
        <w:t xml:space="preserve"> </w:t>
      </w:r>
      <w:r w:rsidR="008F2D6B" w:rsidRPr="00A00CCE">
        <w:t>T</w:t>
      </w:r>
      <w:r w:rsidRPr="00A00CCE">
        <w:t>he second technique</w:t>
      </w:r>
      <w:r w:rsidR="008F2D6B" w:rsidRPr="00A00CCE">
        <w:t xml:space="preserve">, i.e. the </w:t>
      </w:r>
      <w:r w:rsidRPr="00A00CCE">
        <w:t xml:space="preserve">HAZOP analysis, </w:t>
      </w:r>
      <w:r w:rsidR="008F2D6B" w:rsidRPr="00A00CCE">
        <w:t>systematically</w:t>
      </w:r>
      <w:r w:rsidR="008F2D6B">
        <w:t xml:space="preserve"> addressed deviations leading to </w:t>
      </w:r>
      <w:r w:rsidRPr="00E24649">
        <w:t>potential</w:t>
      </w:r>
      <w:r w:rsidR="00A64979">
        <w:t>ly</w:t>
      </w:r>
      <w:r w:rsidRPr="00E24649">
        <w:t xml:space="preserve"> hazardous scenario</w:t>
      </w:r>
      <w:r>
        <w:t>s</w:t>
      </w:r>
      <w:r w:rsidR="00AB1245">
        <w:t xml:space="preserve"> </w:t>
      </w:r>
      <w:r w:rsidR="00AB1245">
        <w:fldChar w:fldCharType="begin" w:fldLock="1"/>
      </w:r>
      <w:r w:rsidR="00A0515A">
        <w:instrText>ADDIN CSL_CITATION {"citationItems":[{"id":"ITEM-1","itemData":{"DOI":"https://doi.org/10.1016/C2014-0-04859-9","ISBN":"978-0-323-39460-4","author":[{"dropping-particle":"","family":"Crawley","given":"Frank","non-dropping-particle":"","parse-names":false,"suffix":""},{"dropping-particle":"","family":"Tyler","given":"Brian","non-dropping-particle":"","parse-names":false,"suffix":""}],"edition":"3rd ed.","id":"ITEM-1","issued":{"date-parts":[["2015"]]},"publisher":"Elsevier","title":"HAZOP: Guide to Best Practice","type":"book"},"uris":["http://www.mendeley.com/documents/?uuid=b2789a88-68fe-4280-8a96-ca917cf2ce19"]}],"mendeley":{"formattedCitation":"(Crawley and Tyler, 2015)","plainTextFormattedCitation":"(Crawley and Tyler, 2015)","previouslyFormattedCitation":"(Crawley and Tyler, 2015)"},"properties":{"noteIndex":0},"schema":"https://github.com/citation-style-language/schema/raw/master/csl-citation.json"}</w:instrText>
      </w:r>
      <w:r w:rsidR="00AB1245">
        <w:fldChar w:fldCharType="separate"/>
      </w:r>
      <w:r w:rsidR="00214A5A" w:rsidRPr="00214A5A">
        <w:rPr>
          <w:noProof/>
        </w:rPr>
        <w:t>(Crawley and Tyler, 2015)</w:t>
      </w:r>
      <w:r w:rsidR="00AB1245">
        <w:fldChar w:fldCharType="end"/>
      </w:r>
      <w:r w:rsidR="00AB1245">
        <w:fldChar w:fldCharType="begin" w:fldLock="1"/>
      </w:r>
      <w:r w:rsidR="00BA1E5F">
        <w:instrText>ADDIN CSL_CITATION {"citationItems":[{"id":"ITEM-1","itemData":{"author":[{"dropping-particle":"","family":"The British Standards Institution","given":"","non-dropping-particle":"","parse-names":false,"suffix":""}],"id":"ITEM-1","issued":{"date-parts":[["2016"]]},"number":"BS EN 61882:2016","title":"BS EN 61882:2016, Hazard and operability studies (HAZOP studies) — Application guide","type":"legislation"},"uris":["http://www.mendeley.com/documents/?uuid=b652b89e-add8-4f1c-9033-397202112440"]}],"mendeley":{"formattedCitation":"(The British Standards Institution, 2016)","plainTextFormattedCitation":"(The British Standards Institution, 2016)","previouslyFormattedCitation":"(The British Standards Institution, 2016)"},"properties":{"noteIndex":0},"schema":"https://github.com/citation-style-language/schema/raw/master/csl-citation.json"}</w:instrText>
      </w:r>
      <w:r w:rsidR="00AB1245">
        <w:fldChar w:fldCharType="separate"/>
      </w:r>
      <w:r w:rsidR="00214A5A" w:rsidRPr="00214A5A">
        <w:rPr>
          <w:noProof/>
        </w:rPr>
        <w:t>(The British Standards Institution, 2016)</w:t>
      </w:r>
      <w:r w:rsidR="00AB1245">
        <w:fldChar w:fldCharType="end"/>
      </w:r>
      <w:r w:rsidR="00C928DC" w:rsidRPr="00C928DC">
        <w:t xml:space="preserve">. </w:t>
      </w:r>
      <w:r w:rsidR="008F2D6B">
        <w:t>The</w:t>
      </w:r>
      <w:r w:rsidRPr="00E24649">
        <w:t xml:space="preserve"> results of these two techniques </w:t>
      </w:r>
      <w:r w:rsidR="0004169C">
        <w:t xml:space="preserve">set the basis for the subsequent </w:t>
      </w:r>
      <w:r w:rsidR="008F2D6B">
        <w:t xml:space="preserve">approach </w:t>
      </w:r>
      <w:r w:rsidR="0004169C">
        <w:t xml:space="preserve">according to a </w:t>
      </w:r>
      <w:r w:rsidR="008F2D6B">
        <w:t>layer of protection analysis (LOPA)</w:t>
      </w:r>
      <w:r w:rsidRPr="00E24649">
        <w:t>.</w:t>
      </w:r>
      <w:r w:rsidR="008F2D6B">
        <w:t xml:space="preserve"> The LOPA </w:t>
      </w:r>
      <w:r w:rsidR="0004169C">
        <w:t xml:space="preserve">was </w:t>
      </w:r>
      <w:r w:rsidR="008F2D6B">
        <w:t xml:space="preserve">applied to </w:t>
      </w:r>
      <w:r w:rsidRPr="00E24649">
        <w:t>scenarios classified as unacceptable</w:t>
      </w:r>
      <w:r w:rsidR="008F2D6B">
        <w:t xml:space="preserve"> or high-risk </w:t>
      </w:r>
      <w:r w:rsidR="0004169C">
        <w:t>as a result of</w:t>
      </w:r>
      <w:r w:rsidRPr="00E24649">
        <w:t xml:space="preserve"> the HAZOP analysis</w:t>
      </w:r>
      <w:r w:rsidR="00AB1245">
        <w:t xml:space="preserve"> </w:t>
      </w:r>
      <w:r w:rsidR="00AB1245">
        <w:fldChar w:fldCharType="begin" w:fldLock="1"/>
      </w:r>
      <w:r w:rsidR="00BA1E5F">
        <w:instrText>ADDIN CSL_CITATION {"citationItems":[{"id":"ITEM-1","itemData":{"author":[{"dropping-particle":"","family":"The British Standards Institution","given":"","non-dropping-particle":"","parse-names":false,"suffix":""}],"id":"ITEM-1","issued":{"date-parts":[["2017"]]},"title":"BS EN 61511-1:2017+A1:2017, Functional safety-Safety instrumented systems for the process industry sector- Part 1: Framework, definitions, system, hardware and application programming requirements","type":"legislation"},"uris":["http://www.mendeley.com/documents/?uuid=22b27883-7315-4513-8613-c7410fc0d161"]}],"mendeley":{"formattedCitation":"(The British Standards Institution, 2017)","plainTextFormattedCitation":"(The British Standards Institution, 2017)","previouslyFormattedCitation":"(The British Standards Institution, 2017)"},"properties":{"noteIndex":0},"schema":"https://github.com/citation-style-language/schema/raw/master/csl-citation.json"}</w:instrText>
      </w:r>
      <w:r w:rsidR="00AB1245">
        <w:fldChar w:fldCharType="separate"/>
      </w:r>
      <w:r w:rsidR="00214A5A" w:rsidRPr="00214A5A">
        <w:rPr>
          <w:noProof/>
        </w:rPr>
        <w:t>(The British Standards Institution, 2017)</w:t>
      </w:r>
      <w:r w:rsidR="00AB1245">
        <w:fldChar w:fldCharType="end"/>
      </w:r>
      <w:r w:rsidR="0069560C">
        <w:t xml:space="preserve"> </w:t>
      </w:r>
      <w:r w:rsidR="00AB1245">
        <w:fldChar w:fldCharType="begin" w:fldLock="1"/>
      </w:r>
      <w:r w:rsidR="00A0515A">
        <w:instrText>ADDIN CSL_CITATION {"citationItems":[{"id":"ITEM-1","itemData":{"DOI":"https://doi.org/10.1016/B978-0-443-15230-6.00013-6","ISBN":"978-0-443-15230-6","author":[{"dropping-particle":"","family":"Clarke","given":"Peter","non-dropping-particle":"","parse-names":false,"suffix":""}],"container-title":"Functional Safety from Scratch","editor":[{"dropping-particle":"","family":"Clarke","given":"Peter","non-dropping-particle":"","parse-names":false,"suffix":""}],"id":"ITEM-1","issued":{"date-parts":[["2023"]]},"page":"1-26","publisher":"Elsevier","title":"Chapter 1 - Introduction to functional safety","type":"chapter"},"uris":["http://www.mendeley.com/documents/?uuid=d6161a6b-a405-4a0f-a810-c5d8bc787de6"]}],"mendeley":{"formattedCitation":"(Clarke, 2023)","plainTextFormattedCitation":"(Clarke, 2023)","previouslyFormattedCitation":"(Clarke, 2023)"},"properties":{"noteIndex":0},"schema":"https://github.com/citation-style-language/schema/raw/master/csl-citation.json"}</w:instrText>
      </w:r>
      <w:r w:rsidR="00AB1245">
        <w:fldChar w:fldCharType="separate"/>
      </w:r>
      <w:r w:rsidR="00214A5A" w:rsidRPr="00214A5A">
        <w:rPr>
          <w:noProof/>
        </w:rPr>
        <w:t>(Clarke, 2023)</w:t>
      </w:r>
      <w:r w:rsidR="00AB1245">
        <w:fldChar w:fldCharType="end"/>
      </w:r>
      <w:r w:rsidR="00AB1245">
        <w:t xml:space="preserve">. </w:t>
      </w:r>
    </w:p>
    <w:p w14:paraId="6AEC4CE4" w14:textId="22BEB106" w:rsidR="00C1054F" w:rsidRDefault="0FE7D6D6" w:rsidP="00A00CCE">
      <w:pPr>
        <w:pStyle w:val="CETBodytext"/>
        <w:rPr>
          <w:rFonts w:eastAsia="Arial" w:cs="Arial"/>
          <w:szCs w:val="18"/>
        </w:rPr>
      </w:pPr>
      <w:r w:rsidRPr="0FE7D6D6">
        <w:rPr>
          <w:rFonts w:eastAsia="Arial" w:cs="Arial"/>
          <w:szCs w:val="18"/>
        </w:rPr>
        <w:t xml:space="preserve">The case study </w:t>
      </w:r>
      <w:r w:rsidR="0004169C">
        <w:rPr>
          <w:rFonts w:eastAsia="Arial" w:cs="Arial"/>
          <w:szCs w:val="18"/>
        </w:rPr>
        <w:t>focused on an operating experimental setup for performing Fischer-</w:t>
      </w:r>
      <w:proofErr w:type="spellStart"/>
      <w:r w:rsidR="0004169C">
        <w:rPr>
          <w:rFonts w:eastAsia="Arial" w:cs="Arial"/>
          <w:szCs w:val="18"/>
        </w:rPr>
        <w:t>Tropsch</w:t>
      </w:r>
      <w:proofErr w:type="spellEnd"/>
      <w:r w:rsidR="0004169C">
        <w:rPr>
          <w:rFonts w:eastAsia="Arial" w:cs="Arial"/>
          <w:szCs w:val="18"/>
        </w:rPr>
        <w:t xml:space="preserve"> (FT) syntheses where syngas mixtures are converted into hydrocarbons through a packed bed catalytic reactor at high temperature and</w:t>
      </w:r>
      <w:r w:rsidRPr="0FE7D6D6">
        <w:rPr>
          <w:rFonts w:eastAsia="Arial" w:cs="Arial"/>
          <w:szCs w:val="18"/>
        </w:rPr>
        <w:t xml:space="preserve"> pressure</w:t>
      </w:r>
      <w:r w:rsidR="00C1054F">
        <w:rPr>
          <w:rFonts w:eastAsia="Arial" w:cs="Arial"/>
          <w:szCs w:val="18"/>
        </w:rPr>
        <w:t xml:space="preserve"> (Figure 1)</w:t>
      </w:r>
      <w:r w:rsidRPr="0FE7D6D6">
        <w:rPr>
          <w:rFonts w:eastAsia="Arial" w:cs="Arial"/>
          <w:szCs w:val="18"/>
        </w:rPr>
        <w:t xml:space="preserve">. FT synthesis is a sophisticated process </w:t>
      </w:r>
      <w:r w:rsidR="0004169C">
        <w:rPr>
          <w:rFonts w:eastAsia="Arial" w:cs="Arial"/>
          <w:szCs w:val="18"/>
        </w:rPr>
        <w:t xml:space="preserve">sensitive to </w:t>
      </w:r>
      <w:r w:rsidRPr="0FE7D6D6">
        <w:rPr>
          <w:rFonts w:eastAsia="Arial" w:cs="Arial"/>
          <w:szCs w:val="18"/>
        </w:rPr>
        <w:t>critical parameters</w:t>
      </w:r>
      <w:r w:rsidR="0004169C">
        <w:rPr>
          <w:rFonts w:eastAsia="Arial" w:cs="Arial"/>
          <w:szCs w:val="18"/>
        </w:rPr>
        <w:t>,</w:t>
      </w:r>
      <w:r w:rsidRPr="0FE7D6D6">
        <w:rPr>
          <w:rFonts w:eastAsia="Arial" w:cs="Arial"/>
          <w:szCs w:val="18"/>
        </w:rPr>
        <w:t xml:space="preserve"> </w:t>
      </w:r>
      <w:r w:rsidR="0004169C">
        <w:rPr>
          <w:rFonts w:eastAsia="Arial" w:cs="Arial"/>
          <w:szCs w:val="18"/>
        </w:rPr>
        <w:t>including</w:t>
      </w:r>
      <w:r w:rsidRPr="0FE7D6D6">
        <w:rPr>
          <w:rFonts w:eastAsia="Arial" w:cs="Arial"/>
          <w:szCs w:val="18"/>
        </w:rPr>
        <w:t xml:space="preserve"> temperature, pressure, composition and catalyst, each playing a crucial role in determining the final hydrocarbon composition. </w:t>
      </w:r>
      <w:r w:rsidR="00F12763">
        <w:rPr>
          <w:rFonts w:eastAsia="Arial" w:cs="Arial"/>
          <w:szCs w:val="18"/>
        </w:rPr>
        <w:t>In this sense, variations in the operating conditions can induce relevant deviations in the process itself</w:t>
      </w:r>
      <w:r w:rsidR="00F21EE8">
        <w:rPr>
          <w:rFonts w:eastAsia="Arial" w:cs="Arial"/>
          <w:szCs w:val="18"/>
        </w:rPr>
        <w:t xml:space="preserve"> (Table </w:t>
      </w:r>
      <w:r w:rsidR="000A2741">
        <w:rPr>
          <w:rFonts w:eastAsia="Arial" w:cs="Arial"/>
          <w:szCs w:val="18"/>
        </w:rPr>
        <w:t>2</w:t>
      </w:r>
      <w:r w:rsidR="00F21EE8">
        <w:rPr>
          <w:rFonts w:eastAsia="Arial" w:cs="Arial"/>
          <w:szCs w:val="18"/>
        </w:rPr>
        <w:t>)</w:t>
      </w:r>
      <w:r w:rsidR="00AB1245">
        <w:rPr>
          <w:rFonts w:eastAsia="Arial" w:cs="Arial"/>
          <w:szCs w:val="18"/>
        </w:rPr>
        <w:t xml:space="preserve"> </w:t>
      </w:r>
      <w:r w:rsidR="00AB1245">
        <w:rPr>
          <w:rFonts w:eastAsia="Arial" w:cs="Arial"/>
          <w:szCs w:val="18"/>
        </w:rPr>
        <w:fldChar w:fldCharType="begin" w:fldLock="1"/>
      </w:r>
      <w:r w:rsidR="00BA1E5F">
        <w:rPr>
          <w:rFonts w:eastAsia="Arial" w:cs="Arial"/>
          <w:szCs w:val="18"/>
        </w:rPr>
        <w:instrText>ADDIN CSL_CITATION {"citationItems":[{"id":"ITEM-1","itemData":{"ISBN":"9781118570753","abstract":"With a focus on actual industrial processes, e.g. the production of light alkenes, synthesis gas, fine chemicals, polyethene, it encourages the reader to think \"out of the box\" and invent and develop novel unit operations and processes. Reflecting today's emphasis on sustainability, this edition contains new coverage of biomass as an alternative to fossil fuels, and process intensification. The second edition includes: New chapters on Process Intensification and Processes for the Conversion of Biomass Updated and expanded chapters throughout with 35% new material overall Text boxes containing case studies and examples from various different industries, e.g. synthesis loop designs, Sasol I Plant, Kaminsky catalysts, production of Ibuprofen, click chemistry, ammonia synthesis, fluid catalytic cracking Questions throughout to stimulate debate and keep students awake! Richly illustrated chapters with improved figures and flow diagrams Chemical Process Technology, Second Edition is a comprehensive introduction, linking the fundamental theory and concepts to the applied nature of the subject. It will be invaluable to students of chemical engineering, biotechnology and industrial chemistry, as well as practising chemical engineers","author":[{"dropping-particle":"","family":"Moulijn","given":"Jacob A","non-dropping-particle":"","parse-names":false,"suffix":""},{"dropping-particle":"","family":"Makkee","given":"Michiel","non-dropping-particle":"","parse-names":false,"suffix":""},{"dropping-particle":"van","family":"Diepen","given":"Annelies E :","non-dropping-particle":"","parse-names":false,"suffix":""},{"dropping-particle":"","family":"Moulijn","given":"Jacob A","non-dropping-particle":"","parse-names":false,"suffix":""}],"edition":"2. ed.","id":"ITEM-1","issued":{"date-parts":[["2013"]]},"page":"171-220","publisher":"John Wiley &amp; Sons","publisher-place":"Chicester","title":"Chemical process technology","type":"chapter"},"uris":["http://www.mendeley.com/documents/?uuid=9608c685-7381-4fc0-b92f-176b18bbb975"]}],"mendeley":{"formattedCitation":"(Moulijn et al., 2013)","plainTextFormattedCitation":"(Moulijn et al., 2013)","previouslyFormattedCitation":"(Moulijn et al., 2013)"},"properties":{"noteIndex":0},"schema":"https://github.com/citation-style-language/schema/raw/master/csl-citation.json"}</w:instrText>
      </w:r>
      <w:r w:rsidR="00AB1245">
        <w:rPr>
          <w:rFonts w:eastAsia="Arial" w:cs="Arial"/>
          <w:szCs w:val="18"/>
        </w:rPr>
        <w:fldChar w:fldCharType="separate"/>
      </w:r>
      <w:r w:rsidR="00214A5A" w:rsidRPr="00D64E9C">
        <w:rPr>
          <w:rFonts w:eastAsia="Arial" w:cs="Arial"/>
          <w:noProof/>
          <w:szCs w:val="18"/>
        </w:rPr>
        <w:t>(Moulijn et al., 2013)</w:t>
      </w:r>
      <w:r w:rsidR="00AB1245">
        <w:rPr>
          <w:rFonts w:eastAsia="Arial" w:cs="Arial"/>
          <w:szCs w:val="18"/>
        </w:rPr>
        <w:fldChar w:fldCharType="end"/>
      </w:r>
      <w:r w:rsidR="00AB1245">
        <w:rPr>
          <w:rFonts w:eastAsia="Arial" w:cs="Arial"/>
          <w:szCs w:val="18"/>
        </w:rPr>
        <w:fldChar w:fldCharType="begin" w:fldLock="1"/>
      </w:r>
      <w:r w:rsidR="00A0515A">
        <w:rPr>
          <w:rFonts w:eastAsia="Arial" w:cs="Arial"/>
          <w:szCs w:val="18"/>
        </w:rPr>
        <w:instrText>ADDIN CSL_CITATION {"citationItems":[{"id":"ITEM-1","itemData":{"DOI":"10.1016/B978-0-08-087872-0.00515-1","ISBN":"9780080878737","abstract":"Biomass to liquids (BtL) is a thermochemical process, currently moving from pilot scale to demonstration scale worldwide, that can convert a range of biomass types to a range of fuels and chemicals. BtL is based on established coal-to-liquids and gas-to-liquids technologies, but the scale and technologies used are not necessarily appropriate for BtL. Recently, there has been considerable interest in developing smaller scale BtL and in using waste as a feedstock. Uptake of BtL can help decarbonize the transport fuel sector, and is of considerable interest worldwide as policy increasingly focuses on the environmental implications of biofuel use. © 2012 Elsevier Ltd All rights reserved.","author":[{"dropping-particle":"","family":"Evans","given":"G.","non-dropping-particle":"","parse-names":false,"suffix":""},{"dropping-particle":"","family":"Smith","given":"C.","non-dropping-particle":"","parse-names":false,"suffix":""}],"container-title":"Comprehensive Renewable Energy","id":"ITEM-1","issued":{"date-parts":[["2012"]]},"number-of-pages":"155-204","publisher":"Elsevier Ltd.","title":"Biomass to liquids technology","type":"book","volume":"5"},"uris":["http://www.mendeley.com/documents/?uuid=8801556e-6f56-42f9-9e19-3d76faf57d57"]}],"mendeley":{"formattedCitation":"(Evans and Smith, 2012)","plainTextFormattedCitation":"(Evans and Smith, 2012)","previouslyFormattedCitation":"(Evans and Smith, 2012)"},"properties":{"noteIndex":0},"schema":"https://github.com/citation-style-language/schema/raw/master/csl-citation.json"}</w:instrText>
      </w:r>
      <w:r w:rsidR="00AB1245">
        <w:rPr>
          <w:rFonts w:eastAsia="Arial" w:cs="Arial"/>
          <w:szCs w:val="18"/>
        </w:rPr>
        <w:fldChar w:fldCharType="separate"/>
      </w:r>
      <w:r w:rsidR="00214A5A" w:rsidRPr="00214A5A">
        <w:rPr>
          <w:rFonts w:eastAsia="Arial" w:cs="Arial"/>
          <w:noProof/>
          <w:szCs w:val="18"/>
        </w:rPr>
        <w:t>(Evans and Smith, 2012)</w:t>
      </w:r>
      <w:r w:rsidR="00AB1245">
        <w:rPr>
          <w:rFonts w:eastAsia="Arial" w:cs="Arial"/>
          <w:szCs w:val="18"/>
        </w:rPr>
        <w:fldChar w:fldCharType="end"/>
      </w:r>
      <w:r w:rsidR="00F12763">
        <w:rPr>
          <w:rFonts w:eastAsia="Arial" w:cs="Arial"/>
          <w:szCs w:val="18"/>
        </w:rPr>
        <w:t>.</w:t>
      </w:r>
      <w:r w:rsidR="003D7DE6">
        <w:rPr>
          <w:rFonts w:eastAsia="Arial" w:cs="Arial"/>
          <w:szCs w:val="18"/>
        </w:rPr>
        <w:t xml:space="preserve"> This affects </w:t>
      </w:r>
      <w:r w:rsidR="00655877">
        <w:rPr>
          <w:rFonts w:eastAsia="Arial" w:cs="Arial"/>
          <w:szCs w:val="18"/>
        </w:rPr>
        <w:t>the reactive section and</w:t>
      </w:r>
      <w:r w:rsidR="003D7DE6">
        <w:rPr>
          <w:rFonts w:eastAsia="Arial" w:cs="Arial"/>
          <w:szCs w:val="18"/>
        </w:rPr>
        <w:t xml:space="preserve"> downstream operations</w:t>
      </w:r>
      <w:r w:rsidR="00655877">
        <w:rPr>
          <w:rFonts w:eastAsia="Arial" w:cs="Arial"/>
          <w:szCs w:val="18"/>
        </w:rPr>
        <w:t>,</w:t>
      </w:r>
      <w:r w:rsidR="003D7DE6">
        <w:rPr>
          <w:rFonts w:eastAsia="Arial" w:cs="Arial"/>
          <w:szCs w:val="18"/>
        </w:rPr>
        <w:t xml:space="preserve"> which are strongly </w:t>
      </w:r>
      <w:r w:rsidR="002460CE">
        <w:rPr>
          <w:rFonts w:eastAsia="Arial" w:cs="Arial"/>
          <w:szCs w:val="18"/>
        </w:rPr>
        <w:t>influenced</w:t>
      </w:r>
      <w:r w:rsidR="00655877">
        <w:rPr>
          <w:rFonts w:eastAsia="Arial" w:cs="Arial"/>
          <w:szCs w:val="18"/>
        </w:rPr>
        <w:t xml:space="preserve"> by the nature and composition of the reaction outflow</w:t>
      </w:r>
      <w:r w:rsidR="003D7DE6">
        <w:rPr>
          <w:rFonts w:eastAsia="Arial" w:cs="Arial"/>
          <w:szCs w:val="18"/>
        </w:rPr>
        <w:t>.</w:t>
      </w:r>
      <w:r w:rsidR="00F12763">
        <w:rPr>
          <w:rFonts w:eastAsia="Arial" w:cs="Arial"/>
          <w:szCs w:val="18"/>
        </w:rPr>
        <w:t xml:space="preserve"> </w:t>
      </w:r>
      <w:r w:rsidR="00655877">
        <w:rPr>
          <w:rFonts w:eastAsia="Arial" w:cs="Arial"/>
          <w:szCs w:val="18"/>
        </w:rPr>
        <w:t>As a general feature, the</w:t>
      </w:r>
      <w:r w:rsidRPr="0FE7D6D6">
        <w:rPr>
          <w:rFonts w:eastAsia="Arial" w:cs="Arial"/>
          <w:szCs w:val="18"/>
        </w:rPr>
        <w:t xml:space="preserve"> process is </w:t>
      </w:r>
      <w:r w:rsidR="00655877">
        <w:rPr>
          <w:rFonts w:eastAsia="Arial" w:cs="Arial"/>
          <w:szCs w:val="18"/>
        </w:rPr>
        <w:t xml:space="preserve">overall </w:t>
      </w:r>
      <w:r w:rsidRPr="0FE7D6D6">
        <w:rPr>
          <w:rFonts w:eastAsia="Arial" w:cs="Arial"/>
          <w:szCs w:val="18"/>
        </w:rPr>
        <w:t>exothermic</w:t>
      </w:r>
      <w:r w:rsidR="00655877">
        <w:rPr>
          <w:rFonts w:eastAsia="Arial" w:cs="Arial"/>
          <w:szCs w:val="18"/>
        </w:rPr>
        <w:t xml:space="preserve"> and requires</w:t>
      </w:r>
      <w:r w:rsidRPr="0FE7D6D6">
        <w:rPr>
          <w:rFonts w:eastAsia="Arial" w:cs="Arial"/>
          <w:szCs w:val="18"/>
        </w:rPr>
        <w:t xml:space="preserve"> </w:t>
      </w:r>
      <w:r w:rsidR="00872A16">
        <w:rPr>
          <w:rFonts w:eastAsia="Arial" w:cs="Arial"/>
          <w:szCs w:val="18"/>
        </w:rPr>
        <w:t xml:space="preserve">a co-feed of </w:t>
      </w:r>
      <w:r w:rsidRPr="0FE7D6D6">
        <w:rPr>
          <w:rFonts w:eastAsia="Arial" w:cs="Arial"/>
          <w:szCs w:val="18"/>
        </w:rPr>
        <w:t xml:space="preserve">hydrogen and carbon monoxide. </w:t>
      </w:r>
    </w:p>
    <w:p w14:paraId="114ED9F2" w14:textId="7A775311" w:rsidR="00F21EE8" w:rsidRPr="00A00CCE" w:rsidRDefault="00A00CCE" w:rsidP="00A00CCE">
      <w:pPr>
        <w:pStyle w:val="CETBodytext"/>
      </w:pPr>
      <w:r>
        <w:rPr>
          <w:rFonts w:eastAsia="Arial" w:cs="Arial"/>
          <w:szCs w:val="18"/>
        </w:rPr>
        <w:t>According to the HAZOP analysis, the process was divided into four relevant nodes</w:t>
      </w:r>
      <w:r w:rsidR="00CB72AA">
        <w:rPr>
          <w:rFonts w:eastAsia="Arial" w:cs="Arial"/>
          <w:szCs w:val="18"/>
        </w:rPr>
        <w:t>: the mixing section with the preparation of the reactive mixture, the step of FT reaction, the separation of the outflow from the reactor,</w:t>
      </w:r>
      <w:r w:rsidR="00C1054F">
        <w:rPr>
          <w:rFonts w:eastAsia="Arial" w:cs="Arial"/>
          <w:szCs w:val="18"/>
        </w:rPr>
        <w:t xml:space="preserve"> and </w:t>
      </w:r>
      <w:r w:rsidR="00FF48C6">
        <w:rPr>
          <w:rFonts w:eastAsia="Arial" w:cs="Arial"/>
          <w:szCs w:val="18"/>
        </w:rPr>
        <w:t xml:space="preserve">the ultimate </w:t>
      </w:r>
      <w:r w:rsidR="00CB72AA">
        <w:rPr>
          <w:rFonts w:eastAsia="Arial" w:cs="Arial"/>
          <w:szCs w:val="18"/>
        </w:rPr>
        <w:t>product analysis</w:t>
      </w:r>
      <w:r w:rsidR="00FF48C6">
        <w:rPr>
          <w:rFonts w:eastAsia="Arial" w:cs="Arial"/>
          <w:szCs w:val="18"/>
        </w:rPr>
        <w:t xml:space="preserve">. </w:t>
      </w:r>
    </w:p>
    <w:p w14:paraId="6C8FA008" w14:textId="77777777" w:rsidR="00CB72AA" w:rsidRPr="00C928DC" w:rsidRDefault="00CB72AA" w:rsidP="00CB72AA">
      <w:pPr>
        <w:pStyle w:val="CETBodytext"/>
      </w:pPr>
      <w:r>
        <w:rPr>
          <w:rFonts w:cs="Arial"/>
          <w:noProof/>
          <w:szCs w:val="18"/>
        </w:rPr>
        <w:drawing>
          <wp:inline distT="0" distB="0" distL="0" distR="0" wp14:anchorId="30936C37" wp14:editId="22AB36D3">
            <wp:extent cx="5579745" cy="1539959"/>
            <wp:effectExtent l="0" t="0" r="1905" b="3175"/>
            <wp:docPr id="414576350" name="Immagine 1" descr="Immagine che contiene diagramma, schizzo, Piano, Disegno tecnic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4576350" name="Immagine 1" descr="Immagine che contiene diagramma, schizzo, Piano, Disegno tecnico&#10;&#10;Descrizione generata automaticamente"/>
                    <pic:cNvPicPr/>
                  </pic:nvPicPr>
                  <pic:blipFill>
                    <a:blip r:embed="rId11"/>
                    <a:srcRect t="25467" b="25467"/>
                    <a:stretch>
                      <a:fillRect/>
                    </a:stretch>
                  </pic:blipFill>
                  <pic:spPr bwMode="auto">
                    <a:xfrm>
                      <a:off x="0" y="0"/>
                      <a:ext cx="5579745" cy="1539959"/>
                    </a:xfrm>
                    <a:prstGeom prst="rect">
                      <a:avLst/>
                    </a:prstGeom>
                    <a:ln>
                      <a:noFill/>
                    </a:ln>
                    <a:extLst>
                      <a:ext uri="{53640926-AAD7-44D8-BBD7-CCE9431645EC}">
                        <a14:shadowObscured xmlns:a14="http://schemas.microsoft.com/office/drawing/2010/main"/>
                      </a:ext>
                    </a:extLst>
                  </pic:spPr>
                </pic:pic>
              </a:graphicData>
            </a:graphic>
          </wp:inline>
        </w:drawing>
      </w:r>
    </w:p>
    <w:p w14:paraId="5CFB525C" w14:textId="1344FF4B" w:rsidR="00CB72AA" w:rsidRDefault="00CB72AA" w:rsidP="00CB72AA">
      <w:pPr>
        <w:pStyle w:val="CETCaption"/>
      </w:pPr>
      <w:r>
        <w:t xml:space="preserve">Figure </w:t>
      </w:r>
      <w:r>
        <w:fldChar w:fldCharType="begin"/>
      </w:r>
      <w:r>
        <w:instrText xml:space="preserve"> SEQ Figure \* ARABIC </w:instrText>
      </w:r>
      <w:r>
        <w:fldChar w:fldCharType="separate"/>
      </w:r>
      <w:r w:rsidR="009D5082">
        <w:rPr>
          <w:noProof/>
        </w:rPr>
        <w:t>1</w:t>
      </w:r>
      <w:r>
        <w:fldChar w:fldCharType="end"/>
      </w:r>
      <w:r>
        <w:t xml:space="preserve">: Block flow diagram and definition </w:t>
      </w:r>
      <w:r w:rsidR="007F0210">
        <w:t>of the HAZOP nodes.</w:t>
      </w:r>
    </w:p>
    <w:p w14:paraId="3F5BC23A" w14:textId="13FAFF53" w:rsidR="000A2741" w:rsidRDefault="00CB72AA" w:rsidP="000A2741">
      <w:pPr>
        <w:pStyle w:val="CETTabletitle"/>
      </w:pPr>
      <w:r w:rsidRPr="009730A1">
        <w:t xml:space="preserve">Table </w:t>
      </w:r>
      <w:r w:rsidRPr="009730A1">
        <w:fldChar w:fldCharType="begin"/>
      </w:r>
      <w:r w:rsidRPr="009730A1">
        <w:instrText xml:space="preserve"> SEQ Table \* ARABIC </w:instrText>
      </w:r>
      <w:r w:rsidRPr="009730A1">
        <w:fldChar w:fldCharType="separate"/>
      </w:r>
      <w:r w:rsidR="009D5082">
        <w:rPr>
          <w:noProof/>
        </w:rPr>
        <w:t>1</w:t>
      </w:r>
      <w:r w:rsidRPr="009730A1">
        <w:fldChar w:fldCharType="end"/>
      </w:r>
      <w:r w:rsidRPr="009730A1">
        <w:t xml:space="preserve">: Parameters of </w:t>
      </w:r>
      <w:r>
        <w:t xml:space="preserve">the </w:t>
      </w:r>
      <w:r w:rsidRPr="009730A1">
        <w:t>FT synthesis</w:t>
      </w:r>
      <w:r w:rsidR="00AB1245">
        <w:t xml:space="preserve"> </w:t>
      </w:r>
      <w:r w:rsidR="00AB1245">
        <w:rPr>
          <w:rFonts w:eastAsia="Arial" w:cs="Arial"/>
          <w:szCs w:val="18"/>
        </w:rPr>
        <w:fldChar w:fldCharType="begin" w:fldLock="1"/>
      </w:r>
      <w:r w:rsidR="00BA1E5F">
        <w:rPr>
          <w:rFonts w:eastAsia="Arial" w:cs="Arial"/>
          <w:szCs w:val="18"/>
        </w:rPr>
        <w:instrText>ADDIN CSL_CITATION {"citationItems":[{"id":"ITEM-1","itemData":{"ISBN":"9781118570753","abstract":"With a focus on actual industrial processes, e.g. the production of light alkenes, synthesis gas, fine chemicals, polyethene, it encourages the reader to think \"out of the box\" and invent and develop novel unit operations and processes. Reflecting today's emphasis on sustainability, this edition contains new coverage of biomass as an alternative to fossil fuels, and process intensification. The second edition includes: New chapters on Process Intensification and Processes for the Conversion of Biomass Updated and expanded chapters throughout with 35% new material overall Text boxes containing case studies and examples from various different industries, e.g. synthesis loop designs, Sasol I Plant, Kaminsky catalysts, production of Ibuprofen, click chemistry, ammonia synthesis, fluid catalytic cracking Questions throughout to stimulate debate and keep students awake! Richly illustrated chapters with improved figures and flow diagrams Chemical Process Technology, Second Edition is a comprehensive introduction, linking the fundamental theory and concepts to the applied nature of the subject. It will be invaluable to students of chemical engineering, biotechnology and industrial chemistry, as well as practising chemical engineers","author":[{"dropping-particle":"","family":"Moulijn","given":"Jacob A","non-dropping-particle":"","parse-names":false,"suffix":""},{"dropping-particle":"","family":"Makkee","given":"Michiel","non-dropping-particle":"","parse-names":false,"suffix":""},{"dropping-particle":"van","family":"Diepen","given":"Annelies E :","non-dropping-particle":"","parse-names":false,"suffix":""},{"dropping-particle":"","family":"Moulijn","given":"Jacob A","non-dropping-particle":"","parse-names":false,"suffix":""}],"edition":"2. ed.","id":"ITEM-1","issued":{"date-parts":[["2013"]]},"page":"171-220","publisher":"John Wiley &amp; Sons","publisher-place":"Chicester","title":"Chemical process technology","type":"chapter"},"uris":["http://www.mendeley.com/documents/?uuid=9608c685-7381-4fc0-b92f-176b18bbb975"]}],"mendeley":{"formattedCitation":"(Moulijn et al., 2013)","plainTextFormattedCitation":"(Moulijn et al., 2013)","previouslyFormattedCitation":"(Moulijn et al., 2013)"},"properties":{"noteIndex":0},"schema":"https://github.com/citation-style-language/schema/raw/master/csl-citation.json"}</w:instrText>
      </w:r>
      <w:r w:rsidR="00AB1245">
        <w:rPr>
          <w:rFonts w:eastAsia="Arial" w:cs="Arial"/>
          <w:szCs w:val="18"/>
        </w:rPr>
        <w:fldChar w:fldCharType="separate"/>
      </w:r>
      <w:r w:rsidR="00214A5A" w:rsidRPr="00D64E9C">
        <w:rPr>
          <w:rFonts w:eastAsia="Arial" w:cs="Arial"/>
          <w:i w:val="0"/>
          <w:noProof/>
          <w:szCs w:val="18"/>
        </w:rPr>
        <w:t>(Moulijn et al., 2013)</w:t>
      </w:r>
      <w:r w:rsidR="00AB1245">
        <w:rPr>
          <w:rFonts w:eastAsia="Arial" w:cs="Arial"/>
          <w:szCs w:val="18"/>
        </w:rPr>
        <w:fldChar w:fldCharType="end"/>
      </w:r>
      <w:r w:rsidR="00AB1245">
        <w:rPr>
          <w:rFonts w:eastAsia="Arial" w:cs="Arial"/>
          <w:szCs w:val="18"/>
        </w:rPr>
        <w:fldChar w:fldCharType="begin" w:fldLock="1"/>
      </w:r>
      <w:r w:rsidR="00A0515A">
        <w:rPr>
          <w:rFonts w:eastAsia="Arial" w:cs="Arial"/>
          <w:szCs w:val="18"/>
        </w:rPr>
        <w:instrText>ADDIN CSL_CITATION {"citationItems":[{"id":"ITEM-1","itemData":{"DOI":"10.1016/B978-0-08-087872-0.00515-1","ISBN":"9780080878737","abstract":"Biomass to liquids (BtL) is a thermochemical process, currently moving from pilot scale to demonstration scale worldwide, that can convert a range of biomass types to a range of fuels and chemicals. BtL is based on established coal-to-liquids and gas-to-liquids technologies, but the scale and technologies used are not necessarily appropriate for BtL. Recently, there has been considerable interest in developing smaller scale BtL and in using waste as a feedstock. Uptake of BtL can help decarbonize the transport fuel sector, and is of considerable interest worldwide as policy increasingly focuses on the environmental implications of biofuel use. © 2012 Elsevier Ltd All rights reserved.","author":[{"dropping-particle":"","family":"Evans","given":"G.","non-dropping-particle":"","parse-names":false,"suffix":""},{"dropping-particle":"","family":"Smith","given":"C.","non-dropping-particle":"","parse-names":false,"suffix":""}],"container-title":"Comprehensive Renewable Energy","id":"ITEM-1","issued":{"date-parts":[["2012"]]},"number-of-pages":"155-204","publisher":"Elsevier Ltd.","title":"Biomass to liquids technology","type":"book","volume":"5"},"uris":["http://www.mendeley.com/documents/?uuid=8801556e-6f56-42f9-9e19-3d76faf57d57"]}],"mendeley":{"formattedCitation":"(Evans and Smith, 2012)","plainTextFormattedCitation":"(Evans and Smith, 2012)","previouslyFormattedCitation":"(Evans and Smith, 2012)"},"properties":{"noteIndex":0},"schema":"https://github.com/citation-style-language/schema/raw/master/csl-citation.json"}</w:instrText>
      </w:r>
      <w:r w:rsidR="00AB1245">
        <w:rPr>
          <w:rFonts w:eastAsia="Arial" w:cs="Arial"/>
          <w:szCs w:val="18"/>
        </w:rPr>
        <w:fldChar w:fldCharType="separate"/>
      </w:r>
      <w:r w:rsidR="00214A5A" w:rsidRPr="00214A5A">
        <w:rPr>
          <w:rFonts w:eastAsia="Arial" w:cs="Arial"/>
          <w:i w:val="0"/>
          <w:noProof/>
          <w:szCs w:val="18"/>
        </w:rPr>
        <w:t>(Evans and Smith, 2012)</w:t>
      </w:r>
      <w:r w:rsidR="00AB1245">
        <w:rPr>
          <w:rFonts w:eastAsia="Arial" w:cs="Arial"/>
          <w:szCs w:val="18"/>
        </w:rPr>
        <w:fldChar w:fldCharType="end"/>
      </w:r>
      <w:r w:rsidR="007F0210">
        <w:rPr>
          <w:rFonts w:cs="Arial"/>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1701"/>
        <w:gridCol w:w="1701"/>
        <w:gridCol w:w="1701"/>
      </w:tblGrid>
      <w:tr w:rsidR="00E9054A" w:rsidRPr="00B57B36" w14:paraId="3D40EB2C" w14:textId="6838971E" w:rsidTr="005156D1">
        <w:trPr>
          <w:trHeight w:val="113"/>
        </w:trPr>
        <w:tc>
          <w:tcPr>
            <w:tcW w:w="1276" w:type="dxa"/>
            <w:tcBorders>
              <w:top w:val="single" w:sz="12" w:space="0" w:color="008000"/>
              <w:bottom w:val="single" w:sz="6" w:space="0" w:color="008000"/>
            </w:tcBorders>
            <w:shd w:val="clear" w:color="auto" w:fill="FFFFFF" w:themeFill="background1"/>
          </w:tcPr>
          <w:p w14:paraId="285E6455" w14:textId="60FCFE3B" w:rsidR="00E9054A" w:rsidRPr="00B57B36" w:rsidRDefault="00E9054A" w:rsidP="005156D1">
            <w:pPr>
              <w:pStyle w:val="CETBodytext"/>
              <w:rPr>
                <w:lang w:val="en-GB"/>
              </w:rPr>
            </w:pPr>
            <w:r>
              <w:rPr>
                <w:lang w:val="en-GB"/>
              </w:rPr>
              <w:t>Temperature</w:t>
            </w:r>
          </w:p>
        </w:tc>
        <w:tc>
          <w:tcPr>
            <w:tcW w:w="1701" w:type="dxa"/>
            <w:tcBorders>
              <w:top w:val="single" w:sz="12" w:space="0" w:color="008000"/>
              <w:bottom w:val="single" w:sz="6" w:space="0" w:color="008000"/>
            </w:tcBorders>
            <w:shd w:val="clear" w:color="auto" w:fill="FFFFFF" w:themeFill="background1"/>
          </w:tcPr>
          <w:p w14:paraId="483BE805" w14:textId="4FF28EAD" w:rsidR="00E9054A" w:rsidRPr="00B57B36" w:rsidRDefault="00E9054A" w:rsidP="005156D1">
            <w:pPr>
              <w:pStyle w:val="CETBodytext"/>
              <w:rPr>
                <w:lang w:val="en-GB"/>
              </w:rPr>
            </w:pPr>
            <w:r>
              <w:rPr>
                <w:lang w:val="en-GB"/>
              </w:rPr>
              <w:t>Pressure</w:t>
            </w:r>
          </w:p>
        </w:tc>
        <w:tc>
          <w:tcPr>
            <w:tcW w:w="1701" w:type="dxa"/>
            <w:tcBorders>
              <w:top w:val="single" w:sz="12" w:space="0" w:color="008000"/>
              <w:bottom w:val="single" w:sz="6" w:space="0" w:color="008000"/>
            </w:tcBorders>
            <w:shd w:val="clear" w:color="auto" w:fill="FFFFFF" w:themeFill="background1"/>
          </w:tcPr>
          <w:p w14:paraId="1ADDFE75" w14:textId="3953F293" w:rsidR="00E9054A" w:rsidRDefault="00E9054A" w:rsidP="005156D1">
            <w:pPr>
              <w:pStyle w:val="CETBodytext"/>
              <w:rPr>
                <w:lang w:val="en-GB"/>
              </w:rPr>
            </w:pPr>
            <w:r>
              <w:rPr>
                <w:lang w:val="en-GB"/>
              </w:rPr>
              <w:t>Composition</w:t>
            </w:r>
          </w:p>
        </w:tc>
        <w:tc>
          <w:tcPr>
            <w:tcW w:w="1701" w:type="dxa"/>
            <w:tcBorders>
              <w:top w:val="single" w:sz="12" w:space="0" w:color="008000"/>
              <w:bottom w:val="single" w:sz="6" w:space="0" w:color="008000"/>
            </w:tcBorders>
            <w:shd w:val="clear" w:color="auto" w:fill="FFFFFF" w:themeFill="background1"/>
          </w:tcPr>
          <w:p w14:paraId="5E0A4EC9" w14:textId="64E4088A" w:rsidR="00E9054A" w:rsidRDefault="00E9054A" w:rsidP="005156D1">
            <w:pPr>
              <w:pStyle w:val="CETBodytext"/>
              <w:rPr>
                <w:lang w:val="en-GB"/>
              </w:rPr>
            </w:pPr>
            <w:r>
              <w:rPr>
                <w:lang w:val="en-GB"/>
              </w:rPr>
              <w:t>Catalyst</w:t>
            </w:r>
          </w:p>
        </w:tc>
      </w:tr>
      <w:tr w:rsidR="00E9054A" w:rsidRPr="00B57B36" w14:paraId="3910ADA2" w14:textId="4C2FFF7D" w:rsidTr="005156D1">
        <w:trPr>
          <w:trHeight w:val="113"/>
        </w:trPr>
        <w:tc>
          <w:tcPr>
            <w:tcW w:w="1276" w:type="dxa"/>
            <w:shd w:val="clear" w:color="auto" w:fill="FFFFFF" w:themeFill="background1"/>
          </w:tcPr>
          <w:p w14:paraId="7E8ACB46" w14:textId="2AFFF014" w:rsidR="00E9054A" w:rsidRPr="00B57B36" w:rsidRDefault="00E9054A" w:rsidP="005156D1">
            <w:pPr>
              <w:pStyle w:val="CETBodytext"/>
              <w:rPr>
                <w:lang w:val="en-GB"/>
              </w:rPr>
            </w:pPr>
            <w:r>
              <w:rPr>
                <w:lang w:val="en-GB"/>
              </w:rPr>
              <w:t>200-350°C</w:t>
            </w:r>
          </w:p>
        </w:tc>
        <w:tc>
          <w:tcPr>
            <w:tcW w:w="1701" w:type="dxa"/>
            <w:shd w:val="clear" w:color="auto" w:fill="FFFFFF" w:themeFill="background1"/>
          </w:tcPr>
          <w:p w14:paraId="2DA549E5" w14:textId="0A35F552" w:rsidR="00E9054A" w:rsidRPr="00B57B36" w:rsidRDefault="00E9054A" w:rsidP="005156D1">
            <w:pPr>
              <w:pStyle w:val="CETBodytext"/>
              <w:rPr>
                <w:lang w:val="en-GB"/>
              </w:rPr>
            </w:pPr>
            <w:r>
              <w:rPr>
                <w:lang w:val="en-GB"/>
              </w:rPr>
              <w:t>15-50 bar</w:t>
            </w:r>
          </w:p>
        </w:tc>
        <w:tc>
          <w:tcPr>
            <w:tcW w:w="1701" w:type="dxa"/>
            <w:shd w:val="clear" w:color="auto" w:fill="FFFFFF" w:themeFill="background1"/>
          </w:tcPr>
          <w:p w14:paraId="18993C45" w14:textId="34BEC38D" w:rsidR="00E9054A" w:rsidRDefault="00E9054A" w:rsidP="005156D1">
            <w:pPr>
              <w:pStyle w:val="CETBodytext"/>
              <w:rPr>
                <w:lang w:val="en-GB"/>
              </w:rPr>
            </w:pPr>
            <w:r>
              <w:rPr>
                <w:lang w:val="en-GB"/>
              </w:rPr>
              <w:t>H</w:t>
            </w:r>
            <w:r w:rsidRPr="00E9054A">
              <w:rPr>
                <w:vertAlign w:val="subscript"/>
                <w:lang w:val="en-GB"/>
              </w:rPr>
              <w:t>2</w:t>
            </w:r>
            <w:r>
              <w:rPr>
                <w:lang w:val="en-GB"/>
              </w:rPr>
              <w:t>/CO = 3/1</w:t>
            </w:r>
          </w:p>
        </w:tc>
        <w:tc>
          <w:tcPr>
            <w:tcW w:w="1701" w:type="dxa"/>
            <w:shd w:val="clear" w:color="auto" w:fill="FFFFFF" w:themeFill="background1"/>
          </w:tcPr>
          <w:p w14:paraId="68694B35" w14:textId="753A22D8" w:rsidR="00E9054A" w:rsidRDefault="00E9054A" w:rsidP="005156D1">
            <w:pPr>
              <w:pStyle w:val="CETBodytext"/>
              <w:rPr>
                <w:lang w:val="en-GB"/>
              </w:rPr>
            </w:pPr>
            <w:r>
              <w:rPr>
                <w:lang w:val="en-GB"/>
              </w:rPr>
              <w:t>Fe/Co-based</w:t>
            </w:r>
          </w:p>
        </w:tc>
      </w:tr>
    </w:tbl>
    <w:p w14:paraId="5F5BF5F6" w14:textId="58130EC8" w:rsidR="00353E4A" w:rsidRDefault="00353E4A" w:rsidP="00353E4A">
      <w:pPr>
        <w:pStyle w:val="CETHeading1"/>
      </w:pPr>
      <w:r>
        <w:t>Results</w:t>
      </w:r>
    </w:p>
    <w:p w14:paraId="495DDB54" w14:textId="7EE9F078" w:rsidR="00CB72AA" w:rsidRPr="00BB58FC" w:rsidRDefault="00BB58FC" w:rsidP="00353E4A">
      <w:pPr>
        <w:spacing w:after="80"/>
        <w:rPr>
          <w:rFonts w:eastAsia="Arial" w:cs="Arial"/>
          <w:szCs w:val="18"/>
        </w:rPr>
      </w:pPr>
      <w:r w:rsidRPr="00BB58FC">
        <w:rPr>
          <w:rFonts w:eastAsia="Arial" w:cs="Arial"/>
          <w:szCs w:val="18"/>
        </w:rPr>
        <w:t xml:space="preserve">A </w:t>
      </w:r>
      <w:r>
        <w:rPr>
          <w:rFonts w:eastAsia="Arial" w:cs="Arial"/>
          <w:szCs w:val="18"/>
        </w:rPr>
        <w:t>preliminary analysis of the interaction among chemicals, materials and operating conditions was performed and structured according to an interaction matrix</w:t>
      </w:r>
      <w:r w:rsidR="000128CC">
        <w:rPr>
          <w:rFonts w:eastAsia="Arial" w:cs="Arial"/>
          <w:szCs w:val="18"/>
        </w:rPr>
        <w:t xml:space="preserve"> (Figure 2)</w:t>
      </w:r>
      <w:r>
        <w:rPr>
          <w:rFonts w:eastAsia="Arial" w:cs="Arial"/>
          <w:szCs w:val="18"/>
        </w:rPr>
        <w:t>. This step was critical to understand</w:t>
      </w:r>
      <w:r w:rsidR="00BB2383">
        <w:rPr>
          <w:rFonts w:eastAsia="Arial" w:cs="Arial"/>
          <w:szCs w:val="18"/>
        </w:rPr>
        <w:t xml:space="preserve">ing incompatibilities among categories of chemicals or materials and to adequately investigate potential consequences. </w:t>
      </w:r>
      <w:r w:rsidR="00407F9F">
        <w:rPr>
          <w:rFonts w:eastAsia="Arial" w:cs="Arial"/>
          <w:szCs w:val="18"/>
        </w:rPr>
        <w:t>The analysis allowed for listing a set of critical i</w:t>
      </w:r>
      <w:r w:rsidR="003A0501">
        <w:rPr>
          <w:rFonts w:eastAsia="Arial" w:cs="Arial"/>
          <w:szCs w:val="18"/>
        </w:rPr>
        <w:t>n</w:t>
      </w:r>
      <w:r w:rsidR="00407F9F">
        <w:rPr>
          <w:rFonts w:eastAsia="Arial" w:cs="Arial"/>
          <w:szCs w:val="18"/>
        </w:rPr>
        <w:t>compatibilities</w:t>
      </w:r>
      <w:r w:rsidR="003A0501">
        <w:rPr>
          <w:rFonts w:eastAsia="Arial" w:cs="Arial"/>
          <w:szCs w:val="18"/>
        </w:rPr>
        <w:t xml:space="preserve"> due </w:t>
      </w:r>
      <w:r w:rsidR="00D860EF">
        <w:rPr>
          <w:rFonts w:eastAsia="Arial" w:cs="Arial"/>
          <w:szCs w:val="18"/>
        </w:rPr>
        <w:t xml:space="preserve">to the coexistence of flammable gases, pyrophoric catalysts and the formation, under deviated process conditions, of </w:t>
      </w:r>
      <w:r w:rsidR="000A5845">
        <w:rPr>
          <w:rFonts w:eastAsia="Arial" w:cs="Arial"/>
          <w:szCs w:val="18"/>
        </w:rPr>
        <w:t xml:space="preserve">even corrosive molecules. </w:t>
      </w:r>
      <w:r w:rsidR="000128CC">
        <w:rPr>
          <w:rFonts w:eastAsia="Arial" w:cs="Arial"/>
          <w:szCs w:val="18"/>
        </w:rPr>
        <w:t>In specific cases,</w:t>
      </w:r>
      <w:r w:rsidR="00ED2E6B">
        <w:rPr>
          <w:rFonts w:eastAsia="Arial" w:cs="Arial"/>
          <w:szCs w:val="18"/>
        </w:rPr>
        <w:t xml:space="preserve"> the interaction with process conditions associated with very high temperatures or pressures in particular sections of the experimental setup </w:t>
      </w:r>
      <w:r w:rsidR="005B2D26">
        <w:rPr>
          <w:rFonts w:eastAsia="Arial" w:cs="Arial"/>
          <w:szCs w:val="18"/>
        </w:rPr>
        <w:t xml:space="preserve">would eventually enhance hazardous scenarios. These were formulated in detail in a HAZOP analysis focusing on the selected nodes and </w:t>
      </w:r>
      <w:proofErr w:type="spellStart"/>
      <w:r w:rsidR="005B2D26">
        <w:rPr>
          <w:rFonts w:eastAsia="Arial" w:cs="Arial"/>
          <w:szCs w:val="18"/>
        </w:rPr>
        <w:t>analyzing</w:t>
      </w:r>
      <w:proofErr w:type="spellEnd"/>
      <w:r w:rsidR="005B2D26">
        <w:rPr>
          <w:rFonts w:eastAsia="Arial" w:cs="Arial"/>
          <w:szCs w:val="18"/>
        </w:rPr>
        <w:t xml:space="preserve"> causes and implications of deviated process conditions on the general framework. </w:t>
      </w:r>
      <w:r w:rsidR="000C2E92">
        <w:rPr>
          <w:rFonts w:eastAsia="Arial" w:cs="Arial"/>
          <w:szCs w:val="18"/>
        </w:rPr>
        <w:t xml:space="preserve">The design intent of each node is reported in Table </w:t>
      </w:r>
      <w:r w:rsidR="000A2741">
        <w:rPr>
          <w:rFonts w:eastAsia="Arial" w:cs="Arial"/>
          <w:szCs w:val="18"/>
        </w:rPr>
        <w:t>3</w:t>
      </w:r>
      <w:r w:rsidR="007535CC">
        <w:rPr>
          <w:rFonts w:eastAsia="Arial" w:cs="Arial"/>
          <w:szCs w:val="18"/>
        </w:rPr>
        <w:t>,</w:t>
      </w:r>
      <w:r w:rsidR="003D56FF">
        <w:rPr>
          <w:rFonts w:eastAsia="Arial" w:cs="Arial"/>
          <w:szCs w:val="18"/>
        </w:rPr>
        <w:t xml:space="preserve"> while a selection of high</w:t>
      </w:r>
      <w:r w:rsidR="007535CC">
        <w:rPr>
          <w:rFonts w:eastAsia="Arial" w:cs="Arial"/>
          <w:szCs w:val="18"/>
        </w:rPr>
        <w:t>-</w:t>
      </w:r>
      <w:r w:rsidR="003D56FF">
        <w:rPr>
          <w:rFonts w:eastAsia="Arial" w:cs="Arial"/>
          <w:szCs w:val="18"/>
        </w:rPr>
        <w:t xml:space="preserve">risk </w:t>
      </w:r>
      <w:r w:rsidR="007535CC">
        <w:rPr>
          <w:rFonts w:eastAsia="Arial" w:cs="Arial"/>
          <w:szCs w:val="18"/>
        </w:rPr>
        <w:t xml:space="preserve">deviations is provided in Table </w:t>
      </w:r>
      <w:r w:rsidR="000A2741">
        <w:rPr>
          <w:rFonts w:eastAsia="Arial" w:cs="Arial"/>
          <w:szCs w:val="18"/>
        </w:rPr>
        <w:t>4</w:t>
      </w:r>
      <w:r w:rsidR="007535CC">
        <w:rPr>
          <w:rFonts w:eastAsia="Arial" w:cs="Arial"/>
          <w:szCs w:val="18"/>
        </w:rPr>
        <w:t>.</w:t>
      </w:r>
      <w:r w:rsidR="000C2E92">
        <w:rPr>
          <w:rFonts w:eastAsia="Arial" w:cs="Arial"/>
          <w:szCs w:val="18"/>
        </w:rPr>
        <w:t xml:space="preserve"> </w:t>
      </w:r>
    </w:p>
    <w:p w14:paraId="724151EF" w14:textId="44666434" w:rsidR="00407F9F" w:rsidRDefault="00407F9F" w:rsidP="00214A5A">
      <w:pPr>
        <w:spacing w:before="240" w:after="80"/>
        <w:jc w:val="center"/>
      </w:pPr>
    </w:p>
    <w:p w14:paraId="1AC2533A" w14:textId="1853A433" w:rsidR="00214A5A" w:rsidRDefault="00202F05" w:rsidP="00214A5A">
      <w:pPr>
        <w:spacing w:before="240" w:after="80"/>
        <w:jc w:val="center"/>
      </w:pPr>
      <w:r>
        <w:rPr>
          <w:noProof/>
        </w:rPr>
        <w:lastRenderedPageBreak/>
        <w:drawing>
          <wp:inline distT="0" distB="0" distL="0" distR="0" wp14:anchorId="5BCEE495" wp14:editId="64F2A4BD">
            <wp:extent cx="4817720" cy="2290707"/>
            <wp:effectExtent l="0" t="0" r="2540" b="0"/>
            <wp:docPr id="1418043279" name="Immagine 1" descr="Immagine che contiene testo, schermata, diagramma, line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043279" name="Immagine 1" descr="Immagine che contiene testo, schermata, diagramma, linea&#10;&#10;Descrizione generata automaticamente"/>
                    <pic:cNvPicPr/>
                  </pic:nvPicPr>
                  <pic:blipFill>
                    <a:blip r:embed="rId12"/>
                    <a:stretch>
                      <a:fillRect/>
                    </a:stretch>
                  </pic:blipFill>
                  <pic:spPr>
                    <a:xfrm>
                      <a:off x="0" y="0"/>
                      <a:ext cx="4853481" cy="2307710"/>
                    </a:xfrm>
                    <a:prstGeom prst="rect">
                      <a:avLst/>
                    </a:prstGeom>
                  </pic:spPr>
                </pic:pic>
              </a:graphicData>
            </a:graphic>
          </wp:inline>
        </w:drawing>
      </w:r>
    </w:p>
    <w:p w14:paraId="7088CFB3" w14:textId="570AF40B" w:rsidR="00407F9F" w:rsidRDefault="00407F9F" w:rsidP="00407F9F">
      <w:pPr>
        <w:pStyle w:val="CETCaption"/>
      </w:pPr>
      <w:r>
        <w:t xml:space="preserve">Figure 2: Extract of the </w:t>
      </w:r>
      <w:proofErr w:type="gramStart"/>
      <w:r>
        <w:t>chemicals</w:t>
      </w:r>
      <w:proofErr w:type="gramEnd"/>
      <w:r>
        <w:t xml:space="preserve"> interaction matrix implemented for the current case study. </w:t>
      </w:r>
    </w:p>
    <w:p w14:paraId="1B825099" w14:textId="78276B45" w:rsidR="00C928DC" w:rsidRDefault="00C928DC" w:rsidP="00C928DC">
      <w:pPr>
        <w:pStyle w:val="CETTabletitle"/>
      </w:pPr>
      <w:r>
        <w:t xml:space="preserve">Table </w:t>
      </w:r>
      <w:r>
        <w:fldChar w:fldCharType="begin"/>
      </w:r>
      <w:r>
        <w:instrText xml:space="preserve"> SEQ Table \* ARABIC </w:instrText>
      </w:r>
      <w:r>
        <w:fldChar w:fldCharType="separate"/>
      </w:r>
      <w:r w:rsidR="009D5082">
        <w:rPr>
          <w:noProof/>
        </w:rPr>
        <w:t>2</w:t>
      </w:r>
      <w:r>
        <w:fldChar w:fldCharType="end"/>
      </w:r>
      <w:r>
        <w:t>:</w:t>
      </w:r>
      <w:r w:rsidRPr="00C928DC">
        <w:t xml:space="preserve"> </w:t>
      </w:r>
      <w:r w:rsidRPr="00FA48F3">
        <w:t>Description of nodes</w:t>
      </w:r>
      <w:r>
        <w:t xml:space="preserve"> and operative conditions</w:t>
      </w:r>
      <w:r w:rsidR="001D4EE4">
        <w:t xml:space="preserve"> </w:t>
      </w:r>
      <w:r w:rsidR="007F1B36">
        <w:t>(design intent)</w:t>
      </w:r>
      <w:r w:rsidR="001D4EE4">
        <w:t>.</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567"/>
        <w:gridCol w:w="971"/>
        <w:gridCol w:w="22"/>
        <w:gridCol w:w="2976"/>
        <w:gridCol w:w="1701"/>
        <w:gridCol w:w="2550"/>
      </w:tblGrid>
      <w:tr w:rsidR="006E2BE8" w:rsidRPr="00B57B36" w14:paraId="5A8D18EB" w14:textId="77777777" w:rsidTr="00F2749E">
        <w:tc>
          <w:tcPr>
            <w:tcW w:w="567" w:type="dxa"/>
            <w:tcBorders>
              <w:top w:val="single" w:sz="12" w:space="0" w:color="008000"/>
              <w:bottom w:val="single" w:sz="6" w:space="0" w:color="008000"/>
            </w:tcBorders>
            <w:shd w:val="clear" w:color="auto" w:fill="FFFFFF"/>
          </w:tcPr>
          <w:p w14:paraId="639C2BA5" w14:textId="77777777" w:rsidR="006E2BE8" w:rsidRPr="00B57B36" w:rsidRDefault="006E2BE8" w:rsidP="005156D1">
            <w:pPr>
              <w:pStyle w:val="CETBodytext"/>
              <w:rPr>
                <w:lang w:val="en-GB"/>
              </w:rPr>
            </w:pPr>
            <w:r>
              <w:rPr>
                <w:lang w:val="en-GB"/>
              </w:rPr>
              <w:t>Node</w:t>
            </w:r>
            <w:r w:rsidRPr="00B57B36">
              <w:rPr>
                <w:lang w:val="en-GB"/>
              </w:rPr>
              <w:t xml:space="preserve"> </w:t>
            </w:r>
          </w:p>
        </w:tc>
        <w:tc>
          <w:tcPr>
            <w:tcW w:w="971" w:type="dxa"/>
            <w:tcBorders>
              <w:top w:val="single" w:sz="12" w:space="0" w:color="008000"/>
              <w:bottom w:val="single" w:sz="6" w:space="0" w:color="008000"/>
            </w:tcBorders>
            <w:shd w:val="clear" w:color="auto" w:fill="FFFFFF"/>
          </w:tcPr>
          <w:p w14:paraId="79435565" w14:textId="406B5F60" w:rsidR="006E2BE8" w:rsidRPr="00B57B36" w:rsidRDefault="006E2BE8" w:rsidP="005156D1">
            <w:pPr>
              <w:pStyle w:val="CETBodytext"/>
              <w:rPr>
                <w:lang w:val="en-GB"/>
              </w:rPr>
            </w:pPr>
            <w:r>
              <w:rPr>
                <w:lang w:val="en-GB"/>
              </w:rPr>
              <w:t xml:space="preserve">Operation  </w:t>
            </w:r>
          </w:p>
        </w:tc>
        <w:tc>
          <w:tcPr>
            <w:tcW w:w="22" w:type="dxa"/>
            <w:tcBorders>
              <w:top w:val="single" w:sz="12" w:space="0" w:color="008000"/>
              <w:bottom w:val="single" w:sz="6" w:space="0" w:color="008000"/>
            </w:tcBorders>
            <w:shd w:val="clear" w:color="auto" w:fill="FFFFFF"/>
          </w:tcPr>
          <w:p w14:paraId="272FF895" w14:textId="77777777" w:rsidR="006E2BE8" w:rsidRDefault="006E2BE8" w:rsidP="005156D1">
            <w:pPr>
              <w:pStyle w:val="CETBodytext"/>
              <w:rPr>
                <w:lang w:val="en-GB"/>
              </w:rPr>
            </w:pPr>
          </w:p>
        </w:tc>
        <w:tc>
          <w:tcPr>
            <w:tcW w:w="2976" w:type="dxa"/>
            <w:tcBorders>
              <w:top w:val="single" w:sz="12" w:space="0" w:color="008000"/>
              <w:bottom w:val="single" w:sz="6" w:space="0" w:color="008000"/>
            </w:tcBorders>
            <w:shd w:val="clear" w:color="auto" w:fill="FFFFFF"/>
          </w:tcPr>
          <w:p w14:paraId="76602D63" w14:textId="77777777" w:rsidR="006E2BE8" w:rsidRDefault="006E2BE8" w:rsidP="005156D1">
            <w:pPr>
              <w:pStyle w:val="CETBodytext"/>
              <w:rPr>
                <w:lang w:val="en-GB"/>
              </w:rPr>
            </w:pPr>
            <w:r>
              <w:rPr>
                <w:lang w:val="en-GB"/>
              </w:rPr>
              <w:t>Description</w:t>
            </w:r>
          </w:p>
        </w:tc>
        <w:tc>
          <w:tcPr>
            <w:tcW w:w="1701" w:type="dxa"/>
            <w:tcBorders>
              <w:top w:val="single" w:sz="12" w:space="0" w:color="008000"/>
              <w:bottom w:val="single" w:sz="6" w:space="0" w:color="008000"/>
            </w:tcBorders>
            <w:shd w:val="clear" w:color="auto" w:fill="FFFFFF"/>
          </w:tcPr>
          <w:p w14:paraId="1CE3E89B" w14:textId="1A41AFBD" w:rsidR="006E2BE8" w:rsidRDefault="006E2BE8" w:rsidP="005156D1">
            <w:pPr>
              <w:pStyle w:val="CETBodytext"/>
              <w:rPr>
                <w:lang w:val="en-GB"/>
              </w:rPr>
            </w:pPr>
            <w:r>
              <w:rPr>
                <w:lang w:val="en-GB"/>
              </w:rPr>
              <w:t>Operating conditions</w:t>
            </w:r>
          </w:p>
        </w:tc>
        <w:tc>
          <w:tcPr>
            <w:tcW w:w="2550" w:type="dxa"/>
            <w:tcBorders>
              <w:top w:val="single" w:sz="12" w:space="0" w:color="008000"/>
              <w:bottom w:val="single" w:sz="6" w:space="0" w:color="008000"/>
            </w:tcBorders>
            <w:shd w:val="clear" w:color="auto" w:fill="FFFFFF"/>
          </w:tcPr>
          <w:p w14:paraId="6E5F56AD" w14:textId="706CBCEA" w:rsidR="006E2BE8" w:rsidRDefault="00F2749E" w:rsidP="005156D1">
            <w:pPr>
              <w:pStyle w:val="CETBodytext"/>
              <w:rPr>
                <w:lang w:val="en-GB"/>
              </w:rPr>
            </w:pPr>
            <w:r>
              <w:rPr>
                <w:lang w:val="en-GB"/>
              </w:rPr>
              <w:t xml:space="preserve"> </w:t>
            </w:r>
            <w:r w:rsidR="006E2BE8">
              <w:rPr>
                <w:lang w:val="en-GB"/>
              </w:rPr>
              <w:t>Inherent hazard</w:t>
            </w:r>
          </w:p>
        </w:tc>
      </w:tr>
      <w:tr w:rsidR="006E2BE8" w:rsidRPr="00B57B36" w14:paraId="4AE94173" w14:textId="77777777" w:rsidTr="00F2749E">
        <w:tc>
          <w:tcPr>
            <w:tcW w:w="567" w:type="dxa"/>
            <w:shd w:val="clear" w:color="auto" w:fill="FFFFFF"/>
          </w:tcPr>
          <w:p w14:paraId="7201C2C3" w14:textId="77777777" w:rsidR="006E2BE8" w:rsidRPr="00B57B36" w:rsidRDefault="006E2BE8" w:rsidP="007F1B36">
            <w:pPr>
              <w:pStyle w:val="CETBodytext"/>
              <w:jc w:val="left"/>
              <w:rPr>
                <w:lang w:val="en-GB"/>
              </w:rPr>
            </w:pPr>
            <w:r>
              <w:rPr>
                <w:lang w:val="en-GB"/>
              </w:rPr>
              <w:t>1</w:t>
            </w:r>
          </w:p>
        </w:tc>
        <w:tc>
          <w:tcPr>
            <w:tcW w:w="971" w:type="dxa"/>
            <w:shd w:val="clear" w:color="auto" w:fill="FFFFFF"/>
          </w:tcPr>
          <w:p w14:paraId="4899B969" w14:textId="77777777" w:rsidR="006E2BE8" w:rsidRPr="00B57B36" w:rsidRDefault="006E2BE8" w:rsidP="007F1B36">
            <w:pPr>
              <w:pStyle w:val="CETBodytext"/>
              <w:jc w:val="left"/>
              <w:rPr>
                <w:lang w:val="en-GB"/>
              </w:rPr>
            </w:pPr>
            <w:r>
              <w:rPr>
                <w:lang w:val="en-GB"/>
              </w:rPr>
              <w:t>Mixing</w:t>
            </w:r>
          </w:p>
        </w:tc>
        <w:tc>
          <w:tcPr>
            <w:tcW w:w="22" w:type="dxa"/>
            <w:shd w:val="clear" w:color="auto" w:fill="FFFFFF"/>
          </w:tcPr>
          <w:p w14:paraId="4C6AD3AD" w14:textId="77777777" w:rsidR="006E2BE8" w:rsidRDefault="006E2BE8" w:rsidP="007F1B36">
            <w:pPr>
              <w:pStyle w:val="CETBodytext"/>
              <w:jc w:val="left"/>
              <w:rPr>
                <w:lang w:val="en-GB"/>
              </w:rPr>
            </w:pPr>
          </w:p>
        </w:tc>
        <w:tc>
          <w:tcPr>
            <w:tcW w:w="2976" w:type="dxa"/>
            <w:shd w:val="clear" w:color="auto" w:fill="FFFFFF"/>
          </w:tcPr>
          <w:p w14:paraId="39476838" w14:textId="2D2AD38F" w:rsidR="006E2BE8" w:rsidRDefault="006E2BE8" w:rsidP="007F1B36">
            <w:pPr>
              <w:pStyle w:val="CETBodytext"/>
              <w:jc w:val="left"/>
              <w:rPr>
                <w:lang w:val="en-GB"/>
              </w:rPr>
            </w:pPr>
            <w:r>
              <w:rPr>
                <w:lang w:val="en-GB"/>
              </w:rPr>
              <w:t xml:space="preserve">Feeding and mixing of reactants </w:t>
            </w:r>
            <w:r w:rsidR="00604B71">
              <w:rPr>
                <w:lang w:val="en-GB"/>
              </w:rPr>
              <w:t>in proper quantities</w:t>
            </w:r>
          </w:p>
        </w:tc>
        <w:tc>
          <w:tcPr>
            <w:tcW w:w="1701" w:type="dxa"/>
            <w:shd w:val="clear" w:color="auto" w:fill="FFFFFF"/>
          </w:tcPr>
          <w:p w14:paraId="5F206A0B" w14:textId="75CA7376" w:rsidR="006E2BE8" w:rsidRDefault="006E2BE8" w:rsidP="007F1B36">
            <w:pPr>
              <w:pStyle w:val="CETBodytext"/>
              <w:jc w:val="left"/>
              <w:rPr>
                <w:lang w:val="en-GB"/>
              </w:rPr>
            </w:pPr>
            <w:r>
              <w:rPr>
                <w:lang w:val="en-GB"/>
              </w:rPr>
              <w:t>20°C; 5-10 bar</w:t>
            </w:r>
          </w:p>
        </w:tc>
        <w:tc>
          <w:tcPr>
            <w:tcW w:w="2550" w:type="dxa"/>
            <w:shd w:val="clear" w:color="auto" w:fill="FFFFFF"/>
          </w:tcPr>
          <w:p w14:paraId="7991013C" w14:textId="501D8BEE" w:rsidR="006E2BE8" w:rsidRDefault="00F2749E" w:rsidP="00F2749E">
            <w:pPr>
              <w:pStyle w:val="CETBodytext"/>
              <w:ind w:left="139" w:hanging="139"/>
              <w:jc w:val="left"/>
              <w:rPr>
                <w:lang w:val="en-GB"/>
              </w:rPr>
            </w:pPr>
            <w:r>
              <w:rPr>
                <w:lang w:val="en-GB"/>
              </w:rPr>
              <w:t xml:space="preserve"> </w:t>
            </w:r>
            <w:r w:rsidR="007F1B36">
              <w:rPr>
                <w:lang w:val="en-GB"/>
              </w:rPr>
              <w:t xml:space="preserve">Pressure reduction, mixing of </w:t>
            </w:r>
            <w:r>
              <w:rPr>
                <w:lang w:val="en-GB"/>
              </w:rPr>
              <w:t xml:space="preserve">   </w:t>
            </w:r>
            <w:r w:rsidR="007F1B36">
              <w:rPr>
                <w:lang w:val="en-GB"/>
              </w:rPr>
              <w:t>streams</w:t>
            </w:r>
          </w:p>
        </w:tc>
      </w:tr>
      <w:tr w:rsidR="006E2BE8" w:rsidRPr="00B57B36" w14:paraId="4C639D64" w14:textId="77777777" w:rsidTr="00F2749E">
        <w:tc>
          <w:tcPr>
            <w:tcW w:w="567" w:type="dxa"/>
            <w:shd w:val="clear" w:color="auto" w:fill="FFFFFF"/>
          </w:tcPr>
          <w:p w14:paraId="7180ACEB" w14:textId="77777777" w:rsidR="006E2BE8" w:rsidRPr="00B57B36" w:rsidRDefault="006E2BE8" w:rsidP="007F1B36">
            <w:pPr>
              <w:pStyle w:val="CETBodytext"/>
              <w:ind w:right="-1"/>
              <w:jc w:val="left"/>
              <w:rPr>
                <w:rFonts w:cs="Arial"/>
                <w:szCs w:val="18"/>
                <w:lang w:val="en-GB"/>
              </w:rPr>
            </w:pPr>
            <w:r>
              <w:rPr>
                <w:rFonts w:cs="Arial"/>
                <w:szCs w:val="18"/>
                <w:lang w:val="en-GB"/>
              </w:rPr>
              <w:t>2</w:t>
            </w:r>
          </w:p>
        </w:tc>
        <w:tc>
          <w:tcPr>
            <w:tcW w:w="971" w:type="dxa"/>
            <w:shd w:val="clear" w:color="auto" w:fill="FFFFFF"/>
          </w:tcPr>
          <w:p w14:paraId="7076B2E5" w14:textId="77777777" w:rsidR="006E2BE8" w:rsidRPr="00B57B36" w:rsidRDefault="006E2BE8" w:rsidP="007F1B36">
            <w:pPr>
              <w:pStyle w:val="CETBodytext"/>
              <w:ind w:right="-1"/>
              <w:jc w:val="left"/>
              <w:rPr>
                <w:rFonts w:cs="Arial"/>
                <w:szCs w:val="18"/>
                <w:lang w:val="en-GB"/>
              </w:rPr>
            </w:pPr>
            <w:r>
              <w:rPr>
                <w:rFonts w:cs="Arial"/>
                <w:szCs w:val="18"/>
                <w:lang w:val="en-GB"/>
              </w:rPr>
              <w:t>Reaction</w:t>
            </w:r>
          </w:p>
        </w:tc>
        <w:tc>
          <w:tcPr>
            <w:tcW w:w="22" w:type="dxa"/>
            <w:shd w:val="clear" w:color="auto" w:fill="FFFFFF"/>
          </w:tcPr>
          <w:p w14:paraId="14BA0164" w14:textId="77777777" w:rsidR="006E2BE8" w:rsidRDefault="006E2BE8" w:rsidP="007F1B36">
            <w:pPr>
              <w:pStyle w:val="CETBodytext"/>
              <w:ind w:right="-1"/>
              <w:jc w:val="left"/>
              <w:rPr>
                <w:rFonts w:cs="Arial"/>
                <w:szCs w:val="18"/>
                <w:lang w:val="en-GB"/>
              </w:rPr>
            </w:pPr>
          </w:p>
        </w:tc>
        <w:tc>
          <w:tcPr>
            <w:tcW w:w="2976" w:type="dxa"/>
            <w:shd w:val="clear" w:color="auto" w:fill="FFFFFF"/>
          </w:tcPr>
          <w:p w14:paraId="3ED41918" w14:textId="3149352E" w:rsidR="006E2BE8" w:rsidRDefault="006E2BE8" w:rsidP="007F1B36">
            <w:pPr>
              <w:pStyle w:val="CETBodytext"/>
              <w:ind w:right="-1"/>
              <w:jc w:val="left"/>
              <w:rPr>
                <w:rFonts w:cs="Arial"/>
                <w:szCs w:val="18"/>
                <w:lang w:val="en-GB"/>
              </w:rPr>
            </w:pPr>
            <w:r>
              <w:rPr>
                <w:rFonts w:cs="Arial"/>
                <w:szCs w:val="18"/>
                <w:lang w:val="en-GB"/>
              </w:rPr>
              <w:t>F</w:t>
            </w:r>
            <w:r w:rsidR="00604B71">
              <w:rPr>
                <w:rFonts w:cs="Arial"/>
                <w:szCs w:val="18"/>
                <w:lang w:val="en-GB"/>
              </w:rPr>
              <w:t xml:space="preserve">ischer </w:t>
            </w:r>
            <w:proofErr w:type="spellStart"/>
            <w:r w:rsidR="00604B71">
              <w:rPr>
                <w:rFonts w:cs="Arial"/>
                <w:szCs w:val="18"/>
                <w:lang w:val="en-GB"/>
              </w:rPr>
              <w:t>Tropsch</w:t>
            </w:r>
            <w:proofErr w:type="spellEnd"/>
            <w:r w:rsidR="00604B71">
              <w:rPr>
                <w:rFonts w:cs="Arial"/>
                <w:szCs w:val="18"/>
                <w:lang w:val="en-GB"/>
              </w:rPr>
              <w:t xml:space="preserve"> reaction</w:t>
            </w:r>
          </w:p>
        </w:tc>
        <w:tc>
          <w:tcPr>
            <w:tcW w:w="1701" w:type="dxa"/>
            <w:shd w:val="clear" w:color="auto" w:fill="FFFFFF"/>
          </w:tcPr>
          <w:p w14:paraId="709486AF" w14:textId="116857ED" w:rsidR="006E2BE8" w:rsidRDefault="006E2BE8" w:rsidP="007F1B36">
            <w:pPr>
              <w:pStyle w:val="CETBodytext"/>
              <w:ind w:right="-1"/>
              <w:jc w:val="left"/>
              <w:rPr>
                <w:rFonts w:cs="Arial"/>
                <w:szCs w:val="18"/>
                <w:lang w:val="en-GB"/>
              </w:rPr>
            </w:pPr>
            <w:r>
              <w:rPr>
                <w:rFonts w:cs="Arial"/>
                <w:szCs w:val="18"/>
                <w:lang w:val="en-GB"/>
              </w:rPr>
              <w:t xml:space="preserve">150-350°C; 20 </w:t>
            </w:r>
            <w:proofErr w:type="gramStart"/>
            <w:r>
              <w:rPr>
                <w:rFonts w:cs="Arial"/>
                <w:szCs w:val="18"/>
                <w:lang w:val="en-GB"/>
              </w:rPr>
              <w:t>bar</w:t>
            </w:r>
            <w:proofErr w:type="gramEnd"/>
          </w:p>
        </w:tc>
        <w:tc>
          <w:tcPr>
            <w:tcW w:w="2550" w:type="dxa"/>
            <w:shd w:val="clear" w:color="auto" w:fill="FFFFFF"/>
          </w:tcPr>
          <w:p w14:paraId="0CFFCCE1" w14:textId="188E1B81" w:rsidR="006E2BE8" w:rsidRDefault="00F2749E" w:rsidP="007F1B36">
            <w:pPr>
              <w:pStyle w:val="CETBodytext"/>
              <w:ind w:right="-1"/>
              <w:jc w:val="left"/>
              <w:rPr>
                <w:rFonts w:cs="Arial"/>
                <w:szCs w:val="18"/>
                <w:lang w:val="en-GB"/>
              </w:rPr>
            </w:pPr>
            <w:r>
              <w:rPr>
                <w:rFonts w:cs="Arial"/>
                <w:szCs w:val="18"/>
                <w:lang w:val="en-GB"/>
              </w:rPr>
              <w:t xml:space="preserve"> </w:t>
            </w:r>
            <w:r w:rsidR="007F1B36">
              <w:rPr>
                <w:rFonts w:cs="Arial"/>
                <w:szCs w:val="18"/>
                <w:lang w:val="en-GB"/>
              </w:rPr>
              <w:t>High temperature and pressure</w:t>
            </w:r>
          </w:p>
        </w:tc>
      </w:tr>
      <w:tr w:rsidR="006E2BE8" w:rsidRPr="00B57B36" w14:paraId="4C8E3A60" w14:textId="77777777" w:rsidTr="00F2749E">
        <w:tc>
          <w:tcPr>
            <w:tcW w:w="567" w:type="dxa"/>
            <w:shd w:val="clear" w:color="auto" w:fill="FFFFFF"/>
          </w:tcPr>
          <w:p w14:paraId="2499F460" w14:textId="77777777" w:rsidR="006E2BE8" w:rsidRDefault="006E2BE8" w:rsidP="007F1B36">
            <w:pPr>
              <w:pStyle w:val="CETBodytext"/>
              <w:ind w:right="-1"/>
              <w:jc w:val="left"/>
              <w:rPr>
                <w:rFonts w:cs="Arial"/>
                <w:szCs w:val="18"/>
                <w:lang w:val="en-GB"/>
              </w:rPr>
            </w:pPr>
            <w:r>
              <w:rPr>
                <w:rFonts w:cs="Arial"/>
                <w:szCs w:val="18"/>
                <w:lang w:val="en-GB"/>
              </w:rPr>
              <w:t>3</w:t>
            </w:r>
          </w:p>
        </w:tc>
        <w:tc>
          <w:tcPr>
            <w:tcW w:w="971" w:type="dxa"/>
            <w:shd w:val="clear" w:color="auto" w:fill="FFFFFF"/>
          </w:tcPr>
          <w:p w14:paraId="4140C1B2" w14:textId="77777777" w:rsidR="006E2BE8" w:rsidRPr="00B57B36" w:rsidRDefault="006E2BE8" w:rsidP="007F1B36">
            <w:pPr>
              <w:pStyle w:val="CETBodytext"/>
              <w:ind w:right="-1"/>
              <w:jc w:val="left"/>
              <w:rPr>
                <w:rFonts w:cs="Arial"/>
                <w:szCs w:val="18"/>
                <w:lang w:val="en-GB"/>
              </w:rPr>
            </w:pPr>
            <w:r>
              <w:rPr>
                <w:rFonts w:cs="Arial"/>
                <w:szCs w:val="18"/>
                <w:lang w:val="en-GB"/>
              </w:rPr>
              <w:t>Separation</w:t>
            </w:r>
          </w:p>
        </w:tc>
        <w:tc>
          <w:tcPr>
            <w:tcW w:w="22" w:type="dxa"/>
            <w:shd w:val="clear" w:color="auto" w:fill="FFFFFF"/>
          </w:tcPr>
          <w:p w14:paraId="6C5393B1" w14:textId="77777777" w:rsidR="006E2BE8" w:rsidRDefault="006E2BE8" w:rsidP="007F1B36">
            <w:pPr>
              <w:pStyle w:val="CETBodytext"/>
              <w:ind w:right="-1"/>
              <w:jc w:val="left"/>
              <w:rPr>
                <w:rFonts w:cs="Arial"/>
                <w:szCs w:val="18"/>
                <w:lang w:val="en-GB"/>
              </w:rPr>
            </w:pPr>
          </w:p>
        </w:tc>
        <w:tc>
          <w:tcPr>
            <w:tcW w:w="2976" w:type="dxa"/>
            <w:shd w:val="clear" w:color="auto" w:fill="FFFFFF"/>
          </w:tcPr>
          <w:p w14:paraId="5D55D8D2" w14:textId="77777777" w:rsidR="006E2BE8" w:rsidRDefault="006E2BE8" w:rsidP="007F1B36">
            <w:pPr>
              <w:pStyle w:val="CETBodytext"/>
              <w:ind w:right="-1"/>
              <w:jc w:val="left"/>
              <w:rPr>
                <w:rFonts w:cs="Arial"/>
                <w:szCs w:val="18"/>
                <w:lang w:val="en-GB"/>
              </w:rPr>
            </w:pPr>
            <w:r>
              <w:rPr>
                <w:rFonts w:cs="Arial"/>
                <w:szCs w:val="18"/>
                <w:lang w:val="en-GB"/>
              </w:rPr>
              <w:t>Separation of light and heavy phase</w:t>
            </w:r>
          </w:p>
        </w:tc>
        <w:tc>
          <w:tcPr>
            <w:tcW w:w="1701" w:type="dxa"/>
            <w:shd w:val="clear" w:color="auto" w:fill="FFFFFF"/>
          </w:tcPr>
          <w:p w14:paraId="62FBFA34" w14:textId="0FC1394F" w:rsidR="006E2BE8" w:rsidRDefault="006E2BE8" w:rsidP="007F1B36">
            <w:pPr>
              <w:pStyle w:val="CETBodytext"/>
              <w:ind w:right="-1"/>
              <w:jc w:val="left"/>
              <w:rPr>
                <w:rFonts w:cs="Arial"/>
                <w:szCs w:val="18"/>
                <w:lang w:val="en-GB"/>
              </w:rPr>
            </w:pPr>
            <w:r>
              <w:rPr>
                <w:rFonts w:cs="Arial"/>
                <w:szCs w:val="18"/>
                <w:lang w:val="en-GB"/>
              </w:rPr>
              <w:t xml:space="preserve">5°C; 20 </w:t>
            </w:r>
            <w:proofErr w:type="gramStart"/>
            <w:r>
              <w:rPr>
                <w:rFonts w:cs="Arial"/>
                <w:szCs w:val="18"/>
                <w:lang w:val="en-GB"/>
              </w:rPr>
              <w:t>bar</w:t>
            </w:r>
            <w:proofErr w:type="gramEnd"/>
          </w:p>
        </w:tc>
        <w:tc>
          <w:tcPr>
            <w:tcW w:w="2550" w:type="dxa"/>
            <w:shd w:val="clear" w:color="auto" w:fill="FFFFFF"/>
          </w:tcPr>
          <w:p w14:paraId="77BA990B" w14:textId="1EC1E8E0" w:rsidR="006E2BE8" w:rsidRDefault="00F2749E" w:rsidP="007F1B36">
            <w:pPr>
              <w:pStyle w:val="CETBodytext"/>
              <w:ind w:right="-1"/>
              <w:jc w:val="left"/>
              <w:rPr>
                <w:rFonts w:cs="Arial"/>
                <w:szCs w:val="18"/>
                <w:lang w:val="en-GB"/>
              </w:rPr>
            </w:pPr>
            <w:r>
              <w:rPr>
                <w:rFonts w:cs="Arial"/>
                <w:szCs w:val="18"/>
                <w:lang w:val="en-GB"/>
              </w:rPr>
              <w:t xml:space="preserve"> </w:t>
            </w:r>
            <w:r w:rsidR="007F1B36">
              <w:rPr>
                <w:rFonts w:cs="Arial"/>
                <w:szCs w:val="18"/>
                <w:lang w:val="en-GB"/>
              </w:rPr>
              <w:t xml:space="preserve">Inadequate separation </w:t>
            </w:r>
          </w:p>
        </w:tc>
      </w:tr>
      <w:tr w:rsidR="006E2BE8" w:rsidRPr="00B57B36" w14:paraId="4B2E27B9" w14:textId="77777777" w:rsidTr="00F2749E">
        <w:tc>
          <w:tcPr>
            <w:tcW w:w="567" w:type="dxa"/>
            <w:shd w:val="clear" w:color="auto" w:fill="FFFFFF"/>
          </w:tcPr>
          <w:p w14:paraId="076246A0" w14:textId="77777777" w:rsidR="006E2BE8" w:rsidRDefault="006E2BE8" w:rsidP="007F1B36">
            <w:pPr>
              <w:pStyle w:val="CETBodytext"/>
              <w:ind w:right="-1"/>
              <w:jc w:val="left"/>
              <w:rPr>
                <w:rFonts w:cs="Arial"/>
                <w:szCs w:val="18"/>
                <w:lang w:val="en-GB"/>
              </w:rPr>
            </w:pPr>
            <w:r>
              <w:rPr>
                <w:rFonts w:cs="Arial"/>
                <w:szCs w:val="18"/>
                <w:lang w:val="en-GB"/>
              </w:rPr>
              <w:t>4</w:t>
            </w:r>
          </w:p>
        </w:tc>
        <w:tc>
          <w:tcPr>
            <w:tcW w:w="971" w:type="dxa"/>
            <w:shd w:val="clear" w:color="auto" w:fill="FFFFFF"/>
          </w:tcPr>
          <w:p w14:paraId="603C221E" w14:textId="77777777" w:rsidR="006E2BE8" w:rsidRPr="00B57B36" w:rsidRDefault="006E2BE8" w:rsidP="007F1B36">
            <w:pPr>
              <w:pStyle w:val="CETBodytext"/>
              <w:ind w:right="-1"/>
              <w:jc w:val="left"/>
              <w:rPr>
                <w:rFonts w:cs="Arial"/>
                <w:szCs w:val="18"/>
                <w:lang w:val="en-GB"/>
              </w:rPr>
            </w:pPr>
            <w:r>
              <w:rPr>
                <w:rFonts w:cs="Arial"/>
                <w:szCs w:val="18"/>
                <w:lang w:val="en-GB"/>
              </w:rPr>
              <w:t>Analysis</w:t>
            </w:r>
          </w:p>
        </w:tc>
        <w:tc>
          <w:tcPr>
            <w:tcW w:w="22" w:type="dxa"/>
            <w:shd w:val="clear" w:color="auto" w:fill="FFFFFF"/>
          </w:tcPr>
          <w:p w14:paraId="7DF5C95D" w14:textId="77777777" w:rsidR="006E2BE8" w:rsidRDefault="006E2BE8" w:rsidP="007F1B36">
            <w:pPr>
              <w:pStyle w:val="CETBodytext"/>
              <w:ind w:right="-1"/>
              <w:jc w:val="left"/>
              <w:rPr>
                <w:rFonts w:cs="Arial"/>
                <w:szCs w:val="18"/>
                <w:lang w:val="en-GB"/>
              </w:rPr>
            </w:pPr>
          </w:p>
        </w:tc>
        <w:tc>
          <w:tcPr>
            <w:tcW w:w="2976" w:type="dxa"/>
            <w:shd w:val="clear" w:color="auto" w:fill="FFFFFF"/>
          </w:tcPr>
          <w:p w14:paraId="593AE746" w14:textId="77777777" w:rsidR="006E2BE8" w:rsidRDefault="006E2BE8" w:rsidP="007F1B36">
            <w:pPr>
              <w:pStyle w:val="CETBodytext"/>
              <w:ind w:right="-1"/>
              <w:jc w:val="left"/>
              <w:rPr>
                <w:rFonts w:cs="Arial"/>
                <w:szCs w:val="18"/>
                <w:lang w:val="en-GB"/>
              </w:rPr>
            </w:pPr>
            <w:r>
              <w:rPr>
                <w:rFonts w:cs="Arial"/>
                <w:szCs w:val="18"/>
                <w:lang w:val="en-GB"/>
              </w:rPr>
              <w:t>Analysis of the gaseous phase</w:t>
            </w:r>
          </w:p>
        </w:tc>
        <w:tc>
          <w:tcPr>
            <w:tcW w:w="1701" w:type="dxa"/>
            <w:shd w:val="clear" w:color="auto" w:fill="FFFFFF"/>
          </w:tcPr>
          <w:p w14:paraId="516AFE87" w14:textId="321C0DFD" w:rsidR="006E2BE8" w:rsidRDefault="006E2BE8" w:rsidP="007F1B36">
            <w:pPr>
              <w:pStyle w:val="CETBodytext"/>
              <w:ind w:right="-1"/>
              <w:jc w:val="left"/>
              <w:rPr>
                <w:rFonts w:cs="Arial"/>
                <w:szCs w:val="18"/>
                <w:lang w:val="en-GB"/>
              </w:rPr>
            </w:pPr>
            <w:r>
              <w:rPr>
                <w:rFonts w:cs="Arial"/>
                <w:szCs w:val="18"/>
                <w:lang w:val="en-GB"/>
              </w:rPr>
              <w:t>60°C; 1 bar</w:t>
            </w:r>
          </w:p>
        </w:tc>
        <w:tc>
          <w:tcPr>
            <w:tcW w:w="2550" w:type="dxa"/>
            <w:shd w:val="clear" w:color="auto" w:fill="FFFFFF"/>
          </w:tcPr>
          <w:p w14:paraId="10B35770" w14:textId="100F9805" w:rsidR="006E2BE8" w:rsidRDefault="00F2749E" w:rsidP="007F1B36">
            <w:pPr>
              <w:pStyle w:val="CETBodytext"/>
              <w:ind w:right="-1"/>
              <w:jc w:val="left"/>
              <w:rPr>
                <w:rFonts w:cs="Arial"/>
                <w:szCs w:val="18"/>
                <w:lang w:val="en-GB"/>
              </w:rPr>
            </w:pPr>
            <w:r>
              <w:rPr>
                <w:rFonts w:cs="Arial"/>
                <w:szCs w:val="18"/>
                <w:lang w:val="en-GB"/>
              </w:rPr>
              <w:t xml:space="preserve"> </w:t>
            </w:r>
            <w:r w:rsidR="006E2BE8">
              <w:rPr>
                <w:rFonts w:cs="Arial"/>
                <w:szCs w:val="18"/>
                <w:lang w:val="en-GB"/>
              </w:rPr>
              <w:t>-</w:t>
            </w:r>
          </w:p>
        </w:tc>
      </w:tr>
    </w:tbl>
    <w:p w14:paraId="465E7F6C" w14:textId="3E55B9DA" w:rsidR="00712413" w:rsidRDefault="00C928DC" w:rsidP="00712413">
      <w:pPr>
        <w:pStyle w:val="CETTabletitle"/>
      </w:pPr>
      <w:r w:rsidRPr="00D1773F">
        <w:t xml:space="preserve">Table </w:t>
      </w:r>
      <w:r w:rsidRPr="00D1773F">
        <w:fldChar w:fldCharType="begin"/>
      </w:r>
      <w:r w:rsidRPr="00D1773F">
        <w:instrText xml:space="preserve"> SEQ Table \* ARABIC </w:instrText>
      </w:r>
      <w:r w:rsidRPr="00D1773F">
        <w:fldChar w:fldCharType="separate"/>
      </w:r>
      <w:r w:rsidR="009D5082">
        <w:rPr>
          <w:noProof/>
        </w:rPr>
        <w:t>3</w:t>
      </w:r>
      <w:r w:rsidRPr="00D1773F">
        <w:fldChar w:fldCharType="end"/>
      </w:r>
      <w:r w:rsidRPr="00D1773F">
        <w:t xml:space="preserve">: </w:t>
      </w:r>
      <w:r w:rsidR="001824ED">
        <w:t>List of u</w:t>
      </w:r>
      <w:r w:rsidR="00832B8C">
        <w:t xml:space="preserve">nprotected </w:t>
      </w:r>
      <w:r w:rsidR="007F1B36">
        <w:t>deviations at high risk.</w:t>
      </w:r>
      <w:r w:rsidR="008C7FEC">
        <w:t xml:space="preserve"> </w:t>
      </w:r>
      <w:r w:rsidR="009227DA">
        <w:t>C: very severe risk (barriers are required</w:t>
      </w:r>
      <w:r w:rsidR="0096739D">
        <w:t xml:space="preserve">). </w:t>
      </w:r>
      <w:r w:rsidR="000033A0">
        <w:t>E</w:t>
      </w:r>
      <w:r w:rsidR="002F7C38">
        <w:t xml:space="preserve">: moderate risk. F: </w:t>
      </w:r>
      <w:r w:rsidR="00D03409">
        <w:t xml:space="preserve">noticeable risk. </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557"/>
        <w:gridCol w:w="2581"/>
        <w:gridCol w:w="2022"/>
        <w:gridCol w:w="851"/>
        <w:gridCol w:w="1211"/>
        <w:gridCol w:w="1118"/>
      </w:tblGrid>
      <w:tr w:rsidR="00B33B99" w:rsidRPr="00B57B36" w14:paraId="05485F2D" w14:textId="7B0911EC" w:rsidTr="00B33B99">
        <w:trPr>
          <w:trHeight w:val="20"/>
        </w:trPr>
        <w:tc>
          <w:tcPr>
            <w:tcW w:w="557" w:type="dxa"/>
            <w:tcBorders>
              <w:top w:val="single" w:sz="12" w:space="0" w:color="008000"/>
              <w:bottom w:val="single" w:sz="6" w:space="0" w:color="008000"/>
            </w:tcBorders>
            <w:shd w:val="clear" w:color="auto" w:fill="FFFFFF"/>
          </w:tcPr>
          <w:p w14:paraId="45961128" w14:textId="77777777" w:rsidR="00B33B99" w:rsidRPr="00B57B36" w:rsidRDefault="00B33B99" w:rsidP="005156D1">
            <w:pPr>
              <w:pStyle w:val="CETBodytext"/>
              <w:rPr>
                <w:lang w:val="en-GB"/>
              </w:rPr>
            </w:pPr>
            <w:r>
              <w:rPr>
                <w:lang w:val="en-GB"/>
              </w:rPr>
              <w:t>Node</w:t>
            </w:r>
            <w:r w:rsidRPr="00B57B36">
              <w:rPr>
                <w:lang w:val="en-GB"/>
              </w:rPr>
              <w:t xml:space="preserve"> </w:t>
            </w:r>
          </w:p>
        </w:tc>
        <w:tc>
          <w:tcPr>
            <w:tcW w:w="2581" w:type="dxa"/>
            <w:tcBorders>
              <w:top w:val="single" w:sz="12" w:space="0" w:color="008000"/>
              <w:bottom w:val="single" w:sz="6" w:space="0" w:color="008000"/>
            </w:tcBorders>
            <w:shd w:val="clear" w:color="auto" w:fill="FFFFFF"/>
          </w:tcPr>
          <w:p w14:paraId="56BD7DB4" w14:textId="77777777" w:rsidR="00B33B99" w:rsidRDefault="00B33B99" w:rsidP="005156D1">
            <w:pPr>
              <w:pStyle w:val="CETBodytext"/>
              <w:rPr>
                <w:lang w:val="en-GB"/>
              </w:rPr>
            </w:pPr>
            <w:r>
              <w:rPr>
                <w:lang w:val="en-GB"/>
              </w:rPr>
              <w:t>Deviation</w:t>
            </w:r>
          </w:p>
        </w:tc>
        <w:tc>
          <w:tcPr>
            <w:tcW w:w="2022" w:type="dxa"/>
            <w:tcBorders>
              <w:top w:val="single" w:sz="12" w:space="0" w:color="008000"/>
              <w:bottom w:val="single" w:sz="6" w:space="0" w:color="008000"/>
            </w:tcBorders>
            <w:shd w:val="clear" w:color="auto" w:fill="FFFFFF"/>
          </w:tcPr>
          <w:p w14:paraId="3E8C4945" w14:textId="042237F5" w:rsidR="00B33B99" w:rsidRDefault="00B33B99" w:rsidP="005156D1">
            <w:pPr>
              <w:pStyle w:val="CETBodytext"/>
              <w:rPr>
                <w:lang w:val="en-GB"/>
              </w:rPr>
            </w:pPr>
            <w:r>
              <w:rPr>
                <w:lang w:val="en-GB"/>
              </w:rPr>
              <w:t>Initiating event category</w:t>
            </w:r>
          </w:p>
        </w:tc>
        <w:tc>
          <w:tcPr>
            <w:tcW w:w="851" w:type="dxa"/>
            <w:tcBorders>
              <w:top w:val="single" w:sz="12" w:space="0" w:color="008000"/>
              <w:bottom w:val="single" w:sz="6" w:space="0" w:color="008000"/>
            </w:tcBorders>
            <w:shd w:val="clear" w:color="auto" w:fill="FFFFFF"/>
          </w:tcPr>
          <w:p w14:paraId="7DBBA9F5" w14:textId="18EE988B" w:rsidR="00B33B99" w:rsidRDefault="00B33B99" w:rsidP="005156D1">
            <w:pPr>
              <w:pStyle w:val="CETBodytext"/>
              <w:rPr>
                <w:lang w:val="en-GB"/>
              </w:rPr>
            </w:pPr>
            <w:r>
              <w:rPr>
                <w:lang w:val="en-GB"/>
              </w:rPr>
              <w:t>Initial risk</w:t>
            </w:r>
          </w:p>
        </w:tc>
        <w:tc>
          <w:tcPr>
            <w:tcW w:w="1211" w:type="dxa"/>
            <w:tcBorders>
              <w:top w:val="single" w:sz="12" w:space="0" w:color="008000"/>
              <w:bottom w:val="single" w:sz="6" w:space="0" w:color="008000"/>
            </w:tcBorders>
            <w:shd w:val="clear" w:color="auto" w:fill="FFFFFF"/>
          </w:tcPr>
          <w:p w14:paraId="4E99C3BC" w14:textId="55A6BFF6" w:rsidR="00B33B99" w:rsidRDefault="00B33B99" w:rsidP="00A41CDF">
            <w:pPr>
              <w:pStyle w:val="CETBodytext"/>
              <w:jc w:val="left"/>
              <w:rPr>
                <w:lang w:val="en-GB"/>
              </w:rPr>
            </w:pPr>
            <w:r>
              <w:rPr>
                <w:lang w:val="en-GB"/>
              </w:rPr>
              <w:t xml:space="preserve">Mitigated risk </w:t>
            </w:r>
          </w:p>
        </w:tc>
        <w:tc>
          <w:tcPr>
            <w:tcW w:w="1118" w:type="dxa"/>
            <w:tcBorders>
              <w:top w:val="single" w:sz="12" w:space="0" w:color="008000"/>
              <w:bottom w:val="single" w:sz="6" w:space="0" w:color="008000"/>
            </w:tcBorders>
            <w:shd w:val="clear" w:color="auto" w:fill="FFFFFF"/>
          </w:tcPr>
          <w:p w14:paraId="260171FD" w14:textId="3A86A60C" w:rsidR="00B33B99" w:rsidRDefault="00B33B99" w:rsidP="00A41CDF">
            <w:pPr>
              <w:pStyle w:val="CETBodytext"/>
              <w:jc w:val="left"/>
              <w:rPr>
                <w:lang w:val="en-GB"/>
              </w:rPr>
            </w:pPr>
            <w:r>
              <w:rPr>
                <w:lang w:val="en-GB"/>
              </w:rPr>
              <w:t>Required SIL</w:t>
            </w:r>
          </w:p>
        </w:tc>
      </w:tr>
      <w:tr w:rsidR="00B33B99" w:rsidRPr="00B57B36" w14:paraId="3BB59E5A" w14:textId="1ED8F28D" w:rsidTr="00B33B99">
        <w:trPr>
          <w:trHeight w:val="20"/>
        </w:trPr>
        <w:tc>
          <w:tcPr>
            <w:tcW w:w="557" w:type="dxa"/>
            <w:shd w:val="clear" w:color="auto" w:fill="FFFFFF"/>
          </w:tcPr>
          <w:p w14:paraId="44780409" w14:textId="77777777" w:rsidR="00B33B99" w:rsidRPr="00B57B36" w:rsidRDefault="00B33B99" w:rsidP="005156D1">
            <w:pPr>
              <w:pStyle w:val="CETBodytext"/>
              <w:rPr>
                <w:lang w:val="en-GB"/>
              </w:rPr>
            </w:pPr>
            <w:r>
              <w:rPr>
                <w:lang w:val="en-GB"/>
              </w:rPr>
              <w:t>1</w:t>
            </w:r>
          </w:p>
        </w:tc>
        <w:tc>
          <w:tcPr>
            <w:tcW w:w="2581" w:type="dxa"/>
            <w:shd w:val="clear" w:color="auto" w:fill="FFFFFF"/>
          </w:tcPr>
          <w:p w14:paraId="62068558" w14:textId="2D843A30" w:rsidR="00B33B99" w:rsidRDefault="00B33B99" w:rsidP="005156D1">
            <w:pPr>
              <w:pStyle w:val="CETBodytext"/>
              <w:rPr>
                <w:lang w:val="en-GB"/>
              </w:rPr>
            </w:pPr>
            <w:r>
              <w:rPr>
                <w:lang w:val="en-GB"/>
              </w:rPr>
              <w:t>More flow rate</w:t>
            </w:r>
          </w:p>
        </w:tc>
        <w:tc>
          <w:tcPr>
            <w:tcW w:w="2022" w:type="dxa"/>
            <w:shd w:val="clear" w:color="auto" w:fill="FFFFFF"/>
          </w:tcPr>
          <w:p w14:paraId="2F3674E2" w14:textId="77777777" w:rsidR="00B33B99" w:rsidRDefault="00B33B99" w:rsidP="005156D1">
            <w:pPr>
              <w:pStyle w:val="CETBodytext"/>
              <w:rPr>
                <w:lang w:val="en-GB"/>
              </w:rPr>
            </w:pPr>
            <w:r>
              <w:rPr>
                <w:lang w:val="en-GB"/>
              </w:rPr>
              <w:t>Human error</w:t>
            </w:r>
          </w:p>
        </w:tc>
        <w:tc>
          <w:tcPr>
            <w:tcW w:w="851" w:type="dxa"/>
            <w:shd w:val="clear" w:color="auto" w:fill="E36C0A" w:themeFill="accent6" w:themeFillShade="BF"/>
          </w:tcPr>
          <w:p w14:paraId="5E304C8B" w14:textId="0F0B3286" w:rsidR="00B33B99" w:rsidRDefault="00B33B99" w:rsidP="00B33B99">
            <w:pPr>
              <w:pStyle w:val="CETBodytext"/>
              <w:jc w:val="center"/>
              <w:rPr>
                <w:lang w:val="en-GB"/>
              </w:rPr>
            </w:pPr>
            <w:r>
              <w:rPr>
                <w:lang w:val="en-GB"/>
              </w:rPr>
              <w:t>C</w:t>
            </w:r>
          </w:p>
        </w:tc>
        <w:tc>
          <w:tcPr>
            <w:tcW w:w="1211" w:type="dxa"/>
            <w:shd w:val="clear" w:color="auto" w:fill="92D050"/>
          </w:tcPr>
          <w:p w14:paraId="6DF1B297" w14:textId="75F9C72D" w:rsidR="00B33B99" w:rsidRDefault="00B33B99" w:rsidP="00B33B99">
            <w:pPr>
              <w:pStyle w:val="CETBodytext"/>
              <w:jc w:val="center"/>
              <w:rPr>
                <w:lang w:val="en-GB"/>
              </w:rPr>
            </w:pPr>
            <w:r>
              <w:rPr>
                <w:lang w:val="en-GB"/>
              </w:rPr>
              <w:t>F</w:t>
            </w:r>
          </w:p>
        </w:tc>
        <w:tc>
          <w:tcPr>
            <w:tcW w:w="1118" w:type="dxa"/>
            <w:shd w:val="clear" w:color="auto" w:fill="auto"/>
          </w:tcPr>
          <w:p w14:paraId="03DDC72B" w14:textId="3FE4006E" w:rsidR="00B33B99" w:rsidRDefault="00A55A2E" w:rsidP="00A55A2E">
            <w:pPr>
              <w:pStyle w:val="CETBodytext"/>
              <w:jc w:val="center"/>
              <w:rPr>
                <w:lang w:val="en-GB"/>
              </w:rPr>
            </w:pPr>
            <w:r>
              <w:rPr>
                <w:lang w:val="en-GB"/>
              </w:rPr>
              <w:t>SIL 1</w:t>
            </w:r>
          </w:p>
        </w:tc>
      </w:tr>
      <w:tr w:rsidR="00B33B99" w:rsidRPr="00B57B36" w14:paraId="3D17EA41" w14:textId="2CB63429" w:rsidTr="00B33B99">
        <w:trPr>
          <w:trHeight w:val="20"/>
        </w:trPr>
        <w:tc>
          <w:tcPr>
            <w:tcW w:w="557" w:type="dxa"/>
            <w:shd w:val="clear" w:color="auto" w:fill="FFFFFF"/>
          </w:tcPr>
          <w:p w14:paraId="4188C035" w14:textId="77777777" w:rsidR="00B33B99" w:rsidRPr="00B57B36" w:rsidRDefault="00B33B99" w:rsidP="005156D1">
            <w:pPr>
              <w:pStyle w:val="CETBodytext"/>
              <w:ind w:right="-1"/>
              <w:rPr>
                <w:rFonts w:cs="Arial"/>
                <w:szCs w:val="18"/>
                <w:lang w:val="en-GB"/>
              </w:rPr>
            </w:pPr>
            <w:r>
              <w:rPr>
                <w:rFonts w:cs="Arial"/>
                <w:szCs w:val="18"/>
                <w:lang w:val="en-GB"/>
              </w:rPr>
              <w:t>2</w:t>
            </w:r>
          </w:p>
        </w:tc>
        <w:tc>
          <w:tcPr>
            <w:tcW w:w="2581" w:type="dxa"/>
            <w:shd w:val="clear" w:color="auto" w:fill="FFFFFF"/>
          </w:tcPr>
          <w:p w14:paraId="3012FE16" w14:textId="6EDB193B" w:rsidR="00B33B99" w:rsidRDefault="00B33B99" w:rsidP="005156D1">
            <w:pPr>
              <w:pStyle w:val="CETBodytext"/>
              <w:ind w:right="-1"/>
              <w:rPr>
                <w:rFonts w:cs="Arial"/>
                <w:szCs w:val="18"/>
                <w:lang w:val="en-GB"/>
              </w:rPr>
            </w:pPr>
            <w:r>
              <w:rPr>
                <w:rFonts w:cs="Arial"/>
                <w:szCs w:val="18"/>
                <w:lang w:val="en-GB"/>
              </w:rPr>
              <w:t>More temperature/reaction rate</w:t>
            </w:r>
          </w:p>
        </w:tc>
        <w:tc>
          <w:tcPr>
            <w:tcW w:w="2022" w:type="dxa"/>
            <w:shd w:val="clear" w:color="auto" w:fill="FFFFFF"/>
          </w:tcPr>
          <w:p w14:paraId="63AA4C36" w14:textId="77777777" w:rsidR="00B33B99" w:rsidRDefault="00B33B99" w:rsidP="001D02FA">
            <w:pPr>
              <w:pStyle w:val="CETBodytext"/>
              <w:ind w:right="-1"/>
              <w:rPr>
                <w:rFonts w:cs="Arial"/>
                <w:szCs w:val="18"/>
                <w:lang w:val="en-GB"/>
              </w:rPr>
            </w:pPr>
            <w:r>
              <w:rPr>
                <w:rFonts w:cs="Arial"/>
                <w:szCs w:val="18"/>
                <w:lang w:val="en-GB"/>
              </w:rPr>
              <w:t>Human error</w:t>
            </w:r>
          </w:p>
        </w:tc>
        <w:tc>
          <w:tcPr>
            <w:tcW w:w="851" w:type="dxa"/>
            <w:shd w:val="clear" w:color="auto" w:fill="E36C0A" w:themeFill="accent6" w:themeFillShade="BF"/>
          </w:tcPr>
          <w:p w14:paraId="09209AC9" w14:textId="05A25644" w:rsidR="00B33B99" w:rsidRDefault="00B33B99" w:rsidP="00B33B99">
            <w:pPr>
              <w:pStyle w:val="CETBodytext"/>
              <w:ind w:right="-1"/>
              <w:jc w:val="center"/>
              <w:rPr>
                <w:rFonts w:cs="Arial"/>
                <w:szCs w:val="18"/>
                <w:lang w:val="en-GB"/>
              </w:rPr>
            </w:pPr>
            <w:r>
              <w:rPr>
                <w:rFonts w:cs="Arial"/>
                <w:szCs w:val="18"/>
                <w:lang w:val="en-GB"/>
              </w:rPr>
              <w:t>C</w:t>
            </w:r>
          </w:p>
        </w:tc>
        <w:tc>
          <w:tcPr>
            <w:tcW w:w="1211" w:type="dxa"/>
            <w:shd w:val="clear" w:color="auto" w:fill="92D050"/>
          </w:tcPr>
          <w:p w14:paraId="6E2B56A4" w14:textId="0BD57E88" w:rsidR="00B33B99" w:rsidRDefault="00B33B99" w:rsidP="00B33B99">
            <w:pPr>
              <w:pStyle w:val="CETBodytext"/>
              <w:ind w:right="-1"/>
              <w:jc w:val="center"/>
              <w:rPr>
                <w:rFonts w:cs="Arial"/>
                <w:szCs w:val="18"/>
                <w:lang w:val="en-GB"/>
              </w:rPr>
            </w:pPr>
            <w:r>
              <w:rPr>
                <w:rFonts w:cs="Arial"/>
                <w:szCs w:val="18"/>
                <w:lang w:val="en-GB"/>
              </w:rPr>
              <w:t>F</w:t>
            </w:r>
          </w:p>
        </w:tc>
        <w:tc>
          <w:tcPr>
            <w:tcW w:w="1118" w:type="dxa"/>
            <w:shd w:val="clear" w:color="auto" w:fill="auto"/>
          </w:tcPr>
          <w:p w14:paraId="64FBD445" w14:textId="69DB3BEA" w:rsidR="00B33B99" w:rsidRDefault="00495D93" w:rsidP="00A55A2E">
            <w:pPr>
              <w:pStyle w:val="CETBodytext"/>
              <w:ind w:right="-1"/>
              <w:jc w:val="center"/>
              <w:rPr>
                <w:rFonts w:cs="Arial"/>
                <w:szCs w:val="18"/>
                <w:lang w:val="en-GB"/>
              </w:rPr>
            </w:pPr>
            <w:r>
              <w:rPr>
                <w:rFonts w:cs="Arial"/>
                <w:szCs w:val="18"/>
                <w:lang w:val="en-GB"/>
              </w:rPr>
              <w:t>SIL 1</w:t>
            </w:r>
          </w:p>
        </w:tc>
      </w:tr>
      <w:tr w:rsidR="00B33B99" w:rsidRPr="00B57B36" w14:paraId="061E7EB4" w14:textId="4CA71223" w:rsidTr="00B33B99">
        <w:trPr>
          <w:trHeight w:val="20"/>
        </w:trPr>
        <w:tc>
          <w:tcPr>
            <w:tcW w:w="557" w:type="dxa"/>
            <w:shd w:val="clear" w:color="auto" w:fill="FFFFFF"/>
          </w:tcPr>
          <w:p w14:paraId="59828931" w14:textId="77777777" w:rsidR="00B33B99" w:rsidRDefault="00B33B99" w:rsidP="005156D1">
            <w:pPr>
              <w:pStyle w:val="CETBodytext"/>
              <w:ind w:right="-1"/>
              <w:rPr>
                <w:rFonts w:cs="Arial"/>
                <w:szCs w:val="18"/>
                <w:lang w:val="en-GB"/>
              </w:rPr>
            </w:pPr>
            <w:r>
              <w:rPr>
                <w:rFonts w:cs="Arial"/>
                <w:szCs w:val="18"/>
                <w:lang w:val="en-GB"/>
              </w:rPr>
              <w:t>2</w:t>
            </w:r>
          </w:p>
        </w:tc>
        <w:tc>
          <w:tcPr>
            <w:tcW w:w="2581" w:type="dxa"/>
            <w:shd w:val="clear" w:color="auto" w:fill="FFFFFF"/>
          </w:tcPr>
          <w:p w14:paraId="5085EAAD" w14:textId="05DEE69C" w:rsidR="00B33B99" w:rsidRDefault="00B33B99" w:rsidP="005156D1">
            <w:pPr>
              <w:pStyle w:val="CETBodytext"/>
              <w:ind w:right="-1"/>
              <w:rPr>
                <w:rFonts w:cs="Arial"/>
                <w:szCs w:val="18"/>
                <w:lang w:val="en-GB"/>
              </w:rPr>
            </w:pPr>
            <w:r>
              <w:rPr>
                <w:rFonts w:cs="Arial"/>
                <w:szCs w:val="18"/>
                <w:lang w:val="en-GB"/>
              </w:rPr>
              <w:t>Less pressure</w:t>
            </w:r>
          </w:p>
        </w:tc>
        <w:tc>
          <w:tcPr>
            <w:tcW w:w="2022" w:type="dxa"/>
            <w:shd w:val="clear" w:color="auto" w:fill="FFFFFF"/>
          </w:tcPr>
          <w:p w14:paraId="3C88DEDE" w14:textId="77777777" w:rsidR="00B33B99" w:rsidRDefault="00B33B99" w:rsidP="005156D1">
            <w:pPr>
              <w:pStyle w:val="CETBodytext"/>
              <w:ind w:right="-1"/>
              <w:rPr>
                <w:rFonts w:cs="Arial"/>
                <w:szCs w:val="18"/>
                <w:lang w:val="en-GB"/>
              </w:rPr>
            </w:pPr>
            <w:r>
              <w:rPr>
                <w:rFonts w:cs="Arial"/>
                <w:szCs w:val="18"/>
                <w:lang w:val="en-GB"/>
              </w:rPr>
              <w:t>System failure</w:t>
            </w:r>
          </w:p>
        </w:tc>
        <w:tc>
          <w:tcPr>
            <w:tcW w:w="851" w:type="dxa"/>
            <w:shd w:val="clear" w:color="auto" w:fill="E36C0A" w:themeFill="accent6" w:themeFillShade="BF"/>
          </w:tcPr>
          <w:p w14:paraId="783D07C2" w14:textId="62BC275C" w:rsidR="00B33B99" w:rsidRDefault="00B33B99" w:rsidP="00B33B99">
            <w:pPr>
              <w:pStyle w:val="CETBodytext"/>
              <w:ind w:right="-1"/>
              <w:jc w:val="center"/>
              <w:rPr>
                <w:rFonts w:cs="Arial"/>
                <w:szCs w:val="18"/>
                <w:lang w:val="en-GB"/>
              </w:rPr>
            </w:pPr>
            <w:r>
              <w:rPr>
                <w:rFonts w:cs="Arial"/>
                <w:szCs w:val="18"/>
                <w:lang w:val="en-GB"/>
              </w:rPr>
              <w:t>C</w:t>
            </w:r>
          </w:p>
        </w:tc>
        <w:tc>
          <w:tcPr>
            <w:tcW w:w="1211" w:type="dxa"/>
            <w:shd w:val="clear" w:color="auto" w:fill="FFCC00"/>
          </w:tcPr>
          <w:p w14:paraId="42F26AF8" w14:textId="70A1D782" w:rsidR="00B33B99" w:rsidRDefault="00B33B99" w:rsidP="00B33B99">
            <w:pPr>
              <w:pStyle w:val="CETBodytext"/>
              <w:ind w:right="-1"/>
              <w:jc w:val="center"/>
              <w:rPr>
                <w:rFonts w:cs="Arial"/>
                <w:szCs w:val="18"/>
                <w:lang w:val="en-GB"/>
              </w:rPr>
            </w:pPr>
            <w:r>
              <w:rPr>
                <w:rFonts w:cs="Arial"/>
                <w:szCs w:val="18"/>
                <w:lang w:val="en-GB"/>
              </w:rPr>
              <w:t>E</w:t>
            </w:r>
          </w:p>
        </w:tc>
        <w:tc>
          <w:tcPr>
            <w:tcW w:w="1118" w:type="dxa"/>
            <w:shd w:val="clear" w:color="auto" w:fill="auto"/>
          </w:tcPr>
          <w:p w14:paraId="406FAFF7" w14:textId="7652B5E5" w:rsidR="00B33B99" w:rsidRDefault="00495D93" w:rsidP="00A55A2E">
            <w:pPr>
              <w:pStyle w:val="CETBodytext"/>
              <w:ind w:right="-1"/>
              <w:jc w:val="center"/>
              <w:rPr>
                <w:rFonts w:cs="Arial"/>
                <w:szCs w:val="18"/>
                <w:lang w:val="en-GB"/>
              </w:rPr>
            </w:pPr>
            <w:r>
              <w:rPr>
                <w:rFonts w:cs="Arial"/>
                <w:szCs w:val="18"/>
                <w:lang w:val="en-GB"/>
              </w:rPr>
              <w:t>SIL 3</w:t>
            </w:r>
          </w:p>
        </w:tc>
      </w:tr>
      <w:tr w:rsidR="00B33B99" w:rsidRPr="00B57B36" w14:paraId="29FF2F45" w14:textId="40C06CAB" w:rsidTr="00B33B99">
        <w:trPr>
          <w:trHeight w:val="20"/>
        </w:trPr>
        <w:tc>
          <w:tcPr>
            <w:tcW w:w="557" w:type="dxa"/>
            <w:shd w:val="clear" w:color="auto" w:fill="FFFFFF"/>
          </w:tcPr>
          <w:p w14:paraId="5AEF630E" w14:textId="77777777" w:rsidR="00B33B99" w:rsidRDefault="00B33B99" w:rsidP="005156D1">
            <w:pPr>
              <w:pStyle w:val="CETBodytext"/>
              <w:ind w:right="-1"/>
              <w:rPr>
                <w:rFonts w:cs="Arial"/>
                <w:szCs w:val="18"/>
                <w:lang w:val="en-GB"/>
              </w:rPr>
            </w:pPr>
            <w:r>
              <w:rPr>
                <w:rFonts w:cs="Arial"/>
                <w:szCs w:val="18"/>
                <w:lang w:val="en-GB"/>
              </w:rPr>
              <w:t>2</w:t>
            </w:r>
          </w:p>
        </w:tc>
        <w:tc>
          <w:tcPr>
            <w:tcW w:w="2581" w:type="dxa"/>
            <w:shd w:val="clear" w:color="auto" w:fill="FFFFFF"/>
          </w:tcPr>
          <w:p w14:paraId="293C5C40" w14:textId="462E16F4" w:rsidR="00B33B99" w:rsidRDefault="00B33B99" w:rsidP="005156D1">
            <w:pPr>
              <w:pStyle w:val="CETBodytext"/>
              <w:ind w:right="-1"/>
              <w:rPr>
                <w:rFonts w:cs="Arial"/>
                <w:szCs w:val="18"/>
                <w:lang w:val="en-GB"/>
              </w:rPr>
            </w:pPr>
            <w:r>
              <w:rPr>
                <w:rFonts w:cs="Arial"/>
                <w:szCs w:val="18"/>
                <w:lang w:val="en-GB"/>
              </w:rPr>
              <w:t>No (electric) power</w:t>
            </w:r>
          </w:p>
        </w:tc>
        <w:tc>
          <w:tcPr>
            <w:tcW w:w="2022" w:type="dxa"/>
            <w:shd w:val="clear" w:color="auto" w:fill="FFFFFF"/>
          </w:tcPr>
          <w:p w14:paraId="0BABCF28" w14:textId="77777777" w:rsidR="00B33B99" w:rsidRDefault="00B33B99" w:rsidP="005156D1">
            <w:pPr>
              <w:pStyle w:val="CETBodytext"/>
              <w:ind w:right="-1"/>
              <w:rPr>
                <w:rFonts w:cs="Arial"/>
                <w:szCs w:val="18"/>
                <w:lang w:val="en-GB"/>
              </w:rPr>
            </w:pPr>
            <w:r>
              <w:rPr>
                <w:rFonts w:cs="Arial"/>
                <w:szCs w:val="18"/>
                <w:lang w:val="en-GB"/>
              </w:rPr>
              <w:t>System failure</w:t>
            </w:r>
          </w:p>
        </w:tc>
        <w:tc>
          <w:tcPr>
            <w:tcW w:w="851" w:type="dxa"/>
            <w:shd w:val="clear" w:color="auto" w:fill="E36C0A" w:themeFill="accent6" w:themeFillShade="BF"/>
          </w:tcPr>
          <w:p w14:paraId="5D77C6BF" w14:textId="144F0491" w:rsidR="00B33B99" w:rsidRDefault="00B33B99" w:rsidP="00B33B99">
            <w:pPr>
              <w:pStyle w:val="CETBodytext"/>
              <w:ind w:right="-1"/>
              <w:jc w:val="center"/>
              <w:rPr>
                <w:rFonts w:cs="Arial"/>
                <w:szCs w:val="18"/>
                <w:lang w:val="en-GB"/>
              </w:rPr>
            </w:pPr>
            <w:r>
              <w:rPr>
                <w:rFonts w:cs="Arial"/>
                <w:szCs w:val="18"/>
                <w:lang w:val="en-GB"/>
              </w:rPr>
              <w:t>C</w:t>
            </w:r>
          </w:p>
        </w:tc>
        <w:tc>
          <w:tcPr>
            <w:tcW w:w="1211" w:type="dxa"/>
            <w:shd w:val="clear" w:color="auto" w:fill="FFCC00"/>
          </w:tcPr>
          <w:p w14:paraId="0151BC34" w14:textId="7224F77C" w:rsidR="00B33B99" w:rsidRDefault="00B33B99" w:rsidP="00B33B99">
            <w:pPr>
              <w:pStyle w:val="CETBodytext"/>
              <w:ind w:right="-1"/>
              <w:jc w:val="center"/>
              <w:rPr>
                <w:rFonts w:cs="Arial"/>
                <w:szCs w:val="18"/>
                <w:lang w:val="en-GB"/>
              </w:rPr>
            </w:pPr>
            <w:r>
              <w:rPr>
                <w:rFonts w:cs="Arial"/>
                <w:szCs w:val="18"/>
                <w:lang w:val="en-GB"/>
              </w:rPr>
              <w:t>E</w:t>
            </w:r>
          </w:p>
        </w:tc>
        <w:tc>
          <w:tcPr>
            <w:tcW w:w="1118" w:type="dxa"/>
            <w:shd w:val="clear" w:color="auto" w:fill="auto"/>
          </w:tcPr>
          <w:p w14:paraId="3115BDAE" w14:textId="13AEA67C" w:rsidR="00B33B99" w:rsidRDefault="00495D93" w:rsidP="00A55A2E">
            <w:pPr>
              <w:pStyle w:val="CETBodytext"/>
              <w:ind w:right="-1"/>
              <w:jc w:val="center"/>
              <w:rPr>
                <w:rFonts w:cs="Arial"/>
                <w:szCs w:val="18"/>
                <w:lang w:val="en-GB"/>
              </w:rPr>
            </w:pPr>
            <w:r>
              <w:rPr>
                <w:rFonts w:cs="Arial"/>
                <w:szCs w:val="18"/>
                <w:lang w:val="en-GB"/>
              </w:rPr>
              <w:t>SIL 3</w:t>
            </w:r>
          </w:p>
        </w:tc>
      </w:tr>
      <w:tr w:rsidR="00B33B99" w:rsidRPr="00B57B36" w14:paraId="3A2C417E" w14:textId="55A93AB9" w:rsidTr="00B33B99">
        <w:trPr>
          <w:trHeight w:val="20"/>
        </w:trPr>
        <w:tc>
          <w:tcPr>
            <w:tcW w:w="557" w:type="dxa"/>
            <w:shd w:val="clear" w:color="auto" w:fill="FFFFFF"/>
          </w:tcPr>
          <w:p w14:paraId="3DC53F56" w14:textId="77777777" w:rsidR="00B33B99" w:rsidRDefault="00B33B99" w:rsidP="005156D1">
            <w:pPr>
              <w:pStyle w:val="CETBodytext"/>
              <w:ind w:right="-1"/>
              <w:rPr>
                <w:rFonts w:cs="Arial"/>
                <w:szCs w:val="18"/>
                <w:lang w:val="en-GB"/>
              </w:rPr>
            </w:pPr>
            <w:r>
              <w:rPr>
                <w:rFonts w:cs="Arial"/>
                <w:szCs w:val="18"/>
                <w:lang w:val="en-GB"/>
              </w:rPr>
              <w:t>3</w:t>
            </w:r>
          </w:p>
        </w:tc>
        <w:tc>
          <w:tcPr>
            <w:tcW w:w="2581" w:type="dxa"/>
            <w:shd w:val="clear" w:color="auto" w:fill="FFFFFF"/>
          </w:tcPr>
          <w:p w14:paraId="6429EAB3" w14:textId="77777777" w:rsidR="00B33B99" w:rsidRDefault="00B33B99" w:rsidP="005156D1">
            <w:pPr>
              <w:pStyle w:val="CETBodytext"/>
              <w:ind w:right="-1"/>
              <w:rPr>
                <w:rFonts w:cs="Arial"/>
                <w:szCs w:val="18"/>
                <w:lang w:val="en-GB"/>
              </w:rPr>
            </w:pPr>
            <w:r>
              <w:rPr>
                <w:rFonts w:cs="Arial"/>
                <w:szCs w:val="18"/>
                <w:lang w:val="en-GB"/>
              </w:rPr>
              <w:t>More pressure</w:t>
            </w:r>
          </w:p>
        </w:tc>
        <w:tc>
          <w:tcPr>
            <w:tcW w:w="2022" w:type="dxa"/>
            <w:shd w:val="clear" w:color="auto" w:fill="FFFFFF"/>
          </w:tcPr>
          <w:p w14:paraId="371DB2C3" w14:textId="77777777" w:rsidR="00B33B99" w:rsidRDefault="00B33B99" w:rsidP="005156D1">
            <w:pPr>
              <w:pStyle w:val="CETBodytext"/>
              <w:ind w:right="-1"/>
              <w:rPr>
                <w:rFonts w:cs="Arial"/>
                <w:szCs w:val="18"/>
                <w:lang w:val="en-GB"/>
              </w:rPr>
            </w:pPr>
            <w:r>
              <w:rPr>
                <w:rFonts w:cs="Arial"/>
                <w:szCs w:val="18"/>
                <w:lang w:val="en-GB"/>
              </w:rPr>
              <w:t>Human error</w:t>
            </w:r>
          </w:p>
        </w:tc>
        <w:tc>
          <w:tcPr>
            <w:tcW w:w="851" w:type="dxa"/>
            <w:shd w:val="clear" w:color="auto" w:fill="E36C0A" w:themeFill="accent6" w:themeFillShade="BF"/>
          </w:tcPr>
          <w:p w14:paraId="052BFD23" w14:textId="366EF2B6" w:rsidR="00B33B99" w:rsidRDefault="00B33B99" w:rsidP="00B33B99">
            <w:pPr>
              <w:pStyle w:val="CETBodytext"/>
              <w:ind w:right="-1"/>
              <w:jc w:val="center"/>
              <w:rPr>
                <w:rFonts w:cs="Arial"/>
                <w:szCs w:val="18"/>
                <w:lang w:val="en-GB"/>
              </w:rPr>
            </w:pPr>
            <w:r>
              <w:rPr>
                <w:rFonts w:cs="Arial"/>
                <w:szCs w:val="18"/>
                <w:lang w:val="en-GB"/>
              </w:rPr>
              <w:t>C</w:t>
            </w:r>
          </w:p>
        </w:tc>
        <w:tc>
          <w:tcPr>
            <w:tcW w:w="1211" w:type="dxa"/>
            <w:shd w:val="clear" w:color="auto" w:fill="92D050"/>
          </w:tcPr>
          <w:p w14:paraId="21F24790" w14:textId="2D265243" w:rsidR="00B33B99" w:rsidRDefault="00B33B99" w:rsidP="00B33B99">
            <w:pPr>
              <w:pStyle w:val="CETBodytext"/>
              <w:ind w:right="-1"/>
              <w:jc w:val="center"/>
              <w:rPr>
                <w:rFonts w:cs="Arial"/>
                <w:szCs w:val="18"/>
                <w:lang w:val="en-GB"/>
              </w:rPr>
            </w:pPr>
            <w:r>
              <w:rPr>
                <w:rFonts w:cs="Arial"/>
                <w:szCs w:val="18"/>
                <w:lang w:val="en-GB"/>
              </w:rPr>
              <w:t>F</w:t>
            </w:r>
          </w:p>
        </w:tc>
        <w:tc>
          <w:tcPr>
            <w:tcW w:w="1118" w:type="dxa"/>
            <w:shd w:val="clear" w:color="auto" w:fill="auto"/>
          </w:tcPr>
          <w:p w14:paraId="583EABCA" w14:textId="03D06D02" w:rsidR="00B33B99" w:rsidRDefault="00495D93" w:rsidP="00A55A2E">
            <w:pPr>
              <w:pStyle w:val="CETBodytext"/>
              <w:ind w:right="-1"/>
              <w:jc w:val="center"/>
              <w:rPr>
                <w:rFonts w:cs="Arial"/>
                <w:szCs w:val="18"/>
                <w:lang w:val="en-GB"/>
              </w:rPr>
            </w:pPr>
            <w:r>
              <w:rPr>
                <w:rFonts w:cs="Arial"/>
                <w:szCs w:val="18"/>
                <w:lang w:val="en-GB"/>
              </w:rPr>
              <w:t xml:space="preserve">SIL </w:t>
            </w:r>
            <w:r w:rsidR="00BD2CAF">
              <w:rPr>
                <w:rFonts w:cs="Arial"/>
                <w:szCs w:val="18"/>
                <w:lang w:val="en-GB"/>
              </w:rPr>
              <w:t>1</w:t>
            </w:r>
          </w:p>
        </w:tc>
      </w:tr>
    </w:tbl>
    <w:p w14:paraId="0A46C921" w14:textId="3B15E523" w:rsidR="001C47C1" w:rsidRDefault="00832B8C" w:rsidP="001C3CDC">
      <w:pPr>
        <w:spacing w:before="240"/>
        <w:rPr>
          <w:rFonts w:eastAsia="Arial" w:cs="Arial"/>
          <w:szCs w:val="18"/>
        </w:rPr>
      </w:pPr>
      <w:r w:rsidRPr="00361F90">
        <w:rPr>
          <w:rFonts w:eastAsia="Arial" w:cs="Arial"/>
          <w:szCs w:val="18"/>
        </w:rPr>
        <w:t xml:space="preserve">Peculiar to the case study is that the deviations reported in Table </w:t>
      </w:r>
      <w:r w:rsidR="000A2741">
        <w:rPr>
          <w:rFonts w:eastAsia="Arial" w:cs="Arial"/>
          <w:szCs w:val="18"/>
        </w:rPr>
        <w:t>4</w:t>
      </w:r>
      <w:r w:rsidRPr="00361F90">
        <w:rPr>
          <w:rFonts w:eastAsia="Arial" w:cs="Arial"/>
          <w:szCs w:val="18"/>
        </w:rPr>
        <w:t xml:space="preserve"> resulted </w:t>
      </w:r>
      <w:r w:rsidR="00361F90" w:rsidRPr="00361F90">
        <w:rPr>
          <w:rFonts w:eastAsia="Arial" w:cs="Arial"/>
          <w:szCs w:val="18"/>
        </w:rPr>
        <w:t>in unprotected, i.e., no risk reduction strategies, systems,</w:t>
      </w:r>
      <w:r w:rsidR="00514238" w:rsidRPr="00361F90">
        <w:rPr>
          <w:rFonts w:eastAsia="Arial" w:cs="Arial"/>
          <w:szCs w:val="18"/>
        </w:rPr>
        <w:t xml:space="preserve"> or procedures were </w:t>
      </w:r>
      <w:r w:rsidR="00361F90" w:rsidRPr="00361F90">
        <w:rPr>
          <w:rFonts w:eastAsia="Arial" w:cs="Arial"/>
          <w:szCs w:val="18"/>
        </w:rPr>
        <w:t>implemented.</w:t>
      </w:r>
      <w:r w:rsidR="00361F90">
        <w:rPr>
          <w:rFonts w:eastAsia="Arial" w:cs="Arial"/>
          <w:szCs w:val="18"/>
        </w:rPr>
        <w:t xml:space="preserve"> </w:t>
      </w:r>
      <w:r w:rsidR="00FA781B">
        <w:rPr>
          <w:rFonts w:eastAsia="Arial" w:cs="Arial"/>
          <w:szCs w:val="18"/>
        </w:rPr>
        <w:t>This means that if any of the cited deviations occur</w:t>
      </w:r>
      <w:r w:rsidR="00623864">
        <w:rPr>
          <w:rFonts w:eastAsia="Arial" w:cs="Arial"/>
          <w:szCs w:val="18"/>
        </w:rPr>
        <w:t>, potentially hazardous outcomes could result.</w:t>
      </w:r>
      <w:r w:rsidR="004957BF">
        <w:rPr>
          <w:rFonts w:eastAsia="Arial" w:cs="Arial"/>
          <w:szCs w:val="18"/>
        </w:rPr>
        <w:t xml:space="preserve"> </w:t>
      </w:r>
      <w:r w:rsidR="000937F5">
        <w:rPr>
          <w:rFonts w:eastAsia="Arial" w:cs="Arial"/>
          <w:szCs w:val="18"/>
        </w:rPr>
        <w:t>During the identification of potential causes,</w:t>
      </w:r>
      <w:r w:rsidR="009467ED">
        <w:rPr>
          <w:rFonts w:eastAsia="Arial" w:cs="Arial"/>
          <w:szCs w:val="18"/>
        </w:rPr>
        <w:t xml:space="preserve"> two primary initiating events were </w:t>
      </w:r>
      <w:r w:rsidR="000506B7">
        <w:rPr>
          <w:rFonts w:eastAsia="Arial" w:cs="Arial"/>
          <w:szCs w:val="18"/>
        </w:rPr>
        <w:t>isolated</w:t>
      </w:r>
      <w:r w:rsidR="009467ED">
        <w:rPr>
          <w:rFonts w:eastAsia="Arial" w:cs="Arial"/>
          <w:szCs w:val="18"/>
        </w:rPr>
        <w:t xml:space="preserve">: human error in performing operations and </w:t>
      </w:r>
      <w:r w:rsidR="000506B7">
        <w:rPr>
          <w:rFonts w:eastAsia="Arial" w:cs="Arial"/>
          <w:szCs w:val="18"/>
        </w:rPr>
        <w:t>a technical failure</w:t>
      </w:r>
      <w:r w:rsidR="009467ED">
        <w:rPr>
          <w:rFonts w:eastAsia="Arial" w:cs="Arial"/>
          <w:szCs w:val="18"/>
        </w:rPr>
        <w:t xml:space="preserve">. </w:t>
      </w:r>
      <w:r w:rsidR="00D122AD">
        <w:rPr>
          <w:rFonts w:eastAsia="Arial" w:cs="Arial"/>
          <w:szCs w:val="18"/>
        </w:rPr>
        <w:t xml:space="preserve">For example, </w:t>
      </w:r>
      <w:r w:rsidR="009B2727">
        <w:rPr>
          <w:rFonts w:eastAsia="Arial" w:cs="Arial"/>
          <w:szCs w:val="18"/>
        </w:rPr>
        <w:t>a higher flow rate in Node 1 could be ascribed to an erroneous operation in dosing a specific reactant's flow rate through the dedicated manual valve.</w:t>
      </w:r>
      <w:r w:rsidR="00012A3B">
        <w:rPr>
          <w:rFonts w:eastAsia="Arial" w:cs="Arial"/>
          <w:szCs w:val="18"/>
        </w:rPr>
        <w:t xml:space="preserve"> The HAZOP analysis allowed for discriminating among different consequences based on the feed line affected by the operational error. </w:t>
      </w:r>
      <w:r w:rsidR="00982C48">
        <w:rPr>
          <w:rFonts w:eastAsia="Arial" w:cs="Arial"/>
          <w:szCs w:val="18"/>
        </w:rPr>
        <w:t>Apart from a preventive effort entirely based on adherence to the operative procedure and the operator's experience performing the operational task, no preventive or protection strategies were expected</w:t>
      </w:r>
      <w:r w:rsidR="004D10FF">
        <w:rPr>
          <w:rFonts w:eastAsia="Arial" w:cs="Arial"/>
          <w:szCs w:val="18"/>
        </w:rPr>
        <w:t xml:space="preserve">. </w:t>
      </w:r>
      <w:r w:rsidR="00AC52F2">
        <w:rPr>
          <w:rFonts w:eastAsia="Arial" w:cs="Arial"/>
          <w:szCs w:val="18"/>
        </w:rPr>
        <w:t xml:space="preserve">Therefore, no process devices fully dedicated to </w:t>
      </w:r>
      <w:r w:rsidR="003F180B">
        <w:rPr>
          <w:rFonts w:eastAsia="Arial" w:cs="Arial"/>
          <w:szCs w:val="18"/>
        </w:rPr>
        <w:t>managing</w:t>
      </w:r>
      <w:r w:rsidR="00B803B0">
        <w:rPr>
          <w:rFonts w:eastAsia="Arial" w:cs="Arial"/>
          <w:szCs w:val="18"/>
        </w:rPr>
        <w:t xml:space="preserve"> the abovementioned deviations were</w:t>
      </w:r>
      <w:r w:rsidR="00F36A06">
        <w:rPr>
          <w:rFonts w:eastAsia="Arial" w:cs="Arial"/>
          <w:szCs w:val="18"/>
        </w:rPr>
        <w:t xml:space="preserve"> preliminarily</w:t>
      </w:r>
      <w:r w:rsidR="001A2EEC">
        <w:rPr>
          <w:rFonts w:eastAsia="Arial" w:cs="Arial"/>
          <w:szCs w:val="18"/>
        </w:rPr>
        <w:t xml:space="preserve"> deployed. </w:t>
      </w:r>
      <w:r w:rsidR="00B803B0">
        <w:rPr>
          <w:rFonts w:eastAsia="Arial" w:cs="Arial"/>
          <w:szCs w:val="18"/>
        </w:rPr>
        <w:t xml:space="preserve"> </w:t>
      </w:r>
      <w:r w:rsidR="00455A35">
        <w:rPr>
          <w:rFonts w:eastAsia="Arial" w:cs="Arial"/>
          <w:szCs w:val="18"/>
        </w:rPr>
        <w:t xml:space="preserve"> </w:t>
      </w:r>
      <w:r w:rsidR="009B2727">
        <w:rPr>
          <w:rFonts w:eastAsia="Arial" w:cs="Arial"/>
          <w:szCs w:val="18"/>
        </w:rPr>
        <w:t xml:space="preserve">  </w:t>
      </w:r>
    </w:p>
    <w:p w14:paraId="4A2F56E6" w14:textId="3B40D96E" w:rsidR="00F25E1D" w:rsidRDefault="001C47C1" w:rsidP="001C3CDC">
      <w:pPr>
        <w:rPr>
          <w:rFonts w:eastAsia="Arial" w:cs="Arial"/>
          <w:szCs w:val="18"/>
        </w:rPr>
      </w:pPr>
      <w:r>
        <w:rPr>
          <w:rFonts w:eastAsia="Arial" w:cs="Arial"/>
          <w:szCs w:val="18"/>
        </w:rPr>
        <w:t>According to a</w:t>
      </w:r>
      <w:r w:rsidR="00DA10FC">
        <w:rPr>
          <w:rFonts w:eastAsia="Arial" w:cs="Arial"/>
          <w:szCs w:val="18"/>
        </w:rPr>
        <w:t xml:space="preserve"> concerted risk matrix</w:t>
      </w:r>
      <w:r w:rsidR="00A0294C">
        <w:rPr>
          <w:rFonts w:eastAsia="Arial" w:cs="Arial"/>
          <w:szCs w:val="18"/>
        </w:rPr>
        <w:t xml:space="preserve">, each Top Event </w:t>
      </w:r>
      <w:r w:rsidR="009523FF">
        <w:rPr>
          <w:rFonts w:eastAsia="Arial" w:cs="Arial"/>
          <w:szCs w:val="18"/>
        </w:rPr>
        <w:t xml:space="preserve">(TE) </w:t>
      </w:r>
      <w:r w:rsidR="00A0294C">
        <w:rPr>
          <w:rFonts w:eastAsia="Arial" w:cs="Arial"/>
          <w:szCs w:val="18"/>
        </w:rPr>
        <w:t>was assigned to a</w:t>
      </w:r>
      <w:r w:rsidR="004A2E70">
        <w:rPr>
          <w:rFonts w:eastAsia="Arial" w:cs="Arial"/>
          <w:szCs w:val="18"/>
        </w:rPr>
        <w:t>n estimated risk class.</w:t>
      </w:r>
      <w:r w:rsidR="00B33832">
        <w:rPr>
          <w:rFonts w:eastAsia="Arial" w:cs="Arial"/>
          <w:szCs w:val="18"/>
        </w:rPr>
        <w:t xml:space="preserve"> The likelihood and the severity w</w:t>
      </w:r>
      <w:r w:rsidR="007E1E07">
        <w:rPr>
          <w:rFonts w:eastAsia="Arial" w:cs="Arial"/>
          <w:szCs w:val="18"/>
        </w:rPr>
        <w:t>ere distinguished according to a ranking</w:t>
      </w:r>
      <w:r w:rsidR="009F2547">
        <w:rPr>
          <w:rFonts w:eastAsia="Arial" w:cs="Arial"/>
          <w:szCs w:val="18"/>
        </w:rPr>
        <w:t xml:space="preserve"> based on four likelihood classes (unlikely, rare, probable, expected) and five severity classes (noticeable, great, serious, very serious</w:t>
      </w:r>
      <w:r w:rsidR="001F54EF">
        <w:rPr>
          <w:rFonts w:eastAsia="Arial" w:cs="Arial"/>
          <w:szCs w:val="18"/>
        </w:rPr>
        <w:t>, catastrophic)</w:t>
      </w:r>
      <w:r w:rsidR="009F2547">
        <w:rPr>
          <w:rFonts w:eastAsia="Arial" w:cs="Arial"/>
          <w:szCs w:val="18"/>
        </w:rPr>
        <w:t>.</w:t>
      </w:r>
      <w:r w:rsidR="00337035">
        <w:rPr>
          <w:rFonts w:eastAsia="Arial" w:cs="Arial"/>
          <w:szCs w:val="18"/>
        </w:rPr>
        <w:t xml:space="preserve"> The combinations </w:t>
      </w:r>
      <w:r w:rsidR="005C765C">
        <w:rPr>
          <w:rFonts w:eastAsia="Arial" w:cs="Arial"/>
          <w:szCs w:val="18"/>
        </w:rPr>
        <w:t xml:space="preserve">were systematized into different risk classes ranging from very low risks (not requiring additional risk reduction measures) to </w:t>
      </w:r>
      <w:r w:rsidR="002E428B">
        <w:rPr>
          <w:rFonts w:eastAsia="Arial" w:cs="Arial"/>
          <w:szCs w:val="18"/>
        </w:rPr>
        <w:t>very high risks (requiring both active and passive barriers)</w:t>
      </w:r>
      <w:r w:rsidR="00464E1B">
        <w:rPr>
          <w:rFonts w:eastAsia="Arial" w:cs="Arial"/>
          <w:szCs w:val="18"/>
        </w:rPr>
        <w:t xml:space="preserve"> (Table 3)</w:t>
      </w:r>
      <w:r w:rsidR="002E428B">
        <w:rPr>
          <w:rFonts w:eastAsia="Arial" w:cs="Arial"/>
          <w:szCs w:val="18"/>
        </w:rPr>
        <w:t>.</w:t>
      </w:r>
    </w:p>
    <w:p w14:paraId="77A616D6" w14:textId="29CDF2EF" w:rsidR="00951F08" w:rsidRDefault="0071317D" w:rsidP="00951F08">
      <w:pPr>
        <w:rPr>
          <w:rFonts w:eastAsia="Arial" w:cs="Arial"/>
          <w:szCs w:val="18"/>
        </w:rPr>
      </w:pPr>
      <w:r>
        <w:rPr>
          <w:rFonts w:eastAsia="Arial" w:cs="Arial"/>
          <w:szCs w:val="18"/>
        </w:rPr>
        <w:t xml:space="preserve">This framework estimated the required risk reduction factor </w:t>
      </w:r>
      <w:r w:rsidR="00951F08">
        <w:rPr>
          <w:rFonts w:eastAsia="Arial" w:cs="Arial"/>
          <w:szCs w:val="18"/>
        </w:rPr>
        <w:t xml:space="preserve">for each </w:t>
      </w:r>
      <w:r w:rsidR="009523FF">
        <w:rPr>
          <w:rFonts w:eastAsia="Arial" w:cs="Arial"/>
          <w:szCs w:val="18"/>
        </w:rPr>
        <w:t>TE</w:t>
      </w:r>
      <w:r w:rsidR="00951F08">
        <w:rPr>
          <w:rFonts w:eastAsia="Arial" w:cs="Arial"/>
          <w:szCs w:val="18"/>
        </w:rPr>
        <w:t xml:space="preserve">, adapting the approach proposed in the IEC 61511 standard </w:t>
      </w:r>
      <w:r w:rsidR="00AB1245">
        <w:rPr>
          <w:rFonts w:eastAsia="Arial" w:cs="Arial"/>
          <w:szCs w:val="18"/>
        </w:rPr>
        <w:fldChar w:fldCharType="begin" w:fldLock="1"/>
      </w:r>
      <w:r w:rsidR="00A0515A">
        <w:rPr>
          <w:rFonts w:eastAsia="Arial" w:cs="Arial"/>
          <w:szCs w:val="18"/>
        </w:rPr>
        <w:instrText>ADDIN CSL_CITATION {"citationItems":[{"id":"ITEM-1","itemData":{"DOI":"https://doi.org/10.1016/B978-0-443-15230-6.00013-6","ISBN":"978-0-443-15230-6","author":[{"dropping-particle":"","family":"Clarke","given":"Peter","non-dropping-particle":"","parse-names":false,"suffix":""}],"container-title":"Functional Safety from Scratch","editor":[{"dropping-particle":"","family":"Clarke","given":"Peter","non-dropping-particle":"","parse-names":false,"suffix":""}],"id":"ITEM-1","issued":{"date-parts":[["2023"]]},"page":"1-26","publisher":"Elsevier","title":"Chapter 1 - Introduction to functional safety","type":"chapter"},"uris":["http://www.mendeley.com/documents/?uuid=d6161a6b-a405-4a0f-a810-c5d8bc787de6"]}],"mendeley":{"formattedCitation":"(Clarke, 2023)","plainTextFormattedCitation":"(Clarke, 2023)","previouslyFormattedCitation":"(Clarke, 2023)"},"properties":{"noteIndex":0},"schema":"https://github.com/citation-style-language/schema/raw/master/csl-citation.json"}</w:instrText>
      </w:r>
      <w:r w:rsidR="00AB1245">
        <w:rPr>
          <w:rFonts w:eastAsia="Arial" w:cs="Arial"/>
          <w:szCs w:val="18"/>
        </w:rPr>
        <w:fldChar w:fldCharType="separate"/>
      </w:r>
      <w:r w:rsidR="00214A5A" w:rsidRPr="00214A5A">
        <w:rPr>
          <w:rFonts w:eastAsia="Arial" w:cs="Arial"/>
          <w:noProof/>
          <w:szCs w:val="18"/>
        </w:rPr>
        <w:t>(Clarke, 2023)</w:t>
      </w:r>
      <w:r w:rsidR="00AB1245">
        <w:rPr>
          <w:rFonts w:eastAsia="Arial" w:cs="Arial"/>
          <w:szCs w:val="18"/>
        </w:rPr>
        <w:fldChar w:fldCharType="end"/>
      </w:r>
      <w:r w:rsidR="00214A5A">
        <w:rPr>
          <w:rFonts w:eastAsia="Arial" w:cs="Arial"/>
          <w:szCs w:val="18"/>
        </w:rPr>
        <w:fldChar w:fldCharType="begin" w:fldLock="1"/>
      </w:r>
      <w:r w:rsidR="00BA1E5F">
        <w:rPr>
          <w:rFonts w:eastAsia="Arial" w:cs="Arial"/>
          <w:szCs w:val="18"/>
        </w:rPr>
        <w:instrText>ADDIN CSL_CITATION {"citationItems":[{"id":"ITEM-1","itemData":{"author":[{"dropping-particle":"","family":"The British Standards Institution","given":"","non-dropping-particle":"","parse-names":false,"suffix":""}],"id":"ITEM-1","issued":{"date-parts":[["2017"]]},"title":"BS EN 61511-1:2017+A1:2017, Functional safety-Safety instrumented systems for the process industry sector- Part 1: Framework, definitions, system, hardware and application programming requirements","type":"legislation"},"uris":["http://www.mendeley.com/documents/?uuid=22b27883-7315-4513-8613-c7410fc0d161"]}],"mendeley":{"formattedCitation":"(The British Standards Institution, 2017)","plainTextFormattedCitation":"(The British Standards Institution, 2017)","previouslyFormattedCitation":"(The British Standards Institution, 2017)"},"properties":{"noteIndex":0},"schema":"https://github.com/citation-style-language/schema/raw/master/csl-citation.json"}</w:instrText>
      </w:r>
      <w:r w:rsidR="00214A5A">
        <w:rPr>
          <w:rFonts w:eastAsia="Arial" w:cs="Arial"/>
          <w:szCs w:val="18"/>
        </w:rPr>
        <w:fldChar w:fldCharType="separate"/>
      </w:r>
      <w:r w:rsidR="00214A5A" w:rsidRPr="00214A5A">
        <w:rPr>
          <w:rFonts w:eastAsia="Arial" w:cs="Arial"/>
          <w:noProof/>
          <w:szCs w:val="18"/>
        </w:rPr>
        <w:t>(The British Standards Institution, 2017)</w:t>
      </w:r>
      <w:r w:rsidR="00214A5A">
        <w:rPr>
          <w:rFonts w:eastAsia="Arial" w:cs="Arial"/>
          <w:szCs w:val="18"/>
        </w:rPr>
        <w:fldChar w:fldCharType="end"/>
      </w:r>
      <w:r w:rsidR="00951F08">
        <w:rPr>
          <w:rFonts w:eastAsia="Arial" w:cs="Arial"/>
          <w:szCs w:val="18"/>
        </w:rPr>
        <w:t>.</w:t>
      </w:r>
      <w:r w:rsidR="003A7487">
        <w:rPr>
          <w:rFonts w:eastAsia="Arial" w:cs="Arial"/>
          <w:szCs w:val="18"/>
        </w:rPr>
        <w:t xml:space="preserve"> </w:t>
      </w:r>
      <w:r w:rsidR="00FD58E7">
        <w:rPr>
          <w:rFonts w:eastAsia="Arial" w:cs="Arial"/>
          <w:szCs w:val="18"/>
        </w:rPr>
        <w:t xml:space="preserve">Specific additional and independent protection layers were identified based on the required </w:t>
      </w:r>
      <w:r w:rsidR="00EC6135">
        <w:rPr>
          <w:rFonts w:eastAsia="Arial" w:cs="Arial"/>
          <w:szCs w:val="18"/>
        </w:rPr>
        <w:t xml:space="preserve">risk </w:t>
      </w:r>
      <w:r w:rsidR="00FD58E7">
        <w:rPr>
          <w:rFonts w:eastAsia="Arial" w:cs="Arial"/>
          <w:szCs w:val="18"/>
        </w:rPr>
        <w:t>reduction factor. It should be noted that, given the laboratory setting considered,</w:t>
      </w:r>
      <w:r w:rsidR="00EC6135">
        <w:rPr>
          <w:rFonts w:eastAsia="Arial" w:cs="Arial"/>
          <w:szCs w:val="18"/>
        </w:rPr>
        <w:t xml:space="preserve"> a set of protection layers was already implemented. This included, for example, </w:t>
      </w:r>
      <w:r w:rsidR="00171BFE">
        <w:rPr>
          <w:rFonts w:eastAsia="Arial" w:cs="Arial"/>
          <w:szCs w:val="18"/>
        </w:rPr>
        <w:t>the laboratory hood and a pressure safety valve</w:t>
      </w:r>
      <w:r w:rsidR="001D310E">
        <w:rPr>
          <w:rFonts w:eastAsia="Arial" w:cs="Arial"/>
          <w:szCs w:val="18"/>
        </w:rPr>
        <w:t xml:space="preserve"> to protect against unexpected </w:t>
      </w:r>
      <w:r w:rsidR="006402C6">
        <w:rPr>
          <w:rFonts w:eastAsia="Arial" w:cs="Arial"/>
          <w:szCs w:val="18"/>
        </w:rPr>
        <w:t>pressure increases</w:t>
      </w:r>
      <w:r w:rsidR="00BD0187">
        <w:rPr>
          <w:rFonts w:eastAsia="Arial" w:cs="Arial"/>
          <w:szCs w:val="18"/>
        </w:rPr>
        <w:t xml:space="preserve"> but </w:t>
      </w:r>
      <w:r w:rsidR="00E97481">
        <w:rPr>
          <w:rFonts w:eastAsia="Arial" w:cs="Arial"/>
          <w:szCs w:val="18"/>
        </w:rPr>
        <w:t xml:space="preserve">was </w:t>
      </w:r>
      <w:r w:rsidR="00E86072">
        <w:rPr>
          <w:rFonts w:eastAsia="Arial" w:cs="Arial"/>
          <w:szCs w:val="18"/>
        </w:rPr>
        <w:t xml:space="preserve">insufficient to deal with most identified deviations, especially those ascribed to operational errors. </w:t>
      </w:r>
      <w:r w:rsidR="00171BFE">
        <w:rPr>
          <w:rFonts w:eastAsia="Arial" w:cs="Arial"/>
          <w:szCs w:val="18"/>
        </w:rPr>
        <w:t xml:space="preserve"> </w:t>
      </w:r>
      <w:r w:rsidR="00FD58E7">
        <w:rPr>
          <w:rFonts w:eastAsia="Arial" w:cs="Arial"/>
          <w:szCs w:val="18"/>
        </w:rPr>
        <w:t xml:space="preserve"> </w:t>
      </w:r>
      <w:r w:rsidR="00951F08">
        <w:rPr>
          <w:rFonts w:eastAsia="Arial" w:cs="Arial"/>
          <w:szCs w:val="18"/>
        </w:rPr>
        <w:t xml:space="preserve"> </w:t>
      </w:r>
    </w:p>
    <w:p w14:paraId="3937A651" w14:textId="01238DB4" w:rsidR="00377A19" w:rsidRDefault="009D0172" w:rsidP="005156D1">
      <w:pPr>
        <w:spacing w:after="120"/>
        <w:rPr>
          <w:rFonts w:eastAsia="Arial" w:cs="Arial"/>
          <w:szCs w:val="18"/>
        </w:rPr>
      </w:pPr>
      <w:proofErr w:type="gramStart"/>
      <w:r>
        <w:rPr>
          <w:rFonts w:eastAsia="Arial" w:cs="Arial"/>
          <w:szCs w:val="18"/>
        </w:rPr>
        <w:lastRenderedPageBreak/>
        <w:t>In light of</w:t>
      </w:r>
      <w:proofErr w:type="gramEnd"/>
      <w:r>
        <w:rPr>
          <w:rFonts w:eastAsia="Arial" w:cs="Arial"/>
          <w:szCs w:val="18"/>
        </w:rPr>
        <w:t xml:space="preserve"> the adopted methodology, additional protection layers were identified to reduce the risk of </w:t>
      </w:r>
      <w:r w:rsidR="007B0699">
        <w:rPr>
          <w:rFonts w:eastAsia="Arial" w:cs="Arial"/>
          <w:szCs w:val="18"/>
        </w:rPr>
        <w:t>unprotected scenarios</w:t>
      </w:r>
      <w:r w:rsidR="00C31EB8">
        <w:rPr>
          <w:rFonts w:eastAsia="Arial" w:cs="Arial"/>
          <w:szCs w:val="18"/>
        </w:rPr>
        <w:t xml:space="preserve"> (Table 5)</w:t>
      </w:r>
      <w:r w:rsidR="007B0699">
        <w:rPr>
          <w:rFonts w:eastAsia="Arial" w:cs="Arial"/>
          <w:szCs w:val="18"/>
        </w:rPr>
        <w:t xml:space="preserve">. </w:t>
      </w:r>
      <w:r w:rsidR="00FC7106">
        <w:rPr>
          <w:rFonts w:eastAsia="Arial" w:cs="Arial"/>
          <w:szCs w:val="18"/>
        </w:rPr>
        <w:t xml:space="preserve">To ensure proper </w:t>
      </w:r>
      <w:r w:rsidR="00B447C0">
        <w:rPr>
          <w:rFonts w:eastAsia="Arial" w:cs="Arial"/>
          <w:szCs w:val="18"/>
        </w:rPr>
        <w:t xml:space="preserve">action, </w:t>
      </w:r>
      <w:r w:rsidR="009523FF">
        <w:rPr>
          <w:rFonts w:eastAsia="Arial" w:cs="Arial"/>
          <w:szCs w:val="18"/>
        </w:rPr>
        <w:t>automatic systems were chosen</w:t>
      </w:r>
      <w:r w:rsidR="00841899">
        <w:rPr>
          <w:rFonts w:eastAsia="Arial" w:cs="Arial"/>
          <w:szCs w:val="18"/>
        </w:rPr>
        <w:t xml:space="preserve"> to</w:t>
      </w:r>
      <w:r w:rsidR="00136EDD">
        <w:rPr>
          <w:rFonts w:eastAsia="Arial" w:cs="Arial"/>
          <w:szCs w:val="18"/>
        </w:rPr>
        <w:t xml:space="preserve"> limit the</w:t>
      </w:r>
      <w:r w:rsidR="00901F7F">
        <w:rPr>
          <w:rFonts w:eastAsia="Arial" w:cs="Arial"/>
          <w:szCs w:val="18"/>
        </w:rPr>
        <w:t xml:space="preserve"> possibility of human error while increasing the overall reliability of the system. </w:t>
      </w:r>
      <w:r w:rsidR="00136EDD">
        <w:rPr>
          <w:rFonts w:eastAsia="Arial" w:cs="Arial"/>
          <w:szCs w:val="18"/>
        </w:rPr>
        <w:t xml:space="preserve">  </w:t>
      </w:r>
      <w:r w:rsidR="009A5E8F">
        <w:rPr>
          <w:rFonts w:eastAsia="Arial" w:cs="Arial"/>
          <w:szCs w:val="18"/>
        </w:rPr>
        <w:t xml:space="preserve"> </w:t>
      </w:r>
    </w:p>
    <w:p w14:paraId="1A5B6FC9" w14:textId="001B4BC1" w:rsidR="00712413" w:rsidRPr="0045778B" w:rsidRDefault="00AD636B" w:rsidP="005156D1">
      <w:pPr>
        <w:pStyle w:val="CETTabletitle"/>
        <w:spacing w:before="120"/>
        <w:rPr>
          <w:rFonts w:eastAsia="Arial" w:cs="Arial"/>
          <w:szCs w:val="18"/>
        </w:rPr>
      </w:pPr>
      <w:r w:rsidRPr="0045778B">
        <w:t xml:space="preserve">Table </w:t>
      </w:r>
      <w:r w:rsidRPr="0045778B">
        <w:fldChar w:fldCharType="begin"/>
      </w:r>
      <w:r w:rsidRPr="0045778B">
        <w:instrText xml:space="preserve"> SEQ Table \* ARABIC </w:instrText>
      </w:r>
      <w:r w:rsidRPr="0045778B">
        <w:fldChar w:fldCharType="separate"/>
      </w:r>
      <w:r w:rsidR="009D5082">
        <w:rPr>
          <w:noProof/>
        </w:rPr>
        <w:t>4</w:t>
      </w:r>
      <w:r w:rsidRPr="0045778B">
        <w:fldChar w:fldCharType="end"/>
      </w:r>
      <w:r w:rsidRPr="0045778B">
        <w:t xml:space="preserve">: </w:t>
      </w:r>
      <w:r w:rsidR="00AA40D1">
        <w:t>An example of automatic protection layers to be implemented to reduce the top events risk</w:t>
      </w:r>
      <w:r w:rsidR="00367CAF">
        <w:t>.</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276"/>
        <w:gridCol w:w="2552"/>
        <w:gridCol w:w="4961"/>
      </w:tblGrid>
      <w:tr w:rsidR="00C06685" w:rsidRPr="00B57B36" w14:paraId="6D42F4FC" w14:textId="77777777" w:rsidTr="00121F39">
        <w:trPr>
          <w:trHeight w:val="260"/>
        </w:trPr>
        <w:tc>
          <w:tcPr>
            <w:tcW w:w="1276" w:type="dxa"/>
            <w:tcBorders>
              <w:top w:val="single" w:sz="12" w:space="0" w:color="008000"/>
              <w:bottom w:val="single" w:sz="6" w:space="0" w:color="008000"/>
            </w:tcBorders>
            <w:shd w:val="clear" w:color="auto" w:fill="FFFFFF"/>
          </w:tcPr>
          <w:p w14:paraId="4847F557" w14:textId="0F2A3CE7" w:rsidR="00AD636B" w:rsidRDefault="00367CAF" w:rsidP="00464E1B">
            <w:pPr>
              <w:pStyle w:val="CETBodytext"/>
              <w:rPr>
                <w:lang w:val="en-GB"/>
              </w:rPr>
            </w:pPr>
            <w:r>
              <w:rPr>
                <w:lang w:val="en-GB"/>
              </w:rPr>
              <w:t>Deviation</w:t>
            </w:r>
          </w:p>
        </w:tc>
        <w:tc>
          <w:tcPr>
            <w:tcW w:w="2552" w:type="dxa"/>
            <w:tcBorders>
              <w:top w:val="single" w:sz="12" w:space="0" w:color="008000"/>
              <w:bottom w:val="single" w:sz="6" w:space="0" w:color="008000"/>
            </w:tcBorders>
            <w:shd w:val="clear" w:color="auto" w:fill="FFFFFF"/>
          </w:tcPr>
          <w:p w14:paraId="335D45D9" w14:textId="66093D8C" w:rsidR="00AD636B" w:rsidRDefault="00367CAF" w:rsidP="00464E1B">
            <w:pPr>
              <w:pStyle w:val="CETBodytext"/>
              <w:rPr>
                <w:lang w:val="en-GB"/>
              </w:rPr>
            </w:pPr>
            <w:r>
              <w:rPr>
                <w:lang w:val="en-GB"/>
              </w:rPr>
              <w:t>Additional protection layer</w:t>
            </w:r>
          </w:p>
        </w:tc>
        <w:tc>
          <w:tcPr>
            <w:tcW w:w="4961" w:type="dxa"/>
            <w:tcBorders>
              <w:top w:val="single" w:sz="12" w:space="0" w:color="008000"/>
              <w:bottom w:val="single" w:sz="6" w:space="0" w:color="008000"/>
            </w:tcBorders>
            <w:shd w:val="clear" w:color="auto" w:fill="FFFFFF"/>
          </w:tcPr>
          <w:p w14:paraId="0B9BDD2E" w14:textId="781EA078" w:rsidR="00AD636B" w:rsidRDefault="00AA40D1" w:rsidP="00464E1B">
            <w:pPr>
              <w:pStyle w:val="CETBodytext"/>
              <w:rPr>
                <w:lang w:val="en-GB"/>
              </w:rPr>
            </w:pPr>
            <w:r>
              <w:rPr>
                <w:lang w:val="en-GB"/>
              </w:rPr>
              <w:t>Comment</w:t>
            </w:r>
          </w:p>
        </w:tc>
      </w:tr>
      <w:tr w:rsidR="00C06685" w:rsidRPr="00B57B36" w14:paraId="2363057B" w14:textId="77777777" w:rsidTr="00121F39">
        <w:trPr>
          <w:trHeight w:val="260"/>
        </w:trPr>
        <w:tc>
          <w:tcPr>
            <w:tcW w:w="1276" w:type="dxa"/>
            <w:shd w:val="clear" w:color="auto" w:fill="FFFFFF"/>
            <w:vAlign w:val="center"/>
          </w:tcPr>
          <w:p w14:paraId="4D5634DE" w14:textId="42696E7B" w:rsidR="00367CAF" w:rsidRDefault="004760D2" w:rsidP="00464E1B">
            <w:pPr>
              <w:pStyle w:val="CETBodytext"/>
              <w:ind w:right="-1"/>
              <w:jc w:val="left"/>
              <w:rPr>
                <w:rFonts w:cs="Arial"/>
                <w:szCs w:val="18"/>
                <w:lang w:val="en-GB"/>
              </w:rPr>
            </w:pPr>
            <w:r>
              <w:rPr>
                <w:rFonts w:cs="Arial"/>
                <w:szCs w:val="18"/>
                <w:lang w:val="en-GB"/>
              </w:rPr>
              <w:t>More temperature</w:t>
            </w:r>
          </w:p>
        </w:tc>
        <w:tc>
          <w:tcPr>
            <w:tcW w:w="2552" w:type="dxa"/>
            <w:shd w:val="clear" w:color="auto" w:fill="FFFFFF"/>
            <w:vAlign w:val="center"/>
          </w:tcPr>
          <w:p w14:paraId="3483AD97" w14:textId="66209502" w:rsidR="00367CAF" w:rsidRDefault="00367CAF" w:rsidP="00464E1B">
            <w:pPr>
              <w:pStyle w:val="CETBodytext"/>
              <w:ind w:right="-1"/>
              <w:jc w:val="left"/>
              <w:rPr>
                <w:rFonts w:cs="Arial"/>
                <w:szCs w:val="18"/>
                <w:lang w:val="en-GB"/>
              </w:rPr>
            </w:pPr>
            <w:r>
              <w:rPr>
                <w:rFonts w:cs="Arial"/>
                <w:szCs w:val="18"/>
                <w:lang w:val="en-GB"/>
              </w:rPr>
              <w:t>Safety interlock</w:t>
            </w:r>
            <w:r w:rsidR="00F810ED">
              <w:rPr>
                <w:rFonts w:cs="Arial"/>
                <w:szCs w:val="18"/>
                <w:lang w:val="en-GB"/>
              </w:rPr>
              <w:t xml:space="preserve"> on </w:t>
            </w:r>
            <w:r w:rsidR="00122470">
              <w:rPr>
                <w:rFonts w:cs="Arial"/>
                <w:szCs w:val="18"/>
                <w:lang w:val="en-GB"/>
              </w:rPr>
              <w:br/>
            </w:r>
            <w:r w:rsidR="00F810ED">
              <w:rPr>
                <w:rFonts w:cs="Arial"/>
                <w:szCs w:val="18"/>
                <w:lang w:val="en-GB"/>
              </w:rPr>
              <w:t>TIC loop</w:t>
            </w:r>
          </w:p>
        </w:tc>
        <w:tc>
          <w:tcPr>
            <w:tcW w:w="4961" w:type="dxa"/>
            <w:shd w:val="clear" w:color="auto" w:fill="FFFFFF"/>
            <w:vAlign w:val="center"/>
          </w:tcPr>
          <w:p w14:paraId="7F36F692" w14:textId="708321AB" w:rsidR="00367CAF" w:rsidRDefault="001F6577" w:rsidP="00464E1B">
            <w:pPr>
              <w:pStyle w:val="CETBodytext"/>
              <w:ind w:right="-1"/>
              <w:jc w:val="left"/>
              <w:rPr>
                <w:rFonts w:cs="Arial"/>
                <w:szCs w:val="18"/>
                <w:lang w:val="en-GB"/>
              </w:rPr>
            </w:pPr>
            <w:r>
              <w:rPr>
                <w:lang w:val="en-GB"/>
              </w:rPr>
              <w:t xml:space="preserve">This architecture automatically shuts off the furnace if </w:t>
            </w:r>
            <w:r w:rsidR="00EE5A1F">
              <w:rPr>
                <w:lang w:val="en-GB"/>
              </w:rPr>
              <w:t>the temperature in the FT reactor is too high.</w:t>
            </w:r>
          </w:p>
        </w:tc>
      </w:tr>
      <w:tr w:rsidR="00C06685" w:rsidRPr="00B57B36" w14:paraId="7BFA163E" w14:textId="77777777" w:rsidTr="00121F39">
        <w:trPr>
          <w:trHeight w:val="260"/>
        </w:trPr>
        <w:tc>
          <w:tcPr>
            <w:tcW w:w="1276" w:type="dxa"/>
            <w:shd w:val="clear" w:color="auto" w:fill="FFFFFF"/>
            <w:vAlign w:val="center"/>
          </w:tcPr>
          <w:p w14:paraId="71223AB2" w14:textId="76CC9908" w:rsidR="00367CAF" w:rsidRDefault="00C06685" w:rsidP="00464E1B">
            <w:pPr>
              <w:pStyle w:val="CETBodytext"/>
              <w:ind w:right="-1"/>
              <w:jc w:val="left"/>
              <w:rPr>
                <w:rFonts w:cs="Arial"/>
                <w:szCs w:val="18"/>
                <w:lang w:val="en-GB"/>
              </w:rPr>
            </w:pPr>
            <w:r>
              <w:rPr>
                <w:rFonts w:cs="Arial"/>
                <w:szCs w:val="18"/>
                <w:lang w:val="en-GB"/>
              </w:rPr>
              <w:t>No electric power</w:t>
            </w:r>
          </w:p>
        </w:tc>
        <w:tc>
          <w:tcPr>
            <w:tcW w:w="2552" w:type="dxa"/>
            <w:shd w:val="clear" w:color="auto" w:fill="FFFFFF"/>
            <w:vAlign w:val="center"/>
          </w:tcPr>
          <w:p w14:paraId="4198B5F2" w14:textId="6D95B6AD" w:rsidR="00367CAF" w:rsidRDefault="00C06685" w:rsidP="00464E1B">
            <w:pPr>
              <w:pStyle w:val="CETBodytext"/>
              <w:ind w:right="-1"/>
              <w:jc w:val="left"/>
              <w:rPr>
                <w:rFonts w:cs="Arial"/>
                <w:szCs w:val="18"/>
                <w:lang w:val="en-GB"/>
              </w:rPr>
            </w:pPr>
            <w:r>
              <w:rPr>
                <w:rFonts w:cs="Arial"/>
                <w:szCs w:val="18"/>
                <w:lang w:val="en-GB"/>
              </w:rPr>
              <w:t xml:space="preserve">Backup utility supply and </w:t>
            </w:r>
            <w:proofErr w:type="spellStart"/>
            <w:r>
              <w:rPr>
                <w:rFonts w:cs="Arial"/>
                <w:szCs w:val="18"/>
                <w:lang w:val="en-GB"/>
              </w:rPr>
              <w:t>autostart</w:t>
            </w:r>
            <w:proofErr w:type="spellEnd"/>
            <w:r>
              <w:rPr>
                <w:rFonts w:cs="Arial"/>
                <w:szCs w:val="18"/>
                <w:lang w:val="en-GB"/>
              </w:rPr>
              <w:t xml:space="preserve"> of standby equipment</w:t>
            </w:r>
          </w:p>
        </w:tc>
        <w:tc>
          <w:tcPr>
            <w:tcW w:w="4961" w:type="dxa"/>
            <w:shd w:val="clear" w:color="auto" w:fill="FFFFFF"/>
            <w:vAlign w:val="center"/>
          </w:tcPr>
          <w:p w14:paraId="4932A577" w14:textId="53560470" w:rsidR="00367CAF" w:rsidRDefault="006713D2" w:rsidP="00464E1B">
            <w:pPr>
              <w:pStyle w:val="CETBodytext"/>
              <w:ind w:right="-1"/>
              <w:jc w:val="left"/>
              <w:rPr>
                <w:rFonts w:cs="Arial"/>
                <w:szCs w:val="18"/>
                <w:lang w:val="en-GB"/>
              </w:rPr>
            </w:pPr>
            <w:r>
              <w:rPr>
                <w:lang w:val="en-GB"/>
              </w:rPr>
              <w:t xml:space="preserve">Provided the criticality of a supply loss, a dedicated supply unit is required with </w:t>
            </w:r>
            <w:proofErr w:type="spellStart"/>
            <w:r>
              <w:rPr>
                <w:lang w:val="en-GB"/>
              </w:rPr>
              <w:t>autostart</w:t>
            </w:r>
            <w:proofErr w:type="spellEnd"/>
            <w:r>
              <w:rPr>
                <w:lang w:val="en-GB"/>
              </w:rPr>
              <w:t>.</w:t>
            </w:r>
          </w:p>
        </w:tc>
      </w:tr>
      <w:tr w:rsidR="00C06685" w:rsidRPr="00B57B36" w14:paraId="48CAA7F2" w14:textId="77777777" w:rsidTr="00121F39">
        <w:trPr>
          <w:trHeight w:val="254"/>
        </w:trPr>
        <w:tc>
          <w:tcPr>
            <w:tcW w:w="1276" w:type="dxa"/>
            <w:shd w:val="clear" w:color="auto" w:fill="FFFFFF"/>
            <w:vAlign w:val="center"/>
          </w:tcPr>
          <w:p w14:paraId="1EFDF71E" w14:textId="0102F737" w:rsidR="00367CAF" w:rsidRDefault="0055656E" w:rsidP="00464E1B">
            <w:pPr>
              <w:pStyle w:val="CETBodytext"/>
              <w:jc w:val="left"/>
              <w:rPr>
                <w:rFonts w:cs="Arial"/>
                <w:szCs w:val="18"/>
                <w:lang w:val="en-GB"/>
              </w:rPr>
            </w:pPr>
            <w:r>
              <w:rPr>
                <w:rFonts w:cs="Arial"/>
                <w:szCs w:val="18"/>
                <w:lang w:val="en-GB"/>
              </w:rPr>
              <w:t>More pressure</w:t>
            </w:r>
          </w:p>
        </w:tc>
        <w:tc>
          <w:tcPr>
            <w:tcW w:w="2552" w:type="dxa"/>
            <w:shd w:val="clear" w:color="auto" w:fill="FFFFFF"/>
            <w:vAlign w:val="center"/>
          </w:tcPr>
          <w:p w14:paraId="11043636" w14:textId="0465691A" w:rsidR="00367CAF" w:rsidRPr="00AA40D1" w:rsidRDefault="00AA40D1" w:rsidP="00464E1B">
            <w:pPr>
              <w:pStyle w:val="CETBodytext"/>
              <w:jc w:val="left"/>
              <w:rPr>
                <w:rFonts w:cs="Arial"/>
                <w:szCs w:val="18"/>
                <w:lang w:val="en-GB"/>
              </w:rPr>
            </w:pPr>
            <w:r w:rsidRPr="00AA40D1">
              <w:rPr>
                <w:rFonts w:cs="Arial"/>
                <w:szCs w:val="18"/>
                <w:lang w:val="en-GB"/>
              </w:rPr>
              <w:t>2oo3 redundant scheme</w:t>
            </w:r>
          </w:p>
        </w:tc>
        <w:tc>
          <w:tcPr>
            <w:tcW w:w="4961" w:type="dxa"/>
            <w:shd w:val="clear" w:color="auto" w:fill="FFFFFF"/>
            <w:vAlign w:val="center"/>
          </w:tcPr>
          <w:p w14:paraId="0FFE0175" w14:textId="2FDE19EA" w:rsidR="00367CAF" w:rsidRDefault="00E22A0A" w:rsidP="00464E1B">
            <w:pPr>
              <w:pStyle w:val="CETBodytext"/>
              <w:jc w:val="left"/>
              <w:rPr>
                <w:rFonts w:cs="Arial"/>
                <w:szCs w:val="18"/>
                <w:lang w:val="en-GB"/>
              </w:rPr>
            </w:pPr>
            <w:r>
              <w:rPr>
                <w:lang w:val="en-GB"/>
              </w:rPr>
              <w:t xml:space="preserve">Gained experience showed recurrent failures of </w:t>
            </w:r>
            <w:r w:rsidR="00122470">
              <w:rPr>
                <w:lang w:val="en-GB"/>
              </w:rPr>
              <w:t>PIs</w:t>
            </w:r>
            <w:r>
              <w:rPr>
                <w:lang w:val="en-GB"/>
              </w:rPr>
              <w:t>.</w:t>
            </w:r>
            <w:r w:rsidR="00122470">
              <w:rPr>
                <w:lang w:val="en-GB"/>
              </w:rPr>
              <w:t xml:space="preserve"> </w:t>
            </w:r>
            <w:r w:rsidR="002E1683">
              <w:rPr>
                <w:lang w:val="en-GB"/>
              </w:rPr>
              <w:t xml:space="preserve">Incorrect visualization </w:t>
            </w:r>
            <w:r w:rsidR="00122470">
              <w:rPr>
                <w:lang w:val="en-GB"/>
              </w:rPr>
              <w:t>leads</w:t>
            </w:r>
            <w:r w:rsidR="002E1683">
              <w:rPr>
                <w:lang w:val="en-GB"/>
              </w:rPr>
              <w:t xml:space="preserve"> to </w:t>
            </w:r>
            <w:r w:rsidR="00531A48">
              <w:rPr>
                <w:lang w:val="en-GB"/>
              </w:rPr>
              <w:t xml:space="preserve">improper </w:t>
            </w:r>
            <w:r w:rsidR="00122470">
              <w:rPr>
                <w:lang w:val="en-GB"/>
              </w:rPr>
              <w:t>manual operations.</w:t>
            </w:r>
            <w:r w:rsidR="00531A48">
              <w:rPr>
                <w:lang w:val="en-GB"/>
              </w:rPr>
              <w:t xml:space="preserve"> </w:t>
            </w:r>
            <w:r>
              <w:rPr>
                <w:lang w:val="en-GB"/>
              </w:rPr>
              <w:t xml:space="preserve"> </w:t>
            </w:r>
          </w:p>
        </w:tc>
      </w:tr>
    </w:tbl>
    <w:p w14:paraId="68D26B83" w14:textId="77777777" w:rsidR="00600535" w:rsidRPr="00B57B36" w:rsidRDefault="0FE7D6D6" w:rsidP="00464E1B">
      <w:pPr>
        <w:pStyle w:val="CETHeading1"/>
        <w:spacing w:after="40"/>
        <w:rPr>
          <w:lang w:val="en-GB"/>
        </w:rPr>
      </w:pPr>
      <w:r w:rsidRPr="0FE7D6D6">
        <w:rPr>
          <w:lang w:val="en-GB"/>
        </w:rPr>
        <w:t>Conclusions</w:t>
      </w:r>
    </w:p>
    <w:p w14:paraId="48BE39E6" w14:textId="77777777" w:rsidR="006A2F13" w:rsidRDefault="006A2F13" w:rsidP="00464E1B">
      <w:pPr>
        <w:pStyle w:val="CETAcknowledgementstitle"/>
        <w:spacing w:before="100" w:after="0"/>
        <w:jc w:val="both"/>
        <w:rPr>
          <w:b w:val="0"/>
        </w:rPr>
      </w:pPr>
      <w:r w:rsidRPr="006A2F13">
        <w:rPr>
          <w:b w:val="0"/>
        </w:rPr>
        <w:t>Ensuring safety in academic research laboratories requires a proactive and vigilant approach. This involves recognizing and understanding the unique hazards and characteristics of these environments and adopting effective risk mitigation strategies to safeguard the health and well-being of lab personnel. The effectiveness of safety measures relies on consistent compliance and enforcement, which can vary significantly across institutions depending on the prevailing safety culture and administrative support.</w:t>
      </w:r>
    </w:p>
    <w:p w14:paraId="5D76F9D9" w14:textId="05DDF690" w:rsidR="006A2F13" w:rsidRDefault="006A2F13" w:rsidP="006A2F13">
      <w:pPr>
        <w:pStyle w:val="CETAcknowledgementstitle"/>
        <w:spacing w:before="0" w:after="0"/>
        <w:jc w:val="both"/>
        <w:rPr>
          <w:b w:val="0"/>
        </w:rPr>
      </w:pPr>
      <w:r w:rsidRPr="006A2F13">
        <w:rPr>
          <w:b w:val="0"/>
        </w:rPr>
        <w:t>In this study, we conducted a quantitative risk assessment of a Fischer-</w:t>
      </w:r>
      <w:proofErr w:type="spellStart"/>
      <w:r w:rsidRPr="006A2F13">
        <w:rPr>
          <w:b w:val="0"/>
        </w:rPr>
        <w:t>Tropsch</w:t>
      </w:r>
      <w:proofErr w:type="spellEnd"/>
      <w:r w:rsidRPr="006A2F13">
        <w:rPr>
          <w:b w:val="0"/>
        </w:rPr>
        <w:t xml:space="preserve"> synthesis experimental setup. We identified high-risk scenarios, particularly those lacking </w:t>
      </w:r>
      <w:r w:rsidR="0013180E">
        <w:rPr>
          <w:b w:val="0"/>
        </w:rPr>
        <w:t>risk-reduction</w:t>
      </w:r>
      <w:r w:rsidRPr="006A2F13">
        <w:rPr>
          <w:b w:val="0"/>
        </w:rPr>
        <w:t xml:space="preserve"> measures, highlighting the need for implementing multiple layers of protection. This strategy effectively reduced the necessity for manual operations and minimized the likelihood of human error by incorporating automated devices to prevent undesirable events and maintain equipment integrity.</w:t>
      </w:r>
    </w:p>
    <w:p w14:paraId="1D20EF2E" w14:textId="045192AB" w:rsidR="001C3CDC" w:rsidRDefault="006A2F13" w:rsidP="006A2F13">
      <w:pPr>
        <w:pStyle w:val="CETAcknowledgementstitle"/>
        <w:spacing w:before="0" w:after="0"/>
        <w:jc w:val="both"/>
        <w:rPr>
          <w:b w:val="0"/>
        </w:rPr>
      </w:pPr>
      <w:r w:rsidRPr="006A2F13">
        <w:rPr>
          <w:b w:val="0"/>
        </w:rPr>
        <w:t>Our methodology enhanced the understanding of specific operational risks and established a benchmark for improving safety management and protocols. This approach contributes to creating a safer research environment</w:t>
      </w:r>
      <w:r w:rsidR="000B4F05">
        <w:rPr>
          <w:b w:val="0"/>
        </w:rPr>
        <w:t xml:space="preserve"> and provides</w:t>
      </w:r>
      <w:r w:rsidRPr="006A2F13">
        <w:rPr>
          <w:b w:val="0"/>
        </w:rPr>
        <w:t xml:space="preserve"> a model for continuous improvement in laboratory safety practices.</w:t>
      </w:r>
    </w:p>
    <w:p w14:paraId="459D05E6" w14:textId="0AD4B498" w:rsidR="00600535" w:rsidRPr="00B57B36" w:rsidRDefault="0FE7D6D6" w:rsidP="00464E1B">
      <w:pPr>
        <w:pStyle w:val="CETAcknowledgementstitle"/>
        <w:spacing w:after="80"/>
      </w:pPr>
      <w:r>
        <w:t>Acknowledgments</w:t>
      </w:r>
    </w:p>
    <w:p w14:paraId="60FD7FA3" w14:textId="018E089A" w:rsidR="0FE7D6D6" w:rsidRPr="000C0101" w:rsidRDefault="0FE7D6D6" w:rsidP="00464E1B">
      <w:pPr>
        <w:pStyle w:val="CETBodytext"/>
        <w:rPr>
          <w:lang w:val="en-GB"/>
        </w:rPr>
      </w:pPr>
      <w:r w:rsidRPr="0FE7D6D6">
        <w:rPr>
          <w:lang w:val="en-GB"/>
        </w:rPr>
        <w:t xml:space="preserve">This work has been partially funded by Piano di </w:t>
      </w:r>
      <w:proofErr w:type="spellStart"/>
      <w:r w:rsidRPr="0FE7D6D6">
        <w:rPr>
          <w:lang w:val="en-GB"/>
        </w:rPr>
        <w:t>Sostegno</w:t>
      </w:r>
      <w:proofErr w:type="spellEnd"/>
      <w:r w:rsidRPr="0FE7D6D6">
        <w:rPr>
          <w:lang w:val="en-GB"/>
        </w:rPr>
        <w:t xml:space="preserve"> </w:t>
      </w:r>
      <w:proofErr w:type="spellStart"/>
      <w:r w:rsidRPr="0FE7D6D6">
        <w:rPr>
          <w:lang w:val="en-GB"/>
        </w:rPr>
        <w:t>alla</w:t>
      </w:r>
      <w:proofErr w:type="spellEnd"/>
      <w:r w:rsidRPr="0FE7D6D6">
        <w:rPr>
          <w:lang w:val="en-GB"/>
        </w:rPr>
        <w:t xml:space="preserve"> </w:t>
      </w:r>
      <w:proofErr w:type="spellStart"/>
      <w:r w:rsidRPr="0FE7D6D6">
        <w:rPr>
          <w:lang w:val="en-GB"/>
        </w:rPr>
        <w:t>Ricerca</w:t>
      </w:r>
      <w:proofErr w:type="spellEnd"/>
      <w:r w:rsidRPr="0FE7D6D6">
        <w:rPr>
          <w:lang w:val="en-GB"/>
        </w:rPr>
        <w:t xml:space="preserve"> (PSR 2021), Action A of the </w:t>
      </w:r>
      <w:proofErr w:type="spellStart"/>
      <w:r w:rsidRPr="0FE7D6D6">
        <w:rPr>
          <w:lang w:val="en-GB"/>
        </w:rPr>
        <w:t>Dipartimento</w:t>
      </w:r>
      <w:proofErr w:type="spellEnd"/>
      <w:r w:rsidRPr="0FE7D6D6">
        <w:rPr>
          <w:lang w:val="en-GB"/>
        </w:rPr>
        <w:t xml:space="preserve"> di Chimica, </w:t>
      </w:r>
      <w:proofErr w:type="spellStart"/>
      <w:r w:rsidRPr="0FE7D6D6">
        <w:rPr>
          <w:lang w:val="en-GB"/>
        </w:rPr>
        <w:t>Università</w:t>
      </w:r>
      <w:proofErr w:type="spellEnd"/>
      <w:r w:rsidRPr="0FE7D6D6">
        <w:rPr>
          <w:lang w:val="en-GB"/>
        </w:rPr>
        <w:t xml:space="preserve"> </w:t>
      </w:r>
      <w:proofErr w:type="spellStart"/>
      <w:r w:rsidRPr="0FE7D6D6">
        <w:rPr>
          <w:lang w:val="en-GB"/>
        </w:rPr>
        <w:t>degli</w:t>
      </w:r>
      <w:proofErr w:type="spellEnd"/>
      <w:r w:rsidRPr="0FE7D6D6">
        <w:rPr>
          <w:lang w:val="en-GB"/>
        </w:rPr>
        <w:t xml:space="preserve"> Studi di Milano.</w:t>
      </w:r>
      <w:r w:rsidR="000C0101">
        <w:rPr>
          <w:lang w:val="en-GB"/>
        </w:rPr>
        <w:t xml:space="preserve"> </w:t>
      </w:r>
      <w:r w:rsidRPr="0FE7D6D6">
        <w:rPr>
          <w:lang w:val="en-GB"/>
        </w:rPr>
        <w:t xml:space="preserve">The </w:t>
      </w:r>
      <w:proofErr w:type="spellStart"/>
      <w:r w:rsidRPr="0FE7D6D6">
        <w:rPr>
          <w:lang w:val="en-GB"/>
        </w:rPr>
        <w:t>Collegues</w:t>
      </w:r>
      <w:proofErr w:type="spellEnd"/>
      <w:r w:rsidRPr="0FE7D6D6">
        <w:rPr>
          <w:lang w:val="en-GB"/>
        </w:rPr>
        <w:t xml:space="preserve"> Prof. Laura Prati and Prof. Alessandro </w:t>
      </w:r>
      <w:proofErr w:type="spellStart"/>
      <w:r w:rsidRPr="0FE7D6D6">
        <w:rPr>
          <w:lang w:val="en-GB"/>
        </w:rPr>
        <w:t>Minguzzi</w:t>
      </w:r>
      <w:proofErr w:type="spellEnd"/>
      <w:r w:rsidRPr="0FE7D6D6">
        <w:rPr>
          <w:lang w:val="en-GB"/>
        </w:rPr>
        <w:t xml:space="preserve"> are warmly thanked for their support </w:t>
      </w:r>
      <w:r w:rsidR="000C0101">
        <w:rPr>
          <w:lang w:val="en-GB"/>
        </w:rPr>
        <w:t xml:space="preserve">and </w:t>
      </w:r>
      <w:r w:rsidRPr="0FE7D6D6">
        <w:rPr>
          <w:lang w:val="en-GB"/>
        </w:rPr>
        <w:t xml:space="preserve">contribution to the work with the PNRR Spoke 9-PE2 project with the </w:t>
      </w:r>
      <w:proofErr w:type="spellStart"/>
      <w:r w:rsidRPr="0FE7D6D6">
        <w:rPr>
          <w:lang w:val="en-GB"/>
        </w:rPr>
        <w:t>Politecnico</w:t>
      </w:r>
      <w:proofErr w:type="spellEnd"/>
      <w:r w:rsidRPr="0FE7D6D6">
        <w:rPr>
          <w:lang w:val="en-GB"/>
        </w:rPr>
        <w:t xml:space="preserve"> di Milano.</w:t>
      </w:r>
    </w:p>
    <w:p w14:paraId="4F1327F8" w14:textId="44A17A61" w:rsidR="00600535" w:rsidRDefault="00600535" w:rsidP="00103B3E">
      <w:pPr>
        <w:pStyle w:val="CETReference"/>
      </w:pPr>
      <w:r w:rsidRPr="007768A0">
        <w:t>References</w:t>
      </w:r>
    </w:p>
    <w:p w14:paraId="5038ACC4" w14:textId="64EAFD3B" w:rsidR="0056545C" w:rsidRPr="00FE2F4F" w:rsidRDefault="0056545C" w:rsidP="003C0FAD">
      <w:pPr>
        <w:widowControl w:val="0"/>
        <w:autoSpaceDE w:val="0"/>
        <w:autoSpaceDN w:val="0"/>
        <w:adjustRightInd w:val="0"/>
        <w:spacing w:line="240" w:lineRule="auto"/>
        <w:ind w:left="480" w:hanging="480"/>
        <w:rPr>
          <w:szCs w:val="18"/>
        </w:rPr>
      </w:pPr>
      <w:r w:rsidRPr="00FE2F4F">
        <w:rPr>
          <w:szCs w:val="18"/>
        </w:rPr>
        <w:t xml:space="preserve">Ayi, H.R., Hon, C.Y., 2018. Safety culture and safety compliance in academic laboratories: A Canadian perspective. J- Chem. Health </w:t>
      </w:r>
      <w:proofErr w:type="spellStart"/>
      <w:r w:rsidRPr="00FE2F4F">
        <w:rPr>
          <w:szCs w:val="18"/>
        </w:rPr>
        <w:t>Saf</w:t>
      </w:r>
      <w:proofErr w:type="spellEnd"/>
      <w:r w:rsidRPr="00FE2F4F">
        <w:rPr>
          <w:szCs w:val="18"/>
        </w:rPr>
        <w:t xml:space="preserve">., 25, 6-12. </w:t>
      </w:r>
    </w:p>
    <w:p w14:paraId="072C2D70" w14:textId="1DE408F7" w:rsidR="003C0FAD" w:rsidRPr="00FE2F4F" w:rsidRDefault="00EA2F2B" w:rsidP="003C0FAD">
      <w:pPr>
        <w:widowControl w:val="0"/>
        <w:autoSpaceDE w:val="0"/>
        <w:autoSpaceDN w:val="0"/>
        <w:adjustRightInd w:val="0"/>
        <w:spacing w:line="240" w:lineRule="auto"/>
        <w:ind w:left="480" w:hanging="480"/>
        <w:rPr>
          <w:rFonts w:cs="Arial"/>
          <w:noProof/>
          <w:szCs w:val="18"/>
        </w:rPr>
      </w:pPr>
      <w:r w:rsidRPr="00FE2F4F">
        <w:rPr>
          <w:szCs w:val="18"/>
        </w:rPr>
        <w:fldChar w:fldCharType="begin" w:fldLock="1"/>
      </w:r>
      <w:r w:rsidRPr="00FE2F4F">
        <w:rPr>
          <w:szCs w:val="18"/>
        </w:rPr>
        <w:instrText xml:space="preserve">ADDIN Mendeley Bibliography CSL_BIBLIOGRAPHY </w:instrText>
      </w:r>
      <w:r w:rsidRPr="00FE2F4F">
        <w:rPr>
          <w:szCs w:val="18"/>
        </w:rPr>
        <w:fldChar w:fldCharType="separate"/>
      </w:r>
      <w:r w:rsidR="003C0FAD" w:rsidRPr="00FE2F4F">
        <w:rPr>
          <w:rFonts w:cs="Arial"/>
          <w:noProof/>
          <w:szCs w:val="18"/>
        </w:rPr>
        <w:t xml:space="preserve">CCPS, 2008. Hazard Identification Methods, in: Guidelines for Hazard Evaluation Procedures. pp. 51–69. </w:t>
      </w:r>
    </w:p>
    <w:p w14:paraId="44D7D144" w14:textId="26BB99AD" w:rsidR="003C0FAD" w:rsidRPr="00FE2F4F" w:rsidRDefault="003C0FAD" w:rsidP="003C0FAD">
      <w:pPr>
        <w:widowControl w:val="0"/>
        <w:autoSpaceDE w:val="0"/>
        <w:autoSpaceDN w:val="0"/>
        <w:adjustRightInd w:val="0"/>
        <w:spacing w:line="240" w:lineRule="auto"/>
        <w:ind w:left="480" w:hanging="480"/>
        <w:rPr>
          <w:rFonts w:cs="Arial"/>
          <w:noProof/>
          <w:szCs w:val="18"/>
        </w:rPr>
      </w:pPr>
      <w:r w:rsidRPr="00FE2F4F">
        <w:rPr>
          <w:rFonts w:cs="Arial"/>
          <w:noProof/>
          <w:szCs w:val="18"/>
        </w:rPr>
        <w:t>Clarke, P., 2023. Chapter 1 - Introduction to functional safety, in: Clarke, P. (Ed.), Functional Safety from Scratch. Elsevier, pp. 1–26.</w:t>
      </w:r>
    </w:p>
    <w:p w14:paraId="268404A8" w14:textId="622A5DB5" w:rsidR="003C0FAD" w:rsidRPr="00FE2F4F" w:rsidRDefault="003C0FAD" w:rsidP="003C0FAD">
      <w:pPr>
        <w:widowControl w:val="0"/>
        <w:autoSpaceDE w:val="0"/>
        <w:autoSpaceDN w:val="0"/>
        <w:adjustRightInd w:val="0"/>
        <w:spacing w:line="240" w:lineRule="auto"/>
        <w:ind w:left="480" w:hanging="480"/>
        <w:rPr>
          <w:rFonts w:cs="Arial"/>
          <w:noProof/>
          <w:szCs w:val="18"/>
        </w:rPr>
      </w:pPr>
      <w:r w:rsidRPr="00FE2F4F">
        <w:rPr>
          <w:rFonts w:cs="Arial"/>
          <w:noProof/>
          <w:szCs w:val="18"/>
        </w:rPr>
        <w:t xml:space="preserve">Crawley, F., Tyler, B., 2015. HAZOP: Guide to Best Practice, 3rd ed. ed. Elsevier. </w:t>
      </w:r>
    </w:p>
    <w:p w14:paraId="4B0AEAE0" w14:textId="379A8EC5" w:rsidR="003C0FAD" w:rsidRPr="00FE2F4F" w:rsidRDefault="003C0FAD" w:rsidP="003C0FAD">
      <w:pPr>
        <w:widowControl w:val="0"/>
        <w:autoSpaceDE w:val="0"/>
        <w:autoSpaceDN w:val="0"/>
        <w:adjustRightInd w:val="0"/>
        <w:spacing w:line="240" w:lineRule="auto"/>
        <w:ind w:left="480" w:hanging="480"/>
        <w:rPr>
          <w:rFonts w:cs="Arial"/>
          <w:noProof/>
          <w:szCs w:val="18"/>
        </w:rPr>
      </w:pPr>
      <w:r w:rsidRPr="00FE2F4F">
        <w:rPr>
          <w:rFonts w:cs="Arial"/>
          <w:noProof/>
          <w:szCs w:val="18"/>
        </w:rPr>
        <w:t xml:space="preserve">Leggett, D.J., 2012. Lab-HIRA: Hazard identification and risk analysis for the chemical research laboratory. Part 2. Risk analysis of laboratory operations. J. Chem. Heal. Saf. 19, 25–36. </w:t>
      </w:r>
    </w:p>
    <w:p w14:paraId="7CE17CCC" w14:textId="1291B27C" w:rsidR="003C0FAD" w:rsidRPr="00FE2F4F" w:rsidRDefault="003C0FAD" w:rsidP="003C0FAD">
      <w:pPr>
        <w:widowControl w:val="0"/>
        <w:autoSpaceDE w:val="0"/>
        <w:autoSpaceDN w:val="0"/>
        <w:adjustRightInd w:val="0"/>
        <w:spacing w:line="240" w:lineRule="auto"/>
        <w:ind w:left="480" w:hanging="480"/>
        <w:rPr>
          <w:rFonts w:cs="Arial"/>
          <w:noProof/>
          <w:szCs w:val="18"/>
        </w:rPr>
      </w:pPr>
      <w:r w:rsidRPr="00FE2F4F">
        <w:rPr>
          <w:rFonts w:cs="Arial"/>
          <w:noProof/>
          <w:szCs w:val="18"/>
        </w:rPr>
        <w:t xml:space="preserve">Lei, C., Wu, H., Sun, N., Ye, M., 2023. Chemical Laboratory Hazardous Chemical Management Based on HAZOP 11, 559–582. </w:t>
      </w:r>
    </w:p>
    <w:p w14:paraId="2F871F43" w14:textId="77777777" w:rsidR="00D11DD2" w:rsidRPr="00FE2F4F" w:rsidRDefault="003C0FAD" w:rsidP="003C0FAD">
      <w:pPr>
        <w:widowControl w:val="0"/>
        <w:autoSpaceDE w:val="0"/>
        <w:autoSpaceDN w:val="0"/>
        <w:adjustRightInd w:val="0"/>
        <w:spacing w:line="240" w:lineRule="auto"/>
        <w:ind w:left="480" w:hanging="480"/>
        <w:rPr>
          <w:rFonts w:cs="Arial"/>
          <w:noProof/>
          <w:szCs w:val="18"/>
        </w:rPr>
      </w:pPr>
      <w:r w:rsidRPr="00FE2F4F">
        <w:rPr>
          <w:rFonts w:cs="Arial"/>
          <w:noProof/>
          <w:szCs w:val="18"/>
        </w:rPr>
        <w:t>Ménard, A.D., Trant, J.F., 2020. A review and critique of academic lab safety research. Nat. Chem. 12, 17–25.</w:t>
      </w:r>
    </w:p>
    <w:p w14:paraId="717D8DC0" w14:textId="71B2820E" w:rsidR="003C0FAD" w:rsidRPr="00FE2F4F" w:rsidRDefault="00D11DD2" w:rsidP="003C0FAD">
      <w:pPr>
        <w:widowControl w:val="0"/>
        <w:autoSpaceDE w:val="0"/>
        <w:autoSpaceDN w:val="0"/>
        <w:adjustRightInd w:val="0"/>
        <w:spacing w:line="240" w:lineRule="auto"/>
        <w:ind w:left="480" w:hanging="480"/>
        <w:rPr>
          <w:rFonts w:cs="Arial"/>
          <w:noProof/>
          <w:szCs w:val="18"/>
        </w:rPr>
      </w:pPr>
      <w:r w:rsidRPr="00FE2F4F">
        <w:rPr>
          <w:rFonts w:cs="Arial"/>
          <w:noProof/>
          <w:szCs w:val="18"/>
        </w:rPr>
        <w:t>Mocellin, P., 2022. Experimental methods in chemical engineering</w:t>
      </w:r>
      <w:r w:rsidR="008F6EA7" w:rsidRPr="00FE2F4F">
        <w:rPr>
          <w:rFonts w:cs="Arial"/>
          <w:noProof/>
          <w:szCs w:val="18"/>
        </w:rPr>
        <w:t>. Can. J. Chem. Eng., 100(12), 3450-3469.</w:t>
      </w:r>
      <w:r w:rsidR="003C0FAD" w:rsidRPr="00FE2F4F">
        <w:rPr>
          <w:rFonts w:cs="Arial"/>
          <w:noProof/>
          <w:szCs w:val="18"/>
        </w:rPr>
        <w:t xml:space="preserve"> </w:t>
      </w:r>
    </w:p>
    <w:p w14:paraId="78B3F176" w14:textId="77777777" w:rsidR="003C0FAD" w:rsidRPr="00FE2F4F" w:rsidRDefault="003C0FAD" w:rsidP="003C0FAD">
      <w:pPr>
        <w:widowControl w:val="0"/>
        <w:autoSpaceDE w:val="0"/>
        <w:autoSpaceDN w:val="0"/>
        <w:adjustRightInd w:val="0"/>
        <w:spacing w:line="240" w:lineRule="auto"/>
        <w:ind w:left="480" w:hanging="480"/>
        <w:rPr>
          <w:rFonts w:cs="Arial"/>
          <w:noProof/>
          <w:szCs w:val="18"/>
        </w:rPr>
      </w:pPr>
      <w:r w:rsidRPr="00FE2F4F">
        <w:rPr>
          <w:rFonts w:cs="Arial"/>
          <w:noProof/>
          <w:szCs w:val="18"/>
        </w:rPr>
        <w:t>Moulijn, J.A., Makkee, M., Diepen, A.E.: van, Moulijn, J.A., 2013. Chemical process technology. John Wiley &amp; Sons, Chicester, pp. 171–220.</w:t>
      </w:r>
    </w:p>
    <w:p w14:paraId="047D514E" w14:textId="4EA68C7B" w:rsidR="00B371A1" w:rsidRPr="00FE2F4F" w:rsidRDefault="00B371A1" w:rsidP="003C0FAD">
      <w:pPr>
        <w:widowControl w:val="0"/>
        <w:autoSpaceDE w:val="0"/>
        <w:autoSpaceDN w:val="0"/>
        <w:adjustRightInd w:val="0"/>
        <w:spacing w:line="240" w:lineRule="auto"/>
        <w:ind w:left="480" w:hanging="480"/>
        <w:rPr>
          <w:rFonts w:cs="Arial"/>
          <w:noProof/>
          <w:szCs w:val="18"/>
        </w:rPr>
      </w:pPr>
      <w:r w:rsidRPr="00FE2F4F">
        <w:rPr>
          <w:szCs w:val="18"/>
        </w:rPr>
        <w:t>Stricker D., Gerweck N., Meyer T., 2019, Measuring the safety climate of academic laboratories to improve safety behaviours, Chemical Engineering Transactions, 77, 271-276</w:t>
      </w:r>
      <w:r w:rsidR="00130598" w:rsidRPr="00FE2F4F">
        <w:rPr>
          <w:szCs w:val="18"/>
        </w:rPr>
        <w:t>.</w:t>
      </w:r>
    </w:p>
    <w:p w14:paraId="2A433FAB" w14:textId="63E5581F" w:rsidR="003C0FAD" w:rsidRPr="00FE2F4F" w:rsidRDefault="003C0FAD" w:rsidP="0031272D">
      <w:pPr>
        <w:widowControl w:val="0"/>
        <w:autoSpaceDE w:val="0"/>
        <w:autoSpaceDN w:val="0"/>
        <w:adjustRightInd w:val="0"/>
        <w:spacing w:line="240" w:lineRule="auto"/>
        <w:ind w:left="480" w:hanging="480"/>
        <w:rPr>
          <w:rFonts w:cs="Arial"/>
          <w:noProof/>
          <w:szCs w:val="18"/>
        </w:rPr>
      </w:pPr>
      <w:r w:rsidRPr="00FE2F4F">
        <w:rPr>
          <w:rFonts w:cs="Arial"/>
          <w:noProof/>
          <w:szCs w:val="18"/>
        </w:rPr>
        <w:t>The British Standards Institution, 2017. BS EN 61511-1:2017+A1:2017, Functional safety-Safety instrumented systems for the process industry sector- Part 1</w:t>
      </w:r>
      <w:r w:rsidR="0031272D" w:rsidRPr="00FE2F4F">
        <w:rPr>
          <w:rFonts w:cs="Arial"/>
          <w:noProof/>
          <w:szCs w:val="18"/>
        </w:rPr>
        <w:t>.</w:t>
      </w:r>
    </w:p>
    <w:p w14:paraId="70EE4A13" w14:textId="30EAC823" w:rsidR="003C0FAD" w:rsidRPr="00FE2F4F" w:rsidRDefault="003C0FAD" w:rsidP="003C0FAD">
      <w:pPr>
        <w:widowControl w:val="0"/>
        <w:autoSpaceDE w:val="0"/>
        <w:autoSpaceDN w:val="0"/>
        <w:adjustRightInd w:val="0"/>
        <w:spacing w:line="240" w:lineRule="auto"/>
        <w:ind w:left="480" w:hanging="480"/>
        <w:rPr>
          <w:rFonts w:cs="Arial"/>
          <w:noProof/>
          <w:szCs w:val="18"/>
        </w:rPr>
      </w:pPr>
      <w:r w:rsidRPr="00FE2F4F">
        <w:rPr>
          <w:rFonts w:cs="Arial"/>
          <w:noProof/>
          <w:szCs w:val="18"/>
        </w:rPr>
        <w:t>The British Standards Institution, 2016. BS EN 61882:2016, Hazard and operability studies (HAZOP studies) — Application guide</w:t>
      </w:r>
      <w:r w:rsidR="0031272D" w:rsidRPr="00FE2F4F">
        <w:rPr>
          <w:rFonts w:cs="Arial"/>
          <w:noProof/>
          <w:szCs w:val="18"/>
        </w:rPr>
        <w:t>.</w:t>
      </w:r>
    </w:p>
    <w:p w14:paraId="009CBBA2" w14:textId="7DA48D93" w:rsidR="003C0FAD" w:rsidRPr="00FE2F4F" w:rsidRDefault="003C0FAD" w:rsidP="003C0FAD">
      <w:pPr>
        <w:widowControl w:val="0"/>
        <w:autoSpaceDE w:val="0"/>
        <w:autoSpaceDN w:val="0"/>
        <w:adjustRightInd w:val="0"/>
        <w:spacing w:line="240" w:lineRule="auto"/>
        <w:ind w:left="480" w:hanging="480"/>
        <w:rPr>
          <w:rFonts w:cs="Arial"/>
          <w:noProof/>
          <w:szCs w:val="18"/>
        </w:rPr>
      </w:pPr>
      <w:r w:rsidRPr="00FE2F4F">
        <w:rPr>
          <w:rFonts w:cs="Arial"/>
          <w:noProof/>
          <w:szCs w:val="18"/>
        </w:rPr>
        <w:t xml:space="preserve">U.S. Chemical Safety and Hazard Investigation Board, 2018. Laboratory Incidents January 2001 – July 2018 </w:t>
      </w:r>
    </w:p>
    <w:p w14:paraId="09333355" w14:textId="77B49E8C" w:rsidR="0031255A" w:rsidRPr="00FE2F4F" w:rsidRDefault="003C0FAD" w:rsidP="008D2061">
      <w:pPr>
        <w:widowControl w:val="0"/>
        <w:autoSpaceDE w:val="0"/>
        <w:autoSpaceDN w:val="0"/>
        <w:adjustRightInd w:val="0"/>
        <w:spacing w:line="240" w:lineRule="auto"/>
        <w:ind w:left="480" w:hanging="480"/>
        <w:rPr>
          <w:sz w:val="20"/>
          <w:szCs w:val="22"/>
        </w:rPr>
      </w:pPr>
      <w:r w:rsidRPr="00FE2F4F">
        <w:rPr>
          <w:rFonts w:cs="Arial"/>
          <w:noProof/>
          <w:szCs w:val="18"/>
        </w:rPr>
        <w:t>Zakzeski, J., 2009. Improving engineering research laboratory safety by addressing the human aspects of research management. J. Chem. Heal. Saf. 16, 5–20.</w:t>
      </w:r>
      <w:r w:rsidR="00EA2F2B" w:rsidRPr="00FE2F4F">
        <w:rPr>
          <w:szCs w:val="18"/>
        </w:rPr>
        <w:fldChar w:fldCharType="end"/>
      </w:r>
    </w:p>
    <w:sectPr w:rsidR="0031255A" w:rsidRPr="00FE2F4F" w:rsidSect="00196FD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FB81C3" w14:textId="77777777" w:rsidR="00196FDD" w:rsidRDefault="00196FDD" w:rsidP="004F5E36">
      <w:r>
        <w:separator/>
      </w:r>
    </w:p>
  </w:endnote>
  <w:endnote w:type="continuationSeparator" w:id="0">
    <w:p w14:paraId="660A8C50" w14:textId="77777777" w:rsidR="00196FDD" w:rsidRDefault="00196FDD" w:rsidP="004F5E36">
      <w:r>
        <w:continuationSeparator/>
      </w:r>
    </w:p>
  </w:endnote>
  <w:endnote w:type="continuationNotice" w:id="1">
    <w:p w14:paraId="042359F7" w14:textId="77777777" w:rsidR="000A00C8" w:rsidRDefault="000A00C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BE21BC" w14:textId="77777777" w:rsidR="00196FDD" w:rsidRDefault="00196FDD" w:rsidP="004F5E36">
      <w:r>
        <w:separator/>
      </w:r>
    </w:p>
  </w:footnote>
  <w:footnote w:type="continuationSeparator" w:id="0">
    <w:p w14:paraId="06E682D9" w14:textId="77777777" w:rsidR="00196FDD" w:rsidRDefault="00196FDD" w:rsidP="004F5E36">
      <w:r>
        <w:continuationSeparator/>
      </w:r>
    </w:p>
  </w:footnote>
  <w:footnote w:type="continuationNotice" w:id="1">
    <w:p w14:paraId="470E5AE8" w14:textId="77777777" w:rsidR="000A00C8" w:rsidRDefault="000A00C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7C5361B"/>
    <w:multiLevelType w:val="hybridMultilevel"/>
    <w:tmpl w:val="ADBA32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25E737CF"/>
    <w:multiLevelType w:val="hybridMultilevel"/>
    <w:tmpl w:val="1D4E8D3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303416A"/>
    <w:multiLevelType w:val="hybridMultilevel"/>
    <w:tmpl w:val="EDA4627C"/>
    <w:lvl w:ilvl="0" w:tplc="1B3660FA">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1" w15:restartNumberingAfterBreak="0">
    <w:nsid w:val="5974701A"/>
    <w:multiLevelType w:val="hybridMultilevel"/>
    <w:tmpl w:val="E3BEA58C"/>
    <w:lvl w:ilvl="0" w:tplc="4846F244">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0E2688B"/>
    <w:multiLevelType w:val="hybridMultilevel"/>
    <w:tmpl w:val="AECC792A"/>
    <w:lvl w:ilvl="0" w:tplc="0410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30305860">
    <w:abstractNumId w:val="11"/>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20"/>
  </w:num>
  <w:num w:numId="13" w16cid:durableId="1573659240">
    <w:abstractNumId w:val="15"/>
  </w:num>
  <w:num w:numId="14" w16cid:durableId="2092192635">
    <w:abstractNumId w:val="22"/>
  </w:num>
  <w:num w:numId="15" w16cid:durableId="1115637783">
    <w:abstractNumId w:val="24"/>
  </w:num>
  <w:num w:numId="16" w16cid:durableId="635987207">
    <w:abstractNumId w:val="23"/>
  </w:num>
  <w:num w:numId="17" w16cid:durableId="1476411020">
    <w:abstractNumId w:val="14"/>
  </w:num>
  <w:num w:numId="18" w16cid:durableId="2106877164">
    <w:abstractNumId w:val="15"/>
    <w:lvlOverride w:ilvl="0">
      <w:startOverride w:val="1"/>
    </w:lvlOverride>
  </w:num>
  <w:num w:numId="19" w16cid:durableId="1650403514">
    <w:abstractNumId w:val="19"/>
  </w:num>
  <w:num w:numId="20" w16cid:durableId="536504040">
    <w:abstractNumId w:val="18"/>
  </w:num>
  <w:num w:numId="21" w16cid:durableId="518815501">
    <w:abstractNumId w:val="17"/>
  </w:num>
  <w:num w:numId="22" w16cid:durableId="299530822">
    <w:abstractNumId w:val="16"/>
  </w:num>
  <w:num w:numId="23" w16cid:durableId="485778598">
    <w:abstractNumId w:val="12"/>
  </w:num>
  <w:num w:numId="24" w16cid:durableId="1156536464">
    <w:abstractNumId w:val="11"/>
  </w:num>
  <w:num w:numId="25" w16cid:durableId="1700158073">
    <w:abstractNumId w:val="11"/>
  </w:num>
  <w:num w:numId="26" w16cid:durableId="1707636540">
    <w:abstractNumId w:val="13"/>
  </w:num>
  <w:num w:numId="27" w16cid:durableId="1121680533">
    <w:abstractNumId w:val="21"/>
  </w:num>
  <w:num w:numId="28" w16cid:durableId="1339691767">
    <w:abstractNumId w:val="11"/>
  </w:num>
  <w:num w:numId="29" w16cid:durableId="1749887925">
    <w:abstractNumId w:val="25"/>
  </w:num>
  <w:num w:numId="30" w16cid:durableId="17748578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6"/>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I0NzezsDA3M7MwMTJW0lEKTi0uzszPAykwMqwFAHLguIctAAAA"/>
  </w:docVars>
  <w:rsids>
    <w:rsidRoot w:val="000E414A"/>
    <w:rsid w:val="000027C0"/>
    <w:rsid w:val="000033A0"/>
    <w:rsid w:val="000052FB"/>
    <w:rsid w:val="00007F49"/>
    <w:rsid w:val="000117CB"/>
    <w:rsid w:val="000128CC"/>
    <w:rsid w:val="00012A3B"/>
    <w:rsid w:val="00014C96"/>
    <w:rsid w:val="00015D59"/>
    <w:rsid w:val="00022EED"/>
    <w:rsid w:val="00023C57"/>
    <w:rsid w:val="00025268"/>
    <w:rsid w:val="0003148D"/>
    <w:rsid w:val="00031EEC"/>
    <w:rsid w:val="000324F8"/>
    <w:rsid w:val="0004169C"/>
    <w:rsid w:val="000506B7"/>
    <w:rsid w:val="00051566"/>
    <w:rsid w:val="00054F0F"/>
    <w:rsid w:val="00057E10"/>
    <w:rsid w:val="00062A9A"/>
    <w:rsid w:val="00065058"/>
    <w:rsid w:val="00086C39"/>
    <w:rsid w:val="00086E73"/>
    <w:rsid w:val="000878A2"/>
    <w:rsid w:val="000937F5"/>
    <w:rsid w:val="00096215"/>
    <w:rsid w:val="000A00C8"/>
    <w:rsid w:val="000A03B2"/>
    <w:rsid w:val="000A2741"/>
    <w:rsid w:val="000A5845"/>
    <w:rsid w:val="000B3689"/>
    <w:rsid w:val="000B3B4B"/>
    <w:rsid w:val="000B4F05"/>
    <w:rsid w:val="000B5377"/>
    <w:rsid w:val="000C0101"/>
    <w:rsid w:val="000C2E92"/>
    <w:rsid w:val="000C671C"/>
    <w:rsid w:val="000D0268"/>
    <w:rsid w:val="000D1507"/>
    <w:rsid w:val="000D34BE"/>
    <w:rsid w:val="000E102F"/>
    <w:rsid w:val="000E36F1"/>
    <w:rsid w:val="000E3A73"/>
    <w:rsid w:val="000E414A"/>
    <w:rsid w:val="000E5C07"/>
    <w:rsid w:val="000F093C"/>
    <w:rsid w:val="000F6FB9"/>
    <w:rsid w:val="000F787B"/>
    <w:rsid w:val="001036C8"/>
    <w:rsid w:val="00103B3E"/>
    <w:rsid w:val="00106B28"/>
    <w:rsid w:val="0010764F"/>
    <w:rsid w:val="001166E7"/>
    <w:rsid w:val="0012091F"/>
    <w:rsid w:val="00121F39"/>
    <w:rsid w:val="00122470"/>
    <w:rsid w:val="00123745"/>
    <w:rsid w:val="00126BC2"/>
    <w:rsid w:val="00127C0E"/>
    <w:rsid w:val="00130598"/>
    <w:rsid w:val="001308B6"/>
    <w:rsid w:val="0013121F"/>
    <w:rsid w:val="0013180E"/>
    <w:rsid w:val="00131FE6"/>
    <w:rsid w:val="0013263F"/>
    <w:rsid w:val="001331DF"/>
    <w:rsid w:val="00134DE4"/>
    <w:rsid w:val="00136EDD"/>
    <w:rsid w:val="0014034D"/>
    <w:rsid w:val="00142A69"/>
    <w:rsid w:val="00144D16"/>
    <w:rsid w:val="001501C0"/>
    <w:rsid w:val="00150E59"/>
    <w:rsid w:val="00152DE3"/>
    <w:rsid w:val="001566E2"/>
    <w:rsid w:val="00164CF9"/>
    <w:rsid w:val="001667A6"/>
    <w:rsid w:val="001710EB"/>
    <w:rsid w:val="00171BFE"/>
    <w:rsid w:val="00172D0C"/>
    <w:rsid w:val="00180F91"/>
    <w:rsid w:val="001824ED"/>
    <w:rsid w:val="00184568"/>
    <w:rsid w:val="00184AD6"/>
    <w:rsid w:val="00186887"/>
    <w:rsid w:val="00192DF4"/>
    <w:rsid w:val="00196FDD"/>
    <w:rsid w:val="001A2EEC"/>
    <w:rsid w:val="001A4AF7"/>
    <w:rsid w:val="001B0349"/>
    <w:rsid w:val="001B1E93"/>
    <w:rsid w:val="001B23D6"/>
    <w:rsid w:val="001B65C1"/>
    <w:rsid w:val="001C2D41"/>
    <w:rsid w:val="001C3CDC"/>
    <w:rsid w:val="001C47C1"/>
    <w:rsid w:val="001C684B"/>
    <w:rsid w:val="001D01B5"/>
    <w:rsid w:val="001D02FA"/>
    <w:rsid w:val="001D0CFB"/>
    <w:rsid w:val="001D2FCF"/>
    <w:rsid w:val="001D310E"/>
    <w:rsid w:val="001D3A1E"/>
    <w:rsid w:val="001D4EE4"/>
    <w:rsid w:val="001D53FC"/>
    <w:rsid w:val="001E0649"/>
    <w:rsid w:val="001F27E1"/>
    <w:rsid w:val="001F42A5"/>
    <w:rsid w:val="001F54EF"/>
    <w:rsid w:val="001F6577"/>
    <w:rsid w:val="001F6952"/>
    <w:rsid w:val="001F7B9D"/>
    <w:rsid w:val="00201C93"/>
    <w:rsid w:val="00202F05"/>
    <w:rsid w:val="002129C6"/>
    <w:rsid w:val="00214A5A"/>
    <w:rsid w:val="002173F8"/>
    <w:rsid w:val="002224B4"/>
    <w:rsid w:val="0023192E"/>
    <w:rsid w:val="002333F5"/>
    <w:rsid w:val="00234402"/>
    <w:rsid w:val="00234F02"/>
    <w:rsid w:val="002447EF"/>
    <w:rsid w:val="002460CE"/>
    <w:rsid w:val="00251550"/>
    <w:rsid w:val="0025669C"/>
    <w:rsid w:val="00263B05"/>
    <w:rsid w:val="0027221A"/>
    <w:rsid w:val="00275B61"/>
    <w:rsid w:val="00280FAF"/>
    <w:rsid w:val="00282656"/>
    <w:rsid w:val="00286AEC"/>
    <w:rsid w:val="002940FC"/>
    <w:rsid w:val="00296B83"/>
    <w:rsid w:val="002A2A15"/>
    <w:rsid w:val="002A489A"/>
    <w:rsid w:val="002A6054"/>
    <w:rsid w:val="002A798B"/>
    <w:rsid w:val="002B4015"/>
    <w:rsid w:val="002B78CE"/>
    <w:rsid w:val="002C2FB6"/>
    <w:rsid w:val="002D0F38"/>
    <w:rsid w:val="002D3228"/>
    <w:rsid w:val="002E1683"/>
    <w:rsid w:val="002E3CD6"/>
    <w:rsid w:val="002E428B"/>
    <w:rsid w:val="002E5FA7"/>
    <w:rsid w:val="002F2BEB"/>
    <w:rsid w:val="002F3309"/>
    <w:rsid w:val="002F3DE1"/>
    <w:rsid w:val="002F7C38"/>
    <w:rsid w:val="003008CE"/>
    <w:rsid w:val="003009B7"/>
    <w:rsid w:val="00300E56"/>
    <w:rsid w:val="0030469C"/>
    <w:rsid w:val="00305427"/>
    <w:rsid w:val="0031255A"/>
    <w:rsid w:val="0031272D"/>
    <w:rsid w:val="00321CA6"/>
    <w:rsid w:val="00323763"/>
    <w:rsid w:val="003240C4"/>
    <w:rsid w:val="00334C09"/>
    <w:rsid w:val="00336A46"/>
    <w:rsid w:val="00337035"/>
    <w:rsid w:val="00344922"/>
    <w:rsid w:val="0034657B"/>
    <w:rsid w:val="00347EB0"/>
    <w:rsid w:val="00353E4A"/>
    <w:rsid w:val="00361F90"/>
    <w:rsid w:val="003646CF"/>
    <w:rsid w:val="0036597E"/>
    <w:rsid w:val="00367CAF"/>
    <w:rsid w:val="003715E3"/>
    <w:rsid w:val="003723D4"/>
    <w:rsid w:val="003730B8"/>
    <w:rsid w:val="00377A19"/>
    <w:rsid w:val="00381905"/>
    <w:rsid w:val="00384CC8"/>
    <w:rsid w:val="003871FD"/>
    <w:rsid w:val="00393FCA"/>
    <w:rsid w:val="003A0501"/>
    <w:rsid w:val="003A183E"/>
    <w:rsid w:val="003A1E30"/>
    <w:rsid w:val="003A2829"/>
    <w:rsid w:val="003A7487"/>
    <w:rsid w:val="003A7D1C"/>
    <w:rsid w:val="003B0436"/>
    <w:rsid w:val="003B304B"/>
    <w:rsid w:val="003B3146"/>
    <w:rsid w:val="003B7BDC"/>
    <w:rsid w:val="003C0FAD"/>
    <w:rsid w:val="003C56F9"/>
    <w:rsid w:val="003D56FF"/>
    <w:rsid w:val="003D7DE6"/>
    <w:rsid w:val="003E1B90"/>
    <w:rsid w:val="003F015E"/>
    <w:rsid w:val="003F180B"/>
    <w:rsid w:val="003F6E61"/>
    <w:rsid w:val="003F709E"/>
    <w:rsid w:val="004000D0"/>
    <w:rsid w:val="00400414"/>
    <w:rsid w:val="004075C8"/>
    <w:rsid w:val="00407F9F"/>
    <w:rsid w:val="004104DC"/>
    <w:rsid w:val="004114E0"/>
    <w:rsid w:val="0041446B"/>
    <w:rsid w:val="00414C29"/>
    <w:rsid w:val="0042487C"/>
    <w:rsid w:val="0044329C"/>
    <w:rsid w:val="00447F27"/>
    <w:rsid w:val="00453E24"/>
    <w:rsid w:val="00455A35"/>
    <w:rsid w:val="00457456"/>
    <w:rsid w:val="0045778B"/>
    <w:rsid w:val="004577FE"/>
    <w:rsid w:val="00457B9C"/>
    <w:rsid w:val="0046164A"/>
    <w:rsid w:val="004628D2"/>
    <w:rsid w:val="00462DCD"/>
    <w:rsid w:val="004648AD"/>
    <w:rsid w:val="00464E1B"/>
    <w:rsid w:val="00465369"/>
    <w:rsid w:val="004703A9"/>
    <w:rsid w:val="0047095D"/>
    <w:rsid w:val="004760D2"/>
    <w:rsid w:val="004760DE"/>
    <w:rsid w:val="004763D7"/>
    <w:rsid w:val="0048169C"/>
    <w:rsid w:val="00491961"/>
    <w:rsid w:val="004957BF"/>
    <w:rsid w:val="00495D93"/>
    <w:rsid w:val="004A004E"/>
    <w:rsid w:val="004A1F44"/>
    <w:rsid w:val="004A24CF"/>
    <w:rsid w:val="004A2E70"/>
    <w:rsid w:val="004A76F3"/>
    <w:rsid w:val="004C2925"/>
    <w:rsid w:val="004C3D1D"/>
    <w:rsid w:val="004C7913"/>
    <w:rsid w:val="004D10FF"/>
    <w:rsid w:val="004D39C7"/>
    <w:rsid w:val="004D3E55"/>
    <w:rsid w:val="004D7496"/>
    <w:rsid w:val="004E4DD6"/>
    <w:rsid w:val="004F13C1"/>
    <w:rsid w:val="004F5E36"/>
    <w:rsid w:val="00507B47"/>
    <w:rsid w:val="00507BEF"/>
    <w:rsid w:val="00507CC9"/>
    <w:rsid w:val="005119A5"/>
    <w:rsid w:val="00514238"/>
    <w:rsid w:val="005156D1"/>
    <w:rsid w:val="00522181"/>
    <w:rsid w:val="005278B7"/>
    <w:rsid w:val="00531A48"/>
    <w:rsid w:val="00532016"/>
    <w:rsid w:val="00533C37"/>
    <w:rsid w:val="005346C8"/>
    <w:rsid w:val="00534DDE"/>
    <w:rsid w:val="0053596D"/>
    <w:rsid w:val="00543E7D"/>
    <w:rsid w:val="00545E24"/>
    <w:rsid w:val="00547A68"/>
    <w:rsid w:val="005531C9"/>
    <w:rsid w:val="00553C61"/>
    <w:rsid w:val="0055627A"/>
    <w:rsid w:val="0055656E"/>
    <w:rsid w:val="00561D5E"/>
    <w:rsid w:val="0056545C"/>
    <w:rsid w:val="00570C43"/>
    <w:rsid w:val="00575746"/>
    <w:rsid w:val="005A654F"/>
    <w:rsid w:val="005A7270"/>
    <w:rsid w:val="005A75F9"/>
    <w:rsid w:val="005B2110"/>
    <w:rsid w:val="005B2772"/>
    <w:rsid w:val="005B29A3"/>
    <w:rsid w:val="005B2D26"/>
    <w:rsid w:val="005B61E6"/>
    <w:rsid w:val="005C765C"/>
    <w:rsid w:val="005C77E1"/>
    <w:rsid w:val="005D1207"/>
    <w:rsid w:val="005D1DB5"/>
    <w:rsid w:val="005D4B35"/>
    <w:rsid w:val="005D535D"/>
    <w:rsid w:val="005D668A"/>
    <w:rsid w:val="005D6A2F"/>
    <w:rsid w:val="005E1A82"/>
    <w:rsid w:val="005E53C9"/>
    <w:rsid w:val="005E794C"/>
    <w:rsid w:val="005F0A28"/>
    <w:rsid w:val="005F0E5E"/>
    <w:rsid w:val="005F2B0D"/>
    <w:rsid w:val="005F4661"/>
    <w:rsid w:val="005F51F7"/>
    <w:rsid w:val="00600535"/>
    <w:rsid w:val="00604B71"/>
    <w:rsid w:val="00610CD6"/>
    <w:rsid w:val="00616F58"/>
    <w:rsid w:val="00620DEE"/>
    <w:rsid w:val="00621F92"/>
    <w:rsid w:val="006225D4"/>
    <w:rsid w:val="0062280A"/>
    <w:rsid w:val="00623864"/>
    <w:rsid w:val="00625639"/>
    <w:rsid w:val="00626ED7"/>
    <w:rsid w:val="00631B33"/>
    <w:rsid w:val="006402C6"/>
    <w:rsid w:val="00641078"/>
    <w:rsid w:val="0064184D"/>
    <w:rsid w:val="006422CC"/>
    <w:rsid w:val="00655877"/>
    <w:rsid w:val="00660E3E"/>
    <w:rsid w:val="00662E74"/>
    <w:rsid w:val="00663DE8"/>
    <w:rsid w:val="00664A1C"/>
    <w:rsid w:val="00665323"/>
    <w:rsid w:val="006713D2"/>
    <w:rsid w:val="00680C23"/>
    <w:rsid w:val="00692BD6"/>
    <w:rsid w:val="00693766"/>
    <w:rsid w:val="0069560C"/>
    <w:rsid w:val="006A2556"/>
    <w:rsid w:val="006A2F13"/>
    <w:rsid w:val="006A3281"/>
    <w:rsid w:val="006A3E9E"/>
    <w:rsid w:val="006B4888"/>
    <w:rsid w:val="006C2E45"/>
    <w:rsid w:val="006C359C"/>
    <w:rsid w:val="006C5579"/>
    <w:rsid w:val="006D2EB1"/>
    <w:rsid w:val="006D6E8B"/>
    <w:rsid w:val="006D7FA3"/>
    <w:rsid w:val="006E2BE8"/>
    <w:rsid w:val="006E671B"/>
    <w:rsid w:val="006E737D"/>
    <w:rsid w:val="006F5092"/>
    <w:rsid w:val="0070052E"/>
    <w:rsid w:val="00712413"/>
    <w:rsid w:val="0071317D"/>
    <w:rsid w:val="00713973"/>
    <w:rsid w:val="00720A24"/>
    <w:rsid w:val="00722461"/>
    <w:rsid w:val="00732386"/>
    <w:rsid w:val="00734F4C"/>
    <w:rsid w:val="0073514D"/>
    <w:rsid w:val="00736657"/>
    <w:rsid w:val="007366E4"/>
    <w:rsid w:val="007447F3"/>
    <w:rsid w:val="007535CC"/>
    <w:rsid w:val="0075499F"/>
    <w:rsid w:val="007661C8"/>
    <w:rsid w:val="0077098D"/>
    <w:rsid w:val="007768A0"/>
    <w:rsid w:val="007931FA"/>
    <w:rsid w:val="00795A68"/>
    <w:rsid w:val="007A3675"/>
    <w:rsid w:val="007A4861"/>
    <w:rsid w:val="007A7BBA"/>
    <w:rsid w:val="007B0699"/>
    <w:rsid w:val="007B0C50"/>
    <w:rsid w:val="007B26DD"/>
    <w:rsid w:val="007B344E"/>
    <w:rsid w:val="007B48F9"/>
    <w:rsid w:val="007C1A43"/>
    <w:rsid w:val="007C3D56"/>
    <w:rsid w:val="007C63E6"/>
    <w:rsid w:val="007D0823"/>
    <w:rsid w:val="007D201E"/>
    <w:rsid w:val="007D584E"/>
    <w:rsid w:val="007E1E07"/>
    <w:rsid w:val="007E599B"/>
    <w:rsid w:val="007F0210"/>
    <w:rsid w:val="007F1B36"/>
    <w:rsid w:val="007F6FBE"/>
    <w:rsid w:val="0080013E"/>
    <w:rsid w:val="00807CA7"/>
    <w:rsid w:val="00812578"/>
    <w:rsid w:val="00812F33"/>
    <w:rsid w:val="00813288"/>
    <w:rsid w:val="008168FC"/>
    <w:rsid w:val="00825DD9"/>
    <w:rsid w:val="00830996"/>
    <w:rsid w:val="00832B8C"/>
    <w:rsid w:val="008345F1"/>
    <w:rsid w:val="00837819"/>
    <w:rsid w:val="00841899"/>
    <w:rsid w:val="00845A0A"/>
    <w:rsid w:val="00865701"/>
    <w:rsid w:val="00865B07"/>
    <w:rsid w:val="008667EA"/>
    <w:rsid w:val="00871933"/>
    <w:rsid w:val="00872A16"/>
    <w:rsid w:val="00873743"/>
    <w:rsid w:val="008762AA"/>
    <w:rsid w:val="008762E8"/>
    <w:rsid w:val="0087637F"/>
    <w:rsid w:val="008867E9"/>
    <w:rsid w:val="00892997"/>
    <w:rsid w:val="00892AD5"/>
    <w:rsid w:val="008A1512"/>
    <w:rsid w:val="008A7D33"/>
    <w:rsid w:val="008B4440"/>
    <w:rsid w:val="008B6FC7"/>
    <w:rsid w:val="008C01F5"/>
    <w:rsid w:val="008C249D"/>
    <w:rsid w:val="008C4B08"/>
    <w:rsid w:val="008C7FEC"/>
    <w:rsid w:val="008D0353"/>
    <w:rsid w:val="008D2061"/>
    <w:rsid w:val="008D2BA9"/>
    <w:rsid w:val="008D32B9"/>
    <w:rsid w:val="008D4042"/>
    <w:rsid w:val="008D433B"/>
    <w:rsid w:val="008D630F"/>
    <w:rsid w:val="008E18ED"/>
    <w:rsid w:val="008E566E"/>
    <w:rsid w:val="008F1D47"/>
    <w:rsid w:val="008F2D6B"/>
    <w:rsid w:val="008F6EA7"/>
    <w:rsid w:val="00900C25"/>
    <w:rsid w:val="0090161A"/>
    <w:rsid w:val="00901EB6"/>
    <w:rsid w:val="00901F7F"/>
    <w:rsid w:val="00903B66"/>
    <w:rsid w:val="00904C62"/>
    <w:rsid w:val="00907C02"/>
    <w:rsid w:val="00912151"/>
    <w:rsid w:val="00916F89"/>
    <w:rsid w:val="009227DA"/>
    <w:rsid w:val="00922BA8"/>
    <w:rsid w:val="00924DAC"/>
    <w:rsid w:val="00926C7D"/>
    <w:rsid w:val="00927058"/>
    <w:rsid w:val="00942750"/>
    <w:rsid w:val="009450CE"/>
    <w:rsid w:val="009467ED"/>
    <w:rsid w:val="00947179"/>
    <w:rsid w:val="009505CC"/>
    <w:rsid w:val="0095164B"/>
    <w:rsid w:val="00951F08"/>
    <w:rsid w:val="009523FF"/>
    <w:rsid w:val="00953FD5"/>
    <w:rsid w:val="00954090"/>
    <w:rsid w:val="009573E7"/>
    <w:rsid w:val="00957F7A"/>
    <w:rsid w:val="00963E05"/>
    <w:rsid w:val="0096739D"/>
    <w:rsid w:val="00967843"/>
    <w:rsid w:val="00967D54"/>
    <w:rsid w:val="00971028"/>
    <w:rsid w:val="00982C48"/>
    <w:rsid w:val="00993B84"/>
    <w:rsid w:val="0099452B"/>
    <w:rsid w:val="009948CA"/>
    <w:rsid w:val="009953A7"/>
    <w:rsid w:val="00996483"/>
    <w:rsid w:val="00996F5A"/>
    <w:rsid w:val="009A46B7"/>
    <w:rsid w:val="009A5E8F"/>
    <w:rsid w:val="009B041A"/>
    <w:rsid w:val="009B0F5F"/>
    <w:rsid w:val="009B2727"/>
    <w:rsid w:val="009B30C7"/>
    <w:rsid w:val="009B3CA8"/>
    <w:rsid w:val="009C00F9"/>
    <w:rsid w:val="009C37C3"/>
    <w:rsid w:val="009C3E08"/>
    <w:rsid w:val="009C5C9B"/>
    <w:rsid w:val="009C5EC3"/>
    <w:rsid w:val="009C7C86"/>
    <w:rsid w:val="009D013C"/>
    <w:rsid w:val="009D0172"/>
    <w:rsid w:val="009D06F9"/>
    <w:rsid w:val="009D2FF7"/>
    <w:rsid w:val="009D5082"/>
    <w:rsid w:val="009E5ABE"/>
    <w:rsid w:val="009E7884"/>
    <w:rsid w:val="009E788A"/>
    <w:rsid w:val="009F0E08"/>
    <w:rsid w:val="009F2547"/>
    <w:rsid w:val="009F5EC1"/>
    <w:rsid w:val="009F7036"/>
    <w:rsid w:val="00A00CCE"/>
    <w:rsid w:val="00A0294C"/>
    <w:rsid w:val="00A0515A"/>
    <w:rsid w:val="00A051D7"/>
    <w:rsid w:val="00A10658"/>
    <w:rsid w:val="00A11A5D"/>
    <w:rsid w:val="00A1763D"/>
    <w:rsid w:val="00A17CEC"/>
    <w:rsid w:val="00A27EF0"/>
    <w:rsid w:val="00A3163B"/>
    <w:rsid w:val="00A340E2"/>
    <w:rsid w:val="00A406A6"/>
    <w:rsid w:val="00A41CDF"/>
    <w:rsid w:val="00A42361"/>
    <w:rsid w:val="00A44517"/>
    <w:rsid w:val="00A50B20"/>
    <w:rsid w:val="00A51390"/>
    <w:rsid w:val="00A55A2E"/>
    <w:rsid w:val="00A60D13"/>
    <w:rsid w:val="00A63F7A"/>
    <w:rsid w:val="00A64979"/>
    <w:rsid w:val="00A72745"/>
    <w:rsid w:val="00A76EFC"/>
    <w:rsid w:val="00A8067D"/>
    <w:rsid w:val="00A86318"/>
    <w:rsid w:val="00A90E10"/>
    <w:rsid w:val="00A91010"/>
    <w:rsid w:val="00A928E3"/>
    <w:rsid w:val="00A96DB4"/>
    <w:rsid w:val="00A97F29"/>
    <w:rsid w:val="00AA37BA"/>
    <w:rsid w:val="00AA40D1"/>
    <w:rsid w:val="00AA702E"/>
    <w:rsid w:val="00AB0964"/>
    <w:rsid w:val="00AB1245"/>
    <w:rsid w:val="00AB2ABC"/>
    <w:rsid w:val="00AB5011"/>
    <w:rsid w:val="00AB7CC3"/>
    <w:rsid w:val="00AC52F2"/>
    <w:rsid w:val="00AC7368"/>
    <w:rsid w:val="00AD08D6"/>
    <w:rsid w:val="00AD16B9"/>
    <w:rsid w:val="00AD636B"/>
    <w:rsid w:val="00AE009E"/>
    <w:rsid w:val="00AE1E45"/>
    <w:rsid w:val="00AE1E59"/>
    <w:rsid w:val="00AE1EDE"/>
    <w:rsid w:val="00AE377D"/>
    <w:rsid w:val="00AE46A4"/>
    <w:rsid w:val="00AF0EBA"/>
    <w:rsid w:val="00B02C8A"/>
    <w:rsid w:val="00B058C6"/>
    <w:rsid w:val="00B17FBD"/>
    <w:rsid w:val="00B22067"/>
    <w:rsid w:val="00B27AFE"/>
    <w:rsid w:val="00B315A6"/>
    <w:rsid w:val="00B31813"/>
    <w:rsid w:val="00B33365"/>
    <w:rsid w:val="00B33832"/>
    <w:rsid w:val="00B33B99"/>
    <w:rsid w:val="00B371A1"/>
    <w:rsid w:val="00B4446E"/>
    <w:rsid w:val="00B447C0"/>
    <w:rsid w:val="00B471BA"/>
    <w:rsid w:val="00B509CA"/>
    <w:rsid w:val="00B57B36"/>
    <w:rsid w:val="00B57E6F"/>
    <w:rsid w:val="00B60D2F"/>
    <w:rsid w:val="00B627E8"/>
    <w:rsid w:val="00B71EDF"/>
    <w:rsid w:val="00B803B0"/>
    <w:rsid w:val="00B8686D"/>
    <w:rsid w:val="00B87F80"/>
    <w:rsid w:val="00B9257F"/>
    <w:rsid w:val="00B93F69"/>
    <w:rsid w:val="00BA0419"/>
    <w:rsid w:val="00BA072E"/>
    <w:rsid w:val="00BA1E5F"/>
    <w:rsid w:val="00BA4D46"/>
    <w:rsid w:val="00BA698E"/>
    <w:rsid w:val="00BB1DDC"/>
    <w:rsid w:val="00BB2383"/>
    <w:rsid w:val="00BB3CF1"/>
    <w:rsid w:val="00BB58FC"/>
    <w:rsid w:val="00BC30C9"/>
    <w:rsid w:val="00BD0187"/>
    <w:rsid w:val="00BD077D"/>
    <w:rsid w:val="00BD2CAF"/>
    <w:rsid w:val="00BD7C15"/>
    <w:rsid w:val="00BE09E5"/>
    <w:rsid w:val="00BE3E58"/>
    <w:rsid w:val="00BF264B"/>
    <w:rsid w:val="00C00CB3"/>
    <w:rsid w:val="00C01616"/>
    <w:rsid w:val="00C0162B"/>
    <w:rsid w:val="00C06685"/>
    <w:rsid w:val="00C068ED"/>
    <w:rsid w:val="00C1054F"/>
    <w:rsid w:val="00C22E0C"/>
    <w:rsid w:val="00C31EB8"/>
    <w:rsid w:val="00C345B1"/>
    <w:rsid w:val="00C34873"/>
    <w:rsid w:val="00C35E06"/>
    <w:rsid w:val="00C36B13"/>
    <w:rsid w:val="00C37B2B"/>
    <w:rsid w:val="00C40142"/>
    <w:rsid w:val="00C45E35"/>
    <w:rsid w:val="00C52C3C"/>
    <w:rsid w:val="00C57182"/>
    <w:rsid w:val="00C57863"/>
    <w:rsid w:val="00C6007A"/>
    <w:rsid w:val="00C60E3F"/>
    <w:rsid w:val="00C655FD"/>
    <w:rsid w:val="00C71984"/>
    <w:rsid w:val="00C75407"/>
    <w:rsid w:val="00C760D1"/>
    <w:rsid w:val="00C76E0F"/>
    <w:rsid w:val="00C76F75"/>
    <w:rsid w:val="00C813E2"/>
    <w:rsid w:val="00C84A4C"/>
    <w:rsid w:val="00C86206"/>
    <w:rsid w:val="00C870A8"/>
    <w:rsid w:val="00C9009D"/>
    <w:rsid w:val="00C928DC"/>
    <w:rsid w:val="00C94434"/>
    <w:rsid w:val="00CA0D75"/>
    <w:rsid w:val="00CA1C95"/>
    <w:rsid w:val="00CA5A9C"/>
    <w:rsid w:val="00CB72AA"/>
    <w:rsid w:val="00CC4C20"/>
    <w:rsid w:val="00CD114B"/>
    <w:rsid w:val="00CD1C5A"/>
    <w:rsid w:val="00CD1E0F"/>
    <w:rsid w:val="00CD3517"/>
    <w:rsid w:val="00CD42D5"/>
    <w:rsid w:val="00CD5FE2"/>
    <w:rsid w:val="00CE7C68"/>
    <w:rsid w:val="00D02B4C"/>
    <w:rsid w:val="00D03409"/>
    <w:rsid w:val="00D040C4"/>
    <w:rsid w:val="00D11DD2"/>
    <w:rsid w:val="00D122AD"/>
    <w:rsid w:val="00D15C50"/>
    <w:rsid w:val="00D21134"/>
    <w:rsid w:val="00D23850"/>
    <w:rsid w:val="00D30099"/>
    <w:rsid w:val="00D34D5D"/>
    <w:rsid w:val="00D36DBB"/>
    <w:rsid w:val="00D37A5D"/>
    <w:rsid w:val="00D46B7E"/>
    <w:rsid w:val="00D5407B"/>
    <w:rsid w:val="00D57C84"/>
    <w:rsid w:val="00D6057D"/>
    <w:rsid w:val="00D62841"/>
    <w:rsid w:val="00D64E9C"/>
    <w:rsid w:val="00D836C5"/>
    <w:rsid w:val="00D83923"/>
    <w:rsid w:val="00D84576"/>
    <w:rsid w:val="00D860EF"/>
    <w:rsid w:val="00D924C8"/>
    <w:rsid w:val="00DA10FC"/>
    <w:rsid w:val="00DA1399"/>
    <w:rsid w:val="00DA1615"/>
    <w:rsid w:val="00DA24C6"/>
    <w:rsid w:val="00DA4D7B"/>
    <w:rsid w:val="00DE264A"/>
    <w:rsid w:val="00DE3B5D"/>
    <w:rsid w:val="00DF5072"/>
    <w:rsid w:val="00DF7050"/>
    <w:rsid w:val="00DF7FAF"/>
    <w:rsid w:val="00E00C8F"/>
    <w:rsid w:val="00E02D18"/>
    <w:rsid w:val="00E041E7"/>
    <w:rsid w:val="00E10311"/>
    <w:rsid w:val="00E16CDD"/>
    <w:rsid w:val="00E22A0A"/>
    <w:rsid w:val="00E23CA1"/>
    <w:rsid w:val="00E24649"/>
    <w:rsid w:val="00E409A8"/>
    <w:rsid w:val="00E41740"/>
    <w:rsid w:val="00E4277C"/>
    <w:rsid w:val="00E463BE"/>
    <w:rsid w:val="00E46873"/>
    <w:rsid w:val="00E50355"/>
    <w:rsid w:val="00E50C12"/>
    <w:rsid w:val="00E65B91"/>
    <w:rsid w:val="00E71A2A"/>
    <w:rsid w:val="00E7209D"/>
    <w:rsid w:val="00E72EAD"/>
    <w:rsid w:val="00E77223"/>
    <w:rsid w:val="00E8002B"/>
    <w:rsid w:val="00E8068B"/>
    <w:rsid w:val="00E8171B"/>
    <w:rsid w:val="00E844DB"/>
    <w:rsid w:val="00E8528B"/>
    <w:rsid w:val="00E85B94"/>
    <w:rsid w:val="00E86072"/>
    <w:rsid w:val="00E9054A"/>
    <w:rsid w:val="00E90A12"/>
    <w:rsid w:val="00E91533"/>
    <w:rsid w:val="00E97481"/>
    <w:rsid w:val="00E978D0"/>
    <w:rsid w:val="00EA2F2B"/>
    <w:rsid w:val="00EA4613"/>
    <w:rsid w:val="00EA7F91"/>
    <w:rsid w:val="00EB1523"/>
    <w:rsid w:val="00EC0E49"/>
    <w:rsid w:val="00EC101F"/>
    <w:rsid w:val="00EC1D9F"/>
    <w:rsid w:val="00EC53DC"/>
    <w:rsid w:val="00EC6135"/>
    <w:rsid w:val="00ED2E6B"/>
    <w:rsid w:val="00ED516A"/>
    <w:rsid w:val="00ED6102"/>
    <w:rsid w:val="00EE0131"/>
    <w:rsid w:val="00EE17B0"/>
    <w:rsid w:val="00EE25DC"/>
    <w:rsid w:val="00EE5A1F"/>
    <w:rsid w:val="00EF06D9"/>
    <w:rsid w:val="00EF2FCA"/>
    <w:rsid w:val="00F12763"/>
    <w:rsid w:val="00F12FF7"/>
    <w:rsid w:val="00F213F5"/>
    <w:rsid w:val="00F21EE8"/>
    <w:rsid w:val="00F2371F"/>
    <w:rsid w:val="00F24926"/>
    <w:rsid w:val="00F25E1D"/>
    <w:rsid w:val="00F2749E"/>
    <w:rsid w:val="00F30C64"/>
    <w:rsid w:val="00F32BA2"/>
    <w:rsid w:val="00F32CDB"/>
    <w:rsid w:val="00F36A06"/>
    <w:rsid w:val="00F473E3"/>
    <w:rsid w:val="00F565FE"/>
    <w:rsid w:val="00F61AAF"/>
    <w:rsid w:val="00F63A70"/>
    <w:rsid w:val="00F72CA0"/>
    <w:rsid w:val="00F7534E"/>
    <w:rsid w:val="00F810ED"/>
    <w:rsid w:val="00F923C9"/>
    <w:rsid w:val="00FA21D0"/>
    <w:rsid w:val="00FA5F5F"/>
    <w:rsid w:val="00FA781B"/>
    <w:rsid w:val="00FB41AC"/>
    <w:rsid w:val="00FB7130"/>
    <w:rsid w:val="00FB730C"/>
    <w:rsid w:val="00FC2695"/>
    <w:rsid w:val="00FC3E03"/>
    <w:rsid w:val="00FC3FC1"/>
    <w:rsid w:val="00FC5D49"/>
    <w:rsid w:val="00FC7106"/>
    <w:rsid w:val="00FD20C1"/>
    <w:rsid w:val="00FD58E7"/>
    <w:rsid w:val="00FE2F4F"/>
    <w:rsid w:val="00FF3808"/>
    <w:rsid w:val="00FF48C6"/>
    <w:rsid w:val="00FF5816"/>
    <w:rsid w:val="0FE7D6D6"/>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E0CC22"/>
  <w14:defaultImageDpi w14:val="330"/>
  <w15:docId w15:val="{3771B751-F30E-48CF-89E7-198F38179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styleId="Menzionenonrisolta">
    <w:name w:val="Unresolved Mention"/>
    <w:basedOn w:val="Carpredefinitoparagrafo"/>
    <w:uiPriority w:val="99"/>
    <w:semiHidden/>
    <w:unhideWhenUsed/>
    <w:rsid w:val="002333F5"/>
    <w:rPr>
      <w:color w:val="605E5C"/>
      <w:shd w:val="clear" w:color="auto" w:fill="E1DFDD"/>
    </w:rPr>
  </w:style>
  <w:style w:type="character" w:styleId="Rimandonotaapidipagina">
    <w:name w:val="footnote reference"/>
    <w:basedOn w:val="Carpredefinitoparagrafo"/>
    <w:uiPriority w:val="99"/>
    <w:semiHidden/>
    <w:unhideWhenUsed/>
    <w:rsid w:val="00C928DC"/>
    <w:rPr>
      <w:vertAlign w:val="superscript"/>
    </w:rPr>
  </w:style>
  <w:style w:type="paragraph" w:styleId="Revisione">
    <w:name w:val="Revision"/>
    <w:hidden/>
    <w:uiPriority w:val="99"/>
    <w:semiHidden/>
    <w:rsid w:val="00C60E3F"/>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0369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4442525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paolo.mocellin@unipd.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3578</Words>
  <Characters>46153</Characters>
  <Application>Microsoft Office Word</Application>
  <DocSecurity>0</DocSecurity>
  <Lines>384</Lines>
  <Paragraphs>99</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49632</CharactersWithSpaces>
  <SharedDoc>false</SharedDoc>
  <HLinks>
    <vt:vector size="6" baseType="variant">
      <vt:variant>
        <vt:i4>1900656</vt:i4>
      </vt:variant>
      <vt:variant>
        <vt:i4>0</vt:i4>
      </vt:variant>
      <vt:variant>
        <vt:i4>0</vt:i4>
      </vt:variant>
      <vt:variant>
        <vt:i4>5</vt:i4>
      </vt:variant>
      <vt:variant>
        <vt:lpwstr>mailto:paolo.mocellin@unipd.it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cp:lastModifiedBy>Paolo M</cp:lastModifiedBy>
  <cp:revision>4</cp:revision>
  <cp:lastPrinted>2015-05-13T03:31:00Z</cp:lastPrinted>
  <dcterms:created xsi:type="dcterms:W3CDTF">2024-07-30T13:46:00Z</dcterms:created>
  <dcterms:modified xsi:type="dcterms:W3CDTF">2024-07-30T13:51:00Z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215cafec-7f51-3faf-8a12-a604d1052db5</vt:lpwstr>
  </property>
  <property fmtid="{D5CDD505-2E9C-101B-9397-08002B2CF9AE}" pid="6" name="Mendeley Citation Style_1">
    <vt:lpwstr>http://www.zotero.org/styles/chemical-engineering-research-and-design</vt:lpwstr>
  </property>
  <property fmtid="{D5CDD505-2E9C-101B-9397-08002B2CF9AE}" pid="7" name="Mendeley Recent Style Id 0_1">
    <vt:lpwstr>http://www.zotero.org/styles/chemical-engineering-technology</vt:lpwstr>
  </property>
  <property fmtid="{D5CDD505-2E9C-101B-9397-08002B2CF9AE}" pid="8" name="Mendeley Recent Style Name 0_1">
    <vt:lpwstr>Chemical Engineering &amp; Technology</vt:lpwstr>
  </property>
  <property fmtid="{D5CDD505-2E9C-101B-9397-08002B2CF9AE}" pid="9" name="Mendeley Recent Style Id 1_1">
    <vt:lpwstr>http://www.zotero.org/styles/chemical-engineering-journal</vt:lpwstr>
  </property>
  <property fmtid="{D5CDD505-2E9C-101B-9397-08002B2CF9AE}" pid="10" name="Mendeley Recent Style Name 1_1">
    <vt:lpwstr>Chemical Engineering Journal</vt:lpwstr>
  </property>
  <property fmtid="{D5CDD505-2E9C-101B-9397-08002B2CF9AE}" pid="11" name="Mendeley Recent Style Id 2_1">
    <vt:lpwstr>http://www.zotero.org/styles/chemical-engineering-research-and-design</vt:lpwstr>
  </property>
  <property fmtid="{D5CDD505-2E9C-101B-9397-08002B2CF9AE}" pid="12" name="Mendeley Recent Style Name 2_1">
    <vt:lpwstr>Chemical Engineering Research and Design</vt:lpwstr>
  </property>
  <property fmtid="{D5CDD505-2E9C-101B-9397-08002B2CF9AE}" pid="13" name="Mendeley Recent Style Id 3_1">
    <vt:lpwstr>http://www.zotero.org/styles/chicago-author-date</vt:lpwstr>
  </property>
  <property fmtid="{D5CDD505-2E9C-101B-9397-08002B2CF9AE}" pid="14" name="Mendeley Recent Style Name 3_1">
    <vt:lpwstr>Chicago Manual of Style 17th edition (author-date)</vt:lpwstr>
  </property>
  <property fmtid="{D5CDD505-2E9C-101B-9397-08002B2CF9AE}" pid="15" name="Mendeley Recent Style Id 4_1">
    <vt:lpwstr>http://www.zotero.org/styles/harvard-cite-them-right</vt:lpwstr>
  </property>
  <property fmtid="{D5CDD505-2E9C-101B-9397-08002B2CF9AE}" pid="16" name="Mendeley Recent Style Name 4_1">
    <vt:lpwstr>Cite Them Right 10th edition - Harvard</vt:lpwstr>
  </property>
  <property fmtid="{D5CDD505-2E9C-101B-9397-08002B2CF9AE}" pid="17" name="Mendeley Recent Style Id 5_1">
    <vt:lpwstr>http://www.zotero.org/styles/electrochimica-acta</vt:lpwstr>
  </property>
  <property fmtid="{D5CDD505-2E9C-101B-9397-08002B2CF9AE}" pid="18" name="Mendeley Recent Style Name 5_1">
    <vt:lpwstr>Electrochimica Acta</vt:lpwstr>
  </property>
  <property fmtid="{D5CDD505-2E9C-101B-9397-08002B2CF9AE}" pid="19" name="Mendeley Recent Style Id 6_1">
    <vt:lpwstr>http://www.zotero.org/styles/ieee</vt:lpwstr>
  </property>
  <property fmtid="{D5CDD505-2E9C-101B-9397-08002B2CF9AE}" pid="20" name="Mendeley Recent Style Name 6_1">
    <vt:lpwstr>IEEE</vt:lpwstr>
  </property>
  <property fmtid="{D5CDD505-2E9C-101B-9397-08002B2CF9AE}" pid="21" name="Mendeley Recent Style Id 7_1">
    <vt:lpwstr>http://www.zotero.org/styles/modern-humanities-research-association</vt:lpwstr>
  </property>
  <property fmtid="{D5CDD505-2E9C-101B-9397-08002B2CF9AE}" pid="22" name="Mendeley Recent Style Name 7_1">
    <vt:lpwstr>Modern Humanities Research Association 3rd edition (note with bibliography)</vt:lpwstr>
  </property>
  <property fmtid="{D5CDD505-2E9C-101B-9397-08002B2CF9AE}" pid="23" name="Mendeley Recent Style Id 8_1">
    <vt:lpwstr>http://www.zotero.org/styles/modern-language-association</vt:lpwstr>
  </property>
  <property fmtid="{D5CDD505-2E9C-101B-9397-08002B2CF9AE}" pid="24" name="Mendeley Recent Style Name 8_1">
    <vt:lpwstr>Modern Language Association 8th edition</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y fmtid="{D5CDD505-2E9C-101B-9397-08002B2CF9AE}" pid="27" name="GrammarlyDocumentId">
    <vt:lpwstr>0b336d703810c3d05de8c2b89f9159c5feb160d145621b4e59bb9e096da67f80</vt:lpwstr>
  </property>
</Properties>
</file>