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3B25C9">
          <w:type w:val="continuous"/>
          <w:pgSz w:w="11906" w:h="16838" w:code="9"/>
          <w:pgMar w:top="1701" w:right="1418" w:bottom="1701" w:left="1701" w:header="1701" w:footer="0" w:gutter="0"/>
          <w:cols w:space="708"/>
          <w:titlePg/>
          <w:docGrid w:linePitch="360"/>
        </w:sectPr>
      </w:pPr>
    </w:p>
    <w:p w14:paraId="2E667253" w14:textId="1B2BA513" w:rsidR="00E978D0" w:rsidRPr="00DD177B" w:rsidRDefault="00047E7B" w:rsidP="00DD177B">
      <w:pPr>
        <w:pStyle w:val="CETTitle"/>
      </w:pPr>
      <w:r>
        <w:t>Assessing Wet Scrubbing as Final Additional Stage for Dry Waste-to-Energy Flue Gas Treatment Lines</w:t>
      </w:r>
    </w:p>
    <w:p w14:paraId="0488FED2" w14:textId="62D01E3B" w:rsidR="00B57E6F" w:rsidRPr="00BE66C3" w:rsidRDefault="00BE66C3" w:rsidP="00B57E6F">
      <w:pPr>
        <w:pStyle w:val="CETAuthors"/>
        <w:rPr>
          <w:lang w:val="it-IT"/>
        </w:rPr>
      </w:pPr>
      <w:r w:rsidRPr="00BE66C3">
        <w:rPr>
          <w:lang w:val="it-IT"/>
        </w:rPr>
        <w:t>Carmela Chianese, Alessandro Dal Pozzo</w:t>
      </w:r>
      <w:r w:rsidR="00D65216">
        <w:rPr>
          <w:lang w:val="it-IT"/>
        </w:rPr>
        <w:t>*</w:t>
      </w:r>
      <w:r w:rsidRPr="00BE66C3">
        <w:rPr>
          <w:lang w:val="it-IT"/>
        </w:rPr>
        <w:t>, Va</w:t>
      </w:r>
      <w:r>
        <w:rPr>
          <w:lang w:val="it-IT"/>
        </w:rPr>
        <w:t>lerio Cozzani</w:t>
      </w:r>
    </w:p>
    <w:p w14:paraId="3FAD3D63" w14:textId="77777777" w:rsidR="003A2565" w:rsidRPr="007E3950" w:rsidRDefault="003A2565" w:rsidP="003A2565">
      <w:pPr>
        <w:pStyle w:val="CETAddress"/>
        <w:jc w:val="both"/>
        <w:rPr>
          <w:lang w:val="it-IT"/>
        </w:rPr>
      </w:pPr>
      <w:r>
        <w:rPr>
          <w:lang w:val="it-IT"/>
        </w:rPr>
        <w:t>Laboratory of Industrial Safety and Environmental Sustainability (LISES),</w:t>
      </w:r>
      <w:r w:rsidRPr="007E3950">
        <w:rPr>
          <w:lang w:val="it-IT"/>
        </w:rPr>
        <w:t xml:space="preserve"> Alma Mater Studiorum - Università di Bologna, via Terracini n.28, 40131 Bologna, Italy </w:t>
      </w:r>
    </w:p>
    <w:p w14:paraId="7418C29F" w14:textId="6FCAFC2D" w:rsidR="003A2565" w:rsidRDefault="00E22AD9" w:rsidP="003A2565">
      <w:pPr>
        <w:pStyle w:val="CETemail"/>
        <w:jc w:val="both"/>
        <w:rPr>
          <w:lang w:val="it-IT"/>
        </w:rPr>
      </w:pPr>
      <w:r>
        <w:rPr>
          <w:lang w:val="it-IT"/>
        </w:rPr>
        <w:t>a.dalpozzo@unibo.it</w:t>
      </w:r>
    </w:p>
    <w:p w14:paraId="361996CC" w14:textId="77777777" w:rsidR="00C25C6F" w:rsidRDefault="00C25C6F" w:rsidP="00C25C6F">
      <w:pPr>
        <w:pStyle w:val="CETBodytext"/>
      </w:pPr>
      <w:r>
        <w:t>The conclusions on the best available techniques for waste incineration implemented in Europe by EU Decision 2019/2010 introduce ambitious targets for emission control. Provisions such as higher removal efficiency requirements for HCl and SO</w:t>
      </w:r>
      <w:r w:rsidRPr="008148F8">
        <w:rPr>
          <w:vertAlign w:val="subscript"/>
        </w:rPr>
        <w:t>2</w:t>
      </w:r>
      <w:r>
        <w:t xml:space="preserve"> and the continuous measurement of Hg emissions can induce operators of existing waste-to-energy plants to contemplate a revamping of their flue gas cleaning lines to wet treatment, a guarantee of high abatement performance for both acid gases and micropollutants. However, wet treatment is associated with high investment costs and a relevant energy penalty related to the management of temperatures along the flue gas cleaning line, especially in the presence of tail-end </w:t>
      </w:r>
      <w:proofErr w:type="spellStart"/>
      <w:r>
        <w:t>deNO</w:t>
      </w:r>
      <w:r w:rsidRPr="00145729">
        <w:rPr>
          <w:vertAlign w:val="subscript"/>
        </w:rPr>
        <w:t>X</w:t>
      </w:r>
      <w:proofErr w:type="spellEnd"/>
      <w:r>
        <w:t xml:space="preserve"> treatments.</w:t>
      </w:r>
    </w:p>
    <w:p w14:paraId="0EBAD80B" w14:textId="77777777" w:rsidR="00C25C6F" w:rsidRPr="0099279B" w:rsidRDefault="00C25C6F" w:rsidP="00176FAD">
      <w:pPr>
        <w:pStyle w:val="CETBodytext"/>
      </w:pPr>
      <w:r w:rsidRPr="0099279B">
        <w:t xml:space="preserve">The present </w:t>
      </w:r>
      <w:r>
        <w:t>study</w:t>
      </w:r>
      <w:r w:rsidRPr="0099279B">
        <w:t xml:space="preserve"> examines</w:t>
      </w:r>
      <w:r>
        <w:t xml:space="preserve"> a possible alternative, represented by</w:t>
      </w:r>
      <w:r w:rsidRPr="0099279B">
        <w:t xml:space="preserve"> the integration of a wet scrubbing system as a final flue gas </w:t>
      </w:r>
      <w:r>
        <w:t>treatment</w:t>
      </w:r>
      <w:r w:rsidRPr="0099279B">
        <w:t xml:space="preserve"> downstream of an existing </w:t>
      </w:r>
      <w:r>
        <w:t>dry acid gas removal system</w:t>
      </w:r>
      <w:r w:rsidRPr="0099279B">
        <w:t xml:space="preserve">. An economic and environmental analysis </w:t>
      </w:r>
      <w:r>
        <w:t>i</w:t>
      </w:r>
      <w:r w:rsidRPr="0099279B">
        <w:t xml:space="preserve">s performed in order to assess the potential benefit conferred by the </w:t>
      </w:r>
      <w:r>
        <w:t>retrofit</w:t>
      </w:r>
      <w:r w:rsidRPr="0099279B">
        <w:t xml:space="preserve">. Noteworthy reductions in operational costs, diminished consumption of reactants, and a concurrent decrease in waste generation </w:t>
      </w:r>
      <w:r>
        <w:t>are observed, depending on the SO</w:t>
      </w:r>
      <w:r w:rsidRPr="00CC3C54">
        <w:rPr>
          <w:vertAlign w:val="subscript"/>
        </w:rPr>
        <w:t>2</w:t>
      </w:r>
      <w:r>
        <w:t xml:space="preserve"> load in the flue gas and the compatibility constraints with </w:t>
      </w:r>
      <w:proofErr w:type="spellStart"/>
      <w:r>
        <w:t>deNO</w:t>
      </w:r>
      <w:r w:rsidRPr="00145729">
        <w:rPr>
          <w:vertAlign w:val="subscript"/>
        </w:rPr>
        <w:t>X</w:t>
      </w:r>
      <w:proofErr w:type="spellEnd"/>
      <w:r>
        <w:t xml:space="preserve"> operation in the selective catalytic reduction reactor. </w:t>
      </w:r>
    </w:p>
    <w:p w14:paraId="476B2F2E" w14:textId="77777777" w:rsidR="00600535" w:rsidRPr="00B57B36" w:rsidRDefault="00600535" w:rsidP="00600535">
      <w:pPr>
        <w:pStyle w:val="CETHeading1"/>
        <w:rPr>
          <w:lang w:val="en-GB"/>
        </w:rPr>
      </w:pPr>
      <w:r w:rsidRPr="00B57B36">
        <w:rPr>
          <w:lang w:val="en-GB"/>
        </w:rPr>
        <w:t>Introduction</w:t>
      </w:r>
    </w:p>
    <w:p w14:paraId="01197CF2" w14:textId="0A6EE528" w:rsidR="00C44AC5" w:rsidRDefault="00C44AC5" w:rsidP="00C44AC5">
      <w:pPr>
        <w:pStyle w:val="CETBodytext"/>
        <w:rPr>
          <w:lang w:val="en-GB"/>
        </w:rPr>
      </w:pPr>
      <w:bookmarkStart w:id="0" w:name="_Hlk158911465"/>
      <w:r w:rsidRPr="003D0DCA">
        <w:rPr>
          <w:lang w:val="en-GB"/>
        </w:rPr>
        <w:t xml:space="preserve">The recent </w:t>
      </w:r>
      <w:r>
        <w:rPr>
          <w:lang w:val="en-GB"/>
        </w:rPr>
        <w:t>publication of the updated</w:t>
      </w:r>
      <w:r w:rsidRPr="003D0DCA">
        <w:rPr>
          <w:lang w:val="en-GB"/>
        </w:rPr>
        <w:t xml:space="preserve"> European reference document on the Best Available Techniques</w:t>
      </w:r>
      <w:r>
        <w:rPr>
          <w:lang w:val="en-GB"/>
        </w:rPr>
        <w:t xml:space="preserve"> (BAT)</w:t>
      </w:r>
      <w:r w:rsidRPr="003D0DCA">
        <w:rPr>
          <w:lang w:val="en-GB"/>
        </w:rPr>
        <w:t xml:space="preserve"> for waste incineration</w:t>
      </w:r>
      <w:r>
        <w:rPr>
          <w:lang w:val="en-GB"/>
        </w:rPr>
        <w:t xml:space="preserve"> (BREF WI, </w:t>
      </w:r>
      <w:proofErr w:type="spellStart"/>
      <w:r>
        <w:rPr>
          <w:lang w:val="en-GB"/>
        </w:rPr>
        <w:t>Neuwahl</w:t>
      </w:r>
      <w:proofErr w:type="spellEnd"/>
      <w:r>
        <w:rPr>
          <w:lang w:val="en-GB"/>
        </w:rPr>
        <w:t xml:space="preserve"> et al., 2019)</w:t>
      </w:r>
      <w:r w:rsidRPr="003D0DCA">
        <w:rPr>
          <w:lang w:val="en-GB"/>
        </w:rPr>
        <w:t xml:space="preserve"> has set ambitious</w:t>
      </w:r>
      <w:r>
        <w:rPr>
          <w:lang w:val="en-GB"/>
        </w:rPr>
        <w:t xml:space="preserve"> and stringent</w:t>
      </w:r>
      <w:r w:rsidRPr="003D0DCA">
        <w:rPr>
          <w:lang w:val="en-GB"/>
        </w:rPr>
        <w:t xml:space="preserve"> targets for </w:t>
      </w:r>
      <w:r>
        <w:rPr>
          <w:lang w:val="en-GB"/>
        </w:rPr>
        <w:t>mitigating</w:t>
      </w:r>
      <w:r w:rsidRPr="003D0DCA">
        <w:rPr>
          <w:lang w:val="en-GB"/>
        </w:rPr>
        <w:t xml:space="preserve"> </w:t>
      </w:r>
      <w:r>
        <w:rPr>
          <w:lang w:val="en-GB"/>
        </w:rPr>
        <w:t xml:space="preserve">the emissions of </w:t>
      </w:r>
      <w:r w:rsidRPr="003D0DCA">
        <w:rPr>
          <w:lang w:val="en-GB"/>
        </w:rPr>
        <w:t>waste combustion pollutants</w:t>
      </w:r>
      <w:r>
        <w:rPr>
          <w:lang w:val="en-GB"/>
        </w:rPr>
        <w:t xml:space="preserve"> (Ardolino et al., 2020</w:t>
      </w:r>
      <w:r w:rsidR="00357E08">
        <w:rPr>
          <w:lang w:val="en-GB"/>
        </w:rPr>
        <w:t xml:space="preserve">; Van </w:t>
      </w:r>
      <w:proofErr w:type="spellStart"/>
      <w:r w:rsidR="00357E08">
        <w:rPr>
          <w:lang w:val="en-GB"/>
        </w:rPr>
        <w:t>Caneghem</w:t>
      </w:r>
      <w:proofErr w:type="spellEnd"/>
      <w:r w:rsidR="00357E08">
        <w:rPr>
          <w:lang w:val="en-GB"/>
        </w:rPr>
        <w:t xml:space="preserve"> et al., 2019</w:t>
      </w:r>
      <w:r>
        <w:rPr>
          <w:lang w:val="en-GB"/>
        </w:rPr>
        <w:t>)</w:t>
      </w:r>
      <w:r w:rsidRPr="003D0DCA">
        <w:rPr>
          <w:lang w:val="en-GB"/>
        </w:rPr>
        <w:t xml:space="preserve">, </w:t>
      </w:r>
      <w:r w:rsidRPr="007A0E6C">
        <w:rPr>
          <w:lang w:val="en-GB"/>
        </w:rPr>
        <w:t>particularly</w:t>
      </w:r>
      <w:r w:rsidR="00FD1C2E">
        <w:rPr>
          <w:lang w:val="en-GB"/>
        </w:rPr>
        <w:t xml:space="preserve"> for</w:t>
      </w:r>
      <w:r w:rsidRPr="007A0E6C">
        <w:rPr>
          <w:lang w:val="en-GB"/>
        </w:rPr>
        <w:t xml:space="preserve"> acid gases like hydrogen chloride</w:t>
      </w:r>
      <w:r>
        <w:rPr>
          <w:lang w:val="en-GB"/>
        </w:rPr>
        <w:t xml:space="preserve"> (HCl)</w:t>
      </w:r>
      <w:r w:rsidRPr="007A0E6C">
        <w:rPr>
          <w:lang w:val="en-GB"/>
        </w:rPr>
        <w:t xml:space="preserve"> and </w:t>
      </w:r>
      <w:proofErr w:type="spellStart"/>
      <w:r w:rsidRPr="007A0E6C">
        <w:rPr>
          <w:lang w:val="en-GB"/>
        </w:rPr>
        <w:t>sulfur</w:t>
      </w:r>
      <w:proofErr w:type="spellEnd"/>
      <w:r w:rsidRPr="007A0E6C">
        <w:rPr>
          <w:lang w:val="en-GB"/>
        </w:rPr>
        <w:t xml:space="preserve"> dioxide</w:t>
      </w:r>
      <w:r>
        <w:rPr>
          <w:lang w:val="en-GB"/>
        </w:rPr>
        <w:t xml:space="preserve"> (SO</w:t>
      </w:r>
      <w:r w:rsidRPr="002B3CDA">
        <w:rPr>
          <w:vertAlign w:val="subscript"/>
          <w:lang w:val="en-GB"/>
        </w:rPr>
        <w:t>2</w:t>
      </w:r>
      <w:r>
        <w:rPr>
          <w:lang w:val="en-GB"/>
        </w:rPr>
        <w:t>)</w:t>
      </w:r>
      <w:r w:rsidR="00492C70">
        <w:rPr>
          <w:lang w:val="en-GB"/>
        </w:rPr>
        <w:t xml:space="preserve"> that are typical of waste combustion (</w:t>
      </w:r>
      <w:r w:rsidR="005E7CFB">
        <w:rPr>
          <w:lang w:val="en-GB"/>
        </w:rPr>
        <w:t>Cao</w:t>
      </w:r>
      <w:r w:rsidR="00492C70">
        <w:rPr>
          <w:lang w:val="en-GB"/>
        </w:rPr>
        <w:t xml:space="preserve"> et al., 2024)</w:t>
      </w:r>
      <w:r>
        <w:rPr>
          <w:lang w:val="en-GB"/>
        </w:rPr>
        <w:t xml:space="preserve">. </w:t>
      </w:r>
      <w:r w:rsidRPr="009F4C65">
        <w:rPr>
          <w:lang w:val="en-GB"/>
        </w:rPr>
        <w:t xml:space="preserve">To ensure compliance with </w:t>
      </w:r>
      <w:r>
        <w:rPr>
          <w:lang w:val="en-GB"/>
        </w:rPr>
        <w:t xml:space="preserve">such </w:t>
      </w:r>
      <w:r w:rsidRPr="009F4C65">
        <w:rPr>
          <w:lang w:val="en-GB"/>
        </w:rPr>
        <w:t>targets and secure the renewal of environmental permits, existing waste-to-energy (</w:t>
      </w:r>
      <w:proofErr w:type="spellStart"/>
      <w:r w:rsidRPr="009F4C65">
        <w:rPr>
          <w:lang w:val="en-GB"/>
        </w:rPr>
        <w:t>WtE</w:t>
      </w:r>
      <w:proofErr w:type="spellEnd"/>
      <w:r w:rsidRPr="009F4C65">
        <w:rPr>
          <w:lang w:val="en-GB"/>
        </w:rPr>
        <w:t>) plants</w:t>
      </w:r>
      <w:r>
        <w:rPr>
          <w:lang w:val="en-GB"/>
        </w:rPr>
        <w:t xml:space="preserve"> might seek retrofitting of their flue gas treatment (FGT) systems (</w:t>
      </w:r>
      <w:r w:rsidR="0015440E">
        <w:rPr>
          <w:lang w:val="en-GB"/>
        </w:rPr>
        <w:t>Schiavon et al., 2024</w:t>
      </w:r>
      <w:r>
        <w:rPr>
          <w:lang w:val="en-GB"/>
        </w:rPr>
        <w:t>). A survey by Dal Pozzo et al. (201</w:t>
      </w:r>
      <w:r w:rsidR="00A55861">
        <w:rPr>
          <w:lang w:val="en-GB"/>
        </w:rPr>
        <w:t>8</w:t>
      </w:r>
      <w:r>
        <w:rPr>
          <w:lang w:val="en-GB"/>
        </w:rPr>
        <w:t xml:space="preserve">) highlighted that in recent years most of the retrofit and new build projects in </w:t>
      </w:r>
      <w:proofErr w:type="spellStart"/>
      <w:r>
        <w:rPr>
          <w:lang w:val="en-GB"/>
        </w:rPr>
        <w:t>WtE</w:t>
      </w:r>
      <w:proofErr w:type="spellEnd"/>
      <w:r>
        <w:rPr>
          <w:lang w:val="en-GB"/>
        </w:rPr>
        <w:t xml:space="preserve"> flue gas cleaning were based on dry treatment. Dry injection of powdered sorbents enables acid gas removal with lower investment costs and layout complexity compared to wet treatment systems based on scrubbing (Quicker et al., 2014). In addition, the introduction of multi-stage configurations has shown the possibility of significantly reducing operating costs and indirect environmental impacts of dry systems (Dal Pozzo et al., 201</w:t>
      </w:r>
      <w:r w:rsidR="00A55861">
        <w:rPr>
          <w:lang w:val="en-GB"/>
        </w:rPr>
        <w:t>8</w:t>
      </w:r>
      <w:r>
        <w:rPr>
          <w:lang w:val="en-GB"/>
        </w:rPr>
        <w:t>).</w:t>
      </w:r>
      <w:r w:rsidR="00E770B7">
        <w:rPr>
          <w:lang w:val="en-GB"/>
        </w:rPr>
        <w:t xml:space="preserve"> </w:t>
      </w:r>
      <w:r>
        <w:rPr>
          <w:lang w:val="en-GB"/>
        </w:rPr>
        <w:t>However, dry systems remain limited by the lower efficiency of gas-solid vs. gas-liquid reaction processes (Chin et al., 2005). If current HCl and SO</w:t>
      </w:r>
      <w:r w:rsidRPr="00152DA6">
        <w:rPr>
          <w:vertAlign w:val="subscript"/>
          <w:lang w:val="en-GB"/>
        </w:rPr>
        <w:t>2</w:t>
      </w:r>
      <w:r>
        <w:rPr>
          <w:lang w:val="en-GB"/>
        </w:rPr>
        <w:t xml:space="preserve"> emission limit values (ELVs) were to be significantly reduced, Dal Pozzo et al. (2023</w:t>
      </w:r>
      <w:r w:rsidR="00E97AE8">
        <w:rPr>
          <w:lang w:val="en-GB"/>
        </w:rPr>
        <w:t>a</w:t>
      </w:r>
      <w:r>
        <w:rPr>
          <w:lang w:val="en-GB"/>
        </w:rPr>
        <w:t xml:space="preserve">) showed that existing dry FGT lines would suffer a disproportionately high increase in operating costs compared to wet systems. </w:t>
      </w:r>
      <w:r w:rsidRPr="00A11E46">
        <w:rPr>
          <w:lang w:val="en-GB"/>
        </w:rPr>
        <w:t>In addition</w:t>
      </w:r>
      <w:r>
        <w:rPr>
          <w:lang w:val="en-GB"/>
        </w:rPr>
        <w:t>, as per recent BAT guidelines (</w:t>
      </w:r>
      <w:proofErr w:type="spellStart"/>
      <w:r>
        <w:rPr>
          <w:lang w:val="en-GB"/>
        </w:rPr>
        <w:t>Neuwahl</w:t>
      </w:r>
      <w:proofErr w:type="spellEnd"/>
      <w:r>
        <w:rPr>
          <w:lang w:val="en-GB"/>
        </w:rPr>
        <w:t xml:space="preserve"> et al., 2019), </w:t>
      </w:r>
      <w:proofErr w:type="spellStart"/>
      <w:r>
        <w:rPr>
          <w:lang w:val="en-GB"/>
        </w:rPr>
        <w:t>WtE</w:t>
      </w:r>
      <w:proofErr w:type="spellEnd"/>
      <w:r>
        <w:rPr>
          <w:lang w:val="en-GB"/>
        </w:rPr>
        <w:t xml:space="preserve"> plants must start continuous emission monitoring for the trace pollutant mercury (Hg). While Hg concentrations are typically low, its release from waste incineration is strongly affected by the variability of the feedstock (Romero et al., 2020) and fluctuates significantly over time (</w:t>
      </w:r>
      <w:proofErr w:type="spellStart"/>
      <w:r>
        <w:rPr>
          <w:lang w:val="en-GB"/>
        </w:rPr>
        <w:t>Rumayor</w:t>
      </w:r>
      <w:proofErr w:type="spellEnd"/>
      <w:r>
        <w:rPr>
          <w:lang w:val="en-GB"/>
        </w:rPr>
        <w:t xml:space="preserve"> et al., 2018). Wet treatment provides an inherent buffer to counter Hg spikes, compared to the costly injection of activated carbon in dry FGT. Therefore, a reversal of the market trend seen in the last 10-15 years might be expected, with a renewed interest in wet scrubbing. On the other hand, the complete revamping of an existing dry FGT line to a wet treatment system presents a relevant drawback. If post-treatment flue gas reheating is required, e.g., to prevent the occurrence of a visible plume at the stack, or </w:t>
      </w:r>
      <w:r>
        <w:rPr>
          <w:lang w:val="en-GB"/>
        </w:rPr>
        <w:lastRenderedPageBreak/>
        <w:t>because the existing line includes a tail-end selective catalytic reactor (SCR) for ultra-low NO</w:t>
      </w:r>
      <w:r>
        <w:rPr>
          <w:vertAlign w:val="subscript"/>
          <w:lang w:val="en-GB"/>
        </w:rPr>
        <w:t>X</w:t>
      </w:r>
      <w:r>
        <w:rPr>
          <w:lang w:val="en-GB"/>
        </w:rPr>
        <w:t xml:space="preserve"> emissions, the</w:t>
      </w:r>
      <w:r w:rsidR="00E770B7">
        <w:rPr>
          <w:lang w:val="en-GB"/>
        </w:rPr>
        <w:t xml:space="preserve"> </w:t>
      </w:r>
      <w:r>
        <w:rPr>
          <w:lang w:val="en-GB"/>
        </w:rPr>
        <w:t>associated energy penalty more than offsets any cost savings related to lower consumption of reactant in the switch from dry to wet acid gas removal (Dal Pozzo et al., 2023</w:t>
      </w:r>
      <w:r w:rsidR="00320291">
        <w:rPr>
          <w:lang w:val="en-GB"/>
        </w:rPr>
        <w:t>b</w:t>
      </w:r>
      <w:r>
        <w:rPr>
          <w:lang w:val="en-GB"/>
        </w:rPr>
        <w:t xml:space="preserve">; Dong et al., 2020). </w:t>
      </w:r>
    </w:p>
    <w:p w14:paraId="49DB12FA" w14:textId="7E4F2FE5" w:rsidR="00C44AC5" w:rsidRDefault="00C44AC5" w:rsidP="00C44AC5">
      <w:pPr>
        <w:pStyle w:val="CETBodytext"/>
        <w:rPr>
          <w:lang w:val="en-GB"/>
        </w:rPr>
      </w:pPr>
      <w:r>
        <w:rPr>
          <w:lang w:val="en-GB"/>
        </w:rPr>
        <w:t xml:space="preserve">The present work examines an alternative solution that is potentially advantageous compared to a full revamping, i.e., </w:t>
      </w:r>
      <w:r w:rsidRPr="003D0DCA">
        <w:rPr>
          <w:lang w:val="en-GB"/>
        </w:rPr>
        <w:t xml:space="preserve">the </w:t>
      </w:r>
      <w:r>
        <w:rPr>
          <w:lang w:val="en-GB"/>
        </w:rPr>
        <w:t>integration</w:t>
      </w:r>
      <w:r w:rsidRPr="003D0DCA">
        <w:rPr>
          <w:lang w:val="en-GB"/>
        </w:rPr>
        <w:t xml:space="preserve"> of a wet scrubbing system as a final flue gas polishing treatment downstream of an existing</w:t>
      </w:r>
      <w:r>
        <w:rPr>
          <w:lang w:val="en-GB"/>
        </w:rPr>
        <w:t xml:space="preserve"> dry</w:t>
      </w:r>
      <w:r w:rsidRPr="003D0DCA">
        <w:rPr>
          <w:lang w:val="en-GB"/>
        </w:rPr>
        <w:t xml:space="preserve"> </w:t>
      </w:r>
      <w:r>
        <w:rPr>
          <w:lang w:val="en-GB"/>
        </w:rPr>
        <w:t xml:space="preserve">FGT line. A two-stage system is taken as a representative dry FGT line, at least for </w:t>
      </w:r>
      <w:proofErr w:type="spellStart"/>
      <w:r>
        <w:rPr>
          <w:lang w:val="en-GB"/>
        </w:rPr>
        <w:t>WtE</w:t>
      </w:r>
      <w:proofErr w:type="spellEnd"/>
      <w:r>
        <w:rPr>
          <w:lang w:val="en-GB"/>
        </w:rPr>
        <w:t xml:space="preserve"> plants that are already subject to strict acid gas ELVs. In this configuration, the wet treatment section can be placed downstream of the SCR, as the upstream dry stages reduce the SO</w:t>
      </w:r>
      <w:r w:rsidRPr="00921227">
        <w:rPr>
          <w:vertAlign w:val="subscript"/>
          <w:lang w:val="en-GB"/>
        </w:rPr>
        <w:t>2</w:t>
      </w:r>
      <w:r>
        <w:rPr>
          <w:lang w:val="en-GB"/>
        </w:rPr>
        <w:t xml:space="preserve"> load entering the SCR. Therefore, based on scenarios of pollutant loads in the raw flue gas, material and energy balances for the FGT with and without the wet stage addition are solve</w:t>
      </w:r>
      <w:bookmarkEnd w:id="0"/>
      <w:r>
        <w:rPr>
          <w:lang w:val="en-GB"/>
        </w:rPr>
        <w:t xml:space="preserve">d in order to estimate the variation in the operating costs of acid gas treatment. </w:t>
      </w:r>
    </w:p>
    <w:p w14:paraId="5741900F" w14:textId="575B714F" w:rsidR="00453E24" w:rsidRDefault="0036033D" w:rsidP="00B25B26">
      <w:pPr>
        <w:pStyle w:val="CETHeading1"/>
      </w:pPr>
      <w:r>
        <w:t>Case study</w:t>
      </w:r>
    </w:p>
    <w:p w14:paraId="71BC8F00" w14:textId="544A5F6C" w:rsidR="0008282C" w:rsidRPr="000D7075" w:rsidRDefault="0036033D" w:rsidP="000D7075">
      <w:pPr>
        <w:pStyle w:val="CETheadingx"/>
      </w:pPr>
      <w:r w:rsidRPr="000D7075">
        <w:t>Reference technologies</w:t>
      </w:r>
    </w:p>
    <w:p w14:paraId="0BA5B619" w14:textId="31E380D2" w:rsidR="000663A6" w:rsidRDefault="001328E9" w:rsidP="00E770B7">
      <w:pPr>
        <w:pStyle w:val="CETBodytext"/>
        <w:rPr>
          <w:lang w:val="en-GB"/>
        </w:rPr>
      </w:pPr>
      <w:r>
        <w:rPr>
          <w:lang w:val="en-GB"/>
        </w:rPr>
        <w:t xml:space="preserve">The reference configuration of the two-stage system for the dry FGT is reported in Figure 1. Specifically, there are two phases of acid gas removal. In the first phase, acid gas removal is performed with direct furnace sorbent injection at high </w:t>
      </w:r>
      <w:r w:rsidR="00A54756">
        <w:rPr>
          <w:lang w:val="en-GB"/>
        </w:rPr>
        <w:t>temperatures</w:t>
      </w:r>
      <w:r>
        <w:rPr>
          <w:lang w:val="en-GB"/>
        </w:rPr>
        <w:t xml:space="preserve"> using dolomitic lime, </w:t>
      </w:r>
      <w:r w:rsidRPr="009F58FA">
        <w:rPr>
          <w:lang w:val="en-GB"/>
        </w:rPr>
        <w:t>facilitating a gas-solid neutralization reaction to reduce pollutant concentrations</w:t>
      </w:r>
      <w:r>
        <w:rPr>
          <w:lang w:val="en-GB"/>
        </w:rPr>
        <w:t xml:space="preserve"> (</w:t>
      </w:r>
      <w:proofErr w:type="spellStart"/>
      <w:r>
        <w:rPr>
          <w:lang w:val="en-GB"/>
        </w:rPr>
        <w:t>Biganzoli</w:t>
      </w:r>
      <w:proofErr w:type="spellEnd"/>
      <w:r>
        <w:rPr>
          <w:lang w:val="en-GB"/>
        </w:rPr>
        <w:t xml:space="preserve"> et al., 2015). Subsequently, the flue gas leaving an electrostatic precipitator, employed to capture coarse ash, is sent to a Venturi reactor for the secondary acid gas treatment. Here, sodium bicarbonate and activated carbons are injected, with the first used to reduce efficiently acid gas concentration and the second employed for micropollutant adsorption (mainly Hg and dioxins). The further passage of the flue gas through the bag filter completes the neutralization reactions and separates flue gas from carbons, fine powders, and solid residues from the reaction with sodium bicarbonate. Eventually, after flue gas deacidification, the NO</w:t>
      </w:r>
      <w:r w:rsidRPr="005436AE">
        <w:rPr>
          <w:vertAlign w:val="subscript"/>
          <w:lang w:val="en-GB"/>
        </w:rPr>
        <w:t>X</w:t>
      </w:r>
      <w:r>
        <w:rPr>
          <w:lang w:val="en-GB"/>
        </w:rPr>
        <w:t xml:space="preserve"> load is reduced through selective catalytic reduction (SCR), via ammonia injection.</w:t>
      </w:r>
      <w:r w:rsidR="00E770B7">
        <w:rPr>
          <w:lang w:val="en-GB"/>
        </w:rPr>
        <w:t xml:space="preserve"> </w:t>
      </w:r>
      <w:r>
        <w:rPr>
          <w:lang w:val="en-GB"/>
        </w:rPr>
        <w:t xml:space="preserve">The retrofit hereby </w:t>
      </w:r>
      <w:proofErr w:type="spellStart"/>
      <w:r w:rsidR="00E22AD9">
        <w:rPr>
          <w:lang w:val="en-GB"/>
        </w:rPr>
        <w:t>analyzed</w:t>
      </w:r>
      <w:proofErr w:type="spellEnd"/>
      <w:r>
        <w:rPr>
          <w:lang w:val="en-GB"/>
        </w:rPr>
        <w:t xml:space="preserve"> consists of </w:t>
      </w:r>
      <w:r w:rsidRPr="00E81459">
        <w:rPr>
          <w:lang w:val="en-GB"/>
        </w:rPr>
        <w:t xml:space="preserve">the addition of a wet scrubbing section </w:t>
      </w:r>
      <w:r>
        <w:rPr>
          <w:lang w:val="en-GB"/>
        </w:rPr>
        <w:t>as further</w:t>
      </w:r>
      <w:r w:rsidRPr="00E81459">
        <w:rPr>
          <w:lang w:val="en-GB"/>
        </w:rPr>
        <w:t xml:space="preserve"> </w:t>
      </w:r>
      <w:r>
        <w:rPr>
          <w:lang w:val="en-GB"/>
        </w:rPr>
        <w:t>acid gas abatement</w:t>
      </w:r>
      <w:r w:rsidRPr="00E81459">
        <w:rPr>
          <w:lang w:val="en-GB"/>
        </w:rPr>
        <w:t xml:space="preserve"> before </w:t>
      </w:r>
      <w:r>
        <w:rPr>
          <w:lang w:val="en-GB"/>
        </w:rPr>
        <w:t>flue gas release</w:t>
      </w:r>
      <w:r w:rsidRPr="00E81459">
        <w:rPr>
          <w:lang w:val="en-GB"/>
        </w:rPr>
        <w:t xml:space="preserve"> into </w:t>
      </w:r>
      <w:r>
        <w:rPr>
          <w:lang w:val="en-GB"/>
        </w:rPr>
        <w:t>the atmosphere</w:t>
      </w:r>
      <w:r w:rsidRPr="00E81459">
        <w:rPr>
          <w:lang w:val="en-GB"/>
        </w:rPr>
        <w:t xml:space="preserve">. </w:t>
      </w:r>
      <w:r>
        <w:rPr>
          <w:lang w:val="en-GB"/>
        </w:rPr>
        <w:t xml:space="preserve">Such </w:t>
      </w:r>
      <w:r w:rsidRPr="00E81459">
        <w:rPr>
          <w:lang w:val="en-GB"/>
        </w:rPr>
        <w:t>placement</w:t>
      </w:r>
      <w:r>
        <w:rPr>
          <w:lang w:val="en-GB"/>
        </w:rPr>
        <w:t xml:space="preserve">, downstream of the SCR, has two advantages: </w:t>
      </w:r>
    </w:p>
    <w:p w14:paraId="490143B9" w14:textId="30782164" w:rsidR="001328E9" w:rsidRDefault="001328E9" w:rsidP="009E102E">
      <w:pPr>
        <w:pStyle w:val="CETBodytext"/>
        <w:numPr>
          <w:ilvl w:val="0"/>
          <w:numId w:val="32"/>
        </w:numPr>
        <w:rPr>
          <w:lang w:val="en-GB"/>
        </w:rPr>
      </w:pPr>
      <w:r>
        <w:rPr>
          <w:lang w:val="en-GB"/>
        </w:rPr>
        <w:t xml:space="preserve">It avoids interference with SCR operation. </w:t>
      </w:r>
      <w:r w:rsidRPr="00E81459">
        <w:rPr>
          <w:lang w:val="en-GB"/>
        </w:rPr>
        <w:t>The entrainment of solvent droplets containing soluble salts in the flue gas</w:t>
      </w:r>
      <w:r>
        <w:rPr>
          <w:lang w:val="en-GB"/>
        </w:rPr>
        <w:t xml:space="preserve"> from the wet system into the</w:t>
      </w:r>
      <w:r w:rsidRPr="00E81459">
        <w:rPr>
          <w:lang w:val="en-GB"/>
        </w:rPr>
        <w:t xml:space="preserve"> SC</w:t>
      </w:r>
      <w:r>
        <w:rPr>
          <w:lang w:val="en-GB"/>
        </w:rPr>
        <w:t>R</w:t>
      </w:r>
      <w:r w:rsidRPr="00E81459">
        <w:rPr>
          <w:lang w:val="en-GB"/>
        </w:rPr>
        <w:t xml:space="preserve"> </w:t>
      </w:r>
      <w:r>
        <w:rPr>
          <w:lang w:val="en-GB"/>
        </w:rPr>
        <w:t>could potentially cause pore clogging in the catalyst,</w:t>
      </w:r>
      <w:r w:rsidRPr="00E81459">
        <w:rPr>
          <w:lang w:val="en-GB"/>
        </w:rPr>
        <w:t xml:space="preserve"> consequently diminishing its efficiency</w:t>
      </w:r>
      <w:r>
        <w:rPr>
          <w:lang w:val="en-GB"/>
        </w:rPr>
        <w:t xml:space="preserve"> over time (Szymaszek et al., 2020).</w:t>
      </w:r>
      <w:r w:rsidRPr="00E81459">
        <w:rPr>
          <w:lang w:val="en-GB"/>
        </w:rPr>
        <w:t xml:space="preserve"> </w:t>
      </w:r>
    </w:p>
    <w:p w14:paraId="508FDA3C" w14:textId="77777777" w:rsidR="001328E9" w:rsidRDefault="001328E9" w:rsidP="009E102E">
      <w:pPr>
        <w:pStyle w:val="CETBodytext"/>
        <w:numPr>
          <w:ilvl w:val="0"/>
          <w:numId w:val="32"/>
        </w:numPr>
        <w:rPr>
          <w:lang w:val="en-GB"/>
        </w:rPr>
      </w:pPr>
      <w:r>
        <w:rPr>
          <w:lang w:val="en-GB"/>
        </w:rPr>
        <w:t xml:space="preserve">It reduces the need for flue gas reheating. The reheating required to bring the flue gas leaving the scrubber at 120 °C (typical temperature at stack) instead of 180 °C (typical SCR operating temperature) is significantly lower and generally achievable with heat integration within the flue gas line.   </w:t>
      </w:r>
    </w:p>
    <w:p w14:paraId="4BEBF00A" w14:textId="5FD8B0CA" w:rsidR="001328E9" w:rsidRDefault="001328E9" w:rsidP="001328E9">
      <w:pPr>
        <w:pStyle w:val="CETBodytext"/>
      </w:pPr>
      <w:r>
        <w:rPr>
          <w:lang w:val="en-GB"/>
        </w:rPr>
        <w:t>A double-step configuration is proposed for the operation of the wet scrubbing section: an “acid” step involving physical absorption of HCl (and Hg) in water, followed by a “neutral” step where SO</w:t>
      </w:r>
      <w:r w:rsidRPr="00C833DC">
        <w:rPr>
          <w:vertAlign w:val="subscript"/>
          <w:lang w:val="en-GB"/>
        </w:rPr>
        <w:t>2</w:t>
      </w:r>
      <w:r>
        <w:rPr>
          <w:lang w:val="en-GB"/>
        </w:rPr>
        <w:t xml:space="preserve"> is chemically absorbed by a solution of sodium hydroxide, NaOH (</w:t>
      </w:r>
      <w:proofErr w:type="spellStart"/>
      <w:r>
        <w:rPr>
          <w:lang w:val="en-GB"/>
        </w:rPr>
        <w:t>Velhow</w:t>
      </w:r>
      <w:proofErr w:type="spellEnd"/>
      <w:r>
        <w:rPr>
          <w:lang w:val="en-GB"/>
        </w:rPr>
        <w:t xml:space="preserve">, 2015). The resulting wastewater undergoes </w:t>
      </w:r>
      <w:proofErr w:type="spellStart"/>
      <w:r>
        <w:rPr>
          <w:lang w:val="en-GB"/>
        </w:rPr>
        <w:t>physico</w:t>
      </w:r>
      <w:proofErr w:type="spellEnd"/>
      <w:r>
        <w:rPr>
          <w:lang w:val="en-GB"/>
        </w:rPr>
        <w:t xml:space="preserve">-chemical treatment before safe discharge into the public sewage system. The two streams are typically mixed and treated with </w:t>
      </w:r>
      <w:proofErr w:type="gramStart"/>
      <w:r>
        <w:rPr>
          <w:lang w:val="en-GB"/>
        </w:rPr>
        <w:t>Ca(</w:t>
      </w:r>
      <w:proofErr w:type="gramEnd"/>
      <w:r>
        <w:rPr>
          <w:lang w:val="en-GB"/>
        </w:rPr>
        <w:t>OH)</w:t>
      </w:r>
      <w:r w:rsidRPr="006F465C">
        <w:rPr>
          <w:vertAlign w:val="subscript"/>
          <w:lang w:val="en-GB"/>
        </w:rPr>
        <w:t>2</w:t>
      </w:r>
      <w:r>
        <w:rPr>
          <w:lang w:val="en-GB"/>
        </w:rPr>
        <w:t xml:space="preserve"> for pH control and neutralization. Removal of heavy metal compounds is based on flocculation, by adding complexing agents, followed by precipitation. </w:t>
      </w:r>
      <w:r>
        <w:t xml:space="preserve">It is worth mentioning that the </w:t>
      </w:r>
      <w:r w:rsidR="00A63536">
        <w:t>analyzed</w:t>
      </w:r>
      <w:r>
        <w:t xml:space="preserve"> configuration is contemplated as a technique to consider in the determination of the BAT by the BREF WI, under the name of </w:t>
      </w:r>
      <w:r w:rsidRPr="001328E9">
        <w:t>“Addition of wet scrubbing as a flue-gas polishing system after other FGC techniques”.</w:t>
      </w:r>
      <w:r>
        <w:t xml:space="preserve"> The present study represents the first economic viability analysis for such retrofitting option in the open literature.</w:t>
      </w:r>
    </w:p>
    <w:p w14:paraId="58734B55" w14:textId="5A1DF017" w:rsidR="0078630B" w:rsidRDefault="0078630B" w:rsidP="00600535">
      <w:pPr>
        <w:pStyle w:val="CETBodytext"/>
        <w:rPr>
          <w:lang w:val="en-GB"/>
        </w:rPr>
      </w:pPr>
    </w:p>
    <w:p w14:paraId="0C67E34B" w14:textId="68F4F905" w:rsidR="00B25B26" w:rsidRDefault="007B50CF" w:rsidP="000D7075">
      <w:pPr>
        <w:pStyle w:val="CETheadingx"/>
      </w:pPr>
      <w:r>
        <w:t>Constraint</w:t>
      </w:r>
      <w:r w:rsidR="00B25B26">
        <w:t>s</w:t>
      </w:r>
    </w:p>
    <w:p w14:paraId="7DB0F520" w14:textId="77777777" w:rsidR="009A7032" w:rsidRDefault="00D15937" w:rsidP="009A7032">
      <w:pPr>
        <w:pStyle w:val="CETBodytext"/>
      </w:pPr>
      <w:r w:rsidRPr="00644CCA">
        <w:t xml:space="preserve">For economic viability </w:t>
      </w:r>
      <w:r>
        <w:t xml:space="preserve">analysis </w:t>
      </w:r>
      <w:r w:rsidRPr="00644CCA">
        <w:t xml:space="preserve">of the retrofit, a reference size of the </w:t>
      </w:r>
      <w:proofErr w:type="spellStart"/>
      <w:r>
        <w:t>WtE</w:t>
      </w:r>
      <w:proofErr w:type="spellEnd"/>
      <w:r w:rsidRPr="00644CCA">
        <w:t xml:space="preserve"> installation (</w:t>
      </w:r>
      <w:r w:rsidRPr="004273EA">
        <w:t>200 t/d of</w:t>
      </w:r>
      <w:r w:rsidRPr="00644CCA">
        <w:t xml:space="preserve"> treated waste, </w:t>
      </w:r>
      <w:r>
        <w:t>45</w:t>
      </w:r>
      <w:r w:rsidRPr="00644CCA">
        <w:t>,000 Nm</w:t>
      </w:r>
      <w:r w:rsidRPr="004745D9">
        <w:rPr>
          <w:vertAlign w:val="superscript"/>
        </w:rPr>
        <w:t>3</w:t>
      </w:r>
      <w:r w:rsidRPr="00644CCA">
        <w:t>/h of generated flue gas</w:t>
      </w:r>
      <w:r w:rsidRPr="0076533E">
        <w:t>, 7200 h/y</w:t>
      </w:r>
      <w:r w:rsidRPr="00644CCA">
        <w:t xml:space="preserve"> of operation) was taken into account.</w:t>
      </w:r>
      <w:r>
        <w:t xml:space="preserve"> To consider the variability of waste composition, two different scenarios of inlet flue gas composition were analyzed and classified in two cases, as reported in Table 1, discernible by the different values of SO</w:t>
      </w:r>
      <w:r w:rsidRPr="00FE065A">
        <w:rPr>
          <w:vertAlign w:val="subscript"/>
        </w:rPr>
        <w:t>2</w:t>
      </w:r>
      <w:r>
        <w:t xml:space="preserve"> concentration. The HCl stack concentration was set at one-fourth of the target value indicated in the BREF WI, </w:t>
      </w:r>
      <w:r w:rsidRPr="00185A68">
        <w:t>ensuring operational safety with a substantial margin</w:t>
      </w:r>
      <w:r>
        <w:t>. Another constraint was imposed on SO</w:t>
      </w:r>
      <w:r w:rsidRPr="00AD7520">
        <w:rPr>
          <w:vertAlign w:val="subscript"/>
        </w:rPr>
        <w:t>2</w:t>
      </w:r>
      <w:r>
        <w:t xml:space="preserve"> leaving the dry treatment stages, whose concentration value was fixed to 5 mg/Nm</w:t>
      </w:r>
      <w:r w:rsidRPr="00AD7520">
        <w:rPr>
          <w:vertAlign w:val="superscript"/>
        </w:rPr>
        <w:t>3</w:t>
      </w:r>
      <w:r w:rsidRPr="007A3406">
        <w:t>,</w:t>
      </w:r>
      <w:r>
        <w:t xml:space="preserve"> to prevent SCR catalyst poisoning. The economic analysis considered three scenarios</w:t>
      </w:r>
      <w:r w:rsidRPr="00A05735">
        <w:t xml:space="preserve"> </w:t>
      </w:r>
      <w:r>
        <w:t xml:space="preserve">of </w:t>
      </w:r>
      <w:r w:rsidRPr="00A05735">
        <w:t>SO</w:t>
      </w:r>
      <w:r w:rsidRPr="00A05735">
        <w:rPr>
          <w:vertAlign w:val="subscript"/>
        </w:rPr>
        <w:t>2</w:t>
      </w:r>
      <w:r w:rsidRPr="00A05735">
        <w:t xml:space="preserve"> concentration</w:t>
      </w:r>
      <w:r>
        <w:t xml:space="preserve"> which are summarized in Table 2: the set point above and </w:t>
      </w:r>
      <w:r w:rsidRPr="00A05735">
        <w:t>two higher levels, set at 15 and 30 mg/Nm</w:t>
      </w:r>
      <w:r w:rsidRPr="00A05735">
        <w:rPr>
          <w:vertAlign w:val="superscript"/>
        </w:rPr>
        <w:t>3</w:t>
      </w:r>
      <w:r>
        <w:t xml:space="preserve">, used to evaluate the effect of this constraint on operating costs. It is worth remarking that such values are based on plant operators’ decisions, upon recommendations of their SCR suppliers.  </w:t>
      </w:r>
    </w:p>
    <w:p w14:paraId="550933D6" w14:textId="11FBA335" w:rsidR="00D15937" w:rsidRDefault="00D15937" w:rsidP="009A7032">
      <w:pPr>
        <w:pStyle w:val="CETBodytext"/>
      </w:pPr>
      <w:r>
        <w:t xml:space="preserve"> </w:t>
      </w:r>
    </w:p>
    <w:p w14:paraId="5D1671E8" w14:textId="77777777" w:rsidR="00D15937" w:rsidRDefault="00D15937" w:rsidP="00C51CD8">
      <w:pPr>
        <w:pStyle w:val="CETBodytext"/>
        <w:jc w:val="left"/>
        <w:rPr>
          <w:lang w:val="en-GB"/>
        </w:rPr>
      </w:pPr>
      <w:r>
        <w:rPr>
          <w:noProof/>
          <w:lang w:val="en-GB"/>
        </w:rPr>
        <w:lastRenderedPageBreak/>
        <w:drawing>
          <wp:inline distT="0" distB="0" distL="0" distR="0" wp14:anchorId="0DFFA1B6" wp14:editId="1EC09ACB">
            <wp:extent cx="5698328" cy="2314575"/>
            <wp:effectExtent l="0" t="0" r="0" b="0"/>
            <wp:docPr id="11" name="Immagine 11" descr="Immagine che contiene testo, schermata, grafic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schermata, grafica, Elementi grafici&#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686" cy="2324063"/>
                    </a:xfrm>
                    <a:prstGeom prst="rect">
                      <a:avLst/>
                    </a:prstGeom>
                    <a:noFill/>
                  </pic:spPr>
                </pic:pic>
              </a:graphicData>
            </a:graphic>
          </wp:inline>
        </w:drawing>
      </w:r>
    </w:p>
    <w:p w14:paraId="411CB0F7" w14:textId="77777777" w:rsidR="00D15937" w:rsidRDefault="00D15937" w:rsidP="00D15937">
      <w:pPr>
        <w:pStyle w:val="CETCaption"/>
        <w:spacing w:before="0"/>
      </w:pPr>
      <w:r w:rsidRPr="00B57B36">
        <w:t xml:space="preserve">Figure </w:t>
      </w:r>
      <w:r>
        <w:t>1</w:t>
      </w:r>
      <w:r w:rsidRPr="00B57B36">
        <w:t xml:space="preserve">: </w:t>
      </w:r>
      <w:r>
        <w:t xml:space="preserve">Gas treatment line integrated with a final </w:t>
      </w:r>
      <w:r w:rsidRPr="00F666B7">
        <w:t>wet polishing stage</w:t>
      </w:r>
      <w:r>
        <w:t>.</w:t>
      </w:r>
    </w:p>
    <w:p w14:paraId="04BDCBDA" w14:textId="77777777" w:rsidR="00D15937" w:rsidRDefault="00D15937" w:rsidP="00D15937">
      <w:pPr>
        <w:pStyle w:val="CETTabletitle"/>
      </w:pPr>
      <w:r w:rsidRPr="00B57B36">
        <w:t xml:space="preserve">Table </w:t>
      </w:r>
      <w:r>
        <w:t>1</w:t>
      </w:r>
      <w:r w:rsidRPr="00B57B36">
        <w:t xml:space="preserve">: </w:t>
      </w:r>
      <w:r>
        <w:t>Concentration of acid compounds (in mg/Nm</w:t>
      </w:r>
      <w:r w:rsidRPr="00C1479C">
        <w:rPr>
          <w:vertAlign w:val="superscript"/>
        </w:rPr>
        <w:t>3</w:t>
      </w:r>
      <w:r>
        <w:t xml:space="preserve">) in the 2 cases of inlet flue gas composition. </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546"/>
        <w:gridCol w:w="1029"/>
        <w:gridCol w:w="1029"/>
      </w:tblGrid>
      <w:tr w:rsidR="00D15937" w:rsidRPr="00B57B36" w14:paraId="6FCB95C7" w14:textId="77777777" w:rsidTr="00D15937">
        <w:trPr>
          <w:trHeight w:val="136"/>
        </w:trPr>
        <w:tc>
          <w:tcPr>
            <w:tcW w:w="1546" w:type="dxa"/>
            <w:tcBorders>
              <w:top w:val="single" w:sz="12" w:space="0" w:color="008000"/>
              <w:bottom w:val="single" w:sz="6" w:space="0" w:color="008000"/>
            </w:tcBorders>
            <w:shd w:val="clear" w:color="auto" w:fill="FFFFFF"/>
            <w:vAlign w:val="center"/>
          </w:tcPr>
          <w:p w14:paraId="00420EB1" w14:textId="77777777" w:rsidR="00D15937" w:rsidRPr="00B57B36" w:rsidRDefault="00D15937" w:rsidP="00A46E4D">
            <w:pPr>
              <w:pStyle w:val="CETBodytext"/>
              <w:jc w:val="left"/>
              <w:rPr>
                <w:lang w:val="en-GB"/>
              </w:rPr>
            </w:pPr>
            <w:r>
              <w:rPr>
                <w:lang w:val="en-GB"/>
              </w:rPr>
              <w:t>Acid compound</w:t>
            </w:r>
          </w:p>
        </w:tc>
        <w:tc>
          <w:tcPr>
            <w:tcW w:w="1029" w:type="dxa"/>
            <w:tcBorders>
              <w:top w:val="single" w:sz="12" w:space="0" w:color="008000"/>
              <w:bottom w:val="single" w:sz="6" w:space="0" w:color="008000"/>
            </w:tcBorders>
            <w:shd w:val="clear" w:color="auto" w:fill="FFFFFF"/>
            <w:vAlign w:val="center"/>
          </w:tcPr>
          <w:p w14:paraId="013A3B07" w14:textId="77777777" w:rsidR="00D15937" w:rsidRPr="00B57B36" w:rsidRDefault="00D15937" w:rsidP="00D15937">
            <w:pPr>
              <w:pStyle w:val="CETBodytext"/>
              <w:jc w:val="left"/>
              <w:rPr>
                <w:lang w:val="en-GB"/>
              </w:rPr>
            </w:pPr>
            <w:r>
              <w:rPr>
                <w:lang w:val="en-GB"/>
              </w:rPr>
              <w:t>Case 1</w:t>
            </w:r>
          </w:p>
        </w:tc>
        <w:tc>
          <w:tcPr>
            <w:tcW w:w="1029" w:type="dxa"/>
            <w:tcBorders>
              <w:top w:val="single" w:sz="12" w:space="0" w:color="008000"/>
              <w:bottom w:val="single" w:sz="6" w:space="0" w:color="008000"/>
            </w:tcBorders>
            <w:shd w:val="clear" w:color="auto" w:fill="FFFFFF"/>
            <w:vAlign w:val="center"/>
          </w:tcPr>
          <w:p w14:paraId="31F71ACA" w14:textId="77777777" w:rsidR="00D15937" w:rsidRPr="00B57B36" w:rsidRDefault="00D15937" w:rsidP="00D15937">
            <w:pPr>
              <w:pStyle w:val="CETBodytext"/>
              <w:jc w:val="left"/>
              <w:rPr>
                <w:lang w:val="en-GB"/>
              </w:rPr>
            </w:pPr>
            <w:r>
              <w:rPr>
                <w:lang w:val="en-GB"/>
              </w:rPr>
              <w:t>Case 2</w:t>
            </w:r>
          </w:p>
        </w:tc>
      </w:tr>
      <w:tr w:rsidR="00D15937" w:rsidRPr="00B57B36" w14:paraId="2BFF923C" w14:textId="77777777" w:rsidTr="00D15937">
        <w:trPr>
          <w:trHeight w:val="285"/>
        </w:trPr>
        <w:tc>
          <w:tcPr>
            <w:tcW w:w="1546" w:type="dxa"/>
            <w:shd w:val="clear" w:color="auto" w:fill="FFFFFF"/>
            <w:vAlign w:val="center"/>
          </w:tcPr>
          <w:p w14:paraId="703DE302" w14:textId="77777777" w:rsidR="00D15937" w:rsidRPr="00B57B36" w:rsidRDefault="00D15937" w:rsidP="00A46E4D">
            <w:pPr>
              <w:pStyle w:val="CETBodytext"/>
              <w:jc w:val="left"/>
              <w:rPr>
                <w:lang w:val="en-GB"/>
              </w:rPr>
            </w:pPr>
            <w:r>
              <w:rPr>
                <w:lang w:val="en-GB"/>
              </w:rPr>
              <w:t>HCl</w:t>
            </w:r>
          </w:p>
        </w:tc>
        <w:tc>
          <w:tcPr>
            <w:tcW w:w="1029" w:type="dxa"/>
            <w:shd w:val="clear" w:color="auto" w:fill="FFFFFF"/>
            <w:vAlign w:val="center"/>
          </w:tcPr>
          <w:p w14:paraId="113ABD57" w14:textId="77777777" w:rsidR="00D15937" w:rsidRPr="00B57B36" w:rsidRDefault="00D15937" w:rsidP="00D15937">
            <w:pPr>
              <w:pStyle w:val="CETBodytext"/>
              <w:jc w:val="left"/>
              <w:rPr>
                <w:lang w:val="en-GB"/>
              </w:rPr>
            </w:pPr>
            <w:r>
              <w:rPr>
                <w:lang w:val="en-GB"/>
              </w:rPr>
              <w:t>1000</w:t>
            </w:r>
          </w:p>
        </w:tc>
        <w:tc>
          <w:tcPr>
            <w:tcW w:w="1029" w:type="dxa"/>
            <w:shd w:val="clear" w:color="auto" w:fill="FFFFFF"/>
            <w:vAlign w:val="center"/>
          </w:tcPr>
          <w:p w14:paraId="157E5E97" w14:textId="77777777" w:rsidR="00D15937" w:rsidRPr="00B57B36" w:rsidRDefault="00D15937" w:rsidP="00D15937">
            <w:pPr>
              <w:pStyle w:val="CETBodytext"/>
              <w:jc w:val="left"/>
              <w:rPr>
                <w:lang w:val="en-GB"/>
              </w:rPr>
            </w:pPr>
            <w:r>
              <w:rPr>
                <w:lang w:val="en-GB"/>
              </w:rPr>
              <w:t>1000</w:t>
            </w:r>
          </w:p>
        </w:tc>
      </w:tr>
      <w:tr w:rsidR="00D15937" w:rsidRPr="00B57B36" w14:paraId="05ABBFCE" w14:textId="77777777" w:rsidTr="00D15937">
        <w:trPr>
          <w:trHeight w:val="285"/>
        </w:trPr>
        <w:tc>
          <w:tcPr>
            <w:tcW w:w="1546" w:type="dxa"/>
            <w:shd w:val="clear" w:color="auto" w:fill="FFFFFF"/>
            <w:vAlign w:val="center"/>
          </w:tcPr>
          <w:p w14:paraId="0699D74D" w14:textId="77777777" w:rsidR="00D15937" w:rsidRDefault="00D15937" w:rsidP="00A46E4D">
            <w:pPr>
              <w:pStyle w:val="CETBodytext"/>
              <w:jc w:val="left"/>
              <w:rPr>
                <w:lang w:val="en-GB"/>
              </w:rPr>
            </w:pPr>
            <w:r>
              <w:rPr>
                <w:lang w:val="en-GB"/>
              </w:rPr>
              <w:t>SO</w:t>
            </w:r>
            <w:r w:rsidRPr="00A03838">
              <w:rPr>
                <w:vertAlign w:val="subscript"/>
                <w:lang w:val="en-GB"/>
              </w:rPr>
              <w:t>2</w:t>
            </w:r>
          </w:p>
        </w:tc>
        <w:tc>
          <w:tcPr>
            <w:tcW w:w="1029" w:type="dxa"/>
            <w:shd w:val="clear" w:color="auto" w:fill="FFFFFF"/>
            <w:vAlign w:val="center"/>
          </w:tcPr>
          <w:p w14:paraId="56E54DBC" w14:textId="77777777" w:rsidR="00D15937" w:rsidRDefault="00D15937" w:rsidP="00D15937">
            <w:pPr>
              <w:pStyle w:val="CETBodytext"/>
              <w:jc w:val="left"/>
              <w:rPr>
                <w:lang w:val="en-GB"/>
              </w:rPr>
            </w:pPr>
            <w:r>
              <w:rPr>
                <w:lang w:val="en-GB"/>
              </w:rPr>
              <w:t>100</w:t>
            </w:r>
          </w:p>
        </w:tc>
        <w:tc>
          <w:tcPr>
            <w:tcW w:w="1029" w:type="dxa"/>
            <w:shd w:val="clear" w:color="auto" w:fill="FFFFFF"/>
            <w:vAlign w:val="center"/>
          </w:tcPr>
          <w:p w14:paraId="35E3F7F2" w14:textId="77777777" w:rsidR="00D15937" w:rsidRDefault="00D15937" w:rsidP="00D15937">
            <w:pPr>
              <w:pStyle w:val="CETBodytext"/>
              <w:jc w:val="left"/>
              <w:rPr>
                <w:lang w:val="en-GB"/>
              </w:rPr>
            </w:pPr>
            <w:r>
              <w:rPr>
                <w:lang w:val="en-GB"/>
              </w:rPr>
              <w:t>300</w:t>
            </w:r>
          </w:p>
        </w:tc>
      </w:tr>
    </w:tbl>
    <w:p w14:paraId="28EA00DA" w14:textId="77777777" w:rsidR="00D15937" w:rsidRDefault="00D15937" w:rsidP="00D15937">
      <w:pPr>
        <w:pStyle w:val="CETTabletitle"/>
      </w:pPr>
      <w:r>
        <w:t>Table 2: Operating constraints for the different FGT configurations.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539"/>
        <w:gridCol w:w="1025"/>
        <w:gridCol w:w="1025"/>
      </w:tblGrid>
      <w:tr w:rsidR="00D15937" w:rsidRPr="00B57B36" w14:paraId="77CA53D5" w14:textId="77777777" w:rsidTr="00A46E4D">
        <w:trPr>
          <w:trHeight w:val="200"/>
        </w:trPr>
        <w:tc>
          <w:tcPr>
            <w:tcW w:w="1539" w:type="dxa"/>
            <w:tcBorders>
              <w:top w:val="single" w:sz="12" w:space="0" w:color="008000"/>
              <w:bottom w:val="single" w:sz="6" w:space="0" w:color="008000"/>
            </w:tcBorders>
            <w:shd w:val="clear" w:color="auto" w:fill="FFFFFF"/>
          </w:tcPr>
          <w:p w14:paraId="342F7BD2" w14:textId="77777777" w:rsidR="00D15937" w:rsidRPr="00B57B36" w:rsidRDefault="00D15937" w:rsidP="00A46E4D">
            <w:pPr>
              <w:pStyle w:val="CETBodytext"/>
              <w:rPr>
                <w:lang w:val="en-GB"/>
              </w:rPr>
            </w:pPr>
            <w:bookmarkStart w:id="1" w:name="_Hlk159409412"/>
            <w:r>
              <w:rPr>
                <w:lang w:val="en-GB"/>
              </w:rPr>
              <w:t>Configuration</w:t>
            </w:r>
          </w:p>
        </w:tc>
        <w:tc>
          <w:tcPr>
            <w:tcW w:w="1025" w:type="dxa"/>
            <w:tcBorders>
              <w:top w:val="single" w:sz="12" w:space="0" w:color="008000"/>
              <w:bottom w:val="single" w:sz="6" w:space="0" w:color="008000"/>
            </w:tcBorders>
            <w:shd w:val="clear" w:color="auto" w:fill="FFFFFF"/>
          </w:tcPr>
          <w:p w14:paraId="1CADEBDA" w14:textId="15FA8FF3" w:rsidR="00D15937" w:rsidRPr="00081439" w:rsidRDefault="00D15937" w:rsidP="00B7662C">
            <w:pPr>
              <w:pStyle w:val="CETBodytext"/>
              <w:jc w:val="left"/>
              <w:rPr>
                <w:lang w:val="en-GB"/>
              </w:rPr>
            </w:pPr>
            <w:r>
              <w:rPr>
                <w:lang w:val="en-GB"/>
              </w:rPr>
              <w:t>C</w:t>
            </w:r>
            <w:r w:rsidRPr="001B23D0">
              <w:rPr>
                <w:vertAlign w:val="subscript"/>
                <w:lang w:val="en-GB"/>
              </w:rPr>
              <w:t>SO2</w:t>
            </w:r>
            <w:r>
              <w:rPr>
                <w:vertAlign w:val="subscript"/>
                <w:lang w:val="en-GB"/>
              </w:rPr>
              <w:t>, SCR</w:t>
            </w:r>
            <w:r w:rsidR="00081439">
              <w:rPr>
                <w:lang w:val="en-GB"/>
              </w:rPr>
              <w:t xml:space="preserve"> </w:t>
            </w:r>
            <w:r w:rsidR="004D620C">
              <w:rPr>
                <w:lang w:val="en-GB"/>
              </w:rPr>
              <w:t>[mg/Nm</w:t>
            </w:r>
            <w:r w:rsidR="004D620C" w:rsidRPr="004D620C">
              <w:rPr>
                <w:vertAlign w:val="superscript"/>
                <w:lang w:val="en-GB"/>
              </w:rPr>
              <w:t>3</w:t>
            </w:r>
            <w:r w:rsidR="004D620C">
              <w:rPr>
                <w:lang w:val="en-GB"/>
              </w:rPr>
              <w:t>]</w:t>
            </w:r>
          </w:p>
        </w:tc>
        <w:tc>
          <w:tcPr>
            <w:tcW w:w="1025" w:type="dxa"/>
            <w:tcBorders>
              <w:top w:val="single" w:sz="12" w:space="0" w:color="008000"/>
              <w:bottom w:val="single" w:sz="6" w:space="0" w:color="008000"/>
            </w:tcBorders>
            <w:shd w:val="clear" w:color="auto" w:fill="FFFFFF"/>
          </w:tcPr>
          <w:p w14:paraId="573DC563" w14:textId="55D3646B" w:rsidR="00D15937" w:rsidRPr="00B57B36" w:rsidRDefault="00D15937" w:rsidP="00B7662C">
            <w:pPr>
              <w:pStyle w:val="CETBodytext"/>
              <w:jc w:val="left"/>
              <w:rPr>
                <w:lang w:val="en-GB"/>
              </w:rPr>
            </w:pPr>
            <w:proofErr w:type="spellStart"/>
            <w:r>
              <w:rPr>
                <w:lang w:val="en-GB"/>
              </w:rPr>
              <w:t>C</w:t>
            </w:r>
            <w:r w:rsidRPr="001B23D0">
              <w:rPr>
                <w:vertAlign w:val="subscript"/>
                <w:lang w:val="en-GB"/>
              </w:rPr>
              <w:t>HCl</w:t>
            </w:r>
            <w:proofErr w:type="spellEnd"/>
            <w:r>
              <w:rPr>
                <w:vertAlign w:val="subscript"/>
                <w:lang w:val="en-GB"/>
              </w:rPr>
              <w:t>, stack</w:t>
            </w:r>
            <w:r>
              <w:rPr>
                <w:lang w:val="en-GB"/>
              </w:rPr>
              <w:t xml:space="preserve"> </w:t>
            </w:r>
            <w:r w:rsidR="004D620C">
              <w:rPr>
                <w:lang w:val="en-GB"/>
              </w:rPr>
              <w:t>[mg/Nm</w:t>
            </w:r>
            <w:r w:rsidR="004D620C" w:rsidRPr="004D620C">
              <w:rPr>
                <w:vertAlign w:val="superscript"/>
                <w:lang w:val="en-GB"/>
              </w:rPr>
              <w:t>3</w:t>
            </w:r>
            <w:r w:rsidR="004D620C">
              <w:rPr>
                <w:lang w:val="en-GB"/>
              </w:rPr>
              <w:t>]</w:t>
            </w:r>
          </w:p>
        </w:tc>
      </w:tr>
      <w:tr w:rsidR="00D15937" w:rsidRPr="00B57B36" w14:paraId="30DBC8C1" w14:textId="77777777" w:rsidTr="00A46E4D">
        <w:trPr>
          <w:trHeight w:val="415"/>
        </w:trPr>
        <w:tc>
          <w:tcPr>
            <w:tcW w:w="1539" w:type="dxa"/>
            <w:shd w:val="clear" w:color="auto" w:fill="FFFFFF"/>
          </w:tcPr>
          <w:p w14:paraId="27FF0FA9" w14:textId="77777777" w:rsidR="00D15937" w:rsidRPr="00B57B36" w:rsidRDefault="00D15937" w:rsidP="00A46E4D">
            <w:pPr>
              <w:pStyle w:val="CETBodytext"/>
              <w:rPr>
                <w:lang w:val="en-GB"/>
              </w:rPr>
            </w:pPr>
            <w:r>
              <w:rPr>
                <w:lang w:val="en-GB"/>
              </w:rPr>
              <w:t>Existing FGT</w:t>
            </w:r>
          </w:p>
        </w:tc>
        <w:tc>
          <w:tcPr>
            <w:tcW w:w="1025" w:type="dxa"/>
            <w:shd w:val="clear" w:color="auto" w:fill="FFFFFF"/>
          </w:tcPr>
          <w:p w14:paraId="7F0894D7" w14:textId="77777777" w:rsidR="00D15937" w:rsidRPr="00B57B36" w:rsidRDefault="00D15937" w:rsidP="00D15937">
            <w:pPr>
              <w:pStyle w:val="CETBodytext"/>
              <w:jc w:val="left"/>
              <w:rPr>
                <w:lang w:val="en-GB"/>
              </w:rPr>
            </w:pPr>
            <w:r>
              <w:rPr>
                <w:lang w:val="en-GB"/>
              </w:rPr>
              <w:t>5</w:t>
            </w:r>
          </w:p>
        </w:tc>
        <w:tc>
          <w:tcPr>
            <w:tcW w:w="1025" w:type="dxa"/>
            <w:shd w:val="clear" w:color="auto" w:fill="FFFFFF"/>
          </w:tcPr>
          <w:p w14:paraId="07430321" w14:textId="77777777" w:rsidR="00D15937" w:rsidRPr="00B57B36" w:rsidRDefault="00D15937" w:rsidP="00D15937">
            <w:pPr>
              <w:pStyle w:val="CETBodytext"/>
              <w:jc w:val="left"/>
              <w:rPr>
                <w:lang w:val="en-GB"/>
              </w:rPr>
            </w:pPr>
            <w:r>
              <w:rPr>
                <w:lang w:val="en-GB"/>
              </w:rPr>
              <w:t>0.5</w:t>
            </w:r>
          </w:p>
        </w:tc>
      </w:tr>
      <w:tr w:rsidR="00D15937" w:rsidRPr="00B57B36" w14:paraId="1DF9E53D" w14:textId="77777777" w:rsidTr="00A46E4D">
        <w:trPr>
          <w:trHeight w:val="415"/>
        </w:trPr>
        <w:tc>
          <w:tcPr>
            <w:tcW w:w="1539" w:type="dxa"/>
            <w:shd w:val="clear" w:color="auto" w:fill="FFFFFF"/>
          </w:tcPr>
          <w:p w14:paraId="7AB15DB1" w14:textId="77777777" w:rsidR="00D15937" w:rsidRDefault="00D15937" w:rsidP="00A46E4D">
            <w:pPr>
              <w:pStyle w:val="CETBodytext"/>
              <w:rPr>
                <w:lang w:val="en-GB"/>
              </w:rPr>
            </w:pPr>
            <w:r>
              <w:rPr>
                <w:lang w:val="en-GB"/>
              </w:rPr>
              <w:t>FGT+WT_5</w:t>
            </w:r>
          </w:p>
        </w:tc>
        <w:tc>
          <w:tcPr>
            <w:tcW w:w="1025" w:type="dxa"/>
            <w:shd w:val="clear" w:color="auto" w:fill="FFFFFF"/>
          </w:tcPr>
          <w:p w14:paraId="01643761" w14:textId="77777777" w:rsidR="00D15937" w:rsidRDefault="00D15937" w:rsidP="00D15937">
            <w:pPr>
              <w:pStyle w:val="CETBodytext"/>
              <w:jc w:val="left"/>
              <w:rPr>
                <w:lang w:val="en-GB"/>
              </w:rPr>
            </w:pPr>
            <w:r>
              <w:rPr>
                <w:lang w:val="en-GB"/>
              </w:rPr>
              <w:t>5</w:t>
            </w:r>
          </w:p>
        </w:tc>
        <w:tc>
          <w:tcPr>
            <w:tcW w:w="1025" w:type="dxa"/>
            <w:shd w:val="clear" w:color="auto" w:fill="FFFFFF"/>
          </w:tcPr>
          <w:p w14:paraId="7CAD4340" w14:textId="77777777" w:rsidR="00D15937" w:rsidRDefault="00D15937" w:rsidP="00D15937">
            <w:pPr>
              <w:pStyle w:val="CETBodytext"/>
              <w:jc w:val="left"/>
              <w:rPr>
                <w:lang w:val="en-GB"/>
              </w:rPr>
            </w:pPr>
            <w:r>
              <w:rPr>
                <w:lang w:val="en-GB"/>
              </w:rPr>
              <w:t>0.5</w:t>
            </w:r>
          </w:p>
        </w:tc>
      </w:tr>
      <w:tr w:rsidR="00D15937" w:rsidRPr="00B57B36" w14:paraId="5D716C3D" w14:textId="77777777" w:rsidTr="00A46E4D">
        <w:trPr>
          <w:trHeight w:val="415"/>
        </w:trPr>
        <w:tc>
          <w:tcPr>
            <w:tcW w:w="1539" w:type="dxa"/>
            <w:shd w:val="clear" w:color="auto" w:fill="FFFFFF"/>
          </w:tcPr>
          <w:p w14:paraId="16DC2543" w14:textId="77777777" w:rsidR="00D15937" w:rsidRDefault="00D15937" w:rsidP="00A46E4D">
            <w:pPr>
              <w:pStyle w:val="CETBodytext"/>
              <w:rPr>
                <w:lang w:val="en-GB"/>
              </w:rPr>
            </w:pPr>
            <w:r>
              <w:rPr>
                <w:lang w:val="en-GB"/>
              </w:rPr>
              <w:t>FGT+WT_15</w:t>
            </w:r>
          </w:p>
        </w:tc>
        <w:tc>
          <w:tcPr>
            <w:tcW w:w="1025" w:type="dxa"/>
            <w:shd w:val="clear" w:color="auto" w:fill="FFFFFF"/>
          </w:tcPr>
          <w:p w14:paraId="168E357D" w14:textId="77777777" w:rsidR="00D15937" w:rsidRDefault="00D15937" w:rsidP="00D15937">
            <w:pPr>
              <w:pStyle w:val="CETBodytext"/>
              <w:jc w:val="left"/>
              <w:rPr>
                <w:lang w:val="en-GB"/>
              </w:rPr>
            </w:pPr>
            <w:r>
              <w:rPr>
                <w:lang w:val="en-GB"/>
              </w:rPr>
              <w:t>15</w:t>
            </w:r>
          </w:p>
        </w:tc>
        <w:tc>
          <w:tcPr>
            <w:tcW w:w="1025" w:type="dxa"/>
            <w:shd w:val="clear" w:color="auto" w:fill="FFFFFF"/>
          </w:tcPr>
          <w:p w14:paraId="68A6AE16" w14:textId="77777777" w:rsidR="00D15937" w:rsidRDefault="00D15937" w:rsidP="00D15937">
            <w:pPr>
              <w:pStyle w:val="CETBodytext"/>
              <w:jc w:val="left"/>
              <w:rPr>
                <w:lang w:val="en-GB"/>
              </w:rPr>
            </w:pPr>
            <w:r>
              <w:rPr>
                <w:lang w:val="en-GB"/>
              </w:rPr>
              <w:t>0.5</w:t>
            </w:r>
          </w:p>
        </w:tc>
      </w:tr>
      <w:tr w:rsidR="00D15937" w:rsidRPr="00B57B36" w14:paraId="0E8B3868" w14:textId="77777777" w:rsidTr="00A46E4D">
        <w:trPr>
          <w:trHeight w:val="269"/>
        </w:trPr>
        <w:tc>
          <w:tcPr>
            <w:tcW w:w="1539" w:type="dxa"/>
            <w:tcBorders>
              <w:bottom w:val="single" w:sz="12" w:space="0" w:color="008000"/>
            </w:tcBorders>
            <w:shd w:val="clear" w:color="auto" w:fill="FFFFFF"/>
          </w:tcPr>
          <w:p w14:paraId="63524FBA" w14:textId="77777777" w:rsidR="00D15937" w:rsidRPr="00B57B36" w:rsidRDefault="00D15937" w:rsidP="00A46E4D">
            <w:pPr>
              <w:pStyle w:val="CETBodytext"/>
              <w:ind w:right="-1"/>
              <w:rPr>
                <w:rFonts w:cs="Arial"/>
                <w:szCs w:val="18"/>
                <w:lang w:val="en-GB"/>
              </w:rPr>
            </w:pPr>
            <w:r>
              <w:rPr>
                <w:rFonts w:cs="Arial"/>
                <w:szCs w:val="18"/>
                <w:lang w:val="en-GB"/>
              </w:rPr>
              <w:t>FGT+WT_30</w:t>
            </w:r>
          </w:p>
        </w:tc>
        <w:tc>
          <w:tcPr>
            <w:tcW w:w="1025" w:type="dxa"/>
            <w:tcBorders>
              <w:bottom w:val="single" w:sz="12" w:space="0" w:color="008000"/>
            </w:tcBorders>
            <w:shd w:val="clear" w:color="auto" w:fill="FFFFFF"/>
          </w:tcPr>
          <w:p w14:paraId="67C97E2A" w14:textId="77777777" w:rsidR="00D15937" w:rsidRPr="00B57B36" w:rsidRDefault="00D15937" w:rsidP="00D15937">
            <w:pPr>
              <w:pStyle w:val="CETBodytext"/>
              <w:ind w:right="-1"/>
              <w:jc w:val="left"/>
              <w:rPr>
                <w:rFonts w:cs="Arial"/>
                <w:szCs w:val="18"/>
                <w:lang w:val="en-GB"/>
              </w:rPr>
            </w:pPr>
            <w:r>
              <w:rPr>
                <w:rFonts w:cs="Arial"/>
                <w:szCs w:val="18"/>
                <w:lang w:val="en-GB"/>
              </w:rPr>
              <w:t>30</w:t>
            </w:r>
          </w:p>
        </w:tc>
        <w:tc>
          <w:tcPr>
            <w:tcW w:w="1025" w:type="dxa"/>
            <w:tcBorders>
              <w:bottom w:val="single" w:sz="12" w:space="0" w:color="008000"/>
            </w:tcBorders>
            <w:shd w:val="clear" w:color="auto" w:fill="FFFFFF"/>
          </w:tcPr>
          <w:p w14:paraId="37FA0B2B" w14:textId="77777777" w:rsidR="00D15937" w:rsidRPr="00B57B36" w:rsidRDefault="00D15937" w:rsidP="00D15937">
            <w:pPr>
              <w:pStyle w:val="CETBodytext"/>
              <w:ind w:right="-1"/>
              <w:jc w:val="left"/>
              <w:rPr>
                <w:rFonts w:cs="Arial"/>
                <w:szCs w:val="18"/>
                <w:lang w:val="en-GB"/>
              </w:rPr>
            </w:pPr>
            <w:r>
              <w:rPr>
                <w:lang w:val="en-GB"/>
              </w:rPr>
              <w:t>0.5</w:t>
            </w:r>
          </w:p>
        </w:tc>
      </w:tr>
      <w:bookmarkEnd w:id="1"/>
    </w:tbl>
    <w:p w14:paraId="6F804F53" w14:textId="77777777" w:rsidR="00D43BBE" w:rsidRPr="00D43BBE" w:rsidRDefault="00D43BBE" w:rsidP="00D43BBE">
      <w:pPr>
        <w:pStyle w:val="CETBodytext"/>
      </w:pPr>
    </w:p>
    <w:p w14:paraId="11FDD728" w14:textId="2122CBD3" w:rsidR="00052379" w:rsidRPr="00B25B26" w:rsidRDefault="00052379" w:rsidP="00B25B26">
      <w:pPr>
        <w:pStyle w:val="CETHeading1"/>
        <w:numPr>
          <w:ilvl w:val="1"/>
          <w:numId w:val="25"/>
        </w:numPr>
        <w:tabs>
          <w:tab w:val="right" w:pos="7100"/>
        </w:tabs>
        <w:jc w:val="both"/>
        <w:rPr>
          <w:lang w:val="en-GB"/>
        </w:rPr>
      </w:pPr>
      <w:proofErr w:type="spellStart"/>
      <w:r w:rsidRPr="00B25B26">
        <w:rPr>
          <w:lang w:val="en-GB"/>
        </w:rPr>
        <w:t>Modeling</w:t>
      </w:r>
      <w:proofErr w:type="spellEnd"/>
      <w:r w:rsidRPr="00B25B26">
        <w:rPr>
          <w:lang w:val="en-GB"/>
        </w:rPr>
        <w:t xml:space="preserve"> </w:t>
      </w:r>
    </w:p>
    <w:p w14:paraId="5233DF5D" w14:textId="77777777" w:rsidR="00052379" w:rsidRPr="00B57B36" w:rsidRDefault="00052379" w:rsidP="000D7075">
      <w:pPr>
        <w:pStyle w:val="CETheadingx"/>
      </w:pPr>
      <w:r>
        <w:t>Modeling of the process</w:t>
      </w:r>
    </w:p>
    <w:p w14:paraId="2B0CD7B7" w14:textId="77777777" w:rsidR="00052379" w:rsidRDefault="00052379" w:rsidP="00052379">
      <w:pPr>
        <w:pStyle w:val="CETBodytext"/>
        <w:rPr>
          <w:lang w:val="en-GB"/>
        </w:rPr>
      </w:pPr>
      <w:r w:rsidRPr="00C203F0">
        <w:rPr>
          <w:lang w:val="en-GB"/>
        </w:rPr>
        <w:t xml:space="preserve">The starting point for the analysis was the quantification of the feed rate of reactants required to obtain a given acid gas removal efficiency and the related generation rate of solid residues using mass balances for the acid gas removal processes. </w:t>
      </w:r>
      <w:r>
        <w:rPr>
          <w:lang w:val="en-GB"/>
        </w:rPr>
        <w:t>Models developed in previous studies were adopted, as outlined in the following.</w:t>
      </w:r>
    </w:p>
    <w:p w14:paraId="3D4898BC" w14:textId="7F6B1B4A" w:rsidR="00052379" w:rsidRPr="00E84301" w:rsidRDefault="00052379" w:rsidP="00052379">
      <w:pPr>
        <w:pStyle w:val="CETBodytext"/>
      </w:pPr>
      <w:r>
        <w:rPr>
          <w:lang w:val="en-GB"/>
        </w:rPr>
        <w:t>For the dry stages, a</w:t>
      </w:r>
      <w:r w:rsidRPr="00C203F0">
        <w:rPr>
          <w:lang w:val="en-GB"/>
        </w:rPr>
        <w:t xml:space="preserve"> </w:t>
      </w:r>
      <w:r>
        <w:rPr>
          <w:lang w:val="en-GB"/>
        </w:rPr>
        <w:t>semi-empirical</w:t>
      </w:r>
      <w:r w:rsidRPr="00C203F0">
        <w:rPr>
          <w:lang w:val="en-GB"/>
        </w:rPr>
        <w:t xml:space="preserve"> model (Dal Pozzo et al., 20</w:t>
      </w:r>
      <w:r w:rsidR="00155F62">
        <w:rPr>
          <w:lang w:val="en-GB"/>
        </w:rPr>
        <w:t>20</w:t>
      </w:r>
      <w:r w:rsidRPr="00C203F0">
        <w:rPr>
          <w:lang w:val="en-GB"/>
        </w:rPr>
        <w:t>)</w:t>
      </w:r>
      <w:r>
        <w:rPr>
          <w:lang w:val="en-GB"/>
        </w:rPr>
        <w:t xml:space="preserve"> </w:t>
      </w:r>
      <w:r w:rsidRPr="00C203F0">
        <w:rPr>
          <w:lang w:val="en-GB"/>
        </w:rPr>
        <w:t xml:space="preserve">was used to </w:t>
      </w:r>
      <w:r>
        <w:rPr>
          <w:lang w:val="en-GB"/>
        </w:rPr>
        <w:t xml:space="preserve">establish the </w:t>
      </w:r>
      <w:r w:rsidRPr="00C203F0">
        <w:rPr>
          <w:lang w:val="en-GB"/>
        </w:rPr>
        <w:t>correlat</w:t>
      </w:r>
      <w:r>
        <w:rPr>
          <w:lang w:val="en-GB"/>
        </w:rPr>
        <w:t xml:space="preserve">ion </w:t>
      </w:r>
      <w:r>
        <w:t xml:space="preserve">between acid gas conversion and sorbent feed rate. The model discriminates the reactivity of different sorbents toward different acid compounds by the use of </w:t>
      </w:r>
      <w:proofErr w:type="spellStart"/>
      <w:proofErr w:type="gramStart"/>
      <w:r w:rsidRPr="00A1575C">
        <w:rPr>
          <w:iCs/>
        </w:rPr>
        <w:t>n</w:t>
      </w:r>
      <w:r w:rsidRPr="00A1575C">
        <w:rPr>
          <w:iCs/>
          <w:vertAlign w:val="subscript"/>
        </w:rPr>
        <w:t>i,j</w:t>
      </w:r>
      <w:proofErr w:type="spellEnd"/>
      <w:proofErr w:type="gramEnd"/>
      <w:r w:rsidRPr="00A1575C">
        <w:rPr>
          <w:iCs/>
        </w:rPr>
        <w:t xml:space="preserve"> empirical</w:t>
      </w:r>
      <w:r w:rsidRPr="00C203F0">
        <w:t xml:space="preserve"> parameters, tuned on actual operational data</w:t>
      </w:r>
      <w:r>
        <w:t xml:space="preserve"> of full-scale acid gas treatment units</w:t>
      </w:r>
      <w:r w:rsidRPr="00C203F0">
        <w:t xml:space="preserve">. Details on the determination of </w:t>
      </w:r>
      <w:proofErr w:type="spellStart"/>
      <w:proofErr w:type="gramStart"/>
      <w:r w:rsidRPr="00A1575C">
        <w:rPr>
          <w:iCs/>
        </w:rPr>
        <w:t>n</w:t>
      </w:r>
      <w:r w:rsidRPr="00A1575C">
        <w:rPr>
          <w:iCs/>
          <w:vertAlign w:val="subscript"/>
        </w:rPr>
        <w:t>i,j</w:t>
      </w:r>
      <w:proofErr w:type="spellEnd"/>
      <w:proofErr w:type="gramEnd"/>
      <w:r w:rsidRPr="00A1575C">
        <w:rPr>
          <w:iCs/>
        </w:rPr>
        <w:t xml:space="preserve"> </w:t>
      </w:r>
      <w:r w:rsidRPr="00C203F0">
        <w:t xml:space="preserve">for </w:t>
      </w:r>
      <w:r>
        <w:t>sodium bicarbonate</w:t>
      </w:r>
      <w:r w:rsidRPr="00C203F0">
        <w:t xml:space="preserve"> via historical process </w:t>
      </w:r>
      <w:r>
        <w:t xml:space="preserve">data </w:t>
      </w:r>
      <w:r w:rsidRPr="00C203F0">
        <w:t xml:space="preserve">analysis and </w:t>
      </w:r>
      <w:r>
        <w:t>dolomitic lime</w:t>
      </w:r>
      <w:r w:rsidRPr="00C203F0">
        <w:t xml:space="preserve"> via dedicated test runs can be found elsewhere (Dal Pozzo et al.</w:t>
      </w:r>
      <w:r w:rsidR="00155F62">
        <w:t xml:space="preserve">, </w:t>
      </w:r>
      <w:r w:rsidRPr="00C203F0">
        <w:t>2020).</w:t>
      </w:r>
      <w:r>
        <w:t xml:space="preserve"> </w:t>
      </w:r>
      <w:r w:rsidR="001B602F">
        <w:t xml:space="preserve"> </w:t>
      </w:r>
      <w:r>
        <w:t xml:space="preserve">For the wet scrubber, the methodology outlined by Dal Pozzo and </w:t>
      </w:r>
      <w:proofErr w:type="spellStart"/>
      <w:r>
        <w:t>Cozzani</w:t>
      </w:r>
      <w:proofErr w:type="spellEnd"/>
      <w:r>
        <w:t xml:space="preserve"> (2021) was adopted. Specifically, the acid scrubber was modeled as an equilibrium stage, performing the physical absorption of HCl by a recirculated water stream (water drain regulated by a pH setpoint of 0.5). The subsequent neutral scrubber was assumed to perform the removal of SO</w:t>
      </w:r>
      <w:r w:rsidRPr="00065CDD">
        <w:rPr>
          <w:vertAlign w:val="subscript"/>
        </w:rPr>
        <w:t>2</w:t>
      </w:r>
      <w:r>
        <w:t xml:space="preserve"> and the remaining HCl from the acid scrubber via the addition of a</w:t>
      </w:r>
      <w:r w:rsidRPr="002066AF">
        <w:t xml:space="preserve"> 10</w:t>
      </w:r>
      <w:r w:rsidR="005E2F0E">
        <w:t xml:space="preserve"> </w:t>
      </w:r>
      <w:r w:rsidRPr="002066AF">
        <w:t>% excess feed of NaOH</w:t>
      </w:r>
      <w:r>
        <w:t xml:space="preserve">. </w:t>
      </w:r>
      <w:r w:rsidR="001B602F">
        <w:t xml:space="preserve"> </w:t>
      </w:r>
      <w:r>
        <w:t xml:space="preserve">Wastewater treatment from the scrubber was characterized by the consumption of </w:t>
      </w:r>
      <w:proofErr w:type="gramStart"/>
      <w:r>
        <w:t>Ca(</w:t>
      </w:r>
      <w:proofErr w:type="gramEnd"/>
      <w:r>
        <w:t>OH)</w:t>
      </w:r>
      <w:r w:rsidRPr="002066AF">
        <w:rPr>
          <w:vertAlign w:val="subscript"/>
        </w:rPr>
        <w:t>2</w:t>
      </w:r>
      <w:r>
        <w:t xml:space="preserve"> for pH neutralization and the production of a solid sludge (mainly CaSO</w:t>
      </w:r>
      <w:r w:rsidRPr="002066AF">
        <w:rPr>
          <w:vertAlign w:val="subscript"/>
        </w:rPr>
        <w:t>4</w:t>
      </w:r>
      <w:r>
        <w:t>, with a 50</w:t>
      </w:r>
      <w:r w:rsidR="009E42E4">
        <w:t xml:space="preserve"> </w:t>
      </w:r>
      <w:r>
        <w:t xml:space="preserve">% </w:t>
      </w:r>
      <w:r w:rsidRPr="00511FBE">
        <w:t xml:space="preserve">moisture content </w:t>
      </w:r>
      <w:r>
        <w:t xml:space="preserve">by weight).  </w:t>
      </w:r>
      <w:bookmarkStart w:id="2" w:name="_Hlk158911498"/>
    </w:p>
    <w:bookmarkEnd w:id="2"/>
    <w:p w14:paraId="25183FF0" w14:textId="77777777" w:rsidR="00052379" w:rsidRDefault="00052379" w:rsidP="000D7075">
      <w:pPr>
        <w:pStyle w:val="CETheadingx"/>
      </w:pPr>
      <w:r>
        <w:t>Economic and Environmental Analysis</w:t>
      </w:r>
    </w:p>
    <w:p w14:paraId="2E599349" w14:textId="06629E4A" w:rsidR="00052379" w:rsidRDefault="00052379" w:rsidP="00052379">
      <w:pPr>
        <w:pStyle w:val="CETBodytext"/>
      </w:pPr>
      <w:r>
        <w:t>The main focus of the economic analysis was the assessment of the operating costs associated with the proposed retrofitted configuration. Specifically, the cost entries</w:t>
      </w:r>
      <w:r w:rsidRPr="00512470">
        <w:t xml:space="preserve"> </w:t>
      </w:r>
      <w:r>
        <w:t xml:space="preserve">expressed in </w:t>
      </w:r>
      <w:r w:rsidRPr="00D87829">
        <w:rPr>
          <w:szCs w:val="18"/>
        </w:rPr>
        <w:t>€/kg</w:t>
      </w:r>
      <w:r>
        <w:t xml:space="preserve">, reported in Table 3, refer to </w:t>
      </w:r>
      <w:r>
        <w:lastRenderedPageBreak/>
        <w:t xml:space="preserve">the dry and wet treatment stages and are representative of a </w:t>
      </w:r>
      <w:proofErr w:type="spellStart"/>
      <w:r>
        <w:t>WtE</w:t>
      </w:r>
      <w:proofErr w:type="spellEnd"/>
      <w:r>
        <w:t xml:space="preserve"> plant in Northern Italy. The indirect environmental implications of the retrofit were also assessed, in terms of variations in reactant consumption</w:t>
      </w:r>
      <w:r w:rsidR="002A3638">
        <w:t xml:space="preserve"> </w:t>
      </w:r>
      <w:r>
        <w:t>and the related solid waste generation, with the existing FGT line serving as a benchmark. The outcomes of this environmental analysis are discussed in section 4.</w:t>
      </w:r>
    </w:p>
    <w:p w14:paraId="3D741ABB" w14:textId="77777777" w:rsidR="00052379" w:rsidRPr="009378F0" w:rsidRDefault="00052379" w:rsidP="00052379">
      <w:pPr>
        <w:pStyle w:val="CET-table-title"/>
        <w:rPr>
          <w:lang w:val="en-GB"/>
        </w:rPr>
      </w:pPr>
      <w:r>
        <w:rPr>
          <w:lang w:val="en-GB"/>
        </w:rPr>
        <w:t xml:space="preserve">Table 3: Cost entries and related unit cost values considered in the analysis.   </w:t>
      </w:r>
    </w:p>
    <w:tbl>
      <w:tblPr>
        <w:tblW w:w="32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992"/>
        <w:gridCol w:w="653"/>
      </w:tblGrid>
      <w:tr w:rsidR="00052379" w:rsidRPr="00D87829" w14:paraId="33CE8D5F" w14:textId="77777777" w:rsidTr="0076778E">
        <w:tc>
          <w:tcPr>
            <w:tcW w:w="1560" w:type="dxa"/>
            <w:tcBorders>
              <w:top w:val="single" w:sz="12" w:space="0" w:color="008000"/>
              <w:bottom w:val="single" w:sz="6" w:space="0" w:color="008000"/>
            </w:tcBorders>
            <w:shd w:val="clear" w:color="auto" w:fill="FFFFFF"/>
            <w:vAlign w:val="center"/>
          </w:tcPr>
          <w:p w14:paraId="2A324F27" w14:textId="77777777" w:rsidR="00052379" w:rsidRPr="00D87829" w:rsidRDefault="00052379" w:rsidP="00A1575C">
            <w:pPr>
              <w:jc w:val="left"/>
            </w:pPr>
            <w:r w:rsidRPr="00D87829">
              <w:t>Cost entries</w:t>
            </w:r>
          </w:p>
        </w:tc>
        <w:tc>
          <w:tcPr>
            <w:tcW w:w="992" w:type="dxa"/>
            <w:tcBorders>
              <w:top w:val="single" w:sz="12" w:space="0" w:color="008000"/>
              <w:bottom w:val="single" w:sz="6" w:space="0" w:color="008000"/>
            </w:tcBorders>
            <w:shd w:val="clear" w:color="auto" w:fill="FFFFFF"/>
            <w:vAlign w:val="center"/>
          </w:tcPr>
          <w:p w14:paraId="67134F20" w14:textId="77777777" w:rsidR="00052379" w:rsidRPr="00D87829" w:rsidRDefault="00052379" w:rsidP="00446CD8">
            <w:pPr>
              <w:jc w:val="left"/>
            </w:pPr>
            <w:r w:rsidRPr="00D87829">
              <w:t>Unit</w:t>
            </w:r>
          </w:p>
        </w:tc>
        <w:tc>
          <w:tcPr>
            <w:tcW w:w="653" w:type="dxa"/>
            <w:tcBorders>
              <w:top w:val="single" w:sz="12" w:space="0" w:color="008000"/>
              <w:bottom w:val="single" w:sz="6" w:space="0" w:color="008000"/>
            </w:tcBorders>
            <w:shd w:val="clear" w:color="auto" w:fill="FFFFFF"/>
            <w:vAlign w:val="center"/>
          </w:tcPr>
          <w:p w14:paraId="6ACF7529" w14:textId="77777777" w:rsidR="00052379" w:rsidRPr="00D87829" w:rsidRDefault="00052379" w:rsidP="00446CD8">
            <w:pPr>
              <w:jc w:val="left"/>
            </w:pPr>
            <w:r w:rsidRPr="00D87829">
              <w:t>Value</w:t>
            </w:r>
          </w:p>
        </w:tc>
      </w:tr>
      <w:tr w:rsidR="00052379" w:rsidRPr="00D87829" w14:paraId="569ACB74" w14:textId="77777777" w:rsidTr="00A46E4D">
        <w:tc>
          <w:tcPr>
            <w:tcW w:w="3205" w:type="dxa"/>
            <w:gridSpan w:val="3"/>
            <w:tcBorders>
              <w:top w:val="single" w:sz="12" w:space="0" w:color="008000"/>
              <w:bottom w:val="single" w:sz="6" w:space="0" w:color="008000"/>
            </w:tcBorders>
            <w:shd w:val="clear" w:color="auto" w:fill="FFFFFF"/>
            <w:vAlign w:val="center"/>
          </w:tcPr>
          <w:p w14:paraId="16124982" w14:textId="77777777" w:rsidR="00052379" w:rsidRPr="00D87829" w:rsidRDefault="00052379" w:rsidP="00A46E4D">
            <w:pPr>
              <w:jc w:val="center"/>
            </w:pPr>
            <w:r w:rsidRPr="00D87829">
              <w:t>Dry treatment stage</w:t>
            </w:r>
          </w:p>
        </w:tc>
      </w:tr>
      <w:tr w:rsidR="00052379" w:rsidRPr="00D87829" w14:paraId="7899209F" w14:textId="77777777" w:rsidTr="0076778E">
        <w:tc>
          <w:tcPr>
            <w:tcW w:w="1560" w:type="dxa"/>
            <w:shd w:val="clear" w:color="auto" w:fill="FFFFFF"/>
            <w:vAlign w:val="center"/>
          </w:tcPr>
          <w:p w14:paraId="0B7C0912" w14:textId="77777777" w:rsidR="00052379" w:rsidRPr="00D87829" w:rsidRDefault="00052379" w:rsidP="00A1575C">
            <w:pPr>
              <w:jc w:val="left"/>
              <w:rPr>
                <w:szCs w:val="18"/>
              </w:rPr>
            </w:pPr>
            <w:r w:rsidRPr="00D87829">
              <w:rPr>
                <w:szCs w:val="18"/>
              </w:rPr>
              <w:t>D</w:t>
            </w:r>
            <w:r>
              <w:rPr>
                <w:szCs w:val="18"/>
              </w:rPr>
              <w:t>olomitic lime</w:t>
            </w:r>
          </w:p>
        </w:tc>
        <w:tc>
          <w:tcPr>
            <w:tcW w:w="992" w:type="dxa"/>
            <w:tcBorders>
              <w:top w:val="nil"/>
              <w:bottom w:val="nil"/>
            </w:tcBorders>
            <w:shd w:val="clear" w:color="auto" w:fill="FFFFFF"/>
            <w:vAlign w:val="center"/>
          </w:tcPr>
          <w:p w14:paraId="3074A88B" w14:textId="77777777" w:rsidR="00052379" w:rsidRPr="00D87829" w:rsidRDefault="00052379" w:rsidP="00A1575C">
            <w:pPr>
              <w:pStyle w:val="Default"/>
              <w:rPr>
                <w:sz w:val="18"/>
                <w:szCs w:val="18"/>
              </w:rPr>
            </w:pPr>
            <w:r w:rsidRPr="00D87829">
              <w:rPr>
                <w:sz w:val="18"/>
                <w:szCs w:val="18"/>
              </w:rPr>
              <w:t>€/kg</w:t>
            </w:r>
          </w:p>
        </w:tc>
        <w:tc>
          <w:tcPr>
            <w:tcW w:w="653" w:type="dxa"/>
            <w:shd w:val="clear" w:color="auto" w:fill="FFFFFF"/>
            <w:vAlign w:val="center"/>
          </w:tcPr>
          <w:p w14:paraId="0672AE66" w14:textId="77777777" w:rsidR="00052379" w:rsidRPr="00D12B77" w:rsidRDefault="00052379" w:rsidP="00A1575C">
            <w:pPr>
              <w:tabs>
                <w:tab w:val="clear" w:pos="7100"/>
                <w:tab w:val="left" w:pos="480"/>
              </w:tabs>
              <w:jc w:val="left"/>
            </w:pPr>
            <w:r w:rsidRPr="00D12B77">
              <w:t>0.145</w:t>
            </w:r>
          </w:p>
        </w:tc>
      </w:tr>
      <w:tr w:rsidR="00052379" w:rsidRPr="00D87829" w14:paraId="4BD8A06E" w14:textId="77777777" w:rsidTr="0076778E">
        <w:tc>
          <w:tcPr>
            <w:tcW w:w="1560" w:type="dxa"/>
            <w:tcBorders>
              <w:top w:val="nil"/>
            </w:tcBorders>
            <w:shd w:val="clear" w:color="auto" w:fill="FFFFFF"/>
            <w:vAlign w:val="center"/>
          </w:tcPr>
          <w:p w14:paraId="25855BFD" w14:textId="77777777" w:rsidR="00052379" w:rsidRPr="00D87829" w:rsidRDefault="00052379" w:rsidP="00A1575C">
            <w:pPr>
              <w:jc w:val="left"/>
            </w:pPr>
            <w:r w:rsidRPr="00D87829">
              <w:t>Sodium bicarbonate</w:t>
            </w:r>
          </w:p>
        </w:tc>
        <w:tc>
          <w:tcPr>
            <w:tcW w:w="992" w:type="dxa"/>
            <w:tcBorders>
              <w:top w:val="nil"/>
            </w:tcBorders>
            <w:shd w:val="clear" w:color="auto" w:fill="FFFFFF"/>
            <w:vAlign w:val="center"/>
          </w:tcPr>
          <w:p w14:paraId="0826C5DE" w14:textId="77777777" w:rsidR="00052379" w:rsidRPr="00D87829" w:rsidRDefault="00052379" w:rsidP="00A1575C">
            <w:pPr>
              <w:jc w:val="left"/>
            </w:pPr>
            <w:r w:rsidRPr="00D87829">
              <w:rPr>
                <w:szCs w:val="18"/>
              </w:rPr>
              <w:t>€/kg</w:t>
            </w:r>
          </w:p>
        </w:tc>
        <w:tc>
          <w:tcPr>
            <w:tcW w:w="653" w:type="dxa"/>
            <w:shd w:val="clear" w:color="auto" w:fill="FFFFFF"/>
            <w:vAlign w:val="center"/>
          </w:tcPr>
          <w:p w14:paraId="528177AA" w14:textId="77777777" w:rsidR="00052379" w:rsidRPr="00D87829" w:rsidRDefault="00052379" w:rsidP="00A1575C">
            <w:pPr>
              <w:tabs>
                <w:tab w:val="clear" w:pos="7100"/>
                <w:tab w:val="left" w:pos="506"/>
              </w:tabs>
              <w:jc w:val="left"/>
            </w:pPr>
            <w:r>
              <w:t>0.255</w:t>
            </w:r>
          </w:p>
        </w:tc>
      </w:tr>
      <w:tr w:rsidR="00052379" w:rsidRPr="00D87829" w14:paraId="31A08862" w14:textId="77777777" w:rsidTr="0076778E">
        <w:tc>
          <w:tcPr>
            <w:tcW w:w="1560" w:type="dxa"/>
            <w:tcBorders>
              <w:bottom w:val="single" w:sz="6" w:space="0" w:color="008000"/>
            </w:tcBorders>
            <w:shd w:val="clear" w:color="auto" w:fill="FFFFFF"/>
            <w:vAlign w:val="center"/>
          </w:tcPr>
          <w:p w14:paraId="508F7679" w14:textId="77777777" w:rsidR="00052379" w:rsidRDefault="00052379" w:rsidP="00A1575C">
            <w:pPr>
              <w:jc w:val="left"/>
            </w:pPr>
            <w:r>
              <w:t>Disposal</w:t>
            </w:r>
          </w:p>
          <w:p w14:paraId="2AC0E9FB" w14:textId="77777777" w:rsidR="00052379" w:rsidRPr="00D87829" w:rsidRDefault="00052379" w:rsidP="00A1575C">
            <w:pPr>
              <w:jc w:val="left"/>
            </w:pPr>
            <w:r>
              <w:t>of residues</w:t>
            </w:r>
          </w:p>
        </w:tc>
        <w:tc>
          <w:tcPr>
            <w:tcW w:w="992" w:type="dxa"/>
            <w:tcBorders>
              <w:bottom w:val="single" w:sz="6" w:space="0" w:color="008000"/>
            </w:tcBorders>
            <w:shd w:val="clear" w:color="auto" w:fill="FFFFFF"/>
            <w:vAlign w:val="center"/>
          </w:tcPr>
          <w:p w14:paraId="45DD1CD9" w14:textId="77777777" w:rsidR="00052379" w:rsidRPr="00D87829" w:rsidRDefault="00052379" w:rsidP="00A1575C">
            <w:pPr>
              <w:jc w:val="left"/>
            </w:pPr>
            <w:r w:rsidRPr="00D87829">
              <w:rPr>
                <w:szCs w:val="18"/>
              </w:rPr>
              <w:t>€/kg</w:t>
            </w:r>
          </w:p>
        </w:tc>
        <w:tc>
          <w:tcPr>
            <w:tcW w:w="653" w:type="dxa"/>
            <w:shd w:val="clear" w:color="auto" w:fill="FFFFFF"/>
            <w:vAlign w:val="center"/>
          </w:tcPr>
          <w:p w14:paraId="4EA8826E" w14:textId="77777777" w:rsidR="00052379" w:rsidRPr="00D87829" w:rsidRDefault="00052379" w:rsidP="00A1575C">
            <w:pPr>
              <w:tabs>
                <w:tab w:val="clear" w:pos="7100"/>
                <w:tab w:val="left" w:pos="463"/>
              </w:tabs>
              <w:jc w:val="left"/>
            </w:pPr>
            <w:r>
              <w:t>0.195</w:t>
            </w:r>
          </w:p>
        </w:tc>
      </w:tr>
      <w:tr w:rsidR="00052379" w:rsidRPr="00D87829" w14:paraId="7CC7DAA7" w14:textId="77777777" w:rsidTr="00A46E4D">
        <w:tc>
          <w:tcPr>
            <w:tcW w:w="3205" w:type="dxa"/>
            <w:gridSpan w:val="3"/>
            <w:tcBorders>
              <w:top w:val="single" w:sz="6" w:space="0" w:color="008000"/>
              <w:bottom w:val="single" w:sz="6" w:space="0" w:color="008000"/>
            </w:tcBorders>
            <w:shd w:val="clear" w:color="auto" w:fill="FFFFFF"/>
            <w:vAlign w:val="center"/>
          </w:tcPr>
          <w:p w14:paraId="769CE9F2" w14:textId="77777777" w:rsidR="00052379" w:rsidRPr="00D87829" w:rsidRDefault="00052379" w:rsidP="00A46E4D">
            <w:pPr>
              <w:jc w:val="center"/>
            </w:pPr>
            <w:r w:rsidRPr="00D87829">
              <w:rPr>
                <w:szCs w:val="18"/>
              </w:rPr>
              <w:t>Wet treatment stage</w:t>
            </w:r>
          </w:p>
        </w:tc>
      </w:tr>
      <w:tr w:rsidR="00052379" w:rsidRPr="00D87829" w14:paraId="66B15E45" w14:textId="77777777" w:rsidTr="0076778E">
        <w:tc>
          <w:tcPr>
            <w:tcW w:w="1560" w:type="dxa"/>
            <w:tcBorders>
              <w:top w:val="single" w:sz="6" w:space="0" w:color="008000"/>
            </w:tcBorders>
            <w:shd w:val="clear" w:color="auto" w:fill="FFFFFF"/>
            <w:vAlign w:val="center"/>
          </w:tcPr>
          <w:p w14:paraId="1A1C2EAF" w14:textId="77777777" w:rsidR="00052379" w:rsidRPr="00D87829" w:rsidRDefault="00052379" w:rsidP="00A1575C">
            <w:pPr>
              <w:jc w:val="left"/>
            </w:pPr>
            <w:r w:rsidRPr="00D87829">
              <w:t>NaOH</w:t>
            </w:r>
          </w:p>
        </w:tc>
        <w:tc>
          <w:tcPr>
            <w:tcW w:w="992" w:type="dxa"/>
            <w:tcBorders>
              <w:top w:val="single" w:sz="6" w:space="0" w:color="008000"/>
            </w:tcBorders>
            <w:shd w:val="clear" w:color="auto" w:fill="FFFFFF"/>
            <w:vAlign w:val="center"/>
          </w:tcPr>
          <w:p w14:paraId="4637A659" w14:textId="77777777" w:rsidR="00052379" w:rsidRPr="00D87829" w:rsidRDefault="00052379" w:rsidP="00A1575C">
            <w:pPr>
              <w:jc w:val="left"/>
            </w:pPr>
            <w:r w:rsidRPr="00D87829">
              <w:rPr>
                <w:szCs w:val="18"/>
              </w:rPr>
              <w:t>€/kg</w:t>
            </w:r>
          </w:p>
        </w:tc>
        <w:tc>
          <w:tcPr>
            <w:tcW w:w="653" w:type="dxa"/>
            <w:tcBorders>
              <w:top w:val="single" w:sz="6" w:space="0" w:color="008000"/>
            </w:tcBorders>
            <w:shd w:val="clear" w:color="auto" w:fill="FFFFFF"/>
            <w:vAlign w:val="center"/>
          </w:tcPr>
          <w:p w14:paraId="5FF575B4" w14:textId="77777777" w:rsidR="00052379" w:rsidRPr="00D87829" w:rsidRDefault="00052379" w:rsidP="00A1575C">
            <w:pPr>
              <w:tabs>
                <w:tab w:val="clear" w:pos="7100"/>
                <w:tab w:val="left" w:pos="480"/>
              </w:tabs>
              <w:jc w:val="left"/>
            </w:pPr>
            <w:r>
              <w:t>0.203</w:t>
            </w:r>
          </w:p>
        </w:tc>
      </w:tr>
      <w:tr w:rsidR="00052379" w:rsidRPr="00D87829" w14:paraId="750E8B4F" w14:textId="77777777" w:rsidTr="0076778E">
        <w:tc>
          <w:tcPr>
            <w:tcW w:w="1560" w:type="dxa"/>
            <w:tcBorders>
              <w:bottom w:val="single" w:sz="6" w:space="0" w:color="008000"/>
            </w:tcBorders>
            <w:shd w:val="clear" w:color="auto" w:fill="FFFFFF"/>
            <w:vAlign w:val="center"/>
          </w:tcPr>
          <w:p w14:paraId="3D7A5BC7" w14:textId="77777777" w:rsidR="00052379" w:rsidRPr="00D87829" w:rsidRDefault="00052379" w:rsidP="00A1575C">
            <w:pPr>
              <w:jc w:val="left"/>
            </w:pPr>
            <w:r w:rsidRPr="00D87829">
              <w:t>Water</w:t>
            </w:r>
          </w:p>
        </w:tc>
        <w:tc>
          <w:tcPr>
            <w:tcW w:w="992" w:type="dxa"/>
            <w:tcBorders>
              <w:bottom w:val="single" w:sz="6" w:space="0" w:color="008000"/>
            </w:tcBorders>
            <w:shd w:val="clear" w:color="auto" w:fill="FFFFFF"/>
            <w:vAlign w:val="center"/>
          </w:tcPr>
          <w:p w14:paraId="1A1FAB8D" w14:textId="77777777" w:rsidR="00052379" w:rsidRPr="00D87829" w:rsidRDefault="00052379" w:rsidP="00A1575C">
            <w:pPr>
              <w:jc w:val="left"/>
            </w:pPr>
            <w:r w:rsidRPr="00D87829">
              <w:rPr>
                <w:szCs w:val="18"/>
              </w:rPr>
              <w:t>€/kg</w:t>
            </w:r>
          </w:p>
        </w:tc>
        <w:tc>
          <w:tcPr>
            <w:tcW w:w="653" w:type="dxa"/>
            <w:shd w:val="clear" w:color="auto" w:fill="FFFFFF"/>
            <w:vAlign w:val="center"/>
          </w:tcPr>
          <w:p w14:paraId="4C04F3EC" w14:textId="77777777" w:rsidR="00052379" w:rsidRPr="00D87829" w:rsidRDefault="00052379" w:rsidP="00A1575C">
            <w:pPr>
              <w:tabs>
                <w:tab w:val="clear" w:pos="7100"/>
                <w:tab w:val="left" w:pos="567"/>
              </w:tabs>
              <w:jc w:val="left"/>
            </w:pPr>
            <w:r>
              <w:t>0.600</w:t>
            </w:r>
          </w:p>
        </w:tc>
      </w:tr>
      <w:tr w:rsidR="00052379" w:rsidRPr="00D87829" w14:paraId="7B17C6B4" w14:textId="77777777" w:rsidTr="00A46E4D">
        <w:tc>
          <w:tcPr>
            <w:tcW w:w="3205" w:type="dxa"/>
            <w:gridSpan w:val="3"/>
            <w:tcBorders>
              <w:top w:val="single" w:sz="6" w:space="0" w:color="008000"/>
              <w:bottom w:val="single" w:sz="6" w:space="0" w:color="008000"/>
            </w:tcBorders>
            <w:shd w:val="clear" w:color="auto" w:fill="FFFFFF"/>
            <w:vAlign w:val="center"/>
          </w:tcPr>
          <w:p w14:paraId="4A034917" w14:textId="77777777" w:rsidR="00052379" w:rsidRPr="00D87829" w:rsidRDefault="00052379" w:rsidP="00A46E4D">
            <w:pPr>
              <w:jc w:val="center"/>
            </w:pPr>
            <w:r>
              <w:t>Wastewater treatment</w:t>
            </w:r>
          </w:p>
        </w:tc>
      </w:tr>
      <w:tr w:rsidR="00052379" w:rsidRPr="00D87829" w14:paraId="5FC842A3" w14:textId="77777777" w:rsidTr="0076778E">
        <w:tc>
          <w:tcPr>
            <w:tcW w:w="1560" w:type="dxa"/>
            <w:tcBorders>
              <w:top w:val="single" w:sz="6" w:space="0" w:color="008000"/>
            </w:tcBorders>
            <w:shd w:val="clear" w:color="auto" w:fill="FFFFFF"/>
            <w:vAlign w:val="center"/>
          </w:tcPr>
          <w:p w14:paraId="5A2ECEF1" w14:textId="77777777" w:rsidR="00052379" w:rsidRPr="00D87829" w:rsidRDefault="00052379" w:rsidP="00A1575C">
            <w:pPr>
              <w:jc w:val="left"/>
            </w:pPr>
            <w:proofErr w:type="gramStart"/>
            <w:r w:rsidRPr="00D87829">
              <w:t>Ca(</w:t>
            </w:r>
            <w:proofErr w:type="gramEnd"/>
            <w:r w:rsidRPr="00D87829">
              <w:t>OH)</w:t>
            </w:r>
            <w:r w:rsidRPr="00F00B0B">
              <w:rPr>
                <w:vertAlign w:val="subscript"/>
              </w:rPr>
              <w:t>2</w:t>
            </w:r>
          </w:p>
        </w:tc>
        <w:tc>
          <w:tcPr>
            <w:tcW w:w="992" w:type="dxa"/>
            <w:tcBorders>
              <w:top w:val="single" w:sz="4" w:space="0" w:color="auto"/>
            </w:tcBorders>
            <w:shd w:val="clear" w:color="auto" w:fill="FFFFFF"/>
            <w:vAlign w:val="center"/>
          </w:tcPr>
          <w:p w14:paraId="50C5CE97" w14:textId="77777777" w:rsidR="00052379" w:rsidRPr="00D87829" w:rsidRDefault="00052379" w:rsidP="00A1575C">
            <w:pPr>
              <w:jc w:val="left"/>
            </w:pPr>
            <w:r w:rsidRPr="00D87829">
              <w:rPr>
                <w:szCs w:val="18"/>
              </w:rPr>
              <w:t>€/kg</w:t>
            </w:r>
          </w:p>
        </w:tc>
        <w:tc>
          <w:tcPr>
            <w:tcW w:w="653" w:type="dxa"/>
            <w:tcBorders>
              <w:top w:val="single" w:sz="4" w:space="0" w:color="auto"/>
            </w:tcBorders>
            <w:shd w:val="clear" w:color="auto" w:fill="FFFFFF"/>
            <w:vAlign w:val="center"/>
          </w:tcPr>
          <w:p w14:paraId="4F9344EE" w14:textId="77777777" w:rsidR="00052379" w:rsidRPr="00D87829" w:rsidRDefault="00052379" w:rsidP="00A1575C">
            <w:pPr>
              <w:tabs>
                <w:tab w:val="clear" w:pos="7100"/>
                <w:tab w:val="left" w:pos="497"/>
              </w:tabs>
              <w:jc w:val="left"/>
            </w:pPr>
            <w:r>
              <w:t>0.022</w:t>
            </w:r>
          </w:p>
        </w:tc>
      </w:tr>
    </w:tbl>
    <w:p w14:paraId="0B7D078D" w14:textId="77777777" w:rsidR="0078630B" w:rsidRDefault="0078630B" w:rsidP="00600535">
      <w:pPr>
        <w:pStyle w:val="CETBodytext"/>
        <w:rPr>
          <w:lang w:val="en-GB"/>
        </w:rPr>
      </w:pPr>
    </w:p>
    <w:p w14:paraId="58F1A553" w14:textId="77777777" w:rsidR="00C718FC" w:rsidRPr="00B57B36" w:rsidRDefault="00C718FC" w:rsidP="00C718FC">
      <w:pPr>
        <w:pStyle w:val="CETHeading1"/>
        <w:tabs>
          <w:tab w:val="num" w:pos="360"/>
        </w:tabs>
        <w:rPr>
          <w:lang w:val="en-GB"/>
        </w:rPr>
      </w:pPr>
      <w:r>
        <w:rPr>
          <w:lang w:val="en-GB"/>
        </w:rPr>
        <w:t>Results and discussion</w:t>
      </w:r>
    </w:p>
    <w:p w14:paraId="3EC11CC6" w14:textId="0207B23A" w:rsidR="00475E7D" w:rsidRDefault="00C718FC" w:rsidP="0076778E">
      <w:pPr>
        <w:pStyle w:val="CETBodytext"/>
        <w:rPr>
          <w:lang w:val="en-GB"/>
        </w:rPr>
      </w:pPr>
      <w:bookmarkStart w:id="3" w:name="_Hlk158911508"/>
      <w:r>
        <w:rPr>
          <w:lang w:val="en-GB"/>
        </w:rPr>
        <w:t xml:space="preserve">The results of the economic analysis for the two different cases of flue gas composition are reported in Figure 2. </w:t>
      </w:r>
      <w:r w:rsidRPr="008C3096">
        <w:rPr>
          <w:lang w:val="en-GB"/>
        </w:rPr>
        <w:t xml:space="preserve">It is evident that the retrofit has an overall cost-reducing effect on operations. The most pronounced benefit from the retrofit is observed with </w:t>
      </w:r>
      <w:r>
        <w:rPr>
          <w:lang w:val="en-GB"/>
        </w:rPr>
        <w:t xml:space="preserve">a </w:t>
      </w:r>
      <w:r w:rsidRPr="008C3096">
        <w:rPr>
          <w:lang w:val="en-GB"/>
        </w:rPr>
        <w:t>lower SO</w:t>
      </w:r>
      <w:r w:rsidRPr="008C3096">
        <w:rPr>
          <w:vertAlign w:val="subscript"/>
          <w:lang w:val="en-GB"/>
        </w:rPr>
        <w:t xml:space="preserve">2 </w:t>
      </w:r>
      <w:r>
        <w:rPr>
          <w:lang w:val="en-GB"/>
        </w:rPr>
        <w:t>load in the inlet gas</w:t>
      </w:r>
      <w:r w:rsidRPr="008C3096">
        <w:rPr>
          <w:lang w:val="en-GB"/>
        </w:rPr>
        <w:t>, showcasing reductions of up to 50</w:t>
      </w:r>
      <w:r w:rsidR="005E2F0E">
        <w:rPr>
          <w:lang w:val="en-GB"/>
        </w:rPr>
        <w:t xml:space="preserve"> </w:t>
      </w:r>
      <w:r w:rsidRPr="008C3096">
        <w:rPr>
          <w:lang w:val="en-GB"/>
        </w:rPr>
        <w:t xml:space="preserve">%, whereas its impact is less prominent in the </w:t>
      </w:r>
      <w:r>
        <w:rPr>
          <w:lang w:val="en-GB"/>
        </w:rPr>
        <w:t>case of high SO</w:t>
      </w:r>
      <w:r w:rsidRPr="00FB60EA">
        <w:rPr>
          <w:vertAlign w:val="subscript"/>
          <w:lang w:val="en-GB"/>
        </w:rPr>
        <w:t>2</w:t>
      </w:r>
      <w:r>
        <w:rPr>
          <w:lang w:val="en-GB"/>
        </w:rPr>
        <w:t xml:space="preserve"> that imposes high </w:t>
      </w:r>
      <w:r w:rsidR="00D779C4">
        <w:rPr>
          <w:lang w:val="en-GB"/>
        </w:rPr>
        <w:t>acid gas removal</w:t>
      </w:r>
      <w:r>
        <w:rPr>
          <w:lang w:val="en-GB"/>
        </w:rPr>
        <w:t xml:space="preserve"> in the dry stages to comply with the C</w:t>
      </w:r>
      <w:r w:rsidRPr="001B23D0">
        <w:rPr>
          <w:vertAlign w:val="subscript"/>
          <w:lang w:val="en-GB"/>
        </w:rPr>
        <w:t>SO2</w:t>
      </w:r>
      <w:r>
        <w:rPr>
          <w:vertAlign w:val="subscript"/>
          <w:lang w:val="en-GB"/>
        </w:rPr>
        <w:t>, SCR</w:t>
      </w:r>
      <w:r>
        <w:rPr>
          <w:lang w:val="en-GB"/>
        </w:rPr>
        <w:t xml:space="preserve"> constraints. </w:t>
      </w:r>
      <w:r w:rsidR="00475E7D">
        <w:rPr>
          <w:lang w:val="en-GB"/>
        </w:rPr>
        <w:t xml:space="preserve">Generally speaking, </w:t>
      </w:r>
      <w:r w:rsidR="00C763DC">
        <w:rPr>
          <w:lang w:val="en-GB"/>
        </w:rPr>
        <w:t xml:space="preserve">at equal overall abatement performance, </w:t>
      </w:r>
      <w:r w:rsidR="00475E7D">
        <w:rPr>
          <w:lang w:val="en-GB"/>
        </w:rPr>
        <w:t xml:space="preserve">the </w:t>
      </w:r>
      <w:r w:rsidR="00FB1F06">
        <w:rPr>
          <w:lang w:val="en-GB"/>
        </w:rPr>
        <w:t xml:space="preserve">lower the utilization of the dry stages the lower the costs, thanks to </w:t>
      </w:r>
      <w:r w:rsidR="00C763DC">
        <w:rPr>
          <w:lang w:val="en-GB"/>
        </w:rPr>
        <w:t>the higher efficiency of the wet scrubbing section in the removal of acid pollutants.</w:t>
      </w:r>
    </w:p>
    <w:p w14:paraId="0D1444D1" w14:textId="253963F9" w:rsidR="00C718FC" w:rsidRDefault="00C718FC" w:rsidP="0076778E">
      <w:pPr>
        <w:pStyle w:val="CETBodytext"/>
        <w:rPr>
          <w:lang w:val="en-GB"/>
        </w:rPr>
      </w:pPr>
      <w:r>
        <w:rPr>
          <w:lang w:val="en-GB"/>
        </w:rPr>
        <w:t>The distribution of the different cost contributions varies significantly with the inlet flue gas composition and the C</w:t>
      </w:r>
      <w:r w:rsidRPr="001B23D0">
        <w:rPr>
          <w:vertAlign w:val="subscript"/>
          <w:lang w:val="en-GB"/>
        </w:rPr>
        <w:t>SO2</w:t>
      </w:r>
      <w:r>
        <w:rPr>
          <w:vertAlign w:val="subscript"/>
          <w:lang w:val="en-GB"/>
        </w:rPr>
        <w:t>, SCR</w:t>
      </w:r>
      <w:r>
        <w:rPr>
          <w:lang w:val="en-GB"/>
        </w:rPr>
        <w:t xml:space="preserve"> constraints. </w:t>
      </w:r>
      <w:r w:rsidR="00D779C4">
        <w:rPr>
          <w:lang w:val="en-GB"/>
        </w:rPr>
        <w:t>In general</w:t>
      </w:r>
      <w:r>
        <w:rPr>
          <w:lang w:val="en-GB"/>
        </w:rPr>
        <w:t>, sodium bicarbonate is highly reactive towards both HCl and SO</w:t>
      </w:r>
      <w:r w:rsidRPr="004241CD">
        <w:rPr>
          <w:vertAlign w:val="subscript"/>
          <w:lang w:val="en-GB"/>
        </w:rPr>
        <w:t>2</w:t>
      </w:r>
      <w:r>
        <w:rPr>
          <w:lang w:val="en-GB"/>
        </w:rPr>
        <w:t>, while dolomitic lime demonstrates higher reactivity towards SO</w:t>
      </w:r>
      <w:r w:rsidRPr="004241CD">
        <w:rPr>
          <w:vertAlign w:val="subscript"/>
          <w:lang w:val="en-GB"/>
        </w:rPr>
        <w:t>2</w:t>
      </w:r>
      <w:r>
        <w:rPr>
          <w:lang w:val="en-GB"/>
        </w:rPr>
        <w:t xml:space="preserve"> compared to HCl (</w:t>
      </w:r>
      <w:proofErr w:type="spellStart"/>
      <w:r>
        <w:rPr>
          <w:lang w:val="en-GB"/>
        </w:rPr>
        <w:t>Tamascelli</w:t>
      </w:r>
      <w:proofErr w:type="spellEnd"/>
      <w:r>
        <w:rPr>
          <w:lang w:val="en-GB"/>
        </w:rPr>
        <w:t xml:space="preserve"> et al., 2024). </w:t>
      </w:r>
      <w:r w:rsidRPr="008C3096">
        <w:rPr>
          <w:lang w:val="en-GB"/>
        </w:rPr>
        <w:t>Consequently, in situations where flue gas concentration levels do not necessitate stringent abatement performance, dolomitic lime emerges as the preferred choice</w:t>
      </w:r>
      <w:r>
        <w:rPr>
          <w:lang w:val="en-GB"/>
        </w:rPr>
        <w:t>. Conversely,</w:t>
      </w:r>
      <w:r w:rsidRPr="008C3096">
        <w:t xml:space="preserve"> </w:t>
      </w:r>
      <w:r w:rsidRPr="008C3096">
        <w:rPr>
          <w:lang w:val="en-GB"/>
        </w:rPr>
        <w:t xml:space="preserve">addressing </w:t>
      </w:r>
      <w:r>
        <w:rPr>
          <w:lang w:val="en-GB"/>
        </w:rPr>
        <w:t>high</w:t>
      </w:r>
      <w:r w:rsidRPr="008C3096">
        <w:rPr>
          <w:lang w:val="en-GB"/>
        </w:rPr>
        <w:t xml:space="preserve"> </w:t>
      </w:r>
      <w:r>
        <w:rPr>
          <w:lang w:val="en-GB"/>
        </w:rPr>
        <w:t>SO</w:t>
      </w:r>
      <w:r w:rsidRPr="00EB0EBB">
        <w:rPr>
          <w:vertAlign w:val="subscript"/>
          <w:lang w:val="en-GB"/>
        </w:rPr>
        <w:t>2</w:t>
      </w:r>
      <w:r>
        <w:rPr>
          <w:lang w:val="en-GB"/>
        </w:rPr>
        <w:t xml:space="preserve"> abatement requirements</w:t>
      </w:r>
      <w:r w:rsidRPr="008C3096">
        <w:rPr>
          <w:lang w:val="en-GB"/>
        </w:rPr>
        <w:t xml:space="preserve"> necessitates </w:t>
      </w:r>
      <w:r>
        <w:rPr>
          <w:lang w:val="en-GB"/>
        </w:rPr>
        <w:t>a high</w:t>
      </w:r>
      <w:r w:rsidRPr="008C3096">
        <w:rPr>
          <w:lang w:val="en-GB"/>
        </w:rPr>
        <w:t xml:space="preserve"> </w:t>
      </w:r>
      <w:r>
        <w:rPr>
          <w:lang w:val="en-GB"/>
        </w:rPr>
        <w:t>feed</w:t>
      </w:r>
      <w:r w:rsidRPr="008C3096">
        <w:rPr>
          <w:lang w:val="en-GB"/>
        </w:rPr>
        <w:t xml:space="preserve"> of both dolomitic lime and sodium bicarbonate</w:t>
      </w:r>
      <w:bookmarkEnd w:id="3"/>
      <w:r w:rsidRPr="008C3096">
        <w:rPr>
          <w:lang w:val="en-GB"/>
        </w:rPr>
        <w:t>.</w:t>
      </w:r>
    </w:p>
    <w:p w14:paraId="7C5F7A48" w14:textId="4667EC0D" w:rsidR="00C718FC" w:rsidRPr="00E52E82" w:rsidRDefault="00307BD9" w:rsidP="00E52E82">
      <w:pPr>
        <w:pStyle w:val="CETBodytext"/>
        <w:rPr>
          <w:lang w:val="en-GB"/>
        </w:rPr>
      </w:pPr>
      <w:r>
        <w:rPr>
          <w:noProof/>
          <w:lang w:val="en-GB"/>
        </w:rPr>
        <w:drawing>
          <wp:inline distT="0" distB="0" distL="0" distR="0" wp14:anchorId="3AAD3C83" wp14:editId="4295DCF3">
            <wp:extent cx="5719445" cy="2087217"/>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6353"/>
                    <a:stretch/>
                  </pic:blipFill>
                  <pic:spPr bwMode="auto">
                    <a:xfrm>
                      <a:off x="0" y="0"/>
                      <a:ext cx="5786757" cy="2111781"/>
                    </a:xfrm>
                    <a:prstGeom prst="rect">
                      <a:avLst/>
                    </a:prstGeom>
                    <a:noFill/>
                    <a:ln>
                      <a:noFill/>
                    </a:ln>
                    <a:extLst>
                      <a:ext uri="{53640926-AAD7-44D8-BBD7-CCE9431645EC}">
                        <a14:shadowObscured xmlns:a14="http://schemas.microsoft.com/office/drawing/2010/main"/>
                      </a:ext>
                    </a:extLst>
                  </pic:spPr>
                </pic:pic>
              </a:graphicData>
            </a:graphic>
          </wp:inline>
        </w:drawing>
      </w:r>
      <w:r w:rsidR="00C718FC" w:rsidRPr="003C0AE3">
        <w:rPr>
          <w:i/>
          <w:iCs/>
        </w:rPr>
        <w:t>Figure 2: Operating costs for the reference (existing FGT) and integrated configuration</w:t>
      </w:r>
      <w:r w:rsidR="00C718FC">
        <w:rPr>
          <w:i/>
          <w:iCs/>
        </w:rPr>
        <w:t>s (Retrofit) at different SO</w:t>
      </w:r>
      <w:r w:rsidR="00C718FC" w:rsidRPr="002A6A30">
        <w:rPr>
          <w:i/>
          <w:iCs/>
          <w:vertAlign w:val="subscript"/>
        </w:rPr>
        <w:t>2</w:t>
      </w:r>
      <w:r w:rsidR="00C718FC">
        <w:rPr>
          <w:i/>
          <w:iCs/>
        </w:rPr>
        <w:t xml:space="preserve"> concentrations at the treatment line inlet. a) Low SO</w:t>
      </w:r>
      <w:r w:rsidR="00C718FC" w:rsidRPr="00D235A2">
        <w:rPr>
          <w:i/>
          <w:iCs/>
          <w:vertAlign w:val="subscript"/>
        </w:rPr>
        <w:t>2</w:t>
      </w:r>
      <w:r w:rsidR="00C718FC">
        <w:rPr>
          <w:i/>
          <w:iCs/>
        </w:rPr>
        <w:t xml:space="preserve"> concentration (Case 1); b) High SO</w:t>
      </w:r>
      <w:r w:rsidR="00C718FC" w:rsidRPr="00D235A2">
        <w:rPr>
          <w:i/>
          <w:iCs/>
          <w:vertAlign w:val="subscript"/>
        </w:rPr>
        <w:t>2</w:t>
      </w:r>
      <w:r w:rsidR="00C718FC">
        <w:rPr>
          <w:i/>
          <w:iCs/>
        </w:rPr>
        <w:t xml:space="preserve"> concentration (Case 2).</w:t>
      </w:r>
    </w:p>
    <w:p w14:paraId="2425AE35" w14:textId="0FF0A639" w:rsidR="00C718FC" w:rsidRDefault="004E7BFA" w:rsidP="004E7BFA">
      <w:pPr>
        <w:pStyle w:val="CETCaption"/>
        <w:spacing w:before="60"/>
      </w:pPr>
      <w:r>
        <w:rPr>
          <w:noProof/>
        </w:rPr>
        <w:lastRenderedPageBreak/>
        <w:drawing>
          <wp:inline distT="0" distB="0" distL="0" distR="0" wp14:anchorId="326771FE" wp14:editId="54C985A3">
            <wp:extent cx="5612752" cy="2466975"/>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7148" cy="2477698"/>
                    </a:xfrm>
                    <a:prstGeom prst="rect">
                      <a:avLst/>
                    </a:prstGeom>
                    <a:noFill/>
                  </pic:spPr>
                </pic:pic>
              </a:graphicData>
            </a:graphic>
          </wp:inline>
        </w:drawing>
      </w:r>
      <w:r w:rsidR="00C718FC" w:rsidRPr="00B57B36">
        <w:t xml:space="preserve">Figure </w:t>
      </w:r>
      <w:r w:rsidR="00C718FC">
        <w:t>3</w:t>
      </w:r>
      <w:r w:rsidR="00C718FC" w:rsidRPr="00B57B36">
        <w:t xml:space="preserve">: </w:t>
      </w:r>
      <w:r w:rsidR="00C718FC">
        <w:t>Reactant consumption and related waste production for the reference and integrated configuration. Each column referred to the reactant consumption is coupled with a dotted column, representative of the waste production.</w:t>
      </w:r>
    </w:p>
    <w:p w14:paraId="2ABBFFAD" w14:textId="77777777" w:rsidR="006E516F" w:rsidRDefault="00C718FC" w:rsidP="004C5556">
      <w:pPr>
        <w:pStyle w:val="CETCaption"/>
        <w:spacing w:before="60"/>
        <w:rPr>
          <w:i w:val="0"/>
          <w:iCs/>
        </w:rPr>
      </w:pPr>
      <w:bookmarkStart w:id="4" w:name="_Hlk158911517"/>
      <w:r>
        <w:rPr>
          <w:i w:val="0"/>
          <w:iCs/>
        </w:rPr>
        <w:t xml:space="preserve">The impact of the retrofit can also be </w:t>
      </w:r>
      <w:proofErr w:type="spellStart"/>
      <w:r w:rsidR="00A63536">
        <w:rPr>
          <w:i w:val="0"/>
          <w:iCs/>
        </w:rPr>
        <w:t>analyzed</w:t>
      </w:r>
      <w:proofErr w:type="spellEnd"/>
      <w:r>
        <w:rPr>
          <w:i w:val="0"/>
          <w:iCs/>
        </w:rPr>
        <w:t xml:space="preserve"> from the environmental perspective, in terms of material consumption and waste generation. </w:t>
      </w:r>
      <w:r w:rsidRPr="008C3096">
        <w:rPr>
          <w:i w:val="0"/>
          <w:iCs/>
        </w:rPr>
        <w:t xml:space="preserve">Figure 3 illustrates the mass flow rates of reactants utilized in each stage alongside the corresponding waste generated. </w:t>
      </w:r>
      <w:r>
        <w:rPr>
          <w:i w:val="0"/>
          <w:iCs/>
        </w:rPr>
        <w:t xml:space="preserve">A positive environmental impact in this context is dependent on the </w:t>
      </w:r>
      <w:r w:rsidRPr="00A125A8">
        <w:rPr>
          <w:i w:val="0"/>
          <w:iCs/>
        </w:rPr>
        <w:t>C</w:t>
      </w:r>
      <w:r w:rsidRPr="00A125A8">
        <w:rPr>
          <w:i w:val="0"/>
          <w:iCs/>
          <w:vertAlign w:val="subscript"/>
        </w:rPr>
        <w:t>SO2, SCR</w:t>
      </w:r>
      <w:r w:rsidRPr="00A125A8">
        <w:rPr>
          <w:i w:val="0"/>
          <w:iCs/>
        </w:rPr>
        <w:t xml:space="preserve"> constraints</w:t>
      </w:r>
      <w:r>
        <w:rPr>
          <w:i w:val="0"/>
          <w:iCs/>
        </w:rPr>
        <w:t xml:space="preserve">. If a </w:t>
      </w:r>
      <w:r w:rsidRPr="00A125A8">
        <w:rPr>
          <w:i w:val="0"/>
          <w:iCs/>
        </w:rPr>
        <w:t>C</w:t>
      </w:r>
      <w:r w:rsidRPr="00A125A8">
        <w:rPr>
          <w:i w:val="0"/>
          <w:iCs/>
          <w:vertAlign w:val="subscript"/>
        </w:rPr>
        <w:t>SO2, SCR</w:t>
      </w:r>
      <w:r>
        <w:rPr>
          <w:i w:val="0"/>
          <w:iCs/>
          <w:vertAlign w:val="subscript"/>
        </w:rPr>
        <w:t xml:space="preserve"> </w:t>
      </w:r>
      <w:r>
        <w:rPr>
          <w:i w:val="0"/>
          <w:iCs/>
        </w:rPr>
        <w:t>= 30 mg/Nm</w:t>
      </w:r>
      <w:r w:rsidRPr="00A125A8">
        <w:rPr>
          <w:i w:val="0"/>
          <w:iCs/>
          <w:vertAlign w:val="superscript"/>
        </w:rPr>
        <w:t>3</w:t>
      </w:r>
      <w:r>
        <w:rPr>
          <w:i w:val="0"/>
          <w:iCs/>
        </w:rPr>
        <w:t xml:space="preserve"> is permissible at the SCR inlet, the retrofit can realize up to a 40</w:t>
      </w:r>
      <w:r w:rsidR="009E42E4">
        <w:rPr>
          <w:i w:val="0"/>
          <w:iCs/>
        </w:rPr>
        <w:t xml:space="preserve"> </w:t>
      </w:r>
      <w:r>
        <w:rPr>
          <w:i w:val="0"/>
          <w:iCs/>
        </w:rPr>
        <w:t xml:space="preserve">% reduction in overall waste generation from the acid gas treatment system. Vice versa, negligible effects are observed if the stricter </w:t>
      </w:r>
      <w:r w:rsidRPr="00A125A8">
        <w:rPr>
          <w:i w:val="0"/>
          <w:iCs/>
        </w:rPr>
        <w:t>C</w:t>
      </w:r>
      <w:r w:rsidRPr="00A125A8">
        <w:rPr>
          <w:i w:val="0"/>
          <w:iCs/>
          <w:vertAlign w:val="subscript"/>
        </w:rPr>
        <w:t>SO2, SCR</w:t>
      </w:r>
      <w:r>
        <w:rPr>
          <w:i w:val="0"/>
          <w:iCs/>
          <w:vertAlign w:val="subscript"/>
        </w:rPr>
        <w:t xml:space="preserve"> </w:t>
      </w:r>
      <w:r>
        <w:rPr>
          <w:i w:val="0"/>
          <w:iCs/>
        </w:rPr>
        <w:t>limits of 5 or 15 mg/Nm</w:t>
      </w:r>
      <w:r w:rsidRPr="00A125A8">
        <w:rPr>
          <w:i w:val="0"/>
          <w:iCs/>
          <w:vertAlign w:val="superscript"/>
        </w:rPr>
        <w:t>3</w:t>
      </w:r>
      <w:r>
        <w:rPr>
          <w:i w:val="0"/>
          <w:iCs/>
        </w:rPr>
        <w:t xml:space="preserve"> have to be applied. </w:t>
      </w:r>
    </w:p>
    <w:p w14:paraId="1A5F9E68" w14:textId="554DF4FA" w:rsidR="00C718FC" w:rsidRPr="004C5556" w:rsidRDefault="00C718FC" w:rsidP="004C5556">
      <w:pPr>
        <w:pStyle w:val="CETCaption"/>
        <w:spacing w:before="60"/>
        <w:rPr>
          <w:i w:val="0"/>
          <w:iCs/>
        </w:rPr>
      </w:pPr>
      <w:r w:rsidRPr="004C5556">
        <w:rPr>
          <w:i w:val="0"/>
          <w:iCs/>
        </w:rPr>
        <w:t xml:space="preserve">To better quantify the overall economics of introducing the wet retrofit for a </w:t>
      </w:r>
      <w:proofErr w:type="spellStart"/>
      <w:r w:rsidRPr="004C5556">
        <w:rPr>
          <w:i w:val="0"/>
          <w:iCs/>
        </w:rPr>
        <w:t>WtE</w:t>
      </w:r>
      <w:proofErr w:type="spellEnd"/>
      <w:r w:rsidRPr="004C5556">
        <w:rPr>
          <w:i w:val="0"/>
          <w:iCs/>
        </w:rPr>
        <w:t xml:space="preserve"> plant, a projection of the operating costs over 10 years of plant operation was performed in Table 3, considering a reference size of the FGT line of 45,000 Nm</w:t>
      </w:r>
      <w:r w:rsidRPr="004C5556">
        <w:rPr>
          <w:i w:val="0"/>
          <w:iCs/>
          <w:vertAlign w:val="superscript"/>
        </w:rPr>
        <w:t>3</w:t>
      </w:r>
      <w:r w:rsidRPr="004C5556">
        <w:rPr>
          <w:i w:val="0"/>
          <w:iCs/>
        </w:rPr>
        <w:t>/h. The analysis uses the existing FGT line as a reference, characterized by an HCl stack concentration of 0.5 mg/Nm</w:t>
      </w:r>
      <w:r w:rsidRPr="004C5556">
        <w:rPr>
          <w:i w:val="0"/>
          <w:iCs/>
          <w:vertAlign w:val="superscript"/>
        </w:rPr>
        <w:t>3,</w:t>
      </w:r>
      <w:r w:rsidRPr="004C5556">
        <w:rPr>
          <w:i w:val="0"/>
          <w:iCs/>
        </w:rPr>
        <w:t xml:space="preserve"> and a limit value of SO</w:t>
      </w:r>
      <w:r w:rsidRPr="004C5556">
        <w:rPr>
          <w:i w:val="0"/>
          <w:iCs/>
          <w:vertAlign w:val="subscript"/>
        </w:rPr>
        <w:t xml:space="preserve">2 </w:t>
      </w:r>
      <w:r w:rsidRPr="004C5556">
        <w:rPr>
          <w:i w:val="0"/>
          <w:iCs/>
        </w:rPr>
        <w:t>concentration at the SCR level of 5 mg/Nm</w:t>
      </w:r>
      <w:r w:rsidRPr="004C5556">
        <w:rPr>
          <w:i w:val="0"/>
          <w:iCs/>
          <w:vertAlign w:val="superscript"/>
        </w:rPr>
        <w:t>3</w:t>
      </w:r>
      <w:r w:rsidRPr="004C5556">
        <w:rPr>
          <w:i w:val="0"/>
          <w:iCs/>
        </w:rPr>
        <w:t>. Considering the reference plant characterized by an inlet SO</w:t>
      </w:r>
      <w:r w:rsidRPr="004C5556">
        <w:rPr>
          <w:i w:val="0"/>
          <w:iCs/>
          <w:vertAlign w:val="subscript"/>
        </w:rPr>
        <w:t>2</w:t>
      </w:r>
      <w:r w:rsidRPr="004C5556">
        <w:rPr>
          <w:i w:val="0"/>
          <w:iCs/>
        </w:rPr>
        <w:t xml:space="preserve"> concentration of 100 mg/Nm</w:t>
      </w:r>
      <w:r w:rsidRPr="004C5556">
        <w:rPr>
          <w:i w:val="0"/>
          <w:iCs/>
          <w:vertAlign w:val="superscript"/>
        </w:rPr>
        <w:t>3</w:t>
      </w:r>
      <w:r w:rsidRPr="004C5556">
        <w:rPr>
          <w:i w:val="0"/>
          <w:iCs/>
        </w:rPr>
        <w:t xml:space="preserve">, the introduction of the additional wet treatment stage could result in total savings of 1.4 million </w:t>
      </w:r>
      <w:r w:rsidRPr="004C5556">
        <w:rPr>
          <w:i w:val="0"/>
          <w:iCs/>
          <w:szCs w:val="18"/>
        </w:rPr>
        <w:t>€</w:t>
      </w:r>
      <w:r w:rsidRPr="004C5556">
        <w:rPr>
          <w:i w:val="0"/>
          <w:iCs/>
        </w:rPr>
        <w:t xml:space="preserve">, corresponding to a net present value of 1 million </w:t>
      </w:r>
      <w:r w:rsidRPr="004C5556">
        <w:rPr>
          <w:i w:val="0"/>
          <w:iCs/>
          <w:szCs w:val="18"/>
        </w:rPr>
        <w:t>€</w:t>
      </w:r>
      <w:r w:rsidRPr="004C5556">
        <w:rPr>
          <w:i w:val="0"/>
          <w:iCs/>
        </w:rPr>
        <w:t>, assuming an interest rate of 5 %. Such figures can be compared to estimates of the investment cost for the wet scrubbing section, in order to assess the net economic benefit of the retrofit.</w:t>
      </w:r>
    </w:p>
    <w:bookmarkEnd w:id="4"/>
    <w:p w14:paraId="614CB686" w14:textId="77777777" w:rsidR="00C718FC" w:rsidRPr="009378F0" w:rsidRDefault="00C718FC" w:rsidP="00C718FC">
      <w:pPr>
        <w:pStyle w:val="CET-table-title"/>
        <w:rPr>
          <w:lang w:val="en-GB"/>
        </w:rPr>
      </w:pPr>
      <w:r>
        <w:rPr>
          <w:lang w:val="en-GB"/>
        </w:rPr>
        <w:t>Table 3: Costs given by retrofit for a reference size of the flue gas treatment line equal to 45,000 Nm</w:t>
      </w:r>
      <w:r w:rsidRPr="00AD08DA">
        <w:rPr>
          <w:vertAlign w:val="superscript"/>
          <w:lang w:val="en-GB"/>
        </w:rPr>
        <w:t>3</w:t>
      </w:r>
      <w:r>
        <w:rPr>
          <w:lang w:val="en-GB"/>
        </w:rPr>
        <w:t xml:space="preserve">/h.    </w:t>
      </w:r>
    </w:p>
    <w:tbl>
      <w:tblPr>
        <w:tblW w:w="482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54"/>
        <w:gridCol w:w="1765"/>
        <w:gridCol w:w="118"/>
        <w:gridCol w:w="1584"/>
      </w:tblGrid>
      <w:tr w:rsidR="00C718FC" w:rsidRPr="00B02EE6" w14:paraId="2D5A0117" w14:textId="77777777" w:rsidTr="00A46E4D">
        <w:trPr>
          <w:trHeight w:val="368"/>
        </w:trPr>
        <w:tc>
          <w:tcPr>
            <w:tcW w:w="4821" w:type="dxa"/>
            <w:gridSpan w:val="4"/>
            <w:tcBorders>
              <w:top w:val="single" w:sz="12" w:space="0" w:color="008000"/>
              <w:bottom w:val="single" w:sz="6" w:space="0" w:color="008000"/>
            </w:tcBorders>
            <w:shd w:val="clear" w:color="auto" w:fill="FFFFFF"/>
            <w:vAlign w:val="center"/>
          </w:tcPr>
          <w:p w14:paraId="57031C1A" w14:textId="77777777" w:rsidR="00C718FC" w:rsidRPr="00944BC8" w:rsidRDefault="00C718FC" w:rsidP="00A46E4D">
            <w:pPr>
              <w:jc w:val="center"/>
            </w:pPr>
            <w:r w:rsidRPr="00944BC8">
              <w:t>Cumulative operating costs</w:t>
            </w:r>
            <w:r>
              <w:t xml:space="preserve"> over</w:t>
            </w:r>
            <w:r w:rsidRPr="00944BC8">
              <w:t xml:space="preserve"> 10 years</w:t>
            </w:r>
            <w:r>
              <w:t xml:space="preserve"> [M</w:t>
            </w:r>
            <w:r w:rsidRPr="00D87829">
              <w:rPr>
                <w:szCs w:val="18"/>
              </w:rPr>
              <w:t>€</w:t>
            </w:r>
            <w:r>
              <w:rPr>
                <w:szCs w:val="18"/>
              </w:rPr>
              <w:t>]</w:t>
            </w:r>
          </w:p>
        </w:tc>
      </w:tr>
      <w:tr w:rsidR="00C718FC" w:rsidRPr="00B02EE6" w14:paraId="11AA0709" w14:textId="77777777" w:rsidTr="00A46E4D">
        <w:trPr>
          <w:trHeight w:val="279"/>
        </w:trPr>
        <w:tc>
          <w:tcPr>
            <w:tcW w:w="3119" w:type="dxa"/>
            <w:gridSpan w:val="2"/>
            <w:tcBorders>
              <w:top w:val="single" w:sz="12" w:space="0" w:color="008000"/>
              <w:bottom w:val="single" w:sz="6" w:space="0" w:color="008000"/>
            </w:tcBorders>
            <w:shd w:val="clear" w:color="auto" w:fill="FFFFFF"/>
            <w:vAlign w:val="center"/>
          </w:tcPr>
          <w:p w14:paraId="70E89B8E" w14:textId="2E273FB7" w:rsidR="00C718FC" w:rsidRPr="00944BC8" w:rsidRDefault="00C718FC" w:rsidP="00584CD6">
            <w:r>
              <w:t xml:space="preserve">                          </w:t>
            </w:r>
            <w:r w:rsidR="00584CD6">
              <w:t xml:space="preserve"> </w:t>
            </w:r>
            <w:r w:rsidRPr="00944BC8">
              <w:t>Case 1</w:t>
            </w:r>
          </w:p>
        </w:tc>
        <w:tc>
          <w:tcPr>
            <w:tcW w:w="1702" w:type="dxa"/>
            <w:gridSpan w:val="2"/>
            <w:tcBorders>
              <w:top w:val="single" w:sz="12" w:space="0" w:color="008000"/>
              <w:bottom w:val="single" w:sz="6" w:space="0" w:color="008000"/>
            </w:tcBorders>
            <w:shd w:val="clear" w:color="auto" w:fill="FFFFFF"/>
            <w:vAlign w:val="center"/>
          </w:tcPr>
          <w:p w14:paraId="26A48C60" w14:textId="2875375A" w:rsidR="00C718FC" w:rsidRPr="00944BC8" w:rsidRDefault="00584CD6" w:rsidP="00EE5713">
            <w:pPr>
              <w:jc w:val="left"/>
            </w:pPr>
            <w:r>
              <w:t xml:space="preserve">  </w:t>
            </w:r>
            <w:r w:rsidR="00C718FC" w:rsidRPr="00944BC8">
              <w:t>Case</w:t>
            </w:r>
            <w:r w:rsidR="00C718FC">
              <w:t xml:space="preserve"> </w:t>
            </w:r>
            <w:r w:rsidR="00C718FC" w:rsidRPr="00944BC8">
              <w:t>2</w:t>
            </w:r>
          </w:p>
        </w:tc>
      </w:tr>
      <w:tr w:rsidR="00C718FC" w:rsidRPr="00B02EE6" w14:paraId="27178C94" w14:textId="77777777" w:rsidTr="00A46E4D">
        <w:trPr>
          <w:trHeight w:val="571"/>
        </w:trPr>
        <w:tc>
          <w:tcPr>
            <w:tcW w:w="1354" w:type="dxa"/>
            <w:shd w:val="clear" w:color="auto" w:fill="FFFFFF"/>
            <w:vAlign w:val="center"/>
          </w:tcPr>
          <w:p w14:paraId="42DC94AC" w14:textId="77777777" w:rsidR="00C718FC" w:rsidRPr="00944BC8" w:rsidRDefault="00C718FC" w:rsidP="00EE5713">
            <w:pPr>
              <w:jc w:val="left"/>
            </w:pPr>
            <w:r w:rsidRPr="00944BC8">
              <w:t>Existing</w:t>
            </w:r>
          </w:p>
          <w:p w14:paraId="2340715D" w14:textId="77777777" w:rsidR="00C718FC" w:rsidRPr="00944BC8" w:rsidRDefault="00C718FC" w:rsidP="00EE5713">
            <w:pPr>
              <w:jc w:val="left"/>
            </w:pPr>
            <w:r w:rsidRPr="00944BC8">
              <w:t>FGT</w:t>
            </w:r>
            <w:r w:rsidRPr="00944BC8">
              <w:rPr>
                <w:b/>
                <w:bCs/>
              </w:rPr>
              <w:t>*</w:t>
            </w:r>
          </w:p>
        </w:tc>
        <w:tc>
          <w:tcPr>
            <w:tcW w:w="1883" w:type="dxa"/>
            <w:gridSpan w:val="2"/>
            <w:shd w:val="clear" w:color="auto" w:fill="FFFFFF"/>
            <w:vAlign w:val="center"/>
          </w:tcPr>
          <w:p w14:paraId="7A49BF51" w14:textId="77777777" w:rsidR="00C718FC" w:rsidRPr="00944BC8" w:rsidRDefault="00C718FC" w:rsidP="00EE5713">
            <w:pPr>
              <w:jc w:val="left"/>
            </w:pPr>
            <w:r w:rsidRPr="00944BC8">
              <w:t>5.1</w:t>
            </w:r>
          </w:p>
        </w:tc>
        <w:tc>
          <w:tcPr>
            <w:tcW w:w="1584" w:type="dxa"/>
            <w:shd w:val="clear" w:color="auto" w:fill="FFFFFF"/>
            <w:vAlign w:val="center"/>
          </w:tcPr>
          <w:p w14:paraId="7A3D9204" w14:textId="77777777" w:rsidR="00C718FC" w:rsidRPr="00944BC8" w:rsidRDefault="00C718FC" w:rsidP="00EE5713">
            <w:pPr>
              <w:jc w:val="left"/>
            </w:pPr>
            <w:r w:rsidRPr="00944BC8">
              <w:t>5.9</w:t>
            </w:r>
          </w:p>
        </w:tc>
      </w:tr>
      <w:tr w:rsidR="00C718FC" w:rsidRPr="00B02EE6" w14:paraId="2042B569" w14:textId="77777777" w:rsidTr="00A46E4D">
        <w:trPr>
          <w:trHeight w:val="279"/>
        </w:trPr>
        <w:tc>
          <w:tcPr>
            <w:tcW w:w="1354" w:type="dxa"/>
            <w:shd w:val="clear" w:color="auto" w:fill="FFFFFF"/>
            <w:vAlign w:val="center"/>
          </w:tcPr>
          <w:p w14:paraId="4D78DD9C" w14:textId="77777777" w:rsidR="00C718FC" w:rsidRPr="00944BC8" w:rsidRDefault="00C718FC" w:rsidP="00EE5713">
            <w:pPr>
              <w:jc w:val="left"/>
            </w:pPr>
            <w:r>
              <w:t>FGT+WT_5</w:t>
            </w:r>
          </w:p>
        </w:tc>
        <w:tc>
          <w:tcPr>
            <w:tcW w:w="1883" w:type="dxa"/>
            <w:gridSpan w:val="2"/>
            <w:shd w:val="clear" w:color="auto" w:fill="FFFFFF"/>
            <w:vAlign w:val="center"/>
          </w:tcPr>
          <w:p w14:paraId="30DA8D54" w14:textId="580FDCE4" w:rsidR="00C718FC" w:rsidRPr="00944BC8" w:rsidRDefault="00C718FC" w:rsidP="00EE5713">
            <w:pPr>
              <w:jc w:val="left"/>
            </w:pPr>
            <w:r>
              <w:t>3.7 (-27.5</w:t>
            </w:r>
            <w:r w:rsidR="009E42E4">
              <w:t xml:space="preserve"> </w:t>
            </w:r>
            <w:r>
              <w:t>%)</w:t>
            </w:r>
          </w:p>
        </w:tc>
        <w:tc>
          <w:tcPr>
            <w:tcW w:w="1584" w:type="dxa"/>
            <w:shd w:val="clear" w:color="auto" w:fill="FFFFFF"/>
            <w:vAlign w:val="center"/>
          </w:tcPr>
          <w:p w14:paraId="4B6C9952" w14:textId="23668CCB" w:rsidR="00C718FC" w:rsidRPr="00944BC8" w:rsidRDefault="00C718FC" w:rsidP="00EE5713">
            <w:pPr>
              <w:jc w:val="left"/>
            </w:pPr>
            <w:r>
              <w:t>5.0 (-15.3</w:t>
            </w:r>
            <w:r w:rsidR="009E42E4">
              <w:t xml:space="preserve"> </w:t>
            </w:r>
            <w:r>
              <w:t>%)</w:t>
            </w:r>
          </w:p>
        </w:tc>
      </w:tr>
      <w:tr w:rsidR="00C718FC" w:rsidRPr="00B02EE6" w14:paraId="2EB1A446" w14:textId="77777777" w:rsidTr="00A46E4D">
        <w:trPr>
          <w:trHeight w:val="279"/>
        </w:trPr>
        <w:tc>
          <w:tcPr>
            <w:tcW w:w="1354" w:type="dxa"/>
            <w:shd w:val="clear" w:color="auto" w:fill="FFFFFF"/>
            <w:vAlign w:val="center"/>
          </w:tcPr>
          <w:p w14:paraId="3A362FB9" w14:textId="77777777" w:rsidR="00C718FC" w:rsidRPr="00944BC8" w:rsidRDefault="00C718FC" w:rsidP="00EE5713">
            <w:pPr>
              <w:jc w:val="left"/>
            </w:pPr>
            <w:r>
              <w:t>FGT+WT_15</w:t>
            </w:r>
          </w:p>
        </w:tc>
        <w:tc>
          <w:tcPr>
            <w:tcW w:w="1883" w:type="dxa"/>
            <w:gridSpan w:val="2"/>
            <w:shd w:val="clear" w:color="auto" w:fill="FFFFFF"/>
            <w:vAlign w:val="center"/>
          </w:tcPr>
          <w:p w14:paraId="4BD196FC" w14:textId="7399EFD7" w:rsidR="00C718FC" w:rsidRPr="00944BC8" w:rsidRDefault="00C718FC" w:rsidP="00EE5713">
            <w:pPr>
              <w:jc w:val="left"/>
            </w:pPr>
            <w:r>
              <w:t>2.7 (-47.1</w:t>
            </w:r>
            <w:r w:rsidR="009E42E4">
              <w:t xml:space="preserve"> </w:t>
            </w:r>
            <w:r>
              <w:t>%)</w:t>
            </w:r>
          </w:p>
        </w:tc>
        <w:tc>
          <w:tcPr>
            <w:tcW w:w="1584" w:type="dxa"/>
            <w:shd w:val="clear" w:color="auto" w:fill="FFFFFF"/>
            <w:vAlign w:val="center"/>
          </w:tcPr>
          <w:p w14:paraId="429A2607" w14:textId="30341466" w:rsidR="00C718FC" w:rsidRPr="00944BC8" w:rsidRDefault="00C718FC" w:rsidP="00EE5713">
            <w:pPr>
              <w:jc w:val="left"/>
            </w:pPr>
            <w:r>
              <w:t>4.4 (-25.4</w:t>
            </w:r>
            <w:r w:rsidR="009E42E4">
              <w:t xml:space="preserve"> </w:t>
            </w:r>
            <w:r>
              <w:t>%)</w:t>
            </w:r>
          </w:p>
        </w:tc>
      </w:tr>
      <w:tr w:rsidR="00C718FC" w:rsidRPr="00B02EE6" w14:paraId="1B2CE01E" w14:textId="77777777" w:rsidTr="00A46E4D">
        <w:trPr>
          <w:trHeight w:val="279"/>
        </w:trPr>
        <w:tc>
          <w:tcPr>
            <w:tcW w:w="1354" w:type="dxa"/>
            <w:tcBorders>
              <w:bottom w:val="single" w:sz="12" w:space="0" w:color="008000"/>
            </w:tcBorders>
            <w:shd w:val="clear" w:color="auto" w:fill="FFFFFF"/>
            <w:vAlign w:val="center"/>
          </w:tcPr>
          <w:p w14:paraId="6FF7E113" w14:textId="77777777" w:rsidR="00C718FC" w:rsidRPr="00944BC8" w:rsidRDefault="00C718FC" w:rsidP="00EE5713">
            <w:pPr>
              <w:jc w:val="left"/>
            </w:pPr>
            <w:r>
              <w:t>FGT+WT_30</w:t>
            </w:r>
          </w:p>
        </w:tc>
        <w:tc>
          <w:tcPr>
            <w:tcW w:w="1883" w:type="dxa"/>
            <w:gridSpan w:val="2"/>
            <w:tcBorders>
              <w:bottom w:val="single" w:sz="12" w:space="0" w:color="008000"/>
            </w:tcBorders>
            <w:shd w:val="clear" w:color="auto" w:fill="FFFFFF"/>
            <w:vAlign w:val="center"/>
          </w:tcPr>
          <w:p w14:paraId="13829954" w14:textId="73930336" w:rsidR="00C718FC" w:rsidRPr="00944BC8" w:rsidRDefault="00C718FC" w:rsidP="00EE5713">
            <w:pPr>
              <w:jc w:val="left"/>
            </w:pPr>
            <w:r>
              <w:t>2.2 (-56.9</w:t>
            </w:r>
            <w:r w:rsidR="009E42E4">
              <w:t xml:space="preserve"> </w:t>
            </w:r>
            <w:r>
              <w:t>%)</w:t>
            </w:r>
          </w:p>
        </w:tc>
        <w:tc>
          <w:tcPr>
            <w:tcW w:w="1584" w:type="dxa"/>
            <w:shd w:val="clear" w:color="auto" w:fill="FFFFFF"/>
            <w:vAlign w:val="center"/>
          </w:tcPr>
          <w:p w14:paraId="1440F613" w14:textId="58FF5FED" w:rsidR="00C718FC" w:rsidRPr="00944BC8" w:rsidRDefault="00C718FC" w:rsidP="00EE5713">
            <w:pPr>
              <w:jc w:val="left"/>
            </w:pPr>
            <w:r>
              <w:t>4.0 (-32.2</w:t>
            </w:r>
            <w:r w:rsidR="009E42E4">
              <w:t xml:space="preserve"> </w:t>
            </w:r>
            <w:r>
              <w:t>%)</w:t>
            </w:r>
          </w:p>
        </w:tc>
      </w:tr>
      <w:tr w:rsidR="00C718FC" w:rsidRPr="00B02EE6" w14:paraId="14D28504" w14:textId="77777777" w:rsidTr="00A46E4D">
        <w:trPr>
          <w:trHeight w:val="252"/>
        </w:trPr>
        <w:tc>
          <w:tcPr>
            <w:tcW w:w="4821" w:type="dxa"/>
            <w:gridSpan w:val="4"/>
            <w:tcBorders>
              <w:top w:val="single" w:sz="12" w:space="0" w:color="008000"/>
            </w:tcBorders>
            <w:shd w:val="clear" w:color="auto" w:fill="FFFFFF"/>
            <w:vAlign w:val="center"/>
          </w:tcPr>
          <w:p w14:paraId="239E8EA1" w14:textId="77777777" w:rsidR="00C718FC" w:rsidRPr="00944BC8" w:rsidRDefault="00C718FC" w:rsidP="00EE5713">
            <w:pPr>
              <w:jc w:val="left"/>
              <w:rPr>
                <w:b/>
                <w:bCs/>
                <w:sz w:val="16"/>
                <w:szCs w:val="16"/>
              </w:rPr>
            </w:pPr>
            <w:r w:rsidRPr="00944BC8">
              <w:rPr>
                <w:b/>
                <w:bCs/>
                <w:sz w:val="16"/>
                <w:szCs w:val="16"/>
              </w:rPr>
              <w:t>*</w:t>
            </w:r>
            <w:proofErr w:type="spellStart"/>
            <w:r w:rsidRPr="00944BC8">
              <w:rPr>
                <w:b/>
                <w:bCs/>
                <w:sz w:val="16"/>
                <w:szCs w:val="16"/>
              </w:rPr>
              <w:t>C</w:t>
            </w:r>
            <w:r w:rsidRPr="00944BC8">
              <w:rPr>
                <w:b/>
                <w:bCs/>
                <w:sz w:val="16"/>
                <w:szCs w:val="16"/>
                <w:vertAlign w:val="subscript"/>
              </w:rPr>
              <w:t>HCl</w:t>
            </w:r>
            <w:proofErr w:type="spellEnd"/>
            <w:r w:rsidRPr="00944BC8">
              <w:rPr>
                <w:b/>
                <w:bCs/>
                <w:sz w:val="16"/>
                <w:szCs w:val="16"/>
                <w:vertAlign w:val="subscript"/>
              </w:rPr>
              <w:t>, out</w:t>
            </w:r>
            <w:r w:rsidRPr="00944BC8">
              <w:rPr>
                <w:b/>
                <w:bCs/>
                <w:sz w:val="16"/>
                <w:szCs w:val="16"/>
              </w:rPr>
              <w:t>=0.5 mg/Nm</w:t>
            </w:r>
            <w:r w:rsidRPr="00944BC8">
              <w:rPr>
                <w:b/>
                <w:bCs/>
                <w:sz w:val="16"/>
                <w:szCs w:val="16"/>
                <w:vertAlign w:val="superscript"/>
              </w:rPr>
              <w:t>3</w:t>
            </w:r>
            <w:r w:rsidRPr="00944BC8">
              <w:rPr>
                <w:b/>
                <w:bCs/>
                <w:sz w:val="16"/>
                <w:szCs w:val="16"/>
              </w:rPr>
              <w:t>; C</w:t>
            </w:r>
            <w:r w:rsidRPr="00944BC8">
              <w:rPr>
                <w:b/>
                <w:bCs/>
                <w:sz w:val="16"/>
                <w:szCs w:val="16"/>
                <w:vertAlign w:val="subscript"/>
              </w:rPr>
              <w:t>SO2, SCR</w:t>
            </w:r>
            <w:r w:rsidRPr="00944BC8">
              <w:rPr>
                <w:b/>
                <w:bCs/>
                <w:sz w:val="16"/>
                <w:szCs w:val="16"/>
              </w:rPr>
              <w:t xml:space="preserve"> =5 mg/Nm</w:t>
            </w:r>
            <w:r w:rsidRPr="00944BC8">
              <w:rPr>
                <w:b/>
                <w:bCs/>
                <w:sz w:val="16"/>
                <w:szCs w:val="16"/>
                <w:vertAlign w:val="superscript"/>
              </w:rPr>
              <w:t>3</w:t>
            </w:r>
          </w:p>
        </w:tc>
      </w:tr>
    </w:tbl>
    <w:p w14:paraId="6B45ABB7" w14:textId="77777777" w:rsidR="00C718FC" w:rsidRDefault="00C718FC" w:rsidP="00C718FC">
      <w:pPr>
        <w:pStyle w:val="CETBodytext"/>
        <w:rPr>
          <w:lang w:val="en-GB"/>
        </w:rPr>
      </w:pPr>
    </w:p>
    <w:p w14:paraId="20514548" w14:textId="68DBA87B" w:rsidR="000D7075" w:rsidRDefault="00E547E7" w:rsidP="000D7075">
      <w:pPr>
        <w:pStyle w:val="CETHeading1"/>
      </w:pPr>
      <w:bookmarkStart w:id="5" w:name="_Hlk158902778"/>
      <w:r w:rsidRPr="00571940">
        <w:t>Conclusions</w:t>
      </w:r>
    </w:p>
    <w:p w14:paraId="5B9F7F8C" w14:textId="7C91F4D9" w:rsidR="00C718FC" w:rsidRPr="000D7075" w:rsidRDefault="00C718FC" w:rsidP="000D7075">
      <w:pPr>
        <w:pStyle w:val="CETHeading1"/>
        <w:numPr>
          <w:ilvl w:val="0"/>
          <w:numId w:val="0"/>
        </w:numPr>
        <w:jc w:val="both"/>
        <w:rPr>
          <w:b w:val="0"/>
          <w:bCs/>
          <w:sz w:val="18"/>
          <w:szCs w:val="18"/>
          <w:lang w:val="en-GB"/>
        </w:rPr>
      </w:pPr>
      <w:r w:rsidRPr="000D7075">
        <w:rPr>
          <w:b w:val="0"/>
          <w:bCs/>
          <w:sz w:val="18"/>
          <w:szCs w:val="18"/>
        </w:rPr>
        <w:t xml:space="preserve">This study delves into the feasibility of integrating a wet scrubbing system as a third stage in the acid gas removal process of an existing </w:t>
      </w:r>
      <w:proofErr w:type="spellStart"/>
      <w:r w:rsidRPr="000D7075">
        <w:rPr>
          <w:b w:val="0"/>
          <w:bCs/>
          <w:sz w:val="18"/>
          <w:szCs w:val="18"/>
        </w:rPr>
        <w:t>WtE</w:t>
      </w:r>
      <w:proofErr w:type="spellEnd"/>
      <w:r w:rsidRPr="000D7075">
        <w:rPr>
          <w:b w:val="0"/>
          <w:bCs/>
          <w:sz w:val="18"/>
          <w:szCs w:val="18"/>
        </w:rPr>
        <w:t xml:space="preserve"> plant equipped with a two-stage dry treatment system. Through economic analysis, the results suggest that the proposed retrofit offers potential benefits in terms of operating cost reductions, in particular for flue gases with lower SO</w:t>
      </w:r>
      <w:r w:rsidRPr="000D7075">
        <w:rPr>
          <w:b w:val="0"/>
          <w:bCs/>
          <w:sz w:val="18"/>
          <w:szCs w:val="18"/>
          <w:vertAlign w:val="subscript"/>
        </w:rPr>
        <w:t>2</w:t>
      </w:r>
      <w:r w:rsidRPr="000D7075">
        <w:rPr>
          <w:b w:val="0"/>
          <w:bCs/>
          <w:sz w:val="18"/>
          <w:szCs w:val="18"/>
        </w:rPr>
        <w:t xml:space="preserve"> loads. Clearly enough, the savings associated with the operation of the retrofitted system have to be compared with the investment cost for the installation of the wet scrubber. The reduction in operating costs over 10 years for representative mid-size </w:t>
      </w:r>
      <w:proofErr w:type="spellStart"/>
      <w:r w:rsidRPr="000D7075">
        <w:rPr>
          <w:b w:val="0"/>
          <w:bCs/>
          <w:sz w:val="18"/>
          <w:szCs w:val="18"/>
        </w:rPr>
        <w:t>WtE</w:t>
      </w:r>
      <w:proofErr w:type="spellEnd"/>
      <w:r w:rsidRPr="000D7075">
        <w:rPr>
          <w:b w:val="0"/>
          <w:bCs/>
          <w:sz w:val="18"/>
          <w:szCs w:val="18"/>
        </w:rPr>
        <w:t xml:space="preserve"> plants offers a </w:t>
      </w:r>
      <w:r w:rsidRPr="000D7075">
        <w:rPr>
          <w:b w:val="0"/>
          <w:bCs/>
          <w:sz w:val="18"/>
          <w:szCs w:val="18"/>
        </w:rPr>
        <w:lastRenderedPageBreak/>
        <w:t xml:space="preserve">reference value to which estimates of investment cost can be compared in order to assess the net benefit of such a solution.  As for the environmental implications, integrating the wet polishing stage can reduce the mass of reactants and residues related to existing dry treatment units </w:t>
      </w:r>
      <w:r w:rsidR="00D07BD2">
        <w:rPr>
          <w:b w:val="0"/>
          <w:bCs/>
          <w:sz w:val="18"/>
          <w:szCs w:val="18"/>
        </w:rPr>
        <w:t xml:space="preserve">by </w:t>
      </w:r>
      <w:r w:rsidRPr="000D7075">
        <w:rPr>
          <w:b w:val="0"/>
          <w:bCs/>
          <w:sz w:val="18"/>
          <w:szCs w:val="18"/>
        </w:rPr>
        <w:t>up to 30 wt</w:t>
      </w:r>
      <w:r w:rsidR="00D07BD2">
        <w:rPr>
          <w:b w:val="0"/>
          <w:bCs/>
          <w:sz w:val="18"/>
          <w:szCs w:val="18"/>
        </w:rPr>
        <w:t>.</w:t>
      </w:r>
      <w:r w:rsidR="009E42E4">
        <w:rPr>
          <w:b w:val="0"/>
          <w:bCs/>
          <w:sz w:val="18"/>
          <w:szCs w:val="18"/>
        </w:rPr>
        <w:t xml:space="preserve"> </w:t>
      </w:r>
      <w:r w:rsidRPr="000D7075">
        <w:rPr>
          <w:b w:val="0"/>
          <w:bCs/>
          <w:sz w:val="18"/>
          <w:szCs w:val="18"/>
        </w:rPr>
        <w:t>%, depending on the permissible limit of SO</w:t>
      </w:r>
      <w:r w:rsidRPr="000D7075">
        <w:rPr>
          <w:b w:val="0"/>
          <w:bCs/>
          <w:sz w:val="18"/>
          <w:szCs w:val="18"/>
          <w:vertAlign w:val="subscript"/>
        </w:rPr>
        <w:t>2</w:t>
      </w:r>
      <w:r w:rsidRPr="000D7075">
        <w:rPr>
          <w:b w:val="0"/>
          <w:bCs/>
          <w:sz w:val="18"/>
          <w:szCs w:val="18"/>
        </w:rPr>
        <w:t xml:space="preserve"> concentration at the entrance of the SCR equipment. </w:t>
      </w:r>
    </w:p>
    <w:p w14:paraId="10ED136D" w14:textId="77777777" w:rsidR="00C718FC" w:rsidRPr="00921B01" w:rsidRDefault="00C718FC" w:rsidP="00C718FC">
      <w:pPr>
        <w:pStyle w:val="CETReference"/>
        <w:rPr>
          <w:lang w:val="en-US"/>
        </w:rPr>
      </w:pPr>
      <w:r w:rsidRPr="00921B01">
        <w:rPr>
          <w:lang w:val="en-US"/>
        </w:rPr>
        <w:t>References</w:t>
      </w:r>
    </w:p>
    <w:bookmarkEnd w:id="5"/>
    <w:p w14:paraId="720EEFD9" w14:textId="02FF17CB" w:rsidR="00C718FC" w:rsidRDefault="00C718FC" w:rsidP="00C718FC">
      <w:pPr>
        <w:pStyle w:val="CETReferencetext"/>
      </w:pPr>
      <w:r w:rsidRPr="006A699B">
        <w:rPr>
          <w:lang w:val="en-US"/>
        </w:rPr>
        <w:t>Ardolino, F., Boccia, C., Arena, U., 2020</w:t>
      </w:r>
      <w:r w:rsidR="006A699B" w:rsidRPr="006A699B">
        <w:rPr>
          <w:lang w:val="en-US"/>
        </w:rPr>
        <w:t>,</w:t>
      </w:r>
      <w:r w:rsidRPr="006A699B">
        <w:rPr>
          <w:lang w:val="en-US"/>
        </w:rPr>
        <w:t xml:space="preserve"> </w:t>
      </w:r>
      <w:r w:rsidRPr="00EB0EBB">
        <w:t>Environmental performances of a modern waste-to-energy unit in the light of the 2019 BREF document</w:t>
      </w:r>
      <w:r>
        <w:t>, Waste Manage</w:t>
      </w:r>
      <w:r w:rsidR="006B05C0">
        <w:t>ment,</w:t>
      </w:r>
      <w:r>
        <w:t xml:space="preserve"> 104, 94-103.</w:t>
      </w:r>
    </w:p>
    <w:p w14:paraId="42143AF6" w14:textId="06604AA5" w:rsidR="00C718FC" w:rsidRDefault="00C718FC" w:rsidP="00C718FC">
      <w:pPr>
        <w:pStyle w:val="CETReferencetext"/>
        <w:rPr>
          <w:lang w:val="en-US"/>
        </w:rPr>
      </w:pPr>
      <w:proofErr w:type="spellStart"/>
      <w:r w:rsidRPr="00AE010D">
        <w:rPr>
          <w:lang w:val="en-US"/>
        </w:rPr>
        <w:t>Biganzoli</w:t>
      </w:r>
      <w:proofErr w:type="spellEnd"/>
      <w:r w:rsidRPr="00AE010D">
        <w:rPr>
          <w:lang w:val="en-US"/>
        </w:rPr>
        <w:t xml:space="preserve"> L., </w:t>
      </w:r>
      <w:proofErr w:type="spellStart"/>
      <w:r w:rsidRPr="00AE010D">
        <w:rPr>
          <w:lang w:val="en-US"/>
        </w:rPr>
        <w:t>Racanella</w:t>
      </w:r>
      <w:proofErr w:type="spellEnd"/>
      <w:r w:rsidRPr="00AE010D">
        <w:rPr>
          <w:lang w:val="en-US"/>
        </w:rPr>
        <w:t xml:space="preserve"> G., Rigamonti L., Marras R., Grosso M., 2015</w:t>
      </w:r>
      <w:r>
        <w:rPr>
          <w:lang w:val="en-US"/>
        </w:rPr>
        <w:t>,</w:t>
      </w:r>
      <w:r w:rsidRPr="00AE010D">
        <w:rPr>
          <w:lang w:val="en-US"/>
        </w:rPr>
        <w:t xml:space="preserve"> High temperature abatement of acid gases from waste incineration. Part I: Experimental tests in full scale plants</w:t>
      </w:r>
      <w:r w:rsidR="006A699B">
        <w:rPr>
          <w:lang w:val="en-US"/>
        </w:rPr>
        <w:t>,</w:t>
      </w:r>
      <w:r w:rsidRPr="00AE010D">
        <w:rPr>
          <w:lang w:val="en-US"/>
        </w:rPr>
        <w:t xml:space="preserve"> Waste Manage</w:t>
      </w:r>
      <w:r w:rsidR="00A8465B">
        <w:rPr>
          <w:lang w:val="en-US"/>
        </w:rPr>
        <w:t>ment,</w:t>
      </w:r>
      <w:r w:rsidRPr="00AE010D">
        <w:rPr>
          <w:lang w:val="en-US"/>
        </w:rPr>
        <w:t xml:space="preserve"> 36, 98-105. </w:t>
      </w:r>
    </w:p>
    <w:p w14:paraId="24663E61" w14:textId="64DE33E6" w:rsidR="005E7CFB" w:rsidRPr="000909B0" w:rsidRDefault="005E7CFB" w:rsidP="00C718FC">
      <w:pPr>
        <w:pStyle w:val="CETReferencetext"/>
      </w:pPr>
      <w:r w:rsidRPr="000909B0">
        <w:t xml:space="preserve">Cao, </w:t>
      </w:r>
      <w:r w:rsidR="000909B0" w:rsidRPr="000909B0">
        <w:t>S., Cao, J., Zhu, H., Huang, Y., Jin, B., Materazzi, M., 2024, Removal of HCl from gases using modified calcined Mg-Al-CO3 hydrotalcite: Performance, mechanism, and adsorption kinetics</w:t>
      </w:r>
      <w:r w:rsidR="000909B0">
        <w:t xml:space="preserve">, Fuel 355, 129445. </w:t>
      </w:r>
    </w:p>
    <w:p w14:paraId="1D26D532" w14:textId="584BAE6F" w:rsidR="00C718FC" w:rsidRPr="00AE010D" w:rsidRDefault="00C718FC" w:rsidP="00C718FC">
      <w:pPr>
        <w:pStyle w:val="CETReferencetext"/>
        <w:rPr>
          <w:lang w:val="en-US"/>
        </w:rPr>
      </w:pPr>
      <w:r w:rsidRPr="00AE010D">
        <w:rPr>
          <w:lang w:val="en-US"/>
        </w:rPr>
        <w:t>Chi</w:t>
      </w:r>
      <w:r>
        <w:rPr>
          <w:lang w:val="en-US"/>
        </w:rPr>
        <w:t>n</w:t>
      </w:r>
      <w:r w:rsidRPr="00AE010D">
        <w:rPr>
          <w:lang w:val="en-US"/>
        </w:rPr>
        <w:t xml:space="preserve"> T., Yan R., Liang D.T., 2005</w:t>
      </w:r>
      <w:r>
        <w:rPr>
          <w:lang w:val="en-US"/>
        </w:rPr>
        <w:t>,</w:t>
      </w:r>
      <w:r w:rsidRPr="00AE010D">
        <w:rPr>
          <w:lang w:val="en-US"/>
        </w:rPr>
        <w:t xml:space="preserve"> Study of the reaction of lime with HCl under simulated flue gas conditions using X-ray diffraction characterization and thermodynamic prediction</w:t>
      </w:r>
      <w:r w:rsidR="00EE0498">
        <w:rPr>
          <w:lang w:val="en-US"/>
        </w:rPr>
        <w:t>,</w:t>
      </w:r>
      <w:r w:rsidRPr="00AE010D">
        <w:rPr>
          <w:lang w:val="en-US"/>
        </w:rPr>
        <w:t xml:space="preserve"> Ind</w:t>
      </w:r>
      <w:r w:rsidR="006C792C">
        <w:rPr>
          <w:lang w:val="en-US"/>
        </w:rPr>
        <w:t>ustrial &amp;</w:t>
      </w:r>
      <w:r w:rsidR="002A59D8">
        <w:rPr>
          <w:lang w:val="en-US"/>
        </w:rPr>
        <w:t xml:space="preserve"> Engineering Chemistry Research, </w:t>
      </w:r>
      <w:r w:rsidRPr="00AE010D">
        <w:rPr>
          <w:lang w:val="en-US"/>
        </w:rPr>
        <w:t xml:space="preserve">44, 8730-8738. </w:t>
      </w:r>
    </w:p>
    <w:p w14:paraId="6F61D6FE" w14:textId="4E56BD60" w:rsidR="00C718FC" w:rsidRPr="002066AF" w:rsidRDefault="00C718FC" w:rsidP="00C718FC">
      <w:pPr>
        <w:pStyle w:val="CETReferencetext"/>
      </w:pPr>
      <w:r w:rsidRPr="002066AF">
        <w:t xml:space="preserve">Dal Pozzo A., Abagnato S., </w:t>
      </w:r>
      <w:proofErr w:type="spellStart"/>
      <w:r w:rsidRPr="002066AF">
        <w:t>Cozzani</w:t>
      </w:r>
      <w:proofErr w:type="spellEnd"/>
      <w:r w:rsidRPr="002066AF">
        <w:t xml:space="preserve"> V., 2023</w:t>
      </w:r>
      <w:r w:rsidR="00E97AE8">
        <w:t>a</w:t>
      </w:r>
      <w:r w:rsidRPr="002066AF">
        <w:t>, Assessment of cross-media effects deriving from the application of lower emission standards for acid pollutants in waste-to-energy plants</w:t>
      </w:r>
      <w:r w:rsidR="00EE0498">
        <w:t>,</w:t>
      </w:r>
      <w:r w:rsidRPr="002066AF">
        <w:t xml:space="preserve"> Sci</w:t>
      </w:r>
      <w:r w:rsidR="007012FD">
        <w:t xml:space="preserve">ence of </w:t>
      </w:r>
      <w:r w:rsidR="00BD4953">
        <w:t xml:space="preserve">The </w:t>
      </w:r>
      <w:r w:rsidRPr="002066AF">
        <w:t>Total Environ</w:t>
      </w:r>
      <w:r w:rsidR="00BD4953">
        <w:t>ment,</w:t>
      </w:r>
      <w:r w:rsidRPr="002066AF">
        <w:t xml:space="preserve"> 856, 159159. </w:t>
      </w:r>
    </w:p>
    <w:p w14:paraId="659C60F3" w14:textId="4FB99F67" w:rsidR="00C718FC" w:rsidRPr="002066AF" w:rsidRDefault="00C718FC" w:rsidP="00C718FC">
      <w:pPr>
        <w:pStyle w:val="CETReferencetext"/>
      </w:pPr>
      <w:r w:rsidRPr="002066AF">
        <w:t xml:space="preserve">Dal Pozzo A., Capecci S., </w:t>
      </w:r>
      <w:proofErr w:type="spellStart"/>
      <w:r w:rsidRPr="002066AF">
        <w:t>Cozzani</w:t>
      </w:r>
      <w:proofErr w:type="spellEnd"/>
      <w:r w:rsidRPr="002066AF">
        <w:t xml:space="preserve"> V., 2023</w:t>
      </w:r>
      <w:r w:rsidR="00A55861">
        <w:t>b</w:t>
      </w:r>
      <w:r w:rsidRPr="002066AF">
        <w:t>, Techno-economic impact of lower emission standards for waste-to-energy acid gas emissions</w:t>
      </w:r>
      <w:r w:rsidR="000E1DC2">
        <w:t xml:space="preserve">, </w:t>
      </w:r>
      <w:r w:rsidRPr="002066AF">
        <w:t>Waste Manage</w:t>
      </w:r>
      <w:r w:rsidR="00C52376">
        <w:t>ment,</w:t>
      </w:r>
      <w:r w:rsidRPr="002066AF">
        <w:t xml:space="preserve"> 116, 305-134.</w:t>
      </w:r>
    </w:p>
    <w:p w14:paraId="3B4041DD" w14:textId="393DA8BA" w:rsidR="00C718FC" w:rsidRDefault="00C718FC" w:rsidP="00C718FC">
      <w:pPr>
        <w:pStyle w:val="CETReferencetext"/>
        <w:rPr>
          <w:lang w:val="en-US"/>
        </w:rPr>
      </w:pPr>
      <w:r w:rsidRPr="002066AF">
        <w:t xml:space="preserve">Dal Pozzo A., </w:t>
      </w:r>
      <w:proofErr w:type="spellStart"/>
      <w:r w:rsidRPr="002066AF">
        <w:t>Cozzani</w:t>
      </w:r>
      <w:proofErr w:type="spellEnd"/>
      <w:r w:rsidRPr="002066AF">
        <w:t xml:space="preserve"> V., 2021, </w:t>
      </w:r>
      <w:r w:rsidRPr="00AE010D">
        <w:rPr>
          <w:lang w:val="en-US"/>
        </w:rPr>
        <w:t>Wastewater management of wet scrubbers in waste-to-energy facilities: A life cycle analysis</w:t>
      </w:r>
      <w:r w:rsidR="00C32666">
        <w:rPr>
          <w:lang w:val="en-US"/>
        </w:rPr>
        <w:t>,</w:t>
      </w:r>
      <w:r w:rsidRPr="00AE010D">
        <w:rPr>
          <w:lang w:val="en-US"/>
        </w:rPr>
        <w:t xml:space="preserve"> Chem</w:t>
      </w:r>
      <w:r w:rsidR="006E1D3D">
        <w:rPr>
          <w:lang w:val="en-US"/>
        </w:rPr>
        <w:t>ical</w:t>
      </w:r>
      <w:r w:rsidRPr="00AE010D">
        <w:rPr>
          <w:lang w:val="en-US"/>
        </w:rPr>
        <w:t xml:space="preserve"> Eng</w:t>
      </w:r>
      <w:r w:rsidR="006E1D3D">
        <w:rPr>
          <w:lang w:val="en-US"/>
        </w:rPr>
        <w:t>ineering</w:t>
      </w:r>
      <w:r w:rsidRPr="00AE010D">
        <w:rPr>
          <w:lang w:val="en-US"/>
        </w:rPr>
        <w:t xml:space="preserve"> Trans</w:t>
      </w:r>
      <w:r w:rsidR="006E1D3D">
        <w:rPr>
          <w:lang w:val="en-US"/>
        </w:rPr>
        <w:t>actions,</w:t>
      </w:r>
      <w:r w:rsidRPr="00AE010D">
        <w:rPr>
          <w:lang w:val="en-US"/>
        </w:rPr>
        <w:t xml:space="preserve"> 86, 619-624. </w:t>
      </w:r>
    </w:p>
    <w:p w14:paraId="2B2B913B" w14:textId="670B15A9" w:rsidR="00C718FC" w:rsidRPr="00AE010D" w:rsidRDefault="00C718FC" w:rsidP="00C718FC">
      <w:pPr>
        <w:pStyle w:val="CETReference-text"/>
        <w:rPr>
          <w:lang w:val="en-US"/>
        </w:rPr>
      </w:pPr>
      <w:r w:rsidRPr="00AE010D">
        <w:rPr>
          <w:lang w:val="en-US"/>
        </w:rPr>
        <w:t xml:space="preserve">Dal Pozzo A., Guglielmi D., Antonioni G., </w:t>
      </w:r>
      <w:proofErr w:type="spellStart"/>
      <w:r w:rsidRPr="00AE010D">
        <w:rPr>
          <w:lang w:val="en-US"/>
        </w:rPr>
        <w:t>Tugnoli</w:t>
      </w:r>
      <w:proofErr w:type="spellEnd"/>
      <w:r>
        <w:rPr>
          <w:lang w:val="en-US"/>
        </w:rPr>
        <w:t>,</w:t>
      </w:r>
      <w:r w:rsidRPr="00AE010D">
        <w:rPr>
          <w:lang w:val="en-US"/>
        </w:rPr>
        <w:t xml:space="preserve"> A., 201</w:t>
      </w:r>
      <w:r w:rsidR="00F264C9">
        <w:rPr>
          <w:lang w:val="en-US"/>
        </w:rPr>
        <w:t>8</w:t>
      </w:r>
      <w:r>
        <w:rPr>
          <w:lang w:val="en-US"/>
        </w:rPr>
        <w:t>,</w:t>
      </w:r>
      <w:r w:rsidRPr="00AE010D">
        <w:rPr>
          <w:lang w:val="en-US"/>
        </w:rPr>
        <w:t xml:space="preserve"> </w:t>
      </w:r>
      <w:r w:rsidR="00FC616F" w:rsidRPr="00FC616F">
        <w:rPr>
          <w:lang w:val="en-US"/>
        </w:rPr>
        <w:t>Environmental and economic performance assessment of alternative acid gas removal technologies for waste-to-energy plants</w:t>
      </w:r>
      <w:r w:rsidRPr="00AE010D">
        <w:rPr>
          <w:lang w:val="en-US"/>
        </w:rPr>
        <w:t xml:space="preserve">, </w:t>
      </w:r>
      <w:r w:rsidR="00467F35">
        <w:rPr>
          <w:lang w:val="en-US"/>
        </w:rPr>
        <w:t>Sustainable Production and Consumption</w:t>
      </w:r>
      <w:r w:rsidR="007A65B7">
        <w:rPr>
          <w:lang w:val="en-US"/>
        </w:rPr>
        <w:t>,</w:t>
      </w:r>
      <w:r w:rsidRPr="00AE010D">
        <w:rPr>
          <w:lang w:val="en-US"/>
        </w:rPr>
        <w:t xml:space="preserve"> 16</w:t>
      </w:r>
      <w:r w:rsidR="00467F35">
        <w:rPr>
          <w:lang w:val="en-US"/>
        </w:rPr>
        <w:t xml:space="preserve">, 202-215. </w:t>
      </w:r>
    </w:p>
    <w:p w14:paraId="7867DAAE" w14:textId="00B525C4" w:rsidR="00C718FC" w:rsidRDefault="00C718FC" w:rsidP="00C718FC">
      <w:pPr>
        <w:pStyle w:val="CETReferencetext"/>
      </w:pPr>
      <w:r w:rsidRPr="00AE010D">
        <w:t xml:space="preserve">Dal Pozzo A., </w:t>
      </w:r>
      <w:proofErr w:type="spellStart"/>
      <w:r w:rsidRPr="00AE010D">
        <w:t>Lazazzara</w:t>
      </w:r>
      <w:proofErr w:type="spellEnd"/>
      <w:r w:rsidRPr="00AE010D">
        <w:t xml:space="preserve"> L., Antonioni G., </w:t>
      </w:r>
      <w:proofErr w:type="spellStart"/>
      <w:r w:rsidRPr="00AE010D">
        <w:t>Cozzani</w:t>
      </w:r>
      <w:proofErr w:type="spellEnd"/>
      <w:r w:rsidRPr="00AE010D">
        <w:t xml:space="preserve"> V., 2020</w:t>
      </w:r>
      <w:r>
        <w:t>,</w:t>
      </w:r>
      <w:r w:rsidRPr="00AE010D">
        <w:t xml:space="preserve"> Techno-economic performance of HCl and SO</w:t>
      </w:r>
      <w:r w:rsidRPr="00AE010D">
        <w:rPr>
          <w:vertAlign w:val="subscript"/>
        </w:rPr>
        <w:t>2</w:t>
      </w:r>
      <w:r w:rsidRPr="00AE010D">
        <w:t xml:space="preserve"> removal in waste-to-energy plants by furnace direct sorbent injection, J</w:t>
      </w:r>
      <w:r w:rsidR="00257E5D">
        <w:t>ournal of</w:t>
      </w:r>
      <w:r w:rsidRPr="00AE010D">
        <w:t xml:space="preserve"> Hazard</w:t>
      </w:r>
      <w:r w:rsidR="00257E5D">
        <w:t>ous</w:t>
      </w:r>
      <w:r w:rsidRPr="00AE010D">
        <w:t xml:space="preserve"> </w:t>
      </w:r>
      <w:r w:rsidRPr="002066AF">
        <w:t>Mater</w:t>
      </w:r>
      <w:r w:rsidR="00257E5D">
        <w:t>ials,</w:t>
      </w:r>
      <w:r w:rsidRPr="002066AF">
        <w:t xml:space="preserve"> 394, 122518. </w:t>
      </w:r>
    </w:p>
    <w:p w14:paraId="45AA7036" w14:textId="1224ABC3" w:rsidR="00C718FC" w:rsidRDefault="00C718FC" w:rsidP="00C718FC">
      <w:pPr>
        <w:pStyle w:val="CETReference-text"/>
        <w:rPr>
          <w:lang w:val="en-US"/>
        </w:rPr>
      </w:pPr>
      <w:r w:rsidRPr="00AE010D">
        <w:rPr>
          <w:lang w:val="en-US"/>
        </w:rPr>
        <w:t xml:space="preserve">Dong J., </w:t>
      </w:r>
      <w:proofErr w:type="spellStart"/>
      <w:r w:rsidRPr="00AE010D">
        <w:rPr>
          <w:lang w:val="en-US"/>
        </w:rPr>
        <w:t>Jeswani</w:t>
      </w:r>
      <w:proofErr w:type="spellEnd"/>
      <w:r w:rsidRPr="00AE010D">
        <w:rPr>
          <w:lang w:val="en-US"/>
        </w:rPr>
        <w:t xml:space="preserve"> H.K., </w:t>
      </w:r>
      <w:proofErr w:type="spellStart"/>
      <w:r w:rsidRPr="00AE010D">
        <w:rPr>
          <w:lang w:val="en-US"/>
        </w:rPr>
        <w:t>Nzihou</w:t>
      </w:r>
      <w:proofErr w:type="spellEnd"/>
      <w:r w:rsidRPr="00AE010D">
        <w:rPr>
          <w:lang w:val="en-US"/>
        </w:rPr>
        <w:t xml:space="preserve"> A., </w:t>
      </w:r>
      <w:proofErr w:type="spellStart"/>
      <w:r w:rsidRPr="00AE010D">
        <w:rPr>
          <w:lang w:val="en-US"/>
        </w:rPr>
        <w:t>Azapagic</w:t>
      </w:r>
      <w:proofErr w:type="spellEnd"/>
      <w:r w:rsidRPr="00AE010D">
        <w:rPr>
          <w:lang w:val="en-US"/>
        </w:rPr>
        <w:t xml:space="preserve"> A., 2020</w:t>
      </w:r>
      <w:r>
        <w:rPr>
          <w:lang w:val="en-US"/>
        </w:rPr>
        <w:t>,</w:t>
      </w:r>
      <w:r w:rsidRPr="00AE010D">
        <w:rPr>
          <w:lang w:val="en-US"/>
        </w:rPr>
        <w:t xml:space="preserve"> The environmental cost of recovering energy from municipal solid waste, Appl</w:t>
      </w:r>
      <w:r w:rsidR="00934899">
        <w:rPr>
          <w:lang w:val="en-US"/>
        </w:rPr>
        <w:t>ied</w:t>
      </w:r>
      <w:r w:rsidRPr="00AE010D">
        <w:rPr>
          <w:lang w:val="en-US"/>
        </w:rPr>
        <w:t xml:space="preserve"> Energy 267, 114792. </w:t>
      </w:r>
    </w:p>
    <w:p w14:paraId="39811B79" w14:textId="77777777" w:rsidR="00EE0294" w:rsidRPr="00AE010D" w:rsidRDefault="00EE0294" w:rsidP="00EE0294">
      <w:pPr>
        <w:pStyle w:val="CETReferencetext"/>
        <w:rPr>
          <w:lang w:val="en-US"/>
        </w:rPr>
      </w:pPr>
      <w:proofErr w:type="spellStart"/>
      <w:r w:rsidRPr="00AE010D">
        <w:rPr>
          <w:lang w:val="en-US"/>
        </w:rPr>
        <w:t>Neuwahl</w:t>
      </w:r>
      <w:proofErr w:type="spellEnd"/>
      <w:r w:rsidRPr="00AE010D">
        <w:rPr>
          <w:lang w:val="en-US"/>
        </w:rPr>
        <w:t xml:space="preserve"> F., Cusano G., Gomez Benavides J., Holbrook S., </w:t>
      </w:r>
      <w:proofErr w:type="spellStart"/>
      <w:r w:rsidRPr="00AE010D">
        <w:rPr>
          <w:lang w:val="en-US"/>
        </w:rPr>
        <w:t>Roudier</w:t>
      </w:r>
      <w:proofErr w:type="spellEnd"/>
      <w:r w:rsidRPr="00AE010D">
        <w:rPr>
          <w:lang w:val="en-US"/>
        </w:rPr>
        <w:t xml:space="preserve"> S., 2019</w:t>
      </w:r>
      <w:r>
        <w:rPr>
          <w:lang w:val="en-US"/>
        </w:rPr>
        <w:t>,</w:t>
      </w:r>
      <w:r w:rsidRPr="00AE010D">
        <w:rPr>
          <w:lang w:val="en-US"/>
        </w:rPr>
        <w:t xml:space="preserve"> Best Available Techniques (BAT) Reference Document for Waste Incineration. EUR 29971 EN. </w:t>
      </w:r>
    </w:p>
    <w:p w14:paraId="369F92EC" w14:textId="21ED2172" w:rsidR="00C718FC" w:rsidRPr="00AE010D" w:rsidRDefault="00C718FC" w:rsidP="00C718FC">
      <w:pPr>
        <w:pStyle w:val="CETReference-text"/>
        <w:rPr>
          <w:lang w:val="en-US"/>
        </w:rPr>
      </w:pPr>
      <w:r w:rsidRPr="00EB0EBB">
        <w:rPr>
          <w:lang w:val="en-US"/>
        </w:rPr>
        <w:t xml:space="preserve">Quicker P., </w:t>
      </w:r>
      <w:proofErr w:type="spellStart"/>
      <w:r w:rsidRPr="00EB0EBB">
        <w:rPr>
          <w:lang w:val="en-US"/>
        </w:rPr>
        <w:t>Rotheut</w:t>
      </w:r>
      <w:proofErr w:type="spellEnd"/>
      <w:r w:rsidRPr="00EB0EBB">
        <w:rPr>
          <w:lang w:val="en-US"/>
        </w:rPr>
        <w:t xml:space="preserve"> M., Noel Y., Schulten M., Athmann U., 2014</w:t>
      </w:r>
      <w:r>
        <w:rPr>
          <w:lang w:val="en-US"/>
        </w:rPr>
        <w:t>,</w:t>
      </w:r>
      <w:r w:rsidRPr="00EB0EBB">
        <w:rPr>
          <w:lang w:val="en-US"/>
        </w:rPr>
        <w:t xml:space="preserve"> Treating WTE flue</w:t>
      </w:r>
      <w:r>
        <w:rPr>
          <w:lang w:val="en-US"/>
        </w:rPr>
        <w:t xml:space="preserve"> </w:t>
      </w:r>
      <w:r w:rsidRPr="00EB0EBB">
        <w:rPr>
          <w:lang w:val="en-US"/>
        </w:rPr>
        <w:t>gases with sodium bicarbonate</w:t>
      </w:r>
      <w:r>
        <w:rPr>
          <w:lang w:val="en-US"/>
        </w:rPr>
        <w:t>,</w:t>
      </w:r>
      <w:r w:rsidRPr="00EB0EBB">
        <w:rPr>
          <w:lang w:val="en-US"/>
        </w:rPr>
        <w:t xml:space="preserve"> Power</w:t>
      </w:r>
      <w:r w:rsidR="00C47F5E">
        <w:rPr>
          <w:lang w:val="en-US"/>
        </w:rPr>
        <w:t>,</w:t>
      </w:r>
      <w:r w:rsidRPr="00EB0EBB">
        <w:rPr>
          <w:lang w:val="en-US"/>
        </w:rPr>
        <w:t xml:space="preserve"> 158, 59</w:t>
      </w:r>
      <w:r>
        <w:rPr>
          <w:lang w:val="en-US"/>
        </w:rPr>
        <w:t>-</w:t>
      </w:r>
      <w:r w:rsidRPr="00EB0EBB">
        <w:rPr>
          <w:lang w:val="en-US"/>
        </w:rPr>
        <w:t>63.</w:t>
      </w:r>
    </w:p>
    <w:p w14:paraId="22D43044" w14:textId="213FB724" w:rsidR="00C718FC" w:rsidRDefault="00C718FC" w:rsidP="00C718FC">
      <w:pPr>
        <w:pStyle w:val="CETReference-text"/>
        <w:rPr>
          <w:lang w:val="en-US"/>
        </w:rPr>
      </w:pPr>
      <w:r w:rsidRPr="00AE010D">
        <w:rPr>
          <w:lang w:val="en-US"/>
        </w:rPr>
        <w:t>Romero</w:t>
      </w:r>
      <w:r>
        <w:rPr>
          <w:lang w:val="en-US"/>
        </w:rPr>
        <w:t xml:space="preserve"> </w:t>
      </w:r>
      <w:r w:rsidRPr="00AE010D">
        <w:rPr>
          <w:lang w:val="en-US"/>
        </w:rPr>
        <w:t xml:space="preserve">L.M., </w:t>
      </w:r>
      <w:proofErr w:type="spellStart"/>
      <w:r w:rsidRPr="00AE010D">
        <w:rPr>
          <w:lang w:val="en-US"/>
        </w:rPr>
        <w:t>Lyczko</w:t>
      </w:r>
      <w:proofErr w:type="spellEnd"/>
      <w:r w:rsidRPr="00AE010D">
        <w:rPr>
          <w:lang w:val="en-US"/>
        </w:rPr>
        <w:t xml:space="preserve"> N., </w:t>
      </w:r>
      <w:proofErr w:type="spellStart"/>
      <w:r w:rsidRPr="00AE010D">
        <w:rPr>
          <w:lang w:val="en-US"/>
        </w:rPr>
        <w:t>Nzihou</w:t>
      </w:r>
      <w:proofErr w:type="spellEnd"/>
      <w:r w:rsidRPr="00AE010D">
        <w:rPr>
          <w:lang w:val="en-US"/>
        </w:rPr>
        <w:t xml:space="preserve"> A., </w:t>
      </w:r>
      <w:r w:rsidR="00AF520F">
        <w:rPr>
          <w:lang w:val="en-US"/>
        </w:rPr>
        <w:t xml:space="preserve">Antonini, G., Moreau, E., </w:t>
      </w:r>
      <w:proofErr w:type="spellStart"/>
      <w:r w:rsidR="00AF520F">
        <w:rPr>
          <w:lang w:val="en-US"/>
        </w:rPr>
        <w:t>Richardeau</w:t>
      </w:r>
      <w:proofErr w:type="spellEnd"/>
      <w:r w:rsidR="00AF520F">
        <w:rPr>
          <w:lang w:val="en-US"/>
        </w:rPr>
        <w:t>, H., Coste, C.</w:t>
      </w:r>
      <w:r w:rsidRPr="00AE010D">
        <w:rPr>
          <w:lang w:val="en-US"/>
        </w:rPr>
        <w:t xml:space="preserve">, </w:t>
      </w:r>
      <w:proofErr w:type="spellStart"/>
      <w:r w:rsidRPr="00AE010D">
        <w:rPr>
          <w:lang w:val="en-US"/>
        </w:rPr>
        <w:t>Madoui</w:t>
      </w:r>
      <w:proofErr w:type="spellEnd"/>
      <w:r w:rsidRPr="00AE010D">
        <w:rPr>
          <w:lang w:val="en-US"/>
        </w:rPr>
        <w:t xml:space="preserve">, S., </w:t>
      </w:r>
      <w:proofErr w:type="spellStart"/>
      <w:r w:rsidRPr="00AE010D">
        <w:rPr>
          <w:lang w:val="en-US"/>
        </w:rPr>
        <w:t>Durécu</w:t>
      </w:r>
      <w:proofErr w:type="spellEnd"/>
      <w:r w:rsidRPr="00AE010D">
        <w:rPr>
          <w:lang w:val="en-US"/>
        </w:rPr>
        <w:t>, S., 2020</w:t>
      </w:r>
      <w:r>
        <w:rPr>
          <w:lang w:val="en-US"/>
        </w:rPr>
        <w:t>,</w:t>
      </w:r>
      <w:r w:rsidRPr="00AE010D">
        <w:rPr>
          <w:lang w:val="en-US"/>
        </w:rPr>
        <w:t xml:space="preserve"> New insights on mercury abatement and modeling in a full-scale municipal solid waste incineration flue gas treatment unit</w:t>
      </w:r>
      <w:r w:rsidR="00826FF5">
        <w:rPr>
          <w:lang w:val="en-US"/>
        </w:rPr>
        <w:t>,</w:t>
      </w:r>
      <w:r w:rsidRPr="00AE010D">
        <w:rPr>
          <w:lang w:val="en-US"/>
        </w:rPr>
        <w:t xml:space="preserve"> Waste Manage</w:t>
      </w:r>
      <w:r w:rsidR="00AF520F">
        <w:rPr>
          <w:lang w:val="en-US"/>
        </w:rPr>
        <w:t>ment,</w:t>
      </w:r>
      <w:r w:rsidRPr="00AE010D">
        <w:rPr>
          <w:lang w:val="en-US"/>
        </w:rPr>
        <w:t xml:space="preserve"> 113, 270-279. </w:t>
      </w:r>
    </w:p>
    <w:p w14:paraId="414C73F3" w14:textId="5063D83A" w:rsidR="00C718FC" w:rsidRDefault="00C718FC" w:rsidP="00C718FC">
      <w:pPr>
        <w:pStyle w:val="CETReference-text"/>
        <w:rPr>
          <w:lang w:val="en-US"/>
        </w:rPr>
      </w:pPr>
      <w:proofErr w:type="spellStart"/>
      <w:r w:rsidRPr="00EB0EBB">
        <w:rPr>
          <w:lang w:val="en-US"/>
        </w:rPr>
        <w:t>Rumayo</w:t>
      </w:r>
      <w:r w:rsidR="003F183E">
        <w:rPr>
          <w:lang w:val="en-US"/>
        </w:rPr>
        <w:t>r</w:t>
      </w:r>
      <w:proofErr w:type="spellEnd"/>
      <w:r w:rsidRPr="00EB0EBB">
        <w:rPr>
          <w:lang w:val="en-US"/>
        </w:rPr>
        <w:t xml:space="preserve">, M. Svoboda K., </w:t>
      </w:r>
      <w:r w:rsidR="00D562A1" w:rsidRPr="00544A7B">
        <w:rPr>
          <w:rFonts w:cs="Arial"/>
          <w:szCs w:val="18"/>
          <w:shd w:val="clear" w:color="auto" w:fill="FFFFFF"/>
        </w:rPr>
        <w:t>Š</w:t>
      </w:r>
      <w:proofErr w:type="spellStart"/>
      <w:r w:rsidRPr="00544A7B">
        <w:rPr>
          <w:szCs w:val="18"/>
          <w:lang w:val="en-US"/>
        </w:rPr>
        <w:t>v</w:t>
      </w:r>
      <w:r w:rsidRPr="00D562A1">
        <w:rPr>
          <w:szCs w:val="18"/>
          <w:lang w:val="en-US"/>
        </w:rPr>
        <w:t>ehl</w:t>
      </w:r>
      <w:r w:rsidRPr="00EB0EBB">
        <w:rPr>
          <w:lang w:val="en-US"/>
        </w:rPr>
        <w:t>a</w:t>
      </w:r>
      <w:proofErr w:type="spellEnd"/>
      <w:r w:rsidRPr="00EB0EBB">
        <w:rPr>
          <w:lang w:val="en-US"/>
        </w:rPr>
        <w:t xml:space="preserve"> J., Poho</w:t>
      </w:r>
      <w:r w:rsidR="00544A7B">
        <w:rPr>
          <w:rFonts w:cs="Arial"/>
          <w:lang w:val="en-US"/>
        </w:rPr>
        <w:t>ř</w:t>
      </w:r>
      <w:r w:rsidRPr="00EB0EBB">
        <w:rPr>
          <w:lang w:val="en-US"/>
        </w:rPr>
        <w:t>el</w:t>
      </w:r>
      <w:r w:rsidR="001C2C75">
        <w:rPr>
          <w:rFonts w:cs="Arial"/>
          <w:lang w:val="en-US"/>
        </w:rPr>
        <w:t>ý</w:t>
      </w:r>
      <w:r>
        <w:rPr>
          <w:lang w:val="en-US"/>
        </w:rPr>
        <w:t xml:space="preserve"> M., </w:t>
      </w:r>
      <w:r w:rsidR="00544A7B" w:rsidRPr="00544A7B">
        <w:rPr>
          <w:rFonts w:cs="Arial"/>
          <w:szCs w:val="18"/>
          <w:shd w:val="clear" w:color="auto" w:fill="FFFFFF"/>
        </w:rPr>
        <w:t>Š</w:t>
      </w:r>
      <w:proofErr w:type="spellStart"/>
      <w:r>
        <w:rPr>
          <w:lang w:val="en-US"/>
        </w:rPr>
        <w:t>yc</w:t>
      </w:r>
      <w:proofErr w:type="spellEnd"/>
      <w:r>
        <w:rPr>
          <w:lang w:val="en-US"/>
        </w:rPr>
        <w:t xml:space="preserve"> M., 2018, </w:t>
      </w:r>
      <w:r w:rsidRPr="00F56D7A">
        <w:rPr>
          <w:lang w:val="en-US"/>
        </w:rPr>
        <w:t>Mitigation of gaseous mercury emissions from waste-to-energy facilities: Homogeneous and heterogeneous Hg-oxidation pathways in presence of fly ashes</w:t>
      </w:r>
      <w:r>
        <w:rPr>
          <w:lang w:val="en-US"/>
        </w:rPr>
        <w:t>, J</w:t>
      </w:r>
      <w:r w:rsidR="003F183E">
        <w:rPr>
          <w:lang w:val="en-US"/>
        </w:rPr>
        <w:t>ournal of</w:t>
      </w:r>
      <w:r>
        <w:rPr>
          <w:lang w:val="en-US"/>
        </w:rPr>
        <w:t xml:space="preserve"> Environ</w:t>
      </w:r>
      <w:r w:rsidR="003F183E">
        <w:rPr>
          <w:lang w:val="en-US"/>
        </w:rPr>
        <w:t>mental</w:t>
      </w:r>
      <w:r>
        <w:rPr>
          <w:lang w:val="en-US"/>
        </w:rPr>
        <w:t xml:space="preserve"> Manage</w:t>
      </w:r>
      <w:r w:rsidR="003F183E">
        <w:rPr>
          <w:lang w:val="en-US"/>
        </w:rPr>
        <w:t>ment,</w:t>
      </w:r>
      <w:r>
        <w:rPr>
          <w:lang w:val="en-US"/>
        </w:rPr>
        <w:t xml:space="preserve"> 206, 276-283. </w:t>
      </w:r>
    </w:p>
    <w:p w14:paraId="709A6455" w14:textId="530C5260" w:rsidR="00357E08" w:rsidRPr="00F132AA" w:rsidRDefault="00357E08" w:rsidP="00947E3D">
      <w:pPr>
        <w:pStyle w:val="CETReference-text"/>
      </w:pPr>
      <w:r w:rsidRPr="00947E3D">
        <w:rPr>
          <w:lang w:val="it-IT"/>
        </w:rPr>
        <w:t xml:space="preserve">Schiavon, </w:t>
      </w:r>
      <w:r w:rsidR="00947E3D">
        <w:rPr>
          <w:lang w:val="it-IT"/>
        </w:rPr>
        <w:t xml:space="preserve">M., </w:t>
      </w:r>
      <w:r w:rsidR="00947E3D" w:rsidRPr="00947E3D">
        <w:rPr>
          <w:lang w:val="it-IT"/>
        </w:rPr>
        <w:t>Ravina, M.</w:t>
      </w:r>
      <w:r w:rsidR="00947E3D">
        <w:rPr>
          <w:lang w:val="it-IT"/>
        </w:rPr>
        <w:t xml:space="preserve">, </w:t>
      </w:r>
      <w:r w:rsidR="00947E3D" w:rsidRPr="00947E3D">
        <w:rPr>
          <w:lang w:val="it-IT"/>
        </w:rPr>
        <w:t>Zanetti, M.</w:t>
      </w:r>
      <w:r w:rsidR="00947E3D">
        <w:rPr>
          <w:lang w:val="it-IT"/>
        </w:rPr>
        <w:t xml:space="preserve">, </w:t>
      </w:r>
      <w:r w:rsidR="00947E3D" w:rsidRPr="00947E3D">
        <w:rPr>
          <w:lang w:val="it-IT"/>
        </w:rPr>
        <w:t>Panepinto, D.</w:t>
      </w:r>
      <w:r w:rsidR="00947E3D">
        <w:rPr>
          <w:lang w:val="it-IT"/>
        </w:rPr>
        <w:t xml:space="preserve">, 2024. </w:t>
      </w:r>
      <w:r w:rsidR="00F132AA" w:rsidRPr="00F132AA">
        <w:t>State-of-the-Art and Recent Advances in the Abatement of Gaseous Pollutants from Waste-to-Energy</w:t>
      </w:r>
      <w:r w:rsidR="00FC616F">
        <w:t>,</w:t>
      </w:r>
      <w:r w:rsidR="00F132AA">
        <w:t xml:space="preserve"> Energies, 17, 552. </w:t>
      </w:r>
    </w:p>
    <w:p w14:paraId="2D09038D" w14:textId="7194B249" w:rsidR="00C718FC" w:rsidRDefault="00C718FC" w:rsidP="00C718FC">
      <w:pPr>
        <w:pStyle w:val="CETReferencetext"/>
      </w:pPr>
      <w:bookmarkStart w:id="6" w:name="_Hlk158904143"/>
      <w:r w:rsidRPr="00AE010D">
        <w:rPr>
          <w:lang w:val="en-US"/>
        </w:rPr>
        <w:t xml:space="preserve">Szymaszek A., </w:t>
      </w:r>
      <w:proofErr w:type="spellStart"/>
      <w:r w:rsidRPr="00AE010D">
        <w:rPr>
          <w:lang w:val="en-US"/>
        </w:rPr>
        <w:t>Samojeden</w:t>
      </w:r>
      <w:proofErr w:type="spellEnd"/>
      <w:r w:rsidRPr="00AE010D">
        <w:rPr>
          <w:lang w:val="en-US"/>
        </w:rPr>
        <w:t xml:space="preserve"> B., </w:t>
      </w:r>
      <w:proofErr w:type="spellStart"/>
      <w:r w:rsidRPr="00AE010D">
        <w:rPr>
          <w:lang w:val="en-US"/>
        </w:rPr>
        <w:t>Motak</w:t>
      </w:r>
      <w:proofErr w:type="spellEnd"/>
      <w:r w:rsidRPr="00AE010D">
        <w:rPr>
          <w:lang w:val="en-US"/>
        </w:rPr>
        <w:t>, M., 2020</w:t>
      </w:r>
      <w:r>
        <w:rPr>
          <w:lang w:val="en-US"/>
        </w:rPr>
        <w:t>,</w:t>
      </w:r>
      <w:r w:rsidRPr="00AE010D">
        <w:rPr>
          <w:lang w:val="en-US"/>
        </w:rPr>
        <w:t xml:space="preserve"> The deactivation of industrial SCR catalysts-a short review</w:t>
      </w:r>
      <w:r w:rsidR="00826FF5">
        <w:rPr>
          <w:lang w:val="en-US"/>
        </w:rPr>
        <w:t>,</w:t>
      </w:r>
      <w:r w:rsidRPr="00AE010D">
        <w:rPr>
          <w:lang w:val="en-US"/>
        </w:rPr>
        <w:t xml:space="preserve"> </w:t>
      </w:r>
      <w:r w:rsidRPr="002066AF">
        <w:t xml:space="preserve">Energies, 13, 3870. </w:t>
      </w:r>
    </w:p>
    <w:p w14:paraId="4DD9FCA2" w14:textId="5C1E3E0C" w:rsidR="00C718FC" w:rsidRDefault="00C718FC" w:rsidP="00C718FC">
      <w:pPr>
        <w:pStyle w:val="CETReferencetext"/>
      </w:pPr>
      <w:proofErr w:type="spellStart"/>
      <w:r w:rsidRPr="00EA07DF">
        <w:t>Tamascelli</w:t>
      </w:r>
      <w:proofErr w:type="spellEnd"/>
      <w:r w:rsidRPr="00EA07DF">
        <w:t xml:space="preserve"> N., Dal Pozzo A., Scarponi G.E., Paltrinieri N., </w:t>
      </w:r>
      <w:proofErr w:type="spellStart"/>
      <w:r w:rsidRPr="00EA07DF">
        <w:t>Cozzani</w:t>
      </w:r>
      <w:proofErr w:type="spellEnd"/>
      <w:r w:rsidRPr="00EA07DF">
        <w:t xml:space="preserve"> V., 2024, Assessment of Safety Barrier Performance in Environmentally Critical Facilities: Bridging Conventional Risk Assessment Techniques with Data-Driven Modelling</w:t>
      </w:r>
      <w:r w:rsidR="006A4006">
        <w:t>,</w:t>
      </w:r>
      <w:r>
        <w:t xml:space="preserve"> Proc</w:t>
      </w:r>
      <w:r w:rsidR="001331B3">
        <w:t>ess</w:t>
      </w:r>
      <w:r>
        <w:t xml:space="preserve"> Saf</w:t>
      </w:r>
      <w:r w:rsidR="001331B3">
        <w:t>ety and</w:t>
      </w:r>
      <w:r>
        <w:t xml:space="preserve"> Environ</w:t>
      </w:r>
      <w:r w:rsidR="001331B3">
        <w:t>mental</w:t>
      </w:r>
      <w:r>
        <w:t xml:space="preserve"> Prot</w:t>
      </w:r>
      <w:r w:rsidR="001331B3">
        <w:t>ection,</w:t>
      </w:r>
      <w:r>
        <w:t xml:space="preserve"> 181, 294-311.</w:t>
      </w:r>
    </w:p>
    <w:p w14:paraId="45682F40" w14:textId="369B807B" w:rsidR="00F132AA" w:rsidRPr="00EA07DF" w:rsidRDefault="00F132AA" w:rsidP="00F132AA">
      <w:pPr>
        <w:pStyle w:val="CETReferencetext"/>
      </w:pPr>
      <w:r>
        <w:t xml:space="preserve">Van </w:t>
      </w:r>
      <w:proofErr w:type="spellStart"/>
      <w:r>
        <w:t>Caneghem</w:t>
      </w:r>
      <w:proofErr w:type="spellEnd"/>
      <w:r>
        <w:t>, J.</w:t>
      </w:r>
      <w:r w:rsidR="00CD4923">
        <w:t xml:space="preserve">, </w:t>
      </w:r>
      <w:r>
        <w:t>Van Acker, K.</w:t>
      </w:r>
      <w:r w:rsidR="00CD4923">
        <w:t xml:space="preserve">, </w:t>
      </w:r>
      <w:r>
        <w:t>De Greef, J.</w:t>
      </w:r>
      <w:r w:rsidR="00CD4923">
        <w:t xml:space="preserve">, </w:t>
      </w:r>
      <w:r>
        <w:t>Wauters, G.</w:t>
      </w:r>
      <w:r w:rsidR="00CD4923">
        <w:t xml:space="preserve">, </w:t>
      </w:r>
      <w:r>
        <w:t>Vandecasteele, C.</w:t>
      </w:r>
      <w:r w:rsidR="00CD4923">
        <w:t>, 20</w:t>
      </w:r>
      <w:r w:rsidR="00C70266">
        <w:t xml:space="preserve">19. </w:t>
      </w:r>
      <w:r w:rsidR="00C70266" w:rsidRPr="00C70266">
        <w:t>Waste-to-energy is compatible and complementary with recycling in the circular economy</w:t>
      </w:r>
      <w:r w:rsidR="00C70266">
        <w:t>. Clean Technologies and Environmental Policy,</w:t>
      </w:r>
      <w:r w:rsidR="00AA32C8">
        <w:t xml:space="preserve"> 21, 925-939. </w:t>
      </w:r>
    </w:p>
    <w:p w14:paraId="3EBDA679" w14:textId="1AA94D1D" w:rsidR="00C718FC" w:rsidRDefault="00C718FC" w:rsidP="00C718FC">
      <w:pPr>
        <w:pStyle w:val="CETReferencetext"/>
        <w:rPr>
          <w:lang w:val="en-US"/>
        </w:rPr>
      </w:pPr>
      <w:proofErr w:type="spellStart"/>
      <w:r w:rsidRPr="00AE010D">
        <w:rPr>
          <w:lang w:val="en-US"/>
        </w:rPr>
        <w:t>Vehlow</w:t>
      </w:r>
      <w:proofErr w:type="spellEnd"/>
      <w:r w:rsidRPr="00AE010D">
        <w:rPr>
          <w:lang w:val="en-US"/>
        </w:rPr>
        <w:t xml:space="preserve"> J., 2015</w:t>
      </w:r>
      <w:r>
        <w:rPr>
          <w:lang w:val="en-US"/>
        </w:rPr>
        <w:t>,</w:t>
      </w:r>
      <w:r w:rsidRPr="00AE010D">
        <w:rPr>
          <w:lang w:val="en-US"/>
        </w:rPr>
        <w:t xml:space="preserve"> Air pollution control systems in </w:t>
      </w:r>
      <w:proofErr w:type="spellStart"/>
      <w:r w:rsidRPr="00AE010D">
        <w:rPr>
          <w:lang w:val="en-US"/>
        </w:rPr>
        <w:t>WtE</w:t>
      </w:r>
      <w:proofErr w:type="spellEnd"/>
      <w:r w:rsidRPr="00AE010D">
        <w:rPr>
          <w:lang w:val="en-US"/>
        </w:rPr>
        <w:t xml:space="preserve"> units: An overview</w:t>
      </w:r>
      <w:r w:rsidR="006A4006">
        <w:rPr>
          <w:lang w:val="en-US"/>
        </w:rPr>
        <w:t>,</w:t>
      </w:r>
      <w:r w:rsidRPr="00AE010D">
        <w:rPr>
          <w:lang w:val="en-US"/>
        </w:rPr>
        <w:t xml:space="preserve"> Waste Manage</w:t>
      </w:r>
      <w:r w:rsidR="008B7EF7">
        <w:rPr>
          <w:lang w:val="en-US"/>
        </w:rPr>
        <w:t>ment,</w:t>
      </w:r>
      <w:r w:rsidRPr="00AE010D">
        <w:rPr>
          <w:lang w:val="en-US"/>
        </w:rPr>
        <w:t xml:space="preserve"> 37, 58–74. </w:t>
      </w:r>
    </w:p>
    <w:bookmarkEnd w:id="6"/>
    <w:p w14:paraId="0CA83EB6" w14:textId="77777777" w:rsidR="00C718FC" w:rsidRDefault="00C718FC" w:rsidP="00C718FC">
      <w:pPr>
        <w:pStyle w:val="CETReferencetext"/>
      </w:pPr>
    </w:p>
    <w:p w14:paraId="19C4FC68" w14:textId="7B4579C6" w:rsidR="004628D2" w:rsidRDefault="004628D2" w:rsidP="002B1C47">
      <w:pPr>
        <w:pStyle w:val="CETReferencetext"/>
        <w:tabs>
          <w:tab w:val="left" w:pos="5520"/>
        </w:tabs>
        <w:ind w:left="0" w:firstLine="0"/>
      </w:pPr>
    </w:p>
    <w:sectPr w:rsidR="004628D2" w:rsidSect="003B25C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6E7A" w14:textId="77777777" w:rsidR="007962B1" w:rsidRDefault="007962B1" w:rsidP="004F5E36">
      <w:r>
        <w:separator/>
      </w:r>
    </w:p>
  </w:endnote>
  <w:endnote w:type="continuationSeparator" w:id="0">
    <w:p w14:paraId="742E0DEB" w14:textId="77777777" w:rsidR="007962B1" w:rsidRDefault="007962B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5648" w14:textId="77777777" w:rsidR="007962B1" w:rsidRDefault="007962B1" w:rsidP="004F5E36">
      <w:r>
        <w:separator/>
      </w:r>
    </w:p>
  </w:footnote>
  <w:footnote w:type="continuationSeparator" w:id="0">
    <w:p w14:paraId="38A903B0" w14:textId="77777777" w:rsidR="007962B1" w:rsidRDefault="007962B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0FF4A4C"/>
    <w:multiLevelType w:val="hybridMultilevel"/>
    <w:tmpl w:val="89DC5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ED56E9"/>
    <w:multiLevelType w:val="hybridMultilevel"/>
    <w:tmpl w:val="B93237E6"/>
    <w:lvl w:ilvl="0" w:tplc="B450DC9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38217E"/>
    <w:multiLevelType w:val="multilevel"/>
    <w:tmpl w:val="BD9A75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3D16CFE"/>
    <w:multiLevelType w:val="hybridMultilevel"/>
    <w:tmpl w:val="842ACEC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3"/>
  </w:num>
  <w:num w:numId="16">
    <w:abstractNumId w:val="22"/>
  </w:num>
  <w:num w:numId="17">
    <w:abstractNumId w:val="13"/>
  </w:num>
  <w:num w:numId="18">
    <w:abstractNumId w:val="14"/>
    <w:lvlOverride w:ilvl="0">
      <w:startOverride w:val="1"/>
    </w:lvlOverride>
  </w:num>
  <w:num w:numId="19">
    <w:abstractNumId w:val="19"/>
  </w:num>
  <w:num w:numId="20">
    <w:abstractNumId w:val="18"/>
  </w:num>
  <w:num w:numId="21">
    <w:abstractNumId w:val="16"/>
  </w:num>
  <w:num w:numId="22">
    <w:abstractNumId w:val="15"/>
  </w:num>
  <w:num w:numId="23">
    <w:abstractNumId w:val="11"/>
  </w:num>
  <w:num w:numId="24">
    <w:abstractNumId w:val="12"/>
    <w:lvlOverride w:ilvl="0">
      <w:startOverride w:val="1"/>
    </w:lvlOverride>
    <w:lvlOverride w:ilvl="1">
      <w:startOverride w:val="2"/>
    </w:lvlOverride>
    <w:lvlOverride w:ilvl="2">
      <w:startOverride w:val="2"/>
    </w:lvlOverride>
  </w:num>
  <w:num w:numId="25">
    <w:abstractNumId w:val="12"/>
    <w:lvlOverride w:ilvl="0">
      <w:startOverride w:val="1"/>
    </w:lvlOverride>
    <w:lvlOverride w:ilvl="1">
      <w:startOverride w:val="3"/>
    </w:lvlOverride>
  </w:num>
  <w:num w:numId="26">
    <w:abstractNumId w:val="12"/>
    <w:lvlOverride w:ilvl="0">
      <w:startOverride w:val="1"/>
    </w:lvlOverride>
    <w:lvlOverride w:ilvl="1">
      <w:startOverride w:val="2"/>
    </w:lvlOverride>
    <w:lvlOverride w:ilvl="2">
      <w:startOverride w:val="2"/>
    </w:lvlOverride>
  </w:num>
  <w:num w:numId="27">
    <w:abstractNumId w:val="12"/>
    <w:lvlOverride w:ilvl="0">
      <w:startOverride w:val="1"/>
    </w:lvlOverride>
    <w:lvlOverride w:ilvl="1">
      <w:startOverride w:val="2"/>
    </w:lvlOverride>
    <w:lvlOverride w:ilvl="2">
      <w:startOverride w:val="2"/>
    </w:lvlOverride>
  </w:num>
  <w:num w:numId="28">
    <w:abstractNumId w:val="17"/>
  </w:num>
  <w:num w:numId="29">
    <w:abstractNumId w:val="12"/>
  </w:num>
  <w:num w:numId="30">
    <w:abstractNumId w:val="12"/>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7E7B"/>
    <w:rsid w:val="00051566"/>
    <w:rsid w:val="00052379"/>
    <w:rsid w:val="00062A9A"/>
    <w:rsid w:val="00065058"/>
    <w:rsid w:val="000663A6"/>
    <w:rsid w:val="000703CE"/>
    <w:rsid w:val="00081439"/>
    <w:rsid w:val="0008282C"/>
    <w:rsid w:val="00082D53"/>
    <w:rsid w:val="00086C39"/>
    <w:rsid w:val="000909B0"/>
    <w:rsid w:val="000A03B2"/>
    <w:rsid w:val="000D0268"/>
    <w:rsid w:val="000D34BE"/>
    <w:rsid w:val="000D7075"/>
    <w:rsid w:val="000E102F"/>
    <w:rsid w:val="000E1DC2"/>
    <w:rsid w:val="000E36F1"/>
    <w:rsid w:val="000E3A73"/>
    <w:rsid w:val="000E414A"/>
    <w:rsid w:val="000F093C"/>
    <w:rsid w:val="000F48DC"/>
    <w:rsid w:val="000F787B"/>
    <w:rsid w:val="00106B28"/>
    <w:rsid w:val="0012091F"/>
    <w:rsid w:val="00126BC2"/>
    <w:rsid w:val="001308B6"/>
    <w:rsid w:val="0013121F"/>
    <w:rsid w:val="00131FE6"/>
    <w:rsid w:val="0013263F"/>
    <w:rsid w:val="001328E9"/>
    <w:rsid w:val="001331B3"/>
    <w:rsid w:val="001331DF"/>
    <w:rsid w:val="00134DE4"/>
    <w:rsid w:val="0014034D"/>
    <w:rsid w:val="00144D16"/>
    <w:rsid w:val="00150E59"/>
    <w:rsid w:val="00152DE3"/>
    <w:rsid w:val="0015440E"/>
    <w:rsid w:val="00155F62"/>
    <w:rsid w:val="00162B60"/>
    <w:rsid w:val="00164CF9"/>
    <w:rsid w:val="001667A6"/>
    <w:rsid w:val="00176FAD"/>
    <w:rsid w:val="00184AD6"/>
    <w:rsid w:val="001A4AF7"/>
    <w:rsid w:val="001B0349"/>
    <w:rsid w:val="001B1E93"/>
    <w:rsid w:val="001B602F"/>
    <w:rsid w:val="001B65C1"/>
    <w:rsid w:val="001C2C75"/>
    <w:rsid w:val="001C684B"/>
    <w:rsid w:val="001D0CFB"/>
    <w:rsid w:val="001D53FC"/>
    <w:rsid w:val="001E3286"/>
    <w:rsid w:val="001F42A5"/>
    <w:rsid w:val="001F7B9D"/>
    <w:rsid w:val="00201C93"/>
    <w:rsid w:val="00211C78"/>
    <w:rsid w:val="002224B4"/>
    <w:rsid w:val="00232742"/>
    <w:rsid w:val="00240684"/>
    <w:rsid w:val="002447EF"/>
    <w:rsid w:val="00251550"/>
    <w:rsid w:val="00257E5D"/>
    <w:rsid w:val="00263B05"/>
    <w:rsid w:val="0027221A"/>
    <w:rsid w:val="00275B61"/>
    <w:rsid w:val="00280FAF"/>
    <w:rsid w:val="00282656"/>
    <w:rsid w:val="00296B83"/>
    <w:rsid w:val="002A3638"/>
    <w:rsid w:val="002A59D8"/>
    <w:rsid w:val="002B1C47"/>
    <w:rsid w:val="002B4015"/>
    <w:rsid w:val="002B78CE"/>
    <w:rsid w:val="002C2FB6"/>
    <w:rsid w:val="002C41E0"/>
    <w:rsid w:val="002E5FA7"/>
    <w:rsid w:val="002F3309"/>
    <w:rsid w:val="003008CE"/>
    <w:rsid w:val="003009B7"/>
    <w:rsid w:val="00300E56"/>
    <w:rsid w:val="0030469C"/>
    <w:rsid w:val="00307BD9"/>
    <w:rsid w:val="00315750"/>
    <w:rsid w:val="00317517"/>
    <w:rsid w:val="00320291"/>
    <w:rsid w:val="00321CA6"/>
    <w:rsid w:val="00323763"/>
    <w:rsid w:val="00334C09"/>
    <w:rsid w:val="00346FAF"/>
    <w:rsid w:val="00357E08"/>
    <w:rsid w:val="0036033D"/>
    <w:rsid w:val="00366200"/>
    <w:rsid w:val="003723D4"/>
    <w:rsid w:val="00381905"/>
    <w:rsid w:val="00384CC8"/>
    <w:rsid w:val="003871FD"/>
    <w:rsid w:val="003A0B4E"/>
    <w:rsid w:val="003A1E30"/>
    <w:rsid w:val="003A2565"/>
    <w:rsid w:val="003A2829"/>
    <w:rsid w:val="003A7D1C"/>
    <w:rsid w:val="003B25C9"/>
    <w:rsid w:val="003B304B"/>
    <w:rsid w:val="003B3146"/>
    <w:rsid w:val="003B62E6"/>
    <w:rsid w:val="003F015E"/>
    <w:rsid w:val="003F183E"/>
    <w:rsid w:val="003F2705"/>
    <w:rsid w:val="003F48AE"/>
    <w:rsid w:val="00400414"/>
    <w:rsid w:val="0041446B"/>
    <w:rsid w:val="0044329C"/>
    <w:rsid w:val="00446CD8"/>
    <w:rsid w:val="00453E24"/>
    <w:rsid w:val="00457456"/>
    <w:rsid w:val="004577FE"/>
    <w:rsid w:val="00457B9C"/>
    <w:rsid w:val="0046164A"/>
    <w:rsid w:val="004628D2"/>
    <w:rsid w:val="00462DCD"/>
    <w:rsid w:val="004648AD"/>
    <w:rsid w:val="00467F35"/>
    <w:rsid w:val="004703A9"/>
    <w:rsid w:val="00475E7D"/>
    <w:rsid w:val="004760DE"/>
    <w:rsid w:val="004763D7"/>
    <w:rsid w:val="00476770"/>
    <w:rsid w:val="00484C70"/>
    <w:rsid w:val="00492C70"/>
    <w:rsid w:val="004A004E"/>
    <w:rsid w:val="004A24CF"/>
    <w:rsid w:val="004C3D1D"/>
    <w:rsid w:val="004C5556"/>
    <w:rsid w:val="004C7913"/>
    <w:rsid w:val="004D620C"/>
    <w:rsid w:val="004E4DD6"/>
    <w:rsid w:val="004E7BFA"/>
    <w:rsid w:val="004F5E36"/>
    <w:rsid w:val="00507B47"/>
    <w:rsid w:val="00507BEF"/>
    <w:rsid w:val="00507CC9"/>
    <w:rsid w:val="005119A5"/>
    <w:rsid w:val="005278B7"/>
    <w:rsid w:val="00532016"/>
    <w:rsid w:val="005346C8"/>
    <w:rsid w:val="00543E7D"/>
    <w:rsid w:val="00544A7B"/>
    <w:rsid w:val="00547A68"/>
    <w:rsid w:val="005531C9"/>
    <w:rsid w:val="0055694A"/>
    <w:rsid w:val="00570C43"/>
    <w:rsid w:val="00571940"/>
    <w:rsid w:val="00580CB7"/>
    <w:rsid w:val="00584CD6"/>
    <w:rsid w:val="00597780"/>
    <w:rsid w:val="005A3821"/>
    <w:rsid w:val="005B2110"/>
    <w:rsid w:val="005B61E6"/>
    <w:rsid w:val="005C48AC"/>
    <w:rsid w:val="005C77E1"/>
    <w:rsid w:val="005D668A"/>
    <w:rsid w:val="005D6A2F"/>
    <w:rsid w:val="005E1A82"/>
    <w:rsid w:val="005E2F0E"/>
    <w:rsid w:val="005E794C"/>
    <w:rsid w:val="005E7CFB"/>
    <w:rsid w:val="005F0A28"/>
    <w:rsid w:val="005F0E5E"/>
    <w:rsid w:val="005F4661"/>
    <w:rsid w:val="005F5CB0"/>
    <w:rsid w:val="00600535"/>
    <w:rsid w:val="00610CD6"/>
    <w:rsid w:val="00620DEE"/>
    <w:rsid w:val="00621F92"/>
    <w:rsid w:val="0062280A"/>
    <w:rsid w:val="00625639"/>
    <w:rsid w:val="00631B33"/>
    <w:rsid w:val="0064184D"/>
    <w:rsid w:val="006422CC"/>
    <w:rsid w:val="00653718"/>
    <w:rsid w:val="00660E3E"/>
    <w:rsid w:val="00662E74"/>
    <w:rsid w:val="00665323"/>
    <w:rsid w:val="00680C23"/>
    <w:rsid w:val="00693766"/>
    <w:rsid w:val="006A3281"/>
    <w:rsid w:val="006A4006"/>
    <w:rsid w:val="006A699B"/>
    <w:rsid w:val="006B05C0"/>
    <w:rsid w:val="006B4888"/>
    <w:rsid w:val="006C2E45"/>
    <w:rsid w:val="006C359C"/>
    <w:rsid w:val="006C5579"/>
    <w:rsid w:val="006C7171"/>
    <w:rsid w:val="006C792C"/>
    <w:rsid w:val="006D6E8B"/>
    <w:rsid w:val="006E1D3D"/>
    <w:rsid w:val="006E516F"/>
    <w:rsid w:val="006E737D"/>
    <w:rsid w:val="007012FD"/>
    <w:rsid w:val="00707565"/>
    <w:rsid w:val="00713973"/>
    <w:rsid w:val="00720A24"/>
    <w:rsid w:val="00732386"/>
    <w:rsid w:val="0073514D"/>
    <w:rsid w:val="007447F3"/>
    <w:rsid w:val="0075499F"/>
    <w:rsid w:val="007661C8"/>
    <w:rsid w:val="0076778E"/>
    <w:rsid w:val="0077098D"/>
    <w:rsid w:val="00784132"/>
    <w:rsid w:val="0078630B"/>
    <w:rsid w:val="007931FA"/>
    <w:rsid w:val="00794FDC"/>
    <w:rsid w:val="007962B1"/>
    <w:rsid w:val="007A4861"/>
    <w:rsid w:val="007A65B7"/>
    <w:rsid w:val="007A6D9D"/>
    <w:rsid w:val="007A7BBA"/>
    <w:rsid w:val="007B0C50"/>
    <w:rsid w:val="007B48F9"/>
    <w:rsid w:val="007B50CF"/>
    <w:rsid w:val="007B74DA"/>
    <w:rsid w:val="007C1A43"/>
    <w:rsid w:val="007D511F"/>
    <w:rsid w:val="0080013E"/>
    <w:rsid w:val="00802633"/>
    <w:rsid w:val="00813288"/>
    <w:rsid w:val="008168FC"/>
    <w:rsid w:val="00825DD9"/>
    <w:rsid w:val="00826FF5"/>
    <w:rsid w:val="00830996"/>
    <w:rsid w:val="008345F1"/>
    <w:rsid w:val="00865B07"/>
    <w:rsid w:val="008667EA"/>
    <w:rsid w:val="0087637F"/>
    <w:rsid w:val="00892AD5"/>
    <w:rsid w:val="008A1512"/>
    <w:rsid w:val="008A5E0F"/>
    <w:rsid w:val="008B7EF7"/>
    <w:rsid w:val="008D32B9"/>
    <w:rsid w:val="008D433B"/>
    <w:rsid w:val="008E566E"/>
    <w:rsid w:val="009009E7"/>
    <w:rsid w:val="0090161A"/>
    <w:rsid w:val="00901EB6"/>
    <w:rsid w:val="00904C62"/>
    <w:rsid w:val="00921B01"/>
    <w:rsid w:val="00922AFA"/>
    <w:rsid w:val="00922BA8"/>
    <w:rsid w:val="00924DAC"/>
    <w:rsid w:val="00927058"/>
    <w:rsid w:val="00934899"/>
    <w:rsid w:val="00941458"/>
    <w:rsid w:val="00942750"/>
    <w:rsid w:val="009450CE"/>
    <w:rsid w:val="00945C80"/>
    <w:rsid w:val="00947179"/>
    <w:rsid w:val="00947E3D"/>
    <w:rsid w:val="0095164B"/>
    <w:rsid w:val="00954090"/>
    <w:rsid w:val="009573E7"/>
    <w:rsid w:val="00963E05"/>
    <w:rsid w:val="00967843"/>
    <w:rsid w:val="00967D54"/>
    <w:rsid w:val="00971028"/>
    <w:rsid w:val="00993B84"/>
    <w:rsid w:val="00996483"/>
    <w:rsid w:val="00996F5A"/>
    <w:rsid w:val="009A7032"/>
    <w:rsid w:val="009B041A"/>
    <w:rsid w:val="009C37C3"/>
    <w:rsid w:val="009C7C86"/>
    <w:rsid w:val="009D2FF7"/>
    <w:rsid w:val="009E102E"/>
    <w:rsid w:val="009E42E4"/>
    <w:rsid w:val="009E7884"/>
    <w:rsid w:val="009E788A"/>
    <w:rsid w:val="009F0E08"/>
    <w:rsid w:val="00A13186"/>
    <w:rsid w:val="00A1575C"/>
    <w:rsid w:val="00A1763D"/>
    <w:rsid w:val="00A17CEC"/>
    <w:rsid w:val="00A27EF0"/>
    <w:rsid w:val="00A42361"/>
    <w:rsid w:val="00A50B20"/>
    <w:rsid w:val="00A51390"/>
    <w:rsid w:val="00A54756"/>
    <w:rsid w:val="00A55861"/>
    <w:rsid w:val="00A60D13"/>
    <w:rsid w:val="00A63536"/>
    <w:rsid w:val="00A72745"/>
    <w:rsid w:val="00A76EFC"/>
    <w:rsid w:val="00A8465B"/>
    <w:rsid w:val="00A91010"/>
    <w:rsid w:val="00A97F29"/>
    <w:rsid w:val="00AA32C8"/>
    <w:rsid w:val="00AA4F49"/>
    <w:rsid w:val="00AA702E"/>
    <w:rsid w:val="00AB0964"/>
    <w:rsid w:val="00AB5011"/>
    <w:rsid w:val="00AC7368"/>
    <w:rsid w:val="00AD16B9"/>
    <w:rsid w:val="00AD4881"/>
    <w:rsid w:val="00AE377D"/>
    <w:rsid w:val="00AF0EBA"/>
    <w:rsid w:val="00AF520F"/>
    <w:rsid w:val="00B01091"/>
    <w:rsid w:val="00B02C8A"/>
    <w:rsid w:val="00B17FBD"/>
    <w:rsid w:val="00B21C5D"/>
    <w:rsid w:val="00B25B26"/>
    <w:rsid w:val="00B315A6"/>
    <w:rsid w:val="00B31813"/>
    <w:rsid w:val="00B33365"/>
    <w:rsid w:val="00B46BDD"/>
    <w:rsid w:val="00B57B36"/>
    <w:rsid w:val="00B57E6F"/>
    <w:rsid w:val="00B7662C"/>
    <w:rsid w:val="00B8686D"/>
    <w:rsid w:val="00B93F69"/>
    <w:rsid w:val="00BB1DDC"/>
    <w:rsid w:val="00BC30C9"/>
    <w:rsid w:val="00BD077D"/>
    <w:rsid w:val="00BD4953"/>
    <w:rsid w:val="00BE3E58"/>
    <w:rsid w:val="00BE66C3"/>
    <w:rsid w:val="00C01616"/>
    <w:rsid w:val="00C0162B"/>
    <w:rsid w:val="00C068ED"/>
    <w:rsid w:val="00C21D26"/>
    <w:rsid w:val="00C2275E"/>
    <w:rsid w:val="00C22E0C"/>
    <w:rsid w:val="00C25C6F"/>
    <w:rsid w:val="00C32666"/>
    <w:rsid w:val="00C345B1"/>
    <w:rsid w:val="00C40142"/>
    <w:rsid w:val="00C44AC5"/>
    <w:rsid w:val="00C47F5E"/>
    <w:rsid w:val="00C51CD8"/>
    <w:rsid w:val="00C52376"/>
    <w:rsid w:val="00C52C3C"/>
    <w:rsid w:val="00C57182"/>
    <w:rsid w:val="00C57863"/>
    <w:rsid w:val="00C655FD"/>
    <w:rsid w:val="00C70266"/>
    <w:rsid w:val="00C718FC"/>
    <w:rsid w:val="00C75407"/>
    <w:rsid w:val="00C763DC"/>
    <w:rsid w:val="00C870A8"/>
    <w:rsid w:val="00C919C8"/>
    <w:rsid w:val="00C94434"/>
    <w:rsid w:val="00CA0D75"/>
    <w:rsid w:val="00CA1C95"/>
    <w:rsid w:val="00CA5A9C"/>
    <w:rsid w:val="00CB6606"/>
    <w:rsid w:val="00CC4C20"/>
    <w:rsid w:val="00CD3517"/>
    <w:rsid w:val="00CD4923"/>
    <w:rsid w:val="00CD5FE2"/>
    <w:rsid w:val="00CE0A43"/>
    <w:rsid w:val="00CE71F3"/>
    <w:rsid w:val="00CE7C68"/>
    <w:rsid w:val="00D02B4C"/>
    <w:rsid w:val="00D040C4"/>
    <w:rsid w:val="00D07BD2"/>
    <w:rsid w:val="00D15937"/>
    <w:rsid w:val="00D26C79"/>
    <w:rsid w:val="00D43BBE"/>
    <w:rsid w:val="00D464D6"/>
    <w:rsid w:val="00D46B7E"/>
    <w:rsid w:val="00D562A1"/>
    <w:rsid w:val="00D57C84"/>
    <w:rsid w:val="00D6057D"/>
    <w:rsid w:val="00D65216"/>
    <w:rsid w:val="00D779C4"/>
    <w:rsid w:val="00D836C5"/>
    <w:rsid w:val="00D84576"/>
    <w:rsid w:val="00DA1399"/>
    <w:rsid w:val="00DA24C6"/>
    <w:rsid w:val="00DA4D7B"/>
    <w:rsid w:val="00DD177B"/>
    <w:rsid w:val="00DE264A"/>
    <w:rsid w:val="00DE3FD4"/>
    <w:rsid w:val="00DF5072"/>
    <w:rsid w:val="00E02D18"/>
    <w:rsid w:val="00E041E7"/>
    <w:rsid w:val="00E22AD9"/>
    <w:rsid w:val="00E23CA1"/>
    <w:rsid w:val="00E409A8"/>
    <w:rsid w:val="00E50C12"/>
    <w:rsid w:val="00E52E82"/>
    <w:rsid w:val="00E547E7"/>
    <w:rsid w:val="00E64301"/>
    <w:rsid w:val="00E65B91"/>
    <w:rsid w:val="00E7209D"/>
    <w:rsid w:val="00E72EAD"/>
    <w:rsid w:val="00E770B7"/>
    <w:rsid w:val="00E77223"/>
    <w:rsid w:val="00E8528B"/>
    <w:rsid w:val="00E85B94"/>
    <w:rsid w:val="00E978D0"/>
    <w:rsid w:val="00E97AE8"/>
    <w:rsid w:val="00EA4613"/>
    <w:rsid w:val="00EA7F91"/>
    <w:rsid w:val="00EB1523"/>
    <w:rsid w:val="00EC0E49"/>
    <w:rsid w:val="00EC101F"/>
    <w:rsid w:val="00EC1D9F"/>
    <w:rsid w:val="00EC6FEE"/>
    <w:rsid w:val="00EE0131"/>
    <w:rsid w:val="00EE0294"/>
    <w:rsid w:val="00EE0498"/>
    <w:rsid w:val="00EE17B0"/>
    <w:rsid w:val="00EE5713"/>
    <w:rsid w:val="00EF06D9"/>
    <w:rsid w:val="00F132AA"/>
    <w:rsid w:val="00F264C9"/>
    <w:rsid w:val="00F30C64"/>
    <w:rsid w:val="00F32BA2"/>
    <w:rsid w:val="00F32CDB"/>
    <w:rsid w:val="00F565FE"/>
    <w:rsid w:val="00F62529"/>
    <w:rsid w:val="00F63A70"/>
    <w:rsid w:val="00F7534E"/>
    <w:rsid w:val="00F801C1"/>
    <w:rsid w:val="00F80369"/>
    <w:rsid w:val="00F96847"/>
    <w:rsid w:val="00FA21D0"/>
    <w:rsid w:val="00FA538E"/>
    <w:rsid w:val="00FA5F5F"/>
    <w:rsid w:val="00FB0149"/>
    <w:rsid w:val="00FB1F06"/>
    <w:rsid w:val="00FB730C"/>
    <w:rsid w:val="00FC2695"/>
    <w:rsid w:val="00FC3E03"/>
    <w:rsid w:val="00FC3FC1"/>
    <w:rsid w:val="00FC616F"/>
    <w:rsid w:val="00FD1C2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D7075"/>
    <w:pPr>
      <w:keepNext/>
      <w:numPr>
        <w:ilvl w:val="2"/>
        <w:numId w:val="1"/>
      </w:numPr>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D707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CET-table-title">
    <w:name w:val="CET-table-title"/>
    <w:rsid w:val="00052379"/>
    <w:pPr>
      <w:keepNext/>
      <w:spacing w:before="240" w:after="80" w:line="240" w:lineRule="exact"/>
    </w:pPr>
    <w:rPr>
      <w:rFonts w:ascii="Arial" w:eastAsia="Times New Roman" w:hAnsi="Arial" w:cs="Times New Roman"/>
      <w:i/>
      <w:sz w:val="18"/>
      <w:szCs w:val="20"/>
      <w:lang w:val="en-US"/>
    </w:rPr>
  </w:style>
  <w:style w:type="paragraph" w:customStyle="1" w:styleId="Default">
    <w:name w:val="Default"/>
    <w:rsid w:val="00052379"/>
    <w:pPr>
      <w:autoSpaceDE w:val="0"/>
      <w:autoSpaceDN w:val="0"/>
      <w:adjustRightInd w:val="0"/>
      <w:spacing w:after="0" w:line="240" w:lineRule="auto"/>
    </w:pPr>
    <w:rPr>
      <w:rFonts w:ascii="Arial" w:hAnsi="Arial" w:cs="Arial"/>
      <w:color w:val="000000"/>
      <w:sz w:val="24"/>
      <w:szCs w:val="24"/>
    </w:rPr>
  </w:style>
  <w:style w:type="paragraph" w:customStyle="1" w:styleId="CETReference-text">
    <w:name w:val="CET Reference-text"/>
    <w:rsid w:val="00C718FC"/>
    <w:pPr>
      <w:spacing w:after="0" w:line="264" w:lineRule="auto"/>
      <w:ind w:left="284" w:hanging="284"/>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3252</Words>
  <Characters>17859</Characters>
  <Application>Microsoft Office Word</Application>
  <DocSecurity>0</DocSecurity>
  <Lines>313</Lines>
  <Paragraphs>155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Carmela Chianese</cp:lastModifiedBy>
  <cp:revision>207</cp:revision>
  <cp:lastPrinted>2024-09-10T08:40:00Z</cp:lastPrinted>
  <dcterms:created xsi:type="dcterms:W3CDTF">2017-11-20T08:58:00Z</dcterms:created>
  <dcterms:modified xsi:type="dcterms:W3CDTF">2024-09-10T08:43:00Z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52d2c177511b3e78dca0d67aff61e6505f2a22991676b042471ce7ff90bc6118</vt:lpwstr>
  </property>
</Properties>
</file>