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857EAD">
          <w:type w:val="continuous"/>
          <w:pgSz w:w="11906" w:h="16838" w:code="9"/>
          <w:pgMar w:top="1701" w:right="1418" w:bottom="1701" w:left="1701" w:header="1701" w:footer="0" w:gutter="0"/>
          <w:cols w:space="708"/>
          <w:titlePg/>
          <w:docGrid w:linePitch="360"/>
        </w:sectPr>
      </w:pPr>
    </w:p>
    <w:p w14:paraId="2E667253" w14:textId="646414FB" w:rsidR="00E978D0" w:rsidRPr="00665323" w:rsidRDefault="00473B34" w:rsidP="00665323">
      <w:pPr>
        <w:pStyle w:val="CETTitle"/>
      </w:pPr>
      <w:r>
        <w:t>A Comparative Assessment of the Inherent Safety of Hydrogen</w:t>
      </w:r>
      <w:r w:rsidR="00A654D6">
        <w:t>-Fuelled Power Systems</w:t>
      </w:r>
    </w:p>
    <w:p w14:paraId="0488FED2" w14:textId="3A6A89A7" w:rsidR="00B57E6F" w:rsidRPr="00FB6E63" w:rsidRDefault="00A654D6" w:rsidP="00B57E6F">
      <w:pPr>
        <w:pStyle w:val="CETAuthors"/>
      </w:pPr>
      <w:r w:rsidRPr="00FB6E63">
        <w:t>Francesco Zanobetti</w:t>
      </w:r>
      <w:r w:rsidR="00B57E6F" w:rsidRPr="00FB6E63">
        <w:rPr>
          <w:vertAlign w:val="superscript"/>
        </w:rPr>
        <w:t>a</w:t>
      </w:r>
      <w:r w:rsidR="00B57E6F" w:rsidRPr="00FB6E63">
        <w:t xml:space="preserve">, </w:t>
      </w:r>
      <w:r w:rsidR="004B3969" w:rsidRPr="00FB6E63">
        <w:t>Gianmaria Pio</w:t>
      </w:r>
      <w:r w:rsidR="005F7818" w:rsidRPr="00FB6E63">
        <w:rPr>
          <w:vertAlign w:val="superscript"/>
        </w:rPr>
        <w:t>a</w:t>
      </w:r>
      <w:r w:rsidR="00B57E6F" w:rsidRPr="00FB6E63">
        <w:t xml:space="preserve">, </w:t>
      </w:r>
      <w:r w:rsidR="005F7818" w:rsidRPr="00FB6E63">
        <w:t>Sepideh Jafarzadeh</w:t>
      </w:r>
      <w:r w:rsidR="00AF5705" w:rsidRPr="00FB6E63">
        <w:rPr>
          <w:vertAlign w:val="superscript"/>
        </w:rPr>
        <w:t>b</w:t>
      </w:r>
      <w:r w:rsidR="005F7818" w:rsidRPr="00FB6E63">
        <w:t>,</w:t>
      </w:r>
      <w:r w:rsidR="00B57E6F" w:rsidRPr="00FB6E63">
        <w:t xml:space="preserve"> </w:t>
      </w:r>
      <w:r w:rsidR="000B0916" w:rsidRPr="00FB6E63">
        <w:t>Miguel Mu</w:t>
      </w:r>
      <w:r w:rsidR="000B0916" w:rsidRPr="00FB6E63">
        <w:rPr>
          <w:rFonts w:cs="Arial"/>
        </w:rPr>
        <w:t>ñ</w:t>
      </w:r>
      <w:r w:rsidR="00964BED" w:rsidRPr="00FB6E63">
        <w:t>oz Ortiz</w:t>
      </w:r>
      <w:r w:rsidR="00AF5705" w:rsidRPr="00FB6E63">
        <w:rPr>
          <w:vertAlign w:val="superscript"/>
        </w:rPr>
        <w:t>c</w:t>
      </w:r>
      <w:r w:rsidR="00964BED" w:rsidRPr="00FB6E63">
        <w:t>, Valerio Cozzani</w:t>
      </w:r>
      <w:r w:rsidR="00964BED" w:rsidRPr="00FB6E63">
        <w:rPr>
          <w:vertAlign w:val="superscript"/>
        </w:rPr>
        <w:t>a,</w:t>
      </w:r>
      <w:r w:rsidR="00964BED" w:rsidRPr="00FB6E63">
        <w:t>*</w:t>
      </w:r>
    </w:p>
    <w:p w14:paraId="068CA5BC" w14:textId="08130CDF" w:rsidR="00C04145" w:rsidRDefault="00B57E6F" w:rsidP="00B57E6F">
      <w:pPr>
        <w:pStyle w:val="CETAddress"/>
        <w:rPr>
          <w:lang w:val="en-US"/>
        </w:rPr>
      </w:pPr>
      <w:r w:rsidRPr="00B57B36">
        <w:rPr>
          <w:vertAlign w:val="superscript"/>
        </w:rPr>
        <w:t>a</w:t>
      </w:r>
      <w:r w:rsidR="00946C75">
        <w:rPr>
          <w:vertAlign w:val="superscript"/>
        </w:rPr>
        <w:t xml:space="preserve"> </w:t>
      </w:r>
      <w:r w:rsidR="00C04145" w:rsidRPr="00C04145">
        <w:rPr>
          <w:lang w:val="en-US"/>
        </w:rPr>
        <w:t>LISES – Laboratory of Industrial Safety and Environmental Sustainability, Department of Civil, Chemical, Environmental and Materials Engineering, University of Bologna, Via Terracini 28, 40131, Bologna, Italy</w:t>
      </w:r>
    </w:p>
    <w:p w14:paraId="667C36EA" w14:textId="5DE17B4F" w:rsidR="00BC140B" w:rsidRDefault="00B57E6F" w:rsidP="00BC140B">
      <w:pPr>
        <w:pStyle w:val="CETAddress"/>
        <w:rPr>
          <w:lang w:val="en-US"/>
        </w:rPr>
      </w:pPr>
      <w:r w:rsidRPr="00B57B36">
        <w:rPr>
          <w:vertAlign w:val="superscript"/>
        </w:rPr>
        <w:t>b</w:t>
      </w:r>
      <w:r w:rsidR="00946C75">
        <w:rPr>
          <w:vertAlign w:val="superscript"/>
        </w:rPr>
        <w:t xml:space="preserve"> </w:t>
      </w:r>
      <w:r w:rsidR="00BC140B" w:rsidRPr="00BC140B">
        <w:rPr>
          <w:lang w:val="en-US"/>
        </w:rPr>
        <w:t>SINTEF Ocean, Postboks 4762 Torgarden, NO-7465 Trondheim, Norway</w:t>
      </w:r>
    </w:p>
    <w:p w14:paraId="63998DD3" w14:textId="2E447DA9" w:rsidR="00BC140B" w:rsidRDefault="00222869" w:rsidP="00BC140B">
      <w:pPr>
        <w:pStyle w:val="CETAddress"/>
        <w:rPr>
          <w:lang w:val="en-US"/>
        </w:rPr>
      </w:pPr>
      <w:r>
        <w:rPr>
          <w:vertAlign w:val="superscript"/>
          <w:lang w:val="en-US"/>
        </w:rPr>
        <w:t>c</w:t>
      </w:r>
      <w:r w:rsidR="00946C75">
        <w:rPr>
          <w:vertAlign w:val="superscript"/>
          <w:lang w:val="en-US"/>
        </w:rPr>
        <w:t xml:space="preserve"> </w:t>
      </w:r>
      <w:r w:rsidRPr="00222869">
        <w:rPr>
          <w:lang w:val="en-US"/>
        </w:rPr>
        <w:t>SINTEF Industry, Postboks 4760 Torgarden, NO-7465 Trondheim, Norway</w:t>
      </w:r>
    </w:p>
    <w:p w14:paraId="73F1267A" w14:textId="70DB67B5" w:rsidR="00B57E6F" w:rsidRDefault="00E01D9E" w:rsidP="00BC140B">
      <w:pPr>
        <w:pStyle w:val="CETAddress"/>
      </w:pPr>
      <w:r>
        <w:t xml:space="preserve"> </w:t>
      </w:r>
      <w:r w:rsidR="00521485" w:rsidRPr="00521485">
        <w:t>valerio.cozzani@unibo.it</w:t>
      </w:r>
    </w:p>
    <w:p w14:paraId="0C95ED5B" w14:textId="77777777" w:rsidR="00521485" w:rsidRPr="00B57B36" w:rsidRDefault="00521485" w:rsidP="00BC140B">
      <w:pPr>
        <w:pStyle w:val="CETAddress"/>
      </w:pPr>
    </w:p>
    <w:p w14:paraId="72A35E7C" w14:textId="71EE49A1" w:rsidR="009C0E30" w:rsidRDefault="00AF0C8D" w:rsidP="00600535">
      <w:pPr>
        <w:pStyle w:val="CETBodytext"/>
        <w:rPr>
          <w:lang w:val="en-GB"/>
        </w:rPr>
      </w:pPr>
      <w:r>
        <w:rPr>
          <w:lang w:val="en-GB"/>
        </w:rPr>
        <w:t xml:space="preserve">The </w:t>
      </w:r>
      <w:r w:rsidR="004C0BB5">
        <w:rPr>
          <w:lang w:val="en-GB"/>
        </w:rPr>
        <w:t>utili</w:t>
      </w:r>
      <w:r w:rsidR="00182201">
        <w:rPr>
          <w:lang w:val="en-GB"/>
        </w:rPr>
        <w:t>s</w:t>
      </w:r>
      <w:r w:rsidR="004C0BB5">
        <w:rPr>
          <w:lang w:val="en-GB"/>
        </w:rPr>
        <w:t xml:space="preserve">ation on a </w:t>
      </w:r>
      <w:r w:rsidR="009C0E30">
        <w:rPr>
          <w:lang w:val="en-GB"/>
        </w:rPr>
        <w:t>large-scale</w:t>
      </w:r>
      <w:r w:rsidR="004C0BB5">
        <w:rPr>
          <w:lang w:val="en-GB"/>
        </w:rPr>
        <w:t xml:space="preserve"> basis </w:t>
      </w:r>
      <w:r w:rsidR="003D5412">
        <w:rPr>
          <w:lang w:val="en-GB"/>
        </w:rPr>
        <w:t xml:space="preserve">of more sustainable solutions for the transport </w:t>
      </w:r>
      <w:r w:rsidR="00896E68">
        <w:rPr>
          <w:lang w:val="en-GB"/>
        </w:rPr>
        <w:t xml:space="preserve">sector </w:t>
      </w:r>
      <w:r w:rsidR="003D5412">
        <w:rPr>
          <w:lang w:val="en-GB"/>
        </w:rPr>
        <w:t xml:space="preserve">represents an essential step </w:t>
      </w:r>
      <w:r w:rsidR="00EA4EF0">
        <w:rPr>
          <w:lang w:val="en-GB"/>
        </w:rPr>
        <w:t xml:space="preserve">to comply with international standards and regulations </w:t>
      </w:r>
      <w:r w:rsidR="009C0E30">
        <w:rPr>
          <w:lang w:val="en-GB"/>
        </w:rPr>
        <w:t xml:space="preserve">as well as </w:t>
      </w:r>
      <w:r w:rsidR="00EA339A">
        <w:rPr>
          <w:lang w:val="en-GB"/>
        </w:rPr>
        <w:t xml:space="preserve">to </w:t>
      </w:r>
      <w:r w:rsidR="009C0E30">
        <w:rPr>
          <w:lang w:val="en-GB"/>
        </w:rPr>
        <w:t xml:space="preserve">reduce the impacts of human activities on the environment. </w:t>
      </w:r>
      <w:r w:rsidR="00417C91">
        <w:rPr>
          <w:lang w:val="en-GB"/>
        </w:rPr>
        <w:t>Considering the current global emissions, t</w:t>
      </w:r>
      <w:r w:rsidR="00693662">
        <w:rPr>
          <w:lang w:val="en-GB"/>
        </w:rPr>
        <w:t>he development and implementation of innovative solutions allowing for decarboni</w:t>
      </w:r>
      <w:r w:rsidR="00457D37">
        <w:rPr>
          <w:lang w:val="en-GB"/>
        </w:rPr>
        <w:t>s</w:t>
      </w:r>
      <w:r w:rsidR="00693662">
        <w:rPr>
          <w:lang w:val="en-GB"/>
        </w:rPr>
        <w:t>ation is</w:t>
      </w:r>
      <w:r w:rsidR="009C0E30">
        <w:rPr>
          <w:lang w:val="en-GB"/>
        </w:rPr>
        <w:t xml:space="preserve"> particularly relevant for </w:t>
      </w:r>
      <w:r w:rsidR="00783E19">
        <w:rPr>
          <w:lang w:val="en-GB"/>
        </w:rPr>
        <w:t>maritime transport.</w:t>
      </w:r>
      <w:r w:rsidR="00107E91">
        <w:rPr>
          <w:lang w:val="en-GB"/>
        </w:rPr>
        <w:t xml:space="preserve"> Recent studies have indicated the use of hydrogen as a </w:t>
      </w:r>
      <w:r w:rsidR="00516D54">
        <w:rPr>
          <w:lang w:val="en-GB"/>
        </w:rPr>
        <w:t>promising</w:t>
      </w:r>
      <w:r w:rsidR="00107E91">
        <w:rPr>
          <w:lang w:val="en-GB"/>
        </w:rPr>
        <w:t xml:space="preserve"> solution from </w:t>
      </w:r>
      <w:r w:rsidR="00214E9F">
        <w:rPr>
          <w:lang w:val="en-GB"/>
        </w:rPr>
        <w:t>medium- and long-term</w:t>
      </w:r>
      <w:r w:rsidR="00107E91">
        <w:rPr>
          <w:lang w:val="en-GB"/>
        </w:rPr>
        <w:t xml:space="preserve"> perspectives.</w:t>
      </w:r>
      <w:r w:rsidR="00783E19">
        <w:rPr>
          <w:lang w:val="en-GB"/>
        </w:rPr>
        <w:t xml:space="preserve"> </w:t>
      </w:r>
      <w:r w:rsidR="00417C91">
        <w:rPr>
          <w:lang w:val="en-GB"/>
        </w:rPr>
        <w:t xml:space="preserve">For these reasons, this work </w:t>
      </w:r>
      <w:r w:rsidR="002E7BBE">
        <w:rPr>
          <w:lang w:val="en-GB"/>
        </w:rPr>
        <w:t>analyses</w:t>
      </w:r>
      <w:r w:rsidR="00417C91">
        <w:rPr>
          <w:lang w:val="en-GB"/>
        </w:rPr>
        <w:t xml:space="preserve"> possible alternative solutions suitable for </w:t>
      </w:r>
      <w:r w:rsidR="00504167">
        <w:rPr>
          <w:lang w:val="en-GB"/>
        </w:rPr>
        <w:t>large</w:t>
      </w:r>
      <w:r w:rsidR="001B7166">
        <w:rPr>
          <w:lang w:val="en-GB"/>
        </w:rPr>
        <w:t>-scale</w:t>
      </w:r>
      <w:r w:rsidR="00504167">
        <w:rPr>
          <w:lang w:val="en-GB"/>
        </w:rPr>
        <w:t xml:space="preserve"> </w:t>
      </w:r>
      <w:r w:rsidR="002E7BBE">
        <w:rPr>
          <w:lang w:val="en-GB"/>
        </w:rPr>
        <w:t>ship propulsion</w:t>
      </w:r>
      <w:r w:rsidR="00516D54">
        <w:rPr>
          <w:lang w:val="en-GB"/>
        </w:rPr>
        <w:t xml:space="preserve"> based on hydrogen conversion</w:t>
      </w:r>
      <w:r w:rsidR="002E7BBE">
        <w:rPr>
          <w:lang w:val="en-GB"/>
        </w:rPr>
        <w:t xml:space="preserve">. </w:t>
      </w:r>
      <w:r w:rsidR="003B2892">
        <w:rPr>
          <w:lang w:val="en-GB"/>
        </w:rPr>
        <w:t>Considering the current readiness level, available know-how</w:t>
      </w:r>
      <w:r w:rsidR="005958A0">
        <w:rPr>
          <w:lang w:val="en-GB"/>
        </w:rPr>
        <w:t>,</w:t>
      </w:r>
      <w:r w:rsidR="003B2892">
        <w:rPr>
          <w:lang w:val="en-GB"/>
        </w:rPr>
        <w:t xml:space="preserve"> and training, the use of hig</w:t>
      </w:r>
      <w:r w:rsidR="00107E91">
        <w:rPr>
          <w:lang w:val="en-GB"/>
        </w:rPr>
        <w:t>h</w:t>
      </w:r>
      <w:r w:rsidR="003B2892">
        <w:rPr>
          <w:lang w:val="en-GB"/>
        </w:rPr>
        <w:t>ly rea</w:t>
      </w:r>
      <w:r w:rsidR="00107E91">
        <w:rPr>
          <w:lang w:val="en-GB"/>
        </w:rPr>
        <w:t>ctive species</w:t>
      </w:r>
      <w:r w:rsidR="00516D54">
        <w:rPr>
          <w:lang w:val="en-GB"/>
        </w:rPr>
        <w:t xml:space="preserve"> </w:t>
      </w:r>
      <w:r w:rsidR="003B0FFF">
        <w:rPr>
          <w:lang w:val="en-GB"/>
        </w:rPr>
        <w:t xml:space="preserve">such as hydrogen </w:t>
      </w:r>
      <w:r w:rsidR="00516D54">
        <w:rPr>
          <w:lang w:val="en-GB"/>
        </w:rPr>
        <w:t>poses significant concerns on the</w:t>
      </w:r>
      <w:r w:rsidR="003B2892">
        <w:rPr>
          <w:lang w:val="en-GB"/>
        </w:rPr>
        <w:t xml:space="preserve"> </w:t>
      </w:r>
      <w:r w:rsidR="00516D54">
        <w:rPr>
          <w:lang w:val="en-GB"/>
        </w:rPr>
        <w:t xml:space="preserve">safety aspects. </w:t>
      </w:r>
      <w:r w:rsidR="008F424E">
        <w:rPr>
          <w:lang w:val="en-GB"/>
        </w:rPr>
        <w:t xml:space="preserve">Therefore, particular emphasis was given to the quantification of the most relevant safety aspects related to storage, </w:t>
      </w:r>
      <w:r w:rsidR="00FF4CE7">
        <w:rPr>
          <w:lang w:val="en-GB"/>
        </w:rPr>
        <w:t>fuel conditioning items</w:t>
      </w:r>
      <w:r w:rsidR="009C4A5D">
        <w:rPr>
          <w:lang w:val="en-GB"/>
        </w:rPr>
        <w:t>,</w:t>
      </w:r>
      <w:r w:rsidR="008F424E">
        <w:rPr>
          <w:lang w:val="en-GB"/>
        </w:rPr>
        <w:t xml:space="preserve"> and power production systems. </w:t>
      </w:r>
      <w:r w:rsidR="00780E38">
        <w:rPr>
          <w:lang w:val="en-GB"/>
        </w:rPr>
        <w:t xml:space="preserve">Quite obviously, the possible resulting scenarios are strongly affected by the selected strategy for storing hydrogen, requiring specific studies on the subject. </w:t>
      </w:r>
      <w:r w:rsidR="001D5F65">
        <w:rPr>
          <w:lang w:val="en-GB"/>
        </w:rPr>
        <w:t>Hence</w:t>
      </w:r>
      <w:r w:rsidR="002E7BBE">
        <w:rPr>
          <w:lang w:val="en-GB"/>
        </w:rPr>
        <w:t>,</w:t>
      </w:r>
      <w:r w:rsidR="00451B8E">
        <w:rPr>
          <w:lang w:val="en-GB"/>
        </w:rPr>
        <w:t xml:space="preserve"> compressed</w:t>
      </w:r>
      <w:r w:rsidR="002E7BBE">
        <w:rPr>
          <w:lang w:val="en-GB"/>
        </w:rPr>
        <w:t xml:space="preserve"> hydrogen</w:t>
      </w:r>
      <w:r w:rsidR="00451B8E">
        <w:rPr>
          <w:lang w:val="en-GB"/>
        </w:rPr>
        <w:t xml:space="preserve">, liquefied hydrogen, and </w:t>
      </w:r>
      <w:r w:rsidR="000124B9">
        <w:rPr>
          <w:lang w:val="en-GB"/>
        </w:rPr>
        <w:t>cryo-compressed</w:t>
      </w:r>
      <w:r w:rsidR="00451B8E">
        <w:rPr>
          <w:lang w:val="en-GB"/>
        </w:rPr>
        <w:t xml:space="preserve"> liquid hydrogen </w:t>
      </w:r>
      <w:r w:rsidR="00072A83">
        <w:rPr>
          <w:lang w:val="en-GB"/>
        </w:rPr>
        <w:t>were deeply discussed</w:t>
      </w:r>
      <w:r w:rsidR="001D5F65">
        <w:rPr>
          <w:lang w:val="en-GB"/>
        </w:rPr>
        <w:t xml:space="preserve"> in this study</w:t>
      </w:r>
      <w:r w:rsidR="00072A83">
        <w:rPr>
          <w:lang w:val="en-GB"/>
        </w:rPr>
        <w:t xml:space="preserve">. </w:t>
      </w:r>
      <w:r w:rsidR="00451B8E">
        <w:rPr>
          <w:lang w:val="en-GB"/>
        </w:rPr>
        <w:t xml:space="preserve">For the sake of </w:t>
      </w:r>
      <w:r w:rsidR="000124B9">
        <w:rPr>
          <w:lang w:val="en-GB"/>
        </w:rPr>
        <w:t>completeness</w:t>
      </w:r>
      <w:r w:rsidR="00451B8E">
        <w:rPr>
          <w:lang w:val="en-GB"/>
        </w:rPr>
        <w:t xml:space="preserve">, </w:t>
      </w:r>
      <w:r w:rsidR="000124B9">
        <w:rPr>
          <w:lang w:val="en-GB"/>
        </w:rPr>
        <w:t>the results</w:t>
      </w:r>
      <w:r w:rsidR="00F37F91">
        <w:rPr>
          <w:lang w:val="en-GB"/>
        </w:rPr>
        <w:t xml:space="preserve"> obtained</w:t>
      </w:r>
      <w:r w:rsidR="000124B9">
        <w:rPr>
          <w:lang w:val="en-GB"/>
        </w:rPr>
        <w:t xml:space="preserve"> were compared with </w:t>
      </w:r>
      <w:r w:rsidR="00E174B8">
        <w:rPr>
          <w:lang w:val="en-GB"/>
        </w:rPr>
        <w:t xml:space="preserve">data deriving from </w:t>
      </w:r>
      <w:r w:rsidR="00451B8E">
        <w:rPr>
          <w:lang w:val="en-GB"/>
        </w:rPr>
        <w:t>a</w:t>
      </w:r>
      <w:r w:rsidR="000124B9">
        <w:rPr>
          <w:lang w:val="en-GB"/>
        </w:rPr>
        <w:t xml:space="preserve">n existing system based on </w:t>
      </w:r>
      <w:r w:rsidR="00504167">
        <w:rPr>
          <w:lang w:val="en-GB"/>
        </w:rPr>
        <w:t>liquefied natural gas (LNG)</w:t>
      </w:r>
      <w:r w:rsidR="00E174B8">
        <w:rPr>
          <w:lang w:val="en-GB"/>
        </w:rPr>
        <w:t>.</w:t>
      </w:r>
      <w:r w:rsidR="00F81E21">
        <w:rPr>
          <w:lang w:val="en-GB"/>
        </w:rPr>
        <w:t xml:space="preserve"> </w:t>
      </w:r>
      <w:r w:rsidR="00115ACC" w:rsidRPr="00877386">
        <w:rPr>
          <w:lang w:val="en-GB"/>
        </w:rPr>
        <w:t>Results</w:t>
      </w:r>
      <w:r w:rsidR="00115ACC">
        <w:rPr>
          <w:lang w:val="en-GB"/>
        </w:rPr>
        <w:t xml:space="preserve"> </w:t>
      </w:r>
      <w:r w:rsidR="00FA157D">
        <w:rPr>
          <w:lang w:val="en-GB"/>
        </w:rPr>
        <w:t>showed tha</w:t>
      </w:r>
      <w:r w:rsidR="00877386">
        <w:rPr>
          <w:lang w:val="en-GB"/>
        </w:rPr>
        <w:t xml:space="preserve">t storage tanks </w:t>
      </w:r>
      <w:r w:rsidR="00FA157D">
        <w:rPr>
          <w:lang w:val="en-GB"/>
        </w:rPr>
        <w:t xml:space="preserve">represent the most </w:t>
      </w:r>
      <w:r w:rsidR="009C5848">
        <w:rPr>
          <w:lang w:val="en-GB"/>
        </w:rPr>
        <w:t>safety-critical unit</w:t>
      </w:r>
      <w:r w:rsidR="00877386">
        <w:rPr>
          <w:lang w:val="en-GB"/>
        </w:rPr>
        <w:t>s</w:t>
      </w:r>
      <w:r w:rsidR="009C5848">
        <w:rPr>
          <w:lang w:val="en-GB"/>
        </w:rPr>
        <w:t xml:space="preserve"> for all the </w:t>
      </w:r>
      <w:r w:rsidR="00C85DCD">
        <w:rPr>
          <w:lang w:val="en-GB"/>
        </w:rPr>
        <w:t>investigated alternatives</w:t>
      </w:r>
      <w:r w:rsidR="009C5848">
        <w:rPr>
          <w:lang w:val="en-GB"/>
        </w:rPr>
        <w:t xml:space="preserve"> </w:t>
      </w:r>
      <w:r w:rsidR="00C85DCD">
        <w:rPr>
          <w:lang w:val="en-GB"/>
        </w:rPr>
        <w:t xml:space="preserve">evaluated </w:t>
      </w:r>
      <w:r w:rsidR="009C5848">
        <w:rPr>
          <w:lang w:val="en-GB"/>
        </w:rPr>
        <w:t xml:space="preserve">in the analysis, regardless of the inherent safety metric adopted. </w:t>
      </w:r>
      <w:r w:rsidR="00901EBC">
        <w:rPr>
          <w:lang w:val="en-GB"/>
        </w:rPr>
        <w:t xml:space="preserve">The </w:t>
      </w:r>
      <w:r w:rsidR="00C85DCD">
        <w:rPr>
          <w:lang w:val="en-GB"/>
        </w:rPr>
        <w:t xml:space="preserve">inherent safety footprint </w:t>
      </w:r>
      <w:r w:rsidR="009C4A5D">
        <w:rPr>
          <w:lang w:val="en-GB"/>
        </w:rPr>
        <w:t>quantification</w:t>
      </w:r>
      <w:r w:rsidR="00901EBC">
        <w:rPr>
          <w:lang w:val="en-GB"/>
        </w:rPr>
        <w:t xml:space="preserve"> highlighted that </w:t>
      </w:r>
      <w:r w:rsidR="00FF6862">
        <w:rPr>
          <w:lang w:val="en-GB"/>
        </w:rPr>
        <w:t xml:space="preserve">the adoption of emerging </w:t>
      </w:r>
      <w:r w:rsidR="00DF6B5E">
        <w:rPr>
          <w:lang w:val="en-GB"/>
        </w:rPr>
        <w:t xml:space="preserve">technologies based on cryo-compressed </w:t>
      </w:r>
      <w:r w:rsidR="009C4A5D">
        <w:rPr>
          <w:lang w:val="en-GB"/>
        </w:rPr>
        <w:t xml:space="preserve">liquid hydrogen could </w:t>
      </w:r>
      <w:r w:rsidR="00FF6862">
        <w:rPr>
          <w:lang w:val="en-GB"/>
        </w:rPr>
        <w:t xml:space="preserve">improve </w:t>
      </w:r>
      <w:r w:rsidR="00C85DCD">
        <w:rPr>
          <w:lang w:val="en-GB"/>
        </w:rPr>
        <w:t xml:space="preserve">the </w:t>
      </w:r>
      <w:r w:rsidR="00D14FA4">
        <w:rPr>
          <w:lang w:val="en-GB"/>
        </w:rPr>
        <w:t>onboard inherent safety performance of the ship power system</w:t>
      </w:r>
      <w:r w:rsidR="00C85DCD">
        <w:rPr>
          <w:lang w:val="en-GB"/>
        </w:rPr>
        <w:t xml:space="preserve"> </w:t>
      </w:r>
      <w:r w:rsidR="00720E7A">
        <w:rPr>
          <w:lang w:val="en-GB"/>
        </w:rPr>
        <w:t>compared to</w:t>
      </w:r>
      <w:r w:rsidR="00D76298">
        <w:rPr>
          <w:lang w:val="en-GB"/>
        </w:rPr>
        <w:t xml:space="preserve"> LNG-fuelled engines</w:t>
      </w:r>
      <w:r w:rsidR="00D14FA4">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6B173CF6" w14:textId="0B467D68" w:rsidR="00521364" w:rsidRDefault="00466470" w:rsidP="00600535">
      <w:pPr>
        <w:pStyle w:val="CETBodytext"/>
        <w:rPr>
          <w:lang w:val="en-GB"/>
        </w:rPr>
      </w:pPr>
      <w:r>
        <w:rPr>
          <w:lang w:val="en-GB"/>
        </w:rPr>
        <w:t>The transport</w:t>
      </w:r>
      <w:r w:rsidR="00FD19AC">
        <w:rPr>
          <w:lang w:val="en-GB"/>
        </w:rPr>
        <w:t xml:space="preserve"> sector </w:t>
      </w:r>
      <w:r w:rsidR="00F00A89">
        <w:rPr>
          <w:lang w:val="en-GB"/>
        </w:rPr>
        <w:t>emerges as</w:t>
      </w:r>
      <w:r w:rsidR="002D59B4">
        <w:rPr>
          <w:lang w:val="en-GB"/>
        </w:rPr>
        <w:t xml:space="preserve"> the </w:t>
      </w:r>
      <w:r w:rsidR="00A00FB3">
        <w:rPr>
          <w:lang w:val="en-GB"/>
        </w:rPr>
        <w:t>third</w:t>
      </w:r>
      <w:r w:rsidR="002D59B4">
        <w:rPr>
          <w:lang w:val="en-GB"/>
        </w:rPr>
        <w:t xml:space="preserve"> greatest contributor to </w:t>
      </w:r>
      <w:r w:rsidR="009C61B6">
        <w:rPr>
          <w:lang w:val="en-GB"/>
        </w:rPr>
        <w:t xml:space="preserve">greenhouse gas emissions </w:t>
      </w:r>
      <w:r w:rsidR="00A00FB3">
        <w:rPr>
          <w:lang w:val="en-GB"/>
        </w:rPr>
        <w:t xml:space="preserve">worldwide </w:t>
      </w:r>
      <w:r w:rsidR="00262D2C">
        <w:rPr>
          <w:lang w:val="en-GB"/>
        </w:rPr>
        <w:fldChar w:fldCharType="begin" w:fldLock="1"/>
      </w:r>
      <w:r w:rsidR="006B593C">
        <w:rPr>
          <w:lang w:val="en-GB"/>
        </w:rPr>
        <w:instrText>ADDIN CSL_CITATION {"citationItems":[{"id":"ITEM-1","itemData":{"author":[{"dropping-particle":"","family":"IEA","given":"","non-dropping-particle":"","parse-names":false,"suffix":""}],"id":"ITEM-1","issued":{"date-parts":[["2023"]]},"publisher-place":"Paris","title":"CO2 Emissions in 2022","type":"report"},"uris":["http://www.mendeley.com/documents/?uuid=8ef7bfda-34d0-4579-9394-1c15b3b76cfd"]}],"mendeley":{"formattedCitation":"(IEA, 2023)","plainTextFormattedCitation":"(IEA, 2023)","previouslyFormattedCitation":"(IEA, 2023)"},"properties":{"noteIndex":0},"schema":"https://github.com/citation-style-language/schema/raw/master/csl-citation.json"}</w:instrText>
      </w:r>
      <w:r w:rsidR="00262D2C">
        <w:rPr>
          <w:lang w:val="en-GB"/>
        </w:rPr>
        <w:fldChar w:fldCharType="separate"/>
      </w:r>
      <w:r w:rsidR="00262D2C" w:rsidRPr="00262D2C">
        <w:rPr>
          <w:noProof/>
          <w:lang w:val="en-GB"/>
        </w:rPr>
        <w:t>(IEA, 2023)</w:t>
      </w:r>
      <w:r w:rsidR="00262D2C">
        <w:rPr>
          <w:lang w:val="en-GB"/>
        </w:rPr>
        <w:fldChar w:fldCharType="end"/>
      </w:r>
      <w:r w:rsidR="00262D2C">
        <w:rPr>
          <w:lang w:val="en-GB"/>
        </w:rPr>
        <w:t xml:space="preserve">. </w:t>
      </w:r>
      <w:r w:rsidR="00695A71">
        <w:rPr>
          <w:lang w:val="en-GB"/>
        </w:rPr>
        <w:t>Reducing</w:t>
      </w:r>
      <w:r w:rsidR="00F91676">
        <w:rPr>
          <w:lang w:val="en-GB"/>
        </w:rPr>
        <w:t xml:space="preserve"> </w:t>
      </w:r>
      <w:r w:rsidR="00B927FC">
        <w:rPr>
          <w:lang w:val="en-GB"/>
        </w:rPr>
        <w:t xml:space="preserve">the </w:t>
      </w:r>
      <w:r w:rsidR="00695A71">
        <w:rPr>
          <w:lang w:val="en-GB"/>
        </w:rPr>
        <w:t xml:space="preserve">carbon footprint </w:t>
      </w:r>
      <w:r w:rsidR="00B927FC">
        <w:rPr>
          <w:lang w:val="en-GB"/>
        </w:rPr>
        <w:t xml:space="preserve">of the mobility industry </w:t>
      </w:r>
      <w:r w:rsidR="00695A71">
        <w:rPr>
          <w:lang w:val="en-GB"/>
        </w:rPr>
        <w:t xml:space="preserve">is therefore </w:t>
      </w:r>
      <w:r w:rsidR="00AA1473">
        <w:rPr>
          <w:lang w:val="en-GB"/>
        </w:rPr>
        <w:t>essential</w:t>
      </w:r>
      <w:r w:rsidR="00695A71">
        <w:rPr>
          <w:lang w:val="en-GB"/>
        </w:rPr>
        <w:t xml:space="preserve"> </w:t>
      </w:r>
      <w:r w:rsidR="00C27D8E">
        <w:rPr>
          <w:lang w:val="en-GB"/>
        </w:rPr>
        <w:t xml:space="preserve">to reach net zero by 2050 </w:t>
      </w:r>
      <w:r w:rsidR="006B593C">
        <w:rPr>
          <w:lang w:val="en-GB"/>
        </w:rPr>
        <w:fldChar w:fldCharType="begin" w:fldLock="1"/>
      </w:r>
      <w:r w:rsidR="00157CCB">
        <w:rPr>
          <w:lang w:val="en-GB"/>
        </w:rPr>
        <w:instrText>ADDIN CSL_CITATION {"citationItems":[{"id":"ITEM-1","itemData":{"author":[{"dropping-particle":"","family":"IEA","given":"","non-dropping-particle":"","parse-names":false,"suffix":""}],"id":"ITEM-1","issued":{"date-parts":[["2021"]]},"publisher-place":"Paris","title":"Net Zero by 2050","type":"report"},"uris":["http://www.mendeley.com/documents/?uuid=012742f0-4edb-4992-bc4b-b54d6a4d324a"]}],"mendeley":{"formattedCitation":"(IEA, 2021)","plainTextFormattedCitation":"(IEA, 2021)","previouslyFormattedCitation":"(IEA, 2021)"},"properties":{"noteIndex":0},"schema":"https://github.com/citation-style-language/schema/raw/master/csl-citation.json"}</w:instrText>
      </w:r>
      <w:r w:rsidR="006B593C">
        <w:rPr>
          <w:lang w:val="en-GB"/>
        </w:rPr>
        <w:fldChar w:fldCharType="separate"/>
      </w:r>
      <w:r w:rsidR="006B593C" w:rsidRPr="006B593C">
        <w:rPr>
          <w:noProof/>
          <w:lang w:val="en-GB"/>
        </w:rPr>
        <w:t>(IEA, 2021)</w:t>
      </w:r>
      <w:r w:rsidR="006B593C">
        <w:rPr>
          <w:lang w:val="en-GB"/>
        </w:rPr>
        <w:fldChar w:fldCharType="end"/>
      </w:r>
      <w:r w:rsidR="00C27D8E">
        <w:rPr>
          <w:lang w:val="en-GB"/>
        </w:rPr>
        <w:t xml:space="preserve">. </w:t>
      </w:r>
      <w:r w:rsidR="00AA1473">
        <w:rPr>
          <w:lang w:val="en-GB"/>
        </w:rPr>
        <w:t xml:space="preserve">In this context, maritime transport </w:t>
      </w:r>
      <w:r w:rsidR="00BC5D3D">
        <w:rPr>
          <w:lang w:val="en-GB"/>
        </w:rPr>
        <w:t>represents</w:t>
      </w:r>
      <w:r w:rsidR="00C3421B">
        <w:rPr>
          <w:lang w:val="en-GB"/>
        </w:rPr>
        <w:t xml:space="preserve"> a</w:t>
      </w:r>
      <w:r w:rsidR="00725984">
        <w:rPr>
          <w:lang w:val="en-GB"/>
        </w:rPr>
        <w:t xml:space="preserve">n important </w:t>
      </w:r>
      <w:r w:rsidR="00C3421B">
        <w:rPr>
          <w:lang w:val="en-GB"/>
        </w:rPr>
        <w:t>target</w:t>
      </w:r>
      <w:r w:rsidR="00206111">
        <w:rPr>
          <w:lang w:val="en-GB"/>
        </w:rPr>
        <w:t xml:space="preserve"> for decarboni</w:t>
      </w:r>
      <w:r w:rsidR="00DD62BB">
        <w:rPr>
          <w:lang w:val="en-GB"/>
        </w:rPr>
        <w:t>s</w:t>
      </w:r>
      <w:r w:rsidR="00206111">
        <w:rPr>
          <w:lang w:val="en-GB"/>
        </w:rPr>
        <w:t xml:space="preserve">ation, accounting for </w:t>
      </w:r>
      <w:r w:rsidR="0012127C">
        <w:rPr>
          <w:lang w:val="en-GB"/>
        </w:rPr>
        <w:t>almost</w:t>
      </w:r>
      <w:r w:rsidR="00BE1B1A">
        <w:rPr>
          <w:lang w:val="en-GB"/>
        </w:rPr>
        <w:t xml:space="preserve"> 3</w:t>
      </w:r>
      <w:r w:rsidR="00307537">
        <w:rPr>
          <w:lang w:val="en-GB"/>
        </w:rPr>
        <w:t xml:space="preserve"> </w:t>
      </w:r>
      <w:r w:rsidR="00BE1B1A">
        <w:rPr>
          <w:lang w:val="en-GB"/>
        </w:rPr>
        <w:t>% of global</w:t>
      </w:r>
      <w:r w:rsidR="00892020">
        <w:rPr>
          <w:lang w:val="en-GB"/>
        </w:rPr>
        <w:t xml:space="preserve"> CO</w:t>
      </w:r>
      <w:r w:rsidR="00892020" w:rsidRPr="00892020">
        <w:rPr>
          <w:vertAlign w:val="subscript"/>
          <w:lang w:val="en-GB"/>
        </w:rPr>
        <w:t>2</w:t>
      </w:r>
      <w:r w:rsidR="00892020">
        <w:rPr>
          <w:lang w:val="en-GB"/>
        </w:rPr>
        <w:t xml:space="preserve"> emissions </w:t>
      </w:r>
      <w:r w:rsidR="00157CCB">
        <w:rPr>
          <w:lang w:val="en-GB"/>
        </w:rPr>
        <w:fldChar w:fldCharType="begin" w:fldLock="1"/>
      </w:r>
      <w:r w:rsidR="005A40DD">
        <w:rPr>
          <w:lang w:val="en-GB"/>
        </w:rPr>
        <w:instrText>ADDIN CSL_CITATION {"citationItems":[{"id":"ITEM-1","itemData":{"author":[{"dropping-particle":"","family":"IMO","given":"","non-dropping-particle":"","parse-names":false,"suffix":""}],"id":"ITEM-1","issued":{"date-parts":[["2021"]]},"publisher-place":"London, UK","title":"Fourth IMO GHG Study 20200","type":"report"},"uris":["http://www.mendeley.com/documents/?uuid=ed63a53e-ce67-4b54-964a-ecc4ce7ebb69"]}],"mendeley":{"formattedCitation":"(IMO, 2021)","plainTextFormattedCitation":"(IMO, 2021)","previouslyFormattedCitation":"(IMO, 2021)"},"properties":{"noteIndex":0},"schema":"https://github.com/citation-style-language/schema/raw/master/csl-citation.json"}</w:instrText>
      </w:r>
      <w:r w:rsidR="00157CCB">
        <w:rPr>
          <w:lang w:val="en-GB"/>
        </w:rPr>
        <w:fldChar w:fldCharType="separate"/>
      </w:r>
      <w:r w:rsidR="00DC5D44" w:rsidRPr="00DC5D44">
        <w:rPr>
          <w:noProof/>
          <w:lang w:val="en-GB"/>
        </w:rPr>
        <w:t>(IMO, 2021)</w:t>
      </w:r>
      <w:r w:rsidR="00157CCB">
        <w:rPr>
          <w:lang w:val="en-GB"/>
        </w:rPr>
        <w:fldChar w:fldCharType="end"/>
      </w:r>
      <w:r w:rsidR="001E0365">
        <w:rPr>
          <w:lang w:val="en-GB"/>
        </w:rPr>
        <w:t>.</w:t>
      </w:r>
      <w:r w:rsidR="006F3B73">
        <w:rPr>
          <w:lang w:val="en-GB"/>
        </w:rPr>
        <w:t xml:space="preserve"> Up to now</w:t>
      </w:r>
      <w:r w:rsidR="00D405DA">
        <w:rPr>
          <w:lang w:val="en-GB"/>
        </w:rPr>
        <w:t>, c</w:t>
      </w:r>
      <w:r w:rsidR="00553FF3">
        <w:rPr>
          <w:lang w:val="en-GB"/>
        </w:rPr>
        <w:t xml:space="preserve">arbon emissions reduction strategies </w:t>
      </w:r>
      <w:r w:rsidR="00D405DA">
        <w:rPr>
          <w:lang w:val="en-GB"/>
        </w:rPr>
        <w:t>for</w:t>
      </w:r>
      <w:r w:rsidR="00553FF3">
        <w:rPr>
          <w:lang w:val="en-GB"/>
        </w:rPr>
        <w:t xml:space="preserve"> </w:t>
      </w:r>
      <w:r w:rsidR="0009385F">
        <w:rPr>
          <w:lang w:val="en-GB"/>
        </w:rPr>
        <w:t xml:space="preserve">maritime technologies have mostly focused on </w:t>
      </w:r>
      <w:r w:rsidR="00507F70">
        <w:rPr>
          <w:lang w:val="en-GB"/>
        </w:rPr>
        <w:t>enhancing energy efficiency</w:t>
      </w:r>
      <w:r w:rsidR="00883098">
        <w:rPr>
          <w:lang w:val="en-GB"/>
        </w:rPr>
        <w:t xml:space="preserve"> </w:t>
      </w:r>
      <w:r w:rsidR="00DC5D44">
        <w:rPr>
          <w:lang w:val="en-GB"/>
        </w:rPr>
        <w:fldChar w:fldCharType="begin" w:fldLock="1"/>
      </w:r>
      <w:r w:rsidR="005A40DD">
        <w:rPr>
          <w:lang w:val="en-GB"/>
        </w:rPr>
        <w:instrText>ADDIN CSL_CITATION {"citationItems":[{"id":"ITEM-1","itemData":{"author":[{"dropping-particle":"","family":"IMO","given":"","non-dropping-particle":"","parse-names":false,"suffix":""}],"id":"ITEM-1","issued":{"date-parts":[["2019"]]},"publisher-place":"London, UK","title":"IMO Action to Reduce Greenhouse Gas Emissions from International Shipping","type":"report"},"uris":["http://www.mendeley.com/documents/?uuid=66953deb-3161-47a4-901b-03063e57976f"]}],"mendeley":{"formattedCitation":"(IMO, 2019)","plainTextFormattedCitation":"(IMO, 2019)","previouslyFormattedCitation":"(IMO, 2019)"},"properties":{"noteIndex":0},"schema":"https://github.com/citation-style-language/schema/raw/master/csl-citation.json"}</w:instrText>
      </w:r>
      <w:r w:rsidR="00DC5D44">
        <w:rPr>
          <w:lang w:val="en-GB"/>
        </w:rPr>
        <w:fldChar w:fldCharType="separate"/>
      </w:r>
      <w:r w:rsidR="00DC5D44" w:rsidRPr="00DC5D44">
        <w:rPr>
          <w:noProof/>
          <w:lang w:val="en-GB"/>
        </w:rPr>
        <w:t>(IMO, 2019)</w:t>
      </w:r>
      <w:r w:rsidR="00DC5D44">
        <w:rPr>
          <w:lang w:val="en-GB"/>
        </w:rPr>
        <w:fldChar w:fldCharType="end"/>
      </w:r>
      <w:r w:rsidR="009A54A1">
        <w:rPr>
          <w:lang w:val="en-GB"/>
        </w:rPr>
        <w:t xml:space="preserve">. </w:t>
      </w:r>
      <w:r w:rsidR="004823D9">
        <w:rPr>
          <w:lang w:val="en-GB"/>
        </w:rPr>
        <w:t>The l</w:t>
      </w:r>
      <w:r w:rsidR="00AA0E9E">
        <w:rPr>
          <w:lang w:val="en-GB"/>
        </w:rPr>
        <w:t xml:space="preserve">arge-scale </w:t>
      </w:r>
      <w:r w:rsidR="00CD0DBB">
        <w:rPr>
          <w:lang w:val="en-GB"/>
        </w:rPr>
        <w:t>adoption of</w:t>
      </w:r>
      <w:r w:rsidR="004823D9">
        <w:rPr>
          <w:lang w:val="en-GB"/>
        </w:rPr>
        <w:t xml:space="preserve"> alternative cleaner marine fuels is </w:t>
      </w:r>
      <w:r w:rsidR="00C92153">
        <w:rPr>
          <w:lang w:val="en-GB"/>
        </w:rPr>
        <w:t xml:space="preserve">expected to contribute </w:t>
      </w:r>
      <w:r w:rsidR="007F2931">
        <w:rPr>
          <w:lang w:val="en-GB"/>
        </w:rPr>
        <w:t>significantly</w:t>
      </w:r>
      <w:r w:rsidR="00C92153">
        <w:rPr>
          <w:lang w:val="en-GB"/>
        </w:rPr>
        <w:t xml:space="preserve"> </w:t>
      </w:r>
      <w:r w:rsidR="00BC3D41">
        <w:rPr>
          <w:lang w:val="en-GB"/>
        </w:rPr>
        <w:t>to</w:t>
      </w:r>
      <w:r w:rsidR="00C92153">
        <w:rPr>
          <w:lang w:val="en-GB"/>
        </w:rPr>
        <w:t xml:space="preserve"> filling </w:t>
      </w:r>
      <w:r w:rsidR="003D2F70">
        <w:rPr>
          <w:lang w:val="en-GB"/>
        </w:rPr>
        <w:t xml:space="preserve">the </w:t>
      </w:r>
      <w:r w:rsidR="00FB071B">
        <w:rPr>
          <w:lang w:val="en-GB"/>
        </w:rPr>
        <w:t xml:space="preserve">2050 </w:t>
      </w:r>
      <w:r w:rsidR="00C92153">
        <w:rPr>
          <w:lang w:val="en-GB"/>
        </w:rPr>
        <w:t xml:space="preserve">emission </w:t>
      </w:r>
      <w:r w:rsidR="003D2F70">
        <w:rPr>
          <w:lang w:val="en-GB"/>
        </w:rPr>
        <w:t xml:space="preserve">reduction </w:t>
      </w:r>
      <w:r w:rsidR="00C92153">
        <w:rPr>
          <w:lang w:val="en-GB"/>
        </w:rPr>
        <w:t>gap</w:t>
      </w:r>
      <w:r w:rsidR="003D2F70">
        <w:rPr>
          <w:lang w:val="en-GB"/>
        </w:rPr>
        <w:t xml:space="preserve"> </w:t>
      </w:r>
      <w:r w:rsidR="007666DE">
        <w:rPr>
          <w:lang w:val="en-GB"/>
        </w:rPr>
        <w:t>left uncovered</w:t>
      </w:r>
      <w:r w:rsidR="00D923D9">
        <w:rPr>
          <w:lang w:val="en-GB"/>
        </w:rPr>
        <w:t xml:space="preserve"> by</w:t>
      </w:r>
      <w:r w:rsidR="00530DE0">
        <w:rPr>
          <w:lang w:val="en-GB"/>
        </w:rPr>
        <w:t xml:space="preserve"> </w:t>
      </w:r>
      <w:r w:rsidR="0019261F">
        <w:rPr>
          <w:lang w:val="en-GB"/>
        </w:rPr>
        <w:t>energy efficiency measures</w:t>
      </w:r>
      <w:r w:rsidR="00BC3D41">
        <w:rPr>
          <w:lang w:val="en-GB"/>
        </w:rPr>
        <w:t xml:space="preserve"> </w:t>
      </w:r>
      <w:r w:rsidR="005A40DD">
        <w:rPr>
          <w:lang w:val="en-GB"/>
        </w:rPr>
        <w:fldChar w:fldCharType="begin" w:fldLock="1"/>
      </w:r>
      <w:r w:rsidR="00655B04">
        <w:rPr>
          <w:lang w:val="en-GB"/>
        </w:rPr>
        <w:instrText>ADDIN CSL_CITATION {"citationItems":[{"id":"ITEM-1","itemData":{"DOI":"10.3390/su13031213","ISSN":"20711050","abstract":"Fuel cells as clean power sources are very attractive for the maritime sector, which is committed to sustainability and reducing greenhouse gas and atmospheric pollutant emissions from ships. This paper presents a technological review on fuel cell power systems for maritime applications from the past two decades. The available fuels including hydrogen, ammonia, renewable methane and methanol for fuel cells under the context of sustainable maritime transportation and their pre-processing technologies are analyzed. Proton exchange membrane, molten carbonate and solid oxide fuel cells are found to be the most promising options for maritime applications, once energy efficiency, power capacity and sensitivity to fuel impurities are considered. The types, layouts and characteristics of fuel cell modules are summarized based on the existing applications in particular industrial or residential sectors. The various research and demonstration projects of fuel cell power systems in the maritime industry are reviewed and the challenges with regard to power capacity, safety, reliability, durability, operability and costs are analyzed. Currently, power capacity, costs and lifetime of the fuel cell stack are the primary barriers. Coupling with batteries, modularization, mass production and optimized operating and control strategies are all important pathways to improve the performance of fuel cell power systems.","author":[{"dropping-particle":"","family":"Xing","given":"Hui","non-dropping-particle":"","parse-names":false,"suffix":""},{"dropping-particle":"","family":"Stuart","given":"Charles","non-dropping-particle":"","parse-names":false,"suffix":""},{"dropping-particle":"","family":"Spence","given":"Stephen","non-dropping-particle":"","parse-names":false,"suffix":""},{"dropping-particle":"","family":"Chen","given":"Hua","non-dropping-particle":"","parse-names":false,"suffix":""}],"container-title":"Sustainability","id":"ITEM-1","issue":"3","issued":{"date-parts":[["2021"]]},"page":"1213","title":"Fuel cell power systems for maritime applications: Progress and perspectives","type":"article-journal","volume":"13"},"uris":["http://www.mendeley.com/documents/?uuid=703a9b8a-d9df-4665-b459-5ff40bf064ee"]}],"mendeley":{"formattedCitation":"(Xing et al., 2021)","plainTextFormattedCitation":"(Xing et al., 2021)","previouslyFormattedCitation":"(Xing et al., 2021)"},"properties":{"noteIndex":0},"schema":"https://github.com/citation-style-language/schema/raw/master/csl-citation.json"}</w:instrText>
      </w:r>
      <w:r w:rsidR="005A40DD">
        <w:rPr>
          <w:lang w:val="en-GB"/>
        </w:rPr>
        <w:fldChar w:fldCharType="separate"/>
      </w:r>
      <w:r w:rsidR="005A40DD" w:rsidRPr="005A40DD">
        <w:rPr>
          <w:noProof/>
          <w:lang w:val="en-GB"/>
        </w:rPr>
        <w:t>(Xing et al., 2021)</w:t>
      </w:r>
      <w:r w:rsidR="005A40DD">
        <w:rPr>
          <w:lang w:val="en-GB"/>
        </w:rPr>
        <w:fldChar w:fldCharType="end"/>
      </w:r>
      <w:r w:rsidR="00BC3D41">
        <w:rPr>
          <w:lang w:val="en-GB"/>
        </w:rPr>
        <w:t>.</w:t>
      </w:r>
      <w:r w:rsidR="007F2931">
        <w:rPr>
          <w:lang w:val="en-GB"/>
        </w:rPr>
        <w:t xml:space="preserve"> </w:t>
      </w:r>
    </w:p>
    <w:p w14:paraId="18DAF60C" w14:textId="2AB5F86B" w:rsidR="00C0445A" w:rsidRDefault="002308F5" w:rsidP="00600535">
      <w:pPr>
        <w:pStyle w:val="CETBodytext"/>
        <w:rPr>
          <w:lang w:val="en-GB"/>
        </w:rPr>
      </w:pPr>
      <w:r>
        <w:rPr>
          <w:lang w:val="en-GB"/>
        </w:rPr>
        <w:t>Liquefied Natural Gas</w:t>
      </w:r>
      <w:r w:rsidR="0004618B">
        <w:rPr>
          <w:lang w:val="en-GB"/>
        </w:rPr>
        <w:t xml:space="preserve"> (LNG)</w:t>
      </w:r>
      <w:r>
        <w:rPr>
          <w:lang w:val="en-GB"/>
        </w:rPr>
        <w:t xml:space="preserve"> </w:t>
      </w:r>
      <w:r w:rsidR="00A60FF2">
        <w:rPr>
          <w:lang w:val="en-GB"/>
        </w:rPr>
        <w:t>is widely recogni</w:t>
      </w:r>
      <w:r w:rsidR="004E4D14">
        <w:rPr>
          <w:lang w:val="en-GB"/>
        </w:rPr>
        <w:t>s</w:t>
      </w:r>
      <w:r w:rsidR="00A60FF2">
        <w:rPr>
          <w:lang w:val="en-GB"/>
        </w:rPr>
        <w:t>ed</w:t>
      </w:r>
      <w:r w:rsidR="00955A1A">
        <w:rPr>
          <w:lang w:val="en-GB"/>
        </w:rPr>
        <w:t xml:space="preserve"> </w:t>
      </w:r>
      <w:r w:rsidR="00A60FF2">
        <w:rPr>
          <w:lang w:val="en-GB"/>
        </w:rPr>
        <w:t>as</w:t>
      </w:r>
      <w:r w:rsidR="00955A1A">
        <w:rPr>
          <w:lang w:val="en-GB"/>
        </w:rPr>
        <w:t xml:space="preserve"> an effective</w:t>
      </w:r>
      <w:r w:rsidR="00C162C5">
        <w:rPr>
          <w:lang w:val="en-GB"/>
        </w:rPr>
        <w:t xml:space="preserve"> transition fuel, </w:t>
      </w:r>
      <w:r w:rsidR="0004618B">
        <w:rPr>
          <w:lang w:val="en-GB"/>
        </w:rPr>
        <w:t>leading to</w:t>
      </w:r>
      <w:r w:rsidR="007B2593">
        <w:rPr>
          <w:lang w:val="en-GB"/>
        </w:rPr>
        <w:t xml:space="preserve"> </w:t>
      </w:r>
      <w:r w:rsidR="0004618B">
        <w:rPr>
          <w:lang w:val="en-GB"/>
        </w:rPr>
        <w:t>a CO</w:t>
      </w:r>
      <w:r w:rsidR="0004618B" w:rsidRPr="0004618B">
        <w:rPr>
          <w:vertAlign w:val="subscript"/>
          <w:lang w:val="en-GB"/>
        </w:rPr>
        <w:t>2</w:t>
      </w:r>
      <w:r w:rsidR="0004618B">
        <w:rPr>
          <w:lang w:val="en-GB"/>
        </w:rPr>
        <w:t xml:space="preserve"> emission reduction of up to 25</w:t>
      </w:r>
      <w:r w:rsidR="00307537">
        <w:rPr>
          <w:lang w:val="en-GB"/>
        </w:rPr>
        <w:t xml:space="preserve"> </w:t>
      </w:r>
      <w:r w:rsidR="0004618B">
        <w:rPr>
          <w:lang w:val="en-GB"/>
        </w:rPr>
        <w:t xml:space="preserve">% </w:t>
      </w:r>
      <w:r w:rsidR="00D04D2C">
        <w:rPr>
          <w:lang w:val="en-GB"/>
        </w:rPr>
        <w:t>compared to</w:t>
      </w:r>
      <w:r w:rsidR="00035570">
        <w:rPr>
          <w:lang w:val="en-GB"/>
        </w:rPr>
        <w:t xml:space="preserve"> fuel oil-based engines</w:t>
      </w:r>
      <w:r w:rsidR="0078487F">
        <w:rPr>
          <w:lang w:val="en-GB"/>
        </w:rPr>
        <w:t xml:space="preserve"> </w:t>
      </w:r>
      <w:r w:rsidR="00655B04">
        <w:rPr>
          <w:lang w:val="en-GB"/>
        </w:rPr>
        <w:fldChar w:fldCharType="begin" w:fldLock="1"/>
      </w:r>
      <w:r w:rsidR="00A60FF2">
        <w:rPr>
          <w:lang w:val="en-GB"/>
        </w:rPr>
        <w:instrText>ADDIN CSL_CITATION {"citationItems":[{"id":"ITEM-1","itemData":{"DOI":"10.1016/j.jclepro.2020.121069","ISSN":"09596526","abstract":"Liquefied natural gas (LNG) is becoming a viable, “green” alternative to marine fuel oil for ship propulsion. The present study investigates the expected impact on sustainability of innovative ship fuel systems based on the use of LNG. For the sake of comparison, conventional technologies for ship fuel systems, based on marine fuel oil, were considered in the analysis. A specific methodology was adopted to support the sustainability assessment, based on the evaluation of key performance indicators addressing three fundamental domains: environmental impact, economic feasibility and inherent safety of the fuel system. The results obtained allow determining a sustainability fingerprint of the alternative fuel systems considered and a performance ranking. The LNG-based fuel system technologies show a better sustainability performance than the conventional marine fuel technologies. The relevant environmental benefits associated with LNG fuel systems point out the critical role of environmental impact reduction in driving the design of innovative fuel systems for marine applications.","author":[{"dropping-particle":"","family":"Iannaccone","given":"Tommaso","non-dropping-particle":"","parse-names":false,"suffix":""},{"dropping-particle":"","family":"Landucci","given":"Gabriele","non-dropping-particle":"","parse-names":false,"suffix":""},{"dropping-particle":"","family":"Tugnoli","given":"Alessandro","non-dropping-particle":"","parse-names":false,"suffix":""},{"dropping-particle":"","family":"Salzano","given":"Ernesto","non-dropping-particle":"","parse-names":false,"suffix":""},{"dropping-particle":"","family":"Cozzani","given":"Valerio","non-dropping-particle":"","parse-names":false,"suffix":""}],"container-title":"Journal of Cleaner Production","id":"ITEM-1","issued":{"date-parts":[["2020"]]},"page":"121069","publisher":"Elsevier Ltd","title":"Sustainability of cruise ship fuel systems: Comparison among LNG and diesel technologies","type":"article-journal","volume":"260"},"uris":["http://www.mendeley.com/documents/?uuid=fd7874d6-dc60-43a1-ab37-bc10771b1dc5"]}],"mendeley":{"formattedCitation":"(Iannaccone et al., 2020)","plainTextFormattedCitation":"(Iannaccone et al., 2020)","previouslyFormattedCitation":"(Iannaccone et al., 2020)"},"properties":{"noteIndex":0},"schema":"https://github.com/citation-style-language/schema/raw/master/csl-citation.json"}</w:instrText>
      </w:r>
      <w:r w:rsidR="00655B04">
        <w:rPr>
          <w:lang w:val="en-GB"/>
        </w:rPr>
        <w:fldChar w:fldCharType="separate"/>
      </w:r>
      <w:r w:rsidR="00655B04" w:rsidRPr="00655B04">
        <w:rPr>
          <w:noProof/>
          <w:lang w:val="en-GB"/>
        </w:rPr>
        <w:t>(Iannaccone et al., 2020)</w:t>
      </w:r>
      <w:r w:rsidR="00655B04">
        <w:rPr>
          <w:lang w:val="en-GB"/>
        </w:rPr>
        <w:fldChar w:fldCharType="end"/>
      </w:r>
      <w:r w:rsidR="00035570">
        <w:rPr>
          <w:lang w:val="en-GB"/>
        </w:rPr>
        <w:t>.</w:t>
      </w:r>
      <w:r w:rsidR="007834D9">
        <w:rPr>
          <w:lang w:val="en-GB"/>
        </w:rPr>
        <w:t xml:space="preserve"> </w:t>
      </w:r>
      <w:r w:rsidR="006207F4">
        <w:rPr>
          <w:lang w:val="en-GB"/>
        </w:rPr>
        <w:t>Established</w:t>
      </w:r>
      <w:r w:rsidR="00CC4F37">
        <w:rPr>
          <w:lang w:val="en-GB"/>
        </w:rPr>
        <w:t xml:space="preserve"> </w:t>
      </w:r>
      <w:r w:rsidR="001D0689">
        <w:rPr>
          <w:lang w:val="en-GB"/>
        </w:rPr>
        <w:t xml:space="preserve">LNG-based ship </w:t>
      </w:r>
      <w:r w:rsidR="000C04D8">
        <w:rPr>
          <w:lang w:val="en-GB"/>
        </w:rPr>
        <w:t>power systems</w:t>
      </w:r>
      <w:r w:rsidR="00E75693">
        <w:rPr>
          <w:lang w:val="en-GB"/>
        </w:rPr>
        <w:t xml:space="preserve"> </w:t>
      </w:r>
      <w:r w:rsidR="006207F4">
        <w:rPr>
          <w:lang w:val="en-GB"/>
        </w:rPr>
        <w:t xml:space="preserve">typically implement </w:t>
      </w:r>
      <w:r w:rsidR="00E75693">
        <w:rPr>
          <w:lang w:val="en-GB"/>
        </w:rPr>
        <w:t>lean burn spark</w:t>
      </w:r>
      <w:r w:rsidR="006207F4">
        <w:rPr>
          <w:lang w:val="en-GB"/>
        </w:rPr>
        <w:t>-</w:t>
      </w:r>
      <w:r w:rsidR="00E75693">
        <w:rPr>
          <w:lang w:val="en-GB"/>
        </w:rPr>
        <w:t xml:space="preserve">ignited </w:t>
      </w:r>
      <w:r w:rsidR="00256327">
        <w:rPr>
          <w:lang w:val="en-GB"/>
        </w:rPr>
        <w:t xml:space="preserve">(LBSI) </w:t>
      </w:r>
      <w:r w:rsidR="00E75693">
        <w:rPr>
          <w:lang w:val="en-GB"/>
        </w:rPr>
        <w:t>engines where the</w:t>
      </w:r>
      <w:r w:rsidR="00C01480">
        <w:rPr>
          <w:lang w:val="en-GB"/>
        </w:rPr>
        <w:t xml:space="preserve"> </w:t>
      </w:r>
      <w:r w:rsidR="00293DFF">
        <w:rPr>
          <w:lang w:val="en-GB"/>
        </w:rPr>
        <w:t xml:space="preserve">gaseous fuel </w:t>
      </w:r>
      <w:r w:rsidR="00E75693">
        <w:rPr>
          <w:lang w:val="en-GB"/>
        </w:rPr>
        <w:t>is burned with</w:t>
      </w:r>
      <w:r w:rsidR="00293DFF">
        <w:rPr>
          <w:lang w:val="en-GB"/>
        </w:rPr>
        <w:t xml:space="preserve"> significant air excess </w:t>
      </w:r>
      <w:r w:rsidR="00293DFF">
        <w:rPr>
          <w:lang w:val="en-GB"/>
        </w:rPr>
        <w:fldChar w:fldCharType="begin" w:fldLock="1"/>
      </w:r>
      <w:r w:rsidR="00EE5B05">
        <w:rPr>
          <w:lang w:val="en-GB"/>
        </w:rPr>
        <w:instrText>ADDIN CSL_CITATION {"citationItems":[{"id":"ITEM-1","itemData":{"DOI":"10.1016/j.jclepro.2020.121069","ISSN":"09596526","abstract":"Liquefied natural gas (LNG) is becoming a viable, “green” alternative to marine fuel oil for ship propulsion. The present study investigates the expected impact on sustainability of innovative ship fuel systems based on the use of LNG. For the sake of comparison, conventional technologies for ship fuel systems, based on marine fuel oil, were considered in the analysis. A specific methodology was adopted to support the sustainability assessment, based on the evaluation of key performance indicators addressing three fundamental domains: environmental impact, economic feasibility and inherent safety of the fuel system. The results obtained allow determining a sustainability fingerprint of the alternative fuel systems considered and a performance ranking. The LNG-based fuel system technologies show a better sustainability performance than the conventional marine fuel technologies. The relevant environmental benefits associated with LNG fuel systems point out the critical role of environmental impact reduction in driving the design of innovative fuel systems for marine applications.","author":[{"dropping-particle":"","family":"Iannaccone","given":"Tommaso","non-dropping-particle":"","parse-names":false,"suffix":""},{"dropping-particle":"","family":"Landucci","given":"Gabriele","non-dropping-particle":"","parse-names":false,"suffix":""},{"dropping-particle":"","family":"Tugnoli","given":"Alessandro","non-dropping-particle":"","parse-names":false,"suffix":""},{"dropping-particle":"","family":"Salzano","given":"Ernesto","non-dropping-particle":"","parse-names":false,"suffix":""},{"dropping-particle":"","family":"Cozzani","given":"Valerio","non-dropping-particle":"","parse-names":false,"suffix":""}],"container-title":"Journal of Cleaner Production","id":"ITEM-1","issued":{"date-parts":[["2020"]]},"page":"121069","publisher":"Elsevier Ltd","title":"Sustainability of cruise ship fuel systems: Comparison among LNG and diesel technologies","type":"article-journal","volume":"260"},"uris":["http://www.mendeley.com/documents/?uuid=fd7874d6-dc60-43a1-ab37-bc10771b1dc5"]}],"mendeley":{"formattedCitation":"(Iannaccone et al., 2020)","plainTextFormattedCitation":"(Iannaccone et al., 2020)","previouslyFormattedCitation":"(Iannaccone et al., 2020)"},"properties":{"noteIndex":0},"schema":"https://github.com/citation-style-language/schema/raw/master/csl-citation.json"}</w:instrText>
      </w:r>
      <w:r w:rsidR="00293DFF">
        <w:rPr>
          <w:lang w:val="en-GB"/>
        </w:rPr>
        <w:fldChar w:fldCharType="separate"/>
      </w:r>
      <w:r w:rsidR="00293DFF" w:rsidRPr="00293DFF">
        <w:rPr>
          <w:noProof/>
          <w:lang w:val="en-GB"/>
        </w:rPr>
        <w:t>(Iannaccone et al., 2020)</w:t>
      </w:r>
      <w:r w:rsidR="00293DFF">
        <w:rPr>
          <w:lang w:val="en-GB"/>
        </w:rPr>
        <w:fldChar w:fldCharType="end"/>
      </w:r>
      <w:r w:rsidR="00293DFF">
        <w:rPr>
          <w:lang w:val="en-GB"/>
        </w:rPr>
        <w:t>.</w:t>
      </w:r>
      <w:r w:rsidR="007834D9">
        <w:rPr>
          <w:lang w:val="en-GB"/>
        </w:rPr>
        <w:t xml:space="preserve"> </w:t>
      </w:r>
      <w:r w:rsidR="003C3D55">
        <w:rPr>
          <w:lang w:val="en-GB"/>
        </w:rPr>
        <w:t xml:space="preserve">However, </w:t>
      </w:r>
      <w:r w:rsidR="00606285">
        <w:rPr>
          <w:lang w:val="en-GB"/>
        </w:rPr>
        <w:t xml:space="preserve">the </w:t>
      </w:r>
      <w:r w:rsidR="00ED1722">
        <w:rPr>
          <w:lang w:val="en-GB"/>
        </w:rPr>
        <w:t xml:space="preserve">overall </w:t>
      </w:r>
      <w:r w:rsidR="004A59C7">
        <w:rPr>
          <w:lang w:val="en-GB"/>
        </w:rPr>
        <w:t>sustainability of LNG as marine fuel</w:t>
      </w:r>
      <w:r w:rsidR="00A60FF2">
        <w:rPr>
          <w:lang w:val="en-GB"/>
        </w:rPr>
        <w:t xml:space="preserve"> could be greatly </w:t>
      </w:r>
      <w:r w:rsidR="003436D7">
        <w:rPr>
          <w:lang w:val="en-GB"/>
        </w:rPr>
        <w:t>penali</w:t>
      </w:r>
      <w:r w:rsidR="004E4D14">
        <w:rPr>
          <w:lang w:val="en-GB"/>
        </w:rPr>
        <w:t>s</w:t>
      </w:r>
      <w:r w:rsidR="003436D7">
        <w:rPr>
          <w:lang w:val="en-GB"/>
        </w:rPr>
        <w:t>ed</w:t>
      </w:r>
      <w:r w:rsidR="00A60FF2">
        <w:rPr>
          <w:lang w:val="en-GB"/>
        </w:rPr>
        <w:t xml:space="preserve"> by greenhouse</w:t>
      </w:r>
      <w:r w:rsidR="00D703B6">
        <w:rPr>
          <w:lang w:val="en-GB"/>
        </w:rPr>
        <w:t xml:space="preserve"> effects </w:t>
      </w:r>
      <w:r w:rsidR="00D22705">
        <w:rPr>
          <w:lang w:val="en-GB"/>
        </w:rPr>
        <w:t xml:space="preserve">if </w:t>
      </w:r>
      <w:r w:rsidR="00D703B6">
        <w:rPr>
          <w:lang w:val="en-GB"/>
        </w:rPr>
        <w:t xml:space="preserve">methane slips </w:t>
      </w:r>
      <w:r w:rsidR="00857AD6">
        <w:rPr>
          <w:lang w:val="en-GB"/>
        </w:rPr>
        <w:t>along the fuel value chain</w:t>
      </w:r>
      <w:r w:rsidR="00D22705">
        <w:rPr>
          <w:lang w:val="en-GB"/>
        </w:rPr>
        <w:t xml:space="preserve"> are not </w:t>
      </w:r>
      <w:r w:rsidR="00981004">
        <w:rPr>
          <w:lang w:val="en-GB"/>
        </w:rPr>
        <w:t xml:space="preserve">properly </w:t>
      </w:r>
      <w:r w:rsidR="00D22705">
        <w:rPr>
          <w:lang w:val="en-GB"/>
        </w:rPr>
        <w:t xml:space="preserve">accounted </w:t>
      </w:r>
      <w:r w:rsidR="00981004">
        <w:rPr>
          <w:lang w:val="en-GB"/>
        </w:rPr>
        <w:t>for</w:t>
      </w:r>
      <w:r w:rsidR="00857AD6">
        <w:rPr>
          <w:lang w:val="en-GB"/>
        </w:rPr>
        <w:t xml:space="preserve"> </w:t>
      </w:r>
      <w:r w:rsidR="00A60FF2">
        <w:rPr>
          <w:lang w:val="en-GB"/>
        </w:rPr>
        <w:fldChar w:fldCharType="begin" w:fldLock="1"/>
      </w:r>
      <w:r w:rsidR="00293DFF">
        <w:rPr>
          <w:lang w:val="en-GB"/>
        </w:rPr>
        <w:instrText>ADDIN CSL_CITATION {"citationItems":[{"id":"ITEM-1","itemData":{"DOI":"10.1016/j.jclepro.2017.10.165","ISSN":"09596526","abstract":"There is a need for alternative fuels in the shipping sector for two main motivations: to deliver a reduction in local pollutants and comply with existing regulation; and to mitigate climate change and cut greenhouse gas emissions. However, any alternative fuel must meet a range of criteria to become a viable option. Key among them is the requirement that it can deliver emissions reductions over its full life-cycle. For a set of fuels, comprising both conventional and alternative fuels, together with associated production pathways, this paper presents a life-cycle assessment with respect to six emissions species: local pollutants sulphur oxides, nitrogen oxides, and particulate matter; and greenhouse gases carbon dioxide, methane, and nitrous oxide. While the analysis demonstrates that no widely available fuel exists currently to deliver on both motivations, some alternative fuel options have the potential, if key barriers can be overcome. Hydrogen or other synthetic fuels rely on decarbonisation of both energy input to production and other feedstock materials to deliver reductions in greenhouse gas emissions. Similarly, bio-derived fuels can be an abatement option, but only if it can be ensured that land-use change whilst growing biomass does not impact wider potential savings and the sector is able to compete sufficiently for their use. These examples show that crucial barriers are located upstream in the respective fuel life-cycle and that the way to overcome them may reside beyond the scope of the shipping sector alone.","author":[{"dropping-particle":"","family":"Gilbert","given":"Paul","non-dropping-particle":"","parse-names":false,"suffix":""},{"dropping-particle":"","family":"Walsh","given":"Conor","non-dropping-particle":"","parse-names":false,"suffix":""},{"dropping-particle":"","family":"Traut","given":"Michael","non-dropping-particle":"","parse-names":false,"suffix":""},{"dropping-particle":"","family":"Kesieme","given":"Uchenna","non-dropping-particle":"","parse-names":false,"suffix":""},{"dropping-particle":"","family":"Pazouki","given":"Kayvan","non-dropping-particle":"","parse-names":false,"suffix":""},{"dropping-particle":"","family":"Murphy","given":"Alan","non-dropping-particle":"","parse-names":false,"suffix":""}],"container-title":"Journal of Cleaner Production","id":"ITEM-1","issue":"2018","issued":{"date-parts":[["2018"]]},"page":"855-866","publisher":"The Authors","title":"Assessment of full life-cycle air emissions of alternative shipping fuels","type":"article-journal","volume":"172"},"uris":["http://www.mendeley.com/documents/?uuid=df5e7e94-3024-4b87-9956-33302b5156a0"]}],"mendeley":{"formattedCitation":"(Gilbert et al., 2018)","plainTextFormattedCitation":"(Gilbert et al., 2018)","previouslyFormattedCitation":"(Gilbert et al., 2018)"},"properties":{"noteIndex":0},"schema":"https://github.com/citation-style-language/schema/raw/master/csl-citation.json"}</w:instrText>
      </w:r>
      <w:r w:rsidR="00A60FF2">
        <w:rPr>
          <w:lang w:val="en-GB"/>
        </w:rPr>
        <w:fldChar w:fldCharType="separate"/>
      </w:r>
      <w:r w:rsidR="00A60FF2" w:rsidRPr="00A60FF2">
        <w:rPr>
          <w:noProof/>
          <w:lang w:val="en-GB"/>
        </w:rPr>
        <w:t>(Gilbert et al., 2018)</w:t>
      </w:r>
      <w:r w:rsidR="00A60FF2">
        <w:rPr>
          <w:lang w:val="en-GB"/>
        </w:rPr>
        <w:fldChar w:fldCharType="end"/>
      </w:r>
      <w:r w:rsidR="004A59C7">
        <w:rPr>
          <w:lang w:val="en-GB"/>
        </w:rPr>
        <w:t>.</w:t>
      </w:r>
      <w:r w:rsidR="00ED1722">
        <w:rPr>
          <w:lang w:val="en-GB"/>
        </w:rPr>
        <w:t xml:space="preserve"> </w:t>
      </w:r>
      <w:r w:rsidR="00557E44">
        <w:rPr>
          <w:lang w:val="en-GB"/>
        </w:rPr>
        <w:t>H</w:t>
      </w:r>
      <w:r w:rsidR="00F05CF0">
        <w:rPr>
          <w:lang w:val="en-GB"/>
        </w:rPr>
        <w:t xml:space="preserve">ydrogen-based </w:t>
      </w:r>
      <w:r w:rsidR="008419D4">
        <w:rPr>
          <w:lang w:val="en-GB"/>
        </w:rPr>
        <w:t>ship power systems</w:t>
      </w:r>
      <w:r w:rsidR="004227AD">
        <w:rPr>
          <w:lang w:val="en-GB"/>
        </w:rPr>
        <w:t xml:space="preserve"> </w:t>
      </w:r>
      <w:r w:rsidR="00557E44">
        <w:rPr>
          <w:lang w:val="en-GB"/>
        </w:rPr>
        <w:t>have</w:t>
      </w:r>
      <w:r w:rsidR="004227AD">
        <w:rPr>
          <w:lang w:val="en-GB"/>
        </w:rPr>
        <w:t xml:space="preserve"> </w:t>
      </w:r>
      <w:r w:rsidR="003436D7">
        <w:rPr>
          <w:lang w:val="en-GB"/>
        </w:rPr>
        <w:t xml:space="preserve">recently </w:t>
      </w:r>
      <w:r w:rsidR="004227AD">
        <w:rPr>
          <w:lang w:val="en-GB"/>
        </w:rPr>
        <w:t xml:space="preserve">started gaining momentum, </w:t>
      </w:r>
      <w:r w:rsidR="004C0884">
        <w:rPr>
          <w:lang w:val="en-GB"/>
        </w:rPr>
        <w:t xml:space="preserve">mainly </w:t>
      </w:r>
      <w:r w:rsidR="004227AD">
        <w:rPr>
          <w:lang w:val="en-GB"/>
        </w:rPr>
        <w:t xml:space="preserve">due to </w:t>
      </w:r>
      <w:r w:rsidR="00557E44">
        <w:rPr>
          <w:lang w:val="en-GB"/>
        </w:rPr>
        <w:t xml:space="preserve">the possibility of </w:t>
      </w:r>
      <w:r w:rsidR="00A307E2">
        <w:rPr>
          <w:lang w:val="en-GB"/>
        </w:rPr>
        <w:t>avoiding</w:t>
      </w:r>
      <w:r w:rsidR="003204A3">
        <w:rPr>
          <w:lang w:val="en-GB"/>
        </w:rPr>
        <w:t xml:space="preserve"> CO</w:t>
      </w:r>
      <w:r w:rsidR="003204A3" w:rsidRPr="003204A3">
        <w:rPr>
          <w:vertAlign w:val="subscript"/>
          <w:lang w:val="en-GB"/>
        </w:rPr>
        <w:t>2</w:t>
      </w:r>
      <w:r w:rsidR="00A307E2">
        <w:rPr>
          <w:lang w:val="en-GB"/>
        </w:rPr>
        <w:t xml:space="preserve"> emissions</w:t>
      </w:r>
      <w:r w:rsidR="003204A3">
        <w:rPr>
          <w:lang w:val="en-GB"/>
        </w:rPr>
        <w:t xml:space="preserve"> upon </w:t>
      </w:r>
      <w:r w:rsidR="007C466B">
        <w:rPr>
          <w:lang w:val="en-GB"/>
        </w:rPr>
        <w:t xml:space="preserve">combustion. </w:t>
      </w:r>
      <w:r w:rsidR="00BF339E">
        <w:rPr>
          <w:lang w:val="en-GB"/>
        </w:rPr>
        <w:t xml:space="preserve">Alternative </w:t>
      </w:r>
      <w:r w:rsidR="006141D2">
        <w:rPr>
          <w:lang w:val="en-GB"/>
        </w:rPr>
        <w:t xml:space="preserve">storage </w:t>
      </w:r>
      <w:r w:rsidR="00BF339E">
        <w:rPr>
          <w:lang w:val="en-GB"/>
        </w:rPr>
        <w:t xml:space="preserve">concepts, </w:t>
      </w:r>
      <w:r w:rsidR="006141D2">
        <w:rPr>
          <w:lang w:val="en-GB"/>
        </w:rPr>
        <w:t>based on</w:t>
      </w:r>
      <w:r w:rsidR="00731C02">
        <w:rPr>
          <w:lang w:val="en-GB"/>
        </w:rPr>
        <w:t xml:space="preserve"> </w:t>
      </w:r>
      <w:r w:rsidR="002B5E71">
        <w:rPr>
          <w:lang w:val="en-GB"/>
        </w:rPr>
        <w:t>compressed gaseous hydrogen,</w:t>
      </w:r>
      <w:r w:rsidR="00BF339E">
        <w:rPr>
          <w:lang w:val="en-GB"/>
        </w:rPr>
        <w:t xml:space="preserve"> liquid </w:t>
      </w:r>
      <w:r w:rsidR="00596203">
        <w:rPr>
          <w:lang w:val="en-GB"/>
        </w:rPr>
        <w:t>hydrogen,</w:t>
      </w:r>
      <w:r w:rsidR="00535CB6">
        <w:rPr>
          <w:lang w:val="en-GB"/>
        </w:rPr>
        <w:t xml:space="preserve"> and cryo-compressed hydrogen, </w:t>
      </w:r>
      <w:r w:rsidR="00606285">
        <w:rPr>
          <w:lang w:val="en-GB"/>
        </w:rPr>
        <w:lastRenderedPageBreak/>
        <w:t>can be considered</w:t>
      </w:r>
      <w:r w:rsidR="00535CB6">
        <w:rPr>
          <w:lang w:val="en-GB"/>
        </w:rPr>
        <w:t xml:space="preserve"> </w:t>
      </w:r>
      <w:r w:rsidR="0039496F">
        <w:rPr>
          <w:lang w:val="en-GB"/>
        </w:rPr>
        <w:t xml:space="preserve">to </w:t>
      </w:r>
      <w:r w:rsidR="006C369A">
        <w:rPr>
          <w:lang w:val="en-GB"/>
        </w:rPr>
        <w:t>retain</w:t>
      </w:r>
      <w:r w:rsidR="00596203">
        <w:rPr>
          <w:lang w:val="en-GB"/>
        </w:rPr>
        <w:t xml:space="preserve"> pure hydrogen onboard ships</w:t>
      </w:r>
      <w:r w:rsidR="00EE5B05">
        <w:rPr>
          <w:lang w:val="en-GB"/>
        </w:rPr>
        <w:t xml:space="preserve"> </w:t>
      </w:r>
      <w:r w:rsidR="00EE5B05">
        <w:rPr>
          <w:lang w:val="en-GB"/>
        </w:rPr>
        <w:fldChar w:fldCharType="begin" w:fldLock="1"/>
      </w:r>
      <w:r w:rsidR="004F70B4">
        <w:rPr>
          <w:lang w:val="en-GB"/>
        </w:rPr>
        <w:instrText>ADDIN CSL_CITATION {"citationItems":[{"id":"ITEM-1","itemData":{"DOI":"10.1016/B978-0-12-811197-0.00005-1","ISBN":"9780128111970","abstract":"In post fossil energy systems, hydrogen may gain significant importance as a secondary energy carrier, especially for transportation purposes. This widely published statement is justified by the fact that hydrogen can be produced from fluctuating electricity provided, for example, by wind turbines or photovoltaic systems. The hydrogen provision depends on the availability of electrical energy and is then stored to be used depending on the given demand. However, the efficient storage of hydrogen as an energy carrier is challenging from a techno-economic point of view, for example, due to the low volumetric energy density of hydrogen under standard conditions as well as other challenging properties. Especially for mobile applications (e.g., cars, trucks, ships, trains) it is very important to have hydrogen storage options with high volumetric and gravimetric energy densities to allow highly efficient use and to be fully competitive compared to other options possible within the transportation sector. Thus, in recent years, various storage technologies and concepts have been developed to achieve this challenging goal. The three most widely developed options are high-pressure storage tanks, storage as liquid hydrogen, and storage of the hydrogen gas in metal hydride. But there are also other possibilities and ideas to allow hydrogen storage for mobile applications, such as liquid organic hydrogen carriers (LOHC), activated carbon, Metal-Organic-Frameworks (MOFs), and others. Against this background, the overall goal of this chapter is to describe the various possibilities to store hydrogen for mobile applications. This is realized based on physical and chemical principles as well as the current state of the technology. Additionally, ongoing developments and possible technological breakthroughs are outlined. Besides this, each option is characterized by comparable key figures (e.g., storage density, storage efficiency) for the current state of technology to allow an easy and transparent comparison. Additionally, the hydrogen storage systems discussed are compared to the target values of the DOE (US Department of Energy), which defines internationally accepted goals for the energy density and the costs of hydrogen storage. Finally, the various options are compared to each other. Based on this, statements are made defining which storage option under which frame condition can play which role at which point in time.","author":[{"dropping-particle":"","family":"Baetcke","given":"Lars","non-dropping-particle":"","parse-names":false,"suffix":""},{"dropping-particle":"","family":"Kaltschmitt","given":"Martin","non-dropping-particle":"","parse-names":false,"suffix":""}],"container-title":"Hydrogen Supply Chains","id":"ITEM-1","issued":{"date-parts":[["2018"]]},"page":"167-206","publisher":"Academic Press","title":"Hydrogen storage for mobile application: Technologies and their assessment","type":"chapter"},"uris":["http://www.mendeley.com/documents/?uuid=3d23fbae-8cac-449d-9b9c-fd3b4b8ded56"]}],"mendeley":{"formattedCitation":"(Baetcke and Kaltschmitt, 2018)","plainTextFormattedCitation":"(Baetcke and Kaltschmitt, 2018)","previouslyFormattedCitation":"(Baetcke &amp; Kaltschmitt, 2018)"},"properties":{"noteIndex":0},"schema":"https://github.com/citation-style-language/schema/raw/master/csl-citation.json"}</w:instrText>
      </w:r>
      <w:r w:rsidR="00EE5B05">
        <w:rPr>
          <w:lang w:val="en-GB"/>
        </w:rPr>
        <w:fldChar w:fldCharType="separate"/>
      </w:r>
      <w:r w:rsidR="004F70B4" w:rsidRPr="004F70B4">
        <w:rPr>
          <w:noProof/>
          <w:lang w:val="en-GB"/>
        </w:rPr>
        <w:t>(Baetcke and Kaltschmitt, 2018)</w:t>
      </w:r>
      <w:r w:rsidR="00EE5B05">
        <w:rPr>
          <w:lang w:val="en-GB"/>
        </w:rPr>
        <w:fldChar w:fldCharType="end"/>
      </w:r>
      <w:r w:rsidR="00C74BDA">
        <w:rPr>
          <w:lang w:val="en-GB"/>
        </w:rPr>
        <w:t xml:space="preserve">, with obvious implications on the requirements for </w:t>
      </w:r>
      <w:r w:rsidR="00FF4CE7" w:rsidRPr="00FB6E63">
        <w:rPr>
          <w:lang w:val="en-GB"/>
        </w:rPr>
        <w:t xml:space="preserve">fuel conditioning </w:t>
      </w:r>
      <w:r w:rsidR="00C74BDA" w:rsidRPr="00FB6E63">
        <w:rPr>
          <w:lang w:val="en-GB"/>
        </w:rPr>
        <w:t>units</w:t>
      </w:r>
      <w:r w:rsidR="000D76A7" w:rsidRPr="00FB6E63">
        <w:rPr>
          <w:lang w:val="en-GB"/>
        </w:rPr>
        <w:t xml:space="preserve"> to</w:t>
      </w:r>
      <w:r w:rsidR="000D76A7">
        <w:rPr>
          <w:lang w:val="en-GB"/>
        </w:rPr>
        <w:t xml:space="preserve"> </w:t>
      </w:r>
      <w:r w:rsidR="00F14FDE">
        <w:rPr>
          <w:lang w:val="en-GB"/>
        </w:rPr>
        <w:t xml:space="preserve">be used to </w:t>
      </w:r>
      <w:r w:rsidR="000D76A7">
        <w:rPr>
          <w:lang w:val="en-GB"/>
        </w:rPr>
        <w:t xml:space="preserve">make the hydrogen stream suitable for </w:t>
      </w:r>
      <w:r w:rsidR="007B3C73">
        <w:rPr>
          <w:lang w:val="en-GB"/>
        </w:rPr>
        <w:t>ship propulsion</w:t>
      </w:r>
      <w:r w:rsidR="00596203">
        <w:rPr>
          <w:lang w:val="en-GB"/>
        </w:rPr>
        <w:t xml:space="preserve">. Concerning its </w:t>
      </w:r>
      <w:r w:rsidR="00D31663">
        <w:rPr>
          <w:lang w:val="en-GB"/>
        </w:rPr>
        <w:t>usage</w:t>
      </w:r>
      <w:r w:rsidR="00596203">
        <w:rPr>
          <w:lang w:val="en-GB"/>
        </w:rPr>
        <w:t>,</w:t>
      </w:r>
      <w:r w:rsidR="00D31663">
        <w:rPr>
          <w:lang w:val="en-GB"/>
        </w:rPr>
        <w:t xml:space="preserve"> </w:t>
      </w:r>
      <w:r w:rsidR="005107F9">
        <w:rPr>
          <w:lang w:val="en-GB"/>
        </w:rPr>
        <w:t>proton</w:t>
      </w:r>
      <w:r w:rsidR="00B75F11">
        <w:rPr>
          <w:lang w:val="en-GB"/>
        </w:rPr>
        <w:t xml:space="preserve"> exchange membrane fuel cell (PEMFC) technology</w:t>
      </w:r>
      <w:r w:rsidR="00D33B62">
        <w:rPr>
          <w:lang w:val="en-GB"/>
        </w:rPr>
        <w:t xml:space="preserve"> </w:t>
      </w:r>
      <w:r w:rsidR="00813A02">
        <w:rPr>
          <w:lang w:val="en-GB"/>
        </w:rPr>
        <w:t xml:space="preserve">is </w:t>
      </w:r>
      <w:r w:rsidR="00131448">
        <w:rPr>
          <w:lang w:val="en-GB"/>
        </w:rPr>
        <w:t xml:space="preserve">often </w:t>
      </w:r>
      <w:r w:rsidR="00813A02">
        <w:rPr>
          <w:lang w:val="en-GB"/>
        </w:rPr>
        <w:t>indicated</w:t>
      </w:r>
      <w:r w:rsidR="0045345D">
        <w:rPr>
          <w:lang w:val="en-GB"/>
        </w:rPr>
        <w:t xml:space="preserve"> </w:t>
      </w:r>
      <w:r w:rsidR="00815E86">
        <w:rPr>
          <w:lang w:val="en-GB"/>
        </w:rPr>
        <w:t xml:space="preserve">for </w:t>
      </w:r>
      <w:r w:rsidR="0038687A">
        <w:rPr>
          <w:lang w:val="en-GB"/>
        </w:rPr>
        <w:t>highly efficient</w:t>
      </w:r>
      <w:r w:rsidR="00DE5981">
        <w:rPr>
          <w:lang w:val="en-GB"/>
        </w:rPr>
        <w:t xml:space="preserve"> </w:t>
      </w:r>
      <w:r w:rsidR="0038687A">
        <w:rPr>
          <w:lang w:val="en-GB"/>
        </w:rPr>
        <w:t>chemical-to-electrical energy conversion</w:t>
      </w:r>
      <w:r w:rsidR="00126F3B">
        <w:rPr>
          <w:lang w:val="en-GB"/>
        </w:rPr>
        <w:t>,</w:t>
      </w:r>
      <w:r w:rsidR="003013D1">
        <w:rPr>
          <w:lang w:val="en-GB"/>
        </w:rPr>
        <w:t xml:space="preserve"> </w:t>
      </w:r>
      <w:r w:rsidR="003013D1" w:rsidRPr="00FB6E63">
        <w:rPr>
          <w:lang w:val="en-GB"/>
        </w:rPr>
        <w:t>showing</w:t>
      </w:r>
      <w:r w:rsidR="00126F3B" w:rsidRPr="00FB6E63">
        <w:rPr>
          <w:lang w:val="en-GB"/>
        </w:rPr>
        <w:t xml:space="preserve"> </w:t>
      </w:r>
      <w:r w:rsidR="003013D1" w:rsidRPr="00FB6E63">
        <w:rPr>
          <w:lang w:val="en-GB"/>
        </w:rPr>
        <w:t xml:space="preserve">large </w:t>
      </w:r>
      <w:r w:rsidR="00087E01" w:rsidRPr="00FB6E63">
        <w:rPr>
          <w:lang w:val="en-GB"/>
        </w:rPr>
        <w:t>effectiveness</w:t>
      </w:r>
      <w:r w:rsidR="003013D1" w:rsidRPr="00FB6E63">
        <w:rPr>
          <w:lang w:val="en-GB"/>
        </w:rPr>
        <w:t xml:space="preserve"> </w:t>
      </w:r>
      <w:r w:rsidR="00126F3B" w:rsidRPr="00FB6E63">
        <w:rPr>
          <w:lang w:val="en-GB"/>
        </w:rPr>
        <w:t xml:space="preserve">especially </w:t>
      </w:r>
      <w:r w:rsidR="00A538C0" w:rsidRPr="00FB6E63">
        <w:rPr>
          <w:lang w:val="en-GB"/>
        </w:rPr>
        <w:t>in</w:t>
      </w:r>
      <w:r w:rsidR="00126F3B" w:rsidRPr="00FB6E63">
        <w:rPr>
          <w:lang w:val="en-GB"/>
        </w:rPr>
        <w:t xml:space="preserve"> the case of</w:t>
      </w:r>
      <w:r w:rsidR="006825C8" w:rsidRPr="00FB6E63">
        <w:rPr>
          <w:lang w:val="en-GB"/>
        </w:rPr>
        <w:t xml:space="preserve"> </w:t>
      </w:r>
      <w:r w:rsidR="003013D1" w:rsidRPr="00FB6E63">
        <w:rPr>
          <w:lang w:val="en-GB"/>
        </w:rPr>
        <w:t xml:space="preserve">small </w:t>
      </w:r>
      <w:r w:rsidR="00532973" w:rsidRPr="00FB6E63">
        <w:rPr>
          <w:lang w:val="en-GB"/>
        </w:rPr>
        <w:t>variations of required power in time</w:t>
      </w:r>
      <w:r w:rsidR="00532973">
        <w:rPr>
          <w:lang w:val="en-GB"/>
        </w:rPr>
        <w:t xml:space="preserve"> </w:t>
      </w:r>
      <w:r w:rsidR="00DE5981">
        <w:rPr>
          <w:lang w:val="en-GB"/>
        </w:rPr>
        <w:fldChar w:fldCharType="begin" w:fldLock="1"/>
      </w:r>
      <w:r w:rsidR="00AA667B">
        <w:rPr>
          <w:lang w:val="en-GB"/>
        </w:rPr>
        <w:instrText>ADDIN CSL_CITATION {"citationItems":[{"id":"ITEM-1","itemData":{"DOI":"10.1016/j.jpowsour.2016.07.007","ISSN":"03787753","abstract":"Progressing limits on pollutant emissions oblige ship owners to reduce the environmental impact of their operations. Fuel cells may provide a suitable solution, since they are fuel efficient while they emit few hazardous compounds. Various choices can be made with regard to the type of fuel cell system and logistic fuel, and it is unclear which have the best prospects for maritime application. An overview of fuel cell types and fuel processing equipment is presented, and maritime fuel cell application is reviewed with regard to efficiency, gravimetric and volumetric density, dynamic behaviour, environmental impact, safety and economics. It is shown that low temperature fuel cells using liquefied hydrogen provide a compact solution for ships with a refuelling interval up to a tens of hours, but may result in total system sizes up to five times larger than high temperature fuel cells and more energy dense fuels for vessels with longer mission requirements. The expanding infrastructure of liquefied natural gas and development state of natural gas-fuelled fuel cell systems can facilitate the introduction of gaseous fuels and fuel cells on ships. Fuel cell combined cycles, hybridisation with auxiliary electricity storage systems and redundancy improvements are identified as topics for further study.","author":[{"dropping-particle":"","family":"Biert","given":"L.","non-dropping-particle":"van","parse-names":false,"suffix":""},{"dropping-particle":"","family":"Godjevac","given":"M.","non-dropping-particle":"","parse-names":false,"suffix":""},{"dropping-particle":"","family":"Visser","given":"K.","non-dropping-particle":"","parse-names":false,"suffix":""},{"dropping-particle":"V.","family":"Aravind","given":"P.","non-dropping-particle":"","parse-names":false,"suffix":""}],"container-title":"Journal of Power Sources","id":"ITEM-1","issue":"X","issued":{"date-parts":[["2016"]]},"page":"345-364","publisher":"Elsevier B.V","title":"A review of fuel cell systems for maritime applications","type":"article-journal","volume":"327"},"uris":["http://www.mendeley.com/documents/?uuid=32894a40-3902-4de3-bad6-1cf4dbb5be5e"]}],"mendeley":{"formattedCitation":"(van Biert et al., 2016)","plainTextFormattedCitation":"(van Biert et al., 2016)","previouslyFormattedCitation":"(van Biert et al., 2016)"},"properties":{"noteIndex":0},"schema":"https://github.com/citation-style-language/schema/raw/master/csl-citation.json"}</w:instrText>
      </w:r>
      <w:r w:rsidR="00DE5981">
        <w:rPr>
          <w:lang w:val="en-GB"/>
        </w:rPr>
        <w:fldChar w:fldCharType="separate"/>
      </w:r>
      <w:r w:rsidR="00DE5981" w:rsidRPr="00DE5981">
        <w:rPr>
          <w:noProof/>
          <w:lang w:val="en-GB"/>
        </w:rPr>
        <w:t>(van Biert et al., 2016)</w:t>
      </w:r>
      <w:r w:rsidR="00DE5981">
        <w:rPr>
          <w:lang w:val="en-GB"/>
        </w:rPr>
        <w:fldChar w:fldCharType="end"/>
      </w:r>
      <w:r w:rsidR="00D33B62">
        <w:rPr>
          <w:lang w:val="en-GB"/>
        </w:rPr>
        <w:t xml:space="preserve">. </w:t>
      </w:r>
    </w:p>
    <w:p w14:paraId="6E670A23" w14:textId="6F21142C" w:rsidR="00B16197" w:rsidRDefault="00982CE1" w:rsidP="00600535">
      <w:pPr>
        <w:pStyle w:val="CETBodytext"/>
        <w:rPr>
          <w:lang w:val="en-GB"/>
        </w:rPr>
      </w:pPr>
      <w:r>
        <w:rPr>
          <w:lang w:val="en-GB"/>
        </w:rPr>
        <w:t xml:space="preserve">Despite </w:t>
      </w:r>
      <w:r w:rsidR="00C24D07">
        <w:rPr>
          <w:lang w:val="en-GB"/>
        </w:rPr>
        <w:t xml:space="preserve">the </w:t>
      </w:r>
      <w:r>
        <w:rPr>
          <w:lang w:val="en-GB"/>
        </w:rPr>
        <w:t>clear environmental benefi</w:t>
      </w:r>
      <w:r w:rsidR="00C24D07">
        <w:rPr>
          <w:lang w:val="en-GB"/>
        </w:rPr>
        <w:t>t</w:t>
      </w:r>
      <w:r>
        <w:rPr>
          <w:lang w:val="en-GB"/>
        </w:rPr>
        <w:t xml:space="preserve">s, </w:t>
      </w:r>
      <w:r w:rsidR="00D1384D">
        <w:rPr>
          <w:lang w:val="en-GB"/>
        </w:rPr>
        <w:t>the significant safety concerns</w:t>
      </w:r>
      <w:r w:rsidR="006825C8">
        <w:rPr>
          <w:lang w:val="en-GB"/>
        </w:rPr>
        <w:t xml:space="preserve"> related to the use of </w:t>
      </w:r>
      <w:r w:rsidR="00785EE9">
        <w:rPr>
          <w:lang w:val="en-GB"/>
        </w:rPr>
        <w:t xml:space="preserve">large </w:t>
      </w:r>
      <w:r w:rsidR="00A538C0">
        <w:rPr>
          <w:lang w:val="en-GB"/>
        </w:rPr>
        <w:t>quantities</w:t>
      </w:r>
      <w:r w:rsidR="00785EE9">
        <w:rPr>
          <w:lang w:val="en-GB"/>
        </w:rPr>
        <w:t xml:space="preserve"> of </w:t>
      </w:r>
      <w:r w:rsidR="006825C8">
        <w:rPr>
          <w:lang w:val="en-GB"/>
        </w:rPr>
        <w:t>hydrogen</w:t>
      </w:r>
      <w:r w:rsidR="00FA07C6">
        <w:rPr>
          <w:lang w:val="en-GB"/>
        </w:rPr>
        <w:t xml:space="preserve"> tend to hamper its large-scale adoption as a marine fuel because of its </w:t>
      </w:r>
      <w:r w:rsidR="00D1384D">
        <w:rPr>
          <w:lang w:val="en-GB"/>
        </w:rPr>
        <w:t>low ignition energy, high flame speed</w:t>
      </w:r>
      <w:r w:rsidR="00D170C6">
        <w:rPr>
          <w:lang w:val="en-GB"/>
        </w:rPr>
        <w:t>,</w:t>
      </w:r>
      <w:r w:rsidR="00D1384D">
        <w:rPr>
          <w:lang w:val="en-GB"/>
        </w:rPr>
        <w:t xml:space="preserve"> and wide flammability range</w:t>
      </w:r>
      <w:r w:rsidR="00723A4C">
        <w:rPr>
          <w:lang w:val="en-GB"/>
        </w:rPr>
        <w:t xml:space="preserve"> </w:t>
      </w:r>
      <w:r w:rsidR="00AA667B">
        <w:rPr>
          <w:lang w:val="en-GB"/>
        </w:rPr>
        <w:fldChar w:fldCharType="begin" w:fldLock="1"/>
      </w:r>
      <w:r w:rsidR="00B34420">
        <w:rPr>
          <w:lang w:val="en-GB"/>
        </w:rPr>
        <w:instrText>ADDIN CSL_CITATION {"citationItems":[{"id":"ITEM-1","itemData":{"DOI":"10.1016/j.jclepro.2023.137989","abstract":"The growing concern for the emission of greenhouse gases and several recent international regulations promote the introduction of innovative solutions aiming at the reduction of pollutant production in all human activities, including maritime transportation. Phasing out conventional marine gas oil engines is a key strategy to limit the pressure on the environment exerted by maritime transport. Considering the strategic relevance of this sector, the sustainability of innovative clean technologies proposed for ship power systems is crucial. In the present study, a multi-criteria sustainability assessment methodology, based on specific indicators addressing the technological, economic, environmental, and safety performance of ship power systems is developed. Normalization and ag- gregation perspectives are proposed to provide key performance indicators describing and ranking the overall sustainability performance of the alternative power systems considered. A sensitivity analysis is performed to identify the most impacting parameters in each domain. The methodology is tested considering a case study representative of large-scale maritime transportation. The robustness of the sustainability performance-based ranking is assessed by a Monte Carlo analysis. The results suggest that the ranking of alternative power sys- tems obtained considering only techno-economic factors may be strongly affected by highly fluctuating pa- rameters, such as fuel cost. Conversely, the inclusion of environmental and safety aspects increases the robustness of the results. A trade-off between the environmental and societal domains is also observed, indicating that the performance of cleaner solutions may be strongly improved if safety issues are properly addressed.","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Muñoz","non-dropping-particle":"","parse-names":false,"suffix":""},{"dropping-particle":"","family":"Cozzani","given":"Valerio","non-dropping-particle":"","parse-names":false,"suffix":""}],"container-title":"Journal of Cleaner Production","id":"ITEM-1","issued":{"date-parts":[["2023"]]},"page":"137989","title":"Decarbonization of maritime transport : Sustainability assessment of alternative power systems","type":"article-journal","volume":"417"},"uris":["http://www.mendeley.com/documents/?uuid=b8934d15-2aa1-4fbe-ab98-5a4fb360957d"]}],"mendeley":{"formattedCitation":"(Zanobetti et al., 2023a)","plainTextFormattedCitation":"(Zanobetti et al., 2023a)","previouslyFormattedCitation":"(Zanobetti et al., 2023a)"},"properties":{"noteIndex":0},"schema":"https://github.com/citation-style-language/schema/raw/master/csl-citation.json"}</w:instrText>
      </w:r>
      <w:r w:rsidR="00AA667B">
        <w:rPr>
          <w:lang w:val="en-GB"/>
        </w:rPr>
        <w:fldChar w:fldCharType="separate"/>
      </w:r>
      <w:r w:rsidR="002A2A5C" w:rsidRPr="002A2A5C">
        <w:rPr>
          <w:noProof/>
          <w:lang w:val="en-GB"/>
        </w:rPr>
        <w:t>(Zanobetti et al., 2023a)</w:t>
      </w:r>
      <w:r w:rsidR="00AA667B">
        <w:rPr>
          <w:lang w:val="en-GB"/>
        </w:rPr>
        <w:fldChar w:fldCharType="end"/>
      </w:r>
      <w:r w:rsidR="003E7818">
        <w:rPr>
          <w:lang w:val="en-GB"/>
        </w:rPr>
        <w:t>.</w:t>
      </w:r>
      <w:r w:rsidR="00946C2B">
        <w:rPr>
          <w:lang w:val="en-GB"/>
        </w:rPr>
        <w:t xml:space="preserve"> </w:t>
      </w:r>
      <w:r w:rsidR="00C0445A">
        <w:rPr>
          <w:lang w:val="en-GB"/>
        </w:rPr>
        <w:t>Most of the available studies ha</w:t>
      </w:r>
      <w:r w:rsidR="00946C75">
        <w:rPr>
          <w:lang w:val="en-GB"/>
        </w:rPr>
        <w:t>ve</w:t>
      </w:r>
      <w:r w:rsidR="00C0445A">
        <w:rPr>
          <w:lang w:val="en-GB"/>
        </w:rPr>
        <w:t xml:space="preserve"> been focused on the assessment of </w:t>
      </w:r>
      <w:r w:rsidR="00946C75">
        <w:rPr>
          <w:lang w:val="en-GB"/>
        </w:rPr>
        <w:t xml:space="preserve">the </w:t>
      </w:r>
      <w:r w:rsidR="00C0445A">
        <w:rPr>
          <w:lang w:val="en-GB"/>
        </w:rPr>
        <w:t>consequence and frequency of a possible release of hydrogen at storage conditions</w:t>
      </w:r>
      <w:r w:rsidR="004C5868">
        <w:rPr>
          <w:lang w:val="en-GB"/>
        </w:rPr>
        <w:t xml:space="preserve"> </w:t>
      </w:r>
      <w:r w:rsidR="004C5868" w:rsidRPr="00A43FD2">
        <w:rPr>
          <w:lang w:val="en-GB"/>
        </w:rPr>
        <w:fldChar w:fldCharType="begin" w:fldLock="1"/>
      </w:r>
      <w:r w:rsidR="00312208" w:rsidRPr="00A43FD2">
        <w:rPr>
          <w:lang w:val="en-GB"/>
        </w:rPr>
        <w:instrText>ADDIN CSL_CITATION {"citationItems":[{"id":"ITEM-1","itemData":{"DOI":"10.1016/j.ijhydene.2022.05.010","ISSN":"03603199","abstract":"Compressed hydrogen gas is considered the most convenient and robust technological solution for long-term storage. However, several safety concerns are still under investigation. This work presents an experimental and numerical characterization of the jet flame produced after the accidental release from a high-pressure tank containing pure hydrogen at pressures ranging from 90 to 450 bar and release diameters ranging from 1 to 5 mm. Results are expressed in terms of temperature history and flame length. The complete set of measurements has been reported in the supplementary materials. Both integral and discrete models were employed. Besides, the computational fluid dynamic was integrated with finite reaction rate and accurate thermodynamic properties (from the ab initio approach) and showed excellent agreement with experimental data.","author":[{"dropping-particle":"","family":"Carboni","given":"Mattia","non-dropping-particle":"","parse-names":false,"suffix":""},{"dropping-particle":"","family":"Pio","given":"Gianmaria","non-dropping-particle":"","parse-names":false,"suffix":""},{"dropping-particle":"","family":"Mocellin","given":"Paolo","non-dropping-particle":"","parse-names":false,"suffix":""},{"dropping-particle":"","family":"Pilo","given":"Francesco","non-dropping-particle":"","parse-names":false,"suffix":""},{"dropping-particle":"","family":"Vianello","given":"Chiara","non-dropping-particle":"","parse-names":false,"suffix":""},{"dropping-particle":"","family":"Russo","given":"Paola","non-dropping-particle":"","parse-names":false,"suffix":""},{"dropping-particle":"","family":"Maschio","given":"Giuseppe","non-dropping-particle":"","parse-names":false,"suffix":""},{"dropping-particle":"","family":"Salzano","given":"Ernesto","non-dropping-particle":"","parse-names":false,"suffix":""}],"container-title":"International Journal of Hydrogen Energy","id":"ITEM-1","issue":"51","issued":{"date-parts":[["2022"]]},"page":"21883-21896","publisher":"Hydrogen Energy Publications LLC","title":"Experimental and numerical characterization of hydrogen jet fires","type":"article-journal","volume":"47"},"uris":["http://www.mendeley.com/documents/?uuid=88cd04c1-cb71-4bd7-91af-182cbdd9d560"]}],"mendeley":{"formattedCitation":"(Carboni et al., 2022)","plainTextFormattedCitation":"(Carboni et al., 2022)","previouslyFormattedCitation":"(Carboni et al., 2022)"},"properties":{"noteIndex":0},"schema":"https://github.com/citation-style-language/schema/raw/master/csl-citation.json"}</w:instrText>
      </w:r>
      <w:r w:rsidR="004C5868" w:rsidRPr="00A43FD2">
        <w:rPr>
          <w:lang w:val="en-GB"/>
        </w:rPr>
        <w:fldChar w:fldCharType="separate"/>
      </w:r>
      <w:r w:rsidR="004C5868" w:rsidRPr="00A43FD2">
        <w:rPr>
          <w:noProof/>
          <w:lang w:val="en-GB"/>
        </w:rPr>
        <w:t>(Carboni et al., 2022)</w:t>
      </w:r>
      <w:r w:rsidR="004C5868" w:rsidRPr="00A43FD2">
        <w:rPr>
          <w:lang w:val="en-GB"/>
        </w:rPr>
        <w:fldChar w:fldCharType="end"/>
      </w:r>
      <w:r w:rsidR="00961EDC">
        <w:rPr>
          <w:lang w:val="en-GB"/>
        </w:rPr>
        <w:t xml:space="preserve">, </w:t>
      </w:r>
      <w:r w:rsidR="00961EDC" w:rsidRPr="00A01963">
        <w:rPr>
          <w:lang w:val="en-GB"/>
        </w:rPr>
        <w:t xml:space="preserve">with </w:t>
      </w:r>
      <w:r w:rsidR="00946C75" w:rsidRPr="00A01963">
        <w:rPr>
          <w:lang w:val="en-GB"/>
        </w:rPr>
        <w:t xml:space="preserve">a </w:t>
      </w:r>
      <w:r w:rsidR="00961EDC" w:rsidRPr="00A01963">
        <w:rPr>
          <w:lang w:val="en-GB"/>
        </w:rPr>
        <w:t>specific focus on the cryogenic liquid case</w:t>
      </w:r>
      <w:r w:rsidR="00F42E48" w:rsidRPr="00A01963">
        <w:rPr>
          <w:lang w:val="en-GB"/>
        </w:rPr>
        <w:t xml:space="preserve"> </w:t>
      </w:r>
      <w:r w:rsidR="00A01963" w:rsidRPr="00A01963">
        <w:rPr>
          <w:lang w:val="en-GB"/>
        </w:rPr>
        <w:fldChar w:fldCharType="begin" w:fldLock="1"/>
      </w:r>
      <w:r w:rsidR="00B72763">
        <w:rPr>
          <w:lang w:val="en-GB"/>
        </w:rPr>
        <w:instrText>ADDIN CSL_CITATION {"citationItems":[{"id":"ITEM-1","itemData":{"DOI":"10.3303/CET2291071","ISBN":"9788895608891","ISSN":"22839216","abstract":"Hydrogen can play a central role in the energy transition thanks to its unique properties. However, its low density is one of the main drawbacks. The liquefaction process can drastically increase its density up to virtually 71 kg m-3 at atmospheric pressure and -253°C (NIST, 2019). The safety knowledge gap on physical explosions is still broad in the case of liquid hydrogen (LH2). For instance, it is unclear what are the consequences yields as well as the probabilities of a catastrophic rupture of an LH2 tank. A boiling liquid expanding vapour explosion (BLEVE) might arise after this top event. In this case, the expansion of the compressed gaseous phase is followed by the flashing of a fraction of the liquid. Moreover, combustion may occur for hydrogen since it is highly flammable. This complex phenomenon was not widely explored for LH2 yet. This study focused on the physical explosion by also considering the combustion process. Many integral models were adopted to estimate the mechanical energy developed by the explosion. The tank pressure prior to the rupture was considered below the critical one (1.298 MPa (NIST, 2019)). It was assumed that both liquid and gaseous phases are present inside the tank. The influences of the filling degree of the tank (liquid level) and the temperatures of the liquid and gaseous phases on the explosion energy were analysed. The results were compared with the ones of a previous study where similar models were employed to estimate the mechanical energy of an LH2 tank with different initial conditions (Ustolin et al., 2020a). In particular, the effect of the combustion process on the explosion energy and shock wave overpressure was not accounted for. The aim of this study is to conduct a comparison between different models and assess which are the most and the least conservative. The outcomes of this work provide critical suggestions on the consequence analysis of cryogenic liquefied gas vessels explosions.","author":[{"dropping-particle":"","family":"Ustolin","given":"Federico","non-dropping-particle":"","parse-names":false,"suffix":""},{"dropping-particle":"","family":"Giannini","given":"Leonardo","non-dropping-particle":"","parse-names":false,"suffix":""},{"dropping-particle":"","family":"Pio","given":"Gianmaria","non-dropping-particle":"","parse-names":false,"suffix":""},{"dropping-particle":"","family":"Salzano","given":"Ernesto","non-dropping-particle":"","parse-names":false,"suffix":""},{"dropping-particle":"","family":"Paltrinieri","given":"Nicola","non-dropping-particle":"","parse-names":false,"suffix":""}],"container-title":"Chemical Engineering Transactions","id":"ITEM-1","issued":{"date-parts":[["2022"]]},"page":"421-426","title":"On the Mechanical Energy Involved in the Catastrophic Rupture of Liquid Hydrogen Tanks","type":"article-journal","volume":"91"},"uris":["http://www.mendeley.com/documents/?uuid=36e14136-58ae-4cec-a0b1-23a69a956a6c"]}],"mendeley":{"formattedCitation":"(Ustolin et al., 2022)","plainTextFormattedCitation":"(Ustolin et al., 2022)","previouslyFormattedCitation":"(Ustolin et al., 2022)"},"properties":{"noteIndex":0},"schema":"https://github.com/citation-style-language/schema/raw/master/csl-citation.json"}</w:instrText>
      </w:r>
      <w:r w:rsidR="00A01963" w:rsidRPr="00A01963">
        <w:rPr>
          <w:lang w:val="en-GB"/>
        </w:rPr>
        <w:fldChar w:fldCharType="separate"/>
      </w:r>
      <w:r w:rsidR="00A01963" w:rsidRPr="00A01963">
        <w:rPr>
          <w:noProof/>
          <w:lang w:val="en-GB"/>
        </w:rPr>
        <w:t>(Ustolin et al., 2022)</w:t>
      </w:r>
      <w:r w:rsidR="00A01963" w:rsidRPr="00A01963">
        <w:rPr>
          <w:lang w:val="en-GB"/>
        </w:rPr>
        <w:fldChar w:fldCharType="end"/>
      </w:r>
      <w:r w:rsidR="00C0445A" w:rsidRPr="00A01963">
        <w:rPr>
          <w:lang w:val="en-GB"/>
        </w:rPr>
        <w:t>.</w:t>
      </w:r>
      <w:r w:rsidR="00C0445A" w:rsidRPr="00A43FD2">
        <w:rPr>
          <w:lang w:val="en-GB"/>
        </w:rPr>
        <w:t xml:space="preserve"> Conversely, limited knowledge has been developed for the evaluation of combined and intermediate conditions representative </w:t>
      </w:r>
      <w:r w:rsidR="00946C75" w:rsidRPr="006D28D0">
        <w:rPr>
          <w:lang w:val="en-GB"/>
        </w:rPr>
        <w:t>of</w:t>
      </w:r>
      <w:r w:rsidR="00C0445A" w:rsidRPr="006D28D0">
        <w:rPr>
          <w:lang w:val="en-GB"/>
        </w:rPr>
        <w:t xml:space="preserve"> </w:t>
      </w:r>
      <w:r w:rsidR="00E955C9" w:rsidRPr="006D28D0">
        <w:rPr>
          <w:lang w:val="en-GB"/>
        </w:rPr>
        <w:t xml:space="preserve">ancillary equipment items </w:t>
      </w:r>
      <w:r w:rsidR="00607397" w:rsidRPr="006D28D0">
        <w:rPr>
          <w:lang w:val="en-GB"/>
        </w:rPr>
        <w:t xml:space="preserve">required </w:t>
      </w:r>
      <w:r w:rsidR="00FF4CE7" w:rsidRPr="006D28D0">
        <w:rPr>
          <w:lang w:val="en-GB"/>
        </w:rPr>
        <w:t>as fuel conditioning</w:t>
      </w:r>
      <w:r w:rsidR="00C0445A" w:rsidRPr="006D28D0">
        <w:rPr>
          <w:lang w:val="en-GB"/>
        </w:rPr>
        <w:t xml:space="preserve"> units</w:t>
      </w:r>
      <w:r w:rsidR="00312208" w:rsidRPr="006D28D0">
        <w:rPr>
          <w:lang w:val="en-GB"/>
        </w:rPr>
        <w:t xml:space="preserve"> </w:t>
      </w:r>
      <w:r w:rsidR="00312208" w:rsidRPr="006D28D0">
        <w:rPr>
          <w:lang w:val="en-GB"/>
        </w:rPr>
        <w:fldChar w:fldCharType="begin" w:fldLock="1"/>
      </w:r>
      <w:r w:rsidR="002A2A5C" w:rsidRPr="006D28D0">
        <w:rPr>
          <w:lang w:val="en-GB"/>
        </w:rPr>
        <w:instrText>ADDIN CSL_CITATION {"citationItems":[{"id":"ITEM-1","itemData":{"DOI":"10.1016/j.ijhydene.2020.08.140","ISSN":"03603199","abstract":"The simultaneous rise in hydrogen economy and cryogenic liquefaction techniques for long-distance storage and transportation has incentivized the development of technological solutions based on the liquefied hydrogen. However, detailed models accounting for the peculiar phenomena of this cryogenic system in the case of accidental release, namely cryogenic evaporation rate and para-ortho transformation, are necessary before large-scale commercialization. In this light, this work aims to unravel this gap of knowledge on safety aspects involving liquid hydrogen through a numerical approach. More specifically, the top events that arose from the accidental release of liquid hydrogen in the absence of ignition have been modeled. A proper evaporation sub-model suitable for cryogenic conditions has been selected in accordance with the literature. The quantum mechanics approach was adopted to estimate the thermodynamic properties of the hydrogen configurations accurately. These estimations were compared with data from the literature, showing excellent agreement. The effect of para-ortho transformation was evaluated by implementing the obtained database. Besides, different releasing surfaces and materials were tested, either solid (e.g., concrete) or liquid (i.e., water), resulting in hydrogen release rate ranging from 2.00×10−4 – to 13.90 kg/s). The generated over-pressures were calculated for all the investigated cases and critically compared with numerical data obtained in this work and analytical model retrieved from the current literature. These results indicate that neglecting the para-ortho transformation represents a non-conservative hypothesis. Indeed, peaks potentially producing significant structural damages were observed only in cases where this transformation was considered.","author":[{"dropping-particle":"","family":"Salzano","given":"Ernesto","non-dropping-particle":"","parse-names":false,"suffix":""},{"dropping-particle":"","family":"Carboni","given":"Mattia","non-dropping-particle":"","parse-names":false,"suffix":""},{"dropping-particle":"","family":"Pio","given":"Gianmaria","non-dropping-particle":"","parse-names":false,"suffix":""}],"container-title":"International Journal of Hydrogen Energy","id":"ITEM-1","issue":"56","issued":{"date-parts":[["2020"]]},"page":"32676-32685","publisher":"Elsevier Ltd","title":"The effects of low-temperature phenomena on rapid phase transition of liquid hydrogen","type":"article-journal","volume":"45"},"uris":["http://www.mendeley.com/documents/?uuid=0333f1a8-22bb-489a-b8f5-2c5b7cc7a481"]}],"mendeley":{"formattedCitation":"(Salzano et al., 2020)","plainTextFormattedCitation":"(Salzano et al., 2020)","previouslyFormattedCitation":"(Salzano et al., 2020)"},"properties":{"noteIndex":0},"schema":"https://github.com/citation-style-language/schema/raw/master/csl-citation.json"}</w:instrText>
      </w:r>
      <w:r w:rsidR="00312208" w:rsidRPr="006D28D0">
        <w:rPr>
          <w:lang w:val="en-GB"/>
        </w:rPr>
        <w:fldChar w:fldCharType="separate"/>
      </w:r>
      <w:r w:rsidR="00312208" w:rsidRPr="006D28D0">
        <w:rPr>
          <w:noProof/>
          <w:lang w:val="en-GB"/>
        </w:rPr>
        <w:t>(Salzano et al., 2020)</w:t>
      </w:r>
      <w:r w:rsidR="00312208" w:rsidRPr="006D28D0">
        <w:rPr>
          <w:lang w:val="en-GB"/>
        </w:rPr>
        <w:fldChar w:fldCharType="end"/>
      </w:r>
      <w:r w:rsidR="00C0445A" w:rsidRPr="006D28D0">
        <w:rPr>
          <w:lang w:val="en-GB"/>
        </w:rPr>
        <w:t>.</w:t>
      </w:r>
    </w:p>
    <w:p w14:paraId="79BFD75B" w14:textId="7C1DB2F5" w:rsidR="00242631" w:rsidRDefault="00925B83" w:rsidP="00600535">
      <w:pPr>
        <w:pStyle w:val="CETBodytext"/>
        <w:rPr>
          <w:lang w:val="en-GB"/>
        </w:rPr>
      </w:pPr>
      <w:r>
        <w:rPr>
          <w:lang w:val="en-GB"/>
        </w:rPr>
        <w:t xml:space="preserve">In this sense, </w:t>
      </w:r>
      <w:r w:rsidRPr="003924C0">
        <w:rPr>
          <w:i/>
          <w:iCs/>
          <w:lang w:val="en-GB"/>
        </w:rPr>
        <w:t>e</w:t>
      </w:r>
      <w:r w:rsidR="00B16197" w:rsidRPr="003924C0">
        <w:rPr>
          <w:i/>
          <w:iCs/>
          <w:lang w:val="en-GB"/>
        </w:rPr>
        <w:t>x-ante</w:t>
      </w:r>
      <w:r w:rsidR="00B16197">
        <w:rPr>
          <w:lang w:val="en-GB"/>
        </w:rPr>
        <w:t xml:space="preserve"> </w:t>
      </w:r>
      <w:r>
        <w:rPr>
          <w:lang w:val="en-GB"/>
        </w:rPr>
        <w:t>safety</w:t>
      </w:r>
      <w:r w:rsidR="00855EFD">
        <w:rPr>
          <w:lang w:val="en-GB"/>
        </w:rPr>
        <w:t xml:space="preserve"> quantification tools</w:t>
      </w:r>
      <w:r w:rsidR="000B0DA0">
        <w:rPr>
          <w:lang w:val="en-GB"/>
        </w:rPr>
        <w:t xml:space="preserve"> for hydrogen-based ship power systems</w:t>
      </w:r>
      <w:r w:rsidR="00855EFD">
        <w:rPr>
          <w:lang w:val="en-GB"/>
        </w:rPr>
        <w:t xml:space="preserve"> are </w:t>
      </w:r>
      <w:r w:rsidR="00F256A4">
        <w:rPr>
          <w:lang w:val="en-GB"/>
        </w:rPr>
        <w:t>needed</w:t>
      </w:r>
      <w:r w:rsidR="00855EFD">
        <w:rPr>
          <w:lang w:val="en-GB"/>
        </w:rPr>
        <w:t xml:space="preserve"> to </w:t>
      </w:r>
      <w:r w:rsidR="0009265D">
        <w:rPr>
          <w:lang w:val="en-GB"/>
        </w:rPr>
        <w:t>minimise inherent hazards</w:t>
      </w:r>
      <w:r w:rsidR="000B0DA0">
        <w:rPr>
          <w:lang w:val="en-GB"/>
        </w:rPr>
        <w:t xml:space="preserve"> since early </w:t>
      </w:r>
      <w:r w:rsidR="0009265D">
        <w:rPr>
          <w:lang w:val="en-GB"/>
        </w:rPr>
        <w:t>design phases</w:t>
      </w:r>
      <w:r w:rsidR="000B0DA0">
        <w:rPr>
          <w:lang w:val="en-GB"/>
        </w:rPr>
        <w:t xml:space="preserve"> (e.g., </w:t>
      </w:r>
      <w:r w:rsidR="00F256A4">
        <w:rPr>
          <w:lang w:val="en-GB"/>
        </w:rPr>
        <w:t>technology</w:t>
      </w:r>
      <w:r w:rsidR="000B0DA0">
        <w:rPr>
          <w:lang w:val="en-GB"/>
        </w:rPr>
        <w:t xml:space="preserve"> development and conceptual design)</w:t>
      </w:r>
      <w:r w:rsidR="00465E59">
        <w:rPr>
          <w:lang w:val="en-GB"/>
        </w:rPr>
        <w:t>,</w:t>
      </w:r>
      <w:r w:rsidR="000B0DA0">
        <w:rPr>
          <w:lang w:val="en-GB"/>
        </w:rPr>
        <w:t xml:space="preserve"> thus</w:t>
      </w:r>
      <w:r w:rsidR="00AB5689">
        <w:rPr>
          <w:lang w:val="en-GB"/>
        </w:rPr>
        <w:t xml:space="preserve"> </w:t>
      </w:r>
      <w:r w:rsidR="00B7496D">
        <w:rPr>
          <w:lang w:val="en-GB"/>
        </w:rPr>
        <w:t xml:space="preserve">leading to enhanced societal </w:t>
      </w:r>
      <w:r w:rsidR="00F256A4">
        <w:rPr>
          <w:lang w:val="en-GB"/>
        </w:rPr>
        <w:t>acceptability.</w:t>
      </w:r>
      <w:r w:rsidR="00943E6C">
        <w:rPr>
          <w:lang w:val="en-GB"/>
        </w:rPr>
        <w:t xml:space="preserve"> This study aims </w:t>
      </w:r>
      <w:r w:rsidR="00946C75">
        <w:rPr>
          <w:lang w:val="en-GB"/>
        </w:rPr>
        <w:t>to contribute</w:t>
      </w:r>
      <w:r w:rsidR="00887A3F">
        <w:rPr>
          <w:lang w:val="en-GB"/>
        </w:rPr>
        <w:t xml:space="preserve"> to </w:t>
      </w:r>
      <w:r w:rsidR="00A4221A">
        <w:rPr>
          <w:lang w:val="en-GB"/>
        </w:rPr>
        <w:t>this</w:t>
      </w:r>
      <w:r w:rsidR="00887A3F">
        <w:rPr>
          <w:lang w:val="en-GB"/>
        </w:rPr>
        <w:t xml:space="preserve"> research </w:t>
      </w:r>
      <w:r w:rsidR="00A4221A">
        <w:rPr>
          <w:lang w:val="en-GB"/>
        </w:rPr>
        <w:t>area</w:t>
      </w:r>
      <w:r w:rsidR="00887A3F">
        <w:rPr>
          <w:lang w:val="en-GB"/>
        </w:rPr>
        <w:t xml:space="preserve"> b</w:t>
      </w:r>
      <w:r w:rsidR="00CA32E1">
        <w:rPr>
          <w:lang w:val="en-GB"/>
        </w:rPr>
        <w:t xml:space="preserve">y developing a structured inherent safety assessment method to rank </w:t>
      </w:r>
      <w:r w:rsidR="006B1AEE">
        <w:rPr>
          <w:lang w:val="en-GB"/>
        </w:rPr>
        <w:t xml:space="preserve">alternative </w:t>
      </w:r>
      <w:r w:rsidR="00CA32E1">
        <w:rPr>
          <w:lang w:val="en-GB"/>
        </w:rPr>
        <w:t xml:space="preserve">hydrogen-based </w:t>
      </w:r>
      <w:r w:rsidR="00317808">
        <w:rPr>
          <w:lang w:val="en-GB"/>
        </w:rPr>
        <w:t xml:space="preserve">ship power </w:t>
      </w:r>
      <w:r w:rsidR="00CA32E1">
        <w:rPr>
          <w:lang w:val="en-GB"/>
        </w:rPr>
        <w:t>systems.</w:t>
      </w:r>
      <w:r w:rsidR="00A4221A">
        <w:rPr>
          <w:lang w:val="en-GB"/>
        </w:rPr>
        <w:t xml:space="preserve"> </w:t>
      </w:r>
      <w:r w:rsidR="002B33DA">
        <w:rPr>
          <w:lang w:val="en-GB"/>
        </w:rPr>
        <w:t>For the sake of comparison</w:t>
      </w:r>
      <w:r w:rsidR="00501B57">
        <w:rPr>
          <w:lang w:val="en-GB"/>
        </w:rPr>
        <w:t xml:space="preserve">, </w:t>
      </w:r>
      <w:r w:rsidR="00BF7321">
        <w:rPr>
          <w:lang w:val="en-GB"/>
        </w:rPr>
        <w:t>an</w:t>
      </w:r>
      <w:r w:rsidR="00A4221A">
        <w:rPr>
          <w:lang w:val="en-GB"/>
        </w:rPr>
        <w:t xml:space="preserve"> LNG-based </w:t>
      </w:r>
      <w:r w:rsidR="00317808">
        <w:rPr>
          <w:lang w:val="en-GB"/>
        </w:rPr>
        <w:t>ship engine</w:t>
      </w:r>
      <w:r w:rsidR="00A4221A">
        <w:rPr>
          <w:lang w:val="en-GB"/>
        </w:rPr>
        <w:t xml:space="preserve"> is considered as a baseline in the analysis. </w:t>
      </w:r>
    </w:p>
    <w:p w14:paraId="33D84DDE" w14:textId="193C6C95" w:rsidR="004E5802" w:rsidRDefault="005D7B4B" w:rsidP="004E5802">
      <w:pPr>
        <w:pStyle w:val="CETHeading1"/>
        <w:rPr>
          <w:lang w:val="en-GB"/>
        </w:rPr>
      </w:pPr>
      <w:r>
        <w:rPr>
          <w:lang w:val="en-GB"/>
        </w:rPr>
        <w:t>Methodology</w:t>
      </w:r>
    </w:p>
    <w:p w14:paraId="6462F0E8" w14:textId="1751FB21" w:rsidR="00B73AF4" w:rsidRDefault="00D30FA6" w:rsidP="00B73AF4">
      <w:pPr>
        <w:pStyle w:val="CETBodytext"/>
        <w:rPr>
          <w:lang w:val="en-GB"/>
        </w:rPr>
      </w:pPr>
      <w:r>
        <w:rPr>
          <w:lang w:val="en-GB"/>
        </w:rPr>
        <w:t>In this work</w:t>
      </w:r>
      <w:r w:rsidR="00946C75">
        <w:rPr>
          <w:lang w:val="en-GB"/>
        </w:rPr>
        <w:t>,</w:t>
      </w:r>
      <w:r>
        <w:rPr>
          <w:lang w:val="en-GB"/>
        </w:rPr>
        <w:t xml:space="preserve"> a </w:t>
      </w:r>
      <w:r w:rsidR="00317808">
        <w:rPr>
          <w:lang w:val="en-GB"/>
        </w:rPr>
        <w:t xml:space="preserve">structured </w:t>
      </w:r>
      <w:r>
        <w:rPr>
          <w:lang w:val="en-GB"/>
        </w:rPr>
        <w:t>procedure consisting of 6 steps was implemented</w:t>
      </w:r>
      <w:r w:rsidR="002A4B90">
        <w:rPr>
          <w:lang w:val="en-GB"/>
        </w:rPr>
        <w:t xml:space="preserve"> for safety level </w:t>
      </w:r>
      <w:r w:rsidR="00A210A0">
        <w:rPr>
          <w:lang w:val="en-GB"/>
        </w:rPr>
        <w:t>as</w:t>
      </w:r>
      <w:r w:rsidR="008B7945">
        <w:rPr>
          <w:lang w:val="en-GB"/>
        </w:rPr>
        <w:t>sessment</w:t>
      </w:r>
      <w:r w:rsidR="002A4B90">
        <w:rPr>
          <w:lang w:val="en-GB"/>
        </w:rPr>
        <w:t xml:space="preserve"> at an early design stage</w:t>
      </w:r>
      <w:r w:rsidR="00BB5C27">
        <w:rPr>
          <w:lang w:val="en-GB"/>
        </w:rPr>
        <w:t xml:space="preserve">, </w:t>
      </w:r>
      <w:r w:rsidR="0032713D">
        <w:rPr>
          <w:lang w:val="en-GB"/>
        </w:rPr>
        <w:t>considering</w:t>
      </w:r>
      <w:r>
        <w:rPr>
          <w:lang w:val="en-GB"/>
        </w:rPr>
        <w:t xml:space="preserve"> </w:t>
      </w:r>
      <w:r w:rsidR="00BB5C27">
        <w:rPr>
          <w:lang w:val="en-GB"/>
        </w:rPr>
        <w:t>a case study relevant to maritime transportation.</w:t>
      </w:r>
      <w:r>
        <w:rPr>
          <w:lang w:val="en-GB"/>
        </w:rPr>
        <w:t xml:space="preserve"> </w:t>
      </w:r>
      <w:r w:rsidR="00F95B12">
        <w:rPr>
          <w:lang w:val="en-GB"/>
        </w:rPr>
        <w:t xml:space="preserve">The presented methodology can be intended as an expansion of the strategy previously proposed by the same authors for the evaluation of </w:t>
      </w:r>
      <w:r w:rsidR="00AC5B88">
        <w:rPr>
          <w:lang w:val="en-GB"/>
        </w:rPr>
        <w:t xml:space="preserve">inherent safety </w:t>
      </w:r>
      <w:r w:rsidR="00F95B12">
        <w:rPr>
          <w:lang w:val="en-GB"/>
        </w:rPr>
        <w:t>key performance indicators (</w:t>
      </w:r>
      <w:r w:rsidR="00AC5B88">
        <w:rPr>
          <w:lang w:val="en-GB"/>
        </w:rPr>
        <w:t>IS-</w:t>
      </w:r>
      <w:r w:rsidR="00F95B12">
        <w:rPr>
          <w:lang w:val="en-GB"/>
        </w:rPr>
        <w:t xml:space="preserve">KPIs) </w:t>
      </w:r>
      <w:r w:rsidR="00587D81">
        <w:rPr>
          <w:lang w:val="en-GB"/>
        </w:rPr>
        <w:t xml:space="preserve">targeting </w:t>
      </w:r>
      <w:r w:rsidR="00957527">
        <w:rPr>
          <w:lang w:val="en-GB"/>
        </w:rPr>
        <w:t>cleaner marine fuel</w:t>
      </w:r>
      <w:r w:rsidR="00587D81">
        <w:rPr>
          <w:lang w:val="en-GB"/>
        </w:rPr>
        <w:t>s</w:t>
      </w:r>
      <w:r w:rsidR="007063B5">
        <w:rPr>
          <w:lang w:val="en-GB"/>
        </w:rPr>
        <w:t xml:space="preserve"> </w:t>
      </w:r>
      <w:r w:rsidR="002A2A5C">
        <w:rPr>
          <w:lang w:val="en-GB"/>
        </w:rPr>
        <w:fldChar w:fldCharType="begin" w:fldLock="1"/>
      </w:r>
      <w:r w:rsidR="00B34420">
        <w:rPr>
          <w:lang w:val="en-GB"/>
        </w:rPr>
        <w:instrText>ADDIN CSL_CITATION {"citationItems":[{"id":"ITEM-1","itemData":{"DOI":"10.1016/j.psep.2023.05.018","ISSN":"09575820","abstract":"The urgent need to reduce the emission of harmful pollutants in maritime transport promoted the development of several alternative propulsion systems based on clean fuels or carbon-neutral energy vectors. However, the alternative solutions under development pose new concerns from the safety perspective. Thus, an innovative methodology to rank the inherent safety performance of alternative systems at early design stages was devel- oped. A case study representative of long-distance maritime transportation was analysed. The inherent safety performances of Liquefied Natural Gas (LNG), Liquid Hydrogen (LH2), and Liquid Ammonia (LNH3) were compared to that of Marine Gas Oil (MGO), assumed as a benchmark representing state-of-the-art technologies. Uncertainty and robustness of the safety ranking obtained were tested via a Monte Carlo analysis. The results show that technologies based on LNG have similar safety performances with respect to the benchmark option. Conversely, LH2 safety performance is currently limited by the lack of mature technologies for its safe storage whilst the safety of LNH3-based applications is affected by the toxicity of ammonia.","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Muñoz","non-dropping-particle":"","parse-names":false,"suffix":""},{"dropping-particle":"","family":"Cozzani","given":"Valerio","non-dropping-particle":"","parse-names":false,"suffix":""}],"container-title":"Process Safety and Environmental Protection","id":"ITEM-1","issued":{"date-parts":[["2023"]]},"page":"1044-1055","title":"Inherent safety of clean fuels for maritime transport","type":"article-journal","volume":"174"},"uris":["http://www.mendeley.com/documents/?uuid=bbb10b94-1fca-4469-bece-7fc82be4d64d"]}],"mendeley":{"formattedCitation":"(Zanobetti et al., 2023b)","plainTextFormattedCitation":"(Zanobetti et al., 2023b)","previouslyFormattedCitation":"(Zanobetti et al., 2023b)"},"properties":{"noteIndex":0},"schema":"https://github.com/citation-style-language/schema/raw/master/csl-citation.json"}</w:instrText>
      </w:r>
      <w:r w:rsidR="002A2A5C">
        <w:rPr>
          <w:lang w:val="en-GB"/>
        </w:rPr>
        <w:fldChar w:fldCharType="separate"/>
      </w:r>
      <w:r w:rsidR="002A2A5C" w:rsidRPr="002A2A5C">
        <w:rPr>
          <w:noProof/>
          <w:lang w:val="en-GB"/>
        </w:rPr>
        <w:t>(Zanobetti et al., 2023b)</w:t>
      </w:r>
      <w:r w:rsidR="002A2A5C">
        <w:rPr>
          <w:lang w:val="en-GB"/>
        </w:rPr>
        <w:fldChar w:fldCharType="end"/>
      </w:r>
      <w:r w:rsidR="00F95B12">
        <w:rPr>
          <w:lang w:val="en-GB"/>
        </w:rPr>
        <w:t xml:space="preserve">. </w:t>
      </w:r>
      <w:r w:rsidR="00F95B12" w:rsidRPr="00A43FD2">
        <w:rPr>
          <w:lang w:val="en-GB"/>
        </w:rPr>
        <w:t xml:space="preserve">Indeed, </w:t>
      </w:r>
      <w:r w:rsidR="006724C4" w:rsidRPr="00A43FD2">
        <w:rPr>
          <w:lang w:val="en-GB"/>
        </w:rPr>
        <w:t xml:space="preserve">an inherent safety footprint quantification is introduced </w:t>
      </w:r>
      <w:r w:rsidR="008C5122" w:rsidRPr="00A43FD2">
        <w:rPr>
          <w:lang w:val="en-GB"/>
        </w:rPr>
        <w:t xml:space="preserve">to </w:t>
      </w:r>
      <w:r w:rsidR="00922A44" w:rsidRPr="00A43FD2">
        <w:rPr>
          <w:lang w:val="en-GB"/>
        </w:rPr>
        <w:t>summari</w:t>
      </w:r>
      <w:r w:rsidR="00BD27B2">
        <w:rPr>
          <w:lang w:val="en-GB"/>
        </w:rPr>
        <w:t>s</w:t>
      </w:r>
      <w:r w:rsidR="00922A44" w:rsidRPr="00A43FD2">
        <w:rPr>
          <w:lang w:val="en-GB"/>
        </w:rPr>
        <w:t>e</w:t>
      </w:r>
      <w:r w:rsidR="008C5122" w:rsidRPr="00A43FD2">
        <w:rPr>
          <w:lang w:val="en-GB"/>
        </w:rPr>
        <w:t xml:space="preserve"> </w:t>
      </w:r>
      <w:r w:rsidR="00465B17" w:rsidRPr="00A43FD2">
        <w:rPr>
          <w:lang w:val="en-GB"/>
        </w:rPr>
        <w:t xml:space="preserve">the overall </w:t>
      </w:r>
      <w:r w:rsidR="008C5122" w:rsidRPr="00A43FD2">
        <w:rPr>
          <w:lang w:val="en-GB"/>
        </w:rPr>
        <w:t xml:space="preserve">hazard level </w:t>
      </w:r>
      <w:r w:rsidR="00465B17" w:rsidRPr="00A43FD2">
        <w:rPr>
          <w:lang w:val="en-GB"/>
        </w:rPr>
        <w:t>of</w:t>
      </w:r>
      <w:r w:rsidR="00C417A4" w:rsidRPr="00A43FD2">
        <w:rPr>
          <w:lang w:val="en-GB"/>
        </w:rPr>
        <w:t xml:space="preserve"> ship power systems</w:t>
      </w:r>
      <w:r w:rsidR="00853014" w:rsidRPr="00A43FD2">
        <w:rPr>
          <w:lang w:val="en-GB"/>
        </w:rPr>
        <w:t>.</w:t>
      </w:r>
      <w:r w:rsidR="00465B17">
        <w:rPr>
          <w:lang w:val="en-GB"/>
        </w:rPr>
        <w:t xml:space="preserve"> </w:t>
      </w:r>
      <w:r w:rsidR="00472BFE">
        <w:rPr>
          <w:lang w:val="en-GB"/>
        </w:rPr>
        <w:t xml:space="preserve">The </w:t>
      </w:r>
      <w:r w:rsidR="00F64203">
        <w:rPr>
          <w:lang w:val="en-GB"/>
        </w:rPr>
        <w:t>step-by-step procedure adopted</w:t>
      </w:r>
      <w:r w:rsidR="00B5138E">
        <w:rPr>
          <w:lang w:val="en-GB"/>
        </w:rPr>
        <w:t xml:space="preserve"> for </w:t>
      </w:r>
      <w:r w:rsidR="007B794B">
        <w:rPr>
          <w:lang w:val="en-GB"/>
        </w:rPr>
        <w:t xml:space="preserve">inherent safety assessment </w:t>
      </w:r>
      <w:r w:rsidR="00B5138E">
        <w:rPr>
          <w:lang w:val="en-GB"/>
        </w:rPr>
        <w:t>of</w:t>
      </w:r>
      <w:r w:rsidR="007B794B">
        <w:rPr>
          <w:lang w:val="en-GB"/>
        </w:rPr>
        <w:t xml:space="preserve"> hydrogen-fuelled ship power systems</w:t>
      </w:r>
      <w:r w:rsidR="00C8241C">
        <w:rPr>
          <w:lang w:val="en-GB"/>
        </w:rPr>
        <w:t xml:space="preserve"> </w:t>
      </w:r>
      <w:r w:rsidR="00071B6C">
        <w:rPr>
          <w:lang w:val="en-GB"/>
        </w:rPr>
        <w:t>is</w:t>
      </w:r>
      <w:r w:rsidR="007B794B">
        <w:rPr>
          <w:lang w:val="en-GB"/>
        </w:rPr>
        <w:t xml:space="preserve"> </w:t>
      </w:r>
      <w:r w:rsidR="004473A0">
        <w:rPr>
          <w:lang w:val="en-GB"/>
        </w:rPr>
        <w:t>outlined</w:t>
      </w:r>
      <w:r w:rsidR="006E0758">
        <w:rPr>
          <w:lang w:val="en-GB"/>
        </w:rPr>
        <w:t xml:space="preserve"> in</w:t>
      </w:r>
      <w:r w:rsidR="00B5138E">
        <w:rPr>
          <w:lang w:val="en-GB"/>
        </w:rPr>
        <w:t xml:space="preserve"> </w:t>
      </w:r>
      <w:r w:rsidR="00B5138E">
        <w:rPr>
          <w:lang w:val="en-GB"/>
        </w:rPr>
        <w:fldChar w:fldCharType="begin"/>
      </w:r>
      <w:r w:rsidR="00B5138E">
        <w:rPr>
          <w:lang w:val="en-GB"/>
        </w:rPr>
        <w:instrText xml:space="preserve"> REF _Ref158716441 \h </w:instrText>
      </w:r>
      <w:r w:rsidR="00B5138E">
        <w:rPr>
          <w:lang w:val="en-GB"/>
        </w:rPr>
      </w:r>
      <w:r w:rsidR="00B5138E">
        <w:rPr>
          <w:lang w:val="en-GB"/>
        </w:rPr>
        <w:fldChar w:fldCharType="separate"/>
      </w:r>
      <w:r w:rsidR="00B5138E">
        <w:t xml:space="preserve">Figure </w:t>
      </w:r>
      <w:r w:rsidR="00B5138E">
        <w:rPr>
          <w:noProof/>
        </w:rPr>
        <w:t>1</w:t>
      </w:r>
      <w:r w:rsidR="00B5138E">
        <w:rPr>
          <w:lang w:val="en-GB"/>
        </w:rPr>
        <w:fldChar w:fldCharType="end"/>
      </w:r>
      <w:r w:rsidR="00071B6C">
        <w:rPr>
          <w:lang w:val="en-GB"/>
        </w:rPr>
        <w:t xml:space="preserve"> and described </w:t>
      </w:r>
      <w:r w:rsidR="00D644AC">
        <w:rPr>
          <w:lang w:val="en-GB"/>
        </w:rPr>
        <w:t>in detail below</w:t>
      </w:r>
      <w:r w:rsidR="00B5138E">
        <w:rPr>
          <w:lang w:val="en-GB"/>
        </w:rPr>
        <w:t xml:space="preserve">. </w:t>
      </w:r>
    </w:p>
    <w:p w14:paraId="263CEA97" w14:textId="77777777" w:rsidR="00533943" w:rsidRPr="00533943" w:rsidRDefault="00533943" w:rsidP="00B73AF4">
      <w:pPr>
        <w:pStyle w:val="CETBodytext"/>
        <w:rPr>
          <w:lang w:val="en-GB"/>
        </w:rPr>
      </w:pPr>
    </w:p>
    <w:p w14:paraId="5A3792C4" w14:textId="7BDD1F9A" w:rsidR="00612B7F" w:rsidRDefault="005E4E85" w:rsidP="00CC41C6">
      <w:pPr>
        <w:pStyle w:val="CETBodytext"/>
        <w:keepNext/>
        <w:jc w:val="left"/>
      </w:pPr>
      <w:r w:rsidRPr="005E4E85">
        <w:rPr>
          <w:noProof/>
        </w:rPr>
        <w:drawing>
          <wp:inline distT="0" distB="0" distL="0" distR="0" wp14:anchorId="54369309" wp14:editId="6AA04E16">
            <wp:extent cx="5579745" cy="657860"/>
            <wp:effectExtent l="0" t="0" r="1905" b="8890"/>
            <wp:docPr id="2051836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657860"/>
                    </a:xfrm>
                    <a:prstGeom prst="rect">
                      <a:avLst/>
                    </a:prstGeom>
                    <a:noFill/>
                    <a:ln>
                      <a:noFill/>
                    </a:ln>
                  </pic:spPr>
                </pic:pic>
              </a:graphicData>
            </a:graphic>
          </wp:inline>
        </w:drawing>
      </w:r>
    </w:p>
    <w:p w14:paraId="636FD998" w14:textId="03907AE0" w:rsidR="00521364" w:rsidRDefault="00612B7F" w:rsidP="00612B7F">
      <w:pPr>
        <w:pStyle w:val="CETCaption"/>
      </w:pPr>
      <w:bookmarkStart w:id="0" w:name="_Ref158716441"/>
      <w:r>
        <w:t xml:space="preserve">Figure </w:t>
      </w:r>
      <w:r>
        <w:fldChar w:fldCharType="begin"/>
      </w:r>
      <w:r>
        <w:instrText xml:space="preserve"> SEQ Figure \* ARABIC </w:instrText>
      </w:r>
      <w:r>
        <w:fldChar w:fldCharType="separate"/>
      </w:r>
      <w:r w:rsidR="00B72713">
        <w:rPr>
          <w:noProof/>
        </w:rPr>
        <w:t>1</w:t>
      </w:r>
      <w:r>
        <w:fldChar w:fldCharType="end"/>
      </w:r>
      <w:bookmarkEnd w:id="0"/>
      <w:r>
        <w:t xml:space="preserve">: </w:t>
      </w:r>
      <w:r w:rsidR="00655156">
        <w:t>Flow chart of the</w:t>
      </w:r>
      <w:r w:rsidR="00B73AF4">
        <w:t xml:space="preserve"> method developed for inherent safety assessment of hydrogen-based ship power </w:t>
      </w:r>
      <w:proofErr w:type="gramStart"/>
      <w:r w:rsidR="00B73AF4">
        <w:t>systems</w:t>
      </w:r>
      <w:proofErr w:type="gramEnd"/>
    </w:p>
    <w:p w14:paraId="49A4A227" w14:textId="77777777" w:rsidR="00FD3928" w:rsidRDefault="00FD3928" w:rsidP="00600535">
      <w:pPr>
        <w:pStyle w:val="CETBodytext"/>
        <w:rPr>
          <w:lang w:val="en-GB"/>
        </w:rPr>
      </w:pPr>
    </w:p>
    <w:p w14:paraId="0B1CB919" w14:textId="38FFDC15" w:rsidR="005821F2" w:rsidRDefault="00D442A4" w:rsidP="00600535">
      <w:pPr>
        <w:pStyle w:val="CETBodytext"/>
        <w:rPr>
          <w:lang w:val="en-GB"/>
        </w:rPr>
      </w:pPr>
      <w:r>
        <w:rPr>
          <w:lang w:val="en-GB"/>
        </w:rPr>
        <w:t xml:space="preserve">As a </w:t>
      </w:r>
      <w:r w:rsidR="00D30FA6">
        <w:rPr>
          <w:lang w:val="en-GB"/>
        </w:rPr>
        <w:t>S</w:t>
      </w:r>
      <w:r>
        <w:rPr>
          <w:lang w:val="en-GB"/>
        </w:rPr>
        <w:t>tep</w:t>
      </w:r>
      <w:r w:rsidR="00D30FA6">
        <w:rPr>
          <w:lang w:val="en-GB"/>
        </w:rPr>
        <w:t xml:space="preserve"> 1</w:t>
      </w:r>
      <w:r>
        <w:rPr>
          <w:lang w:val="en-GB"/>
        </w:rPr>
        <w:t xml:space="preserve">, reference power systems </w:t>
      </w:r>
      <w:r w:rsidR="001F3B8D">
        <w:rPr>
          <w:lang w:val="en-GB"/>
        </w:rPr>
        <w:t xml:space="preserve">(PSs) </w:t>
      </w:r>
      <w:r>
        <w:rPr>
          <w:lang w:val="en-GB"/>
        </w:rPr>
        <w:t xml:space="preserve">are </w:t>
      </w:r>
      <w:r w:rsidR="00656379">
        <w:rPr>
          <w:lang w:val="en-GB"/>
        </w:rPr>
        <w:t xml:space="preserve">specified </w:t>
      </w:r>
      <w:r w:rsidR="00AF31BC">
        <w:rPr>
          <w:lang w:val="en-GB"/>
        </w:rPr>
        <w:t>in terms of</w:t>
      </w:r>
      <w:r w:rsidR="00656379">
        <w:rPr>
          <w:lang w:val="en-GB"/>
        </w:rPr>
        <w:t xml:space="preserve"> </w:t>
      </w:r>
      <w:r w:rsidR="00AF31BC">
        <w:rPr>
          <w:lang w:val="en-GB"/>
        </w:rPr>
        <w:t>fuel storage-to-utili</w:t>
      </w:r>
      <w:r w:rsidR="00E84F59">
        <w:rPr>
          <w:lang w:val="en-GB"/>
        </w:rPr>
        <w:t>s</w:t>
      </w:r>
      <w:r w:rsidR="00AF31BC">
        <w:rPr>
          <w:lang w:val="en-GB"/>
        </w:rPr>
        <w:t xml:space="preserve">ation </w:t>
      </w:r>
      <w:r w:rsidR="007B1FE7">
        <w:rPr>
          <w:lang w:val="en-GB"/>
        </w:rPr>
        <w:t xml:space="preserve">process </w:t>
      </w:r>
      <w:r w:rsidR="00E44F90">
        <w:rPr>
          <w:lang w:val="en-GB"/>
        </w:rPr>
        <w:t>steps</w:t>
      </w:r>
      <w:r w:rsidR="00B74C7E">
        <w:rPr>
          <w:lang w:val="en-GB"/>
        </w:rPr>
        <w:t xml:space="preserve"> and corresponding</w:t>
      </w:r>
      <w:r w:rsidR="00656379">
        <w:rPr>
          <w:lang w:val="en-GB"/>
        </w:rPr>
        <w:t xml:space="preserve"> operating conditions </w:t>
      </w:r>
      <w:r w:rsidR="00B74C7E">
        <w:rPr>
          <w:lang w:val="en-GB"/>
        </w:rPr>
        <w:t>as well as</w:t>
      </w:r>
      <w:r w:rsidR="00656379">
        <w:rPr>
          <w:lang w:val="en-GB"/>
        </w:rPr>
        <w:t xml:space="preserve"> </w:t>
      </w:r>
      <w:r w:rsidR="00946C75">
        <w:rPr>
          <w:lang w:val="en-GB"/>
        </w:rPr>
        <w:t xml:space="preserve">the </w:t>
      </w:r>
      <w:r w:rsidR="00656379">
        <w:rPr>
          <w:lang w:val="en-GB"/>
        </w:rPr>
        <w:t xml:space="preserve">preliminary </w:t>
      </w:r>
      <w:r w:rsidR="00AF31BC">
        <w:rPr>
          <w:lang w:val="en-GB"/>
        </w:rPr>
        <w:t xml:space="preserve">design of constituting </w:t>
      </w:r>
      <w:r w:rsidR="00BF1367">
        <w:rPr>
          <w:lang w:val="en-GB"/>
        </w:rPr>
        <w:t xml:space="preserve">process and storage units. </w:t>
      </w:r>
      <w:r w:rsidR="003A5367">
        <w:rPr>
          <w:lang w:val="en-GB"/>
        </w:rPr>
        <w:t>T</w:t>
      </w:r>
      <w:r w:rsidR="00454900">
        <w:rPr>
          <w:lang w:val="en-GB"/>
        </w:rPr>
        <w:t>he</w:t>
      </w:r>
      <w:r w:rsidR="001A6D8F">
        <w:rPr>
          <w:lang w:val="en-GB"/>
        </w:rPr>
        <w:t xml:space="preserve"> </w:t>
      </w:r>
      <w:r w:rsidR="007A161F">
        <w:rPr>
          <w:lang w:val="en-GB"/>
        </w:rPr>
        <w:t xml:space="preserve">alternative </w:t>
      </w:r>
      <w:r w:rsidR="001F3B8D">
        <w:rPr>
          <w:lang w:val="en-GB"/>
        </w:rPr>
        <w:t>PSs</w:t>
      </w:r>
      <w:r w:rsidR="00B03DCE">
        <w:rPr>
          <w:lang w:val="en-GB"/>
        </w:rPr>
        <w:t xml:space="preserve"> considered in the analysis </w:t>
      </w:r>
      <w:r w:rsidR="003A5367">
        <w:rPr>
          <w:lang w:val="en-GB"/>
        </w:rPr>
        <w:t xml:space="preserve">are </w:t>
      </w:r>
      <w:r w:rsidR="005C59CB">
        <w:rPr>
          <w:lang w:val="en-GB"/>
        </w:rPr>
        <w:t>defined</w:t>
      </w:r>
      <w:r w:rsidR="00454900">
        <w:rPr>
          <w:lang w:val="en-GB"/>
        </w:rPr>
        <w:t xml:space="preserve"> in the following section. </w:t>
      </w:r>
      <w:r w:rsidR="00670C74">
        <w:rPr>
          <w:lang w:val="en-GB"/>
        </w:rPr>
        <w:t>Then,</w:t>
      </w:r>
      <w:r w:rsidR="00D62641">
        <w:rPr>
          <w:lang w:val="en-GB"/>
        </w:rPr>
        <w:t xml:space="preserve"> in </w:t>
      </w:r>
      <w:r w:rsidR="00D30FA6">
        <w:rPr>
          <w:lang w:val="en-GB"/>
        </w:rPr>
        <w:t>S</w:t>
      </w:r>
      <w:r w:rsidR="00D62641">
        <w:rPr>
          <w:lang w:val="en-GB"/>
        </w:rPr>
        <w:t>tep 2,</w:t>
      </w:r>
      <w:r w:rsidR="00670C74">
        <w:rPr>
          <w:lang w:val="en-GB"/>
        </w:rPr>
        <w:t xml:space="preserve"> </w:t>
      </w:r>
      <w:r w:rsidR="00FC0667">
        <w:rPr>
          <w:lang w:val="en-GB"/>
        </w:rPr>
        <w:t xml:space="preserve">the following </w:t>
      </w:r>
      <w:r w:rsidR="00C043F7">
        <w:rPr>
          <w:lang w:val="en-GB"/>
        </w:rPr>
        <w:t xml:space="preserve">set of </w:t>
      </w:r>
      <w:r w:rsidR="007B0BB2">
        <w:rPr>
          <w:lang w:val="en-GB"/>
        </w:rPr>
        <w:t xml:space="preserve">loss of containment events (LOCs) </w:t>
      </w:r>
      <w:r w:rsidR="00C043F7">
        <w:rPr>
          <w:lang w:val="en-GB"/>
        </w:rPr>
        <w:t>is</w:t>
      </w:r>
      <w:r w:rsidR="007B0BB2">
        <w:rPr>
          <w:lang w:val="en-GB"/>
        </w:rPr>
        <w:t xml:space="preserve"> </w:t>
      </w:r>
      <w:r w:rsidR="003A5367">
        <w:rPr>
          <w:lang w:val="en-GB"/>
        </w:rPr>
        <w:t>considered</w:t>
      </w:r>
      <w:r w:rsidR="00FC0667">
        <w:rPr>
          <w:lang w:val="en-GB"/>
        </w:rPr>
        <w:t xml:space="preserve"> </w:t>
      </w:r>
      <w:r w:rsidR="001B0C3B">
        <w:rPr>
          <w:lang w:val="en-GB"/>
        </w:rPr>
        <w:t xml:space="preserve">for </w:t>
      </w:r>
      <w:r w:rsidR="00C2464B">
        <w:rPr>
          <w:lang w:val="en-GB"/>
        </w:rPr>
        <w:t xml:space="preserve">units </w:t>
      </w:r>
      <w:r w:rsidR="00C043F7">
        <w:rPr>
          <w:lang w:val="en-GB"/>
        </w:rPr>
        <w:t>characteri</w:t>
      </w:r>
      <w:r w:rsidR="003C685D">
        <w:rPr>
          <w:lang w:val="en-GB"/>
        </w:rPr>
        <w:t>s</w:t>
      </w:r>
      <w:r w:rsidR="00C043F7">
        <w:rPr>
          <w:lang w:val="en-GB"/>
        </w:rPr>
        <w:t>ing the specified</w:t>
      </w:r>
      <w:r w:rsidR="00726155">
        <w:rPr>
          <w:lang w:val="en-GB"/>
        </w:rPr>
        <w:t xml:space="preserve"> </w:t>
      </w:r>
      <w:r w:rsidR="001F3B8D">
        <w:rPr>
          <w:lang w:val="en-GB"/>
        </w:rPr>
        <w:t>PS</w:t>
      </w:r>
      <w:r w:rsidR="00C043F7">
        <w:rPr>
          <w:lang w:val="en-GB"/>
        </w:rPr>
        <w:t>s</w:t>
      </w:r>
      <w:r w:rsidR="00C2464B">
        <w:rPr>
          <w:lang w:val="en-GB"/>
        </w:rPr>
        <w:t>:</w:t>
      </w:r>
      <w:r w:rsidR="00C043F7">
        <w:rPr>
          <w:lang w:val="en-GB"/>
        </w:rPr>
        <w:t xml:space="preserve"> R1</w:t>
      </w:r>
      <w:r w:rsidR="00A82948">
        <w:rPr>
          <w:lang w:val="en-GB"/>
        </w:rPr>
        <w:t xml:space="preserve"> (small leak – continuous release from a 10 mm equivalent diameter hole), R2 (</w:t>
      </w:r>
      <w:r w:rsidR="00A14853">
        <w:rPr>
          <w:lang w:val="en-GB"/>
        </w:rPr>
        <w:t>catas</w:t>
      </w:r>
      <w:r w:rsidR="00E95B18">
        <w:rPr>
          <w:lang w:val="en-GB"/>
        </w:rPr>
        <w:t xml:space="preserve">trophic rupture </w:t>
      </w:r>
      <w:r w:rsidR="00802002">
        <w:rPr>
          <w:lang w:val="en-GB"/>
        </w:rPr>
        <w:t>–</w:t>
      </w:r>
      <w:r w:rsidR="00E95B18">
        <w:rPr>
          <w:lang w:val="en-GB"/>
        </w:rPr>
        <w:t xml:space="preserve"> </w:t>
      </w:r>
      <w:r w:rsidR="00802002">
        <w:rPr>
          <w:lang w:val="en-GB"/>
        </w:rPr>
        <w:t>release of the entire inventory in 600 s), R3 (catastrophic rupture – instantaneous release of the entire inventory)</w:t>
      </w:r>
      <w:r w:rsidR="00352B76">
        <w:rPr>
          <w:lang w:val="en-GB"/>
        </w:rPr>
        <w:t>, R4 (pipe leak – continuous release from a hole having 10</w:t>
      </w:r>
      <w:r w:rsidR="00307537">
        <w:rPr>
          <w:lang w:val="en-GB"/>
        </w:rPr>
        <w:t xml:space="preserve"> </w:t>
      </w:r>
      <w:r w:rsidR="00352B76">
        <w:rPr>
          <w:lang w:val="en-GB"/>
        </w:rPr>
        <w:t xml:space="preserve">% of pipe diameter), R5 (pipe rupture – continuous release from the full-bore pipe) </w:t>
      </w:r>
      <w:r w:rsidR="00352B76">
        <w:rPr>
          <w:lang w:val="en-GB"/>
        </w:rPr>
        <w:fldChar w:fldCharType="begin" w:fldLock="1"/>
      </w:r>
      <w:r w:rsidR="004F70B4">
        <w:rPr>
          <w:lang w:val="en-GB"/>
        </w:rPr>
        <w:instrText>ADDIN CSL_CITATION {"citationItems":[{"id":"ITEM-1","itemData":{"DOI":"10.26634/jfet.6.1.1292","ISBN":"9781420035889","ISSN":"09732632","abstract":"In the area of risk assessment, the focus can be on a number of issues. Interest can be placed on the characterization of the dose-response relationship, i.e., studying the dependence of a particular outcome such as the risk of a malformed foetus, on the dose which is administered to the dam. Besides investigating the dose-response relation, another issue is quantitative risk assessment. This critically important area of riskassessment is based on the relationship between dose and response, to derive a safe dose. In quantitative risk assessment, there are a number of choices that have to be made, resulting in a variety of approaches.","author":[{"dropping-particle":"","family":"Uijt de Haag","given":"P.A.M.","non-dropping-particle":"","parse-names":false,"suffix":""},{"dropping-particle":"","family":"Ale","given":"B.J.M.","non-dropping-particle":"","parse-names":false,"suffix":""}],"id":"ITEM-1","issued":{"date-parts":[["2005"]]},"publisher":"Committee for the Prevention of Disasters","publisher-place":"The Hague (NL)","title":"Guidelines for Quantitative Risk Assessment (Purple Book)","type":"book"},"uris":["http://www.mendeley.com/documents/?uuid=fa900821-73b7-4fba-81a5-43095e9b6fd0"]}],"mendeley":{"formattedCitation":"(Uijt de Haag and Ale, 2005)","plainTextFormattedCitation":"(Uijt de Haag and Ale, 2005)","previouslyFormattedCitation":"(Uijt de Haag &amp; Ale, 2005)"},"properties":{"noteIndex":0},"schema":"https://github.com/citation-style-language/schema/raw/master/csl-citation.json"}</w:instrText>
      </w:r>
      <w:r w:rsidR="00352B76">
        <w:rPr>
          <w:lang w:val="en-GB"/>
        </w:rPr>
        <w:fldChar w:fldCharType="separate"/>
      </w:r>
      <w:r w:rsidR="004F70B4" w:rsidRPr="004F70B4">
        <w:rPr>
          <w:noProof/>
          <w:lang w:val="en-GB"/>
        </w:rPr>
        <w:t>(Uijt de Haag and Ale, 2005)</w:t>
      </w:r>
      <w:r w:rsidR="00352B76">
        <w:rPr>
          <w:lang w:val="en-GB"/>
        </w:rPr>
        <w:fldChar w:fldCharType="end"/>
      </w:r>
      <w:r w:rsidR="00352B76">
        <w:rPr>
          <w:lang w:val="en-GB"/>
        </w:rPr>
        <w:t xml:space="preserve">. </w:t>
      </w:r>
      <w:r w:rsidR="00A75DE0">
        <w:rPr>
          <w:lang w:val="en-GB"/>
        </w:rPr>
        <w:t>For each accident scenario (</w:t>
      </w:r>
      <w:r w:rsidR="005F133C">
        <w:rPr>
          <w:lang w:val="en-GB"/>
        </w:rPr>
        <w:t>i.e</w:t>
      </w:r>
      <w:r w:rsidR="00A75DE0">
        <w:rPr>
          <w:lang w:val="en-GB"/>
        </w:rPr>
        <w:t xml:space="preserve">., fire, explosion, toxic cloud) possibly originating from LOCs of units, a damage distance (DD), defined as the distance at which the consequence of the considered scenario equals a given threshold value, is computed </w:t>
      </w:r>
      <w:r w:rsidR="00366DE4">
        <w:rPr>
          <w:lang w:val="en-GB"/>
        </w:rPr>
        <w:t xml:space="preserve">in </w:t>
      </w:r>
      <w:r w:rsidR="00D30FA6">
        <w:rPr>
          <w:lang w:val="en-GB"/>
        </w:rPr>
        <w:t>S</w:t>
      </w:r>
      <w:r w:rsidR="00366DE4">
        <w:rPr>
          <w:lang w:val="en-GB"/>
        </w:rPr>
        <w:t xml:space="preserve">tep 3 </w:t>
      </w:r>
      <w:r w:rsidR="006E0758">
        <w:rPr>
          <w:lang w:val="en-GB"/>
        </w:rPr>
        <w:t>using</w:t>
      </w:r>
      <w:r w:rsidR="00A75DE0">
        <w:rPr>
          <w:lang w:val="en-GB"/>
        </w:rPr>
        <w:t xml:space="preserve"> conventional consequence analysis models (e.g., see </w:t>
      </w:r>
      <w:r w:rsidR="00A75DE0">
        <w:rPr>
          <w:lang w:val="en-GB"/>
        </w:rPr>
        <w:fldChar w:fldCharType="begin" w:fldLock="1"/>
      </w:r>
      <w:r w:rsidR="00D6147E">
        <w:rPr>
          <w:lang w:val="en-GB"/>
        </w:rPr>
        <w:instrText>ADDIN CSL_CITATION {"citationItems":[{"id":"ITEM-1","itemData":{"author":[{"dropping-particle":"","family":"Bosh","given":"C. J. H.","non-dropping-particle":"Van Den","parse-names":false,"suffix":""},{"dropping-particle":"","family":"Weterings","given":"R. A. P. M.","non-dropping-particle":"","parse-names":false,"suffix":""}],"edition":"3rd","id":"ITEM-1","issued":{"date-parts":[["2005"]]},"publisher":"Committee for the Prevention of Disasters","publisher-place":"The Hague (NL)","title":"Methods for the Calculation of Physical Effects (Yellow Book)","type":"book"},"uris":["http://www.mendeley.com/documents/?uuid=d3b683f2-5322-4485-9bbb-ab1876e73fae"]}],"mendeley":{"formattedCitation":"(Van Den Bosh and Weterings, 2005)","manualFormatting":"Van Den Bosh and Weterings, 2005","plainTextFormattedCitation":"(Van Den Bosh and Weterings, 2005)","previouslyFormattedCitation":"(Van Den Bosh &amp; Weterings, 2005)"},"properties":{"noteIndex":0},"schema":"https://github.com/citation-style-language/schema/raw/master/csl-citation.json"}</w:instrText>
      </w:r>
      <w:r w:rsidR="00A75DE0">
        <w:rPr>
          <w:lang w:val="en-GB"/>
        </w:rPr>
        <w:fldChar w:fldCharType="separate"/>
      </w:r>
      <w:r w:rsidR="00A75DE0" w:rsidRPr="00C3683F">
        <w:rPr>
          <w:noProof/>
          <w:lang w:val="en-GB"/>
        </w:rPr>
        <w:t xml:space="preserve">Van Den Bosh </w:t>
      </w:r>
      <w:r w:rsidR="00D6147E">
        <w:rPr>
          <w:noProof/>
          <w:lang w:val="en-GB"/>
        </w:rPr>
        <w:t>and</w:t>
      </w:r>
      <w:r w:rsidR="00A75DE0" w:rsidRPr="00C3683F">
        <w:rPr>
          <w:noProof/>
          <w:lang w:val="en-GB"/>
        </w:rPr>
        <w:t xml:space="preserve"> Weterings</w:t>
      </w:r>
      <w:r w:rsidR="00A75DE0">
        <w:rPr>
          <w:noProof/>
          <w:lang w:val="en-GB"/>
        </w:rPr>
        <w:t xml:space="preserve">, </w:t>
      </w:r>
      <w:r w:rsidR="00A75DE0" w:rsidRPr="00C3683F">
        <w:rPr>
          <w:noProof/>
          <w:lang w:val="en-GB"/>
        </w:rPr>
        <w:t>2005</w:t>
      </w:r>
      <w:r w:rsidR="00A75DE0">
        <w:rPr>
          <w:lang w:val="en-GB"/>
        </w:rPr>
        <w:fldChar w:fldCharType="end"/>
      </w:r>
      <w:r w:rsidR="00A75DE0">
        <w:rPr>
          <w:lang w:val="en-GB"/>
        </w:rPr>
        <w:t>).</w:t>
      </w:r>
      <w:r w:rsidR="00140C53">
        <w:rPr>
          <w:lang w:val="en-GB"/>
        </w:rPr>
        <w:t xml:space="preserve"> Threshold values </w:t>
      </w:r>
      <w:r w:rsidR="000812B4">
        <w:rPr>
          <w:lang w:val="en-GB"/>
        </w:rPr>
        <w:t>are expressed with reference to human targets and gathered</w:t>
      </w:r>
      <w:r w:rsidR="00525ACD">
        <w:rPr>
          <w:lang w:val="en-GB"/>
        </w:rPr>
        <w:t xml:space="preserve"> from </w:t>
      </w:r>
      <w:r w:rsidR="00525ACD">
        <w:rPr>
          <w:lang w:val="en-GB"/>
        </w:rPr>
        <w:fldChar w:fldCharType="begin" w:fldLock="1"/>
      </w:r>
      <w:r w:rsidR="007647B3">
        <w:rPr>
          <w:lang w:val="en-GB"/>
        </w:rPr>
        <w:instrText>ADDIN CSL_CITATION {"citationItems":[{"id":"ITEM-1","itemData":{"DOI":"https://doi.org/10.1002/aic.11315","abstract":"Abstract The availability of inherent safety drivers for early process design is a critical issue for the further development of the chemical and process industry. In this study, a consequence-based method for the inherent safety assessment of process alternatives was developed. Key performance indicators (KPIs) for inherent safety were defined and a procedure for their quantitative assessment was developed. A specific equipment classification and the related failure modes were identified, in order to define the potential accidental scenarios associated to each process unit. Rules for the calculation, by physical model runs, of the damage distances for conventional effects were also defined. Credit factors to account for the safety score of the different equipment classes were introduced. KPIs were defined by the combination of the expected damage distances and of credit factors. The methodology was demonstrated through a case study, and provided useful results both for the identification of safety critical units, and for the assessment of the inherent safety of alternative processes. The comparison of the results with those obtained from other literature methods for inherent safety assessment showed that the KPIs introduced allowed considering the hazards coming from auxiliary equipment, that are often overlooked in conventional inherent safety assessment methods. © 2007 American Institute of Chemical Engineers AIChE J, 2007","author":[{"dropping-particle":"","family":"Tugnoli","given":"Alessandro","non-dropping-particle":"","parse-names":false,"suffix":""},{"dropping-particle":"","family":"Cozzani","given":"Valerio","non-dropping-particle":"","parse-names":false,"suffix":""},{"dropping-particle":"","family":"Landucci","given":"Gabriele","non-dropping-particle":"","parse-names":false,"suffix":""}],"container-title":"AIChE Journal","id":"ITEM-1","issue":"12","issued":{"date-parts":[["2007"]]},"page":"3171-3182","title":"A consequence based approach to the quantitative assessment of inherent safety","type":"article-journal","volume":"53"},"uris":["http://www.mendeley.com/documents/?uuid=34d38f15-22af-40ad-964f-69eea075b42b"]}],"mendeley":{"formattedCitation":"(Tugnoli et al., 2007)","manualFormatting":"Tugnoli et al. (2007)","plainTextFormattedCitation":"(Tugnoli et al., 2007)","previouslyFormattedCitation":"(Tugnoli et al., 2007)"},"properties":{"noteIndex":0},"schema":"https://github.com/citation-style-language/schema/raw/master/csl-citation.json"}</w:instrText>
      </w:r>
      <w:r w:rsidR="00525ACD">
        <w:rPr>
          <w:lang w:val="en-GB"/>
        </w:rPr>
        <w:fldChar w:fldCharType="separate"/>
      </w:r>
      <w:r w:rsidR="00525ACD" w:rsidRPr="00525ACD">
        <w:rPr>
          <w:noProof/>
          <w:lang w:val="en-GB"/>
        </w:rPr>
        <w:t xml:space="preserve">Tugnoli et al. </w:t>
      </w:r>
      <w:r w:rsidR="005F133C">
        <w:rPr>
          <w:noProof/>
          <w:lang w:val="en-GB"/>
        </w:rPr>
        <w:t>(</w:t>
      </w:r>
      <w:r w:rsidR="00525ACD" w:rsidRPr="00525ACD">
        <w:rPr>
          <w:noProof/>
          <w:lang w:val="en-GB"/>
        </w:rPr>
        <w:t>2007)</w:t>
      </w:r>
      <w:r w:rsidR="00525ACD">
        <w:rPr>
          <w:lang w:val="en-GB"/>
        </w:rPr>
        <w:fldChar w:fldCharType="end"/>
      </w:r>
      <w:r w:rsidR="005F133C">
        <w:rPr>
          <w:lang w:val="en-GB"/>
        </w:rPr>
        <w:t>.</w:t>
      </w:r>
      <w:r w:rsidR="00A75DE0">
        <w:rPr>
          <w:lang w:val="en-GB"/>
        </w:rPr>
        <w:t xml:space="preserve"> </w:t>
      </w:r>
      <w:r w:rsidR="0030329E">
        <w:rPr>
          <w:lang w:val="en-GB"/>
        </w:rPr>
        <w:t xml:space="preserve">In </w:t>
      </w:r>
      <w:r w:rsidR="00D30FA6">
        <w:rPr>
          <w:lang w:val="en-GB"/>
        </w:rPr>
        <w:t>S</w:t>
      </w:r>
      <w:r w:rsidR="0030329E">
        <w:rPr>
          <w:lang w:val="en-GB"/>
        </w:rPr>
        <w:t>tep 4, c</w:t>
      </w:r>
      <w:r w:rsidR="00D56E26">
        <w:rPr>
          <w:lang w:val="en-GB"/>
        </w:rPr>
        <w:t>redit factors</w:t>
      </w:r>
      <w:r w:rsidR="004D0964">
        <w:rPr>
          <w:lang w:val="en-GB"/>
        </w:rPr>
        <w:t xml:space="preserve"> (</w:t>
      </w:r>
      <w:proofErr w:type="spellStart"/>
      <w:r w:rsidR="004D0964">
        <w:rPr>
          <w:lang w:val="en-GB"/>
        </w:rPr>
        <w:t>C</w:t>
      </w:r>
      <w:r w:rsidR="004D0964" w:rsidRPr="004D0964">
        <w:rPr>
          <w:vertAlign w:val="subscript"/>
          <w:lang w:val="en-GB"/>
        </w:rPr>
        <w:t>f</w:t>
      </w:r>
      <w:r w:rsidR="00EE5B36">
        <w:rPr>
          <w:lang w:val="en-GB"/>
        </w:rPr>
        <w:t>s</w:t>
      </w:r>
      <w:proofErr w:type="spellEnd"/>
      <w:r w:rsidR="004D0964">
        <w:rPr>
          <w:lang w:val="en-GB"/>
        </w:rPr>
        <w:t>)</w:t>
      </w:r>
      <w:r w:rsidR="00D56E26">
        <w:rPr>
          <w:lang w:val="en-GB"/>
        </w:rPr>
        <w:t xml:space="preserve">, </w:t>
      </w:r>
      <w:r w:rsidR="00791F32">
        <w:rPr>
          <w:lang w:val="en-GB"/>
        </w:rPr>
        <w:t>quantifying</w:t>
      </w:r>
      <w:r w:rsidR="00D56E26">
        <w:rPr>
          <w:lang w:val="en-GB"/>
        </w:rPr>
        <w:t xml:space="preserve"> the proneness of </w:t>
      </w:r>
      <w:r w:rsidR="00AF4845">
        <w:rPr>
          <w:lang w:val="en-GB"/>
        </w:rPr>
        <w:t xml:space="preserve">equipment items </w:t>
      </w:r>
      <w:r w:rsidR="00791F32">
        <w:rPr>
          <w:lang w:val="en-GB"/>
        </w:rPr>
        <w:t xml:space="preserve">to give rise to the </w:t>
      </w:r>
      <w:r w:rsidR="004860DD">
        <w:rPr>
          <w:lang w:val="en-GB"/>
        </w:rPr>
        <w:t>defined</w:t>
      </w:r>
      <w:r w:rsidR="00791F32">
        <w:rPr>
          <w:lang w:val="en-GB"/>
        </w:rPr>
        <w:t xml:space="preserve"> LOCs, are</w:t>
      </w:r>
      <w:r w:rsidR="004860DD">
        <w:rPr>
          <w:lang w:val="en-GB"/>
        </w:rPr>
        <w:t xml:space="preserve"> assessed considering leak frequency data reported in the literature</w:t>
      </w:r>
      <w:r w:rsidR="003D5BBB">
        <w:rPr>
          <w:lang w:val="en-GB"/>
        </w:rPr>
        <w:t xml:space="preserve"> </w:t>
      </w:r>
      <w:r w:rsidR="003D5BBB">
        <w:rPr>
          <w:lang w:val="en-GB"/>
        </w:rPr>
        <w:fldChar w:fldCharType="begin" w:fldLock="1"/>
      </w:r>
      <w:r w:rsidR="004F70B4">
        <w:rPr>
          <w:lang w:val="en-GB"/>
        </w:rPr>
        <w:instrText>ADDIN CSL_CITATION {"citationItems":[{"id":"ITEM-1","itemData":{"DOI":"10.26634/jfet.6.1.1292","ISBN":"9781420035889","ISSN":"09732632","abstract":"In the area of risk assessment, the focus can be on a number of issues. Interest can be placed on the characterization of the dose-response relationship, i.e., studying the dependence of a particular outcome such as the risk of a malformed foetus, on the dose which is administered to the dam. Besides investigating the dose-response relation, another issue is quantitative risk assessment. This critically important area of riskassessment is based on the relationship between dose and response, to derive a safe dose. In quantitative risk assessment, there are a number of choices that have to be made, resulting in a variety of approaches.","author":[{"dropping-particle":"","family":"Uijt de Haag","given":"P.A.M.","non-dropping-particle":"","parse-names":false,"suffix":""},{"dropping-particle":"","family":"Ale","given":"B.J.M.","non-dropping-particle":"","parse-names":false,"suffix":""}],"id":"ITEM-1","issued":{"date-parts":[["2005"]]},"publisher":"Committee for the Prevention of Disasters","publisher-place":"The Hague (NL)","title":"Guidelines for Quantitative Risk Assessment (Purple Book)","type":"book"},"uris":["http://www.mendeley.com/documents/?uuid=fa900821-73b7-4fba-81a5-43095e9b6fd0"]}],"mendeley":{"formattedCitation":"(Uijt de Haag and Ale, 2005)","plainTextFormattedCitation":"(Uijt de Haag and Ale, 2005)","previouslyFormattedCitation":"(Uijt de Haag &amp; Ale, 2005)"},"properties":{"noteIndex":0},"schema":"https://github.com/citation-style-language/schema/raw/master/csl-citation.json"}</w:instrText>
      </w:r>
      <w:r w:rsidR="003D5BBB">
        <w:rPr>
          <w:lang w:val="en-GB"/>
        </w:rPr>
        <w:fldChar w:fldCharType="separate"/>
      </w:r>
      <w:r w:rsidR="004F70B4" w:rsidRPr="004F70B4">
        <w:rPr>
          <w:noProof/>
          <w:lang w:val="en-GB"/>
        </w:rPr>
        <w:t>(Uijt de Haag and Ale, 2005)</w:t>
      </w:r>
      <w:r w:rsidR="003D5BBB">
        <w:rPr>
          <w:lang w:val="en-GB"/>
        </w:rPr>
        <w:fldChar w:fldCharType="end"/>
      </w:r>
      <w:r w:rsidR="004860DD">
        <w:rPr>
          <w:lang w:val="en-GB"/>
        </w:rPr>
        <w:t xml:space="preserve"> for conventional process </w:t>
      </w:r>
      <w:r w:rsidR="00510C03">
        <w:rPr>
          <w:lang w:val="en-GB"/>
        </w:rPr>
        <w:t>equipment</w:t>
      </w:r>
      <w:r w:rsidR="003D5BBB">
        <w:rPr>
          <w:lang w:val="en-GB"/>
        </w:rPr>
        <w:t>.</w:t>
      </w:r>
      <w:r w:rsidR="00510C03">
        <w:rPr>
          <w:lang w:val="en-GB"/>
        </w:rPr>
        <w:t xml:space="preserve"> </w:t>
      </w:r>
      <w:r w:rsidR="00222A98">
        <w:rPr>
          <w:lang w:val="en-GB"/>
        </w:rPr>
        <w:t xml:space="preserve">Based on </w:t>
      </w:r>
      <w:r w:rsidR="00330A09">
        <w:rPr>
          <w:lang w:val="en-GB"/>
        </w:rPr>
        <w:t xml:space="preserve">DDs and </w:t>
      </w:r>
      <w:proofErr w:type="spellStart"/>
      <w:r w:rsidR="00330A09">
        <w:rPr>
          <w:lang w:val="en-GB"/>
        </w:rPr>
        <w:t>C</w:t>
      </w:r>
      <w:r w:rsidR="00330A09" w:rsidRPr="00330A09">
        <w:rPr>
          <w:vertAlign w:val="subscript"/>
          <w:lang w:val="en-GB"/>
        </w:rPr>
        <w:t>f</w:t>
      </w:r>
      <w:r w:rsidR="00330A09">
        <w:rPr>
          <w:lang w:val="en-GB"/>
        </w:rPr>
        <w:t>s</w:t>
      </w:r>
      <w:proofErr w:type="spellEnd"/>
      <w:r w:rsidR="00330A09">
        <w:rPr>
          <w:lang w:val="en-GB"/>
        </w:rPr>
        <w:t xml:space="preserve"> </w:t>
      </w:r>
      <w:r w:rsidR="0009165B">
        <w:rPr>
          <w:lang w:val="en-GB"/>
        </w:rPr>
        <w:t>evaluated</w:t>
      </w:r>
      <w:r w:rsidR="00330A09">
        <w:rPr>
          <w:lang w:val="en-GB"/>
        </w:rPr>
        <w:t xml:space="preserve"> in the previous steps, inherent </w:t>
      </w:r>
      <w:r w:rsidR="003B0A5A">
        <w:rPr>
          <w:lang w:val="en-GB"/>
        </w:rPr>
        <w:t xml:space="preserve">safety key performance </w:t>
      </w:r>
      <w:r w:rsidR="0009165B">
        <w:rPr>
          <w:lang w:val="en-GB"/>
        </w:rPr>
        <w:t xml:space="preserve">indicators (IS-KPIs) are calculated </w:t>
      </w:r>
      <w:r w:rsidR="000C58C4">
        <w:rPr>
          <w:lang w:val="en-GB"/>
        </w:rPr>
        <w:t xml:space="preserve">in </w:t>
      </w:r>
      <w:r w:rsidR="00D30FA6">
        <w:rPr>
          <w:lang w:val="en-GB"/>
        </w:rPr>
        <w:t>S</w:t>
      </w:r>
      <w:r w:rsidR="000C58C4">
        <w:rPr>
          <w:lang w:val="en-GB"/>
        </w:rPr>
        <w:t xml:space="preserve">tep 5 </w:t>
      </w:r>
      <w:r w:rsidR="00B31BA8">
        <w:rPr>
          <w:lang w:val="en-GB"/>
        </w:rPr>
        <w:t>for each reference PS</w:t>
      </w:r>
      <w:r w:rsidR="000C58C4">
        <w:rPr>
          <w:lang w:val="en-GB"/>
        </w:rPr>
        <w:t xml:space="preserve">, according to the following set of equations: </w:t>
      </w:r>
    </w:p>
    <w:tbl>
      <w:tblPr>
        <w:tblW w:w="5000" w:type="pct"/>
        <w:tblLook w:val="04A0" w:firstRow="1" w:lastRow="0" w:firstColumn="1" w:lastColumn="0" w:noHBand="0" w:noVBand="1"/>
      </w:tblPr>
      <w:tblGrid>
        <w:gridCol w:w="8188"/>
        <w:gridCol w:w="815"/>
      </w:tblGrid>
      <w:tr w:rsidR="000C58C4" w:rsidRPr="00B57B36" w14:paraId="1702A307" w14:textId="77777777" w:rsidTr="00D44FC9">
        <w:tc>
          <w:tcPr>
            <w:tcW w:w="8188" w:type="dxa"/>
            <w:shd w:val="clear" w:color="auto" w:fill="auto"/>
            <w:vAlign w:val="center"/>
          </w:tcPr>
          <w:p w14:paraId="05393FAE" w14:textId="0EA7BCF4" w:rsidR="000C58C4" w:rsidRPr="00015348" w:rsidRDefault="009F197F" w:rsidP="00015348">
            <w:pPr>
              <w:pStyle w:val="CETEquation"/>
            </w:pPr>
            <m:oMathPara>
              <m:oMathParaPr>
                <m:jc m:val="left"/>
              </m:oMathParaPr>
              <m:oMath>
                <m:sSub>
                  <m:sSubPr>
                    <m:ctrlPr>
                      <w:rPr>
                        <w:rFonts w:ascii="Cambria Math" w:hAnsi="Cambria Math"/>
                      </w:rPr>
                    </m:ctrlPr>
                  </m:sSubPr>
                  <m:e>
                    <m:r>
                      <w:rPr>
                        <w:rFonts w:ascii="Cambria Math" w:hAnsi="Cambria Math"/>
                      </w:rPr>
                      <m:t>UPI</m:t>
                    </m:r>
                  </m:e>
                  <m:sub>
                    <m:r>
                      <w:rPr>
                        <w:rFonts w:ascii="Cambria Math" w:hAnsi="Cambria Math"/>
                      </w:rPr>
                      <m:t>i</m:t>
                    </m:r>
                  </m:sub>
                </m:sSub>
                <m:r>
                  <m:rPr>
                    <m:sty m:val="p"/>
                  </m:rPr>
                  <w:rPr>
                    <w:rFonts w:ascii="Cambria Math" w:hAnsi="Cambria Math"/>
                  </w:rPr>
                  <m:t>=</m:t>
                </m:r>
                <m:r>
                  <w:rPr>
                    <w:rFonts w:ascii="Cambria Math" w:hAnsi="Cambria Math"/>
                  </w:rPr>
                  <m:t>π</m:t>
                </m:r>
                <m:func>
                  <m:funcPr>
                    <m:ctrlPr>
                      <w:rPr>
                        <w:rFonts w:ascii="Cambria Math" w:hAnsi="Cambria Math"/>
                      </w:rPr>
                    </m:ctrlPr>
                  </m:funcPr>
                  <m:fName>
                    <m:limLow>
                      <m:limLowPr>
                        <m:ctrlPr>
                          <w:rPr>
                            <w:rFonts w:ascii="Cambria Math" w:hAnsi="Cambria Math"/>
                          </w:rPr>
                        </m:ctrlPr>
                      </m:limLowPr>
                      <m:e>
                        <m:r>
                          <w:rPr>
                            <w:rFonts w:ascii="Cambria Math" w:hAnsi="Cambria Math"/>
                          </w:rPr>
                          <m:t>max</m:t>
                        </m:r>
                      </m:e>
                      <m:lim>
                        <m:r>
                          <w:rPr>
                            <w:rFonts w:ascii="Cambria Math" w:hAnsi="Cambria Math"/>
                          </w:rPr>
                          <m:t>j</m:t>
                        </m:r>
                      </m:lim>
                    </m:limLow>
                  </m:fName>
                  <m:e>
                    <m:d>
                      <m:dPr>
                        <m:ctrlPr>
                          <w:rPr>
                            <w:rFonts w:ascii="Cambria Math" w:hAnsi="Cambria Math"/>
                          </w:rPr>
                        </m:ctrlPr>
                      </m:dPr>
                      <m:e>
                        <m:func>
                          <m:funcPr>
                            <m:ctrlPr>
                              <w:rPr>
                                <w:rFonts w:ascii="Cambria Math" w:hAnsi="Cambria Math"/>
                              </w:rPr>
                            </m:ctrlPr>
                          </m:funcPr>
                          <m:fName>
                            <m:limLow>
                              <m:limLowPr>
                                <m:ctrlPr>
                                  <w:rPr>
                                    <w:rFonts w:ascii="Cambria Math" w:hAnsi="Cambria Math"/>
                                  </w:rPr>
                                </m:ctrlPr>
                              </m:limLowPr>
                              <m:e>
                                <m:r>
                                  <w:rPr>
                                    <w:rFonts w:ascii="Cambria Math" w:hAnsi="Cambria Math"/>
                                  </w:rPr>
                                  <m:t>max</m:t>
                                </m:r>
                              </m:e>
                              <m:lim>
                                <m:r>
                                  <w:rPr>
                                    <w:rFonts w:ascii="Cambria Math" w:hAnsi="Cambria Math"/>
                                  </w:rPr>
                                  <m:t>k</m:t>
                                </m:r>
                              </m:lim>
                            </m:limLow>
                          </m:fName>
                          <m:e>
                            <m:sSubSup>
                              <m:sSubSupPr>
                                <m:ctrlPr>
                                  <w:rPr>
                                    <w:rFonts w:ascii="Cambria Math" w:hAnsi="Cambria Math"/>
                                  </w:rPr>
                                </m:ctrlPr>
                              </m:sSubSupPr>
                              <m:e>
                                <m:r>
                                  <w:rPr>
                                    <w:rFonts w:ascii="Cambria Math" w:hAnsi="Cambria Math"/>
                                  </w:rPr>
                                  <m:t>DD</m:t>
                                </m:r>
                              </m:e>
                              <m:sub>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k</m:t>
                                </m:r>
                              </m:sub>
                              <m:sup>
                                <m:r>
                                  <m:rPr>
                                    <m:sty m:val="p"/>
                                  </m:rPr>
                                  <w:rPr>
                                    <w:rFonts w:ascii="Cambria Math" w:hAnsi="Cambria Math"/>
                                  </w:rPr>
                                  <m:t>2</m:t>
                                </m:r>
                              </m:sup>
                            </m:sSubSup>
                          </m:e>
                        </m:func>
                      </m:e>
                    </m:d>
                  </m:e>
                </m:func>
              </m:oMath>
            </m:oMathPara>
          </w:p>
        </w:tc>
        <w:tc>
          <w:tcPr>
            <w:tcW w:w="815" w:type="dxa"/>
            <w:shd w:val="clear" w:color="auto" w:fill="auto"/>
            <w:vAlign w:val="center"/>
          </w:tcPr>
          <w:p w14:paraId="004CA27F" w14:textId="77777777" w:rsidR="000C58C4" w:rsidRPr="00B57B36" w:rsidRDefault="000C58C4" w:rsidP="00D44FC9">
            <w:pPr>
              <w:pStyle w:val="CETEquation"/>
              <w:jc w:val="right"/>
            </w:pPr>
            <w:r w:rsidRPr="00B57B36">
              <w:t>(1)</w:t>
            </w:r>
          </w:p>
        </w:tc>
      </w:tr>
      <w:tr w:rsidR="000C58C4" w:rsidRPr="00B57B36" w14:paraId="2C2EF64C" w14:textId="77777777" w:rsidTr="000C58C4">
        <w:tc>
          <w:tcPr>
            <w:tcW w:w="8188" w:type="dxa"/>
            <w:shd w:val="clear" w:color="auto" w:fill="auto"/>
            <w:vAlign w:val="center"/>
          </w:tcPr>
          <w:p w14:paraId="27558052" w14:textId="6C82D073" w:rsidR="000C58C4" w:rsidRPr="007F6CF6" w:rsidRDefault="009F197F" w:rsidP="00D44FC9">
            <w:pPr>
              <w:pStyle w:val="CETEquation"/>
              <w:rPr>
                <w:rFonts w:cs="Arial"/>
                <w:i/>
                <w:noProof/>
                <w:lang w:val="it-IT" w:eastAsia="it-IT"/>
              </w:rPr>
            </w:pPr>
            <m:oMathPara>
              <m:oMathParaPr>
                <m:jc m:val="left"/>
              </m:oMathParaPr>
              <m:oMath>
                <m:sSub>
                  <m:sSubPr>
                    <m:ctrlPr>
                      <w:rPr>
                        <w:rFonts w:ascii="Cambria Math" w:hAnsi="Cambria Math" w:cs="Arial"/>
                        <w:i/>
                      </w:rPr>
                    </m:ctrlPr>
                  </m:sSubPr>
                  <m:e>
                    <m:r>
                      <w:rPr>
                        <w:rFonts w:ascii="Cambria Math" w:hAnsi="Cambria Math" w:cs="Arial"/>
                        <w:lang w:val="it-IT"/>
                      </w:rPr>
                      <m:t>UHI</m:t>
                    </m:r>
                  </m:e>
                  <m:sub>
                    <m:r>
                      <w:rPr>
                        <w:rFonts w:ascii="Cambria Math" w:hAnsi="Cambria Math" w:cs="Arial"/>
                        <w:lang w:val="it-IT"/>
                      </w:rPr>
                      <m:t>i</m:t>
                    </m:r>
                  </m:sub>
                </m:sSub>
                <m:r>
                  <w:rPr>
                    <w:rFonts w:ascii="Cambria Math" w:hAnsi="Cambria Math" w:cs="Arial"/>
                    <w:lang w:val="it-IT"/>
                  </w:rPr>
                  <m:t>=</m:t>
                </m:r>
                <m:r>
                  <w:rPr>
                    <w:rFonts w:ascii="Cambria Math" w:hAnsi="Cambria Math" w:cs="Arial"/>
                  </w:rPr>
                  <m:t>π</m:t>
                </m:r>
                <m:nary>
                  <m:naryPr>
                    <m:chr m:val="∑"/>
                    <m:limLoc m:val="subSup"/>
                    <m:supHide m:val="1"/>
                    <m:ctrlPr>
                      <w:rPr>
                        <w:rFonts w:ascii="Cambria Math" w:hAnsi="Cambria Math" w:cs="Arial"/>
                        <w:i/>
                      </w:rPr>
                    </m:ctrlPr>
                  </m:naryPr>
                  <m:sub>
                    <m:r>
                      <w:rPr>
                        <w:rFonts w:ascii="Cambria Math" w:hAnsi="Cambria Math" w:cs="Arial"/>
                        <w:lang w:val="it-IT"/>
                      </w:rPr>
                      <m:t>j</m:t>
                    </m:r>
                  </m:sub>
                  <m:sup/>
                  <m:e>
                    <m:sSub>
                      <m:sSubPr>
                        <m:ctrlPr>
                          <w:rPr>
                            <w:rFonts w:ascii="Cambria Math" w:hAnsi="Cambria Math" w:cs="Arial"/>
                            <w:i/>
                          </w:rPr>
                        </m:ctrlPr>
                      </m:sSubPr>
                      <m:e>
                        <m:r>
                          <w:rPr>
                            <w:rFonts w:ascii="Cambria Math" w:hAnsi="Cambria Math" w:cs="Arial"/>
                            <w:lang w:val="it-IT"/>
                          </w:rPr>
                          <m:t>C</m:t>
                        </m:r>
                      </m:e>
                      <m:sub>
                        <m:r>
                          <w:rPr>
                            <w:rFonts w:ascii="Cambria Math" w:hAnsi="Cambria Math" w:cs="Arial"/>
                            <w:lang w:val="it-IT"/>
                          </w:rPr>
                          <m:t>fi</m:t>
                        </m:r>
                        <m:r>
                          <w:rPr>
                            <w:rFonts w:ascii="Cambria Math" w:hAnsi="Cambria Math" w:cs="Arial"/>
                            <w:lang w:val="it-IT"/>
                          </w:rPr>
                          <m:t>,</m:t>
                        </m:r>
                        <m:r>
                          <w:rPr>
                            <w:rFonts w:ascii="Cambria Math" w:hAnsi="Cambria Math" w:cs="Arial"/>
                            <w:lang w:val="it-IT"/>
                          </w:rPr>
                          <m:t>j</m:t>
                        </m:r>
                      </m:sub>
                    </m:sSub>
                    <m:r>
                      <w:rPr>
                        <w:rFonts w:ascii="Cambria Math" w:hAnsi="Cambria Math" w:cs="Arial"/>
                        <w:lang w:val="it-IT"/>
                      </w:rPr>
                      <m:t>∙</m:t>
                    </m:r>
                    <m:func>
                      <m:funcPr>
                        <m:ctrlPr>
                          <w:rPr>
                            <w:rFonts w:ascii="Cambria Math" w:hAnsi="Cambria Math" w:cs="Arial"/>
                            <w:i/>
                          </w:rPr>
                        </m:ctrlPr>
                      </m:funcPr>
                      <m:fName>
                        <m:limLow>
                          <m:limLowPr>
                            <m:ctrlPr>
                              <w:rPr>
                                <w:rFonts w:ascii="Cambria Math" w:hAnsi="Cambria Math" w:cs="Arial"/>
                                <w:i/>
                              </w:rPr>
                            </m:ctrlPr>
                          </m:limLowPr>
                          <m:e>
                            <m:r>
                              <w:rPr>
                                <w:rFonts w:ascii="Cambria Math" w:hAnsi="Cambria Math" w:cs="Arial"/>
                                <w:lang w:val="it-IT"/>
                              </w:rPr>
                              <m:t>max</m:t>
                            </m:r>
                          </m:e>
                          <m:lim>
                            <m:r>
                              <w:rPr>
                                <w:rFonts w:ascii="Cambria Math" w:hAnsi="Cambria Math" w:cs="Arial"/>
                                <w:lang w:val="it-IT"/>
                              </w:rPr>
                              <m:t>k</m:t>
                            </m:r>
                          </m:lim>
                        </m:limLow>
                      </m:fName>
                      <m:e>
                        <m:sSubSup>
                          <m:sSubSupPr>
                            <m:ctrlPr>
                              <w:rPr>
                                <w:rFonts w:ascii="Cambria Math" w:hAnsi="Cambria Math" w:cs="Arial"/>
                                <w:i/>
                              </w:rPr>
                            </m:ctrlPr>
                          </m:sSubSupPr>
                          <m:e>
                            <m:r>
                              <w:rPr>
                                <w:rFonts w:ascii="Cambria Math" w:hAnsi="Cambria Math" w:cs="Arial"/>
                                <w:lang w:val="it-IT"/>
                              </w:rPr>
                              <m:t>DD</m:t>
                            </m:r>
                          </m:e>
                          <m:sub>
                            <m:r>
                              <w:rPr>
                                <w:rFonts w:ascii="Cambria Math" w:hAnsi="Cambria Math" w:cs="Arial"/>
                                <w:lang w:val="it-IT"/>
                              </w:rPr>
                              <m:t>i</m:t>
                            </m:r>
                            <m:r>
                              <w:rPr>
                                <w:rFonts w:ascii="Cambria Math" w:hAnsi="Cambria Math" w:cs="Arial"/>
                                <w:lang w:val="it-IT"/>
                              </w:rPr>
                              <m:t>,</m:t>
                            </m:r>
                            <m:r>
                              <w:rPr>
                                <w:rFonts w:ascii="Cambria Math" w:hAnsi="Cambria Math" w:cs="Arial"/>
                                <w:lang w:val="it-IT"/>
                              </w:rPr>
                              <m:t>j</m:t>
                            </m:r>
                            <m:r>
                              <w:rPr>
                                <w:rFonts w:ascii="Cambria Math" w:hAnsi="Cambria Math" w:cs="Arial"/>
                                <w:lang w:val="it-IT"/>
                              </w:rPr>
                              <m:t>,</m:t>
                            </m:r>
                            <m:r>
                              <w:rPr>
                                <w:rFonts w:ascii="Cambria Math" w:hAnsi="Cambria Math" w:cs="Arial"/>
                                <w:lang w:val="it-IT"/>
                              </w:rPr>
                              <m:t>k</m:t>
                            </m:r>
                          </m:sub>
                          <m:sup>
                            <m:r>
                              <w:rPr>
                                <w:rFonts w:ascii="Cambria Math" w:hAnsi="Cambria Math" w:cs="Arial"/>
                                <w:lang w:val="it-IT"/>
                              </w:rPr>
                              <m:t>2</m:t>
                            </m:r>
                          </m:sup>
                        </m:sSubSup>
                      </m:e>
                    </m:func>
                  </m:e>
                </m:nary>
              </m:oMath>
            </m:oMathPara>
          </w:p>
        </w:tc>
        <w:tc>
          <w:tcPr>
            <w:tcW w:w="815" w:type="dxa"/>
            <w:shd w:val="clear" w:color="auto" w:fill="auto"/>
            <w:vAlign w:val="center"/>
          </w:tcPr>
          <w:p w14:paraId="1628897B" w14:textId="35DDDAC3" w:rsidR="000C58C4" w:rsidRPr="00B57B36" w:rsidRDefault="000C58C4" w:rsidP="00D44FC9">
            <w:pPr>
              <w:pStyle w:val="CETEquation"/>
              <w:jc w:val="right"/>
            </w:pPr>
            <w:r w:rsidRPr="00B57B36">
              <w:t>(</w:t>
            </w:r>
            <w:r>
              <w:t>2</w:t>
            </w:r>
            <w:r w:rsidRPr="00B57B36">
              <w:t>)</w:t>
            </w:r>
          </w:p>
        </w:tc>
      </w:tr>
      <w:tr w:rsidR="00860424" w:rsidRPr="00B57B36" w14:paraId="68C83E28" w14:textId="77777777" w:rsidTr="000C58C4">
        <w:tc>
          <w:tcPr>
            <w:tcW w:w="8188" w:type="dxa"/>
            <w:shd w:val="clear" w:color="auto" w:fill="auto"/>
            <w:vAlign w:val="center"/>
          </w:tcPr>
          <w:p w14:paraId="145D3F38" w14:textId="2CEBF07F" w:rsidR="00860424" w:rsidRPr="00860424" w:rsidRDefault="009F197F" w:rsidP="00D44FC9">
            <w:pPr>
              <w:pStyle w:val="CETEquation"/>
            </w:pPr>
            <m:oMathPara>
              <m:oMathParaPr>
                <m:jc m:val="left"/>
              </m:oMathParaPr>
              <m:oMath>
                <m:sSub>
                  <m:sSubPr>
                    <m:ctrlPr>
                      <w:rPr>
                        <w:rFonts w:ascii="Cambria Math" w:hAnsi="Cambria Math" w:cs="Arial"/>
                        <w:i/>
                      </w:rPr>
                    </m:ctrlPr>
                  </m:sSubPr>
                  <m:e>
                    <m:r>
                      <w:rPr>
                        <w:rFonts w:ascii="Cambria Math" w:hAnsi="Cambria Math" w:cs="Arial"/>
                      </w:rPr>
                      <m:t>UPI</m:t>
                    </m:r>
                  </m:e>
                  <m:sub>
                    <m:r>
                      <w:rPr>
                        <w:rFonts w:ascii="Cambria Math" w:hAnsi="Cambria Math" w:cs="Arial"/>
                      </w:rPr>
                      <m:t>max</m:t>
                    </m:r>
                  </m:sub>
                </m:sSub>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w:rPr>
                            <w:rFonts w:ascii="Cambria Math" w:hAnsi="Cambria Math" w:cs="Arial"/>
                          </w:rPr>
                          <m:t>max</m:t>
                        </m:r>
                      </m:e>
                      <m:lim>
                        <m:r>
                          <w:rPr>
                            <w:rFonts w:ascii="Cambria Math" w:hAnsi="Cambria Math" w:cs="Arial"/>
                          </w:rPr>
                          <m:t>i</m:t>
                        </m:r>
                      </m:lim>
                    </m:limLow>
                  </m:fName>
                  <m:e>
                    <m:sSub>
                      <m:sSubPr>
                        <m:ctrlPr>
                          <w:rPr>
                            <w:rFonts w:ascii="Cambria Math" w:hAnsi="Cambria Math" w:cs="Arial"/>
                            <w:i/>
                          </w:rPr>
                        </m:ctrlPr>
                      </m:sSubPr>
                      <m:e>
                        <m:r>
                          <w:rPr>
                            <w:rFonts w:ascii="Cambria Math" w:hAnsi="Cambria Math" w:cs="Arial"/>
                          </w:rPr>
                          <m:t>UPI</m:t>
                        </m:r>
                      </m:e>
                      <m:sub>
                        <m:r>
                          <w:rPr>
                            <w:rFonts w:ascii="Cambria Math" w:hAnsi="Cambria Math" w:cs="Arial"/>
                          </w:rPr>
                          <m:t>i</m:t>
                        </m:r>
                      </m:sub>
                    </m:sSub>
                  </m:e>
                </m:func>
              </m:oMath>
            </m:oMathPara>
          </w:p>
        </w:tc>
        <w:tc>
          <w:tcPr>
            <w:tcW w:w="815" w:type="dxa"/>
            <w:shd w:val="clear" w:color="auto" w:fill="auto"/>
            <w:vAlign w:val="center"/>
          </w:tcPr>
          <w:p w14:paraId="584EF98B" w14:textId="2366B7DD" w:rsidR="00860424" w:rsidRPr="00B57B36" w:rsidRDefault="00111C67" w:rsidP="00D44FC9">
            <w:pPr>
              <w:pStyle w:val="CETEquation"/>
              <w:jc w:val="right"/>
            </w:pPr>
            <w:r w:rsidRPr="00B57B36">
              <w:t>(</w:t>
            </w:r>
            <w:r>
              <w:t>3</w:t>
            </w:r>
            <w:r w:rsidRPr="00B57B36">
              <w:t>)</w:t>
            </w:r>
          </w:p>
        </w:tc>
      </w:tr>
      <w:tr w:rsidR="00860424" w:rsidRPr="00B57B36" w14:paraId="024B44E0" w14:textId="77777777" w:rsidTr="000C58C4">
        <w:tc>
          <w:tcPr>
            <w:tcW w:w="8188" w:type="dxa"/>
            <w:shd w:val="clear" w:color="auto" w:fill="auto"/>
            <w:vAlign w:val="center"/>
          </w:tcPr>
          <w:p w14:paraId="65057D9D" w14:textId="280A2CBF" w:rsidR="00860424" w:rsidRPr="00860424" w:rsidRDefault="009F197F" w:rsidP="00D44FC9">
            <w:pPr>
              <w:pStyle w:val="CETEquation"/>
            </w:pPr>
            <m:oMathPara>
              <m:oMathParaPr>
                <m:jc m:val="left"/>
              </m:oMathParaPr>
              <m:oMath>
                <m:sSub>
                  <m:sSubPr>
                    <m:ctrlPr>
                      <w:rPr>
                        <w:rFonts w:ascii="Cambria Math" w:hAnsi="Cambria Math" w:cs="Arial"/>
                        <w:i/>
                      </w:rPr>
                    </m:ctrlPr>
                  </m:sSubPr>
                  <m:e>
                    <m:r>
                      <w:rPr>
                        <w:rFonts w:ascii="Cambria Math" w:hAnsi="Cambria Math" w:cs="Arial"/>
                      </w:rPr>
                      <m:t>UHI</m:t>
                    </m:r>
                  </m:e>
                  <m:sub>
                    <m:r>
                      <w:rPr>
                        <w:rFonts w:ascii="Cambria Math" w:hAnsi="Cambria Math" w:cs="Arial"/>
                      </w:rPr>
                      <m:t>max</m:t>
                    </m:r>
                  </m:sub>
                </m:sSub>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w:rPr>
                            <w:rFonts w:ascii="Cambria Math" w:hAnsi="Cambria Math" w:cs="Arial"/>
                          </w:rPr>
                          <m:t>max</m:t>
                        </m:r>
                      </m:e>
                      <m:lim>
                        <m:r>
                          <w:rPr>
                            <w:rFonts w:ascii="Cambria Math" w:hAnsi="Cambria Math" w:cs="Arial"/>
                          </w:rPr>
                          <m:t>i</m:t>
                        </m:r>
                      </m:lim>
                    </m:limLow>
                  </m:fName>
                  <m:e>
                    <m:sSub>
                      <m:sSubPr>
                        <m:ctrlPr>
                          <w:rPr>
                            <w:rFonts w:ascii="Cambria Math" w:hAnsi="Cambria Math" w:cs="Arial"/>
                            <w:i/>
                          </w:rPr>
                        </m:ctrlPr>
                      </m:sSubPr>
                      <m:e>
                        <m:r>
                          <w:rPr>
                            <w:rFonts w:ascii="Cambria Math" w:hAnsi="Cambria Math" w:cs="Arial"/>
                          </w:rPr>
                          <m:t>UHI</m:t>
                        </m:r>
                      </m:e>
                      <m:sub>
                        <m:r>
                          <w:rPr>
                            <w:rFonts w:ascii="Cambria Math" w:hAnsi="Cambria Math" w:cs="Arial"/>
                          </w:rPr>
                          <m:t>i</m:t>
                        </m:r>
                      </m:sub>
                    </m:sSub>
                  </m:e>
                </m:func>
              </m:oMath>
            </m:oMathPara>
          </w:p>
        </w:tc>
        <w:tc>
          <w:tcPr>
            <w:tcW w:w="815" w:type="dxa"/>
            <w:shd w:val="clear" w:color="auto" w:fill="auto"/>
            <w:vAlign w:val="center"/>
          </w:tcPr>
          <w:p w14:paraId="1EB0DE42" w14:textId="725EDD75" w:rsidR="00860424" w:rsidRPr="00B57B36" w:rsidRDefault="00111C67" w:rsidP="00D44FC9">
            <w:pPr>
              <w:pStyle w:val="CETEquation"/>
              <w:jc w:val="right"/>
            </w:pPr>
            <w:r w:rsidRPr="00B57B36">
              <w:t>(</w:t>
            </w:r>
            <w:r>
              <w:t>4</w:t>
            </w:r>
            <w:r w:rsidRPr="00B57B36">
              <w:t>)</w:t>
            </w:r>
          </w:p>
        </w:tc>
      </w:tr>
      <w:tr w:rsidR="000C58C4" w:rsidRPr="00B57B36" w14:paraId="5E1E9CCD" w14:textId="77777777" w:rsidTr="000C58C4">
        <w:tc>
          <w:tcPr>
            <w:tcW w:w="8188" w:type="dxa"/>
            <w:shd w:val="clear" w:color="auto" w:fill="auto"/>
            <w:vAlign w:val="center"/>
          </w:tcPr>
          <w:p w14:paraId="64B2105C" w14:textId="2B5B4A6F" w:rsidR="000C58C4" w:rsidRPr="00B12A6D" w:rsidRDefault="00B12A6D" w:rsidP="00D44FC9">
            <w:pPr>
              <w:pStyle w:val="CETEquation"/>
              <w:rPr>
                <w:noProof/>
                <w:lang w:val="it-IT" w:eastAsia="it-IT"/>
              </w:rPr>
            </w:pPr>
            <m:oMathPara>
              <m:oMathParaPr>
                <m:jc m:val="left"/>
              </m:oMathParaPr>
              <m:oMath>
                <m:r>
                  <w:rPr>
                    <w:rFonts w:ascii="Cambria Math" w:hAnsi="Cambria Math"/>
                    <w:noProof/>
                    <w:lang w:val="it-IT" w:eastAsia="it-IT"/>
                  </w:rPr>
                  <m:t>PI=</m:t>
                </m:r>
                <m:nary>
                  <m:naryPr>
                    <m:chr m:val="∑"/>
                    <m:limLoc m:val="subSup"/>
                    <m:supHide m:val="1"/>
                    <m:ctrlPr>
                      <w:rPr>
                        <w:rFonts w:ascii="Cambria Math" w:hAnsi="Cambria Math"/>
                        <w:i/>
                        <w:noProof/>
                        <w:lang w:val="it-IT" w:eastAsia="it-IT"/>
                      </w:rPr>
                    </m:ctrlPr>
                  </m:naryPr>
                  <m:sub>
                    <m:r>
                      <w:rPr>
                        <w:rFonts w:ascii="Cambria Math" w:hAnsi="Cambria Math"/>
                        <w:noProof/>
                        <w:lang w:val="it-IT" w:eastAsia="it-IT"/>
                      </w:rPr>
                      <m:t>i</m:t>
                    </m:r>
                  </m:sub>
                  <m:sup/>
                  <m:e>
                    <m:sSub>
                      <m:sSubPr>
                        <m:ctrlPr>
                          <w:rPr>
                            <w:rFonts w:ascii="Cambria Math" w:hAnsi="Cambria Math"/>
                            <w:i/>
                            <w:noProof/>
                            <w:lang w:val="it-IT" w:eastAsia="it-IT"/>
                          </w:rPr>
                        </m:ctrlPr>
                      </m:sSubPr>
                      <m:e>
                        <m:r>
                          <w:rPr>
                            <w:rFonts w:ascii="Cambria Math" w:hAnsi="Cambria Math"/>
                            <w:noProof/>
                            <w:lang w:val="it-IT" w:eastAsia="it-IT"/>
                          </w:rPr>
                          <m:t>UPI</m:t>
                        </m:r>
                      </m:e>
                      <m:sub>
                        <m:r>
                          <w:rPr>
                            <w:rFonts w:ascii="Cambria Math" w:hAnsi="Cambria Math"/>
                            <w:noProof/>
                            <w:lang w:val="it-IT" w:eastAsia="it-IT"/>
                          </w:rPr>
                          <m:t>i</m:t>
                        </m:r>
                      </m:sub>
                    </m:sSub>
                  </m:e>
                </m:nary>
              </m:oMath>
            </m:oMathPara>
          </w:p>
        </w:tc>
        <w:tc>
          <w:tcPr>
            <w:tcW w:w="815" w:type="dxa"/>
            <w:shd w:val="clear" w:color="auto" w:fill="auto"/>
            <w:vAlign w:val="center"/>
          </w:tcPr>
          <w:p w14:paraId="1E2A76DC" w14:textId="330601AE" w:rsidR="000C58C4" w:rsidRPr="00B57B36" w:rsidRDefault="000C58C4" w:rsidP="00D44FC9">
            <w:pPr>
              <w:pStyle w:val="CETEquation"/>
              <w:jc w:val="right"/>
            </w:pPr>
            <w:r w:rsidRPr="00B57B36">
              <w:t>(</w:t>
            </w:r>
            <w:r w:rsidR="00111C67">
              <w:t>5</w:t>
            </w:r>
            <w:r w:rsidRPr="00B57B36">
              <w:t>)</w:t>
            </w:r>
          </w:p>
        </w:tc>
      </w:tr>
      <w:tr w:rsidR="000C58C4" w:rsidRPr="00B57B36" w14:paraId="7551C133" w14:textId="77777777" w:rsidTr="000C58C4">
        <w:tc>
          <w:tcPr>
            <w:tcW w:w="8188" w:type="dxa"/>
            <w:shd w:val="clear" w:color="auto" w:fill="auto"/>
            <w:vAlign w:val="center"/>
          </w:tcPr>
          <w:p w14:paraId="6564BF1B" w14:textId="0C89C3A0" w:rsidR="000C58C4" w:rsidRPr="000F5214" w:rsidRDefault="000F5214" w:rsidP="00D44FC9">
            <w:pPr>
              <w:pStyle w:val="CETEquation"/>
              <w:rPr>
                <w:noProof/>
                <w:lang w:val="it-IT" w:eastAsia="it-IT"/>
              </w:rPr>
            </w:pPr>
            <m:oMathPara>
              <m:oMathParaPr>
                <m:jc m:val="left"/>
              </m:oMathParaPr>
              <m:oMath>
                <m:r>
                  <w:rPr>
                    <w:rFonts w:ascii="Cambria Math" w:hAnsi="Cambria Math"/>
                    <w:noProof/>
                    <w:lang w:val="it-IT" w:eastAsia="it-IT"/>
                  </w:rPr>
                  <m:t>HI=</m:t>
                </m:r>
                <m:nary>
                  <m:naryPr>
                    <m:chr m:val="∑"/>
                    <m:limLoc m:val="subSup"/>
                    <m:supHide m:val="1"/>
                    <m:ctrlPr>
                      <w:rPr>
                        <w:rFonts w:ascii="Cambria Math" w:hAnsi="Cambria Math"/>
                        <w:i/>
                        <w:noProof/>
                        <w:lang w:val="it-IT" w:eastAsia="it-IT"/>
                      </w:rPr>
                    </m:ctrlPr>
                  </m:naryPr>
                  <m:sub>
                    <m:r>
                      <w:rPr>
                        <w:rFonts w:ascii="Cambria Math" w:hAnsi="Cambria Math"/>
                        <w:noProof/>
                        <w:lang w:val="it-IT" w:eastAsia="it-IT"/>
                      </w:rPr>
                      <m:t>i</m:t>
                    </m:r>
                  </m:sub>
                  <m:sup/>
                  <m:e>
                    <m:sSub>
                      <m:sSubPr>
                        <m:ctrlPr>
                          <w:rPr>
                            <w:rFonts w:ascii="Cambria Math" w:hAnsi="Cambria Math"/>
                            <w:i/>
                            <w:noProof/>
                            <w:lang w:val="it-IT" w:eastAsia="it-IT"/>
                          </w:rPr>
                        </m:ctrlPr>
                      </m:sSubPr>
                      <m:e>
                        <m:r>
                          <w:rPr>
                            <w:rFonts w:ascii="Cambria Math" w:hAnsi="Cambria Math"/>
                            <w:noProof/>
                            <w:lang w:val="it-IT" w:eastAsia="it-IT"/>
                          </w:rPr>
                          <m:t>UHI</m:t>
                        </m:r>
                      </m:e>
                      <m:sub>
                        <m:r>
                          <w:rPr>
                            <w:rFonts w:ascii="Cambria Math" w:hAnsi="Cambria Math"/>
                            <w:noProof/>
                            <w:lang w:val="it-IT" w:eastAsia="it-IT"/>
                          </w:rPr>
                          <m:t>i</m:t>
                        </m:r>
                      </m:sub>
                    </m:sSub>
                  </m:e>
                </m:nary>
              </m:oMath>
            </m:oMathPara>
          </w:p>
        </w:tc>
        <w:tc>
          <w:tcPr>
            <w:tcW w:w="815" w:type="dxa"/>
            <w:shd w:val="clear" w:color="auto" w:fill="auto"/>
            <w:vAlign w:val="center"/>
          </w:tcPr>
          <w:p w14:paraId="6504698A" w14:textId="7950EEDF" w:rsidR="000C58C4" w:rsidRPr="00B57B36" w:rsidRDefault="000C58C4" w:rsidP="00D44FC9">
            <w:pPr>
              <w:pStyle w:val="CETEquation"/>
              <w:jc w:val="right"/>
            </w:pPr>
            <w:r w:rsidRPr="00B57B36">
              <w:t>(</w:t>
            </w:r>
            <w:r w:rsidR="00111C67">
              <w:t>6</w:t>
            </w:r>
            <w:r w:rsidRPr="00B57B36">
              <w:t>)</w:t>
            </w:r>
          </w:p>
        </w:tc>
      </w:tr>
    </w:tbl>
    <w:p w14:paraId="1440A624" w14:textId="3616FF86" w:rsidR="009F70A1" w:rsidRPr="007E0189" w:rsidRDefault="009F70A1" w:rsidP="00600535">
      <w:pPr>
        <w:pStyle w:val="CETBodytext"/>
        <w:rPr>
          <w:lang w:val="en-GB"/>
        </w:rPr>
      </w:pPr>
      <w:r>
        <w:rPr>
          <w:lang w:val="en-GB"/>
        </w:rPr>
        <w:t xml:space="preserve">where </w:t>
      </w:r>
      <w:proofErr w:type="spellStart"/>
      <w:proofErr w:type="gramStart"/>
      <w:r w:rsidR="008739FB" w:rsidRPr="007E0189">
        <w:rPr>
          <w:i/>
          <w:iCs/>
          <w:lang w:val="en-GB"/>
        </w:rPr>
        <w:t>DD</w:t>
      </w:r>
      <w:r w:rsidR="007E0189" w:rsidRPr="007E0189">
        <w:rPr>
          <w:i/>
          <w:iCs/>
          <w:vertAlign w:val="subscript"/>
          <w:lang w:val="en-GB"/>
        </w:rPr>
        <w:t>i,j</w:t>
      </w:r>
      <w:proofErr w:type="gramEnd"/>
      <w:r w:rsidR="007E0189" w:rsidRPr="007E0189">
        <w:rPr>
          <w:i/>
          <w:iCs/>
          <w:vertAlign w:val="subscript"/>
          <w:lang w:val="en-GB"/>
        </w:rPr>
        <w:t>,k</w:t>
      </w:r>
      <w:proofErr w:type="spellEnd"/>
      <w:r w:rsidR="007E0189">
        <w:rPr>
          <w:lang w:val="en-GB"/>
        </w:rPr>
        <w:t xml:space="preserve"> and </w:t>
      </w:r>
      <w:proofErr w:type="spellStart"/>
      <w:r w:rsidR="007E0189" w:rsidRPr="007E0189">
        <w:rPr>
          <w:i/>
          <w:iCs/>
          <w:lang w:val="en-GB"/>
        </w:rPr>
        <w:t>C</w:t>
      </w:r>
      <w:r w:rsidR="007E0189" w:rsidRPr="007E0189">
        <w:rPr>
          <w:i/>
          <w:iCs/>
          <w:vertAlign w:val="subscript"/>
          <w:lang w:val="en-GB"/>
        </w:rPr>
        <w:t>fi,j</w:t>
      </w:r>
      <w:proofErr w:type="spellEnd"/>
      <w:r w:rsidR="007E0189">
        <w:rPr>
          <w:lang w:val="en-GB"/>
        </w:rPr>
        <w:t xml:space="preserve"> are respectively </w:t>
      </w:r>
      <w:r w:rsidR="00000FA0">
        <w:rPr>
          <w:lang w:val="en-GB"/>
        </w:rPr>
        <w:t xml:space="preserve">the </w:t>
      </w:r>
      <w:r w:rsidR="004E33FC">
        <w:rPr>
          <w:lang w:val="en-GB"/>
        </w:rPr>
        <w:t xml:space="preserve">damage distance associated with the </w:t>
      </w:r>
      <w:r w:rsidR="004E33FC" w:rsidRPr="004E33FC">
        <w:rPr>
          <w:i/>
          <w:iCs/>
          <w:lang w:val="en-GB"/>
        </w:rPr>
        <w:t>k</w:t>
      </w:r>
      <w:r w:rsidR="004E33FC">
        <w:rPr>
          <w:lang w:val="en-GB"/>
        </w:rPr>
        <w:t>-</w:t>
      </w:r>
      <w:proofErr w:type="spellStart"/>
      <w:r w:rsidR="004E33FC">
        <w:rPr>
          <w:lang w:val="en-GB"/>
        </w:rPr>
        <w:t>th</w:t>
      </w:r>
      <w:proofErr w:type="spellEnd"/>
      <w:r w:rsidR="004E33FC">
        <w:rPr>
          <w:lang w:val="en-GB"/>
        </w:rPr>
        <w:t xml:space="preserve"> accident scenario possibly arising from the </w:t>
      </w:r>
      <w:r w:rsidR="004E33FC" w:rsidRPr="004E33FC">
        <w:rPr>
          <w:i/>
          <w:iCs/>
          <w:lang w:val="en-GB"/>
        </w:rPr>
        <w:t>j</w:t>
      </w:r>
      <w:r w:rsidR="004E33FC">
        <w:rPr>
          <w:lang w:val="en-GB"/>
        </w:rPr>
        <w:t>-</w:t>
      </w:r>
      <w:proofErr w:type="spellStart"/>
      <w:r w:rsidR="004E33FC">
        <w:rPr>
          <w:lang w:val="en-GB"/>
        </w:rPr>
        <w:t>th</w:t>
      </w:r>
      <w:proofErr w:type="spellEnd"/>
      <w:r w:rsidR="004E33FC">
        <w:rPr>
          <w:lang w:val="en-GB"/>
        </w:rPr>
        <w:t xml:space="preserve"> LOC of the </w:t>
      </w:r>
      <w:proofErr w:type="spellStart"/>
      <w:r w:rsidR="004E33FC" w:rsidRPr="004E33FC">
        <w:rPr>
          <w:i/>
          <w:iCs/>
          <w:lang w:val="en-GB"/>
        </w:rPr>
        <w:t>i</w:t>
      </w:r>
      <w:r w:rsidR="004E33FC">
        <w:rPr>
          <w:lang w:val="en-GB"/>
        </w:rPr>
        <w:t>-th</w:t>
      </w:r>
      <w:proofErr w:type="spellEnd"/>
      <w:r w:rsidR="004E33FC">
        <w:rPr>
          <w:lang w:val="en-GB"/>
        </w:rPr>
        <w:t xml:space="preserve"> unit and the </w:t>
      </w:r>
      <w:r w:rsidR="0027648D">
        <w:rPr>
          <w:lang w:val="en-GB"/>
        </w:rPr>
        <w:t xml:space="preserve">credit factor related to the </w:t>
      </w:r>
      <w:r w:rsidR="0027648D" w:rsidRPr="0027648D">
        <w:rPr>
          <w:i/>
          <w:iCs/>
          <w:lang w:val="en-GB"/>
        </w:rPr>
        <w:t>j</w:t>
      </w:r>
      <w:r w:rsidR="0027648D">
        <w:rPr>
          <w:lang w:val="en-GB"/>
        </w:rPr>
        <w:t>-</w:t>
      </w:r>
      <w:proofErr w:type="spellStart"/>
      <w:r w:rsidR="0027648D">
        <w:rPr>
          <w:lang w:val="en-GB"/>
        </w:rPr>
        <w:t>th</w:t>
      </w:r>
      <w:proofErr w:type="spellEnd"/>
      <w:r w:rsidR="0027648D">
        <w:rPr>
          <w:lang w:val="en-GB"/>
        </w:rPr>
        <w:t xml:space="preserve"> LOC of the </w:t>
      </w:r>
      <w:proofErr w:type="spellStart"/>
      <w:r w:rsidR="0027648D" w:rsidRPr="0027648D">
        <w:rPr>
          <w:i/>
          <w:iCs/>
          <w:lang w:val="en-GB"/>
        </w:rPr>
        <w:t>i</w:t>
      </w:r>
      <w:r w:rsidR="0027648D">
        <w:rPr>
          <w:lang w:val="en-GB"/>
        </w:rPr>
        <w:t>-th</w:t>
      </w:r>
      <w:proofErr w:type="spellEnd"/>
      <w:r w:rsidR="0027648D">
        <w:rPr>
          <w:lang w:val="en-GB"/>
        </w:rPr>
        <w:t xml:space="preserve"> unit.</w:t>
      </w:r>
      <w:r w:rsidR="001E7BA0">
        <w:rPr>
          <w:lang w:val="en-GB"/>
        </w:rPr>
        <w:t xml:space="preserve"> </w:t>
      </w:r>
      <w:r w:rsidR="001E7BA0" w:rsidRPr="001E7BA0">
        <w:rPr>
          <w:i/>
          <w:iCs/>
          <w:lang w:val="en-GB"/>
        </w:rPr>
        <w:t>UPI</w:t>
      </w:r>
      <w:r w:rsidR="001E7BA0">
        <w:rPr>
          <w:lang w:val="en-GB"/>
        </w:rPr>
        <w:t xml:space="preserve"> and </w:t>
      </w:r>
      <w:r w:rsidR="001E7BA0" w:rsidRPr="001E7BA0">
        <w:rPr>
          <w:i/>
          <w:iCs/>
          <w:lang w:val="en-GB"/>
        </w:rPr>
        <w:t>UHI</w:t>
      </w:r>
      <w:r w:rsidR="001E7BA0">
        <w:rPr>
          <w:lang w:val="en-GB"/>
        </w:rPr>
        <w:t xml:space="preserve"> represent the unit potential hazard index and unit inherent hazard index respectively. On the other hand, </w:t>
      </w:r>
      <w:r w:rsidR="002827B5">
        <w:rPr>
          <w:lang w:val="en-GB"/>
        </w:rPr>
        <w:t xml:space="preserve">the overall potential hazard index and overall </w:t>
      </w:r>
      <w:r w:rsidR="001A1BCF">
        <w:rPr>
          <w:lang w:val="en-GB"/>
        </w:rPr>
        <w:t>inherent</w:t>
      </w:r>
      <w:r w:rsidR="002827B5">
        <w:rPr>
          <w:lang w:val="en-GB"/>
        </w:rPr>
        <w:t xml:space="preserve"> hazard index, respectively </w:t>
      </w:r>
      <w:r w:rsidR="001E7BA0" w:rsidRPr="002827B5">
        <w:rPr>
          <w:i/>
          <w:iCs/>
          <w:lang w:val="en-GB"/>
        </w:rPr>
        <w:t>PI</w:t>
      </w:r>
      <w:r w:rsidR="001E7BA0">
        <w:rPr>
          <w:lang w:val="en-GB"/>
        </w:rPr>
        <w:t xml:space="preserve"> and </w:t>
      </w:r>
      <w:r w:rsidR="001E7BA0" w:rsidRPr="002827B5">
        <w:rPr>
          <w:i/>
          <w:iCs/>
          <w:lang w:val="en-GB"/>
        </w:rPr>
        <w:t>HI</w:t>
      </w:r>
      <w:r w:rsidR="001A1BCF">
        <w:rPr>
          <w:lang w:val="en-GB"/>
        </w:rPr>
        <w:t>,</w:t>
      </w:r>
      <w:r w:rsidR="003449C6">
        <w:rPr>
          <w:lang w:val="en-GB"/>
        </w:rPr>
        <w:t xml:space="preserve"> </w:t>
      </w:r>
      <w:r w:rsidR="00675CC1">
        <w:rPr>
          <w:lang w:val="en-GB"/>
        </w:rPr>
        <w:t>are meant to describe the safety performance of the</w:t>
      </w:r>
      <w:r w:rsidR="00FF0511">
        <w:rPr>
          <w:lang w:val="en-GB"/>
        </w:rPr>
        <w:t xml:space="preserve"> reference</w:t>
      </w:r>
      <w:r w:rsidR="00675CC1">
        <w:rPr>
          <w:lang w:val="en-GB"/>
        </w:rPr>
        <w:t xml:space="preserve"> </w:t>
      </w:r>
      <w:proofErr w:type="gramStart"/>
      <w:r w:rsidR="00427A59">
        <w:rPr>
          <w:lang w:val="en-GB"/>
        </w:rPr>
        <w:t>PS as</w:t>
      </w:r>
      <w:r w:rsidR="002827B5">
        <w:rPr>
          <w:lang w:val="en-GB"/>
        </w:rPr>
        <w:t xml:space="preserve"> a whole</w:t>
      </w:r>
      <w:proofErr w:type="gramEnd"/>
      <w:r w:rsidR="002827B5">
        <w:rPr>
          <w:lang w:val="en-GB"/>
        </w:rPr>
        <w:t>.</w:t>
      </w:r>
    </w:p>
    <w:p w14:paraId="651E2290" w14:textId="3B1F119F" w:rsidR="00C7435F" w:rsidRDefault="00961863" w:rsidP="00600535">
      <w:pPr>
        <w:pStyle w:val="CETBodytext"/>
        <w:rPr>
          <w:lang w:val="en-GB"/>
        </w:rPr>
      </w:pPr>
      <w:r>
        <w:rPr>
          <w:lang w:val="en-GB"/>
        </w:rPr>
        <w:t xml:space="preserve">Ultimately, </w:t>
      </w:r>
      <w:r w:rsidR="00B76F8E">
        <w:rPr>
          <w:lang w:val="en-GB"/>
        </w:rPr>
        <w:t>the</w:t>
      </w:r>
      <w:r w:rsidR="0080535C">
        <w:rPr>
          <w:lang w:val="en-GB"/>
        </w:rPr>
        <w:t xml:space="preserve"> inherent safety footprint</w:t>
      </w:r>
      <w:r w:rsidR="00601CDE">
        <w:rPr>
          <w:lang w:val="en-GB"/>
        </w:rPr>
        <w:t xml:space="preserve"> (IS-F)</w:t>
      </w:r>
      <w:r w:rsidR="0080535C">
        <w:rPr>
          <w:lang w:val="en-GB"/>
        </w:rPr>
        <w:t xml:space="preserve"> </w:t>
      </w:r>
      <w:r w:rsidR="00DE6ED0">
        <w:rPr>
          <w:lang w:val="en-GB"/>
        </w:rPr>
        <w:t xml:space="preserve">metric </w:t>
      </w:r>
      <w:r w:rsidR="0080535C">
        <w:rPr>
          <w:lang w:val="en-GB"/>
        </w:rPr>
        <w:t xml:space="preserve">is </w:t>
      </w:r>
      <w:r w:rsidR="00B76F8E">
        <w:rPr>
          <w:lang w:val="en-GB"/>
        </w:rPr>
        <w:t>introduced</w:t>
      </w:r>
      <w:r w:rsidR="0080535C">
        <w:rPr>
          <w:lang w:val="en-GB"/>
        </w:rPr>
        <w:t xml:space="preserve"> </w:t>
      </w:r>
      <w:r w:rsidR="00601CDE">
        <w:rPr>
          <w:lang w:val="en-GB"/>
        </w:rPr>
        <w:t>to rank</w:t>
      </w:r>
      <w:r w:rsidR="00F02A8C">
        <w:rPr>
          <w:lang w:val="en-GB"/>
        </w:rPr>
        <w:t xml:space="preserve"> the safety performance of the</w:t>
      </w:r>
      <w:r w:rsidR="00601CDE">
        <w:rPr>
          <w:lang w:val="en-GB"/>
        </w:rPr>
        <w:t xml:space="preserve"> </w:t>
      </w:r>
      <w:r w:rsidR="0080535C">
        <w:rPr>
          <w:lang w:val="en-GB"/>
        </w:rPr>
        <w:t xml:space="preserve">alternative reference ship </w:t>
      </w:r>
      <w:r w:rsidR="00C32910">
        <w:rPr>
          <w:lang w:val="en-GB"/>
        </w:rPr>
        <w:t>PSs</w:t>
      </w:r>
      <w:r w:rsidR="0080535C">
        <w:rPr>
          <w:lang w:val="en-GB"/>
        </w:rPr>
        <w:t xml:space="preserve"> </w:t>
      </w:r>
      <w:r w:rsidR="00F02A8C">
        <w:rPr>
          <w:lang w:val="en-GB"/>
        </w:rPr>
        <w:t>considered (</w:t>
      </w:r>
      <w:r w:rsidR="00D30FA6">
        <w:rPr>
          <w:lang w:val="en-GB"/>
        </w:rPr>
        <w:t>S</w:t>
      </w:r>
      <w:r w:rsidR="00F02A8C">
        <w:rPr>
          <w:lang w:val="en-GB"/>
        </w:rPr>
        <w:t xml:space="preserve">tep 6). </w:t>
      </w:r>
      <w:r w:rsidR="008755DA">
        <w:rPr>
          <w:lang w:val="en-GB"/>
        </w:rPr>
        <w:t>In this context,</w:t>
      </w:r>
      <w:r w:rsidR="00A82987">
        <w:rPr>
          <w:lang w:val="en-GB"/>
        </w:rPr>
        <w:t xml:space="preserve"> </w:t>
      </w:r>
      <w:r w:rsidR="00DD5D02">
        <w:rPr>
          <w:lang w:val="en-GB"/>
        </w:rPr>
        <w:t xml:space="preserve">representative </w:t>
      </w:r>
      <w:r w:rsidR="009566FB">
        <w:rPr>
          <w:lang w:val="en-GB"/>
        </w:rPr>
        <w:t>IS-KPIs</w:t>
      </w:r>
      <w:r w:rsidR="00300E93">
        <w:rPr>
          <w:lang w:val="en-GB"/>
        </w:rPr>
        <w:t xml:space="preserve"> </w:t>
      </w:r>
      <w:r w:rsidR="008755DA">
        <w:rPr>
          <w:lang w:val="en-GB"/>
        </w:rPr>
        <w:t xml:space="preserve">of reference </w:t>
      </w:r>
      <w:r w:rsidR="00C32910">
        <w:rPr>
          <w:lang w:val="en-GB"/>
        </w:rPr>
        <w:t>PSs</w:t>
      </w:r>
      <w:r w:rsidR="00300E93">
        <w:rPr>
          <w:lang w:val="en-GB"/>
        </w:rPr>
        <w:t xml:space="preserve">, </w:t>
      </w:r>
      <w:r w:rsidR="00C902D3">
        <w:rPr>
          <w:lang w:val="en-GB"/>
        </w:rPr>
        <w:t>i.e.</w:t>
      </w:r>
      <w:r w:rsidR="00D30FA6">
        <w:rPr>
          <w:lang w:val="en-GB"/>
        </w:rPr>
        <w:t>,</w:t>
      </w:r>
      <w:r w:rsidR="00C902D3">
        <w:rPr>
          <w:lang w:val="en-GB"/>
        </w:rPr>
        <w:t xml:space="preserve"> </w:t>
      </w:r>
      <w:r w:rsidR="00D558D5">
        <w:rPr>
          <w:lang w:val="en-GB"/>
        </w:rPr>
        <w:t xml:space="preserve">expressed by </w:t>
      </w:r>
      <w:r w:rsidR="00300E93">
        <w:rPr>
          <w:lang w:val="en-GB"/>
        </w:rPr>
        <w:t>Eq</w:t>
      </w:r>
      <w:r w:rsidR="00B14C68">
        <w:rPr>
          <w:lang w:val="en-GB"/>
        </w:rPr>
        <w:t>uations</w:t>
      </w:r>
      <w:r w:rsidR="00C902D3">
        <w:rPr>
          <w:lang w:val="en-GB"/>
        </w:rPr>
        <w:t xml:space="preserve"> (3)-(6), </w:t>
      </w:r>
      <w:r w:rsidR="00A82987">
        <w:rPr>
          <w:lang w:val="en-GB"/>
        </w:rPr>
        <w:t>are subject to internal normali</w:t>
      </w:r>
      <w:r w:rsidR="00E07728">
        <w:rPr>
          <w:lang w:val="en-GB"/>
        </w:rPr>
        <w:t>s</w:t>
      </w:r>
      <w:r w:rsidR="00A82987">
        <w:rPr>
          <w:lang w:val="en-GB"/>
        </w:rPr>
        <w:t>ation</w:t>
      </w:r>
      <w:r w:rsidR="00A901A9">
        <w:rPr>
          <w:lang w:val="en-GB"/>
        </w:rPr>
        <w:t xml:space="preserve"> with respect to their maximum figures in the analysis </w:t>
      </w:r>
      <w:r w:rsidR="008755DA">
        <w:rPr>
          <w:lang w:val="en-GB"/>
        </w:rPr>
        <w:t xml:space="preserve">and reported on a radar plot. IS-F can </w:t>
      </w:r>
      <w:r w:rsidR="00C32910">
        <w:rPr>
          <w:lang w:val="en-GB"/>
        </w:rPr>
        <w:t xml:space="preserve">then </w:t>
      </w:r>
      <w:r w:rsidR="00326B49">
        <w:rPr>
          <w:lang w:val="en-GB"/>
        </w:rPr>
        <w:t>be</w:t>
      </w:r>
      <w:r w:rsidR="00C32910">
        <w:rPr>
          <w:lang w:val="en-GB"/>
        </w:rPr>
        <w:t xml:space="preserve"> </w:t>
      </w:r>
      <w:r w:rsidR="00326B49">
        <w:rPr>
          <w:lang w:val="en-GB"/>
        </w:rPr>
        <w:t xml:space="preserve">computed graphically </w:t>
      </w:r>
      <w:r w:rsidR="00143F34">
        <w:rPr>
          <w:lang w:val="en-GB"/>
        </w:rPr>
        <w:t xml:space="preserve">as the ratio of the area </w:t>
      </w:r>
      <w:r w:rsidR="00C32910">
        <w:rPr>
          <w:lang w:val="en-GB"/>
        </w:rPr>
        <w:t xml:space="preserve">of the quadrilateral </w:t>
      </w:r>
      <w:r w:rsidR="00522972">
        <w:rPr>
          <w:lang w:val="en-GB"/>
        </w:rPr>
        <w:t>associated with the</w:t>
      </w:r>
      <w:r w:rsidR="00C32910">
        <w:rPr>
          <w:lang w:val="en-GB"/>
        </w:rPr>
        <w:t xml:space="preserve"> given PS </w:t>
      </w:r>
      <w:r w:rsidR="00487EA2">
        <w:rPr>
          <w:lang w:val="en-GB"/>
        </w:rPr>
        <w:t xml:space="preserve">and </w:t>
      </w:r>
      <w:r w:rsidR="008243DB">
        <w:rPr>
          <w:lang w:val="en-GB"/>
        </w:rPr>
        <w:t>the surface area of the</w:t>
      </w:r>
      <w:r w:rsidR="005364A7">
        <w:rPr>
          <w:lang w:val="en-GB"/>
        </w:rPr>
        <w:t xml:space="preserve"> </w:t>
      </w:r>
      <w:r w:rsidR="00D558D5">
        <w:rPr>
          <w:lang w:val="en-GB"/>
        </w:rPr>
        <w:t xml:space="preserve">overall </w:t>
      </w:r>
      <w:r w:rsidR="005364A7">
        <w:rPr>
          <w:lang w:val="en-GB"/>
        </w:rPr>
        <w:t xml:space="preserve">radar </w:t>
      </w:r>
      <w:r w:rsidR="00D558D5">
        <w:rPr>
          <w:lang w:val="en-GB"/>
        </w:rPr>
        <w:t>chart</w:t>
      </w:r>
      <w:r w:rsidR="005364A7">
        <w:rPr>
          <w:lang w:val="en-GB"/>
        </w:rPr>
        <w:t>.</w:t>
      </w:r>
      <w:r w:rsidR="00844E04">
        <w:rPr>
          <w:lang w:val="en-GB"/>
        </w:rPr>
        <w:t xml:space="preserve"> </w:t>
      </w:r>
    </w:p>
    <w:p w14:paraId="2DAD8F23" w14:textId="09FFEA47" w:rsidR="00C7435F" w:rsidRDefault="00C7435F" w:rsidP="00C7435F">
      <w:pPr>
        <w:pStyle w:val="CETHeading1"/>
        <w:rPr>
          <w:lang w:val="en-GB"/>
        </w:rPr>
      </w:pPr>
      <w:r>
        <w:rPr>
          <w:lang w:val="en-GB"/>
        </w:rPr>
        <w:t>Case study</w:t>
      </w:r>
    </w:p>
    <w:p w14:paraId="15F37F06" w14:textId="0F25DEC4" w:rsidR="003F3BBB" w:rsidRDefault="00A85F15" w:rsidP="00600535">
      <w:pPr>
        <w:pStyle w:val="CETBodytext"/>
        <w:rPr>
          <w:rStyle w:val="ui-provider"/>
        </w:rPr>
      </w:pPr>
      <w:r>
        <w:rPr>
          <w:lang w:val="en-GB"/>
        </w:rPr>
        <w:t xml:space="preserve">The reference </w:t>
      </w:r>
      <w:r w:rsidR="003A5524">
        <w:rPr>
          <w:lang w:val="en-GB"/>
        </w:rPr>
        <w:t xml:space="preserve">ship </w:t>
      </w:r>
      <w:r w:rsidR="00373E49">
        <w:rPr>
          <w:lang w:val="en-GB"/>
        </w:rPr>
        <w:t>PSs</w:t>
      </w:r>
      <w:r w:rsidR="003A5524">
        <w:rPr>
          <w:lang w:val="en-GB"/>
        </w:rPr>
        <w:t xml:space="preserve"> specified in the present study are reported in </w:t>
      </w:r>
      <w:r w:rsidR="001A1BCF">
        <w:rPr>
          <w:lang w:val="en-GB"/>
        </w:rPr>
        <w:fldChar w:fldCharType="begin"/>
      </w:r>
      <w:r w:rsidR="001A1BCF">
        <w:rPr>
          <w:lang w:val="en-GB"/>
        </w:rPr>
        <w:instrText xml:space="preserve"> REF _Ref158906537 \h </w:instrText>
      </w:r>
      <w:r w:rsidR="001A1BCF">
        <w:rPr>
          <w:lang w:val="en-GB"/>
        </w:rPr>
      </w:r>
      <w:r w:rsidR="001A1BCF">
        <w:rPr>
          <w:lang w:val="en-GB"/>
        </w:rPr>
        <w:fldChar w:fldCharType="separate"/>
      </w:r>
      <w:r w:rsidR="001A1BCF">
        <w:t xml:space="preserve">Table </w:t>
      </w:r>
      <w:r w:rsidR="001A1BCF">
        <w:rPr>
          <w:noProof/>
        </w:rPr>
        <w:t>1</w:t>
      </w:r>
      <w:r w:rsidR="001A1BCF">
        <w:rPr>
          <w:lang w:val="en-GB"/>
        </w:rPr>
        <w:fldChar w:fldCharType="end"/>
      </w:r>
      <w:r w:rsidR="001A1BCF">
        <w:rPr>
          <w:lang w:val="en-GB"/>
        </w:rPr>
        <w:t xml:space="preserve">. </w:t>
      </w:r>
      <w:r w:rsidR="00087AD3">
        <w:rPr>
          <w:lang w:val="en-GB"/>
        </w:rPr>
        <w:t>An</w:t>
      </w:r>
      <w:r w:rsidR="00922688">
        <w:rPr>
          <w:lang w:val="en-GB"/>
        </w:rPr>
        <w:t xml:space="preserve"> LNG-based PS was defined as </w:t>
      </w:r>
      <w:r w:rsidR="00946C75">
        <w:rPr>
          <w:lang w:val="en-GB"/>
        </w:rPr>
        <w:t xml:space="preserve">the </w:t>
      </w:r>
      <w:r w:rsidR="00922688">
        <w:rPr>
          <w:lang w:val="en-GB"/>
        </w:rPr>
        <w:t>benchmark for the comparative inherent safety assessment.</w:t>
      </w:r>
      <w:r w:rsidR="00373E49">
        <w:rPr>
          <w:lang w:val="en-GB"/>
        </w:rPr>
        <w:t xml:space="preserve"> </w:t>
      </w:r>
      <w:r w:rsidR="00BB43D6">
        <w:rPr>
          <w:lang w:val="en-GB"/>
        </w:rPr>
        <w:t>The onboard implementation of PSs was considered</w:t>
      </w:r>
      <w:r w:rsidR="00936B02">
        <w:rPr>
          <w:lang w:val="en-GB"/>
        </w:rPr>
        <w:t xml:space="preserve"> for a reference</w:t>
      </w:r>
      <w:r w:rsidR="00C13F73">
        <w:rPr>
          <w:lang w:val="en-GB"/>
        </w:rPr>
        <w:t xml:space="preserve"> Hyperion-class cruise vessel </w:t>
      </w:r>
      <w:r w:rsidR="00C13F73">
        <w:rPr>
          <w:lang w:val="en-GB"/>
        </w:rPr>
        <w:fldChar w:fldCharType="begin" w:fldLock="1"/>
      </w:r>
      <w:r w:rsidR="00D84EFF">
        <w:rPr>
          <w:lang w:val="en-GB"/>
        </w:rPr>
        <w:instrText>ADDIN CSL_CITATION {"citationItems":[{"id":"ITEM-1","itemData":{"URL":"https://maritime-executive.com/article/first-dual-fuel-air-lubricated-cruise-ship-delivered","author":[{"dropping-particle":"","family":"The Maritime Executive","given":"","non-dropping-particle":"","parse-names":false,"suffix":""}],"id":"ITEM-1","issued":{"date-parts":[["2016"]]},"title":"First dual-fuel, air lubricated cruise ship delivered","type":"webpage"},"uris":["http://www.mendeley.com/documents/?uuid=2adef0a8-1383-4a33-b02a-1db6acbbadfb"]}],"mendeley":{"formattedCitation":"(The Maritime Executive, 2016)","plainTextFormattedCitation":"(The Maritime Executive, 2016)","previouslyFormattedCitation":"(The Maritime Executive, 2016)"},"properties":{"noteIndex":0},"schema":"https://github.com/citation-style-language/schema/raw/master/csl-citation.json"}</w:instrText>
      </w:r>
      <w:r w:rsidR="00C13F73">
        <w:rPr>
          <w:lang w:val="en-GB"/>
        </w:rPr>
        <w:fldChar w:fldCharType="separate"/>
      </w:r>
      <w:r w:rsidR="00C13F73" w:rsidRPr="007647B3">
        <w:rPr>
          <w:noProof/>
          <w:lang w:val="en-GB"/>
        </w:rPr>
        <w:t>(The Maritime Executive, 2016)</w:t>
      </w:r>
      <w:r w:rsidR="00C13F73">
        <w:rPr>
          <w:lang w:val="en-GB"/>
        </w:rPr>
        <w:fldChar w:fldCharType="end"/>
      </w:r>
      <w:r w:rsidR="00936B02">
        <w:rPr>
          <w:lang w:val="en-GB"/>
        </w:rPr>
        <w:t>.</w:t>
      </w:r>
      <w:r w:rsidR="00C13F73">
        <w:rPr>
          <w:lang w:val="en-GB"/>
        </w:rPr>
        <w:t xml:space="preserve"> </w:t>
      </w:r>
      <w:r w:rsidR="00936B02">
        <w:rPr>
          <w:lang w:val="en-GB"/>
        </w:rPr>
        <w:t>Alternative PSs</w:t>
      </w:r>
      <w:r w:rsidR="008D58DA">
        <w:rPr>
          <w:lang w:val="en-GB"/>
        </w:rPr>
        <w:t xml:space="preserve"> were </w:t>
      </w:r>
      <w:r w:rsidR="004C4A40">
        <w:rPr>
          <w:lang w:val="en-GB"/>
        </w:rPr>
        <w:t xml:space="preserve">designed </w:t>
      </w:r>
      <w:r w:rsidR="00FE7958">
        <w:rPr>
          <w:lang w:val="en-GB"/>
        </w:rPr>
        <w:t>based on</w:t>
      </w:r>
      <w:r w:rsidR="004C4A40">
        <w:rPr>
          <w:lang w:val="en-GB"/>
        </w:rPr>
        <w:t xml:space="preserve"> </w:t>
      </w:r>
      <w:r w:rsidR="008D58DA">
        <w:rPr>
          <w:lang w:val="en-GB"/>
        </w:rPr>
        <w:t xml:space="preserve">36 MW </w:t>
      </w:r>
      <w:r w:rsidR="009018CA">
        <w:rPr>
          <w:lang w:val="en-GB"/>
        </w:rPr>
        <w:t xml:space="preserve">of nominal power capacity </w:t>
      </w:r>
      <w:r w:rsidR="004A7812">
        <w:rPr>
          <w:lang w:val="en-GB"/>
        </w:rPr>
        <w:t>and</w:t>
      </w:r>
      <w:r w:rsidR="004C4A40">
        <w:rPr>
          <w:lang w:val="en-GB"/>
        </w:rPr>
        <w:t xml:space="preserve"> </w:t>
      </w:r>
      <w:r w:rsidR="009018CA">
        <w:rPr>
          <w:lang w:val="en-GB"/>
        </w:rPr>
        <w:t xml:space="preserve">10 days of </w:t>
      </w:r>
      <w:r w:rsidR="004A7812">
        <w:rPr>
          <w:lang w:val="en-GB"/>
        </w:rPr>
        <w:t>ship fuel autonomy as requirements</w:t>
      </w:r>
      <w:r w:rsidR="00D84EFF">
        <w:rPr>
          <w:lang w:val="en-GB"/>
        </w:rPr>
        <w:t xml:space="preserve"> </w:t>
      </w:r>
      <w:r w:rsidR="00D84EFF">
        <w:rPr>
          <w:lang w:val="en-GB"/>
        </w:rPr>
        <w:fldChar w:fldCharType="begin" w:fldLock="1"/>
      </w:r>
      <w:r w:rsidR="00273046">
        <w:rPr>
          <w:lang w:val="en-GB"/>
        </w:rPr>
        <w:instrText>ADDIN CSL_CITATION {"citationItems":[{"id":"ITEM-1","itemData":{"DOI":"10.1016/j.jclepro.2020.121069","ISSN":"09596526","abstract":"Liquefied natural gas (LNG) is becoming a viable, “green” alternative to marine fuel oil for ship propulsion. The present study investigates the expected impact on sustainability of innovative ship fuel systems based on the use of LNG. For the sake of comparison, conventional technologies for ship fuel systems, based on marine fuel oil, were considered in the analysis. A specific methodology was adopted to support the sustainability assessment, based on the evaluation of key performance indicators addressing three fundamental domains: environmental impact, economic feasibility and inherent safety of the fuel system. The results obtained allow determining a sustainability fingerprint of the alternative fuel systems considered and a performance ranking. The LNG-based fuel system technologies show a better sustainability performance than the conventional marine fuel technologies. The relevant environmental benefits associated with LNG fuel systems point out the critical role of environmental impact reduction in driving the design of innovative fuel systems for marine applications.","author":[{"dropping-particle":"","family":"Iannaccone","given":"Tommaso","non-dropping-particle":"","parse-names":false,"suffix":""},{"dropping-particle":"","family":"Landucci","given":"Gabriele","non-dropping-particle":"","parse-names":false,"suffix":""},{"dropping-particle":"","family":"Tugnoli","given":"Alessandro","non-dropping-particle":"","parse-names":false,"suffix":""},{"dropping-particle":"","family":"Salzano","given":"Ernesto","non-dropping-particle":"","parse-names":false,"suffix":""},{"dropping-particle":"","family":"Cozzani","given":"Valerio","non-dropping-particle":"","parse-names":false,"suffix":""}],"container-title":"Journal of Cleaner Production","id":"ITEM-1","issued":{"date-parts":[["2020"]]},"page":"121069","publisher":"Elsevier Ltd","title":"Sustainability of cruise ship fuel systems: Comparison among LNG and diesel technologies","type":"article-journal","volume":"260"},"uris":["http://www.mendeley.com/documents/?uuid=fd7874d6-dc60-43a1-ab37-bc10771b1dc5"]}],"mendeley":{"formattedCitation":"(Iannaccone et al., 2020)","plainTextFormattedCitation":"(Iannaccone et al., 2020)","previouslyFormattedCitation":"(Iannaccone et al., 2020)"},"properties":{"noteIndex":0},"schema":"https://github.com/citation-style-language/schema/raw/master/csl-citation.json"}</w:instrText>
      </w:r>
      <w:r w:rsidR="00D84EFF">
        <w:rPr>
          <w:lang w:val="en-GB"/>
        </w:rPr>
        <w:fldChar w:fldCharType="separate"/>
      </w:r>
      <w:r w:rsidR="00D84EFF" w:rsidRPr="00D84EFF">
        <w:rPr>
          <w:noProof/>
          <w:lang w:val="en-GB"/>
        </w:rPr>
        <w:t>(Iannaccone et al., 2020)</w:t>
      </w:r>
      <w:r w:rsidR="00D84EFF">
        <w:rPr>
          <w:lang w:val="en-GB"/>
        </w:rPr>
        <w:fldChar w:fldCharType="end"/>
      </w:r>
      <w:r w:rsidR="009018CA">
        <w:rPr>
          <w:lang w:val="en-GB"/>
        </w:rPr>
        <w:t>.</w:t>
      </w:r>
      <w:r w:rsidR="00172124">
        <w:rPr>
          <w:lang w:val="en-GB"/>
        </w:rPr>
        <w:t xml:space="preserve"> </w:t>
      </w:r>
      <w:proofErr w:type="gramStart"/>
      <w:r w:rsidR="00172124">
        <w:rPr>
          <w:lang w:val="en-GB"/>
        </w:rPr>
        <w:t>Liquid hydrogen (LH</w:t>
      </w:r>
      <w:r w:rsidR="00172124" w:rsidRPr="00012F15">
        <w:rPr>
          <w:vertAlign w:val="subscript"/>
          <w:lang w:val="en-GB"/>
        </w:rPr>
        <w:t>2</w:t>
      </w:r>
      <w:r w:rsidR="00172124">
        <w:rPr>
          <w:lang w:val="en-GB"/>
        </w:rPr>
        <w:t>),</w:t>
      </w:r>
      <w:proofErr w:type="gramEnd"/>
      <w:r w:rsidR="00172124">
        <w:rPr>
          <w:lang w:val="en-GB"/>
        </w:rPr>
        <w:t xml:space="preserve"> </w:t>
      </w:r>
      <w:r w:rsidR="00BB3AC9">
        <w:rPr>
          <w:lang w:val="en-GB"/>
        </w:rPr>
        <w:t xml:space="preserve">compressed </w:t>
      </w:r>
      <w:r w:rsidR="00172124">
        <w:rPr>
          <w:lang w:val="en-GB"/>
        </w:rPr>
        <w:t>gaseous hydrogen (</w:t>
      </w:r>
      <w:r w:rsidR="00BB3AC9">
        <w:rPr>
          <w:lang w:val="en-GB"/>
        </w:rPr>
        <w:t>C</w:t>
      </w:r>
      <w:r w:rsidR="00172124">
        <w:rPr>
          <w:lang w:val="en-GB"/>
        </w:rPr>
        <w:t>GH</w:t>
      </w:r>
      <w:r w:rsidR="00172124" w:rsidRPr="00012F15">
        <w:rPr>
          <w:vertAlign w:val="subscript"/>
          <w:lang w:val="en-GB"/>
        </w:rPr>
        <w:t>2</w:t>
      </w:r>
      <w:r w:rsidR="00172124">
        <w:rPr>
          <w:lang w:val="en-GB"/>
        </w:rPr>
        <w:t>), and cryo-compressed hydrogen (CcLH</w:t>
      </w:r>
      <w:r w:rsidR="00172124" w:rsidRPr="00012F15">
        <w:rPr>
          <w:vertAlign w:val="subscript"/>
          <w:lang w:val="en-GB"/>
        </w:rPr>
        <w:t>2</w:t>
      </w:r>
      <w:r w:rsidR="00172124">
        <w:rPr>
          <w:lang w:val="en-GB"/>
        </w:rPr>
        <w:t xml:space="preserve">) were analysed at this scope. </w:t>
      </w:r>
      <w:r w:rsidR="00E33588">
        <w:rPr>
          <w:lang w:val="en-GB"/>
        </w:rPr>
        <w:t xml:space="preserve">It is worth noting that different alternatives can be considered for the cryo-compressed hydrogen case. </w:t>
      </w:r>
      <w:r w:rsidR="00E33588" w:rsidRPr="00B72763">
        <w:rPr>
          <w:lang w:val="en-GB"/>
        </w:rPr>
        <w:t xml:space="preserve">Indeed, storing hydrogen at a temperature included within the range </w:t>
      </w:r>
      <w:r w:rsidR="00946C75" w:rsidRPr="00B72763">
        <w:rPr>
          <w:lang w:val="en-GB"/>
        </w:rPr>
        <w:t xml:space="preserve">of </w:t>
      </w:r>
      <w:r w:rsidR="00E33588" w:rsidRPr="00B72763">
        <w:rPr>
          <w:lang w:val="en-GB"/>
        </w:rPr>
        <w:t>120 K – 180 K and pressure in the proximity of 350 bar is typically referred to as cryo-compressed gas, whereas lowering the temperature at about 30 K (i.e., the boiling temperature corresponding to the operative pressure) will result in a so-called cryo-compressed liquid system</w:t>
      </w:r>
      <w:r w:rsidR="00132ABE">
        <w:rPr>
          <w:lang w:val="en-GB"/>
        </w:rPr>
        <w:t xml:space="preserve"> </w:t>
      </w:r>
      <w:r w:rsidR="00B72763">
        <w:rPr>
          <w:lang w:val="en-GB"/>
        </w:rPr>
        <w:fldChar w:fldCharType="begin" w:fldLock="1"/>
      </w:r>
      <w:r w:rsidR="00337473">
        <w:rPr>
          <w:lang w:val="en-GB"/>
        </w:rPr>
        <w:instrText>ADDIN CSL_CITATION {"citationItems":[{"id":"ITEM-1","itemData":{"DOI":"10.1016/j.ijhydene.2010.02.074","ISSN":"03603199","abstract":"On-board and off-board performance and cost of cryo-compressed hydrogen storage are assessed and compared to the targets for automotive applications. The on-board performance of the system and high-volume manufacturing cost were determined for liquid hydrogen refueling with a single-flow nozzle and a pump that delivers liquid H2 to the insulated cryogenic tank capable of being pressurized to 272 atm. The off-board performance and cost of delivering liquid hydrogen were determined for two scenarios in which hydrogen is produced by central steam methane reforming (SMR) or by central electrolysis. The main conclusions are that the cryo-compressed storage system has the potential of meeting the ultimate target for system gravimetric capacity, mid-term target for system volumetric capacity, and the target for hydrogen loss during dormancy under certain conditions of minimum daily driving. However, the high-volume manufacturing cost and the fuel cost for the SMR hydrogen production scenario are, respectively, 2-4 and 1.6-2.4 times the current targets, and the well-to-tank efficiency is well short of the 60% target specified for off-board regenerable materials. © 2010 Professor T. Nejat Veziroglu.","author":[{"dropping-particle":"","family":"Ahluwalia","given":"R. K.","non-dropping-particle":"","parse-names":false,"suffix":""},{"dropping-particle":"","family":"Hua","given":"T. Q.","non-dropping-particle":"","parse-names":false,"suffix":""},{"dropping-particle":"","family":"Peng","given":"J. K.","non-dropping-particle":"","parse-names":false,"suffix":""},{"dropping-particle":"","family":"Lasher","given":"S.","non-dropping-particle":"","parse-names":false,"suffix":""},{"dropping-particle":"","family":"McKenney","given":"K.","non-dropping-particle":"","parse-names":false,"suffix":""},{"dropping-particle":"","family":"Sinha","given":"J.","non-dropping-particle":"","parse-names":false,"suffix":""},{"dropping-particle":"","family":"Gardiner","given":"M.","non-dropping-particle":"","parse-names":false,"suffix":""}],"container-title":"International Journal of Hydrogen Energy","id":"ITEM-1","issue":"9","issued":{"date-parts":[["2010"]]},"page":"4171-4184","publisher":"Elsevier Ltd","title":"Technical assessment of cryo-compressed hydrogen storage tank systems for automotive applications","type":"article-journal","volume":"35"},"uris":["http://www.mendeley.com/documents/?uuid=fcfbe905-5d9e-49ce-8c00-eacc8f79144a"]}],"mendeley":{"formattedCitation":"(Ahluwalia et al., 2010)","plainTextFormattedCitation":"(Ahluwalia et al., 2010)","previouslyFormattedCitation":"(Ahluwalia et al., 2010)"},"properties":{"noteIndex":0},"schema":"https://github.com/citation-style-language/schema/raw/master/csl-citation.json"}</w:instrText>
      </w:r>
      <w:r w:rsidR="00B72763">
        <w:rPr>
          <w:lang w:val="en-GB"/>
        </w:rPr>
        <w:fldChar w:fldCharType="separate"/>
      </w:r>
      <w:r w:rsidR="00B72763" w:rsidRPr="00B72763">
        <w:rPr>
          <w:noProof/>
          <w:lang w:val="en-GB"/>
        </w:rPr>
        <w:t>(Ahluwalia et al., 2010)</w:t>
      </w:r>
      <w:r w:rsidR="00B72763">
        <w:rPr>
          <w:lang w:val="en-GB"/>
        </w:rPr>
        <w:fldChar w:fldCharType="end"/>
      </w:r>
      <w:r w:rsidR="00E33588" w:rsidRPr="00B72763">
        <w:rPr>
          <w:lang w:val="en-GB"/>
        </w:rPr>
        <w:t>. The latter shows higher potential because of the increased density due to the liquid form</w:t>
      </w:r>
      <w:r w:rsidR="00337473">
        <w:rPr>
          <w:lang w:val="en-GB"/>
        </w:rPr>
        <w:t xml:space="preserve"> </w:t>
      </w:r>
      <w:r w:rsidR="00337473">
        <w:rPr>
          <w:lang w:val="en-GB"/>
        </w:rPr>
        <w:fldChar w:fldCharType="begin" w:fldLock="1"/>
      </w:r>
      <w:r w:rsidR="004F70B4">
        <w:rPr>
          <w:lang w:val="en-GB"/>
        </w:rPr>
        <w:instrText>ADDIN CSL_CITATION {"citationItems":[{"id":"ITEM-1","itemData":{"DOI":"10.1016/j.ijhydene.2013.07.058","ISSN":"03603199","abstract":"Hydrogen gas is increasingly studied as a potential replacement for fossil fuels because fossil fuel supplies are depleting rapidly and the devastating environmental impacts of their use can no longer be ignored. H2 is a promising replacement energy storage molecule because it has the highest energy density of all common fuels by weight. One area in which replacing fossil fuels will have a large impact is in automobiles, which currently operate almost exclusively on gasoline. Due to the size and weight constraints in vehicles, on board hydrogen must be stored in a small, lightweight system. This is particularly challenging for hydrogen because it has the lowest energy density of common fuels by volume. Therefore, a lot of research is invested in finding a compact, safe, reliable, inexpensive and energy efficient method of H 2 storage. Mechanical compression as well as storage in chemical hydrides and absorption to carbon substrates has been investigated. An overview of all systems including the current research and potential benefits and issue are provided in the present paper. © 2013, Hydrogen Energy Publications, LLC. Published by Elsevier Ltd. All rights reserved.","author":[{"dropping-particle":"","family":"Durbin","given":"D. J.","non-dropping-particle":"","parse-names":false,"suffix":""},{"dropping-particle":"","family":"Malardier-Jugroot","given":"C.","non-dropping-particle":"","parse-names":false,"suffix":""}],"container-title":"International Journal of Hydrogen Energy","id":"ITEM-1","issue":"34","issued":{"date-parts":[["2013"]]},"page":"14595-14617","title":"Review of hydrogen storage techniques for on board vehicle applications","type":"article-journal","volume":"38"},"uris":["http://www.mendeley.com/documents/?uuid=dc7cea01-d813-4578-a6f2-9b301b5bee9a"]}],"mendeley":{"formattedCitation":"(Durbin and Malardier-Jugroot, 2013)","plainTextFormattedCitation":"(Durbin and Malardier-Jugroot, 2013)","previouslyFormattedCitation":"(Durbin &amp; Malardier-Jugroot, 2013)"},"properties":{"noteIndex":0},"schema":"https://github.com/citation-style-language/schema/raw/master/csl-citation.json"}</w:instrText>
      </w:r>
      <w:r w:rsidR="00337473">
        <w:rPr>
          <w:lang w:val="en-GB"/>
        </w:rPr>
        <w:fldChar w:fldCharType="separate"/>
      </w:r>
      <w:r w:rsidR="004F70B4" w:rsidRPr="004F70B4">
        <w:rPr>
          <w:noProof/>
          <w:lang w:val="en-GB"/>
        </w:rPr>
        <w:t>(Durbin and Malardier-Jugroot, 2013)</w:t>
      </w:r>
      <w:r w:rsidR="00337473">
        <w:rPr>
          <w:lang w:val="en-GB"/>
        </w:rPr>
        <w:fldChar w:fldCharType="end"/>
      </w:r>
      <w:r w:rsidR="00E2186A">
        <w:rPr>
          <w:lang w:val="en-GB"/>
        </w:rPr>
        <w:t xml:space="preserve"> and</w:t>
      </w:r>
      <w:r w:rsidR="00E33588" w:rsidRPr="00B72763">
        <w:rPr>
          <w:lang w:val="en-GB"/>
        </w:rPr>
        <w:t xml:space="preserve"> thus will be investigated in this work</w:t>
      </w:r>
      <w:r w:rsidR="00E33588" w:rsidRPr="001D25C5">
        <w:rPr>
          <w:lang w:val="en-GB"/>
        </w:rPr>
        <w:t>.</w:t>
      </w:r>
      <w:r w:rsidR="00E33588">
        <w:rPr>
          <w:lang w:val="en-GB"/>
        </w:rPr>
        <w:t xml:space="preserve"> </w:t>
      </w:r>
      <w:r w:rsidR="00172124">
        <w:rPr>
          <w:lang w:val="en-GB"/>
        </w:rPr>
        <w:t>Based on the solutions available in the current literature, stor</w:t>
      </w:r>
      <w:r w:rsidR="00755D40">
        <w:rPr>
          <w:lang w:val="en-GB"/>
        </w:rPr>
        <w:t>age</w:t>
      </w:r>
      <w:r w:rsidR="00172124">
        <w:rPr>
          <w:lang w:val="en-GB"/>
        </w:rPr>
        <w:t xml:space="preserve"> temperature, pressure, and typical </w:t>
      </w:r>
      <w:r w:rsidR="00755D40">
        <w:rPr>
          <w:lang w:val="en-GB"/>
        </w:rPr>
        <w:t xml:space="preserve">tank </w:t>
      </w:r>
      <w:r w:rsidR="00172124">
        <w:rPr>
          <w:lang w:val="en-GB"/>
        </w:rPr>
        <w:t>dimensions were selected for each scheme</w:t>
      </w:r>
      <w:r w:rsidR="00B34420">
        <w:rPr>
          <w:lang w:val="en-GB"/>
        </w:rPr>
        <w:t xml:space="preserve"> </w:t>
      </w:r>
      <w:r w:rsidR="00B34420" w:rsidRPr="005A0896">
        <w:rPr>
          <w:lang w:val="en-GB"/>
        </w:rPr>
        <w:fldChar w:fldCharType="begin" w:fldLock="1"/>
      </w:r>
      <w:r w:rsidR="00A01963">
        <w:rPr>
          <w:lang w:val="en-GB"/>
        </w:rPr>
        <w:instrText>ADDIN CSL_CITATION {"citationItems":[{"id":"ITEM-1","itemData":{"DOI":"10.1016/j.jclepro.2023.137989","abstract":"The growing concern for the emission of greenhouse gases and several recent international regulations promote the introduction of innovative solutions aiming at the reduction of pollutant production in all human activities, including maritime transportation. Phasing out conventional marine gas oil engines is a key strategy to limit the pressure on the environment exerted by maritime transport. Considering the strategic relevance of this sector, the sustainability of innovative clean technologies proposed for ship power systems is crucial. In the present study, a multi-criteria sustainability assessment methodology, based on specific indicators addressing the technological, economic, environmental, and safety performance of ship power systems is developed. Normalization and ag- gregation perspectives are proposed to provide key performance indicators describing and ranking the overall sustainability performance of the alternative power systems considered. A sensitivity analysis is performed to identify the most impacting parameters in each domain. The methodology is tested considering a case study representative of large-scale maritime transportation. The robustness of the sustainability performance-based ranking is assessed by a Monte Carlo analysis. The results suggest that the ranking of alternative power sys- tems obtained considering only techno-economic factors may be strongly affected by highly fluctuating pa- rameters, such as fuel cost. Conversely, the inclusion of environmental and safety aspects increases the robustness of the results. A trade-off between the environmental and societal domains is also observed, indicating that the performance of cleaner solutions may be strongly improved if safety issues are properly addressed.","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Muñoz","non-dropping-particle":"","parse-names":false,"suffix":""},{"dropping-particle":"","family":"Cozzani","given":"Valerio","non-dropping-particle":"","parse-names":false,"suffix":""}],"container-title":"Journal of Cleaner Production","id":"ITEM-1","issued":{"date-parts":[["2023"]]},"page":"137989","title":"Decarbonization of maritime transport : Sustainability assessment of alternative power systems","type":"article-journal","volume":"417"},"uris":["http://www.mendeley.com/documents/?uuid=b8934d15-2aa1-4fbe-ab98-5a4fb360957d"]}],"mendeley":{"formattedCitation":"(Zanobetti et al., 2023a)","plainTextFormattedCitation":"(Zanobetti et al., 2023a)","previouslyFormattedCitation":"(Zanobetti et al., 2023a)"},"properties":{"noteIndex":0},"schema":"https://github.com/citation-style-language/schema/raw/master/csl-citation.json"}</w:instrText>
      </w:r>
      <w:r w:rsidR="00B34420" w:rsidRPr="005A0896">
        <w:rPr>
          <w:lang w:val="en-GB"/>
        </w:rPr>
        <w:fldChar w:fldCharType="separate"/>
      </w:r>
      <w:r w:rsidR="005A0896" w:rsidRPr="005A0896">
        <w:rPr>
          <w:noProof/>
          <w:lang w:val="en-GB"/>
        </w:rPr>
        <w:t>(Zanobetti et al., 2023a)</w:t>
      </w:r>
      <w:r w:rsidR="00B34420" w:rsidRPr="005A0896">
        <w:rPr>
          <w:lang w:val="en-GB"/>
        </w:rPr>
        <w:fldChar w:fldCharType="end"/>
      </w:r>
      <w:r w:rsidR="00B34420">
        <w:rPr>
          <w:lang w:val="en-GB"/>
        </w:rPr>
        <w:t>.</w:t>
      </w:r>
      <w:r w:rsidR="00172124">
        <w:rPr>
          <w:lang w:val="en-GB"/>
        </w:rPr>
        <w:t xml:space="preserve"> Regardless of the selected stor</w:t>
      </w:r>
      <w:r w:rsidR="00DA15DB">
        <w:rPr>
          <w:lang w:val="en-GB"/>
        </w:rPr>
        <w:t>age</w:t>
      </w:r>
      <w:r w:rsidR="00172124">
        <w:rPr>
          <w:lang w:val="en-GB"/>
        </w:rPr>
        <w:t xml:space="preserve"> strategy, the use of proton exchange membrane fuel cells was assumed for the hydrogen conversion</w:t>
      </w:r>
      <w:r w:rsidR="004C166E">
        <w:rPr>
          <w:lang w:val="en-GB"/>
        </w:rPr>
        <w:t xml:space="preserve"> </w:t>
      </w:r>
      <w:r w:rsidR="00172124">
        <w:rPr>
          <w:lang w:val="en-GB"/>
        </w:rPr>
        <w:t>step, following the recommendations provided in the literature</w:t>
      </w:r>
      <w:r w:rsidR="001A303C">
        <w:rPr>
          <w:lang w:val="en-GB"/>
        </w:rPr>
        <w:t xml:space="preserve"> </w:t>
      </w:r>
      <w:r w:rsidR="001A303C" w:rsidRPr="005A0896">
        <w:rPr>
          <w:lang w:val="en-GB"/>
        </w:rPr>
        <w:fldChar w:fldCharType="begin" w:fldLock="1"/>
      </w:r>
      <w:r w:rsidR="00083A61" w:rsidRPr="005A0896">
        <w:rPr>
          <w:lang w:val="en-GB"/>
        </w:rPr>
        <w:instrText>ADDIN CSL_CITATION {"citationItems":[{"id":"ITEM-1","itemData":{"DOI":"10.1016/j.jpowsour.2016.07.007","ISSN":"03787753","abstract":"Progressing limits on pollutant emissions oblige ship owners to reduce the environmental impact of their operations. Fuel cells may provide a suitable solution, since they are fuel efficient while they emit few hazardous compounds. Various choices can be made with regard to the type of fuel cell system and logistic fuel, and it is unclear which have the best prospects for maritime application. An overview of fuel cell types and fuel processing equipment is presented, and maritime fuel cell application is reviewed with regard to efficiency, gravimetric and volumetric density, dynamic behaviour, environmental impact, safety and economics. It is shown that low temperature fuel cells using liquefied hydrogen provide a compact solution for ships with a refuelling interval up to a tens of hours, but may result in total system sizes up to five times larger than high temperature fuel cells and more energy dense fuels for vessels with longer mission requirements. The expanding infrastructure of liquefied natural gas and development state of natural gas-fuelled fuel cell systems can facilitate the introduction of gaseous fuels and fuel cells on ships. Fuel cell combined cycles, hybridisation with auxiliary electricity storage systems and redundancy improvements are identified as topics for further study.","author":[{"dropping-particle":"","family":"Biert","given":"L.","non-dropping-particle":"van","parse-names":false,"suffix":""},{"dropping-particle":"","family":"Godjevac","given":"M.","non-dropping-particle":"","parse-names":false,"suffix":""},{"dropping-particle":"","family":"Visser","given":"K.","non-dropping-particle":"","parse-names":false,"suffix":""},{"dropping-particle":"V.","family":"Aravind","given":"P.","non-dropping-particle":"","parse-names":false,"suffix":""}],"container-title":"Journal of Power Sources","id":"ITEM-1","issue":"X","issued":{"date-parts":[["2016"]]},"page":"345-364","publisher":"Elsevier B.V","title":"A review of fuel cell systems for maritime applications","type":"article-journal","volume":"327"},"uris":["http://www.mendeley.com/documents/?uuid=32894a40-3902-4de3-bad6-1cf4dbb5be5e"]}],"mendeley":{"formattedCitation":"(van Biert et al., 2016)","plainTextFormattedCitation":"(van Biert et al., 2016)","previouslyFormattedCitation":"(van Biert et al., 2016)"},"properties":{"noteIndex":0},"schema":"https://github.com/citation-style-language/schema/raw/master/csl-citation.json"}</w:instrText>
      </w:r>
      <w:r w:rsidR="001A303C" w:rsidRPr="005A0896">
        <w:rPr>
          <w:lang w:val="en-GB"/>
        </w:rPr>
        <w:fldChar w:fldCharType="separate"/>
      </w:r>
      <w:r w:rsidR="001A303C" w:rsidRPr="005A0896">
        <w:rPr>
          <w:noProof/>
          <w:lang w:val="en-GB"/>
        </w:rPr>
        <w:t>(van Biert et al., 2016)</w:t>
      </w:r>
      <w:r w:rsidR="001A303C" w:rsidRPr="005A0896">
        <w:rPr>
          <w:lang w:val="en-GB"/>
        </w:rPr>
        <w:fldChar w:fldCharType="end"/>
      </w:r>
      <w:r w:rsidR="00172124" w:rsidRPr="005A0896">
        <w:rPr>
          <w:lang w:val="en-GB"/>
        </w:rPr>
        <w:t>.</w:t>
      </w:r>
      <w:r w:rsidR="00172124">
        <w:rPr>
          <w:lang w:val="en-GB"/>
        </w:rPr>
        <w:t xml:space="preserve"> </w:t>
      </w:r>
      <w:r w:rsidR="006E2EBF">
        <w:rPr>
          <w:lang w:val="en-GB"/>
        </w:rPr>
        <w:t>S</w:t>
      </w:r>
      <w:r w:rsidR="00172124">
        <w:rPr>
          <w:lang w:val="en-GB"/>
        </w:rPr>
        <w:t xml:space="preserve">implified reference schemes were </w:t>
      </w:r>
      <w:r w:rsidR="006E2EBF">
        <w:rPr>
          <w:lang w:val="en-GB"/>
        </w:rPr>
        <w:t>then</w:t>
      </w:r>
      <w:r w:rsidR="00783FC6">
        <w:rPr>
          <w:lang w:val="en-GB"/>
        </w:rPr>
        <w:t xml:space="preserve"> </w:t>
      </w:r>
      <w:r w:rsidR="00172124">
        <w:rPr>
          <w:lang w:val="en-GB"/>
        </w:rPr>
        <w:t>developed</w:t>
      </w:r>
      <w:r w:rsidR="00783FC6">
        <w:rPr>
          <w:lang w:val="en-GB"/>
        </w:rPr>
        <w:t>,</w:t>
      </w:r>
      <w:r w:rsidR="00172124">
        <w:rPr>
          <w:lang w:val="en-GB"/>
        </w:rPr>
        <w:t xml:space="preserve"> including </w:t>
      </w:r>
      <w:r w:rsidR="00783FC6">
        <w:rPr>
          <w:lang w:val="en-GB"/>
        </w:rPr>
        <w:t>storage tanks as well as process equipment</w:t>
      </w:r>
      <w:r w:rsidR="00172124">
        <w:rPr>
          <w:lang w:val="en-GB"/>
        </w:rPr>
        <w:t xml:space="preserve"> (e.g., heat exchangers, compressors, </w:t>
      </w:r>
      <w:r w:rsidR="00D80150">
        <w:rPr>
          <w:lang w:val="en-GB"/>
        </w:rPr>
        <w:t>separators</w:t>
      </w:r>
      <w:r w:rsidR="00172124">
        <w:rPr>
          <w:lang w:val="en-GB"/>
        </w:rPr>
        <w:t xml:space="preserve">) required to </w:t>
      </w:r>
      <w:r w:rsidR="00077DA6">
        <w:rPr>
          <w:lang w:val="en-GB"/>
        </w:rPr>
        <w:t>condition the fuel for fina</w:t>
      </w:r>
      <w:r w:rsidR="00D80150">
        <w:rPr>
          <w:lang w:val="en-GB"/>
        </w:rPr>
        <w:t>l utili</w:t>
      </w:r>
      <w:r w:rsidR="005F39F8">
        <w:rPr>
          <w:lang w:val="en-GB"/>
        </w:rPr>
        <w:t>s</w:t>
      </w:r>
      <w:r w:rsidR="00D80150">
        <w:rPr>
          <w:lang w:val="en-GB"/>
        </w:rPr>
        <w:t>ation</w:t>
      </w:r>
      <w:r w:rsidR="00172124">
        <w:rPr>
          <w:lang w:val="en-GB"/>
        </w:rPr>
        <w:t xml:space="preserve">. For the sake of conciseness, </w:t>
      </w:r>
      <w:r w:rsidR="00172124">
        <w:rPr>
          <w:rStyle w:val="ui-provider"/>
        </w:rPr>
        <w:t xml:space="preserve">the obtained </w:t>
      </w:r>
      <w:r w:rsidR="006E6C83">
        <w:rPr>
          <w:rStyle w:val="ui-provider"/>
        </w:rPr>
        <w:t xml:space="preserve">process flowsheets </w:t>
      </w:r>
      <w:r w:rsidR="00172124">
        <w:rPr>
          <w:rStyle w:val="ui-provider"/>
        </w:rPr>
        <w:t xml:space="preserve">together with additional information on the </w:t>
      </w:r>
      <w:proofErr w:type="spellStart"/>
      <w:r w:rsidR="00172124">
        <w:rPr>
          <w:rStyle w:val="ui-provider"/>
        </w:rPr>
        <w:t>analy</w:t>
      </w:r>
      <w:r w:rsidR="00CC6CFA">
        <w:rPr>
          <w:rStyle w:val="ui-provider"/>
        </w:rPr>
        <w:t>s</w:t>
      </w:r>
      <w:r w:rsidR="00172124">
        <w:rPr>
          <w:rStyle w:val="ui-provider"/>
        </w:rPr>
        <w:t>ed</w:t>
      </w:r>
      <w:proofErr w:type="spellEnd"/>
      <w:r w:rsidR="00172124">
        <w:rPr>
          <w:rStyle w:val="ui-provider"/>
        </w:rPr>
        <w:t xml:space="preserve"> PSs </w:t>
      </w:r>
      <w:r w:rsidR="0075579B">
        <w:rPr>
          <w:rStyle w:val="ui-provider"/>
        </w:rPr>
        <w:t>can be found</w:t>
      </w:r>
      <w:r w:rsidR="008B53B2">
        <w:rPr>
          <w:rStyle w:val="ui-provider"/>
        </w:rPr>
        <w:t xml:space="preserve"> elsewhere </w:t>
      </w:r>
      <w:r w:rsidR="00273046">
        <w:rPr>
          <w:rStyle w:val="ui-provider"/>
        </w:rPr>
        <w:fldChar w:fldCharType="begin" w:fldLock="1"/>
      </w:r>
      <w:r w:rsidR="00B34420">
        <w:rPr>
          <w:rStyle w:val="ui-provider"/>
        </w:rPr>
        <w:instrText>ADDIN CSL_CITATION {"citationItems":[{"id":"ITEM-1","itemData":{"DOI":"10.1016/j.jclepro.2023.137989","abstract":"The growing concern for the emission of greenhouse gases and several recent international regulations promote the introduction of innovative solutions aiming at the reduction of pollutant production in all human activities, including maritime transportation. Phasing out conventional marine gas oil engines is a key strategy to limit the pressure on the environment exerted by maritime transport. Considering the strategic relevance of this sector, the sustainability of innovative clean technologies proposed for ship power systems is crucial. In the present study, a multi-criteria sustainability assessment methodology, based on specific indicators addressing the technological, economic, environmental, and safety performance of ship power systems is developed. Normalization and ag- gregation perspectives are proposed to provide key performance indicators describing and ranking the overall sustainability performance of the alternative power systems considered. A sensitivity analysis is performed to identify the most impacting parameters in each domain. The methodology is tested considering a case study representative of large-scale maritime transportation. The robustness of the sustainability performance-based ranking is assessed by a Monte Carlo analysis. The results suggest that the ranking of alternative power sys- tems obtained considering only techno-economic factors may be strongly affected by highly fluctuating pa- rameters, such as fuel cost. Conversely, the inclusion of environmental and safety aspects increases the robustness of the results. A trade-off between the environmental and societal domains is also observed, indicating that the performance of cleaner solutions may be strongly improved if safety issues are properly addressed.","author":[{"dropping-particle":"","family":"Zanobetti","given":"Francesco","non-dropping-particle":"","parse-names":false,"suffix":""},{"dropping-particle":"","family":"Pio","given":"Gianmaria","non-dropping-particle":"","parse-names":false,"suffix":""},{"dropping-particle":"","family":"Jafarzadeh","given":"Sepideh","non-dropping-particle":"","parse-names":false,"suffix":""},{"dropping-particle":"","family":"Ortiz","given":"Miguel Muñoz","non-dropping-particle":"","parse-names":false,"suffix":""},{"dropping-particle":"","family":"Cozzani","given":"Valerio","non-dropping-particle":"","parse-names":false,"suffix":""}],"container-title":"Journal of Cleaner Production","id":"ITEM-1","issued":{"date-parts":[["2023"]]},"page":"137989","title":"Decarbonization of maritime transport : Sustainability assessment of alternative power systems","type":"article-journal","volume":"417"},"uris":["http://www.mendeley.com/documents/?uuid=b8934d15-2aa1-4fbe-ab98-5a4fb360957d"]}],"mendeley":{"formattedCitation":"(Zanobetti et al., 2023a)","plainTextFormattedCitation":"(Zanobetti et al., 2023a)","previouslyFormattedCitation":"(Zanobetti et al., 2023a)"},"properties":{"noteIndex":0},"schema":"https://github.com/citation-style-language/schema/raw/master/csl-citation.json"}</w:instrText>
      </w:r>
      <w:r w:rsidR="00273046">
        <w:rPr>
          <w:rStyle w:val="ui-provider"/>
        </w:rPr>
        <w:fldChar w:fldCharType="separate"/>
      </w:r>
      <w:r w:rsidR="002A2A5C" w:rsidRPr="002A2A5C">
        <w:rPr>
          <w:rStyle w:val="ui-provider"/>
          <w:noProof/>
        </w:rPr>
        <w:t>(Zanobetti et al., 2023a)</w:t>
      </w:r>
      <w:r w:rsidR="00273046">
        <w:rPr>
          <w:rStyle w:val="ui-provider"/>
        </w:rPr>
        <w:fldChar w:fldCharType="end"/>
      </w:r>
      <w:r w:rsidR="00273046">
        <w:rPr>
          <w:rStyle w:val="ui-provider"/>
        </w:rPr>
        <w:t>.</w:t>
      </w:r>
    </w:p>
    <w:p w14:paraId="5564E3EC" w14:textId="0F7E444E" w:rsidR="003F3BBB" w:rsidRDefault="003F3BBB" w:rsidP="001507B6">
      <w:pPr>
        <w:pStyle w:val="CETTabletitle"/>
      </w:pPr>
      <w:bookmarkStart w:id="1" w:name="_Ref158906537"/>
      <w:r>
        <w:t xml:space="preserve">Table </w:t>
      </w:r>
      <w:r>
        <w:fldChar w:fldCharType="begin"/>
      </w:r>
      <w:r>
        <w:instrText xml:space="preserve"> SEQ Table \* ARABIC </w:instrText>
      </w:r>
      <w:r>
        <w:fldChar w:fldCharType="separate"/>
      </w:r>
      <w:r>
        <w:rPr>
          <w:noProof/>
        </w:rPr>
        <w:t>1</w:t>
      </w:r>
      <w:r>
        <w:fldChar w:fldCharType="end"/>
      </w:r>
      <w:bookmarkEnd w:id="1"/>
      <w:r w:rsidR="001507B6">
        <w:t xml:space="preserve">: </w:t>
      </w:r>
      <w:r w:rsidR="00D77863">
        <w:t xml:space="preserve">Reference </w:t>
      </w:r>
      <w:r w:rsidR="00172124">
        <w:t>power systems</w:t>
      </w:r>
      <w:r w:rsidR="00D77863">
        <w:t xml:space="preserve"> </w:t>
      </w:r>
      <w:r w:rsidR="00482B7B">
        <w:t xml:space="preserve">considered in the </w:t>
      </w:r>
      <w:proofErr w:type="gramStart"/>
      <w:r w:rsidR="00482B7B">
        <w:t>analysis</w:t>
      </w:r>
      <w:proofErr w:type="gramEnd"/>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8"/>
        <w:gridCol w:w="1816"/>
        <w:gridCol w:w="1030"/>
        <w:gridCol w:w="286"/>
        <w:gridCol w:w="1176"/>
        <w:gridCol w:w="141"/>
        <w:gridCol w:w="1320"/>
        <w:gridCol w:w="1460"/>
      </w:tblGrid>
      <w:tr w:rsidR="007E014D" w:rsidRPr="00B57B36" w14:paraId="7D576DEE" w14:textId="77777777" w:rsidTr="00F36F61">
        <w:tc>
          <w:tcPr>
            <w:tcW w:w="886" w:type="pct"/>
            <w:tcBorders>
              <w:top w:val="single" w:sz="12" w:space="0" w:color="008000"/>
              <w:bottom w:val="nil"/>
            </w:tcBorders>
            <w:shd w:val="clear" w:color="auto" w:fill="FFFFFF"/>
          </w:tcPr>
          <w:p w14:paraId="4099EB73" w14:textId="77777777" w:rsidR="007E014D" w:rsidRDefault="007E014D" w:rsidP="006F4D72">
            <w:pPr>
              <w:pStyle w:val="CETBodytext"/>
              <w:jc w:val="left"/>
              <w:rPr>
                <w:lang w:val="en-GB"/>
              </w:rPr>
            </w:pPr>
          </w:p>
        </w:tc>
        <w:tc>
          <w:tcPr>
            <w:tcW w:w="1033" w:type="pct"/>
            <w:tcBorders>
              <w:top w:val="single" w:sz="12" w:space="0" w:color="008000"/>
              <w:bottom w:val="nil"/>
            </w:tcBorders>
            <w:shd w:val="clear" w:color="auto" w:fill="FFFFFF"/>
          </w:tcPr>
          <w:p w14:paraId="6BEA6747" w14:textId="77777777" w:rsidR="007E014D" w:rsidRDefault="007E014D" w:rsidP="006F4D72">
            <w:pPr>
              <w:pStyle w:val="CETBodytext"/>
              <w:jc w:val="left"/>
              <w:rPr>
                <w:lang w:val="en-GB"/>
              </w:rPr>
            </w:pPr>
          </w:p>
        </w:tc>
        <w:tc>
          <w:tcPr>
            <w:tcW w:w="586" w:type="pct"/>
            <w:tcBorders>
              <w:top w:val="single" w:sz="12" w:space="0" w:color="008000"/>
              <w:bottom w:val="single" w:sz="6" w:space="0" w:color="008000"/>
            </w:tcBorders>
            <w:shd w:val="clear" w:color="auto" w:fill="FFFFFF"/>
          </w:tcPr>
          <w:p w14:paraId="1A88FA18" w14:textId="77777777" w:rsidR="007E014D" w:rsidRDefault="007E014D" w:rsidP="006F4D72">
            <w:pPr>
              <w:pStyle w:val="CETBodytext"/>
              <w:jc w:val="left"/>
              <w:rPr>
                <w:lang w:val="en-GB"/>
              </w:rPr>
            </w:pPr>
          </w:p>
        </w:tc>
        <w:tc>
          <w:tcPr>
            <w:tcW w:w="832" w:type="pct"/>
            <w:gridSpan w:val="2"/>
            <w:tcBorders>
              <w:top w:val="single" w:sz="12" w:space="0" w:color="008000"/>
              <w:bottom w:val="single" w:sz="6" w:space="0" w:color="008000"/>
            </w:tcBorders>
            <w:shd w:val="clear" w:color="auto" w:fill="FFFFFF"/>
          </w:tcPr>
          <w:p w14:paraId="13EF2265" w14:textId="69D48E49" w:rsidR="007E014D" w:rsidRDefault="00EA4959" w:rsidP="006F4D72">
            <w:pPr>
              <w:pStyle w:val="CETBodytext"/>
              <w:ind w:right="-1"/>
              <w:jc w:val="left"/>
              <w:rPr>
                <w:lang w:val="en-GB"/>
              </w:rPr>
            </w:pPr>
            <w:r>
              <w:rPr>
                <w:lang w:val="en-GB"/>
              </w:rPr>
              <w:t>Storage</w:t>
            </w:r>
          </w:p>
        </w:tc>
        <w:tc>
          <w:tcPr>
            <w:tcW w:w="831" w:type="pct"/>
            <w:gridSpan w:val="2"/>
            <w:tcBorders>
              <w:top w:val="single" w:sz="12" w:space="0" w:color="008000"/>
              <w:bottom w:val="single" w:sz="6" w:space="0" w:color="008000"/>
            </w:tcBorders>
            <w:shd w:val="clear" w:color="auto" w:fill="FFFFFF"/>
          </w:tcPr>
          <w:p w14:paraId="58072E98" w14:textId="77777777" w:rsidR="007E014D" w:rsidRDefault="007E014D" w:rsidP="006F4D72">
            <w:pPr>
              <w:pStyle w:val="CETBodytext"/>
              <w:ind w:right="-1"/>
              <w:jc w:val="left"/>
              <w:rPr>
                <w:rFonts w:cs="Arial"/>
                <w:szCs w:val="18"/>
                <w:lang w:val="en-GB"/>
              </w:rPr>
            </w:pPr>
          </w:p>
        </w:tc>
        <w:tc>
          <w:tcPr>
            <w:tcW w:w="831" w:type="pct"/>
            <w:tcBorders>
              <w:top w:val="single" w:sz="12" w:space="0" w:color="008000"/>
              <w:bottom w:val="nil"/>
            </w:tcBorders>
            <w:shd w:val="clear" w:color="auto" w:fill="FFFFFF"/>
          </w:tcPr>
          <w:p w14:paraId="26935603" w14:textId="77777777" w:rsidR="007E014D" w:rsidRDefault="007E014D" w:rsidP="006F4D72">
            <w:pPr>
              <w:pStyle w:val="CETBodytext"/>
              <w:ind w:right="-1"/>
              <w:jc w:val="left"/>
              <w:rPr>
                <w:rFonts w:cs="Arial"/>
                <w:szCs w:val="18"/>
                <w:lang w:val="en-GB"/>
              </w:rPr>
            </w:pPr>
          </w:p>
        </w:tc>
      </w:tr>
      <w:tr w:rsidR="007E014D" w:rsidRPr="00B57B36" w14:paraId="21F51D33" w14:textId="164E8B55" w:rsidTr="00F36F61">
        <w:tc>
          <w:tcPr>
            <w:tcW w:w="886" w:type="pct"/>
            <w:tcBorders>
              <w:top w:val="nil"/>
              <w:bottom w:val="single" w:sz="6" w:space="0" w:color="008000"/>
            </w:tcBorders>
            <w:shd w:val="clear" w:color="auto" w:fill="FFFFFF"/>
          </w:tcPr>
          <w:p w14:paraId="3AAE5E82" w14:textId="434E0087" w:rsidR="00B5659E" w:rsidRPr="00B57B36" w:rsidRDefault="00B5659E" w:rsidP="006F4D72">
            <w:pPr>
              <w:pStyle w:val="CETBodytext"/>
              <w:jc w:val="left"/>
              <w:rPr>
                <w:lang w:val="en-GB"/>
              </w:rPr>
            </w:pPr>
            <w:r>
              <w:rPr>
                <w:lang w:val="en-GB"/>
              </w:rPr>
              <w:t>Power system</w:t>
            </w:r>
          </w:p>
        </w:tc>
        <w:tc>
          <w:tcPr>
            <w:tcW w:w="1033" w:type="pct"/>
            <w:tcBorders>
              <w:top w:val="nil"/>
              <w:bottom w:val="single" w:sz="6" w:space="0" w:color="008000"/>
            </w:tcBorders>
            <w:shd w:val="clear" w:color="auto" w:fill="FFFFFF"/>
          </w:tcPr>
          <w:p w14:paraId="4E6C8794" w14:textId="174DA029" w:rsidR="00B5659E" w:rsidRPr="00B57B36" w:rsidRDefault="00B5659E" w:rsidP="006F4D72">
            <w:pPr>
              <w:pStyle w:val="CETBodytext"/>
              <w:jc w:val="left"/>
              <w:rPr>
                <w:lang w:val="en-GB"/>
              </w:rPr>
            </w:pPr>
            <w:r>
              <w:rPr>
                <w:lang w:val="en-GB"/>
              </w:rPr>
              <w:t>Fuel</w:t>
            </w:r>
          </w:p>
        </w:tc>
        <w:tc>
          <w:tcPr>
            <w:tcW w:w="749" w:type="pct"/>
            <w:gridSpan w:val="2"/>
            <w:tcBorders>
              <w:top w:val="single" w:sz="12" w:space="0" w:color="008000"/>
              <w:bottom w:val="single" w:sz="6" w:space="0" w:color="008000"/>
            </w:tcBorders>
            <w:shd w:val="clear" w:color="auto" w:fill="FFFFFF"/>
          </w:tcPr>
          <w:p w14:paraId="349A1740" w14:textId="5C0BFE68" w:rsidR="00B5659E" w:rsidRPr="00B57B36" w:rsidRDefault="00D420F8" w:rsidP="006F4D72">
            <w:pPr>
              <w:pStyle w:val="CETBodytext"/>
              <w:jc w:val="left"/>
              <w:rPr>
                <w:lang w:val="en-GB"/>
              </w:rPr>
            </w:pPr>
            <w:r>
              <w:rPr>
                <w:lang w:val="en-GB"/>
              </w:rPr>
              <w:t>T</w:t>
            </w:r>
            <w:r w:rsidR="00B5659E">
              <w:rPr>
                <w:lang w:val="en-GB"/>
              </w:rPr>
              <w:t>emperature (°C)</w:t>
            </w:r>
          </w:p>
        </w:tc>
        <w:tc>
          <w:tcPr>
            <w:tcW w:w="749" w:type="pct"/>
            <w:gridSpan w:val="2"/>
            <w:tcBorders>
              <w:top w:val="single" w:sz="12" w:space="0" w:color="008000"/>
              <w:bottom w:val="single" w:sz="6" w:space="0" w:color="008000"/>
            </w:tcBorders>
            <w:shd w:val="clear" w:color="auto" w:fill="FFFFFF"/>
          </w:tcPr>
          <w:p w14:paraId="167ACDF7" w14:textId="5D8B82CF" w:rsidR="00B5659E" w:rsidRPr="00B57B36" w:rsidRDefault="00D420F8" w:rsidP="006F4D72">
            <w:pPr>
              <w:pStyle w:val="CETBodytext"/>
              <w:ind w:right="-1"/>
              <w:jc w:val="left"/>
              <w:rPr>
                <w:rFonts w:cs="Arial"/>
                <w:szCs w:val="18"/>
                <w:lang w:val="en-GB"/>
              </w:rPr>
            </w:pPr>
            <w:r>
              <w:rPr>
                <w:lang w:val="en-GB"/>
              </w:rPr>
              <w:t>Pressure</w:t>
            </w:r>
            <w:r w:rsidR="00B5659E">
              <w:rPr>
                <w:lang w:val="en-GB"/>
              </w:rPr>
              <w:t xml:space="preserve"> (bar)</w:t>
            </w:r>
          </w:p>
        </w:tc>
        <w:tc>
          <w:tcPr>
            <w:tcW w:w="751" w:type="pct"/>
            <w:tcBorders>
              <w:top w:val="single" w:sz="12" w:space="0" w:color="008000"/>
              <w:bottom w:val="single" w:sz="6" w:space="0" w:color="008000"/>
            </w:tcBorders>
            <w:shd w:val="clear" w:color="auto" w:fill="FFFFFF"/>
          </w:tcPr>
          <w:p w14:paraId="003C3CCC" w14:textId="56A103F2" w:rsidR="00B5659E" w:rsidRPr="00B57B36" w:rsidRDefault="00D420F8" w:rsidP="006F4D72">
            <w:pPr>
              <w:pStyle w:val="CETBodytext"/>
              <w:ind w:right="-1"/>
              <w:jc w:val="left"/>
              <w:rPr>
                <w:rFonts w:cs="Arial"/>
                <w:szCs w:val="18"/>
                <w:lang w:val="en-GB"/>
              </w:rPr>
            </w:pPr>
            <w:r>
              <w:rPr>
                <w:rFonts w:cs="Arial"/>
                <w:szCs w:val="18"/>
                <w:lang w:val="en-GB"/>
              </w:rPr>
              <w:t>Physical</w:t>
            </w:r>
            <w:r w:rsidR="00B5659E">
              <w:rPr>
                <w:rFonts w:cs="Arial"/>
                <w:szCs w:val="18"/>
                <w:lang w:val="en-GB"/>
              </w:rPr>
              <w:t xml:space="preserve"> state </w:t>
            </w:r>
          </w:p>
        </w:tc>
        <w:tc>
          <w:tcPr>
            <w:tcW w:w="831" w:type="pct"/>
            <w:tcBorders>
              <w:top w:val="nil"/>
              <w:bottom w:val="single" w:sz="6" w:space="0" w:color="008000"/>
            </w:tcBorders>
            <w:shd w:val="clear" w:color="auto" w:fill="FFFFFF"/>
          </w:tcPr>
          <w:p w14:paraId="5E4407A1" w14:textId="361B4D19" w:rsidR="00B5659E" w:rsidRDefault="00021A2D" w:rsidP="006F4D72">
            <w:pPr>
              <w:pStyle w:val="CETBodytext"/>
              <w:ind w:right="-1"/>
              <w:jc w:val="left"/>
              <w:rPr>
                <w:rFonts w:cs="Arial"/>
                <w:szCs w:val="18"/>
                <w:lang w:val="en-GB"/>
              </w:rPr>
            </w:pPr>
            <w:r>
              <w:rPr>
                <w:rFonts w:cs="Arial"/>
                <w:szCs w:val="18"/>
                <w:lang w:val="en-GB"/>
              </w:rPr>
              <w:t>Utili</w:t>
            </w:r>
            <w:r w:rsidR="00CC6CFA">
              <w:rPr>
                <w:rFonts w:cs="Arial"/>
                <w:szCs w:val="18"/>
                <w:lang w:val="en-GB"/>
              </w:rPr>
              <w:t>s</w:t>
            </w:r>
            <w:r>
              <w:rPr>
                <w:rFonts w:cs="Arial"/>
                <w:szCs w:val="18"/>
                <w:lang w:val="en-GB"/>
              </w:rPr>
              <w:t>ation technology</w:t>
            </w:r>
          </w:p>
        </w:tc>
      </w:tr>
      <w:tr w:rsidR="00B5659E" w:rsidRPr="00B57B36" w14:paraId="44313E6C" w14:textId="79168225" w:rsidTr="00F36F61">
        <w:tc>
          <w:tcPr>
            <w:tcW w:w="886" w:type="pct"/>
            <w:shd w:val="clear" w:color="auto" w:fill="FFFFFF"/>
          </w:tcPr>
          <w:p w14:paraId="536E051E" w14:textId="50A2DDD8" w:rsidR="00B5659E" w:rsidRPr="0008477C" w:rsidRDefault="00012F15" w:rsidP="006F4D72">
            <w:pPr>
              <w:pStyle w:val="CETBodytext"/>
              <w:rPr>
                <w:lang w:val="en-GB"/>
              </w:rPr>
            </w:pPr>
            <w:r>
              <w:rPr>
                <w:lang w:val="en-GB"/>
              </w:rPr>
              <w:t>LH</w:t>
            </w:r>
            <w:r w:rsidRPr="00012F15">
              <w:rPr>
                <w:vertAlign w:val="subscript"/>
                <w:lang w:val="en-GB"/>
              </w:rPr>
              <w:t>2</w:t>
            </w:r>
            <w:r w:rsidR="0008477C" w:rsidRPr="0008477C">
              <w:rPr>
                <w:lang w:val="en-GB"/>
              </w:rPr>
              <w:t xml:space="preserve"> </w:t>
            </w:r>
            <w:r w:rsidR="0008477C">
              <w:rPr>
                <w:lang w:val="en-GB"/>
              </w:rPr>
              <w:t>- PEMFC</w:t>
            </w:r>
          </w:p>
        </w:tc>
        <w:tc>
          <w:tcPr>
            <w:tcW w:w="1033" w:type="pct"/>
            <w:shd w:val="clear" w:color="auto" w:fill="FFFFFF"/>
          </w:tcPr>
          <w:p w14:paraId="3EC74516" w14:textId="7D2BFF37" w:rsidR="00B5659E" w:rsidRPr="00B57B36" w:rsidRDefault="00437448" w:rsidP="006F4D72">
            <w:pPr>
              <w:pStyle w:val="CETBodytext"/>
              <w:rPr>
                <w:lang w:val="en-GB"/>
              </w:rPr>
            </w:pPr>
            <w:r>
              <w:rPr>
                <w:lang w:val="en-GB"/>
              </w:rPr>
              <w:t>Hydrogen</w:t>
            </w:r>
          </w:p>
        </w:tc>
        <w:tc>
          <w:tcPr>
            <w:tcW w:w="749" w:type="pct"/>
            <w:gridSpan w:val="2"/>
            <w:shd w:val="clear" w:color="auto" w:fill="FFFFFF"/>
          </w:tcPr>
          <w:p w14:paraId="7DB23A20" w14:textId="43F6ADC1" w:rsidR="00B5659E" w:rsidRPr="00B57B36" w:rsidRDefault="00EA4959" w:rsidP="006F4D72">
            <w:pPr>
              <w:pStyle w:val="CETBodytext"/>
              <w:rPr>
                <w:lang w:val="en-GB"/>
              </w:rPr>
            </w:pPr>
            <w:r>
              <w:rPr>
                <w:lang w:val="en-GB"/>
              </w:rPr>
              <w:t>-252.8</w:t>
            </w:r>
          </w:p>
        </w:tc>
        <w:tc>
          <w:tcPr>
            <w:tcW w:w="749" w:type="pct"/>
            <w:gridSpan w:val="2"/>
            <w:shd w:val="clear" w:color="auto" w:fill="FFFFFF"/>
          </w:tcPr>
          <w:p w14:paraId="396CD55C" w14:textId="6812ED3F" w:rsidR="00B5659E" w:rsidRPr="00B57B36" w:rsidRDefault="007C4267" w:rsidP="006F4D72">
            <w:pPr>
              <w:pStyle w:val="CETBodytext"/>
              <w:ind w:right="-1"/>
              <w:rPr>
                <w:rFonts w:cs="Arial"/>
                <w:szCs w:val="18"/>
                <w:lang w:val="en-GB"/>
              </w:rPr>
            </w:pPr>
            <w:r>
              <w:rPr>
                <w:rFonts w:cs="Arial"/>
                <w:szCs w:val="18"/>
                <w:lang w:val="en-GB"/>
              </w:rPr>
              <w:t>1.0</w:t>
            </w:r>
          </w:p>
        </w:tc>
        <w:tc>
          <w:tcPr>
            <w:tcW w:w="751" w:type="pct"/>
            <w:shd w:val="clear" w:color="auto" w:fill="FFFFFF"/>
          </w:tcPr>
          <w:p w14:paraId="1F420E74" w14:textId="1F095673" w:rsidR="00B5659E" w:rsidRPr="00B57B36" w:rsidRDefault="000C34EE" w:rsidP="006F4D72">
            <w:pPr>
              <w:pStyle w:val="CETBodytext"/>
              <w:ind w:right="-1"/>
              <w:rPr>
                <w:rFonts w:cs="Arial"/>
                <w:szCs w:val="18"/>
                <w:lang w:val="en-GB"/>
              </w:rPr>
            </w:pPr>
            <w:r>
              <w:rPr>
                <w:rFonts w:cs="Arial"/>
                <w:szCs w:val="18"/>
                <w:lang w:val="en-GB"/>
              </w:rPr>
              <w:t>Liquid</w:t>
            </w:r>
          </w:p>
        </w:tc>
        <w:tc>
          <w:tcPr>
            <w:tcW w:w="831" w:type="pct"/>
            <w:shd w:val="clear" w:color="auto" w:fill="FFFFFF"/>
          </w:tcPr>
          <w:p w14:paraId="6F8BC87D" w14:textId="17B11C8C" w:rsidR="00B5659E" w:rsidRPr="00B57B36" w:rsidRDefault="000C34EE" w:rsidP="006F4D72">
            <w:pPr>
              <w:pStyle w:val="CETBodytext"/>
              <w:ind w:right="-1"/>
              <w:rPr>
                <w:rFonts w:cs="Arial"/>
                <w:szCs w:val="18"/>
                <w:lang w:val="en-GB"/>
              </w:rPr>
            </w:pPr>
            <w:r>
              <w:rPr>
                <w:rFonts w:cs="Arial"/>
                <w:szCs w:val="18"/>
                <w:lang w:val="en-GB"/>
              </w:rPr>
              <w:t>PEMFC</w:t>
            </w:r>
          </w:p>
        </w:tc>
      </w:tr>
      <w:tr w:rsidR="00B5659E" w:rsidRPr="00B57B36" w14:paraId="74C57B55" w14:textId="44ED314A" w:rsidTr="00F36F61">
        <w:tc>
          <w:tcPr>
            <w:tcW w:w="886" w:type="pct"/>
            <w:shd w:val="clear" w:color="auto" w:fill="FFFFFF"/>
          </w:tcPr>
          <w:p w14:paraId="30349D9C" w14:textId="20D615C2" w:rsidR="00B5659E" w:rsidRPr="00B57B36" w:rsidRDefault="00210D69" w:rsidP="006F4D72">
            <w:pPr>
              <w:pStyle w:val="CETBodytext"/>
              <w:ind w:right="-1"/>
              <w:rPr>
                <w:rFonts w:cs="Arial"/>
                <w:szCs w:val="18"/>
                <w:lang w:val="en-GB"/>
              </w:rPr>
            </w:pPr>
            <w:r>
              <w:rPr>
                <w:lang w:val="en-GB"/>
              </w:rPr>
              <w:t>C</w:t>
            </w:r>
            <w:r w:rsidR="00012F15">
              <w:rPr>
                <w:lang w:val="en-GB"/>
              </w:rPr>
              <w:t>GH</w:t>
            </w:r>
            <w:r w:rsidR="00012F15" w:rsidRPr="00012F15">
              <w:rPr>
                <w:vertAlign w:val="subscript"/>
                <w:lang w:val="en-GB"/>
              </w:rPr>
              <w:t>2</w:t>
            </w:r>
            <w:r w:rsidR="0008477C" w:rsidRPr="0008477C">
              <w:rPr>
                <w:lang w:val="en-GB"/>
              </w:rPr>
              <w:t xml:space="preserve"> </w:t>
            </w:r>
            <w:r w:rsidR="0008477C">
              <w:rPr>
                <w:lang w:val="en-GB"/>
              </w:rPr>
              <w:t>- PEMFC</w:t>
            </w:r>
          </w:p>
        </w:tc>
        <w:tc>
          <w:tcPr>
            <w:tcW w:w="1033" w:type="pct"/>
            <w:shd w:val="clear" w:color="auto" w:fill="FFFFFF"/>
          </w:tcPr>
          <w:p w14:paraId="6D8F447C" w14:textId="33123142" w:rsidR="00B5659E" w:rsidRPr="00B57B36" w:rsidRDefault="00437448" w:rsidP="006F4D72">
            <w:pPr>
              <w:pStyle w:val="CETBodytext"/>
              <w:ind w:right="-1"/>
              <w:rPr>
                <w:rFonts w:cs="Arial"/>
                <w:szCs w:val="18"/>
                <w:lang w:val="en-GB"/>
              </w:rPr>
            </w:pPr>
            <w:r>
              <w:rPr>
                <w:rFonts w:cs="Arial"/>
                <w:szCs w:val="18"/>
                <w:lang w:val="en-GB"/>
              </w:rPr>
              <w:t>Hydrogen</w:t>
            </w:r>
          </w:p>
        </w:tc>
        <w:tc>
          <w:tcPr>
            <w:tcW w:w="749" w:type="pct"/>
            <w:gridSpan w:val="2"/>
            <w:shd w:val="clear" w:color="auto" w:fill="FFFFFF"/>
          </w:tcPr>
          <w:p w14:paraId="2C432895" w14:textId="2B147758" w:rsidR="00B5659E" w:rsidRPr="00B57B36" w:rsidRDefault="007C4267" w:rsidP="006F4D72">
            <w:pPr>
              <w:pStyle w:val="CETBodytext"/>
              <w:ind w:right="-1"/>
              <w:rPr>
                <w:rFonts w:cs="Arial"/>
                <w:szCs w:val="18"/>
                <w:lang w:val="en-GB"/>
              </w:rPr>
            </w:pPr>
            <w:r>
              <w:rPr>
                <w:rFonts w:cs="Arial"/>
                <w:szCs w:val="18"/>
                <w:lang w:val="en-GB"/>
              </w:rPr>
              <w:t>20.0</w:t>
            </w:r>
          </w:p>
        </w:tc>
        <w:tc>
          <w:tcPr>
            <w:tcW w:w="749" w:type="pct"/>
            <w:gridSpan w:val="2"/>
            <w:shd w:val="clear" w:color="auto" w:fill="FFFFFF"/>
          </w:tcPr>
          <w:p w14:paraId="2778A662" w14:textId="0F98B04F" w:rsidR="00B5659E" w:rsidRPr="00B57B36" w:rsidRDefault="007C4267" w:rsidP="006F4D72">
            <w:pPr>
              <w:pStyle w:val="CETBodytext"/>
              <w:ind w:right="-1"/>
              <w:rPr>
                <w:rFonts w:cs="Arial"/>
                <w:szCs w:val="18"/>
                <w:lang w:val="en-GB"/>
              </w:rPr>
            </w:pPr>
            <w:r>
              <w:rPr>
                <w:rFonts w:cs="Arial"/>
                <w:szCs w:val="18"/>
                <w:lang w:val="en-GB"/>
              </w:rPr>
              <w:t>350.0</w:t>
            </w:r>
          </w:p>
        </w:tc>
        <w:tc>
          <w:tcPr>
            <w:tcW w:w="751" w:type="pct"/>
            <w:shd w:val="clear" w:color="auto" w:fill="FFFFFF"/>
          </w:tcPr>
          <w:p w14:paraId="5A93D7AA" w14:textId="40FC4771" w:rsidR="00B5659E" w:rsidRPr="00B57B36" w:rsidRDefault="000C34EE" w:rsidP="006F4D72">
            <w:pPr>
              <w:pStyle w:val="CETBodytext"/>
              <w:ind w:right="-1"/>
              <w:rPr>
                <w:rFonts w:cs="Arial"/>
                <w:szCs w:val="18"/>
                <w:lang w:val="en-GB"/>
              </w:rPr>
            </w:pPr>
            <w:r>
              <w:rPr>
                <w:rFonts w:cs="Arial"/>
                <w:szCs w:val="18"/>
                <w:lang w:val="en-GB"/>
              </w:rPr>
              <w:t>Gas</w:t>
            </w:r>
          </w:p>
        </w:tc>
        <w:tc>
          <w:tcPr>
            <w:tcW w:w="831" w:type="pct"/>
            <w:shd w:val="clear" w:color="auto" w:fill="FFFFFF"/>
          </w:tcPr>
          <w:p w14:paraId="5A88BF85" w14:textId="48043C38" w:rsidR="00B5659E" w:rsidRPr="00B57B36" w:rsidRDefault="000C34EE" w:rsidP="006F4D72">
            <w:pPr>
              <w:pStyle w:val="CETBodytext"/>
              <w:ind w:right="-1"/>
              <w:rPr>
                <w:rFonts w:cs="Arial"/>
                <w:szCs w:val="18"/>
                <w:lang w:val="en-GB"/>
              </w:rPr>
            </w:pPr>
            <w:r>
              <w:rPr>
                <w:rFonts w:cs="Arial"/>
                <w:szCs w:val="18"/>
                <w:lang w:val="en-GB"/>
              </w:rPr>
              <w:t>PEMFC</w:t>
            </w:r>
          </w:p>
        </w:tc>
      </w:tr>
      <w:tr w:rsidR="00021A2D" w:rsidRPr="00B57B36" w14:paraId="07143FBF" w14:textId="77777777" w:rsidTr="00F36F61">
        <w:tc>
          <w:tcPr>
            <w:tcW w:w="886" w:type="pct"/>
            <w:shd w:val="clear" w:color="auto" w:fill="FFFFFF"/>
          </w:tcPr>
          <w:p w14:paraId="7F785BCD" w14:textId="331690C8" w:rsidR="00021A2D" w:rsidRPr="00B57B36" w:rsidRDefault="00F32E4B" w:rsidP="006F4D72">
            <w:pPr>
              <w:pStyle w:val="CETBodytext"/>
              <w:ind w:right="-1"/>
              <w:rPr>
                <w:rFonts w:cs="Arial"/>
                <w:szCs w:val="18"/>
                <w:lang w:val="en-GB"/>
              </w:rPr>
            </w:pPr>
            <w:r>
              <w:rPr>
                <w:lang w:val="en-GB"/>
              </w:rPr>
              <w:t>Cc</w:t>
            </w:r>
            <w:r w:rsidR="000C34EE">
              <w:rPr>
                <w:lang w:val="en-GB"/>
              </w:rPr>
              <w:t>L</w:t>
            </w:r>
            <w:r>
              <w:rPr>
                <w:lang w:val="en-GB"/>
              </w:rPr>
              <w:t>H</w:t>
            </w:r>
            <w:r w:rsidRPr="00012F15">
              <w:rPr>
                <w:vertAlign w:val="subscript"/>
                <w:lang w:val="en-GB"/>
              </w:rPr>
              <w:t>2</w:t>
            </w:r>
            <w:r w:rsidR="0008477C" w:rsidRPr="0008477C">
              <w:rPr>
                <w:lang w:val="en-GB"/>
              </w:rPr>
              <w:t xml:space="preserve"> </w:t>
            </w:r>
            <w:r w:rsidR="0008477C">
              <w:rPr>
                <w:lang w:val="en-GB"/>
              </w:rPr>
              <w:t>- PEMFC</w:t>
            </w:r>
          </w:p>
        </w:tc>
        <w:tc>
          <w:tcPr>
            <w:tcW w:w="1033" w:type="pct"/>
            <w:shd w:val="clear" w:color="auto" w:fill="FFFFFF"/>
          </w:tcPr>
          <w:p w14:paraId="4766B77E" w14:textId="033EBE59" w:rsidR="00021A2D" w:rsidRPr="00B57B36" w:rsidRDefault="00437448" w:rsidP="006F4D72">
            <w:pPr>
              <w:pStyle w:val="CETBodytext"/>
              <w:ind w:right="-1"/>
              <w:rPr>
                <w:rFonts w:cs="Arial"/>
                <w:szCs w:val="18"/>
                <w:lang w:val="en-GB"/>
              </w:rPr>
            </w:pPr>
            <w:r>
              <w:rPr>
                <w:rFonts w:cs="Arial"/>
                <w:szCs w:val="18"/>
                <w:lang w:val="en-GB"/>
              </w:rPr>
              <w:t>Hydrogen</w:t>
            </w:r>
          </w:p>
        </w:tc>
        <w:tc>
          <w:tcPr>
            <w:tcW w:w="749" w:type="pct"/>
            <w:gridSpan w:val="2"/>
            <w:shd w:val="clear" w:color="auto" w:fill="FFFFFF"/>
          </w:tcPr>
          <w:p w14:paraId="4A9A2587" w14:textId="1EC68AC6" w:rsidR="00021A2D" w:rsidRPr="00B57B36" w:rsidRDefault="007C4267" w:rsidP="006F4D72">
            <w:pPr>
              <w:pStyle w:val="CETBodytext"/>
              <w:ind w:right="-1"/>
              <w:rPr>
                <w:rFonts w:cs="Arial"/>
                <w:szCs w:val="18"/>
                <w:lang w:val="en-GB"/>
              </w:rPr>
            </w:pPr>
            <w:r>
              <w:rPr>
                <w:rFonts w:cs="Arial"/>
                <w:szCs w:val="18"/>
                <w:lang w:val="en-GB"/>
              </w:rPr>
              <w:t>-252.8</w:t>
            </w:r>
          </w:p>
        </w:tc>
        <w:tc>
          <w:tcPr>
            <w:tcW w:w="749" w:type="pct"/>
            <w:gridSpan w:val="2"/>
            <w:shd w:val="clear" w:color="auto" w:fill="FFFFFF"/>
          </w:tcPr>
          <w:p w14:paraId="169E9432" w14:textId="36042800" w:rsidR="00021A2D" w:rsidRPr="00B57B36" w:rsidRDefault="000C34EE" w:rsidP="006F4D72">
            <w:pPr>
              <w:pStyle w:val="CETBodytext"/>
              <w:ind w:right="-1"/>
              <w:rPr>
                <w:rFonts w:cs="Arial"/>
                <w:szCs w:val="18"/>
                <w:lang w:val="en-GB"/>
              </w:rPr>
            </w:pPr>
            <w:r>
              <w:rPr>
                <w:rFonts w:cs="Arial"/>
                <w:szCs w:val="18"/>
                <w:lang w:val="en-GB"/>
              </w:rPr>
              <w:t>350.0</w:t>
            </w:r>
          </w:p>
        </w:tc>
        <w:tc>
          <w:tcPr>
            <w:tcW w:w="751" w:type="pct"/>
            <w:shd w:val="clear" w:color="auto" w:fill="FFFFFF"/>
          </w:tcPr>
          <w:p w14:paraId="5CA80812" w14:textId="59E08148" w:rsidR="00021A2D" w:rsidRPr="00B57B36" w:rsidRDefault="000C34EE" w:rsidP="006F4D72">
            <w:pPr>
              <w:pStyle w:val="CETBodytext"/>
              <w:ind w:right="-1"/>
              <w:rPr>
                <w:rFonts w:cs="Arial"/>
                <w:szCs w:val="18"/>
                <w:lang w:val="en-GB"/>
              </w:rPr>
            </w:pPr>
            <w:r>
              <w:rPr>
                <w:rFonts w:cs="Arial"/>
                <w:szCs w:val="18"/>
                <w:lang w:val="en-GB"/>
              </w:rPr>
              <w:t>Liquid</w:t>
            </w:r>
          </w:p>
        </w:tc>
        <w:tc>
          <w:tcPr>
            <w:tcW w:w="831" w:type="pct"/>
            <w:shd w:val="clear" w:color="auto" w:fill="FFFFFF"/>
          </w:tcPr>
          <w:p w14:paraId="354A8670" w14:textId="10A7D28B" w:rsidR="00021A2D" w:rsidRPr="00B57B36" w:rsidRDefault="000C34EE" w:rsidP="006F4D72">
            <w:pPr>
              <w:pStyle w:val="CETBodytext"/>
              <w:ind w:right="-1"/>
              <w:rPr>
                <w:rFonts w:cs="Arial"/>
                <w:szCs w:val="18"/>
                <w:lang w:val="en-GB"/>
              </w:rPr>
            </w:pPr>
            <w:r>
              <w:rPr>
                <w:rFonts w:cs="Arial"/>
                <w:szCs w:val="18"/>
                <w:lang w:val="en-GB"/>
              </w:rPr>
              <w:t>PEMFC</w:t>
            </w:r>
          </w:p>
        </w:tc>
      </w:tr>
      <w:tr w:rsidR="00021A2D" w:rsidRPr="00B57B36" w14:paraId="683D22C7" w14:textId="77777777" w:rsidTr="00F36F61">
        <w:tc>
          <w:tcPr>
            <w:tcW w:w="886" w:type="pct"/>
            <w:shd w:val="clear" w:color="auto" w:fill="FFFFFF"/>
          </w:tcPr>
          <w:p w14:paraId="2EDE39AF" w14:textId="0588C5DD" w:rsidR="00021A2D" w:rsidRPr="00B57B36" w:rsidRDefault="00437448" w:rsidP="006F4D72">
            <w:pPr>
              <w:pStyle w:val="CETBodytext"/>
              <w:ind w:right="-1"/>
              <w:rPr>
                <w:rFonts w:cs="Arial"/>
                <w:szCs w:val="18"/>
                <w:lang w:val="en-GB"/>
              </w:rPr>
            </w:pPr>
            <w:r>
              <w:rPr>
                <w:rFonts w:cs="Arial"/>
                <w:szCs w:val="18"/>
                <w:lang w:val="en-GB"/>
              </w:rPr>
              <w:t>LNG</w:t>
            </w:r>
            <w:r w:rsidR="0008477C">
              <w:rPr>
                <w:rFonts w:cs="Arial"/>
                <w:szCs w:val="18"/>
                <w:lang w:val="en-GB"/>
              </w:rPr>
              <w:t xml:space="preserve"> </w:t>
            </w:r>
            <w:r>
              <w:rPr>
                <w:rFonts w:cs="Arial"/>
                <w:szCs w:val="18"/>
                <w:lang w:val="en-GB"/>
              </w:rPr>
              <w:t>-</w:t>
            </w:r>
            <w:r w:rsidR="0008477C">
              <w:rPr>
                <w:rFonts w:cs="Arial"/>
                <w:szCs w:val="18"/>
                <w:lang w:val="en-GB"/>
              </w:rPr>
              <w:t xml:space="preserve"> </w:t>
            </w:r>
            <w:r>
              <w:rPr>
                <w:rFonts w:cs="Arial"/>
                <w:szCs w:val="18"/>
                <w:lang w:val="en-GB"/>
              </w:rPr>
              <w:t>LBSI</w:t>
            </w:r>
          </w:p>
        </w:tc>
        <w:tc>
          <w:tcPr>
            <w:tcW w:w="1033" w:type="pct"/>
            <w:shd w:val="clear" w:color="auto" w:fill="FFFFFF"/>
          </w:tcPr>
          <w:p w14:paraId="1E57CA5D" w14:textId="0ADC28BC" w:rsidR="00021A2D" w:rsidRPr="00B57B36" w:rsidRDefault="003F0E8C" w:rsidP="006F4D72">
            <w:pPr>
              <w:pStyle w:val="CETBodytext"/>
              <w:ind w:right="-1"/>
              <w:rPr>
                <w:rFonts w:cs="Arial"/>
                <w:szCs w:val="18"/>
                <w:lang w:val="en-GB"/>
              </w:rPr>
            </w:pPr>
            <w:r>
              <w:rPr>
                <w:rFonts w:cs="Arial"/>
                <w:szCs w:val="18"/>
                <w:lang w:val="en-GB"/>
              </w:rPr>
              <w:t>Liquefied n</w:t>
            </w:r>
            <w:r w:rsidR="00E157ED">
              <w:rPr>
                <w:rFonts w:cs="Arial"/>
                <w:szCs w:val="18"/>
                <w:lang w:val="en-GB"/>
              </w:rPr>
              <w:t>atural gas</w:t>
            </w:r>
          </w:p>
        </w:tc>
        <w:tc>
          <w:tcPr>
            <w:tcW w:w="749" w:type="pct"/>
            <w:gridSpan w:val="2"/>
            <w:shd w:val="clear" w:color="auto" w:fill="FFFFFF"/>
          </w:tcPr>
          <w:p w14:paraId="28FB18D2" w14:textId="33464302" w:rsidR="00021A2D" w:rsidRPr="00B57B36" w:rsidRDefault="007C4267" w:rsidP="006F4D72">
            <w:pPr>
              <w:pStyle w:val="CETBodytext"/>
              <w:ind w:right="-1"/>
              <w:rPr>
                <w:rFonts w:cs="Arial"/>
                <w:szCs w:val="18"/>
                <w:lang w:val="en-GB"/>
              </w:rPr>
            </w:pPr>
            <w:r>
              <w:rPr>
                <w:rFonts w:cs="Arial"/>
                <w:szCs w:val="18"/>
                <w:lang w:val="en-GB"/>
              </w:rPr>
              <w:t>-133.2</w:t>
            </w:r>
          </w:p>
        </w:tc>
        <w:tc>
          <w:tcPr>
            <w:tcW w:w="749" w:type="pct"/>
            <w:gridSpan w:val="2"/>
            <w:shd w:val="clear" w:color="auto" w:fill="FFFFFF"/>
          </w:tcPr>
          <w:p w14:paraId="43F3EB42" w14:textId="5A6F7476" w:rsidR="00021A2D" w:rsidRPr="00B57B36" w:rsidRDefault="000C34EE" w:rsidP="006F4D72">
            <w:pPr>
              <w:pStyle w:val="CETBodytext"/>
              <w:ind w:right="-1"/>
              <w:rPr>
                <w:rFonts w:cs="Arial"/>
                <w:szCs w:val="18"/>
                <w:lang w:val="en-GB"/>
              </w:rPr>
            </w:pPr>
            <w:r>
              <w:rPr>
                <w:rFonts w:cs="Arial"/>
                <w:szCs w:val="18"/>
                <w:lang w:val="en-GB"/>
              </w:rPr>
              <w:t>6.0</w:t>
            </w:r>
          </w:p>
        </w:tc>
        <w:tc>
          <w:tcPr>
            <w:tcW w:w="751" w:type="pct"/>
            <w:shd w:val="clear" w:color="auto" w:fill="FFFFFF"/>
          </w:tcPr>
          <w:p w14:paraId="7F951AF0" w14:textId="7FA2873C" w:rsidR="00021A2D" w:rsidRPr="00B57B36" w:rsidRDefault="000C34EE" w:rsidP="006F4D72">
            <w:pPr>
              <w:pStyle w:val="CETBodytext"/>
              <w:ind w:right="-1"/>
              <w:rPr>
                <w:rFonts w:cs="Arial"/>
                <w:szCs w:val="18"/>
                <w:lang w:val="en-GB"/>
              </w:rPr>
            </w:pPr>
            <w:r>
              <w:rPr>
                <w:rFonts w:cs="Arial"/>
                <w:szCs w:val="18"/>
                <w:lang w:val="en-GB"/>
              </w:rPr>
              <w:t>Liquid</w:t>
            </w:r>
          </w:p>
        </w:tc>
        <w:tc>
          <w:tcPr>
            <w:tcW w:w="831" w:type="pct"/>
            <w:shd w:val="clear" w:color="auto" w:fill="FFFFFF"/>
          </w:tcPr>
          <w:p w14:paraId="163772D5" w14:textId="5F0F0113" w:rsidR="00021A2D" w:rsidRPr="00B57B36" w:rsidRDefault="000C34EE" w:rsidP="006F4D72">
            <w:pPr>
              <w:pStyle w:val="CETBodytext"/>
              <w:ind w:right="-1"/>
              <w:rPr>
                <w:rFonts w:cs="Arial"/>
                <w:szCs w:val="18"/>
                <w:lang w:val="en-GB"/>
              </w:rPr>
            </w:pPr>
            <w:r>
              <w:rPr>
                <w:rFonts w:cs="Arial"/>
                <w:szCs w:val="18"/>
                <w:lang w:val="en-GB"/>
              </w:rPr>
              <w:t>LBSI</w:t>
            </w:r>
          </w:p>
        </w:tc>
      </w:tr>
    </w:tbl>
    <w:p w14:paraId="4C853C50" w14:textId="77777777" w:rsidR="0075579B" w:rsidRDefault="0075579B" w:rsidP="00600535">
      <w:pPr>
        <w:pStyle w:val="CETBodytext"/>
        <w:rPr>
          <w:lang w:val="en-GB"/>
        </w:rPr>
      </w:pPr>
    </w:p>
    <w:p w14:paraId="7B70D427" w14:textId="3494C81B" w:rsidR="005F1638" w:rsidRDefault="00763E7F" w:rsidP="005F1638">
      <w:pPr>
        <w:pStyle w:val="CETHeading1"/>
        <w:rPr>
          <w:lang w:val="en-GB"/>
        </w:rPr>
      </w:pPr>
      <w:r>
        <w:rPr>
          <w:lang w:val="en-GB"/>
        </w:rPr>
        <w:lastRenderedPageBreak/>
        <w:t>Results and discussion</w:t>
      </w:r>
    </w:p>
    <w:p w14:paraId="6E8865D5" w14:textId="58C144E7" w:rsidR="009E2955" w:rsidRDefault="008D1F2C" w:rsidP="00600535">
      <w:pPr>
        <w:pStyle w:val="CETBodytext"/>
        <w:rPr>
          <w:lang w:val="en-GB"/>
        </w:rPr>
      </w:pPr>
      <w:r>
        <w:rPr>
          <w:lang w:val="en-GB"/>
        </w:rPr>
        <w:t xml:space="preserve">Based on the described methodology, the safety performances of the investigated solutions were </w:t>
      </w:r>
      <w:r w:rsidR="003E5A22">
        <w:rPr>
          <w:lang w:val="en-GB"/>
        </w:rPr>
        <w:t>quantified</w:t>
      </w:r>
      <w:r w:rsidR="007C5523">
        <w:rPr>
          <w:lang w:val="en-GB"/>
        </w:rPr>
        <w:t xml:space="preserve"> and expressed in terms of </w:t>
      </w:r>
      <w:r w:rsidR="003E5A22">
        <w:rPr>
          <w:lang w:val="en-GB"/>
        </w:rPr>
        <w:t xml:space="preserve">the PI and HI indices </w:t>
      </w:r>
      <w:r>
        <w:rPr>
          <w:lang w:val="en-GB"/>
        </w:rPr>
        <w:t xml:space="preserve">reported in </w:t>
      </w:r>
      <w:r w:rsidR="00404560">
        <w:rPr>
          <w:lang w:val="en-GB"/>
        </w:rPr>
        <w:fldChar w:fldCharType="begin"/>
      </w:r>
      <w:r w:rsidR="00404560">
        <w:rPr>
          <w:lang w:val="en-GB"/>
        </w:rPr>
        <w:instrText xml:space="preserve"> REF _Ref159227444 \h </w:instrText>
      </w:r>
      <w:r w:rsidR="00404560">
        <w:rPr>
          <w:lang w:val="en-GB"/>
        </w:rPr>
      </w:r>
      <w:r w:rsidR="00404560">
        <w:rPr>
          <w:lang w:val="en-GB"/>
        </w:rPr>
        <w:fldChar w:fldCharType="separate"/>
      </w:r>
      <w:r w:rsidR="00404560">
        <w:t xml:space="preserve">Figure </w:t>
      </w:r>
      <w:r w:rsidR="00404560">
        <w:rPr>
          <w:noProof/>
        </w:rPr>
        <w:t>2</w:t>
      </w:r>
      <w:r w:rsidR="00404560">
        <w:rPr>
          <w:lang w:val="en-GB"/>
        </w:rPr>
        <w:fldChar w:fldCharType="end"/>
      </w:r>
      <w:r w:rsidR="005C66ED">
        <w:rPr>
          <w:lang w:val="en-GB"/>
        </w:rPr>
        <w:t xml:space="preserve">. </w:t>
      </w:r>
    </w:p>
    <w:p w14:paraId="64940683" w14:textId="25586540" w:rsidR="00E47E83" w:rsidRPr="00BE325A" w:rsidRDefault="00E47E83" w:rsidP="00600535">
      <w:pPr>
        <w:pStyle w:val="CETBodytext"/>
        <w:rPr>
          <w:lang w:val="en-GB"/>
        </w:rPr>
      </w:pPr>
    </w:p>
    <w:p w14:paraId="25FE3ACD" w14:textId="786DA9E8" w:rsidR="003970C1" w:rsidRDefault="00AC594B" w:rsidP="003970C1">
      <w:pPr>
        <w:pStyle w:val="CETBodytext"/>
        <w:keepNext/>
        <w:jc w:val="left"/>
      </w:pPr>
      <w:r w:rsidRPr="00AC594B">
        <w:rPr>
          <w:noProof/>
        </w:rPr>
        <w:drawing>
          <wp:inline distT="0" distB="0" distL="0" distR="0" wp14:anchorId="19BC7043" wp14:editId="7AB071A7">
            <wp:extent cx="5497683" cy="2766060"/>
            <wp:effectExtent l="0" t="0" r="8255" b="0"/>
            <wp:docPr id="24107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471" t="2681"/>
                    <a:stretch/>
                  </pic:blipFill>
                  <pic:spPr bwMode="auto">
                    <a:xfrm>
                      <a:off x="0" y="0"/>
                      <a:ext cx="5497683" cy="2766060"/>
                    </a:xfrm>
                    <a:prstGeom prst="rect">
                      <a:avLst/>
                    </a:prstGeom>
                    <a:noFill/>
                    <a:ln>
                      <a:noFill/>
                    </a:ln>
                    <a:extLst>
                      <a:ext uri="{53640926-AAD7-44D8-BBD7-CCE9431645EC}">
                        <a14:shadowObscured xmlns:a14="http://schemas.microsoft.com/office/drawing/2010/main"/>
                      </a:ext>
                    </a:extLst>
                  </pic:spPr>
                </pic:pic>
              </a:graphicData>
            </a:graphic>
          </wp:inline>
        </w:drawing>
      </w:r>
    </w:p>
    <w:p w14:paraId="79B74C0D" w14:textId="693DB82E" w:rsidR="009E2955" w:rsidRDefault="003970C1" w:rsidP="003970C1">
      <w:pPr>
        <w:pStyle w:val="CETCaption"/>
      </w:pPr>
      <w:bookmarkStart w:id="2" w:name="_Ref159227444"/>
      <w:r>
        <w:t xml:space="preserve">Figure </w:t>
      </w:r>
      <w:r>
        <w:fldChar w:fldCharType="begin"/>
      </w:r>
      <w:r>
        <w:instrText xml:space="preserve"> SEQ Figure \* ARABIC </w:instrText>
      </w:r>
      <w:r>
        <w:fldChar w:fldCharType="separate"/>
      </w:r>
      <w:r w:rsidR="00B72713">
        <w:rPr>
          <w:noProof/>
        </w:rPr>
        <w:t>2</w:t>
      </w:r>
      <w:r>
        <w:fldChar w:fldCharType="end"/>
      </w:r>
      <w:bookmarkEnd w:id="2"/>
      <w:r>
        <w:t xml:space="preserve">: </w:t>
      </w:r>
      <w:r w:rsidR="00E9468F">
        <w:t xml:space="preserve">Overall </w:t>
      </w:r>
      <w:r w:rsidR="00B13C06">
        <w:t>IS-KPIs computed</w:t>
      </w:r>
      <w:r w:rsidR="00E9468F">
        <w:t xml:space="preserve"> for the reference ship PSs:</w:t>
      </w:r>
      <w:r w:rsidR="00267E98">
        <w:t xml:space="preserve"> </w:t>
      </w:r>
      <w:r w:rsidR="00B06211">
        <w:t>(a) PI</w:t>
      </w:r>
      <w:r w:rsidR="000C2049">
        <w:t xml:space="preserve"> values; </w:t>
      </w:r>
      <w:r w:rsidR="00B06211">
        <w:t>(b) HI</w:t>
      </w:r>
      <w:r w:rsidR="000C2049">
        <w:t xml:space="preserve"> </w:t>
      </w:r>
      <w:proofErr w:type="gramStart"/>
      <w:r w:rsidR="000C2049">
        <w:t>values</w:t>
      </w:r>
      <w:proofErr w:type="gramEnd"/>
      <w:r w:rsidR="00B06211">
        <w:t xml:space="preserve">  </w:t>
      </w:r>
    </w:p>
    <w:p w14:paraId="1DC9432C" w14:textId="77777777" w:rsidR="00FD3928" w:rsidRDefault="00FD3928" w:rsidP="00404FF7">
      <w:pPr>
        <w:pStyle w:val="CETBodytext"/>
        <w:rPr>
          <w:lang w:val="en-GB"/>
        </w:rPr>
      </w:pPr>
    </w:p>
    <w:p w14:paraId="1A4FADCB" w14:textId="705C3E27" w:rsidR="00E33588" w:rsidRDefault="00E33588" w:rsidP="00404FF7">
      <w:pPr>
        <w:pStyle w:val="CETBodytext"/>
        <w:rPr>
          <w:rFonts w:cs="Arial"/>
          <w:szCs w:val="18"/>
          <w:lang w:val="en-GB"/>
        </w:rPr>
      </w:pPr>
      <w:r>
        <w:rPr>
          <w:lang w:val="en-GB"/>
        </w:rPr>
        <w:t>According to both indices, CGH</w:t>
      </w:r>
      <w:r w:rsidRPr="00012F15">
        <w:rPr>
          <w:vertAlign w:val="subscript"/>
          <w:lang w:val="en-GB"/>
        </w:rPr>
        <w:t>2</w:t>
      </w:r>
      <w:r w:rsidRPr="0008477C">
        <w:rPr>
          <w:lang w:val="en-GB"/>
        </w:rPr>
        <w:t xml:space="preserve"> </w:t>
      </w:r>
      <w:r>
        <w:rPr>
          <w:lang w:val="en-GB"/>
        </w:rPr>
        <w:t>– PEMFC presents the worst inherent safety performance. This can be attributed to the significant severity and credibility of gaseous hydrogen releases from the high number of storage tanks installed onboard. Conversely, the adoption of PSs based on liquid hydrogen, either cryogenic or cryo-compressed, resulted in greatly reducing the overall onboard hazard level</w:t>
      </w:r>
      <w:r w:rsidR="008D1F2C">
        <w:rPr>
          <w:lang w:val="en-GB"/>
        </w:rPr>
        <w:t xml:space="preserve">. This is particularly relevant for the case of </w:t>
      </w:r>
      <w:r>
        <w:rPr>
          <w:lang w:val="en-GB"/>
        </w:rPr>
        <w:t>CcLH</w:t>
      </w:r>
      <w:r w:rsidRPr="00012F15">
        <w:rPr>
          <w:vertAlign w:val="subscript"/>
          <w:lang w:val="en-GB"/>
        </w:rPr>
        <w:t>2</w:t>
      </w:r>
      <w:r w:rsidRPr="0008477C">
        <w:rPr>
          <w:lang w:val="en-GB"/>
        </w:rPr>
        <w:t xml:space="preserve"> </w:t>
      </w:r>
      <w:r>
        <w:rPr>
          <w:lang w:val="en-GB"/>
        </w:rPr>
        <w:t>– PEMFC</w:t>
      </w:r>
      <w:r w:rsidR="008D1F2C">
        <w:rPr>
          <w:lang w:val="en-GB"/>
        </w:rPr>
        <w:t xml:space="preserve">, where PI and HI are </w:t>
      </w:r>
      <w:r>
        <w:rPr>
          <w:lang w:val="en-GB"/>
        </w:rPr>
        <w:t xml:space="preserve">respectively almost 6/25 and 2/5 of the values associated with </w:t>
      </w:r>
      <w:r>
        <w:rPr>
          <w:rFonts w:cs="Arial"/>
          <w:szCs w:val="18"/>
          <w:lang w:val="en-GB"/>
        </w:rPr>
        <w:t xml:space="preserve">LNG – LBSI. </w:t>
      </w:r>
      <w:r w:rsidR="008D1F2C">
        <w:rPr>
          <w:rFonts w:cs="Arial"/>
          <w:szCs w:val="18"/>
          <w:lang w:val="en-GB"/>
        </w:rPr>
        <w:t xml:space="preserve">This reduction can be attributed to the </w:t>
      </w:r>
      <w:r w:rsidR="00351707">
        <w:rPr>
          <w:rFonts w:cs="Arial"/>
          <w:szCs w:val="18"/>
          <w:lang w:val="en-GB"/>
        </w:rPr>
        <w:t xml:space="preserve">larger energy density, resulting in a reduced storage requirement as well as lower credibility of an accidental release due to the construction characteristics of the analysed vessels. </w:t>
      </w:r>
    </w:p>
    <w:p w14:paraId="1927EC6C" w14:textId="068E9097" w:rsidR="0034798B" w:rsidRDefault="00961EDC" w:rsidP="00404FF7">
      <w:pPr>
        <w:pStyle w:val="CETBodytext"/>
        <w:rPr>
          <w:rFonts w:cs="Arial"/>
          <w:szCs w:val="18"/>
          <w:lang w:val="en-GB"/>
        </w:rPr>
      </w:pPr>
      <w:r>
        <w:rPr>
          <w:rFonts w:cs="Arial"/>
          <w:szCs w:val="18"/>
          <w:lang w:val="en-GB"/>
        </w:rPr>
        <w:t>Under the posed hypotheses, t</w:t>
      </w:r>
      <w:r w:rsidR="0034798B">
        <w:rPr>
          <w:rFonts w:cs="Arial"/>
          <w:szCs w:val="18"/>
          <w:lang w:val="en-GB"/>
        </w:rPr>
        <w:t xml:space="preserve">he most relevant consequences were generated by </w:t>
      </w:r>
      <w:r w:rsidR="00A14098">
        <w:rPr>
          <w:rFonts w:cs="Arial"/>
          <w:szCs w:val="18"/>
          <w:lang w:val="en-GB"/>
        </w:rPr>
        <w:t>vap</w:t>
      </w:r>
      <w:r w:rsidR="0099294B">
        <w:rPr>
          <w:rFonts w:cs="Arial"/>
          <w:szCs w:val="18"/>
          <w:lang w:val="en-GB"/>
        </w:rPr>
        <w:t>our cloud explosions</w:t>
      </w:r>
      <w:r w:rsidR="00400DBA">
        <w:rPr>
          <w:rFonts w:cs="Arial"/>
          <w:szCs w:val="18"/>
          <w:lang w:val="en-GB"/>
        </w:rPr>
        <w:t xml:space="preserve"> for all the reference PSs considered</w:t>
      </w:r>
      <w:r w:rsidR="0099294B">
        <w:rPr>
          <w:rFonts w:cs="Arial"/>
          <w:szCs w:val="18"/>
          <w:lang w:val="en-GB"/>
        </w:rPr>
        <w:t xml:space="preserve">. </w:t>
      </w:r>
      <w:r w:rsidR="0034798B">
        <w:rPr>
          <w:rFonts w:cs="Arial"/>
          <w:szCs w:val="18"/>
          <w:lang w:val="en-GB"/>
        </w:rPr>
        <w:t>Hence, the effect</w:t>
      </w:r>
      <w:r>
        <w:rPr>
          <w:rFonts w:cs="Arial"/>
          <w:szCs w:val="18"/>
          <w:lang w:val="en-GB"/>
        </w:rPr>
        <w:t>s</w:t>
      </w:r>
      <w:r w:rsidR="0034798B">
        <w:rPr>
          <w:rFonts w:cs="Arial"/>
          <w:szCs w:val="18"/>
          <w:lang w:val="en-GB"/>
        </w:rPr>
        <w:t xml:space="preserve"> of scenarios related to the presence of extremely low temperatures (e.g., frostnip and frostbite) </w:t>
      </w:r>
      <w:r>
        <w:rPr>
          <w:rFonts w:cs="Arial"/>
          <w:szCs w:val="18"/>
          <w:lang w:val="en-GB"/>
        </w:rPr>
        <w:t xml:space="preserve">can be considered </w:t>
      </w:r>
      <w:r w:rsidR="0034798B">
        <w:rPr>
          <w:rFonts w:cs="Arial"/>
          <w:szCs w:val="18"/>
          <w:lang w:val="en-GB"/>
        </w:rPr>
        <w:t xml:space="preserve">negligible on the risk figure resulting from this analysis, regardless of the investigated reference scheme. </w:t>
      </w:r>
    </w:p>
    <w:p w14:paraId="2AFE4D41" w14:textId="1D6EA01B" w:rsidR="00E57681" w:rsidRDefault="00DD0D84" w:rsidP="00404FF7">
      <w:pPr>
        <w:pStyle w:val="CETBodytext"/>
      </w:pPr>
      <w:r>
        <w:t xml:space="preserve">Focusing on </w:t>
      </w:r>
      <w:r w:rsidR="00EE447F">
        <w:t xml:space="preserve">the </w:t>
      </w:r>
      <w:r w:rsidR="00AD3D9E">
        <w:t xml:space="preserve">hazard </w:t>
      </w:r>
      <w:r w:rsidR="00EE447F">
        <w:t>contribution</w:t>
      </w:r>
      <w:r w:rsidR="009466A6">
        <w:t>s</w:t>
      </w:r>
      <w:r w:rsidR="00EE447F">
        <w:t xml:space="preserve"> of</w:t>
      </w:r>
      <w:r w:rsidR="00AD3D9E">
        <w:t xml:space="preserve"> single</w:t>
      </w:r>
      <w:r w:rsidR="00EE447F">
        <w:t xml:space="preserve"> </w:t>
      </w:r>
      <w:r w:rsidR="00D92FDF">
        <w:t>equipment items</w:t>
      </w:r>
      <w:r w:rsidR="004F6BC9">
        <w:t>, storage vessels</w:t>
      </w:r>
      <w:r w:rsidR="00AD3D9E">
        <w:t xml:space="preserve"> </w:t>
      </w:r>
      <w:r w:rsidR="00FC001B">
        <w:t>resulted</w:t>
      </w:r>
      <w:r w:rsidR="00946C75">
        <w:t xml:space="preserve"> in</w:t>
      </w:r>
      <w:r w:rsidR="00D92FDF">
        <w:t xml:space="preserve"> the most safety-critical unit</w:t>
      </w:r>
      <w:r w:rsidR="00FC001B">
        <w:t>s</w:t>
      </w:r>
      <w:r w:rsidR="00D92FDF">
        <w:t>, accounting for almost the whole value</w:t>
      </w:r>
      <w:r w:rsidR="00AC6567">
        <w:t>s</w:t>
      </w:r>
      <w:r w:rsidR="00D92FDF">
        <w:t xml:space="preserve"> of PI and HI</w:t>
      </w:r>
      <w:r w:rsidR="00B40D29">
        <w:t xml:space="preserve"> </w:t>
      </w:r>
      <w:r w:rsidR="00FC001B">
        <w:t>indices for all the reference PSs examined.</w:t>
      </w:r>
      <w:r w:rsidR="00943EF9">
        <w:t xml:space="preserve"> </w:t>
      </w:r>
      <w:r w:rsidR="0034798B">
        <w:t>Remarkably, if focusing on PI, almost negligible contribut</w:t>
      </w:r>
      <w:r w:rsidR="00946C75">
        <w:t>ion</w:t>
      </w:r>
      <w:r w:rsidR="0034798B">
        <w:t>s can be observed for process vessels, heat exchangers, and pressure change units. Hence, the robustness and validity of the presented results can be extended also in the case of minor modifications within the proposed reference schemes. Conversely, w</w:t>
      </w:r>
      <w:r w:rsidR="00943EF9">
        <w:t xml:space="preserve">hen accounting for </w:t>
      </w:r>
      <w:r w:rsidR="00946C75">
        <w:t xml:space="preserve">the </w:t>
      </w:r>
      <w:r w:rsidR="00175F89">
        <w:t>credibility of loss of containment</w:t>
      </w:r>
      <w:r w:rsidR="00381E2D">
        <w:t xml:space="preserve"> (HI index,</w:t>
      </w:r>
      <w:r w:rsidR="00381E2D" w:rsidRPr="00381E2D">
        <w:t xml:space="preserve"> </w:t>
      </w:r>
      <w:r w:rsidR="00381E2D" w:rsidRPr="00381E2D">
        <w:rPr>
          <w:lang w:val="en-GB"/>
        </w:rPr>
        <w:fldChar w:fldCharType="begin"/>
      </w:r>
      <w:r w:rsidR="00381E2D" w:rsidRPr="00381E2D">
        <w:rPr>
          <w:lang w:val="en-GB"/>
        </w:rPr>
        <w:instrText xml:space="preserve"> REF _Ref159227444 \h </w:instrText>
      </w:r>
      <w:r w:rsidR="00381E2D">
        <w:instrText xml:space="preserve"> \* MERGEFORMAT </w:instrText>
      </w:r>
      <w:r w:rsidR="00381E2D" w:rsidRPr="00381E2D">
        <w:rPr>
          <w:lang w:val="en-GB"/>
        </w:rPr>
      </w:r>
      <w:r w:rsidR="00381E2D" w:rsidRPr="00381E2D">
        <w:rPr>
          <w:lang w:val="en-GB"/>
        </w:rPr>
        <w:fldChar w:fldCharType="separate"/>
      </w:r>
      <w:r w:rsidR="00381E2D" w:rsidRPr="00381E2D">
        <w:t xml:space="preserve">Figure </w:t>
      </w:r>
      <w:r w:rsidR="00381E2D" w:rsidRPr="00381E2D">
        <w:rPr>
          <w:noProof/>
        </w:rPr>
        <w:t>2</w:t>
      </w:r>
      <w:r w:rsidR="00381E2D" w:rsidRPr="00381E2D">
        <w:rPr>
          <w:lang w:val="en-GB"/>
        </w:rPr>
        <w:fldChar w:fldCharType="end"/>
      </w:r>
      <w:r w:rsidR="00381E2D">
        <w:t>b)</w:t>
      </w:r>
      <w:r w:rsidR="00175F89">
        <w:t>, pressure change units (e.g., pumps</w:t>
      </w:r>
      <w:r w:rsidR="0034798B">
        <w:t xml:space="preserve"> and</w:t>
      </w:r>
      <w:r w:rsidR="00175F89">
        <w:t xml:space="preserve"> compressor</w:t>
      </w:r>
      <w:r w:rsidR="003C3AAF">
        <w:t>s</w:t>
      </w:r>
      <w:r w:rsidR="00175F89">
        <w:t xml:space="preserve">) </w:t>
      </w:r>
      <w:r w:rsidR="008B1B0D">
        <w:t xml:space="preserve">present a slightly increased </w:t>
      </w:r>
      <w:r w:rsidR="00015425">
        <w:t xml:space="preserve">inherent hazard contribution, </w:t>
      </w:r>
      <w:r w:rsidR="003C3AAF">
        <w:t xml:space="preserve">due to their </w:t>
      </w:r>
      <w:r w:rsidR="009D2F85">
        <w:t xml:space="preserve">higher proneness </w:t>
      </w:r>
      <w:r w:rsidR="00AF702C">
        <w:t>to failure</w:t>
      </w:r>
      <w:r w:rsidR="00E57681">
        <w:t>s</w:t>
      </w:r>
      <w:r w:rsidR="00AF702C">
        <w:t>.</w:t>
      </w:r>
    </w:p>
    <w:p w14:paraId="28FB9C16" w14:textId="0F682EDC" w:rsidR="008D1F2C" w:rsidRDefault="00B0349F" w:rsidP="00404FF7">
      <w:pPr>
        <w:pStyle w:val="CETBodytext"/>
      </w:pPr>
      <w:r w:rsidRPr="00D65E97">
        <w:fldChar w:fldCharType="begin"/>
      </w:r>
      <w:r w:rsidRPr="00D65E97">
        <w:instrText xml:space="preserve"> REF _Ref159243868 \h </w:instrText>
      </w:r>
      <w:r w:rsidR="00D65E97" w:rsidRPr="00D65E97">
        <w:instrText xml:space="preserve"> \* MERGEFORMAT </w:instrText>
      </w:r>
      <w:r w:rsidRPr="00D65E97">
        <w:fldChar w:fldCharType="separate"/>
      </w:r>
      <w:r w:rsidRPr="00D65E97">
        <w:t xml:space="preserve">Figure </w:t>
      </w:r>
      <w:r w:rsidRPr="00D65E97">
        <w:rPr>
          <w:noProof/>
        </w:rPr>
        <w:t>3</w:t>
      </w:r>
      <w:r w:rsidRPr="00D65E97">
        <w:fldChar w:fldCharType="end"/>
      </w:r>
      <w:r w:rsidR="00F156C5" w:rsidRPr="00D65E97">
        <w:t xml:space="preserve"> </w:t>
      </w:r>
      <w:r w:rsidR="004A066D">
        <w:t xml:space="preserve">illustrates the calculation of the IS-F for the reference PSs considered in the analysis. </w:t>
      </w:r>
    </w:p>
    <w:p w14:paraId="33E136E9" w14:textId="414004F7" w:rsidR="00946C75" w:rsidRDefault="00946C75" w:rsidP="00946C75">
      <w:pPr>
        <w:pStyle w:val="CETBodytext"/>
      </w:pPr>
      <w:r>
        <w:t xml:space="preserve">As can be seen from the radar plot, </w:t>
      </w:r>
      <w:r w:rsidRPr="00FD538C">
        <w:rPr>
          <w:lang w:val="en-GB"/>
        </w:rPr>
        <w:t>LH</w:t>
      </w:r>
      <w:r w:rsidRPr="00FD538C">
        <w:rPr>
          <w:vertAlign w:val="subscript"/>
          <w:lang w:val="en-GB"/>
        </w:rPr>
        <w:t>2</w:t>
      </w:r>
      <w:r w:rsidRPr="00FD538C">
        <w:rPr>
          <w:lang w:val="en-GB"/>
        </w:rPr>
        <w:t xml:space="preserve"> – PEMFC</w:t>
      </w:r>
      <w:r>
        <w:t xml:space="preserve"> and CG</w:t>
      </w:r>
      <w:r w:rsidRPr="00FD538C">
        <w:rPr>
          <w:lang w:val="en-GB"/>
        </w:rPr>
        <w:t>H</w:t>
      </w:r>
      <w:r w:rsidRPr="00FD538C">
        <w:rPr>
          <w:vertAlign w:val="subscript"/>
          <w:lang w:val="en-GB"/>
        </w:rPr>
        <w:t>2</w:t>
      </w:r>
      <w:r w:rsidRPr="00FD538C">
        <w:rPr>
          <w:lang w:val="en-GB"/>
        </w:rPr>
        <w:t xml:space="preserve"> – PEMFC</w:t>
      </w:r>
      <w:r>
        <w:t xml:space="preserve"> emerge as the worst-performing PSs, </w:t>
      </w:r>
      <w:r w:rsidR="0087070E">
        <w:t>given</w:t>
      </w:r>
      <w:r>
        <w:t xml:space="preserve"> the significantly wide surface areas associated with their inherent safety profile curves. Specifically, the safety performance of LH</w:t>
      </w:r>
      <w:r w:rsidRPr="002106E8">
        <w:rPr>
          <w:vertAlign w:val="subscript"/>
        </w:rPr>
        <w:t>2</w:t>
      </w:r>
      <w:r>
        <w:t xml:space="preserve"> – PEMFC appears significantly depleted when considering the hazard level of single units. Conversely, CGH</w:t>
      </w:r>
      <w:r w:rsidRPr="002106E8">
        <w:rPr>
          <w:vertAlign w:val="subscript"/>
        </w:rPr>
        <w:t>2</w:t>
      </w:r>
      <w:r>
        <w:t xml:space="preserve"> – PEMFC turns out to be the least convenient option when summing up unit-based contributions in the overall IS-KPIs. </w:t>
      </w:r>
    </w:p>
    <w:p w14:paraId="039F79E2" w14:textId="77777777" w:rsidR="00B72713" w:rsidRDefault="00B72713" w:rsidP="00B72713">
      <w:pPr>
        <w:pStyle w:val="CETCaption"/>
        <w:keepNext/>
      </w:pPr>
      <w:r w:rsidRPr="00B72713">
        <w:rPr>
          <w:noProof/>
        </w:rPr>
        <w:lastRenderedPageBreak/>
        <w:drawing>
          <wp:inline distT="0" distB="0" distL="0" distR="0" wp14:anchorId="6AFB3353" wp14:editId="13BA40AA">
            <wp:extent cx="5533292" cy="2866996"/>
            <wp:effectExtent l="0" t="0" r="0" b="0"/>
            <wp:docPr id="171359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046" t="1870" r="1147"/>
                    <a:stretch/>
                  </pic:blipFill>
                  <pic:spPr bwMode="auto">
                    <a:xfrm>
                      <a:off x="0" y="0"/>
                      <a:ext cx="5561020" cy="2881363"/>
                    </a:xfrm>
                    <a:prstGeom prst="rect">
                      <a:avLst/>
                    </a:prstGeom>
                    <a:noFill/>
                    <a:ln>
                      <a:noFill/>
                    </a:ln>
                    <a:extLst>
                      <a:ext uri="{53640926-AAD7-44D8-BBD7-CCE9431645EC}">
                        <a14:shadowObscured xmlns:a14="http://schemas.microsoft.com/office/drawing/2010/main"/>
                      </a:ext>
                    </a:extLst>
                  </pic:spPr>
                </pic:pic>
              </a:graphicData>
            </a:graphic>
          </wp:inline>
        </w:drawing>
      </w:r>
    </w:p>
    <w:p w14:paraId="78FA150B" w14:textId="7E325558" w:rsidR="00607496" w:rsidRDefault="00B72713" w:rsidP="00B24B59">
      <w:pPr>
        <w:pStyle w:val="CETCaption"/>
      </w:pPr>
      <w:bookmarkStart w:id="3" w:name="_Ref159243868"/>
      <w:r>
        <w:t xml:space="preserve">Figure </w:t>
      </w:r>
      <w:r>
        <w:fldChar w:fldCharType="begin"/>
      </w:r>
      <w:r>
        <w:instrText xml:space="preserve"> SEQ Figure \* ARABIC </w:instrText>
      </w:r>
      <w:r>
        <w:fldChar w:fldCharType="separate"/>
      </w:r>
      <w:r>
        <w:rPr>
          <w:noProof/>
        </w:rPr>
        <w:t>3</w:t>
      </w:r>
      <w:r>
        <w:fldChar w:fldCharType="end"/>
      </w:r>
      <w:bookmarkEnd w:id="3"/>
      <w:r w:rsidR="00C125D2">
        <w:t xml:space="preserve">: </w:t>
      </w:r>
      <w:r w:rsidR="004A7975">
        <w:t xml:space="preserve">Calculation of IS-F for the reference ship PSs: (a) </w:t>
      </w:r>
      <w:r w:rsidR="006362B6">
        <w:t xml:space="preserve">input </w:t>
      </w:r>
      <w:r w:rsidR="004A7975">
        <w:t xml:space="preserve">radar plot of </w:t>
      </w:r>
      <w:r w:rsidR="00CF3CF6">
        <w:t>normalised</w:t>
      </w:r>
      <w:r w:rsidR="004A7975">
        <w:t xml:space="preserve"> IS-KPIs; (b) </w:t>
      </w:r>
      <w:r w:rsidR="00B24B59">
        <w:t xml:space="preserve">IS-F </w:t>
      </w:r>
      <w:proofErr w:type="gramStart"/>
      <w:r w:rsidR="00B24B59">
        <w:t>ranking</w:t>
      </w:r>
      <w:proofErr w:type="gramEnd"/>
      <w:r w:rsidR="00B24B59">
        <w:t xml:space="preserve"> </w:t>
      </w:r>
    </w:p>
    <w:p w14:paraId="5B0B4C64" w14:textId="7BEDB56D" w:rsidR="00AD513B" w:rsidRDefault="00AD513B" w:rsidP="00404FF7">
      <w:pPr>
        <w:pStyle w:val="CETBodytext"/>
      </w:pPr>
    </w:p>
    <w:p w14:paraId="295BB3BA" w14:textId="77777777" w:rsidR="008D1F2C" w:rsidRPr="00592D3B" w:rsidRDefault="008D1F2C" w:rsidP="008D1F2C">
      <w:pPr>
        <w:pStyle w:val="CETBodytext"/>
        <w:rPr>
          <w:i/>
          <w:iCs/>
        </w:rPr>
      </w:pPr>
      <w:r>
        <w:t>Globally, the integrated evaluation of unit- and overall system-based IS-KPIs in the context of the proposed IS-F approach (</w:t>
      </w:r>
      <w:r w:rsidRPr="00D65E97">
        <w:fldChar w:fldCharType="begin"/>
      </w:r>
      <w:r w:rsidRPr="00D65E97">
        <w:instrText xml:space="preserve"> REF _Ref159243868 \h  \* MERGEFORMAT </w:instrText>
      </w:r>
      <w:r w:rsidRPr="00D65E97">
        <w:fldChar w:fldCharType="separate"/>
      </w:r>
      <w:r w:rsidRPr="00D65E97">
        <w:t xml:space="preserve">Figure </w:t>
      </w:r>
      <w:r w:rsidRPr="00D65E97">
        <w:rPr>
          <w:noProof/>
        </w:rPr>
        <w:t>3</w:t>
      </w:r>
      <w:r w:rsidRPr="00D65E97">
        <w:fldChar w:fldCharType="end"/>
      </w:r>
      <w:r>
        <w:t>b) highlights that CGH</w:t>
      </w:r>
      <w:r w:rsidRPr="002106E8">
        <w:rPr>
          <w:vertAlign w:val="subscript"/>
        </w:rPr>
        <w:t>2</w:t>
      </w:r>
      <w:r>
        <w:t xml:space="preserve"> – PEMFC tends to outperform LH</w:t>
      </w:r>
      <w:r w:rsidRPr="002106E8">
        <w:rPr>
          <w:vertAlign w:val="subscript"/>
        </w:rPr>
        <w:t>2</w:t>
      </w:r>
      <w:r>
        <w:t xml:space="preserve"> – PEMFC, with an IS-F almost 2 times lower. According to the pattern of IS-F values in </w:t>
      </w:r>
      <w:r w:rsidRPr="00D65E97">
        <w:fldChar w:fldCharType="begin"/>
      </w:r>
      <w:r w:rsidRPr="00D65E97">
        <w:instrText xml:space="preserve"> REF _Ref159243868 \h  \* MERGEFORMAT </w:instrText>
      </w:r>
      <w:r w:rsidRPr="00D65E97">
        <w:fldChar w:fldCharType="separate"/>
      </w:r>
      <w:r w:rsidRPr="00D65E97">
        <w:t xml:space="preserve">Figure </w:t>
      </w:r>
      <w:r w:rsidRPr="00D65E97">
        <w:rPr>
          <w:noProof/>
        </w:rPr>
        <w:t>3</w:t>
      </w:r>
      <w:r w:rsidRPr="00D65E97">
        <w:fldChar w:fldCharType="end"/>
      </w:r>
      <w:r>
        <w:t>b, only hydrogen-based concepts employing advanced cryo-compressed liquid technologies may result in being inherently safer than the baseline LNG-based power system.</w:t>
      </w:r>
    </w:p>
    <w:p w14:paraId="695609C3" w14:textId="77777777" w:rsidR="008D1F2C" w:rsidRPr="00404FF7" w:rsidRDefault="008D1F2C" w:rsidP="00404FF7">
      <w:pPr>
        <w:pStyle w:val="CETBodytext"/>
      </w:pPr>
    </w:p>
    <w:p w14:paraId="68D26B83" w14:textId="77777777" w:rsidR="00600535" w:rsidRDefault="00600535" w:rsidP="00600535">
      <w:pPr>
        <w:pStyle w:val="CETHeading1"/>
        <w:rPr>
          <w:lang w:val="en-GB"/>
        </w:rPr>
      </w:pPr>
      <w:r w:rsidRPr="00B57B36">
        <w:rPr>
          <w:lang w:val="en-GB"/>
        </w:rPr>
        <w:t>Conclusions</w:t>
      </w:r>
    </w:p>
    <w:p w14:paraId="50497D03" w14:textId="77A2480C" w:rsidR="00A54CAA" w:rsidRDefault="00002143" w:rsidP="00A54CAA">
      <w:pPr>
        <w:pStyle w:val="CETBodytext"/>
        <w:rPr>
          <w:lang w:val="en-GB"/>
        </w:rPr>
      </w:pPr>
      <w:r>
        <w:rPr>
          <w:lang w:val="en-GB"/>
        </w:rPr>
        <w:t xml:space="preserve">A </w:t>
      </w:r>
      <w:r w:rsidR="002E7880">
        <w:rPr>
          <w:lang w:val="en-GB"/>
        </w:rPr>
        <w:t>newly developed approach to</w:t>
      </w:r>
      <w:r w:rsidR="00377C24">
        <w:rPr>
          <w:lang w:val="en-GB"/>
        </w:rPr>
        <w:t xml:space="preserve"> </w:t>
      </w:r>
      <w:r w:rsidR="00946C75">
        <w:rPr>
          <w:lang w:val="en-GB"/>
        </w:rPr>
        <w:t xml:space="preserve">the </w:t>
      </w:r>
      <w:r w:rsidR="00377C24">
        <w:rPr>
          <w:lang w:val="en-GB"/>
        </w:rPr>
        <w:t xml:space="preserve">comparative </w:t>
      </w:r>
      <w:r w:rsidR="004872EB">
        <w:rPr>
          <w:lang w:val="en-GB"/>
        </w:rPr>
        <w:t xml:space="preserve">inherent safety </w:t>
      </w:r>
      <w:r w:rsidR="00377C24">
        <w:rPr>
          <w:lang w:val="en-GB"/>
        </w:rPr>
        <w:t xml:space="preserve">assessment </w:t>
      </w:r>
      <w:r w:rsidR="002E7880">
        <w:rPr>
          <w:lang w:val="en-GB"/>
        </w:rPr>
        <w:t xml:space="preserve">of alternative </w:t>
      </w:r>
      <w:r w:rsidR="00377C24">
        <w:rPr>
          <w:lang w:val="en-GB"/>
        </w:rPr>
        <w:t xml:space="preserve">hydrogen-based PSs was presented. </w:t>
      </w:r>
      <w:r w:rsidR="00447BC5">
        <w:rPr>
          <w:lang w:val="en-GB"/>
        </w:rPr>
        <w:t xml:space="preserve">This consists </w:t>
      </w:r>
      <w:r w:rsidR="00261E42">
        <w:rPr>
          <w:lang w:val="en-GB"/>
        </w:rPr>
        <w:t>of</w:t>
      </w:r>
      <w:r w:rsidR="00447BC5">
        <w:rPr>
          <w:lang w:val="en-GB"/>
        </w:rPr>
        <w:t xml:space="preserve"> evaluating representative </w:t>
      </w:r>
      <w:r w:rsidR="003F75FA">
        <w:rPr>
          <w:lang w:val="en-GB"/>
        </w:rPr>
        <w:t xml:space="preserve">IS-KPIs and </w:t>
      </w:r>
      <w:r w:rsidR="006653C4">
        <w:rPr>
          <w:lang w:val="en-GB"/>
        </w:rPr>
        <w:t xml:space="preserve">using them as input </w:t>
      </w:r>
      <w:r w:rsidR="00D72271">
        <w:rPr>
          <w:lang w:val="en-GB"/>
        </w:rPr>
        <w:t xml:space="preserve">to generate an </w:t>
      </w:r>
      <w:r w:rsidR="00D9058E">
        <w:rPr>
          <w:lang w:val="en-GB"/>
        </w:rPr>
        <w:t>IS-F</w:t>
      </w:r>
      <w:r w:rsidR="00D72271">
        <w:rPr>
          <w:lang w:val="en-GB"/>
        </w:rPr>
        <w:t>-based ranking of reference PSs.</w:t>
      </w:r>
      <w:r w:rsidR="00CA5F94">
        <w:rPr>
          <w:lang w:val="en-GB"/>
        </w:rPr>
        <w:t xml:space="preserve"> </w:t>
      </w:r>
      <w:r w:rsidR="00E31447">
        <w:rPr>
          <w:lang w:val="en-GB"/>
        </w:rPr>
        <w:t xml:space="preserve">A long-range cruise vessel was considered as a case study for the implementation of </w:t>
      </w:r>
      <w:r w:rsidR="001E54E8">
        <w:rPr>
          <w:lang w:val="en-GB"/>
        </w:rPr>
        <w:t xml:space="preserve">alternative PSs. </w:t>
      </w:r>
      <w:r w:rsidR="00CA5F94">
        <w:rPr>
          <w:lang w:val="en-GB"/>
        </w:rPr>
        <w:t xml:space="preserve">Reference hydrogen-fuelled PSs were </w:t>
      </w:r>
      <w:r w:rsidR="00362E07">
        <w:rPr>
          <w:lang w:val="en-GB"/>
        </w:rPr>
        <w:t>designed considering typical storage modes and utili</w:t>
      </w:r>
      <w:r w:rsidR="00261E42">
        <w:rPr>
          <w:lang w:val="en-GB"/>
        </w:rPr>
        <w:t>s</w:t>
      </w:r>
      <w:r w:rsidR="00362E07">
        <w:rPr>
          <w:lang w:val="en-GB"/>
        </w:rPr>
        <w:t>ation systems recommended in the literature.</w:t>
      </w:r>
      <w:r w:rsidR="00A16B2C">
        <w:rPr>
          <w:lang w:val="en-GB"/>
        </w:rPr>
        <w:t xml:space="preserve"> </w:t>
      </w:r>
      <w:r w:rsidR="00F92CDF">
        <w:rPr>
          <w:lang w:val="en-GB"/>
        </w:rPr>
        <w:t>Generally,</w:t>
      </w:r>
      <w:r w:rsidR="006F00DF">
        <w:rPr>
          <w:lang w:val="en-GB"/>
        </w:rPr>
        <w:t xml:space="preserve"> </w:t>
      </w:r>
      <w:r w:rsidR="00FB02C5">
        <w:rPr>
          <w:lang w:val="en-GB"/>
        </w:rPr>
        <w:t>storage vessels</w:t>
      </w:r>
      <w:r w:rsidR="00945BB4">
        <w:rPr>
          <w:lang w:val="en-GB"/>
        </w:rPr>
        <w:t xml:space="preserve"> </w:t>
      </w:r>
      <w:r w:rsidR="00534B47">
        <w:rPr>
          <w:lang w:val="en-GB"/>
        </w:rPr>
        <w:t>resulted</w:t>
      </w:r>
      <w:r w:rsidR="00946C75">
        <w:rPr>
          <w:lang w:val="en-GB"/>
        </w:rPr>
        <w:t xml:space="preserve"> in</w:t>
      </w:r>
      <w:r w:rsidR="00945BB4">
        <w:rPr>
          <w:lang w:val="en-GB"/>
        </w:rPr>
        <w:t xml:space="preserve"> the equipment category with the lowest safety scor</w:t>
      </w:r>
      <w:r w:rsidR="008E38A8">
        <w:rPr>
          <w:lang w:val="en-GB"/>
        </w:rPr>
        <w:t>e</w:t>
      </w:r>
      <w:r w:rsidR="00534B47">
        <w:rPr>
          <w:lang w:val="en-GB"/>
        </w:rPr>
        <w:t xml:space="preserve">, regardless of the </w:t>
      </w:r>
      <w:r w:rsidR="00CA641D">
        <w:rPr>
          <w:lang w:val="en-GB"/>
        </w:rPr>
        <w:t xml:space="preserve">inherent safety metric </w:t>
      </w:r>
      <w:r w:rsidR="00A16B2C">
        <w:rPr>
          <w:lang w:val="en-GB"/>
        </w:rPr>
        <w:t>considered</w:t>
      </w:r>
      <w:r w:rsidR="008E38A8">
        <w:rPr>
          <w:lang w:val="en-GB"/>
        </w:rPr>
        <w:t>.</w:t>
      </w:r>
      <w:r w:rsidR="0046395D">
        <w:rPr>
          <w:lang w:val="en-GB"/>
        </w:rPr>
        <w:t xml:space="preserve"> This highlight</w:t>
      </w:r>
      <w:r w:rsidR="00B3081D">
        <w:rPr>
          <w:lang w:val="en-GB"/>
        </w:rPr>
        <w:t>s</w:t>
      </w:r>
      <w:r w:rsidR="0046395D">
        <w:rPr>
          <w:lang w:val="en-GB"/>
        </w:rPr>
        <w:t xml:space="preserve"> that the onboard inherent hazard level of </w:t>
      </w:r>
      <w:r w:rsidR="00B3081D">
        <w:rPr>
          <w:lang w:val="en-GB"/>
        </w:rPr>
        <w:t>the ship power system could be greatly reduced if proper inherently safer design measures targeting storage systems are implemented.</w:t>
      </w:r>
      <w:r w:rsidR="00427604">
        <w:rPr>
          <w:lang w:val="en-GB"/>
        </w:rPr>
        <w:t xml:space="preserve"> </w:t>
      </w:r>
      <w:r w:rsidR="001B0C5E">
        <w:rPr>
          <w:lang w:val="en-GB"/>
        </w:rPr>
        <w:t xml:space="preserve">The calculation of IS-KPIs showed that </w:t>
      </w:r>
      <w:r w:rsidR="00A1183D">
        <w:rPr>
          <w:lang w:val="en-GB"/>
        </w:rPr>
        <w:t>the alternative based on cryogenic liquid hydrogen results penali</w:t>
      </w:r>
      <w:r w:rsidR="00486418">
        <w:rPr>
          <w:lang w:val="en-GB"/>
        </w:rPr>
        <w:t>s</w:t>
      </w:r>
      <w:r w:rsidR="00A1183D">
        <w:rPr>
          <w:lang w:val="en-GB"/>
        </w:rPr>
        <w:t xml:space="preserve">ed by the poor safety score of its constituting units, while the significant number of storage tanks installed onboard render </w:t>
      </w:r>
      <w:r w:rsidR="00C773F6">
        <w:rPr>
          <w:lang w:val="en-GB"/>
        </w:rPr>
        <w:t xml:space="preserve">the compressed gaseous hydrogen-based </w:t>
      </w:r>
      <w:r w:rsidR="00FA0F63">
        <w:rPr>
          <w:lang w:val="en-GB"/>
        </w:rPr>
        <w:t>system</w:t>
      </w:r>
      <w:r w:rsidR="00C773F6">
        <w:rPr>
          <w:lang w:val="en-GB"/>
        </w:rPr>
        <w:t xml:space="preserve"> the overall inherently least safe</w:t>
      </w:r>
      <w:r w:rsidR="00FA0F63">
        <w:rPr>
          <w:lang w:val="en-GB"/>
        </w:rPr>
        <w:t xml:space="preserve"> opt</w:t>
      </w:r>
      <w:r w:rsidR="00D17CE2">
        <w:rPr>
          <w:lang w:val="en-GB"/>
        </w:rPr>
        <w:t>i</w:t>
      </w:r>
      <w:r w:rsidR="00FA0F63">
        <w:rPr>
          <w:lang w:val="en-GB"/>
        </w:rPr>
        <w:t>on</w:t>
      </w:r>
      <w:r w:rsidR="00C773F6">
        <w:rPr>
          <w:lang w:val="en-GB"/>
        </w:rPr>
        <w:t>.</w:t>
      </w:r>
      <w:r w:rsidR="00106B1B">
        <w:rPr>
          <w:lang w:val="en-GB"/>
        </w:rPr>
        <w:t xml:space="preserve"> When</w:t>
      </w:r>
      <w:r w:rsidR="003A116D">
        <w:rPr>
          <w:lang w:val="en-GB"/>
        </w:rPr>
        <w:t xml:space="preserve"> </w:t>
      </w:r>
      <w:r w:rsidR="00104CAD">
        <w:rPr>
          <w:lang w:val="en-GB"/>
        </w:rPr>
        <w:t>i</w:t>
      </w:r>
      <w:r w:rsidR="00C34938">
        <w:rPr>
          <w:lang w:val="en-GB"/>
        </w:rPr>
        <w:t>ntegrating</w:t>
      </w:r>
      <w:r w:rsidR="003A116D">
        <w:rPr>
          <w:lang w:val="en-GB"/>
        </w:rPr>
        <w:t xml:space="preserve"> unit and overall </w:t>
      </w:r>
      <w:r w:rsidR="00FE1C18">
        <w:rPr>
          <w:lang w:val="en-GB"/>
        </w:rPr>
        <w:t xml:space="preserve">indices </w:t>
      </w:r>
      <w:r w:rsidR="003A116D">
        <w:rPr>
          <w:lang w:val="en-GB"/>
        </w:rPr>
        <w:t>in a broader IS-F perspective,</w:t>
      </w:r>
      <w:r w:rsidR="005A556E">
        <w:rPr>
          <w:lang w:val="en-GB"/>
        </w:rPr>
        <w:t xml:space="preserve"> the </w:t>
      </w:r>
      <w:r w:rsidR="001448BA">
        <w:rPr>
          <w:lang w:val="en-GB"/>
        </w:rPr>
        <w:t>replacement of LNG engines with either</w:t>
      </w:r>
      <w:r w:rsidR="005A556E">
        <w:rPr>
          <w:lang w:val="en-GB"/>
        </w:rPr>
        <w:t xml:space="preserve"> cryogenic liquid hydrogen</w:t>
      </w:r>
      <w:r w:rsidR="0046626D">
        <w:rPr>
          <w:lang w:val="en-GB"/>
        </w:rPr>
        <w:t xml:space="preserve">-based </w:t>
      </w:r>
      <w:r w:rsidR="000D7F10">
        <w:rPr>
          <w:lang w:val="en-GB"/>
        </w:rPr>
        <w:t xml:space="preserve">or compressed gaseous hydrogen-based systems </w:t>
      </w:r>
      <w:r w:rsidR="00946C75">
        <w:rPr>
          <w:lang w:val="en-GB"/>
        </w:rPr>
        <w:t xml:space="preserve">increased </w:t>
      </w:r>
      <w:r w:rsidR="00380E2C">
        <w:rPr>
          <w:lang w:val="en-GB"/>
        </w:rPr>
        <w:t>the onboard inherent hazard level</w:t>
      </w:r>
      <w:r w:rsidR="000D7F10">
        <w:rPr>
          <w:lang w:val="en-GB"/>
        </w:rPr>
        <w:t>.</w:t>
      </w:r>
      <w:r w:rsidR="00AE7563">
        <w:rPr>
          <w:lang w:val="en-GB"/>
        </w:rPr>
        <w:t xml:space="preserve"> Conversely,</w:t>
      </w:r>
      <w:r w:rsidR="00FF64B6">
        <w:rPr>
          <w:lang w:val="en-GB"/>
        </w:rPr>
        <w:t xml:space="preserve"> </w:t>
      </w:r>
      <w:r w:rsidR="0084793C">
        <w:rPr>
          <w:lang w:val="en-GB"/>
        </w:rPr>
        <w:t>solutions</w:t>
      </w:r>
      <w:r w:rsidR="00C67BD7">
        <w:rPr>
          <w:lang w:val="en-GB"/>
        </w:rPr>
        <w:t xml:space="preserve"> with hydrogen stored as cryo-compressed liquid </w:t>
      </w:r>
      <w:r w:rsidR="0084793C">
        <w:rPr>
          <w:lang w:val="en-GB"/>
        </w:rPr>
        <w:t xml:space="preserve">could </w:t>
      </w:r>
      <w:r w:rsidR="009D43DC">
        <w:rPr>
          <w:lang w:val="en-GB"/>
        </w:rPr>
        <w:t>lead to enhancements in</w:t>
      </w:r>
      <w:r w:rsidR="00272951">
        <w:rPr>
          <w:lang w:val="en-GB"/>
        </w:rPr>
        <w:t xml:space="preserve"> the inherent safety performance of the ship power system. </w:t>
      </w:r>
      <w:r w:rsidR="00103EBD">
        <w:rPr>
          <w:lang w:val="en-GB"/>
        </w:rPr>
        <w:t>The</w:t>
      </w:r>
      <w:r w:rsidR="00075F92">
        <w:rPr>
          <w:lang w:val="en-GB"/>
        </w:rPr>
        <w:t xml:space="preserve"> analysis shed light on the potential of c</w:t>
      </w:r>
      <w:r w:rsidR="00163A31">
        <w:rPr>
          <w:lang w:val="en-GB"/>
        </w:rPr>
        <w:t>ryo-compressed hydrogen</w:t>
      </w:r>
      <w:r w:rsidR="00DB12BC">
        <w:rPr>
          <w:lang w:val="en-GB"/>
        </w:rPr>
        <w:t>-based systems</w:t>
      </w:r>
      <w:r w:rsidR="00163A31">
        <w:rPr>
          <w:lang w:val="en-GB"/>
        </w:rPr>
        <w:t>, currently having the lowest technological readiness level</w:t>
      </w:r>
      <w:r w:rsidR="007A3AC7">
        <w:rPr>
          <w:lang w:val="en-GB"/>
        </w:rPr>
        <w:t xml:space="preserve"> among the alternative concepts considered</w:t>
      </w:r>
      <w:r w:rsidR="00163A31">
        <w:rPr>
          <w:lang w:val="en-GB"/>
        </w:rPr>
        <w:t>,</w:t>
      </w:r>
      <w:r w:rsidR="007A3AC7">
        <w:rPr>
          <w:lang w:val="en-GB"/>
        </w:rPr>
        <w:t xml:space="preserve"> </w:t>
      </w:r>
      <w:r w:rsidR="00075F92">
        <w:rPr>
          <w:lang w:val="en-GB"/>
        </w:rPr>
        <w:t>as</w:t>
      </w:r>
      <w:r w:rsidR="005D5381">
        <w:rPr>
          <w:lang w:val="en-GB"/>
        </w:rPr>
        <w:t xml:space="preserve"> a possible long-term inherently safe</w:t>
      </w:r>
      <w:r w:rsidR="00075F92">
        <w:rPr>
          <w:lang w:val="en-GB"/>
        </w:rPr>
        <w:t>r</w:t>
      </w:r>
      <w:r w:rsidR="005D5381">
        <w:rPr>
          <w:lang w:val="en-GB"/>
        </w:rPr>
        <w:t xml:space="preserve"> solution for hydrogen utili</w:t>
      </w:r>
      <w:r w:rsidR="00F87E31">
        <w:rPr>
          <w:lang w:val="en-GB"/>
        </w:rPr>
        <w:t>s</w:t>
      </w:r>
      <w:r w:rsidR="005D5381">
        <w:rPr>
          <w:lang w:val="en-GB"/>
        </w:rPr>
        <w:t xml:space="preserve">ation as </w:t>
      </w:r>
      <w:r w:rsidR="00946C75">
        <w:rPr>
          <w:lang w:val="en-GB"/>
        </w:rPr>
        <w:t xml:space="preserve">a </w:t>
      </w:r>
      <w:r w:rsidR="005D5381">
        <w:rPr>
          <w:lang w:val="en-GB"/>
        </w:rPr>
        <w:t>marine fuel.</w:t>
      </w:r>
      <w:r w:rsidR="00075F92">
        <w:rPr>
          <w:lang w:val="en-GB"/>
        </w:rPr>
        <w:t xml:space="preserve"> </w:t>
      </w:r>
      <w:r w:rsidR="00103EBD">
        <w:rPr>
          <w:lang w:val="en-GB"/>
        </w:rPr>
        <w:t>Ultimately, the</w:t>
      </w:r>
      <w:r w:rsidR="00194849">
        <w:rPr>
          <w:lang w:val="en-GB"/>
        </w:rPr>
        <w:t xml:space="preserve"> step-by-step procedure developed could be extended to support inherent safety-driven decision-making and design </w:t>
      </w:r>
      <w:r w:rsidR="004737E7">
        <w:rPr>
          <w:lang w:val="en-GB"/>
        </w:rPr>
        <w:t xml:space="preserve">concerning other emerging </w:t>
      </w:r>
      <w:r w:rsidR="00A847CF">
        <w:rPr>
          <w:lang w:val="en-GB"/>
        </w:rPr>
        <w:t>cleaner fuel-based concepts (e.g., ammonia-based, methanol-based, etc.).</w:t>
      </w:r>
    </w:p>
    <w:p w14:paraId="6EA1E9B2" w14:textId="77777777" w:rsidR="00946C75" w:rsidRDefault="00946C75" w:rsidP="00A54CAA">
      <w:pPr>
        <w:pStyle w:val="CETBodytext"/>
        <w:rPr>
          <w:lang w:val="en-GB"/>
        </w:rPr>
      </w:pPr>
    </w:p>
    <w:p w14:paraId="07A6D20F" w14:textId="0ECF229E" w:rsidR="00280FAF" w:rsidRPr="00280FAF" w:rsidRDefault="00280FAF" w:rsidP="00280FAF">
      <w:pPr>
        <w:pStyle w:val="CETHeadingxx"/>
        <w:rPr>
          <w:lang w:val="en-GB"/>
        </w:rPr>
        <w:sectPr w:rsidR="00280FAF" w:rsidRPr="00280FAF" w:rsidSect="00857EAD">
          <w:type w:val="continuous"/>
          <w:pgSz w:w="11906" w:h="16838" w:code="9"/>
          <w:pgMar w:top="1701" w:right="1418" w:bottom="1701" w:left="1701" w:header="1701" w:footer="0" w:gutter="0"/>
          <w:cols w:space="708"/>
          <w:formProt w:val="0"/>
          <w:titlePg/>
          <w:docGrid w:linePitch="360"/>
        </w:sectPr>
      </w:pPr>
      <w:r>
        <w:t>Nomenclature</w:t>
      </w:r>
    </w:p>
    <w:p w14:paraId="25D52BD8" w14:textId="0B88337C" w:rsidR="00280FAF" w:rsidRPr="00280FAF" w:rsidRDefault="003952EB" w:rsidP="00280FAF">
      <w:pPr>
        <w:pStyle w:val="CETBodytext"/>
        <w:jc w:val="left"/>
        <w:rPr>
          <w:rFonts w:eastAsia="SimSun"/>
        </w:rPr>
      </w:pPr>
      <w:r>
        <w:rPr>
          <w:rFonts w:eastAsia="SimSun"/>
        </w:rPr>
        <w:t>PS</w:t>
      </w:r>
      <w:r w:rsidR="00280FAF" w:rsidRPr="00280FAF">
        <w:rPr>
          <w:rFonts w:eastAsia="SimSun"/>
        </w:rPr>
        <w:t xml:space="preserve"> – </w:t>
      </w:r>
      <w:r>
        <w:rPr>
          <w:rFonts w:eastAsia="SimSun"/>
        </w:rPr>
        <w:t>power system</w:t>
      </w:r>
    </w:p>
    <w:p w14:paraId="7DFFBF41" w14:textId="77777777" w:rsidR="00280FAF" w:rsidRPr="00280FAF" w:rsidRDefault="00280FAF" w:rsidP="00280FAF">
      <w:pPr>
        <w:pStyle w:val="CETBodytext"/>
        <w:jc w:val="left"/>
        <w:rPr>
          <w:rFonts w:eastAsia="SimSun"/>
        </w:rPr>
        <w:sectPr w:rsidR="00280FAF" w:rsidRPr="00280FAF" w:rsidSect="00857EAD">
          <w:type w:val="continuous"/>
          <w:pgSz w:w="11906" w:h="16838" w:code="9"/>
          <w:pgMar w:top="1701" w:right="1418" w:bottom="1701" w:left="1701" w:header="1701" w:footer="0" w:gutter="0"/>
          <w:cols w:space="708"/>
          <w:formProt w:val="0"/>
          <w:titlePg/>
          <w:docGrid w:linePitch="360"/>
        </w:sectPr>
      </w:pPr>
    </w:p>
    <w:p w14:paraId="33D176ED" w14:textId="131D43F6" w:rsidR="00280FAF" w:rsidRPr="00280FAF" w:rsidRDefault="00BE6FF1" w:rsidP="00280FAF">
      <w:pPr>
        <w:pStyle w:val="CETBodytext"/>
        <w:jc w:val="left"/>
        <w:rPr>
          <w:rFonts w:eastAsia="SimSun"/>
        </w:rPr>
      </w:pPr>
      <w:r>
        <w:rPr>
          <w:rFonts w:eastAsia="SimSun"/>
        </w:rPr>
        <w:t>LNG</w:t>
      </w:r>
      <w:r w:rsidR="00280FAF" w:rsidRPr="00280FAF">
        <w:rPr>
          <w:rFonts w:eastAsia="SimSun"/>
        </w:rPr>
        <w:t xml:space="preserve"> – </w:t>
      </w:r>
      <w:r>
        <w:rPr>
          <w:rFonts w:eastAsia="SimSun"/>
        </w:rPr>
        <w:t>liquefied natural gas</w:t>
      </w:r>
    </w:p>
    <w:p w14:paraId="4D4BE8A1" w14:textId="431B1D09" w:rsidR="00BE6FF1" w:rsidRPr="00280FAF" w:rsidRDefault="00BE6FF1" w:rsidP="00BE6FF1">
      <w:pPr>
        <w:pStyle w:val="CETBodytext"/>
        <w:jc w:val="left"/>
        <w:rPr>
          <w:rFonts w:eastAsia="SimSun"/>
        </w:rPr>
      </w:pPr>
      <w:r>
        <w:rPr>
          <w:rFonts w:eastAsia="SimSun"/>
        </w:rPr>
        <w:t>LH</w:t>
      </w:r>
      <w:r w:rsidRPr="00BE6FF1">
        <w:rPr>
          <w:rFonts w:eastAsia="SimSun"/>
          <w:vertAlign w:val="subscript"/>
        </w:rPr>
        <w:t>2</w:t>
      </w:r>
      <w:r w:rsidRPr="00280FAF">
        <w:rPr>
          <w:rFonts w:eastAsia="SimSun"/>
        </w:rPr>
        <w:t xml:space="preserve"> – </w:t>
      </w:r>
      <w:r>
        <w:rPr>
          <w:rFonts w:eastAsia="SimSun"/>
        </w:rPr>
        <w:t>liquid hydrogen</w:t>
      </w:r>
    </w:p>
    <w:p w14:paraId="72CCBB76" w14:textId="1FC06670" w:rsidR="00BE6FF1" w:rsidRPr="00280FAF" w:rsidRDefault="00BE6FF1" w:rsidP="00BE6FF1">
      <w:pPr>
        <w:pStyle w:val="CETBodytext"/>
        <w:jc w:val="left"/>
        <w:rPr>
          <w:rFonts w:eastAsia="SimSun"/>
        </w:rPr>
      </w:pPr>
      <w:r>
        <w:rPr>
          <w:rFonts w:eastAsia="SimSun"/>
        </w:rPr>
        <w:lastRenderedPageBreak/>
        <w:t>CGH</w:t>
      </w:r>
      <w:r w:rsidRPr="00BE6FF1">
        <w:rPr>
          <w:rFonts w:eastAsia="SimSun"/>
          <w:vertAlign w:val="subscript"/>
        </w:rPr>
        <w:t>2</w:t>
      </w:r>
      <w:r w:rsidRPr="00280FAF">
        <w:rPr>
          <w:rFonts w:eastAsia="SimSun"/>
        </w:rPr>
        <w:t xml:space="preserve"> – </w:t>
      </w:r>
      <w:r>
        <w:rPr>
          <w:rFonts w:eastAsia="SimSun"/>
        </w:rPr>
        <w:t xml:space="preserve">compressed gaseous </w:t>
      </w:r>
      <w:proofErr w:type="gramStart"/>
      <w:r>
        <w:rPr>
          <w:rFonts w:eastAsia="SimSun"/>
        </w:rPr>
        <w:t>hydrogen</w:t>
      </w:r>
      <w:proofErr w:type="gramEnd"/>
    </w:p>
    <w:p w14:paraId="75014B4D" w14:textId="428B07B9" w:rsidR="00910516" w:rsidRPr="00280FAF" w:rsidRDefault="00910516" w:rsidP="00910516">
      <w:pPr>
        <w:pStyle w:val="CETBodytext"/>
        <w:jc w:val="left"/>
        <w:rPr>
          <w:rFonts w:eastAsia="SimSun"/>
        </w:rPr>
      </w:pPr>
      <w:r>
        <w:rPr>
          <w:rFonts w:eastAsia="SimSun"/>
        </w:rPr>
        <w:t>CcLH</w:t>
      </w:r>
      <w:r w:rsidRPr="00BE6FF1">
        <w:rPr>
          <w:rFonts w:eastAsia="SimSun"/>
          <w:vertAlign w:val="subscript"/>
        </w:rPr>
        <w:t>2</w:t>
      </w:r>
      <w:r w:rsidRPr="00280FAF">
        <w:rPr>
          <w:rFonts w:eastAsia="SimSun"/>
        </w:rPr>
        <w:t xml:space="preserve"> – </w:t>
      </w:r>
      <w:r>
        <w:rPr>
          <w:rFonts w:eastAsia="SimSun"/>
        </w:rPr>
        <w:t>cryo-compressed liquid hydrogen</w:t>
      </w:r>
    </w:p>
    <w:p w14:paraId="2A7E668A" w14:textId="4CC944A5" w:rsidR="00910516" w:rsidRPr="00910516" w:rsidRDefault="00910516" w:rsidP="00910516">
      <w:pPr>
        <w:pStyle w:val="CETBodytext"/>
        <w:jc w:val="left"/>
        <w:rPr>
          <w:rFonts w:eastAsia="SimSun"/>
          <w:lang w:val="en-GB"/>
        </w:rPr>
      </w:pPr>
      <w:r w:rsidRPr="00910516">
        <w:rPr>
          <w:rFonts w:eastAsia="SimSun"/>
          <w:lang w:val="en-GB"/>
        </w:rPr>
        <w:t>LBSI – lean burn spark i</w:t>
      </w:r>
      <w:r>
        <w:rPr>
          <w:rFonts w:eastAsia="SimSun"/>
          <w:lang w:val="en-GB"/>
        </w:rPr>
        <w:t>gnition</w:t>
      </w:r>
    </w:p>
    <w:p w14:paraId="29C38480" w14:textId="5565D852" w:rsidR="00910516" w:rsidRPr="00D17CE2" w:rsidRDefault="00910516" w:rsidP="00910516">
      <w:pPr>
        <w:pStyle w:val="CETBodytext"/>
        <w:jc w:val="left"/>
        <w:rPr>
          <w:rFonts w:eastAsia="SimSun"/>
          <w:lang w:val="en-GB"/>
        </w:rPr>
      </w:pPr>
      <w:r w:rsidRPr="00D17CE2">
        <w:rPr>
          <w:rFonts w:eastAsia="SimSun"/>
          <w:lang w:val="en-GB"/>
        </w:rPr>
        <w:t>PEMFC – proton exchange membrane fuel cell</w:t>
      </w:r>
    </w:p>
    <w:p w14:paraId="436927B3" w14:textId="16A63C74" w:rsidR="00910516" w:rsidRPr="00D17CE2" w:rsidRDefault="00910516" w:rsidP="00910516">
      <w:pPr>
        <w:pStyle w:val="CETBodytext"/>
        <w:jc w:val="left"/>
        <w:rPr>
          <w:rFonts w:eastAsia="SimSun"/>
          <w:lang w:val="en-GB"/>
        </w:rPr>
      </w:pPr>
      <w:r w:rsidRPr="00D17CE2">
        <w:rPr>
          <w:rFonts w:eastAsia="SimSun"/>
          <w:lang w:val="en-GB"/>
        </w:rPr>
        <w:t>SOFC – solid oxide fuel cell</w:t>
      </w:r>
    </w:p>
    <w:p w14:paraId="24D4E211" w14:textId="14BFE977" w:rsidR="00280FAF" w:rsidRPr="00910516" w:rsidRDefault="00910516" w:rsidP="00280FAF">
      <w:pPr>
        <w:pStyle w:val="CETBodytext"/>
        <w:jc w:val="left"/>
        <w:rPr>
          <w:rFonts w:eastAsia="SimSun"/>
          <w:lang w:val="en-GB"/>
        </w:rPr>
      </w:pPr>
      <w:r w:rsidRPr="00910516">
        <w:rPr>
          <w:rFonts w:eastAsia="SimSun"/>
          <w:lang w:val="en-GB"/>
        </w:rPr>
        <w:t>LOC</w:t>
      </w:r>
      <w:r w:rsidR="00280FAF" w:rsidRPr="00910516">
        <w:rPr>
          <w:rFonts w:eastAsia="SimSun"/>
          <w:lang w:val="en-GB"/>
        </w:rPr>
        <w:t xml:space="preserve"> – </w:t>
      </w:r>
      <w:r w:rsidRPr="00910516">
        <w:rPr>
          <w:rFonts w:eastAsia="SimSun"/>
          <w:lang w:val="en-GB"/>
        </w:rPr>
        <w:t>loss of containment</w:t>
      </w:r>
    </w:p>
    <w:p w14:paraId="15F17467" w14:textId="744D93C9" w:rsidR="00280FAF" w:rsidRPr="00910516" w:rsidRDefault="00910516" w:rsidP="00280FAF">
      <w:pPr>
        <w:pStyle w:val="CETBodytext"/>
        <w:jc w:val="left"/>
        <w:rPr>
          <w:rFonts w:eastAsia="SimSun"/>
          <w:lang w:val="en-GB"/>
        </w:rPr>
      </w:pPr>
      <w:r w:rsidRPr="00910516">
        <w:rPr>
          <w:rFonts w:eastAsia="SimSun"/>
          <w:lang w:val="en-GB"/>
        </w:rPr>
        <w:t>DD</w:t>
      </w:r>
      <w:r w:rsidR="00280FAF" w:rsidRPr="00910516">
        <w:rPr>
          <w:rFonts w:eastAsia="SimSun"/>
          <w:lang w:val="en-GB"/>
        </w:rPr>
        <w:t xml:space="preserve"> – </w:t>
      </w:r>
      <w:r w:rsidRPr="00910516">
        <w:rPr>
          <w:rFonts w:eastAsia="SimSun"/>
          <w:lang w:val="en-GB"/>
        </w:rPr>
        <w:t>damage distance</w:t>
      </w:r>
    </w:p>
    <w:p w14:paraId="6B0B5F2B" w14:textId="42BA91FD" w:rsidR="00280FAF" w:rsidRPr="00910516" w:rsidRDefault="00910516" w:rsidP="00280FAF">
      <w:pPr>
        <w:pStyle w:val="CETBodytext"/>
        <w:jc w:val="left"/>
        <w:rPr>
          <w:rFonts w:eastAsia="SimSun"/>
          <w:lang w:val="en-GB"/>
        </w:rPr>
      </w:pPr>
      <w:r w:rsidRPr="00910516">
        <w:rPr>
          <w:rFonts w:eastAsia="SimSun"/>
          <w:lang w:val="en-GB"/>
        </w:rPr>
        <w:t>C</w:t>
      </w:r>
      <w:r w:rsidRPr="00910516">
        <w:rPr>
          <w:rFonts w:eastAsia="SimSun"/>
          <w:vertAlign w:val="subscript"/>
          <w:lang w:val="en-GB"/>
        </w:rPr>
        <w:t>f</w:t>
      </w:r>
      <w:r w:rsidR="00280FAF" w:rsidRPr="00910516">
        <w:rPr>
          <w:rFonts w:eastAsia="SimSun"/>
          <w:lang w:val="en-GB"/>
        </w:rPr>
        <w:t xml:space="preserve"> – </w:t>
      </w:r>
      <w:r>
        <w:rPr>
          <w:rFonts w:eastAsia="SimSun"/>
          <w:lang w:val="en-GB"/>
        </w:rPr>
        <w:t>credit factor</w:t>
      </w:r>
    </w:p>
    <w:p w14:paraId="1AC39777" w14:textId="405F6657" w:rsidR="003C79B5" w:rsidRPr="00910516" w:rsidRDefault="003C79B5" w:rsidP="003C79B5">
      <w:pPr>
        <w:pStyle w:val="CETBodytext"/>
        <w:jc w:val="left"/>
        <w:rPr>
          <w:rFonts w:eastAsia="SimSun"/>
          <w:lang w:val="en-GB"/>
        </w:rPr>
      </w:pPr>
      <w:r>
        <w:rPr>
          <w:rFonts w:eastAsia="SimSun"/>
          <w:lang w:val="en-GB"/>
        </w:rPr>
        <w:t xml:space="preserve">IS-KPI </w:t>
      </w:r>
      <w:r w:rsidRPr="00910516">
        <w:rPr>
          <w:rFonts w:eastAsia="SimSun"/>
          <w:lang w:val="en-GB"/>
        </w:rPr>
        <w:t xml:space="preserve">– </w:t>
      </w:r>
      <w:r>
        <w:rPr>
          <w:rFonts w:eastAsia="SimSun"/>
          <w:lang w:val="en-GB"/>
        </w:rPr>
        <w:t xml:space="preserve">inherent safety key performance </w:t>
      </w:r>
      <w:proofErr w:type="gramStart"/>
      <w:r>
        <w:rPr>
          <w:rFonts w:eastAsia="SimSun"/>
          <w:lang w:val="en-GB"/>
        </w:rPr>
        <w:t>indicator</w:t>
      </w:r>
      <w:proofErr w:type="gramEnd"/>
    </w:p>
    <w:p w14:paraId="38BFE636" w14:textId="445F83FB" w:rsidR="00280FAF" w:rsidRPr="00B13843" w:rsidRDefault="00B13843" w:rsidP="00280FAF">
      <w:pPr>
        <w:pStyle w:val="CETBodytext"/>
        <w:jc w:val="left"/>
        <w:rPr>
          <w:rFonts w:eastAsia="SimSun"/>
          <w:lang w:val="en-GB"/>
        </w:rPr>
        <w:sectPr w:rsidR="00280FAF" w:rsidRPr="00B13843" w:rsidSect="00857EAD">
          <w:type w:val="continuous"/>
          <w:pgSz w:w="11906" w:h="16838" w:code="9"/>
          <w:pgMar w:top="1701" w:right="1418" w:bottom="1701" w:left="1701" w:header="1701" w:footer="0" w:gutter="0"/>
          <w:cols w:num="2" w:space="708"/>
          <w:formProt w:val="0"/>
          <w:titlePg/>
          <w:docGrid w:linePitch="360"/>
        </w:sectPr>
      </w:pPr>
      <w:r>
        <w:rPr>
          <w:rFonts w:eastAsia="SimSun"/>
          <w:lang w:val="en-GB"/>
        </w:rPr>
        <w:t>IS-F</w:t>
      </w:r>
      <w:r w:rsidR="003C79B5">
        <w:rPr>
          <w:rFonts w:eastAsia="SimSun"/>
          <w:lang w:val="en-GB"/>
        </w:rPr>
        <w:t xml:space="preserve"> </w:t>
      </w:r>
      <w:r w:rsidR="003C79B5" w:rsidRPr="00910516">
        <w:rPr>
          <w:rFonts w:eastAsia="SimSun"/>
          <w:lang w:val="en-GB"/>
        </w:rPr>
        <w:t xml:space="preserve">– </w:t>
      </w:r>
      <w:r w:rsidR="003C79B5">
        <w:rPr>
          <w:rFonts w:eastAsia="SimSun"/>
          <w:lang w:val="en-GB"/>
        </w:rPr>
        <w:t xml:space="preserve">inherent safety </w:t>
      </w:r>
      <w:r>
        <w:rPr>
          <w:rFonts w:eastAsia="SimSun"/>
          <w:lang w:val="en-GB"/>
        </w:rPr>
        <w:t>footprint</w:t>
      </w:r>
    </w:p>
    <w:p w14:paraId="4F1327F8" w14:textId="77777777" w:rsidR="00600535" w:rsidRDefault="00600535" w:rsidP="00600535">
      <w:pPr>
        <w:pStyle w:val="CETReference"/>
      </w:pPr>
      <w:r w:rsidRPr="00B57B36">
        <w:t>References</w:t>
      </w:r>
    </w:p>
    <w:p w14:paraId="6681E113" w14:textId="45D79036" w:rsidR="004F70B4" w:rsidRPr="004F70B4" w:rsidRDefault="00491B25" w:rsidP="004F70B4">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4F70B4" w:rsidRPr="004F70B4">
        <w:rPr>
          <w:rFonts w:cs="Arial"/>
          <w:noProof/>
          <w:szCs w:val="24"/>
        </w:rPr>
        <w:t xml:space="preserve">Ahluwalia R.K., Hua T.Q., Peng J.K., Lasher S., McKenney K., Sinha J., Gardiner M., 2010, Technical assessment of cryo-compressed hydrogen storage tank systems for automotive applications, </w:t>
      </w:r>
      <w:r w:rsidR="00AC3979">
        <w:rPr>
          <w:rFonts w:cs="Arial"/>
          <w:noProof/>
          <w:szCs w:val="24"/>
        </w:rPr>
        <w:t>International Journal of Hydrogen Energy,</w:t>
      </w:r>
      <w:r w:rsidR="004F70B4" w:rsidRPr="004F70B4">
        <w:rPr>
          <w:rFonts w:cs="Arial"/>
          <w:noProof/>
          <w:szCs w:val="24"/>
        </w:rPr>
        <w:t xml:space="preserve"> 35, 4171–4184.</w:t>
      </w:r>
    </w:p>
    <w:p w14:paraId="1FA493B6" w14:textId="23EA349F"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Baetcke L., Kaltschmitt M., 2018, Hydrogen storage for mobile application: </w:t>
      </w:r>
      <w:r w:rsidR="00E36616">
        <w:rPr>
          <w:rFonts w:cs="Arial"/>
          <w:noProof/>
          <w:szCs w:val="24"/>
        </w:rPr>
        <w:t>T</w:t>
      </w:r>
      <w:r w:rsidRPr="004F70B4">
        <w:rPr>
          <w:rFonts w:cs="Arial"/>
          <w:noProof/>
          <w:szCs w:val="24"/>
        </w:rPr>
        <w:t xml:space="preserve">echnologies and their assessment, </w:t>
      </w:r>
      <w:r w:rsidR="00F44965">
        <w:rPr>
          <w:rFonts w:cs="Arial"/>
          <w:noProof/>
          <w:szCs w:val="24"/>
        </w:rPr>
        <w:t>Chapter I</w:t>
      </w:r>
      <w:r w:rsidRPr="004F70B4">
        <w:rPr>
          <w:rFonts w:cs="Arial"/>
          <w:noProof/>
          <w:szCs w:val="24"/>
        </w:rPr>
        <w:t>n:</w:t>
      </w:r>
      <w:r w:rsidR="002D380A">
        <w:rPr>
          <w:rFonts w:cs="Arial"/>
          <w:noProof/>
          <w:szCs w:val="24"/>
        </w:rPr>
        <w:t xml:space="preserve"> C Azzarro-Pantel (Ed.)</w:t>
      </w:r>
      <w:r w:rsidR="009D018E">
        <w:rPr>
          <w:rFonts w:cs="Arial"/>
          <w:noProof/>
          <w:szCs w:val="24"/>
        </w:rPr>
        <w:t>,</w:t>
      </w:r>
      <w:r w:rsidRPr="004F70B4">
        <w:rPr>
          <w:rFonts w:cs="Arial"/>
          <w:noProof/>
          <w:szCs w:val="24"/>
        </w:rPr>
        <w:t xml:space="preserve"> </w:t>
      </w:r>
      <w:r w:rsidR="00C36E0B">
        <w:rPr>
          <w:rFonts w:cs="Arial"/>
          <w:noProof/>
          <w:szCs w:val="24"/>
        </w:rPr>
        <w:t xml:space="preserve">Hydrogen supply chains: </w:t>
      </w:r>
      <w:r w:rsidR="00E36616">
        <w:rPr>
          <w:rFonts w:cs="Arial"/>
          <w:noProof/>
          <w:szCs w:val="24"/>
        </w:rPr>
        <w:t>D</w:t>
      </w:r>
      <w:r w:rsidR="00C36E0B">
        <w:rPr>
          <w:rFonts w:cs="Arial"/>
          <w:noProof/>
          <w:szCs w:val="24"/>
        </w:rPr>
        <w:t>esign, deployment and operation</w:t>
      </w:r>
      <w:r w:rsidR="00131286">
        <w:rPr>
          <w:rFonts w:cs="Arial"/>
          <w:noProof/>
          <w:szCs w:val="24"/>
        </w:rPr>
        <w:t>,</w:t>
      </w:r>
      <w:r w:rsidR="00B5515F">
        <w:rPr>
          <w:rFonts w:cs="Arial"/>
          <w:noProof/>
          <w:szCs w:val="24"/>
        </w:rPr>
        <w:t xml:space="preserve"> </w:t>
      </w:r>
      <w:r w:rsidRPr="004F70B4">
        <w:rPr>
          <w:rFonts w:cs="Arial"/>
          <w:noProof/>
          <w:szCs w:val="24"/>
        </w:rPr>
        <w:t xml:space="preserve"> Academic Press, 167–206.</w:t>
      </w:r>
    </w:p>
    <w:p w14:paraId="07C35F9F" w14:textId="3560C8BD"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Carboni M., Pio G., Mocellin P., Pilo F., Vianello C., Russo P., Maschio G., Salzano E., 2022, Experimental and numerical characterization of hydrogen jet fires, </w:t>
      </w:r>
      <w:r w:rsidR="00B35844">
        <w:rPr>
          <w:rFonts w:cs="Arial"/>
          <w:noProof/>
          <w:szCs w:val="24"/>
        </w:rPr>
        <w:t>International Journal of Hydrogen Energy,</w:t>
      </w:r>
      <w:r w:rsidRPr="004F70B4">
        <w:rPr>
          <w:rFonts w:cs="Arial"/>
          <w:noProof/>
          <w:szCs w:val="24"/>
        </w:rPr>
        <w:t xml:space="preserve"> 47, 21883–21896.</w:t>
      </w:r>
    </w:p>
    <w:p w14:paraId="6D381A92" w14:textId="14C18D00"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Durbin D.J., Malardier-Jugroot C., 2013, Review of hydrogen storage techniques for on board vehicle applications, </w:t>
      </w:r>
      <w:r w:rsidR="006C5CD6">
        <w:rPr>
          <w:rFonts w:cs="Arial"/>
          <w:noProof/>
          <w:szCs w:val="24"/>
        </w:rPr>
        <w:t>International Journal of Hydrogen Energy,</w:t>
      </w:r>
      <w:r w:rsidRPr="004F70B4">
        <w:rPr>
          <w:rFonts w:cs="Arial"/>
          <w:noProof/>
          <w:szCs w:val="24"/>
        </w:rPr>
        <w:t xml:space="preserve"> 38, 14595–14617.</w:t>
      </w:r>
    </w:p>
    <w:p w14:paraId="1C603BA4" w14:textId="3E29CCB9"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Gilbert P., Walsh C., Traut M., Kesieme U., Pazouki K., Murphy A., 2018, Assessment of full life-cycle air emissions of alternative shipping fuels, </w:t>
      </w:r>
      <w:r w:rsidR="006C5CD6">
        <w:rPr>
          <w:rFonts w:cs="Arial"/>
          <w:noProof/>
          <w:szCs w:val="24"/>
        </w:rPr>
        <w:t>Journal of Cleaner Production,</w:t>
      </w:r>
      <w:r w:rsidRPr="004F70B4">
        <w:rPr>
          <w:rFonts w:cs="Arial"/>
          <w:noProof/>
          <w:szCs w:val="24"/>
        </w:rPr>
        <w:t xml:space="preserve"> 172, 855–866.</w:t>
      </w:r>
    </w:p>
    <w:p w14:paraId="32DCCBEF" w14:textId="7995421E"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Iannaccone T., Landucci G., Tugnoli A., Salzano E., Cozzani V., 2020, Sustainability of cruise ship fuel systems: Comparison among LNG and diesel technologies, J</w:t>
      </w:r>
      <w:r w:rsidR="00C0775C">
        <w:rPr>
          <w:rFonts w:cs="Arial"/>
          <w:noProof/>
          <w:szCs w:val="24"/>
        </w:rPr>
        <w:t>ournal of Cleaner Production,</w:t>
      </w:r>
      <w:r w:rsidRPr="004F70B4">
        <w:rPr>
          <w:rFonts w:cs="Arial"/>
          <w:noProof/>
          <w:szCs w:val="24"/>
        </w:rPr>
        <w:t xml:space="preserve"> 260, 121069.</w:t>
      </w:r>
    </w:p>
    <w:p w14:paraId="5B8862FE" w14:textId="4C6D9A00"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IEA, 2023, CO2 Emissions in 2022, </w:t>
      </w:r>
      <w:r w:rsidR="000F6BCF">
        <w:rPr>
          <w:rFonts w:cs="Arial"/>
          <w:noProof/>
          <w:szCs w:val="24"/>
        </w:rPr>
        <w:t xml:space="preserve">IEA, </w:t>
      </w:r>
      <w:r w:rsidRPr="004F70B4">
        <w:rPr>
          <w:rFonts w:cs="Arial"/>
          <w:noProof/>
          <w:szCs w:val="24"/>
        </w:rPr>
        <w:t>Paris</w:t>
      </w:r>
      <w:r w:rsidR="008E23CD">
        <w:rPr>
          <w:rFonts w:cs="Arial"/>
          <w:noProof/>
          <w:szCs w:val="24"/>
        </w:rPr>
        <w:t>, FR</w:t>
      </w:r>
      <w:r w:rsidRPr="004F70B4">
        <w:rPr>
          <w:rFonts w:cs="Arial"/>
          <w:noProof/>
          <w:szCs w:val="24"/>
        </w:rPr>
        <w:t>.</w:t>
      </w:r>
    </w:p>
    <w:p w14:paraId="1A4A9BF1" w14:textId="304A93F0"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IEA, 2021, Net Zero by 2050,</w:t>
      </w:r>
      <w:r w:rsidR="008E23CD">
        <w:rPr>
          <w:rFonts w:cs="Arial"/>
          <w:noProof/>
          <w:szCs w:val="24"/>
        </w:rPr>
        <w:t xml:space="preserve"> IEA,</w:t>
      </w:r>
      <w:r w:rsidRPr="004F70B4">
        <w:rPr>
          <w:rFonts w:cs="Arial"/>
          <w:noProof/>
          <w:szCs w:val="24"/>
        </w:rPr>
        <w:t xml:space="preserve"> Paris</w:t>
      </w:r>
      <w:r w:rsidR="008E23CD">
        <w:rPr>
          <w:rFonts w:cs="Arial"/>
          <w:noProof/>
          <w:szCs w:val="24"/>
        </w:rPr>
        <w:t>, FR</w:t>
      </w:r>
      <w:r w:rsidRPr="004F70B4">
        <w:rPr>
          <w:rFonts w:cs="Arial"/>
          <w:noProof/>
          <w:szCs w:val="24"/>
        </w:rPr>
        <w:t>.</w:t>
      </w:r>
    </w:p>
    <w:p w14:paraId="3B4D3515" w14:textId="52BE879E"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IMO, 2021, Fourth IMO GHG Study 20200, </w:t>
      </w:r>
      <w:r w:rsidR="006E4258">
        <w:rPr>
          <w:rFonts w:cs="Arial"/>
          <w:noProof/>
          <w:szCs w:val="24"/>
        </w:rPr>
        <w:t xml:space="preserve">International Maritime Organization, </w:t>
      </w:r>
      <w:r w:rsidRPr="004F70B4">
        <w:rPr>
          <w:rFonts w:cs="Arial"/>
          <w:noProof/>
          <w:szCs w:val="24"/>
        </w:rPr>
        <w:t>London, UK.</w:t>
      </w:r>
    </w:p>
    <w:p w14:paraId="1BFA39E0" w14:textId="58624E29"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IMO, 2019, IMO Action to Reduce Greenhouse Gas Emissions from International Shipping,</w:t>
      </w:r>
      <w:r w:rsidR="006716BF">
        <w:rPr>
          <w:rFonts w:cs="Arial"/>
          <w:noProof/>
          <w:szCs w:val="24"/>
        </w:rPr>
        <w:t xml:space="preserve"> International Maritime Organization,</w:t>
      </w:r>
      <w:r w:rsidRPr="004F70B4">
        <w:rPr>
          <w:rFonts w:cs="Arial"/>
          <w:noProof/>
          <w:szCs w:val="24"/>
        </w:rPr>
        <w:t xml:space="preserve"> London, UK.</w:t>
      </w:r>
    </w:p>
    <w:p w14:paraId="698B18A5" w14:textId="21F03A7C"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Salzano E., Carboni M., Pio G., 2020, The effects of low-temperature phenomena on rapid phase transition of liquid hydrogen, </w:t>
      </w:r>
      <w:r w:rsidR="006716BF">
        <w:rPr>
          <w:rFonts w:cs="Arial"/>
          <w:noProof/>
          <w:szCs w:val="24"/>
        </w:rPr>
        <w:t>International Journal of Hydrogen Energy,</w:t>
      </w:r>
      <w:r w:rsidRPr="004F70B4">
        <w:rPr>
          <w:rFonts w:cs="Arial"/>
          <w:noProof/>
          <w:szCs w:val="24"/>
        </w:rPr>
        <w:t xml:space="preserve"> 45, 32676–32685.</w:t>
      </w:r>
    </w:p>
    <w:p w14:paraId="183D5CB8" w14:textId="799A81A9"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The Maritime Executive, 2016, First dual-fuel, air lubricated cruise ship delivered &lt;https://maritime-executive.com/article/first-dual-fuel-air-lubricated-cruise-ship-delivered&gt;</w:t>
      </w:r>
      <w:r w:rsidR="00EB4850">
        <w:rPr>
          <w:rFonts w:cs="Arial"/>
          <w:noProof/>
          <w:szCs w:val="24"/>
        </w:rPr>
        <w:t xml:space="preserve"> accessed 05.12.2023.</w:t>
      </w:r>
    </w:p>
    <w:p w14:paraId="051AAC1B" w14:textId="37E47D7C"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Tugnoli A., Cozzani V., Landucci G., 2007, A consequence based approach to the quantitative assessment of inherent safety, AIChE J</w:t>
      </w:r>
      <w:r w:rsidR="00E453E1">
        <w:rPr>
          <w:rFonts w:cs="Arial"/>
          <w:noProof/>
          <w:szCs w:val="24"/>
        </w:rPr>
        <w:t>ournal,</w:t>
      </w:r>
      <w:r w:rsidRPr="004F70B4">
        <w:rPr>
          <w:rFonts w:cs="Arial"/>
          <w:noProof/>
          <w:szCs w:val="24"/>
        </w:rPr>
        <w:t xml:space="preserve"> 53, 3171–3182.</w:t>
      </w:r>
    </w:p>
    <w:p w14:paraId="6B493031" w14:textId="3A4C1202"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Uijt de Haag P.A.M., Ale B.J.M., 2005, Guidelines for Quantitative Risk Assessment (Purple Book), Committee for the Prevention of Disasters, The Hague</w:t>
      </w:r>
      <w:r w:rsidR="00FE7752">
        <w:rPr>
          <w:rFonts w:cs="Arial"/>
          <w:noProof/>
          <w:szCs w:val="24"/>
        </w:rPr>
        <w:t xml:space="preserve">, </w:t>
      </w:r>
      <w:r w:rsidRPr="004F70B4">
        <w:rPr>
          <w:rFonts w:cs="Arial"/>
          <w:noProof/>
          <w:szCs w:val="24"/>
        </w:rPr>
        <w:t>NL.</w:t>
      </w:r>
    </w:p>
    <w:p w14:paraId="71CAC454" w14:textId="339DE697"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Ustolin F., Giannini L., Pio G., Salzano E., Paltrinieri N., 2022, On the Mechanical Energy Involved in the Catastrophic Rupture of Liquid Hydrogen Tanks, </w:t>
      </w:r>
      <w:r w:rsidR="00386F3F">
        <w:rPr>
          <w:rFonts w:cs="Arial"/>
          <w:noProof/>
          <w:szCs w:val="24"/>
        </w:rPr>
        <w:t>Chemical Engineering Transactions,</w:t>
      </w:r>
      <w:r w:rsidRPr="004F70B4">
        <w:rPr>
          <w:rFonts w:cs="Arial"/>
          <w:noProof/>
          <w:szCs w:val="24"/>
        </w:rPr>
        <w:t xml:space="preserve"> 91, 421–426.</w:t>
      </w:r>
    </w:p>
    <w:p w14:paraId="0ADAC687" w14:textId="6875F5F0"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van Biert L., Godjevac M., Visser K., Aravind P. V., 2016, A review of fuel cell systems for maritime applications, </w:t>
      </w:r>
      <w:r w:rsidR="00307E2B">
        <w:rPr>
          <w:rFonts w:cs="Arial"/>
          <w:noProof/>
          <w:szCs w:val="24"/>
        </w:rPr>
        <w:t>Journal of Power Sources,</w:t>
      </w:r>
      <w:r w:rsidRPr="004F70B4">
        <w:rPr>
          <w:rFonts w:cs="Arial"/>
          <w:noProof/>
          <w:szCs w:val="24"/>
        </w:rPr>
        <w:t xml:space="preserve"> 327, 345–364.</w:t>
      </w:r>
    </w:p>
    <w:p w14:paraId="05FECDD6" w14:textId="4E525D6C"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Van Den Bosh C.J.H., Weterings R.A.P.M., 2005, Methods for the Calculation of Physical Effects (Yellow Book), 3rd ed, Committee for the Prevention of Disasters, The Hagu</w:t>
      </w:r>
      <w:r w:rsidR="004F41CA">
        <w:rPr>
          <w:rFonts w:cs="Arial"/>
          <w:noProof/>
          <w:szCs w:val="24"/>
        </w:rPr>
        <w:t>e, NL</w:t>
      </w:r>
      <w:r w:rsidRPr="004F70B4">
        <w:rPr>
          <w:rFonts w:cs="Arial"/>
          <w:noProof/>
          <w:szCs w:val="24"/>
        </w:rPr>
        <w:t>.</w:t>
      </w:r>
    </w:p>
    <w:p w14:paraId="1B2B4557" w14:textId="48D6C602"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Xing H., Stuart C., Spence S., Chen H., 2021, Fuel cell power systems for maritime applications: Progress and perspectives, Sustainability</w:t>
      </w:r>
      <w:r w:rsidR="004F41CA">
        <w:rPr>
          <w:rFonts w:cs="Arial"/>
          <w:noProof/>
          <w:szCs w:val="24"/>
        </w:rPr>
        <w:t>,</w:t>
      </w:r>
      <w:r w:rsidRPr="004F70B4">
        <w:rPr>
          <w:rFonts w:cs="Arial"/>
          <w:noProof/>
          <w:szCs w:val="24"/>
        </w:rPr>
        <w:t xml:space="preserve"> 13, 1213.</w:t>
      </w:r>
    </w:p>
    <w:p w14:paraId="660FCFBA" w14:textId="531E25CD" w:rsidR="004F70B4" w:rsidRPr="004F70B4" w:rsidRDefault="004F70B4" w:rsidP="004F70B4">
      <w:pPr>
        <w:widowControl w:val="0"/>
        <w:autoSpaceDE w:val="0"/>
        <w:autoSpaceDN w:val="0"/>
        <w:adjustRightInd w:val="0"/>
        <w:spacing w:line="240" w:lineRule="auto"/>
        <w:ind w:left="480" w:hanging="480"/>
        <w:rPr>
          <w:rFonts w:cs="Arial"/>
          <w:noProof/>
          <w:szCs w:val="24"/>
        </w:rPr>
      </w:pPr>
      <w:r w:rsidRPr="004F70B4">
        <w:rPr>
          <w:rFonts w:cs="Arial"/>
          <w:noProof/>
          <w:szCs w:val="24"/>
        </w:rPr>
        <w:t xml:space="preserve">Zanobetti F., Pio G., Jafarzadeh S., Ortiz M.M., Cozzani V., 2023a, Decarbonization of maritime transport : Sustainability assessment of alternative power systems, </w:t>
      </w:r>
      <w:r w:rsidR="00837989">
        <w:rPr>
          <w:rFonts w:cs="Arial"/>
          <w:noProof/>
          <w:szCs w:val="24"/>
        </w:rPr>
        <w:t>Journal of Cleaner Production,</w:t>
      </w:r>
      <w:r w:rsidRPr="004F70B4">
        <w:rPr>
          <w:rFonts w:cs="Arial"/>
          <w:noProof/>
          <w:szCs w:val="24"/>
        </w:rPr>
        <w:t xml:space="preserve"> 417, 137989.</w:t>
      </w:r>
    </w:p>
    <w:p w14:paraId="07A10A76" w14:textId="2544100B" w:rsidR="004F70B4" w:rsidRPr="004F70B4" w:rsidRDefault="004F70B4" w:rsidP="004F70B4">
      <w:pPr>
        <w:widowControl w:val="0"/>
        <w:autoSpaceDE w:val="0"/>
        <w:autoSpaceDN w:val="0"/>
        <w:adjustRightInd w:val="0"/>
        <w:spacing w:line="240" w:lineRule="auto"/>
        <w:ind w:left="480" w:hanging="480"/>
        <w:rPr>
          <w:rFonts w:cs="Arial"/>
          <w:noProof/>
        </w:rPr>
      </w:pPr>
      <w:r w:rsidRPr="004F70B4">
        <w:rPr>
          <w:rFonts w:cs="Arial"/>
          <w:noProof/>
          <w:szCs w:val="24"/>
        </w:rPr>
        <w:t xml:space="preserve">Zanobetti F., Pio G., Jafarzadeh S., Ortiz M.M., Cozzani V., 2023b, Inherent safety of clean fuels for maritime transport, </w:t>
      </w:r>
      <w:r w:rsidR="00837989">
        <w:rPr>
          <w:rFonts w:cs="Arial"/>
          <w:noProof/>
          <w:szCs w:val="24"/>
        </w:rPr>
        <w:t>Process Safety and Environmental Protection,</w:t>
      </w:r>
      <w:r w:rsidRPr="004F70B4">
        <w:rPr>
          <w:rFonts w:cs="Arial"/>
          <w:noProof/>
          <w:szCs w:val="24"/>
        </w:rPr>
        <w:t xml:space="preserve"> 174, 1044–1055.</w:t>
      </w:r>
    </w:p>
    <w:p w14:paraId="0677954B" w14:textId="2E9B0E6A" w:rsidR="00FD3928" w:rsidRDefault="00491B25" w:rsidP="006329C9">
      <w:pPr>
        <w:pStyle w:val="CETReferencetext"/>
        <w:ind w:left="0" w:firstLine="0"/>
      </w:pPr>
      <w:r>
        <w:fldChar w:fldCharType="end"/>
      </w:r>
    </w:p>
    <w:sectPr w:rsidR="00FD3928" w:rsidSect="00857EA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7346" w14:textId="77777777" w:rsidR="00857EAD" w:rsidRDefault="00857EAD" w:rsidP="004F5E36">
      <w:r>
        <w:separator/>
      </w:r>
    </w:p>
  </w:endnote>
  <w:endnote w:type="continuationSeparator" w:id="0">
    <w:p w14:paraId="4FE05840" w14:textId="77777777" w:rsidR="00857EAD" w:rsidRDefault="00857EA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80B0" w14:textId="77777777" w:rsidR="00857EAD" w:rsidRDefault="00857EAD" w:rsidP="004F5E36">
      <w:r>
        <w:separator/>
      </w:r>
    </w:p>
  </w:footnote>
  <w:footnote w:type="continuationSeparator" w:id="0">
    <w:p w14:paraId="7D28429B" w14:textId="77777777" w:rsidR="00857EAD" w:rsidRDefault="00857EA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7920619">
    <w:abstractNumId w:val="10"/>
  </w:num>
  <w:num w:numId="2" w16cid:durableId="262694285">
    <w:abstractNumId w:val="8"/>
  </w:num>
  <w:num w:numId="3" w16cid:durableId="1012224749">
    <w:abstractNumId w:val="3"/>
  </w:num>
  <w:num w:numId="4" w16cid:durableId="1448768544">
    <w:abstractNumId w:val="2"/>
  </w:num>
  <w:num w:numId="5" w16cid:durableId="1954048927">
    <w:abstractNumId w:val="1"/>
  </w:num>
  <w:num w:numId="6" w16cid:durableId="3945705">
    <w:abstractNumId w:val="0"/>
  </w:num>
  <w:num w:numId="7" w16cid:durableId="959604086">
    <w:abstractNumId w:val="9"/>
  </w:num>
  <w:num w:numId="8" w16cid:durableId="1298486536">
    <w:abstractNumId w:val="7"/>
  </w:num>
  <w:num w:numId="9" w16cid:durableId="1460417232">
    <w:abstractNumId w:val="6"/>
  </w:num>
  <w:num w:numId="10" w16cid:durableId="1517767961">
    <w:abstractNumId w:val="5"/>
  </w:num>
  <w:num w:numId="11" w16cid:durableId="1533500089">
    <w:abstractNumId w:val="4"/>
  </w:num>
  <w:num w:numId="12" w16cid:durableId="1111315693">
    <w:abstractNumId w:val="17"/>
  </w:num>
  <w:num w:numId="13" w16cid:durableId="1658802999">
    <w:abstractNumId w:val="12"/>
  </w:num>
  <w:num w:numId="14" w16cid:durableId="1839491794">
    <w:abstractNumId w:val="18"/>
  </w:num>
  <w:num w:numId="15" w16cid:durableId="523713972">
    <w:abstractNumId w:val="20"/>
  </w:num>
  <w:num w:numId="16" w16cid:durableId="68386212">
    <w:abstractNumId w:val="19"/>
  </w:num>
  <w:num w:numId="17" w16cid:durableId="313067411">
    <w:abstractNumId w:val="11"/>
  </w:num>
  <w:num w:numId="18" w16cid:durableId="1271936926">
    <w:abstractNumId w:val="12"/>
    <w:lvlOverride w:ilvl="0">
      <w:startOverride w:val="1"/>
    </w:lvlOverride>
  </w:num>
  <w:num w:numId="19" w16cid:durableId="917594446">
    <w:abstractNumId w:val="16"/>
  </w:num>
  <w:num w:numId="20" w16cid:durableId="1222666924">
    <w:abstractNumId w:val="15"/>
  </w:num>
  <w:num w:numId="21" w16cid:durableId="1426222760">
    <w:abstractNumId w:val="14"/>
  </w:num>
  <w:num w:numId="22" w16cid:durableId="2063829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FA0"/>
    <w:rsid w:val="00002143"/>
    <w:rsid w:val="000027C0"/>
    <w:rsid w:val="000052FB"/>
    <w:rsid w:val="000117CB"/>
    <w:rsid w:val="000124B9"/>
    <w:rsid w:val="00012F15"/>
    <w:rsid w:val="00015348"/>
    <w:rsid w:val="00015425"/>
    <w:rsid w:val="00020D88"/>
    <w:rsid w:val="00021A2D"/>
    <w:rsid w:val="00024DC9"/>
    <w:rsid w:val="0003148D"/>
    <w:rsid w:val="00031EEC"/>
    <w:rsid w:val="00032032"/>
    <w:rsid w:val="00035570"/>
    <w:rsid w:val="0004430C"/>
    <w:rsid w:val="0004618B"/>
    <w:rsid w:val="000465EF"/>
    <w:rsid w:val="00047CAC"/>
    <w:rsid w:val="00051566"/>
    <w:rsid w:val="00062A9A"/>
    <w:rsid w:val="00065058"/>
    <w:rsid w:val="000677CE"/>
    <w:rsid w:val="00071B6C"/>
    <w:rsid w:val="00072A83"/>
    <w:rsid w:val="00075F92"/>
    <w:rsid w:val="00077DA6"/>
    <w:rsid w:val="000812B4"/>
    <w:rsid w:val="00082CDA"/>
    <w:rsid w:val="00083A61"/>
    <w:rsid w:val="00083EA0"/>
    <w:rsid w:val="0008477C"/>
    <w:rsid w:val="0008647E"/>
    <w:rsid w:val="0008695E"/>
    <w:rsid w:val="00086C39"/>
    <w:rsid w:val="00087AD3"/>
    <w:rsid w:val="00087E01"/>
    <w:rsid w:val="0009165B"/>
    <w:rsid w:val="0009265D"/>
    <w:rsid w:val="0009385F"/>
    <w:rsid w:val="0009404C"/>
    <w:rsid w:val="000A03B2"/>
    <w:rsid w:val="000A5AA1"/>
    <w:rsid w:val="000B0916"/>
    <w:rsid w:val="000B0DA0"/>
    <w:rsid w:val="000B7DD6"/>
    <w:rsid w:val="000C04D8"/>
    <w:rsid w:val="000C2049"/>
    <w:rsid w:val="000C34EE"/>
    <w:rsid w:val="000C58C4"/>
    <w:rsid w:val="000D0268"/>
    <w:rsid w:val="000D34BE"/>
    <w:rsid w:val="000D76A7"/>
    <w:rsid w:val="000D7F10"/>
    <w:rsid w:val="000E102F"/>
    <w:rsid w:val="000E1555"/>
    <w:rsid w:val="000E36F1"/>
    <w:rsid w:val="000E3A73"/>
    <w:rsid w:val="000E414A"/>
    <w:rsid w:val="000F093C"/>
    <w:rsid w:val="000F5214"/>
    <w:rsid w:val="000F6BCF"/>
    <w:rsid w:val="000F7867"/>
    <w:rsid w:val="000F787B"/>
    <w:rsid w:val="000F7B99"/>
    <w:rsid w:val="00103EBD"/>
    <w:rsid w:val="00104CAD"/>
    <w:rsid w:val="00106B1B"/>
    <w:rsid w:val="00106B28"/>
    <w:rsid w:val="00107E91"/>
    <w:rsid w:val="00111C67"/>
    <w:rsid w:val="00115ACC"/>
    <w:rsid w:val="001173A0"/>
    <w:rsid w:val="0012091F"/>
    <w:rsid w:val="0012127C"/>
    <w:rsid w:val="001223AF"/>
    <w:rsid w:val="00126BC2"/>
    <w:rsid w:val="00126F3B"/>
    <w:rsid w:val="001308B6"/>
    <w:rsid w:val="00130995"/>
    <w:rsid w:val="0013121F"/>
    <w:rsid w:val="00131286"/>
    <w:rsid w:val="00131448"/>
    <w:rsid w:val="00131FE6"/>
    <w:rsid w:val="0013263F"/>
    <w:rsid w:val="0013289F"/>
    <w:rsid w:val="00132ABE"/>
    <w:rsid w:val="001331DF"/>
    <w:rsid w:val="00134DE4"/>
    <w:rsid w:val="0014034D"/>
    <w:rsid w:val="00140C53"/>
    <w:rsid w:val="00141B57"/>
    <w:rsid w:val="00143F34"/>
    <w:rsid w:val="001448BA"/>
    <w:rsid w:val="00144D16"/>
    <w:rsid w:val="001507B6"/>
    <w:rsid w:val="00150954"/>
    <w:rsid w:val="00150E59"/>
    <w:rsid w:val="00152DE3"/>
    <w:rsid w:val="00155CFF"/>
    <w:rsid w:val="00157CCB"/>
    <w:rsid w:val="00163A31"/>
    <w:rsid w:val="00164CF9"/>
    <w:rsid w:val="001667A6"/>
    <w:rsid w:val="00167141"/>
    <w:rsid w:val="00172124"/>
    <w:rsid w:val="00175F89"/>
    <w:rsid w:val="00182201"/>
    <w:rsid w:val="00184AD6"/>
    <w:rsid w:val="00187142"/>
    <w:rsid w:val="0019261F"/>
    <w:rsid w:val="00194849"/>
    <w:rsid w:val="00197638"/>
    <w:rsid w:val="001A0254"/>
    <w:rsid w:val="001A1BCF"/>
    <w:rsid w:val="001A303C"/>
    <w:rsid w:val="001A49B0"/>
    <w:rsid w:val="001A4AF7"/>
    <w:rsid w:val="001A6D8F"/>
    <w:rsid w:val="001B0349"/>
    <w:rsid w:val="001B0C3B"/>
    <w:rsid w:val="001B0C5E"/>
    <w:rsid w:val="001B1E93"/>
    <w:rsid w:val="001B65C1"/>
    <w:rsid w:val="001B7166"/>
    <w:rsid w:val="001C3346"/>
    <w:rsid w:val="001C684B"/>
    <w:rsid w:val="001D0689"/>
    <w:rsid w:val="001D0CFB"/>
    <w:rsid w:val="001D25C5"/>
    <w:rsid w:val="001D53FC"/>
    <w:rsid w:val="001D5F65"/>
    <w:rsid w:val="001D75AC"/>
    <w:rsid w:val="001E0365"/>
    <w:rsid w:val="001E2E61"/>
    <w:rsid w:val="001E54E8"/>
    <w:rsid w:val="001E6ED0"/>
    <w:rsid w:val="001E7BA0"/>
    <w:rsid w:val="001F0B23"/>
    <w:rsid w:val="001F3B8D"/>
    <w:rsid w:val="001F3FC8"/>
    <w:rsid w:val="001F42A5"/>
    <w:rsid w:val="001F7B9D"/>
    <w:rsid w:val="00201C93"/>
    <w:rsid w:val="00202182"/>
    <w:rsid w:val="0020510E"/>
    <w:rsid w:val="00206111"/>
    <w:rsid w:val="00206BE7"/>
    <w:rsid w:val="002106E8"/>
    <w:rsid w:val="00210D69"/>
    <w:rsid w:val="00214E9F"/>
    <w:rsid w:val="00221BCD"/>
    <w:rsid w:val="002224B4"/>
    <w:rsid w:val="00222869"/>
    <w:rsid w:val="00222A98"/>
    <w:rsid w:val="002308F5"/>
    <w:rsid w:val="00242631"/>
    <w:rsid w:val="002447EF"/>
    <w:rsid w:val="00246DFA"/>
    <w:rsid w:val="00251550"/>
    <w:rsid w:val="00256327"/>
    <w:rsid w:val="00261E42"/>
    <w:rsid w:val="00262D2C"/>
    <w:rsid w:val="00263B05"/>
    <w:rsid w:val="002643A0"/>
    <w:rsid w:val="00264983"/>
    <w:rsid w:val="00267E98"/>
    <w:rsid w:val="00270DB9"/>
    <w:rsid w:val="00270E79"/>
    <w:rsid w:val="0027221A"/>
    <w:rsid w:val="00272951"/>
    <w:rsid w:val="00273046"/>
    <w:rsid w:val="00273707"/>
    <w:rsid w:val="00273A67"/>
    <w:rsid w:val="0027437A"/>
    <w:rsid w:val="002759A0"/>
    <w:rsid w:val="00275B61"/>
    <w:rsid w:val="0027648D"/>
    <w:rsid w:val="00280FAF"/>
    <w:rsid w:val="00282656"/>
    <w:rsid w:val="002827B5"/>
    <w:rsid w:val="002846C1"/>
    <w:rsid w:val="00293DFF"/>
    <w:rsid w:val="002943AE"/>
    <w:rsid w:val="00296B83"/>
    <w:rsid w:val="002A2A5C"/>
    <w:rsid w:val="002A4B90"/>
    <w:rsid w:val="002B025F"/>
    <w:rsid w:val="002B33DA"/>
    <w:rsid w:val="002B39DC"/>
    <w:rsid w:val="002B4015"/>
    <w:rsid w:val="002B581E"/>
    <w:rsid w:val="002B5E71"/>
    <w:rsid w:val="002B78CE"/>
    <w:rsid w:val="002C2FB6"/>
    <w:rsid w:val="002D04B6"/>
    <w:rsid w:val="002D241B"/>
    <w:rsid w:val="002D250F"/>
    <w:rsid w:val="002D380A"/>
    <w:rsid w:val="002D59B4"/>
    <w:rsid w:val="002E5FA7"/>
    <w:rsid w:val="002E7880"/>
    <w:rsid w:val="002E7BBE"/>
    <w:rsid w:val="002F3309"/>
    <w:rsid w:val="002F5CCA"/>
    <w:rsid w:val="003008CE"/>
    <w:rsid w:val="003009B7"/>
    <w:rsid w:val="00300E56"/>
    <w:rsid w:val="00300E93"/>
    <w:rsid w:val="00301216"/>
    <w:rsid w:val="003013D1"/>
    <w:rsid w:val="0030329E"/>
    <w:rsid w:val="0030469C"/>
    <w:rsid w:val="00307537"/>
    <w:rsid w:val="00307E2B"/>
    <w:rsid w:val="00312208"/>
    <w:rsid w:val="00317808"/>
    <w:rsid w:val="003204A3"/>
    <w:rsid w:val="00321CA6"/>
    <w:rsid w:val="00322624"/>
    <w:rsid w:val="00322D6F"/>
    <w:rsid w:val="00323763"/>
    <w:rsid w:val="00326B49"/>
    <w:rsid w:val="0032713D"/>
    <w:rsid w:val="00330A09"/>
    <w:rsid w:val="00334C09"/>
    <w:rsid w:val="00335BEB"/>
    <w:rsid w:val="00337473"/>
    <w:rsid w:val="00341C8E"/>
    <w:rsid w:val="003436D7"/>
    <w:rsid w:val="003449C6"/>
    <w:rsid w:val="00347418"/>
    <w:rsid w:val="0034798B"/>
    <w:rsid w:val="00351707"/>
    <w:rsid w:val="0035268C"/>
    <w:rsid w:val="00352B76"/>
    <w:rsid w:val="00362E07"/>
    <w:rsid w:val="00366DE4"/>
    <w:rsid w:val="003723D4"/>
    <w:rsid w:val="00373E49"/>
    <w:rsid w:val="00374B4E"/>
    <w:rsid w:val="00377C24"/>
    <w:rsid w:val="00380E2C"/>
    <w:rsid w:val="00381905"/>
    <w:rsid w:val="00381E2D"/>
    <w:rsid w:val="00384CC8"/>
    <w:rsid w:val="0038687A"/>
    <w:rsid w:val="00386F3F"/>
    <w:rsid w:val="003871FD"/>
    <w:rsid w:val="003924C0"/>
    <w:rsid w:val="0039496F"/>
    <w:rsid w:val="003952EB"/>
    <w:rsid w:val="00395590"/>
    <w:rsid w:val="003970C1"/>
    <w:rsid w:val="003A08AF"/>
    <w:rsid w:val="003A116D"/>
    <w:rsid w:val="003A1E30"/>
    <w:rsid w:val="003A2829"/>
    <w:rsid w:val="003A5367"/>
    <w:rsid w:val="003A5524"/>
    <w:rsid w:val="003A7D1C"/>
    <w:rsid w:val="003B0A5A"/>
    <w:rsid w:val="003B0FFF"/>
    <w:rsid w:val="003B2892"/>
    <w:rsid w:val="003B304B"/>
    <w:rsid w:val="003B3146"/>
    <w:rsid w:val="003C3AAF"/>
    <w:rsid w:val="003C3D55"/>
    <w:rsid w:val="003C685D"/>
    <w:rsid w:val="003C79B5"/>
    <w:rsid w:val="003C7EC9"/>
    <w:rsid w:val="003D0D32"/>
    <w:rsid w:val="003D2F70"/>
    <w:rsid w:val="003D47C1"/>
    <w:rsid w:val="003D5412"/>
    <w:rsid w:val="003D5BBB"/>
    <w:rsid w:val="003E2433"/>
    <w:rsid w:val="003E5A22"/>
    <w:rsid w:val="003E7818"/>
    <w:rsid w:val="003E7C80"/>
    <w:rsid w:val="003F015E"/>
    <w:rsid w:val="003F0E8C"/>
    <w:rsid w:val="003F161E"/>
    <w:rsid w:val="003F3BBB"/>
    <w:rsid w:val="003F75FA"/>
    <w:rsid w:val="00400414"/>
    <w:rsid w:val="00400DBA"/>
    <w:rsid w:val="00404560"/>
    <w:rsid w:val="00404FF7"/>
    <w:rsid w:val="004054A7"/>
    <w:rsid w:val="00411B18"/>
    <w:rsid w:val="0041446B"/>
    <w:rsid w:val="00417C91"/>
    <w:rsid w:val="00421555"/>
    <w:rsid w:val="004227AD"/>
    <w:rsid w:val="004233EA"/>
    <w:rsid w:val="00427604"/>
    <w:rsid w:val="00427A59"/>
    <w:rsid w:val="00432106"/>
    <w:rsid w:val="004347DB"/>
    <w:rsid w:val="00437448"/>
    <w:rsid w:val="004422BD"/>
    <w:rsid w:val="0044329C"/>
    <w:rsid w:val="004473A0"/>
    <w:rsid w:val="00447BC5"/>
    <w:rsid w:val="00451B8E"/>
    <w:rsid w:val="0045345D"/>
    <w:rsid w:val="00453E24"/>
    <w:rsid w:val="00454900"/>
    <w:rsid w:val="004550A3"/>
    <w:rsid w:val="00457456"/>
    <w:rsid w:val="004577FE"/>
    <w:rsid w:val="00457B9C"/>
    <w:rsid w:val="00457D37"/>
    <w:rsid w:val="00457F90"/>
    <w:rsid w:val="0046164A"/>
    <w:rsid w:val="004628D2"/>
    <w:rsid w:val="00462DCD"/>
    <w:rsid w:val="0046395D"/>
    <w:rsid w:val="004648AD"/>
    <w:rsid w:val="00465B17"/>
    <w:rsid w:val="00465E59"/>
    <w:rsid w:val="0046626D"/>
    <w:rsid w:val="00466470"/>
    <w:rsid w:val="004703A9"/>
    <w:rsid w:val="00472BFE"/>
    <w:rsid w:val="004737E7"/>
    <w:rsid w:val="00473B34"/>
    <w:rsid w:val="004760DE"/>
    <w:rsid w:val="004763D7"/>
    <w:rsid w:val="00477E25"/>
    <w:rsid w:val="004823D9"/>
    <w:rsid w:val="00482B7B"/>
    <w:rsid w:val="004860DD"/>
    <w:rsid w:val="00486418"/>
    <w:rsid w:val="00487036"/>
    <w:rsid w:val="004872EB"/>
    <w:rsid w:val="00487734"/>
    <w:rsid w:val="00487822"/>
    <w:rsid w:val="00487EA2"/>
    <w:rsid w:val="00490540"/>
    <w:rsid w:val="00491B25"/>
    <w:rsid w:val="0049237E"/>
    <w:rsid w:val="00492DCD"/>
    <w:rsid w:val="00496CF7"/>
    <w:rsid w:val="004A004E"/>
    <w:rsid w:val="004A04F3"/>
    <w:rsid w:val="004A066D"/>
    <w:rsid w:val="004A2059"/>
    <w:rsid w:val="004A24CF"/>
    <w:rsid w:val="004A2902"/>
    <w:rsid w:val="004A32F6"/>
    <w:rsid w:val="004A345B"/>
    <w:rsid w:val="004A3C2B"/>
    <w:rsid w:val="004A59C7"/>
    <w:rsid w:val="004A5D3E"/>
    <w:rsid w:val="004A7812"/>
    <w:rsid w:val="004A7975"/>
    <w:rsid w:val="004B1035"/>
    <w:rsid w:val="004B3969"/>
    <w:rsid w:val="004B5004"/>
    <w:rsid w:val="004C0884"/>
    <w:rsid w:val="004C0BB5"/>
    <w:rsid w:val="004C166E"/>
    <w:rsid w:val="004C3D1D"/>
    <w:rsid w:val="004C4A40"/>
    <w:rsid w:val="004C5868"/>
    <w:rsid w:val="004C7913"/>
    <w:rsid w:val="004D0964"/>
    <w:rsid w:val="004D5FF8"/>
    <w:rsid w:val="004E33FC"/>
    <w:rsid w:val="004E4D14"/>
    <w:rsid w:val="004E4DD6"/>
    <w:rsid w:val="004E5802"/>
    <w:rsid w:val="004F41CA"/>
    <w:rsid w:val="004F5E36"/>
    <w:rsid w:val="004F6BC9"/>
    <w:rsid w:val="004F70B4"/>
    <w:rsid w:val="004F7C7A"/>
    <w:rsid w:val="0050042D"/>
    <w:rsid w:val="00501B57"/>
    <w:rsid w:val="0050344A"/>
    <w:rsid w:val="00504167"/>
    <w:rsid w:val="00507B47"/>
    <w:rsid w:val="00507BEF"/>
    <w:rsid w:val="00507CC9"/>
    <w:rsid w:val="00507F70"/>
    <w:rsid w:val="005107F9"/>
    <w:rsid w:val="00510C03"/>
    <w:rsid w:val="005119A5"/>
    <w:rsid w:val="00516D54"/>
    <w:rsid w:val="00521364"/>
    <w:rsid w:val="00521485"/>
    <w:rsid w:val="00522972"/>
    <w:rsid w:val="00525ACD"/>
    <w:rsid w:val="005278B7"/>
    <w:rsid w:val="00530DE0"/>
    <w:rsid w:val="00532016"/>
    <w:rsid w:val="00532973"/>
    <w:rsid w:val="00533943"/>
    <w:rsid w:val="005346C8"/>
    <w:rsid w:val="00534B47"/>
    <w:rsid w:val="00535CB6"/>
    <w:rsid w:val="005364A7"/>
    <w:rsid w:val="00542B99"/>
    <w:rsid w:val="00543E7D"/>
    <w:rsid w:val="005440F2"/>
    <w:rsid w:val="00547A68"/>
    <w:rsid w:val="0055228D"/>
    <w:rsid w:val="005531C9"/>
    <w:rsid w:val="00553FF3"/>
    <w:rsid w:val="005561FE"/>
    <w:rsid w:val="00557E44"/>
    <w:rsid w:val="00560109"/>
    <w:rsid w:val="005637F9"/>
    <w:rsid w:val="00567B46"/>
    <w:rsid w:val="00570C43"/>
    <w:rsid w:val="00575323"/>
    <w:rsid w:val="005820EA"/>
    <w:rsid w:val="005821F2"/>
    <w:rsid w:val="00582A1B"/>
    <w:rsid w:val="00587D81"/>
    <w:rsid w:val="00592D3B"/>
    <w:rsid w:val="005958A0"/>
    <w:rsid w:val="00595B3E"/>
    <w:rsid w:val="00596203"/>
    <w:rsid w:val="005A0896"/>
    <w:rsid w:val="005A40DD"/>
    <w:rsid w:val="005A556E"/>
    <w:rsid w:val="005B2110"/>
    <w:rsid w:val="005B61E6"/>
    <w:rsid w:val="005C4466"/>
    <w:rsid w:val="005C4ED8"/>
    <w:rsid w:val="005C550A"/>
    <w:rsid w:val="005C59CB"/>
    <w:rsid w:val="005C66ED"/>
    <w:rsid w:val="005C77E1"/>
    <w:rsid w:val="005D08B4"/>
    <w:rsid w:val="005D5381"/>
    <w:rsid w:val="005D668A"/>
    <w:rsid w:val="005D66FB"/>
    <w:rsid w:val="005D6A2F"/>
    <w:rsid w:val="005D7B4B"/>
    <w:rsid w:val="005E1A82"/>
    <w:rsid w:val="005E1C5E"/>
    <w:rsid w:val="005E4356"/>
    <w:rsid w:val="005E4A02"/>
    <w:rsid w:val="005E4E85"/>
    <w:rsid w:val="005E794C"/>
    <w:rsid w:val="005F0A28"/>
    <w:rsid w:val="005F0E5E"/>
    <w:rsid w:val="005F133C"/>
    <w:rsid w:val="005F1638"/>
    <w:rsid w:val="005F39F8"/>
    <w:rsid w:val="005F4661"/>
    <w:rsid w:val="005F7818"/>
    <w:rsid w:val="006002CA"/>
    <w:rsid w:val="00600535"/>
    <w:rsid w:val="00601CDE"/>
    <w:rsid w:val="006039A8"/>
    <w:rsid w:val="00606285"/>
    <w:rsid w:val="00607397"/>
    <w:rsid w:val="00607496"/>
    <w:rsid w:val="00610CD6"/>
    <w:rsid w:val="00612B7F"/>
    <w:rsid w:val="006141D2"/>
    <w:rsid w:val="00614D8F"/>
    <w:rsid w:val="006163B0"/>
    <w:rsid w:val="006207F4"/>
    <w:rsid w:val="00620DEE"/>
    <w:rsid w:val="00621F88"/>
    <w:rsid w:val="00621F92"/>
    <w:rsid w:val="0062280A"/>
    <w:rsid w:val="00624CD0"/>
    <w:rsid w:val="00625639"/>
    <w:rsid w:val="0062729C"/>
    <w:rsid w:val="00631B33"/>
    <w:rsid w:val="006329C9"/>
    <w:rsid w:val="006362B6"/>
    <w:rsid w:val="00636C33"/>
    <w:rsid w:val="0064184D"/>
    <w:rsid w:val="006422CC"/>
    <w:rsid w:val="00642859"/>
    <w:rsid w:val="00652802"/>
    <w:rsid w:val="00655156"/>
    <w:rsid w:val="00655B04"/>
    <w:rsid w:val="00656379"/>
    <w:rsid w:val="00657C98"/>
    <w:rsid w:val="006600C5"/>
    <w:rsid w:val="00660E3E"/>
    <w:rsid w:val="00662E74"/>
    <w:rsid w:val="00665323"/>
    <w:rsid w:val="006653C4"/>
    <w:rsid w:val="00666FB1"/>
    <w:rsid w:val="00670C74"/>
    <w:rsid w:val="00670DC2"/>
    <w:rsid w:val="006716BF"/>
    <w:rsid w:val="00671A75"/>
    <w:rsid w:val="006724C4"/>
    <w:rsid w:val="00675CC1"/>
    <w:rsid w:val="00680C23"/>
    <w:rsid w:val="006825C8"/>
    <w:rsid w:val="00683FFE"/>
    <w:rsid w:val="00687885"/>
    <w:rsid w:val="00693662"/>
    <w:rsid w:val="00693766"/>
    <w:rsid w:val="00695A71"/>
    <w:rsid w:val="006A3281"/>
    <w:rsid w:val="006A4D7A"/>
    <w:rsid w:val="006A60BC"/>
    <w:rsid w:val="006A7156"/>
    <w:rsid w:val="006B1AEE"/>
    <w:rsid w:val="006B4888"/>
    <w:rsid w:val="006B593C"/>
    <w:rsid w:val="006C27A1"/>
    <w:rsid w:val="006C2E45"/>
    <w:rsid w:val="006C359C"/>
    <w:rsid w:val="006C369A"/>
    <w:rsid w:val="006C5579"/>
    <w:rsid w:val="006C5CD6"/>
    <w:rsid w:val="006D1A82"/>
    <w:rsid w:val="006D1C56"/>
    <w:rsid w:val="006D28D0"/>
    <w:rsid w:val="006D2A42"/>
    <w:rsid w:val="006D6E8B"/>
    <w:rsid w:val="006E0758"/>
    <w:rsid w:val="006E2D30"/>
    <w:rsid w:val="006E2EBF"/>
    <w:rsid w:val="006E4258"/>
    <w:rsid w:val="006E5261"/>
    <w:rsid w:val="006E688A"/>
    <w:rsid w:val="006E6C83"/>
    <w:rsid w:val="006E737D"/>
    <w:rsid w:val="006F00DF"/>
    <w:rsid w:val="006F3B73"/>
    <w:rsid w:val="006F4D72"/>
    <w:rsid w:val="00705F96"/>
    <w:rsid w:val="007063B5"/>
    <w:rsid w:val="00707A35"/>
    <w:rsid w:val="00710C3C"/>
    <w:rsid w:val="007115EC"/>
    <w:rsid w:val="00713973"/>
    <w:rsid w:val="00714FAF"/>
    <w:rsid w:val="0071505B"/>
    <w:rsid w:val="00720A24"/>
    <w:rsid w:val="00720E7A"/>
    <w:rsid w:val="00723A4C"/>
    <w:rsid w:val="007246C2"/>
    <w:rsid w:val="00725984"/>
    <w:rsid w:val="00726155"/>
    <w:rsid w:val="007276CD"/>
    <w:rsid w:val="00731C02"/>
    <w:rsid w:val="007320C6"/>
    <w:rsid w:val="00732386"/>
    <w:rsid w:val="0073514D"/>
    <w:rsid w:val="007438FB"/>
    <w:rsid w:val="007447F3"/>
    <w:rsid w:val="007472F6"/>
    <w:rsid w:val="00750781"/>
    <w:rsid w:val="00753711"/>
    <w:rsid w:val="0075499F"/>
    <w:rsid w:val="0075579B"/>
    <w:rsid w:val="00755D40"/>
    <w:rsid w:val="0075725E"/>
    <w:rsid w:val="00763E7F"/>
    <w:rsid w:val="007647B3"/>
    <w:rsid w:val="007661C8"/>
    <w:rsid w:val="007666DE"/>
    <w:rsid w:val="0077098D"/>
    <w:rsid w:val="00775A96"/>
    <w:rsid w:val="00780E38"/>
    <w:rsid w:val="007834D9"/>
    <w:rsid w:val="00783E19"/>
    <w:rsid w:val="00783FC6"/>
    <w:rsid w:val="0078487F"/>
    <w:rsid w:val="00785EE9"/>
    <w:rsid w:val="00791F32"/>
    <w:rsid w:val="0079242B"/>
    <w:rsid w:val="007931FA"/>
    <w:rsid w:val="0079586C"/>
    <w:rsid w:val="007A161F"/>
    <w:rsid w:val="007A2382"/>
    <w:rsid w:val="007A3AC7"/>
    <w:rsid w:val="007A4861"/>
    <w:rsid w:val="007A5A18"/>
    <w:rsid w:val="007A6000"/>
    <w:rsid w:val="007A704C"/>
    <w:rsid w:val="007A7BBA"/>
    <w:rsid w:val="007B0BB2"/>
    <w:rsid w:val="007B0C50"/>
    <w:rsid w:val="007B1FE7"/>
    <w:rsid w:val="007B2593"/>
    <w:rsid w:val="007B37E0"/>
    <w:rsid w:val="007B3C73"/>
    <w:rsid w:val="007B48F9"/>
    <w:rsid w:val="007B794B"/>
    <w:rsid w:val="007C1A43"/>
    <w:rsid w:val="007C40D5"/>
    <w:rsid w:val="007C4267"/>
    <w:rsid w:val="007C466B"/>
    <w:rsid w:val="007C5523"/>
    <w:rsid w:val="007D42EE"/>
    <w:rsid w:val="007D7F2D"/>
    <w:rsid w:val="007E014D"/>
    <w:rsid w:val="007E0189"/>
    <w:rsid w:val="007E1366"/>
    <w:rsid w:val="007E21D6"/>
    <w:rsid w:val="007F0D78"/>
    <w:rsid w:val="007F2931"/>
    <w:rsid w:val="007F2CB6"/>
    <w:rsid w:val="007F3366"/>
    <w:rsid w:val="007F6CF6"/>
    <w:rsid w:val="0080013E"/>
    <w:rsid w:val="00802002"/>
    <w:rsid w:val="0080535C"/>
    <w:rsid w:val="00812529"/>
    <w:rsid w:val="00813288"/>
    <w:rsid w:val="00813A02"/>
    <w:rsid w:val="00815E86"/>
    <w:rsid w:val="00816345"/>
    <w:rsid w:val="008168FC"/>
    <w:rsid w:val="00822360"/>
    <w:rsid w:val="00824379"/>
    <w:rsid w:val="008243DB"/>
    <w:rsid w:val="008248B1"/>
    <w:rsid w:val="00825DD9"/>
    <w:rsid w:val="00830996"/>
    <w:rsid w:val="008345F1"/>
    <w:rsid w:val="00837989"/>
    <w:rsid w:val="008419D4"/>
    <w:rsid w:val="00844E04"/>
    <w:rsid w:val="0084696D"/>
    <w:rsid w:val="0084793C"/>
    <w:rsid w:val="00853014"/>
    <w:rsid w:val="00855EFD"/>
    <w:rsid w:val="00857AD6"/>
    <w:rsid w:val="00857EAD"/>
    <w:rsid w:val="00860424"/>
    <w:rsid w:val="0086046F"/>
    <w:rsid w:val="00865B07"/>
    <w:rsid w:val="008667EA"/>
    <w:rsid w:val="00867EC1"/>
    <w:rsid w:val="0087070E"/>
    <w:rsid w:val="008739FB"/>
    <w:rsid w:val="008755DA"/>
    <w:rsid w:val="0087637F"/>
    <w:rsid w:val="00877386"/>
    <w:rsid w:val="008800B6"/>
    <w:rsid w:val="00881A20"/>
    <w:rsid w:val="00883098"/>
    <w:rsid w:val="00883A6D"/>
    <w:rsid w:val="00887A3F"/>
    <w:rsid w:val="00892020"/>
    <w:rsid w:val="00892AD5"/>
    <w:rsid w:val="00896408"/>
    <w:rsid w:val="00896885"/>
    <w:rsid w:val="00896E68"/>
    <w:rsid w:val="008A1512"/>
    <w:rsid w:val="008A1912"/>
    <w:rsid w:val="008A3AAC"/>
    <w:rsid w:val="008B1B0D"/>
    <w:rsid w:val="008B53B2"/>
    <w:rsid w:val="008B7945"/>
    <w:rsid w:val="008C0A45"/>
    <w:rsid w:val="008C5122"/>
    <w:rsid w:val="008C6033"/>
    <w:rsid w:val="008D1F2C"/>
    <w:rsid w:val="008D32B9"/>
    <w:rsid w:val="008D433B"/>
    <w:rsid w:val="008D58DA"/>
    <w:rsid w:val="008E23CD"/>
    <w:rsid w:val="008E38A8"/>
    <w:rsid w:val="008E5382"/>
    <w:rsid w:val="008E566E"/>
    <w:rsid w:val="008E6C68"/>
    <w:rsid w:val="008F424E"/>
    <w:rsid w:val="008F6A25"/>
    <w:rsid w:val="0090161A"/>
    <w:rsid w:val="009018CA"/>
    <w:rsid w:val="00901EB6"/>
    <w:rsid w:val="00901EBC"/>
    <w:rsid w:val="00903DD7"/>
    <w:rsid w:val="00904C62"/>
    <w:rsid w:val="00910516"/>
    <w:rsid w:val="00912E08"/>
    <w:rsid w:val="00921407"/>
    <w:rsid w:val="00922688"/>
    <w:rsid w:val="00922A44"/>
    <w:rsid w:val="00922BA8"/>
    <w:rsid w:val="00924DAC"/>
    <w:rsid w:val="00925B83"/>
    <w:rsid w:val="00927058"/>
    <w:rsid w:val="00932CEF"/>
    <w:rsid w:val="00936B02"/>
    <w:rsid w:val="00940330"/>
    <w:rsid w:val="0094077F"/>
    <w:rsid w:val="0094146C"/>
    <w:rsid w:val="009415C8"/>
    <w:rsid w:val="00942750"/>
    <w:rsid w:val="00943E6C"/>
    <w:rsid w:val="00943EF9"/>
    <w:rsid w:val="00943F14"/>
    <w:rsid w:val="00944CFF"/>
    <w:rsid w:val="009450CE"/>
    <w:rsid w:val="00945BB4"/>
    <w:rsid w:val="009466A6"/>
    <w:rsid w:val="00946C2B"/>
    <w:rsid w:val="00946C75"/>
    <w:rsid w:val="00946E40"/>
    <w:rsid w:val="00947179"/>
    <w:rsid w:val="0095164B"/>
    <w:rsid w:val="00954090"/>
    <w:rsid w:val="00955A1A"/>
    <w:rsid w:val="009566FB"/>
    <w:rsid w:val="009573E7"/>
    <w:rsid w:val="00957527"/>
    <w:rsid w:val="00961863"/>
    <w:rsid w:val="00961EDC"/>
    <w:rsid w:val="00963E05"/>
    <w:rsid w:val="00964BED"/>
    <w:rsid w:val="00965EFA"/>
    <w:rsid w:val="00966367"/>
    <w:rsid w:val="00966B56"/>
    <w:rsid w:val="00967843"/>
    <w:rsid w:val="00967D54"/>
    <w:rsid w:val="00971028"/>
    <w:rsid w:val="00981004"/>
    <w:rsid w:val="00981EB6"/>
    <w:rsid w:val="00982CE1"/>
    <w:rsid w:val="0098494A"/>
    <w:rsid w:val="0099294B"/>
    <w:rsid w:val="00993B84"/>
    <w:rsid w:val="00996483"/>
    <w:rsid w:val="00996E19"/>
    <w:rsid w:val="00996F5A"/>
    <w:rsid w:val="009A0C9D"/>
    <w:rsid w:val="009A4054"/>
    <w:rsid w:val="009A54A1"/>
    <w:rsid w:val="009A54D1"/>
    <w:rsid w:val="009B041A"/>
    <w:rsid w:val="009B2DA0"/>
    <w:rsid w:val="009B4545"/>
    <w:rsid w:val="009C0E30"/>
    <w:rsid w:val="009C37C3"/>
    <w:rsid w:val="009C4A5D"/>
    <w:rsid w:val="009C5848"/>
    <w:rsid w:val="009C61B6"/>
    <w:rsid w:val="009C7C86"/>
    <w:rsid w:val="009D018E"/>
    <w:rsid w:val="009D2F85"/>
    <w:rsid w:val="009D2FF7"/>
    <w:rsid w:val="009D43DC"/>
    <w:rsid w:val="009D44B5"/>
    <w:rsid w:val="009E2955"/>
    <w:rsid w:val="009E5DC1"/>
    <w:rsid w:val="009E7884"/>
    <w:rsid w:val="009E788A"/>
    <w:rsid w:val="009F0E08"/>
    <w:rsid w:val="009F197F"/>
    <w:rsid w:val="009F43B4"/>
    <w:rsid w:val="009F474C"/>
    <w:rsid w:val="009F52CD"/>
    <w:rsid w:val="009F70A1"/>
    <w:rsid w:val="00A0084E"/>
    <w:rsid w:val="00A00FB3"/>
    <w:rsid w:val="00A0102D"/>
    <w:rsid w:val="00A01963"/>
    <w:rsid w:val="00A0243A"/>
    <w:rsid w:val="00A037A8"/>
    <w:rsid w:val="00A1183D"/>
    <w:rsid w:val="00A14098"/>
    <w:rsid w:val="00A14853"/>
    <w:rsid w:val="00A16B2C"/>
    <w:rsid w:val="00A1763D"/>
    <w:rsid w:val="00A17CEC"/>
    <w:rsid w:val="00A210A0"/>
    <w:rsid w:val="00A27EF0"/>
    <w:rsid w:val="00A307E2"/>
    <w:rsid w:val="00A41C8D"/>
    <w:rsid w:val="00A4221A"/>
    <w:rsid w:val="00A42361"/>
    <w:rsid w:val="00A43FD2"/>
    <w:rsid w:val="00A50B20"/>
    <w:rsid w:val="00A51390"/>
    <w:rsid w:val="00A538C0"/>
    <w:rsid w:val="00A54CAA"/>
    <w:rsid w:val="00A55497"/>
    <w:rsid w:val="00A60D13"/>
    <w:rsid w:val="00A60FF2"/>
    <w:rsid w:val="00A611F7"/>
    <w:rsid w:val="00A644E9"/>
    <w:rsid w:val="00A6484C"/>
    <w:rsid w:val="00A654D6"/>
    <w:rsid w:val="00A70CE7"/>
    <w:rsid w:val="00A719B8"/>
    <w:rsid w:val="00A72745"/>
    <w:rsid w:val="00A75DE0"/>
    <w:rsid w:val="00A762FF"/>
    <w:rsid w:val="00A76EFC"/>
    <w:rsid w:val="00A7775D"/>
    <w:rsid w:val="00A82551"/>
    <w:rsid w:val="00A82948"/>
    <w:rsid w:val="00A82987"/>
    <w:rsid w:val="00A847CF"/>
    <w:rsid w:val="00A85F15"/>
    <w:rsid w:val="00A901A9"/>
    <w:rsid w:val="00A91010"/>
    <w:rsid w:val="00A95249"/>
    <w:rsid w:val="00A97B76"/>
    <w:rsid w:val="00A97F29"/>
    <w:rsid w:val="00AA0E9E"/>
    <w:rsid w:val="00AA1473"/>
    <w:rsid w:val="00AA667B"/>
    <w:rsid w:val="00AA702E"/>
    <w:rsid w:val="00AB0964"/>
    <w:rsid w:val="00AB2FAF"/>
    <w:rsid w:val="00AB3E76"/>
    <w:rsid w:val="00AB5011"/>
    <w:rsid w:val="00AB5689"/>
    <w:rsid w:val="00AC29BE"/>
    <w:rsid w:val="00AC35FC"/>
    <w:rsid w:val="00AC3979"/>
    <w:rsid w:val="00AC594B"/>
    <w:rsid w:val="00AC5B88"/>
    <w:rsid w:val="00AC6567"/>
    <w:rsid w:val="00AC7368"/>
    <w:rsid w:val="00AD16B9"/>
    <w:rsid w:val="00AD3D9E"/>
    <w:rsid w:val="00AD448B"/>
    <w:rsid w:val="00AD513B"/>
    <w:rsid w:val="00AD778E"/>
    <w:rsid w:val="00AE140B"/>
    <w:rsid w:val="00AE377D"/>
    <w:rsid w:val="00AE4C2B"/>
    <w:rsid w:val="00AE6C37"/>
    <w:rsid w:val="00AE7563"/>
    <w:rsid w:val="00AF0C8D"/>
    <w:rsid w:val="00AF0EBA"/>
    <w:rsid w:val="00AF31BC"/>
    <w:rsid w:val="00AF4845"/>
    <w:rsid w:val="00AF5705"/>
    <w:rsid w:val="00AF66AD"/>
    <w:rsid w:val="00AF702C"/>
    <w:rsid w:val="00B01584"/>
    <w:rsid w:val="00B02C8A"/>
    <w:rsid w:val="00B02E3D"/>
    <w:rsid w:val="00B0349F"/>
    <w:rsid w:val="00B03DCE"/>
    <w:rsid w:val="00B06211"/>
    <w:rsid w:val="00B06E80"/>
    <w:rsid w:val="00B0739B"/>
    <w:rsid w:val="00B11EBF"/>
    <w:rsid w:val="00B11F02"/>
    <w:rsid w:val="00B12A6D"/>
    <w:rsid w:val="00B12ECF"/>
    <w:rsid w:val="00B13843"/>
    <w:rsid w:val="00B13C06"/>
    <w:rsid w:val="00B14C68"/>
    <w:rsid w:val="00B16197"/>
    <w:rsid w:val="00B16FFC"/>
    <w:rsid w:val="00B17FBD"/>
    <w:rsid w:val="00B24B59"/>
    <w:rsid w:val="00B3081D"/>
    <w:rsid w:val="00B315A6"/>
    <w:rsid w:val="00B31813"/>
    <w:rsid w:val="00B31BA8"/>
    <w:rsid w:val="00B33365"/>
    <w:rsid w:val="00B34420"/>
    <w:rsid w:val="00B35844"/>
    <w:rsid w:val="00B40D29"/>
    <w:rsid w:val="00B5138E"/>
    <w:rsid w:val="00B51977"/>
    <w:rsid w:val="00B53281"/>
    <w:rsid w:val="00B5515F"/>
    <w:rsid w:val="00B55367"/>
    <w:rsid w:val="00B5659E"/>
    <w:rsid w:val="00B570E6"/>
    <w:rsid w:val="00B57B36"/>
    <w:rsid w:val="00B57E6F"/>
    <w:rsid w:val="00B600E8"/>
    <w:rsid w:val="00B65300"/>
    <w:rsid w:val="00B6742D"/>
    <w:rsid w:val="00B72713"/>
    <w:rsid w:val="00B72763"/>
    <w:rsid w:val="00B73AF4"/>
    <w:rsid w:val="00B7496D"/>
    <w:rsid w:val="00B74C7E"/>
    <w:rsid w:val="00B75D3D"/>
    <w:rsid w:val="00B75F11"/>
    <w:rsid w:val="00B76F8E"/>
    <w:rsid w:val="00B821CA"/>
    <w:rsid w:val="00B8686D"/>
    <w:rsid w:val="00B927FC"/>
    <w:rsid w:val="00B93F69"/>
    <w:rsid w:val="00B965F1"/>
    <w:rsid w:val="00B97EBE"/>
    <w:rsid w:val="00BA13B4"/>
    <w:rsid w:val="00BB1DDC"/>
    <w:rsid w:val="00BB3AC9"/>
    <w:rsid w:val="00BB43D6"/>
    <w:rsid w:val="00BB5C27"/>
    <w:rsid w:val="00BC140B"/>
    <w:rsid w:val="00BC30C9"/>
    <w:rsid w:val="00BC3D41"/>
    <w:rsid w:val="00BC5315"/>
    <w:rsid w:val="00BC5D3D"/>
    <w:rsid w:val="00BD077D"/>
    <w:rsid w:val="00BD27B2"/>
    <w:rsid w:val="00BD3CB9"/>
    <w:rsid w:val="00BD4F35"/>
    <w:rsid w:val="00BE1B1A"/>
    <w:rsid w:val="00BE325A"/>
    <w:rsid w:val="00BE3E58"/>
    <w:rsid w:val="00BE67FA"/>
    <w:rsid w:val="00BE6FF1"/>
    <w:rsid w:val="00BF1367"/>
    <w:rsid w:val="00BF16D7"/>
    <w:rsid w:val="00BF339E"/>
    <w:rsid w:val="00BF7321"/>
    <w:rsid w:val="00C01480"/>
    <w:rsid w:val="00C01616"/>
    <w:rsid w:val="00C0162B"/>
    <w:rsid w:val="00C040FA"/>
    <w:rsid w:val="00C04145"/>
    <w:rsid w:val="00C043F7"/>
    <w:rsid w:val="00C0445A"/>
    <w:rsid w:val="00C068ED"/>
    <w:rsid w:val="00C0775C"/>
    <w:rsid w:val="00C079BA"/>
    <w:rsid w:val="00C125D2"/>
    <w:rsid w:val="00C13F73"/>
    <w:rsid w:val="00C162C5"/>
    <w:rsid w:val="00C22E0C"/>
    <w:rsid w:val="00C2464B"/>
    <w:rsid w:val="00C24D07"/>
    <w:rsid w:val="00C27D8E"/>
    <w:rsid w:val="00C32910"/>
    <w:rsid w:val="00C3421B"/>
    <w:rsid w:val="00C345B1"/>
    <w:rsid w:val="00C34938"/>
    <w:rsid w:val="00C3683F"/>
    <w:rsid w:val="00C36E0B"/>
    <w:rsid w:val="00C40142"/>
    <w:rsid w:val="00C417A4"/>
    <w:rsid w:val="00C52C3C"/>
    <w:rsid w:val="00C57182"/>
    <w:rsid w:val="00C57863"/>
    <w:rsid w:val="00C602EA"/>
    <w:rsid w:val="00C60333"/>
    <w:rsid w:val="00C60574"/>
    <w:rsid w:val="00C62290"/>
    <w:rsid w:val="00C62A45"/>
    <w:rsid w:val="00C645FA"/>
    <w:rsid w:val="00C655FD"/>
    <w:rsid w:val="00C67765"/>
    <w:rsid w:val="00C67BD7"/>
    <w:rsid w:val="00C70463"/>
    <w:rsid w:val="00C73BD8"/>
    <w:rsid w:val="00C7435F"/>
    <w:rsid w:val="00C74BDA"/>
    <w:rsid w:val="00C75407"/>
    <w:rsid w:val="00C773F6"/>
    <w:rsid w:val="00C8241C"/>
    <w:rsid w:val="00C85DCD"/>
    <w:rsid w:val="00C870A8"/>
    <w:rsid w:val="00C902D3"/>
    <w:rsid w:val="00C92153"/>
    <w:rsid w:val="00C94434"/>
    <w:rsid w:val="00CA0D75"/>
    <w:rsid w:val="00CA1C95"/>
    <w:rsid w:val="00CA32E1"/>
    <w:rsid w:val="00CA5A9C"/>
    <w:rsid w:val="00CA5F94"/>
    <w:rsid w:val="00CA641D"/>
    <w:rsid w:val="00CB232D"/>
    <w:rsid w:val="00CB3A71"/>
    <w:rsid w:val="00CB4BB0"/>
    <w:rsid w:val="00CC41C6"/>
    <w:rsid w:val="00CC4C20"/>
    <w:rsid w:val="00CC4F37"/>
    <w:rsid w:val="00CC54FB"/>
    <w:rsid w:val="00CC6CFA"/>
    <w:rsid w:val="00CD0DBB"/>
    <w:rsid w:val="00CD3517"/>
    <w:rsid w:val="00CD5FE2"/>
    <w:rsid w:val="00CE078A"/>
    <w:rsid w:val="00CE7C68"/>
    <w:rsid w:val="00CF1097"/>
    <w:rsid w:val="00CF3CF6"/>
    <w:rsid w:val="00D02B4C"/>
    <w:rsid w:val="00D03E4B"/>
    <w:rsid w:val="00D040C4"/>
    <w:rsid w:val="00D04D2C"/>
    <w:rsid w:val="00D069F2"/>
    <w:rsid w:val="00D1384D"/>
    <w:rsid w:val="00D14FA4"/>
    <w:rsid w:val="00D170C6"/>
    <w:rsid w:val="00D17CE2"/>
    <w:rsid w:val="00D22705"/>
    <w:rsid w:val="00D30FA6"/>
    <w:rsid w:val="00D31663"/>
    <w:rsid w:val="00D33B62"/>
    <w:rsid w:val="00D405DA"/>
    <w:rsid w:val="00D420F8"/>
    <w:rsid w:val="00D42175"/>
    <w:rsid w:val="00D442A4"/>
    <w:rsid w:val="00D46B7E"/>
    <w:rsid w:val="00D4765C"/>
    <w:rsid w:val="00D52B25"/>
    <w:rsid w:val="00D54CE8"/>
    <w:rsid w:val="00D54F97"/>
    <w:rsid w:val="00D558D5"/>
    <w:rsid w:val="00D56E26"/>
    <w:rsid w:val="00D57C84"/>
    <w:rsid w:val="00D6057D"/>
    <w:rsid w:val="00D6147E"/>
    <w:rsid w:val="00D62641"/>
    <w:rsid w:val="00D644AC"/>
    <w:rsid w:val="00D65E97"/>
    <w:rsid w:val="00D703B6"/>
    <w:rsid w:val="00D72271"/>
    <w:rsid w:val="00D76298"/>
    <w:rsid w:val="00D77863"/>
    <w:rsid w:val="00D80150"/>
    <w:rsid w:val="00D804AA"/>
    <w:rsid w:val="00D836C5"/>
    <w:rsid w:val="00D84576"/>
    <w:rsid w:val="00D84BEC"/>
    <w:rsid w:val="00D84EFF"/>
    <w:rsid w:val="00D9058E"/>
    <w:rsid w:val="00D923D9"/>
    <w:rsid w:val="00D92FDF"/>
    <w:rsid w:val="00D93C17"/>
    <w:rsid w:val="00D958C6"/>
    <w:rsid w:val="00D95FC2"/>
    <w:rsid w:val="00D974C5"/>
    <w:rsid w:val="00DA1399"/>
    <w:rsid w:val="00DA15DB"/>
    <w:rsid w:val="00DA24C6"/>
    <w:rsid w:val="00DA3E31"/>
    <w:rsid w:val="00DA4D7B"/>
    <w:rsid w:val="00DA74E9"/>
    <w:rsid w:val="00DB1263"/>
    <w:rsid w:val="00DB12BC"/>
    <w:rsid w:val="00DC24EE"/>
    <w:rsid w:val="00DC5CD0"/>
    <w:rsid w:val="00DC5D44"/>
    <w:rsid w:val="00DC661D"/>
    <w:rsid w:val="00DD0D84"/>
    <w:rsid w:val="00DD109A"/>
    <w:rsid w:val="00DD1836"/>
    <w:rsid w:val="00DD2847"/>
    <w:rsid w:val="00DD5D02"/>
    <w:rsid w:val="00DD62BB"/>
    <w:rsid w:val="00DE264A"/>
    <w:rsid w:val="00DE36DA"/>
    <w:rsid w:val="00DE5981"/>
    <w:rsid w:val="00DE6ED0"/>
    <w:rsid w:val="00DE78E4"/>
    <w:rsid w:val="00DE7FC7"/>
    <w:rsid w:val="00DE7FD6"/>
    <w:rsid w:val="00DF076D"/>
    <w:rsid w:val="00DF096D"/>
    <w:rsid w:val="00DF5072"/>
    <w:rsid w:val="00DF6B5E"/>
    <w:rsid w:val="00E01D9E"/>
    <w:rsid w:val="00E02D18"/>
    <w:rsid w:val="00E041E7"/>
    <w:rsid w:val="00E07728"/>
    <w:rsid w:val="00E157ED"/>
    <w:rsid w:val="00E174B8"/>
    <w:rsid w:val="00E2186A"/>
    <w:rsid w:val="00E23CA1"/>
    <w:rsid w:val="00E31447"/>
    <w:rsid w:val="00E33588"/>
    <w:rsid w:val="00E36616"/>
    <w:rsid w:val="00E409A8"/>
    <w:rsid w:val="00E426D5"/>
    <w:rsid w:val="00E44F90"/>
    <w:rsid w:val="00E453E1"/>
    <w:rsid w:val="00E47E83"/>
    <w:rsid w:val="00E50C12"/>
    <w:rsid w:val="00E57681"/>
    <w:rsid w:val="00E6506C"/>
    <w:rsid w:val="00E65844"/>
    <w:rsid w:val="00E65B91"/>
    <w:rsid w:val="00E67AF9"/>
    <w:rsid w:val="00E701C0"/>
    <w:rsid w:val="00E7209D"/>
    <w:rsid w:val="00E72EAD"/>
    <w:rsid w:val="00E745F6"/>
    <w:rsid w:val="00E75693"/>
    <w:rsid w:val="00E764EF"/>
    <w:rsid w:val="00E76A21"/>
    <w:rsid w:val="00E77223"/>
    <w:rsid w:val="00E82215"/>
    <w:rsid w:val="00E84F59"/>
    <w:rsid w:val="00E8528B"/>
    <w:rsid w:val="00E8569B"/>
    <w:rsid w:val="00E85B94"/>
    <w:rsid w:val="00E86271"/>
    <w:rsid w:val="00E9269F"/>
    <w:rsid w:val="00E9468F"/>
    <w:rsid w:val="00E955C9"/>
    <w:rsid w:val="00E95B18"/>
    <w:rsid w:val="00E978D0"/>
    <w:rsid w:val="00EA339A"/>
    <w:rsid w:val="00EA4613"/>
    <w:rsid w:val="00EA4959"/>
    <w:rsid w:val="00EA4EF0"/>
    <w:rsid w:val="00EA7F91"/>
    <w:rsid w:val="00EB1523"/>
    <w:rsid w:val="00EB4850"/>
    <w:rsid w:val="00EB7A3D"/>
    <w:rsid w:val="00EC0E49"/>
    <w:rsid w:val="00EC101F"/>
    <w:rsid w:val="00EC1D9F"/>
    <w:rsid w:val="00EC6EBC"/>
    <w:rsid w:val="00ED1722"/>
    <w:rsid w:val="00ED4DC2"/>
    <w:rsid w:val="00EE0131"/>
    <w:rsid w:val="00EE17B0"/>
    <w:rsid w:val="00EE447F"/>
    <w:rsid w:val="00EE5B05"/>
    <w:rsid w:val="00EE5B36"/>
    <w:rsid w:val="00EF06D9"/>
    <w:rsid w:val="00EF0929"/>
    <w:rsid w:val="00EF399E"/>
    <w:rsid w:val="00F00A89"/>
    <w:rsid w:val="00F02A8C"/>
    <w:rsid w:val="00F0492D"/>
    <w:rsid w:val="00F05CF0"/>
    <w:rsid w:val="00F129D3"/>
    <w:rsid w:val="00F14FDE"/>
    <w:rsid w:val="00F156C5"/>
    <w:rsid w:val="00F16D2C"/>
    <w:rsid w:val="00F238A6"/>
    <w:rsid w:val="00F256A4"/>
    <w:rsid w:val="00F30C64"/>
    <w:rsid w:val="00F32BA2"/>
    <w:rsid w:val="00F32CDB"/>
    <w:rsid w:val="00F32E4B"/>
    <w:rsid w:val="00F34E4D"/>
    <w:rsid w:val="00F36F61"/>
    <w:rsid w:val="00F37F91"/>
    <w:rsid w:val="00F42E48"/>
    <w:rsid w:val="00F44965"/>
    <w:rsid w:val="00F565FE"/>
    <w:rsid w:val="00F624C8"/>
    <w:rsid w:val="00F63A70"/>
    <w:rsid w:val="00F64203"/>
    <w:rsid w:val="00F6738A"/>
    <w:rsid w:val="00F716EB"/>
    <w:rsid w:val="00F7534E"/>
    <w:rsid w:val="00F7537A"/>
    <w:rsid w:val="00F81E21"/>
    <w:rsid w:val="00F87E31"/>
    <w:rsid w:val="00F91676"/>
    <w:rsid w:val="00F92CDF"/>
    <w:rsid w:val="00F95B12"/>
    <w:rsid w:val="00FA07C6"/>
    <w:rsid w:val="00FA0F63"/>
    <w:rsid w:val="00FA157D"/>
    <w:rsid w:val="00FA21D0"/>
    <w:rsid w:val="00FA5F5F"/>
    <w:rsid w:val="00FB02C5"/>
    <w:rsid w:val="00FB071B"/>
    <w:rsid w:val="00FB6E63"/>
    <w:rsid w:val="00FB730C"/>
    <w:rsid w:val="00FC001B"/>
    <w:rsid w:val="00FC0667"/>
    <w:rsid w:val="00FC2695"/>
    <w:rsid w:val="00FC3E03"/>
    <w:rsid w:val="00FC3FC1"/>
    <w:rsid w:val="00FC5CD9"/>
    <w:rsid w:val="00FC78F2"/>
    <w:rsid w:val="00FC7B4B"/>
    <w:rsid w:val="00FD19AC"/>
    <w:rsid w:val="00FD3928"/>
    <w:rsid w:val="00FD538C"/>
    <w:rsid w:val="00FE1C18"/>
    <w:rsid w:val="00FE57A4"/>
    <w:rsid w:val="00FE7752"/>
    <w:rsid w:val="00FE7958"/>
    <w:rsid w:val="00FF0511"/>
    <w:rsid w:val="00FF36EE"/>
    <w:rsid w:val="00FF4CE7"/>
    <w:rsid w:val="00FF64B6"/>
    <w:rsid w:val="00FF686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521485"/>
    <w:rPr>
      <w:color w:val="605E5C"/>
      <w:shd w:val="clear" w:color="auto" w:fill="E1DFDD"/>
    </w:rPr>
  </w:style>
  <w:style w:type="character" w:styleId="PlaceholderText">
    <w:name w:val="Placeholder Text"/>
    <w:basedOn w:val="DefaultParagraphFont"/>
    <w:uiPriority w:val="99"/>
    <w:semiHidden/>
    <w:rsid w:val="00921407"/>
    <w:rPr>
      <w:color w:val="666666"/>
    </w:rPr>
  </w:style>
  <w:style w:type="character" w:styleId="FootnoteReference">
    <w:name w:val="footnote reference"/>
    <w:basedOn w:val="DefaultParagraphFont"/>
    <w:uiPriority w:val="99"/>
    <w:semiHidden/>
    <w:unhideWhenUsed/>
    <w:rsid w:val="007647B3"/>
    <w:rPr>
      <w:vertAlign w:val="superscript"/>
    </w:rPr>
  </w:style>
  <w:style w:type="character" w:customStyle="1" w:styleId="ui-provider">
    <w:name w:val="ui-provider"/>
    <w:basedOn w:val="DefaultParagraphFont"/>
    <w:rsid w:val="008B53B2"/>
  </w:style>
  <w:style w:type="character" w:customStyle="1" w:styleId="anchor-text">
    <w:name w:val="anchor-text"/>
    <w:basedOn w:val="DefaultParagraphFont"/>
    <w:rsid w:val="00C0445A"/>
  </w:style>
  <w:style w:type="paragraph" w:styleId="Revision">
    <w:name w:val="Revision"/>
    <w:hidden/>
    <w:uiPriority w:val="99"/>
    <w:semiHidden/>
    <w:rsid w:val="00896E6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11678</Words>
  <Characters>68901</Characters>
  <Application>Microsoft Office Word</Application>
  <DocSecurity>0</DocSecurity>
  <Lines>1187</Lines>
  <Paragraphs>523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Zanobetti</cp:lastModifiedBy>
  <cp:revision>41</cp:revision>
  <cp:lastPrinted>2015-05-12T18:31:00Z</cp:lastPrinted>
  <dcterms:created xsi:type="dcterms:W3CDTF">2024-04-09T07:51:00Z</dcterms:created>
  <dcterms:modified xsi:type="dcterms:W3CDTF">2024-04-09T10:17:00Z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https://csl.mendeley.com/styles/648582171/elsevier-harvard-AIDIC-leobo</vt:lpwstr>
  </property>
  <property fmtid="{D5CDD505-2E9C-101B-9397-08002B2CF9AE}" pid="5" name="Mendeley Recent Style Name 0_1">
    <vt:lpwstr>AIDIC CEt Leobo</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 6th edition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http://www.zotero.org/styles/journal-of-cleaner-production</vt:lpwstr>
  </property>
  <property fmtid="{D5CDD505-2E9C-101B-9397-08002B2CF9AE}" pid="19" name="Mendeley Recent Style Name 7_1">
    <vt:lpwstr>Journal of Cleaner Production</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ffc6383b-acd1-3c45-aaa8-91c9040c6bc0</vt:lpwstr>
  </property>
  <property fmtid="{D5CDD505-2E9C-101B-9397-08002B2CF9AE}" pid="26" name="Mendeley Citation Style_1">
    <vt:lpwstr>https://csl.mendeley.com/styles/648582171/elsevier-harvard-AIDIC-leobo</vt:lpwstr>
  </property>
  <property fmtid="{D5CDD505-2E9C-101B-9397-08002B2CF9AE}" pid="27" name="GrammarlyDocumentId">
    <vt:lpwstr>83d6e35ed19d1b57d858cc0434f298d45706fb111af34d166a09e68778b5a365</vt:lpwstr>
  </property>
</Properties>
</file>