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124CC" w14:paraId="2A131A54" w14:textId="77777777" w:rsidTr="00685C94">
        <w:trPr>
          <w:trHeight w:val="852"/>
          <w:jc w:val="center"/>
        </w:trPr>
        <w:tc>
          <w:tcPr>
            <w:tcW w:w="6940" w:type="dxa"/>
            <w:vMerge w:val="restart"/>
            <w:tcBorders>
              <w:right w:val="single" w:sz="4" w:space="0" w:color="auto"/>
            </w:tcBorders>
          </w:tcPr>
          <w:p w14:paraId="38C3D2BA" w14:textId="77777777" w:rsidR="000A03B2" w:rsidRPr="002124CC" w:rsidRDefault="000A03B2" w:rsidP="00DE264A">
            <w:pPr>
              <w:tabs>
                <w:tab w:val="left" w:pos="-108"/>
              </w:tabs>
              <w:ind w:left="-108"/>
              <w:jc w:val="left"/>
              <w:rPr>
                <w:rFonts w:cs="Arial"/>
                <w:b/>
                <w:bCs/>
                <w:i/>
                <w:iCs/>
                <w:color w:val="000066"/>
                <w:sz w:val="12"/>
                <w:szCs w:val="12"/>
                <w:lang w:eastAsia="it-IT"/>
              </w:rPr>
            </w:pPr>
            <w:r w:rsidRPr="002124CC">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124CC">
              <w:rPr>
                <w:rFonts w:ascii="AdvP6960" w:hAnsi="AdvP6960" w:cs="AdvP6960"/>
                <w:color w:val="241F20"/>
                <w:szCs w:val="18"/>
                <w:lang w:eastAsia="it-IT"/>
              </w:rPr>
              <w:t xml:space="preserve"> </w:t>
            </w:r>
            <w:r w:rsidRPr="002124CC">
              <w:rPr>
                <w:rFonts w:cs="Arial"/>
                <w:b/>
                <w:bCs/>
                <w:i/>
                <w:iCs/>
                <w:color w:val="000066"/>
                <w:sz w:val="24"/>
                <w:szCs w:val="24"/>
                <w:lang w:eastAsia="it-IT"/>
              </w:rPr>
              <w:t>CHEMICAL ENGINEERING</w:t>
            </w:r>
            <w:r w:rsidRPr="002124CC">
              <w:rPr>
                <w:rFonts w:cs="Arial"/>
                <w:b/>
                <w:bCs/>
                <w:i/>
                <w:iCs/>
                <w:color w:val="0033FF"/>
                <w:sz w:val="24"/>
                <w:szCs w:val="24"/>
                <w:lang w:eastAsia="it-IT"/>
              </w:rPr>
              <w:t xml:space="preserve"> </w:t>
            </w:r>
            <w:r w:rsidRPr="002124CC">
              <w:rPr>
                <w:rFonts w:cs="Arial"/>
                <w:b/>
                <w:bCs/>
                <w:i/>
                <w:iCs/>
                <w:color w:val="666666"/>
                <w:sz w:val="24"/>
                <w:szCs w:val="24"/>
                <w:lang w:eastAsia="it-IT"/>
              </w:rPr>
              <w:t>TRANSACTIONS</w:t>
            </w:r>
            <w:r w:rsidRPr="002124CC">
              <w:rPr>
                <w:color w:val="333333"/>
                <w:sz w:val="24"/>
                <w:szCs w:val="24"/>
                <w:lang w:eastAsia="it-IT"/>
              </w:rPr>
              <w:t xml:space="preserve"> </w:t>
            </w:r>
            <w:r w:rsidRPr="002124CC">
              <w:rPr>
                <w:rFonts w:cs="Arial"/>
                <w:b/>
                <w:bCs/>
                <w:i/>
                <w:iCs/>
                <w:color w:val="000066"/>
                <w:sz w:val="27"/>
                <w:szCs w:val="27"/>
                <w:lang w:eastAsia="it-IT"/>
              </w:rPr>
              <w:br/>
            </w:r>
          </w:p>
          <w:p w14:paraId="4B780582" w14:textId="530285EB" w:rsidR="000A03B2" w:rsidRPr="002124CC" w:rsidRDefault="00A76EFC" w:rsidP="001D21AF">
            <w:pPr>
              <w:tabs>
                <w:tab w:val="left" w:pos="-108"/>
              </w:tabs>
              <w:ind w:left="-108"/>
              <w:rPr>
                <w:rFonts w:cs="Arial"/>
                <w:b/>
                <w:bCs/>
                <w:i/>
                <w:iCs/>
                <w:color w:val="000066"/>
                <w:sz w:val="22"/>
                <w:szCs w:val="22"/>
                <w:lang w:eastAsia="it-IT"/>
              </w:rPr>
            </w:pPr>
            <w:r w:rsidRPr="002124CC">
              <w:rPr>
                <w:rFonts w:cs="Arial"/>
                <w:b/>
                <w:bCs/>
                <w:i/>
                <w:iCs/>
                <w:color w:val="000066"/>
                <w:sz w:val="22"/>
                <w:szCs w:val="22"/>
                <w:lang w:eastAsia="it-IT"/>
              </w:rPr>
              <w:t xml:space="preserve">VOL. </w:t>
            </w:r>
            <w:r w:rsidR="0030152C" w:rsidRPr="002124CC">
              <w:rPr>
                <w:rFonts w:cs="Arial"/>
                <w:b/>
                <w:bCs/>
                <w:i/>
                <w:iCs/>
                <w:color w:val="000066"/>
                <w:sz w:val="22"/>
                <w:szCs w:val="22"/>
                <w:lang w:eastAsia="it-IT"/>
              </w:rPr>
              <w:t xml:space="preserve">   </w:t>
            </w:r>
            <w:r w:rsidR="007B48F9" w:rsidRPr="002124CC">
              <w:rPr>
                <w:rFonts w:cs="Arial"/>
                <w:b/>
                <w:bCs/>
                <w:i/>
                <w:iCs/>
                <w:color w:val="000066"/>
                <w:sz w:val="22"/>
                <w:szCs w:val="22"/>
                <w:lang w:eastAsia="it-IT"/>
              </w:rPr>
              <w:t>,</w:t>
            </w:r>
            <w:r w:rsidR="00FA5F5F" w:rsidRPr="002124CC">
              <w:rPr>
                <w:rFonts w:cs="Arial"/>
                <w:b/>
                <w:bCs/>
                <w:i/>
                <w:iCs/>
                <w:color w:val="000066"/>
                <w:sz w:val="22"/>
                <w:szCs w:val="22"/>
                <w:lang w:eastAsia="it-IT"/>
              </w:rPr>
              <w:t xml:space="preserve"> </w:t>
            </w:r>
            <w:r w:rsidR="0030152C" w:rsidRPr="002124C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2124CC" w:rsidRDefault="000A03B2" w:rsidP="00CD5FE2">
            <w:pPr>
              <w:spacing w:line="140" w:lineRule="atLeast"/>
              <w:jc w:val="right"/>
              <w:rPr>
                <w:rFonts w:cs="Arial"/>
                <w:sz w:val="14"/>
                <w:szCs w:val="14"/>
              </w:rPr>
            </w:pPr>
            <w:r w:rsidRPr="002124CC">
              <w:rPr>
                <w:rFonts w:cs="Arial"/>
                <w:sz w:val="14"/>
                <w:szCs w:val="14"/>
              </w:rPr>
              <w:t>A publication of</w:t>
            </w:r>
          </w:p>
          <w:p w14:paraId="599E5441" w14:textId="77777777" w:rsidR="000A03B2" w:rsidRPr="002124CC" w:rsidRDefault="000A03B2" w:rsidP="00CD5FE2">
            <w:pPr>
              <w:jc w:val="right"/>
            </w:pPr>
            <w:r w:rsidRPr="002124CC">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A14A5" w14:paraId="380FA3CD" w14:textId="77777777" w:rsidTr="00685C94">
        <w:trPr>
          <w:trHeight w:val="567"/>
          <w:jc w:val="center"/>
        </w:trPr>
        <w:tc>
          <w:tcPr>
            <w:tcW w:w="6940" w:type="dxa"/>
            <w:vMerge/>
            <w:tcBorders>
              <w:right w:val="single" w:sz="4" w:space="0" w:color="auto"/>
            </w:tcBorders>
          </w:tcPr>
          <w:p w14:paraId="39E5E4C1" w14:textId="77777777" w:rsidR="000A03B2" w:rsidRPr="002124CC"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2124CC" w:rsidRDefault="000A03B2" w:rsidP="00CD5FE2">
            <w:pPr>
              <w:spacing w:line="140" w:lineRule="atLeast"/>
              <w:jc w:val="right"/>
              <w:rPr>
                <w:rFonts w:cs="Arial"/>
                <w:sz w:val="14"/>
                <w:szCs w:val="14"/>
              </w:rPr>
            </w:pPr>
            <w:r w:rsidRPr="002124CC">
              <w:rPr>
                <w:rFonts w:cs="Arial"/>
                <w:sz w:val="14"/>
                <w:szCs w:val="14"/>
              </w:rPr>
              <w:t>The Italian Association</w:t>
            </w:r>
          </w:p>
          <w:p w14:paraId="7522B1D2" w14:textId="77777777" w:rsidR="000A03B2" w:rsidRPr="002124CC" w:rsidRDefault="000A03B2" w:rsidP="00CD5FE2">
            <w:pPr>
              <w:spacing w:line="140" w:lineRule="atLeast"/>
              <w:jc w:val="right"/>
              <w:rPr>
                <w:rFonts w:cs="Arial"/>
                <w:sz w:val="14"/>
                <w:szCs w:val="14"/>
              </w:rPr>
            </w:pPr>
            <w:r w:rsidRPr="002124CC">
              <w:rPr>
                <w:rFonts w:cs="Arial"/>
                <w:sz w:val="14"/>
                <w:szCs w:val="14"/>
              </w:rPr>
              <w:t>of Chemical Engineering</w:t>
            </w:r>
          </w:p>
          <w:p w14:paraId="4F0CC5DE" w14:textId="47FDB2FC" w:rsidR="000A03B2" w:rsidRPr="002124CC" w:rsidRDefault="000D0268" w:rsidP="00CD5FE2">
            <w:pPr>
              <w:spacing w:line="140" w:lineRule="atLeast"/>
              <w:jc w:val="right"/>
              <w:rPr>
                <w:rFonts w:cs="Arial"/>
                <w:sz w:val="13"/>
                <w:szCs w:val="13"/>
                <w:lang w:val="da-DK"/>
              </w:rPr>
            </w:pPr>
            <w:r w:rsidRPr="002124CC">
              <w:rPr>
                <w:rFonts w:cs="Arial"/>
                <w:sz w:val="13"/>
                <w:szCs w:val="13"/>
                <w:lang w:val="da-DK"/>
              </w:rPr>
              <w:t>Online at www.cetjournal.it</w:t>
            </w:r>
          </w:p>
        </w:tc>
      </w:tr>
      <w:tr w:rsidR="000A03B2" w:rsidRPr="00AA14A5" w14:paraId="2D1B7169" w14:textId="77777777" w:rsidTr="00685C94">
        <w:trPr>
          <w:trHeight w:val="68"/>
          <w:jc w:val="center"/>
        </w:trPr>
        <w:tc>
          <w:tcPr>
            <w:tcW w:w="8782" w:type="dxa"/>
            <w:gridSpan w:val="2"/>
          </w:tcPr>
          <w:p w14:paraId="1D8DD3C9" w14:textId="72C518CF" w:rsidR="00AA7D26" w:rsidRPr="002124CC" w:rsidRDefault="00AA7D26" w:rsidP="00AA7D26">
            <w:pPr>
              <w:ind w:left="-107"/>
              <w:outlineLvl w:val="2"/>
              <w:rPr>
                <w:rFonts w:ascii="Tahoma" w:hAnsi="Tahoma" w:cs="Tahoma"/>
                <w:bCs/>
                <w:color w:val="000000"/>
                <w:sz w:val="14"/>
                <w:szCs w:val="14"/>
                <w:lang w:val="da-DK" w:eastAsia="it-IT"/>
              </w:rPr>
            </w:pPr>
            <w:r w:rsidRPr="002124CC">
              <w:rPr>
                <w:rFonts w:ascii="Tahoma" w:hAnsi="Tahoma" w:cs="Tahoma"/>
                <w:iCs/>
                <w:color w:val="333333"/>
                <w:sz w:val="14"/>
                <w:szCs w:val="14"/>
                <w:lang w:val="da-DK" w:eastAsia="it-IT"/>
              </w:rPr>
              <w:t>Guest Editor:</w:t>
            </w:r>
            <w:r w:rsidRPr="002124CC">
              <w:rPr>
                <w:rFonts w:ascii="Tahoma" w:hAnsi="Tahoma" w:cs="Tahoma"/>
                <w:color w:val="000000"/>
                <w:sz w:val="14"/>
                <w:szCs w:val="14"/>
                <w:shd w:val="clear" w:color="auto" w:fill="FFFFFF"/>
                <w:lang w:val="da-DK"/>
              </w:rPr>
              <w:t xml:space="preserve"> </w:t>
            </w:r>
            <w:r w:rsidRPr="002124CC">
              <w:rPr>
                <w:rFonts w:ascii="Tahoma" w:hAnsi="Tahoma" w:cs="Tahoma"/>
                <w:sz w:val="14"/>
                <w:szCs w:val="14"/>
                <w:lang w:val="da-DK"/>
              </w:rPr>
              <w:t>Sauro Pierucci</w:t>
            </w:r>
          </w:p>
          <w:p w14:paraId="1B0F1814" w14:textId="650290B9" w:rsidR="000A03B2" w:rsidRPr="002124CC" w:rsidRDefault="00AA7D26" w:rsidP="00AA7D26">
            <w:pPr>
              <w:tabs>
                <w:tab w:val="left" w:pos="-108"/>
              </w:tabs>
              <w:spacing w:line="140" w:lineRule="atLeast"/>
              <w:ind w:left="-107"/>
              <w:jc w:val="left"/>
              <w:rPr>
                <w:lang w:val="da-DK"/>
              </w:rPr>
            </w:pPr>
            <w:r w:rsidRPr="002124CC">
              <w:rPr>
                <w:rFonts w:ascii="Tahoma" w:hAnsi="Tahoma" w:cs="Tahoma"/>
                <w:iCs/>
                <w:color w:val="333333"/>
                <w:sz w:val="14"/>
                <w:szCs w:val="14"/>
                <w:lang w:val="da-DK" w:eastAsia="it-IT"/>
              </w:rPr>
              <w:t>Copyright © 2023, AIDIC Servizi S.r.l.</w:t>
            </w:r>
            <w:r w:rsidRPr="002124CC">
              <w:rPr>
                <w:rFonts w:ascii="Tahoma" w:hAnsi="Tahoma" w:cs="Tahoma"/>
                <w:iCs/>
                <w:color w:val="333333"/>
                <w:sz w:val="14"/>
                <w:szCs w:val="14"/>
                <w:lang w:val="da-DK" w:eastAsia="it-IT"/>
              </w:rPr>
              <w:br/>
            </w:r>
            <w:r w:rsidRPr="002124CC">
              <w:rPr>
                <w:rFonts w:ascii="Tahoma" w:hAnsi="Tahoma" w:cs="Tahoma"/>
                <w:b/>
                <w:iCs/>
                <w:color w:val="000000"/>
                <w:sz w:val="14"/>
                <w:szCs w:val="14"/>
                <w:lang w:val="da-DK" w:eastAsia="it-IT"/>
              </w:rPr>
              <w:t>ISBN</w:t>
            </w:r>
            <w:r w:rsidRPr="002124CC">
              <w:rPr>
                <w:rFonts w:ascii="Tahoma" w:hAnsi="Tahoma" w:cs="Tahoma"/>
                <w:iCs/>
                <w:color w:val="000000"/>
                <w:sz w:val="14"/>
                <w:szCs w:val="14"/>
                <w:lang w:val="da-DK" w:eastAsia="it-IT"/>
              </w:rPr>
              <w:t xml:space="preserve"> </w:t>
            </w:r>
            <w:r w:rsidRPr="002124CC">
              <w:rPr>
                <w:rFonts w:ascii="Tahoma" w:hAnsi="Tahoma" w:cs="Tahoma"/>
                <w:sz w:val="14"/>
                <w:szCs w:val="14"/>
                <w:lang w:val="da-DK"/>
              </w:rPr>
              <w:t>978-88-95608-98-3</w:t>
            </w:r>
            <w:r w:rsidRPr="002124CC">
              <w:rPr>
                <w:rFonts w:ascii="Tahoma" w:hAnsi="Tahoma" w:cs="Tahoma"/>
                <w:iCs/>
                <w:color w:val="333333"/>
                <w:sz w:val="14"/>
                <w:szCs w:val="14"/>
                <w:lang w:val="da-DK" w:eastAsia="it-IT"/>
              </w:rPr>
              <w:t xml:space="preserve">; </w:t>
            </w:r>
            <w:r w:rsidRPr="002124CC">
              <w:rPr>
                <w:rFonts w:ascii="Tahoma" w:hAnsi="Tahoma" w:cs="Tahoma"/>
                <w:b/>
                <w:iCs/>
                <w:color w:val="333333"/>
                <w:sz w:val="14"/>
                <w:szCs w:val="14"/>
                <w:lang w:val="da-DK" w:eastAsia="it-IT"/>
              </w:rPr>
              <w:t>ISSN</w:t>
            </w:r>
            <w:r w:rsidRPr="002124CC">
              <w:rPr>
                <w:rFonts w:ascii="Tahoma" w:hAnsi="Tahoma" w:cs="Tahoma"/>
                <w:iCs/>
                <w:color w:val="333333"/>
                <w:sz w:val="14"/>
                <w:szCs w:val="14"/>
                <w:lang w:val="da-DK" w:eastAsia="it-IT"/>
              </w:rPr>
              <w:t xml:space="preserve"> 2283-9216</w:t>
            </w:r>
          </w:p>
        </w:tc>
      </w:tr>
    </w:tbl>
    <w:p w14:paraId="2E667253" w14:textId="3065781B" w:rsidR="00E978D0" w:rsidRPr="002124CC" w:rsidRDefault="00F910C9" w:rsidP="00E978D0">
      <w:pPr>
        <w:pStyle w:val="CETTitle"/>
        <w:rPr>
          <w:lang w:val="en-US"/>
        </w:rPr>
      </w:pPr>
      <w:r w:rsidRPr="002124CC">
        <w:rPr>
          <w:lang w:val="en-US"/>
        </w:rPr>
        <w:t xml:space="preserve">Securing Chemical Facilities Against Intentional </w:t>
      </w:r>
      <w:r w:rsidR="002D2055" w:rsidRPr="002124CC">
        <w:rPr>
          <w:lang w:val="en-US"/>
        </w:rPr>
        <w:t>Attacks: a Bayesian Network Approach for Asset Risk Assessment</w:t>
      </w:r>
    </w:p>
    <w:p w14:paraId="0488FED2" w14:textId="5105D183" w:rsidR="00B57E6F" w:rsidRPr="002124CC" w:rsidRDefault="00A67620" w:rsidP="00B57E6F">
      <w:pPr>
        <w:pStyle w:val="CETAuthors"/>
        <w:rPr>
          <w:lang w:val="it-IT"/>
        </w:rPr>
      </w:pPr>
      <w:r w:rsidRPr="002124CC">
        <w:rPr>
          <w:lang w:val="it-IT"/>
        </w:rPr>
        <w:t>Giulia Marroni</w:t>
      </w:r>
      <w:r w:rsidR="00B57E6F" w:rsidRPr="002124CC">
        <w:rPr>
          <w:vertAlign w:val="superscript"/>
          <w:lang w:val="it-IT"/>
        </w:rPr>
        <w:t>a</w:t>
      </w:r>
      <w:r w:rsidR="00B57E6F" w:rsidRPr="002124CC">
        <w:rPr>
          <w:lang w:val="it-IT"/>
        </w:rPr>
        <w:t>,</w:t>
      </w:r>
      <w:r w:rsidR="009045A0" w:rsidRPr="002124CC">
        <w:rPr>
          <w:lang w:val="it-IT"/>
        </w:rPr>
        <w:t xml:space="preserve"> </w:t>
      </w:r>
      <w:r w:rsidR="00AD6C76" w:rsidRPr="002124CC">
        <w:rPr>
          <w:lang w:val="it-IT"/>
        </w:rPr>
        <w:t>Valeria Casson Moreno</w:t>
      </w:r>
      <w:r w:rsidR="007A7447" w:rsidRPr="002124CC">
        <w:rPr>
          <w:vertAlign w:val="superscript"/>
          <w:lang w:val="it-IT"/>
        </w:rPr>
        <w:t>a</w:t>
      </w:r>
      <w:r w:rsidR="007A7447" w:rsidRPr="002124CC">
        <w:rPr>
          <w:lang w:val="it-IT"/>
        </w:rPr>
        <w:t xml:space="preserve">, </w:t>
      </w:r>
      <w:r w:rsidRPr="002124CC">
        <w:rPr>
          <w:lang w:val="it-IT"/>
        </w:rPr>
        <w:t xml:space="preserve">Sanneke </w:t>
      </w:r>
      <w:r w:rsidR="009045A0" w:rsidRPr="002124CC">
        <w:rPr>
          <w:lang w:val="it-IT"/>
        </w:rPr>
        <w:t>Kuipers</w:t>
      </w:r>
      <w:r w:rsidR="00B57E6F" w:rsidRPr="002124CC">
        <w:rPr>
          <w:vertAlign w:val="superscript"/>
          <w:lang w:val="it-IT"/>
        </w:rPr>
        <w:t>b</w:t>
      </w:r>
      <w:r w:rsidR="00B57E6F" w:rsidRPr="002124CC">
        <w:rPr>
          <w:lang w:val="it-IT"/>
        </w:rPr>
        <w:t xml:space="preserve">, </w:t>
      </w:r>
      <w:r w:rsidR="00AA7709" w:rsidRPr="002124CC">
        <w:rPr>
          <w:lang w:val="it-IT"/>
        </w:rPr>
        <w:t>Marcello Mossa Verre</w:t>
      </w:r>
      <w:r w:rsidR="006C356D" w:rsidRPr="002124CC">
        <w:rPr>
          <w:vertAlign w:val="superscript"/>
          <w:lang w:val="it-IT"/>
        </w:rPr>
        <w:t>c</w:t>
      </w:r>
      <w:r w:rsidR="00AA7709" w:rsidRPr="002124CC">
        <w:rPr>
          <w:lang w:val="it-IT"/>
        </w:rPr>
        <w:t xml:space="preserve">, </w:t>
      </w:r>
      <w:r w:rsidR="002D7C1C" w:rsidRPr="002124CC">
        <w:rPr>
          <w:lang w:val="it-IT"/>
        </w:rPr>
        <w:t xml:space="preserve">Gabriele </w:t>
      </w:r>
      <w:r w:rsidR="00B04CF1" w:rsidRPr="002124CC">
        <w:rPr>
          <w:lang w:val="it-IT"/>
        </w:rPr>
        <w:t>Landucci</w:t>
      </w:r>
      <w:r w:rsidR="00B04CF1" w:rsidRPr="002124CC">
        <w:rPr>
          <w:vertAlign w:val="superscript"/>
          <w:lang w:val="it-IT"/>
        </w:rPr>
        <w:t>a</w:t>
      </w:r>
      <w:r w:rsidR="002D7C1C" w:rsidRPr="002124CC">
        <w:rPr>
          <w:vertAlign w:val="superscript"/>
          <w:lang w:val="it-IT"/>
        </w:rPr>
        <w:t>,*</w:t>
      </w:r>
    </w:p>
    <w:p w14:paraId="6B2D21B3" w14:textId="627D4DE1" w:rsidR="00B57E6F" w:rsidRPr="002124CC" w:rsidRDefault="00B57E6F" w:rsidP="00B57E6F">
      <w:pPr>
        <w:pStyle w:val="CETAddress"/>
      </w:pPr>
      <w:r w:rsidRPr="002124CC">
        <w:rPr>
          <w:vertAlign w:val="superscript"/>
        </w:rPr>
        <w:t>a</w:t>
      </w:r>
      <w:r w:rsidR="00870AFF" w:rsidRPr="002124CC">
        <w:rPr>
          <w:rStyle w:val="normaltextrun"/>
          <w:rFonts w:cs="Arial"/>
          <w:color w:val="000000"/>
          <w:szCs w:val="16"/>
          <w:shd w:val="clear" w:color="auto" w:fill="FFFFFF"/>
        </w:rPr>
        <w:t xml:space="preserve"> </w:t>
      </w:r>
      <w:r w:rsidR="0094034B" w:rsidRPr="002124CC">
        <w:rPr>
          <w:rStyle w:val="normaltextrun"/>
          <w:rFonts w:cs="Arial"/>
          <w:color w:val="000000"/>
          <w:szCs w:val="16"/>
          <w:shd w:val="clear" w:color="auto" w:fill="FFFFFF"/>
        </w:rPr>
        <w:t>D</w:t>
      </w:r>
      <w:r w:rsidR="00AC4F90" w:rsidRPr="002124CC">
        <w:rPr>
          <w:rStyle w:val="normaltextrun"/>
          <w:rFonts w:cs="Arial"/>
          <w:color w:val="000000"/>
          <w:szCs w:val="16"/>
          <w:shd w:val="clear" w:color="auto" w:fill="FFFFFF"/>
        </w:rPr>
        <w:t>epartment of Civil and Industrial Engineering, University of Pisa, Largo Lucio Lazzarino</w:t>
      </w:r>
      <w:r w:rsidR="00C23173" w:rsidRPr="002124CC">
        <w:rPr>
          <w:rStyle w:val="normaltextrun"/>
          <w:rFonts w:cs="Arial"/>
          <w:color w:val="000000"/>
          <w:szCs w:val="16"/>
          <w:shd w:val="clear" w:color="auto" w:fill="FFFFFF"/>
        </w:rPr>
        <w:t xml:space="preserve"> </w:t>
      </w:r>
      <w:r w:rsidR="00AC4F90" w:rsidRPr="002124CC">
        <w:rPr>
          <w:rStyle w:val="normaltextrun"/>
          <w:rFonts w:cs="Arial"/>
          <w:color w:val="000000"/>
          <w:szCs w:val="16"/>
          <w:shd w:val="clear" w:color="auto" w:fill="FFFFFF"/>
        </w:rPr>
        <w:t>2, 56126 Pisa, Italy</w:t>
      </w:r>
    </w:p>
    <w:p w14:paraId="3D72B0B0" w14:textId="7C2194EA" w:rsidR="00B57E6F" w:rsidRDefault="00B57E6F" w:rsidP="00D6795A">
      <w:pPr>
        <w:pStyle w:val="CETAddress"/>
      </w:pPr>
      <w:r w:rsidRPr="002124CC">
        <w:rPr>
          <w:vertAlign w:val="superscript"/>
        </w:rPr>
        <w:t>b</w:t>
      </w:r>
      <w:r w:rsidR="0094034B" w:rsidRPr="002124CC">
        <w:t xml:space="preserve"> Institute of Security and Global Affairs, Leiden University,</w:t>
      </w:r>
      <w:r w:rsidR="00D6795A" w:rsidRPr="002124CC">
        <w:rPr>
          <w:rFonts w:ascii="Georgia" w:hAnsi="Georgia"/>
          <w:noProof w:val="0"/>
          <w:color w:val="666666"/>
          <w:sz w:val="18"/>
          <w:shd w:val="clear" w:color="auto" w:fill="FFFFFF"/>
        </w:rPr>
        <w:t xml:space="preserve"> </w:t>
      </w:r>
      <w:r w:rsidR="00D6795A" w:rsidRPr="002124CC">
        <w:t>Turfmarkt 99, 2211 DP</w:t>
      </w:r>
      <w:r w:rsidR="0094034B" w:rsidRPr="002124CC">
        <w:t xml:space="preserve"> </w:t>
      </w:r>
      <w:r w:rsidR="00DC5007" w:rsidRPr="002124CC">
        <w:t>Den Haag</w:t>
      </w:r>
      <w:r w:rsidR="0094034B" w:rsidRPr="002124CC">
        <w:t>, the Netherlands</w:t>
      </w:r>
    </w:p>
    <w:p w14:paraId="264CABA8" w14:textId="1D486AA0" w:rsidR="002124CC" w:rsidRPr="002124CC" w:rsidRDefault="002124CC" w:rsidP="00D6795A">
      <w:pPr>
        <w:pStyle w:val="CETAddress"/>
      </w:pPr>
      <w:r>
        <w:rPr>
          <w:vertAlign w:val="superscript"/>
        </w:rPr>
        <w:t>c</w:t>
      </w:r>
      <w:r w:rsidRPr="002124CC">
        <w:t xml:space="preserve"> </w:t>
      </w:r>
      <w:r w:rsidR="00434D4F" w:rsidRPr="008C7790">
        <w:rPr>
          <w:lang w:val="en-US"/>
        </w:rPr>
        <w:t>Regional Agency for Environmental Protection of Tuscany (ARPAT), Via del Ponte alle Mosse 211, 50144 Firenze, Italy</w:t>
      </w:r>
    </w:p>
    <w:p w14:paraId="73F1267A" w14:textId="019F4DD7" w:rsidR="00B57E6F" w:rsidRPr="002124CC" w:rsidRDefault="007A65C0" w:rsidP="00B57E6F">
      <w:pPr>
        <w:pStyle w:val="CETemail"/>
        <w:rPr>
          <w:lang w:val="en-US"/>
        </w:rPr>
      </w:pPr>
      <w:r w:rsidRPr="002124CC">
        <w:rPr>
          <w:lang w:val="en-US"/>
        </w:rPr>
        <w:t>*</w:t>
      </w:r>
      <w:r w:rsidR="00C17D91" w:rsidRPr="002124CC">
        <w:rPr>
          <w:lang w:val="en-US"/>
        </w:rPr>
        <w:t>gabriele.landucci</w:t>
      </w:r>
      <w:r w:rsidR="00F51C6C" w:rsidRPr="002124CC">
        <w:rPr>
          <w:lang w:val="en-US"/>
        </w:rPr>
        <w:t>@unipi.it</w:t>
      </w:r>
    </w:p>
    <w:p w14:paraId="04B319EE" w14:textId="65BF7218" w:rsidR="00600535" w:rsidRPr="002124CC" w:rsidRDefault="00892647" w:rsidP="00AF29AC">
      <w:pPr>
        <w:pStyle w:val="CETBodytext"/>
      </w:pPr>
      <w:bookmarkStart w:id="0" w:name="_Hlk495475023"/>
      <w:r w:rsidRPr="002124CC">
        <w:rPr>
          <w:lang w:val="en-GB"/>
        </w:rPr>
        <w:t>The consequences of a successful intentional attack to a process facility can be severe and could propagate among units generating the so</w:t>
      </w:r>
      <w:r w:rsidR="0018041A">
        <w:rPr>
          <w:lang w:val="en-GB"/>
        </w:rPr>
        <w:t>-</w:t>
      </w:r>
      <w:r w:rsidRPr="002124CC">
        <w:rPr>
          <w:lang w:val="en-GB"/>
        </w:rPr>
        <w:t xml:space="preserve">called domino effects, with potential effects on people, the environment, and assets. </w:t>
      </w:r>
      <w:r w:rsidR="00154604" w:rsidRPr="002124CC">
        <w:rPr>
          <w:lang w:val="en-GB"/>
        </w:rPr>
        <w:t>For these reasons, institutions and practitioners have found interest in determining the entity of damages</w:t>
      </w:r>
      <w:r w:rsidR="004153AE" w:rsidRPr="002124CC">
        <w:rPr>
          <w:lang w:val="en-GB"/>
        </w:rPr>
        <w:t xml:space="preserve"> </w:t>
      </w:r>
      <w:r w:rsidR="00154604" w:rsidRPr="002124CC">
        <w:rPr>
          <w:lang w:val="en-GB"/>
        </w:rPr>
        <w:t xml:space="preserve">associated with </w:t>
      </w:r>
      <w:r w:rsidR="003D3173">
        <w:rPr>
          <w:lang w:val="en-GB"/>
        </w:rPr>
        <w:t xml:space="preserve">these events </w:t>
      </w:r>
      <w:r w:rsidR="00154604" w:rsidRPr="002124CC">
        <w:rPr>
          <w:lang w:val="en-GB"/>
        </w:rPr>
        <w:t>and integrating them into conventional safety and economic</w:t>
      </w:r>
      <w:r w:rsidR="004153AE" w:rsidRPr="002124CC">
        <w:rPr>
          <w:lang w:val="en-GB"/>
        </w:rPr>
        <w:t xml:space="preserve"> </w:t>
      </w:r>
      <w:r w:rsidR="00154604" w:rsidRPr="002124CC">
        <w:rPr>
          <w:lang w:val="en-GB"/>
        </w:rPr>
        <w:t>analyses</w:t>
      </w:r>
      <w:r w:rsidR="004153AE" w:rsidRPr="002124CC">
        <w:rPr>
          <w:lang w:val="en-GB"/>
        </w:rPr>
        <w:t xml:space="preserve">. </w:t>
      </w:r>
      <w:r w:rsidR="00BA69C2" w:rsidRPr="002124CC">
        <w:rPr>
          <w:lang w:val="en-GB"/>
        </w:rPr>
        <w:t>Still, approaches devoted to assessing the economic losses associated with intentional attacks have received less attention</w:t>
      </w:r>
      <w:r w:rsidR="00D5585C" w:rsidRPr="002124CC">
        <w:rPr>
          <w:lang w:val="en-GB"/>
        </w:rPr>
        <w:t xml:space="preserve"> in the literature</w:t>
      </w:r>
      <w:r w:rsidR="00BA69C2" w:rsidRPr="002124CC">
        <w:rPr>
          <w:lang w:val="en-GB"/>
        </w:rPr>
        <w:t>.</w:t>
      </w:r>
      <w:r w:rsidR="002022DB">
        <w:rPr>
          <w:lang w:val="en-GB"/>
        </w:rPr>
        <w:t xml:space="preserve"> T</w:t>
      </w:r>
      <w:r w:rsidR="00BA69C2" w:rsidRPr="002124CC">
        <w:rPr>
          <w:lang w:val="en-GB"/>
        </w:rPr>
        <w:t xml:space="preserve">his work </w:t>
      </w:r>
      <w:r w:rsidR="0068768A" w:rsidRPr="002124CC">
        <w:rPr>
          <w:lang w:val="en-GB"/>
        </w:rPr>
        <w:t>presents</w:t>
      </w:r>
      <w:r w:rsidR="00BA69C2" w:rsidRPr="002124CC">
        <w:rPr>
          <w:lang w:val="en-GB"/>
        </w:rPr>
        <w:t xml:space="preserve"> a methodology to evaluate asset losses associated to intentional attacks. A probabilistic approach based on Bayesian Networks was adopted</w:t>
      </w:r>
      <w:r w:rsidR="0018041A">
        <w:rPr>
          <w:lang w:val="en-GB"/>
        </w:rPr>
        <w:t xml:space="preserve"> </w:t>
      </w:r>
      <w:r w:rsidR="00BA69C2" w:rsidRPr="002124CC">
        <w:rPr>
          <w:lang w:val="en-GB"/>
        </w:rPr>
        <w:t>to include several factors associated to intrusion scenarios and their interdependencies.</w:t>
      </w:r>
      <w:r w:rsidR="00AF29AC" w:rsidRPr="002124CC">
        <w:rPr>
          <w:lang w:val="en-GB"/>
        </w:rPr>
        <w:t xml:space="preserve"> The developed methodology was then applied to a case study to demonstrate its potentialities. A demonstrational attack scenario was considered to test the methodology. The results show that a successful intentional attack might indeed lead not only to direct consequences on people, but also to relevant economical losses</w:t>
      </w:r>
      <w:r w:rsidR="00F120B1" w:rsidRPr="002124CC">
        <w:rPr>
          <w:lang w:val="en-GB"/>
        </w:rPr>
        <w:t>.</w:t>
      </w:r>
      <w:r w:rsidR="0068768A" w:rsidRPr="002124CC">
        <w:rPr>
          <w:lang w:val="en-GB"/>
        </w:rPr>
        <w:t xml:space="preserve"> Moreover, </w:t>
      </w:r>
      <w:r w:rsidR="004F524A">
        <w:rPr>
          <w:lang w:val="en-GB"/>
        </w:rPr>
        <w:t>factoring in</w:t>
      </w:r>
      <w:r w:rsidR="004F524A" w:rsidRPr="002124CC">
        <w:rPr>
          <w:lang w:val="en-GB"/>
        </w:rPr>
        <w:t xml:space="preserve"> </w:t>
      </w:r>
      <w:r w:rsidR="0068768A" w:rsidRPr="002124CC">
        <w:rPr>
          <w:lang w:val="en-GB"/>
        </w:rPr>
        <w:t xml:space="preserve">the synergistic performance of safety and security barriers allows to </w:t>
      </w:r>
      <w:r w:rsidR="001345EB">
        <w:rPr>
          <w:lang w:val="en-GB"/>
        </w:rPr>
        <w:t>improve the estimation of</w:t>
      </w:r>
      <w:r w:rsidR="0068768A" w:rsidRPr="002124CC">
        <w:rPr>
          <w:lang w:val="en-GB"/>
        </w:rPr>
        <w:t xml:space="preserve"> asset losses.</w:t>
      </w:r>
    </w:p>
    <w:bookmarkEnd w:id="0"/>
    <w:p w14:paraId="476B2F2E" w14:textId="46121239" w:rsidR="00600535" w:rsidRPr="002124CC" w:rsidRDefault="00600535" w:rsidP="00600535">
      <w:pPr>
        <w:pStyle w:val="CETHeading1"/>
        <w:rPr>
          <w:lang w:val="en-GB"/>
        </w:rPr>
      </w:pPr>
      <w:r w:rsidRPr="002124CC">
        <w:rPr>
          <w:lang w:val="en-GB"/>
        </w:rPr>
        <w:t>Introduction</w:t>
      </w:r>
    </w:p>
    <w:p w14:paraId="207D8477" w14:textId="613B4FD1" w:rsidR="004643E3" w:rsidRPr="002124CC" w:rsidRDefault="008C66BE" w:rsidP="0068768A">
      <w:pPr>
        <w:pStyle w:val="CETBodytext"/>
        <w:rPr>
          <w:szCs w:val="18"/>
        </w:rPr>
      </w:pPr>
      <w:r w:rsidRPr="002124CC">
        <w:rPr>
          <w:szCs w:val="18"/>
        </w:rPr>
        <w:t xml:space="preserve">The assessment of scenarios associated with intentional attacks to chemical and process facilities has garnered the attention of both institution and practitioners because of the exacerbation of conflicts in critical contexts. </w:t>
      </w:r>
      <w:r w:rsidR="0068768A" w:rsidRPr="002124CC">
        <w:rPr>
          <w:szCs w:val="18"/>
        </w:rPr>
        <w:t>The consequences of a successful intentional attack can be severe and could propagate among units generating the domino effects, with potential effects on people, the environment and assets</w:t>
      </w:r>
      <w:r w:rsidR="0045118C">
        <w:rPr>
          <w:szCs w:val="18"/>
        </w:rPr>
        <w:t xml:space="preserve"> </w:t>
      </w:r>
      <w:r w:rsidR="0045118C" w:rsidRPr="002124CC">
        <w:rPr>
          <w:szCs w:val="18"/>
        </w:rPr>
        <w:t>(George and Renjith, 2021)</w:t>
      </w:r>
      <w:r w:rsidR="0068768A" w:rsidRPr="002124CC">
        <w:rPr>
          <w:szCs w:val="18"/>
        </w:rPr>
        <w:t>. For these reasons, assessing the entity of damages associated with successful intentional attacks and integrating them into conventional safety and economic analyses is a crucial point to protect installations and citizens</w:t>
      </w:r>
      <w:r w:rsidR="004E49FE" w:rsidRPr="002124CC">
        <w:rPr>
          <w:szCs w:val="18"/>
        </w:rPr>
        <w:t xml:space="preserve">, </w:t>
      </w:r>
      <w:r w:rsidR="00777DBA">
        <w:rPr>
          <w:szCs w:val="18"/>
        </w:rPr>
        <w:t xml:space="preserve">which </w:t>
      </w:r>
      <w:r w:rsidR="004E49FE" w:rsidRPr="002124CC">
        <w:rPr>
          <w:szCs w:val="18"/>
        </w:rPr>
        <w:t>was extensively studied in the literature</w:t>
      </w:r>
      <w:r w:rsidR="0068768A" w:rsidRPr="002124CC">
        <w:rPr>
          <w:szCs w:val="18"/>
        </w:rPr>
        <w:t>. For instance,</w:t>
      </w:r>
      <w:r w:rsidRPr="002124CC">
        <w:rPr>
          <w:szCs w:val="18"/>
        </w:rPr>
        <w:t xml:space="preserve"> </w:t>
      </w:r>
      <w:proofErr w:type="spellStart"/>
      <w:r w:rsidRPr="002124CC">
        <w:rPr>
          <w:szCs w:val="18"/>
        </w:rPr>
        <w:t>Shuaiqi</w:t>
      </w:r>
      <w:proofErr w:type="spellEnd"/>
      <w:r w:rsidRPr="002124CC">
        <w:rPr>
          <w:szCs w:val="18"/>
        </w:rPr>
        <w:t xml:space="preserve"> et al.</w:t>
      </w:r>
      <w:r w:rsidR="00F05172">
        <w:rPr>
          <w:szCs w:val="18"/>
        </w:rPr>
        <w:t xml:space="preserve"> (</w:t>
      </w:r>
      <w:r w:rsidRPr="002124CC">
        <w:rPr>
          <w:szCs w:val="18"/>
        </w:rPr>
        <w:t xml:space="preserve">2022) developed a theoretical framework for the integration of safety and security barriers. Still, no works </w:t>
      </w:r>
      <w:r w:rsidR="00F94466" w:rsidRPr="002124CC">
        <w:rPr>
          <w:szCs w:val="18"/>
        </w:rPr>
        <w:t xml:space="preserve">were </w:t>
      </w:r>
      <w:r w:rsidRPr="002124CC">
        <w:rPr>
          <w:szCs w:val="18"/>
        </w:rPr>
        <w:t xml:space="preserve">devoted to the quantitative integration of safety and security, and more specifically of safety and security barriers in scenario assessment. </w:t>
      </w:r>
      <w:r w:rsidR="00F94466" w:rsidRPr="002124CC">
        <w:rPr>
          <w:szCs w:val="18"/>
        </w:rPr>
        <w:t xml:space="preserve">Moreover, methodologies that tackle the assessment of asset losses following an intentional attack are lacking. </w:t>
      </w:r>
      <w:r w:rsidR="00C6273C" w:rsidRPr="002124CC">
        <w:rPr>
          <w:szCs w:val="18"/>
        </w:rPr>
        <w:t>In this framework, Bayesian Network (BN) are a promising tool for a probabilistic-based assessment of economic losses. Namely, BN are a versatile tool that can include a high number of elements and dependencies. The use of such a tool is not new in security science and process safety, as scenarios tend to be complex and dependent on many different factors</w:t>
      </w:r>
      <w:r w:rsidR="00F9248B" w:rsidRPr="002124CC">
        <w:rPr>
          <w:szCs w:val="18"/>
        </w:rPr>
        <w:t xml:space="preserve"> (George and Renjith, 2021)</w:t>
      </w:r>
      <w:r w:rsidR="00C6273C" w:rsidRPr="002124CC">
        <w:rPr>
          <w:szCs w:val="18"/>
        </w:rPr>
        <w:t>. For instance,</w:t>
      </w:r>
      <w:r w:rsidR="002034DE" w:rsidRPr="002124CC">
        <w:rPr>
          <w:szCs w:val="18"/>
        </w:rPr>
        <w:t xml:space="preserve"> BN was adopted to assess the efficacy of fire-fighting protections</w:t>
      </w:r>
      <w:r w:rsidR="00C6273C" w:rsidRPr="002124CC">
        <w:rPr>
          <w:szCs w:val="18"/>
        </w:rPr>
        <w:t xml:space="preserve"> (</w:t>
      </w:r>
      <w:proofErr w:type="spellStart"/>
      <w:r w:rsidR="00C6273C" w:rsidRPr="002124CC">
        <w:rPr>
          <w:szCs w:val="18"/>
        </w:rPr>
        <w:t>Khakzad</w:t>
      </w:r>
      <w:proofErr w:type="spellEnd"/>
      <w:r w:rsidR="00C6273C" w:rsidRPr="002124CC">
        <w:rPr>
          <w:szCs w:val="18"/>
        </w:rPr>
        <w:t xml:space="preserve"> et al., 2018)</w:t>
      </w:r>
      <w:r w:rsidR="002034DE" w:rsidRPr="002124CC">
        <w:rPr>
          <w:szCs w:val="18"/>
        </w:rPr>
        <w:t xml:space="preserve"> and allocate countermeasures in critical infrastructures</w:t>
      </w:r>
      <w:r w:rsidR="00C6273C" w:rsidRPr="002124CC">
        <w:rPr>
          <w:szCs w:val="18"/>
        </w:rPr>
        <w:t xml:space="preserve"> </w:t>
      </w:r>
      <w:r w:rsidR="00F9248B" w:rsidRPr="002124CC">
        <w:rPr>
          <w:szCs w:val="18"/>
        </w:rPr>
        <w:t>(</w:t>
      </w:r>
      <w:proofErr w:type="spellStart"/>
      <w:r w:rsidR="00F9248B" w:rsidRPr="002124CC">
        <w:rPr>
          <w:szCs w:val="18"/>
        </w:rPr>
        <w:t>Misuri</w:t>
      </w:r>
      <w:proofErr w:type="spellEnd"/>
      <w:r w:rsidR="00F9248B" w:rsidRPr="002124CC">
        <w:rPr>
          <w:szCs w:val="18"/>
        </w:rPr>
        <w:t xml:space="preserve"> et al., 2018).</w:t>
      </w:r>
      <w:r w:rsidR="00202831" w:rsidRPr="002124CC">
        <w:rPr>
          <w:szCs w:val="18"/>
        </w:rPr>
        <w:t xml:space="preserve"> </w:t>
      </w:r>
      <w:proofErr w:type="spellStart"/>
      <w:r w:rsidR="00C6273C" w:rsidRPr="002124CC">
        <w:rPr>
          <w:szCs w:val="18"/>
        </w:rPr>
        <w:t>Iaiani</w:t>
      </w:r>
      <w:proofErr w:type="spellEnd"/>
      <w:r w:rsidR="00C6273C" w:rsidRPr="002124CC">
        <w:rPr>
          <w:szCs w:val="18"/>
        </w:rPr>
        <w:t xml:space="preserve"> et al. </w:t>
      </w:r>
      <w:r w:rsidR="00BF63CA">
        <w:rPr>
          <w:szCs w:val="18"/>
        </w:rPr>
        <w:t>(</w:t>
      </w:r>
      <w:r w:rsidR="00C6273C" w:rsidRPr="002124CC">
        <w:rPr>
          <w:szCs w:val="18"/>
        </w:rPr>
        <w:t xml:space="preserve">2022) used BN to quantitatively assess the vulnerability, i.e., the probability of attack success in Offshore </w:t>
      </w:r>
      <w:proofErr w:type="spellStart"/>
      <w:r w:rsidR="00C6273C" w:rsidRPr="002124CC">
        <w:rPr>
          <w:szCs w:val="18"/>
        </w:rPr>
        <w:t>Oil&amp;Gas</w:t>
      </w:r>
      <w:proofErr w:type="spellEnd"/>
      <w:r w:rsidR="00C6273C" w:rsidRPr="002124CC">
        <w:rPr>
          <w:szCs w:val="18"/>
        </w:rPr>
        <w:t xml:space="preserve"> installations</w:t>
      </w:r>
      <w:r w:rsidR="00202831" w:rsidRPr="002124CC">
        <w:rPr>
          <w:szCs w:val="18"/>
        </w:rPr>
        <w:t>, while BN was adopted to assess</w:t>
      </w:r>
      <w:r w:rsidR="00C6273C" w:rsidRPr="002124CC">
        <w:rPr>
          <w:szCs w:val="18"/>
        </w:rPr>
        <w:t xml:space="preserve"> </w:t>
      </w:r>
      <w:r w:rsidR="00202831" w:rsidRPr="002124CC">
        <w:rPr>
          <w:szCs w:val="18"/>
        </w:rPr>
        <w:t xml:space="preserve">the vulnerability of process installations </w:t>
      </w:r>
      <w:r w:rsidR="00C6273C" w:rsidRPr="002124CC">
        <w:rPr>
          <w:szCs w:val="18"/>
        </w:rPr>
        <w:t>(Marroni et al., 2024)</w:t>
      </w:r>
      <w:r w:rsidR="00202831" w:rsidRPr="002124CC">
        <w:rPr>
          <w:szCs w:val="18"/>
        </w:rPr>
        <w:t>.</w:t>
      </w:r>
      <w:r w:rsidR="00C6273C" w:rsidRPr="002124CC">
        <w:rPr>
          <w:szCs w:val="18"/>
        </w:rPr>
        <w:t xml:space="preserve"> </w:t>
      </w:r>
      <w:r w:rsidR="00F94466" w:rsidRPr="002124CC">
        <w:rPr>
          <w:szCs w:val="18"/>
        </w:rPr>
        <w:t>For this reason, this work shows a methodology to assess the economic losses associated to intentional</w:t>
      </w:r>
      <w:r w:rsidR="0071678B" w:rsidRPr="002124CC">
        <w:rPr>
          <w:szCs w:val="18"/>
        </w:rPr>
        <w:t xml:space="preserve"> attack scenarios considering the synergistic performance of safety and security barriers</w:t>
      </w:r>
      <w:r w:rsidR="00DA3D62" w:rsidRPr="002124CC">
        <w:rPr>
          <w:szCs w:val="18"/>
        </w:rPr>
        <w:t xml:space="preserve"> and potential domino effects</w:t>
      </w:r>
      <w:r w:rsidR="0071678B" w:rsidRPr="002124CC">
        <w:rPr>
          <w:szCs w:val="18"/>
        </w:rPr>
        <w:t>. A probabilistic approach based on Bayesian Network (BN) has been adopted</w:t>
      </w:r>
      <w:r w:rsidR="00980A95" w:rsidRPr="002124CC">
        <w:rPr>
          <w:szCs w:val="18"/>
        </w:rPr>
        <w:t xml:space="preserve"> to determine the economic losses associated to </w:t>
      </w:r>
      <w:r w:rsidR="0044501F" w:rsidRPr="002124CC">
        <w:rPr>
          <w:szCs w:val="18"/>
        </w:rPr>
        <w:t>intentional attacks.</w:t>
      </w:r>
    </w:p>
    <w:p w14:paraId="677EBFF0" w14:textId="4E7C7ED1" w:rsidR="00600535" w:rsidRPr="002124CC" w:rsidRDefault="008B7BF9" w:rsidP="00600535">
      <w:pPr>
        <w:pStyle w:val="CETHeading1"/>
        <w:tabs>
          <w:tab w:val="clear" w:pos="360"/>
          <w:tab w:val="right" w:pos="7100"/>
        </w:tabs>
        <w:jc w:val="both"/>
        <w:rPr>
          <w:lang w:val="en-GB"/>
        </w:rPr>
      </w:pPr>
      <w:r w:rsidRPr="002124CC">
        <w:rPr>
          <w:lang w:val="en-GB"/>
        </w:rPr>
        <w:lastRenderedPageBreak/>
        <w:t>Methodology</w:t>
      </w:r>
    </w:p>
    <w:p w14:paraId="64841C8B" w14:textId="7E1686CD" w:rsidR="004E574D" w:rsidRPr="002124CC" w:rsidRDefault="001C0A2A" w:rsidP="00FA5D6A">
      <w:pPr>
        <w:pStyle w:val="CETheadingx"/>
      </w:pPr>
      <w:r w:rsidRPr="002124CC">
        <w:t>Overview</w:t>
      </w:r>
    </w:p>
    <w:p w14:paraId="752A4272" w14:textId="5C7C5256" w:rsidR="001819F7" w:rsidRPr="00AA14A5" w:rsidRDefault="00F80C9D" w:rsidP="00AA14A5">
      <w:pPr>
        <w:pStyle w:val="CETBodytext"/>
      </w:pPr>
      <w:r w:rsidRPr="002124CC">
        <w:rPr>
          <w:lang w:val="en-GB"/>
        </w:rPr>
        <w:t xml:space="preserve">Figure 1 shows the proposed </w:t>
      </w:r>
      <w:r w:rsidR="003B3569" w:rsidRPr="002124CC">
        <w:rPr>
          <w:lang w:val="en-GB"/>
        </w:rPr>
        <w:t>methodological approach</w:t>
      </w:r>
      <w:r w:rsidR="004F28FE" w:rsidRPr="002124CC">
        <w:rPr>
          <w:lang w:val="en-GB"/>
        </w:rPr>
        <w:t xml:space="preserve">. </w:t>
      </w:r>
      <w:r w:rsidR="00401E3D" w:rsidRPr="002124CC">
        <w:rPr>
          <w:lang w:val="en-GB"/>
        </w:rPr>
        <w:t>Step 1</w:t>
      </w:r>
      <w:r w:rsidR="004F28FE" w:rsidRPr="002124CC">
        <w:rPr>
          <w:lang w:val="en-GB"/>
        </w:rPr>
        <w:t xml:space="preserve"> </w:t>
      </w:r>
      <w:r w:rsidR="0090422C" w:rsidRPr="002124CC">
        <w:rPr>
          <w:lang w:val="en-GB"/>
        </w:rPr>
        <w:t xml:space="preserve">is </w:t>
      </w:r>
      <w:r w:rsidR="00401E3D" w:rsidRPr="002124CC">
        <w:rPr>
          <w:lang w:val="en-GB"/>
        </w:rPr>
        <w:t>detailed</w:t>
      </w:r>
      <w:r w:rsidR="0090422C" w:rsidRPr="002124CC">
        <w:rPr>
          <w:lang w:val="en-GB"/>
        </w:rPr>
        <w:t xml:space="preserve"> in Section 2.2 and</w:t>
      </w:r>
      <w:r w:rsidR="004F28FE" w:rsidRPr="002124CC">
        <w:rPr>
          <w:lang w:val="en-GB"/>
        </w:rPr>
        <w:t xml:space="preserve"> entails the </w:t>
      </w:r>
      <w:r w:rsidR="0079121A" w:rsidRPr="002124CC">
        <w:rPr>
          <w:lang w:val="en-GB"/>
        </w:rPr>
        <w:t xml:space="preserve">simplified assessment of the </w:t>
      </w:r>
      <w:r w:rsidR="0092459A">
        <w:rPr>
          <w:lang w:val="en-GB"/>
        </w:rPr>
        <w:t xml:space="preserve">safety-security related </w:t>
      </w:r>
      <w:r w:rsidR="0079121A" w:rsidRPr="002124CC">
        <w:rPr>
          <w:lang w:val="en-GB"/>
        </w:rPr>
        <w:t>scenario, including probability of attack success and consequence assessment.</w:t>
      </w:r>
      <w:r w:rsidR="000518E3" w:rsidRPr="002124CC">
        <w:rPr>
          <w:lang w:val="en-GB"/>
        </w:rPr>
        <w:t xml:space="preserve"> The second step of the methodology is the evaluation of economic losses using a consequence-based approach</w:t>
      </w:r>
      <w:r w:rsidR="0090422C" w:rsidRPr="002124CC">
        <w:rPr>
          <w:lang w:val="en-GB"/>
        </w:rPr>
        <w:t xml:space="preserve"> presented in Section 2.3</w:t>
      </w:r>
      <w:r w:rsidR="000518E3" w:rsidRPr="002124CC">
        <w:rPr>
          <w:lang w:val="en-GB"/>
        </w:rPr>
        <w:t xml:space="preserve">. </w:t>
      </w:r>
      <w:r w:rsidR="000C19E5" w:rsidRPr="002124CC">
        <w:rPr>
          <w:lang w:val="en-GB"/>
        </w:rPr>
        <w:t xml:space="preserve">Step 3 of the methodology is the implementation of Steps 1 and 2 in the BN, which is shown in Section 2.4. Finally, Step 4 of the methodology is the application of Steps 1, 2, and 3 to a demonstrational case study, which is presented in Section 3. The results are discussed in Section 4, while Section 5 offers some conclusive remarks. </w:t>
      </w:r>
    </w:p>
    <w:p w14:paraId="1A729B42" w14:textId="66FDF828" w:rsidR="002A4500" w:rsidRPr="002124CC" w:rsidRDefault="00420FF1" w:rsidP="00A33B2C">
      <w:pPr>
        <w:pStyle w:val="CETBodytext"/>
        <w:jc w:val="left"/>
        <w:rPr>
          <w:lang w:val="en-GB"/>
        </w:rPr>
      </w:pPr>
      <w:r w:rsidRPr="002124CC">
        <w:rPr>
          <w:noProof/>
        </w:rPr>
        <w:drawing>
          <wp:inline distT="0" distB="0" distL="0" distR="0" wp14:anchorId="4A251154" wp14:editId="67CB0B97">
            <wp:extent cx="5414272" cy="571817"/>
            <wp:effectExtent l="0" t="0" r="0" b="0"/>
            <wp:docPr id="2127238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0085" b="1"/>
                    <a:stretch/>
                  </pic:blipFill>
                  <pic:spPr bwMode="auto">
                    <a:xfrm>
                      <a:off x="0" y="0"/>
                      <a:ext cx="5856655" cy="618538"/>
                    </a:xfrm>
                    <a:prstGeom prst="rect">
                      <a:avLst/>
                    </a:prstGeom>
                    <a:noFill/>
                    <a:ln>
                      <a:noFill/>
                    </a:ln>
                    <a:extLst>
                      <a:ext uri="{53640926-AAD7-44D8-BBD7-CCE9431645EC}">
                        <a14:shadowObscured xmlns:a14="http://schemas.microsoft.com/office/drawing/2010/main"/>
                      </a:ext>
                    </a:extLst>
                  </pic:spPr>
                </pic:pic>
              </a:graphicData>
            </a:graphic>
          </wp:inline>
        </w:drawing>
      </w:r>
    </w:p>
    <w:p w14:paraId="5B4C14D4" w14:textId="286FA042" w:rsidR="00037C3F" w:rsidRPr="002124CC" w:rsidRDefault="00037C3F" w:rsidP="00037C3F">
      <w:pPr>
        <w:pStyle w:val="CETCaption"/>
      </w:pPr>
      <w:bookmarkStart w:id="1" w:name="_Hlk160026175"/>
      <w:r w:rsidRPr="002124CC">
        <w:t>Fig</w:t>
      </w:r>
      <w:r w:rsidR="002D6965" w:rsidRPr="002124CC">
        <w:t>ure</w:t>
      </w:r>
      <w:r w:rsidRPr="002124CC">
        <w:t xml:space="preserve"> 1</w:t>
      </w:r>
      <w:r w:rsidR="002D6965" w:rsidRPr="002124CC">
        <w:t>:</w:t>
      </w:r>
      <w:r w:rsidR="002E7405" w:rsidRPr="002124CC">
        <w:t xml:space="preserve"> Proposed methodolog</w:t>
      </w:r>
      <w:r w:rsidR="003F1BD1" w:rsidRPr="002124CC">
        <w:t>y</w:t>
      </w:r>
      <w:r w:rsidR="007B3C76" w:rsidRPr="002124CC">
        <w:t xml:space="preserve"> for assessing the economic losses associated </w:t>
      </w:r>
      <w:r w:rsidR="009C1E15">
        <w:t>with</w:t>
      </w:r>
      <w:r w:rsidR="009C1E15" w:rsidRPr="002124CC">
        <w:t xml:space="preserve"> </w:t>
      </w:r>
      <w:r w:rsidR="00716360" w:rsidRPr="002124CC">
        <w:t>intentional attacks</w:t>
      </w:r>
    </w:p>
    <w:bookmarkEnd w:id="1"/>
    <w:p w14:paraId="431794C1" w14:textId="371864B5" w:rsidR="0067471E" w:rsidRPr="002124CC" w:rsidRDefault="0067338B" w:rsidP="00FA5D6A">
      <w:pPr>
        <w:pStyle w:val="CETheadingx"/>
      </w:pPr>
      <w:r w:rsidRPr="002124CC">
        <w:t>Simplified scenario assessment</w:t>
      </w:r>
    </w:p>
    <w:p w14:paraId="6CF6E2CA" w14:textId="7FEB21AB" w:rsidR="00F76153" w:rsidRPr="002124CC" w:rsidRDefault="00C42EF2" w:rsidP="00F76153">
      <w:pPr>
        <w:pStyle w:val="CETBodytext"/>
      </w:pPr>
      <w:r>
        <w:t xml:space="preserve">The first step (see Figure 1) is aimed at </w:t>
      </w:r>
      <w:r w:rsidR="00F9248B" w:rsidRPr="002124CC">
        <w:t>the</w:t>
      </w:r>
      <w:r w:rsidR="003F4C3B" w:rsidRPr="002124CC">
        <w:t xml:space="preserve"> </w:t>
      </w:r>
      <w:r>
        <w:t xml:space="preserve">quantitative evaluation of the </w:t>
      </w:r>
      <w:r w:rsidR="003F4C3B" w:rsidRPr="002124CC">
        <w:t>intentional attack scenario</w:t>
      </w:r>
      <w:r>
        <w:t>,</w:t>
      </w:r>
      <w:r w:rsidR="003F4C3B" w:rsidRPr="002124CC">
        <w:t xml:space="preserve"> from intrusion to final outcomes. Hence, it is firstly necessary to assess potential threats, and their attack paths. </w:t>
      </w:r>
      <w:r w:rsidR="00641217" w:rsidRPr="002124CC">
        <w:t xml:space="preserve">Although some more structured methodologies are available, in this work we used a simplified method, i.e., expert judgement, to determine the attack path of the demonstrational case study in Section 3. </w:t>
      </w:r>
      <w:r w:rsidR="003F4C3B" w:rsidRPr="002124CC">
        <w:t xml:space="preserve">Then, the vulnerability of the plant </w:t>
      </w:r>
      <w:r w:rsidR="00F76153" w:rsidRPr="002124CC">
        <w:t>to the attack scenarios should be evaluated. There are two main factors influencing the probability of an intentional attack being successful: t</w:t>
      </w:r>
      <w:r w:rsidR="003F4C3B" w:rsidRPr="002124CC">
        <w:t xml:space="preserve">he performance of security barriers </w:t>
      </w:r>
      <w:r w:rsidR="00F76153" w:rsidRPr="002124CC">
        <w:t xml:space="preserve">in place </w:t>
      </w:r>
      <w:r w:rsidR="003F4C3B" w:rsidRPr="002124CC">
        <w:t xml:space="preserve">and the fragility of the target equipment, i.e., </w:t>
      </w:r>
      <w:r w:rsidR="00F76153" w:rsidRPr="002124CC">
        <w:t>its physical resistance to an attack vector.</w:t>
      </w:r>
      <w:r w:rsidR="003F4C3B" w:rsidRPr="002124CC">
        <w:t xml:space="preserve"> </w:t>
      </w:r>
      <w:r w:rsidR="00641217" w:rsidRPr="002124CC">
        <w:t>For security barriers, the performance of three main functions associated to a correctly functioning system are evaluated: intrusion assessed detection, communication to emergency response system, and its timely intervention to neutralize the attack</w:t>
      </w:r>
      <w:r w:rsidR="00F76153" w:rsidRPr="002124CC">
        <w:t xml:space="preserve"> (Garcia, 2006)</w:t>
      </w:r>
      <w:r w:rsidR="00641217" w:rsidRPr="002124CC">
        <w:t xml:space="preserve">. </w:t>
      </w:r>
      <w:r w:rsidR="00F76153" w:rsidRPr="002124CC">
        <w:t xml:space="preserve">As for the physical resistance of the equipment, specific fragility models tailored to the attack mode </w:t>
      </w:r>
      <w:r w:rsidR="009B7338" w:rsidRPr="002124CC">
        <w:t>are</w:t>
      </w:r>
      <w:r w:rsidR="00F76153" w:rsidRPr="002124CC">
        <w:t xml:space="preserve"> used in order to determine the probability of the equipment being damaged based on the intensity of physical effects</w:t>
      </w:r>
      <w:r w:rsidR="00452365">
        <w:t>;</w:t>
      </w:r>
      <w:r w:rsidR="00452365" w:rsidRPr="002124CC">
        <w:t xml:space="preserve"> </w:t>
      </w:r>
      <w:r w:rsidR="009B7338" w:rsidRPr="002124CC">
        <w:t>see (Marroni et al., 2024) for more details.</w:t>
      </w:r>
    </w:p>
    <w:p w14:paraId="3CE3AAD4" w14:textId="32583468" w:rsidR="004643E3" w:rsidRPr="002124CC" w:rsidRDefault="00F76153" w:rsidP="00C31142">
      <w:pPr>
        <w:pStyle w:val="CETBodytext"/>
        <w:spacing w:after="240"/>
      </w:pPr>
      <w:r w:rsidRPr="002124CC">
        <w:t xml:space="preserve">Once the vulnerability of the scenarios </w:t>
      </w:r>
      <w:r w:rsidR="00957376" w:rsidRPr="002124CC">
        <w:t>has</w:t>
      </w:r>
      <w:r w:rsidRPr="002124CC">
        <w:t xml:space="preserve"> been evaluated, consequence assessment </w:t>
      </w:r>
      <w:r w:rsidR="004123DF">
        <w:t>was</w:t>
      </w:r>
      <w:r w:rsidRPr="002124CC">
        <w:t xml:space="preserve"> carried out</w:t>
      </w:r>
      <w:r w:rsidR="0079121A" w:rsidRPr="002124CC">
        <w:t xml:space="preserve">. </w:t>
      </w:r>
      <w:r w:rsidRPr="002124CC">
        <w:t>The release scenarios were defined by tailoring conventional release diameters (API, 2008) to security scenarios. More in detail, a small release diameter of 1’’</w:t>
      </w:r>
      <w:r w:rsidR="005E043F">
        <w:t xml:space="preserve"> (25.4 mm)</w:t>
      </w:r>
      <w:r w:rsidRPr="002124CC">
        <w:t xml:space="preserve"> was associated </w:t>
      </w:r>
      <w:r w:rsidR="00DC71F6" w:rsidRPr="002124CC">
        <w:t xml:space="preserve">to </w:t>
      </w:r>
      <w:r w:rsidR="0079121A" w:rsidRPr="002124CC">
        <w:t xml:space="preserve">sabotage, while </w:t>
      </w:r>
      <w:r w:rsidR="00DC71F6" w:rsidRPr="002124CC">
        <w:t>a</w:t>
      </w:r>
      <w:r w:rsidR="0079121A" w:rsidRPr="002124CC">
        <w:t xml:space="preserve"> catastrophic rupture </w:t>
      </w:r>
      <w:r w:rsidR="00DC71F6" w:rsidRPr="002124CC">
        <w:t xml:space="preserve">was </w:t>
      </w:r>
      <w:r w:rsidR="002A7877" w:rsidRPr="002124CC">
        <w:t xml:space="preserve">the outcome of </w:t>
      </w:r>
      <w:r w:rsidR="0079121A" w:rsidRPr="002124CC">
        <w:t>explosive attacks. The release scenario</w:t>
      </w:r>
      <w:r w:rsidR="005E043F">
        <w:t>s</w:t>
      </w:r>
      <w:r w:rsidR="0079121A" w:rsidRPr="002124CC">
        <w:t xml:space="preserve"> </w:t>
      </w:r>
      <w:r w:rsidR="005E043F">
        <w:t>were</w:t>
      </w:r>
      <w:r w:rsidR="0079121A" w:rsidRPr="002124CC">
        <w:t xml:space="preserve"> then simulated </w:t>
      </w:r>
      <w:r w:rsidR="007778D6" w:rsidRPr="002124CC">
        <w:t>through</w:t>
      </w:r>
      <w:r w:rsidR="0079121A" w:rsidRPr="002124CC">
        <w:t xml:space="preserve"> integral models </w:t>
      </w:r>
      <w:r w:rsidR="007778D6" w:rsidRPr="002124CC">
        <w:t>using</w:t>
      </w:r>
      <w:r w:rsidR="0079121A" w:rsidRPr="002124CC">
        <w:t xml:space="preserve"> the software ALOHA</w:t>
      </w:r>
      <w:r w:rsidR="0079121A" w:rsidRPr="002124CC">
        <w:rPr>
          <w:rFonts w:ascii="Times New Roman" w:hAnsi="Times New Roman"/>
        </w:rPr>
        <w:t>®</w:t>
      </w:r>
      <w:r w:rsidR="0079121A" w:rsidRPr="002124CC">
        <w:t xml:space="preserve">. A threshold-based approach was used to assess potential domino effects: if the intensity of </w:t>
      </w:r>
      <w:r w:rsidR="003F4C3B" w:rsidRPr="002124CC">
        <w:t xml:space="preserve">the physical effect is higher than the threshold values, then the equipment </w:t>
      </w:r>
      <w:r w:rsidR="00641217" w:rsidRPr="002124CC">
        <w:t xml:space="preserve">is involved in the domino </w:t>
      </w:r>
      <w:r w:rsidR="007778D6" w:rsidRPr="002124CC">
        <w:t>chain</w:t>
      </w:r>
      <w:r w:rsidR="00CC3E6A">
        <w:t>.</w:t>
      </w:r>
      <w:r w:rsidR="00CC3E6A" w:rsidRPr="002124CC">
        <w:t xml:space="preserve"> </w:t>
      </w:r>
      <w:r w:rsidR="00CC3E6A">
        <w:t>Fragility models are then used to calculate the</w:t>
      </w:r>
      <w:r w:rsidR="00641217" w:rsidRPr="002124CC">
        <w:t xml:space="preserve"> </w:t>
      </w:r>
      <w:r w:rsidR="007778D6" w:rsidRPr="002124CC">
        <w:t xml:space="preserve">damage </w:t>
      </w:r>
      <w:r w:rsidR="00641217" w:rsidRPr="002124CC">
        <w:t xml:space="preserve">probability </w:t>
      </w:r>
      <w:r w:rsidR="00CC3E6A">
        <w:t>of such equipment (Marroni et al., 2024)</w:t>
      </w:r>
      <w:r w:rsidR="00641217" w:rsidRPr="002124CC">
        <w:t>. Instead, if the physical effect is below the threshold, the equipment is excluded from the domino scenario.</w:t>
      </w:r>
      <w:r w:rsidR="00D75F7C" w:rsidRPr="002124CC">
        <w:t xml:space="preserve"> The threshold values are extensively discussed and reported elsewhere (</w:t>
      </w:r>
      <w:r w:rsidR="00CC3E6A">
        <w:t>Reniers and Cozzani</w:t>
      </w:r>
      <w:r w:rsidR="00D75F7C" w:rsidRPr="002124CC">
        <w:t>, 201</w:t>
      </w:r>
      <w:r w:rsidR="00CC3E6A">
        <w:t>3</w:t>
      </w:r>
      <w:r w:rsidR="00D75F7C" w:rsidRPr="002124CC">
        <w:t>).</w:t>
      </w:r>
    </w:p>
    <w:p w14:paraId="07C95EB9" w14:textId="5CD93649" w:rsidR="004E574D" w:rsidRPr="002124CC" w:rsidRDefault="00716360" w:rsidP="00FA5D6A">
      <w:pPr>
        <w:pStyle w:val="CETheadingx"/>
      </w:pPr>
      <w:r w:rsidRPr="002124CC">
        <w:t>Estimation of economic losses</w:t>
      </w:r>
    </w:p>
    <w:p w14:paraId="15FFE4C4" w14:textId="15D932A3" w:rsidR="00FA5D6A" w:rsidRDefault="006C52B6" w:rsidP="00DC71F6">
      <w:pPr>
        <w:pStyle w:val="CETBodytext"/>
        <w:spacing w:before="240"/>
      </w:pPr>
      <w:r w:rsidRPr="002124CC">
        <w:t xml:space="preserve">To estimate the economic losses, two factors were taken into consideration: the price of the damaged equipment, and the price of the </w:t>
      </w:r>
      <w:r w:rsidR="00D57F9C">
        <w:t>stored substance</w:t>
      </w:r>
      <w:r w:rsidRPr="002124CC">
        <w:t xml:space="preserve">. To estimate the price of equipment, different approaches can be used. In this work, the total cost of the equipment is composed by price of materials, </w:t>
      </w:r>
      <w:r w:rsidR="000C24BA" w:rsidRPr="002124CC">
        <w:t xml:space="preserve">installation, instrumentation and controls, auxiliary piping, electrical system, </w:t>
      </w:r>
      <w:r w:rsidR="00BB09FB">
        <w:t xml:space="preserve">and </w:t>
      </w:r>
      <w:r w:rsidR="000C24BA" w:rsidRPr="002124CC">
        <w:t>manufacturing</w:t>
      </w:r>
      <w:r w:rsidRPr="002124CC">
        <w:t>. While the price of materials can be easily retrieved from suppliers</w:t>
      </w:r>
      <w:r w:rsidR="00435A07">
        <w:t>’</w:t>
      </w:r>
      <w:r w:rsidRPr="002124CC">
        <w:t xml:space="preserve"> data, the other </w:t>
      </w:r>
      <w:r w:rsidR="001D7DBB">
        <w:t>costs</w:t>
      </w:r>
      <w:r w:rsidRPr="002124CC">
        <w:t xml:space="preserve"> are more difficult to evaluate, hence they were scaled on the price </w:t>
      </w:r>
      <w:r w:rsidR="000C24BA" w:rsidRPr="002124CC">
        <w:t xml:space="preserve">according to Table </w:t>
      </w:r>
      <w:r w:rsidR="008C66BE" w:rsidRPr="002124CC">
        <w:t>1</w:t>
      </w:r>
      <w:r w:rsidRPr="002124CC">
        <w:t>.</w:t>
      </w:r>
      <w:r w:rsidR="006B7899" w:rsidRPr="002124CC">
        <w:t xml:space="preserve"> </w:t>
      </w:r>
    </w:p>
    <w:p w14:paraId="7F554756" w14:textId="77777777" w:rsidR="00FA5D6A" w:rsidRPr="002124CC" w:rsidRDefault="00FA5D6A" w:rsidP="00FA5D6A">
      <w:pPr>
        <w:pStyle w:val="CETTabletitle"/>
      </w:pPr>
      <w:r w:rsidRPr="002124CC">
        <w:t>Table 1: Multiplying factors for the evaluation of equipment costs.</w:t>
      </w:r>
    </w:p>
    <w:tbl>
      <w:tblPr>
        <w:tblW w:w="3876"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46"/>
        <w:gridCol w:w="2785"/>
        <w:gridCol w:w="1681"/>
      </w:tblGrid>
      <w:tr w:rsidR="00FA5D6A" w:rsidRPr="002124CC" w14:paraId="149EB28B" w14:textId="77777777" w:rsidTr="00C35BBB">
        <w:tc>
          <w:tcPr>
            <w:tcW w:w="1722" w:type="pct"/>
            <w:tcBorders>
              <w:top w:val="single" w:sz="12" w:space="0" w:color="008000"/>
              <w:bottom w:val="single" w:sz="6" w:space="0" w:color="008000"/>
            </w:tcBorders>
            <w:shd w:val="clear" w:color="auto" w:fill="FFFFFF"/>
          </w:tcPr>
          <w:p w14:paraId="059EAC93" w14:textId="77777777" w:rsidR="00FA5D6A" w:rsidRPr="002124CC" w:rsidRDefault="00FA5D6A" w:rsidP="00C35BBB">
            <w:pPr>
              <w:pStyle w:val="CETBodytext"/>
              <w:rPr>
                <w:lang w:val="en-GB"/>
              </w:rPr>
            </w:pPr>
            <w:r w:rsidRPr="002124CC">
              <w:rPr>
                <w:lang w:val="en-GB"/>
              </w:rPr>
              <w:t>Cost item</w:t>
            </w:r>
          </w:p>
        </w:tc>
        <w:tc>
          <w:tcPr>
            <w:tcW w:w="2044" w:type="pct"/>
            <w:tcBorders>
              <w:top w:val="single" w:sz="12" w:space="0" w:color="008000"/>
              <w:bottom w:val="single" w:sz="6" w:space="0" w:color="008000"/>
            </w:tcBorders>
            <w:shd w:val="clear" w:color="auto" w:fill="FFFFFF"/>
          </w:tcPr>
          <w:p w14:paraId="334F4078" w14:textId="77777777" w:rsidR="00FA5D6A" w:rsidRPr="002124CC" w:rsidRDefault="00FA5D6A" w:rsidP="00C35BBB">
            <w:pPr>
              <w:pStyle w:val="CETBodytext"/>
            </w:pPr>
            <w:r w:rsidRPr="002124CC">
              <w:t>Percent of cost of materials [%]</w:t>
            </w:r>
          </w:p>
        </w:tc>
        <w:tc>
          <w:tcPr>
            <w:tcW w:w="1234" w:type="pct"/>
            <w:tcBorders>
              <w:top w:val="single" w:sz="12" w:space="0" w:color="008000"/>
              <w:bottom w:val="single" w:sz="6" w:space="0" w:color="008000"/>
            </w:tcBorders>
            <w:shd w:val="clear" w:color="auto" w:fill="FFFFFF"/>
          </w:tcPr>
          <w:p w14:paraId="026916DC" w14:textId="77777777" w:rsidR="00FA5D6A" w:rsidRPr="002124CC" w:rsidRDefault="00FA5D6A" w:rsidP="00C35BBB">
            <w:pPr>
              <w:pStyle w:val="CETBodytext"/>
            </w:pPr>
            <w:r w:rsidRPr="002124CC">
              <w:t xml:space="preserve">Source </w:t>
            </w:r>
          </w:p>
        </w:tc>
      </w:tr>
      <w:tr w:rsidR="00FA5D6A" w:rsidRPr="002124CC" w14:paraId="22DC446D" w14:textId="77777777" w:rsidTr="00C35BBB">
        <w:tc>
          <w:tcPr>
            <w:tcW w:w="1722" w:type="pct"/>
            <w:shd w:val="clear" w:color="auto" w:fill="FFFFFF"/>
          </w:tcPr>
          <w:p w14:paraId="27342FF4" w14:textId="77777777" w:rsidR="00FA5D6A" w:rsidRPr="002124CC" w:rsidRDefault="00FA5D6A" w:rsidP="00C35BBB">
            <w:pPr>
              <w:pStyle w:val="CETBodytext"/>
              <w:rPr>
                <w:lang w:val="en-GB"/>
              </w:rPr>
            </w:pPr>
            <w:r w:rsidRPr="002124CC">
              <w:rPr>
                <w:lang w:val="en-GB"/>
              </w:rPr>
              <w:t>Installation</w:t>
            </w:r>
          </w:p>
        </w:tc>
        <w:tc>
          <w:tcPr>
            <w:tcW w:w="2044" w:type="pct"/>
            <w:shd w:val="clear" w:color="auto" w:fill="FFFFFF"/>
          </w:tcPr>
          <w:p w14:paraId="182069A0" w14:textId="77777777" w:rsidR="00FA5D6A" w:rsidRPr="002124CC" w:rsidRDefault="00FA5D6A" w:rsidP="00C35BBB">
            <w:pPr>
              <w:pStyle w:val="CETBodytext"/>
              <w:rPr>
                <w:lang w:val="en-GB"/>
              </w:rPr>
            </w:pPr>
            <w:r w:rsidRPr="002124CC">
              <w:rPr>
                <w:lang w:val="en-GB"/>
              </w:rPr>
              <w:t>47.00</w:t>
            </w:r>
          </w:p>
        </w:tc>
        <w:tc>
          <w:tcPr>
            <w:tcW w:w="1234" w:type="pct"/>
            <w:shd w:val="clear" w:color="auto" w:fill="FFFFFF"/>
          </w:tcPr>
          <w:p w14:paraId="2E80EBA1" w14:textId="5840C642" w:rsidR="00FA5D6A" w:rsidRPr="002124CC" w:rsidRDefault="00FA5D6A" w:rsidP="00C35BBB">
            <w:pPr>
              <w:pStyle w:val="CETBodytext"/>
              <w:rPr>
                <w:lang w:val="en-GB"/>
              </w:rPr>
            </w:pPr>
            <w:r w:rsidRPr="002124CC">
              <w:rPr>
                <w:lang w:val="en-GB"/>
              </w:rPr>
              <w:t>(Peters et al., 20</w:t>
            </w:r>
            <w:r w:rsidR="00990232">
              <w:rPr>
                <w:lang w:val="en-GB"/>
              </w:rPr>
              <w:t>13</w:t>
            </w:r>
            <w:r w:rsidRPr="002124CC">
              <w:rPr>
                <w:lang w:val="en-GB"/>
              </w:rPr>
              <w:t>)</w:t>
            </w:r>
          </w:p>
        </w:tc>
      </w:tr>
      <w:tr w:rsidR="00FA5D6A" w:rsidRPr="002124CC" w14:paraId="39651025" w14:textId="77777777" w:rsidTr="00C35BBB">
        <w:tc>
          <w:tcPr>
            <w:tcW w:w="1722" w:type="pct"/>
            <w:shd w:val="clear" w:color="auto" w:fill="FFFFFF"/>
          </w:tcPr>
          <w:p w14:paraId="7739C144" w14:textId="77777777" w:rsidR="00FA5D6A" w:rsidRPr="002124CC" w:rsidRDefault="00FA5D6A" w:rsidP="00C35BBB">
            <w:pPr>
              <w:pStyle w:val="CETBodytext"/>
              <w:ind w:right="-1"/>
              <w:rPr>
                <w:rFonts w:cs="Arial"/>
                <w:szCs w:val="18"/>
                <w:lang w:val="en-GB"/>
              </w:rPr>
            </w:pPr>
            <w:r w:rsidRPr="002124CC">
              <w:rPr>
                <w:rFonts w:cs="Arial"/>
                <w:szCs w:val="18"/>
                <w:lang w:val="en-GB"/>
              </w:rPr>
              <w:t>Instrumentation &amp; Control</w:t>
            </w:r>
          </w:p>
        </w:tc>
        <w:tc>
          <w:tcPr>
            <w:tcW w:w="2044" w:type="pct"/>
            <w:shd w:val="clear" w:color="auto" w:fill="FFFFFF"/>
          </w:tcPr>
          <w:p w14:paraId="7DB84C54" w14:textId="77777777" w:rsidR="00FA5D6A" w:rsidRPr="002124CC" w:rsidRDefault="00FA5D6A" w:rsidP="00C35BBB">
            <w:pPr>
              <w:pStyle w:val="CETBodytext"/>
              <w:ind w:right="-1"/>
              <w:rPr>
                <w:rFonts w:cs="Arial"/>
                <w:szCs w:val="18"/>
                <w:lang w:val="en-GB"/>
              </w:rPr>
            </w:pPr>
            <w:r w:rsidRPr="002124CC">
              <w:rPr>
                <w:rFonts w:cs="Arial"/>
                <w:szCs w:val="18"/>
                <w:lang w:val="en-GB"/>
              </w:rPr>
              <w:t>36.00</w:t>
            </w:r>
          </w:p>
        </w:tc>
        <w:tc>
          <w:tcPr>
            <w:tcW w:w="1234" w:type="pct"/>
            <w:shd w:val="clear" w:color="auto" w:fill="FFFFFF"/>
          </w:tcPr>
          <w:p w14:paraId="225531D2" w14:textId="05A3D9C0" w:rsidR="00FA5D6A" w:rsidRPr="002124CC" w:rsidRDefault="00FA5D6A" w:rsidP="00C35BBB">
            <w:pPr>
              <w:pStyle w:val="CETBodytext"/>
              <w:ind w:right="-1"/>
              <w:rPr>
                <w:rFonts w:cs="Arial"/>
                <w:szCs w:val="18"/>
                <w:lang w:val="en-GB"/>
              </w:rPr>
            </w:pPr>
            <w:r w:rsidRPr="002124CC">
              <w:rPr>
                <w:lang w:val="en-GB"/>
              </w:rPr>
              <w:t>(Peters et al., 20</w:t>
            </w:r>
            <w:r w:rsidR="00990232">
              <w:rPr>
                <w:lang w:val="en-GB"/>
              </w:rPr>
              <w:t>13</w:t>
            </w:r>
            <w:r w:rsidRPr="002124CC">
              <w:rPr>
                <w:lang w:val="en-GB"/>
              </w:rPr>
              <w:t>)</w:t>
            </w:r>
          </w:p>
        </w:tc>
      </w:tr>
      <w:tr w:rsidR="00FA5D6A" w:rsidRPr="002124CC" w14:paraId="0A639DB7" w14:textId="77777777" w:rsidTr="00C35BBB">
        <w:tc>
          <w:tcPr>
            <w:tcW w:w="1722" w:type="pct"/>
            <w:shd w:val="clear" w:color="auto" w:fill="FFFFFF"/>
          </w:tcPr>
          <w:p w14:paraId="75292086" w14:textId="77777777" w:rsidR="00FA5D6A" w:rsidRPr="002124CC" w:rsidRDefault="00FA5D6A" w:rsidP="00C35BBB">
            <w:pPr>
              <w:pStyle w:val="CETBodytext"/>
              <w:ind w:right="-1"/>
              <w:rPr>
                <w:rFonts w:cs="Arial"/>
                <w:szCs w:val="18"/>
                <w:lang w:val="en-GB"/>
              </w:rPr>
            </w:pPr>
            <w:r w:rsidRPr="002124CC">
              <w:rPr>
                <w:rFonts w:cs="Arial"/>
                <w:szCs w:val="18"/>
                <w:lang w:val="en-GB"/>
              </w:rPr>
              <w:t>Piping</w:t>
            </w:r>
          </w:p>
        </w:tc>
        <w:tc>
          <w:tcPr>
            <w:tcW w:w="2044" w:type="pct"/>
            <w:shd w:val="clear" w:color="auto" w:fill="FFFFFF"/>
          </w:tcPr>
          <w:p w14:paraId="45D1A0A7" w14:textId="77777777" w:rsidR="00FA5D6A" w:rsidRPr="002124CC" w:rsidRDefault="00FA5D6A" w:rsidP="00C35BBB">
            <w:pPr>
              <w:pStyle w:val="CETBodytext"/>
              <w:ind w:right="-1"/>
              <w:rPr>
                <w:rFonts w:cs="Arial"/>
                <w:szCs w:val="18"/>
                <w:lang w:val="en-GB"/>
              </w:rPr>
            </w:pPr>
            <w:r w:rsidRPr="002124CC">
              <w:rPr>
                <w:rFonts w:cs="Arial"/>
                <w:szCs w:val="18"/>
                <w:lang w:val="en-GB"/>
              </w:rPr>
              <w:t>68.00</w:t>
            </w:r>
          </w:p>
        </w:tc>
        <w:tc>
          <w:tcPr>
            <w:tcW w:w="1234" w:type="pct"/>
            <w:shd w:val="clear" w:color="auto" w:fill="FFFFFF"/>
          </w:tcPr>
          <w:p w14:paraId="160CF6C5" w14:textId="55A33A00" w:rsidR="00FA5D6A" w:rsidRPr="002124CC" w:rsidRDefault="00FA5D6A" w:rsidP="00C35BBB">
            <w:pPr>
              <w:pStyle w:val="CETBodytext"/>
              <w:ind w:right="-1"/>
              <w:rPr>
                <w:rFonts w:cs="Arial"/>
                <w:szCs w:val="18"/>
                <w:lang w:val="en-GB"/>
              </w:rPr>
            </w:pPr>
            <w:r w:rsidRPr="002124CC">
              <w:rPr>
                <w:lang w:val="en-GB"/>
              </w:rPr>
              <w:t>(Peters et al., 20</w:t>
            </w:r>
            <w:r w:rsidR="00990232">
              <w:rPr>
                <w:lang w:val="en-GB"/>
              </w:rPr>
              <w:t>13</w:t>
            </w:r>
            <w:r w:rsidRPr="002124CC">
              <w:rPr>
                <w:lang w:val="en-GB"/>
              </w:rPr>
              <w:t>)</w:t>
            </w:r>
          </w:p>
        </w:tc>
      </w:tr>
      <w:tr w:rsidR="00FA5D6A" w:rsidRPr="002124CC" w14:paraId="6A32EB84" w14:textId="77777777" w:rsidTr="00C35BBB">
        <w:tc>
          <w:tcPr>
            <w:tcW w:w="1722" w:type="pct"/>
            <w:shd w:val="clear" w:color="auto" w:fill="FFFFFF"/>
          </w:tcPr>
          <w:p w14:paraId="2AA62729" w14:textId="77777777" w:rsidR="00FA5D6A" w:rsidRPr="002124CC" w:rsidRDefault="00FA5D6A" w:rsidP="00C35BBB">
            <w:pPr>
              <w:pStyle w:val="CETBodytext"/>
              <w:ind w:right="-1"/>
              <w:rPr>
                <w:rFonts w:cs="Arial"/>
                <w:szCs w:val="18"/>
                <w:lang w:val="en-GB"/>
              </w:rPr>
            </w:pPr>
            <w:r w:rsidRPr="002124CC">
              <w:rPr>
                <w:rFonts w:cs="Arial"/>
                <w:szCs w:val="18"/>
                <w:lang w:val="en-GB"/>
              </w:rPr>
              <w:t>Electrical Systems</w:t>
            </w:r>
          </w:p>
        </w:tc>
        <w:tc>
          <w:tcPr>
            <w:tcW w:w="2044" w:type="pct"/>
            <w:shd w:val="clear" w:color="auto" w:fill="FFFFFF"/>
          </w:tcPr>
          <w:p w14:paraId="433913C8" w14:textId="77777777" w:rsidR="00FA5D6A" w:rsidRPr="002124CC" w:rsidRDefault="00FA5D6A" w:rsidP="00C35BBB">
            <w:pPr>
              <w:pStyle w:val="CETBodytext"/>
              <w:ind w:right="-1"/>
              <w:rPr>
                <w:rFonts w:cs="Arial"/>
                <w:szCs w:val="18"/>
                <w:lang w:val="en-GB"/>
              </w:rPr>
            </w:pPr>
            <w:r w:rsidRPr="002124CC">
              <w:rPr>
                <w:rFonts w:cs="Arial"/>
                <w:szCs w:val="18"/>
                <w:lang w:val="en-GB"/>
              </w:rPr>
              <w:t>11.00</w:t>
            </w:r>
          </w:p>
        </w:tc>
        <w:tc>
          <w:tcPr>
            <w:tcW w:w="1234" w:type="pct"/>
            <w:shd w:val="clear" w:color="auto" w:fill="FFFFFF"/>
          </w:tcPr>
          <w:p w14:paraId="7FB8A8DC" w14:textId="29A9D47D" w:rsidR="00FA5D6A" w:rsidRPr="002124CC" w:rsidRDefault="00FA5D6A" w:rsidP="00C35BBB">
            <w:pPr>
              <w:pStyle w:val="CETBodytext"/>
              <w:ind w:right="-1"/>
              <w:rPr>
                <w:rFonts w:cs="Arial"/>
                <w:szCs w:val="18"/>
                <w:lang w:val="en-GB"/>
              </w:rPr>
            </w:pPr>
            <w:r w:rsidRPr="002124CC">
              <w:rPr>
                <w:lang w:val="en-GB"/>
              </w:rPr>
              <w:t>(Peters et al., 20</w:t>
            </w:r>
            <w:r w:rsidR="00990232">
              <w:rPr>
                <w:lang w:val="en-GB"/>
              </w:rPr>
              <w:t>13</w:t>
            </w:r>
            <w:r w:rsidRPr="002124CC">
              <w:rPr>
                <w:lang w:val="en-GB"/>
              </w:rPr>
              <w:t>)</w:t>
            </w:r>
          </w:p>
        </w:tc>
      </w:tr>
      <w:tr w:rsidR="00FA5D6A" w:rsidRPr="002124CC" w14:paraId="4E3CEE59" w14:textId="77777777" w:rsidTr="00C35BBB">
        <w:tc>
          <w:tcPr>
            <w:tcW w:w="1722" w:type="pct"/>
            <w:shd w:val="clear" w:color="auto" w:fill="FFFFFF"/>
          </w:tcPr>
          <w:p w14:paraId="3E8220DD" w14:textId="77777777" w:rsidR="00FA5D6A" w:rsidRPr="002124CC" w:rsidRDefault="00FA5D6A" w:rsidP="00C35BBB">
            <w:pPr>
              <w:pStyle w:val="CETBodytext"/>
              <w:ind w:right="-1"/>
              <w:rPr>
                <w:rFonts w:cs="Arial"/>
                <w:szCs w:val="18"/>
                <w:lang w:val="en-GB"/>
              </w:rPr>
            </w:pPr>
            <w:r w:rsidRPr="002124CC">
              <w:rPr>
                <w:rFonts w:cs="Arial"/>
                <w:szCs w:val="18"/>
                <w:lang w:val="en-GB"/>
              </w:rPr>
              <w:t>Manufacturing</w:t>
            </w:r>
          </w:p>
        </w:tc>
        <w:tc>
          <w:tcPr>
            <w:tcW w:w="2044" w:type="pct"/>
            <w:shd w:val="clear" w:color="auto" w:fill="FFFFFF"/>
          </w:tcPr>
          <w:p w14:paraId="21338612" w14:textId="77777777" w:rsidR="00FA5D6A" w:rsidRPr="002124CC" w:rsidRDefault="00FA5D6A" w:rsidP="00C35BBB">
            <w:pPr>
              <w:pStyle w:val="CETBodytext"/>
              <w:ind w:right="-1"/>
              <w:rPr>
                <w:rFonts w:cs="Arial"/>
                <w:szCs w:val="18"/>
                <w:lang w:val="en-GB"/>
              </w:rPr>
            </w:pPr>
            <w:r w:rsidRPr="002124CC">
              <w:rPr>
                <w:rFonts w:cs="Arial"/>
                <w:szCs w:val="18"/>
                <w:lang w:val="en-GB"/>
              </w:rPr>
              <w:t>100.00</w:t>
            </w:r>
          </w:p>
        </w:tc>
        <w:tc>
          <w:tcPr>
            <w:tcW w:w="1234" w:type="pct"/>
            <w:shd w:val="clear" w:color="auto" w:fill="FFFFFF"/>
          </w:tcPr>
          <w:p w14:paraId="50AB1477" w14:textId="77777777" w:rsidR="00FA5D6A" w:rsidRPr="002124CC" w:rsidRDefault="00FA5D6A" w:rsidP="00C35BBB">
            <w:pPr>
              <w:pStyle w:val="CETBodytext"/>
              <w:ind w:right="-1"/>
              <w:rPr>
                <w:rFonts w:cs="Arial"/>
                <w:szCs w:val="18"/>
                <w:lang w:val="en-GB"/>
              </w:rPr>
            </w:pPr>
            <w:r w:rsidRPr="002124CC">
              <w:rPr>
                <w:rFonts w:cs="Arial"/>
                <w:szCs w:val="18"/>
                <w:lang w:val="en-GB"/>
              </w:rPr>
              <w:t>Assumption</w:t>
            </w:r>
          </w:p>
        </w:tc>
      </w:tr>
      <w:tr w:rsidR="00FA5D6A" w:rsidRPr="002124CC" w14:paraId="7F8DFE25" w14:textId="77777777" w:rsidTr="00C35BBB">
        <w:tc>
          <w:tcPr>
            <w:tcW w:w="1722" w:type="pct"/>
            <w:shd w:val="clear" w:color="auto" w:fill="FFFFFF"/>
          </w:tcPr>
          <w:p w14:paraId="1290B35D" w14:textId="77777777" w:rsidR="00FA5D6A" w:rsidRPr="002124CC" w:rsidRDefault="00FA5D6A" w:rsidP="00C35BBB">
            <w:pPr>
              <w:pStyle w:val="CETBodytext"/>
              <w:ind w:right="-1"/>
              <w:rPr>
                <w:rFonts w:cs="Arial"/>
                <w:szCs w:val="18"/>
                <w:lang w:val="en-GB"/>
              </w:rPr>
            </w:pPr>
            <w:r w:rsidRPr="002124CC">
              <w:rPr>
                <w:rFonts w:cs="Arial"/>
                <w:szCs w:val="18"/>
                <w:lang w:val="en-GB"/>
              </w:rPr>
              <w:t>Safety factor</w:t>
            </w:r>
          </w:p>
        </w:tc>
        <w:tc>
          <w:tcPr>
            <w:tcW w:w="2044" w:type="pct"/>
            <w:shd w:val="clear" w:color="auto" w:fill="FFFFFF"/>
          </w:tcPr>
          <w:p w14:paraId="543DA0E5" w14:textId="77777777" w:rsidR="00FA5D6A" w:rsidRPr="002124CC" w:rsidRDefault="00FA5D6A" w:rsidP="00C35BBB">
            <w:pPr>
              <w:pStyle w:val="CETBodytext"/>
              <w:ind w:right="-1"/>
              <w:rPr>
                <w:rFonts w:cs="Arial"/>
                <w:szCs w:val="18"/>
                <w:lang w:val="en-GB"/>
              </w:rPr>
            </w:pPr>
            <w:r w:rsidRPr="002124CC">
              <w:rPr>
                <w:rFonts w:cs="Arial"/>
                <w:szCs w:val="18"/>
                <w:lang w:val="en-GB"/>
              </w:rPr>
              <w:t>100.00</w:t>
            </w:r>
          </w:p>
        </w:tc>
        <w:tc>
          <w:tcPr>
            <w:tcW w:w="1234" w:type="pct"/>
            <w:shd w:val="clear" w:color="auto" w:fill="FFFFFF"/>
          </w:tcPr>
          <w:p w14:paraId="5B524E2D" w14:textId="77777777" w:rsidR="00FA5D6A" w:rsidRPr="002124CC" w:rsidRDefault="00FA5D6A" w:rsidP="00C35BBB">
            <w:pPr>
              <w:pStyle w:val="CETBodytext"/>
              <w:ind w:right="-1"/>
              <w:rPr>
                <w:rFonts w:cs="Arial"/>
                <w:szCs w:val="18"/>
                <w:lang w:val="en-GB"/>
              </w:rPr>
            </w:pPr>
            <w:r w:rsidRPr="002124CC">
              <w:rPr>
                <w:rFonts w:cs="Arial"/>
                <w:szCs w:val="18"/>
                <w:lang w:val="en-GB"/>
              </w:rPr>
              <w:t>Assumption</w:t>
            </w:r>
          </w:p>
        </w:tc>
      </w:tr>
    </w:tbl>
    <w:p w14:paraId="3023F23E" w14:textId="4987A1E1" w:rsidR="00FA5D6A" w:rsidRPr="002124CC" w:rsidRDefault="00FA5D6A" w:rsidP="00DC71F6">
      <w:pPr>
        <w:pStyle w:val="CETBodytext"/>
        <w:spacing w:before="240"/>
      </w:pPr>
      <w:r>
        <w:lastRenderedPageBreak/>
        <w:t>The manufacturing costs were assumed 100% of the price of materials, to conservatively cover for all operations required to treat the materials; the same assumption was made for the safety factor: namely, there are many uncertainties connected to these cost items, thus a higher safety factor was considered. S</w:t>
      </w:r>
      <w:r w:rsidRPr="002124CC">
        <w:t>uppliers</w:t>
      </w:r>
      <w:r>
        <w:t>’</w:t>
      </w:r>
      <w:r w:rsidRPr="002124CC">
        <w:t xml:space="preserve"> data can be consulted</w:t>
      </w:r>
      <w:r>
        <w:t xml:space="preserve"> to obtain the</w:t>
      </w:r>
      <w:r w:rsidRPr="002124CC">
        <w:t xml:space="preserve"> retail price of the stored substance, </w:t>
      </w:r>
      <w:r>
        <w:t>while official sources may provide commodities costs</w:t>
      </w:r>
      <w:r w:rsidRPr="002124CC">
        <w:t xml:space="preserve">. In this work, the price of not only primary equipment, but also secondary equipment involved in the accidental scenario has been considered. </w:t>
      </w:r>
    </w:p>
    <w:p w14:paraId="42589514" w14:textId="4DAE39D7" w:rsidR="00617963" w:rsidRPr="002124CC" w:rsidRDefault="00716360" w:rsidP="00FA5D6A">
      <w:pPr>
        <w:pStyle w:val="CETheadingx"/>
      </w:pPr>
      <w:r w:rsidRPr="002124CC">
        <w:t>Bayesian Network implementation</w:t>
      </w:r>
    </w:p>
    <w:p w14:paraId="6C42D2D3" w14:textId="314B68AE" w:rsidR="003B32DA" w:rsidRPr="002124CC" w:rsidRDefault="006B7899" w:rsidP="007B1483">
      <w:pPr>
        <w:pStyle w:val="CETBodytext"/>
      </w:pPr>
      <w:r w:rsidRPr="002124CC">
        <w:t>BN are a tool to model probabilistic dependencies among a set of variables. It is composed of nodes, which represent the variables, and arcs, which represent the relations among nodes</w:t>
      </w:r>
      <w:r w:rsidR="00E311C9">
        <w:t>.</w:t>
      </w:r>
      <w:r w:rsidR="007B1483" w:rsidRPr="002124CC">
        <w:t xml:space="preserve"> Nodes with arcs directed from them are called parents, while nodes with arcs directed to them are called children.</w:t>
      </w:r>
      <w:r w:rsidRPr="002124CC">
        <w:t xml:space="preserve"> </w:t>
      </w:r>
      <w:r w:rsidR="007B1483" w:rsidRPr="002124CC">
        <w:t xml:space="preserve">The probability of an occurrence </w:t>
      </w:r>
      <w:r w:rsidR="007B1483" w:rsidRPr="002124CC">
        <w:rPr>
          <w:i/>
          <w:iCs/>
        </w:rPr>
        <w:t>P(A)</w:t>
      </w:r>
      <w:r w:rsidR="007B1483" w:rsidRPr="002124CC">
        <w:t xml:space="preserve"> can be evaluated based on the conditional probabilities of parent nodes, according to Eq. 1:</w:t>
      </w:r>
    </w:p>
    <w:p w14:paraId="0E0ED24A" w14:textId="77777777" w:rsidR="006B7899" w:rsidRPr="002124CC" w:rsidRDefault="006B7899" w:rsidP="003B32DA">
      <w:pPr>
        <w:pStyle w:val="CETBodytext"/>
      </w:pPr>
    </w:p>
    <w:tbl>
      <w:tblPr>
        <w:tblW w:w="5000" w:type="pct"/>
        <w:tblLook w:val="04A0" w:firstRow="1" w:lastRow="0" w:firstColumn="1" w:lastColumn="0" w:noHBand="0" w:noVBand="1"/>
      </w:tblPr>
      <w:tblGrid>
        <w:gridCol w:w="7984"/>
        <w:gridCol w:w="803"/>
      </w:tblGrid>
      <w:tr w:rsidR="003B32DA" w:rsidRPr="002124CC" w14:paraId="07837777" w14:textId="77777777" w:rsidTr="009014CA">
        <w:tc>
          <w:tcPr>
            <w:tcW w:w="8188" w:type="dxa"/>
            <w:shd w:val="clear" w:color="auto" w:fill="auto"/>
            <w:vAlign w:val="center"/>
          </w:tcPr>
          <w:p w14:paraId="0C0E3457" w14:textId="23CBB789" w:rsidR="003B32DA" w:rsidRPr="002124CC" w:rsidRDefault="007B1483" w:rsidP="006A1492">
            <w:pPr>
              <w:pStyle w:val="CETEquation"/>
            </w:pPr>
            <m:oMathPara>
              <m:oMathParaPr>
                <m:jc m:val="left"/>
              </m:oMathParaPr>
              <m:oMath>
                <m:r>
                  <w:rPr>
                    <w:rFonts w:ascii="Cambria Math" w:hAnsi="Cambria Math"/>
                  </w:rPr>
                  <m:t>P</m:t>
                </m:r>
                <m:d>
                  <m:dPr>
                    <m:ctrlPr>
                      <w:rPr>
                        <w:rFonts w:ascii="Cambria Math" w:hAnsi="Cambria Math"/>
                      </w:rPr>
                    </m:ctrlPr>
                  </m:dPr>
                  <m:e>
                    <m:r>
                      <w:rPr>
                        <w:rFonts w:ascii="Cambria Math" w:hAnsi="Cambria Math"/>
                      </w:rPr>
                      <m:t>A</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r>
                      <w:rPr>
                        <w:rFonts w:ascii="Cambria Math" w:hAnsi="Cambria Math"/>
                      </w:rPr>
                      <m:t>Pa</m:t>
                    </m:r>
                    <m:d>
                      <m:dPr>
                        <m:ctrlPr>
                          <w:rPr>
                            <w:rFonts w:ascii="Cambria Math" w:hAnsi="Cambria Math"/>
                          </w:rPr>
                        </m:ctrlPr>
                      </m:dPr>
                      <m:e>
                        <m:sSub>
                          <m:sSubPr>
                            <m:ctrlPr>
                              <w:rPr>
                                <w:rFonts w:ascii="Cambria Math" w:hAnsi="Cambria Math"/>
                              </w:rPr>
                            </m:ctrlPr>
                          </m:sSubPr>
                          <m:e>
                            <m:r>
                              <w:rPr>
                                <w:rFonts w:ascii="Cambria Math" w:hAnsi="Cambria Math"/>
                              </w:rPr>
                              <m:t>G</m:t>
                            </m:r>
                          </m:e>
                          <m:sub>
                            <m:r>
                              <w:rPr>
                                <w:rFonts w:ascii="Cambria Math" w:hAnsi="Cambria Math"/>
                              </w:rPr>
                              <m:t>i</m:t>
                            </m:r>
                          </m:sub>
                        </m:sSub>
                      </m:e>
                    </m:d>
                    <m:r>
                      <m:rPr>
                        <m:sty m:val="p"/>
                      </m:rPr>
                      <w:rPr>
                        <w:rFonts w:ascii="Cambria Math" w:hAnsi="Cambria Math"/>
                      </w:rPr>
                      <m:t>)</m:t>
                    </m:r>
                  </m:e>
                </m:nary>
              </m:oMath>
            </m:oMathPara>
          </w:p>
        </w:tc>
        <w:tc>
          <w:tcPr>
            <w:tcW w:w="815" w:type="dxa"/>
            <w:shd w:val="clear" w:color="auto" w:fill="auto"/>
            <w:vAlign w:val="center"/>
          </w:tcPr>
          <w:p w14:paraId="17FAB1CB" w14:textId="77777777" w:rsidR="003B32DA" w:rsidRPr="002124CC" w:rsidRDefault="003B32DA" w:rsidP="009014CA">
            <w:pPr>
              <w:pStyle w:val="CETEquation"/>
              <w:jc w:val="right"/>
            </w:pPr>
            <w:r w:rsidRPr="002124CC">
              <w:t>(1)</w:t>
            </w:r>
          </w:p>
        </w:tc>
      </w:tr>
    </w:tbl>
    <w:p w14:paraId="28152A7F" w14:textId="22E6493C" w:rsidR="006A1492" w:rsidRPr="002124CC" w:rsidRDefault="002F09F8" w:rsidP="00641217">
      <w:pPr>
        <w:pStyle w:val="CETBodytext"/>
        <w:spacing w:before="240"/>
        <w:rPr>
          <w:rStyle w:val="normaltextrun"/>
          <w:rFonts w:cs="Arial"/>
          <w:szCs w:val="18"/>
          <w:shd w:val="clear" w:color="auto" w:fill="FFFFFF"/>
        </w:rPr>
      </w:pPr>
      <w:r>
        <w:rPr>
          <w:rStyle w:val="normaltextrun"/>
          <w:rFonts w:cs="Arial"/>
          <w:szCs w:val="18"/>
          <w:shd w:val="clear" w:color="auto" w:fill="FFFFFF"/>
        </w:rPr>
        <w:t>w</w:t>
      </w:r>
      <w:r w:rsidR="0061473D" w:rsidRPr="002124CC">
        <w:rPr>
          <w:rStyle w:val="normaltextrun"/>
          <w:rFonts w:cs="Arial"/>
          <w:szCs w:val="18"/>
          <w:shd w:val="clear" w:color="auto" w:fill="FFFFFF"/>
        </w:rPr>
        <w:t xml:space="preserve">here </w:t>
      </w:r>
      <w:r w:rsidR="0061473D" w:rsidRPr="002124CC">
        <w:rPr>
          <w:rStyle w:val="normaltextrun"/>
          <w:rFonts w:cs="Arial"/>
          <w:i/>
          <w:iCs/>
          <w:szCs w:val="18"/>
          <w:shd w:val="clear" w:color="auto" w:fill="FFFFFF"/>
        </w:rPr>
        <w:t>G</w:t>
      </w:r>
      <w:r w:rsidR="0061473D" w:rsidRPr="002124CC">
        <w:rPr>
          <w:rStyle w:val="normaltextrun"/>
          <w:rFonts w:cs="Arial"/>
          <w:i/>
          <w:iCs/>
          <w:szCs w:val="18"/>
          <w:shd w:val="clear" w:color="auto" w:fill="FFFFFF"/>
          <w:vertAlign w:val="subscript"/>
        </w:rPr>
        <w:t>i</w:t>
      </w:r>
      <w:r w:rsidR="0061473D" w:rsidRPr="002124CC">
        <w:rPr>
          <w:rStyle w:val="normaltextrun"/>
          <w:rFonts w:cs="Arial"/>
          <w:szCs w:val="18"/>
          <w:shd w:val="clear" w:color="auto" w:fill="FFFFFF"/>
        </w:rPr>
        <w:t xml:space="preserve"> are parents nodes of </w:t>
      </w:r>
      <w:r w:rsidR="0061473D" w:rsidRPr="002124CC">
        <w:rPr>
          <w:rStyle w:val="normaltextrun"/>
          <w:rFonts w:cs="Arial"/>
          <w:i/>
          <w:iCs/>
          <w:szCs w:val="18"/>
          <w:shd w:val="clear" w:color="auto" w:fill="FFFFFF"/>
        </w:rPr>
        <w:t>A</w:t>
      </w:r>
      <w:r w:rsidR="0061473D" w:rsidRPr="002124CC">
        <w:rPr>
          <w:rStyle w:val="normaltextrun"/>
          <w:rFonts w:cs="Arial"/>
          <w:szCs w:val="18"/>
          <w:shd w:val="clear" w:color="auto" w:fill="FFFFFF"/>
        </w:rPr>
        <w:t xml:space="preserve">, and </w:t>
      </w:r>
      <w:r w:rsidR="0061473D" w:rsidRPr="002124CC">
        <w:rPr>
          <w:rStyle w:val="normaltextrun"/>
          <w:rFonts w:cs="Arial"/>
          <w:i/>
          <w:iCs/>
          <w:szCs w:val="18"/>
          <w:shd w:val="clear" w:color="auto" w:fill="FFFFFF"/>
        </w:rPr>
        <w:t>Pa(G</w:t>
      </w:r>
      <w:r w:rsidR="0061473D" w:rsidRPr="002124CC">
        <w:rPr>
          <w:rStyle w:val="normaltextrun"/>
          <w:rFonts w:cs="Arial"/>
          <w:i/>
          <w:iCs/>
          <w:szCs w:val="18"/>
          <w:shd w:val="clear" w:color="auto" w:fill="FFFFFF"/>
          <w:vertAlign w:val="subscript"/>
        </w:rPr>
        <w:t>i</w:t>
      </w:r>
      <w:r w:rsidR="0061473D" w:rsidRPr="002124CC">
        <w:rPr>
          <w:rStyle w:val="normaltextrun"/>
          <w:rFonts w:cs="Arial"/>
          <w:i/>
          <w:iCs/>
          <w:szCs w:val="18"/>
          <w:shd w:val="clear" w:color="auto" w:fill="FFFFFF"/>
        </w:rPr>
        <w:t>)</w:t>
      </w:r>
      <w:r w:rsidR="0061473D" w:rsidRPr="002124CC">
        <w:rPr>
          <w:rStyle w:val="normaltextrun"/>
          <w:rFonts w:cs="Arial"/>
          <w:szCs w:val="18"/>
          <w:shd w:val="clear" w:color="auto" w:fill="FFFFFF"/>
        </w:rPr>
        <w:t xml:space="preserve"> are the parents of </w:t>
      </w:r>
      <w:r w:rsidR="0061473D" w:rsidRPr="002124CC">
        <w:rPr>
          <w:rStyle w:val="normaltextrun"/>
          <w:rFonts w:cs="Arial"/>
          <w:i/>
          <w:iCs/>
          <w:szCs w:val="18"/>
          <w:shd w:val="clear" w:color="auto" w:fill="FFFFFF"/>
        </w:rPr>
        <w:t>G</w:t>
      </w:r>
      <w:r w:rsidR="0061473D" w:rsidRPr="002124CC">
        <w:rPr>
          <w:rStyle w:val="normaltextrun"/>
          <w:rFonts w:cs="Arial"/>
          <w:i/>
          <w:iCs/>
          <w:szCs w:val="18"/>
          <w:shd w:val="clear" w:color="auto" w:fill="FFFFFF"/>
          <w:vertAlign w:val="subscript"/>
        </w:rPr>
        <w:t>i</w:t>
      </w:r>
      <w:r w:rsidR="0061473D" w:rsidRPr="002124CC">
        <w:rPr>
          <w:rStyle w:val="normaltextrun"/>
          <w:rFonts w:cs="Arial"/>
          <w:szCs w:val="18"/>
          <w:shd w:val="clear" w:color="auto" w:fill="FFFFFF"/>
        </w:rPr>
        <w:t xml:space="preserve">. </w:t>
      </w:r>
      <w:r w:rsidR="006A1492" w:rsidRPr="002124CC">
        <w:rPr>
          <w:rStyle w:val="normaltextrun"/>
          <w:rFonts w:cs="Arial"/>
          <w:szCs w:val="18"/>
          <w:shd w:val="clear" w:color="auto" w:fill="FFFFFF"/>
        </w:rPr>
        <w:t xml:space="preserve">BN are an appropriate tool to handle a wide range of variables with complex inter-dependencies; moreover, the network can be updates using Bayes </w:t>
      </w:r>
      <w:r w:rsidR="00C07F53">
        <w:rPr>
          <w:rStyle w:val="normaltextrun"/>
          <w:rFonts w:cs="Arial"/>
          <w:szCs w:val="18"/>
          <w:shd w:val="clear" w:color="auto" w:fill="FFFFFF"/>
        </w:rPr>
        <w:t>t</w:t>
      </w:r>
      <w:r w:rsidR="00C07F53" w:rsidRPr="002124CC">
        <w:rPr>
          <w:rStyle w:val="normaltextrun"/>
          <w:rFonts w:cs="Arial"/>
          <w:szCs w:val="18"/>
          <w:shd w:val="clear" w:color="auto" w:fill="FFFFFF"/>
        </w:rPr>
        <w:t>heorem</w:t>
      </w:r>
      <w:r w:rsidR="00C07F53">
        <w:rPr>
          <w:rStyle w:val="normaltextrun"/>
          <w:rFonts w:cs="Arial"/>
          <w:szCs w:val="18"/>
          <w:shd w:val="clear" w:color="auto" w:fill="FFFFFF"/>
        </w:rPr>
        <w:t>,</w:t>
      </w:r>
      <w:r w:rsidR="006A1492" w:rsidRPr="002124CC">
        <w:rPr>
          <w:rStyle w:val="normaltextrun"/>
          <w:rFonts w:cs="Arial"/>
          <w:szCs w:val="18"/>
          <w:shd w:val="clear" w:color="auto" w:fill="FFFFFF"/>
        </w:rPr>
        <w:t xml:space="preserve"> once </w:t>
      </w:r>
      <w:r w:rsidR="00C07F53" w:rsidRPr="002124CC">
        <w:rPr>
          <w:rStyle w:val="normaltextrun"/>
          <w:rFonts w:cs="Arial"/>
          <w:szCs w:val="18"/>
          <w:shd w:val="clear" w:color="auto" w:fill="FFFFFF"/>
        </w:rPr>
        <w:t>new evidence</w:t>
      </w:r>
      <w:r w:rsidR="006A1492" w:rsidRPr="002124CC">
        <w:rPr>
          <w:rStyle w:val="normaltextrun"/>
          <w:rFonts w:cs="Arial"/>
          <w:szCs w:val="18"/>
          <w:shd w:val="clear" w:color="auto" w:fill="FFFFFF"/>
        </w:rPr>
        <w:t xml:space="preserve"> enters the network. The software </w:t>
      </w:r>
      <w:proofErr w:type="spellStart"/>
      <w:r w:rsidR="006A1492" w:rsidRPr="002124CC">
        <w:rPr>
          <w:rStyle w:val="normaltextrun"/>
          <w:rFonts w:cs="Arial"/>
          <w:szCs w:val="18"/>
          <w:shd w:val="clear" w:color="auto" w:fill="FFFFFF"/>
        </w:rPr>
        <w:t>GeNIe</w:t>
      </w:r>
      <w:proofErr w:type="spellEnd"/>
      <w:r w:rsidR="006A1492" w:rsidRPr="002124CC">
        <w:rPr>
          <w:rStyle w:val="normaltextrun"/>
          <w:rFonts w:cs="Arial"/>
          <w:szCs w:val="18"/>
          <w:shd w:val="clear" w:color="auto" w:fill="FFFFFF"/>
        </w:rPr>
        <w:t xml:space="preserve"> Modeler was used in this work to model</w:t>
      </w:r>
      <w:r w:rsidR="00963CBD">
        <w:rPr>
          <w:rStyle w:val="normaltextrun"/>
          <w:rFonts w:cs="Arial"/>
          <w:szCs w:val="18"/>
          <w:shd w:val="clear" w:color="auto" w:fill="FFFFFF"/>
        </w:rPr>
        <w:t xml:space="preserve"> the BN</w:t>
      </w:r>
      <w:r w:rsidR="006A1492" w:rsidRPr="002124CC">
        <w:rPr>
          <w:rStyle w:val="normaltextrun"/>
          <w:rFonts w:cs="Arial"/>
          <w:szCs w:val="18"/>
          <w:shd w:val="clear" w:color="auto" w:fill="FFFFFF"/>
        </w:rPr>
        <w:t xml:space="preserve">. More in detail, </w:t>
      </w:r>
      <w:r w:rsidR="00516B87" w:rsidRPr="002124CC">
        <w:rPr>
          <w:rStyle w:val="normaltextrun"/>
          <w:rFonts w:cs="Arial"/>
          <w:szCs w:val="18"/>
          <w:shd w:val="clear" w:color="auto" w:fill="FFFFFF"/>
        </w:rPr>
        <w:t xml:space="preserve">all variables were considered as discrete, hence the BN is quantified if all </w:t>
      </w:r>
      <w:r w:rsidR="0079121A" w:rsidRPr="002124CC">
        <w:rPr>
          <w:rStyle w:val="normaltextrun"/>
          <w:rFonts w:cs="Arial"/>
          <w:szCs w:val="18"/>
          <w:shd w:val="clear" w:color="auto" w:fill="FFFFFF"/>
        </w:rPr>
        <w:t>C</w:t>
      </w:r>
      <w:r w:rsidR="00516B87" w:rsidRPr="002124CC">
        <w:rPr>
          <w:rStyle w:val="normaltextrun"/>
          <w:rFonts w:cs="Arial"/>
          <w:szCs w:val="18"/>
          <w:shd w:val="clear" w:color="auto" w:fill="FFFFFF"/>
        </w:rPr>
        <w:t xml:space="preserve">onditional </w:t>
      </w:r>
      <w:r w:rsidR="0079121A" w:rsidRPr="002124CC">
        <w:rPr>
          <w:rStyle w:val="normaltextrun"/>
          <w:rFonts w:cs="Arial"/>
          <w:szCs w:val="18"/>
          <w:shd w:val="clear" w:color="auto" w:fill="FFFFFF"/>
        </w:rPr>
        <w:t>P</w:t>
      </w:r>
      <w:r w:rsidR="00516B87" w:rsidRPr="002124CC">
        <w:rPr>
          <w:rStyle w:val="normaltextrun"/>
          <w:rFonts w:cs="Arial"/>
          <w:szCs w:val="18"/>
          <w:shd w:val="clear" w:color="auto" w:fill="FFFFFF"/>
        </w:rPr>
        <w:t xml:space="preserve">robability </w:t>
      </w:r>
      <w:r w:rsidR="0079121A" w:rsidRPr="002124CC">
        <w:rPr>
          <w:rStyle w:val="normaltextrun"/>
          <w:rFonts w:cs="Arial"/>
          <w:szCs w:val="18"/>
          <w:shd w:val="clear" w:color="auto" w:fill="FFFFFF"/>
        </w:rPr>
        <w:t>T</w:t>
      </w:r>
      <w:r w:rsidR="00516B87" w:rsidRPr="002124CC">
        <w:rPr>
          <w:rStyle w:val="normaltextrun"/>
          <w:rFonts w:cs="Arial"/>
          <w:szCs w:val="18"/>
          <w:shd w:val="clear" w:color="auto" w:fill="FFFFFF"/>
        </w:rPr>
        <w:t>ables</w:t>
      </w:r>
      <w:r w:rsidR="0079121A" w:rsidRPr="002124CC">
        <w:rPr>
          <w:rStyle w:val="normaltextrun"/>
          <w:rFonts w:cs="Arial"/>
          <w:szCs w:val="18"/>
          <w:shd w:val="clear" w:color="auto" w:fill="FFFFFF"/>
        </w:rPr>
        <w:t xml:space="preserve"> (CPTs)</w:t>
      </w:r>
      <w:r w:rsidR="00516B87" w:rsidRPr="002124CC">
        <w:rPr>
          <w:rStyle w:val="normaltextrun"/>
          <w:rFonts w:cs="Arial"/>
          <w:szCs w:val="18"/>
          <w:shd w:val="clear" w:color="auto" w:fill="FFFFFF"/>
        </w:rPr>
        <w:t xml:space="preserve"> of variables are complete. Four</w:t>
      </w:r>
      <w:r w:rsidR="006A1492" w:rsidRPr="002124CC">
        <w:rPr>
          <w:rStyle w:val="normaltextrun"/>
          <w:rFonts w:cs="Arial"/>
          <w:szCs w:val="18"/>
          <w:shd w:val="clear" w:color="auto" w:fill="FFFFFF"/>
        </w:rPr>
        <w:t xml:space="preserve"> main groups of variables have been modeled in the BN proposed in this work</w:t>
      </w:r>
      <w:r w:rsidR="00516B87" w:rsidRPr="002124CC">
        <w:rPr>
          <w:rStyle w:val="normaltextrun"/>
          <w:rFonts w:cs="Arial"/>
          <w:szCs w:val="18"/>
          <w:shd w:val="clear" w:color="auto" w:fill="FFFFFF"/>
        </w:rPr>
        <w:t xml:space="preserve">. The first group is composed by all nodes </w:t>
      </w:r>
      <w:r w:rsidR="00142C58" w:rsidRPr="002124CC">
        <w:rPr>
          <w:rStyle w:val="normaltextrun"/>
          <w:rFonts w:cs="Arial"/>
          <w:szCs w:val="18"/>
          <w:shd w:val="clear" w:color="auto" w:fill="FFFFFF"/>
        </w:rPr>
        <w:t>that represent the</w:t>
      </w:r>
      <w:r w:rsidR="00516B87" w:rsidRPr="002124CC">
        <w:rPr>
          <w:rStyle w:val="normaltextrun"/>
          <w:rFonts w:cs="Arial"/>
          <w:szCs w:val="18"/>
          <w:shd w:val="clear" w:color="auto" w:fill="FFFFFF"/>
        </w:rPr>
        <w:t xml:space="preserve"> performance of security barriers</w:t>
      </w:r>
      <w:r w:rsidR="00142C58" w:rsidRPr="002124CC">
        <w:rPr>
          <w:rStyle w:val="normaltextrun"/>
          <w:rFonts w:cs="Arial"/>
          <w:szCs w:val="18"/>
          <w:shd w:val="clear" w:color="auto" w:fill="FFFFFF"/>
        </w:rPr>
        <w:t xml:space="preserve">, </w:t>
      </w:r>
      <w:r w:rsidR="003F4C3B" w:rsidRPr="002124CC">
        <w:rPr>
          <w:rStyle w:val="normaltextrun"/>
          <w:rFonts w:cs="Arial"/>
          <w:szCs w:val="18"/>
          <w:shd w:val="clear" w:color="auto" w:fill="FFFFFF"/>
        </w:rPr>
        <w:t>t</w:t>
      </w:r>
      <w:r w:rsidR="00142C58" w:rsidRPr="002124CC">
        <w:rPr>
          <w:rStyle w:val="normaltextrun"/>
          <w:rFonts w:cs="Arial"/>
          <w:szCs w:val="18"/>
          <w:shd w:val="clear" w:color="auto" w:fill="FFFFFF"/>
        </w:rPr>
        <w:t xml:space="preserve">he modelling of </w:t>
      </w:r>
      <w:r w:rsidR="003F4C3B" w:rsidRPr="002124CC">
        <w:rPr>
          <w:rStyle w:val="normaltextrun"/>
          <w:rFonts w:cs="Arial"/>
          <w:szCs w:val="18"/>
          <w:shd w:val="clear" w:color="auto" w:fill="FFFFFF"/>
        </w:rPr>
        <w:t xml:space="preserve">the CPTs of </w:t>
      </w:r>
      <w:r w:rsidR="00142C58" w:rsidRPr="002124CC">
        <w:rPr>
          <w:rStyle w:val="normaltextrun"/>
          <w:rFonts w:cs="Arial"/>
          <w:szCs w:val="18"/>
          <w:shd w:val="clear" w:color="auto" w:fill="FFFFFF"/>
        </w:rPr>
        <w:t xml:space="preserve">this group of nodes has been object of </w:t>
      </w:r>
      <w:r w:rsidR="0079121A" w:rsidRPr="002124CC">
        <w:rPr>
          <w:rStyle w:val="normaltextrun"/>
          <w:rFonts w:cs="Arial"/>
          <w:szCs w:val="18"/>
          <w:shd w:val="clear" w:color="auto" w:fill="FFFFFF"/>
        </w:rPr>
        <w:t>several</w:t>
      </w:r>
      <w:r w:rsidR="00142C58" w:rsidRPr="002124CC">
        <w:rPr>
          <w:rStyle w:val="normaltextrun"/>
          <w:rFonts w:cs="Arial"/>
          <w:szCs w:val="18"/>
          <w:shd w:val="clear" w:color="auto" w:fill="FFFFFF"/>
        </w:rPr>
        <w:t xml:space="preserve"> works, hence the Reader is referred to (Marroni et al., 2024) </w:t>
      </w:r>
      <w:r w:rsidR="0079121A" w:rsidRPr="002124CC">
        <w:rPr>
          <w:rStyle w:val="normaltextrun"/>
          <w:rFonts w:cs="Arial"/>
          <w:szCs w:val="18"/>
          <w:shd w:val="clear" w:color="auto" w:fill="FFFFFF"/>
        </w:rPr>
        <w:t>and (</w:t>
      </w:r>
      <w:proofErr w:type="spellStart"/>
      <w:r w:rsidR="0079121A" w:rsidRPr="002124CC">
        <w:rPr>
          <w:rStyle w:val="normaltextrun"/>
          <w:rFonts w:cs="Arial"/>
          <w:szCs w:val="18"/>
          <w:shd w:val="clear" w:color="auto" w:fill="FFFFFF"/>
        </w:rPr>
        <w:t>Securdomino</w:t>
      </w:r>
      <w:proofErr w:type="spellEnd"/>
      <w:r w:rsidR="0079121A" w:rsidRPr="002124CC">
        <w:rPr>
          <w:rStyle w:val="normaltextrun"/>
          <w:rFonts w:cs="Arial"/>
          <w:szCs w:val="18"/>
          <w:shd w:val="clear" w:color="auto" w:fill="FFFFFF"/>
        </w:rPr>
        <w:t xml:space="preserve">, 2024) </w:t>
      </w:r>
      <w:r w:rsidR="00142C58" w:rsidRPr="002124CC">
        <w:rPr>
          <w:rStyle w:val="normaltextrun"/>
          <w:rFonts w:cs="Arial"/>
          <w:szCs w:val="18"/>
          <w:shd w:val="clear" w:color="auto" w:fill="FFFFFF"/>
        </w:rPr>
        <w:t>for more details.</w:t>
      </w:r>
      <w:r w:rsidR="00516B87" w:rsidRPr="002124CC">
        <w:rPr>
          <w:rStyle w:val="normaltextrun"/>
          <w:rFonts w:cs="Arial"/>
          <w:szCs w:val="18"/>
          <w:shd w:val="clear" w:color="auto" w:fill="FFFFFF"/>
        </w:rPr>
        <w:t xml:space="preserve"> The second group represents all equipment involved in the analysis</w:t>
      </w:r>
      <w:r w:rsidR="0079121A" w:rsidRPr="002124CC">
        <w:rPr>
          <w:rStyle w:val="normaltextrun"/>
          <w:rFonts w:cs="Arial"/>
          <w:szCs w:val="18"/>
          <w:shd w:val="clear" w:color="auto" w:fill="FFFFFF"/>
        </w:rPr>
        <w:t>; to complete the CPTs of this group, it is necessary to compute the probability of the equipment being damaged following the approach shown in Section 2.2.</w:t>
      </w:r>
      <w:r w:rsidR="00516B87" w:rsidRPr="002124CC">
        <w:rPr>
          <w:rStyle w:val="normaltextrun"/>
          <w:rFonts w:cs="Arial"/>
          <w:szCs w:val="18"/>
          <w:shd w:val="clear" w:color="auto" w:fill="FFFFFF"/>
        </w:rPr>
        <w:t xml:space="preserve"> The third group </w:t>
      </w:r>
      <w:r w:rsidR="00D62DDB" w:rsidRPr="002124CC">
        <w:rPr>
          <w:rStyle w:val="normaltextrun"/>
          <w:rFonts w:cs="Arial"/>
          <w:szCs w:val="18"/>
          <w:shd w:val="clear" w:color="auto" w:fill="FFFFFF"/>
        </w:rPr>
        <w:t>represents the</w:t>
      </w:r>
      <w:r w:rsidR="00516B87" w:rsidRPr="002124CC">
        <w:rPr>
          <w:rStyle w:val="normaltextrun"/>
          <w:rFonts w:cs="Arial"/>
          <w:szCs w:val="18"/>
          <w:shd w:val="clear" w:color="auto" w:fill="FFFFFF"/>
        </w:rPr>
        <w:t xml:space="preserve"> </w:t>
      </w:r>
      <w:r w:rsidR="00142C58" w:rsidRPr="002124CC">
        <w:rPr>
          <w:rStyle w:val="normaltextrun"/>
          <w:rFonts w:cs="Arial"/>
          <w:szCs w:val="18"/>
          <w:shd w:val="clear" w:color="auto" w:fill="FFFFFF"/>
        </w:rPr>
        <w:t>safety barriers</w:t>
      </w:r>
      <w:r w:rsidR="0079121A" w:rsidRPr="002124CC">
        <w:rPr>
          <w:rStyle w:val="normaltextrun"/>
          <w:rFonts w:cs="Arial"/>
          <w:szCs w:val="18"/>
          <w:shd w:val="clear" w:color="auto" w:fill="FFFFFF"/>
        </w:rPr>
        <w:t xml:space="preserve">; the CPTs for these group account for the availability and effectiveness of the barriers following the approach proposed by </w:t>
      </w:r>
      <w:r w:rsidR="00142C58" w:rsidRPr="002124CC">
        <w:rPr>
          <w:rStyle w:val="normaltextrun"/>
          <w:rFonts w:cs="Arial"/>
          <w:szCs w:val="18"/>
          <w:shd w:val="clear" w:color="auto" w:fill="FFFFFF"/>
        </w:rPr>
        <w:t>(</w:t>
      </w:r>
      <w:proofErr w:type="spellStart"/>
      <w:r w:rsidR="00142C58" w:rsidRPr="002124CC">
        <w:rPr>
          <w:rStyle w:val="normaltextrun"/>
          <w:rFonts w:cs="Arial"/>
          <w:szCs w:val="18"/>
          <w:shd w:val="clear" w:color="auto" w:fill="FFFFFF"/>
        </w:rPr>
        <w:t>Khakzad</w:t>
      </w:r>
      <w:proofErr w:type="spellEnd"/>
      <w:r w:rsidR="00142C58" w:rsidRPr="002124CC">
        <w:rPr>
          <w:rStyle w:val="normaltextrun"/>
          <w:rFonts w:cs="Arial"/>
          <w:szCs w:val="18"/>
          <w:shd w:val="clear" w:color="auto" w:fill="FFFFFF"/>
        </w:rPr>
        <w:t xml:space="preserve"> et al., 2018).</w:t>
      </w:r>
      <w:r w:rsidR="0079121A" w:rsidRPr="002124CC">
        <w:rPr>
          <w:rStyle w:val="normaltextrun"/>
          <w:rFonts w:cs="Arial"/>
          <w:szCs w:val="18"/>
          <w:shd w:val="clear" w:color="auto" w:fill="FFFFFF"/>
        </w:rPr>
        <w:t xml:space="preserve"> The last </w:t>
      </w:r>
      <w:r w:rsidR="003F4C3B" w:rsidRPr="002124CC">
        <w:rPr>
          <w:rStyle w:val="normaltextrun"/>
          <w:rFonts w:cs="Arial"/>
          <w:szCs w:val="18"/>
          <w:shd w:val="clear" w:color="auto" w:fill="FFFFFF"/>
        </w:rPr>
        <w:t xml:space="preserve">group is composed by </w:t>
      </w:r>
      <w:r w:rsidR="00D447CC" w:rsidRPr="002124CC">
        <w:rPr>
          <w:rStyle w:val="normaltextrun"/>
          <w:rFonts w:cs="Arial"/>
          <w:szCs w:val="18"/>
          <w:shd w:val="clear" w:color="auto" w:fill="FFFFFF"/>
        </w:rPr>
        <w:t>a</w:t>
      </w:r>
      <w:r w:rsidR="003F4C3B" w:rsidRPr="002124CC">
        <w:rPr>
          <w:rStyle w:val="normaltextrun"/>
          <w:rFonts w:cs="Arial"/>
          <w:szCs w:val="18"/>
          <w:shd w:val="clear" w:color="auto" w:fill="FFFFFF"/>
        </w:rPr>
        <w:t xml:space="preserve"> utility node, which is a special type of node used to assess the value of </w:t>
      </w:r>
      <w:r w:rsidR="003C5790" w:rsidRPr="002124CC">
        <w:rPr>
          <w:rStyle w:val="normaltextrun"/>
          <w:rFonts w:cs="Arial"/>
          <w:szCs w:val="18"/>
          <w:shd w:val="clear" w:color="auto" w:fill="FFFFFF"/>
        </w:rPr>
        <w:t xml:space="preserve">a </w:t>
      </w:r>
      <w:r w:rsidR="003F4C3B" w:rsidRPr="002124CC">
        <w:rPr>
          <w:rStyle w:val="normaltextrun"/>
          <w:rFonts w:cs="Arial"/>
          <w:szCs w:val="18"/>
          <w:shd w:val="clear" w:color="auto" w:fill="FFFFFF"/>
        </w:rPr>
        <w:t>utility function</w:t>
      </w:r>
      <w:r w:rsidR="003C5790">
        <w:rPr>
          <w:rStyle w:val="normaltextrun"/>
          <w:rFonts w:cs="Arial"/>
          <w:szCs w:val="18"/>
          <w:shd w:val="clear" w:color="auto" w:fill="FFFFFF"/>
        </w:rPr>
        <w:t>.</w:t>
      </w:r>
      <w:r w:rsidR="003C5790" w:rsidRPr="002124CC">
        <w:rPr>
          <w:rStyle w:val="normaltextrun"/>
          <w:rFonts w:cs="Arial"/>
          <w:szCs w:val="18"/>
          <w:shd w:val="clear" w:color="auto" w:fill="FFFFFF"/>
        </w:rPr>
        <w:t xml:space="preserve"> </w:t>
      </w:r>
      <w:r w:rsidR="003C5790">
        <w:rPr>
          <w:rStyle w:val="normaltextrun"/>
          <w:rFonts w:cs="Arial"/>
          <w:szCs w:val="18"/>
          <w:shd w:val="clear" w:color="auto" w:fill="FFFFFF"/>
        </w:rPr>
        <w:t>I</w:t>
      </w:r>
      <w:r w:rsidR="003C5790" w:rsidRPr="002124CC">
        <w:rPr>
          <w:rStyle w:val="normaltextrun"/>
          <w:rFonts w:cs="Arial"/>
          <w:szCs w:val="18"/>
          <w:shd w:val="clear" w:color="auto" w:fill="FFFFFF"/>
        </w:rPr>
        <w:t xml:space="preserve">n </w:t>
      </w:r>
      <w:r w:rsidR="003F4C3B" w:rsidRPr="002124CC">
        <w:rPr>
          <w:rStyle w:val="normaltextrun"/>
          <w:rFonts w:cs="Arial"/>
          <w:szCs w:val="18"/>
          <w:shd w:val="clear" w:color="auto" w:fill="FFFFFF"/>
        </w:rPr>
        <w:t>our work, the utility function is the total economic losses expressed in M$. The CPT of this group can be thus filled by evaluating the total economic losses for each combination of parent nodes.</w:t>
      </w:r>
      <w:r w:rsidR="007778D6" w:rsidRPr="002124CC">
        <w:rPr>
          <w:rStyle w:val="normaltextrun"/>
          <w:rFonts w:cs="Arial"/>
          <w:szCs w:val="18"/>
          <w:shd w:val="clear" w:color="auto" w:fill="FFFFFF"/>
        </w:rPr>
        <w:t xml:space="preserve"> Considering the complexity of BN and the wide range of information needed, the Reader is </w:t>
      </w:r>
      <w:r w:rsidR="00064439">
        <w:rPr>
          <w:rStyle w:val="normaltextrun"/>
          <w:rFonts w:cs="Arial"/>
          <w:szCs w:val="18"/>
          <w:shd w:val="clear" w:color="auto" w:fill="FFFFFF"/>
        </w:rPr>
        <w:t>referred to</w:t>
      </w:r>
      <w:r w:rsidR="007778D6" w:rsidRPr="002124CC">
        <w:rPr>
          <w:rStyle w:val="normaltextrun"/>
          <w:rFonts w:cs="Arial"/>
          <w:szCs w:val="18"/>
          <w:shd w:val="clear" w:color="auto" w:fill="FFFFFF"/>
        </w:rPr>
        <w:t xml:space="preserve"> the literature suggested above</w:t>
      </w:r>
      <w:r w:rsidR="00064439">
        <w:rPr>
          <w:rStyle w:val="normaltextrun"/>
          <w:rFonts w:cs="Arial"/>
          <w:szCs w:val="18"/>
          <w:shd w:val="clear" w:color="auto" w:fill="FFFFFF"/>
        </w:rPr>
        <w:t>.</w:t>
      </w:r>
      <w:r w:rsidR="007778D6" w:rsidRPr="002124CC">
        <w:rPr>
          <w:rStyle w:val="normaltextrun"/>
          <w:rFonts w:cs="Arial"/>
          <w:szCs w:val="18"/>
          <w:shd w:val="clear" w:color="auto" w:fill="FFFFFF"/>
        </w:rPr>
        <w:t xml:space="preserve"> </w:t>
      </w:r>
      <w:r w:rsidR="00064439">
        <w:rPr>
          <w:rStyle w:val="normaltextrun"/>
          <w:rFonts w:cs="Arial"/>
          <w:szCs w:val="18"/>
          <w:shd w:val="clear" w:color="auto" w:fill="FFFFFF"/>
        </w:rPr>
        <w:t>However</w:t>
      </w:r>
      <w:r w:rsidR="007778D6" w:rsidRPr="002124CC">
        <w:rPr>
          <w:rStyle w:val="normaltextrun"/>
          <w:rFonts w:cs="Arial"/>
          <w:szCs w:val="18"/>
          <w:shd w:val="clear" w:color="auto" w:fill="FFFFFF"/>
        </w:rPr>
        <w:t xml:space="preserve">, a more detailed analysis of quantitative data is available in Section 4 related to the results of the case study. </w:t>
      </w:r>
    </w:p>
    <w:p w14:paraId="333FFD2A" w14:textId="235EEBBB" w:rsidR="004804F7" w:rsidRPr="002124CC" w:rsidRDefault="003664DA" w:rsidP="003664DA">
      <w:pPr>
        <w:pStyle w:val="CETHeading1"/>
      </w:pPr>
      <w:r w:rsidRPr="002124CC">
        <w:t>Application to a case study</w:t>
      </w:r>
    </w:p>
    <w:p w14:paraId="157B3FBE" w14:textId="0EEE3178" w:rsidR="00DC71F6" w:rsidRPr="002124CC" w:rsidRDefault="001B2732" w:rsidP="00516B87">
      <w:pPr>
        <w:pStyle w:val="CETBodytext"/>
      </w:pPr>
      <w:r w:rsidRPr="002124CC">
        <w:t xml:space="preserve">The methodology has been applied to a demonstration case study consisting of </w:t>
      </w:r>
      <w:r w:rsidR="00391D32" w:rsidRPr="002124CC">
        <w:t xml:space="preserve">a depot of </w:t>
      </w:r>
      <w:r w:rsidR="001C53BD" w:rsidRPr="002124CC">
        <w:t>petroleum products</w:t>
      </w:r>
      <w:r w:rsidR="0048658C" w:rsidRPr="002124CC">
        <w:t xml:space="preserve"> located in </w:t>
      </w:r>
      <w:r w:rsidR="003C5790">
        <w:t>t</w:t>
      </w:r>
      <w:r w:rsidR="003C5790" w:rsidRPr="002124CC">
        <w:t xml:space="preserve">he </w:t>
      </w:r>
      <w:r w:rsidR="00D75F7C" w:rsidRPr="002124CC">
        <w:t>Netherlands</w:t>
      </w:r>
      <w:r w:rsidR="001C53BD" w:rsidRPr="002124CC">
        <w:t xml:space="preserve">. </w:t>
      </w:r>
      <w:r w:rsidR="006D3430" w:rsidRPr="002124CC">
        <w:t xml:space="preserve">Figure </w:t>
      </w:r>
      <w:r w:rsidR="0061473D" w:rsidRPr="002124CC">
        <w:t>2</w:t>
      </w:r>
      <w:r w:rsidR="006D3430" w:rsidRPr="002124CC">
        <w:t xml:space="preserve"> shows the layout of the plant. </w:t>
      </w:r>
    </w:p>
    <w:p w14:paraId="5EBC708C" w14:textId="77777777" w:rsidR="00DC71F6" w:rsidRPr="002124CC" w:rsidRDefault="00DC71F6" w:rsidP="00DC71F6">
      <w:pPr>
        <w:pStyle w:val="CETCaption"/>
        <w:jc w:val="left"/>
      </w:pPr>
      <w:r w:rsidRPr="002124CC">
        <w:rPr>
          <w:noProof/>
        </w:rPr>
        <w:drawing>
          <wp:inline distT="0" distB="0" distL="0" distR="0" wp14:anchorId="0E3CC54E" wp14:editId="0A9F05C7">
            <wp:extent cx="4678587" cy="1500427"/>
            <wp:effectExtent l="0" t="0" r="8255" b="5080"/>
            <wp:docPr id="102369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880" cy="1507256"/>
                    </a:xfrm>
                    <a:prstGeom prst="rect">
                      <a:avLst/>
                    </a:prstGeom>
                    <a:noFill/>
                    <a:ln>
                      <a:noFill/>
                    </a:ln>
                  </pic:spPr>
                </pic:pic>
              </a:graphicData>
            </a:graphic>
          </wp:inline>
        </w:drawing>
      </w:r>
    </w:p>
    <w:p w14:paraId="7E368FEF" w14:textId="62EC70C1" w:rsidR="00DC71F6" w:rsidRPr="002124CC" w:rsidRDefault="00DC71F6" w:rsidP="00DC71F6">
      <w:pPr>
        <w:pStyle w:val="CETCaption"/>
        <w:jc w:val="left"/>
        <w:rPr>
          <w:lang w:val="en-US"/>
        </w:rPr>
      </w:pPr>
      <w:r w:rsidRPr="002124CC">
        <w:t>Figure 2: Layout of the demonstration case study and information on target equipment</w:t>
      </w:r>
    </w:p>
    <w:p w14:paraId="273AA4A1" w14:textId="7900CB83" w:rsidR="001B2732" w:rsidRPr="002124CC" w:rsidRDefault="008E3C04" w:rsidP="00516B87">
      <w:pPr>
        <w:pStyle w:val="CETBodytext"/>
      </w:pPr>
      <w:r w:rsidRPr="002124CC">
        <w:t>T1</w:t>
      </w:r>
      <w:r w:rsidR="00DB35CB" w:rsidRPr="002124CC">
        <w:t xml:space="preserve">-T4 are four gasoline </w:t>
      </w:r>
      <w:r w:rsidR="00A67D02" w:rsidRPr="002124CC">
        <w:t>fixed-roof atmospheric tanks</w:t>
      </w:r>
      <w:r w:rsidR="0060255E" w:rsidRPr="002124CC">
        <w:t xml:space="preserve"> made of carbon</w:t>
      </w:r>
      <w:r w:rsidR="006E3885">
        <w:t xml:space="preserve"> steel</w:t>
      </w:r>
      <w:r w:rsidR="00A67D02" w:rsidRPr="002124CC">
        <w:t>.</w:t>
      </w:r>
      <w:r w:rsidR="002E5C5A" w:rsidRPr="002124CC">
        <w:t xml:space="preserve"> Figure 2 also shows the characteristics of the equipment.</w:t>
      </w:r>
      <w:r w:rsidR="00A67D02" w:rsidRPr="002124CC">
        <w:t xml:space="preserve"> </w:t>
      </w:r>
      <w:r w:rsidR="006D3430" w:rsidRPr="002124CC">
        <w:t xml:space="preserve">All four </w:t>
      </w:r>
      <w:r w:rsidR="00C675D0" w:rsidRPr="002124CC">
        <w:t xml:space="preserve">tanks </w:t>
      </w:r>
      <w:r w:rsidR="003E2E6E" w:rsidRPr="002124CC">
        <w:t xml:space="preserve">are </w:t>
      </w:r>
      <w:r w:rsidR="006540BA" w:rsidRPr="002124CC">
        <w:t xml:space="preserve">protected by a shell </w:t>
      </w:r>
      <w:r w:rsidR="007F04C1" w:rsidRPr="002124CC">
        <w:t xml:space="preserve">cooling system, which activates in case of external fire. The plant is protected </w:t>
      </w:r>
      <w:r w:rsidR="00EC6B18" w:rsidRPr="002124CC">
        <w:t>by an external w</w:t>
      </w:r>
      <w:r w:rsidR="00920EDF" w:rsidRPr="002124CC">
        <w:t xml:space="preserve">all, </w:t>
      </w:r>
      <w:r w:rsidR="002131A6">
        <w:t xml:space="preserve">which </w:t>
      </w:r>
      <w:r w:rsidR="00920EDF" w:rsidRPr="002124CC">
        <w:t xml:space="preserve">has only one access </w:t>
      </w:r>
      <w:r w:rsidR="0060171D" w:rsidRPr="002124CC">
        <w:t xml:space="preserve">gate. </w:t>
      </w:r>
      <w:r w:rsidR="002131A6" w:rsidRPr="002124CC">
        <w:t>A</w:t>
      </w:r>
      <w:r w:rsidR="002131A6">
        <w:t xml:space="preserve"> site</w:t>
      </w:r>
      <w:r w:rsidR="002131A6" w:rsidRPr="002124CC">
        <w:t xml:space="preserve"> </w:t>
      </w:r>
      <w:r w:rsidR="0060171D" w:rsidRPr="002124CC">
        <w:t>emergency response is available to protect the facility, and its intervention time is assumed to</w:t>
      </w:r>
      <w:r w:rsidR="002131A6">
        <w:t xml:space="preserve"> be</w:t>
      </w:r>
      <w:r w:rsidR="0060171D" w:rsidRPr="002124CC">
        <w:t xml:space="preserve"> 240s (Garcia, 2006).</w:t>
      </w:r>
    </w:p>
    <w:p w14:paraId="36ACD1E1" w14:textId="258B47A5" w:rsidR="006F5CEE" w:rsidRPr="002124CC" w:rsidRDefault="006F5CEE" w:rsidP="006F5CEE">
      <w:pPr>
        <w:pStyle w:val="CETBodytext"/>
      </w:pPr>
      <w:r w:rsidRPr="002124CC">
        <w:lastRenderedPageBreak/>
        <w:t xml:space="preserve">Figure </w:t>
      </w:r>
      <w:r w:rsidR="0061473D" w:rsidRPr="002124CC">
        <w:t>2</w:t>
      </w:r>
      <w:r w:rsidRPr="002124CC">
        <w:t xml:space="preserve"> also shows the intrusion path</w:t>
      </w:r>
      <w:r w:rsidR="007A4D19" w:rsidRPr="002124CC">
        <w:t xml:space="preserve">. The intrusion scenario takes place at night, while the atmosphere is in stability condition F and the wind blows </w:t>
      </w:r>
      <w:r w:rsidR="00F242F3" w:rsidRPr="002124CC">
        <w:t>from west at 2 m/s. T</w:t>
      </w:r>
      <w:r w:rsidR="00F532DE" w:rsidRPr="002124CC">
        <w:t xml:space="preserve">he intruder trespasses the main gate, and targets T2 using 15 kg of </w:t>
      </w:r>
      <w:proofErr w:type="spellStart"/>
      <w:r w:rsidR="00157A6B" w:rsidRPr="002124CC">
        <w:t>triacetone</w:t>
      </w:r>
      <w:proofErr w:type="spellEnd"/>
      <w:r w:rsidR="00157A6B" w:rsidRPr="002124CC">
        <w:t xml:space="preserve"> triperoxide, an explosive which can be home made.</w:t>
      </w:r>
      <w:r w:rsidR="00F242F3" w:rsidRPr="002124CC">
        <w:t xml:space="preserve"> In case of successful attack, </w:t>
      </w:r>
      <w:r w:rsidR="000E3FED" w:rsidRPr="002124CC">
        <w:t xml:space="preserve">T2 </w:t>
      </w:r>
      <w:r w:rsidR="00790AA6">
        <w:t>undergoes</w:t>
      </w:r>
      <w:r w:rsidR="00835FB0">
        <w:t xml:space="preserve"> </w:t>
      </w:r>
      <w:r w:rsidR="00790AA6">
        <w:t>catastrophic rupture with instantaneous release of its</w:t>
      </w:r>
      <w:r w:rsidR="000E3FED" w:rsidRPr="002124CC">
        <w:t xml:space="preserve"> content.</w:t>
      </w:r>
      <w:r w:rsidR="001650E1" w:rsidRPr="002124CC">
        <w:t xml:space="preserve"> The ignition of the </w:t>
      </w:r>
      <w:r w:rsidR="00790AA6" w:rsidRPr="002124CC">
        <w:t xml:space="preserve">gasoline </w:t>
      </w:r>
      <w:r w:rsidR="001650E1" w:rsidRPr="002124CC">
        <w:t>pool lead</w:t>
      </w:r>
      <w:r w:rsidR="00EE3C82" w:rsidRPr="002124CC">
        <w:t>s</w:t>
      </w:r>
      <w:r w:rsidR="001650E1" w:rsidRPr="002124CC">
        <w:t xml:space="preserve"> to a pool fire</w:t>
      </w:r>
      <w:r w:rsidR="00EE3C82" w:rsidRPr="002124CC">
        <w:t xml:space="preserve">, </w:t>
      </w:r>
      <w:r w:rsidR="005F0DA7">
        <w:t>which heat radiation affects tanks</w:t>
      </w:r>
      <w:r w:rsidR="00EE3C82" w:rsidRPr="002124CC">
        <w:t xml:space="preserve"> T1, T3, and T4.</w:t>
      </w:r>
    </w:p>
    <w:p w14:paraId="58A3BF1F" w14:textId="15BF83FE" w:rsidR="00EF7A0D" w:rsidRPr="002124CC" w:rsidRDefault="00EF7A0D" w:rsidP="00EF7A0D">
      <w:pPr>
        <w:pStyle w:val="CETHeading1"/>
      </w:pPr>
      <w:r w:rsidRPr="002124CC">
        <w:t xml:space="preserve">Results and </w:t>
      </w:r>
      <w:r w:rsidR="0010397F" w:rsidRPr="002124CC">
        <w:t>discussion</w:t>
      </w:r>
    </w:p>
    <w:p w14:paraId="17BAEC24" w14:textId="4D8D2FC3" w:rsidR="00E671FB" w:rsidRPr="002124CC" w:rsidRDefault="00F94466" w:rsidP="00E671FB">
      <w:pPr>
        <w:pStyle w:val="CETBodytext"/>
        <w:spacing w:after="240"/>
      </w:pPr>
      <w:r w:rsidRPr="002124CC">
        <w:t>In order to assess the contribution of the different types of barriers included in the analysis, three different BN were create</w:t>
      </w:r>
      <w:r w:rsidR="0071678B" w:rsidRPr="002124CC">
        <w:t>d</w:t>
      </w:r>
      <w:r w:rsidR="0064438C">
        <w:t>,</w:t>
      </w:r>
      <w:r w:rsidR="0071678B" w:rsidRPr="002124CC">
        <w:t xml:space="preserve"> </w:t>
      </w:r>
      <w:r w:rsidRPr="002124CC">
        <w:t>a</w:t>
      </w:r>
      <w:r w:rsidR="0064438C">
        <w:t>s</w:t>
      </w:r>
      <w:r w:rsidRPr="002124CC">
        <w:t xml:space="preserve"> shown in</w:t>
      </w:r>
      <w:r w:rsidR="0064438C">
        <w:t xml:space="preserve"> the three panels of</w:t>
      </w:r>
      <w:r w:rsidRPr="002124CC">
        <w:t xml:space="preserve"> Figure 3.</w:t>
      </w:r>
    </w:p>
    <w:p w14:paraId="7901D659" w14:textId="77777777" w:rsidR="00E671FB" w:rsidRPr="002124CC" w:rsidRDefault="00E671FB" w:rsidP="00E671FB">
      <w:pPr>
        <w:pStyle w:val="CETBodytext"/>
        <w:spacing w:after="240"/>
      </w:pPr>
      <w:r w:rsidRPr="002124CC">
        <w:rPr>
          <w:noProof/>
        </w:rPr>
        <w:drawing>
          <wp:inline distT="0" distB="0" distL="0" distR="0" wp14:anchorId="64BD33E4" wp14:editId="3A9F7457">
            <wp:extent cx="5172502" cy="2627163"/>
            <wp:effectExtent l="0" t="0" r="9525" b="1905"/>
            <wp:docPr id="18524287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556" cy="2634809"/>
                    </a:xfrm>
                    <a:prstGeom prst="rect">
                      <a:avLst/>
                    </a:prstGeom>
                    <a:noFill/>
                    <a:ln>
                      <a:noFill/>
                    </a:ln>
                  </pic:spPr>
                </pic:pic>
              </a:graphicData>
            </a:graphic>
          </wp:inline>
        </w:drawing>
      </w:r>
    </w:p>
    <w:p w14:paraId="56891A27" w14:textId="77777777" w:rsidR="00E671FB" w:rsidRPr="002124CC" w:rsidRDefault="00E671FB" w:rsidP="00E671FB">
      <w:pPr>
        <w:pStyle w:val="CETCaption"/>
        <w:jc w:val="left"/>
      </w:pPr>
      <w:r w:rsidRPr="002124CC">
        <w:t>Figure 3: BN built for the demonstrational case study. a) case with no barriers; b) case with only security barriers and c); SCS = shell cooling system; PPS = security barriers</w:t>
      </w:r>
    </w:p>
    <w:p w14:paraId="4A4715CF" w14:textId="55C522E6" w:rsidR="007000C2" w:rsidRPr="002124CC" w:rsidRDefault="00F94466" w:rsidP="003257B6">
      <w:pPr>
        <w:pStyle w:val="CETBodytext"/>
      </w:pPr>
      <w:r w:rsidRPr="002124CC">
        <w:t xml:space="preserve">In the first BN (Figure 3a), the contribution of any barriers was neglected. This constitutes a baseline, very conservative case, in which a unitary probability of the threat successfully reaching the target is considered. </w:t>
      </w:r>
      <w:r w:rsidR="00F44365" w:rsidRPr="002124CC">
        <w:t xml:space="preserve">Hence, the only present nodes are the one related to the equipment (N1-1-N1.4, the green nodes) and the utility node to assess the economic losses (N4, the blue node). </w:t>
      </w:r>
      <w:r w:rsidRPr="002124CC">
        <w:t>The second BN (Figure 3b) only account</w:t>
      </w:r>
      <w:r w:rsidR="00F44365" w:rsidRPr="002124CC">
        <w:t>s</w:t>
      </w:r>
      <w:r w:rsidRPr="002124CC">
        <w:t xml:space="preserve"> for the performance of security barriers</w:t>
      </w:r>
      <w:r w:rsidR="0071678B" w:rsidRPr="002124CC">
        <w:t>.</w:t>
      </w:r>
      <w:r w:rsidR="00F44365" w:rsidRPr="002124CC">
        <w:t xml:space="preserve"> So, the pink nodes N2.1-N2.6 are added to the network.</w:t>
      </w:r>
      <w:r w:rsidR="0071678B" w:rsidRPr="002124CC">
        <w:t xml:space="preserve"> </w:t>
      </w:r>
      <w:r w:rsidR="002A78D7" w:rsidRPr="002124CC">
        <w:t>Finally, t</w:t>
      </w:r>
      <w:r w:rsidR="0071678B" w:rsidRPr="002124CC">
        <w:t>he third BN (</w:t>
      </w:r>
      <w:r w:rsidR="002A78D7" w:rsidRPr="002124CC">
        <w:t>Figure 3c) is build considering the performance of both safety and security barriers</w:t>
      </w:r>
      <w:r w:rsidR="00841432" w:rsidRPr="002124CC">
        <w:t>.</w:t>
      </w:r>
      <w:r w:rsidR="00F44365" w:rsidRPr="002124CC">
        <w:t xml:space="preserve"> In this case, the orange nodes N3.1-N3.3 are added.</w:t>
      </w:r>
      <w:r w:rsidR="005D6E74">
        <w:t xml:space="preserve"> </w:t>
      </w:r>
      <w:r w:rsidR="00F44365" w:rsidRPr="002124CC">
        <w:t xml:space="preserve">Nodes N1.1 to N1.4 </w:t>
      </w:r>
      <w:r w:rsidR="00D861E2">
        <w:t xml:space="preserve">represent </w:t>
      </w:r>
      <w:r w:rsidR="00F44365" w:rsidRPr="002124CC">
        <w:t>the damage state of the equipment. To</w:t>
      </w:r>
      <w:r w:rsidR="00D635AC">
        <w:t xml:space="preserve"> </w:t>
      </w:r>
      <w:r w:rsidR="00D861E2">
        <w:t>quantify them</w:t>
      </w:r>
      <w:r w:rsidR="00F44365" w:rsidRPr="002124CC">
        <w:t xml:space="preserve">, </w:t>
      </w:r>
      <w:r w:rsidR="003765DF">
        <w:t>the physical effects associated to the intentional attack</w:t>
      </w:r>
      <w:r w:rsidR="00D635AC">
        <w:t xml:space="preserve"> should be firstly quantified</w:t>
      </w:r>
      <w:r w:rsidR="001D1D5B">
        <w:t xml:space="preserve">; the explosive attack leads to the instantaneous release of the </w:t>
      </w:r>
      <w:r w:rsidR="004B3D9D">
        <w:t>gasoline in T2</w:t>
      </w:r>
      <w:r w:rsidR="00145E02">
        <w:t xml:space="preserve">, with a consequent pool fire. </w:t>
      </w:r>
      <w:r w:rsidR="00D635AC">
        <w:t>G</w:t>
      </w:r>
      <w:r w:rsidR="001C4759">
        <w:t>asoline was modelle</w:t>
      </w:r>
      <w:r w:rsidR="00415EFE">
        <w:t>d</w:t>
      </w:r>
      <w:r w:rsidR="001C4759">
        <w:t xml:space="preserve"> </w:t>
      </w:r>
      <w:r w:rsidR="00D635AC">
        <w:t xml:space="preserve">on ALOHA </w:t>
      </w:r>
      <w:r w:rsidR="001C4759">
        <w:t xml:space="preserve">as </w:t>
      </w:r>
      <w:r w:rsidR="007C531F">
        <w:t>n-heptane</w:t>
      </w:r>
      <w:r w:rsidR="00415EFE">
        <w:t>, and the source term was modele</w:t>
      </w:r>
      <w:r w:rsidR="00D81610">
        <w:t>d</w:t>
      </w:r>
      <w:r w:rsidR="00415EFE">
        <w:t xml:space="preserve"> as a “burning puddle”. </w:t>
      </w:r>
      <w:r w:rsidR="00A82801" w:rsidRPr="00A82801">
        <w:t xml:space="preserve">ALOHA </w:t>
      </w:r>
      <w:r w:rsidR="00D635AC">
        <w:t xml:space="preserve">then </w:t>
      </w:r>
      <w:r w:rsidR="00A82801" w:rsidRPr="00A82801">
        <w:t>computes heat radiation point values at target positions</w:t>
      </w:r>
      <w:r w:rsidR="0072551F">
        <w:t xml:space="preserve">; for example, the heat radiation on </w:t>
      </w:r>
      <w:r w:rsidR="00B433E2">
        <w:t>T3 is 42.6 kW/m</w:t>
      </w:r>
      <w:r w:rsidR="00B433E2" w:rsidRPr="00DC6793">
        <w:rPr>
          <w:vertAlign w:val="superscript"/>
        </w:rPr>
        <w:t>2</w:t>
      </w:r>
      <w:r w:rsidR="00C90AFE">
        <w:t>.</w:t>
      </w:r>
      <w:r w:rsidR="002D2A39">
        <w:t xml:space="preserve"> </w:t>
      </w:r>
      <w:r w:rsidR="00D26BF1">
        <w:t xml:space="preserve">T3 </w:t>
      </w:r>
      <w:r w:rsidR="001C2205">
        <w:t>i</w:t>
      </w:r>
      <w:r w:rsidR="00D16AFC">
        <w:t>s therefore part of</w:t>
      </w:r>
      <w:r w:rsidR="00D26BF1">
        <w:t xml:space="preserve"> the domino chain, as </w:t>
      </w:r>
      <w:r w:rsidR="002D2A39">
        <w:t>the threshold value</w:t>
      </w:r>
      <w:r w:rsidR="00D26BF1">
        <w:t xml:space="preserve"> suggested in </w:t>
      </w:r>
      <w:r w:rsidR="00D26BF1" w:rsidRPr="002124CC">
        <w:t>(</w:t>
      </w:r>
      <w:r w:rsidR="000F28D7">
        <w:t>Reniers and Cozzani, 2013</w:t>
      </w:r>
      <w:r w:rsidR="00D26BF1" w:rsidRPr="002124CC">
        <w:t>)</w:t>
      </w:r>
      <w:r w:rsidR="002D2A39">
        <w:t xml:space="preserve"> </w:t>
      </w:r>
      <w:r w:rsidR="00342943">
        <w:t xml:space="preserve">for atmospheric vessels </w:t>
      </w:r>
      <w:r w:rsidR="00D26BF1">
        <w:t xml:space="preserve">is </w:t>
      </w:r>
      <w:r w:rsidR="002D2A39">
        <w:t>15 kW/m</w:t>
      </w:r>
      <w:r w:rsidR="002D2A39" w:rsidRPr="00DC6793">
        <w:rPr>
          <w:vertAlign w:val="superscript"/>
        </w:rPr>
        <w:t>2</w:t>
      </w:r>
      <w:r w:rsidR="00D26BF1">
        <w:t>.</w:t>
      </w:r>
      <w:r w:rsidR="00342943">
        <w:t xml:space="preserve"> The same </w:t>
      </w:r>
      <w:r w:rsidR="00F463CE">
        <w:t>calculations</w:t>
      </w:r>
      <w:r w:rsidR="00342943">
        <w:t xml:space="preserve"> w</w:t>
      </w:r>
      <w:r w:rsidR="00D16AFC">
        <w:t>ere</w:t>
      </w:r>
      <w:r w:rsidR="00342943">
        <w:t xml:space="preserve"> carried out for T1 and T4</w:t>
      </w:r>
      <w:r w:rsidR="00F5358B">
        <w:t>, resulting in both tanks also being involved in the domino chain.</w:t>
      </w:r>
      <w:r w:rsidR="00D26BF1">
        <w:t xml:space="preserve"> </w:t>
      </w:r>
      <w:r w:rsidR="00342943">
        <w:t>To consequently</w:t>
      </w:r>
      <w:r w:rsidR="008211F9">
        <w:t xml:space="preserve"> quantify the damage probability, </w:t>
      </w:r>
      <w:r w:rsidR="00F44365" w:rsidRPr="002124CC">
        <w:t>specific fragility models were used</w:t>
      </w:r>
      <w:r w:rsidR="008A7DBD" w:rsidRPr="002124CC">
        <w:t xml:space="preserve"> (Marroni et al., 2024)</w:t>
      </w:r>
      <w:r w:rsidR="00F44365" w:rsidRPr="002124CC">
        <w:t xml:space="preserve">, and the CPTs </w:t>
      </w:r>
      <w:r w:rsidR="00F5358B">
        <w:t xml:space="preserve">of the specific targets </w:t>
      </w:r>
      <w:r w:rsidR="00F44365" w:rsidRPr="002124CC">
        <w:t>were filled using the obtained damage probabilities</w:t>
      </w:r>
      <w:r w:rsidR="009C1D6F">
        <w:t>.</w:t>
      </w:r>
      <w:r w:rsidR="00F44365" w:rsidRPr="002124CC">
        <w:t xml:space="preserve"> More specifically, a fragility model for explosive attacks was used to quantify N1.2 related to T2, while a fragility model for heat radiation was used to quantify N1.1, N1.3, and N1.4</w:t>
      </w:r>
      <w:r w:rsidR="00747320">
        <w:t>.</w:t>
      </w:r>
      <w:r w:rsidR="00401506">
        <w:t xml:space="preserve"> </w:t>
      </w:r>
      <w:r w:rsidR="00747320">
        <w:t>F</w:t>
      </w:r>
      <w:r w:rsidR="00401506">
        <w:t>or example, the probability of T3 being in the damaged state due to the heat radiation is 92%</w:t>
      </w:r>
      <w:r w:rsidR="00F44365" w:rsidRPr="002124CC">
        <w:t xml:space="preserve">. Nodes N2.1 to N2.6 represent the </w:t>
      </w:r>
      <w:r w:rsidR="00E671FB" w:rsidRPr="002124CC">
        <w:t>performance of security barriers.</w:t>
      </w:r>
      <w:r w:rsidR="00480F25">
        <w:t xml:space="preserve"> </w:t>
      </w:r>
      <w:r w:rsidR="00E671FB" w:rsidRPr="002124CC">
        <w:t xml:space="preserve">To quantify N2.1, N2.2, and N2.3, </w:t>
      </w:r>
      <w:r w:rsidR="00EB3A36">
        <w:t>the performance and probability dataset</w:t>
      </w:r>
      <w:r w:rsidR="00E671FB" w:rsidRPr="002124CC">
        <w:t xml:space="preserve"> from (Argenti et al., 2017) was used.</w:t>
      </w:r>
      <w:r w:rsidR="00FA550B" w:rsidRPr="002124CC">
        <w:t xml:space="preserve"> </w:t>
      </w:r>
      <w:r w:rsidR="00E671FB" w:rsidRPr="002124CC">
        <w:t>N2.4 is instead quantified based on the comparison between the time needed by the attacker to perform the attack, and the time needed by the emergency team to intervene, as suggested by (Garcia et al., 2006). The attack can be stopped only if the time needed by the threat is higher than the one needed by the emergency team. As for Node 2.5, a standard value of 95% is suggested by (Garcia et al., 2006). As for Node 2.6, it can be quantified considering an AND gate among all parent nodes: security barriers are successful only if all three functions are completed.</w:t>
      </w:r>
      <w:r w:rsidR="003402A0">
        <w:t xml:space="preserve"> </w:t>
      </w:r>
      <w:r w:rsidR="00E671FB" w:rsidRPr="002124CC">
        <w:t>To quantify Nodes N3.1 to N3.3, the data from (</w:t>
      </w:r>
      <w:proofErr w:type="spellStart"/>
      <w:r w:rsidR="00E671FB" w:rsidRPr="002124CC">
        <w:t>Khakzad</w:t>
      </w:r>
      <w:proofErr w:type="spellEnd"/>
      <w:r w:rsidR="00E671FB" w:rsidRPr="002124CC">
        <w:t xml:space="preserve"> et al., 2018) </w:t>
      </w:r>
      <w:r w:rsidR="009A04CA">
        <w:t>were</w:t>
      </w:r>
      <w:r w:rsidR="00E671FB" w:rsidRPr="002124CC">
        <w:t xml:space="preserve"> used; it was assumed that all three barriers have the same performance parameters.</w:t>
      </w:r>
      <w:r w:rsidR="003402A0">
        <w:t xml:space="preserve"> </w:t>
      </w:r>
      <w:r w:rsidR="00E671FB" w:rsidRPr="002124CC">
        <w:lastRenderedPageBreak/>
        <w:t>Finally, to quantify Node N4, the economic evaluations were carried out</w:t>
      </w:r>
      <w:r w:rsidR="0012372E" w:rsidRPr="002124CC">
        <w:t>. Using suppliers</w:t>
      </w:r>
      <w:r w:rsidR="0019085D">
        <w:t>’</w:t>
      </w:r>
      <w:r w:rsidR="0012372E" w:rsidRPr="002124CC">
        <w:t xml:space="preserve"> data</w:t>
      </w:r>
      <w:r w:rsidR="00DF7C76" w:rsidRPr="002124CC">
        <w:t xml:space="preserve"> on carbon steel</w:t>
      </w:r>
      <w:r w:rsidR="0012372E" w:rsidRPr="002124CC">
        <w:t xml:space="preserve">, the price of materials was estimated around </w:t>
      </w:r>
      <w:r w:rsidR="00B75FEC">
        <w:t>0.0</w:t>
      </w:r>
      <w:r w:rsidR="0012372E" w:rsidRPr="002124CC">
        <w:t>3</w:t>
      </w:r>
      <w:r w:rsidR="00B75FEC">
        <w:t xml:space="preserve"> M</w:t>
      </w:r>
      <w:r w:rsidR="0012372E" w:rsidRPr="002124CC">
        <w:t>$. Considering all the pricing factors in Table 1, a total price of 0.17 M$ for each equipment was estimated. As for the content, the average retail price of gasoline in January 2024 in the Netherlands was retrieved from (</w:t>
      </w:r>
      <w:proofErr w:type="spellStart"/>
      <w:r w:rsidR="0012372E" w:rsidRPr="002124CC">
        <w:t>Centraal</w:t>
      </w:r>
      <w:proofErr w:type="spellEnd"/>
      <w:r w:rsidR="0012372E" w:rsidRPr="002124CC">
        <w:t xml:space="preserve"> Bureau </w:t>
      </w:r>
      <w:proofErr w:type="spellStart"/>
      <w:r w:rsidR="0012372E" w:rsidRPr="002124CC">
        <w:t>voor</w:t>
      </w:r>
      <w:proofErr w:type="spellEnd"/>
      <w:r w:rsidR="0012372E" w:rsidRPr="002124CC">
        <w:t xml:space="preserve"> de </w:t>
      </w:r>
      <w:proofErr w:type="spellStart"/>
      <w:r w:rsidR="0012372E" w:rsidRPr="002124CC">
        <w:t>Statistiek</w:t>
      </w:r>
      <w:proofErr w:type="spellEnd"/>
      <w:r w:rsidR="0012372E" w:rsidRPr="002124CC">
        <w:t>, 2024). Namely, the highest losses are around 1.90 M$ for tank T2 (see Figure 2), because the tank is completely filled.</w:t>
      </w:r>
      <w:r w:rsidR="003257B6" w:rsidRPr="002124CC">
        <w:t xml:space="preserve"> </w:t>
      </w:r>
      <w:r w:rsidR="006538D8" w:rsidRPr="002124CC">
        <w:t xml:space="preserve">Table 4 reports the prior probabilities of the main nodes </w:t>
      </w:r>
      <w:r w:rsidR="00841432" w:rsidRPr="002124CC">
        <w:t xml:space="preserve">related to barriers </w:t>
      </w:r>
      <w:r w:rsidR="006538D8" w:rsidRPr="002124CC">
        <w:t>in the analysis</w:t>
      </w:r>
      <w:r w:rsidR="0012372E" w:rsidRPr="002124CC">
        <w:t>.</w:t>
      </w:r>
      <w:r w:rsidR="00DA3D62" w:rsidRPr="002124CC">
        <w:t xml:space="preserve"> </w:t>
      </w:r>
    </w:p>
    <w:p w14:paraId="7C38578F" w14:textId="226A15B3" w:rsidR="006538D8" w:rsidRPr="002124CC" w:rsidRDefault="006538D8" w:rsidP="006538D8">
      <w:pPr>
        <w:pStyle w:val="CETTabletitle"/>
        <w:rPr>
          <w:lang w:val="en-US"/>
        </w:rPr>
      </w:pPr>
      <w:r w:rsidRPr="002124CC">
        <w:t>Table 4: Prior probabilities of selected nodes of the</w:t>
      </w:r>
      <w:r w:rsidR="007000C2" w:rsidRPr="002124CC">
        <w:t xml:space="preserve"> quantified</w:t>
      </w:r>
      <w:r w:rsidRPr="002124CC">
        <w:t xml:space="preserve"> BN</w:t>
      </w:r>
      <w:r w:rsidR="007000C2" w:rsidRPr="002124CC">
        <w:t>. For case descriptions refer to</w:t>
      </w:r>
      <w:r w:rsidRPr="002124CC">
        <w:t xml:space="preserve"> Figure 3.</w:t>
      </w:r>
      <w:r w:rsidR="00071B7C" w:rsidRPr="002124CC">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1"/>
        <w:gridCol w:w="411"/>
        <w:gridCol w:w="621"/>
        <w:gridCol w:w="761"/>
        <w:gridCol w:w="681"/>
        <w:gridCol w:w="681"/>
        <w:gridCol w:w="681"/>
        <w:gridCol w:w="681"/>
        <w:gridCol w:w="681"/>
        <w:gridCol w:w="681"/>
      </w:tblGrid>
      <w:tr w:rsidR="0040670C" w:rsidRPr="002124CC" w14:paraId="22EC80BF" w14:textId="0456DE31" w:rsidTr="0040670C">
        <w:tc>
          <w:tcPr>
            <w:tcW w:w="0" w:type="auto"/>
            <w:tcBorders>
              <w:top w:val="single" w:sz="12" w:space="0" w:color="008000"/>
              <w:bottom w:val="single" w:sz="6" w:space="0" w:color="008000"/>
            </w:tcBorders>
            <w:shd w:val="clear" w:color="auto" w:fill="FFFFFF"/>
          </w:tcPr>
          <w:p w14:paraId="18841119" w14:textId="5351644C" w:rsidR="0040670C" w:rsidRPr="002124CC" w:rsidRDefault="0040670C" w:rsidP="00071B7C">
            <w:pPr>
              <w:pStyle w:val="CETBodytext"/>
              <w:jc w:val="center"/>
              <w:rPr>
                <w:lang w:val="en-GB"/>
              </w:rPr>
            </w:pPr>
            <w:r w:rsidRPr="002124CC">
              <w:rPr>
                <w:lang w:val="en-GB"/>
              </w:rPr>
              <w:t>Node ID</w:t>
            </w:r>
          </w:p>
        </w:tc>
        <w:tc>
          <w:tcPr>
            <w:tcW w:w="0" w:type="auto"/>
            <w:tcBorders>
              <w:top w:val="single" w:sz="12" w:space="0" w:color="008000"/>
              <w:bottom w:val="single" w:sz="6" w:space="0" w:color="008000"/>
            </w:tcBorders>
            <w:shd w:val="clear" w:color="auto" w:fill="FFFFFF"/>
          </w:tcPr>
          <w:p w14:paraId="1D90A135" w14:textId="7914F6BA" w:rsidR="0040670C" w:rsidRPr="002124CC" w:rsidRDefault="0040670C" w:rsidP="00071B7C">
            <w:pPr>
              <w:pStyle w:val="CETBodytext"/>
              <w:jc w:val="center"/>
            </w:pPr>
            <w:r w:rsidRPr="002124CC">
              <w:t>N2.1</w:t>
            </w:r>
          </w:p>
        </w:tc>
        <w:tc>
          <w:tcPr>
            <w:tcW w:w="0" w:type="auto"/>
            <w:tcBorders>
              <w:top w:val="single" w:sz="12" w:space="0" w:color="008000"/>
              <w:bottom w:val="single" w:sz="6" w:space="0" w:color="008000"/>
            </w:tcBorders>
            <w:shd w:val="clear" w:color="auto" w:fill="FFFFFF"/>
          </w:tcPr>
          <w:p w14:paraId="50853FC6" w14:textId="1D5EFBA1" w:rsidR="0040670C" w:rsidRPr="002124CC" w:rsidRDefault="0040670C" w:rsidP="00071B7C">
            <w:pPr>
              <w:pStyle w:val="CETBodytext"/>
              <w:jc w:val="center"/>
            </w:pPr>
            <w:r w:rsidRPr="002124CC">
              <w:t>N2.2</w:t>
            </w:r>
          </w:p>
        </w:tc>
        <w:tc>
          <w:tcPr>
            <w:tcW w:w="0" w:type="auto"/>
            <w:tcBorders>
              <w:top w:val="single" w:sz="12" w:space="0" w:color="008000"/>
              <w:bottom w:val="single" w:sz="6" w:space="0" w:color="008000"/>
            </w:tcBorders>
            <w:shd w:val="clear" w:color="auto" w:fill="FFFFFF"/>
          </w:tcPr>
          <w:p w14:paraId="54C7956E" w14:textId="0FF443D8" w:rsidR="0040670C" w:rsidRPr="002124CC" w:rsidRDefault="0040670C" w:rsidP="00071B7C">
            <w:pPr>
              <w:pStyle w:val="CETBodytext"/>
              <w:jc w:val="center"/>
            </w:pPr>
            <w:r w:rsidRPr="002124CC">
              <w:t>N2.3</w:t>
            </w:r>
          </w:p>
        </w:tc>
        <w:tc>
          <w:tcPr>
            <w:tcW w:w="0" w:type="auto"/>
            <w:tcBorders>
              <w:top w:val="single" w:sz="12" w:space="0" w:color="008000"/>
              <w:bottom w:val="single" w:sz="6" w:space="0" w:color="008000"/>
            </w:tcBorders>
            <w:shd w:val="clear" w:color="auto" w:fill="FFFFFF"/>
          </w:tcPr>
          <w:p w14:paraId="07BC6EB6" w14:textId="07A2F791" w:rsidR="0040670C" w:rsidRPr="002124CC" w:rsidRDefault="0040670C" w:rsidP="00071B7C">
            <w:pPr>
              <w:pStyle w:val="CETBodytext"/>
              <w:jc w:val="center"/>
            </w:pPr>
            <w:r w:rsidRPr="002124CC">
              <w:t>N2.4</w:t>
            </w:r>
          </w:p>
        </w:tc>
        <w:tc>
          <w:tcPr>
            <w:tcW w:w="0" w:type="auto"/>
            <w:tcBorders>
              <w:top w:val="single" w:sz="12" w:space="0" w:color="008000"/>
              <w:bottom w:val="single" w:sz="6" w:space="0" w:color="008000"/>
            </w:tcBorders>
            <w:shd w:val="clear" w:color="auto" w:fill="FFFFFF"/>
          </w:tcPr>
          <w:p w14:paraId="49966FE1" w14:textId="2D8D73F1" w:rsidR="0040670C" w:rsidRPr="002124CC" w:rsidRDefault="0040670C" w:rsidP="00071B7C">
            <w:pPr>
              <w:pStyle w:val="CETBodytext"/>
              <w:jc w:val="center"/>
            </w:pPr>
            <w:r w:rsidRPr="002124CC">
              <w:t>N2.5</w:t>
            </w:r>
          </w:p>
        </w:tc>
        <w:tc>
          <w:tcPr>
            <w:tcW w:w="0" w:type="auto"/>
            <w:tcBorders>
              <w:top w:val="single" w:sz="12" w:space="0" w:color="008000"/>
              <w:bottom w:val="single" w:sz="6" w:space="0" w:color="008000"/>
            </w:tcBorders>
            <w:shd w:val="clear" w:color="auto" w:fill="FFFFFF"/>
          </w:tcPr>
          <w:p w14:paraId="2B4EF7E9" w14:textId="2613954A" w:rsidR="0040670C" w:rsidRPr="002124CC" w:rsidRDefault="0040670C" w:rsidP="00071B7C">
            <w:pPr>
              <w:pStyle w:val="CETBodytext"/>
              <w:jc w:val="center"/>
            </w:pPr>
            <w:r w:rsidRPr="002124CC">
              <w:t>N2.6</w:t>
            </w:r>
          </w:p>
        </w:tc>
        <w:tc>
          <w:tcPr>
            <w:tcW w:w="0" w:type="auto"/>
            <w:tcBorders>
              <w:top w:val="single" w:sz="12" w:space="0" w:color="008000"/>
              <w:bottom w:val="single" w:sz="6" w:space="0" w:color="008000"/>
            </w:tcBorders>
            <w:shd w:val="clear" w:color="auto" w:fill="FFFFFF"/>
          </w:tcPr>
          <w:p w14:paraId="0F897213" w14:textId="333606BC" w:rsidR="0040670C" w:rsidRPr="002124CC" w:rsidRDefault="0040670C" w:rsidP="00071B7C">
            <w:pPr>
              <w:pStyle w:val="CETBodytext"/>
              <w:jc w:val="center"/>
            </w:pPr>
            <w:r w:rsidRPr="002124CC">
              <w:t>N3.1</w:t>
            </w:r>
          </w:p>
        </w:tc>
        <w:tc>
          <w:tcPr>
            <w:tcW w:w="0" w:type="auto"/>
            <w:tcBorders>
              <w:top w:val="single" w:sz="12" w:space="0" w:color="008000"/>
              <w:bottom w:val="single" w:sz="6" w:space="0" w:color="008000"/>
            </w:tcBorders>
            <w:shd w:val="clear" w:color="auto" w:fill="FFFFFF"/>
          </w:tcPr>
          <w:p w14:paraId="26EA00DF" w14:textId="6C658A5E" w:rsidR="0040670C" w:rsidRPr="002124CC" w:rsidRDefault="0040670C" w:rsidP="00071B7C">
            <w:pPr>
              <w:pStyle w:val="CETBodytext"/>
              <w:jc w:val="center"/>
            </w:pPr>
            <w:r w:rsidRPr="002124CC">
              <w:t>N3.2</w:t>
            </w:r>
          </w:p>
        </w:tc>
        <w:tc>
          <w:tcPr>
            <w:tcW w:w="0" w:type="auto"/>
            <w:tcBorders>
              <w:top w:val="single" w:sz="12" w:space="0" w:color="008000"/>
              <w:bottom w:val="single" w:sz="6" w:space="0" w:color="008000"/>
            </w:tcBorders>
            <w:shd w:val="clear" w:color="auto" w:fill="FFFFFF"/>
          </w:tcPr>
          <w:p w14:paraId="1396A956" w14:textId="61377217" w:rsidR="0040670C" w:rsidRPr="002124CC" w:rsidRDefault="0040670C" w:rsidP="00071B7C">
            <w:pPr>
              <w:pStyle w:val="CETBodytext"/>
              <w:jc w:val="center"/>
            </w:pPr>
            <w:r w:rsidRPr="002124CC">
              <w:t>N3.3</w:t>
            </w:r>
          </w:p>
        </w:tc>
      </w:tr>
      <w:tr w:rsidR="0040670C" w:rsidRPr="002124CC" w14:paraId="7DAA509B" w14:textId="75756DB2" w:rsidTr="0040670C">
        <w:tc>
          <w:tcPr>
            <w:tcW w:w="0" w:type="auto"/>
            <w:shd w:val="clear" w:color="auto" w:fill="FFFFFF"/>
          </w:tcPr>
          <w:p w14:paraId="6613F5DA" w14:textId="4B41D109" w:rsidR="0040670C" w:rsidRPr="002124CC" w:rsidRDefault="0040670C" w:rsidP="00071B7C">
            <w:pPr>
              <w:pStyle w:val="CETBodytext"/>
              <w:jc w:val="center"/>
              <w:rPr>
                <w:lang w:val="en-GB"/>
              </w:rPr>
            </w:pPr>
            <w:r w:rsidRPr="002124CC">
              <w:rPr>
                <w:rFonts w:cs="Arial"/>
                <w:szCs w:val="18"/>
                <w:lang w:val="en-GB"/>
              </w:rPr>
              <w:t>Case</w:t>
            </w:r>
          </w:p>
        </w:tc>
        <w:tc>
          <w:tcPr>
            <w:tcW w:w="0" w:type="auto"/>
            <w:shd w:val="clear" w:color="auto" w:fill="FFFFFF"/>
          </w:tcPr>
          <w:p w14:paraId="26CB9D90" w14:textId="36FD244E" w:rsidR="0040670C" w:rsidRPr="002124CC" w:rsidRDefault="0040670C" w:rsidP="00071B7C">
            <w:pPr>
              <w:pStyle w:val="CETBodytext"/>
              <w:jc w:val="center"/>
              <w:rPr>
                <w:lang w:val="en-GB"/>
              </w:rPr>
            </w:pPr>
            <w:r w:rsidRPr="002124CC">
              <w:rPr>
                <w:rFonts w:cs="Arial"/>
                <w:szCs w:val="18"/>
                <w:lang w:val="en-GB"/>
              </w:rPr>
              <w:t>b), c)</w:t>
            </w:r>
          </w:p>
        </w:tc>
        <w:tc>
          <w:tcPr>
            <w:tcW w:w="0" w:type="auto"/>
            <w:shd w:val="clear" w:color="auto" w:fill="FFFFFF"/>
          </w:tcPr>
          <w:p w14:paraId="6C687055" w14:textId="28669C9A" w:rsidR="0040670C" w:rsidRPr="002124CC" w:rsidRDefault="0040670C" w:rsidP="00071B7C">
            <w:pPr>
              <w:pStyle w:val="CETBodytext"/>
              <w:jc w:val="center"/>
              <w:rPr>
                <w:lang w:val="en-GB"/>
              </w:rPr>
            </w:pPr>
            <w:r w:rsidRPr="002124CC">
              <w:rPr>
                <w:rFonts w:cs="Arial"/>
                <w:szCs w:val="18"/>
                <w:lang w:val="en-GB"/>
              </w:rPr>
              <w:t>b), c)</w:t>
            </w:r>
          </w:p>
        </w:tc>
        <w:tc>
          <w:tcPr>
            <w:tcW w:w="0" w:type="auto"/>
            <w:shd w:val="clear" w:color="auto" w:fill="FFFFFF"/>
          </w:tcPr>
          <w:p w14:paraId="2AC180A4" w14:textId="039298BD" w:rsidR="0040670C" w:rsidRPr="002124CC" w:rsidRDefault="0040670C" w:rsidP="00071B7C">
            <w:pPr>
              <w:pStyle w:val="CETBodytext"/>
              <w:jc w:val="center"/>
              <w:rPr>
                <w:lang w:val="en-GB"/>
              </w:rPr>
            </w:pPr>
            <w:r w:rsidRPr="002124CC">
              <w:rPr>
                <w:rFonts w:cs="Arial"/>
                <w:szCs w:val="18"/>
                <w:lang w:val="en-GB"/>
              </w:rPr>
              <w:t>b), c)</w:t>
            </w:r>
          </w:p>
        </w:tc>
        <w:tc>
          <w:tcPr>
            <w:tcW w:w="0" w:type="auto"/>
            <w:shd w:val="clear" w:color="auto" w:fill="FFFFFF"/>
          </w:tcPr>
          <w:p w14:paraId="5C70DFB4" w14:textId="29FA4781" w:rsidR="0040670C" w:rsidRPr="002124CC" w:rsidRDefault="0040670C" w:rsidP="00071B7C">
            <w:pPr>
              <w:pStyle w:val="CETBodytext"/>
              <w:jc w:val="center"/>
              <w:rPr>
                <w:lang w:val="en-GB"/>
              </w:rPr>
            </w:pPr>
            <w:r w:rsidRPr="002124CC">
              <w:rPr>
                <w:rFonts w:cs="Arial"/>
                <w:szCs w:val="18"/>
                <w:lang w:val="en-GB"/>
              </w:rPr>
              <w:t>b), c)</w:t>
            </w:r>
          </w:p>
        </w:tc>
        <w:tc>
          <w:tcPr>
            <w:tcW w:w="0" w:type="auto"/>
            <w:shd w:val="clear" w:color="auto" w:fill="FFFFFF"/>
          </w:tcPr>
          <w:p w14:paraId="244D84BB" w14:textId="0195E63A" w:rsidR="0040670C" w:rsidRPr="002124CC" w:rsidRDefault="0040670C" w:rsidP="00071B7C">
            <w:pPr>
              <w:pStyle w:val="CETBodytext"/>
              <w:jc w:val="center"/>
              <w:rPr>
                <w:lang w:val="en-GB"/>
              </w:rPr>
            </w:pPr>
            <w:r w:rsidRPr="002124CC">
              <w:rPr>
                <w:rFonts w:cs="Arial"/>
                <w:szCs w:val="18"/>
                <w:lang w:val="en-GB"/>
              </w:rPr>
              <w:t>b), c)</w:t>
            </w:r>
          </w:p>
        </w:tc>
        <w:tc>
          <w:tcPr>
            <w:tcW w:w="0" w:type="auto"/>
            <w:shd w:val="clear" w:color="auto" w:fill="FFFFFF"/>
          </w:tcPr>
          <w:p w14:paraId="4CE9AFF5" w14:textId="6EADE1AF" w:rsidR="0040670C" w:rsidRPr="002124CC" w:rsidRDefault="0040670C" w:rsidP="00071B7C">
            <w:pPr>
              <w:pStyle w:val="CETBodytext"/>
              <w:jc w:val="center"/>
              <w:rPr>
                <w:lang w:val="en-GB"/>
              </w:rPr>
            </w:pPr>
            <w:r w:rsidRPr="002124CC">
              <w:rPr>
                <w:rFonts w:cs="Arial"/>
                <w:szCs w:val="18"/>
                <w:lang w:val="en-GB"/>
              </w:rPr>
              <w:t>b), c)</w:t>
            </w:r>
          </w:p>
        </w:tc>
        <w:tc>
          <w:tcPr>
            <w:tcW w:w="0" w:type="auto"/>
            <w:shd w:val="clear" w:color="auto" w:fill="FFFFFF"/>
          </w:tcPr>
          <w:p w14:paraId="3C10226B" w14:textId="1FB7F3A2" w:rsidR="0040670C" w:rsidRPr="002124CC" w:rsidRDefault="0040670C" w:rsidP="00071B7C">
            <w:pPr>
              <w:pStyle w:val="CETBodytext"/>
              <w:jc w:val="center"/>
              <w:rPr>
                <w:lang w:val="en-GB"/>
              </w:rPr>
            </w:pPr>
            <w:r w:rsidRPr="002124CC">
              <w:rPr>
                <w:rFonts w:cs="Arial"/>
                <w:szCs w:val="18"/>
                <w:lang w:val="en-GB"/>
              </w:rPr>
              <w:t>c)</w:t>
            </w:r>
          </w:p>
        </w:tc>
        <w:tc>
          <w:tcPr>
            <w:tcW w:w="0" w:type="auto"/>
            <w:shd w:val="clear" w:color="auto" w:fill="FFFFFF"/>
          </w:tcPr>
          <w:p w14:paraId="52054999" w14:textId="6F0A5302" w:rsidR="0040670C" w:rsidRPr="002124CC" w:rsidRDefault="0040670C" w:rsidP="00071B7C">
            <w:pPr>
              <w:pStyle w:val="CETBodytext"/>
              <w:jc w:val="center"/>
              <w:rPr>
                <w:lang w:val="en-GB"/>
              </w:rPr>
            </w:pPr>
            <w:r w:rsidRPr="002124CC">
              <w:rPr>
                <w:rFonts w:cs="Arial"/>
                <w:szCs w:val="18"/>
                <w:lang w:val="en-GB"/>
              </w:rPr>
              <w:t>c)</w:t>
            </w:r>
          </w:p>
        </w:tc>
        <w:tc>
          <w:tcPr>
            <w:tcW w:w="0" w:type="auto"/>
            <w:shd w:val="clear" w:color="auto" w:fill="FFFFFF"/>
          </w:tcPr>
          <w:p w14:paraId="34FE4365" w14:textId="7A1F66AA" w:rsidR="0040670C" w:rsidRPr="002124CC" w:rsidRDefault="0040670C" w:rsidP="00071B7C">
            <w:pPr>
              <w:pStyle w:val="CETBodytext"/>
              <w:jc w:val="center"/>
              <w:rPr>
                <w:lang w:val="en-GB"/>
              </w:rPr>
            </w:pPr>
            <w:r w:rsidRPr="002124CC">
              <w:rPr>
                <w:rFonts w:cs="Arial"/>
                <w:szCs w:val="18"/>
                <w:lang w:val="en-GB"/>
              </w:rPr>
              <w:t>c)</w:t>
            </w:r>
          </w:p>
        </w:tc>
      </w:tr>
      <w:tr w:rsidR="0040670C" w:rsidRPr="002124CC" w14:paraId="0A4DD9DF" w14:textId="58A4882B" w:rsidTr="0040670C">
        <w:tc>
          <w:tcPr>
            <w:tcW w:w="0" w:type="auto"/>
            <w:shd w:val="clear" w:color="auto" w:fill="FFFFFF"/>
          </w:tcPr>
          <w:p w14:paraId="09E34186" w14:textId="1E1A132B" w:rsidR="0040670C" w:rsidRPr="002124CC" w:rsidRDefault="0040670C" w:rsidP="00071B7C">
            <w:pPr>
              <w:pStyle w:val="CETBodytext"/>
              <w:ind w:right="-1"/>
              <w:jc w:val="center"/>
              <w:rPr>
                <w:rFonts w:cs="Arial"/>
                <w:szCs w:val="18"/>
                <w:lang w:val="en-GB"/>
              </w:rPr>
            </w:pPr>
            <w:r w:rsidRPr="002124CC">
              <w:rPr>
                <w:lang w:val="en-GB"/>
              </w:rPr>
              <w:t>State</w:t>
            </w:r>
          </w:p>
        </w:tc>
        <w:tc>
          <w:tcPr>
            <w:tcW w:w="0" w:type="auto"/>
            <w:shd w:val="clear" w:color="auto" w:fill="FFFFFF"/>
          </w:tcPr>
          <w:p w14:paraId="6E5564DA" w14:textId="42E61FD6" w:rsidR="0040670C" w:rsidRPr="002124CC" w:rsidRDefault="0040670C" w:rsidP="00071B7C">
            <w:pPr>
              <w:pStyle w:val="CETBodytext"/>
              <w:ind w:right="-1"/>
              <w:jc w:val="center"/>
              <w:rPr>
                <w:rFonts w:cs="Arial"/>
                <w:szCs w:val="18"/>
                <w:lang w:val="en-GB"/>
              </w:rPr>
            </w:pPr>
            <w:r w:rsidRPr="002124CC">
              <w:rPr>
                <w:lang w:val="en-GB"/>
              </w:rPr>
              <w:t>High</w:t>
            </w:r>
          </w:p>
        </w:tc>
        <w:tc>
          <w:tcPr>
            <w:tcW w:w="0" w:type="auto"/>
            <w:shd w:val="clear" w:color="auto" w:fill="FFFFFF"/>
          </w:tcPr>
          <w:p w14:paraId="5D0B01B8" w14:textId="3091CB31" w:rsidR="0040670C" w:rsidRPr="002124CC" w:rsidRDefault="0040670C" w:rsidP="00071B7C">
            <w:pPr>
              <w:pStyle w:val="CETBodytext"/>
              <w:ind w:right="-1"/>
              <w:jc w:val="center"/>
              <w:rPr>
                <w:rFonts w:cs="Arial"/>
                <w:szCs w:val="18"/>
                <w:lang w:val="en-GB"/>
              </w:rPr>
            </w:pPr>
            <w:r w:rsidRPr="002124CC">
              <w:rPr>
                <w:rFonts w:cs="Arial"/>
                <w:szCs w:val="18"/>
                <w:lang w:val="en-GB"/>
              </w:rPr>
              <w:t>Present</w:t>
            </w:r>
          </w:p>
        </w:tc>
        <w:tc>
          <w:tcPr>
            <w:tcW w:w="0" w:type="auto"/>
            <w:shd w:val="clear" w:color="auto" w:fill="FFFFFF"/>
          </w:tcPr>
          <w:p w14:paraId="2F4642E5" w14:textId="29C84462" w:rsidR="0040670C" w:rsidRPr="002124CC" w:rsidRDefault="0040670C" w:rsidP="00071B7C">
            <w:pPr>
              <w:pStyle w:val="CETBodytext"/>
              <w:ind w:right="-1"/>
              <w:jc w:val="center"/>
              <w:rPr>
                <w:rFonts w:cs="Arial"/>
                <w:szCs w:val="18"/>
                <w:lang w:val="en-GB"/>
              </w:rPr>
            </w:pPr>
            <w:r w:rsidRPr="002124CC">
              <w:rPr>
                <w:rFonts w:cs="Arial"/>
                <w:szCs w:val="18"/>
                <w:lang w:val="en-GB"/>
              </w:rPr>
              <w:t>Detection</w:t>
            </w:r>
          </w:p>
        </w:tc>
        <w:tc>
          <w:tcPr>
            <w:tcW w:w="0" w:type="auto"/>
            <w:shd w:val="clear" w:color="auto" w:fill="FFFFFF"/>
          </w:tcPr>
          <w:p w14:paraId="358121BC" w14:textId="6C596714" w:rsidR="0040670C" w:rsidRPr="002124CC" w:rsidRDefault="0040670C" w:rsidP="00071B7C">
            <w:pPr>
              <w:pStyle w:val="CETBodytext"/>
              <w:ind w:right="-1"/>
              <w:jc w:val="center"/>
              <w:rPr>
                <w:rFonts w:cs="Arial"/>
                <w:szCs w:val="18"/>
                <w:lang w:val="en-GB"/>
              </w:rPr>
            </w:pPr>
            <w:r w:rsidRPr="002124CC">
              <w:rPr>
                <w:rFonts w:cs="Arial"/>
                <w:szCs w:val="18"/>
                <w:lang w:val="en-GB"/>
              </w:rPr>
              <w:t>Success</w:t>
            </w:r>
          </w:p>
        </w:tc>
        <w:tc>
          <w:tcPr>
            <w:tcW w:w="0" w:type="auto"/>
            <w:shd w:val="clear" w:color="auto" w:fill="FFFFFF"/>
          </w:tcPr>
          <w:p w14:paraId="0ADCBAF8" w14:textId="386AAFDC" w:rsidR="0040670C" w:rsidRPr="002124CC" w:rsidRDefault="0040670C" w:rsidP="00071B7C">
            <w:pPr>
              <w:pStyle w:val="CETBodytext"/>
              <w:ind w:right="-1"/>
              <w:jc w:val="center"/>
              <w:rPr>
                <w:rFonts w:cs="Arial"/>
                <w:szCs w:val="18"/>
                <w:lang w:val="en-GB"/>
              </w:rPr>
            </w:pPr>
            <w:r w:rsidRPr="002124CC">
              <w:rPr>
                <w:rFonts w:cs="Arial"/>
                <w:szCs w:val="18"/>
                <w:lang w:val="en-GB"/>
              </w:rPr>
              <w:t>Success</w:t>
            </w:r>
          </w:p>
        </w:tc>
        <w:tc>
          <w:tcPr>
            <w:tcW w:w="0" w:type="auto"/>
            <w:shd w:val="clear" w:color="auto" w:fill="FFFFFF"/>
          </w:tcPr>
          <w:p w14:paraId="50FD7E08" w14:textId="646FE52E" w:rsidR="0040670C" w:rsidRPr="002124CC" w:rsidRDefault="0040670C" w:rsidP="00071B7C">
            <w:pPr>
              <w:pStyle w:val="CETBodytext"/>
              <w:ind w:right="-1"/>
              <w:jc w:val="center"/>
              <w:rPr>
                <w:rFonts w:cs="Arial"/>
                <w:szCs w:val="18"/>
                <w:lang w:val="en-GB"/>
              </w:rPr>
            </w:pPr>
            <w:r w:rsidRPr="002124CC">
              <w:rPr>
                <w:rFonts w:cs="Arial"/>
                <w:szCs w:val="18"/>
                <w:lang w:val="en-GB"/>
              </w:rPr>
              <w:t>Success</w:t>
            </w:r>
          </w:p>
        </w:tc>
        <w:tc>
          <w:tcPr>
            <w:tcW w:w="0" w:type="auto"/>
            <w:shd w:val="clear" w:color="auto" w:fill="FFFFFF"/>
          </w:tcPr>
          <w:p w14:paraId="27D8CCC1" w14:textId="330EBEA7" w:rsidR="0040670C" w:rsidRPr="002124CC" w:rsidRDefault="0040670C" w:rsidP="00071B7C">
            <w:pPr>
              <w:pStyle w:val="CETBodytext"/>
              <w:ind w:right="-1"/>
              <w:jc w:val="center"/>
              <w:rPr>
                <w:rFonts w:cs="Arial"/>
                <w:szCs w:val="18"/>
                <w:lang w:val="en-GB"/>
              </w:rPr>
            </w:pPr>
            <w:r w:rsidRPr="002124CC">
              <w:rPr>
                <w:rFonts w:cs="Arial"/>
                <w:szCs w:val="18"/>
                <w:lang w:val="en-GB"/>
              </w:rPr>
              <w:t>Success</w:t>
            </w:r>
          </w:p>
        </w:tc>
        <w:tc>
          <w:tcPr>
            <w:tcW w:w="0" w:type="auto"/>
            <w:shd w:val="clear" w:color="auto" w:fill="FFFFFF"/>
          </w:tcPr>
          <w:p w14:paraId="4333C568" w14:textId="51D39CB5" w:rsidR="0040670C" w:rsidRPr="002124CC" w:rsidRDefault="0040670C" w:rsidP="00071B7C">
            <w:pPr>
              <w:pStyle w:val="CETBodytext"/>
              <w:ind w:right="-1"/>
              <w:jc w:val="center"/>
              <w:rPr>
                <w:rFonts w:cs="Arial"/>
                <w:szCs w:val="18"/>
                <w:lang w:val="en-GB"/>
              </w:rPr>
            </w:pPr>
            <w:r w:rsidRPr="002124CC">
              <w:rPr>
                <w:rFonts w:cs="Arial"/>
                <w:szCs w:val="18"/>
                <w:lang w:val="en-GB"/>
              </w:rPr>
              <w:t>Success</w:t>
            </w:r>
          </w:p>
        </w:tc>
        <w:tc>
          <w:tcPr>
            <w:tcW w:w="0" w:type="auto"/>
            <w:shd w:val="clear" w:color="auto" w:fill="FFFFFF"/>
          </w:tcPr>
          <w:p w14:paraId="3B08BA5B" w14:textId="47C4E94D" w:rsidR="0040670C" w:rsidRPr="002124CC" w:rsidRDefault="0040670C" w:rsidP="00071B7C">
            <w:pPr>
              <w:pStyle w:val="CETBodytext"/>
              <w:ind w:right="-1"/>
              <w:jc w:val="center"/>
              <w:rPr>
                <w:rFonts w:cs="Arial"/>
                <w:szCs w:val="18"/>
                <w:lang w:val="en-GB"/>
              </w:rPr>
            </w:pPr>
            <w:r w:rsidRPr="002124CC">
              <w:rPr>
                <w:rFonts w:cs="Arial"/>
                <w:szCs w:val="18"/>
                <w:lang w:val="en-GB"/>
              </w:rPr>
              <w:t>Success</w:t>
            </w:r>
          </w:p>
        </w:tc>
      </w:tr>
      <w:tr w:rsidR="0040670C" w:rsidRPr="002124CC" w14:paraId="63111745" w14:textId="6E30B1FB" w:rsidTr="0040670C">
        <w:tc>
          <w:tcPr>
            <w:tcW w:w="0" w:type="auto"/>
            <w:shd w:val="clear" w:color="auto" w:fill="FFFFFF"/>
          </w:tcPr>
          <w:p w14:paraId="67ABF44F" w14:textId="781F040E" w:rsidR="0040670C" w:rsidRPr="002124CC" w:rsidRDefault="0040670C" w:rsidP="00071B7C">
            <w:pPr>
              <w:pStyle w:val="CETBodytext"/>
              <w:ind w:right="-1"/>
              <w:jc w:val="center"/>
              <w:rPr>
                <w:rFonts w:cs="Arial"/>
                <w:szCs w:val="18"/>
                <w:lang w:val="en-GB"/>
              </w:rPr>
            </w:pPr>
            <w:r w:rsidRPr="002124CC">
              <w:rPr>
                <w:rFonts w:cs="Arial"/>
                <w:szCs w:val="18"/>
                <w:lang w:val="en-GB"/>
              </w:rPr>
              <w:t>Prior Probability</w:t>
            </w:r>
          </w:p>
        </w:tc>
        <w:tc>
          <w:tcPr>
            <w:tcW w:w="0" w:type="auto"/>
            <w:shd w:val="clear" w:color="auto" w:fill="FFFFFF"/>
          </w:tcPr>
          <w:p w14:paraId="4AC872A9" w14:textId="5B5FBAE2" w:rsidR="0040670C" w:rsidRPr="002124CC" w:rsidRDefault="0040670C" w:rsidP="00071B7C">
            <w:pPr>
              <w:pStyle w:val="CETBodytext"/>
              <w:ind w:right="-1"/>
              <w:jc w:val="center"/>
              <w:rPr>
                <w:rFonts w:cs="Arial"/>
                <w:szCs w:val="18"/>
                <w:lang w:val="en-GB"/>
              </w:rPr>
            </w:pPr>
            <w:r w:rsidRPr="002124CC">
              <w:rPr>
                <w:rFonts w:cs="Arial"/>
                <w:szCs w:val="18"/>
                <w:lang w:val="en-GB"/>
              </w:rPr>
              <w:t>0.85</w:t>
            </w:r>
          </w:p>
        </w:tc>
        <w:tc>
          <w:tcPr>
            <w:tcW w:w="0" w:type="auto"/>
            <w:shd w:val="clear" w:color="auto" w:fill="FFFFFF"/>
          </w:tcPr>
          <w:p w14:paraId="06E38FD2" w14:textId="7CC8EC49" w:rsidR="0040670C" w:rsidRPr="002124CC" w:rsidRDefault="0040670C" w:rsidP="00071B7C">
            <w:pPr>
              <w:pStyle w:val="CETBodytext"/>
              <w:ind w:right="-1"/>
              <w:jc w:val="center"/>
              <w:rPr>
                <w:rFonts w:cs="Arial"/>
                <w:szCs w:val="18"/>
                <w:lang w:val="en-GB"/>
              </w:rPr>
            </w:pPr>
            <w:r w:rsidRPr="002124CC">
              <w:rPr>
                <w:rFonts w:cs="Arial"/>
                <w:szCs w:val="18"/>
                <w:lang w:val="en-GB"/>
              </w:rPr>
              <w:t>0.40</w:t>
            </w:r>
          </w:p>
        </w:tc>
        <w:tc>
          <w:tcPr>
            <w:tcW w:w="0" w:type="auto"/>
            <w:shd w:val="clear" w:color="auto" w:fill="FFFFFF"/>
          </w:tcPr>
          <w:p w14:paraId="056F54F8" w14:textId="0439A1FD" w:rsidR="0040670C" w:rsidRPr="002124CC" w:rsidRDefault="0040670C" w:rsidP="00071B7C">
            <w:pPr>
              <w:pStyle w:val="CETBodytext"/>
              <w:ind w:right="-1"/>
              <w:jc w:val="center"/>
              <w:rPr>
                <w:rFonts w:cs="Arial"/>
                <w:szCs w:val="18"/>
                <w:lang w:val="en-GB"/>
              </w:rPr>
            </w:pPr>
            <w:r w:rsidRPr="002124CC">
              <w:rPr>
                <w:rFonts w:cs="Arial"/>
                <w:szCs w:val="18"/>
                <w:lang w:val="en-GB"/>
              </w:rPr>
              <w:t>0.30</w:t>
            </w:r>
          </w:p>
        </w:tc>
        <w:tc>
          <w:tcPr>
            <w:tcW w:w="0" w:type="auto"/>
            <w:shd w:val="clear" w:color="auto" w:fill="FFFFFF"/>
          </w:tcPr>
          <w:p w14:paraId="1B1B6BD6" w14:textId="75CD4879" w:rsidR="0040670C" w:rsidRPr="002124CC" w:rsidRDefault="0040670C" w:rsidP="00071B7C">
            <w:pPr>
              <w:pStyle w:val="CETBodytext"/>
              <w:ind w:right="-1"/>
              <w:jc w:val="center"/>
              <w:rPr>
                <w:rFonts w:cs="Arial"/>
                <w:szCs w:val="18"/>
                <w:lang w:val="en-GB"/>
              </w:rPr>
            </w:pPr>
            <w:r w:rsidRPr="002124CC">
              <w:rPr>
                <w:rFonts w:cs="Arial"/>
                <w:szCs w:val="18"/>
                <w:lang w:val="en-GB"/>
              </w:rPr>
              <w:t>0.38</w:t>
            </w:r>
          </w:p>
        </w:tc>
        <w:tc>
          <w:tcPr>
            <w:tcW w:w="0" w:type="auto"/>
            <w:shd w:val="clear" w:color="auto" w:fill="FFFFFF"/>
          </w:tcPr>
          <w:p w14:paraId="21A2811D" w14:textId="7AE8F815" w:rsidR="0040670C" w:rsidRPr="002124CC" w:rsidRDefault="0040670C" w:rsidP="00071B7C">
            <w:pPr>
              <w:pStyle w:val="CETBodytext"/>
              <w:ind w:right="-1"/>
              <w:jc w:val="center"/>
              <w:rPr>
                <w:rFonts w:cs="Arial"/>
                <w:szCs w:val="18"/>
                <w:lang w:val="en-GB"/>
              </w:rPr>
            </w:pPr>
            <w:r w:rsidRPr="002124CC">
              <w:rPr>
                <w:rFonts w:cs="Arial"/>
                <w:szCs w:val="18"/>
                <w:lang w:val="en-GB"/>
              </w:rPr>
              <w:t>0.95</w:t>
            </w:r>
          </w:p>
        </w:tc>
        <w:tc>
          <w:tcPr>
            <w:tcW w:w="0" w:type="auto"/>
            <w:shd w:val="clear" w:color="auto" w:fill="FFFFFF"/>
          </w:tcPr>
          <w:p w14:paraId="723FE81C" w14:textId="172D4F6D" w:rsidR="0040670C" w:rsidRPr="002124CC" w:rsidRDefault="0040670C" w:rsidP="00071B7C">
            <w:pPr>
              <w:pStyle w:val="CETBodytext"/>
              <w:ind w:right="-1"/>
              <w:jc w:val="center"/>
              <w:rPr>
                <w:rFonts w:cs="Arial"/>
                <w:szCs w:val="18"/>
                <w:lang w:val="en-GB"/>
              </w:rPr>
            </w:pPr>
            <w:r w:rsidRPr="002124CC">
              <w:rPr>
                <w:rFonts w:cs="Arial"/>
                <w:szCs w:val="18"/>
                <w:lang w:val="en-GB"/>
              </w:rPr>
              <w:t>0.11</w:t>
            </w:r>
          </w:p>
        </w:tc>
        <w:tc>
          <w:tcPr>
            <w:tcW w:w="0" w:type="auto"/>
            <w:shd w:val="clear" w:color="auto" w:fill="FFFFFF"/>
          </w:tcPr>
          <w:p w14:paraId="18B86B51" w14:textId="45F904DB" w:rsidR="0040670C" w:rsidRPr="002124CC" w:rsidRDefault="0040670C" w:rsidP="00071B7C">
            <w:pPr>
              <w:pStyle w:val="CETBodytext"/>
              <w:ind w:right="-1"/>
              <w:jc w:val="center"/>
              <w:rPr>
                <w:rFonts w:cs="Arial"/>
                <w:szCs w:val="18"/>
                <w:lang w:val="en-GB"/>
              </w:rPr>
            </w:pPr>
            <w:r w:rsidRPr="002124CC">
              <w:rPr>
                <w:rFonts w:cs="Arial"/>
                <w:szCs w:val="18"/>
                <w:lang w:val="en-GB"/>
              </w:rPr>
              <w:t>0.96</w:t>
            </w:r>
          </w:p>
        </w:tc>
        <w:tc>
          <w:tcPr>
            <w:tcW w:w="0" w:type="auto"/>
            <w:shd w:val="clear" w:color="auto" w:fill="FFFFFF"/>
          </w:tcPr>
          <w:p w14:paraId="75F9C0B0" w14:textId="1616EAEB" w:rsidR="0040670C" w:rsidRPr="002124CC" w:rsidRDefault="0040670C" w:rsidP="00071B7C">
            <w:pPr>
              <w:pStyle w:val="CETBodytext"/>
              <w:ind w:right="-1"/>
              <w:jc w:val="center"/>
              <w:rPr>
                <w:rFonts w:cs="Arial"/>
                <w:szCs w:val="18"/>
                <w:lang w:val="en-GB"/>
              </w:rPr>
            </w:pPr>
            <w:r w:rsidRPr="002124CC">
              <w:rPr>
                <w:rFonts w:cs="Arial"/>
                <w:szCs w:val="18"/>
                <w:lang w:val="en-GB"/>
              </w:rPr>
              <w:t>0.96</w:t>
            </w:r>
          </w:p>
        </w:tc>
        <w:tc>
          <w:tcPr>
            <w:tcW w:w="0" w:type="auto"/>
            <w:shd w:val="clear" w:color="auto" w:fill="FFFFFF"/>
          </w:tcPr>
          <w:p w14:paraId="5D28CCB6" w14:textId="2D87F5C2" w:rsidR="0040670C" w:rsidRPr="002124CC" w:rsidRDefault="0040670C" w:rsidP="00071B7C">
            <w:pPr>
              <w:pStyle w:val="CETBodytext"/>
              <w:ind w:right="-1"/>
              <w:jc w:val="center"/>
              <w:rPr>
                <w:rFonts w:cs="Arial"/>
                <w:szCs w:val="18"/>
                <w:lang w:val="en-GB"/>
              </w:rPr>
            </w:pPr>
            <w:r w:rsidRPr="002124CC">
              <w:rPr>
                <w:rFonts w:cs="Arial"/>
                <w:szCs w:val="18"/>
                <w:lang w:val="en-GB"/>
              </w:rPr>
              <w:t>0.96</w:t>
            </w:r>
          </w:p>
        </w:tc>
      </w:tr>
    </w:tbl>
    <w:p w14:paraId="705EB713" w14:textId="77777777" w:rsidR="006538D8" w:rsidRPr="002124CC" w:rsidRDefault="006538D8" w:rsidP="006538D8">
      <w:pPr>
        <w:pStyle w:val="CETBodytext"/>
      </w:pPr>
    </w:p>
    <w:p w14:paraId="5FBDB281" w14:textId="21E12AAB" w:rsidR="0012372E" w:rsidRPr="002124CC" w:rsidRDefault="0012372E" w:rsidP="006538D8">
      <w:pPr>
        <w:pStyle w:val="CETBodytext"/>
      </w:pPr>
      <w:r w:rsidRPr="002124CC">
        <w:t xml:space="preserve">As it can be seen, the prior probabilities of safety barriers (Nodes 3) </w:t>
      </w:r>
      <w:r w:rsidR="007E78CC">
        <w:t>are</w:t>
      </w:r>
      <w:r w:rsidR="007E78CC" w:rsidRPr="002124CC">
        <w:t xml:space="preserve"> </w:t>
      </w:r>
      <w:r w:rsidRPr="002124CC">
        <w:t xml:space="preserve">higher than </w:t>
      </w:r>
      <w:r w:rsidR="007E78CC">
        <w:t xml:space="preserve">that of </w:t>
      </w:r>
      <w:r w:rsidRPr="002124CC">
        <w:t xml:space="preserve">security barriers (Nodes </w:t>
      </w:r>
      <w:r w:rsidR="00800283">
        <w:t>2</w:t>
      </w:r>
      <w:r w:rsidRPr="002124CC">
        <w:t>).</w:t>
      </w:r>
      <w:r w:rsidR="0067479F">
        <w:t xml:space="preserve"> </w:t>
      </w:r>
      <w:r w:rsidRPr="002124CC">
        <w:t xml:space="preserve">This is due to the fact that the </w:t>
      </w:r>
      <w:r w:rsidR="00AE3F37">
        <w:t xml:space="preserve">considered </w:t>
      </w:r>
      <w:r w:rsidRPr="002124CC">
        <w:t>security barriers are strongly based on human action, which tends to be less reliable than an automated system such as a shell cooling system. The detection function of security barriers could be improved by the use of automatic systems, such Closed Circuit Television or Intrusion Detection Systems. However, the bottleneck of the process still remains the intervention of the emergency team</w:t>
      </w:r>
      <w:r w:rsidR="00EE3C82" w:rsidRPr="002124CC">
        <w:t xml:space="preserve"> (Node 2.4)</w:t>
      </w:r>
      <w:r w:rsidRPr="002124CC">
        <w:t xml:space="preserve">, which cannot be substituted by automated systems. Hence, the management should invest </w:t>
      </w:r>
      <w:r w:rsidR="00D52D08">
        <w:t xml:space="preserve">not only </w:t>
      </w:r>
      <w:r w:rsidRPr="002124CC">
        <w:t>in automated detection system</w:t>
      </w:r>
      <w:r w:rsidR="00D52D08">
        <w:t>s</w:t>
      </w:r>
      <w:r w:rsidRPr="002124CC">
        <w:t xml:space="preserve">, but also in the training of the emergency team. </w:t>
      </w:r>
    </w:p>
    <w:p w14:paraId="349D391C" w14:textId="10B25B6E" w:rsidR="00DA3D62" w:rsidRPr="002124CC" w:rsidRDefault="00DA3D62" w:rsidP="006538D8">
      <w:pPr>
        <w:pStyle w:val="CETBodytext"/>
      </w:pPr>
      <w:r w:rsidRPr="002124CC">
        <w:t>Figure 4 reports the values of Nodes N1.1, 1.2, 1.3, 1.4 and N4 in the three different cases shown in Figure 3.</w:t>
      </w:r>
    </w:p>
    <w:p w14:paraId="3BAF5728" w14:textId="50AF6C2D" w:rsidR="00DA3D62" w:rsidRPr="002124CC" w:rsidRDefault="00A96753" w:rsidP="00D75F7C">
      <w:pPr>
        <w:pStyle w:val="CETCaption"/>
        <w:jc w:val="left"/>
        <w:rPr>
          <w:i w:val="0"/>
          <w:iCs/>
        </w:rPr>
      </w:pPr>
      <w:r w:rsidRPr="002124CC">
        <w:rPr>
          <w:noProof/>
        </w:rPr>
        <w:drawing>
          <wp:inline distT="0" distB="0" distL="0" distR="0" wp14:anchorId="5F8E954A" wp14:editId="77535623">
            <wp:extent cx="3603009" cy="1835742"/>
            <wp:effectExtent l="0" t="0" r="0" b="0"/>
            <wp:docPr id="15199026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3644" cy="1856446"/>
                    </a:xfrm>
                    <a:prstGeom prst="rect">
                      <a:avLst/>
                    </a:prstGeom>
                    <a:noFill/>
                    <a:ln>
                      <a:noFill/>
                    </a:ln>
                  </pic:spPr>
                </pic:pic>
              </a:graphicData>
            </a:graphic>
          </wp:inline>
        </w:drawing>
      </w:r>
    </w:p>
    <w:p w14:paraId="208BC9A9" w14:textId="5C58A16D" w:rsidR="00F44365" w:rsidRPr="002124CC" w:rsidRDefault="00FA2F43" w:rsidP="00C675D0">
      <w:pPr>
        <w:pStyle w:val="CETCaption"/>
        <w:jc w:val="left"/>
      </w:pPr>
      <w:r w:rsidRPr="002124CC">
        <w:t xml:space="preserve">Figure </w:t>
      </w:r>
      <w:r w:rsidR="0061473D" w:rsidRPr="002124CC">
        <w:t>4</w:t>
      </w:r>
      <w:r w:rsidRPr="002124CC">
        <w:t xml:space="preserve">: </w:t>
      </w:r>
      <w:r w:rsidR="0021299A" w:rsidRPr="002124CC">
        <w:t>Results of the application of the methodology to the case study; PPS = Security barriers; SB = Safety barriers</w:t>
      </w:r>
    </w:p>
    <w:p w14:paraId="39B0064A" w14:textId="562EA8C7" w:rsidR="00C31D70" w:rsidRDefault="00EE3C82" w:rsidP="00EE3C82">
      <w:pPr>
        <w:pStyle w:val="CETBodytext"/>
      </w:pPr>
      <w:r w:rsidRPr="002124CC">
        <w:t>The first thing that can be noticed is that all vessels are included in the scenario, meaning that there is a severe domino effect</w:t>
      </w:r>
      <w:r w:rsidR="000611B5">
        <w:t xml:space="preserve"> escalation</w:t>
      </w:r>
      <w:r w:rsidRPr="002124CC">
        <w:t xml:space="preserve">. In the case </w:t>
      </w:r>
      <w:r w:rsidR="000611B5">
        <w:t>without</w:t>
      </w:r>
      <w:r w:rsidRPr="002124CC">
        <w:t xml:space="preserve"> barriers, all vessels have </w:t>
      </w:r>
      <w:r w:rsidR="00C31D70">
        <w:t>more than 70%</w:t>
      </w:r>
      <w:r w:rsidRPr="002124CC">
        <w:t xml:space="preserve"> probability to be damaged. In case the performance of safety barriers is considered, the probability of damaging the tanks reduces by 10%. A higher impact is observed considering the synergistic effect of safety and security barriers. Namely, the successful intervention of the shell cooling system significantly mitigates the received heat radiation, causing a 50% decrease in the damage probability of T3. For T1 and T2, a reduction of 25% in vulnerability can instead be observed. This shows how considering the intervention of safety barriers in security scenarios is essential in order to better identify the vulnerabilities of process facilities.</w:t>
      </w:r>
      <w:r w:rsidR="00C31D70">
        <w:t xml:space="preserve"> </w:t>
      </w:r>
      <w:r w:rsidRPr="002124CC">
        <w:t xml:space="preserve">As for the economic losses, they are in the order of </w:t>
      </w:r>
      <w:r w:rsidR="00DF7C76" w:rsidRPr="002124CC">
        <w:t>3M$ in all three cases</w:t>
      </w:r>
      <w:r w:rsidRPr="002124CC">
        <w:t xml:space="preserve">; this is reasonable as gasoline tends to be a very profitable product, hence the majority of the losses are associated </w:t>
      </w:r>
      <w:r w:rsidR="00B54C87">
        <w:t>with</w:t>
      </w:r>
      <w:r w:rsidRPr="002124CC">
        <w:t xml:space="preserve"> the loss of product, rather than to the loss of the equipment. </w:t>
      </w:r>
      <w:r w:rsidR="00DF7C76" w:rsidRPr="002124CC">
        <w:t xml:space="preserve">A different result could be obtained if a less profitable but still hazardous chemical is stored in the tanks. Also, some tanks might be more sophisticated than the ones in this work, contributing to more significant costs. </w:t>
      </w:r>
      <w:r w:rsidRPr="002124CC">
        <w:t>More specifically, economic losses</w:t>
      </w:r>
      <w:r w:rsidR="00DF7C76" w:rsidRPr="002124CC">
        <w:t xml:space="preserve"> have a 10% drop if only security barriers are considered; instead, the synergistic performance of safety and security barriers causes an almost 25% reduction of economic losses compared to the case with no barriers. </w:t>
      </w:r>
    </w:p>
    <w:p w14:paraId="7B3CDE9D" w14:textId="22D3FD7A" w:rsidR="00981178" w:rsidRPr="002124CC" w:rsidRDefault="00981178" w:rsidP="00EE3C82">
      <w:pPr>
        <w:pStyle w:val="CETBodytext"/>
      </w:pPr>
      <w:r w:rsidRPr="002124CC">
        <w:t>A better understanding of which barriers impact both the vulnerability and the economic losses associated to intentional attacks can guide plant managers in choosing correct defense strategies.</w:t>
      </w:r>
    </w:p>
    <w:p w14:paraId="68D26B83" w14:textId="41D94F06" w:rsidR="00600535" w:rsidRPr="002124CC" w:rsidRDefault="00600535" w:rsidP="00600535">
      <w:pPr>
        <w:pStyle w:val="CETHeading1"/>
        <w:rPr>
          <w:lang w:val="en-GB"/>
        </w:rPr>
      </w:pPr>
      <w:r w:rsidRPr="002124CC">
        <w:rPr>
          <w:lang w:val="en-GB"/>
        </w:rPr>
        <w:lastRenderedPageBreak/>
        <w:t>Conclusions</w:t>
      </w:r>
    </w:p>
    <w:p w14:paraId="0E35DC09" w14:textId="33045E12" w:rsidR="006075A4" w:rsidRPr="002124CC" w:rsidRDefault="00E14A64" w:rsidP="000361EB">
      <w:pPr>
        <w:pStyle w:val="CETBodytext"/>
        <w:rPr>
          <w:lang w:val="en-GB"/>
        </w:rPr>
      </w:pPr>
      <w:r w:rsidRPr="002124CC">
        <w:rPr>
          <w:lang w:val="en-GB"/>
        </w:rPr>
        <w:t xml:space="preserve">Although the interest of </w:t>
      </w:r>
      <w:r w:rsidR="008353E4" w:rsidRPr="002124CC">
        <w:rPr>
          <w:lang w:val="en-GB"/>
        </w:rPr>
        <w:t xml:space="preserve">institutions and researchers to intentional attacks to process facilities has risen in the last years, there is still a lack of methodologies </w:t>
      </w:r>
      <w:r w:rsidR="00B457CB" w:rsidRPr="002124CC">
        <w:rPr>
          <w:lang w:val="en-GB"/>
        </w:rPr>
        <w:t>that account for the</w:t>
      </w:r>
      <w:r w:rsidR="0043739C" w:rsidRPr="002124CC">
        <w:rPr>
          <w:lang w:val="en-GB"/>
        </w:rPr>
        <w:t xml:space="preserve"> economic losses associated </w:t>
      </w:r>
      <w:r w:rsidR="00F97C9E" w:rsidRPr="002124CC">
        <w:rPr>
          <w:lang w:val="en-GB"/>
        </w:rPr>
        <w:t>with</w:t>
      </w:r>
      <w:r w:rsidR="0043739C" w:rsidRPr="002124CC">
        <w:rPr>
          <w:lang w:val="en-GB"/>
        </w:rPr>
        <w:t xml:space="preserve"> </w:t>
      </w:r>
      <w:r w:rsidR="009570D5" w:rsidRPr="002124CC">
        <w:rPr>
          <w:lang w:val="en-GB"/>
        </w:rPr>
        <w:t xml:space="preserve">such critical events. </w:t>
      </w:r>
      <w:r w:rsidR="000452D6" w:rsidRPr="002124CC">
        <w:rPr>
          <w:lang w:val="en-GB"/>
        </w:rPr>
        <w:t xml:space="preserve">Moreover, </w:t>
      </w:r>
      <w:r w:rsidR="00D629AE" w:rsidRPr="002124CC">
        <w:rPr>
          <w:lang w:val="en-GB"/>
        </w:rPr>
        <w:t>available approaches are not able to cope with the s</w:t>
      </w:r>
      <w:r w:rsidR="000452D6" w:rsidRPr="002124CC">
        <w:rPr>
          <w:lang w:val="en-GB"/>
        </w:rPr>
        <w:t>ynergic performance of safety and security barriers</w:t>
      </w:r>
      <w:r w:rsidR="00D629AE" w:rsidRPr="002124CC">
        <w:rPr>
          <w:lang w:val="en-GB"/>
        </w:rPr>
        <w:t>.</w:t>
      </w:r>
      <w:r w:rsidR="000452D6" w:rsidRPr="002124CC">
        <w:rPr>
          <w:lang w:val="en-GB"/>
        </w:rPr>
        <w:t xml:space="preserve"> </w:t>
      </w:r>
      <w:r w:rsidR="00B457CB" w:rsidRPr="002124CC">
        <w:rPr>
          <w:lang w:val="en-GB"/>
        </w:rPr>
        <w:t xml:space="preserve">For this reason, this work explored a </w:t>
      </w:r>
      <w:r w:rsidR="00270FF4" w:rsidRPr="002124CC">
        <w:rPr>
          <w:lang w:val="en-GB"/>
        </w:rPr>
        <w:t xml:space="preserve">BN </w:t>
      </w:r>
      <w:r w:rsidR="00B457CB" w:rsidRPr="002124CC">
        <w:rPr>
          <w:lang w:val="en-GB"/>
        </w:rPr>
        <w:t xml:space="preserve">methodology to evaluate </w:t>
      </w:r>
      <w:r w:rsidR="00D629AE" w:rsidRPr="002124CC">
        <w:rPr>
          <w:lang w:val="en-GB"/>
        </w:rPr>
        <w:t>economic</w:t>
      </w:r>
      <w:r w:rsidR="00B457CB" w:rsidRPr="002124CC">
        <w:rPr>
          <w:lang w:val="en-GB"/>
        </w:rPr>
        <w:t xml:space="preserve"> losses </w:t>
      </w:r>
      <w:r w:rsidR="00D629AE" w:rsidRPr="002124CC">
        <w:rPr>
          <w:lang w:val="en-GB"/>
        </w:rPr>
        <w:t xml:space="preserve">considering the combined performance of </w:t>
      </w:r>
      <w:r w:rsidR="00270FF4" w:rsidRPr="002124CC">
        <w:rPr>
          <w:lang w:val="en-GB"/>
        </w:rPr>
        <w:t xml:space="preserve">safety and security </w:t>
      </w:r>
      <w:r w:rsidR="00D629AE" w:rsidRPr="002124CC">
        <w:rPr>
          <w:lang w:val="en-GB"/>
        </w:rPr>
        <w:t>barriers</w:t>
      </w:r>
      <w:r w:rsidR="00B457CB" w:rsidRPr="002124CC">
        <w:rPr>
          <w:lang w:val="en-GB"/>
        </w:rPr>
        <w:t>.</w:t>
      </w:r>
      <w:r w:rsidR="002B2DEE" w:rsidRPr="002124CC">
        <w:rPr>
          <w:lang w:val="en-GB"/>
        </w:rPr>
        <w:t xml:space="preserve"> The application </w:t>
      </w:r>
      <w:r w:rsidR="00D629AE" w:rsidRPr="002124CC">
        <w:rPr>
          <w:lang w:val="en-GB"/>
        </w:rPr>
        <w:t xml:space="preserve">to the case study demonstrated that safety barriers play a key role in the de-escalation of release scenarios </w:t>
      </w:r>
      <w:r w:rsidR="00E80927" w:rsidRPr="002124CC">
        <w:rPr>
          <w:lang w:val="en-GB"/>
        </w:rPr>
        <w:t>associated to intentional events, which can be more severe compared to unintentional accidents.</w:t>
      </w:r>
      <w:r w:rsidR="00F44365" w:rsidRPr="002124CC">
        <w:rPr>
          <w:lang w:val="en-GB"/>
        </w:rPr>
        <w:t xml:space="preserve"> </w:t>
      </w:r>
      <w:r w:rsidR="0012372E" w:rsidRPr="002124CC">
        <w:rPr>
          <w:lang w:val="en-GB"/>
        </w:rPr>
        <w:t xml:space="preserve">The presented methodology can be further improved. First of all, the expression of the economic losses can be refined by including factors such as plant expected downtime, reputational losses, and insurance costs. Then, by adding other utility gates, e.g., costs of barriers, the BN can be turned into a proper tool to easily carry out cost-benefit analyses. </w:t>
      </w:r>
      <w:r w:rsidR="00EA3CD5">
        <w:rPr>
          <w:lang w:val="en-GB"/>
        </w:rPr>
        <w:t xml:space="preserve">One drawback is that the so-obtained BN might become very extensive, </w:t>
      </w:r>
      <w:r w:rsidR="00FF0E2D">
        <w:rPr>
          <w:lang w:val="en-GB"/>
        </w:rPr>
        <w:t>implying the need for some time to properly build</w:t>
      </w:r>
      <w:r w:rsidR="00D43372">
        <w:rPr>
          <w:lang w:val="en-GB"/>
        </w:rPr>
        <w:t xml:space="preserve"> and </w:t>
      </w:r>
      <w:r w:rsidR="00FF0E2D">
        <w:rPr>
          <w:lang w:val="en-GB"/>
        </w:rPr>
        <w:t>quantify it</w:t>
      </w:r>
      <w:r w:rsidR="00D43372">
        <w:rPr>
          <w:lang w:val="en-GB"/>
        </w:rPr>
        <w:t>.</w:t>
      </w:r>
      <w:r w:rsidR="009943FB">
        <w:rPr>
          <w:lang w:val="en-GB"/>
        </w:rPr>
        <w:t xml:space="preserve"> </w:t>
      </w:r>
      <w:r w:rsidR="00C908E4">
        <w:rPr>
          <w:lang w:val="en-GB"/>
        </w:rPr>
        <w:t>M</w:t>
      </w:r>
      <w:r w:rsidR="007662B2">
        <w:rPr>
          <w:lang w:val="en-GB"/>
        </w:rPr>
        <w:t xml:space="preserve">oreover, more efforts are needed in order to gather all necessary data for the methodology, which might be hard to </w:t>
      </w:r>
      <w:r w:rsidR="0002516A">
        <w:rPr>
          <w:lang w:val="en-GB"/>
        </w:rPr>
        <w:t>retrieve.</w:t>
      </w:r>
      <w:r w:rsidR="00FF0E2D">
        <w:rPr>
          <w:lang w:val="en-GB"/>
        </w:rPr>
        <w:t xml:space="preserve"> </w:t>
      </w:r>
      <w:r w:rsidR="0053558E" w:rsidRPr="002124CC">
        <w:rPr>
          <w:lang w:val="en-GB"/>
        </w:rPr>
        <w:t>To conclude</w:t>
      </w:r>
      <w:r w:rsidR="00D54429" w:rsidRPr="002124CC">
        <w:rPr>
          <w:lang w:val="en-GB"/>
        </w:rPr>
        <w:t xml:space="preserve">, the combined performance of safety </w:t>
      </w:r>
      <w:r w:rsidR="0053558E" w:rsidRPr="002124CC">
        <w:rPr>
          <w:lang w:val="en-GB"/>
        </w:rPr>
        <w:t>and security</w:t>
      </w:r>
      <w:r w:rsidR="00B34B85" w:rsidRPr="002124CC">
        <w:rPr>
          <w:lang w:val="en-GB"/>
        </w:rPr>
        <w:t xml:space="preserve"> should be considered to</w:t>
      </w:r>
      <w:r w:rsidR="0053558E" w:rsidRPr="002124CC">
        <w:rPr>
          <w:lang w:val="en-GB"/>
        </w:rPr>
        <w:t xml:space="preserve"> better defin</w:t>
      </w:r>
      <w:r w:rsidR="00B34B85" w:rsidRPr="002124CC">
        <w:rPr>
          <w:lang w:val="en-GB"/>
        </w:rPr>
        <w:t>e</w:t>
      </w:r>
      <w:r w:rsidR="0053558E" w:rsidRPr="002124CC">
        <w:rPr>
          <w:lang w:val="en-GB"/>
        </w:rPr>
        <w:t xml:space="preserve"> asset losses,</w:t>
      </w:r>
      <w:r w:rsidR="00B34B85" w:rsidRPr="002124CC">
        <w:rPr>
          <w:lang w:val="en-GB"/>
        </w:rPr>
        <w:t xml:space="preserve"> and to</w:t>
      </w:r>
      <w:r w:rsidR="0053558E" w:rsidRPr="002124CC">
        <w:rPr>
          <w:lang w:val="en-GB"/>
        </w:rPr>
        <w:t xml:space="preserve"> avoid over-conservative estimations. The developed</w:t>
      </w:r>
      <w:r w:rsidR="00B34B85" w:rsidRPr="002124CC">
        <w:rPr>
          <w:lang w:val="en-GB"/>
        </w:rPr>
        <w:t xml:space="preserve"> methodology can thus support plant managers practitioners </w:t>
      </w:r>
      <w:r w:rsidR="007118FD" w:rsidRPr="002124CC">
        <w:rPr>
          <w:lang w:val="en-GB"/>
        </w:rPr>
        <w:t>in choosing where defence resources should be allocated.</w:t>
      </w:r>
    </w:p>
    <w:p w14:paraId="459D05E6" w14:textId="77777777" w:rsidR="00600535" w:rsidRPr="002124CC" w:rsidRDefault="00600535" w:rsidP="00600535">
      <w:pPr>
        <w:pStyle w:val="CETAcknowledgementstitle"/>
      </w:pPr>
      <w:r w:rsidRPr="002124CC">
        <w:t>Acknowledgments</w:t>
      </w:r>
    </w:p>
    <w:p w14:paraId="4810462B" w14:textId="0A77DB63" w:rsidR="0008535B" w:rsidRPr="002124CC" w:rsidRDefault="0008535B" w:rsidP="0008535B">
      <w:pPr>
        <w:pStyle w:val="CETReference"/>
        <w:jc w:val="both"/>
        <w:rPr>
          <w:b w:val="0"/>
        </w:rPr>
      </w:pPr>
      <w:r w:rsidRPr="002124CC">
        <w:rPr>
          <w:b w:val="0"/>
        </w:rPr>
        <w:t>This study was in part developed within the project LIFE20 ENV/IT/000436 –LIFE SECURDOMINO “Seveso sites: assessment of integrated safety-security hazards and risks and related domino effects”</w:t>
      </w:r>
      <w:r w:rsidR="00400E6D" w:rsidRPr="002124CC">
        <w:rPr>
          <w:b w:val="0"/>
        </w:rPr>
        <w:t xml:space="preserve"> with the contribution of LIFE program of the European Union</w:t>
      </w:r>
      <w:r w:rsidR="00274BA7" w:rsidRPr="002124CC">
        <w:rPr>
          <w:b w:val="0"/>
        </w:rPr>
        <w:t>.</w:t>
      </w:r>
    </w:p>
    <w:p w14:paraId="4F1327F8" w14:textId="4D9AD5FE" w:rsidR="00600535" w:rsidRPr="002124CC" w:rsidRDefault="00600535" w:rsidP="0008535B">
      <w:pPr>
        <w:pStyle w:val="CETReference"/>
      </w:pPr>
      <w:r w:rsidRPr="002124CC">
        <w:t>References</w:t>
      </w:r>
    </w:p>
    <w:p w14:paraId="64819AF2" w14:textId="410FD8C7" w:rsidR="00F76153" w:rsidRPr="002124CC" w:rsidRDefault="004123DF" w:rsidP="00CB47BB">
      <w:pPr>
        <w:pStyle w:val="CETReferencetext"/>
        <w:rPr>
          <w:lang w:val="en-US"/>
        </w:rPr>
      </w:pPr>
      <w:r>
        <w:rPr>
          <w:lang w:val="en-US"/>
        </w:rPr>
        <w:t>API (</w:t>
      </w:r>
      <w:r w:rsidR="00F76153" w:rsidRPr="002124CC">
        <w:rPr>
          <w:lang w:val="en-US"/>
        </w:rPr>
        <w:t>American Petroleum Institute</w:t>
      </w:r>
      <w:r>
        <w:rPr>
          <w:lang w:val="en-US"/>
        </w:rPr>
        <w:t>)</w:t>
      </w:r>
      <w:r w:rsidR="00DC71F6" w:rsidRPr="002124CC">
        <w:rPr>
          <w:lang w:val="en-US"/>
        </w:rPr>
        <w:t>, 2008, ANSI/API Standard 581 – Risk-based Inspection Technologies, American Petroleum Industry, Washington DC; USA.</w:t>
      </w:r>
    </w:p>
    <w:p w14:paraId="3AD57523" w14:textId="3F10689A" w:rsidR="00DC71F6" w:rsidRPr="002124CC" w:rsidRDefault="00DC71F6" w:rsidP="00CB47BB">
      <w:pPr>
        <w:pStyle w:val="CETReferencetext"/>
        <w:rPr>
          <w:lang w:val="en-US"/>
        </w:rPr>
      </w:pPr>
      <w:r w:rsidRPr="002124CC">
        <w:rPr>
          <w:lang w:val="en-US"/>
        </w:rPr>
        <w:t xml:space="preserve">Argenti F., </w:t>
      </w:r>
      <w:r w:rsidR="00DA3D62" w:rsidRPr="002124CC">
        <w:rPr>
          <w:lang w:val="en-US"/>
        </w:rPr>
        <w:t>Landucci G., Cozzani V., Reniers G., 2017, A study on the performance assessment of anti-terrorism physical protection systems in chemical plants, Safety Science, 94, 181-196</w:t>
      </w:r>
    </w:p>
    <w:p w14:paraId="4BBB1A26" w14:textId="29291BBB" w:rsidR="00F9248B" w:rsidRPr="002124CC" w:rsidRDefault="00F9248B" w:rsidP="00CB47BB">
      <w:pPr>
        <w:pStyle w:val="CETReferencetext"/>
        <w:rPr>
          <w:lang w:val="en-US"/>
        </w:rPr>
      </w:pPr>
      <w:proofErr w:type="spellStart"/>
      <w:r w:rsidRPr="002124CC">
        <w:rPr>
          <w:lang w:val="en-US"/>
        </w:rPr>
        <w:t>Centraal</w:t>
      </w:r>
      <w:proofErr w:type="spellEnd"/>
      <w:r w:rsidRPr="002124CC">
        <w:rPr>
          <w:lang w:val="en-US"/>
        </w:rPr>
        <w:t xml:space="preserve"> Bureau </w:t>
      </w:r>
      <w:proofErr w:type="spellStart"/>
      <w:r w:rsidRPr="002124CC">
        <w:rPr>
          <w:lang w:val="en-US"/>
        </w:rPr>
        <w:t>voor</w:t>
      </w:r>
      <w:proofErr w:type="spellEnd"/>
      <w:r w:rsidRPr="002124CC">
        <w:rPr>
          <w:lang w:val="en-US"/>
        </w:rPr>
        <w:t xml:space="preserve"> de </w:t>
      </w:r>
      <w:proofErr w:type="spellStart"/>
      <w:r w:rsidRPr="002124CC">
        <w:rPr>
          <w:lang w:val="en-US"/>
        </w:rPr>
        <w:t>Statistiek</w:t>
      </w:r>
      <w:proofErr w:type="spellEnd"/>
      <w:r w:rsidRPr="002124CC">
        <w:rPr>
          <w:lang w:val="en-US"/>
        </w:rPr>
        <w:t xml:space="preserve">, 2024, Pump prices motor fuels; location petrol station, type fuel,  </w:t>
      </w:r>
      <w:r w:rsidR="00DC71F6" w:rsidRPr="002124CC">
        <w:rPr>
          <w:lang w:val="en-US"/>
        </w:rPr>
        <w:t>https://www.cbs.nl/en-gb/figures/detail/81567ENG, accessed 29.02.2024</w:t>
      </w:r>
    </w:p>
    <w:p w14:paraId="355BAEC7" w14:textId="6CF3456B" w:rsidR="0069355D" w:rsidRPr="002124CC" w:rsidRDefault="0069355D" w:rsidP="00CB47BB">
      <w:pPr>
        <w:pStyle w:val="CETReferencetext"/>
        <w:rPr>
          <w:lang w:val="en-US"/>
        </w:rPr>
      </w:pPr>
      <w:proofErr w:type="spellStart"/>
      <w:r w:rsidRPr="002124CC">
        <w:rPr>
          <w:lang w:val="en-US"/>
        </w:rPr>
        <w:t>Iaiani</w:t>
      </w:r>
      <w:proofErr w:type="spellEnd"/>
      <w:r w:rsidRPr="002124CC">
        <w:rPr>
          <w:lang w:val="en-US"/>
        </w:rPr>
        <w:t xml:space="preserve"> M., </w:t>
      </w:r>
      <w:proofErr w:type="spellStart"/>
      <w:r w:rsidRPr="002124CC">
        <w:rPr>
          <w:lang w:val="en-US"/>
        </w:rPr>
        <w:t>Tugnoli</w:t>
      </w:r>
      <w:proofErr w:type="spellEnd"/>
      <w:r w:rsidRPr="002124CC">
        <w:rPr>
          <w:lang w:val="en-US"/>
        </w:rPr>
        <w:t xml:space="preserve"> A., Cozzani V., Reniers G., Yang M., 2023, Quantitative Evaluation of the Probability of Success of Deliberate Attacks in the Offshore </w:t>
      </w:r>
      <w:proofErr w:type="spellStart"/>
      <w:r w:rsidRPr="002124CC">
        <w:rPr>
          <w:lang w:val="en-US"/>
        </w:rPr>
        <w:t>Oil&amp;Gas</w:t>
      </w:r>
      <w:proofErr w:type="spellEnd"/>
      <w:r w:rsidRPr="002124CC">
        <w:rPr>
          <w:lang w:val="en-US"/>
        </w:rPr>
        <w:t xml:space="preserve"> Industry, Chemical Engineering Transactions, 99, 121-126</w:t>
      </w:r>
    </w:p>
    <w:p w14:paraId="1A37BCB3" w14:textId="5F680A30" w:rsidR="001A2385" w:rsidRPr="002124CC" w:rsidRDefault="001A2385" w:rsidP="00CB47BB">
      <w:pPr>
        <w:pStyle w:val="CETReferencetext"/>
        <w:rPr>
          <w:lang w:val="en-US"/>
        </w:rPr>
      </w:pPr>
      <w:r w:rsidRPr="002124CC">
        <w:rPr>
          <w:lang w:val="en-US"/>
        </w:rPr>
        <w:t xml:space="preserve">Garcia M.L., </w:t>
      </w:r>
      <w:r w:rsidR="00382B5B" w:rsidRPr="002124CC">
        <w:rPr>
          <w:lang w:val="en-US"/>
        </w:rPr>
        <w:t>200</w:t>
      </w:r>
      <w:r w:rsidR="00C60E7A" w:rsidRPr="002124CC">
        <w:rPr>
          <w:lang w:val="en-US"/>
        </w:rPr>
        <w:t>6</w:t>
      </w:r>
      <w:r w:rsidR="00382B5B" w:rsidRPr="002124CC">
        <w:rPr>
          <w:lang w:val="en-US"/>
        </w:rPr>
        <w:t>, Vulnerab</w:t>
      </w:r>
      <w:r w:rsidR="00C60E7A" w:rsidRPr="002124CC">
        <w:rPr>
          <w:lang w:val="en-US"/>
        </w:rPr>
        <w:t>ility Assessment of Physical Protection Systems</w:t>
      </w:r>
      <w:r w:rsidR="00515BBB" w:rsidRPr="002124CC">
        <w:rPr>
          <w:lang w:val="en-US"/>
        </w:rPr>
        <w:t>, Butterworth</w:t>
      </w:r>
      <w:r w:rsidR="003F639B" w:rsidRPr="002124CC">
        <w:rPr>
          <w:lang w:val="en-US"/>
        </w:rPr>
        <w:t>-Heinemann</w:t>
      </w:r>
      <w:r w:rsidR="004E19C5" w:rsidRPr="002124CC">
        <w:rPr>
          <w:lang w:val="en-US"/>
        </w:rPr>
        <w:t>, Burlin</w:t>
      </w:r>
      <w:r w:rsidR="002636D2" w:rsidRPr="002124CC">
        <w:rPr>
          <w:lang w:val="en-US"/>
        </w:rPr>
        <w:t>gton MA, USA.</w:t>
      </w:r>
    </w:p>
    <w:p w14:paraId="4CE5A394" w14:textId="2F05DBBD" w:rsidR="00071B7C" w:rsidRPr="002124CC" w:rsidRDefault="00071B7C" w:rsidP="00071B7C">
      <w:pPr>
        <w:pStyle w:val="CETReferencetext"/>
        <w:rPr>
          <w:lang w:val="en-US"/>
        </w:rPr>
      </w:pPr>
      <w:r w:rsidRPr="002124CC">
        <w:rPr>
          <w:lang w:val="en-US"/>
        </w:rPr>
        <w:t>George P.G., Renjith V.R., 2021, Evolution of Safety and Security Risk Assessment methodologies towards the use of Bayesian Networks in Process Industries, Process Safety and Environmental Protection, 149, 758-775</w:t>
      </w:r>
    </w:p>
    <w:p w14:paraId="4C5DEB86" w14:textId="548555C0" w:rsidR="00F06D18" w:rsidRPr="002124CC" w:rsidRDefault="00F06D18" w:rsidP="00CB47BB">
      <w:pPr>
        <w:pStyle w:val="CETReferencetext"/>
        <w:rPr>
          <w:lang w:val="en-US"/>
        </w:rPr>
      </w:pPr>
      <w:proofErr w:type="spellStart"/>
      <w:r w:rsidRPr="002124CC">
        <w:rPr>
          <w:lang w:val="en-US"/>
        </w:rPr>
        <w:t>Khakzad</w:t>
      </w:r>
      <w:proofErr w:type="spellEnd"/>
      <w:r w:rsidRPr="002124CC">
        <w:rPr>
          <w:lang w:val="en-US"/>
        </w:rPr>
        <w:t xml:space="preserve"> N., Landucci G., Cozzani V., Reniers G., Pasman H.</w:t>
      </w:r>
      <w:r w:rsidR="00317B73" w:rsidRPr="002124CC">
        <w:rPr>
          <w:lang w:val="en-US"/>
        </w:rPr>
        <w:t>, 2018, Cost-effective fire protection of chemical plants against domino effects, Reliability Engineering &amp; System Safety</w:t>
      </w:r>
      <w:r w:rsidR="00974D12" w:rsidRPr="002124CC">
        <w:rPr>
          <w:lang w:val="en-US"/>
        </w:rPr>
        <w:t>, 169, 412-421</w:t>
      </w:r>
      <w:r w:rsidR="002636D2" w:rsidRPr="002124CC">
        <w:rPr>
          <w:lang w:val="en-US"/>
        </w:rPr>
        <w:t>.</w:t>
      </w:r>
    </w:p>
    <w:p w14:paraId="34BC740C" w14:textId="61410BFF" w:rsidR="0026223E" w:rsidRDefault="0026223E" w:rsidP="00CB47BB">
      <w:pPr>
        <w:pStyle w:val="CETReferencetext"/>
        <w:rPr>
          <w:lang w:val="en-US"/>
        </w:rPr>
      </w:pPr>
      <w:r w:rsidRPr="002124CC">
        <w:rPr>
          <w:lang w:val="en-US"/>
        </w:rPr>
        <w:t xml:space="preserve">Marroni G., </w:t>
      </w:r>
      <w:r w:rsidR="000B78BE" w:rsidRPr="002124CC">
        <w:rPr>
          <w:lang w:val="en-US"/>
        </w:rPr>
        <w:t xml:space="preserve">Casini L., Bartolucci A., Kuipers S., Casson Moreno V., Landucci G., 2024, Development of fragility models for process equipment affected by physical security attacks, Reliability Engineering &amp; System Safety, 243, </w:t>
      </w:r>
      <w:r w:rsidR="004C3088" w:rsidRPr="002124CC">
        <w:rPr>
          <w:lang w:val="en-US"/>
        </w:rPr>
        <w:t>109880</w:t>
      </w:r>
    </w:p>
    <w:p w14:paraId="36444D6F" w14:textId="31C7C40F" w:rsidR="00071B7C" w:rsidRPr="002124CC" w:rsidRDefault="00071B7C" w:rsidP="00CB47BB">
      <w:pPr>
        <w:pStyle w:val="CETReferencetext"/>
        <w:rPr>
          <w:lang w:val="en-US"/>
        </w:rPr>
      </w:pPr>
      <w:proofErr w:type="spellStart"/>
      <w:r w:rsidRPr="002124CC">
        <w:rPr>
          <w:lang w:val="en-US"/>
        </w:rPr>
        <w:t>Misuri</w:t>
      </w:r>
      <w:proofErr w:type="spellEnd"/>
      <w:r w:rsidRPr="002124CC">
        <w:rPr>
          <w:lang w:val="en-US"/>
        </w:rPr>
        <w:t xml:space="preserve"> A., </w:t>
      </w:r>
      <w:proofErr w:type="spellStart"/>
      <w:r w:rsidRPr="002124CC">
        <w:rPr>
          <w:lang w:val="en-US"/>
        </w:rPr>
        <w:t>Khakzad</w:t>
      </w:r>
      <w:proofErr w:type="spellEnd"/>
      <w:r w:rsidRPr="002124CC">
        <w:rPr>
          <w:lang w:val="en-US"/>
        </w:rPr>
        <w:t xml:space="preserve"> N., Reniers G., Cozzani V., </w:t>
      </w:r>
      <w:r w:rsidR="00F9248B" w:rsidRPr="002124CC">
        <w:rPr>
          <w:lang w:val="en-US"/>
        </w:rPr>
        <w:t>2018, Security Management of Process Plants by a Bayesian Network Methodology, Chemical Engineering Transactions, 67, 247-252</w:t>
      </w:r>
    </w:p>
    <w:p w14:paraId="06A7B2FA" w14:textId="511FFB31" w:rsidR="001905CB" w:rsidRPr="002124CC" w:rsidRDefault="001905CB" w:rsidP="00CB47BB">
      <w:pPr>
        <w:pStyle w:val="CETReferencetext"/>
        <w:rPr>
          <w:lang w:val="en-US"/>
        </w:rPr>
      </w:pPr>
      <w:r w:rsidRPr="002124CC">
        <w:rPr>
          <w:lang w:val="en-US"/>
        </w:rPr>
        <w:t xml:space="preserve">Peters M.S., </w:t>
      </w:r>
      <w:proofErr w:type="spellStart"/>
      <w:r w:rsidRPr="002124CC">
        <w:rPr>
          <w:lang w:val="en-US"/>
        </w:rPr>
        <w:t>Timmerhaus</w:t>
      </w:r>
      <w:proofErr w:type="spellEnd"/>
      <w:r w:rsidRPr="002124CC">
        <w:rPr>
          <w:lang w:val="en-US"/>
        </w:rPr>
        <w:t xml:space="preserve"> K.D., West R.E., </w:t>
      </w:r>
      <w:r w:rsidR="00990232" w:rsidRPr="002124CC">
        <w:rPr>
          <w:lang w:val="en-US"/>
        </w:rPr>
        <w:t>20</w:t>
      </w:r>
      <w:r w:rsidR="00990232">
        <w:rPr>
          <w:lang w:val="en-US"/>
        </w:rPr>
        <w:t>13</w:t>
      </w:r>
      <w:r w:rsidRPr="002124CC">
        <w:rPr>
          <w:lang w:val="en-US"/>
        </w:rPr>
        <w:t xml:space="preserve">, Plant design and economics for chemical engineers, McGraw-Hill Education, </w:t>
      </w:r>
      <w:r w:rsidR="0061473D" w:rsidRPr="002124CC">
        <w:rPr>
          <w:lang w:val="en-US"/>
        </w:rPr>
        <w:t>New York NY, USA</w:t>
      </w:r>
    </w:p>
    <w:p w14:paraId="2653829D" w14:textId="7893490B" w:rsidR="00D75F7C" w:rsidRPr="002124CC" w:rsidRDefault="00D75F7C" w:rsidP="00CB47BB">
      <w:pPr>
        <w:pStyle w:val="CETReferencetext"/>
        <w:rPr>
          <w:lang w:val="en-US"/>
        </w:rPr>
      </w:pPr>
      <w:r w:rsidRPr="002124CC">
        <w:rPr>
          <w:lang w:val="en-US"/>
        </w:rPr>
        <w:t>Reniers G.</w:t>
      </w:r>
      <w:r w:rsidR="002E5C5A" w:rsidRPr="002124CC">
        <w:rPr>
          <w:lang w:val="en-US"/>
        </w:rPr>
        <w:t>, Cozzani V., 2013, Domino Effect in the Process Industries, Elsevier, Amsterdam, The Netherlands</w:t>
      </w:r>
    </w:p>
    <w:p w14:paraId="6D88F062" w14:textId="273CA6DF" w:rsidR="00E66B13" w:rsidRPr="002124CC" w:rsidRDefault="00E66B13" w:rsidP="00CB47BB">
      <w:pPr>
        <w:pStyle w:val="CETReferencetext"/>
        <w:rPr>
          <w:lang w:val="en-US"/>
        </w:rPr>
      </w:pPr>
      <w:proofErr w:type="spellStart"/>
      <w:r w:rsidRPr="002124CC">
        <w:rPr>
          <w:lang w:val="en-US"/>
        </w:rPr>
        <w:t>Securdomino</w:t>
      </w:r>
      <w:proofErr w:type="spellEnd"/>
      <w:r w:rsidR="00427E5B" w:rsidRPr="002124CC">
        <w:rPr>
          <w:lang w:val="en-US"/>
        </w:rPr>
        <w:t>, 202</w:t>
      </w:r>
      <w:r w:rsidR="00D75F7C" w:rsidRPr="002124CC">
        <w:rPr>
          <w:lang w:val="en-US"/>
        </w:rPr>
        <w:t>4</w:t>
      </w:r>
      <w:r w:rsidR="00427E5B" w:rsidRPr="002124CC">
        <w:rPr>
          <w:lang w:val="en-US"/>
        </w:rPr>
        <w:t xml:space="preserve">, </w:t>
      </w:r>
      <w:r w:rsidR="00B36CE3" w:rsidRPr="002124CC">
        <w:rPr>
          <w:lang w:val="en-US"/>
        </w:rPr>
        <w:t>Open repository of models and barriers data &lt;</w:t>
      </w:r>
      <w:r w:rsidR="00BB0A50" w:rsidRPr="002124CC">
        <w:rPr>
          <w:lang w:val="en-US"/>
        </w:rPr>
        <w:t>https://securdomino.eu/open-web-repository/&gt;, accessed 28.02.2024</w:t>
      </w:r>
      <w:r w:rsidR="002636D2" w:rsidRPr="002124CC">
        <w:rPr>
          <w:lang w:val="en-US"/>
        </w:rPr>
        <w:t>.</w:t>
      </w:r>
    </w:p>
    <w:p w14:paraId="3DDE661B" w14:textId="682249E4" w:rsidR="006A5758" w:rsidRPr="004643E3" w:rsidRDefault="008D386F" w:rsidP="006A5758">
      <w:pPr>
        <w:pStyle w:val="CETReferencetext"/>
        <w:rPr>
          <w:lang w:val="en-US"/>
        </w:rPr>
      </w:pPr>
      <w:proofErr w:type="spellStart"/>
      <w:r w:rsidRPr="002124CC">
        <w:rPr>
          <w:lang w:val="en-US"/>
        </w:rPr>
        <w:t>Shuaiqi</w:t>
      </w:r>
      <w:proofErr w:type="spellEnd"/>
      <w:r w:rsidRPr="002124CC">
        <w:rPr>
          <w:lang w:val="en-US"/>
        </w:rPr>
        <w:t xml:space="preserve"> Y., Reniers G., Yang M., 2022, The Necessity of Integrating Safety and Security Barriers in the Chemical and Process Industries and its Potential Framework</w:t>
      </w:r>
      <w:r w:rsidR="00AD7887" w:rsidRPr="002124CC">
        <w:rPr>
          <w:lang w:val="en-US"/>
        </w:rPr>
        <w:t>, Chemical Engineering Transactions, 91, 13-18</w:t>
      </w:r>
      <w:r w:rsidR="002636D2" w:rsidRPr="002124CC">
        <w:rPr>
          <w:lang w:val="en-US"/>
        </w:rPr>
        <w:t>.</w:t>
      </w:r>
    </w:p>
    <w:sectPr w:rsidR="006A5758" w:rsidRPr="004643E3" w:rsidSect="00C6024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B06DB" w14:textId="77777777" w:rsidR="00C60244" w:rsidRDefault="00C60244" w:rsidP="004F5E36">
      <w:r>
        <w:separator/>
      </w:r>
    </w:p>
  </w:endnote>
  <w:endnote w:type="continuationSeparator" w:id="0">
    <w:p w14:paraId="7903E65B" w14:textId="77777777" w:rsidR="00C60244" w:rsidRDefault="00C60244" w:rsidP="004F5E36">
      <w:r>
        <w:continuationSeparator/>
      </w:r>
    </w:p>
  </w:endnote>
  <w:endnote w:type="continuationNotice" w:id="1">
    <w:p w14:paraId="659A5742" w14:textId="77777777" w:rsidR="00C60244" w:rsidRDefault="00C602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8BBEE" w14:textId="77777777" w:rsidR="00C60244" w:rsidRDefault="00C60244" w:rsidP="004F5E36">
      <w:r>
        <w:separator/>
      </w:r>
    </w:p>
  </w:footnote>
  <w:footnote w:type="continuationSeparator" w:id="0">
    <w:p w14:paraId="730AF83D" w14:textId="77777777" w:rsidR="00C60244" w:rsidRDefault="00C60244" w:rsidP="004F5E36">
      <w:r>
        <w:continuationSeparator/>
      </w:r>
    </w:p>
  </w:footnote>
  <w:footnote w:type="continuationNotice" w:id="1">
    <w:p w14:paraId="2EB9FE66" w14:textId="77777777" w:rsidR="00C60244" w:rsidRDefault="00C6024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D8A81EC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760F2A"/>
    <w:multiLevelType w:val="hybridMultilevel"/>
    <w:tmpl w:val="C5E43E92"/>
    <w:lvl w:ilvl="0" w:tplc="6E88D840">
      <w:start w:val="10"/>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18696F"/>
    <w:multiLevelType w:val="hybridMultilevel"/>
    <w:tmpl w:val="1FE872B2"/>
    <w:lvl w:ilvl="0" w:tplc="9648F6F0">
      <w:start w:val="10"/>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7535918">
    <w:abstractNumId w:val="10"/>
  </w:num>
  <w:num w:numId="2" w16cid:durableId="990019418">
    <w:abstractNumId w:val="8"/>
  </w:num>
  <w:num w:numId="3" w16cid:durableId="166214158">
    <w:abstractNumId w:val="3"/>
  </w:num>
  <w:num w:numId="4" w16cid:durableId="1842044800">
    <w:abstractNumId w:val="2"/>
  </w:num>
  <w:num w:numId="5" w16cid:durableId="535002644">
    <w:abstractNumId w:val="1"/>
  </w:num>
  <w:num w:numId="6" w16cid:durableId="745494498">
    <w:abstractNumId w:val="0"/>
  </w:num>
  <w:num w:numId="7" w16cid:durableId="81341987">
    <w:abstractNumId w:val="9"/>
  </w:num>
  <w:num w:numId="8" w16cid:durableId="1960380058">
    <w:abstractNumId w:val="7"/>
  </w:num>
  <w:num w:numId="9" w16cid:durableId="823743539">
    <w:abstractNumId w:val="6"/>
  </w:num>
  <w:num w:numId="10" w16cid:durableId="722564862">
    <w:abstractNumId w:val="5"/>
  </w:num>
  <w:num w:numId="11" w16cid:durableId="478692260">
    <w:abstractNumId w:val="4"/>
  </w:num>
  <w:num w:numId="12" w16cid:durableId="715812614">
    <w:abstractNumId w:val="18"/>
  </w:num>
  <w:num w:numId="13" w16cid:durableId="1560441178">
    <w:abstractNumId w:val="12"/>
  </w:num>
  <w:num w:numId="14" w16cid:durableId="1147630714">
    <w:abstractNumId w:val="19"/>
  </w:num>
  <w:num w:numId="15" w16cid:durableId="1314020597">
    <w:abstractNumId w:val="21"/>
  </w:num>
  <w:num w:numId="16" w16cid:durableId="1280644630">
    <w:abstractNumId w:val="20"/>
  </w:num>
  <w:num w:numId="17" w16cid:durableId="597954831">
    <w:abstractNumId w:val="11"/>
  </w:num>
  <w:num w:numId="18" w16cid:durableId="611784646">
    <w:abstractNumId w:val="12"/>
    <w:lvlOverride w:ilvl="0">
      <w:startOverride w:val="1"/>
    </w:lvlOverride>
  </w:num>
  <w:num w:numId="19" w16cid:durableId="512575033">
    <w:abstractNumId w:val="16"/>
  </w:num>
  <w:num w:numId="20" w16cid:durableId="1960794769">
    <w:abstractNumId w:val="15"/>
  </w:num>
  <w:num w:numId="21" w16cid:durableId="1088581483">
    <w:abstractNumId w:val="14"/>
  </w:num>
  <w:num w:numId="22" w16cid:durableId="249851594">
    <w:abstractNumId w:val="13"/>
  </w:num>
  <w:num w:numId="23" w16cid:durableId="89009443">
    <w:abstractNumId w:val="22"/>
  </w:num>
  <w:num w:numId="24" w16cid:durableId="15392010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33"/>
    <w:rsid w:val="000027C0"/>
    <w:rsid w:val="00002C8A"/>
    <w:rsid w:val="000052FB"/>
    <w:rsid w:val="00007E24"/>
    <w:rsid w:val="000117CB"/>
    <w:rsid w:val="000117DA"/>
    <w:rsid w:val="000142E7"/>
    <w:rsid w:val="00014AB2"/>
    <w:rsid w:val="000162F7"/>
    <w:rsid w:val="000210DB"/>
    <w:rsid w:val="000233AF"/>
    <w:rsid w:val="0002516A"/>
    <w:rsid w:val="00025596"/>
    <w:rsid w:val="00026703"/>
    <w:rsid w:val="00030C76"/>
    <w:rsid w:val="0003148D"/>
    <w:rsid w:val="00031EEC"/>
    <w:rsid w:val="00034794"/>
    <w:rsid w:val="00035572"/>
    <w:rsid w:val="000361EB"/>
    <w:rsid w:val="00037C3F"/>
    <w:rsid w:val="000452D6"/>
    <w:rsid w:val="000458EA"/>
    <w:rsid w:val="00047E12"/>
    <w:rsid w:val="00051566"/>
    <w:rsid w:val="000518E3"/>
    <w:rsid w:val="00053640"/>
    <w:rsid w:val="00053AE1"/>
    <w:rsid w:val="00055F8D"/>
    <w:rsid w:val="000562A9"/>
    <w:rsid w:val="00057BD0"/>
    <w:rsid w:val="000611B5"/>
    <w:rsid w:val="00062A9A"/>
    <w:rsid w:val="00064439"/>
    <w:rsid w:val="00065058"/>
    <w:rsid w:val="00066360"/>
    <w:rsid w:val="000701F3"/>
    <w:rsid w:val="00071B7C"/>
    <w:rsid w:val="00071EA9"/>
    <w:rsid w:val="00072504"/>
    <w:rsid w:val="00076B1A"/>
    <w:rsid w:val="00081F94"/>
    <w:rsid w:val="00083934"/>
    <w:rsid w:val="0008535B"/>
    <w:rsid w:val="00085380"/>
    <w:rsid w:val="000865EB"/>
    <w:rsid w:val="00086C39"/>
    <w:rsid w:val="00086E6B"/>
    <w:rsid w:val="000943F3"/>
    <w:rsid w:val="000A03B2"/>
    <w:rsid w:val="000A0BDF"/>
    <w:rsid w:val="000A3925"/>
    <w:rsid w:val="000A5D13"/>
    <w:rsid w:val="000A6F58"/>
    <w:rsid w:val="000B06C3"/>
    <w:rsid w:val="000B2082"/>
    <w:rsid w:val="000B39EB"/>
    <w:rsid w:val="000B3A9F"/>
    <w:rsid w:val="000B5025"/>
    <w:rsid w:val="000B751E"/>
    <w:rsid w:val="000B78BE"/>
    <w:rsid w:val="000C19E5"/>
    <w:rsid w:val="000C24BA"/>
    <w:rsid w:val="000C3F6D"/>
    <w:rsid w:val="000C6468"/>
    <w:rsid w:val="000D0268"/>
    <w:rsid w:val="000D0323"/>
    <w:rsid w:val="000D0802"/>
    <w:rsid w:val="000D0F97"/>
    <w:rsid w:val="000D2497"/>
    <w:rsid w:val="000D34BE"/>
    <w:rsid w:val="000D39C6"/>
    <w:rsid w:val="000D66DA"/>
    <w:rsid w:val="000D6F7E"/>
    <w:rsid w:val="000D7CB6"/>
    <w:rsid w:val="000E0C9F"/>
    <w:rsid w:val="000E102F"/>
    <w:rsid w:val="000E2147"/>
    <w:rsid w:val="000E36F1"/>
    <w:rsid w:val="000E3A73"/>
    <w:rsid w:val="000E3FED"/>
    <w:rsid w:val="000E414A"/>
    <w:rsid w:val="000E7854"/>
    <w:rsid w:val="000F093C"/>
    <w:rsid w:val="000F18BF"/>
    <w:rsid w:val="000F28D7"/>
    <w:rsid w:val="000F71B4"/>
    <w:rsid w:val="000F787B"/>
    <w:rsid w:val="001022C5"/>
    <w:rsid w:val="0010397F"/>
    <w:rsid w:val="00111C35"/>
    <w:rsid w:val="00111C71"/>
    <w:rsid w:val="0011396D"/>
    <w:rsid w:val="00116834"/>
    <w:rsid w:val="0012091F"/>
    <w:rsid w:val="00121263"/>
    <w:rsid w:val="00122B79"/>
    <w:rsid w:val="0012372E"/>
    <w:rsid w:val="00126BC2"/>
    <w:rsid w:val="00126ED1"/>
    <w:rsid w:val="00127D82"/>
    <w:rsid w:val="001308B6"/>
    <w:rsid w:val="0013121F"/>
    <w:rsid w:val="00131FE6"/>
    <w:rsid w:val="0013263F"/>
    <w:rsid w:val="00132A1E"/>
    <w:rsid w:val="001331DF"/>
    <w:rsid w:val="00133BFB"/>
    <w:rsid w:val="001341F1"/>
    <w:rsid w:val="0013451D"/>
    <w:rsid w:val="001345EB"/>
    <w:rsid w:val="001346DC"/>
    <w:rsid w:val="00134DE4"/>
    <w:rsid w:val="00137E71"/>
    <w:rsid w:val="0014034D"/>
    <w:rsid w:val="00140ED8"/>
    <w:rsid w:val="001413DB"/>
    <w:rsid w:val="00142C58"/>
    <w:rsid w:val="00143D00"/>
    <w:rsid w:val="00144D16"/>
    <w:rsid w:val="00145C3B"/>
    <w:rsid w:val="00145E02"/>
    <w:rsid w:val="00147BB7"/>
    <w:rsid w:val="00147C03"/>
    <w:rsid w:val="00150E59"/>
    <w:rsid w:val="00151BDB"/>
    <w:rsid w:val="00152DE3"/>
    <w:rsid w:val="00153434"/>
    <w:rsid w:val="00154604"/>
    <w:rsid w:val="00157A6B"/>
    <w:rsid w:val="001613EC"/>
    <w:rsid w:val="00164CF9"/>
    <w:rsid w:val="001650E1"/>
    <w:rsid w:val="001667A6"/>
    <w:rsid w:val="00166C46"/>
    <w:rsid w:val="00167D37"/>
    <w:rsid w:val="00175026"/>
    <w:rsid w:val="00177795"/>
    <w:rsid w:val="0018041A"/>
    <w:rsid w:val="0018091D"/>
    <w:rsid w:val="001819F7"/>
    <w:rsid w:val="00183883"/>
    <w:rsid w:val="00184AD6"/>
    <w:rsid w:val="001854A6"/>
    <w:rsid w:val="001900F6"/>
    <w:rsid w:val="001905CB"/>
    <w:rsid w:val="0019085D"/>
    <w:rsid w:val="00192B8C"/>
    <w:rsid w:val="001A2385"/>
    <w:rsid w:val="001A4AF7"/>
    <w:rsid w:val="001B0349"/>
    <w:rsid w:val="001B07A5"/>
    <w:rsid w:val="001B1E93"/>
    <w:rsid w:val="001B2732"/>
    <w:rsid w:val="001B2FF7"/>
    <w:rsid w:val="001B311D"/>
    <w:rsid w:val="001B65C1"/>
    <w:rsid w:val="001C0A2A"/>
    <w:rsid w:val="001C2205"/>
    <w:rsid w:val="001C238D"/>
    <w:rsid w:val="001C4759"/>
    <w:rsid w:val="001C53BD"/>
    <w:rsid w:val="001C66F7"/>
    <w:rsid w:val="001C684B"/>
    <w:rsid w:val="001D0157"/>
    <w:rsid w:val="001D0CFB"/>
    <w:rsid w:val="001D1608"/>
    <w:rsid w:val="001D1A20"/>
    <w:rsid w:val="001D1D5B"/>
    <w:rsid w:val="001D21AF"/>
    <w:rsid w:val="001D301B"/>
    <w:rsid w:val="001D4914"/>
    <w:rsid w:val="001D53FC"/>
    <w:rsid w:val="001D7DBB"/>
    <w:rsid w:val="001E1128"/>
    <w:rsid w:val="001E46C9"/>
    <w:rsid w:val="001E47F2"/>
    <w:rsid w:val="001E482B"/>
    <w:rsid w:val="001E6675"/>
    <w:rsid w:val="001F07AC"/>
    <w:rsid w:val="001F186A"/>
    <w:rsid w:val="001F42A5"/>
    <w:rsid w:val="001F545C"/>
    <w:rsid w:val="001F6985"/>
    <w:rsid w:val="001F6B21"/>
    <w:rsid w:val="001F7B9D"/>
    <w:rsid w:val="002006D0"/>
    <w:rsid w:val="00200DC8"/>
    <w:rsid w:val="00201C93"/>
    <w:rsid w:val="002022DB"/>
    <w:rsid w:val="00202831"/>
    <w:rsid w:val="00202D00"/>
    <w:rsid w:val="002034DE"/>
    <w:rsid w:val="0020540D"/>
    <w:rsid w:val="0020668F"/>
    <w:rsid w:val="00206B68"/>
    <w:rsid w:val="0020708C"/>
    <w:rsid w:val="00207619"/>
    <w:rsid w:val="002124CC"/>
    <w:rsid w:val="0021299A"/>
    <w:rsid w:val="002131A6"/>
    <w:rsid w:val="0021460D"/>
    <w:rsid w:val="00214B45"/>
    <w:rsid w:val="002166D6"/>
    <w:rsid w:val="0021759D"/>
    <w:rsid w:val="00217EB7"/>
    <w:rsid w:val="002207C2"/>
    <w:rsid w:val="002208D1"/>
    <w:rsid w:val="002224B4"/>
    <w:rsid w:val="0022445B"/>
    <w:rsid w:val="0023735E"/>
    <w:rsid w:val="00237F8D"/>
    <w:rsid w:val="00242049"/>
    <w:rsid w:val="00242C9F"/>
    <w:rsid w:val="002447EF"/>
    <w:rsid w:val="00251550"/>
    <w:rsid w:val="002517DB"/>
    <w:rsid w:val="0025284C"/>
    <w:rsid w:val="00254620"/>
    <w:rsid w:val="00255CAF"/>
    <w:rsid w:val="00260670"/>
    <w:rsid w:val="0026223E"/>
    <w:rsid w:val="00262CE8"/>
    <w:rsid w:val="002636D2"/>
    <w:rsid w:val="00263B05"/>
    <w:rsid w:val="002661E7"/>
    <w:rsid w:val="00270FF4"/>
    <w:rsid w:val="0027221A"/>
    <w:rsid w:val="00274270"/>
    <w:rsid w:val="002745AE"/>
    <w:rsid w:val="00274BA7"/>
    <w:rsid w:val="00275B61"/>
    <w:rsid w:val="00277930"/>
    <w:rsid w:val="00280FAF"/>
    <w:rsid w:val="00282656"/>
    <w:rsid w:val="00284A9B"/>
    <w:rsid w:val="0029546C"/>
    <w:rsid w:val="00296B83"/>
    <w:rsid w:val="00297DF1"/>
    <w:rsid w:val="002A037E"/>
    <w:rsid w:val="002A14CB"/>
    <w:rsid w:val="002A3866"/>
    <w:rsid w:val="002A4500"/>
    <w:rsid w:val="002A676E"/>
    <w:rsid w:val="002A7877"/>
    <w:rsid w:val="002A78D7"/>
    <w:rsid w:val="002B2B9F"/>
    <w:rsid w:val="002B2DEE"/>
    <w:rsid w:val="002B4015"/>
    <w:rsid w:val="002B61C3"/>
    <w:rsid w:val="002B6457"/>
    <w:rsid w:val="002B78CE"/>
    <w:rsid w:val="002C0B5C"/>
    <w:rsid w:val="002C13E2"/>
    <w:rsid w:val="002C2FB6"/>
    <w:rsid w:val="002C77CE"/>
    <w:rsid w:val="002C7B57"/>
    <w:rsid w:val="002D124E"/>
    <w:rsid w:val="002D1CD2"/>
    <w:rsid w:val="002D2055"/>
    <w:rsid w:val="002D2A39"/>
    <w:rsid w:val="002D3AE0"/>
    <w:rsid w:val="002D6965"/>
    <w:rsid w:val="002D7C1C"/>
    <w:rsid w:val="002D7E14"/>
    <w:rsid w:val="002E14D8"/>
    <w:rsid w:val="002E2190"/>
    <w:rsid w:val="002E2384"/>
    <w:rsid w:val="002E2AB8"/>
    <w:rsid w:val="002E323D"/>
    <w:rsid w:val="002E498E"/>
    <w:rsid w:val="002E5089"/>
    <w:rsid w:val="002E5C5A"/>
    <w:rsid w:val="002E5FA7"/>
    <w:rsid w:val="002E7405"/>
    <w:rsid w:val="002F09F8"/>
    <w:rsid w:val="002F123F"/>
    <w:rsid w:val="002F27DC"/>
    <w:rsid w:val="002F3309"/>
    <w:rsid w:val="003008CE"/>
    <w:rsid w:val="003009B7"/>
    <w:rsid w:val="00300E56"/>
    <w:rsid w:val="0030152C"/>
    <w:rsid w:val="00303778"/>
    <w:rsid w:val="0030451E"/>
    <w:rsid w:val="0030469C"/>
    <w:rsid w:val="0031438A"/>
    <w:rsid w:val="00317B73"/>
    <w:rsid w:val="00321CA6"/>
    <w:rsid w:val="00323637"/>
    <w:rsid w:val="00323763"/>
    <w:rsid w:val="00323C5F"/>
    <w:rsid w:val="00323D6A"/>
    <w:rsid w:val="00324BA1"/>
    <w:rsid w:val="003257B6"/>
    <w:rsid w:val="00325E46"/>
    <w:rsid w:val="00326F3B"/>
    <w:rsid w:val="00331375"/>
    <w:rsid w:val="00331709"/>
    <w:rsid w:val="00331C9D"/>
    <w:rsid w:val="00332C6D"/>
    <w:rsid w:val="00333003"/>
    <w:rsid w:val="00334C09"/>
    <w:rsid w:val="00335E36"/>
    <w:rsid w:val="00337D4C"/>
    <w:rsid w:val="003402A0"/>
    <w:rsid w:val="00341134"/>
    <w:rsid w:val="00342943"/>
    <w:rsid w:val="003444FF"/>
    <w:rsid w:val="00344F0D"/>
    <w:rsid w:val="003455D9"/>
    <w:rsid w:val="00346362"/>
    <w:rsid w:val="003630B7"/>
    <w:rsid w:val="00363BFA"/>
    <w:rsid w:val="00366334"/>
    <w:rsid w:val="003664DA"/>
    <w:rsid w:val="003723D4"/>
    <w:rsid w:val="003765DF"/>
    <w:rsid w:val="0037747F"/>
    <w:rsid w:val="00377A1C"/>
    <w:rsid w:val="00381905"/>
    <w:rsid w:val="00382B5B"/>
    <w:rsid w:val="00384B85"/>
    <w:rsid w:val="00384CC8"/>
    <w:rsid w:val="003850AB"/>
    <w:rsid w:val="00385D67"/>
    <w:rsid w:val="00385E6E"/>
    <w:rsid w:val="003863D4"/>
    <w:rsid w:val="0038715B"/>
    <w:rsid w:val="003871FD"/>
    <w:rsid w:val="003874B0"/>
    <w:rsid w:val="00391D32"/>
    <w:rsid w:val="003A06E3"/>
    <w:rsid w:val="003A0B46"/>
    <w:rsid w:val="003A0D6D"/>
    <w:rsid w:val="003A1E30"/>
    <w:rsid w:val="003A22F4"/>
    <w:rsid w:val="003A2829"/>
    <w:rsid w:val="003A3295"/>
    <w:rsid w:val="003A4EA3"/>
    <w:rsid w:val="003A7D1C"/>
    <w:rsid w:val="003B304B"/>
    <w:rsid w:val="003B3146"/>
    <w:rsid w:val="003B3167"/>
    <w:rsid w:val="003B32DA"/>
    <w:rsid w:val="003B3569"/>
    <w:rsid w:val="003B5DC7"/>
    <w:rsid w:val="003C004A"/>
    <w:rsid w:val="003C21F3"/>
    <w:rsid w:val="003C4B97"/>
    <w:rsid w:val="003C5790"/>
    <w:rsid w:val="003D3173"/>
    <w:rsid w:val="003D31D7"/>
    <w:rsid w:val="003D7910"/>
    <w:rsid w:val="003E011F"/>
    <w:rsid w:val="003E28CF"/>
    <w:rsid w:val="003E2E6E"/>
    <w:rsid w:val="003E35FE"/>
    <w:rsid w:val="003E5C0C"/>
    <w:rsid w:val="003E72A6"/>
    <w:rsid w:val="003E79A8"/>
    <w:rsid w:val="003E7A04"/>
    <w:rsid w:val="003F00D9"/>
    <w:rsid w:val="003F015E"/>
    <w:rsid w:val="003F1BD1"/>
    <w:rsid w:val="003F3ECE"/>
    <w:rsid w:val="003F4C3B"/>
    <w:rsid w:val="003F4ED1"/>
    <w:rsid w:val="003F639B"/>
    <w:rsid w:val="003F6401"/>
    <w:rsid w:val="003F77E9"/>
    <w:rsid w:val="0040013C"/>
    <w:rsid w:val="00400414"/>
    <w:rsid w:val="00400E6D"/>
    <w:rsid w:val="00401506"/>
    <w:rsid w:val="00401E3D"/>
    <w:rsid w:val="0040524E"/>
    <w:rsid w:val="0040670C"/>
    <w:rsid w:val="00406CAB"/>
    <w:rsid w:val="004123DF"/>
    <w:rsid w:val="0041446B"/>
    <w:rsid w:val="004153AE"/>
    <w:rsid w:val="0041541E"/>
    <w:rsid w:val="00415EFE"/>
    <w:rsid w:val="0041649A"/>
    <w:rsid w:val="00420FF1"/>
    <w:rsid w:val="004218C3"/>
    <w:rsid w:val="004232F9"/>
    <w:rsid w:val="00423725"/>
    <w:rsid w:val="0042489B"/>
    <w:rsid w:val="00425989"/>
    <w:rsid w:val="00427606"/>
    <w:rsid w:val="00427E5B"/>
    <w:rsid w:val="00430D37"/>
    <w:rsid w:val="00434D4F"/>
    <w:rsid w:val="00435A07"/>
    <w:rsid w:val="00436057"/>
    <w:rsid w:val="0043739C"/>
    <w:rsid w:val="0043758B"/>
    <w:rsid w:val="0044071E"/>
    <w:rsid w:val="00440EF1"/>
    <w:rsid w:val="0044329C"/>
    <w:rsid w:val="004439AB"/>
    <w:rsid w:val="00443C00"/>
    <w:rsid w:val="0044501F"/>
    <w:rsid w:val="004469C6"/>
    <w:rsid w:val="00450220"/>
    <w:rsid w:val="00450662"/>
    <w:rsid w:val="004506EC"/>
    <w:rsid w:val="0045118C"/>
    <w:rsid w:val="00452365"/>
    <w:rsid w:val="00453E24"/>
    <w:rsid w:val="00454E30"/>
    <w:rsid w:val="00457456"/>
    <w:rsid w:val="004577FE"/>
    <w:rsid w:val="00457B9C"/>
    <w:rsid w:val="00461240"/>
    <w:rsid w:val="0046164A"/>
    <w:rsid w:val="00461B55"/>
    <w:rsid w:val="004628D2"/>
    <w:rsid w:val="00462DCD"/>
    <w:rsid w:val="004633DB"/>
    <w:rsid w:val="004643E3"/>
    <w:rsid w:val="004648AD"/>
    <w:rsid w:val="00464F61"/>
    <w:rsid w:val="004666D3"/>
    <w:rsid w:val="00467B29"/>
    <w:rsid w:val="004703A9"/>
    <w:rsid w:val="004749A8"/>
    <w:rsid w:val="004760DE"/>
    <w:rsid w:val="004763D7"/>
    <w:rsid w:val="00476B41"/>
    <w:rsid w:val="00476CEE"/>
    <w:rsid w:val="004804F7"/>
    <w:rsid w:val="00480BE3"/>
    <w:rsid w:val="00480EF6"/>
    <w:rsid w:val="00480F25"/>
    <w:rsid w:val="0048658C"/>
    <w:rsid w:val="0049384A"/>
    <w:rsid w:val="00493AD6"/>
    <w:rsid w:val="00493ECE"/>
    <w:rsid w:val="00495C3A"/>
    <w:rsid w:val="004A004E"/>
    <w:rsid w:val="004A0E1A"/>
    <w:rsid w:val="004A24CF"/>
    <w:rsid w:val="004A74E3"/>
    <w:rsid w:val="004B0297"/>
    <w:rsid w:val="004B0EA5"/>
    <w:rsid w:val="004B1B7D"/>
    <w:rsid w:val="004B28EA"/>
    <w:rsid w:val="004B3D9D"/>
    <w:rsid w:val="004B5C1E"/>
    <w:rsid w:val="004C043B"/>
    <w:rsid w:val="004C22F1"/>
    <w:rsid w:val="004C3088"/>
    <w:rsid w:val="004C39AB"/>
    <w:rsid w:val="004C3D1D"/>
    <w:rsid w:val="004C3D84"/>
    <w:rsid w:val="004C5771"/>
    <w:rsid w:val="004C6457"/>
    <w:rsid w:val="004C7913"/>
    <w:rsid w:val="004D5B7A"/>
    <w:rsid w:val="004D7132"/>
    <w:rsid w:val="004E19C5"/>
    <w:rsid w:val="004E19CE"/>
    <w:rsid w:val="004E49FE"/>
    <w:rsid w:val="004E4DD6"/>
    <w:rsid w:val="004E5174"/>
    <w:rsid w:val="004E574D"/>
    <w:rsid w:val="004F1210"/>
    <w:rsid w:val="004F28FE"/>
    <w:rsid w:val="004F2CB4"/>
    <w:rsid w:val="004F3190"/>
    <w:rsid w:val="004F3B27"/>
    <w:rsid w:val="004F524A"/>
    <w:rsid w:val="004F5E36"/>
    <w:rsid w:val="0050643D"/>
    <w:rsid w:val="00507B47"/>
    <w:rsid w:val="00507BEF"/>
    <w:rsid w:val="00507CC9"/>
    <w:rsid w:val="00510CDA"/>
    <w:rsid w:val="00511217"/>
    <w:rsid w:val="005119A5"/>
    <w:rsid w:val="005140CB"/>
    <w:rsid w:val="005149B3"/>
    <w:rsid w:val="00515636"/>
    <w:rsid w:val="00515BBB"/>
    <w:rsid w:val="005162BF"/>
    <w:rsid w:val="00516B87"/>
    <w:rsid w:val="0052431A"/>
    <w:rsid w:val="0052474A"/>
    <w:rsid w:val="005256E8"/>
    <w:rsid w:val="0052777D"/>
    <w:rsid w:val="005278B7"/>
    <w:rsid w:val="00532016"/>
    <w:rsid w:val="00534125"/>
    <w:rsid w:val="005346C8"/>
    <w:rsid w:val="0053528C"/>
    <w:rsid w:val="0053558E"/>
    <w:rsid w:val="005362EB"/>
    <w:rsid w:val="00540B45"/>
    <w:rsid w:val="005419C6"/>
    <w:rsid w:val="00543E7D"/>
    <w:rsid w:val="005450F6"/>
    <w:rsid w:val="00545D98"/>
    <w:rsid w:val="005462FC"/>
    <w:rsid w:val="0054737B"/>
    <w:rsid w:val="00547A68"/>
    <w:rsid w:val="0055043C"/>
    <w:rsid w:val="005531C9"/>
    <w:rsid w:val="005552DD"/>
    <w:rsid w:val="005612AE"/>
    <w:rsid w:val="00563F92"/>
    <w:rsid w:val="00565440"/>
    <w:rsid w:val="00565BB7"/>
    <w:rsid w:val="00570C43"/>
    <w:rsid w:val="00571793"/>
    <w:rsid w:val="00572FDB"/>
    <w:rsid w:val="00575C8B"/>
    <w:rsid w:val="00577FB2"/>
    <w:rsid w:val="00580177"/>
    <w:rsid w:val="00582380"/>
    <w:rsid w:val="0058255B"/>
    <w:rsid w:val="00583610"/>
    <w:rsid w:val="00583B01"/>
    <w:rsid w:val="005871CA"/>
    <w:rsid w:val="00587D27"/>
    <w:rsid w:val="00590E0F"/>
    <w:rsid w:val="0059571E"/>
    <w:rsid w:val="00597198"/>
    <w:rsid w:val="005975B8"/>
    <w:rsid w:val="005A0DD3"/>
    <w:rsid w:val="005A29E1"/>
    <w:rsid w:val="005A6189"/>
    <w:rsid w:val="005B2110"/>
    <w:rsid w:val="005B4FAB"/>
    <w:rsid w:val="005B61D6"/>
    <w:rsid w:val="005B61E6"/>
    <w:rsid w:val="005B67E8"/>
    <w:rsid w:val="005B6BCA"/>
    <w:rsid w:val="005C0A43"/>
    <w:rsid w:val="005C1E2E"/>
    <w:rsid w:val="005C215C"/>
    <w:rsid w:val="005C27DE"/>
    <w:rsid w:val="005C501C"/>
    <w:rsid w:val="005C594B"/>
    <w:rsid w:val="005C5FF0"/>
    <w:rsid w:val="005C651E"/>
    <w:rsid w:val="005C77E1"/>
    <w:rsid w:val="005D538F"/>
    <w:rsid w:val="005D668A"/>
    <w:rsid w:val="005D6A2F"/>
    <w:rsid w:val="005D6B5F"/>
    <w:rsid w:val="005D6E74"/>
    <w:rsid w:val="005E043F"/>
    <w:rsid w:val="005E1A82"/>
    <w:rsid w:val="005E23D6"/>
    <w:rsid w:val="005E379B"/>
    <w:rsid w:val="005E37BA"/>
    <w:rsid w:val="005E51AF"/>
    <w:rsid w:val="005E794C"/>
    <w:rsid w:val="005F0A28"/>
    <w:rsid w:val="005F0DA7"/>
    <w:rsid w:val="005F0E5E"/>
    <w:rsid w:val="005F33D3"/>
    <w:rsid w:val="005F4160"/>
    <w:rsid w:val="005F78F3"/>
    <w:rsid w:val="00600535"/>
    <w:rsid w:val="0060171D"/>
    <w:rsid w:val="0060255E"/>
    <w:rsid w:val="0060523F"/>
    <w:rsid w:val="006064FA"/>
    <w:rsid w:val="006075A4"/>
    <w:rsid w:val="00610CD6"/>
    <w:rsid w:val="00611226"/>
    <w:rsid w:val="0061473D"/>
    <w:rsid w:val="00615C42"/>
    <w:rsid w:val="00617963"/>
    <w:rsid w:val="00620DEE"/>
    <w:rsid w:val="00621C4B"/>
    <w:rsid w:val="00621F92"/>
    <w:rsid w:val="0062280A"/>
    <w:rsid w:val="00623208"/>
    <w:rsid w:val="00625639"/>
    <w:rsid w:val="0063098B"/>
    <w:rsid w:val="00631B33"/>
    <w:rsid w:val="006348FD"/>
    <w:rsid w:val="00641217"/>
    <w:rsid w:val="0064184D"/>
    <w:rsid w:val="006422CC"/>
    <w:rsid w:val="0064438C"/>
    <w:rsid w:val="00646194"/>
    <w:rsid w:val="00646BFD"/>
    <w:rsid w:val="00653137"/>
    <w:rsid w:val="006538D8"/>
    <w:rsid w:val="006540BA"/>
    <w:rsid w:val="00655680"/>
    <w:rsid w:val="00655731"/>
    <w:rsid w:val="00656B9B"/>
    <w:rsid w:val="006605A5"/>
    <w:rsid w:val="00660E3E"/>
    <w:rsid w:val="00661223"/>
    <w:rsid w:val="00662127"/>
    <w:rsid w:val="00662E74"/>
    <w:rsid w:val="00663889"/>
    <w:rsid w:val="00665DA7"/>
    <w:rsid w:val="00670078"/>
    <w:rsid w:val="0067338B"/>
    <w:rsid w:val="006741FD"/>
    <w:rsid w:val="0067471E"/>
    <w:rsid w:val="0067479F"/>
    <w:rsid w:val="00676C3E"/>
    <w:rsid w:val="00677F72"/>
    <w:rsid w:val="00680C23"/>
    <w:rsid w:val="00680F03"/>
    <w:rsid w:val="006819C8"/>
    <w:rsid w:val="00682329"/>
    <w:rsid w:val="006823FC"/>
    <w:rsid w:val="00684626"/>
    <w:rsid w:val="00685C94"/>
    <w:rsid w:val="00686420"/>
    <w:rsid w:val="0068768A"/>
    <w:rsid w:val="006878AE"/>
    <w:rsid w:val="0069114B"/>
    <w:rsid w:val="006917C4"/>
    <w:rsid w:val="00691DD9"/>
    <w:rsid w:val="0069355D"/>
    <w:rsid w:val="00693766"/>
    <w:rsid w:val="00693B45"/>
    <w:rsid w:val="00693EA8"/>
    <w:rsid w:val="00695CEB"/>
    <w:rsid w:val="006964C6"/>
    <w:rsid w:val="00696733"/>
    <w:rsid w:val="00697A86"/>
    <w:rsid w:val="006A0254"/>
    <w:rsid w:val="006A07C4"/>
    <w:rsid w:val="006A1492"/>
    <w:rsid w:val="006A2CBF"/>
    <w:rsid w:val="006A3281"/>
    <w:rsid w:val="006A5758"/>
    <w:rsid w:val="006A5A4F"/>
    <w:rsid w:val="006B4888"/>
    <w:rsid w:val="006B488A"/>
    <w:rsid w:val="006B590E"/>
    <w:rsid w:val="006B7899"/>
    <w:rsid w:val="006B7F10"/>
    <w:rsid w:val="006C01E6"/>
    <w:rsid w:val="006C167D"/>
    <w:rsid w:val="006C2875"/>
    <w:rsid w:val="006C2E45"/>
    <w:rsid w:val="006C356D"/>
    <w:rsid w:val="006C359C"/>
    <w:rsid w:val="006C52B6"/>
    <w:rsid w:val="006C5579"/>
    <w:rsid w:val="006C5C19"/>
    <w:rsid w:val="006C777C"/>
    <w:rsid w:val="006D0543"/>
    <w:rsid w:val="006D0696"/>
    <w:rsid w:val="006D0AB4"/>
    <w:rsid w:val="006D3430"/>
    <w:rsid w:val="006D445C"/>
    <w:rsid w:val="006D6E8B"/>
    <w:rsid w:val="006E03F1"/>
    <w:rsid w:val="006E2586"/>
    <w:rsid w:val="006E3885"/>
    <w:rsid w:val="006E40D2"/>
    <w:rsid w:val="006E4181"/>
    <w:rsid w:val="006E4E9E"/>
    <w:rsid w:val="006E56AF"/>
    <w:rsid w:val="006E5F61"/>
    <w:rsid w:val="006E737D"/>
    <w:rsid w:val="006E74B2"/>
    <w:rsid w:val="006F163A"/>
    <w:rsid w:val="006F1658"/>
    <w:rsid w:val="006F4C37"/>
    <w:rsid w:val="006F5CEE"/>
    <w:rsid w:val="007000C2"/>
    <w:rsid w:val="00700728"/>
    <w:rsid w:val="0070465F"/>
    <w:rsid w:val="0070487B"/>
    <w:rsid w:val="0070517A"/>
    <w:rsid w:val="007100EC"/>
    <w:rsid w:val="007118FD"/>
    <w:rsid w:val="007137BD"/>
    <w:rsid w:val="00713973"/>
    <w:rsid w:val="00715911"/>
    <w:rsid w:val="00716360"/>
    <w:rsid w:val="0071678B"/>
    <w:rsid w:val="00720A24"/>
    <w:rsid w:val="00720C88"/>
    <w:rsid w:val="00721DF1"/>
    <w:rsid w:val="007224D8"/>
    <w:rsid w:val="007231ED"/>
    <w:rsid w:val="0072551F"/>
    <w:rsid w:val="00727C38"/>
    <w:rsid w:val="00732386"/>
    <w:rsid w:val="0073259B"/>
    <w:rsid w:val="00734498"/>
    <w:rsid w:val="0073514D"/>
    <w:rsid w:val="007447F3"/>
    <w:rsid w:val="007452D6"/>
    <w:rsid w:val="007454C4"/>
    <w:rsid w:val="0074584D"/>
    <w:rsid w:val="00747320"/>
    <w:rsid w:val="007477D3"/>
    <w:rsid w:val="007502C6"/>
    <w:rsid w:val="0075499F"/>
    <w:rsid w:val="0076080A"/>
    <w:rsid w:val="00760D7D"/>
    <w:rsid w:val="00764691"/>
    <w:rsid w:val="007661C8"/>
    <w:rsid w:val="007662B2"/>
    <w:rsid w:val="0077098D"/>
    <w:rsid w:val="00771991"/>
    <w:rsid w:val="00773153"/>
    <w:rsid w:val="00773E2B"/>
    <w:rsid w:val="00774835"/>
    <w:rsid w:val="00775807"/>
    <w:rsid w:val="007775F9"/>
    <w:rsid w:val="007778D6"/>
    <w:rsid w:val="00777DBA"/>
    <w:rsid w:val="007825F4"/>
    <w:rsid w:val="00783973"/>
    <w:rsid w:val="00784E8E"/>
    <w:rsid w:val="00785C75"/>
    <w:rsid w:val="00786DAE"/>
    <w:rsid w:val="00786EFD"/>
    <w:rsid w:val="00790AA6"/>
    <w:rsid w:val="0079121A"/>
    <w:rsid w:val="00792CA9"/>
    <w:rsid w:val="007931FA"/>
    <w:rsid w:val="00793C38"/>
    <w:rsid w:val="00794EC5"/>
    <w:rsid w:val="007A01AD"/>
    <w:rsid w:val="007A0B94"/>
    <w:rsid w:val="007A1440"/>
    <w:rsid w:val="007A32AF"/>
    <w:rsid w:val="007A44F5"/>
    <w:rsid w:val="007A4861"/>
    <w:rsid w:val="007A4D19"/>
    <w:rsid w:val="007A65C0"/>
    <w:rsid w:val="007A7447"/>
    <w:rsid w:val="007A7BBA"/>
    <w:rsid w:val="007B0C50"/>
    <w:rsid w:val="007B1483"/>
    <w:rsid w:val="007B327F"/>
    <w:rsid w:val="007B38FA"/>
    <w:rsid w:val="007B3C76"/>
    <w:rsid w:val="007B4350"/>
    <w:rsid w:val="007B48F9"/>
    <w:rsid w:val="007B5D1A"/>
    <w:rsid w:val="007B5EF4"/>
    <w:rsid w:val="007B6837"/>
    <w:rsid w:val="007C0674"/>
    <w:rsid w:val="007C1A43"/>
    <w:rsid w:val="007C434A"/>
    <w:rsid w:val="007C5222"/>
    <w:rsid w:val="007C531F"/>
    <w:rsid w:val="007C5616"/>
    <w:rsid w:val="007C63E1"/>
    <w:rsid w:val="007C7783"/>
    <w:rsid w:val="007D0951"/>
    <w:rsid w:val="007D7CE6"/>
    <w:rsid w:val="007E15AB"/>
    <w:rsid w:val="007E657F"/>
    <w:rsid w:val="007E7723"/>
    <w:rsid w:val="007E78CC"/>
    <w:rsid w:val="007F04C1"/>
    <w:rsid w:val="007F5BBB"/>
    <w:rsid w:val="007F63C2"/>
    <w:rsid w:val="0080013E"/>
    <w:rsid w:val="00800283"/>
    <w:rsid w:val="008038B4"/>
    <w:rsid w:val="00803A1C"/>
    <w:rsid w:val="0080699D"/>
    <w:rsid w:val="00813288"/>
    <w:rsid w:val="00813542"/>
    <w:rsid w:val="008155AA"/>
    <w:rsid w:val="008168FC"/>
    <w:rsid w:val="00816E8B"/>
    <w:rsid w:val="00821056"/>
    <w:rsid w:val="008211F9"/>
    <w:rsid w:val="008219B6"/>
    <w:rsid w:val="00830925"/>
    <w:rsid w:val="00830996"/>
    <w:rsid w:val="008322D5"/>
    <w:rsid w:val="008345F1"/>
    <w:rsid w:val="008353E4"/>
    <w:rsid w:val="00835FB0"/>
    <w:rsid w:val="0083750D"/>
    <w:rsid w:val="0084003B"/>
    <w:rsid w:val="00841432"/>
    <w:rsid w:val="00844575"/>
    <w:rsid w:val="008468A6"/>
    <w:rsid w:val="0085140F"/>
    <w:rsid w:val="00856415"/>
    <w:rsid w:val="008604CA"/>
    <w:rsid w:val="00860A21"/>
    <w:rsid w:val="00862B3D"/>
    <w:rsid w:val="0086364B"/>
    <w:rsid w:val="00863EAD"/>
    <w:rsid w:val="00865B07"/>
    <w:rsid w:val="008667EA"/>
    <w:rsid w:val="00870AFF"/>
    <w:rsid w:val="00871548"/>
    <w:rsid w:val="00874B02"/>
    <w:rsid w:val="00874E09"/>
    <w:rsid w:val="0087637F"/>
    <w:rsid w:val="008817C6"/>
    <w:rsid w:val="0088358D"/>
    <w:rsid w:val="00883FD8"/>
    <w:rsid w:val="0088596A"/>
    <w:rsid w:val="008859D9"/>
    <w:rsid w:val="00892647"/>
    <w:rsid w:val="00892AD5"/>
    <w:rsid w:val="0089468A"/>
    <w:rsid w:val="008A1512"/>
    <w:rsid w:val="008A2C5C"/>
    <w:rsid w:val="008A4AA5"/>
    <w:rsid w:val="008A4C64"/>
    <w:rsid w:val="008A6F40"/>
    <w:rsid w:val="008A7DBD"/>
    <w:rsid w:val="008B0B1C"/>
    <w:rsid w:val="008B48A9"/>
    <w:rsid w:val="008B6D82"/>
    <w:rsid w:val="008B7BF9"/>
    <w:rsid w:val="008C035E"/>
    <w:rsid w:val="008C3363"/>
    <w:rsid w:val="008C5B9D"/>
    <w:rsid w:val="008C662D"/>
    <w:rsid w:val="008C66BE"/>
    <w:rsid w:val="008C7790"/>
    <w:rsid w:val="008C7CDB"/>
    <w:rsid w:val="008D1735"/>
    <w:rsid w:val="008D32B9"/>
    <w:rsid w:val="008D386F"/>
    <w:rsid w:val="008D433B"/>
    <w:rsid w:val="008D4991"/>
    <w:rsid w:val="008D4A16"/>
    <w:rsid w:val="008D78A0"/>
    <w:rsid w:val="008E0C8F"/>
    <w:rsid w:val="008E1621"/>
    <w:rsid w:val="008E2202"/>
    <w:rsid w:val="008E25BD"/>
    <w:rsid w:val="008E3C04"/>
    <w:rsid w:val="008E4184"/>
    <w:rsid w:val="008E566E"/>
    <w:rsid w:val="008E5ED7"/>
    <w:rsid w:val="008E6326"/>
    <w:rsid w:val="008E701C"/>
    <w:rsid w:val="008E703A"/>
    <w:rsid w:val="008F0E76"/>
    <w:rsid w:val="008F2BE8"/>
    <w:rsid w:val="008F7843"/>
    <w:rsid w:val="008F7D12"/>
    <w:rsid w:val="009014CA"/>
    <w:rsid w:val="0090161A"/>
    <w:rsid w:val="00901712"/>
    <w:rsid w:val="00901EB6"/>
    <w:rsid w:val="00902258"/>
    <w:rsid w:val="009030D1"/>
    <w:rsid w:val="0090422C"/>
    <w:rsid w:val="009045A0"/>
    <w:rsid w:val="0090467F"/>
    <w:rsid w:val="00904C62"/>
    <w:rsid w:val="00911977"/>
    <w:rsid w:val="00920EDF"/>
    <w:rsid w:val="00922BA8"/>
    <w:rsid w:val="00923538"/>
    <w:rsid w:val="00923BA1"/>
    <w:rsid w:val="0092459A"/>
    <w:rsid w:val="00924DAC"/>
    <w:rsid w:val="009259DA"/>
    <w:rsid w:val="00925BA2"/>
    <w:rsid w:val="00925D84"/>
    <w:rsid w:val="00926250"/>
    <w:rsid w:val="009263B9"/>
    <w:rsid w:val="009264F2"/>
    <w:rsid w:val="00926A1E"/>
    <w:rsid w:val="00927058"/>
    <w:rsid w:val="0093089F"/>
    <w:rsid w:val="0094034B"/>
    <w:rsid w:val="00940ACC"/>
    <w:rsid w:val="009413F1"/>
    <w:rsid w:val="00942750"/>
    <w:rsid w:val="009450CE"/>
    <w:rsid w:val="009459BB"/>
    <w:rsid w:val="00947179"/>
    <w:rsid w:val="0095122A"/>
    <w:rsid w:val="0095164B"/>
    <w:rsid w:val="00954090"/>
    <w:rsid w:val="00954ECB"/>
    <w:rsid w:val="00955F2A"/>
    <w:rsid w:val="009570D5"/>
    <w:rsid w:val="00957376"/>
    <w:rsid w:val="009573E7"/>
    <w:rsid w:val="00962657"/>
    <w:rsid w:val="009626AF"/>
    <w:rsid w:val="00962928"/>
    <w:rsid w:val="00963CBD"/>
    <w:rsid w:val="00963E05"/>
    <w:rsid w:val="00964A45"/>
    <w:rsid w:val="00964E00"/>
    <w:rsid w:val="00966767"/>
    <w:rsid w:val="00967843"/>
    <w:rsid w:val="00967D54"/>
    <w:rsid w:val="009708DD"/>
    <w:rsid w:val="00970B28"/>
    <w:rsid w:val="00971028"/>
    <w:rsid w:val="009711FD"/>
    <w:rsid w:val="00973049"/>
    <w:rsid w:val="00973F8F"/>
    <w:rsid w:val="00974D12"/>
    <w:rsid w:val="0097720C"/>
    <w:rsid w:val="0098074E"/>
    <w:rsid w:val="00980A95"/>
    <w:rsid w:val="00981178"/>
    <w:rsid w:val="009822E9"/>
    <w:rsid w:val="0098336D"/>
    <w:rsid w:val="00985F7E"/>
    <w:rsid w:val="00986A17"/>
    <w:rsid w:val="00986D9A"/>
    <w:rsid w:val="0099013A"/>
    <w:rsid w:val="00990232"/>
    <w:rsid w:val="009913FB"/>
    <w:rsid w:val="00991DBB"/>
    <w:rsid w:val="009939F9"/>
    <w:rsid w:val="00993B84"/>
    <w:rsid w:val="009943FB"/>
    <w:rsid w:val="00995961"/>
    <w:rsid w:val="00996483"/>
    <w:rsid w:val="00996F5A"/>
    <w:rsid w:val="009A04CA"/>
    <w:rsid w:val="009A0531"/>
    <w:rsid w:val="009A11FA"/>
    <w:rsid w:val="009A23CB"/>
    <w:rsid w:val="009A4250"/>
    <w:rsid w:val="009A49C2"/>
    <w:rsid w:val="009B041A"/>
    <w:rsid w:val="009B1F0D"/>
    <w:rsid w:val="009B2359"/>
    <w:rsid w:val="009B2670"/>
    <w:rsid w:val="009B7338"/>
    <w:rsid w:val="009C092C"/>
    <w:rsid w:val="009C1D6F"/>
    <w:rsid w:val="009C1E15"/>
    <w:rsid w:val="009C2E9B"/>
    <w:rsid w:val="009C32E9"/>
    <w:rsid w:val="009C37C3"/>
    <w:rsid w:val="009C501B"/>
    <w:rsid w:val="009C7361"/>
    <w:rsid w:val="009C7790"/>
    <w:rsid w:val="009C7C86"/>
    <w:rsid w:val="009D031D"/>
    <w:rsid w:val="009D2FF7"/>
    <w:rsid w:val="009D47BE"/>
    <w:rsid w:val="009D71CF"/>
    <w:rsid w:val="009E05AF"/>
    <w:rsid w:val="009E3402"/>
    <w:rsid w:val="009E5AD4"/>
    <w:rsid w:val="009E62F8"/>
    <w:rsid w:val="009E6999"/>
    <w:rsid w:val="009E7884"/>
    <w:rsid w:val="009E788A"/>
    <w:rsid w:val="009E7B75"/>
    <w:rsid w:val="009F0777"/>
    <w:rsid w:val="009F0E08"/>
    <w:rsid w:val="009F1339"/>
    <w:rsid w:val="00A0260D"/>
    <w:rsid w:val="00A0495C"/>
    <w:rsid w:val="00A0583E"/>
    <w:rsid w:val="00A07998"/>
    <w:rsid w:val="00A1086C"/>
    <w:rsid w:val="00A11314"/>
    <w:rsid w:val="00A12012"/>
    <w:rsid w:val="00A1337A"/>
    <w:rsid w:val="00A1763D"/>
    <w:rsid w:val="00A17CEC"/>
    <w:rsid w:val="00A17DC6"/>
    <w:rsid w:val="00A22872"/>
    <w:rsid w:val="00A22B05"/>
    <w:rsid w:val="00A26944"/>
    <w:rsid w:val="00A274B3"/>
    <w:rsid w:val="00A27EF0"/>
    <w:rsid w:val="00A318C2"/>
    <w:rsid w:val="00A33B2C"/>
    <w:rsid w:val="00A35FDC"/>
    <w:rsid w:val="00A4109A"/>
    <w:rsid w:val="00A41266"/>
    <w:rsid w:val="00A42361"/>
    <w:rsid w:val="00A43D6C"/>
    <w:rsid w:val="00A4458C"/>
    <w:rsid w:val="00A4738D"/>
    <w:rsid w:val="00A4740B"/>
    <w:rsid w:val="00A50B20"/>
    <w:rsid w:val="00A51390"/>
    <w:rsid w:val="00A53683"/>
    <w:rsid w:val="00A53CCB"/>
    <w:rsid w:val="00A549A9"/>
    <w:rsid w:val="00A549C6"/>
    <w:rsid w:val="00A5528A"/>
    <w:rsid w:val="00A57077"/>
    <w:rsid w:val="00A60D13"/>
    <w:rsid w:val="00A61FE1"/>
    <w:rsid w:val="00A64B90"/>
    <w:rsid w:val="00A64CEB"/>
    <w:rsid w:val="00A65308"/>
    <w:rsid w:val="00A66D34"/>
    <w:rsid w:val="00A67620"/>
    <w:rsid w:val="00A67780"/>
    <w:rsid w:val="00A67D02"/>
    <w:rsid w:val="00A710C0"/>
    <w:rsid w:val="00A71AA8"/>
    <w:rsid w:val="00A7223D"/>
    <w:rsid w:val="00A72745"/>
    <w:rsid w:val="00A7320E"/>
    <w:rsid w:val="00A7338A"/>
    <w:rsid w:val="00A75D34"/>
    <w:rsid w:val="00A76EFC"/>
    <w:rsid w:val="00A7710E"/>
    <w:rsid w:val="00A776B0"/>
    <w:rsid w:val="00A80005"/>
    <w:rsid w:val="00A816F2"/>
    <w:rsid w:val="00A81B51"/>
    <w:rsid w:val="00A82801"/>
    <w:rsid w:val="00A86C4E"/>
    <w:rsid w:val="00A8718D"/>
    <w:rsid w:val="00A87D50"/>
    <w:rsid w:val="00A90DD2"/>
    <w:rsid w:val="00A91010"/>
    <w:rsid w:val="00A9603D"/>
    <w:rsid w:val="00A96753"/>
    <w:rsid w:val="00A97F29"/>
    <w:rsid w:val="00AA0683"/>
    <w:rsid w:val="00AA0BCC"/>
    <w:rsid w:val="00AA0C2B"/>
    <w:rsid w:val="00AA14A5"/>
    <w:rsid w:val="00AA17D0"/>
    <w:rsid w:val="00AA275E"/>
    <w:rsid w:val="00AA2B59"/>
    <w:rsid w:val="00AA702E"/>
    <w:rsid w:val="00AA7709"/>
    <w:rsid w:val="00AA7D26"/>
    <w:rsid w:val="00AB0964"/>
    <w:rsid w:val="00AB0EB6"/>
    <w:rsid w:val="00AB15B0"/>
    <w:rsid w:val="00AB498B"/>
    <w:rsid w:val="00AB4FC4"/>
    <w:rsid w:val="00AB5011"/>
    <w:rsid w:val="00AB66BF"/>
    <w:rsid w:val="00AC0C63"/>
    <w:rsid w:val="00AC0EF0"/>
    <w:rsid w:val="00AC3066"/>
    <w:rsid w:val="00AC3BB3"/>
    <w:rsid w:val="00AC449B"/>
    <w:rsid w:val="00AC4F90"/>
    <w:rsid w:val="00AC5B45"/>
    <w:rsid w:val="00AC6806"/>
    <w:rsid w:val="00AC7368"/>
    <w:rsid w:val="00AD16B9"/>
    <w:rsid w:val="00AD3018"/>
    <w:rsid w:val="00AD5633"/>
    <w:rsid w:val="00AD60D8"/>
    <w:rsid w:val="00AD6C76"/>
    <w:rsid w:val="00AD7887"/>
    <w:rsid w:val="00AE26CE"/>
    <w:rsid w:val="00AE377D"/>
    <w:rsid w:val="00AE3F37"/>
    <w:rsid w:val="00AE51DA"/>
    <w:rsid w:val="00AE7707"/>
    <w:rsid w:val="00AF0EBA"/>
    <w:rsid w:val="00AF0EC0"/>
    <w:rsid w:val="00AF29AC"/>
    <w:rsid w:val="00AF7667"/>
    <w:rsid w:val="00B016FD"/>
    <w:rsid w:val="00B0178D"/>
    <w:rsid w:val="00B02663"/>
    <w:rsid w:val="00B02C8A"/>
    <w:rsid w:val="00B03F23"/>
    <w:rsid w:val="00B04CF1"/>
    <w:rsid w:val="00B07DE3"/>
    <w:rsid w:val="00B148C0"/>
    <w:rsid w:val="00B17FBD"/>
    <w:rsid w:val="00B2386B"/>
    <w:rsid w:val="00B24834"/>
    <w:rsid w:val="00B24D1D"/>
    <w:rsid w:val="00B25840"/>
    <w:rsid w:val="00B2646C"/>
    <w:rsid w:val="00B30E38"/>
    <w:rsid w:val="00B31187"/>
    <w:rsid w:val="00B312FF"/>
    <w:rsid w:val="00B315A6"/>
    <w:rsid w:val="00B31813"/>
    <w:rsid w:val="00B33365"/>
    <w:rsid w:val="00B33FF3"/>
    <w:rsid w:val="00B34B85"/>
    <w:rsid w:val="00B36CE3"/>
    <w:rsid w:val="00B37767"/>
    <w:rsid w:val="00B42215"/>
    <w:rsid w:val="00B433E2"/>
    <w:rsid w:val="00B4450C"/>
    <w:rsid w:val="00B44517"/>
    <w:rsid w:val="00B45351"/>
    <w:rsid w:val="00B457CB"/>
    <w:rsid w:val="00B45A16"/>
    <w:rsid w:val="00B47DEA"/>
    <w:rsid w:val="00B505AE"/>
    <w:rsid w:val="00B51809"/>
    <w:rsid w:val="00B54C87"/>
    <w:rsid w:val="00B57231"/>
    <w:rsid w:val="00B57B36"/>
    <w:rsid w:val="00B57E6F"/>
    <w:rsid w:val="00B60796"/>
    <w:rsid w:val="00B62D34"/>
    <w:rsid w:val="00B63B2E"/>
    <w:rsid w:val="00B63D46"/>
    <w:rsid w:val="00B64B3A"/>
    <w:rsid w:val="00B65BD7"/>
    <w:rsid w:val="00B6737B"/>
    <w:rsid w:val="00B67C44"/>
    <w:rsid w:val="00B701EE"/>
    <w:rsid w:val="00B71577"/>
    <w:rsid w:val="00B75288"/>
    <w:rsid w:val="00B756EB"/>
    <w:rsid w:val="00B75FEC"/>
    <w:rsid w:val="00B8140B"/>
    <w:rsid w:val="00B81FC1"/>
    <w:rsid w:val="00B82166"/>
    <w:rsid w:val="00B860AE"/>
    <w:rsid w:val="00B8686D"/>
    <w:rsid w:val="00B879CB"/>
    <w:rsid w:val="00B90FDF"/>
    <w:rsid w:val="00B9222F"/>
    <w:rsid w:val="00B93F69"/>
    <w:rsid w:val="00B9697C"/>
    <w:rsid w:val="00B96BDD"/>
    <w:rsid w:val="00B97C6D"/>
    <w:rsid w:val="00B97CC6"/>
    <w:rsid w:val="00BA0219"/>
    <w:rsid w:val="00BA14C3"/>
    <w:rsid w:val="00BA1750"/>
    <w:rsid w:val="00BA1FC2"/>
    <w:rsid w:val="00BA6667"/>
    <w:rsid w:val="00BA69C2"/>
    <w:rsid w:val="00BA70C7"/>
    <w:rsid w:val="00BA7A39"/>
    <w:rsid w:val="00BA7C75"/>
    <w:rsid w:val="00BB09FB"/>
    <w:rsid w:val="00BB0A50"/>
    <w:rsid w:val="00BB1DDC"/>
    <w:rsid w:val="00BB3FDA"/>
    <w:rsid w:val="00BC2913"/>
    <w:rsid w:val="00BC2FB6"/>
    <w:rsid w:val="00BC30C9"/>
    <w:rsid w:val="00BC4190"/>
    <w:rsid w:val="00BC461C"/>
    <w:rsid w:val="00BC5673"/>
    <w:rsid w:val="00BC7726"/>
    <w:rsid w:val="00BD077D"/>
    <w:rsid w:val="00BD1888"/>
    <w:rsid w:val="00BE3C22"/>
    <w:rsid w:val="00BE3E58"/>
    <w:rsid w:val="00BE49E4"/>
    <w:rsid w:val="00BF0FBD"/>
    <w:rsid w:val="00BF1654"/>
    <w:rsid w:val="00BF63CA"/>
    <w:rsid w:val="00BF6422"/>
    <w:rsid w:val="00C004C2"/>
    <w:rsid w:val="00C00546"/>
    <w:rsid w:val="00C01616"/>
    <w:rsid w:val="00C0162B"/>
    <w:rsid w:val="00C03196"/>
    <w:rsid w:val="00C038F2"/>
    <w:rsid w:val="00C0458B"/>
    <w:rsid w:val="00C04A87"/>
    <w:rsid w:val="00C068ED"/>
    <w:rsid w:val="00C07BF5"/>
    <w:rsid w:val="00C07F53"/>
    <w:rsid w:val="00C10E07"/>
    <w:rsid w:val="00C11B3F"/>
    <w:rsid w:val="00C127A5"/>
    <w:rsid w:val="00C129A7"/>
    <w:rsid w:val="00C13CCF"/>
    <w:rsid w:val="00C13D6C"/>
    <w:rsid w:val="00C1409B"/>
    <w:rsid w:val="00C16820"/>
    <w:rsid w:val="00C16B91"/>
    <w:rsid w:val="00C17D91"/>
    <w:rsid w:val="00C22E0C"/>
    <w:rsid w:val="00C23173"/>
    <w:rsid w:val="00C24C64"/>
    <w:rsid w:val="00C2512A"/>
    <w:rsid w:val="00C31142"/>
    <w:rsid w:val="00C31D70"/>
    <w:rsid w:val="00C345B1"/>
    <w:rsid w:val="00C34641"/>
    <w:rsid w:val="00C35115"/>
    <w:rsid w:val="00C40142"/>
    <w:rsid w:val="00C40E20"/>
    <w:rsid w:val="00C41764"/>
    <w:rsid w:val="00C42B73"/>
    <w:rsid w:val="00C42EF2"/>
    <w:rsid w:val="00C444C8"/>
    <w:rsid w:val="00C52C3C"/>
    <w:rsid w:val="00C56C3E"/>
    <w:rsid w:val="00C57182"/>
    <w:rsid w:val="00C57863"/>
    <w:rsid w:val="00C60244"/>
    <w:rsid w:val="00C60E7A"/>
    <w:rsid w:val="00C621B6"/>
    <w:rsid w:val="00C6273C"/>
    <w:rsid w:val="00C640AF"/>
    <w:rsid w:val="00C655FD"/>
    <w:rsid w:val="00C66EB7"/>
    <w:rsid w:val="00C675D0"/>
    <w:rsid w:val="00C75407"/>
    <w:rsid w:val="00C776AF"/>
    <w:rsid w:val="00C82A72"/>
    <w:rsid w:val="00C85785"/>
    <w:rsid w:val="00C8596C"/>
    <w:rsid w:val="00C870A8"/>
    <w:rsid w:val="00C908E4"/>
    <w:rsid w:val="00C90AFE"/>
    <w:rsid w:val="00C90BB2"/>
    <w:rsid w:val="00C91F28"/>
    <w:rsid w:val="00C93981"/>
    <w:rsid w:val="00C94434"/>
    <w:rsid w:val="00C95090"/>
    <w:rsid w:val="00C96A93"/>
    <w:rsid w:val="00CA0654"/>
    <w:rsid w:val="00CA0D75"/>
    <w:rsid w:val="00CA0FB0"/>
    <w:rsid w:val="00CA1C95"/>
    <w:rsid w:val="00CA20AA"/>
    <w:rsid w:val="00CA3391"/>
    <w:rsid w:val="00CA5A9C"/>
    <w:rsid w:val="00CA6565"/>
    <w:rsid w:val="00CB18A1"/>
    <w:rsid w:val="00CB1E1B"/>
    <w:rsid w:val="00CB47BB"/>
    <w:rsid w:val="00CB5CA6"/>
    <w:rsid w:val="00CC3E6A"/>
    <w:rsid w:val="00CC4A27"/>
    <w:rsid w:val="00CC4C20"/>
    <w:rsid w:val="00CC4C78"/>
    <w:rsid w:val="00CC6D9A"/>
    <w:rsid w:val="00CD033E"/>
    <w:rsid w:val="00CD051E"/>
    <w:rsid w:val="00CD274A"/>
    <w:rsid w:val="00CD3517"/>
    <w:rsid w:val="00CD5FE2"/>
    <w:rsid w:val="00CD67AC"/>
    <w:rsid w:val="00CE20FB"/>
    <w:rsid w:val="00CE29F9"/>
    <w:rsid w:val="00CE3204"/>
    <w:rsid w:val="00CE6B8C"/>
    <w:rsid w:val="00CE7C68"/>
    <w:rsid w:val="00CF155E"/>
    <w:rsid w:val="00CF27DD"/>
    <w:rsid w:val="00CF2B83"/>
    <w:rsid w:val="00CF2C74"/>
    <w:rsid w:val="00CF4A0C"/>
    <w:rsid w:val="00CF6E33"/>
    <w:rsid w:val="00CF7358"/>
    <w:rsid w:val="00CF7E2C"/>
    <w:rsid w:val="00D00C37"/>
    <w:rsid w:val="00D01F7C"/>
    <w:rsid w:val="00D02B4C"/>
    <w:rsid w:val="00D03074"/>
    <w:rsid w:val="00D03597"/>
    <w:rsid w:val="00D03ABA"/>
    <w:rsid w:val="00D040C4"/>
    <w:rsid w:val="00D04B22"/>
    <w:rsid w:val="00D04F34"/>
    <w:rsid w:val="00D07CD0"/>
    <w:rsid w:val="00D11552"/>
    <w:rsid w:val="00D12449"/>
    <w:rsid w:val="00D159F7"/>
    <w:rsid w:val="00D16705"/>
    <w:rsid w:val="00D16AFC"/>
    <w:rsid w:val="00D17A84"/>
    <w:rsid w:val="00D20822"/>
    <w:rsid w:val="00D20AD1"/>
    <w:rsid w:val="00D21907"/>
    <w:rsid w:val="00D2405A"/>
    <w:rsid w:val="00D26BF1"/>
    <w:rsid w:val="00D2749E"/>
    <w:rsid w:val="00D3026D"/>
    <w:rsid w:val="00D3052C"/>
    <w:rsid w:val="00D323A9"/>
    <w:rsid w:val="00D3269A"/>
    <w:rsid w:val="00D329F2"/>
    <w:rsid w:val="00D34C77"/>
    <w:rsid w:val="00D36090"/>
    <w:rsid w:val="00D37F28"/>
    <w:rsid w:val="00D41BFC"/>
    <w:rsid w:val="00D43372"/>
    <w:rsid w:val="00D433CA"/>
    <w:rsid w:val="00D437C9"/>
    <w:rsid w:val="00D439D9"/>
    <w:rsid w:val="00D43E79"/>
    <w:rsid w:val="00D447CC"/>
    <w:rsid w:val="00D46B17"/>
    <w:rsid w:val="00D46B7E"/>
    <w:rsid w:val="00D52D08"/>
    <w:rsid w:val="00D54085"/>
    <w:rsid w:val="00D54429"/>
    <w:rsid w:val="00D5585C"/>
    <w:rsid w:val="00D56ADA"/>
    <w:rsid w:val="00D57C84"/>
    <w:rsid w:val="00D57DD7"/>
    <w:rsid w:val="00D57F9C"/>
    <w:rsid w:val="00D6057D"/>
    <w:rsid w:val="00D60E4F"/>
    <w:rsid w:val="00D6133D"/>
    <w:rsid w:val="00D61617"/>
    <w:rsid w:val="00D627B9"/>
    <w:rsid w:val="00D629AE"/>
    <w:rsid w:val="00D62DDB"/>
    <w:rsid w:val="00D635AC"/>
    <w:rsid w:val="00D66505"/>
    <w:rsid w:val="00D675BE"/>
    <w:rsid w:val="00D6795A"/>
    <w:rsid w:val="00D70DD4"/>
    <w:rsid w:val="00D71636"/>
    <w:rsid w:val="00D71640"/>
    <w:rsid w:val="00D736C8"/>
    <w:rsid w:val="00D75F7C"/>
    <w:rsid w:val="00D81610"/>
    <w:rsid w:val="00D81AE1"/>
    <w:rsid w:val="00D82599"/>
    <w:rsid w:val="00D82609"/>
    <w:rsid w:val="00D82979"/>
    <w:rsid w:val="00D835B3"/>
    <w:rsid w:val="00D836C5"/>
    <w:rsid w:val="00D83C6A"/>
    <w:rsid w:val="00D84576"/>
    <w:rsid w:val="00D85CE1"/>
    <w:rsid w:val="00D861E2"/>
    <w:rsid w:val="00D86CBF"/>
    <w:rsid w:val="00D90641"/>
    <w:rsid w:val="00D93661"/>
    <w:rsid w:val="00D94B88"/>
    <w:rsid w:val="00D95040"/>
    <w:rsid w:val="00D96273"/>
    <w:rsid w:val="00DA1399"/>
    <w:rsid w:val="00DA24C6"/>
    <w:rsid w:val="00DA2B54"/>
    <w:rsid w:val="00DA3D62"/>
    <w:rsid w:val="00DA44BA"/>
    <w:rsid w:val="00DA4D7B"/>
    <w:rsid w:val="00DA721B"/>
    <w:rsid w:val="00DB0CE7"/>
    <w:rsid w:val="00DB2299"/>
    <w:rsid w:val="00DB35CB"/>
    <w:rsid w:val="00DB74B3"/>
    <w:rsid w:val="00DB7B5A"/>
    <w:rsid w:val="00DC0C03"/>
    <w:rsid w:val="00DC308D"/>
    <w:rsid w:val="00DC4E81"/>
    <w:rsid w:val="00DC5007"/>
    <w:rsid w:val="00DC624C"/>
    <w:rsid w:val="00DC6793"/>
    <w:rsid w:val="00DC6F73"/>
    <w:rsid w:val="00DC71F6"/>
    <w:rsid w:val="00DD271C"/>
    <w:rsid w:val="00DD3CFA"/>
    <w:rsid w:val="00DD424D"/>
    <w:rsid w:val="00DD79B8"/>
    <w:rsid w:val="00DD7B05"/>
    <w:rsid w:val="00DE264A"/>
    <w:rsid w:val="00DE42E9"/>
    <w:rsid w:val="00DE4B85"/>
    <w:rsid w:val="00DE69D3"/>
    <w:rsid w:val="00DE6D01"/>
    <w:rsid w:val="00DE71D8"/>
    <w:rsid w:val="00DF174A"/>
    <w:rsid w:val="00DF5072"/>
    <w:rsid w:val="00DF6287"/>
    <w:rsid w:val="00DF6C1B"/>
    <w:rsid w:val="00DF7C76"/>
    <w:rsid w:val="00E024A8"/>
    <w:rsid w:val="00E02D18"/>
    <w:rsid w:val="00E041E7"/>
    <w:rsid w:val="00E115FE"/>
    <w:rsid w:val="00E143A1"/>
    <w:rsid w:val="00E14A64"/>
    <w:rsid w:val="00E15493"/>
    <w:rsid w:val="00E20EEF"/>
    <w:rsid w:val="00E23CA1"/>
    <w:rsid w:val="00E2753B"/>
    <w:rsid w:val="00E277CD"/>
    <w:rsid w:val="00E311C9"/>
    <w:rsid w:val="00E324F7"/>
    <w:rsid w:val="00E33ED5"/>
    <w:rsid w:val="00E343B4"/>
    <w:rsid w:val="00E409A8"/>
    <w:rsid w:val="00E422B9"/>
    <w:rsid w:val="00E423D7"/>
    <w:rsid w:val="00E4357C"/>
    <w:rsid w:val="00E44B11"/>
    <w:rsid w:val="00E44EF0"/>
    <w:rsid w:val="00E458C7"/>
    <w:rsid w:val="00E50A17"/>
    <w:rsid w:val="00E50C12"/>
    <w:rsid w:val="00E54B88"/>
    <w:rsid w:val="00E62717"/>
    <w:rsid w:val="00E65B91"/>
    <w:rsid w:val="00E66B13"/>
    <w:rsid w:val="00E671FB"/>
    <w:rsid w:val="00E679DF"/>
    <w:rsid w:val="00E70BB7"/>
    <w:rsid w:val="00E7209D"/>
    <w:rsid w:val="00E726CD"/>
    <w:rsid w:val="00E72BDC"/>
    <w:rsid w:val="00E72EAD"/>
    <w:rsid w:val="00E73581"/>
    <w:rsid w:val="00E76B0C"/>
    <w:rsid w:val="00E77223"/>
    <w:rsid w:val="00E80927"/>
    <w:rsid w:val="00E812A0"/>
    <w:rsid w:val="00E84BF4"/>
    <w:rsid w:val="00E8528B"/>
    <w:rsid w:val="00E8543D"/>
    <w:rsid w:val="00E85B94"/>
    <w:rsid w:val="00E86060"/>
    <w:rsid w:val="00E86D55"/>
    <w:rsid w:val="00E870B2"/>
    <w:rsid w:val="00E876DE"/>
    <w:rsid w:val="00E87DB4"/>
    <w:rsid w:val="00E9003D"/>
    <w:rsid w:val="00E969C0"/>
    <w:rsid w:val="00E978D0"/>
    <w:rsid w:val="00EA2798"/>
    <w:rsid w:val="00EA3CD5"/>
    <w:rsid w:val="00EA4613"/>
    <w:rsid w:val="00EA5197"/>
    <w:rsid w:val="00EA6000"/>
    <w:rsid w:val="00EA6016"/>
    <w:rsid w:val="00EA7F91"/>
    <w:rsid w:val="00EA7FB3"/>
    <w:rsid w:val="00EB0A8A"/>
    <w:rsid w:val="00EB1523"/>
    <w:rsid w:val="00EB182F"/>
    <w:rsid w:val="00EB3A36"/>
    <w:rsid w:val="00EB450B"/>
    <w:rsid w:val="00EB4F82"/>
    <w:rsid w:val="00EB5A03"/>
    <w:rsid w:val="00EB79A5"/>
    <w:rsid w:val="00EC0E49"/>
    <w:rsid w:val="00EC0F44"/>
    <w:rsid w:val="00EC101F"/>
    <w:rsid w:val="00EC10CB"/>
    <w:rsid w:val="00EC1D9F"/>
    <w:rsid w:val="00EC48AC"/>
    <w:rsid w:val="00EC4C81"/>
    <w:rsid w:val="00EC6B18"/>
    <w:rsid w:val="00EC6F2F"/>
    <w:rsid w:val="00ED3936"/>
    <w:rsid w:val="00ED6A12"/>
    <w:rsid w:val="00ED6EE6"/>
    <w:rsid w:val="00EE0131"/>
    <w:rsid w:val="00EE169E"/>
    <w:rsid w:val="00EE17B0"/>
    <w:rsid w:val="00EE23CC"/>
    <w:rsid w:val="00EE26B6"/>
    <w:rsid w:val="00EE3C82"/>
    <w:rsid w:val="00EE47A7"/>
    <w:rsid w:val="00EE53EC"/>
    <w:rsid w:val="00EF06D9"/>
    <w:rsid w:val="00EF481B"/>
    <w:rsid w:val="00EF5579"/>
    <w:rsid w:val="00EF7A0D"/>
    <w:rsid w:val="00EF7B19"/>
    <w:rsid w:val="00F00AAB"/>
    <w:rsid w:val="00F03950"/>
    <w:rsid w:val="00F03ADF"/>
    <w:rsid w:val="00F05172"/>
    <w:rsid w:val="00F06D18"/>
    <w:rsid w:val="00F120B1"/>
    <w:rsid w:val="00F21590"/>
    <w:rsid w:val="00F22CC7"/>
    <w:rsid w:val="00F22DB1"/>
    <w:rsid w:val="00F23A85"/>
    <w:rsid w:val="00F242F3"/>
    <w:rsid w:val="00F24B3A"/>
    <w:rsid w:val="00F25D51"/>
    <w:rsid w:val="00F3049E"/>
    <w:rsid w:val="00F30C64"/>
    <w:rsid w:val="00F3145E"/>
    <w:rsid w:val="00F32BA2"/>
    <w:rsid w:val="00F32CDB"/>
    <w:rsid w:val="00F34663"/>
    <w:rsid w:val="00F37871"/>
    <w:rsid w:val="00F40907"/>
    <w:rsid w:val="00F416CA"/>
    <w:rsid w:val="00F43283"/>
    <w:rsid w:val="00F43B6F"/>
    <w:rsid w:val="00F43E0C"/>
    <w:rsid w:val="00F44365"/>
    <w:rsid w:val="00F463CE"/>
    <w:rsid w:val="00F51C6C"/>
    <w:rsid w:val="00F532DE"/>
    <w:rsid w:val="00F5358B"/>
    <w:rsid w:val="00F5385F"/>
    <w:rsid w:val="00F53A4F"/>
    <w:rsid w:val="00F55048"/>
    <w:rsid w:val="00F565FE"/>
    <w:rsid w:val="00F56B45"/>
    <w:rsid w:val="00F63428"/>
    <w:rsid w:val="00F63A70"/>
    <w:rsid w:val="00F63D8C"/>
    <w:rsid w:val="00F63F4D"/>
    <w:rsid w:val="00F648F6"/>
    <w:rsid w:val="00F66D82"/>
    <w:rsid w:val="00F71CF3"/>
    <w:rsid w:val="00F733CB"/>
    <w:rsid w:val="00F74792"/>
    <w:rsid w:val="00F7534E"/>
    <w:rsid w:val="00F75F9E"/>
    <w:rsid w:val="00F76153"/>
    <w:rsid w:val="00F80C9D"/>
    <w:rsid w:val="00F80DE3"/>
    <w:rsid w:val="00F814A9"/>
    <w:rsid w:val="00F8241D"/>
    <w:rsid w:val="00F82CB2"/>
    <w:rsid w:val="00F84912"/>
    <w:rsid w:val="00F8559F"/>
    <w:rsid w:val="00F869BA"/>
    <w:rsid w:val="00F86FD1"/>
    <w:rsid w:val="00F902A8"/>
    <w:rsid w:val="00F90802"/>
    <w:rsid w:val="00F910C9"/>
    <w:rsid w:val="00F9248B"/>
    <w:rsid w:val="00F93B70"/>
    <w:rsid w:val="00F93EDF"/>
    <w:rsid w:val="00F940A0"/>
    <w:rsid w:val="00F94466"/>
    <w:rsid w:val="00F95B81"/>
    <w:rsid w:val="00F97C37"/>
    <w:rsid w:val="00F97C9E"/>
    <w:rsid w:val="00FA1802"/>
    <w:rsid w:val="00FA21D0"/>
    <w:rsid w:val="00FA2F43"/>
    <w:rsid w:val="00FA550B"/>
    <w:rsid w:val="00FA5D6A"/>
    <w:rsid w:val="00FA5F5F"/>
    <w:rsid w:val="00FA6D7A"/>
    <w:rsid w:val="00FA7C4E"/>
    <w:rsid w:val="00FB027A"/>
    <w:rsid w:val="00FB1E74"/>
    <w:rsid w:val="00FB42D5"/>
    <w:rsid w:val="00FB56BD"/>
    <w:rsid w:val="00FB730C"/>
    <w:rsid w:val="00FC02ED"/>
    <w:rsid w:val="00FC0B4F"/>
    <w:rsid w:val="00FC2695"/>
    <w:rsid w:val="00FC3E03"/>
    <w:rsid w:val="00FC3FC1"/>
    <w:rsid w:val="00FC412A"/>
    <w:rsid w:val="00FC4E4D"/>
    <w:rsid w:val="00FD3AC0"/>
    <w:rsid w:val="00FD4AD0"/>
    <w:rsid w:val="00FD7E51"/>
    <w:rsid w:val="00FE3758"/>
    <w:rsid w:val="00FE3C30"/>
    <w:rsid w:val="00FE3C4F"/>
    <w:rsid w:val="00FE6885"/>
    <w:rsid w:val="00FF0E2D"/>
    <w:rsid w:val="00FF202E"/>
    <w:rsid w:val="00FF25B1"/>
    <w:rsid w:val="00FF6595"/>
    <w:rsid w:val="00FF70E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9F6FEDD1-BE84-4450-9D2A-818F59F3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538D8"/>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D6A"/>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D6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normaltextrun">
    <w:name w:val="normaltextrun"/>
    <w:basedOn w:val="Carpredefinitoparagrafo"/>
    <w:rsid w:val="00AC4F90"/>
  </w:style>
  <w:style w:type="character" w:customStyle="1" w:styleId="eop">
    <w:name w:val="eop"/>
    <w:basedOn w:val="Carpredefinitoparagrafo"/>
    <w:rsid w:val="00AC4F90"/>
  </w:style>
  <w:style w:type="character" w:styleId="Menzionenonrisolta">
    <w:name w:val="Unresolved Mention"/>
    <w:basedOn w:val="Carpredefinitoparagrafo"/>
    <w:uiPriority w:val="99"/>
    <w:semiHidden/>
    <w:unhideWhenUsed/>
    <w:rsid w:val="00BF0FBD"/>
    <w:rPr>
      <w:color w:val="605E5C"/>
      <w:shd w:val="clear" w:color="auto" w:fill="E1DFDD"/>
    </w:rPr>
  </w:style>
  <w:style w:type="character" w:styleId="Testosegnaposto">
    <w:name w:val="Placeholder Text"/>
    <w:basedOn w:val="Carpredefinitoparagrafo"/>
    <w:uiPriority w:val="99"/>
    <w:semiHidden/>
    <w:rsid w:val="00B63B2E"/>
    <w:rPr>
      <w:color w:val="808080"/>
    </w:rPr>
  </w:style>
  <w:style w:type="paragraph" w:styleId="Revisione">
    <w:name w:val="Revision"/>
    <w:hidden/>
    <w:uiPriority w:val="99"/>
    <w:semiHidden/>
    <w:rsid w:val="00BA1FC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126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530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3563</Words>
  <Characters>20315</Characters>
  <Application>Microsoft Office Word</Application>
  <DocSecurity>0</DocSecurity>
  <Lines>169</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Gabriele Landucci</cp:lastModifiedBy>
  <cp:revision>3</cp:revision>
  <cp:lastPrinted>2023-02-13T16:38:00Z</cp:lastPrinted>
  <dcterms:created xsi:type="dcterms:W3CDTF">2024-04-24T14:48:00Z</dcterms:created>
  <dcterms:modified xsi:type="dcterms:W3CDTF">2024-04-24T14:48:00Z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