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38BD1662" w:rsidR="000A03B2" w:rsidRPr="00B57B36" w:rsidRDefault="00A76EFC" w:rsidP="00B57E6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825DD9">
              <w:rPr>
                <w:rFonts w:cs="Arial"/>
                <w:b/>
                <w:bCs/>
                <w:i/>
                <w:iCs/>
                <w:color w:val="000066"/>
                <w:sz w:val="22"/>
                <w:szCs w:val="22"/>
                <w:lang w:eastAsia="it-IT"/>
              </w:rPr>
              <w:t>xxx</w:t>
            </w:r>
            <w:r w:rsidR="007B48F9">
              <w:rPr>
                <w:rFonts w:cs="Arial"/>
                <w:b/>
                <w:bCs/>
                <w:i/>
                <w:iCs/>
                <w:color w:val="000066"/>
                <w:sz w:val="22"/>
                <w:szCs w:val="22"/>
                <w:lang w:eastAsia="it-IT"/>
              </w:rPr>
              <w:t>,</w:t>
            </w:r>
            <w:r w:rsidR="00FA5F5F">
              <w:rPr>
                <w:rFonts w:cs="Arial"/>
                <w:b/>
                <w:bCs/>
                <w:i/>
                <w:iCs/>
                <w:color w:val="000066"/>
                <w:sz w:val="22"/>
                <w:szCs w:val="22"/>
                <w:lang w:eastAsia="it-IT"/>
              </w:rPr>
              <w:t xml:space="preserve"> 20</w:t>
            </w:r>
            <w:r w:rsidR="00DF5072">
              <w:rPr>
                <w:rFonts w:cs="Arial"/>
                <w:b/>
                <w:bCs/>
                <w:i/>
                <w:iCs/>
                <w:color w:val="000066"/>
                <w:sz w:val="22"/>
                <w:szCs w:val="22"/>
                <w:lang w:eastAsia="it-IT"/>
              </w:rPr>
              <w:t>2</w:t>
            </w:r>
            <w:r w:rsidR="00825DD9">
              <w:rPr>
                <w:rFonts w:cs="Arial"/>
                <w:b/>
                <w:bCs/>
                <w:i/>
                <w:iCs/>
                <w:color w:val="000066"/>
                <w:sz w:val="22"/>
                <w:szCs w:val="22"/>
                <w:lang w:eastAsia="it-IT"/>
              </w:rPr>
              <w:t>4</w:t>
            </w:r>
          </w:p>
        </w:tc>
        <w:tc>
          <w:tcPr>
            <w:tcW w:w="1843"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DE264A">
        <w:trPr>
          <w:trHeight w:val="567"/>
          <w:jc w:val="center"/>
        </w:trPr>
        <w:tc>
          <w:tcPr>
            <w:tcW w:w="6946" w:type="dxa"/>
            <w:vMerge/>
            <w:tcBorders>
              <w:right w:val="single" w:sz="4" w:space="0" w:color="auto"/>
            </w:tcBorders>
          </w:tcPr>
          <w:p w14:paraId="39E5E4C1"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DE264A">
        <w:trPr>
          <w:trHeight w:val="68"/>
          <w:jc w:val="center"/>
        </w:trPr>
        <w:tc>
          <w:tcPr>
            <w:tcW w:w="8789" w:type="dxa"/>
            <w:gridSpan w:val="2"/>
          </w:tcPr>
          <w:p w14:paraId="4B0BB442" w14:textId="4EADF2C2" w:rsidR="00300E56" w:rsidRPr="00825DD9" w:rsidRDefault="00300E56" w:rsidP="00B57E6F">
            <w:pPr>
              <w:ind w:left="-107"/>
              <w:outlineLvl w:val="2"/>
              <w:rPr>
                <w:rFonts w:ascii="Tahoma" w:hAnsi="Tahoma" w:cs="Tahoma"/>
                <w:bCs/>
                <w:color w:val="000000"/>
                <w:sz w:val="14"/>
                <w:szCs w:val="14"/>
                <w:lang w:val="it-IT" w:eastAsia="it-IT"/>
              </w:rPr>
            </w:pPr>
            <w:r w:rsidRPr="00825DD9">
              <w:rPr>
                <w:rFonts w:ascii="Tahoma" w:hAnsi="Tahoma" w:cs="Tahoma"/>
                <w:iCs/>
                <w:color w:val="333333"/>
                <w:sz w:val="14"/>
                <w:szCs w:val="14"/>
                <w:lang w:val="it-IT" w:eastAsia="it-IT"/>
              </w:rPr>
              <w:t>Guest Editors:</w:t>
            </w:r>
            <w:r w:rsidR="00904C62" w:rsidRPr="00825DD9">
              <w:rPr>
                <w:rFonts w:ascii="Tahoma" w:hAnsi="Tahoma" w:cs="Tahoma"/>
                <w:iCs/>
                <w:color w:val="333333"/>
                <w:sz w:val="14"/>
                <w:szCs w:val="14"/>
                <w:lang w:val="it-IT" w:eastAsia="it-IT"/>
              </w:rPr>
              <w:t xml:space="preserve"> </w:t>
            </w:r>
            <w:r w:rsidR="00B57E6F" w:rsidRPr="00825DD9">
              <w:rPr>
                <w:rFonts w:ascii="Tahoma" w:hAnsi="Tahoma" w:cs="Tahoma"/>
                <w:color w:val="000000"/>
                <w:sz w:val="14"/>
                <w:szCs w:val="14"/>
                <w:shd w:val="clear" w:color="auto" w:fill="FFFFFF"/>
                <w:lang w:val="it-IT"/>
              </w:rPr>
              <w:t xml:space="preserve">Valerio Cozzani, </w:t>
            </w:r>
            <w:r w:rsidR="001331DF" w:rsidRPr="00825DD9">
              <w:rPr>
                <w:rFonts w:ascii="Tahoma" w:hAnsi="Tahoma" w:cs="Tahoma"/>
                <w:color w:val="000000"/>
                <w:sz w:val="14"/>
                <w:szCs w:val="14"/>
                <w:shd w:val="clear" w:color="auto" w:fill="FFFFFF"/>
                <w:lang w:val="it-IT"/>
              </w:rPr>
              <w:t>Bruno Fabiano</w:t>
            </w:r>
            <w:r w:rsidR="00B57E6F" w:rsidRPr="00825DD9">
              <w:rPr>
                <w:rFonts w:ascii="Tahoma" w:hAnsi="Tahoma" w:cs="Tahoma"/>
                <w:color w:val="000000"/>
                <w:sz w:val="14"/>
                <w:szCs w:val="14"/>
                <w:shd w:val="clear" w:color="auto" w:fill="FFFFFF"/>
                <w:lang w:val="it-IT"/>
              </w:rPr>
              <w:t xml:space="preserve">, </w:t>
            </w:r>
            <w:r w:rsidR="00B57E6F" w:rsidRPr="00825DD9">
              <w:rPr>
                <w:rFonts w:ascii="Tahoma" w:hAnsi="Tahoma" w:cs="Tahoma"/>
                <w:bCs/>
                <w:color w:val="000000"/>
                <w:sz w:val="14"/>
                <w:szCs w:val="14"/>
                <w:lang w:val="it-IT" w:eastAsia="it-IT"/>
              </w:rPr>
              <w:t>Genserik Reniers</w:t>
            </w:r>
          </w:p>
          <w:p w14:paraId="1B0F1814" w14:textId="7E8B8C7E" w:rsidR="000A03B2" w:rsidRPr="00B57B36" w:rsidRDefault="00FA5F5F" w:rsidP="00B57E6F">
            <w:pPr>
              <w:tabs>
                <w:tab w:val="left" w:pos="-108"/>
              </w:tabs>
              <w:spacing w:line="140" w:lineRule="atLeast"/>
              <w:ind w:left="-107"/>
              <w:jc w:val="left"/>
            </w:pPr>
            <w:r>
              <w:rPr>
                <w:rFonts w:ascii="Tahoma" w:hAnsi="Tahoma" w:cs="Tahoma"/>
                <w:iCs/>
                <w:color w:val="333333"/>
                <w:sz w:val="14"/>
                <w:szCs w:val="14"/>
                <w:lang w:eastAsia="it-IT"/>
              </w:rPr>
              <w:t>Copyright © 20</w:t>
            </w:r>
            <w:r w:rsidR="00DF5072">
              <w:rPr>
                <w:rFonts w:ascii="Tahoma" w:hAnsi="Tahoma" w:cs="Tahoma"/>
                <w:iCs/>
                <w:color w:val="333333"/>
                <w:sz w:val="14"/>
                <w:szCs w:val="14"/>
                <w:lang w:eastAsia="it-IT"/>
              </w:rPr>
              <w:t>2</w:t>
            </w:r>
            <w:r w:rsidR="00825DD9">
              <w:rPr>
                <w:rFonts w:ascii="Tahoma" w:hAnsi="Tahoma" w:cs="Tahoma"/>
                <w:iCs/>
                <w:color w:val="333333"/>
                <w:sz w:val="14"/>
                <w:szCs w:val="14"/>
                <w:lang w:eastAsia="it-IT"/>
              </w:rPr>
              <w:t>4</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25DD9" w:rsidRPr="00825DD9">
              <w:rPr>
                <w:rFonts w:ascii="Tahoma" w:hAnsi="Tahoma" w:cs="Tahoma"/>
                <w:sz w:val="14"/>
                <w:szCs w:val="14"/>
                <w:lang w:eastAsia="it-IT"/>
              </w:rPr>
              <w:t>979-12-81206-11-3</w:t>
            </w:r>
            <w:r w:rsidR="007B48F9" w:rsidRPr="00EF06D9">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10DAA130" w14:textId="77777777" w:rsidR="000A03B2" w:rsidRPr="00B57B36" w:rsidRDefault="000A03B2" w:rsidP="000A03B2">
      <w:pPr>
        <w:pStyle w:val="CETAuthors"/>
        <w:sectPr w:rsidR="000A03B2" w:rsidRPr="00B57B36" w:rsidSect="0024184C">
          <w:type w:val="continuous"/>
          <w:pgSz w:w="11906" w:h="16838" w:code="9"/>
          <w:pgMar w:top="1701" w:right="1418" w:bottom="1701" w:left="1701" w:header="1701" w:footer="0" w:gutter="0"/>
          <w:cols w:space="708"/>
          <w:titlePg/>
          <w:docGrid w:linePitch="360"/>
        </w:sectPr>
      </w:pPr>
    </w:p>
    <w:p w14:paraId="2E667253" w14:textId="66A431CA" w:rsidR="00E978D0" w:rsidRPr="00665323" w:rsidRDefault="006F318D" w:rsidP="00665323">
      <w:pPr>
        <w:pStyle w:val="CETTitle"/>
      </w:pPr>
      <w:r>
        <w:t>CFD Modelling of LPG Dispersion in a Road Environment</w:t>
      </w:r>
    </w:p>
    <w:p w14:paraId="7B6BD00C" w14:textId="613972A5" w:rsidR="006F318D" w:rsidRPr="006F318D" w:rsidRDefault="006F318D" w:rsidP="006F318D">
      <w:pPr>
        <w:pStyle w:val="CETAuthors"/>
        <w:rPr>
          <w:lang w:val="es-CO"/>
        </w:rPr>
      </w:pPr>
      <w:r w:rsidRPr="006F318D">
        <w:rPr>
          <w:lang w:val="es-CO"/>
        </w:rPr>
        <w:t>Fabio Lozano</w:t>
      </w:r>
      <w:r w:rsidRPr="006F318D">
        <w:rPr>
          <w:vertAlign w:val="superscript"/>
          <w:lang w:val="es-CO"/>
        </w:rPr>
        <w:t>a,</w:t>
      </w:r>
      <w:r w:rsidRPr="006F318D">
        <w:rPr>
          <w:lang w:val="es-CO"/>
        </w:rPr>
        <w:t>*, Morgan Johansson</w:t>
      </w:r>
      <w:r w:rsidRPr="006F318D">
        <w:rPr>
          <w:vertAlign w:val="superscript"/>
          <w:lang w:val="es-CO"/>
        </w:rPr>
        <w:t>a</w:t>
      </w:r>
      <w:r>
        <w:rPr>
          <w:lang w:val="es-CO"/>
        </w:rPr>
        <w:t xml:space="preserve">, </w:t>
      </w:r>
      <w:r w:rsidRPr="006F318D">
        <w:rPr>
          <w:lang w:val="es-CO"/>
        </w:rPr>
        <w:t>Joosef Leppänen</w:t>
      </w:r>
      <w:r w:rsidRPr="006F318D">
        <w:rPr>
          <w:vertAlign w:val="superscript"/>
          <w:lang w:val="es-CO"/>
        </w:rPr>
        <w:t>a</w:t>
      </w:r>
      <w:r w:rsidRPr="006F318D">
        <w:rPr>
          <w:lang w:val="es-CO"/>
        </w:rPr>
        <w:t>, Mario Plos</w:t>
      </w:r>
      <w:r w:rsidRPr="006F318D">
        <w:rPr>
          <w:vertAlign w:val="superscript"/>
          <w:lang w:val="es-CO"/>
        </w:rPr>
        <w:t>b</w:t>
      </w:r>
    </w:p>
    <w:p w14:paraId="407A012B" w14:textId="77777777" w:rsidR="006F318D" w:rsidRPr="006F318D" w:rsidRDefault="006F318D" w:rsidP="006F318D">
      <w:pPr>
        <w:pStyle w:val="CETAddress"/>
      </w:pPr>
      <w:r w:rsidRPr="006F318D">
        <w:rPr>
          <w:vertAlign w:val="superscript"/>
        </w:rPr>
        <w:t>a</w:t>
      </w:r>
      <w:r w:rsidRPr="006F318D">
        <w:t>Chalmers University of Technology, Gothenburg, SE</w:t>
      </w:r>
      <w:r w:rsidRPr="006F318D">
        <w:noBreakHyphen/>
        <w:t>41296, Sweden</w:t>
      </w:r>
    </w:p>
    <w:p w14:paraId="238B9535" w14:textId="77777777" w:rsidR="006F318D" w:rsidRPr="006F318D" w:rsidRDefault="006F318D" w:rsidP="006F318D">
      <w:pPr>
        <w:pStyle w:val="CETAddress"/>
      </w:pPr>
      <w:r w:rsidRPr="006F318D">
        <w:rPr>
          <w:vertAlign w:val="superscript"/>
        </w:rPr>
        <w:t>b</w:t>
      </w:r>
      <w:r w:rsidRPr="006F318D">
        <w:t>Swedish Transport Administration, Gothenburg, SE</w:t>
      </w:r>
      <w:r w:rsidRPr="006F318D">
        <w:noBreakHyphen/>
        <w:t>41104, Sweden</w:t>
      </w:r>
    </w:p>
    <w:p w14:paraId="15184A8B" w14:textId="5B8E6B33" w:rsidR="006F318D" w:rsidRDefault="006F318D" w:rsidP="006F318D">
      <w:pPr>
        <w:pStyle w:val="CETemail"/>
      </w:pPr>
      <w:r w:rsidRPr="006F318D">
        <w:t>fabio.lozano@chalmers.se</w:t>
      </w:r>
    </w:p>
    <w:p w14:paraId="1294D9DE" w14:textId="25E29794" w:rsidR="006F318D" w:rsidRDefault="006F318D" w:rsidP="006F318D">
      <w:pPr>
        <w:pStyle w:val="CETBodytext"/>
      </w:pPr>
      <w:r w:rsidRPr="006F318D">
        <w:t xml:space="preserve">Inland transportation of </w:t>
      </w:r>
      <w:r w:rsidR="009176CF" w:rsidRPr="006F318D">
        <w:t xml:space="preserve">Liquified Petroleum Gas (LPG) </w:t>
      </w:r>
      <w:r w:rsidRPr="006F318D">
        <w:t>is often carried out using road tankers. An accident during road transport may lead to an unintended discharge of LPG</w:t>
      </w:r>
      <w:r w:rsidR="00DC5655">
        <w:t xml:space="preserve"> on the road</w:t>
      </w:r>
      <w:r w:rsidRPr="006F318D">
        <w:t xml:space="preserve">, which could mix with the surrounding air to form a flammable fuel-air cloud. This cloud is normally characterized by an irregular shape and non-uniform concentration, depending on factors such as geometrical and meteorological conditions and the properties of the leakage. Furthermore, the presence of vehicles on the road may significantly affect the dispersion and concentration of the cloud and may cause partial confinement or obstruction of the cloud, which could potentially become a source of dangerous gas explosions on the road. This paper presents a numerical study of dispersion of LPG in a road environment following an unintended leakage from a road tanker. The work was </w:t>
      </w:r>
      <w:r w:rsidR="0006664C" w:rsidRPr="006F318D">
        <w:t>conducted</w:t>
      </w:r>
      <w:r w:rsidRPr="006F318D">
        <w:t xml:space="preserve"> using the computational fluid dynamics (CFD) code FLACS-CFD. The purpose was to quantify the extension of the gas cloud within the flammability limits for different leak properties, wind conditions, and traffic layout. For each case, an equivalent gas cloud with a </w:t>
      </w:r>
      <w:r w:rsidR="0006664C">
        <w:t>regular</w:t>
      </w:r>
      <w:r w:rsidRPr="006F318D">
        <w:t xml:space="preserve"> shape and stoichiometric concentration was determined using the Q9 cloud model. Based on the results, recommendations for the choice of equivalent gas volume for different standard scenarios are presented.</w:t>
      </w:r>
    </w:p>
    <w:p w14:paraId="487D8208" w14:textId="77777777" w:rsidR="006F318D" w:rsidRPr="006F318D" w:rsidRDefault="006F318D" w:rsidP="006F318D">
      <w:pPr>
        <w:pStyle w:val="CETHeading1"/>
      </w:pPr>
      <w:r w:rsidRPr="006F318D">
        <w:t>Introduction</w:t>
      </w:r>
    </w:p>
    <w:p w14:paraId="11F242DA" w14:textId="772ECA4A" w:rsidR="006F318D" w:rsidRPr="006F318D" w:rsidRDefault="006F318D" w:rsidP="006F318D">
      <w:pPr>
        <w:pStyle w:val="CETBodytext"/>
      </w:pPr>
      <w:r w:rsidRPr="006F318D">
        <w:t>Liquified Petroleum Gas (LPG) is a hydrocarbon fuel commonly used both for domestic and industrial purposes</w:t>
      </w:r>
      <w:r w:rsidR="007856F6">
        <w:t xml:space="preserve"> around the world</w:t>
      </w:r>
      <w:r w:rsidRPr="006F318D">
        <w:t xml:space="preserve">. LPG normally consists of a mix of either </w:t>
      </w:r>
      <w:r w:rsidR="0006664C">
        <w:t>mostly</w:t>
      </w:r>
      <w:r w:rsidRPr="006F318D">
        <w:t xml:space="preserve"> propane, </w:t>
      </w:r>
      <w:r w:rsidR="0006664C">
        <w:t>mostly</w:t>
      </w:r>
      <w:r w:rsidRPr="006F318D">
        <w:t xml:space="preserve"> butane, or mixes including both propane and butane. LPG will be in gaseous state at ambient conditions but can be liquefied at relatively low pressure. Due to this property, LPG is typically transported in liquid form in pressurized vessels at temperatures above the normal boiling point of the gas. Inland transportation of LPG is often carried out using road tankers, although transport by rail tank wagons</w:t>
      </w:r>
      <w:r w:rsidR="00481645">
        <w:t xml:space="preserve"> or pipes</w:t>
      </w:r>
      <w:r w:rsidRPr="006F318D">
        <w:t xml:space="preserve"> is also used in some countries. </w:t>
      </w:r>
    </w:p>
    <w:p w14:paraId="15FB65C9" w14:textId="241C78AE" w:rsidR="006F318D" w:rsidRDefault="006F318D" w:rsidP="006F318D">
      <w:pPr>
        <w:pStyle w:val="CETBodytext"/>
      </w:pPr>
      <w:r>
        <w:t>LPG is highly flammable. An accidental release of LPG during transport may result in catastrophic events such as fires, vapor cloud explosions (VCEs), or BLEVEs (Boiling Liquid Expanding Vapor Explosions). Among these events, VCEs are often considered the most likely</w:t>
      </w:r>
      <w:r w:rsidR="00E2454C">
        <w:t xml:space="preserve"> </w:t>
      </w:r>
      <w:r w:rsidR="00B250C0" w:rsidRPr="00B250C0">
        <w:rPr>
          <w:rFonts w:cs="Arial"/>
        </w:rPr>
        <w:t>(Bubbico et al., 2000)</w:t>
      </w:r>
      <w:r>
        <w:t>. A VCE may be the result of ignition of a fuel-air cloud (also known simply as a gas cloud) formed by mixing of the released fuel with the surrounding air. The severity of the explosion depends, among other aspects, on the geometrical conditions of the site</w:t>
      </w:r>
      <w:r w:rsidR="0006664C">
        <w:t>.</w:t>
      </w:r>
    </w:p>
    <w:p w14:paraId="5B3B9130" w14:textId="77777777" w:rsidR="00481645" w:rsidRDefault="006F318D" w:rsidP="006F318D">
      <w:pPr>
        <w:pStyle w:val="CETBodytext"/>
      </w:pPr>
      <w:r w:rsidRPr="00000625">
        <w:t xml:space="preserve">A risk analysis is usually </w:t>
      </w:r>
      <w:r w:rsidR="0006664C" w:rsidRPr="00000625">
        <w:t>conducted</w:t>
      </w:r>
      <w:r w:rsidRPr="00000625">
        <w:t xml:space="preserve"> to estimate the consequences of a VCE on a road. An essential part within this process is the estimation of </w:t>
      </w:r>
      <w:r>
        <w:t xml:space="preserve">the </w:t>
      </w:r>
      <w:r w:rsidRPr="00000625">
        <w:t>extension of the gas cloud</w:t>
      </w:r>
      <w:r>
        <w:t xml:space="preserve"> within the flammability limits. T</w:t>
      </w:r>
      <w:r w:rsidRPr="00801F89">
        <w:t xml:space="preserve">he </w:t>
      </w:r>
      <w:r>
        <w:t xml:space="preserve">dispersed </w:t>
      </w:r>
      <w:r w:rsidRPr="00801F89">
        <w:t xml:space="preserve">gas cloud normally </w:t>
      </w:r>
      <w:r>
        <w:t xml:space="preserve">exhibits </w:t>
      </w:r>
      <w:r w:rsidRPr="00801F89">
        <w:t>an irregular shape and non-uniform concentration, which depends on factors such as geometrical and meteorological conditions and the properties of the leakage. On a road, the presence of vehicles in the surrounding area may significantly affect the dispersion and concentration of the cloud</w:t>
      </w:r>
      <w:r>
        <w:t>.</w:t>
      </w:r>
      <w:r w:rsidRPr="00285054">
        <w:t xml:space="preserve"> </w:t>
      </w:r>
      <w:r>
        <w:t xml:space="preserve">The calculation of the cloud size can be achieved with the help of </w:t>
      </w:r>
      <w:r w:rsidR="0006664C">
        <w:t>tools</w:t>
      </w:r>
      <w:r>
        <w:t xml:space="preserve"> based on computational fluid dynamics (CFD)</w:t>
      </w:r>
      <w:r w:rsidR="00DA7DA8">
        <w:t xml:space="preserve"> </w:t>
      </w:r>
      <w:r w:rsidR="00DA7DA8" w:rsidRPr="00DA7DA8">
        <w:rPr>
          <w:rFonts w:cs="Arial"/>
        </w:rPr>
        <w:t>(Shen et al., 2020)</w:t>
      </w:r>
      <w:r w:rsidR="00DA7DA8">
        <w:t xml:space="preserve"> </w:t>
      </w:r>
      <w:r>
        <w:t>or analytical dispersion models</w:t>
      </w:r>
      <w:r w:rsidR="00CE3990">
        <w:t xml:space="preserve"> </w:t>
      </w:r>
      <w:r w:rsidR="00CE3990" w:rsidRPr="00CE3990">
        <w:rPr>
          <w:rFonts w:cs="Arial"/>
        </w:rPr>
        <w:t>(Nielsen, 1998)</w:t>
      </w:r>
      <w:r>
        <w:t xml:space="preserve">. Alternatively, in a significantly simplified but conservative approach, the entire gas inventory contained within the reservoir under consideration could be assumed to contribute to the formation of a flammable cloud at a stoichiometric state. </w:t>
      </w:r>
    </w:p>
    <w:p w14:paraId="687C9986" w14:textId="591379FC" w:rsidR="006F318D" w:rsidRDefault="006F318D" w:rsidP="006F318D">
      <w:pPr>
        <w:pStyle w:val="CETBodytext"/>
      </w:pPr>
      <w:r>
        <w:t>Dispersion analysis</w:t>
      </w:r>
      <w:r w:rsidRPr="00000625">
        <w:t xml:space="preserve"> allows identification of critical areas where powerful explosions could be initiated</w:t>
      </w:r>
      <w:r>
        <w:t xml:space="preserve"> (i.e., </w:t>
      </w:r>
      <w:r w:rsidRPr="0006664C">
        <w:t>blast sources</w:t>
      </w:r>
      <w:r>
        <w:t>)</w:t>
      </w:r>
      <w:r w:rsidRPr="00000625">
        <w:t>.</w:t>
      </w:r>
      <w:r>
        <w:t xml:space="preserve"> These are regions within the cloud that are </w:t>
      </w:r>
      <w:r w:rsidR="0006664C">
        <w:t>(</w:t>
      </w:r>
      <w:r>
        <w:t>partially</w:t>
      </w:r>
      <w:r w:rsidR="0006664C">
        <w:t>)</w:t>
      </w:r>
      <w:r>
        <w:t xml:space="preserve"> confined or obstructed. </w:t>
      </w:r>
      <w:r w:rsidR="0006664C">
        <w:t>O</w:t>
      </w:r>
      <w:r>
        <w:t xml:space="preserve">n an open road, an example of such regions is the space underneath closely located vehicles. It is today widely accepted that only </w:t>
      </w:r>
      <w:r>
        <w:lastRenderedPageBreak/>
        <w:t>the combustion energy of the portion of the cloud in such regions contributes to strong blast generation</w:t>
      </w:r>
      <w:r w:rsidR="00C91BD0">
        <w:t xml:space="preserve"> </w:t>
      </w:r>
      <w:r w:rsidR="003351D5" w:rsidRPr="003351D5">
        <w:rPr>
          <w:rFonts w:cs="Arial"/>
        </w:rPr>
        <w:t>(Committee, 2005)</w:t>
      </w:r>
      <w:r w:rsidR="0006664C">
        <w:t xml:space="preserve">. The combustion energy in turn is a function of the volume of the blast source. </w:t>
      </w:r>
    </w:p>
    <w:p w14:paraId="0F1A8ACA" w14:textId="26F4644F" w:rsidR="006F318D" w:rsidRDefault="006F318D" w:rsidP="006F318D">
      <w:pPr>
        <w:pStyle w:val="CETBodytext"/>
      </w:pPr>
      <w:r>
        <w:t xml:space="preserve">After identification of the blast sources within the flammable cloud, estimation of the explosion overpressure is </w:t>
      </w:r>
      <w:r w:rsidR="0006664C">
        <w:t>conducted</w:t>
      </w:r>
      <w:r>
        <w:t xml:space="preserve">. In normal practice, simplified methods such as the TNO-MEM </w:t>
      </w:r>
      <w:r w:rsidR="00E2454C" w:rsidRPr="00E2454C">
        <w:rPr>
          <w:rFonts w:cs="Arial"/>
        </w:rPr>
        <w:t>(van den Berg, 1985)</w:t>
      </w:r>
      <w:r>
        <w:t xml:space="preserve"> </w:t>
      </w:r>
      <w:r w:rsidR="003706F7">
        <w:t>or</w:t>
      </w:r>
      <w:r>
        <w:t xml:space="preserve"> the TNT</w:t>
      </w:r>
      <w:r w:rsidR="0006664C">
        <w:noBreakHyphen/>
      </w:r>
      <w:r>
        <w:t>equivalency method</w:t>
      </w:r>
      <w:r w:rsidR="00160FC9">
        <w:t xml:space="preserve"> </w:t>
      </w:r>
      <w:r>
        <w:t xml:space="preserve">are used. A common assumption when calculating the explosion overpressure is that the </w:t>
      </w:r>
      <w:r w:rsidR="00B3141F">
        <w:t xml:space="preserve">fuel-air </w:t>
      </w:r>
      <w:r>
        <w:t>mixture has a stoichiometric concentration at the blast source</w:t>
      </w:r>
      <w:r w:rsidR="00B3141F">
        <w:t xml:space="preserve"> (which yields the highest explosion pressure)</w:t>
      </w:r>
      <w:r>
        <w:t>. However,</w:t>
      </w:r>
      <w:r w:rsidR="0019697C">
        <w:t xml:space="preserve"> in the real </w:t>
      </w:r>
      <w:r w:rsidRPr="00FA404C">
        <w:t>irregular and non-uniform</w:t>
      </w:r>
      <w:r w:rsidR="0019697C">
        <w:t xml:space="preserve"> gas cloud, t</w:t>
      </w:r>
      <w:r>
        <w:t>he mix</w:t>
      </w:r>
      <w:r w:rsidR="00B3141F">
        <w:t xml:space="preserve">ture </w:t>
      </w:r>
      <w:r>
        <w:t xml:space="preserve">is normally rich in the vicinity of the leakage and </w:t>
      </w:r>
      <w:proofErr w:type="gramStart"/>
      <w:r>
        <w:t>lean</w:t>
      </w:r>
      <w:proofErr w:type="gramEnd"/>
      <w:r>
        <w:t xml:space="preserve"> towards the edge of the cloud. Consequently, when faced with scenarios in which the volume of the potential blast sources</w:t>
      </w:r>
      <w:r w:rsidR="008738C4">
        <w:t xml:space="preserve"> (i.e., the confined or obstructed regions where a powerful explosion can be initiated)</w:t>
      </w:r>
      <w:r>
        <w:t xml:space="preserve"> is </w:t>
      </w:r>
      <w:proofErr w:type="gramStart"/>
      <w:r>
        <w:t>similar to</w:t>
      </w:r>
      <w:proofErr w:type="gramEnd"/>
      <w:r>
        <w:t xml:space="preserve"> the volume of the dispersed gas cloud, it may be overly conservative to assume stoichiometric concentration for the entire confined or obstructed regions. This situation may arise </w:t>
      </w:r>
      <w:r w:rsidR="0006664C">
        <w:t>o</w:t>
      </w:r>
      <w:r>
        <w:t xml:space="preserve">n congested roads in which the size of the group of vehicles </w:t>
      </w:r>
      <w:r w:rsidR="0006664C">
        <w:t xml:space="preserve">present </w:t>
      </w:r>
      <w:r>
        <w:t xml:space="preserve">on the road is similar or exceeds the size of the gas cloud. For such cases, it may be more appropriate to consider a reduced volume of a stoichiometric mixture. That is, not all vehicles within the cloud would form a blast source simultaneously. Alternatively, the </w:t>
      </w:r>
      <w:r w:rsidR="0006664C">
        <w:t xml:space="preserve">volume of the entire </w:t>
      </w:r>
      <w:r w:rsidR="0031021A">
        <w:t>obstructed</w:t>
      </w:r>
      <w:r w:rsidR="0006664C">
        <w:t xml:space="preserve"> region </w:t>
      </w:r>
      <w:r>
        <w:t xml:space="preserve">may be </w:t>
      </w:r>
      <w:r w:rsidR="0006664C">
        <w:t>used</w:t>
      </w:r>
      <w:r w:rsidR="0031021A">
        <w:t xml:space="preserve"> for estimation of the combustion energy</w:t>
      </w:r>
      <w:r>
        <w:t xml:space="preserve">, but with a non-stoichiometric concentration. </w:t>
      </w:r>
      <w:r w:rsidRPr="005D307F">
        <w:t xml:space="preserve">The first approach is more appealing, as </w:t>
      </w:r>
      <w:r>
        <w:t>it can be implemented by adopting the concept of Equivalent Stoichiometric Cloud (ESC), which is</w:t>
      </w:r>
      <w:r w:rsidR="0031021A">
        <w:t xml:space="preserve"> today</w:t>
      </w:r>
      <w:r>
        <w:t xml:space="preserve"> commonly used in probabilistic explosion assessments</w:t>
      </w:r>
      <w:r w:rsidR="00DA7DA8">
        <w:t xml:space="preserve"> </w:t>
      </w:r>
      <w:r w:rsidR="00DA7DA8" w:rsidRPr="00DA7DA8">
        <w:rPr>
          <w:rFonts w:cs="Arial"/>
        </w:rPr>
        <w:t xml:space="preserve">(Tam et al., </w:t>
      </w:r>
      <w:r w:rsidR="0003656B">
        <w:rPr>
          <w:rFonts w:cs="Arial"/>
        </w:rPr>
        <w:t>2021</w:t>
      </w:r>
      <w:r w:rsidR="00DA7DA8" w:rsidRPr="00DA7DA8">
        <w:rPr>
          <w:rFonts w:cs="Arial"/>
        </w:rPr>
        <w:t>)</w:t>
      </w:r>
      <w:r>
        <w:t xml:space="preserve">. This </w:t>
      </w:r>
      <w:r w:rsidR="005046FC">
        <w:t>approach</w:t>
      </w:r>
      <w:r>
        <w:t xml:space="preserve"> </w:t>
      </w:r>
      <w:r w:rsidR="00B3141F">
        <w:t>was</w:t>
      </w:r>
      <w:r w:rsidR="0019697C">
        <w:t xml:space="preserve"> </w:t>
      </w:r>
      <w:r w:rsidR="007D303E">
        <w:t>used</w:t>
      </w:r>
      <w:r w:rsidR="0019697C">
        <w:t xml:space="preserve"> in this study</w:t>
      </w:r>
      <w:r w:rsidR="005046FC">
        <w:t>. I</w:t>
      </w:r>
      <w:r w:rsidR="00B3141F">
        <w:t xml:space="preserve">t </w:t>
      </w:r>
      <w:r>
        <w:t xml:space="preserve">consists in transforming the real dispersed flammable cloud into a regular cloud with a cuboid shape and uniform concentration, normally at stoichiometric state. </w:t>
      </w:r>
    </w:p>
    <w:p w14:paraId="084B2A73" w14:textId="1DDA6D16" w:rsidR="006F318D" w:rsidRPr="00CF6EF3" w:rsidRDefault="006F318D" w:rsidP="006F318D">
      <w:pPr>
        <w:pStyle w:val="CETBodytext"/>
        <w:rPr>
          <w:lang w:val="en-GB"/>
        </w:rPr>
      </w:pPr>
      <w:r>
        <w:t xml:space="preserve">The aim of this study </w:t>
      </w:r>
      <w:r w:rsidR="00B3141F">
        <w:t>was</w:t>
      </w:r>
      <w:r>
        <w:t xml:space="preserve"> to determine the maximum equivalent stoichiometric clouds for different LPG release scenarios on a road based on CFD calculations to evaluate the appropriate volume of the blast source for overpressure calculation. In </w:t>
      </w:r>
      <w:r w:rsidR="00566CC9">
        <w:t>other words</w:t>
      </w:r>
      <w:r>
        <w:t xml:space="preserve">, the goal </w:t>
      </w:r>
      <w:r w:rsidR="00B3141F">
        <w:t>was</w:t>
      </w:r>
      <w:r>
        <w:t xml:space="preserve"> to </w:t>
      </w:r>
      <w:r w:rsidR="00B3141F">
        <w:t>estimate</w:t>
      </w:r>
      <w:r>
        <w:t xml:space="preserve"> the number of vehicles that together form the blast source for different standard scenarios. Furthermore, the influence of different factors, such as the number of vehicles, distance to the release, and wind speed on the</w:t>
      </w:r>
      <w:r w:rsidR="00481645">
        <w:t xml:space="preserve"> resulting</w:t>
      </w:r>
      <w:r>
        <w:t xml:space="preserve"> ESC </w:t>
      </w:r>
      <w:r w:rsidR="00B3141F">
        <w:t>was</w:t>
      </w:r>
      <w:r>
        <w:t xml:space="preserve"> investigated.</w:t>
      </w:r>
    </w:p>
    <w:p w14:paraId="46A820B2" w14:textId="4E6E1C69" w:rsidR="006F318D" w:rsidRDefault="006F318D" w:rsidP="006F318D">
      <w:pPr>
        <w:pStyle w:val="CETBodytext"/>
      </w:pPr>
      <w:r>
        <w:t>Several models for estimation of the ESC can be found in the literature</w:t>
      </w:r>
      <w:r w:rsidR="00DA7DA8">
        <w:t xml:space="preserve"> </w:t>
      </w:r>
      <w:r w:rsidR="00DA7DA8" w:rsidRPr="00DA7DA8">
        <w:rPr>
          <w:rFonts w:cs="Arial"/>
        </w:rPr>
        <w:t>(Tam et al.,</w:t>
      </w:r>
      <w:r w:rsidR="0003656B">
        <w:rPr>
          <w:rFonts w:cs="Arial"/>
        </w:rPr>
        <w:t xml:space="preserve"> 2021</w:t>
      </w:r>
      <w:r w:rsidR="00DA7DA8" w:rsidRPr="00DA7DA8">
        <w:rPr>
          <w:rFonts w:cs="Arial"/>
        </w:rPr>
        <w:t>)</w:t>
      </w:r>
      <w:r>
        <w:t>. In this study, the Q9 model, implemented in the software FLACS-CFD</w:t>
      </w:r>
      <w:r w:rsidR="00DA7DA8">
        <w:t xml:space="preserve"> </w:t>
      </w:r>
      <w:r w:rsidR="00DA7DA8" w:rsidRPr="00DA7DA8">
        <w:rPr>
          <w:rFonts w:cs="Arial"/>
        </w:rPr>
        <w:t>(Gexcon AS, 2022)</w:t>
      </w:r>
      <w:r>
        <w:t xml:space="preserve">, was adopted. The Q9 model considers both the flame speed and the expansion ratio, as given by </w:t>
      </w:r>
      <w:proofErr w:type="gramStart"/>
      <w:r>
        <w:t>Eq(</w:t>
      </w:r>
      <w:proofErr w:type="gramEnd"/>
      <w:r>
        <w:t>1), in which</w:t>
      </w:r>
      <w:r w:rsidR="00E76642" w:rsidRPr="00E76642">
        <w:rPr>
          <w:rFonts w:ascii="Times New Roman" w:hAnsi="Times New Roman"/>
          <w:i/>
          <w:iCs/>
        </w:rPr>
        <w:t xml:space="preserve"> </w:t>
      </w:r>
      <w:r w:rsidR="00E76642" w:rsidRPr="00001C66">
        <w:rPr>
          <w:rFonts w:ascii="Times New Roman" w:hAnsi="Times New Roman"/>
          <w:i/>
          <w:iCs/>
        </w:rPr>
        <w:t>V</w:t>
      </w:r>
      <w:r w:rsidR="00E76642">
        <w:rPr>
          <w:rFonts w:ascii="Times New Roman" w:hAnsi="Times New Roman"/>
          <w:i/>
          <w:iCs/>
          <w:vertAlign w:val="subscript"/>
        </w:rPr>
        <w:t>Q9</w:t>
      </w:r>
      <w:r w:rsidR="00E76642">
        <w:t xml:space="preserve"> is the </w:t>
      </w:r>
      <w:r w:rsidR="007E4982">
        <w:t>equivalent stoichiometric volume,</w:t>
      </w:r>
      <w:r>
        <w:t xml:space="preserve"> </w:t>
      </w:r>
      <w:r w:rsidRPr="00001C66">
        <w:rPr>
          <w:rFonts w:ascii="Times New Roman" w:hAnsi="Times New Roman"/>
          <w:i/>
          <w:iCs/>
        </w:rPr>
        <w:t>V</w:t>
      </w:r>
      <w:r w:rsidRPr="00001C66">
        <w:rPr>
          <w:rFonts w:ascii="Times New Roman" w:hAnsi="Times New Roman"/>
          <w:i/>
          <w:iCs/>
          <w:vertAlign w:val="subscript"/>
        </w:rPr>
        <w:t>i</w:t>
      </w:r>
      <w:r>
        <w:t xml:space="preserve"> is the unobstructed volume in the </w:t>
      </w:r>
      <w:proofErr w:type="spellStart"/>
      <w:r w:rsidRPr="00001C66">
        <w:rPr>
          <w:rFonts w:ascii="Times New Roman" w:hAnsi="Times New Roman"/>
          <w:i/>
          <w:iCs/>
        </w:rPr>
        <w:t>i-th</w:t>
      </w:r>
      <w:proofErr w:type="spellEnd"/>
      <w:r>
        <w:t xml:space="preserve"> control volume, </w:t>
      </w:r>
      <w:r w:rsidRPr="00F62C57">
        <w:rPr>
          <w:rFonts w:ascii="Times New Roman" w:hAnsi="Times New Roman"/>
          <w:i/>
          <w:iCs/>
        </w:rPr>
        <w:t>V</w:t>
      </w:r>
      <w:r w:rsidRPr="00F62C57">
        <w:rPr>
          <w:rFonts w:ascii="Times New Roman" w:hAnsi="Times New Roman"/>
          <w:i/>
          <w:iCs/>
          <w:vertAlign w:val="subscript"/>
        </w:rPr>
        <w:t>e</w:t>
      </w:r>
      <w:r>
        <w:t xml:space="preserve"> is the volume expansion ratio at consta</w:t>
      </w:r>
      <w:r w:rsidR="001307F2">
        <w:t>n</w:t>
      </w:r>
      <w:r>
        <w:t>t pressure,</w:t>
      </w:r>
      <w:r w:rsidR="007F4C25">
        <w:t xml:space="preserve"> and</w:t>
      </w:r>
      <w:r>
        <w:t xml:space="preserve"> </w:t>
      </w:r>
      <w:r w:rsidRPr="00F62C57">
        <w:rPr>
          <w:rFonts w:ascii="Times New Roman" w:hAnsi="Times New Roman"/>
          <w:i/>
          <w:iCs/>
        </w:rPr>
        <w:t>ER</w:t>
      </w:r>
      <w:r>
        <w:t xml:space="preserve"> is the </w:t>
      </w:r>
      <w:r w:rsidR="002721F4">
        <w:t>equivalence</w:t>
      </w:r>
      <w:r>
        <w:t xml:space="preserve"> ratio (</w:t>
      </w:r>
      <w:r w:rsidRPr="00F62C57">
        <w:rPr>
          <w:rFonts w:ascii="Times New Roman" w:hAnsi="Times New Roman"/>
          <w:i/>
          <w:iCs/>
        </w:rPr>
        <w:t>ER</w:t>
      </w:r>
      <w:r>
        <w:t xml:space="preserve"> </w:t>
      </w:r>
      <w:r w:rsidRPr="00955CB0">
        <w:rPr>
          <w:rFonts w:ascii="Times New Roman" w:hAnsi="Times New Roman"/>
        </w:rPr>
        <w:t>=</w:t>
      </w:r>
      <w:r>
        <w:t xml:space="preserve"> 1 corresponds to a stoichiometric </w:t>
      </w:r>
      <w:r w:rsidR="00B3141F">
        <w:t>concentration</w:t>
      </w:r>
      <w:r>
        <w:t>)</w:t>
      </w:r>
      <w:r w:rsidR="00265536">
        <w:t>. The factor</w:t>
      </w:r>
      <w:r>
        <w:t xml:space="preserve"> </w:t>
      </w:r>
      <w:proofErr w:type="spellStart"/>
      <w:r w:rsidRPr="00F62C57">
        <w:rPr>
          <w:rFonts w:ascii="Times New Roman" w:hAnsi="Times New Roman"/>
          <w:i/>
          <w:iCs/>
        </w:rPr>
        <w:t>E</w:t>
      </w:r>
      <w:r>
        <w:rPr>
          <w:rFonts w:ascii="Times New Roman" w:hAnsi="Times New Roman"/>
          <w:i/>
          <w:iCs/>
        </w:rPr>
        <w:t>R</w:t>
      </w:r>
      <w:r w:rsidRPr="00F62C57">
        <w:rPr>
          <w:rFonts w:ascii="Times New Roman" w:hAnsi="Times New Roman"/>
          <w:i/>
          <w:iCs/>
          <w:vertAlign w:val="subscript"/>
        </w:rPr>
        <w:t>fac</w:t>
      </w:r>
      <w:proofErr w:type="spellEnd"/>
      <w:r>
        <w:t xml:space="preserve"> </w:t>
      </w:r>
      <w:r w:rsidR="00265536">
        <w:t xml:space="preserve">varies </w:t>
      </w:r>
      <w:r>
        <w:t>between 0 and 1 depend</w:t>
      </w:r>
      <w:r w:rsidR="007D303E">
        <w:t xml:space="preserve">ing </w:t>
      </w:r>
      <w:r>
        <w:t>on the equivalen</w:t>
      </w:r>
      <w:r w:rsidR="007D303E">
        <w:t>ce</w:t>
      </w:r>
      <w:r>
        <w:t xml:space="preserve"> ratio according to </w:t>
      </w:r>
      <w:proofErr w:type="gramStart"/>
      <w:r>
        <w:t>Eq(</w:t>
      </w:r>
      <w:proofErr w:type="gramEnd"/>
      <w:r>
        <w:t xml:space="preserve">2), </w:t>
      </w:r>
      <w:r w:rsidR="00200E6D">
        <w:t xml:space="preserve">in which </w:t>
      </w:r>
      <w:r w:rsidRPr="00F62C57">
        <w:rPr>
          <w:rFonts w:ascii="Times New Roman" w:hAnsi="Times New Roman"/>
          <w:i/>
          <w:iCs/>
        </w:rPr>
        <w:t>S</w:t>
      </w:r>
      <w:r w:rsidRPr="00F62C57">
        <w:rPr>
          <w:rFonts w:ascii="Times New Roman" w:hAnsi="Times New Roman"/>
          <w:i/>
          <w:iCs/>
          <w:vertAlign w:val="subscript"/>
        </w:rPr>
        <w:t>L</w:t>
      </w:r>
      <w:r>
        <w:t xml:space="preserve"> is the laminar burning velocity</w:t>
      </w:r>
      <w:r w:rsidR="00942FE3">
        <w:t xml:space="preserve">, and </w:t>
      </w:r>
      <w:r w:rsidR="00942FE3" w:rsidRPr="00F62C57">
        <w:rPr>
          <w:rFonts w:ascii="Times New Roman" w:hAnsi="Times New Roman"/>
          <w:i/>
          <w:iCs/>
        </w:rPr>
        <w:t>ER</w:t>
      </w:r>
      <w:r w:rsidR="00942FE3" w:rsidRPr="00942FE3">
        <w:rPr>
          <w:rFonts w:ascii="Times New Roman" w:hAnsi="Times New Roman"/>
          <w:i/>
          <w:iCs/>
          <w:vertAlign w:val="subscript"/>
        </w:rPr>
        <w:t>LFL</w:t>
      </w:r>
      <w:r w:rsidR="00942FE3" w:rsidRPr="00942FE3">
        <w:t xml:space="preserve"> </w:t>
      </w:r>
      <w:r w:rsidR="00B64B25">
        <w:t xml:space="preserve">and </w:t>
      </w:r>
      <w:r w:rsidR="00942FE3">
        <w:rPr>
          <w:rFonts w:ascii="Times New Roman" w:hAnsi="Times New Roman"/>
          <w:i/>
          <w:iCs/>
        </w:rPr>
        <w:t>ER</w:t>
      </w:r>
      <w:r w:rsidR="00942FE3" w:rsidRPr="00942FE3">
        <w:rPr>
          <w:rFonts w:ascii="Times New Roman" w:hAnsi="Times New Roman"/>
          <w:i/>
          <w:iCs/>
          <w:vertAlign w:val="subscript"/>
        </w:rPr>
        <w:t>UFL</w:t>
      </w:r>
      <w:r w:rsidR="00B64B25">
        <w:t xml:space="preserve"> are the equivalence ratio</w:t>
      </w:r>
      <w:r w:rsidR="00942FE3">
        <w:t xml:space="preserve"> </w:t>
      </w:r>
      <w:r w:rsidR="00B64B25">
        <w:t>at the lower flammability limit (LFL) and upper flammability limit (UFL)</w:t>
      </w:r>
      <w:r w:rsidR="00942FE3">
        <w:t>.</w:t>
      </w:r>
      <w:r>
        <w:t xml:space="preserve"> Moreover, the Q7 model, which gives the gas volume restricted by </w:t>
      </w:r>
      <w:r w:rsidR="00585E26">
        <w:t xml:space="preserve">the </w:t>
      </w:r>
      <w:r>
        <w:t>UFL and LML, was calculated for comparison purposes.</w:t>
      </w:r>
    </w:p>
    <w:p w14:paraId="3AFB18DE" w14:textId="77777777" w:rsidR="006F318D" w:rsidRDefault="006F318D" w:rsidP="006F318D">
      <w:pPr>
        <w:pStyle w:val="CETBodytext"/>
      </w:pPr>
    </w:p>
    <w:tbl>
      <w:tblPr>
        <w:tblW w:w="5000" w:type="pct"/>
        <w:tblLook w:val="04A0" w:firstRow="1" w:lastRow="0" w:firstColumn="1" w:lastColumn="0" w:noHBand="0" w:noVBand="1"/>
      </w:tblPr>
      <w:tblGrid>
        <w:gridCol w:w="7993"/>
        <w:gridCol w:w="794"/>
      </w:tblGrid>
      <w:tr w:rsidR="006F318D" w:rsidRPr="00B57B36" w14:paraId="233BBF38" w14:textId="77777777" w:rsidTr="001640DD">
        <w:tc>
          <w:tcPr>
            <w:tcW w:w="7993" w:type="dxa"/>
            <w:shd w:val="clear" w:color="auto" w:fill="auto"/>
            <w:vAlign w:val="center"/>
          </w:tcPr>
          <w:p w14:paraId="4DF5CC12" w14:textId="77777777" w:rsidR="006F318D" w:rsidRPr="00047D05" w:rsidRDefault="00000000" w:rsidP="001640DD">
            <w:pPr>
              <w:pStyle w:val="CETEquation"/>
            </w:pPr>
            <m:oMathPara>
              <m:oMathParaPr>
                <m:jc m:val="left"/>
              </m:oMathParaPr>
              <m:oMath>
                <m:sSub>
                  <m:sSubPr>
                    <m:ctrlPr>
                      <w:rPr>
                        <w:rFonts w:ascii="Cambria Math" w:hAnsi="Cambria Math"/>
                      </w:rPr>
                    </m:ctrlPr>
                  </m:sSubPr>
                  <m:e>
                    <m:r>
                      <w:rPr>
                        <w:rFonts w:ascii="Cambria Math" w:hAnsi="Cambria Math"/>
                      </w:rPr>
                      <m:t>V</m:t>
                    </m:r>
                  </m:e>
                  <m:sub>
                    <m:r>
                      <w:rPr>
                        <w:rFonts w:ascii="Cambria Math" w:hAnsi="Cambria Math"/>
                      </w:rPr>
                      <m:t>Q</m:t>
                    </m:r>
                    <m:r>
                      <m:rPr>
                        <m:sty m:val="p"/>
                      </m:rPr>
                      <w:rPr>
                        <w:rFonts w:ascii="Cambria Math" w:hAnsi="Cambria Math"/>
                      </w:rPr>
                      <m:t>9</m:t>
                    </m:r>
                  </m:sub>
                </m:sSub>
                <m:r>
                  <m:rPr>
                    <m:sty m:val="p"/>
                  </m:rPr>
                  <w:rPr>
                    <w:rFonts w:ascii="Cambria Math" w:hAnsi="Cambria Math"/>
                  </w:rPr>
                  <m:t>=</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e</m:t>
                                    </m:r>
                                  </m:sub>
                                </m:sSub>
                                <m:d>
                                  <m:dPr>
                                    <m:ctrlPr>
                                      <w:rPr>
                                        <w:rFonts w:ascii="Cambria Math" w:hAnsi="Cambria Math"/>
                                      </w:rPr>
                                    </m:ctrlPr>
                                  </m:dPr>
                                  <m:e>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sub>
                                    </m:sSub>
                                  </m:e>
                                </m:d>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ER</m:t>
                                </m:r>
                              </m:e>
                              <m:sub>
                                <m:r>
                                  <w:rPr>
                                    <w:rFonts w:ascii="Cambria Math" w:hAnsi="Cambria Math"/>
                                  </w:rPr>
                                  <m:t>fac</m:t>
                                </m:r>
                              </m:sub>
                            </m:sSub>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e>
                        </m:d>
                      </m:e>
                    </m:nary>
                  </m:num>
                  <m:den>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e</m:t>
                                    </m:r>
                                  </m:sub>
                                </m:sSub>
                                <m:d>
                                  <m:dPr>
                                    <m:ctrlPr>
                                      <w:rPr>
                                        <w:rFonts w:ascii="Cambria Math" w:hAnsi="Cambria Math"/>
                                      </w:rPr>
                                    </m:ctrlPr>
                                  </m:dPr>
                                  <m:e>
                                    <m:r>
                                      <w:rPr>
                                        <w:rFonts w:ascii="Cambria Math" w:hAnsi="Cambria Math"/>
                                      </w:rPr>
                                      <m:t>ER</m:t>
                                    </m:r>
                                  </m:e>
                                </m:d>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ER</m:t>
                                </m:r>
                              </m:e>
                              <m:sub>
                                <m:r>
                                  <w:rPr>
                                    <w:rFonts w:ascii="Cambria Math" w:hAnsi="Cambria Math"/>
                                  </w:rPr>
                                  <m:t>fac</m:t>
                                </m:r>
                              </m:sub>
                            </m:sSub>
                            <m:d>
                              <m:dPr>
                                <m:ctrlPr>
                                  <w:rPr>
                                    <w:rFonts w:ascii="Cambria Math" w:hAnsi="Cambria Math"/>
                                  </w:rPr>
                                </m:ctrlPr>
                              </m:dPr>
                              <m:e>
                                <m:r>
                                  <w:rPr>
                                    <w:rFonts w:ascii="Cambria Math" w:hAnsi="Cambria Math"/>
                                  </w:rPr>
                                  <m:t>ER</m:t>
                                </m:r>
                              </m:e>
                            </m:d>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LFL</m:t>
                                </m:r>
                              </m:sub>
                            </m:sSub>
                            <m:r>
                              <m:rPr>
                                <m:sty m:val="p"/>
                              </m:rPr>
                              <w:rPr>
                                <w:rFonts w:ascii="Cambria Math" w:hAnsi="Cambria Math"/>
                              </w:rPr>
                              <m:t>≤</m:t>
                            </m:r>
                            <m:r>
                              <w:rPr>
                                <w:rFonts w:ascii="Cambria Math" w:hAnsi="Cambria Math"/>
                              </w:rPr>
                              <m:t>ER</m:t>
                            </m:r>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UFL</m:t>
                                </m:r>
                              </m:sub>
                            </m:sSub>
                          </m:e>
                        </m:d>
                      </m:e>
                    </m:func>
                  </m:den>
                </m:f>
              </m:oMath>
            </m:oMathPara>
          </w:p>
        </w:tc>
        <w:tc>
          <w:tcPr>
            <w:tcW w:w="794" w:type="dxa"/>
            <w:shd w:val="clear" w:color="auto" w:fill="auto"/>
            <w:vAlign w:val="center"/>
          </w:tcPr>
          <w:p w14:paraId="69A2BD0E" w14:textId="77777777" w:rsidR="006F318D" w:rsidRPr="00B57B36" w:rsidRDefault="006F318D" w:rsidP="001640DD">
            <w:pPr>
              <w:pStyle w:val="CETEquation"/>
              <w:jc w:val="right"/>
            </w:pPr>
            <w:r w:rsidRPr="00B57B36">
              <w:t>(1)</w:t>
            </w:r>
          </w:p>
        </w:tc>
      </w:tr>
      <w:tr w:rsidR="006F318D" w:rsidRPr="00B57B36" w14:paraId="49E6FEBB" w14:textId="77777777" w:rsidTr="001640DD">
        <w:tc>
          <w:tcPr>
            <w:tcW w:w="7993" w:type="dxa"/>
            <w:shd w:val="clear" w:color="auto" w:fill="auto"/>
            <w:vAlign w:val="center"/>
          </w:tcPr>
          <w:p w14:paraId="462387DB" w14:textId="77777777" w:rsidR="006F318D" w:rsidRPr="00440FF9" w:rsidRDefault="00000000" w:rsidP="001640DD">
            <w:pPr>
              <w:pStyle w:val="CETEquation"/>
            </w:pPr>
            <m:oMathPara>
              <m:oMathParaPr>
                <m:jc m:val="left"/>
              </m:oMathParaPr>
              <m:oMath>
                <m:sSub>
                  <m:sSubPr>
                    <m:ctrlPr>
                      <w:rPr>
                        <w:rFonts w:ascii="Cambria Math" w:hAnsi="Cambria Math"/>
                      </w:rPr>
                    </m:ctrlPr>
                  </m:sSubPr>
                  <m:e>
                    <m:r>
                      <w:rPr>
                        <w:rFonts w:ascii="Cambria Math" w:hAnsi="Cambria Math"/>
                      </w:rPr>
                      <m:t>ER</m:t>
                    </m:r>
                  </m:e>
                  <m:sub>
                    <m:r>
                      <w:rPr>
                        <w:rFonts w:ascii="Cambria Math" w:hAnsi="Cambria Math"/>
                      </w:rPr>
                      <m:t>fac</m:t>
                    </m:r>
                  </m:sub>
                </m:sSub>
                <m:d>
                  <m:dPr>
                    <m:ctrlPr>
                      <w:rPr>
                        <w:rFonts w:ascii="Cambria Math" w:hAnsi="Cambria Math"/>
                      </w:rPr>
                    </m:ctrlPr>
                  </m:dPr>
                  <m:e>
                    <m:r>
                      <w:rPr>
                        <w:rFonts w:ascii="Cambria Math" w:hAnsi="Cambria Math"/>
                      </w:rPr>
                      <m:t>ER</m:t>
                    </m:r>
                  </m:e>
                </m:d>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S</m:t>
                        </m:r>
                      </m:e>
                      <m:sub>
                        <m:r>
                          <w:rPr>
                            <w:rFonts w:ascii="Cambria Math" w:hAnsi="Cambria Math"/>
                          </w:rPr>
                          <m:t>L</m:t>
                        </m:r>
                      </m:sub>
                    </m:sSub>
                    <m:r>
                      <w:rPr>
                        <w:rFonts w:ascii="Cambria Math" w:hAnsi="Cambria Math"/>
                      </w:rPr>
                      <m:t>(E</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num>
                  <m:den>
                    <m:func>
                      <m:funcPr>
                        <m:ctrlPr>
                          <w:rPr>
                            <w:rFonts w:ascii="Cambria Math" w:hAnsi="Cambria Math"/>
                          </w:rPr>
                        </m:ctrlPr>
                      </m:funcPr>
                      <m:fName>
                        <m:r>
                          <m:rPr>
                            <m:sty m:val="p"/>
                          </m:rPr>
                          <w:rPr>
                            <w:rFonts w:ascii="Cambria Math" w:hAnsi="Cambria Math"/>
                          </w:rPr>
                          <m:t>max</m:t>
                        </m:r>
                      </m:fName>
                      <m:e>
                        <m:d>
                          <m:dPr>
                            <m:begChr m:val="{"/>
                            <m:endChr m:val="}"/>
                            <m:ctrlPr>
                              <w:rPr>
                                <w:rFonts w:ascii="Cambria Math" w:hAnsi="Cambria Math"/>
                              </w:rPr>
                            </m:ctrlPr>
                          </m:dPr>
                          <m:e>
                            <m:sSub>
                              <m:sSubPr>
                                <m:ctrlPr>
                                  <w:rPr>
                                    <w:rFonts w:ascii="Cambria Math" w:hAnsi="Cambria Math"/>
                                    <w:i/>
                                    <w:iCs/>
                                  </w:rPr>
                                </m:ctrlPr>
                              </m:sSubPr>
                              <m:e>
                                <m:r>
                                  <w:rPr>
                                    <w:rFonts w:ascii="Cambria Math" w:hAnsi="Cambria Math"/>
                                  </w:rPr>
                                  <m:t>S</m:t>
                                </m:r>
                              </m:e>
                              <m:sub>
                                <m:r>
                                  <w:rPr>
                                    <w:rFonts w:ascii="Cambria Math" w:hAnsi="Cambria Math"/>
                                  </w:rPr>
                                  <m:t>L</m:t>
                                </m:r>
                              </m:sub>
                            </m:sSub>
                            <m:r>
                              <w:rPr>
                                <w:rFonts w:ascii="Cambria Math" w:hAnsi="Cambria Math"/>
                              </w:rPr>
                              <m:t>(ER)</m:t>
                            </m:r>
                            <m:r>
                              <m:rPr>
                                <m:sty m:val="p"/>
                              </m:rPr>
                              <w:rPr>
                                <w:rFonts w:ascii="Cambria Math" w:hAnsi="Cambria Math"/>
                              </w:rPr>
                              <m:t xml:space="preserve"> :</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LFL</m:t>
                                </m:r>
                              </m:sub>
                            </m:sSub>
                            <m:r>
                              <m:rPr>
                                <m:sty m:val="p"/>
                              </m:rPr>
                              <w:rPr>
                                <w:rFonts w:ascii="Cambria Math" w:hAnsi="Cambria Math"/>
                              </w:rPr>
                              <m:t>≤</m:t>
                            </m:r>
                            <m:r>
                              <w:rPr>
                                <w:rFonts w:ascii="Cambria Math" w:hAnsi="Cambria Math"/>
                              </w:rPr>
                              <m:t>ER</m:t>
                            </m:r>
                            <m:r>
                              <m:rPr>
                                <m:sty m:val="p"/>
                              </m:rPr>
                              <w:rPr>
                                <w:rFonts w:ascii="Cambria Math" w:hAnsi="Cambria Math"/>
                              </w:rPr>
                              <m:t>≤</m:t>
                            </m:r>
                            <m:r>
                              <w:rPr>
                                <w:rFonts w:ascii="Cambria Math" w:hAnsi="Cambria Math"/>
                              </w:rPr>
                              <m:t>E</m:t>
                            </m:r>
                            <m:sSub>
                              <m:sSubPr>
                                <m:ctrlPr>
                                  <w:rPr>
                                    <w:rFonts w:ascii="Cambria Math" w:hAnsi="Cambria Math"/>
                                  </w:rPr>
                                </m:ctrlPr>
                              </m:sSubPr>
                              <m:e>
                                <m:r>
                                  <w:rPr>
                                    <w:rFonts w:ascii="Cambria Math" w:hAnsi="Cambria Math"/>
                                  </w:rPr>
                                  <m:t>R</m:t>
                                </m:r>
                              </m:e>
                              <m:sub>
                                <m:r>
                                  <w:rPr>
                                    <w:rFonts w:ascii="Cambria Math" w:hAnsi="Cambria Math"/>
                                  </w:rPr>
                                  <m:t>UFL</m:t>
                                </m:r>
                              </m:sub>
                            </m:sSub>
                          </m:e>
                        </m:d>
                      </m:e>
                    </m:func>
                  </m:den>
                </m:f>
              </m:oMath>
            </m:oMathPara>
          </w:p>
        </w:tc>
        <w:tc>
          <w:tcPr>
            <w:tcW w:w="794" w:type="dxa"/>
            <w:shd w:val="clear" w:color="auto" w:fill="auto"/>
            <w:vAlign w:val="center"/>
          </w:tcPr>
          <w:p w14:paraId="5C1FC575" w14:textId="77777777" w:rsidR="006F318D" w:rsidRPr="00B57B36" w:rsidRDefault="006F318D" w:rsidP="001640DD">
            <w:pPr>
              <w:pStyle w:val="CETEquation"/>
              <w:jc w:val="right"/>
            </w:pPr>
            <w:r w:rsidRPr="00B57B36">
              <w:t>(</w:t>
            </w:r>
            <w:r>
              <w:t>2</w:t>
            </w:r>
            <w:r w:rsidRPr="00B57B36">
              <w:t>)</w:t>
            </w:r>
          </w:p>
        </w:tc>
      </w:tr>
    </w:tbl>
    <w:p w14:paraId="4C0E3F38" w14:textId="77777777" w:rsidR="008B6282" w:rsidRPr="008B6282" w:rsidRDefault="008B6282" w:rsidP="008B6282">
      <w:pPr>
        <w:pStyle w:val="CETHeading1"/>
      </w:pPr>
      <w:r w:rsidRPr="008B6282">
        <w:t>Case study</w:t>
      </w:r>
    </w:p>
    <w:p w14:paraId="599C1C03" w14:textId="221D005E" w:rsidR="008B6282" w:rsidRDefault="008B6282" w:rsidP="008B6282">
      <w:pPr>
        <w:pStyle w:val="CETBodytext"/>
      </w:pPr>
      <w:r>
        <w:t>The common setting for the studied scenarios was a hypothetical accidental release of LPG (100% propane</w:t>
      </w:r>
      <w:r w:rsidR="004E76E8">
        <w:t xml:space="preserve"> assumed</w:t>
      </w:r>
      <w:r>
        <w:t xml:space="preserve">) during transport by road. Transport was carried out in a road tanker with properties as described in Table 1. The road consisted of two carriageways with two lanes each. The release was assumed to occur at the center of one of the carriageways at a distance </w:t>
      </w:r>
      <w:proofErr w:type="spellStart"/>
      <w:r w:rsidRPr="007F3D43">
        <w:rPr>
          <w:rFonts w:ascii="Times New Roman" w:hAnsi="Times New Roman"/>
          <w:i/>
          <w:iCs/>
        </w:rPr>
        <w:t>L</w:t>
      </w:r>
      <w:r w:rsidRPr="007F3D43">
        <w:rPr>
          <w:rFonts w:ascii="Times New Roman" w:hAnsi="Times New Roman"/>
          <w:i/>
          <w:iCs/>
          <w:vertAlign w:val="subscript"/>
        </w:rPr>
        <w:t>leak</w:t>
      </w:r>
      <w:proofErr w:type="spellEnd"/>
      <w:r>
        <w:t xml:space="preserve"> from the closest vehicle, as shown in Figure 1. All vehicles had the same simplified geometry shown in Figure 1, which is meant to represent a typical personal car. The meteorological conditions at release were taken as 20</w:t>
      </w:r>
      <w:r w:rsidR="0093388E">
        <w:t> </w:t>
      </w:r>
      <w:r w:rsidRPr="00C0284C">
        <w:t>°</w:t>
      </w:r>
      <w:r>
        <w:t>C, stability class D (neutral) and wind speed of 2.0</w:t>
      </w:r>
      <w:r w:rsidR="0093388E">
        <w:t> </w:t>
      </w:r>
      <w:r>
        <w:t>m/s at a reference height of 10</w:t>
      </w:r>
      <w:r w:rsidR="0093388E">
        <w:t> </w:t>
      </w:r>
      <w:r>
        <w:t xml:space="preserve">m. In total, 20 different dispersion scenarios were created by varying the properties of the leak, the distance </w:t>
      </w:r>
      <w:proofErr w:type="spellStart"/>
      <w:r w:rsidRPr="007F3D43">
        <w:rPr>
          <w:rFonts w:ascii="Times New Roman" w:hAnsi="Times New Roman"/>
          <w:i/>
          <w:iCs/>
        </w:rPr>
        <w:t>L</w:t>
      </w:r>
      <w:r w:rsidRPr="007F3D43">
        <w:rPr>
          <w:rFonts w:ascii="Times New Roman" w:hAnsi="Times New Roman"/>
          <w:i/>
          <w:iCs/>
          <w:vertAlign w:val="subscript"/>
        </w:rPr>
        <w:t>leak</w:t>
      </w:r>
      <w:proofErr w:type="spellEnd"/>
      <w:r>
        <w:t>, and the number of vehicles.</w:t>
      </w:r>
    </w:p>
    <w:p w14:paraId="54EB82AB" w14:textId="602A6990" w:rsidR="008B6282" w:rsidRDefault="008B6282" w:rsidP="008B6282">
      <w:pPr>
        <w:pStyle w:val="CETBodytext"/>
      </w:pPr>
      <w:r>
        <w:t xml:space="preserve">The hypothetical release of LPG from the high-pressure tank </w:t>
      </w:r>
      <w:r w:rsidR="0093388E">
        <w:t>was</w:t>
      </w:r>
      <w:r>
        <w:t xml:space="preserve"> assumed to be a stationary jet release whose main axis is parallel with the road, see Figure 1. Besides the thermodynamic state in the tank (e.g., pressure, temperature), the properties of the jet release depend on the location of the orifice on the surface of the tank and the area and shape of the puncture. Depending on the location of the orifice, LPG may be released in the form of vapor, liquid, or two-phase flow. In this study, only the first two cases were </w:t>
      </w:r>
      <w:r w:rsidR="008A1B60">
        <w:t>included</w:t>
      </w:r>
      <w:r>
        <w:t xml:space="preserve">. First, the orifice </w:t>
      </w:r>
      <w:r w:rsidR="0093388E">
        <w:t>wa</w:t>
      </w:r>
      <w:r>
        <w:t>s placed above the liquid level (3.</w:t>
      </w:r>
      <w:r w:rsidR="0093388E">
        <w:t>2</w:t>
      </w:r>
      <w:r>
        <w:t xml:space="preserve"> m above ground)</w:t>
      </w:r>
      <w:r w:rsidR="0093388E">
        <w:t>. For this case,</w:t>
      </w:r>
      <w:r>
        <w:t xml:space="preserve"> the released fuel will be in gaseous phase. Secondly, the orifice </w:t>
      </w:r>
      <w:r w:rsidR="0093388E">
        <w:t>wa</w:t>
      </w:r>
      <w:r>
        <w:t>s located below the liquid level (</w:t>
      </w:r>
      <w:r w:rsidR="0093388E">
        <w:t>1</w:t>
      </w:r>
      <w:r>
        <w:t>.</w:t>
      </w:r>
      <w:r w:rsidR="0093388E">
        <w:t>8</w:t>
      </w:r>
      <w:r>
        <w:t xml:space="preserve"> m above ground), meaning that the released </w:t>
      </w:r>
      <w:r>
        <w:lastRenderedPageBreak/>
        <w:t xml:space="preserve">fuel will be liquid. In Sweden, it is common practice to consider three release scenarios, representing a large, medium, and small release. </w:t>
      </w:r>
      <w:r w:rsidR="0093388E">
        <w:t xml:space="preserve">Hence, </w:t>
      </w:r>
      <w:r>
        <w:t>orifices with diameter 100</w:t>
      </w:r>
      <w:r w:rsidR="0093388E">
        <w:t> </w:t>
      </w:r>
      <w:r>
        <w:t>mm, 50</w:t>
      </w:r>
      <w:r w:rsidR="0093388E">
        <w:t> </w:t>
      </w:r>
      <w:r>
        <w:t>mm, and 20</w:t>
      </w:r>
      <w:r w:rsidR="0093388E">
        <w:t> </w:t>
      </w:r>
      <w:r>
        <w:t xml:space="preserve">mm were </w:t>
      </w:r>
      <w:r w:rsidR="0093388E">
        <w:t>used in this study</w:t>
      </w:r>
      <w:r>
        <w:t xml:space="preserve">. </w:t>
      </w:r>
      <w:r w:rsidR="0093388E">
        <w:t>The d</w:t>
      </w:r>
      <w:r>
        <w:t>ischarge coefficient was taken as 0.85 for all cases.</w:t>
      </w:r>
      <w:r w:rsidR="0093388E">
        <w:t xml:space="preserve"> Table 2 gives the leak properties and </w:t>
      </w:r>
      <w:r>
        <w:t xml:space="preserve">mass outflow rate. The duration of the leak </w:t>
      </w:r>
      <w:r w:rsidR="0093388E">
        <w:t xml:space="preserve">was </w:t>
      </w:r>
      <w:r>
        <w:t>set to 60</w:t>
      </w:r>
      <w:r w:rsidR="0093388E">
        <w:t> </w:t>
      </w:r>
      <w:r>
        <w:t>s.</w:t>
      </w:r>
    </w:p>
    <w:p w14:paraId="6A00C351" w14:textId="77777777" w:rsidR="008B6282" w:rsidRDefault="008B6282" w:rsidP="008B6282">
      <w:pPr>
        <w:pStyle w:val="CETBodytext"/>
      </w:pPr>
      <w:r w:rsidRPr="00F53310">
        <w:rPr>
          <w:noProof/>
        </w:rPr>
        <w:drawing>
          <wp:inline distT="0" distB="0" distL="0" distR="0" wp14:anchorId="06354270" wp14:editId="4442854C">
            <wp:extent cx="3255444" cy="1326333"/>
            <wp:effectExtent l="0" t="0" r="2540" b="7620"/>
            <wp:docPr id="1999578484" name="Picture 1" descr="A diagram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78484" name="Picture 1" descr="A diagram of a diagram&#10;&#10;Description automatically generated"/>
                    <pic:cNvPicPr/>
                  </pic:nvPicPr>
                  <pic:blipFill>
                    <a:blip r:embed="rId10"/>
                    <a:stretch>
                      <a:fillRect/>
                    </a:stretch>
                  </pic:blipFill>
                  <pic:spPr>
                    <a:xfrm>
                      <a:off x="0" y="0"/>
                      <a:ext cx="3299438" cy="1344257"/>
                    </a:xfrm>
                    <a:prstGeom prst="rect">
                      <a:avLst/>
                    </a:prstGeom>
                  </pic:spPr>
                </pic:pic>
              </a:graphicData>
            </a:graphic>
          </wp:inline>
        </w:drawing>
      </w:r>
      <w:r>
        <w:t xml:space="preserve">           </w:t>
      </w:r>
      <w:r w:rsidRPr="00CC2B3B">
        <w:rPr>
          <w:noProof/>
        </w:rPr>
        <w:drawing>
          <wp:inline distT="0" distB="0" distL="0" distR="0" wp14:anchorId="4700A0CE" wp14:editId="7E25E3C3">
            <wp:extent cx="1773534" cy="1419715"/>
            <wp:effectExtent l="0" t="0" r="0" b="0"/>
            <wp:docPr id="1908497963" name="Picture 1" descr="A diagram of a rectangular objec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497963" name="Picture 1" descr="A diagram of a rectangular object with numbers and text&#10;&#10;Description automatically generated"/>
                    <pic:cNvPicPr/>
                  </pic:nvPicPr>
                  <pic:blipFill>
                    <a:blip r:embed="rId11"/>
                    <a:stretch>
                      <a:fillRect/>
                    </a:stretch>
                  </pic:blipFill>
                  <pic:spPr>
                    <a:xfrm>
                      <a:off x="0" y="0"/>
                      <a:ext cx="1780751" cy="1425492"/>
                    </a:xfrm>
                    <a:prstGeom prst="rect">
                      <a:avLst/>
                    </a:prstGeom>
                  </pic:spPr>
                </pic:pic>
              </a:graphicData>
            </a:graphic>
          </wp:inline>
        </w:drawing>
      </w:r>
    </w:p>
    <w:p w14:paraId="3A51FB87" w14:textId="77777777" w:rsidR="008B6282" w:rsidRPr="00CC1E1A" w:rsidRDefault="008B6282" w:rsidP="008B6282">
      <w:pPr>
        <w:pStyle w:val="CETCaption"/>
      </w:pPr>
      <w:r w:rsidRPr="00BD077D">
        <w:rPr>
          <w:rStyle w:val="CETCaptionCarattere"/>
          <w:i/>
        </w:rPr>
        <w:t xml:space="preserve">Figure 1: </w:t>
      </w:r>
      <w:r>
        <w:rPr>
          <w:rStyle w:val="CETCaptionCarattere"/>
          <w:i/>
        </w:rPr>
        <w:t>General setup and geometry of the case study.</w:t>
      </w:r>
    </w:p>
    <w:p w14:paraId="762B429B" w14:textId="77777777" w:rsidR="008B6282" w:rsidRPr="00F36075" w:rsidRDefault="008B6282" w:rsidP="008B6282">
      <w:pPr>
        <w:pStyle w:val="CETTabletitle"/>
      </w:pPr>
      <w:r w:rsidRPr="00F36075">
        <w:t xml:space="preserve">Table 1: </w:t>
      </w:r>
      <w:r>
        <w:t>Asumed t</w:t>
      </w:r>
      <w:r w:rsidRPr="00F36075">
        <w:t>echnical data of the LPG tank.</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3261"/>
        <w:gridCol w:w="850"/>
        <w:gridCol w:w="567"/>
      </w:tblGrid>
      <w:tr w:rsidR="008B6282" w:rsidRPr="00B57B36" w14:paraId="1CD1A4B2" w14:textId="77777777" w:rsidTr="001640DD">
        <w:tc>
          <w:tcPr>
            <w:tcW w:w="3261" w:type="dxa"/>
            <w:tcBorders>
              <w:top w:val="single" w:sz="12" w:space="0" w:color="008000"/>
              <w:bottom w:val="single" w:sz="6" w:space="0" w:color="008000"/>
            </w:tcBorders>
            <w:shd w:val="clear" w:color="auto" w:fill="FFFFFF"/>
          </w:tcPr>
          <w:p w14:paraId="74A728F8" w14:textId="77777777" w:rsidR="008B6282" w:rsidRPr="00B57B36" w:rsidRDefault="008B6282" w:rsidP="001640DD">
            <w:pPr>
              <w:pStyle w:val="CETBodytext"/>
              <w:rPr>
                <w:lang w:val="en-GB"/>
              </w:rPr>
            </w:pPr>
            <w:r>
              <w:rPr>
                <w:lang w:val="en-GB"/>
              </w:rPr>
              <w:t>Properties</w:t>
            </w:r>
            <w:r w:rsidRPr="00B57B36">
              <w:rPr>
                <w:lang w:val="en-GB"/>
              </w:rPr>
              <w:t xml:space="preserve"> </w:t>
            </w:r>
          </w:p>
        </w:tc>
        <w:tc>
          <w:tcPr>
            <w:tcW w:w="850" w:type="dxa"/>
            <w:tcBorders>
              <w:top w:val="single" w:sz="12" w:space="0" w:color="008000"/>
              <w:bottom w:val="single" w:sz="6" w:space="0" w:color="008000"/>
            </w:tcBorders>
            <w:shd w:val="clear" w:color="auto" w:fill="FFFFFF"/>
          </w:tcPr>
          <w:p w14:paraId="4BDBAB41" w14:textId="77777777" w:rsidR="008B6282" w:rsidRPr="00B57B36" w:rsidRDefault="008B6282" w:rsidP="001640DD">
            <w:pPr>
              <w:pStyle w:val="CETBodytext"/>
              <w:jc w:val="center"/>
              <w:rPr>
                <w:lang w:val="en-GB"/>
              </w:rPr>
            </w:pPr>
            <w:r>
              <w:rPr>
                <w:lang w:val="en-GB"/>
              </w:rPr>
              <w:t>Value</w:t>
            </w:r>
          </w:p>
        </w:tc>
        <w:tc>
          <w:tcPr>
            <w:tcW w:w="567" w:type="dxa"/>
            <w:tcBorders>
              <w:top w:val="single" w:sz="12" w:space="0" w:color="008000"/>
              <w:bottom w:val="single" w:sz="6" w:space="0" w:color="008000"/>
            </w:tcBorders>
            <w:shd w:val="clear" w:color="auto" w:fill="FFFFFF"/>
          </w:tcPr>
          <w:p w14:paraId="4545AB83" w14:textId="77777777" w:rsidR="008B6282" w:rsidRPr="00B57B36" w:rsidRDefault="008B6282" w:rsidP="001640DD">
            <w:pPr>
              <w:pStyle w:val="CETBodytext"/>
              <w:jc w:val="center"/>
              <w:rPr>
                <w:lang w:val="en-GB"/>
              </w:rPr>
            </w:pPr>
            <w:r>
              <w:rPr>
                <w:lang w:val="en-GB"/>
              </w:rPr>
              <w:t>Unit</w:t>
            </w:r>
          </w:p>
        </w:tc>
      </w:tr>
      <w:tr w:rsidR="008B6282" w:rsidRPr="00B57B36" w14:paraId="5D68E60E" w14:textId="77777777" w:rsidTr="001640DD">
        <w:tc>
          <w:tcPr>
            <w:tcW w:w="3261" w:type="dxa"/>
            <w:shd w:val="clear" w:color="auto" w:fill="FFFFFF"/>
          </w:tcPr>
          <w:p w14:paraId="31A80DEB" w14:textId="77777777" w:rsidR="008B6282" w:rsidRPr="00B57B36" w:rsidRDefault="008B6282" w:rsidP="001640DD">
            <w:pPr>
              <w:pStyle w:val="CETBodytext"/>
              <w:rPr>
                <w:lang w:val="en-GB"/>
              </w:rPr>
            </w:pPr>
            <w:r>
              <w:rPr>
                <w:lang w:val="en-GB"/>
              </w:rPr>
              <w:t>Diameter of the tank</w:t>
            </w:r>
          </w:p>
        </w:tc>
        <w:tc>
          <w:tcPr>
            <w:tcW w:w="850" w:type="dxa"/>
            <w:shd w:val="clear" w:color="auto" w:fill="FFFFFF"/>
          </w:tcPr>
          <w:p w14:paraId="172AAE44" w14:textId="77777777" w:rsidR="008B6282" w:rsidRPr="00B57B36" w:rsidRDefault="008B6282" w:rsidP="001640DD">
            <w:pPr>
              <w:pStyle w:val="CETBodytext"/>
              <w:jc w:val="center"/>
              <w:rPr>
                <w:lang w:val="en-GB"/>
              </w:rPr>
            </w:pPr>
            <w:r>
              <w:rPr>
                <w:lang w:val="en-GB"/>
              </w:rPr>
              <w:t>2.55</w:t>
            </w:r>
          </w:p>
        </w:tc>
        <w:tc>
          <w:tcPr>
            <w:tcW w:w="567" w:type="dxa"/>
            <w:shd w:val="clear" w:color="auto" w:fill="FFFFFF"/>
          </w:tcPr>
          <w:p w14:paraId="5B6C1B87" w14:textId="77777777" w:rsidR="008B6282" w:rsidRPr="00B57B36" w:rsidRDefault="008B6282" w:rsidP="001640DD">
            <w:pPr>
              <w:pStyle w:val="CETBodytext"/>
              <w:jc w:val="center"/>
              <w:rPr>
                <w:lang w:val="en-GB"/>
              </w:rPr>
            </w:pPr>
            <w:r>
              <w:rPr>
                <w:lang w:val="en-GB"/>
              </w:rPr>
              <w:t>m</w:t>
            </w:r>
          </w:p>
        </w:tc>
      </w:tr>
      <w:tr w:rsidR="008B6282" w:rsidRPr="00B57B36" w14:paraId="741EADE7" w14:textId="77777777" w:rsidTr="001640DD">
        <w:tc>
          <w:tcPr>
            <w:tcW w:w="3261" w:type="dxa"/>
            <w:shd w:val="clear" w:color="auto" w:fill="FFFFFF"/>
          </w:tcPr>
          <w:p w14:paraId="1C4E8307" w14:textId="77777777" w:rsidR="008B6282" w:rsidRPr="00B57B36" w:rsidRDefault="008B6282" w:rsidP="001640DD">
            <w:pPr>
              <w:pStyle w:val="CETBodytext"/>
              <w:rPr>
                <w:lang w:val="en-GB"/>
              </w:rPr>
            </w:pPr>
            <w:r>
              <w:rPr>
                <w:lang w:val="en-GB"/>
              </w:rPr>
              <w:t>Nominal capacity</w:t>
            </w:r>
          </w:p>
        </w:tc>
        <w:tc>
          <w:tcPr>
            <w:tcW w:w="850" w:type="dxa"/>
            <w:shd w:val="clear" w:color="auto" w:fill="FFFFFF"/>
          </w:tcPr>
          <w:p w14:paraId="0B055227" w14:textId="77777777" w:rsidR="008B6282" w:rsidRPr="00B57B36" w:rsidRDefault="008B6282" w:rsidP="001640DD">
            <w:pPr>
              <w:pStyle w:val="CETBodytext"/>
              <w:jc w:val="center"/>
              <w:rPr>
                <w:lang w:val="en-GB"/>
              </w:rPr>
            </w:pPr>
            <w:r>
              <w:rPr>
                <w:lang w:val="en-GB"/>
              </w:rPr>
              <w:t>28</w:t>
            </w:r>
          </w:p>
        </w:tc>
        <w:tc>
          <w:tcPr>
            <w:tcW w:w="567" w:type="dxa"/>
            <w:shd w:val="clear" w:color="auto" w:fill="FFFFFF"/>
          </w:tcPr>
          <w:p w14:paraId="662D54E4" w14:textId="77777777" w:rsidR="008B6282" w:rsidRPr="000309D2" w:rsidRDefault="008B6282" w:rsidP="001640DD">
            <w:pPr>
              <w:pStyle w:val="CETBodytext"/>
              <w:jc w:val="center"/>
              <w:rPr>
                <w:vertAlign w:val="superscript"/>
                <w:lang w:val="en-GB"/>
              </w:rPr>
            </w:pPr>
            <w:r>
              <w:rPr>
                <w:lang w:val="en-GB"/>
              </w:rPr>
              <w:t>m</w:t>
            </w:r>
            <w:r w:rsidRPr="000309D2">
              <w:rPr>
                <w:vertAlign w:val="superscript"/>
                <w:lang w:val="en-GB"/>
              </w:rPr>
              <w:t>3</w:t>
            </w:r>
          </w:p>
        </w:tc>
      </w:tr>
      <w:tr w:rsidR="008B6282" w:rsidRPr="00B57B36" w14:paraId="75A737BB" w14:textId="77777777" w:rsidTr="001640DD">
        <w:tc>
          <w:tcPr>
            <w:tcW w:w="3261" w:type="dxa"/>
            <w:shd w:val="clear" w:color="auto" w:fill="FFFFFF"/>
          </w:tcPr>
          <w:p w14:paraId="58027984" w14:textId="77777777" w:rsidR="008B6282" w:rsidRPr="00B57B36" w:rsidRDefault="008B6282" w:rsidP="001640DD">
            <w:pPr>
              <w:pStyle w:val="CETBodytext"/>
              <w:rPr>
                <w:lang w:val="en-GB"/>
              </w:rPr>
            </w:pPr>
            <w:r>
              <w:rPr>
                <w:lang w:val="en-GB"/>
              </w:rPr>
              <w:t>Maximum working (absolute) pressure</w:t>
            </w:r>
          </w:p>
        </w:tc>
        <w:tc>
          <w:tcPr>
            <w:tcW w:w="850" w:type="dxa"/>
            <w:shd w:val="clear" w:color="auto" w:fill="FFFFFF"/>
          </w:tcPr>
          <w:p w14:paraId="71FCADDE" w14:textId="77777777" w:rsidR="008B6282" w:rsidRPr="00B57B36" w:rsidRDefault="008B6282" w:rsidP="001640DD">
            <w:pPr>
              <w:pStyle w:val="CETBodytext"/>
              <w:jc w:val="center"/>
              <w:rPr>
                <w:lang w:val="en-GB"/>
              </w:rPr>
            </w:pPr>
            <w:r>
              <w:rPr>
                <w:lang w:val="en-GB"/>
              </w:rPr>
              <w:t>1,920</w:t>
            </w:r>
          </w:p>
        </w:tc>
        <w:tc>
          <w:tcPr>
            <w:tcW w:w="567" w:type="dxa"/>
            <w:shd w:val="clear" w:color="auto" w:fill="FFFFFF"/>
          </w:tcPr>
          <w:p w14:paraId="05A71397" w14:textId="77777777" w:rsidR="008B6282" w:rsidRPr="00B57B36" w:rsidRDefault="008B6282" w:rsidP="001640DD">
            <w:pPr>
              <w:pStyle w:val="CETBodytext"/>
              <w:jc w:val="center"/>
              <w:rPr>
                <w:lang w:val="en-GB"/>
              </w:rPr>
            </w:pPr>
            <w:r>
              <w:rPr>
                <w:lang w:val="en-GB"/>
              </w:rPr>
              <w:t>kPa</w:t>
            </w:r>
          </w:p>
        </w:tc>
      </w:tr>
      <w:tr w:rsidR="008B6282" w:rsidRPr="00B57B36" w14:paraId="223F6450" w14:textId="77777777" w:rsidTr="001640DD">
        <w:tc>
          <w:tcPr>
            <w:tcW w:w="3261" w:type="dxa"/>
            <w:shd w:val="clear" w:color="auto" w:fill="FFFFFF"/>
          </w:tcPr>
          <w:p w14:paraId="2B1203C3" w14:textId="77777777" w:rsidR="008B6282" w:rsidRDefault="008B6282" w:rsidP="001640DD">
            <w:pPr>
              <w:pStyle w:val="CETBodytext"/>
              <w:rPr>
                <w:lang w:val="en-GB"/>
              </w:rPr>
            </w:pPr>
            <w:r>
              <w:rPr>
                <w:lang w:val="en-GB"/>
              </w:rPr>
              <w:t>Filling degree</w:t>
            </w:r>
          </w:p>
        </w:tc>
        <w:tc>
          <w:tcPr>
            <w:tcW w:w="850" w:type="dxa"/>
            <w:shd w:val="clear" w:color="auto" w:fill="FFFFFF"/>
          </w:tcPr>
          <w:p w14:paraId="6D270902" w14:textId="77777777" w:rsidR="008B6282" w:rsidRDefault="008B6282" w:rsidP="001640DD">
            <w:pPr>
              <w:pStyle w:val="CETBodytext"/>
              <w:jc w:val="center"/>
              <w:rPr>
                <w:lang w:val="en-GB"/>
              </w:rPr>
            </w:pPr>
            <w:r>
              <w:rPr>
                <w:lang w:val="en-GB"/>
              </w:rPr>
              <w:t>80</w:t>
            </w:r>
          </w:p>
        </w:tc>
        <w:tc>
          <w:tcPr>
            <w:tcW w:w="567" w:type="dxa"/>
            <w:shd w:val="clear" w:color="auto" w:fill="FFFFFF"/>
          </w:tcPr>
          <w:p w14:paraId="0D918246" w14:textId="77777777" w:rsidR="008B6282" w:rsidRDefault="008B6282" w:rsidP="001640DD">
            <w:pPr>
              <w:pStyle w:val="CETBodytext"/>
              <w:jc w:val="center"/>
              <w:rPr>
                <w:lang w:val="en-GB"/>
              </w:rPr>
            </w:pPr>
            <w:r>
              <w:rPr>
                <w:lang w:val="en-GB"/>
              </w:rPr>
              <w:t>%</w:t>
            </w:r>
          </w:p>
        </w:tc>
      </w:tr>
      <w:tr w:rsidR="008B6282" w:rsidRPr="00B57B36" w14:paraId="63D6C594" w14:textId="77777777" w:rsidTr="001640DD">
        <w:tc>
          <w:tcPr>
            <w:tcW w:w="3261" w:type="dxa"/>
            <w:shd w:val="clear" w:color="auto" w:fill="FFFFFF"/>
          </w:tcPr>
          <w:p w14:paraId="74F82355" w14:textId="77777777" w:rsidR="008B6282" w:rsidRDefault="008B6282" w:rsidP="001640DD">
            <w:pPr>
              <w:pStyle w:val="CETBodytext"/>
              <w:rPr>
                <w:lang w:val="en-GB"/>
              </w:rPr>
            </w:pPr>
            <w:r>
              <w:rPr>
                <w:lang w:val="en-GB"/>
              </w:rPr>
              <w:t>Storage (absolute) pressure</w:t>
            </w:r>
          </w:p>
        </w:tc>
        <w:tc>
          <w:tcPr>
            <w:tcW w:w="850" w:type="dxa"/>
            <w:shd w:val="clear" w:color="auto" w:fill="FFFFFF"/>
          </w:tcPr>
          <w:p w14:paraId="6E705EA6" w14:textId="77777777" w:rsidR="008B6282" w:rsidRDefault="008B6282" w:rsidP="001640DD">
            <w:pPr>
              <w:pStyle w:val="CETBodytext"/>
              <w:jc w:val="center"/>
              <w:rPr>
                <w:lang w:val="en-GB"/>
              </w:rPr>
            </w:pPr>
            <w:r>
              <w:rPr>
                <w:lang w:val="en-GB"/>
              </w:rPr>
              <w:t>840</w:t>
            </w:r>
          </w:p>
        </w:tc>
        <w:tc>
          <w:tcPr>
            <w:tcW w:w="567" w:type="dxa"/>
            <w:shd w:val="clear" w:color="auto" w:fill="FFFFFF"/>
          </w:tcPr>
          <w:p w14:paraId="67EC005C" w14:textId="77777777" w:rsidR="008B6282" w:rsidRDefault="008B6282" w:rsidP="001640DD">
            <w:pPr>
              <w:pStyle w:val="CETBodytext"/>
              <w:jc w:val="center"/>
              <w:rPr>
                <w:lang w:val="en-GB"/>
              </w:rPr>
            </w:pPr>
            <w:r>
              <w:rPr>
                <w:lang w:val="en-GB"/>
              </w:rPr>
              <w:t>kPa</w:t>
            </w:r>
          </w:p>
        </w:tc>
      </w:tr>
      <w:tr w:rsidR="008B6282" w:rsidRPr="00B57B36" w14:paraId="2BE0DC66" w14:textId="77777777" w:rsidTr="001640DD">
        <w:tc>
          <w:tcPr>
            <w:tcW w:w="3261" w:type="dxa"/>
            <w:shd w:val="clear" w:color="auto" w:fill="FFFFFF"/>
          </w:tcPr>
          <w:p w14:paraId="416697C8" w14:textId="77777777" w:rsidR="008B6282" w:rsidRPr="00B57B36" w:rsidRDefault="008B6282" w:rsidP="001640DD">
            <w:pPr>
              <w:pStyle w:val="CETBodytext"/>
              <w:rPr>
                <w:lang w:val="en-GB"/>
              </w:rPr>
            </w:pPr>
            <w:r>
              <w:rPr>
                <w:lang w:val="en-GB"/>
              </w:rPr>
              <w:t>LPG load (100% propane)</w:t>
            </w:r>
          </w:p>
        </w:tc>
        <w:tc>
          <w:tcPr>
            <w:tcW w:w="850" w:type="dxa"/>
            <w:shd w:val="clear" w:color="auto" w:fill="FFFFFF"/>
          </w:tcPr>
          <w:p w14:paraId="17D9A568" w14:textId="77777777" w:rsidR="008B6282" w:rsidRPr="00B57B36" w:rsidRDefault="008B6282" w:rsidP="001640DD">
            <w:pPr>
              <w:pStyle w:val="CETBodytext"/>
              <w:jc w:val="center"/>
              <w:rPr>
                <w:lang w:val="en-GB"/>
              </w:rPr>
            </w:pPr>
            <w:r>
              <w:rPr>
                <w:lang w:val="en-GB"/>
              </w:rPr>
              <w:t>12,000</w:t>
            </w:r>
          </w:p>
        </w:tc>
        <w:tc>
          <w:tcPr>
            <w:tcW w:w="567" w:type="dxa"/>
            <w:shd w:val="clear" w:color="auto" w:fill="FFFFFF"/>
          </w:tcPr>
          <w:p w14:paraId="13AB40C7" w14:textId="77777777" w:rsidR="008B6282" w:rsidRPr="00B57B36" w:rsidRDefault="008B6282" w:rsidP="001640DD">
            <w:pPr>
              <w:pStyle w:val="CETBodytext"/>
              <w:jc w:val="center"/>
              <w:rPr>
                <w:lang w:val="en-GB"/>
              </w:rPr>
            </w:pPr>
            <w:r>
              <w:rPr>
                <w:lang w:val="en-GB"/>
              </w:rPr>
              <w:t>kg</w:t>
            </w:r>
          </w:p>
        </w:tc>
      </w:tr>
      <w:tr w:rsidR="008B6282" w:rsidRPr="00B57B36" w14:paraId="4748F8D6" w14:textId="77777777" w:rsidTr="001640DD">
        <w:tc>
          <w:tcPr>
            <w:tcW w:w="3261" w:type="dxa"/>
            <w:shd w:val="clear" w:color="auto" w:fill="FFFFFF"/>
          </w:tcPr>
          <w:p w14:paraId="6C74012E" w14:textId="77777777" w:rsidR="008B6282" w:rsidRPr="00B57B36" w:rsidRDefault="008B6282" w:rsidP="001640DD">
            <w:pPr>
              <w:pStyle w:val="CETBodytext"/>
              <w:rPr>
                <w:lang w:val="en-GB"/>
              </w:rPr>
            </w:pPr>
            <w:r>
              <w:rPr>
                <w:lang w:val="en-GB"/>
              </w:rPr>
              <w:t>Ambient temperature</w:t>
            </w:r>
          </w:p>
        </w:tc>
        <w:tc>
          <w:tcPr>
            <w:tcW w:w="850" w:type="dxa"/>
            <w:shd w:val="clear" w:color="auto" w:fill="FFFFFF"/>
          </w:tcPr>
          <w:p w14:paraId="395E3088" w14:textId="77777777" w:rsidR="008B6282" w:rsidRPr="00B57B36" w:rsidRDefault="008B6282" w:rsidP="001640DD">
            <w:pPr>
              <w:pStyle w:val="CETBodytext"/>
              <w:jc w:val="center"/>
              <w:rPr>
                <w:lang w:val="en-GB"/>
              </w:rPr>
            </w:pPr>
            <w:r>
              <w:rPr>
                <w:lang w:val="en-GB"/>
              </w:rPr>
              <w:t>20</w:t>
            </w:r>
          </w:p>
        </w:tc>
        <w:tc>
          <w:tcPr>
            <w:tcW w:w="567" w:type="dxa"/>
            <w:shd w:val="clear" w:color="auto" w:fill="FFFFFF"/>
          </w:tcPr>
          <w:p w14:paraId="6D789DC1" w14:textId="77777777" w:rsidR="008B6282" w:rsidRPr="00B57B36" w:rsidRDefault="008B6282" w:rsidP="001640DD">
            <w:pPr>
              <w:pStyle w:val="CETBodytext"/>
              <w:jc w:val="center"/>
              <w:rPr>
                <w:lang w:val="en-GB"/>
              </w:rPr>
            </w:pPr>
            <w:r w:rsidRPr="00B57B36">
              <w:rPr>
                <w:rFonts w:cs="Arial"/>
              </w:rPr>
              <w:t>°</w:t>
            </w:r>
            <w:r w:rsidRPr="00B57B36">
              <w:t>C</w:t>
            </w:r>
          </w:p>
        </w:tc>
      </w:tr>
    </w:tbl>
    <w:p w14:paraId="557F102B" w14:textId="77777777" w:rsidR="008B6282" w:rsidRPr="00F36075" w:rsidRDefault="008B6282" w:rsidP="008B6282">
      <w:pPr>
        <w:pStyle w:val="CETTabletitle"/>
      </w:pPr>
      <w:r w:rsidRPr="00F36075">
        <w:t>Table 2: Leak properties.</w:t>
      </w:r>
    </w:p>
    <w:tbl>
      <w:tblPr>
        <w:tblW w:w="8787"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0"/>
        <w:gridCol w:w="709"/>
        <w:gridCol w:w="1559"/>
        <w:gridCol w:w="1417"/>
        <w:gridCol w:w="1418"/>
        <w:gridCol w:w="1417"/>
        <w:gridCol w:w="1417"/>
      </w:tblGrid>
      <w:tr w:rsidR="008B6282" w:rsidRPr="00B57B36" w14:paraId="24B58B2B" w14:textId="77777777" w:rsidTr="001640DD">
        <w:tc>
          <w:tcPr>
            <w:tcW w:w="850" w:type="dxa"/>
            <w:tcBorders>
              <w:top w:val="single" w:sz="12" w:space="0" w:color="008000"/>
              <w:bottom w:val="single" w:sz="6" w:space="0" w:color="008000"/>
            </w:tcBorders>
            <w:shd w:val="clear" w:color="auto" w:fill="FFFFFF"/>
          </w:tcPr>
          <w:p w14:paraId="069C2714" w14:textId="77777777" w:rsidR="008B6282" w:rsidRPr="00B57B36" w:rsidRDefault="008B6282" w:rsidP="001640DD">
            <w:pPr>
              <w:pStyle w:val="CETBodytext"/>
              <w:jc w:val="center"/>
              <w:rPr>
                <w:lang w:val="en-GB"/>
              </w:rPr>
            </w:pPr>
            <w:r>
              <w:rPr>
                <w:lang w:val="en-GB"/>
              </w:rPr>
              <w:t>Release</w:t>
            </w:r>
          </w:p>
        </w:tc>
        <w:tc>
          <w:tcPr>
            <w:tcW w:w="709" w:type="dxa"/>
            <w:tcBorders>
              <w:top w:val="single" w:sz="12" w:space="0" w:color="008000"/>
              <w:bottom w:val="single" w:sz="6" w:space="0" w:color="008000"/>
            </w:tcBorders>
            <w:shd w:val="clear" w:color="auto" w:fill="FFFFFF"/>
          </w:tcPr>
          <w:p w14:paraId="2F93DB7F" w14:textId="77777777" w:rsidR="008B6282" w:rsidRDefault="008B6282" w:rsidP="001640DD">
            <w:pPr>
              <w:pStyle w:val="CETBodytext"/>
              <w:jc w:val="center"/>
              <w:rPr>
                <w:lang w:val="en-GB"/>
              </w:rPr>
            </w:pPr>
            <w:r>
              <w:rPr>
                <w:lang w:val="en-GB"/>
              </w:rPr>
              <w:t>Phase</w:t>
            </w:r>
          </w:p>
        </w:tc>
        <w:tc>
          <w:tcPr>
            <w:tcW w:w="1559" w:type="dxa"/>
            <w:tcBorders>
              <w:top w:val="single" w:sz="12" w:space="0" w:color="008000"/>
              <w:bottom w:val="single" w:sz="6" w:space="0" w:color="008000"/>
            </w:tcBorders>
            <w:shd w:val="clear" w:color="auto" w:fill="FFFFFF"/>
          </w:tcPr>
          <w:p w14:paraId="56585793" w14:textId="77777777" w:rsidR="008B6282" w:rsidRPr="00B57B36" w:rsidRDefault="008B6282" w:rsidP="001640DD">
            <w:pPr>
              <w:pStyle w:val="CETBodytext"/>
              <w:jc w:val="center"/>
              <w:rPr>
                <w:lang w:val="en-GB"/>
              </w:rPr>
            </w:pPr>
            <w:r>
              <w:rPr>
                <w:lang w:val="en-GB"/>
              </w:rPr>
              <w:t>Leak diameter [m]</w:t>
            </w:r>
          </w:p>
        </w:tc>
        <w:tc>
          <w:tcPr>
            <w:tcW w:w="1417" w:type="dxa"/>
            <w:tcBorders>
              <w:top w:val="single" w:sz="12" w:space="0" w:color="008000"/>
              <w:bottom w:val="single" w:sz="6" w:space="0" w:color="008000"/>
            </w:tcBorders>
            <w:shd w:val="clear" w:color="auto" w:fill="FFFFFF"/>
          </w:tcPr>
          <w:p w14:paraId="16248456" w14:textId="77777777" w:rsidR="008B6282" w:rsidRDefault="008B6282" w:rsidP="001640DD">
            <w:pPr>
              <w:pStyle w:val="CETBodytext"/>
              <w:jc w:val="center"/>
              <w:rPr>
                <w:lang w:val="en-GB"/>
              </w:rPr>
            </w:pPr>
            <w:r>
              <w:rPr>
                <w:lang w:val="en-GB"/>
              </w:rPr>
              <w:t>Leak height [m]</w:t>
            </w:r>
          </w:p>
        </w:tc>
        <w:tc>
          <w:tcPr>
            <w:tcW w:w="1418" w:type="dxa"/>
            <w:tcBorders>
              <w:top w:val="single" w:sz="12" w:space="0" w:color="008000"/>
              <w:bottom w:val="single" w:sz="6" w:space="0" w:color="008000"/>
            </w:tcBorders>
            <w:shd w:val="clear" w:color="auto" w:fill="FFFFFF"/>
          </w:tcPr>
          <w:p w14:paraId="11F59A3B" w14:textId="77777777" w:rsidR="008B6282" w:rsidRDefault="008B6282" w:rsidP="001640DD">
            <w:pPr>
              <w:pStyle w:val="CETBodytext"/>
              <w:jc w:val="center"/>
              <w:rPr>
                <w:lang w:val="en-GB"/>
              </w:rPr>
            </w:pPr>
            <w:r>
              <w:rPr>
                <w:lang w:val="en-GB"/>
              </w:rPr>
              <w:t>Liquid height [m]</w:t>
            </w:r>
          </w:p>
        </w:tc>
        <w:tc>
          <w:tcPr>
            <w:tcW w:w="1417" w:type="dxa"/>
            <w:tcBorders>
              <w:top w:val="single" w:sz="12" w:space="0" w:color="008000"/>
              <w:bottom w:val="single" w:sz="6" w:space="0" w:color="008000"/>
            </w:tcBorders>
            <w:shd w:val="clear" w:color="auto" w:fill="FFFFFF"/>
          </w:tcPr>
          <w:p w14:paraId="162A8BBF" w14:textId="77777777" w:rsidR="008B6282" w:rsidRDefault="008B6282" w:rsidP="001640DD">
            <w:pPr>
              <w:pStyle w:val="CETBodytext"/>
              <w:jc w:val="center"/>
              <w:rPr>
                <w:lang w:val="en-GB"/>
              </w:rPr>
            </w:pPr>
            <w:r>
              <w:rPr>
                <w:lang w:val="en-GB"/>
              </w:rPr>
              <w:t>Mass flow [kg/s]</w:t>
            </w:r>
          </w:p>
        </w:tc>
        <w:tc>
          <w:tcPr>
            <w:tcW w:w="1417" w:type="dxa"/>
            <w:vMerge w:val="restart"/>
            <w:tcBorders>
              <w:top w:val="single" w:sz="12" w:space="0" w:color="008000"/>
            </w:tcBorders>
            <w:shd w:val="clear" w:color="auto" w:fill="FFFFFF"/>
          </w:tcPr>
          <w:p w14:paraId="793FEEB5" w14:textId="77777777" w:rsidR="008B6282" w:rsidRDefault="008B6282" w:rsidP="001640DD">
            <w:pPr>
              <w:pStyle w:val="CETBodytext"/>
              <w:jc w:val="center"/>
              <w:rPr>
                <w:lang w:val="en-GB"/>
              </w:rPr>
            </w:pPr>
            <w:r w:rsidRPr="00A4112B">
              <w:rPr>
                <w:noProof/>
                <w:lang w:val="en-GB"/>
              </w:rPr>
              <w:drawing>
                <wp:inline distT="0" distB="0" distL="0" distR="0" wp14:anchorId="0E9FA362" wp14:editId="71AEB30C">
                  <wp:extent cx="727627" cy="1097280"/>
                  <wp:effectExtent l="0" t="0" r="0" b="7620"/>
                  <wp:docPr id="1403400523" name="Picture 1" descr="A diagram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400523" name="Picture 1" descr="A diagram of a machine&#10;&#10;Description automatically generated"/>
                          <pic:cNvPicPr/>
                        </pic:nvPicPr>
                        <pic:blipFill>
                          <a:blip r:embed="rId12"/>
                          <a:stretch>
                            <a:fillRect/>
                          </a:stretch>
                        </pic:blipFill>
                        <pic:spPr>
                          <a:xfrm>
                            <a:off x="0" y="0"/>
                            <a:ext cx="762957" cy="1150558"/>
                          </a:xfrm>
                          <a:prstGeom prst="rect">
                            <a:avLst/>
                          </a:prstGeom>
                        </pic:spPr>
                      </pic:pic>
                    </a:graphicData>
                  </a:graphic>
                </wp:inline>
              </w:drawing>
            </w:r>
          </w:p>
        </w:tc>
      </w:tr>
      <w:tr w:rsidR="008B6282" w:rsidRPr="00B57B36" w14:paraId="1EC0359F" w14:textId="77777777" w:rsidTr="001640DD">
        <w:tc>
          <w:tcPr>
            <w:tcW w:w="850" w:type="dxa"/>
            <w:shd w:val="clear" w:color="auto" w:fill="FFFFFF"/>
          </w:tcPr>
          <w:p w14:paraId="63A8BC5F" w14:textId="77777777" w:rsidR="008B6282" w:rsidRPr="00B57B36" w:rsidRDefault="008B6282" w:rsidP="001640DD">
            <w:pPr>
              <w:pStyle w:val="CETBodytext"/>
              <w:jc w:val="center"/>
              <w:rPr>
                <w:lang w:val="en-GB"/>
              </w:rPr>
            </w:pPr>
            <w:r>
              <w:rPr>
                <w:lang w:val="en-GB"/>
              </w:rPr>
              <w:t>G-100</w:t>
            </w:r>
          </w:p>
        </w:tc>
        <w:tc>
          <w:tcPr>
            <w:tcW w:w="709" w:type="dxa"/>
            <w:shd w:val="clear" w:color="auto" w:fill="FFFFFF"/>
          </w:tcPr>
          <w:p w14:paraId="5B4F7ADA" w14:textId="77777777" w:rsidR="008B6282" w:rsidRPr="00B57B36" w:rsidRDefault="008B6282" w:rsidP="001640DD">
            <w:pPr>
              <w:pStyle w:val="CETBodytext"/>
              <w:jc w:val="center"/>
              <w:rPr>
                <w:lang w:val="en-GB"/>
              </w:rPr>
            </w:pPr>
            <w:r>
              <w:rPr>
                <w:lang w:val="en-GB"/>
              </w:rPr>
              <w:t>Gas</w:t>
            </w:r>
          </w:p>
        </w:tc>
        <w:tc>
          <w:tcPr>
            <w:tcW w:w="1559" w:type="dxa"/>
            <w:shd w:val="clear" w:color="auto" w:fill="FFFFFF"/>
          </w:tcPr>
          <w:p w14:paraId="1328DE15" w14:textId="77777777" w:rsidR="008B6282" w:rsidRPr="00B57B36" w:rsidRDefault="008B6282" w:rsidP="001640DD">
            <w:pPr>
              <w:pStyle w:val="CETBodytext"/>
              <w:jc w:val="center"/>
              <w:rPr>
                <w:lang w:val="en-GB"/>
              </w:rPr>
            </w:pPr>
            <w:r>
              <w:rPr>
                <w:lang w:val="en-GB"/>
              </w:rPr>
              <w:t>0.10</w:t>
            </w:r>
          </w:p>
        </w:tc>
        <w:tc>
          <w:tcPr>
            <w:tcW w:w="1417" w:type="dxa"/>
            <w:shd w:val="clear" w:color="auto" w:fill="FFFFFF"/>
          </w:tcPr>
          <w:p w14:paraId="21DC79C9" w14:textId="77777777" w:rsidR="008B6282" w:rsidRDefault="008B6282" w:rsidP="001640DD">
            <w:pPr>
              <w:pStyle w:val="CETBodytext"/>
              <w:jc w:val="center"/>
              <w:rPr>
                <w:lang w:val="en-GB"/>
              </w:rPr>
            </w:pPr>
            <w:r>
              <w:rPr>
                <w:lang w:val="en-GB"/>
              </w:rPr>
              <w:t>3.2</w:t>
            </w:r>
          </w:p>
        </w:tc>
        <w:tc>
          <w:tcPr>
            <w:tcW w:w="1418" w:type="dxa"/>
            <w:shd w:val="clear" w:color="auto" w:fill="FFFFFF"/>
          </w:tcPr>
          <w:p w14:paraId="2238E9AA" w14:textId="77777777" w:rsidR="008B6282" w:rsidRDefault="008B6282" w:rsidP="001640DD">
            <w:pPr>
              <w:pStyle w:val="CETBodytext"/>
              <w:jc w:val="center"/>
              <w:rPr>
                <w:lang w:val="en-GB"/>
              </w:rPr>
            </w:pPr>
            <w:r>
              <w:rPr>
                <w:lang w:val="en-GB"/>
              </w:rPr>
              <w:t>---</w:t>
            </w:r>
          </w:p>
        </w:tc>
        <w:tc>
          <w:tcPr>
            <w:tcW w:w="1417" w:type="dxa"/>
            <w:shd w:val="clear" w:color="auto" w:fill="FFFFFF"/>
          </w:tcPr>
          <w:p w14:paraId="7C68E9D5" w14:textId="77777777" w:rsidR="008B6282" w:rsidRDefault="008B6282" w:rsidP="001640DD">
            <w:pPr>
              <w:pStyle w:val="CETBodytext"/>
              <w:jc w:val="center"/>
              <w:rPr>
                <w:lang w:val="en-GB"/>
              </w:rPr>
            </w:pPr>
            <w:r>
              <w:rPr>
                <w:lang w:val="en-GB"/>
              </w:rPr>
              <w:t>15.1</w:t>
            </w:r>
          </w:p>
        </w:tc>
        <w:tc>
          <w:tcPr>
            <w:tcW w:w="1417" w:type="dxa"/>
            <w:vMerge/>
            <w:shd w:val="clear" w:color="auto" w:fill="FFFFFF"/>
          </w:tcPr>
          <w:p w14:paraId="5FDF90BB" w14:textId="77777777" w:rsidR="008B6282" w:rsidRDefault="008B6282" w:rsidP="001640DD">
            <w:pPr>
              <w:pStyle w:val="CETBodytext"/>
              <w:jc w:val="center"/>
              <w:rPr>
                <w:lang w:val="en-GB"/>
              </w:rPr>
            </w:pPr>
          </w:p>
        </w:tc>
      </w:tr>
      <w:tr w:rsidR="008B6282" w:rsidRPr="00B57B36" w14:paraId="592A66B2" w14:textId="77777777" w:rsidTr="001640DD">
        <w:tc>
          <w:tcPr>
            <w:tcW w:w="850" w:type="dxa"/>
            <w:shd w:val="clear" w:color="auto" w:fill="FFFFFF"/>
          </w:tcPr>
          <w:p w14:paraId="4ED5C683" w14:textId="77777777" w:rsidR="008B6282" w:rsidRPr="00B57B36" w:rsidRDefault="008B6282" w:rsidP="001640DD">
            <w:pPr>
              <w:pStyle w:val="CETBodytext"/>
              <w:jc w:val="center"/>
              <w:rPr>
                <w:lang w:val="en-GB"/>
              </w:rPr>
            </w:pPr>
            <w:r>
              <w:rPr>
                <w:lang w:val="en-GB"/>
              </w:rPr>
              <w:t>G-50</w:t>
            </w:r>
          </w:p>
        </w:tc>
        <w:tc>
          <w:tcPr>
            <w:tcW w:w="709" w:type="dxa"/>
            <w:shd w:val="clear" w:color="auto" w:fill="FFFFFF"/>
          </w:tcPr>
          <w:p w14:paraId="7A2D80CE" w14:textId="77777777" w:rsidR="008B6282" w:rsidRPr="00B57B36" w:rsidRDefault="008B6282" w:rsidP="001640DD">
            <w:pPr>
              <w:pStyle w:val="CETBodytext"/>
              <w:jc w:val="center"/>
              <w:rPr>
                <w:lang w:val="en-GB"/>
              </w:rPr>
            </w:pPr>
            <w:r>
              <w:rPr>
                <w:lang w:val="en-GB"/>
              </w:rPr>
              <w:t>Gas</w:t>
            </w:r>
          </w:p>
        </w:tc>
        <w:tc>
          <w:tcPr>
            <w:tcW w:w="1559" w:type="dxa"/>
            <w:shd w:val="clear" w:color="auto" w:fill="FFFFFF"/>
          </w:tcPr>
          <w:p w14:paraId="3EB34A49" w14:textId="77777777" w:rsidR="008B6282" w:rsidRPr="00B57B36" w:rsidRDefault="008B6282" w:rsidP="001640DD">
            <w:pPr>
              <w:pStyle w:val="CETBodytext"/>
              <w:jc w:val="center"/>
              <w:rPr>
                <w:lang w:val="en-GB"/>
              </w:rPr>
            </w:pPr>
            <w:r>
              <w:rPr>
                <w:lang w:val="en-GB"/>
              </w:rPr>
              <w:t>0.05</w:t>
            </w:r>
          </w:p>
        </w:tc>
        <w:tc>
          <w:tcPr>
            <w:tcW w:w="1417" w:type="dxa"/>
            <w:shd w:val="clear" w:color="auto" w:fill="FFFFFF"/>
          </w:tcPr>
          <w:p w14:paraId="7F359846" w14:textId="77777777" w:rsidR="008B6282" w:rsidRDefault="008B6282" w:rsidP="001640DD">
            <w:pPr>
              <w:pStyle w:val="CETBodytext"/>
              <w:jc w:val="center"/>
              <w:rPr>
                <w:lang w:val="en-GB"/>
              </w:rPr>
            </w:pPr>
            <w:r>
              <w:rPr>
                <w:lang w:val="en-GB"/>
              </w:rPr>
              <w:t>3.2</w:t>
            </w:r>
          </w:p>
        </w:tc>
        <w:tc>
          <w:tcPr>
            <w:tcW w:w="1418" w:type="dxa"/>
            <w:shd w:val="clear" w:color="auto" w:fill="FFFFFF"/>
          </w:tcPr>
          <w:p w14:paraId="461FB9C1" w14:textId="77777777" w:rsidR="008B6282" w:rsidRDefault="008B6282" w:rsidP="001640DD">
            <w:pPr>
              <w:pStyle w:val="CETBodytext"/>
              <w:jc w:val="center"/>
              <w:rPr>
                <w:lang w:val="en-GB"/>
              </w:rPr>
            </w:pPr>
            <w:r>
              <w:rPr>
                <w:lang w:val="en-GB"/>
              </w:rPr>
              <w:t>---</w:t>
            </w:r>
          </w:p>
        </w:tc>
        <w:tc>
          <w:tcPr>
            <w:tcW w:w="1417" w:type="dxa"/>
            <w:shd w:val="clear" w:color="auto" w:fill="FFFFFF"/>
          </w:tcPr>
          <w:p w14:paraId="4A25F28F" w14:textId="77777777" w:rsidR="008B6282" w:rsidRDefault="008B6282" w:rsidP="001640DD">
            <w:pPr>
              <w:pStyle w:val="CETBodytext"/>
              <w:jc w:val="center"/>
              <w:rPr>
                <w:lang w:val="en-GB"/>
              </w:rPr>
            </w:pPr>
            <w:r>
              <w:rPr>
                <w:lang w:val="en-GB"/>
              </w:rPr>
              <w:t>3.8</w:t>
            </w:r>
          </w:p>
        </w:tc>
        <w:tc>
          <w:tcPr>
            <w:tcW w:w="1417" w:type="dxa"/>
            <w:vMerge/>
            <w:shd w:val="clear" w:color="auto" w:fill="FFFFFF"/>
          </w:tcPr>
          <w:p w14:paraId="2CD742CC" w14:textId="77777777" w:rsidR="008B6282" w:rsidRDefault="008B6282" w:rsidP="001640DD">
            <w:pPr>
              <w:pStyle w:val="CETBodytext"/>
              <w:jc w:val="center"/>
              <w:rPr>
                <w:lang w:val="en-GB"/>
              </w:rPr>
            </w:pPr>
          </w:p>
        </w:tc>
      </w:tr>
      <w:tr w:rsidR="008B6282" w:rsidRPr="00B57B36" w14:paraId="19D5E43B" w14:textId="77777777" w:rsidTr="001640DD">
        <w:tc>
          <w:tcPr>
            <w:tcW w:w="850" w:type="dxa"/>
            <w:shd w:val="clear" w:color="auto" w:fill="FFFFFF"/>
          </w:tcPr>
          <w:p w14:paraId="4AB2ABA8" w14:textId="77777777" w:rsidR="008B6282" w:rsidRDefault="008B6282" w:rsidP="001640DD">
            <w:pPr>
              <w:pStyle w:val="CETBodytext"/>
              <w:jc w:val="center"/>
              <w:rPr>
                <w:lang w:val="en-GB"/>
              </w:rPr>
            </w:pPr>
            <w:r>
              <w:rPr>
                <w:lang w:val="en-GB"/>
              </w:rPr>
              <w:t>G-20</w:t>
            </w:r>
          </w:p>
        </w:tc>
        <w:tc>
          <w:tcPr>
            <w:tcW w:w="709" w:type="dxa"/>
            <w:shd w:val="clear" w:color="auto" w:fill="FFFFFF"/>
          </w:tcPr>
          <w:p w14:paraId="43702293" w14:textId="77777777" w:rsidR="008B6282" w:rsidRDefault="008B6282" w:rsidP="001640DD">
            <w:pPr>
              <w:pStyle w:val="CETBodytext"/>
              <w:jc w:val="center"/>
              <w:rPr>
                <w:lang w:val="en-GB"/>
              </w:rPr>
            </w:pPr>
            <w:r>
              <w:rPr>
                <w:lang w:val="en-GB"/>
              </w:rPr>
              <w:t>Gas</w:t>
            </w:r>
          </w:p>
        </w:tc>
        <w:tc>
          <w:tcPr>
            <w:tcW w:w="1559" w:type="dxa"/>
            <w:shd w:val="clear" w:color="auto" w:fill="FFFFFF"/>
          </w:tcPr>
          <w:p w14:paraId="3FEB3360" w14:textId="77777777" w:rsidR="008B6282" w:rsidRDefault="008B6282" w:rsidP="001640DD">
            <w:pPr>
              <w:pStyle w:val="CETBodytext"/>
              <w:jc w:val="center"/>
              <w:rPr>
                <w:lang w:val="en-GB"/>
              </w:rPr>
            </w:pPr>
            <w:r>
              <w:rPr>
                <w:lang w:val="en-GB"/>
              </w:rPr>
              <w:t>0.02</w:t>
            </w:r>
          </w:p>
        </w:tc>
        <w:tc>
          <w:tcPr>
            <w:tcW w:w="1417" w:type="dxa"/>
            <w:shd w:val="clear" w:color="auto" w:fill="FFFFFF"/>
          </w:tcPr>
          <w:p w14:paraId="3D1EB8C6" w14:textId="77777777" w:rsidR="008B6282" w:rsidRDefault="008B6282" w:rsidP="001640DD">
            <w:pPr>
              <w:pStyle w:val="CETBodytext"/>
              <w:jc w:val="center"/>
              <w:rPr>
                <w:lang w:val="en-GB"/>
              </w:rPr>
            </w:pPr>
            <w:r>
              <w:rPr>
                <w:lang w:val="en-GB"/>
              </w:rPr>
              <w:t>3.2</w:t>
            </w:r>
          </w:p>
        </w:tc>
        <w:tc>
          <w:tcPr>
            <w:tcW w:w="1418" w:type="dxa"/>
            <w:shd w:val="clear" w:color="auto" w:fill="FFFFFF"/>
          </w:tcPr>
          <w:p w14:paraId="5EA36808" w14:textId="77777777" w:rsidR="008B6282" w:rsidRDefault="008B6282" w:rsidP="001640DD">
            <w:pPr>
              <w:pStyle w:val="CETBodytext"/>
              <w:jc w:val="center"/>
              <w:rPr>
                <w:lang w:val="en-GB"/>
              </w:rPr>
            </w:pPr>
            <w:r>
              <w:rPr>
                <w:lang w:val="en-GB"/>
              </w:rPr>
              <w:t>---</w:t>
            </w:r>
          </w:p>
        </w:tc>
        <w:tc>
          <w:tcPr>
            <w:tcW w:w="1417" w:type="dxa"/>
            <w:shd w:val="clear" w:color="auto" w:fill="FFFFFF"/>
          </w:tcPr>
          <w:p w14:paraId="3DDAEE85" w14:textId="77777777" w:rsidR="008B6282" w:rsidRDefault="008B6282" w:rsidP="001640DD">
            <w:pPr>
              <w:pStyle w:val="CETBodytext"/>
              <w:jc w:val="center"/>
              <w:rPr>
                <w:lang w:val="en-GB"/>
              </w:rPr>
            </w:pPr>
            <w:r>
              <w:rPr>
                <w:lang w:val="en-GB"/>
              </w:rPr>
              <w:t>0.6</w:t>
            </w:r>
          </w:p>
        </w:tc>
        <w:tc>
          <w:tcPr>
            <w:tcW w:w="1417" w:type="dxa"/>
            <w:vMerge/>
            <w:shd w:val="clear" w:color="auto" w:fill="FFFFFF"/>
          </w:tcPr>
          <w:p w14:paraId="12FD4893" w14:textId="77777777" w:rsidR="008B6282" w:rsidRDefault="008B6282" w:rsidP="001640DD">
            <w:pPr>
              <w:pStyle w:val="CETBodytext"/>
              <w:jc w:val="center"/>
              <w:rPr>
                <w:lang w:val="en-GB"/>
              </w:rPr>
            </w:pPr>
          </w:p>
        </w:tc>
      </w:tr>
      <w:tr w:rsidR="008B6282" w:rsidRPr="00B57B36" w14:paraId="07FF2308" w14:textId="77777777" w:rsidTr="001640DD">
        <w:tc>
          <w:tcPr>
            <w:tcW w:w="850" w:type="dxa"/>
            <w:shd w:val="clear" w:color="auto" w:fill="FFFFFF"/>
          </w:tcPr>
          <w:p w14:paraId="3DA16115" w14:textId="77777777" w:rsidR="008B6282" w:rsidRDefault="008B6282" w:rsidP="001640DD">
            <w:pPr>
              <w:pStyle w:val="CETBodytext"/>
              <w:jc w:val="center"/>
              <w:rPr>
                <w:lang w:val="en-GB"/>
              </w:rPr>
            </w:pPr>
            <w:r>
              <w:rPr>
                <w:lang w:val="en-GB"/>
              </w:rPr>
              <w:t>L-100</w:t>
            </w:r>
          </w:p>
        </w:tc>
        <w:tc>
          <w:tcPr>
            <w:tcW w:w="709" w:type="dxa"/>
            <w:shd w:val="clear" w:color="auto" w:fill="FFFFFF"/>
          </w:tcPr>
          <w:p w14:paraId="73163E90" w14:textId="77777777" w:rsidR="008B6282" w:rsidRDefault="008B6282" w:rsidP="001640DD">
            <w:pPr>
              <w:pStyle w:val="CETBodytext"/>
              <w:jc w:val="center"/>
              <w:rPr>
                <w:lang w:val="en-GB"/>
              </w:rPr>
            </w:pPr>
            <w:r>
              <w:rPr>
                <w:lang w:val="en-GB"/>
              </w:rPr>
              <w:t>Liquid</w:t>
            </w:r>
          </w:p>
        </w:tc>
        <w:tc>
          <w:tcPr>
            <w:tcW w:w="1559" w:type="dxa"/>
            <w:shd w:val="clear" w:color="auto" w:fill="FFFFFF"/>
          </w:tcPr>
          <w:p w14:paraId="376B15A5" w14:textId="77777777" w:rsidR="008B6282" w:rsidRDefault="008B6282" w:rsidP="001640DD">
            <w:pPr>
              <w:pStyle w:val="CETBodytext"/>
              <w:jc w:val="center"/>
              <w:rPr>
                <w:lang w:val="en-GB"/>
              </w:rPr>
            </w:pPr>
            <w:r>
              <w:rPr>
                <w:lang w:val="en-GB"/>
              </w:rPr>
              <w:t>0.10</w:t>
            </w:r>
          </w:p>
        </w:tc>
        <w:tc>
          <w:tcPr>
            <w:tcW w:w="1417" w:type="dxa"/>
            <w:shd w:val="clear" w:color="auto" w:fill="FFFFFF"/>
          </w:tcPr>
          <w:p w14:paraId="222A342F" w14:textId="77777777" w:rsidR="008B6282" w:rsidRDefault="008B6282" w:rsidP="001640DD">
            <w:pPr>
              <w:pStyle w:val="CETBodytext"/>
              <w:jc w:val="center"/>
              <w:rPr>
                <w:lang w:val="en-GB"/>
              </w:rPr>
            </w:pPr>
            <w:r>
              <w:rPr>
                <w:lang w:val="en-GB"/>
              </w:rPr>
              <w:t>1.8</w:t>
            </w:r>
          </w:p>
        </w:tc>
        <w:tc>
          <w:tcPr>
            <w:tcW w:w="1418" w:type="dxa"/>
            <w:shd w:val="clear" w:color="auto" w:fill="FFFFFF"/>
          </w:tcPr>
          <w:p w14:paraId="4820AF5D" w14:textId="77777777" w:rsidR="008B6282" w:rsidRDefault="008B6282" w:rsidP="001640DD">
            <w:pPr>
              <w:pStyle w:val="CETBodytext"/>
              <w:jc w:val="center"/>
              <w:rPr>
                <w:lang w:val="en-GB"/>
              </w:rPr>
            </w:pPr>
            <w:r>
              <w:rPr>
                <w:lang w:val="en-GB"/>
              </w:rPr>
              <w:t>1.2</w:t>
            </w:r>
          </w:p>
        </w:tc>
        <w:tc>
          <w:tcPr>
            <w:tcW w:w="1417" w:type="dxa"/>
            <w:shd w:val="clear" w:color="auto" w:fill="FFFFFF"/>
          </w:tcPr>
          <w:p w14:paraId="28F456C8" w14:textId="77777777" w:rsidR="008B6282" w:rsidRDefault="008B6282" w:rsidP="001640DD">
            <w:pPr>
              <w:pStyle w:val="CETBodytext"/>
              <w:jc w:val="center"/>
              <w:rPr>
                <w:lang w:val="en-GB"/>
              </w:rPr>
            </w:pPr>
            <w:r>
              <w:rPr>
                <w:lang w:val="en-GB"/>
              </w:rPr>
              <w:t>195</w:t>
            </w:r>
          </w:p>
        </w:tc>
        <w:tc>
          <w:tcPr>
            <w:tcW w:w="1417" w:type="dxa"/>
            <w:vMerge/>
            <w:shd w:val="clear" w:color="auto" w:fill="FFFFFF"/>
          </w:tcPr>
          <w:p w14:paraId="40B201E2" w14:textId="77777777" w:rsidR="008B6282" w:rsidRDefault="008B6282" w:rsidP="001640DD">
            <w:pPr>
              <w:pStyle w:val="CETBodytext"/>
              <w:jc w:val="center"/>
              <w:rPr>
                <w:lang w:val="en-GB"/>
              </w:rPr>
            </w:pPr>
          </w:p>
        </w:tc>
      </w:tr>
      <w:tr w:rsidR="008B6282" w:rsidRPr="00B57B36" w14:paraId="0A2409FC" w14:textId="77777777" w:rsidTr="001640DD">
        <w:tc>
          <w:tcPr>
            <w:tcW w:w="850" w:type="dxa"/>
            <w:shd w:val="clear" w:color="auto" w:fill="FFFFFF"/>
          </w:tcPr>
          <w:p w14:paraId="61EF9AE8" w14:textId="77777777" w:rsidR="008B6282" w:rsidRPr="00B57B36" w:rsidRDefault="008B6282" w:rsidP="001640DD">
            <w:pPr>
              <w:pStyle w:val="CETBodytext"/>
              <w:jc w:val="center"/>
              <w:rPr>
                <w:lang w:val="en-GB"/>
              </w:rPr>
            </w:pPr>
            <w:r>
              <w:rPr>
                <w:lang w:val="en-GB"/>
              </w:rPr>
              <w:t>L-50</w:t>
            </w:r>
          </w:p>
        </w:tc>
        <w:tc>
          <w:tcPr>
            <w:tcW w:w="709" w:type="dxa"/>
            <w:shd w:val="clear" w:color="auto" w:fill="FFFFFF"/>
          </w:tcPr>
          <w:p w14:paraId="4016AE8B" w14:textId="77777777" w:rsidR="008B6282" w:rsidRPr="00B57B36" w:rsidRDefault="008B6282" w:rsidP="001640DD">
            <w:pPr>
              <w:pStyle w:val="CETBodytext"/>
              <w:jc w:val="center"/>
              <w:rPr>
                <w:lang w:val="en-GB"/>
              </w:rPr>
            </w:pPr>
            <w:r>
              <w:rPr>
                <w:lang w:val="en-GB"/>
              </w:rPr>
              <w:t>Liquid</w:t>
            </w:r>
          </w:p>
        </w:tc>
        <w:tc>
          <w:tcPr>
            <w:tcW w:w="1559" w:type="dxa"/>
            <w:shd w:val="clear" w:color="auto" w:fill="FFFFFF"/>
          </w:tcPr>
          <w:p w14:paraId="4132D26D" w14:textId="77777777" w:rsidR="008B6282" w:rsidRPr="00B57B36" w:rsidRDefault="008B6282" w:rsidP="001640DD">
            <w:pPr>
              <w:pStyle w:val="CETBodytext"/>
              <w:jc w:val="center"/>
              <w:rPr>
                <w:lang w:val="en-GB"/>
              </w:rPr>
            </w:pPr>
            <w:r>
              <w:rPr>
                <w:lang w:val="en-GB"/>
              </w:rPr>
              <w:t>0.05</w:t>
            </w:r>
          </w:p>
        </w:tc>
        <w:tc>
          <w:tcPr>
            <w:tcW w:w="1417" w:type="dxa"/>
            <w:shd w:val="clear" w:color="auto" w:fill="FFFFFF"/>
          </w:tcPr>
          <w:p w14:paraId="55BF87D2" w14:textId="77777777" w:rsidR="008B6282" w:rsidRDefault="008B6282" w:rsidP="001640DD">
            <w:pPr>
              <w:pStyle w:val="CETBodytext"/>
              <w:jc w:val="center"/>
              <w:rPr>
                <w:lang w:val="en-GB"/>
              </w:rPr>
            </w:pPr>
            <w:r>
              <w:rPr>
                <w:lang w:val="en-GB"/>
              </w:rPr>
              <w:t>1.8</w:t>
            </w:r>
          </w:p>
        </w:tc>
        <w:tc>
          <w:tcPr>
            <w:tcW w:w="1418" w:type="dxa"/>
            <w:shd w:val="clear" w:color="auto" w:fill="FFFFFF"/>
          </w:tcPr>
          <w:p w14:paraId="2FCA7688" w14:textId="77777777" w:rsidR="008B6282" w:rsidRDefault="008B6282" w:rsidP="001640DD">
            <w:pPr>
              <w:pStyle w:val="CETBodytext"/>
              <w:jc w:val="center"/>
              <w:rPr>
                <w:lang w:val="en-GB"/>
              </w:rPr>
            </w:pPr>
            <w:r>
              <w:rPr>
                <w:lang w:val="en-GB"/>
              </w:rPr>
              <w:t>1.2</w:t>
            </w:r>
          </w:p>
        </w:tc>
        <w:tc>
          <w:tcPr>
            <w:tcW w:w="1417" w:type="dxa"/>
            <w:shd w:val="clear" w:color="auto" w:fill="FFFFFF"/>
          </w:tcPr>
          <w:p w14:paraId="053200D3" w14:textId="77777777" w:rsidR="008B6282" w:rsidRDefault="008B6282" w:rsidP="001640DD">
            <w:pPr>
              <w:pStyle w:val="CETBodytext"/>
              <w:jc w:val="center"/>
              <w:rPr>
                <w:lang w:val="en-GB"/>
              </w:rPr>
            </w:pPr>
            <w:r>
              <w:rPr>
                <w:lang w:val="en-GB"/>
              </w:rPr>
              <w:t>48.7</w:t>
            </w:r>
          </w:p>
        </w:tc>
        <w:tc>
          <w:tcPr>
            <w:tcW w:w="1417" w:type="dxa"/>
            <w:vMerge/>
            <w:shd w:val="clear" w:color="auto" w:fill="FFFFFF"/>
          </w:tcPr>
          <w:p w14:paraId="6A5641B7" w14:textId="77777777" w:rsidR="008B6282" w:rsidRDefault="008B6282" w:rsidP="001640DD">
            <w:pPr>
              <w:pStyle w:val="CETBodytext"/>
              <w:jc w:val="center"/>
              <w:rPr>
                <w:lang w:val="en-GB"/>
              </w:rPr>
            </w:pPr>
          </w:p>
        </w:tc>
      </w:tr>
      <w:tr w:rsidR="008B6282" w:rsidRPr="00B57B36" w14:paraId="18BDD4C5" w14:textId="77777777" w:rsidTr="001640DD">
        <w:tc>
          <w:tcPr>
            <w:tcW w:w="850" w:type="dxa"/>
            <w:shd w:val="clear" w:color="auto" w:fill="FFFFFF"/>
          </w:tcPr>
          <w:p w14:paraId="239FCFBB" w14:textId="77777777" w:rsidR="008B6282" w:rsidRDefault="008B6282" w:rsidP="001640DD">
            <w:pPr>
              <w:pStyle w:val="CETBodytext"/>
              <w:jc w:val="center"/>
              <w:rPr>
                <w:lang w:val="en-GB"/>
              </w:rPr>
            </w:pPr>
            <w:r>
              <w:rPr>
                <w:lang w:val="en-GB"/>
              </w:rPr>
              <w:t>L-20</w:t>
            </w:r>
          </w:p>
        </w:tc>
        <w:tc>
          <w:tcPr>
            <w:tcW w:w="709" w:type="dxa"/>
            <w:shd w:val="clear" w:color="auto" w:fill="FFFFFF"/>
          </w:tcPr>
          <w:p w14:paraId="44F101D7" w14:textId="77777777" w:rsidR="008B6282" w:rsidRDefault="008B6282" w:rsidP="001640DD">
            <w:pPr>
              <w:pStyle w:val="CETBodytext"/>
              <w:jc w:val="center"/>
              <w:rPr>
                <w:lang w:val="en-GB"/>
              </w:rPr>
            </w:pPr>
            <w:r>
              <w:rPr>
                <w:lang w:val="en-GB"/>
              </w:rPr>
              <w:t>Liquid</w:t>
            </w:r>
          </w:p>
        </w:tc>
        <w:tc>
          <w:tcPr>
            <w:tcW w:w="1559" w:type="dxa"/>
            <w:shd w:val="clear" w:color="auto" w:fill="FFFFFF"/>
          </w:tcPr>
          <w:p w14:paraId="6CE064D4" w14:textId="77777777" w:rsidR="008B6282" w:rsidRDefault="008B6282" w:rsidP="001640DD">
            <w:pPr>
              <w:pStyle w:val="CETBodytext"/>
              <w:jc w:val="center"/>
              <w:rPr>
                <w:lang w:val="en-GB"/>
              </w:rPr>
            </w:pPr>
            <w:r>
              <w:rPr>
                <w:lang w:val="en-GB"/>
              </w:rPr>
              <w:t>0.02</w:t>
            </w:r>
          </w:p>
        </w:tc>
        <w:tc>
          <w:tcPr>
            <w:tcW w:w="1417" w:type="dxa"/>
            <w:shd w:val="clear" w:color="auto" w:fill="FFFFFF"/>
          </w:tcPr>
          <w:p w14:paraId="7788FD0B" w14:textId="77777777" w:rsidR="008B6282" w:rsidRDefault="008B6282" w:rsidP="001640DD">
            <w:pPr>
              <w:pStyle w:val="CETBodytext"/>
              <w:jc w:val="center"/>
              <w:rPr>
                <w:lang w:val="en-GB"/>
              </w:rPr>
            </w:pPr>
            <w:r>
              <w:rPr>
                <w:lang w:val="en-GB"/>
              </w:rPr>
              <w:t>1.8</w:t>
            </w:r>
          </w:p>
        </w:tc>
        <w:tc>
          <w:tcPr>
            <w:tcW w:w="1418" w:type="dxa"/>
            <w:shd w:val="clear" w:color="auto" w:fill="FFFFFF"/>
          </w:tcPr>
          <w:p w14:paraId="5D607BB7" w14:textId="77777777" w:rsidR="008B6282" w:rsidRDefault="008B6282" w:rsidP="001640DD">
            <w:pPr>
              <w:pStyle w:val="CETBodytext"/>
              <w:jc w:val="center"/>
              <w:rPr>
                <w:lang w:val="en-GB"/>
              </w:rPr>
            </w:pPr>
            <w:r>
              <w:rPr>
                <w:lang w:val="en-GB"/>
              </w:rPr>
              <w:t>1.2</w:t>
            </w:r>
          </w:p>
        </w:tc>
        <w:tc>
          <w:tcPr>
            <w:tcW w:w="1417" w:type="dxa"/>
            <w:shd w:val="clear" w:color="auto" w:fill="FFFFFF"/>
          </w:tcPr>
          <w:p w14:paraId="59770AE6" w14:textId="77777777" w:rsidR="008B6282" w:rsidRDefault="008B6282" w:rsidP="001640DD">
            <w:pPr>
              <w:pStyle w:val="CETBodytext"/>
              <w:jc w:val="center"/>
              <w:rPr>
                <w:lang w:val="en-GB"/>
              </w:rPr>
            </w:pPr>
            <w:r>
              <w:rPr>
                <w:lang w:val="en-GB"/>
              </w:rPr>
              <w:t>7.8</w:t>
            </w:r>
          </w:p>
        </w:tc>
        <w:tc>
          <w:tcPr>
            <w:tcW w:w="1417" w:type="dxa"/>
            <w:vMerge/>
            <w:shd w:val="clear" w:color="auto" w:fill="FFFFFF"/>
          </w:tcPr>
          <w:p w14:paraId="46E9F737" w14:textId="77777777" w:rsidR="008B6282" w:rsidRDefault="008B6282" w:rsidP="001640DD">
            <w:pPr>
              <w:pStyle w:val="CETBodytext"/>
              <w:jc w:val="center"/>
              <w:rPr>
                <w:lang w:val="en-GB"/>
              </w:rPr>
            </w:pPr>
          </w:p>
        </w:tc>
      </w:tr>
    </w:tbl>
    <w:p w14:paraId="45985099" w14:textId="77777777" w:rsidR="008B6282" w:rsidRDefault="008B6282" w:rsidP="008B6282">
      <w:pPr>
        <w:pStyle w:val="CETHeading1"/>
      </w:pPr>
      <w:r>
        <w:t>CFD Modelling</w:t>
      </w:r>
    </w:p>
    <w:p w14:paraId="7F58DEE9" w14:textId="77777777" w:rsidR="008B6282" w:rsidRDefault="008B6282" w:rsidP="008B6282">
      <w:pPr>
        <w:pStyle w:val="CETheadingx"/>
      </w:pPr>
      <w:r>
        <w:t>General</w:t>
      </w:r>
    </w:p>
    <w:p w14:paraId="4047BB2B" w14:textId="42E56B38" w:rsidR="00516BAC" w:rsidRDefault="008B6282" w:rsidP="00B02F8B">
      <w:pPr>
        <w:pStyle w:val="ListParagraph"/>
        <w:ind w:left="0"/>
      </w:pPr>
      <w:r>
        <w:t xml:space="preserve">The dispersion calculations were </w:t>
      </w:r>
      <w:r w:rsidR="00D1702C">
        <w:t>performed</w:t>
      </w:r>
      <w:r>
        <w:t xml:space="preserve"> with the finite volume software </w:t>
      </w:r>
      <w:r w:rsidRPr="00530E6E">
        <w:t>FLACS-CFD</w:t>
      </w:r>
      <w:r>
        <w:t xml:space="preserve"> </w:t>
      </w:r>
      <w:r w:rsidR="00E2454C" w:rsidRPr="00E2454C">
        <w:rPr>
          <w:rFonts w:cs="Arial"/>
        </w:rPr>
        <w:t>(Gexcon AS, 2022)</w:t>
      </w:r>
      <w:r>
        <w:t>, which</w:t>
      </w:r>
      <w:r w:rsidRPr="00530E6E">
        <w:t xml:space="preserve"> solves the compressive Navier-Stokes equations on a structured cartesian grid.</w:t>
      </w:r>
      <w:r w:rsidR="00B02F8B">
        <w:t xml:space="preserve"> </w:t>
      </w:r>
      <w:r w:rsidRPr="008B6282">
        <w:t xml:space="preserve">The calculation domain was divided into a core domain and a stretched domain (which lies between the core domain and the </w:t>
      </w:r>
      <w:r w:rsidR="00CB3ECB">
        <w:t xml:space="preserve">model </w:t>
      </w:r>
      <w:r w:rsidRPr="008B6282">
        <w:t xml:space="preserve">boundaries). Cubic cells with size 0.3 m were used in the core domain. In the stretched domain, the cells were gradually stretched with a factor </w:t>
      </w:r>
      <w:r>
        <w:t xml:space="preserve">of </w:t>
      </w:r>
      <w:r w:rsidRPr="008B6282">
        <w:t xml:space="preserve">1.2. However, the cell size was limited to a maximum value of 4.0 m. Where relevant, the cell size was refined around the leak according to the guidelines specified by the </w:t>
      </w:r>
      <w:r w:rsidR="00D1702C">
        <w:t>user’s manual</w:t>
      </w:r>
      <w:r w:rsidRPr="008B6282">
        <w:t>.</w:t>
      </w:r>
      <w:r w:rsidR="00D01B48">
        <w:t xml:space="preserve"> </w:t>
      </w:r>
      <w:r w:rsidR="00F139AD">
        <w:t xml:space="preserve">Grid sensitivity </w:t>
      </w:r>
      <w:r w:rsidR="00D01B48">
        <w:t xml:space="preserve">analysis </w:t>
      </w:r>
      <w:r w:rsidR="00C961EF">
        <w:t>within</w:t>
      </w:r>
      <w:r w:rsidR="00850502">
        <w:t xml:space="preserve"> the core domain </w:t>
      </w:r>
      <w:r w:rsidR="00D01B48">
        <w:t xml:space="preserve">was carried out for some </w:t>
      </w:r>
      <w:r w:rsidR="00C961EF">
        <w:t>selected cases</w:t>
      </w:r>
      <w:r w:rsidR="00850502">
        <w:t>. Cell size</w:t>
      </w:r>
      <w:r w:rsidR="00C961EF">
        <w:t>s</w:t>
      </w:r>
      <w:r w:rsidR="00620C18">
        <w:t xml:space="preserve"> of</w:t>
      </w:r>
      <w:r w:rsidR="00850502">
        <w:t xml:space="preserve"> </w:t>
      </w:r>
      <w:r w:rsidR="00EE1A07">
        <w:t>1.0 m, 0.5</w:t>
      </w:r>
      <w:r w:rsidR="00383052">
        <w:t> </w:t>
      </w:r>
      <w:r w:rsidR="00EE1A07">
        <w:t xml:space="preserve">m and 0.3 m were tested. The maximum error </w:t>
      </w:r>
      <w:r w:rsidR="00DF540D">
        <w:t>in</w:t>
      </w:r>
      <w:r w:rsidR="00E9118B">
        <w:t xml:space="preserve"> calculated</w:t>
      </w:r>
      <w:r w:rsidR="00DF540D">
        <w:t xml:space="preserve"> </w:t>
      </w:r>
      <w:r w:rsidR="00DF540D" w:rsidRPr="00DF540D">
        <w:rPr>
          <w:rFonts w:ascii="Times New Roman" w:hAnsi="Times New Roman"/>
          <w:i/>
          <w:iCs/>
        </w:rPr>
        <w:t>V</w:t>
      </w:r>
      <w:r w:rsidR="00DF540D" w:rsidRPr="00DF540D">
        <w:rPr>
          <w:rFonts w:ascii="Times New Roman" w:hAnsi="Times New Roman"/>
          <w:i/>
          <w:iCs/>
          <w:vertAlign w:val="subscript"/>
        </w:rPr>
        <w:t>Q9</w:t>
      </w:r>
      <w:r w:rsidR="00DF540D">
        <w:t xml:space="preserve"> between consecutive cell sizes </w:t>
      </w:r>
      <w:r w:rsidR="00EE1A07">
        <w:t>was 9%</w:t>
      </w:r>
      <w:r w:rsidR="0084388D">
        <w:t>, which was considered satisfactory for this study.</w:t>
      </w:r>
      <w:r w:rsidR="009D0606">
        <w:t xml:space="preserve"> Based on this, the smallest </w:t>
      </w:r>
      <w:r w:rsidR="00BB45F7">
        <w:t>evaluated</w:t>
      </w:r>
      <w:r w:rsidR="009D0606">
        <w:t xml:space="preserve"> cell size was used.</w:t>
      </w:r>
      <w:r w:rsidR="0084388D">
        <w:t xml:space="preserve"> </w:t>
      </w:r>
    </w:p>
    <w:p w14:paraId="52B5C9E3" w14:textId="777435FA" w:rsidR="008B6282" w:rsidRPr="008B6282" w:rsidRDefault="008B6282" w:rsidP="00B02F8B">
      <w:pPr>
        <w:pStyle w:val="ListParagraph"/>
        <w:ind w:left="0"/>
      </w:pPr>
      <w:r w:rsidRPr="008B6282">
        <w:t>The mock</w:t>
      </w:r>
      <w:r w:rsidRPr="008B6282">
        <w:noBreakHyphen/>
        <w:t xml:space="preserve">up vehicles were modelled entirely inside the core domain. </w:t>
      </w:r>
      <w:r w:rsidR="00CB3ECB">
        <w:t>T</w:t>
      </w:r>
      <w:r w:rsidRPr="008B6282">
        <w:t>he leak was placed at the center of the core domain</w:t>
      </w:r>
      <w:r w:rsidR="00CB3ECB">
        <w:t xml:space="preserve"> (in the plane of the orifice)</w:t>
      </w:r>
      <w:r w:rsidRPr="008B6282">
        <w:t>. The wind speed was set to 2.0</w:t>
      </w:r>
      <w:r w:rsidR="00D1702C">
        <w:t> </w:t>
      </w:r>
      <w:r w:rsidRPr="008B6282">
        <w:t xml:space="preserve">m/s in the </w:t>
      </w:r>
      <w:r w:rsidRPr="00D1702C">
        <w:rPr>
          <w:rFonts w:ascii="Times New Roman" w:hAnsi="Times New Roman"/>
          <w:i/>
          <w:iCs/>
        </w:rPr>
        <w:t>x+</w:t>
      </w:r>
      <w:r w:rsidRPr="008B6282">
        <w:t xml:space="preserve"> direction at </w:t>
      </w:r>
      <w:r w:rsidR="00D1702C">
        <w:t>a</w:t>
      </w:r>
      <w:r w:rsidRPr="008B6282">
        <w:t xml:space="preserve"> reference height of 10</w:t>
      </w:r>
      <w:r w:rsidR="00D1702C">
        <w:t> </w:t>
      </w:r>
      <w:r w:rsidRPr="008B6282">
        <w:t>m. NOZZLE boundary condition was used at the non-wind boundaries, WIND boundary condition was used otherwise.</w:t>
      </w:r>
    </w:p>
    <w:p w14:paraId="230EE4BB" w14:textId="79E2AE2E" w:rsidR="008B6282" w:rsidRDefault="008B6282" w:rsidP="008B6282">
      <w:pPr>
        <w:pStyle w:val="CETBodytext"/>
      </w:pPr>
      <w:r>
        <w:t>T</w:t>
      </w:r>
      <w:r w:rsidRPr="00530E6E">
        <w:t xml:space="preserve">he </w:t>
      </w:r>
      <w:r>
        <w:t xml:space="preserve">total calculation domain </w:t>
      </w:r>
      <w:r w:rsidRPr="00530E6E">
        <w:t xml:space="preserve">was defined by </w:t>
      </w:r>
      <w:r w:rsidRPr="00062464">
        <w:rPr>
          <w:rFonts w:ascii="Times New Roman" w:hAnsi="Times New Roman"/>
          <w:i/>
          <w:iCs/>
        </w:rPr>
        <w:t>x</w:t>
      </w:r>
      <w:r w:rsidRPr="00530E6E">
        <w:t xml:space="preserve"> = [-</w:t>
      </w:r>
      <w:r>
        <w:t>20</w:t>
      </w:r>
      <w:r w:rsidRPr="00530E6E">
        <w:t xml:space="preserve"> m, </w:t>
      </w:r>
      <w:r>
        <w:t>150</w:t>
      </w:r>
      <w:r w:rsidRPr="00530E6E">
        <w:t xml:space="preserve"> m], </w:t>
      </w:r>
      <w:r w:rsidRPr="00062464">
        <w:rPr>
          <w:rFonts w:ascii="Times New Roman" w:hAnsi="Times New Roman"/>
          <w:i/>
          <w:iCs/>
        </w:rPr>
        <w:t>y</w:t>
      </w:r>
      <w:r w:rsidRPr="00530E6E">
        <w:t xml:space="preserve"> = [-</w:t>
      </w:r>
      <w:r>
        <w:t>50</w:t>
      </w:r>
      <w:r w:rsidRPr="00530E6E">
        <w:t xml:space="preserve"> m, </w:t>
      </w:r>
      <w:r>
        <w:t>5</w:t>
      </w:r>
      <w:r w:rsidRPr="00530E6E">
        <w:t xml:space="preserve">0 m] and </w:t>
      </w:r>
      <w:r w:rsidRPr="00062464">
        <w:rPr>
          <w:rFonts w:ascii="Times New Roman" w:hAnsi="Times New Roman"/>
          <w:i/>
          <w:iCs/>
        </w:rPr>
        <w:t>z</w:t>
      </w:r>
      <w:r w:rsidRPr="00530E6E">
        <w:t xml:space="preserve"> = [0 m, </w:t>
      </w:r>
      <w:r>
        <w:t>20</w:t>
      </w:r>
      <w:r w:rsidRPr="00530E6E">
        <w:t xml:space="preserve"> m]</w:t>
      </w:r>
      <w:r>
        <w:t>.</w:t>
      </w:r>
      <w:r w:rsidR="00B06962">
        <w:t xml:space="preserve"> The leak was placed at </w:t>
      </w:r>
      <w:r w:rsidR="00B06962" w:rsidRPr="00B06962">
        <w:rPr>
          <w:rFonts w:ascii="Times New Roman" w:hAnsi="Times New Roman"/>
          <w:i/>
          <w:iCs/>
        </w:rPr>
        <w:t>x</w:t>
      </w:r>
      <w:r w:rsidR="00B06962">
        <w:t xml:space="preserve"> = -5.0 m.</w:t>
      </w:r>
      <w:r>
        <w:t xml:space="preserve"> The number of cells varied between 5</w:t>
      </w:r>
      <w:r>
        <w:rPr>
          <w:rFonts w:cs="Arial"/>
          <w:lang w:val="en-GB"/>
        </w:rPr>
        <w:t>×</w:t>
      </w:r>
      <w:r>
        <w:rPr>
          <w:lang w:val="en-GB"/>
        </w:rPr>
        <w:t>10</w:t>
      </w:r>
      <w:r>
        <w:rPr>
          <w:vertAlign w:val="superscript"/>
          <w:lang w:val="en-GB"/>
        </w:rPr>
        <w:t>5</w:t>
      </w:r>
      <w:r>
        <w:rPr>
          <w:lang w:val="en-GB"/>
        </w:rPr>
        <w:t xml:space="preserve"> and </w:t>
      </w:r>
      <w:r>
        <w:t>1.2</w:t>
      </w:r>
      <w:r>
        <w:rPr>
          <w:rFonts w:cs="Arial"/>
          <w:lang w:val="en-GB"/>
        </w:rPr>
        <w:t>×</w:t>
      </w:r>
      <w:r>
        <w:rPr>
          <w:lang w:val="en-GB"/>
        </w:rPr>
        <w:t>10</w:t>
      </w:r>
      <w:r>
        <w:rPr>
          <w:vertAlign w:val="superscript"/>
          <w:lang w:val="en-GB"/>
        </w:rPr>
        <w:t xml:space="preserve">6 </w:t>
      </w:r>
      <w:r>
        <w:rPr>
          <w:lang w:val="en-GB"/>
        </w:rPr>
        <w:t>depending on the local refinement around the leak.</w:t>
      </w:r>
      <w:r w:rsidRPr="00AB4063">
        <w:t xml:space="preserve"> Calculations were carried </w:t>
      </w:r>
      <w:r>
        <w:t xml:space="preserve">out </w:t>
      </w:r>
      <w:r w:rsidRPr="00AB4063">
        <w:t xml:space="preserve">in parallel with </w:t>
      </w:r>
      <w:r>
        <w:t>4</w:t>
      </w:r>
      <w:r w:rsidRPr="00AB4063">
        <w:t xml:space="preserve"> CPUs. Average </w:t>
      </w:r>
      <w:r>
        <w:t>calculation</w:t>
      </w:r>
      <w:r w:rsidRPr="00AB4063">
        <w:t xml:space="preserve"> time per scenario was around </w:t>
      </w:r>
      <w:r>
        <w:t>5</w:t>
      </w:r>
      <w:r w:rsidRPr="00AB4063">
        <w:t xml:space="preserve"> hours.</w:t>
      </w:r>
    </w:p>
    <w:p w14:paraId="0D69968E" w14:textId="77777777" w:rsidR="008B6282" w:rsidRDefault="008B6282" w:rsidP="008B6282">
      <w:pPr>
        <w:pStyle w:val="CETheadingx"/>
      </w:pPr>
      <w:r>
        <w:lastRenderedPageBreak/>
        <w:t>Modelling of the release source</w:t>
      </w:r>
    </w:p>
    <w:p w14:paraId="26C1770A" w14:textId="5F979565" w:rsidR="008B6282" w:rsidRDefault="008B6282" w:rsidP="008B6282">
      <w:pPr>
        <w:pStyle w:val="CETBodytext"/>
      </w:pPr>
      <w:r>
        <w:t xml:space="preserve">A release of LPG in gaseous phase begins as sonic flow at the orifice, followed by supersonic expansion. At some distance from the puncture, the jet achieves pressure equilibrium with the ambient fluid. Numerical modeling of this process is </w:t>
      </w:r>
      <w:r w:rsidR="00573ACF">
        <w:t>complicated</w:t>
      </w:r>
      <w:r>
        <w:t xml:space="preserve"> and is outside the capabilities of the used CFD software. Instead, the conditions at the position where the jet pressure is equal to the atmospheric pressure </w:t>
      </w:r>
      <w:r w:rsidR="00573ACF">
        <w:t xml:space="preserve">were </w:t>
      </w:r>
      <w:r>
        <w:t xml:space="preserve">calculated analytically and used as input data for the CFD calculations. That is, the gaseous release </w:t>
      </w:r>
      <w:r w:rsidR="00573ACF">
        <w:t>was</w:t>
      </w:r>
      <w:r>
        <w:t xml:space="preserve"> represented in the CFD model as a pseudo-source after expansion of the jet. At the pseudo-source, the jet consists of pure propane (i.e., </w:t>
      </w:r>
      <w:r w:rsidRPr="000E0236">
        <w:rPr>
          <w:rFonts w:ascii="Times New Roman" w:hAnsi="Times New Roman"/>
          <w:i/>
          <w:iCs/>
        </w:rPr>
        <w:t>ER</w:t>
      </w:r>
      <w:r>
        <w:t xml:space="preserve"> </w:t>
      </w:r>
      <w:r w:rsidRPr="000E0236">
        <w:rPr>
          <w:rFonts w:cs="Arial"/>
        </w:rPr>
        <w:t>=</w:t>
      </w:r>
      <w:r w:rsidRPr="000E0236">
        <w:rPr>
          <w:rFonts w:ascii="Times New Roman" w:hAnsi="Times New Roman"/>
        </w:rPr>
        <w:t xml:space="preserve"> ∞</w:t>
      </w:r>
      <w:r>
        <w:t xml:space="preserve">). The single planar shock model implemented in the utility program JET2 </w:t>
      </w:r>
      <w:r w:rsidR="00A571AC" w:rsidRPr="00A571AC">
        <w:rPr>
          <w:rFonts w:cs="Arial"/>
        </w:rPr>
        <w:t>(Gexcon AS, 2022)</w:t>
      </w:r>
      <w:r w:rsidR="00A571AC">
        <w:t xml:space="preserve"> </w:t>
      </w:r>
      <w:r>
        <w:t xml:space="preserve">was used to calculate the properties of the pseudo-source, presented in Table 3. </w:t>
      </w:r>
    </w:p>
    <w:p w14:paraId="67008FF9" w14:textId="6D39C722" w:rsidR="008B6282" w:rsidRDefault="008B6282" w:rsidP="008B6282">
      <w:pPr>
        <w:pStyle w:val="CETBodytext"/>
      </w:pPr>
      <w:r>
        <w:t>When the LPG is released as a liquid, part of or all the liquid will evaporate quickly in a process called flashing. After flashing, a two-phase jet develops downstream. Some of the liquified gas stays in the jet in the form of droplets, while the rest may rain out and form an evaporating pool on the ground</w:t>
      </w:r>
      <w:r w:rsidR="00A571AC">
        <w:t xml:space="preserve"> </w:t>
      </w:r>
      <w:r w:rsidR="00A571AC" w:rsidRPr="00A571AC">
        <w:rPr>
          <w:rFonts w:cs="Arial"/>
        </w:rPr>
        <w:t>(Committee, 2005)</w:t>
      </w:r>
      <w:r>
        <w:t xml:space="preserve">. The droplets in the jet will gradually evaporate due to air entrainment until the liquified gas has completely evaporated. From this point on, the process can be described as a single-phase vapor jet. </w:t>
      </w:r>
      <w:r w:rsidR="00573ACF">
        <w:t>Thus, thi</w:t>
      </w:r>
      <w:r>
        <w:t xml:space="preserve">s type of release </w:t>
      </w:r>
      <w:r w:rsidR="00573ACF">
        <w:t>was</w:t>
      </w:r>
      <w:r>
        <w:t xml:space="preserve"> introduced in the CFD model as a single-phase jet. The properties of the jet after complete evaporation, presented in Table 3, </w:t>
      </w:r>
      <w:r w:rsidR="00573ACF">
        <w:t>were</w:t>
      </w:r>
      <w:r>
        <w:t xml:space="preserve"> calculated using the utility program FLASH2</w:t>
      </w:r>
      <w:r w:rsidR="00A571AC">
        <w:t xml:space="preserve"> </w:t>
      </w:r>
      <w:r w:rsidR="00A571AC" w:rsidRPr="00A571AC">
        <w:rPr>
          <w:rFonts w:cs="Arial"/>
        </w:rPr>
        <w:t>(Gexcon AS, 2022)</w:t>
      </w:r>
      <w:r>
        <w:t xml:space="preserve">. </w:t>
      </w:r>
      <w:r w:rsidR="00203B66">
        <w:t>A</w:t>
      </w:r>
      <w:r>
        <w:t>fter evaporation, the jet consists of a rich mixture of propane and air (</w:t>
      </w:r>
      <w:r w:rsidRPr="000E0236">
        <w:rPr>
          <w:rFonts w:ascii="Times New Roman" w:hAnsi="Times New Roman"/>
          <w:i/>
          <w:iCs/>
        </w:rPr>
        <w:t>ER</w:t>
      </w:r>
      <w:r w:rsidRPr="000E0236">
        <w:rPr>
          <w:rFonts w:cs="Arial"/>
        </w:rPr>
        <w:t xml:space="preserve"> = 5.9</w:t>
      </w:r>
      <w:r>
        <w:t>). The m</w:t>
      </w:r>
      <w:r w:rsidRPr="00851BB7">
        <w:t>ass fraction of liquefied gas that rains out and forms a pool</w:t>
      </w:r>
      <w:r>
        <w:t xml:space="preserve"> was </w:t>
      </w:r>
      <w:r w:rsidR="00573ACF">
        <w:t xml:space="preserve">found </w:t>
      </w:r>
      <w:r>
        <w:t xml:space="preserve">to be negligible in all cases, hence modelling of evaporation and subsequent dispersion of the pool was not necessary for the studied scenarios. </w:t>
      </w:r>
    </w:p>
    <w:p w14:paraId="1BA03F64" w14:textId="4714A7DB" w:rsidR="008B6282" w:rsidRDefault="008B6282" w:rsidP="008B6282">
      <w:pPr>
        <w:pStyle w:val="CETBodytext"/>
      </w:pPr>
      <w:r>
        <w:t xml:space="preserve">Steady-state conditions were assumed for all leaks, since no time-dependent calculations are possible for liquid releases in the CFD software used. The steady-state assumption is reasonable for situations </w:t>
      </w:r>
      <w:r w:rsidR="00573ACF">
        <w:t>in which</w:t>
      </w:r>
      <w:r>
        <w:t xml:space="preserve"> the mass outflow rate is small relative to the total inventory in the tank. This is the case for most scenarios in this study, apart from release L-100. </w:t>
      </w:r>
      <w:r w:rsidR="00573ACF">
        <w:t>Therefore, f</w:t>
      </w:r>
      <w:r>
        <w:t>or this release, the results are not expected to be fully accurate, but they</w:t>
      </w:r>
      <w:r w:rsidR="00573ACF">
        <w:t xml:space="preserve"> are still</w:t>
      </w:r>
      <w:r>
        <w:t xml:space="preserve"> shown for the sake of comparison. </w:t>
      </w:r>
    </w:p>
    <w:p w14:paraId="6DACA36F" w14:textId="77777777" w:rsidR="008B6282" w:rsidRPr="00B57B36" w:rsidRDefault="008B6282" w:rsidP="008B6282">
      <w:pPr>
        <w:pStyle w:val="CETTabletitle"/>
      </w:pPr>
      <w:r w:rsidRPr="00B57B36">
        <w:t xml:space="preserve">Table </w:t>
      </w:r>
      <w:r>
        <w:t>3</w:t>
      </w:r>
      <w:r w:rsidRPr="00B57B36">
        <w:t xml:space="preserve">: </w:t>
      </w:r>
      <w:r>
        <w:t>Input data concerning the release source for CFD modelling.</w:t>
      </w:r>
    </w:p>
    <w:tbl>
      <w:tblPr>
        <w:tblW w:w="0" w:type="auto"/>
        <w:tblBorders>
          <w:top w:val="single" w:sz="12" w:space="0" w:color="008000"/>
          <w:bottom w:val="single" w:sz="12" w:space="0" w:color="008000"/>
        </w:tblBorders>
        <w:shd w:val="clear" w:color="auto" w:fill="FFFFFF"/>
        <w:tblLayout w:type="fixed"/>
        <w:tblCellMar>
          <w:left w:w="0" w:type="dxa"/>
          <w:right w:w="0" w:type="dxa"/>
        </w:tblCellMar>
        <w:tblLook w:val="00A0" w:firstRow="1" w:lastRow="0" w:firstColumn="1" w:lastColumn="0" w:noHBand="0" w:noVBand="0"/>
      </w:tblPr>
      <w:tblGrid>
        <w:gridCol w:w="993"/>
        <w:gridCol w:w="992"/>
        <w:gridCol w:w="1843"/>
        <w:gridCol w:w="1275"/>
        <w:gridCol w:w="709"/>
        <w:gridCol w:w="1701"/>
      </w:tblGrid>
      <w:tr w:rsidR="008B6282" w:rsidRPr="00B57B36" w14:paraId="16FDBF3D" w14:textId="77777777" w:rsidTr="001E28BD">
        <w:tc>
          <w:tcPr>
            <w:tcW w:w="993" w:type="dxa"/>
            <w:tcBorders>
              <w:top w:val="single" w:sz="12" w:space="0" w:color="008000"/>
              <w:bottom w:val="single" w:sz="6" w:space="0" w:color="008000"/>
            </w:tcBorders>
            <w:shd w:val="clear" w:color="auto" w:fill="FFFFFF"/>
          </w:tcPr>
          <w:p w14:paraId="1306DDCD" w14:textId="77777777" w:rsidR="008B6282" w:rsidRPr="00B57B36" w:rsidRDefault="008B6282" w:rsidP="001E28BD">
            <w:pPr>
              <w:pStyle w:val="CETBodytext"/>
              <w:jc w:val="center"/>
              <w:rPr>
                <w:lang w:val="en-GB"/>
              </w:rPr>
            </w:pPr>
            <w:r>
              <w:rPr>
                <w:lang w:val="en-GB"/>
              </w:rPr>
              <w:t>Release</w:t>
            </w:r>
          </w:p>
        </w:tc>
        <w:tc>
          <w:tcPr>
            <w:tcW w:w="992" w:type="dxa"/>
            <w:tcBorders>
              <w:top w:val="single" w:sz="12" w:space="0" w:color="008000"/>
              <w:bottom w:val="single" w:sz="6" w:space="0" w:color="008000"/>
            </w:tcBorders>
            <w:shd w:val="clear" w:color="auto" w:fill="FFFFFF"/>
          </w:tcPr>
          <w:p w14:paraId="0977BA59" w14:textId="77777777" w:rsidR="008B6282" w:rsidRDefault="008B6282" w:rsidP="001E28BD">
            <w:pPr>
              <w:pStyle w:val="CETBodytext"/>
              <w:jc w:val="center"/>
              <w:rPr>
                <w:lang w:val="en-GB"/>
              </w:rPr>
            </w:pPr>
            <w:r>
              <w:rPr>
                <w:lang w:val="en-GB"/>
              </w:rPr>
              <w:t>Area* [m</w:t>
            </w:r>
            <w:r w:rsidRPr="009532E0">
              <w:rPr>
                <w:vertAlign w:val="superscript"/>
                <w:lang w:val="en-GB"/>
              </w:rPr>
              <w:t>2</w:t>
            </w:r>
            <w:r>
              <w:rPr>
                <w:lang w:val="en-GB"/>
              </w:rPr>
              <w:t>]</w:t>
            </w:r>
          </w:p>
        </w:tc>
        <w:tc>
          <w:tcPr>
            <w:tcW w:w="1843" w:type="dxa"/>
            <w:tcBorders>
              <w:top w:val="single" w:sz="12" w:space="0" w:color="008000"/>
              <w:bottom w:val="single" w:sz="6" w:space="0" w:color="008000"/>
            </w:tcBorders>
            <w:shd w:val="clear" w:color="auto" w:fill="FFFFFF"/>
          </w:tcPr>
          <w:p w14:paraId="513496A3" w14:textId="77777777" w:rsidR="008B6282" w:rsidRPr="00B57B36" w:rsidRDefault="008B6282" w:rsidP="001E28BD">
            <w:pPr>
              <w:pStyle w:val="CETBodytext"/>
              <w:jc w:val="center"/>
              <w:rPr>
                <w:lang w:val="en-GB"/>
              </w:rPr>
            </w:pPr>
            <w:r>
              <w:rPr>
                <w:lang w:val="en-GB"/>
              </w:rPr>
              <w:t>Mass flow rate* [kg/s]</w:t>
            </w:r>
          </w:p>
        </w:tc>
        <w:tc>
          <w:tcPr>
            <w:tcW w:w="1275" w:type="dxa"/>
            <w:tcBorders>
              <w:top w:val="single" w:sz="12" w:space="0" w:color="008000"/>
              <w:bottom w:val="single" w:sz="6" w:space="0" w:color="008000"/>
            </w:tcBorders>
            <w:shd w:val="clear" w:color="auto" w:fill="FFFFFF"/>
          </w:tcPr>
          <w:p w14:paraId="6983CECB" w14:textId="77777777" w:rsidR="008B6282" w:rsidRDefault="008B6282" w:rsidP="001E28BD">
            <w:pPr>
              <w:pStyle w:val="CETBodytext"/>
              <w:jc w:val="center"/>
              <w:rPr>
                <w:lang w:val="en-GB"/>
              </w:rPr>
            </w:pPr>
            <w:r>
              <w:rPr>
                <w:lang w:val="en-GB"/>
              </w:rPr>
              <w:t>Velocity [m/s]</w:t>
            </w:r>
          </w:p>
        </w:tc>
        <w:tc>
          <w:tcPr>
            <w:tcW w:w="709" w:type="dxa"/>
            <w:tcBorders>
              <w:top w:val="single" w:sz="12" w:space="0" w:color="008000"/>
              <w:bottom w:val="single" w:sz="6" w:space="0" w:color="008000"/>
            </w:tcBorders>
            <w:shd w:val="clear" w:color="auto" w:fill="FFFFFF"/>
          </w:tcPr>
          <w:p w14:paraId="00A12AF3" w14:textId="77777777" w:rsidR="008B6282" w:rsidRPr="00B57B36" w:rsidRDefault="008B6282" w:rsidP="001E28BD">
            <w:pPr>
              <w:pStyle w:val="CETBodytext"/>
              <w:jc w:val="center"/>
              <w:rPr>
                <w:lang w:val="en-GB"/>
              </w:rPr>
            </w:pPr>
            <w:r w:rsidRPr="00792754">
              <w:rPr>
                <w:rFonts w:ascii="Times New Roman" w:hAnsi="Times New Roman"/>
                <w:i/>
                <w:iCs/>
                <w:lang w:val="en-GB"/>
              </w:rPr>
              <w:t>ER</w:t>
            </w:r>
            <w:r>
              <w:rPr>
                <w:lang w:val="en-GB"/>
              </w:rPr>
              <w:t xml:space="preserve"> [-]</w:t>
            </w:r>
          </w:p>
        </w:tc>
        <w:tc>
          <w:tcPr>
            <w:tcW w:w="1701" w:type="dxa"/>
            <w:tcBorders>
              <w:top w:val="single" w:sz="12" w:space="0" w:color="008000"/>
              <w:bottom w:val="single" w:sz="6" w:space="0" w:color="008000"/>
            </w:tcBorders>
            <w:shd w:val="clear" w:color="auto" w:fill="FFFFFF"/>
          </w:tcPr>
          <w:p w14:paraId="41F960A7" w14:textId="77777777" w:rsidR="008B6282" w:rsidRDefault="008B6282" w:rsidP="001E28BD">
            <w:pPr>
              <w:pStyle w:val="CETBodytext"/>
              <w:jc w:val="center"/>
              <w:rPr>
                <w:lang w:val="en-GB"/>
              </w:rPr>
            </w:pPr>
            <w:r>
              <w:rPr>
                <w:lang w:val="en-GB"/>
              </w:rPr>
              <w:t>Released fuel** [kg]</w:t>
            </w:r>
          </w:p>
        </w:tc>
      </w:tr>
      <w:tr w:rsidR="008B6282" w:rsidRPr="00B57B36" w14:paraId="1FCBDBE7" w14:textId="77777777" w:rsidTr="001E28BD">
        <w:tc>
          <w:tcPr>
            <w:tcW w:w="993" w:type="dxa"/>
            <w:shd w:val="clear" w:color="auto" w:fill="FFFFFF"/>
          </w:tcPr>
          <w:p w14:paraId="1F9E3A90" w14:textId="77777777" w:rsidR="008B6282" w:rsidRPr="00B57B36" w:rsidRDefault="008B6282" w:rsidP="001E28BD">
            <w:pPr>
              <w:pStyle w:val="CETBodytext"/>
              <w:jc w:val="center"/>
              <w:rPr>
                <w:lang w:val="en-GB"/>
              </w:rPr>
            </w:pPr>
            <w:r>
              <w:rPr>
                <w:lang w:val="en-GB"/>
              </w:rPr>
              <w:t>G-100</w:t>
            </w:r>
          </w:p>
        </w:tc>
        <w:tc>
          <w:tcPr>
            <w:tcW w:w="992" w:type="dxa"/>
            <w:shd w:val="clear" w:color="auto" w:fill="FFFFFF"/>
          </w:tcPr>
          <w:p w14:paraId="14397105" w14:textId="557F0C1D" w:rsidR="008B6282" w:rsidRPr="00B57B36" w:rsidRDefault="008B6282" w:rsidP="001E28BD">
            <w:pPr>
              <w:pStyle w:val="CETBodytext"/>
              <w:jc w:val="center"/>
              <w:rPr>
                <w:lang w:val="en-GB"/>
              </w:rPr>
            </w:pPr>
            <w:r>
              <w:rPr>
                <w:lang w:val="en-GB"/>
              </w:rPr>
              <w:t>6.2</w:t>
            </w:r>
            <w:r>
              <w:rPr>
                <w:rFonts w:cs="Arial"/>
                <w:lang w:val="en-GB"/>
              </w:rPr>
              <w:t>×</w:t>
            </w:r>
            <w:r>
              <w:rPr>
                <w:lang w:val="en-GB"/>
              </w:rPr>
              <w:t>10</w:t>
            </w:r>
            <w:r>
              <w:rPr>
                <w:vertAlign w:val="superscript"/>
                <w:lang w:val="en-GB"/>
              </w:rPr>
              <w:t>-2</w:t>
            </w:r>
          </w:p>
        </w:tc>
        <w:tc>
          <w:tcPr>
            <w:tcW w:w="1843" w:type="dxa"/>
            <w:shd w:val="clear" w:color="auto" w:fill="FFFFFF"/>
          </w:tcPr>
          <w:p w14:paraId="7AB183F6" w14:textId="77777777" w:rsidR="008B6282" w:rsidRPr="00B57B36" w:rsidRDefault="008B6282" w:rsidP="001E28BD">
            <w:pPr>
              <w:pStyle w:val="CETBodytext"/>
              <w:jc w:val="center"/>
              <w:rPr>
                <w:lang w:val="en-GB"/>
              </w:rPr>
            </w:pPr>
            <w:r>
              <w:rPr>
                <w:lang w:val="en-GB"/>
              </w:rPr>
              <w:t>15.1</w:t>
            </w:r>
          </w:p>
        </w:tc>
        <w:tc>
          <w:tcPr>
            <w:tcW w:w="1275" w:type="dxa"/>
            <w:shd w:val="clear" w:color="auto" w:fill="FFFFFF"/>
          </w:tcPr>
          <w:p w14:paraId="07206896" w14:textId="174EA9F5" w:rsidR="008B6282" w:rsidRDefault="008B6282" w:rsidP="001E28BD">
            <w:pPr>
              <w:pStyle w:val="CETBodytext"/>
              <w:jc w:val="center"/>
              <w:rPr>
                <w:lang w:val="en-GB"/>
              </w:rPr>
            </w:pPr>
            <w:r>
              <w:rPr>
                <w:lang w:val="en-GB"/>
              </w:rPr>
              <w:t>131</w:t>
            </w:r>
          </w:p>
        </w:tc>
        <w:tc>
          <w:tcPr>
            <w:tcW w:w="709" w:type="dxa"/>
            <w:shd w:val="clear" w:color="auto" w:fill="FFFFFF"/>
          </w:tcPr>
          <w:p w14:paraId="0158EB7B" w14:textId="77777777" w:rsidR="008B6282" w:rsidRPr="00B57B36" w:rsidRDefault="008B6282" w:rsidP="001E28BD">
            <w:pPr>
              <w:pStyle w:val="CETBodytext"/>
              <w:jc w:val="center"/>
              <w:rPr>
                <w:lang w:val="en-GB"/>
              </w:rPr>
            </w:pPr>
            <w:r>
              <w:rPr>
                <w:rFonts w:cs="Arial"/>
                <w:lang w:val="en-GB"/>
              </w:rPr>
              <w:t>∞</w:t>
            </w:r>
          </w:p>
        </w:tc>
        <w:tc>
          <w:tcPr>
            <w:tcW w:w="1701" w:type="dxa"/>
            <w:shd w:val="clear" w:color="auto" w:fill="FFFFFF"/>
          </w:tcPr>
          <w:p w14:paraId="4B4E8EDF" w14:textId="77777777" w:rsidR="008B6282" w:rsidRDefault="008B6282" w:rsidP="001E28BD">
            <w:pPr>
              <w:pStyle w:val="CETBodytext"/>
              <w:jc w:val="center"/>
              <w:rPr>
                <w:rFonts w:cs="Arial"/>
                <w:lang w:val="en-GB"/>
              </w:rPr>
            </w:pPr>
            <w:r>
              <w:rPr>
                <w:rFonts w:cs="Arial"/>
                <w:lang w:val="en-GB"/>
              </w:rPr>
              <w:t>903</w:t>
            </w:r>
          </w:p>
        </w:tc>
      </w:tr>
      <w:tr w:rsidR="008B6282" w:rsidRPr="00B57B36" w14:paraId="5F74B3D8" w14:textId="77777777" w:rsidTr="001E28BD">
        <w:tc>
          <w:tcPr>
            <w:tcW w:w="993" w:type="dxa"/>
            <w:shd w:val="clear" w:color="auto" w:fill="FFFFFF"/>
          </w:tcPr>
          <w:p w14:paraId="6ABFF885" w14:textId="77777777" w:rsidR="008B6282" w:rsidRPr="00B57B36" w:rsidRDefault="008B6282" w:rsidP="001E28BD">
            <w:pPr>
              <w:pStyle w:val="CETBodytext"/>
              <w:jc w:val="center"/>
              <w:rPr>
                <w:lang w:val="en-GB"/>
              </w:rPr>
            </w:pPr>
            <w:r>
              <w:rPr>
                <w:lang w:val="en-GB"/>
              </w:rPr>
              <w:t>G-50</w:t>
            </w:r>
          </w:p>
        </w:tc>
        <w:tc>
          <w:tcPr>
            <w:tcW w:w="992" w:type="dxa"/>
            <w:shd w:val="clear" w:color="auto" w:fill="FFFFFF"/>
          </w:tcPr>
          <w:p w14:paraId="61ADEAB8" w14:textId="0600A408" w:rsidR="008B6282" w:rsidRPr="00B57B36" w:rsidRDefault="008B6282" w:rsidP="001E28BD">
            <w:pPr>
              <w:pStyle w:val="CETBodytext"/>
              <w:jc w:val="center"/>
              <w:rPr>
                <w:lang w:val="en-GB"/>
              </w:rPr>
            </w:pPr>
            <w:r>
              <w:rPr>
                <w:lang w:val="en-GB"/>
              </w:rPr>
              <w:t>1.6</w:t>
            </w:r>
            <w:r>
              <w:rPr>
                <w:rFonts w:cs="Arial"/>
                <w:lang w:val="en-GB"/>
              </w:rPr>
              <w:t>×</w:t>
            </w:r>
            <w:r>
              <w:rPr>
                <w:lang w:val="en-GB"/>
              </w:rPr>
              <w:t>10</w:t>
            </w:r>
            <w:r>
              <w:rPr>
                <w:vertAlign w:val="superscript"/>
                <w:lang w:val="en-GB"/>
              </w:rPr>
              <w:t>-2</w:t>
            </w:r>
          </w:p>
        </w:tc>
        <w:tc>
          <w:tcPr>
            <w:tcW w:w="1843" w:type="dxa"/>
            <w:shd w:val="clear" w:color="auto" w:fill="FFFFFF"/>
          </w:tcPr>
          <w:p w14:paraId="68127DF7" w14:textId="77777777" w:rsidR="008B6282" w:rsidRPr="00B57B36" w:rsidRDefault="008B6282" w:rsidP="001E28BD">
            <w:pPr>
              <w:pStyle w:val="CETBodytext"/>
              <w:jc w:val="center"/>
              <w:rPr>
                <w:lang w:val="en-GB"/>
              </w:rPr>
            </w:pPr>
            <w:r>
              <w:rPr>
                <w:lang w:val="en-GB"/>
              </w:rPr>
              <w:t>3.8</w:t>
            </w:r>
          </w:p>
        </w:tc>
        <w:tc>
          <w:tcPr>
            <w:tcW w:w="1275" w:type="dxa"/>
            <w:shd w:val="clear" w:color="auto" w:fill="FFFFFF"/>
          </w:tcPr>
          <w:p w14:paraId="287766DE" w14:textId="4C0B08AD" w:rsidR="008B6282" w:rsidRDefault="008B6282" w:rsidP="001E28BD">
            <w:pPr>
              <w:pStyle w:val="CETBodytext"/>
              <w:jc w:val="center"/>
              <w:rPr>
                <w:lang w:val="en-GB"/>
              </w:rPr>
            </w:pPr>
            <w:r>
              <w:rPr>
                <w:lang w:val="en-GB"/>
              </w:rPr>
              <w:t>131</w:t>
            </w:r>
          </w:p>
        </w:tc>
        <w:tc>
          <w:tcPr>
            <w:tcW w:w="709" w:type="dxa"/>
            <w:shd w:val="clear" w:color="auto" w:fill="FFFFFF"/>
          </w:tcPr>
          <w:p w14:paraId="07B208FA" w14:textId="77777777" w:rsidR="008B6282" w:rsidRPr="000309D2" w:rsidRDefault="008B6282" w:rsidP="001E28BD">
            <w:pPr>
              <w:pStyle w:val="CETBodytext"/>
              <w:jc w:val="center"/>
              <w:rPr>
                <w:vertAlign w:val="superscript"/>
                <w:lang w:val="en-GB"/>
              </w:rPr>
            </w:pPr>
            <w:r>
              <w:rPr>
                <w:rFonts w:cs="Arial"/>
                <w:lang w:val="en-GB"/>
              </w:rPr>
              <w:t>∞</w:t>
            </w:r>
          </w:p>
        </w:tc>
        <w:tc>
          <w:tcPr>
            <w:tcW w:w="1701" w:type="dxa"/>
            <w:shd w:val="clear" w:color="auto" w:fill="FFFFFF"/>
          </w:tcPr>
          <w:p w14:paraId="540F0662" w14:textId="77777777" w:rsidR="008B6282" w:rsidRDefault="008B6282" w:rsidP="001E28BD">
            <w:pPr>
              <w:pStyle w:val="CETBodytext"/>
              <w:jc w:val="center"/>
              <w:rPr>
                <w:rFonts w:cs="Arial"/>
                <w:lang w:val="en-GB"/>
              </w:rPr>
            </w:pPr>
            <w:r>
              <w:rPr>
                <w:rFonts w:cs="Arial"/>
                <w:lang w:val="en-GB"/>
              </w:rPr>
              <w:t>226</w:t>
            </w:r>
          </w:p>
        </w:tc>
      </w:tr>
      <w:tr w:rsidR="008B6282" w:rsidRPr="00B57B36" w14:paraId="71AEAC5D" w14:textId="77777777" w:rsidTr="001E28BD">
        <w:tc>
          <w:tcPr>
            <w:tcW w:w="993" w:type="dxa"/>
            <w:shd w:val="clear" w:color="auto" w:fill="FFFFFF"/>
          </w:tcPr>
          <w:p w14:paraId="1B2441EF" w14:textId="77777777" w:rsidR="008B6282" w:rsidRDefault="008B6282" w:rsidP="001E28BD">
            <w:pPr>
              <w:pStyle w:val="CETBodytext"/>
              <w:jc w:val="center"/>
              <w:rPr>
                <w:lang w:val="en-GB"/>
              </w:rPr>
            </w:pPr>
            <w:r>
              <w:rPr>
                <w:lang w:val="en-GB"/>
              </w:rPr>
              <w:t>G-20</w:t>
            </w:r>
          </w:p>
        </w:tc>
        <w:tc>
          <w:tcPr>
            <w:tcW w:w="992" w:type="dxa"/>
            <w:shd w:val="clear" w:color="auto" w:fill="FFFFFF"/>
          </w:tcPr>
          <w:p w14:paraId="590226D8" w14:textId="61A1852C" w:rsidR="008B6282" w:rsidRDefault="008B6282" w:rsidP="001E28BD">
            <w:pPr>
              <w:pStyle w:val="CETBodytext"/>
              <w:jc w:val="center"/>
              <w:rPr>
                <w:lang w:val="en-GB"/>
              </w:rPr>
            </w:pPr>
            <w:r>
              <w:rPr>
                <w:lang w:val="en-GB"/>
              </w:rPr>
              <w:t>2.5</w:t>
            </w:r>
            <w:r>
              <w:rPr>
                <w:rFonts w:cs="Arial"/>
                <w:lang w:val="en-GB"/>
              </w:rPr>
              <w:t>×</w:t>
            </w:r>
            <w:r>
              <w:rPr>
                <w:lang w:val="en-GB"/>
              </w:rPr>
              <w:t>10</w:t>
            </w:r>
            <w:r>
              <w:rPr>
                <w:vertAlign w:val="superscript"/>
                <w:lang w:val="en-GB"/>
              </w:rPr>
              <w:t>-3</w:t>
            </w:r>
          </w:p>
        </w:tc>
        <w:tc>
          <w:tcPr>
            <w:tcW w:w="1843" w:type="dxa"/>
            <w:shd w:val="clear" w:color="auto" w:fill="FFFFFF"/>
          </w:tcPr>
          <w:p w14:paraId="42990F13" w14:textId="77777777" w:rsidR="008B6282" w:rsidRDefault="008B6282" w:rsidP="001E28BD">
            <w:pPr>
              <w:pStyle w:val="CETBodytext"/>
              <w:jc w:val="center"/>
              <w:rPr>
                <w:lang w:val="en-GB"/>
              </w:rPr>
            </w:pPr>
            <w:r>
              <w:rPr>
                <w:lang w:val="en-GB"/>
              </w:rPr>
              <w:t>0.6</w:t>
            </w:r>
          </w:p>
        </w:tc>
        <w:tc>
          <w:tcPr>
            <w:tcW w:w="1275" w:type="dxa"/>
            <w:shd w:val="clear" w:color="auto" w:fill="FFFFFF"/>
          </w:tcPr>
          <w:p w14:paraId="04E4273E" w14:textId="0E4BC3EB" w:rsidR="008B6282" w:rsidRDefault="008B6282" w:rsidP="001E28BD">
            <w:pPr>
              <w:pStyle w:val="CETBodytext"/>
              <w:jc w:val="center"/>
              <w:rPr>
                <w:lang w:val="en-GB"/>
              </w:rPr>
            </w:pPr>
            <w:r>
              <w:rPr>
                <w:lang w:val="en-GB"/>
              </w:rPr>
              <w:t>131</w:t>
            </w:r>
          </w:p>
        </w:tc>
        <w:tc>
          <w:tcPr>
            <w:tcW w:w="709" w:type="dxa"/>
            <w:shd w:val="clear" w:color="auto" w:fill="FFFFFF"/>
          </w:tcPr>
          <w:p w14:paraId="3FC2391C" w14:textId="77777777" w:rsidR="008B6282" w:rsidRDefault="008B6282" w:rsidP="001E28BD">
            <w:pPr>
              <w:pStyle w:val="CETBodytext"/>
              <w:jc w:val="center"/>
              <w:rPr>
                <w:rFonts w:cs="Arial"/>
                <w:lang w:val="en-GB"/>
              </w:rPr>
            </w:pPr>
            <w:r>
              <w:rPr>
                <w:rFonts w:cs="Arial"/>
                <w:lang w:val="en-GB"/>
              </w:rPr>
              <w:t>∞</w:t>
            </w:r>
          </w:p>
        </w:tc>
        <w:tc>
          <w:tcPr>
            <w:tcW w:w="1701" w:type="dxa"/>
            <w:shd w:val="clear" w:color="auto" w:fill="FFFFFF"/>
          </w:tcPr>
          <w:p w14:paraId="1915BADF" w14:textId="77777777" w:rsidR="008B6282" w:rsidRDefault="008B6282" w:rsidP="001E28BD">
            <w:pPr>
              <w:pStyle w:val="CETBodytext"/>
              <w:jc w:val="center"/>
              <w:rPr>
                <w:rFonts w:cs="Arial"/>
                <w:lang w:val="en-GB"/>
              </w:rPr>
            </w:pPr>
            <w:r>
              <w:rPr>
                <w:rFonts w:cs="Arial"/>
                <w:lang w:val="en-GB"/>
              </w:rPr>
              <w:t>36</w:t>
            </w:r>
          </w:p>
        </w:tc>
      </w:tr>
      <w:tr w:rsidR="008B6282" w:rsidRPr="00B57B36" w14:paraId="07DBF734" w14:textId="77777777" w:rsidTr="001E28BD">
        <w:tc>
          <w:tcPr>
            <w:tcW w:w="993" w:type="dxa"/>
            <w:shd w:val="clear" w:color="auto" w:fill="FFFFFF"/>
          </w:tcPr>
          <w:p w14:paraId="55176432" w14:textId="77777777" w:rsidR="008B6282" w:rsidRDefault="008B6282" w:rsidP="001E28BD">
            <w:pPr>
              <w:pStyle w:val="CETBodytext"/>
              <w:jc w:val="center"/>
              <w:rPr>
                <w:lang w:val="en-GB"/>
              </w:rPr>
            </w:pPr>
            <w:r>
              <w:rPr>
                <w:lang w:val="en-GB"/>
              </w:rPr>
              <w:t>L-100</w:t>
            </w:r>
          </w:p>
        </w:tc>
        <w:tc>
          <w:tcPr>
            <w:tcW w:w="992" w:type="dxa"/>
            <w:shd w:val="clear" w:color="auto" w:fill="FFFFFF"/>
          </w:tcPr>
          <w:p w14:paraId="7D6BA81A" w14:textId="77777777" w:rsidR="008B6282" w:rsidRDefault="008B6282" w:rsidP="001E28BD">
            <w:pPr>
              <w:pStyle w:val="CETBodytext"/>
              <w:jc w:val="center"/>
              <w:rPr>
                <w:lang w:val="en-GB"/>
              </w:rPr>
            </w:pPr>
            <w:r>
              <w:rPr>
                <w:lang w:val="en-GB"/>
              </w:rPr>
              <w:t>26.5</w:t>
            </w:r>
          </w:p>
        </w:tc>
        <w:tc>
          <w:tcPr>
            <w:tcW w:w="1843" w:type="dxa"/>
            <w:shd w:val="clear" w:color="auto" w:fill="FFFFFF"/>
          </w:tcPr>
          <w:p w14:paraId="261CFAC3" w14:textId="416621C3" w:rsidR="008B6282" w:rsidRDefault="008B6282" w:rsidP="001E28BD">
            <w:pPr>
              <w:pStyle w:val="CETBodytext"/>
              <w:jc w:val="center"/>
              <w:rPr>
                <w:lang w:val="en-GB"/>
              </w:rPr>
            </w:pPr>
            <w:r>
              <w:rPr>
                <w:lang w:val="en-GB"/>
              </w:rPr>
              <w:t>711</w:t>
            </w:r>
          </w:p>
        </w:tc>
        <w:tc>
          <w:tcPr>
            <w:tcW w:w="1275" w:type="dxa"/>
            <w:shd w:val="clear" w:color="auto" w:fill="FFFFFF"/>
          </w:tcPr>
          <w:p w14:paraId="40CCD47F" w14:textId="77777777" w:rsidR="008B6282" w:rsidRDefault="008B6282" w:rsidP="001E28BD">
            <w:pPr>
              <w:pStyle w:val="CETBodytext"/>
              <w:jc w:val="center"/>
              <w:rPr>
                <w:lang w:val="en-GB"/>
              </w:rPr>
            </w:pPr>
            <w:r>
              <w:rPr>
                <w:lang w:val="en-GB"/>
              </w:rPr>
              <w:t>13.8</w:t>
            </w:r>
          </w:p>
        </w:tc>
        <w:tc>
          <w:tcPr>
            <w:tcW w:w="709" w:type="dxa"/>
            <w:shd w:val="clear" w:color="auto" w:fill="FFFFFF"/>
          </w:tcPr>
          <w:p w14:paraId="0D00D4D2" w14:textId="77777777" w:rsidR="008B6282" w:rsidRDefault="008B6282" w:rsidP="001E28BD">
            <w:pPr>
              <w:pStyle w:val="CETBodytext"/>
              <w:jc w:val="center"/>
              <w:rPr>
                <w:rFonts w:cs="Arial"/>
                <w:lang w:val="en-GB"/>
              </w:rPr>
            </w:pPr>
            <w:r>
              <w:rPr>
                <w:rFonts w:cs="Arial"/>
                <w:lang w:val="en-GB"/>
              </w:rPr>
              <w:t>5.9</w:t>
            </w:r>
          </w:p>
        </w:tc>
        <w:tc>
          <w:tcPr>
            <w:tcW w:w="1701" w:type="dxa"/>
            <w:shd w:val="clear" w:color="auto" w:fill="FFFFFF"/>
          </w:tcPr>
          <w:p w14:paraId="73F1371B" w14:textId="77777777" w:rsidR="008B6282" w:rsidRDefault="008B6282" w:rsidP="001E28BD">
            <w:pPr>
              <w:pStyle w:val="CETBodytext"/>
              <w:jc w:val="center"/>
              <w:rPr>
                <w:rFonts w:cs="Arial"/>
                <w:lang w:val="en-GB"/>
              </w:rPr>
            </w:pPr>
            <w:r>
              <w:rPr>
                <w:rFonts w:cs="Arial"/>
                <w:lang w:val="en-GB"/>
              </w:rPr>
              <w:t>11700</w:t>
            </w:r>
          </w:p>
        </w:tc>
      </w:tr>
      <w:tr w:rsidR="008B6282" w:rsidRPr="00B57B36" w14:paraId="03BB26E2" w14:textId="77777777" w:rsidTr="001E28BD">
        <w:tc>
          <w:tcPr>
            <w:tcW w:w="993" w:type="dxa"/>
            <w:shd w:val="clear" w:color="auto" w:fill="FFFFFF"/>
          </w:tcPr>
          <w:p w14:paraId="1CA74B0D" w14:textId="77777777" w:rsidR="008B6282" w:rsidRPr="00B57B36" w:rsidRDefault="008B6282" w:rsidP="001E28BD">
            <w:pPr>
              <w:pStyle w:val="CETBodytext"/>
              <w:spacing w:line="240" w:lineRule="auto"/>
              <w:jc w:val="center"/>
              <w:rPr>
                <w:lang w:val="en-GB"/>
              </w:rPr>
            </w:pPr>
            <w:r>
              <w:rPr>
                <w:lang w:val="en-GB"/>
              </w:rPr>
              <w:t>L-50</w:t>
            </w:r>
          </w:p>
        </w:tc>
        <w:tc>
          <w:tcPr>
            <w:tcW w:w="992" w:type="dxa"/>
            <w:shd w:val="clear" w:color="auto" w:fill="FFFFFF"/>
          </w:tcPr>
          <w:p w14:paraId="58F6FE4C" w14:textId="77777777" w:rsidR="008B6282" w:rsidRPr="00B57B36" w:rsidRDefault="008B6282" w:rsidP="001E28BD">
            <w:pPr>
              <w:pStyle w:val="CETBodytext"/>
              <w:spacing w:line="240" w:lineRule="auto"/>
              <w:jc w:val="center"/>
              <w:rPr>
                <w:lang w:val="en-GB"/>
              </w:rPr>
            </w:pPr>
            <w:r>
              <w:rPr>
                <w:lang w:val="en-GB"/>
              </w:rPr>
              <w:t>6.6</w:t>
            </w:r>
          </w:p>
        </w:tc>
        <w:tc>
          <w:tcPr>
            <w:tcW w:w="1843" w:type="dxa"/>
            <w:shd w:val="clear" w:color="auto" w:fill="FFFFFF"/>
          </w:tcPr>
          <w:p w14:paraId="16869BE1" w14:textId="3A292F75" w:rsidR="008B6282" w:rsidRPr="00B57B36" w:rsidRDefault="008B6282" w:rsidP="001E28BD">
            <w:pPr>
              <w:pStyle w:val="CETBodytext"/>
              <w:spacing w:line="240" w:lineRule="auto"/>
              <w:jc w:val="center"/>
              <w:rPr>
                <w:lang w:val="en-GB"/>
              </w:rPr>
            </w:pPr>
            <w:r>
              <w:rPr>
                <w:lang w:val="en-GB"/>
              </w:rPr>
              <w:t>17</w:t>
            </w:r>
            <w:r w:rsidR="00481645">
              <w:rPr>
                <w:lang w:val="en-GB"/>
              </w:rPr>
              <w:t>8</w:t>
            </w:r>
          </w:p>
        </w:tc>
        <w:tc>
          <w:tcPr>
            <w:tcW w:w="1275" w:type="dxa"/>
            <w:shd w:val="clear" w:color="auto" w:fill="FFFFFF"/>
          </w:tcPr>
          <w:p w14:paraId="4516BA4A" w14:textId="77777777" w:rsidR="008B6282" w:rsidRDefault="008B6282" w:rsidP="001E28BD">
            <w:pPr>
              <w:pStyle w:val="CETBodytext"/>
              <w:spacing w:line="240" w:lineRule="auto"/>
              <w:jc w:val="center"/>
              <w:rPr>
                <w:lang w:val="en-GB"/>
              </w:rPr>
            </w:pPr>
            <w:r>
              <w:rPr>
                <w:lang w:val="en-GB"/>
              </w:rPr>
              <w:t>13.8</w:t>
            </w:r>
          </w:p>
        </w:tc>
        <w:tc>
          <w:tcPr>
            <w:tcW w:w="709" w:type="dxa"/>
            <w:shd w:val="clear" w:color="auto" w:fill="FFFFFF"/>
          </w:tcPr>
          <w:p w14:paraId="13F58187" w14:textId="77777777" w:rsidR="008B6282" w:rsidRPr="00B57B36" w:rsidRDefault="008B6282" w:rsidP="001E28BD">
            <w:pPr>
              <w:pStyle w:val="CETBodytext"/>
              <w:spacing w:line="240" w:lineRule="auto"/>
              <w:jc w:val="center"/>
              <w:rPr>
                <w:lang w:val="en-GB"/>
              </w:rPr>
            </w:pPr>
            <w:r>
              <w:rPr>
                <w:lang w:val="en-GB"/>
              </w:rPr>
              <w:t>5.9</w:t>
            </w:r>
          </w:p>
        </w:tc>
        <w:tc>
          <w:tcPr>
            <w:tcW w:w="1701" w:type="dxa"/>
            <w:shd w:val="clear" w:color="auto" w:fill="FFFFFF"/>
          </w:tcPr>
          <w:p w14:paraId="4C76C6F3" w14:textId="77777777" w:rsidR="008B6282" w:rsidRDefault="008B6282" w:rsidP="001E28BD">
            <w:pPr>
              <w:pStyle w:val="CETBodytext"/>
              <w:spacing w:line="240" w:lineRule="auto"/>
              <w:jc w:val="center"/>
              <w:rPr>
                <w:lang w:val="en-GB"/>
              </w:rPr>
            </w:pPr>
            <w:r>
              <w:rPr>
                <w:lang w:val="en-GB"/>
              </w:rPr>
              <w:t>2925</w:t>
            </w:r>
          </w:p>
        </w:tc>
      </w:tr>
      <w:tr w:rsidR="008B6282" w:rsidRPr="00B57B36" w14:paraId="3CD9A34B" w14:textId="77777777" w:rsidTr="001E28BD">
        <w:tc>
          <w:tcPr>
            <w:tcW w:w="993" w:type="dxa"/>
            <w:shd w:val="clear" w:color="auto" w:fill="FFFFFF"/>
          </w:tcPr>
          <w:p w14:paraId="3DCF4DF8" w14:textId="0C7EC0A7" w:rsidR="008B6282" w:rsidRDefault="008B6282" w:rsidP="001E28BD">
            <w:pPr>
              <w:pStyle w:val="CETBodytext"/>
              <w:spacing w:line="240" w:lineRule="auto"/>
              <w:jc w:val="center"/>
              <w:rPr>
                <w:lang w:val="en-GB"/>
              </w:rPr>
            </w:pPr>
            <w:r>
              <w:rPr>
                <w:lang w:val="en-GB"/>
              </w:rPr>
              <w:t>L-20</w:t>
            </w:r>
          </w:p>
        </w:tc>
        <w:tc>
          <w:tcPr>
            <w:tcW w:w="992" w:type="dxa"/>
            <w:shd w:val="clear" w:color="auto" w:fill="FFFFFF"/>
          </w:tcPr>
          <w:p w14:paraId="54EF00D4" w14:textId="77777777" w:rsidR="008B6282" w:rsidRDefault="008B6282" w:rsidP="001E28BD">
            <w:pPr>
              <w:pStyle w:val="CETBodytext"/>
              <w:spacing w:line="240" w:lineRule="auto"/>
              <w:jc w:val="center"/>
              <w:rPr>
                <w:lang w:val="en-GB"/>
              </w:rPr>
            </w:pPr>
            <w:r>
              <w:rPr>
                <w:lang w:val="en-GB"/>
              </w:rPr>
              <w:t>1.1</w:t>
            </w:r>
          </w:p>
        </w:tc>
        <w:tc>
          <w:tcPr>
            <w:tcW w:w="1843" w:type="dxa"/>
            <w:shd w:val="clear" w:color="auto" w:fill="FFFFFF"/>
          </w:tcPr>
          <w:p w14:paraId="6FFFA7C5" w14:textId="77777777" w:rsidR="008B6282" w:rsidRDefault="008B6282" w:rsidP="001E28BD">
            <w:pPr>
              <w:pStyle w:val="CETBodytext"/>
              <w:spacing w:line="240" w:lineRule="auto"/>
              <w:jc w:val="center"/>
              <w:rPr>
                <w:lang w:val="en-GB"/>
              </w:rPr>
            </w:pPr>
            <w:r>
              <w:rPr>
                <w:lang w:val="en-GB"/>
              </w:rPr>
              <w:t>28.4</w:t>
            </w:r>
          </w:p>
        </w:tc>
        <w:tc>
          <w:tcPr>
            <w:tcW w:w="1275" w:type="dxa"/>
            <w:shd w:val="clear" w:color="auto" w:fill="FFFFFF"/>
          </w:tcPr>
          <w:p w14:paraId="3DD419D7" w14:textId="77777777" w:rsidR="008B6282" w:rsidRDefault="008B6282" w:rsidP="001E28BD">
            <w:pPr>
              <w:pStyle w:val="CETBodytext"/>
              <w:spacing w:line="240" w:lineRule="auto"/>
              <w:jc w:val="center"/>
              <w:rPr>
                <w:lang w:val="en-GB"/>
              </w:rPr>
            </w:pPr>
            <w:r>
              <w:rPr>
                <w:lang w:val="en-GB"/>
              </w:rPr>
              <w:t>13.8</w:t>
            </w:r>
          </w:p>
        </w:tc>
        <w:tc>
          <w:tcPr>
            <w:tcW w:w="709" w:type="dxa"/>
            <w:shd w:val="clear" w:color="auto" w:fill="FFFFFF"/>
          </w:tcPr>
          <w:p w14:paraId="0CF02EE4" w14:textId="77777777" w:rsidR="008B6282" w:rsidRDefault="008B6282" w:rsidP="001E28BD">
            <w:pPr>
              <w:pStyle w:val="CETBodytext"/>
              <w:spacing w:line="240" w:lineRule="auto"/>
              <w:jc w:val="center"/>
              <w:rPr>
                <w:lang w:val="en-GB"/>
              </w:rPr>
            </w:pPr>
            <w:r>
              <w:rPr>
                <w:lang w:val="en-GB"/>
              </w:rPr>
              <w:t>5.9</w:t>
            </w:r>
          </w:p>
        </w:tc>
        <w:tc>
          <w:tcPr>
            <w:tcW w:w="1701" w:type="dxa"/>
            <w:shd w:val="clear" w:color="auto" w:fill="FFFFFF"/>
          </w:tcPr>
          <w:p w14:paraId="754395E0" w14:textId="77777777" w:rsidR="008B6282" w:rsidRDefault="008B6282" w:rsidP="001E28BD">
            <w:pPr>
              <w:pStyle w:val="CETBodytext"/>
              <w:spacing w:line="240" w:lineRule="auto"/>
              <w:jc w:val="center"/>
              <w:rPr>
                <w:lang w:val="en-GB"/>
              </w:rPr>
            </w:pPr>
            <w:r>
              <w:rPr>
                <w:lang w:val="en-GB"/>
              </w:rPr>
              <w:t>468</w:t>
            </w:r>
          </w:p>
        </w:tc>
      </w:tr>
    </w:tbl>
    <w:p w14:paraId="045A43E6" w14:textId="77777777" w:rsidR="008B6282" w:rsidRDefault="008B6282" w:rsidP="008B6282">
      <w:pPr>
        <w:pStyle w:val="CETBodytext"/>
        <w:spacing w:line="240" w:lineRule="auto"/>
        <w:rPr>
          <w:noProof/>
        </w:rPr>
      </w:pPr>
      <w:r>
        <w:rPr>
          <w:noProof/>
        </w:rPr>
        <w:t>*At the position after expansion (for gas release) or evaporation (for liquid release).</w:t>
      </w:r>
    </w:p>
    <w:p w14:paraId="15EB8541" w14:textId="77777777" w:rsidR="008B6282" w:rsidRDefault="008B6282" w:rsidP="008B6282">
      <w:pPr>
        <w:pStyle w:val="CETBodytext"/>
        <w:spacing w:line="240" w:lineRule="auto"/>
        <w:rPr>
          <w:noProof/>
        </w:rPr>
      </w:pPr>
      <w:r>
        <w:rPr>
          <w:noProof/>
        </w:rPr>
        <w:t>**For a release duration of 60 s.</w:t>
      </w:r>
    </w:p>
    <w:p w14:paraId="0763D905" w14:textId="77777777" w:rsidR="008B6282" w:rsidRDefault="008B6282" w:rsidP="008B6282">
      <w:pPr>
        <w:pStyle w:val="CETHeading1"/>
      </w:pPr>
      <w:r>
        <w:t>Results</w:t>
      </w:r>
    </w:p>
    <w:p w14:paraId="1C895675" w14:textId="4FB309A0" w:rsidR="008B6282" w:rsidRDefault="008B6282" w:rsidP="008B6282">
      <w:pPr>
        <w:pStyle w:val="CETBodytext"/>
      </w:pPr>
      <w:r>
        <w:t xml:space="preserve">The setup and results for the 20 </w:t>
      </w:r>
      <w:r w:rsidR="002F0DCA">
        <w:t xml:space="preserve">studied </w:t>
      </w:r>
      <w:r>
        <w:t xml:space="preserve">dispersion scenarios are summarized in Table </w:t>
      </w:r>
      <w:r w:rsidR="006261AD">
        <w:t>4</w:t>
      </w:r>
      <w:r>
        <w:t xml:space="preserve">. The vertical profile of the dispersed cloud, expressed in terms of </w:t>
      </w:r>
      <w:r w:rsidRPr="001B1AE9">
        <w:rPr>
          <w:rFonts w:ascii="Times New Roman" w:hAnsi="Times New Roman"/>
          <w:i/>
          <w:iCs/>
        </w:rPr>
        <w:t>ER</w:t>
      </w:r>
      <w:r>
        <w:t>, is shown in Figure 2</w:t>
      </w:r>
      <w:r w:rsidR="00F561E8">
        <w:t xml:space="preserve"> for eight selected scenarios</w:t>
      </w:r>
      <w:r>
        <w:t xml:space="preserve">. Among the gaseous releases, the greatest ESC </w:t>
      </w:r>
      <w:r w:rsidR="005E4BAB">
        <w:t xml:space="preserve">calculated with the Q9 model </w:t>
      </w:r>
      <w:r>
        <w:t>has a volume of 634 m</w:t>
      </w:r>
      <w:r w:rsidRPr="00F8342A">
        <w:rPr>
          <w:vertAlign w:val="superscript"/>
        </w:rPr>
        <w:t>3</w:t>
      </w:r>
      <w:r>
        <w:t>. This</w:t>
      </w:r>
      <w:r w:rsidR="008A3F92">
        <w:t xml:space="preserve"> volume was</w:t>
      </w:r>
      <w:r>
        <w:t xml:space="preserve"> obtained for Scenario 6 (leak diameter of 100 mm and 4</w:t>
      </w:r>
      <w:r>
        <w:rPr>
          <w:rFonts w:cs="Arial"/>
        </w:rPr>
        <w:t>×</w:t>
      </w:r>
      <w:r>
        <w:t>4 vehicles). For th</w:t>
      </w:r>
      <w:r w:rsidR="00716009">
        <w:t>e same</w:t>
      </w:r>
      <w:r>
        <w:t xml:space="preserve"> scenario, </w:t>
      </w:r>
      <w:r w:rsidRPr="00FB7C35">
        <w:rPr>
          <w:rFonts w:ascii="Times New Roman" w:hAnsi="Times New Roman"/>
          <w:i/>
          <w:iCs/>
        </w:rPr>
        <w:t>V</w:t>
      </w:r>
      <w:r w:rsidRPr="00FB7C35">
        <w:rPr>
          <w:rFonts w:ascii="Times New Roman" w:hAnsi="Times New Roman"/>
          <w:i/>
          <w:iCs/>
          <w:vertAlign w:val="subscript"/>
        </w:rPr>
        <w:t>Q7</w:t>
      </w:r>
      <w:r>
        <w:t xml:space="preserve"> is equal to 1,872</w:t>
      </w:r>
      <w:r w:rsidR="00716009">
        <w:t> </w:t>
      </w:r>
      <w:r>
        <w:t>m</w:t>
      </w:r>
      <w:r w:rsidRPr="00FB7C35">
        <w:rPr>
          <w:vertAlign w:val="superscript"/>
        </w:rPr>
        <w:t>3</w:t>
      </w:r>
      <w:r>
        <w:t>. That is,</w:t>
      </w:r>
      <w:r w:rsidR="00716009">
        <w:t xml:space="preserve"> </w:t>
      </w:r>
      <w:r w:rsidR="00716009" w:rsidRPr="00FB7C35">
        <w:rPr>
          <w:rFonts w:ascii="Times New Roman" w:hAnsi="Times New Roman"/>
          <w:i/>
          <w:iCs/>
        </w:rPr>
        <w:t>V</w:t>
      </w:r>
      <w:r w:rsidR="00716009" w:rsidRPr="00FB7C35">
        <w:rPr>
          <w:rFonts w:ascii="Times New Roman" w:hAnsi="Times New Roman"/>
          <w:i/>
          <w:iCs/>
          <w:vertAlign w:val="subscript"/>
        </w:rPr>
        <w:t>Q9</w:t>
      </w:r>
      <w:r>
        <w:t xml:space="preserve"> is about 3</w:t>
      </w:r>
      <w:r w:rsidR="00F853EF">
        <w:t>4</w:t>
      </w:r>
      <w:r w:rsidR="001E28BD">
        <w:t> </w:t>
      </w:r>
      <w:r>
        <w:t>% of the total volume within the flammability limit. If the total released gas (</w:t>
      </w:r>
      <w:r w:rsidR="00716009">
        <w:t>during</w:t>
      </w:r>
      <w:r>
        <w:t xml:space="preserve"> 60</w:t>
      </w:r>
      <w:r w:rsidR="00716009">
        <w:t> </w:t>
      </w:r>
      <w:r>
        <w:t>s) were used to estimate the cloud size at stoichiometric state for this scenario, it would result on a volume of around 12,000 m</w:t>
      </w:r>
      <w:r w:rsidRPr="00FB7C35">
        <w:rPr>
          <w:vertAlign w:val="superscript"/>
        </w:rPr>
        <w:t>3</w:t>
      </w:r>
      <w:r>
        <w:t xml:space="preserve">, which is considerable larger than </w:t>
      </w:r>
      <w:r w:rsidRPr="00FB7C35">
        <w:rPr>
          <w:rFonts w:ascii="Times New Roman" w:hAnsi="Times New Roman"/>
          <w:i/>
          <w:iCs/>
        </w:rPr>
        <w:t>V</w:t>
      </w:r>
      <w:r w:rsidRPr="00FB7C35">
        <w:rPr>
          <w:rFonts w:ascii="Times New Roman" w:hAnsi="Times New Roman"/>
          <w:i/>
          <w:iCs/>
          <w:vertAlign w:val="subscript"/>
        </w:rPr>
        <w:t>Q9</w:t>
      </w:r>
      <w:r>
        <w:t>. This shows that simplifications regarding the concentration of the gas cloud may lead to overly conservative predictions. Assuming</w:t>
      </w:r>
      <w:r w:rsidR="00F561E8">
        <w:t xml:space="preserve"> </w:t>
      </w:r>
      <w:r>
        <w:t>1.5</w:t>
      </w:r>
      <w:r w:rsidR="00F561E8">
        <w:t> </w:t>
      </w:r>
      <w:r>
        <w:t>m between vehicles and a cloud height of 3.0</w:t>
      </w:r>
      <w:r w:rsidR="00F561E8">
        <w:t> </w:t>
      </w:r>
      <w:r>
        <w:t>m, the calculated ESC</w:t>
      </w:r>
      <w:r w:rsidR="00F561E8">
        <w:t>s</w:t>
      </w:r>
      <w:r>
        <w:t xml:space="preserve"> indicate that</w:t>
      </w:r>
      <w:r w:rsidR="008A3F92">
        <w:t xml:space="preserve">, </w:t>
      </w:r>
      <w:r>
        <w:t>for a leak size of 100</w:t>
      </w:r>
      <w:r w:rsidR="00F561E8">
        <w:t> </w:t>
      </w:r>
      <w:r>
        <w:t xml:space="preserve">mm in the gaseous state, </w:t>
      </w:r>
      <w:r w:rsidR="00510AB7">
        <w:t xml:space="preserve">a reasonable </w:t>
      </w:r>
      <w:r>
        <w:t xml:space="preserve">number of vehicles </w:t>
      </w:r>
      <w:r w:rsidR="00510AB7">
        <w:t>to</w:t>
      </w:r>
      <w:r>
        <w:t xml:space="preserve"> be considered as the blast source </w:t>
      </w:r>
      <w:r w:rsidR="00510AB7">
        <w:t>would be</w:t>
      </w:r>
      <w:r>
        <w:t xml:space="preserve"> 4</w:t>
      </w:r>
      <w:r>
        <w:rPr>
          <w:rFonts w:cs="Arial"/>
        </w:rPr>
        <w:t>×</w:t>
      </w:r>
      <w:r>
        <w:t>3 (</w:t>
      </w:r>
      <w:r w:rsidR="00F561E8">
        <w:t>three</w:t>
      </w:r>
      <w:r>
        <w:t xml:space="preserve"> vehicles on four lanes lane) or 2</w:t>
      </w:r>
      <w:r>
        <w:rPr>
          <w:rFonts w:cs="Arial"/>
        </w:rPr>
        <w:t>×</w:t>
      </w:r>
      <w:r>
        <w:t>5 (</w:t>
      </w:r>
      <w:r w:rsidR="00F561E8">
        <w:t>five</w:t>
      </w:r>
      <w:r>
        <w:t xml:space="preserve"> vehicles on two consecutive lanes). For smaller diameters, the calculated ESCs </w:t>
      </w:r>
      <w:r w:rsidR="00F561E8">
        <w:t>were shown to be</w:t>
      </w:r>
      <w:r>
        <w:t xml:space="preserve"> significantly smaller and </w:t>
      </w:r>
      <w:r w:rsidR="00F561E8">
        <w:t>to only</w:t>
      </w:r>
      <w:r>
        <w:t xml:space="preserve"> constitute an explosion hazard in the immediate vicinity of the leakage, see Figure 2.</w:t>
      </w:r>
    </w:p>
    <w:p w14:paraId="5BC67E79" w14:textId="5D00C99B" w:rsidR="008B6282" w:rsidRDefault="00C535E3" w:rsidP="008B6282">
      <w:pPr>
        <w:pStyle w:val="CETBodytext"/>
      </w:pPr>
      <w:r>
        <w:t>In general, l</w:t>
      </w:r>
      <w:r w:rsidR="008B6282">
        <w:t xml:space="preserve">iquid releases resulted in much greater ESCs compared to gaseous releases. The risk associated with </w:t>
      </w:r>
      <w:r>
        <w:t xml:space="preserve">release </w:t>
      </w:r>
      <w:r w:rsidR="008B6282">
        <w:t>L</w:t>
      </w:r>
      <w:r w:rsidR="008B6282">
        <w:noBreakHyphen/>
        <w:t>20</w:t>
      </w:r>
      <w:r>
        <w:t xml:space="preserve"> appears</w:t>
      </w:r>
      <w:r w:rsidR="008B6282">
        <w:t xml:space="preserve"> to be </w:t>
      </w:r>
      <w:proofErr w:type="gramStart"/>
      <w:r w:rsidR="008B6282">
        <w:t>similar to</w:t>
      </w:r>
      <w:proofErr w:type="gramEnd"/>
      <w:r w:rsidR="008B6282">
        <w:t xml:space="preserve"> that of </w:t>
      </w:r>
      <w:r w:rsidR="00B90975">
        <w:t>release</w:t>
      </w:r>
      <w:r w:rsidR="008B6282">
        <w:t xml:space="preserve"> G-100, although scenario</w:t>
      </w:r>
      <w:r w:rsidR="00B90975">
        <w:t>s with</w:t>
      </w:r>
      <w:r w:rsidR="008B6282">
        <w:t xml:space="preserve"> L-20 </w:t>
      </w:r>
      <w:r>
        <w:t>w</w:t>
      </w:r>
      <w:r w:rsidR="00B90975">
        <w:t>ere</w:t>
      </w:r>
      <w:r>
        <w:t xml:space="preserve"> found</w:t>
      </w:r>
      <w:r w:rsidR="008B6282">
        <w:t xml:space="preserve"> to be more sensitive to the presence of vehicles. Based on the results for L-20, a reasonable number of vehicles to be considered as blast source would be 4</w:t>
      </w:r>
      <w:r w:rsidR="008B6282">
        <w:rPr>
          <w:rFonts w:cs="Arial"/>
        </w:rPr>
        <w:t>×</w:t>
      </w:r>
      <w:r w:rsidR="008B6282">
        <w:t>4 (</w:t>
      </w:r>
      <w:r w:rsidR="00510AB7">
        <w:t>four</w:t>
      </w:r>
      <w:r w:rsidR="008B6282">
        <w:t xml:space="preserve"> vehicles on all four lanes lane) or 2</w:t>
      </w:r>
      <w:r w:rsidR="008B6282">
        <w:rPr>
          <w:rFonts w:cs="Arial"/>
        </w:rPr>
        <w:t>×</w:t>
      </w:r>
      <w:r w:rsidR="008B6282">
        <w:t>8 (</w:t>
      </w:r>
      <w:r w:rsidR="00510AB7">
        <w:t>eight</w:t>
      </w:r>
      <w:r w:rsidR="008B6282">
        <w:t xml:space="preserve"> vehicles on two consecutive lanes). For L-50 and L-100, the risk zone extend</w:t>
      </w:r>
      <w:r w:rsidR="00510AB7">
        <w:t>ed</w:t>
      </w:r>
      <w:r w:rsidR="008B6282">
        <w:t xml:space="preserve"> beyond the calculation domain (150</w:t>
      </w:r>
      <w:r w:rsidR="00510AB7">
        <w:t> </w:t>
      </w:r>
      <w:r w:rsidR="008B6282">
        <w:t xml:space="preserve">m); therefore, </w:t>
      </w:r>
      <w:r w:rsidR="008B6282" w:rsidRPr="00FB7C35">
        <w:rPr>
          <w:rFonts w:ascii="Times New Roman" w:hAnsi="Times New Roman"/>
          <w:i/>
          <w:iCs/>
        </w:rPr>
        <w:t>V</w:t>
      </w:r>
      <w:r w:rsidR="008B6282" w:rsidRPr="00FB7C35">
        <w:rPr>
          <w:rFonts w:ascii="Times New Roman" w:hAnsi="Times New Roman"/>
          <w:i/>
          <w:iCs/>
          <w:vertAlign w:val="subscript"/>
        </w:rPr>
        <w:t>Q9</w:t>
      </w:r>
      <w:r w:rsidR="008B6282">
        <w:t xml:space="preserve"> and </w:t>
      </w:r>
      <w:r w:rsidR="008B6282" w:rsidRPr="00FB7C35">
        <w:rPr>
          <w:rFonts w:ascii="Times New Roman" w:hAnsi="Times New Roman"/>
          <w:i/>
          <w:iCs/>
        </w:rPr>
        <w:t>V</w:t>
      </w:r>
      <w:r w:rsidR="008B6282" w:rsidRPr="00FB7C35">
        <w:rPr>
          <w:rFonts w:ascii="Times New Roman" w:hAnsi="Times New Roman"/>
          <w:i/>
          <w:iCs/>
          <w:vertAlign w:val="subscript"/>
        </w:rPr>
        <w:t>Q</w:t>
      </w:r>
      <w:r w:rsidR="008B6282">
        <w:rPr>
          <w:rFonts w:ascii="Times New Roman" w:hAnsi="Times New Roman"/>
          <w:i/>
          <w:iCs/>
          <w:vertAlign w:val="subscript"/>
        </w:rPr>
        <w:t>7</w:t>
      </w:r>
      <w:r w:rsidR="008B6282">
        <w:t xml:space="preserve"> for these scenarios are </w:t>
      </w:r>
      <w:r w:rsidR="008A3F92">
        <w:t xml:space="preserve">likely to be </w:t>
      </w:r>
      <w:r w:rsidR="008B6282">
        <w:t xml:space="preserve">larger than those presented in Table 3. However, the results suggest that for these two release scenarios, the volume of the blast source could be limited by the </w:t>
      </w:r>
      <w:r w:rsidR="008B6282">
        <w:lastRenderedPageBreak/>
        <w:t>geometrical conditions, rather than by the concentration of the gas cloud. That is, for these scenarios, the number of vehicles used as the blast source would depend on the traffic conditions.</w:t>
      </w:r>
    </w:p>
    <w:p w14:paraId="68EEDC18" w14:textId="4BFF82C4" w:rsidR="008B6282" w:rsidRDefault="008B6282" w:rsidP="009C058A">
      <w:pPr>
        <w:pStyle w:val="CETBodytext"/>
      </w:pPr>
      <w:r>
        <w:t>It is also relevant to perform simulations of explosion of the dispersed clouds and the calculated ESC</w:t>
      </w:r>
      <w:r w:rsidR="00510AB7">
        <w:t>s</w:t>
      </w:r>
      <w:r w:rsidR="009C058A">
        <w:t xml:space="preserve"> (with volume </w:t>
      </w:r>
      <w:r w:rsidR="009C058A" w:rsidRPr="00510AB7">
        <w:rPr>
          <w:rFonts w:ascii="Times New Roman" w:hAnsi="Times New Roman"/>
          <w:i/>
          <w:iCs/>
        </w:rPr>
        <w:t>V</w:t>
      </w:r>
      <w:r w:rsidR="009C058A" w:rsidRPr="00510AB7">
        <w:rPr>
          <w:rFonts w:ascii="Times New Roman" w:hAnsi="Times New Roman"/>
          <w:i/>
          <w:iCs/>
          <w:vertAlign w:val="subscript"/>
        </w:rPr>
        <w:t>Q9</w:t>
      </w:r>
      <w:r w:rsidR="009C058A">
        <w:t>)</w:t>
      </w:r>
      <w:r>
        <w:t xml:space="preserve"> to verify the accuracy of the transformation method in terms of overpressure</w:t>
      </w:r>
      <w:r w:rsidR="009C058A">
        <w:t xml:space="preserve"> and specific impulse</w:t>
      </w:r>
      <w:r>
        <w:t xml:space="preserve">. This was done for a few cases (not shown in this </w:t>
      </w:r>
      <w:r w:rsidR="00DC709F">
        <w:t>paper</w:t>
      </w:r>
      <w:r>
        <w:t>).</w:t>
      </w:r>
      <w:r w:rsidR="009C058A">
        <w:t xml:space="preserve"> The maximum overpressure at the blast source as well as peak </w:t>
      </w:r>
      <w:r w:rsidR="003C172A">
        <w:t>overpressure</w:t>
      </w:r>
      <w:r w:rsidR="009C058A">
        <w:t xml:space="preserve"> and peak </w:t>
      </w:r>
      <w:r w:rsidR="00510AB7">
        <w:t xml:space="preserve">specific </w:t>
      </w:r>
      <w:r w:rsidR="009C058A">
        <w:t>impulse at different monitor points were compared. In general terms,</w:t>
      </w:r>
      <w:r>
        <w:t xml:space="preserve"> simulations with ESC</w:t>
      </w:r>
      <w:r w:rsidR="00510AB7">
        <w:t>s</w:t>
      </w:r>
      <w:r>
        <w:t xml:space="preserve"> provide</w:t>
      </w:r>
      <w:r w:rsidR="003C172A">
        <w:t>d</w:t>
      </w:r>
      <w:r>
        <w:t xml:space="preserve"> similar results </w:t>
      </w:r>
      <w:r w:rsidR="003C172A">
        <w:t>(</w:t>
      </w:r>
      <w:r w:rsidR="003C172A">
        <w:rPr>
          <w:rFonts w:cs="Arial"/>
        </w:rPr>
        <w:t>±</w:t>
      </w:r>
      <w:r w:rsidR="003C172A">
        <w:t xml:space="preserve">25% error) </w:t>
      </w:r>
      <w:r>
        <w:t>compared to the</w:t>
      </w:r>
      <w:r w:rsidR="00510AB7">
        <w:t xml:space="preserve"> corresponding</w:t>
      </w:r>
      <w:r>
        <w:t xml:space="preserve"> dispersed cases. However, a more detailed evaluation is required to confirm these results. </w:t>
      </w:r>
    </w:p>
    <w:p w14:paraId="2E7E7364" w14:textId="5269D1F5" w:rsidR="008B6282" w:rsidRPr="00B57B36" w:rsidRDefault="008B6282" w:rsidP="008B6282">
      <w:pPr>
        <w:pStyle w:val="CETTabletitle"/>
      </w:pPr>
      <w:r w:rsidRPr="00B57B36">
        <w:t xml:space="preserve">Table </w:t>
      </w:r>
      <w:r w:rsidR="006261AD">
        <w:t>4</w:t>
      </w:r>
      <w:r w:rsidRPr="00B57B36">
        <w:t xml:space="preserve">: </w:t>
      </w:r>
      <w:r w:rsidR="000851E8">
        <w:t>C</w:t>
      </w:r>
      <w:r>
        <w:t xml:space="preserve">alculated </w:t>
      </w:r>
      <w:r w:rsidR="000851E8" w:rsidRPr="009E00EE">
        <w:rPr>
          <w:rFonts w:ascii="Times New Roman" w:hAnsi="Times New Roman"/>
          <w:iCs/>
        </w:rPr>
        <w:t>V</w:t>
      </w:r>
      <w:r w:rsidR="000851E8" w:rsidRPr="009E00EE">
        <w:rPr>
          <w:rFonts w:ascii="Times New Roman" w:hAnsi="Times New Roman"/>
          <w:iCs/>
          <w:vertAlign w:val="subscript"/>
        </w:rPr>
        <w:t>Q9</w:t>
      </w:r>
      <w:r>
        <w:t xml:space="preserve"> </w:t>
      </w:r>
      <w:r w:rsidR="000851E8">
        <w:t xml:space="preserve">and </w:t>
      </w:r>
      <w:r w:rsidR="000851E8" w:rsidRPr="009E00EE">
        <w:rPr>
          <w:rFonts w:ascii="Times New Roman" w:hAnsi="Times New Roman"/>
          <w:iCs/>
        </w:rPr>
        <w:t>V</w:t>
      </w:r>
      <w:r w:rsidR="000851E8" w:rsidRPr="009E00EE">
        <w:rPr>
          <w:rFonts w:ascii="Times New Roman" w:hAnsi="Times New Roman"/>
          <w:iCs/>
          <w:vertAlign w:val="subscript"/>
        </w:rPr>
        <w:t>Q</w:t>
      </w:r>
      <w:r w:rsidR="000851E8">
        <w:rPr>
          <w:rFonts w:ascii="Times New Roman" w:hAnsi="Times New Roman"/>
          <w:iCs/>
          <w:vertAlign w:val="subscript"/>
        </w:rPr>
        <w:t>7</w:t>
      </w:r>
      <w:r w:rsidR="000851E8">
        <w:t xml:space="preserve"> </w:t>
      </w:r>
      <w:r>
        <w:t>for the studied scenarios.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851"/>
        <w:gridCol w:w="709"/>
        <w:gridCol w:w="850"/>
        <w:gridCol w:w="851"/>
        <w:gridCol w:w="850"/>
        <w:gridCol w:w="992"/>
      </w:tblGrid>
      <w:tr w:rsidR="008B6282" w:rsidRPr="00B57B36" w14:paraId="5B01D8C2" w14:textId="77777777" w:rsidTr="001640DD">
        <w:tc>
          <w:tcPr>
            <w:tcW w:w="851" w:type="dxa"/>
            <w:tcBorders>
              <w:top w:val="single" w:sz="12" w:space="0" w:color="008000"/>
              <w:bottom w:val="single" w:sz="6" w:space="0" w:color="008000"/>
            </w:tcBorders>
            <w:shd w:val="clear" w:color="auto" w:fill="FFFFFF"/>
          </w:tcPr>
          <w:p w14:paraId="441D81AB" w14:textId="77777777" w:rsidR="008B6282" w:rsidRPr="00B57B36" w:rsidRDefault="008B6282" w:rsidP="006261AD">
            <w:pPr>
              <w:pStyle w:val="CETBodytext"/>
              <w:jc w:val="center"/>
              <w:rPr>
                <w:lang w:val="en-GB"/>
              </w:rPr>
            </w:pPr>
            <w:r>
              <w:rPr>
                <w:lang w:val="en-GB"/>
              </w:rPr>
              <w:t>Scenario</w:t>
            </w:r>
          </w:p>
        </w:tc>
        <w:tc>
          <w:tcPr>
            <w:tcW w:w="709" w:type="dxa"/>
            <w:tcBorders>
              <w:top w:val="single" w:sz="12" w:space="0" w:color="008000"/>
              <w:bottom w:val="single" w:sz="6" w:space="0" w:color="008000"/>
            </w:tcBorders>
            <w:shd w:val="clear" w:color="auto" w:fill="FFFFFF"/>
          </w:tcPr>
          <w:p w14:paraId="3B045BC2" w14:textId="77777777" w:rsidR="008B6282" w:rsidRDefault="008B6282" w:rsidP="006261AD">
            <w:pPr>
              <w:pStyle w:val="CETBodytext"/>
              <w:jc w:val="center"/>
              <w:rPr>
                <w:lang w:val="en-GB"/>
              </w:rPr>
            </w:pPr>
            <w:r>
              <w:rPr>
                <w:lang w:val="en-GB"/>
              </w:rPr>
              <w:t>Leak</w:t>
            </w:r>
          </w:p>
        </w:tc>
        <w:tc>
          <w:tcPr>
            <w:tcW w:w="850" w:type="dxa"/>
            <w:tcBorders>
              <w:top w:val="single" w:sz="12" w:space="0" w:color="008000"/>
              <w:bottom w:val="single" w:sz="6" w:space="0" w:color="008000"/>
            </w:tcBorders>
            <w:shd w:val="clear" w:color="auto" w:fill="FFFFFF"/>
          </w:tcPr>
          <w:p w14:paraId="3140E4C3" w14:textId="77777777" w:rsidR="008B6282" w:rsidRPr="00B57B36" w:rsidRDefault="008B6282" w:rsidP="006261AD">
            <w:pPr>
              <w:pStyle w:val="CETBodytext"/>
              <w:jc w:val="center"/>
              <w:rPr>
                <w:lang w:val="en-GB"/>
              </w:rPr>
            </w:pPr>
            <w:r>
              <w:rPr>
                <w:lang w:val="en-GB"/>
              </w:rPr>
              <w:t>Vehicles</w:t>
            </w:r>
          </w:p>
        </w:tc>
        <w:tc>
          <w:tcPr>
            <w:tcW w:w="851" w:type="dxa"/>
            <w:tcBorders>
              <w:top w:val="single" w:sz="12" w:space="0" w:color="008000"/>
              <w:bottom w:val="single" w:sz="6" w:space="0" w:color="008000"/>
            </w:tcBorders>
            <w:shd w:val="clear" w:color="auto" w:fill="FFFFFF"/>
          </w:tcPr>
          <w:p w14:paraId="2194EB07" w14:textId="77777777" w:rsidR="008B6282" w:rsidRPr="0072793D" w:rsidRDefault="008B6282" w:rsidP="006261AD">
            <w:pPr>
              <w:pStyle w:val="CETBodytext"/>
              <w:jc w:val="center"/>
              <w:rPr>
                <w:lang w:val="en-GB"/>
              </w:rPr>
            </w:pPr>
            <w:proofErr w:type="spellStart"/>
            <w:r w:rsidRPr="00856B08">
              <w:rPr>
                <w:rFonts w:ascii="Times New Roman" w:hAnsi="Times New Roman"/>
                <w:i/>
                <w:iCs/>
                <w:lang w:val="en-GB"/>
              </w:rPr>
              <w:t>L</w:t>
            </w:r>
            <w:r w:rsidRPr="00856B08">
              <w:rPr>
                <w:rFonts w:ascii="Times New Roman" w:hAnsi="Times New Roman"/>
                <w:i/>
                <w:iCs/>
                <w:vertAlign w:val="subscript"/>
                <w:lang w:val="en-GB"/>
              </w:rPr>
              <w:t>leak</w:t>
            </w:r>
            <w:proofErr w:type="spellEnd"/>
            <w:r>
              <w:rPr>
                <w:vertAlign w:val="subscript"/>
                <w:lang w:val="en-GB"/>
              </w:rPr>
              <w:t xml:space="preserve"> </w:t>
            </w:r>
            <w:r>
              <w:rPr>
                <w:lang w:val="en-GB"/>
              </w:rPr>
              <w:t>[m]</w:t>
            </w:r>
          </w:p>
        </w:tc>
        <w:tc>
          <w:tcPr>
            <w:tcW w:w="850" w:type="dxa"/>
            <w:tcBorders>
              <w:top w:val="single" w:sz="12" w:space="0" w:color="008000"/>
              <w:bottom w:val="single" w:sz="6" w:space="0" w:color="008000"/>
            </w:tcBorders>
            <w:shd w:val="clear" w:color="auto" w:fill="FFFFFF"/>
          </w:tcPr>
          <w:p w14:paraId="69092B61" w14:textId="77777777" w:rsidR="008B6282" w:rsidRPr="00B57B36" w:rsidRDefault="008B6282" w:rsidP="006261AD">
            <w:pPr>
              <w:pStyle w:val="CETBodytext"/>
              <w:jc w:val="center"/>
              <w:rPr>
                <w:lang w:val="en-GB"/>
              </w:rPr>
            </w:pPr>
            <w:r w:rsidRPr="009E00EE">
              <w:rPr>
                <w:rFonts w:ascii="Times New Roman" w:hAnsi="Times New Roman"/>
                <w:i/>
                <w:iCs/>
                <w:lang w:val="en-GB"/>
              </w:rPr>
              <w:t>V</w:t>
            </w:r>
            <w:r w:rsidRPr="009E00EE">
              <w:rPr>
                <w:rFonts w:ascii="Times New Roman" w:hAnsi="Times New Roman"/>
                <w:i/>
                <w:iCs/>
                <w:vertAlign w:val="subscript"/>
                <w:lang w:val="en-GB"/>
              </w:rPr>
              <w:t>Q9</w:t>
            </w:r>
            <w:r>
              <w:rPr>
                <w:lang w:val="en-GB"/>
              </w:rPr>
              <w:t xml:space="preserve"> [m</w:t>
            </w:r>
            <w:r w:rsidRPr="00856B08">
              <w:rPr>
                <w:vertAlign w:val="superscript"/>
                <w:lang w:val="en-GB"/>
              </w:rPr>
              <w:t>3</w:t>
            </w:r>
            <w:r>
              <w:rPr>
                <w:lang w:val="en-GB"/>
              </w:rPr>
              <w:t>]</w:t>
            </w:r>
          </w:p>
        </w:tc>
        <w:tc>
          <w:tcPr>
            <w:tcW w:w="992" w:type="dxa"/>
            <w:tcBorders>
              <w:top w:val="single" w:sz="12" w:space="0" w:color="008000"/>
              <w:bottom w:val="single" w:sz="6" w:space="0" w:color="008000"/>
            </w:tcBorders>
            <w:shd w:val="clear" w:color="auto" w:fill="FFFFFF"/>
          </w:tcPr>
          <w:p w14:paraId="1FD21F27" w14:textId="77777777" w:rsidR="008B6282" w:rsidRDefault="008B6282" w:rsidP="006261AD">
            <w:pPr>
              <w:pStyle w:val="CETBodytext"/>
              <w:jc w:val="center"/>
              <w:rPr>
                <w:lang w:val="en-GB"/>
              </w:rPr>
            </w:pPr>
            <w:r w:rsidRPr="009E00EE">
              <w:rPr>
                <w:rFonts w:ascii="Times New Roman" w:hAnsi="Times New Roman"/>
                <w:i/>
                <w:iCs/>
                <w:lang w:val="en-GB"/>
              </w:rPr>
              <w:t>V</w:t>
            </w:r>
            <w:r w:rsidRPr="009E00EE">
              <w:rPr>
                <w:rFonts w:ascii="Times New Roman" w:hAnsi="Times New Roman"/>
                <w:i/>
                <w:iCs/>
                <w:vertAlign w:val="subscript"/>
                <w:lang w:val="en-GB"/>
              </w:rPr>
              <w:t>Q</w:t>
            </w:r>
            <w:r>
              <w:rPr>
                <w:rFonts w:ascii="Times New Roman" w:hAnsi="Times New Roman"/>
                <w:i/>
                <w:iCs/>
                <w:vertAlign w:val="subscript"/>
                <w:lang w:val="en-GB"/>
              </w:rPr>
              <w:t>7</w:t>
            </w:r>
            <w:r>
              <w:rPr>
                <w:lang w:val="en-GB"/>
              </w:rPr>
              <w:t xml:space="preserve"> [m</w:t>
            </w:r>
            <w:r w:rsidRPr="00856B08">
              <w:rPr>
                <w:vertAlign w:val="superscript"/>
                <w:lang w:val="en-GB"/>
              </w:rPr>
              <w:t>3</w:t>
            </w:r>
            <w:r>
              <w:rPr>
                <w:lang w:val="en-GB"/>
              </w:rPr>
              <w:t>]</w:t>
            </w:r>
          </w:p>
        </w:tc>
      </w:tr>
      <w:tr w:rsidR="008B6282" w:rsidRPr="00B57B36" w14:paraId="349F3C90" w14:textId="77777777" w:rsidTr="001640DD">
        <w:tc>
          <w:tcPr>
            <w:tcW w:w="851" w:type="dxa"/>
            <w:shd w:val="clear" w:color="auto" w:fill="FFFFFF"/>
          </w:tcPr>
          <w:p w14:paraId="70E57027" w14:textId="0363D9DE" w:rsidR="008B6282" w:rsidRPr="00856B08" w:rsidRDefault="008B6282" w:rsidP="006261AD">
            <w:pPr>
              <w:pStyle w:val="CETBodytext"/>
              <w:jc w:val="center"/>
              <w:rPr>
                <w:rFonts w:cs="Arial"/>
                <w:szCs w:val="18"/>
                <w:lang w:val="en-GB"/>
              </w:rPr>
            </w:pPr>
            <w:r w:rsidRPr="00856B08">
              <w:rPr>
                <w:rFonts w:cs="Arial"/>
                <w:szCs w:val="18"/>
              </w:rPr>
              <w:t>1</w:t>
            </w:r>
          </w:p>
        </w:tc>
        <w:tc>
          <w:tcPr>
            <w:tcW w:w="709" w:type="dxa"/>
            <w:shd w:val="clear" w:color="auto" w:fill="FFFFFF"/>
          </w:tcPr>
          <w:p w14:paraId="2D0C74AA" w14:textId="77777777" w:rsidR="008B6282" w:rsidRPr="00856B08" w:rsidRDefault="008B6282" w:rsidP="006261AD">
            <w:pPr>
              <w:pStyle w:val="CETBodytext"/>
              <w:jc w:val="center"/>
              <w:rPr>
                <w:rFonts w:cs="Arial"/>
                <w:szCs w:val="18"/>
                <w:lang w:val="en-GB"/>
              </w:rPr>
            </w:pPr>
            <w:r w:rsidRPr="00856B08">
              <w:rPr>
                <w:rFonts w:cs="Arial"/>
                <w:szCs w:val="18"/>
              </w:rPr>
              <w:t>G-100</w:t>
            </w:r>
          </w:p>
        </w:tc>
        <w:tc>
          <w:tcPr>
            <w:tcW w:w="850" w:type="dxa"/>
            <w:shd w:val="clear" w:color="auto" w:fill="FFFFFF"/>
          </w:tcPr>
          <w:p w14:paraId="51E47832"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1" w:type="dxa"/>
            <w:shd w:val="clear" w:color="auto" w:fill="FFFFFF"/>
          </w:tcPr>
          <w:p w14:paraId="44E3F938"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0" w:type="dxa"/>
            <w:shd w:val="clear" w:color="auto" w:fill="FFFFFF"/>
          </w:tcPr>
          <w:p w14:paraId="78DCB820" w14:textId="77777777" w:rsidR="008B6282" w:rsidRPr="00856B08" w:rsidRDefault="008B6282" w:rsidP="006261AD">
            <w:pPr>
              <w:pStyle w:val="CETBodytext"/>
              <w:jc w:val="center"/>
              <w:rPr>
                <w:rFonts w:cs="Arial"/>
                <w:szCs w:val="18"/>
                <w:lang w:val="en-GB"/>
              </w:rPr>
            </w:pPr>
            <w:r w:rsidRPr="00856B08">
              <w:rPr>
                <w:rFonts w:cs="Arial"/>
                <w:szCs w:val="18"/>
              </w:rPr>
              <w:t>443</w:t>
            </w:r>
          </w:p>
        </w:tc>
        <w:tc>
          <w:tcPr>
            <w:tcW w:w="992" w:type="dxa"/>
            <w:shd w:val="clear" w:color="auto" w:fill="FFFFFF"/>
          </w:tcPr>
          <w:p w14:paraId="46909B36"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757</w:t>
            </w:r>
          </w:p>
        </w:tc>
      </w:tr>
      <w:tr w:rsidR="008B6282" w:rsidRPr="00B57B36" w14:paraId="08357201" w14:textId="77777777" w:rsidTr="001640DD">
        <w:tc>
          <w:tcPr>
            <w:tcW w:w="851" w:type="dxa"/>
            <w:shd w:val="clear" w:color="auto" w:fill="FFFFFF"/>
          </w:tcPr>
          <w:p w14:paraId="5BE320E6" w14:textId="28A9BF1D" w:rsidR="008B6282" w:rsidRPr="00856B08" w:rsidRDefault="008B6282" w:rsidP="006261AD">
            <w:pPr>
              <w:pStyle w:val="CETBodytext"/>
              <w:jc w:val="center"/>
              <w:rPr>
                <w:rFonts w:cs="Arial"/>
                <w:szCs w:val="18"/>
                <w:lang w:val="en-GB"/>
              </w:rPr>
            </w:pPr>
            <w:r w:rsidRPr="00856B08">
              <w:rPr>
                <w:rFonts w:cs="Arial"/>
                <w:szCs w:val="18"/>
              </w:rPr>
              <w:t>2</w:t>
            </w:r>
          </w:p>
        </w:tc>
        <w:tc>
          <w:tcPr>
            <w:tcW w:w="709" w:type="dxa"/>
            <w:shd w:val="clear" w:color="auto" w:fill="FFFFFF"/>
          </w:tcPr>
          <w:p w14:paraId="3372076C" w14:textId="77777777" w:rsidR="008B6282" w:rsidRPr="00856B08" w:rsidRDefault="008B6282" w:rsidP="006261AD">
            <w:pPr>
              <w:pStyle w:val="CETBodytext"/>
              <w:jc w:val="center"/>
              <w:rPr>
                <w:rFonts w:cs="Arial"/>
                <w:szCs w:val="18"/>
                <w:lang w:val="en-GB"/>
              </w:rPr>
            </w:pPr>
            <w:r w:rsidRPr="00856B08">
              <w:rPr>
                <w:rFonts w:cs="Arial"/>
                <w:szCs w:val="18"/>
              </w:rPr>
              <w:t>G-100</w:t>
            </w:r>
          </w:p>
        </w:tc>
        <w:tc>
          <w:tcPr>
            <w:tcW w:w="850" w:type="dxa"/>
            <w:shd w:val="clear" w:color="auto" w:fill="FFFFFF"/>
          </w:tcPr>
          <w:p w14:paraId="38939B58" w14:textId="77777777" w:rsidR="008B6282" w:rsidRPr="00856B08" w:rsidRDefault="008B6282" w:rsidP="006261AD">
            <w:pPr>
              <w:pStyle w:val="CETBodytext"/>
              <w:jc w:val="center"/>
              <w:rPr>
                <w:rFonts w:cs="Arial"/>
                <w:szCs w:val="18"/>
                <w:lang w:val="en-GB"/>
              </w:rPr>
            </w:pPr>
            <w:r w:rsidRPr="00856B08">
              <w:rPr>
                <w:rFonts w:cs="Arial"/>
                <w:szCs w:val="18"/>
              </w:rPr>
              <w:t>2x4</w:t>
            </w:r>
          </w:p>
        </w:tc>
        <w:tc>
          <w:tcPr>
            <w:tcW w:w="851" w:type="dxa"/>
            <w:shd w:val="clear" w:color="auto" w:fill="FFFFFF"/>
          </w:tcPr>
          <w:p w14:paraId="11BB4208" w14:textId="77777777" w:rsidR="008B6282" w:rsidRPr="00856B08" w:rsidRDefault="008B6282" w:rsidP="006261AD">
            <w:pPr>
              <w:pStyle w:val="CETBodytext"/>
              <w:jc w:val="center"/>
              <w:rPr>
                <w:rFonts w:cs="Arial"/>
                <w:szCs w:val="18"/>
                <w:lang w:val="en-GB"/>
              </w:rPr>
            </w:pPr>
            <w:r w:rsidRPr="00856B08">
              <w:rPr>
                <w:rFonts w:cs="Arial"/>
                <w:szCs w:val="18"/>
              </w:rPr>
              <w:t>5</w:t>
            </w:r>
          </w:p>
        </w:tc>
        <w:tc>
          <w:tcPr>
            <w:tcW w:w="850" w:type="dxa"/>
            <w:shd w:val="clear" w:color="auto" w:fill="FFFFFF"/>
          </w:tcPr>
          <w:p w14:paraId="57E0F62F" w14:textId="77777777" w:rsidR="008B6282" w:rsidRPr="00856B08" w:rsidRDefault="008B6282" w:rsidP="006261AD">
            <w:pPr>
              <w:pStyle w:val="CETBodytext"/>
              <w:jc w:val="center"/>
              <w:rPr>
                <w:rFonts w:cs="Arial"/>
                <w:szCs w:val="18"/>
                <w:vertAlign w:val="superscript"/>
                <w:lang w:val="en-GB"/>
              </w:rPr>
            </w:pPr>
            <w:r w:rsidRPr="00856B08">
              <w:rPr>
                <w:rFonts w:cs="Arial"/>
                <w:szCs w:val="18"/>
              </w:rPr>
              <w:t>576</w:t>
            </w:r>
          </w:p>
        </w:tc>
        <w:tc>
          <w:tcPr>
            <w:tcW w:w="992" w:type="dxa"/>
            <w:shd w:val="clear" w:color="auto" w:fill="FFFFFF"/>
          </w:tcPr>
          <w:p w14:paraId="6C515BA3"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804</w:t>
            </w:r>
          </w:p>
        </w:tc>
      </w:tr>
      <w:tr w:rsidR="008B6282" w:rsidRPr="00B57B36" w14:paraId="1EB582E0" w14:textId="77777777" w:rsidTr="001640DD">
        <w:tc>
          <w:tcPr>
            <w:tcW w:w="851" w:type="dxa"/>
            <w:shd w:val="clear" w:color="auto" w:fill="FFFFFF"/>
          </w:tcPr>
          <w:p w14:paraId="05635886" w14:textId="13158E7C" w:rsidR="008B6282" w:rsidRPr="00856B08" w:rsidRDefault="008B6282" w:rsidP="006261AD">
            <w:pPr>
              <w:pStyle w:val="CETBodytext"/>
              <w:jc w:val="center"/>
              <w:rPr>
                <w:rFonts w:cs="Arial"/>
                <w:szCs w:val="18"/>
                <w:lang w:val="en-GB"/>
              </w:rPr>
            </w:pPr>
            <w:r w:rsidRPr="00856B08">
              <w:rPr>
                <w:rFonts w:cs="Arial"/>
                <w:szCs w:val="18"/>
              </w:rPr>
              <w:t>3</w:t>
            </w:r>
          </w:p>
        </w:tc>
        <w:tc>
          <w:tcPr>
            <w:tcW w:w="709" w:type="dxa"/>
            <w:shd w:val="clear" w:color="auto" w:fill="FFFFFF"/>
          </w:tcPr>
          <w:p w14:paraId="4F47BD15" w14:textId="77777777" w:rsidR="008B6282" w:rsidRPr="00856B08" w:rsidRDefault="008B6282" w:rsidP="006261AD">
            <w:pPr>
              <w:pStyle w:val="CETBodytext"/>
              <w:jc w:val="center"/>
              <w:rPr>
                <w:rFonts w:cs="Arial"/>
                <w:szCs w:val="18"/>
                <w:lang w:val="en-GB"/>
              </w:rPr>
            </w:pPr>
            <w:r w:rsidRPr="00856B08">
              <w:rPr>
                <w:rFonts w:cs="Arial"/>
                <w:szCs w:val="18"/>
              </w:rPr>
              <w:t>G-100</w:t>
            </w:r>
          </w:p>
        </w:tc>
        <w:tc>
          <w:tcPr>
            <w:tcW w:w="850" w:type="dxa"/>
            <w:shd w:val="clear" w:color="auto" w:fill="FFFFFF"/>
          </w:tcPr>
          <w:p w14:paraId="0E2DB582" w14:textId="77777777" w:rsidR="008B6282" w:rsidRPr="00856B08" w:rsidRDefault="008B6282" w:rsidP="006261AD">
            <w:pPr>
              <w:pStyle w:val="CETBodytext"/>
              <w:jc w:val="center"/>
              <w:rPr>
                <w:rFonts w:cs="Arial"/>
                <w:szCs w:val="18"/>
                <w:lang w:val="en-GB"/>
              </w:rPr>
            </w:pPr>
            <w:r w:rsidRPr="00856B08">
              <w:rPr>
                <w:rFonts w:cs="Arial"/>
                <w:szCs w:val="18"/>
              </w:rPr>
              <w:t>2x4</w:t>
            </w:r>
          </w:p>
        </w:tc>
        <w:tc>
          <w:tcPr>
            <w:tcW w:w="851" w:type="dxa"/>
            <w:shd w:val="clear" w:color="auto" w:fill="FFFFFF"/>
          </w:tcPr>
          <w:p w14:paraId="0A98FEC4"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shd w:val="clear" w:color="auto" w:fill="FFFFFF"/>
          </w:tcPr>
          <w:p w14:paraId="2A726412" w14:textId="77777777" w:rsidR="008B6282" w:rsidRPr="00856B08" w:rsidRDefault="008B6282" w:rsidP="006261AD">
            <w:pPr>
              <w:pStyle w:val="CETBodytext"/>
              <w:jc w:val="center"/>
              <w:rPr>
                <w:rFonts w:cs="Arial"/>
                <w:szCs w:val="18"/>
                <w:lang w:val="en-GB"/>
              </w:rPr>
            </w:pPr>
            <w:r w:rsidRPr="00856B08">
              <w:rPr>
                <w:rFonts w:cs="Arial"/>
                <w:szCs w:val="18"/>
              </w:rPr>
              <w:t>564</w:t>
            </w:r>
          </w:p>
        </w:tc>
        <w:tc>
          <w:tcPr>
            <w:tcW w:w="992" w:type="dxa"/>
            <w:shd w:val="clear" w:color="auto" w:fill="FFFFFF"/>
          </w:tcPr>
          <w:p w14:paraId="0175C93B"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710</w:t>
            </w:r>
          </w:p>
        </w:tc>
      </w:tr>
      <w:tr w:rsidR="008B6282" w:rsidRPr="00B57B36" w14:paraId="520DA023" w14:textId="77777777" w:rsidTr="001640DD">
        <w:tc>
          <w:tcPr>
            <w:tcW w:w="851" w:type="dxa"/>
            <w:shd w:val="clear" w:color="auto" w:fill="FFFFFF"/>
          </w:tcPr>
          <w:p w14:paraId="346A85D2" w14:textId="3D07E172" w:rsidR="008B6282" w:rsidRPr="00856B08" w:rsidRDefault="008B6282" w:rsidP="006261AD">
            <w:pPr>
              <w:pStyle w:val="CETBodytext"/>
              <w:jc w:val="center"/>
              <w:rPr>
                <w:rFonts w:cs="Arial"/>
                <w:szCs w:val="18"/>
                <w:lang w:val="en-GB"/>
              </w:rPr>
            </w:pPr>
            <w:r w:rsidRPr="00856B08">
              <w:rPr>
                <w:rFonts w:cs="Arial"/>
                <w:szCs w:val="18"/>
              </w:rPr>
              <w:t>4</w:t>
            </w:r>
          </w:p>
        </w:tc>
        <w:tc>
          <w:tcPr>
            <w:tcW w:w="709" w:type="dxa"/>
            <w:shd w:val="clear" w:color="auto" w:fill="FFFFFF"/>
          </w:tcPr>
          <w:p w14:paraId="759CA257" w14:textId="77777777" w:rsidR="008B6282" w:rsidRPr="00856B08" w:rsidRDefault="008B6282" w:rsidP="006261AD">
            <w:pPr>
              <w:pStyle w:val="CETBodytext"/>
              <w:jc w:val="center"/>
              <w:rPr>
                <w:rFonts w:cs="Arial"/>
                <w:szCs w:val="18"/>
                <w:lang w:val="en-GB"/>
              </w:rPr>
            </w:pPr>
            <w:r w:rsidRPr="00856B08">
              <w:rPr>
                <w:rFonts w:cs="Arial"/>
                <w:szCs w:val="18"/>
              </w:rPr>
              <w:t>G-100</w:t>
            </w:r>
          </w:p>
        </w:tc>
        <w:tc>
          <w:tcPr>
            <w:tcW w:w="850" w:type="dxa"/>
            <w:shd w:val="clear" w:color="auto" w:fill="FFFFFF"/>
          </w:tcPr>
          <w:p w14:paraId="150CCC05" w14:textId="77777777" w:rsidR="008B6282" w:rsidRPr="00856B08" w:rsidRDefault="008B6282" w:rsidP="006261AD">
            <w:pPr>
              <w:pStyle w:val="CETBodytext"/>
              <w:jc w:val="center"/>
              <w:rPr>
                <w:rFonts w:cs="Arial"/>
                <w:szCs w:val="18"/>
                <w:lang w:val="en-GB"/>
              </w:rPr>
            </w:pPr>
            <w:r w:rsidRPr="00856B08">
              <w:rPr>
                <w:rFonts w:cs="Arial"/>
                <w:szCs w:val="18"/>
              </w:rPr>
              <w:t>2x4</w:t>
            </w:r>
          </w:p>
        </w:tc>
        <w:tc>
          <w:tcPr>
            <w:tcW w:w="851" w:type="dxa"/>
            <w:shd w:val="clear" w:color="auto" w:fill="FFFFFF"/>
          </w:tcPr>
          <w:p w14:paraId="26FBA6F9" w14:textId="77777777" w:rsidR="008B6282" w:rsidRPr="00856B08" w:rsidRDefault="008B6282" w:rsidP="006261AD">
            <w:pPr>
              <w:pStyle w:val="CETBodytext"/>
              <w:jc w:val="center"/>
              <w:rPr>
                <w:rFonts w:cs="Arial"/>
                <w:szCs w:val="18"/>
                <w:lang w:val="en-GB"/>
              </w:rPr>
            </w:pPr>
            <w:r w:rsidRPr="00856B08">
              <w:rPr>
                <w:rFonts w:cs="Arial"/>
                <w:szCs w:val="18"/>
              </w:rPr>
              <w:t>25</w:t>
            </w:r>
          </w:p>
        </w:tc>
        <w:tc>
          <w:tcPr>
            <w:tcW w:w="850" w:type="dxa"/>
            <w:shd w:val="clear" w:color="auto" w:fill="FFFFFF"/>
          </w:tcPr>
          <w:p w14:paraId="1F41590E" w14:textId="77777777" w:rsidR="008B6282" w:rsidRPr="00856B08" w:rsidRDefault="008B6282" w:rsidP="006261AD">
            <w:pPr>
              <w:pStyle w:val="CETBodytext"/>
              <w:jc w:val="center"/>
              <w:rPr>
                <w:rFonts w:cs="Arial"/>
                <w:szCs w:val="18"/>
                <w:lang w:val="en-GB"/>
              </w:rPr>
            </w:pPr>
            <w:r w:rsidRPr="00856B08">
              <w:rPr>
                <w:rFonts w:cs="Arial"/>
                <w:szCs w:val="18"/>
              </w:rPr>
              <w:t>523</w:t>
            </w:r>
          </w:p>
        </w:tc>
        <w:tc>
          <w:tcPr>
            <w:tcW w:w="992" w:type="dxa"/>
            <w:shd w:val="clear" w:color="auto" w:fill="FFFFFF"/>
          </w:tcPr>
          <w:p w14:paraId="29022336"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773</w:t>
            </w:r>
          </w:p>
        </w:tc>
      </w:tr>
      <w:tr w:rsidR="008B6282" w:rsidRPr="00B57B36" w14:paraId="4BC276A6" w14:textId="77777777" w:rsidTr="001640DD">
        <w:tc>
          <w:tcPr>
            <w:tcW w:w="851" w:type="dxa"/>
            <w:shd w:val="clear" w:color="auto" w:fill="FFFFFF"/>
          </w:tcPr>
          <w:p w14:paraId="6FC55087" w14:textId="7260A74E" w:rsidR="008B6282" w:rsidRPr="00856B08" w:rsidRDefault="008B6282" w:rsidP="006261AD">
            <w:pPr>
              <w:pStyle w:val="CETBodytext"/>
              <w:jc w:val="center"/>
              <w:rPr>
                <w:rFonts w:cs="Arial"/>
                <w:szCs w:val="18"/>
                <w:lang w:val="en-GB"/>
              </w:rPr>
            </w:pPr>
            <w:r w:rsidRPr="00856B08">
              <w:rPr>
                <w:rFonts w:cs="Arial"/>
                <w:szCs w:val="18"/>
              </w:rPr>
              <w:t>5</w:t>
            </w:r>
          </w:p>
        </w:tc>
        <w:tc>
          <w:tcPr>
            <w:tcW w:w="709" w:type="dxa"/>
            <w:shd w:val="clear" w:color="auto" w:fill="FFFFFF"/>
          </w:tcPr>
          <w:p w14:paraId="7FAF47DF" w14:textId="77777777" w:rsidR="008B6282" w:rsidRPr="00856B08" w:rsidRDefault="008B6282" w:rsidP="006261AD">
            <w:pPr>
              <w:pStyle w:val="CETBodytext"/>
              <w:jc w:val="center"/>
              <w:rPr>
                <w:rFonts w:cs="Arial"/>
                <w:szCs w:val="18"/>
                <w:lang w:val="en-GB"/>
              </w:rPr>
            </w:pPr>
            <w:r w:rsidRPr="00856B08">
              <w:rPr>
                <w:rFonts w:cs="Arial"/>
                <w:szCs w:val="18"/>
              </w:rPr>
              <w:t>G-100</w:t>
            </w:r>
          </w:p>
        </w:tc>
        <w:tc>
          <w:tcPr>
            <w:tcW w:w="850" w:type="dxa"/>
            <w:shd w:val="clear" w:color="auto" w:fill="FFFFFF"/>
          </w:tcPr>
          <w:p w14:paraId="02652788" w14:textId="77777777" w:rsidR="008B6282" w:rsidRPr="00856B08" w:rsidRDefault="008B6282" w:rsidP="006261AD">
            <w:pPr>
              <w:pStyle w:val="CETBodytext"/>
              <w:jc w:val="center"/>
              <w:rPr>
                <w:rFonts w:cs="Arial"/>
                <w:szCs w:val="18"/>
                <w:lang w:val="en-GB"/>
              </w:rPr>
            </w:pPr>
            <w:r w:rsidRPr="00856B08">
              <w:rPr>
                <w:rFonts w:cs="Arial"/>
                <w:szCs w:val="18"/>
              </w:rPr>
              <w:t>4x4</w:t>
            </w:r>
          </w:p>
        </w:tc>
        <w:tc>
          <w:tcPr>
            <w:tcW w:w="851" w:type="dxa"/>
            <w:shd w:val="clear" w:color="auto" w:fill="FFFFFF"/>
          </w:tcPr>
          <w:p w14:paraId="7DAA4712" w14:textId="77777777" w:rsidR="008B6282" w:rsidRPr="00856B08" w:rsidRDefault="008B6282" w:rsidP="006261AD">
            <w:pPr>
              <w:pStyle w:val="CETBodytext"/>
              <w:jc w:val="center"/>
              <w:rPr>
                <w:rFonts w:cs="Arial"/>
                <w:szCs w:val="18"/>
                <w:lang w:val="en-GB"/>
              </w:rPr>
            </w:pPr>
            <w:r w:rsidRPr="00856B08">
              <w:rPr>
                <w:rFonts w:cs="Arial"/>
                <w:szCs w:val="18"/>
              </w:rPr>
              <w:t>5</w:t>
            </w:r>
          </w:p>
        </w:tc>
        <w:tc>
          <w:tcPr>
            <w:tcW w:w="850" w:type="dxa"/>
            <w:shd w:val="clear" w:color="auto" w:fill="FFFFFF"/>
          </w:tcPr>
          <w:p w14:paraId="0875865D" w14:textId="77777777" w:rsidR="008B6282" w:rsidRPr="00856B08" w:rsidRDefault="008B6282" w:rsidP="006261AD">
            <w:pPr>
              <w:pStyle w:val="CETBodytext"/>
              <w:jc w:val="center"/>
              <w:rPr>
                <w:rFonts w:cs="Arial"/>
                <w:szCs w:val="18"/>
                <w:lang w:val="en-GB"/>
              </w:rPr>
            </w:pPr>
            <w:r w:rsidRPr="00856B08">
              <w:rPr>
                <w:rFonts w:cs="Arial"/>
                <w:szCs w:val="18"/>
              </w:rPr>
              <w:t>577</w:t>
            </w:r>
          </w:p>
        </w:tc>
        <w:tc>
          <w:tcPr>
            <w:tcW w:w="992" w:type="dxa"/>
            <w:shd w:val="clear" w:color="auto" w:fill="FFFFFF"/>
          </w:tcPr>
          <w:p w14:paraId="1FB05BE7"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832</w:t>
            </w:r>
          </w:p>
        </w:tc>
      </w:tr>
      <w:tr w:rsidR="008B6282" w:rsidRPr="00B57B36" w14:paraId="0E928D98" w14:textId="77777777" w:rsidTr="001640DD">
        <w:tc>
          <w:tcPr>
            <w:tcW w:w="851" w:type="dxa"/>
            <w:tcBorders>
              <w:bottom w:val="nil"/>
            </w:tcBorders>
            <w:shd w:val="clear" w:color="auto" w:fill="FFFFFF"/>
          </w:tcPr>
          <w:p w14:paraId="7E4E8DF3" w14:textId="00FF53D3" w:rsidR="008B6282" w:rsidRPr="00856B08" w:rsidRDefault="008B6282" w:rsidP="006261AD">
            <w:pPr>
              <w:pStyle w:val="CETBodytext"/>
              <w:jc w:val="center"/>
              <w:rPr>
                <w:rFonts w:cs="Arial"/>
                <w:szCs w:val="18"/>
                <w:lang w:val="en-GB"/>
              </w:rPr>
            </w:pPr>
            <w:r w:rsidRPr="00856B08">
              <w:rPr>
                <w:rFonts w:cs="Arial"/>
                <w:szCs w:val="18"/>
              </w:rPr>
              <w:t>6</w:t>
            </w:r>
          </w:p>
        </w:tc>
        <w:tc>
          <w:tcPr>
            <w:tcW w:w="709" w:type="dxa"/>
            <w:tcBorders>
              <w:bottom w:val="nil"/>
            </w:tcBorders>
            <w:shd w:val="clear" w:color="auto" w:fill="FFFFFF"/>
          </w:tcPr>
          <w:p w14:paraId="26A8A6B4" w14:textId="77777777" w:rsidR="008B6282" w:rsidRPr="00856B08" w:rsidRDefault="008B6282" w:rsidP="006261AD">
            <w:pPr>
              <w:pStyle w:val="CETBodytext"/>
              <w:jc w:val="center"/>
              <w:rPr>
                <w:rFonts w:cs="Arial"/>
                <w:szCs w:val="18"/>
                <w:lang w:val="en-GB"/>
              </w:rPr>
            </w:pPr>
            <w:r w:rsidRPr="00856B08">
              <w:rPr>
                <w:rFonts w:cs="Arial"/>
                <w:szCs w:val="18"/>
              </w:rPr>
              <w:t>G-100</w:t>
            </w:r>
          </w:p>
        </w:tc>
        <w:tc>
          <w:tcPr>
            <w:tcW w:w="850" w:type="dxa"/>
            <w:tcBorders>
              <w:bottom w:val="nil"/>
            </w:tcBorders>
            <w:shd w:val="clear" w:color="auto" w:fill="FFFFFF"/>
          </w:tcPr>
          <w:p w14:paraId="2F1011F2" w14:textId="77777777" w:rsidR="008B6282" w:rsidRPr="00856B08" w:rsidRDefault="008B6282" w:rsidP="006261AD">
            <w:pPr>
              <w:pStyle w:val="CETBodytext"/>
              <w:jc w:val="center"/>
              <w:rPr>
                <w:rFonts w:cs="Arial"/>
                <w:szCs w:val="18"/>
                <w:lang w:val="en-GB"/>
              </w:rPr>
            </w:pPr>
            <w:r w:rsidRPr="00856B08">
              <w:rPr>
                <w:rFonts w:cs="Arial"/>
                <w:szCs w:val="18"/>
              </w:rPr>
              <w:t>4x4</w:t>
            </w:r>
          </w:p>
        </w:tc>
        <w:tc>
          <w:tcPr>
            <w:tcW w:w="851" w:type="dxa"/>
            <w:tcBorders>
              <w:bottom w:val="nil"/>
            </w:tcBorders>
            <w:shd w:val="clear" w:color="auto" w:fill="FFFFFF"/>
          </w:tcPr>
          <w:p w14:paraId="168D407E"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tcBorders>
              <w:bottom w:val="nil"/>
            </w:tcBorders>
            <w:shd w:val="clear" w:color="auto" w:fill="FFFFFF"/>
          </w:tcPr>
          <w:p w14:paraId="43EFD181" w14:textId="77777777" w:rsidR="008B6282" w:rsidRPr="00856B08" w:rsidRDefault="008B6282" w:rsidP="006261AD">
            <w:pPr>
              <w:pStyle w:val="CETBodytext"/>
              <w:jc w:val="center"/>
              <w:rPr>
                <w:rFonts w:cs="Arial"/>
                <w:szCs w:val="18"/>
                <w:lang w:val="en-GB"/>
              </w:rPr>
            </w:pPr>
            <w:r w:rsidRPr="00856B08">
              <w:rPr>
                <w:rFonts w:cs="Arial"/>
                <w:szCs w:val="18"/>
              </w:rPr>
              <w:t>634</w:t>
            </w:r>
          </w:p>
        </w:tc>
        <w:tc>
          <w:tcPr>
            <w:tcW w:w="992" w:type="dxa"/>
            <w:tcBorders>
              <w:bottom w:val="nil"/>
            </w:tcBorders>
            <w:shd w:val="clear" w:color="auto" w:fill="FFFFFF"/>
          </w:tcPr>
          <w:p w14:paraId="62451063"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872</w:t>
            </w:r>
          </w:p>
        </w:tc>
      </w:tr>
      <w:tr w:rsidR="008B6282" w:rsidRPr="00B57B36" w14:paraId="07F2CEEC" w14:textId="77777777" w:rsidTr="001640DD">
        <w:tc>
          <w:tcPr>
            <w:tcW w:w="851" w:type="dxa"/>
            <w:tcBorders>
              <w:top w:val="nil"/>
              <w:bottom w:val="single" w:sz="4" w:space="0" w:color="76923C" w:themeColor="accent3" w:themeShade="BF"/>
            </w:tcBorders>
            <w:shd w:val="clear" w:color="auto" w:fill="FFFFFF"/>
          </w:tcPr>
          <w:p w14:paraId="274EBBB7" w14:textId="5E3F7C20" w:rsidR="008B6282" w:rsidRPr="00BB16B4" w:rsidRDefault="008B6282" w:rsidP="006261AD">
            <w:pPr>
              <w:pStyle w:val="CETBodytext"/>
              <w:jc w:val="center"/>
              <w:rPr>
                <w:lang w:val="en-GB"/>
              </w:rPr>
            </w:pPr>
            <w:r w:rsidRPr="00BB16B4">
              <w:rPr>
                <w:lang w:val="en-GB"/>
              </w:rPr>
              <w:t>7</w:t>
            </w:r>
          </w:p>
        </w:tc>
        <w:tc>
          <w:tcPr>
            <w:tcW w:w="709" w:type="dxa"/>
            <w:tcBorders>
              <w:top w:val="nil"/>
              <w:bottom w:val="single" w:sz="4" w:space="0" w:color="76923C" w:themeColor="accent3" w:themeShade="BF"/>
            </w:tcBorders>
            <w:shd w:val="clear" w:color="auto" w:fill="FFFFFF"/>
          </w:tcPr>
          <w:p w14:paraId="12841780" w14:textId="77777777" w:rsidR="008B6282" w:rsidRPr="00BB16B4" w:rsidRDefault="008B6282" w:rsidP="006261AD">
            <w:pPr>
              <w:pStyle w:val="CETBodytext"/>
              <w:jc w:val="center"/>
              <w:rPr>
                <w:lang w:val="en-GB"/>
              </w:rPr>
            </w:pPr>
            <w:r w:rsidRPr="00BB16B4">
              <w:rPr>
                <w:lang w:val="en-GB"/>
              </w:rPr>
              <w:t>G-100</w:t>
            </w:r>
          </w:p>
        </w:tc>
        <w:tc>
          <w:tcPr>
            <w:tcW w:w="850" w:type="dxa"/>
            <w:tcBorders>
              <w:top w:val="nil"/>
              <w:bottom w:val="single" w:sz="4" w:space="0" w:color="76923C" w:themeColor="accent3" w:themeShade="BF"/>
            </w:tcBorders>
            <w:shd w:val="clear" w:color="auto" w:fill="FFFFFF"/>
          </w:tcPr>
          <w:p w14:paraId="70864FEE" w14:textId="77777777" w:rsidR="008B6282" w:rsidRPr="00BB16B4" w:rsidRDefault="008B6282" w:rsidP="006261AD">
            <w:pPr>
              <w:pStyle w:val="CETBodytext"/>
              <w:jc w:val="center"/>
              <w:rPr>
                <w:lang w:val="en-GB"/>
              </w:rPr>
            </w:pPr>
            <w:r w:rsidRPr="00BB16B4">
              <w:rPr>
                <w:lang w:val="en-GB"/>
              </w:rPr>
              <w:t>4x4</w:t>
            </w:r>
          </w:p>
        </w:tc>
        <w:tc>
          <w:tcPr>
            <w:tcW w:w="851" w:type="dxa"/>
            <w:tcBorders>
              <w:top w:val="nil"/>
              <w:bottom w:val="single" w:sz="4" w:space="0" w:color="76923C" w:themeColor="accent3" w:themeShade="BF"/>
            </w:tcBorders>
            <w:shd w:val="clear" w:color="auto" w:fill="FFFFFF"/>
          </w:tcPr>
          <w:p w14:paraId="6BB553C5" w14:textId="77777777" w:rsidR="008B6282" w:rsidRPr="00BB16B4" w:rsidRDefault="008B6282" w:rsidP="006261AD">
            <w:pPr>
              <w:pStyle w:val="CETBodytext"/>
              <w:jc w:val="center"/>
              <w:rPr>
                <w:lang w:val="en-GB"/>
              </w:rPr>
            </w:pPr>
            <w:r w:rsidRPr="00BB16B4">
              <w:rPr>
                <w:lang w:val="en-GB"/>
              </w:rPr>
              <w:t>25</w:t>
            </w:r>
          </w:p>
        </w:tc>
        <w:tc>
          <w:tcPr>
            <w:tcW w:w="850" w:type="dxa"/>
            <w:tcBorders>
              <w:top w:val="nil"/>
              <w:bottom w:val="single" w:sz="4" w:space="0" w:color="76923C" w:themeColor="accent3" w:themeShade="BF"/>
            </w:tcBorders>
            <w:shd w:val="clear" w:color="auto" w:fill="FFFFFF"/>
          </w:tcPr>
          <w:p w14:paraId="265BA594" w14:textId="77777777" w:rsidR="008B6282" w:rsidRPr="00BB16B4" w:rsidRDefault="008B6282" w:rsidP="006261AD">
            <w:pPr>
              <w:pStyle w:val="CETBodytext"/>
              <w:jc w:val="center"/>
              <w:rPr>
                <w:lang w:val="en-GB"/>
              </w:rPr>
            </w:pPr>
            <w:r w:rsidRPr="00BB16B4">
              <w:rPr>
                <w:lang w:val="en-GB"/>
              </w:rPr>
              <w:t>594</w:t>
            </w:r>
          </w:p>
        </w:tc>
        <w:tc>
          <w:tcPr>
            <w:tcW w:w="992" w:type="dxa"/>
            <w:tcBorders>
              <w:top w:val="nil"/>
              <w:bottom w:val="single" w:sz="4" w:space="0" w:color="76923C" w:themeColor="accent3" w:themeShade="BF"/>
            </w:tcBorders>
            <w:shd w:val="clear" w:color="auto" w:fill="FFFFFF"/>
          </w:tcPr>
          <w:p w14:paraId="24EBDFBB" w14:textId="77777777" w:rsidR="008B6282" w:rsidRPr="00BB16B4" w:rsidRDefault="008B6282" w:rsidP="006261AD">
            <w:pPr>
              <w:pStyle w:val="CETBodytext"/>
              <w:jc w:val="center"/>
              <w:rPr>
                <w:lang w:val="en-GB"/>
              </w:rPr>
            </w:pPr>
            <w:r w:rsidRPr="00BB16B4">
              <w:rPr>
                <w:lang w:val="en-GB"/>
              </w:rPr>
              <w:t>1</w:t>
            </w:r>
            <w:r>
              <w:rPr>
                <w:lang w:val="en-GB"/>
              </w:rPr>
              <w:t>,</w:t>
            </w:r>
            <w:r w:rsidRPr="00BB16B4">
              <w:rPr>
                <w:lang w:val="en-GB"/>
              </w:rPr>
              <w:t>973</w:t>
            </w:r>
          </w:p>
        </w:tc>
      </w:tr>
      <w:tr w:rsidR="008B6282" w:rsidRPr="00B57B36" w14:paraId="5A9DE106" w14:textId="77777777" w:rsidTr="001640DD">
        <w:tc>
          <w:tcPr>
            <w:tcW w:w="851" w:type="dxa"/>
            <w:tcBorders>
              <w:top w:val="single" w:sz="4" w:space="0" w:color="76923C" w:themeColor="accent3" w:themeShade="BF"/>
            </w:tcBorders>
            <w:shd w:val="clear" w:color="auto" w:fill="FFFFFF"/>
          </w:tcPr>
          <w:p w14:paraId="08F8D9E0" w14:textId="4489B37D" w:rsidR="008B6282" w:rsidRPr="00856B08" w:rsidRDefault="008B6282" w:rsidP="006261AD">
            <w:pPr>
              <w:pStyle w:val="CETBodytext"/>
              <w:jc w:val="center"/>
              <w:rPr>
                <w:rFonts w:cs="Arial"/>
                <w:szCs w:val="18"/>
                <w:lang w:val="en-GB"/>
              </w:rPr>
            </w:pPr>
            <w:r w:rsidRPr="00856B08">
              <w:rPr>
                <w:rFonts w:cs="Arial"/>
                <w:szCs w:val="18"/>
              </w:rPr>
              <w:t>8</w:t>
            </w:r>
          </w:p>
        </w:tc>
        <w:tc>
          <w:tcPr>
            <w:tcW w:w="709" w:type="dxa"/>
            <w:tcBorders>
              <w:top w:val="single" w:sz="4" w:space="0" w:color="76923C" w:themeColor="accent3" w:themeShade="BF"/>
            </w:tcBorders>
            <w:shd w:val="clear" w:color="auto" w:fill="FFFFFF"/>
          </w:tcPr>
          <w:p w14:paraId="4DCB2B4F" w14:textId="77777777" w:rsidR="008B6282" w:rsidRPr="00856B08" w:rsidRDefault="008B6282" w:rsidP="006261AD">
            <w:pPr>
              <w:pStyle w:val="CETBodytext"/>
              <w:jc w:val="center"/>
              <w:rPr>
                <w:rFonts w:cs="Arial"/>
                <w:szCs w:val="18"/>
                <w:lang w:val="en-GB"/>
              </w:rPr>
            </w:pPr>
            <w:r w:rsidRPr="00856B08">
              <w:rPr>
                <w:rFonts w:cs="Arial"/>
                <w:szCs w:val="18"/>
              </w:rPr>
              <w:t>G-50</w:t>
            </w:r>
          </w:p>
        </w:tc>
        <w:tc>
          <w:tcPr>
            <w:tcW w:w="850" w:type="dxa"/>
            <w:tcBorders>
              <w:top w:val="single" w:sz="4" w:space="0" w:color="76923C" w:themeColor="accent3" w:themeShade="BF"/>
            </w:tcBorders>
            <w:shd w:val="clear" w:color="auto" w:fill="FFFFFF"/>
          </w:tcPr>
          <w:p w14:paraId="064953BD"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1" w:type="dxa"/>
            <w:tcBorders>
              <w:top w:val="single" w:sz="4" w:space="0" w:color="76923C" w:themeColor="accent3" w:themeShade="BF"/>
            </w:tcBorders>
            <w:shd w:val="clear" w:color="auto" w:fill="FFFFFF"/>
          </w:tcPr>
          <w:p w14:paraId="461E2B90"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0" w:type="dxa"/>
            <w:tcBorders>
              <w:top w:val="single" w:sz="4" w:space="0" w:color="76923C" w:themeColor="accent3" w:themeShade="BF"/>
            </w:tcBorders>
            <w:shd w:val="clear" w:color="auto" w:fill="FFFFFF"/>
          </w:tcPr>
          <w:p w14:paraId="0E7A0C1B" w14:textId="77777777" w:rsidR="008B6282" w:rsidRPr="00856B08" w:rsidRDefault="008B6282" w:rsidP="006261AD">
            <w:pPr>
              <w:pStyle w:val="CETBodytext"/>
              <w:jc w:val="center"/>
              <w:rPr>
                <w:rFonts w:cs="Arial"/>
                <w:szCs w:val="18"/>
                <w:lang w:val="en-GB"/>
              </w:rPr>
            </w:pPr>
            <w:r>
              <w:rPr>
                <w:rFonts w:cs="Arial"/>
                <w:szCs w:val="18"/>
              </w:rPr>
              <w:t>32</w:t>
            </w:r>
          </w:p>
        </w:tc>
        <w:tc>
          <w:tcPr>
            <w:tcW w:w="992" w:type="dxa"/>
            <w:tcBorders>
              <w:top w:val="single" w:sz="4" w:space="0" w:color="76923C" w:themeColor="accent3" w:themeShade="BF"/>
            </w:tcBorders>
            <w:shd w:val="clear" w:color="auto" w:fill="FFFFFF"/>
          </w:tcPr>
          <w:p w14:paraId="7B2F24A6" w14:textId="77777777" w:rsidR="008B6282" w:rsidRPr="00856B08" w:rsidRDefault="008B6282" w:rsidP="006261AD">
            <w:pPr>
              <w:pStyle w:val="CETBodytext"/>
              <w:jc w:val="center"/>
              <w:rPr>
                <w:rFonts w:cs="Arial"/>
                <w:szCs w:val="18"/>
                <w:lang w:val="en-GB"/>
              </w:rPr>
            </w:pPr>
            <w:r>
              <w:rPr>
                <w:rFonts w:cs="Arial"/>
                <w:szCs w:val="18"/>
              </w:rPr>
              <w:t>113</w:t>
            </w:r>
          </w:p>
        </w:tc>
      </w:tr>
      <w:tr w:rsidR="008B6282" w:rsidRPr="00B57B36" w14:paraId="66C708D3" w14:textId="77777777" w:rsidTr="001640DD">
        <w:tc>
          <w:tcPr>
            <w:tcW w:w="851" w:type="dxa"/>
            <w:tcBorders>
              <w:bottom w:val="nil"/>
            </w:tcBorders>
            <w:shd w:val="clear" w:color="auto" w:fill="FFFFFF"/>
          </w:tcPr>
          <w:p w14:paraId="75CE9298" w14:textId="71B79BDF" w:rsidR="008B6282" w:rsidRPr="00856B08" w:rsidRDefault="008B6282" w:rsidP="006261AD">
            <w:pPr>
              <w:pStyle w:val="CETBodytext"/>
              <w:jc w:val="center"/>
              <w:rPr>
                <w:rFonts w:cs="Arial"/>
                <w:szCs w:val="18"/>
                <w:lang w:val="en-GB"/>
              </w:rPr>
            </w:pPr>
            <w:r w:rsidRPr="00856B08">
              <w:rPr>
                <w:rFonts w:cs="Arial"/>
                <w:szCs w:val="18"/>
              </w:rPr>
              <w:t>9</w:t>
            </w:r>
          </w:p>
        </w:tc>
        <w:tc>
          <w:tcPr>
            <w:tcW w:w="709" w:type="dxa"/>
            <w:tcBorders>
              <w:bottom w:val="nil"/>
            </w:tcBorders>
            <w:shd w:val="clear" w:color="auto" w:fill="FFFFFF"/>
          </w:tcPr>
          <w:p w14:paraId="10DAD53F" w14:textId="77777777" w:rsidR="008B6282" w:rsidRPr="00856B08" w:rsidRDefault="008B6282" w:rsidP="006261AD">
            <w:pPr>
              <w:pStyle w:val="CETBodytext"/>
              <w:jc w:val="center"/>
              <w:rPr>
                <w:rFonts w:cs="Arial"/>
                <w:szCs w:val="18"/>
                <w:lang w:val="en-GB"/>
              </w:rPr>
            </w:pPr>
            <w:r w:rsidRPr="00856B08">
              <w:rPr>
                <w:rFonts w:cs="Arial"/>
                <w:szCs w:val="18"/>
              </w:rPr>
              <w:t>G-50</w:t>
            </w:r>
          </w:p>
        </w:tc>
        <w:tc>
          <w:tcPr>
            <w:tcW w:w="850" w:type="dxa"/>
            <w:tcBorders>
              <w:bottom w:val="nil"/>
            </w:tcBorders>
            <w:shd w:val="clear" w:color="auto" w:fill="FFFFFF"/>
          </w:tcPr>
          <w:p w14:paraId="36338776" w14:textId="77777777" w:rsidR="008B6282" w:rsidRPr="00856B08" w:rsidRDefault="008B6282" w:rsidP="006261AD">
            <w:pPr>
              <w:pStyle w:val="CETBodytext"/>
              <w:jc w:val="center"/>
              <w:rPr>
                <w:rFonts w:cs="Arial"/>
                <w:szCs w:val="18"/>
                <w:lang w:val="en-GB"/>
              </w:rPr>
            </w:pPr>
            <w:r w:rsidRPr="00856B08">
              <w:rPr>
                <w:rFonts w:cs="Arial"/>
                <w:szCs w:val="18"/>
              </w:rPr>
              <w:t>2x4</w:t>
            </w:r>
          </w:p>
        </w:tc>
        <w:tc>
          <w:tcPr>
            <w:tcW w:w="851" w:type="dxa"/>
            <w:tcBorders>
              <w:bottom w:val="nil"/>
            </w:tcBorders>
            <w:shd w:val="clear" w:color="auto" w:fill="FFFFFF"/>
          </w:tcPr>
          <w:p w14:paraId="71E08ED5"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tcBorders>
              <w:bottom w:val="nil"/>
              <w:right w:val="single" w:sz="4" w:space="0" w:color="9BBB59" w:themeColor="accent3"/>
            </w:tcBorders>
            <w:shd w:val="clear" w:color="auto" w:fill="FFFFFF"/>
          </w:tcPr>
          <w:p w14:paraId="4ED480D5" w14:textId="77777777" w:rsidR="008B6282" w:rsidRPr="00856B08" w:rsidRDefault="008B6282" w:rsidP="006261AD">
            <w:pPr>
              <w:pStyle w:val="CETBodytext"/>
              <w:jc w:val="center"/>
              <w:rPr>
                <w:rFonts w:cs="Arial"/>
                <w:szCs w:val="18"/>
                <w:lang w:val="en-GB"/>
              </w:rPr>
            </w:pPr>
            <w:r>
              <w:rPr>
                <w:rFonts w:cs="Arial"/>
                <w:szCs w:val="18"/>
              </w:rPr>
              <w:t>39</w:t>
            </w:r>
          </w:p>
        </w:tc>
        <w:tc>
          <w:tcPr>
            <w:tcW w:w="992" w:type="dxa"/>
            <w:tcBorders>
              <w:left w:val="single" w:sz="4" w:space="0" w:color="9BBB59" w:themeColor="accent3"/>
              <w:bottom w:val="nil"/>
            </w:tcBorders>
            <w:shd w:val="clear" w:color="auto" w:fill="FFFFFF"/>
          </w:tcPr>
          <w:p w14:paraId="495F442B" w14:textId="77777777" w:rsidR="008B6282" w:rsidRPr="00856B08" w:rsidRDefault="008B6282" w:rsidP="006261AD">
            <w:pPr>
              <w:pStyle w:val="CETBodytext"/>
              <w:jc w:val="center"/>
              <w:rPr>
                <w:rFonts w:cs="Arial"/>
                <w:szCs w:val="18"/>
                <w:lang w:val="en-GB"/>
              </w:rPr>
            </w:pPr>
            <w:r>
              <w:rPr>
                <w:rFonts w:cs="Arial"/>
                <w:szCs w:val="18"/>
              </w:rPr>
              <w:t>206</w:t>
            </w:r>
          </w:p>
        </w:tc>
      </w:tr>
      <w:tr w:rsidR="008B6282" w:rsidRPr="00B57B36" w14:paraId="09742296" w14:textId="77777777" w:rsidTr="001640DD">
        <w:tc>
          <w:tcPr>
            <w:tcW w:w="851" w:type="dxa"/>
            <w:tcBorders>
              <w:top w:val="nil"/>
              <w:bottom w:val="single" w:sz="4" w:space="0" w:color="76923C" w:themeColor="accent3" w:themeShade="BF"/>
            </w:tcBorders>
            <w:shd w:val="clear" w:color="auto" w:fill="FFFFFF"/>
          </w:tcPr>
          <w:p w14:paraId="7CAA735F" w14:textId="77777777" w:rsidR="008B6282" w:rsidRPr="00BB16B4" w:rsidRDefault="008B6282" w:rsidP="006261AD">
            <w:pPr>
              <w:pStyle w:val="CETBodytext"/>
              <w:jc w:val="center"/>
              <w:rPr>
                <w:lang w:val="en-GB"/>
              </w:rPr>
            </w:pPr>
            <w:r w:rsidRPr="00BB16B4">
              <w:rPr>
                <w:lang w:val="en-GB"/>
              </w:rPr>
              <w:t>10</w:t>
            </w:r>
          </w:p>
        </w:tc>
        <w:tc>
          <w:tcPr>
            <w:tcW w:w="709" w:type="dxa"/>
            <w:tcBorders>
              <w:top w:val="nil"/>
              <w:bottom w:val="single" w:sz="4" w:space="0" w:color="76923C" w:themeColor="accent3" w:themeShade="BF"/>
            </w:tcBorders>
            <w:shd w:val="clear" w:color="auto" w:fill="FFFFFF"/>
          </w:tcPr>
          <w:p w14:paraId="3218F2DB" w14:textId="77777777" w:rsidR="008B6282" w:rsidRPr="00BB16B4" w:rsidRDefault="008B6282" w:rsidP="006261AD">
            <w:pPr>
              <w:pStyle w:val="CETBodytext"/>
              <w:jc w:val="center"/>
              <w:rPr>
                <w:lang w:val="en-GB"/>
              </w:rPr>
            </w:pPr>
            <w:r w:rsidRPr="00BB16B4">
              <w:rPr>
                <w:lang w:val="en-GB"/>
              </w:rPr>
              <w:t>G-50</w:t>
            </w:r>
          </w:p>
        </w:tc>
        <w:tc>
          <w:tcPr>
            <w:tcW w:w="850" w:type="dxa"/>
            <w:tcBorders>
              <w:top w:val="nil"/>
              <w:bottom w:val="single" w:sz="4" w:space="0" w:color="76923C" w:themeColor="accent3" w:themeShade="BF"/>
            </w:tcBorders>
            <w:shd w:val="clear" w:color="auto" w:fill="FFFFFF"/>
          </w:tcPr>
          <w:p w14:paraId="02299268" w14:textId="77777777" w:rsidR="008B6282" w:rsidRPr="00BB16B4" w:rsidRDefault="008B6282" w:rsidP="006261AD">
            <w:pPr>
              <w:pStyle w:val="CETBodytext"/>
              <w:jc w:val="center"/>
              <w:rPr>
                <w:lang w:val="en-GB"/>
              </w:rPr>
            </w:pPr>
            <w:r w:rsidRPr="00BB16B4">
              <w:rPr>
                <w:lang w:val="en-GB"/>
              </w:rPr>
              <w:t>4x4</w:t>
            </w:r>
          </w:p>
        </w:tc>
        <w:tc>
          <w:tcPr>
            <w:tcW w:w="851" w:type="dxa"/>
            <w:tcBorders>
              <w:top w:val="nil"/>
              <w:bottom w:val="single" w:sz="4" w:space="0" w:color="76923C" w:themeColor="accent3" w:themeShade="BF"/>
            </w:tcBorders>
            <w:shd w:val="clear" w:color="auto" w:fill="FFFFFF"/>
          </w:tcPr>
          <w:p w14:paraId="0FE240E7" w14:textId="77777777" w:rsidR="008B6282" w:rsidRPr="00BB16B4" w:rsidRDefault="008B6282" w:rsidP="006261AD">
            <w:pPr>
              <w:pStyle w:val="CETBodytext"/>
              <w:jc w:val="center"/>
              <w:rPr>
                <w:lang w:val="en-GB"/>
              </w:rPr>
            </w:pPr>
            <w:r w:rsidRPr="00BB16B4">
              <w:rPr>
                <w:lang w:val="en-GB"/>
              </w:rPr>
              <w:t>15</w:t>
            </w:r>
          </w:p>
        </w:tc>
        <w:tc>
          <w:tcPr>
            <w:tcW w:w="850" w:type="dxa"/>
            <w:tcBorders>
              <w:top w:val="nil"/>
              <w:bottom w:val="single" w:sz="4" w:space="0" w:color="76923C" w:themeColor="accent3" w:themeShade="BF"/>
            </w:tcBorders>
            <w:shd w:val="clear" w:color="auto" w:fill="FFFFFF"/>
          </w:tcPr>
          <w:p w14:paraId="75E09C55" w14:textId="77777777" w:rsidR="008B6282" w:rsidRPr="00BB16B4" w:rsidRDefault="008B6282" w:rsidP="006261AD">
            <w:pPr>
              <w:pStyle w:val="CETBodytext"/>
              <w:jc w:val="center"/>
              <w:rPr>
                <w:lang w:val="en-GB"/>
              </w:rPr>
            </w:pPr>
            <w:r>
              <w:rPr>
                <w:lang w:val="en-GB"/>
              </w:rPr>
              <w:t>40</w:t>
            </w:r>
          </w:p>
        </w:tc>
        <w:tc>
          <w:tcPr>
            <w:tcW w:w="992" w:type="dxa"/>
            <w:tcBorders>
              <w:top w:val="nil"/>
              <w:bottom w:val="single" w:sz="4" w:space="0" w:color="76923C" w:themeColor="accent3" w:themeShade="BF"/>
            </w:tcBorders>
            <w:shd w:val="clear" w:color="auto" w:fill="FFFFFF"/>
          </w:tcPr>
          <w:p w14:paraId="44DA657C" w14:textId="77777777" w:rsidR="008B6282" w:rsidRPr="00BB16B4" w:rsidRDefault="008B6282" w:rsidP="006261AD">
            <w:pPr>
              <w:pStyle w:val="CETBodytext"/>
              <w:jc w:val="center"/>
              <w:rPr>
                <w:lang w:val="en-GB"/>
              </w:rPr>
            </w:pPr>
            <w:r>
              <w:rPr>
                <w:lang w:val="en-GB"/>
              </w:rPr>
              <w:t>207</w:t>
            </w:r>
          </w:p>
        </w:tc>
      </w:tr>
      <w:tr w:rsidR="008B6282" w:rsidRPr="00B57B36" w14:paraId="51022942" w14:textId="77777777" w:rsidTr="001640DD">
        <w:tc>
          <w:tcPr>
            <w:tcW w:w="851" w:type="dxa"/>
            <w:tcBorders>
              <w:top w:val="single" w:sz="4" w:space="0" w:color="76923C" w:themeColor="accent3" w:themeShade="BF"/>
            </w:tcBorders>
            <w:shd w:val="clear" w:color="auto" w:fill="FFFFFF"/>
          </w:tcPr>
          <w:p w14:paraId="475F947B" w14:textId="77777777" w:rsidR="008B6282" w:rsidRPr="00856B08" w:rsidRDefault="008B6282" w:rsidP="006261AD">
            <w:pPr>
              <w:pStyle w:val="CETBodytext"/>
              <w:jc w:val="center"/>
              <w:rPr>
                <w:rFonts w:cs="Arial"/>
                <w:szCs w:val="18"/>
                <w:lang w:val="en-GB"/>
              </w:rPr>
            </w:pPr>
            <w:r w:rsidRPr="00856B08">
              <w:rPr>
                <w:rFonts w:cs="Arial"/>
                <w:szCs w:val="18"/>
              </w:rPr>
              <w:t>11</w:t>
            </w:r>
          </w:p>
        </w:tc>
        <w:tc>
          <w:tcPr>
            <w:tcW w:w="709" w:type="dxa"/>
            <w:tcBorders>
              <w:top w:val="single" w:sz="4" w:space="0" w:color="76923C" w:themeColor="accent3" w:themeShade="BF"/>
            </w:tcBorders>
            <w:shd w:val="clear" w:color="auto" w:fill="FFFFFF"/>
          </w:tcPr>
          <w:p w14:paraId="38D0112B" w14:textId="77777777" w:rsidR="008B6282" w:rsidRPr="00856B08" w:rsidRDefault="008B6282" w:rsidP="006261AD">
            <w:pPr>
              <w:pStyle w:val="CETBodytext"/>
              <w:jc w:val="center"/>
              <w:rPr>
                <w:rFonts w:cs="Arial"/>
                <w:szCs w:val="18"/>
                <w:lang w:val="en-GB"/>
              </w:rPr>
            </w:pPr>
            <w:r w:rsidRPr="00856B08">
              <w:rPr>
                <w:rFonts w:cs="Arial"/>
                <w:szCs w:val="18"/>
              </w:rPr>
              <w:t>G-20</w:t>
            </w:r>
          </w:p>
        </w:tc>
        <w:tc>
          <w:tcPr>
            <w:tcW w:w="850" w:type="dxa"/>
            <w:tcBorders>
              <w:top w:val="single" w:sz="4" w:space="0" w:color="76923C" w:themeColor="accent3" w:themeShade="BF"/>
            </w:tcBorders>
            <w:shd w:val="clear" w:color="auto" w:fill="FFFFFF"/>
          </w:tcPr>
          <w:p w14:paraId="212F7A56"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1" w:type="dxa"/>
            <w:tcBorders>
              <w:top w:val="single" w:sz="4" w:space="0" w:color="76923C" w:themeColor="accent3" w:themeShade="BF"/>
            </w:tcBorders>
            <w:shd w:val="clear" w:color="auto" w:fill="FFFFFF"/>
          </w:tcPr>
          <w:p w14:paraId="3574F54F"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0" w:type="dxa"/>
            <w:tcBorders>
              <w:top w:val="single" w:sz="4" w:space="0" w:color="76923C" w:themeColor="accent3" w:themeShade="BF"/>
            </w:tcBorders>
            <w:shd w:val="clear" w:color="auto" w:fill="FFFFFF"/>
          </w:tcPr>
          <w:p w14:paraId="62F396C9" w14:textId="77777777" w:rsidR="008B6282" w:rsidRPr="00856B08" w:rsidRDefault="008B6282" w:rsidP="006261AD">
            <w:pPr>
              <w:pStyle w:val="CETBodytext"/>
              <w:jc w:val="center"/>
              <w:rPr>
                <w:rFonts w:cs="Arial"/>
                <w:szCs w:val="18"/>
                <w:lang w:val="en-GB"/>
              </w:rPr>
            </w:pPr>
            <w:r>
              <w:rPr>
                <w:rFonts w:cs="Arial"/>
                <w:szCs w:val="18"/>
              </w:rPr>
              <w:t>3</w:t>
            </w:r>
          </w:p>
        </w:tc>
        <w:tc>
          <w:tcPr>
            <w:tcW w:w="992" w:type="dxa"/>
            <w:tcBorders>
              <w:top w:val="single" w:sz="4" w:space="0" w:color="76923C" w:themeColor="accent3" w:themeShade="BF"/>
            </w:tcBorders>
            <w:shd w:val="clear" w:color="auto" w:fill="FFFFFF"/>
          </w:tcPr>
          <w:p w14:paraId="35EC9AFA" w14:textId="77777777" w:rsidR="008B6282" w:rsidRPr="00856B08" w:rsidRDefault="008B6282" w:rsidP="006261AD">
            <w:pPr>
              <w:pStyle w:val="CETBodytext"/>
              <w:jc w:val="center"/>
              <w:rPr>
                <w:rFonts w:cs="Arial"/>
                <w:szCs w:val="18"/>
                <w:lang w:val="en-GB"/>
              </w:rPr>
            </w:pPr>
            <w:r>
              <w:rPr>
                <w:rFonts w:cs="Arial"/>
                <w:szCs w:val="18"/>
              </w:rPr>
              <w:t>10</w:t>
            </w:r>
          </w:p>
        </w:tc>
      </w:tr>
      <w:tr w:rsidR="008B6282" w:rsidRPr="00B57B36" w14:paraId="316FCF57" w14:textId="77777777" w:rsidTr="001640DD">
        <w:tc>
          <w:tcPr>
            <w:tcW w:w="851" w:type="dxa"/>
            <w:tcBorders>
              <w:bottom w:val="nil"/>
            </w:tcBorders>
            <w:shd w:val="clear" w:color="auto" w:fill="FFFFFF"/>
          </w:tcPr>
          <w:p w14:paraId="5AF5AAE8" w14:textId="77777777" w:rsidR="008B6282" w:rsidRPr="00856B08" w:rsidRDefault="008B6282" w:rsidP="006261AD">
            <w:pPr>
              <w:pStyle w:val="CETBodytext"/>
              <w:jc w:val="center"/>
              <w:rPr>
                <w:rFonts w:cs="Arial"/>
                <w:szCs w:val="18"/>
                <w:lang w:val="en-GB"/>
              </w:rPr>
            </w:pPr>
            <w:r w:rsidRPr="00856B08">
              <w:rPr>
                <w:rFonts w:cs="Arial"/>
                <w:szCs w:val="18"/>
              </w:rPr>
              <w:t>12</w:t>
            </w:r>
          </w:p>
        </w:tc>
        <w:tc>
          <w:tcPr>
            <w:tcW w:w="709" w:type="dxa"/>
            <w:tcBorders>
              <w:bottom w:val="nil"/>
            </w:tcBorders>
            <w:shd w:val="clear" w:color="auto" w:fill="FFFFFF"/>
          </w:tcPr>
          <w:p w14:paraId="1DAA6FA2" w14:textId="77777777" w:rsidR="008B6282" w:rsidRPr="00856B08" w:rsidRDefault="008B6282" w:rsidP="006261AD">
            <w:pPr>
              <w:pStyle w:val="CETBodytext"/>
              <w:jc w:val="center"/>
              <w:rPr>
                <w:rFonts w:cs="Arial"/>
                <w:szCs w:val="18"/>
                <w:lang w:val="en-GB"/>
              </w:rPr>
            </w:pPr>
            <w:r w:rsidRPr="00856B08">
              <w:rPr>
                <w:rFonts w:cs="Arial"/>
                <w:szCs w:val="18"/>
              </w:rPr>
              <w:t>G-20</w:t>
            </w:r>
          </w:p>
        </w:tc>
        <w:tc>
          <w:tcPr>
            <w:tcW w:w="850" w:type="dxa"/>
            <w:tcBorders>
              <w:bottom w:val="nil"/>
            </w:tcBorders>
            <w:shd w:val="clear" w:color="auto" w:fill="FFFFFF"/>
          </w:tcPr>
          <w:p w14:paraId="2E895C2A" w14:textId="77777777" w:rsidR="008B6282" w:rsidRPr="00856B08" w:rsidRDefault="008B6282" w:rsidP="006261AD">
            <w:pPr>
              <w:pStyle w:val="CETBodytext"/>
              <w:jc w:val="center"/>
              <w:rPr>
                <w:rFonts w:cs="Arial"/>
                <w:szCs w:val="18"/>
                <w:lang w:val="en-GB"/>
              </w:rPr>
            </w:pPr>
            <w:r w:rsidRPr="00856B08">
              <w:rPr>
                <w:rFonts w:cs="Arial"/>
                <w:szCs w:val="18"/>
              </w:rPr>
              <w:t>2x4</w:t>
            </w:r>
          </w:p>
        </w:tc>
        <w:tc>
          <w:tcPr>
            <w:tcW w:w="851" w:type="dxa"/>
            <w:tcBorders>
              <w:bottom w:val="nil"/>
            </w:tcBorders>
            <w:shd w:val="clear" w:color="auto" w:fill="FFFFFF"/>
          </w:tcPr>
          <w:p w14:paraId="66A18794"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tcBorders>
              <w:bottom w:val="nil"/>
            </w:tcBorders>
            <w:shd w:val="clear" w:color="auto" w:fill="FFFFFF"/>
          </w:tcPr>
          <w:p w14:paraId="5DDB2E2D" w14:textId="77777777" w:rsidR="008B6282" w:rsidRPr="00856B08" w:rsidRDefault="008B6282" w:rsidP="006261AD">
            <w:pPr>
              <w:pStyle w:val="CETBodytext"/>
              <w:jc w:val="center"/>
              <w:rPr>
                <w:rFonts w:cs="Arial"/>
                <w:szCs w:val="18"/>
                <w:lang w:val="en-GB"/>
              </w:rPr>
            </w:pPr>
            <w:r>
              <w:rPr>
                <w:rFonts w:cs="Arial"/>
                <w:szCs w:val="18"/>
              </w:rPr>
              <w:t>3</w:t>
            </w:r>
          </w:p>
        </w:tc>
        <w:tc>
          <w:tcPr>
            <w:tcW w:w="992" w:type="dxa"/>
            <w:tcBorders>
              <w:bottom w:val="nil"/>
            </w:tcBorders>
            <w:shd w:val="clear" w:color="auto" w:fill="FFFFFF"/>
          </w:tcPr>
          <w:p w14:paraId="3C876664" w14:textId="77777777" w:rsidR="008B6282" w:rsidRPr="00856B08" w:rsidRDefault="008B6282" w:rsidP="006261AD">
            <w:pPr>
              <w:pStyle w:val="CETBodytext"/>
              <w:jc w:val="center"/>
              <w:rPr>
                <w:rFonts w:cs="Arial"/>
                <w:szCs w:val="18"/>
                <w:lang w:val="en-GB"/>
              </w:rPr>
            </w:pPr>
            <w:r>
              <w:rPr>
                <w:rFonts w:cs="Arial"/>
                <w:szCs w:val="18"/>
              </w:rPr>
              <w:t>10</w:t>
            </w:r>
          </w:p>
        </w:tc>
      </w:tr>
      <w:tr w:rsidR="008B6282" w:rsidRPr="00B57B36" w14:paraId="6501614F" w14:textId="77777777" w:rsidTr="001640DD">
        <w:tc>
          <w:tcPr>
            <w:tcW w:w="851" w:type="dxa"/>
            <w:tcBorders>
              <w:top w:val="nil"/>
              <w:bottom w:val="single" w:sz="4" w:space="0" w:color="76923C" w:themeColor="accent3" w:themeShade="BF"/>
            </w:tcBorders>
            <w:shd w:val="clear" w:color="auto" w:fill="FFFFFF"/>
          </w:tcPr>
          <w:p w14:paraId="2971FB3F" w14:textId="77777777" w:rsidR="008B6282" w:rsidRPr="00856B08" w:rsidRDefault="008B6282" w:rsidP="006261AD">
            <w:pPr>
              <w:pStyle w:val="CETBodytext"/>
              <w:jc w:val="center"/>
              <w:rPr>
                <w:rFonts w:cs="Arial"/>
                <w:szCs w:val="18"/>
                <w:lang w:val="en-GB"/>
              </w:rPr>
            </w:pPr>
            <w:r w:rsidRPr="00856B08">
              <w:rPr>
                <w:rFonts w:cs="Arial"/>
                <w:szCs w:val="18"/>
              </w:rPr>
              <w:t>13</w:t>
            </w:r>
          </w:p>
        </w:tc>
        <w:tc>
          <w:tcPr>
            <w:tcW w:w="709" w:type="dxa"/>
            <w:tcBorders>
              <w:top w:val="nil"/>
              <w:bottom w:val="single" w:sz="4" w:space="0" w:color="76923C" w:themeColor="accent3" w:themeShade="BF"/>
            </w:tcBorders>
            <w:shd w:val="clear" w:color="auto" w:fill="FFFFFF"/>
          </w:tcPr>
          <w:p w14:paraId="14C07409" w14:textId="77777777" w:rsidR="008B6282" w:rsidRPr="00856B08" w:rsidRDefault="008B6282" w:rsidP="006261AD">
            <w:pPr>
              <w:pStyle w:val="CETBodytext"/>
              <w:jc w:val="center"/>
              <w:rPr>
                <w:rFonts w:cs="Arial"/>
                <w:szCs w:val="18"/>
                <w:lang w:val="en-GB"/>
              </w:rPr>
            </w:pPr>
            <w:r w:rsidRPr="00856B08">
              <w:rPr>
                <w:rFonts w:cs="Arial"/>
                <w:szCs w:val="18"/>
              </w:rPr>
              <w:t>G-20</w:t>
            </w:r>
          </w:p>
        </w:tc>
        <w:tc>
          <w:tcPr>
            <w:tcW w:w="850" w:type="dxa"/>
            <w:tcBorders>
              <w:top w:val="nil"/>
              <w:bottom w:val="single" w:sz="4" w:space="0" w:color="76923C" w:themeColor="accent3" w:themeShade="BF"/>
            </w:tcBorders>
            <w:shd w:val="clear" w:color="auto" w:fill="FFFFFF"/>
          </w:tcPr>
          <w:p w14:paraId="36303012" w14:textId="77777777" w:rsidR="008B6282" w:rsidRPr="00856B08" w:rsidRDefault="008B6282" w:rsidP="006261AD">
            <w:pPr>
              <w:pStyle w:val="CETBodytext"/>
              <w:jc w:val="center"/>
              <w:rPr>
                <w:rFonts w:cs="Arial"/>
                <w:szCs w:val="18"/>
                <w:lang w:val="en-GB"/>
              </w:rPr>
            </w:pPr>
            <w:r w:rsidRPr="00856B08">
              <w:rPr>
                <w:rFonts w:cs="Arial"/>
                <w:szCs w:val="18"/>
              </w:rPr>
              <w:t>4x4</w:t>
            </w:r>
          </w:p>
        </w:tc>
        <w:tc>
          <w:tcPr>
            <w:tcW w:w="851" w:type="dxa"/>
            <w:tcBorders>
              <w:top w:val="nil"/>
              <w:bottom w:val="single" w:sz="4" w:space="0" w:color="76923C" w:themeColor="accent3" w:themeShade="BF"/>
            </w:tcBorders>
            <w:shd w:val="clear" w:color="auto" w:fill="FFFFFF"/>
          </w:tcPr>
          <w:p w14:paraId="71B10238"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tcBorders>
              <w:top w:val="nil"/>
              <w:bottom w:val="single" w:sz="4" w:space="0" w:color="76923C" w:themeColor="accent3" w:themeShade="BF"/>
            </w:tcBorders>
            <w:shd w:val="clear" w:color="auto" w:fill="FFFFFF"/>
          </w:tcPr>
          <w:p w14:paraId="2EAF1CD3" w14:textId="77777777" w:rsidR="008B6282" w:rsidRPr="00856B08" w:rsidRDefault="008B6282" w:rsidP="006261AD">
            <w:pPr>
              <w:pStyle w:val="CETBodytext"/>
              <w:jc w:val="center"/>
              <w:rPr>
                <w:rFonts w:cs="Arial"/>
                <w:szCs w:val="18"/>
                <w:lang w:val="en-GB"/>
              </w:rPr>
            </w:pPr>
            <w:r>
              <w:rPr>
                <w:rFonts w:cs="Arial"/>
                <w:szCs w:val="18"/>
              </w:rPr>
              <w:t>3</w:t>
            </w:r>
          </w:p>
        </w:tc>
        <w:tc>
          <w:tcPr>
            <w:tcW w:w="992" w:type="dxa"/>
            <w:tcBorders>
              <w:top w:val="nil"/>
              <w:bottom w:val="single" w:sz="4" w:space="0" w:color="76923C" w:themeColor="accent3" w:themeShade="BF"/>
            </w:tcBorders>
            <w:shd w:val="clear" w:color="auto" w:fill="FFFFFF"/>
          </w:tcPr>
          <w:p w14:paraId="0EF19582" w14:textId="77777777" w:rsidR="008B6282" w:rsidRPr="00856B08" w:rsidRDefault="008B6282" w:rsidP="006261AD">
            <w:pPr>
              <w:pStyle w:val="CETBodytext"/>
              <w:jc w:val="center"/>
              <w:rPr>
                <w:rFonts w:cs="Arial"/>
                <w:szCs w:val="18"/>
                <w:lang w:val="en-GB"/>
              </w:rPr>
            </w:pPr>
            <w:r>
              <w:rPr>
                <w:rFonts w:cs="Arial"/>
                <w:szCs w:val="18"/>
              </w:rPr>
              <w:t>10</w:t>
            </w:r>
          </w:p>
        </w:tc>
      </w:tr>
      <w:tr w:rsidR="008B6282" w:rsidRPr="00B57B36" w14:paraId="06EA5905" w14:textId="77777777" w:rsidTr="001640DD">
        <w:tc>
          <w:tcPr>
            <w:tcW w:w="851" w:type="dxa"/>
            <w:tcBorders>
              <w:top w:val="nil"/>
              <w:bottom w:val="single" w:sz="4" w:space="0" w:color="76923C" w:themeColor="accent3" w:themeShade="BF"/>
            </w:tcBorders>
            <w:shd w:val="clear" w:color="auto" w:fill="FFFFFF"/>
          </w:tcPr>
          <w:p w14:paraId="00FEFFAD" w14:textId="77777777" w:rsidR="008B6282" w:rsidRPr="00856B08" w:rsidRDefault="008B6282" w:rsidP="006261AD">
            <w:pPr>
              <w:pStyle w:val="CETBodytext"/>
              <w:jc w:val="center"/>
              <w:rPr>
                <w:rFonts w:cs="Arial"/>
                <w:szCs w:val="18"/>
              </w:rPr>
            </w:pPr>
            <w:r w:rsidRPr="00856B08">
              <w:rPr>
                <w:rFonts w:cs="Arial"/>
                <w:szCs w:val="18"/>
              </w:rPr>
              <w:t>14</w:t>
            </w:r>
          </w:p>
        </w:tc>
        <w:tc>
          <w:tcPr>
            <w:tcW w:w="709" w:type="dxa"/>
            <w:tcBorders>
              <w:top w:val="nil"/>
              <w:bottom w:val="single" w:sz="4" w:space="0" w:color="76923C" w:themeColor="accent3" w:themeShade="BF"/>
            </w:tcBorders>
            <w:shd w:val="clear" w:color="auto" w:fill="FFFFFF"/>
          </w:tcPr>
          <w:p w14:paraId="51A33982" w14:textId="77777777" w:rsidR="008B6282" w:rsidRPr="00856B08" w:rsidRDefault="008B6282" w:rsidP="006261AD">
            <w:pPr>
              <w:pStyle w:val="CETBodytext"/>
              <w:jc w:val="center"/>
              <w:rPr>
                <w:rFonts w:cs="Arial"/>
                <w:szCs w:val="18"/>
              </w:rPr>
            </w:pPr>
            <w:r w:rsidRPr="00856B08">
              <w:rPr>
                <w:rFonts w:cs="Arial"/>
                <w:szCs w:val="18"/>
              </w:rPr>
              <w:t>L-</w:t>
            </w:r>
            <w:r>
              <w:rPr>
                <w:rFonts w:cs="Arial"/>
                <w:szCs w:val="18"/>
              </w:rPr>
              <w:t>100</w:t>
            </w:r>
          </w:p>
        </w:tc>
        <w:tc>
          <w:tcPr>
            <w:tcW w:w="850" w:type="dxa"/>
            <w:tcBorders>
              <w:top w:val="nil"/>
              <w:bottom w:val="single" w:sz="4" w:space="0" w:color="76923C" w:themeColor="accent3" w:themeShade="BF"/>
            </w:tcBorders>
            <w:shd w:val="clear" w:color="auto" w:fill="FFFFFF"/>
          </w:tcPr>
          <w:p w14:paraId="7DE209C3" w14:textId="77777777" w:rsidR="008B6282" w:rsidRPr="00856B08" w:rsidRDefault="008B6282" w:rsidP="006261AD">
            <w:pPr>
              <w:pStyle w:val="CETBodytext"/>
              <w:jc w:val="center"/>
              <w:rPr>
                <w:rFonts w:cs="Arial"/>
                <w:szCs w:val="18"/>
              </w:rPr>
            </w:pPr>
            <w:r w:rsidRPr="00856B08">
              <w:rPr>
                <w:rFonts w:cs="Arial"/>
                <w:szCs w:val="18"/>
              </w:rPr>
              <w:t>---</w:t>
            </w:r>
          </w:p>
        </w:tc>
        <w:tc>
          <w:tcPr>
            <w:tcW w:w="851" w:type="dxa"/>
            <w:tcBorders>
              <w:top w:val="nil"/>
              <w:bottom w:val="single" w:sz="4" w:space="0" w:color="76923C" w:themeColor="accent3" w:themeShade="BF"/>
            </w:tcBorders>
            <w:shd w:val="clear" w:color="auto" w:fill="FFFFFF"/>
          </w:tcPr>
          <w:p w14:paraId="639D8BD4" w14:textId="77777777" w:rsidR="008B6282" w:rsidRPr="00856B08" w:rsidRDefault="008B6282" w:rsidP="006261AD">
            <w:pPr>
              <w:pStyle w:val="CETBodytext"/>
              <w:jc w:val="center"/>
              <w:rPr>
                <w:rFonts w:cs="Arial"/>
                <w:szCs w:val="18"/>
              </w:rPr>
            </w:pPr>
            <w:r w:rsidRPr="00856B08">
              <w:rPr>
                <w:rFonts w:cs="Arial"/>
                <w:szCs w:val="18"/>
              </w:rPr>
              <w:t>---</w:t>
            </w:r>
          </w:p>
        </w:tc>
        <w:tc>
          <w:tcPr>
            <w:tcW w:w="850" w:type="dxa"/>
            <w:tcBorders>
              <w:top w:val="nil"/>
              <w:bottom w:val="single" w:sz="4" w:space="0" w:color="76923C" w:themeColor="accent3" w:themeShade="BF"/>
            </w:tcBorders>
            <w:shd w:val="clear" w:color="auto" w:fill="FFFFFF"/>
          </w:tcPr>
          <w:p w14:paraId="2E0A25F3" w14:textId="77777777" w:rsidR="008B6282" w:rsidRPr="00856B08" w:rsidRDefault="008B6282" w:rsidP="006261AD">
            <w:pPr>
              <w:pStyle w:val="CETBodytext"/>
              <w:jc w:val="center"/>
              <w:rPr>
                <w:rFonts w:cs="Arial"/>
                <w:szCs w:val="18"/>
              </w:rPr>
            </w:pPr>
            <w:r>
              <w:rPr>
                <w:rFonts w:cs="Arial"/>
                <w:szCs w:val="18"/>
              </w:rPr>
              <w:t>&gt;17,000</w:t>
            </w:r>
          </w:p>
        </w:tc>
        <w:tc>
          <w:tcPr>
            <w:tcW w:w="992" w:type="dxa"/>
            <w:tcBorders>
              <w:top w:val="nil"/>
              <w:bottom w:val="single" w:sz="4" w:space="0" w:color="76923C" w:themeColor="accent3" w:themeShade="BF"/>
            </w:tcBorders>
            <w:shd w:val="clear" w:color="auto" w:fill="FFFFFF"/>
          </w:tcPr>
          <w:p w14:paraId="565E9E43" w14:textId="77777777" w:rsidR="008B6282" w:rsidRPr="00856B08" w:rsidRDefault="008B6282" w:rsidP="006261AD">
            <w:pPr>
              <w:pStyle w:val="CETBodytext"/>
              <w:jc w:val="center"/>
              <w:rPr>
                <w:rFonts w:cs="Arial"/>
                <w:szCs w:val="18"/>
              </w:rPr>
            </w:pPr>
            <w:r>
              <w:rPr>
                <w:rFonts w:cs="Arial"/>
                <w:szCs w:val="18"/>
              </w:rPr>
              <w:t>&gt;40,000</w:t>
            </w:r>
          </w:p>
        </w:tc>
      </w:tr>
      <w:tr w:rsidR="008B6282" w:rsidRPr="00B57B36" w14:paraId="3B2C3407" w14:textId="77777777" w:rsidTr="001640DD">
        <w:tc>
          <w:tcPr>
            <w:tcW w:w="851" w:type="dxa"/>
            <w:tcBorders>
              <w:top w:val="single" w:sz="4" w:space="0" w:color="76923C" w:themeColor="accent3" w:themeShade="BF"/>
            </w:tcBorders>
            <w:shd w:val="clear" w:color="auto" w:fill="FFFFFF"/>
          </w:tcPr>
          <w:p w14:paraId="6765BEC6"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5</w:t>
            </w:r>
          </w:p>
        </w:tc>
        <w:tc>
          <w:tcPr>
            <w:tcW w:w="709" w:type="dxa"/>
            <w:tcBorders>
              <w:top w:val="single" w:sz="4" w:space="0" w:color="76923C" w:themeColor="accent3" w:themeShade="BF"/>
            </w:tcBorders>
            <w:shd w:val="clear" w:color="auto" w:fill="FFFFFF"/>
          </w:tcPr>
          <w:p w14:paraId="4554A758" w14:textId="77777777" w:rsidR="008B6282" w:rsidRPr="00856B08" w:rsidRDefault="008B6282" w:rsidP="006261AD">
            <w:pPr>
              <w:pStyle w:val="CETBodytext"/>
              <w:jc w:val="center"/>
              <w:rPr>
                <w:rFonts w:cs="Arial"/>
                <w:szCs w:val="18"/>
                <w:lang w:val="en-GB"/>
              </w:rPr>
            </w:pPr>
            <w:r w:rsidRPr="00856B08">
              <w:rPr>
                <w:rFonts w:cs="Arial"/>
                <w:szCs w:val="18"/>
              </w:rPr>
              <w:t>L-50</w:t>
            </w:r>
          </w:p>
        </w:tc>
        <w:tc>
          <w:tcPr>
            <w:tcW w:w="850" w:type="dxa"/>
            <w:tcBorders>
              <w:top w:val="single" w:sz="4" w:space="0" w:color="76923C" w:themeColor="accent3" w:themeShade="BF"/>
            </w:tcBorders>
            <w:shd w:val="clear" w:color="auto" w:fill="FFFFFF"/>
          </w:tcPr>
          <w:p w14:paraId="5BA4A6A5"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1" w:type="dxa"/>
            <w:tcBorders>
              <w:top w:val="single" w:sz="4" w:space="0" w:color="76923C" w:themeColor="accent3" w:themeShade="BF"/>
            </w:tcBorders>
            <w:shd w:val="clear" w:color="auto" w:fill="FFFFFF"/>
          </w:tcPr>
          <w:p w14:paraId="5699F350"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0" w:type="dxa"/>
            <w:tcBorders>
              <w:top w:val="single" w:sz="4" w:space="0" w:color="76923C" w:themeColor="accent3" w:themeShade="BF"/>
            </w:tcBorders>
            <w:shd w:val="clear" w:color="auto" w:fill="FFFFFF"/>
          </w:tcPr>
          <w:p w14:paraId="6B182910" w14:textId="77777777" w:rsidR="008B6282" w:rsidRPr="00856B08" w:rsidRDefault="008B6282" w:rsidP="006261AD">
            <w:pPr>
              <w:pStyle w:val="CETBodytext"/>
              <w:jc w:val="center"/>
              <w:rPr>
                <w:rFonts w:cs="Arial"/>
                <w:szCs w:val="18"/>
                <w:lang w:val="en-GB"/>
              </w:rPr>
            </w:pPr>
            <w:r>
              <w:rPr>
                <w:rFonts w:cs="Arial"/>
                <w:szCs w:val="18"/>
              </w:rPr>
              <w:t>&gt;</w:t>
            </w:r>
            <w:r w:rsidRPr="00856B08">
              <w:rPr>
                <w:rFonts w:cs="Arial"/>
                <w:szCs w:val="18"/>
              </w:rPr>
              <w:t>8</w:t>
            </w:r>
            <w:r>
              <w:rPr>
                <w:rFonts w:cs="Arial"/>
                <w:szCs w:val="18"/>
              </w:rPr>
              <w:t>,</w:t>
            </w:r>
            <w:r w:rsidRPr="00856B08">
              <w:rPr>
                <w:rFonts w:cs="Arial"/>
                <w:szCs w:val="18"/>
              </w:rPr>
              <w:t>313</w:t>
            </w:r>
          </w:p>
        </w:tc>
        <w:tc>
          <w:tcPr>
            <w:tcW w:w="992" w:type="dxa"/>
            <w:tcBorders>
              <w:top w:val="single" w:sz="4" w:space="0" w:color="76923C" w:themeColor="accent3" w:themeShade="BF"/>
            </w:tcBorders>
            <w:shd w:val="clear" w:color="auto" w:fill="FFFFFF"/>
          </w:tcPr>
          <w:p w14:paraId="18EC4553" w14:textId="77777777" w:rsidR="008B6282" w:rsidRPr="00856B08" w:rsidRDefault="008B6282" w:rsidP="006261AD">
            <w:pPr>
              <w:pStyle w:val="CETBodytext"/>
              <w:jc w:val="center"/>
              <w:rPr>
                <w:rFonts w:cs="Arial"/>
                <w:szCs w:val="18"/>
                <w:lang w:val="en-GB"/>
              </w:rPr>
            </w:pPr>
            <w:r>
              <w:rPr>
                <w:rFonts w:cs="Arial"/>
                <w:szCs w:val="18"/>
              </w:rPr>
              <w:t>&gt;</w:t>
            </w:r>
            <w:r w:rsidRPr="00856B08">
              <w:rPr>
                <w:rFonts w:cs="Arial"/>
                <w:szCs w:val="18"/>
              </w:rPr>
              <w:t>21</w:t>
            </w:r>
            <w:r>
              <w:rPr>
                <w:rFonts w:cs="Arial"/>
                <w:szCs w:val="18"/>
              </w:rPr>
              <w:t>,</w:t>
            </w:r>
            <w:r w:rsidRPr="00856B08">
              <w:rPr>
                <w:rFonts w:cs="Arial"/>
                <w:szCs w:val="18"/>
              </w:rPr>
              <w:t>910</w:t>
            </w:r>
          </w:p>
        </w:tc>
      </w:tr>
      <w:tr w:rsidR="008B6282" w:rsidRPr="00B57B36" w14:paraId="19D0D4B1" w14:textId="77777777" w:rsidTr="001640DD">
        <w:tc>
          <w:tcPr>
            <w:tcW w:w="851" w:type="dxa"/>
            <w:tcBorders>
              <w:bottom w:val="nil"/>
            </w:tcBorders>
            <w:shd w:val="clear" w:color="auto" w:fill="FFFFFF"/>
          </w:tcPr>
          <w:p w14:paraId="29D4D732"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6</w:t>
            </w:r>
          </w:p>
        </w:tc>
        <w:tc>
          <w:tcPr>
            <w:tcW w:w="709" w:type="dxa"/>
            <w:tcBorders>
              <w:bottom w:val="nil"/>
            </w:tcBorders>
            <w:shd w:val="clear" w:color="auto" w:fill="FFFFFF"/>
          </w:tcPr>
          <w:p w14:paraId="65506D28" w14:textId="77777777" w:rsidR="008B6282" w:rsidRPr="00856B08" w:rsidRDefault="008B6282" w:rsidP="006261AD">
            <w:pPr>
              <w:pStyle w:val="CETBodytext"/>
              <w:jc w:val="center"/>
              <w:rPr>
                <w:rFonts w:cs="Arial"/>
                <w:szCs w:val="18"/>
                <w:lang w:val="en-GB"/>
              </w:rPr>
            </w:pPr>
            <w:r w:rsidRPr="00856B08">
              <w:rPr>
                <w:rFonts w:cs="Arial"/>
                <w:szCs w:val="18"/>
              </w:rPr>
              <w:t>L-50</w:t>
            </w:r>
          </w:p>
        </w:tc>
        <w:tc>
          <w:tcPr>
            <w:tcW w:w="850" w:type="dxa"/>
            <w:tcBorders>
              <w:bottom w:val="nil"/>
            </w:tcBorders>
            <w:shd w:val="clear" w:color="auto" w:fill="FFFFFF"/>
          </w:tcPr>
          <w:p w14:paraId="5978891F" w14:textId="77777777" w:rsidR="008B6282" w:rsidRPr="00856B08" w:rsidRDefault="008B6282" w:rsidP="006261AD">
            <w:pPr>
              <w:pStyle w:val="CETBodytext"/>
              <w:jc w:val="center"/>
              <w:rPr>
                <w:rFonts w:cs="Arial"/>
                <w:szCs w:val="18"/>
                <w:lang w:val="en-GB"/>
              </w:rPr>
            </w:pPr>
            <w:r w:rsidRPr="00856B08">
              <w:rPr>
                <w:rFonts w:cs="Arial"/>
                <w:szCs w:val="18"/>
              </w:rPr>
              <w:t>2x4</w:t>
            </w:r>
          </w:p>
        </w:tc>
        <w:tc>
          <w:tcPr>
            <w:tcW w:w="851" w:type="dxa"/>
            <w:tcBorders>
              <w:bottom w:val="nil"/>
            </w:tcBorders>
            <w:shd w:val="clear" w:color="auto" w:fill="FFFFFF"/>
          </w:tcPr>
          <w:p w14:paraId="00315231"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tcBorders>
              <w:bottom w:val="nil"/>
            </w:tcBorders>
            <w:shd w:val="clear" w:color="auto" w:fill="FFFFFF"/>
          </w:tcPr>
          <w:p w14:paraId="7F2AD2CD" w14:textId="77777777" w:rsidR="008B6282" w:rsidRPr="00856B08" w:rsidRDefault="008B6282" w:rsidP="006261AD">
            <w:pPr>
              <w:pStyle w:val="CETBodytext"/>
              <w:jc w:val="center"/>
              <w:rPr>
                <w:rFonts w:cs="Arial"/>
                <w:szCs w:val="18"/>
                <w:lang w:val="en-GB"/>
              </w:rPr>
            </w:pPr>
            <w:r>
              <w:rPr>
                <w:rFonts w:cs="Arial"/>
                <w:szCs w:val="18"/>
              </w:rPr>
              <w:t>&gt;</w:t>
            </w:r>
            <w:r w:rsidRPr="00856B08">
              <w:rPr>
                <w:rFonts w:cs="Arial"/>
                <w:szCs w:val="18"/>
              </w:rPr>
              <w:t>9</w:t>
            </w:r>
            <w:r>
              <w:rPr>
                <w:rFonts w:cs="Arial"/>
                <w:szCs w:val="18"/>
              </w:rPr>
              <w:t>,</w:t>
            </w:r>
            <w:r w:rsidRPr="00856B08">
              <w:rPr>
                <w:rFonts w:cs="Arial"/>
                <w:szCs w:val="18"/>
              </w:rPr>
              <w:t>928</w:t>
            </w:r>
          </w:p>
        </w:tc>
        <w:tc>
          <w:tcPr>
            <w:tcW w:w="992" w:type="dxa"/>
            <w:tcBorders>
              <w:bottom w:val="nil"/>
            </w:tcBorders>
            <w:shd w:val="clear" w:color="auto" w:fill="FFFFFF"/>
          </w:tcPr>
          <w:p w14:paraId="28E5FABC" w14:textId="77777777" w:rsidR="008B6282" w:rsidRPr="00856B08" w:rsidRDefault="008B6282" w:rsidP="006261AD">
            <w:pPr>
              <w:pStyle w:val="CETBodytext"/>
              <w:jc w:val="center"/>
              <w:rPr>
                <w:rFonts w:cs="Arial"/>
                <w:szCs w:val="18"/>
                <w:lang w:val="en-GB"/>
              </w:rPr>
            </w:pPr>
            <w:r>
              <w:rPr>
                <w:rFonts w:cs="Arial"/>
                <w:szCs w:val="18"/>
              </w:rPr>
              <w:t>&gt;</w:t>
            </w:r>
            <w:r w:rsidRPr="00856B08">
              <w:rPr>
                <w:rFonts w:cs="Arial"/>
                <w:szCs w:val="18"/>
              </w:rPr>
              <w:t>22</w:t>
            </w:r>
            <w:r>
              <w:rPr>
                <w:rFonts w:cs="Arial"/>
                <w:szCs w:val="18"/>
              </w:rPr>
              <w:t>,</w:t>
            </w:r>
            <w:r w:rsidRPr="00856B08">
              <w:rPr>
                <w:rFonts w:cs="Arial"/>
                <w:szCs w:val="18"/>
              </w:rPr>
              <w:t>085</w:t>
            </w:r>
          </w:p>
        </w:tc>
      </w:tr>
      <w:tr w:rsidR="008B6282" w:rsidRPr="00B57B36" w14:paraId="2460CA63" w14:textId="77777777" w:rsidTr="001640DD">
        <w:tc>
          <w:tcPr>
            <w:tcW w:w="851" w:type="dxa"/>
            <w:tcBorders>
              <w:top w:val="nil"/>
              <w:bottom w:val="single" w:sz="4" w:space="0" w:color="76923C" w:themeColor="accent3" w:themeShade="BF"/>
            </w:tcBorders>
            <w:shd w:val="clear" w:color="auto" w:fill="FFFFFF"/>
          </w:tcPr>
          <w:p w14:paraId="7B7C4E55"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7</w:t>
            </w:r>
          </w:p>
        </w:tc>
        <w:tc>
          <w:tcPr>
            <w:tcW w:w="709" w:type="dxa"/>
            <w:tcBorders>
              <w:top w:val="nil"/>
              <w:bottom w:val="single" w:sz="4" w:space="0" w:color="76923C" w:themeColor="accent3" w:themeShade="BF"/>
            </w:tcBorders>
            <w:shd w:val="clear" w:color="auto" w:fill="FFFFFF"/>
          </w:tcPr>
          <w:p w14:paraId="6AD61062" w14:textId="77777777" w:rsidR="008B6282" w:rsidRPr="00856B08" w:rsidRDefault="008B6282" w:rsidP="006261AD">
            <w:pPr>
              <w:pStyle w:val="CETBodytext"/>
              <w:jc w:val="center"/>
              <w:rPr>
                <w:rFonts w:cs="Arial"/>
                <w:szCs w:val="18"/>
                <w:lang w:val="en-GB"/>
              </w:rPr>
            </w:pPr>
            <w:r w:rsidRPr="00856B08">
              <w:rPr>
                <w:rFonts w:cs="Arial"/>
                <w:szCs w:val="18"/>
              </w:rPr>
              <w:t>L-50</w:t>
            </w:r>
          </w:p>
        </w:tc>
        <w:tc>
          <w:tcPr>
            <w:tcW w:w="850" w:type="dxa"/>
            <w:tcBorders>
              <w:top w:val="nil"/>
              <w:bottom w:val="single" w:sz="4" w:space="0" w:color="76923C" w:themeColor="accent3" w:themeShade="BF"/>
            </w:tcBorders>
            <w:shd w:val="clear" w:color="auto" w:fill="FFFFFF"/>
          </w:tcPr>
          <w:p w14:paraId="313F6308" w14:textId="77777777" w:rsidR="008B6282" w:rsidRPr="00856B08" w:rsidRDefault="008B6282" w:rsidP="006261AD">
            <w:pPr>
              <w:pStyle w:val="CETBodytext"/>
              <w:jc w:val="center"/>
              <w:rPr>
                <w:rFonts w:cs="Arial"/>
                <w:szCs w:val="18"/>
                <w:lang w:val="en-GB"/>
              </w:rPr>
            </w:pPr>
            <w:r w:rsidRPr="00856B08">
              <w:rPr>
                <w:rFonts w:cs="Arial"/>
                <w:szCs w:val="18"/>
              </w:rPr>
              <w:t>4x4</w:t>
            </w:r>
          </w:p>
        </w:tc>
        <w:tc>
          <w:tcPr>
            <w:tcW w:w="851" w:type="dxa"/>
            <w:tcBorders>
              <w:top w:val="nil"/>
              <w:bottom w:val="single" w:sz="4" w:space="0" w:color="76923C" w:themeColor="accent3" w:themeShade="BF"/>
            </w:tcBorders>
            <w:shd w:val="clear" w:color="auto" w:fill="FFFFFF"/>
          </w:tcPr>
          <w:p w14:paraId="67C7053E" w14:textId="77777777" w:rsidR="008B6282" w:rsidRPr="00856B08" w:rsidRDefault="008B6282" w:rsidP="006261AD">
            <w:pPr>
              <w:pStyle w:val="CETBodytext"/>
              <w:jc w:val="center"/>
              <w:rPr>
                <w:rFonts w:cs="Arial"/>
                <w:szCs w:val="18"/>
                <w:lang w:val="en-GB"/>
              </w:rPr>
            </w:pPr>
            <w:r w:rsidRPr="00856B08">
              <w:rPr>
                <w:rFonts w:cs="Arial"/>
                <w:szCs w:val="18"/>
              </w:rPr>
              <w:t>15</w:t>
            </w:r>
          </w:p>
        </w:tc>
        <w:tc>
          <w:tcPr>
            <w:tcW w:w="850" w:type="dxa"/>
            <w:tcBorders>
              <w:top w:val="nil"/>
              <w:bottom w:val="single" w:sz="4" w:space="0" w:color="76923C" w:themeColor="accent3" w:themeShade="BF"/>
            </w:tcBorders>
            <w:shd w:val="clear" w:color="auto" w:fill="FFFFFF"/>
          </w:tcPr>
          <w:p w14:paraId="59210579" w14:textId="77777777" w:rsidR="008B6282" w:rsidRPr="00856B08" w:rsidRDefault="008B6282" w:rsidP="006261AD">
            <w:pPr>
              <w:pStyle w:val="CETBodytext"/>
              <w:jc w:val="center"/>
              <w:rPr>
                <w:rFonts w:cs="Arial"/>
                <w:szCs w:val="18"/>
                <w:lang w:val="en-GB"/>
              </w:rPr>
            </w:pPr>
            <w:r>
              <w:rPr>
                <w:rFonts w:cs="Arial"/>
                <w:szCs w:val="18"/>
              </w:rPr>
              <w:t>&gt;</w:t>
            </w:r>
            <w:r w:rsidRPr="00856B08">
              <w:rPr>
                <w:rFonts w:cs="Arial"/>
                <w:szCs w:val="18"/>
              </w:rPr>
              <w:t>11</w:t>
            </w:r>
            <w:r>
              <w:rPr>
                <w:rFonts w:cs="Arial"/>
                <w:szCs w:val="18"/>
              </w:rPr>
              <w:t>,</w:t>
            </w:r>
            <w:r w:rsidRPr="00856B08">
              <w:rPr>
                <w:rFonts w:cs="Arial"/>
                <w:szCs w:val="18"/>
              </w:rPr>
              <w:t>215</w:t>
            </w:r>
          </w:p>
        </w:tc>
        <w:tc>
          <w:tcPr>
            <w:tcW w:w="992" w:type="dxa"/>
            <w:tcBorders>
              <w:top w:val="nil"/>
              <w:bottom w:val="single" w:sz="4" w:space="0" w:color="76923C" w:themeColor="accent3" w:themeShade="BF"/>
            </w:tcBorders>
            <w:shd w:val="clear" w:color="auto" w:fill="FFFFFF"/>
          </w:tcPr>
          <w:p w14:paraId="62DBC6A6" w14:textId="77777777" w:rsidR="008B6282" w:rsidRPr="00856B08" w:rsidRDefault="008B6282" w:rsidP="006261AD">
            <w:pPr>
              <w:pStyle w:val="CETBodytext"/>
              <w:jc w:val="center"/>
              <w:rPr>
                <w:rFonts w:cs="Arial"/>
                <w:szCs w:val="18"/>
                <w:lang w:val="en-GB"/>
              </w:rPr>
            </w:pPr>
            <w:r>
              <w:rPr>
                <w:rFonts w:cs="Arial"/>
                <w:szCs w:val="18"/>
              </w:rPr>
              <w:t>&gt;</w:t>
            </w:r>
            <w:r w:rsidRPr="00856B08">
              <w:rPr>
                <w:rFonts w:cs="Arial"/>
                <w:szCs w:val="18"/>
              </w:rPr>
              <w:t>24</w:t>
            </w:r>
            <w:r>
              <w:rPr>
                <w:rFonts w:cs="Arial"/>
                <w:szCs w:val="18"/>
              </w:rPr>
              <w:t>,</w:t>
            </w:r>
            <w:r w:rsidRPr="00856B08">
              <w:rPr>
                <w:rFonts w:cs="Arial"/>
                <w:szCs w:val="18"/>
              </w:rPr>
              <w:t>917</w:t>
            </w:r>
          </w:p>
        </w:tc>
      </w:tr>
      <w:tr w:rsidR="008B6282" w:rsidRPr="00B57B36" w14:paraId="283D1573" w14:textId="77777777" w:rsidTr="001640DD">
        <w:tc>
          <w:tcPr>
            <w:tcW w:w="851" w:type="dxa"/>
            <w:tcBorders>
              <w:top w:val="single" w:sz="4" w:space="0" w:color="76923C" w:themeColor="accent3" w:themeShade="BF"/>
              <w:bottom w:val="single" w:sz="4" w:space="0" w:color="76923C" w:themeColor="accent3" w:themeShade="BF"/>
            </w:tcBorders>
            <w:shd w:val="clear" w:color="auto" w:fill="FFFFFF"/>
          </w:tcPr>
          <w:p w14:paraId="30410A03"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8</w:t>
            </w:r>
          </w:p>
        </w:tc>
        <w:tc>
          <w:tcPr>
            <w:tcW w:w="709" w:type="dxa"/>
            <w:tcBorders>
              <w:top w:val="single" w:sz="4" w:space="0" w:color="76923C" w:themeColor="accent3" w:themeShade="BF"/>
              <w:bottom w:val="single" w:sz="4" w:space="0" w:color="76923C" w:themeColor="accent3" w:themeShade="BF"/>
            </w:tcBorders>
            <w:shd w:val="clear" w:color="auto" w:fill="FFFFFF"/>
          </w:tcPr>
          <w:p w14:paraId="4A29EAF5" w14:textId="77777777" w:rsidR="008B6282" w:rsidRPr="00856B08" w:rsidRDefault="008B6282" w:rsidP="006261AD">
            <w:pPr>
              <w:pStyle w:val="CETBodytext"/>
              <w:jc w:val="center"/>
              <w:rPr>
                <w:rFonts w:cs="Arial"/>
                <w:szCs w:val="18"/>
                <w:lang w:val="en-GB"/>
              </w:rPr>
            </w:pPr>
            <w:r w:rsidRPr="00856B08">
              <w:rPr>
                <w:rFonts w:cs="Arial"/>
                <w:szCs w:val="18"/>
              </w:rPr>
              <w:t>L-20</w:t>
            </w:r>
          </w:p>
        </w:tc>
        <w:tc>
          <w:tcPr>
            <w:tcW w:w="850" w:type="dxa"/>
            <w:tcBorders>
              <w:top w:val="single" w:sz="4" w:space="0" w:color="76923C" w:themeColor="accent3" w:themeShade="BF"/>
              <w:bottom w:val="single" w:sz="4" w:space="0" w:color="76923C" w:themeColor="accent3" w:themeShade="BF"/>
            </w:tcBorders>
            <w:shd w:val="clear" w:color="auto" w:fill="FFFFFF"/>
          </w:tcPr>
          <w:p w14:paraId="452798FD"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1" w:type="dxa"/>
            <w:tcBorders>
              <w:top w:val="single" w:sz="4" w:space="0" w:color="76923C" w:themeColor="accent3" w:themeShade="BF"/>
              <w:bottom w:val="single" w:sz="4" w:space="0" w:color="76923C" w:themeColor="accent3" w:themeShade="BF"/>
            </w:tcBorders>
            <w:shd w:val="clear" w:color="auto" w:fill="FFFFFF"/>
          </w:tcPr>
          <w:p w14:paraId="1B24EF8A" w14:textId="77777777" w:rsidR="008B6282" w:rsidRPr="00856B08" w:rsidRDefault="008B6282" w:rsidP="006261AD">
            <w:pPr>
              <w:pStyle w:val="CETBodytext"/>
              <w:jc w:val="center"/>
              <w:rPr>
                <w:rFonts w:cs="Arial"/>
                <w:szCs w:val="18"/>
                <w:lang w:val="en-GB"/>
              </w:rPr>
            </w:pPr>
            <w:r w:rsidRPr="00856B08">
              <w:rPr>
                <w:rFonts w:cs="Arial"/>
                <w:szCs w:val="18"/>
              </w:rPr>
              <w:t>---</w:t>
            </w:r>
          </w:p>
        </w:tc>
        <w:tc>
          <w:tcPr>
            <w:tcW w:w="850" w:type="dxa"/>
            <w:tcBorders>
              <w:top w:val="single" w:sz="4" w:space="0" w:color="76923C" w:themeColor="accent3" w:themeShade="BF"/>
              <w:bottom w:val="single" w:sz="4" w:space="0" w:color="76923C" w:themeColor="accent3" w:themeShade="BF"/>
            </w:tcBorders>
            <w:shd w:val="clear" w:color="auto" w:fill="FFFFFF"/>
          </w:tcPr>
          <w:p w14:paraId="73063B80" w14:textId="77777777" w:rsidR="008B6282" w:rsidRPr="00856B08" w:rsidRDefault="008B6282" w:rsidP="006261AD">
            <w:pPr>
              <w:pStyle w:val="CETBodytext"/>
              <w:jc w:val="center"/>
              <w:rPr>
                <w:rFonts w:cs="Arial"/>
                <w:szCs w:val="18"/>
                <w:lang w:val="en-GB"/>
              </w:rPr>
            </w:pPr>
            <w:r w:rsidRPr="00856B08">
              <w:rPr>
                <w:rFonts w:cs="Arial"/>
                <w:szCs w:val="18"/>
              </w:rPr>
              <w:t>406</w:t>
            </w:r>
          </w:p>
        </w:tc>
        <w:tc>
          <w:tcPr>
            <w:tcW w:w="992" w:type="dxa"/>
            <w:tcBorders>
              <w:top w:val="single" w:sz="4" w:space="0" w:color="76923C" w:themeColor="accent3" w:themeShade="BF"/>
              <w:bottom w:val="single" w:sz="4" w:space="0" w:color="76923C" w:themeColor="accent3" w:themeShade="BF"/>
            </w:tcBorders>
            <w:shd w:val="clear" w:color="auto" w:fill="FFFFFF"/>
          </w:tcPr>
          <w:p w14:paraId="51258A72" w14:textId="77777777" w:rsidR="008B6282" w:rsidRPr="00856B08" w:rsidRDefault="008B6282" w:rsidP="006261AD">
            <w:pPr>
              <w:pStyle w:val="CETBodytext"/>
              <w:jc w:val="center"/>
              <w:rPr>
                <w:rFonts w:cs="Arial"/>
                <w:szCs w:val="18"/>
                <w:lang w:val="en-GB"/>
              </w:rPr>
            </w:pPr>
            <w:r w:rsidRPr="00856B08">
              <w:rPr>
                <w:rFonts w:cs="Arial"/>
                <w:szCs w:val="18"/>
              </w:rPr>
              <w:t>1</w:t>
            </w:r>
            <w:r>
              <w:rPr>
                <w:rFonts w:cs="Arial"/>
                <w:szCs w:val="18"/>
              </w:rPr>
              <w:t>,</w:t>
            </w:r>
            <w:r w:rsidRPr="00856B08">
              <w:rPr>
                <w:rFonts w:cs="Arial"/>
                <w:szCs w:val="18"/>
              </w:rPr>
              <w:t>720</w:t>
            </w:r>
          </w:p>
        </w:tc>
      </w:tr>
      <w:tr w:rsidR="008B6282" w:rsidRPr="00B57B36" w14:paraId="74337A6E" w14:textId="77777777" w:rsidTr="001640DD">
        <w:tc>
          <w:tcPr>
            <w:tcW w:w="851" w:type="dxa"/>
            <w:tcBorders>
              <w:top w:val="single" w:sz="4" w:space="0" w:color="76923C" w:themeColor="accent3" w:themeShade="BF"/>
              <w:bottom w:val="single" w:sz="4" w:space="0" w:color="76923C" w:themeColor="accent3" w:themeShade="BF"/>
            </w:tcBorders>
            <w:shd w:val="clear" w:color="auto" w:fill="FFFFFF"/>
            <w:vAlign w:val="bottom"/>
          </w:tcPr>
          <w:p w14:paraId="4A6CB50B" w14:textId="77777777" w:rsidR="008B6282" w:rsidRPr="00856B08" w:rsidRDefault="008B6282" w:rsidP="006261AD">
            <w:pPr>
              <w:pStyle w:val="CETBodytext"/>
              <w:jc w:val="center"/>
              <w:rPr>
                <w:rFonts w:cs="Arial"/>
                <w:szCs w:val="18"/>
              </w:rPr>
            </w:pPr>
            <w:r w:rsidRPr="00BB16B4">
              <w:rPr>
                <w:rFonts w:cs="Arial"/>
                <w:color w:val="000000"/>
                <w:szCs w:val="18"/>
              </w:rPr>
              <w:t>1</w:t>
            </w:r>
            <w:r>
              <w:rPr>
                <w:rFonts w:cs="Arial"/>
                <w:color w:val="000000"/>
                <w:szCs w:val="18"/>
              </w:rPr>
              <w:t>9</w:t>
            </w:r>
          </w:p>
        </w:tc>
        <w:tc>
          <w:tcPr>
            <w:tcW w:w="709" w:type="dxa"/>
            <w:tcBorders>
              <w:top w:val="single" w:sz="4" w:space="0" w:color="76923C" w:themeColor="accent3" w:themeShade="BF"/>
              <w:bottom w:val="single" w:sz="4" w:space="0" w:color="76923C" w:themeColor="accent3" w:themeShade="BF"/>
            </w:tcBorders>
            <w:shd w:val="clear" w:color="auto" w:fill="FFFFFF"/>
            <w:vAlign w:val="bottom"/>
          </w:tcPr>
          <w:p w14:paraId="476A3FC9" w14:textId="77777777" w:rsidR="008B6282" w:rsidRPr="00856B08" w:rsidRDefault="008B6282" w:rsidP="006261AD">
            <w:pPr>
              <w:pStyle w:val="CETBodytext"/>
              <w:jc w:val="center"/>
              <w:rPr>
                <w:rFonts w:cs="Arial"/>
                <w:szCs w:val="18"/>
              </w:rPr>
            </w:pPr>
            <w:r w:rsidRPr="00BB16B4">
              <w:rPr>
                <w:rFonts w:cs="Arial"/>
                <w:color w:val="000000"/>
                <w:szCs w:val="18"/>
              </w:rPr>
              <w:t>L-20</w:t>
            </w:r>
          </w:p>
        </w:tc>
        <w:tc>
          <w:tcPr>
            <w:tcW w:w="850" w:type="dxa"/>
            <w:tcBorders>
              <w:top w:val="single" w:sz="4" w:space="0" w:color="76923C" w:themeColor="accent3" w:themeShade="BF"/>
              <w:bottom w:val="single" w:sz="4" w:space="0" w:color="76923C" w:themeColor="accent3" w:themeShade="BF"/>
            </w:tcBorders>
            <w:shd w:val="clear" w:color="auto" w:fill="FFFFFF"/>
            <w:vAlign w:val="bottom"/>
          </w:tcPr>
          <w:p w14:paraId="521DE539" w14:textId="77777777" w:rsidR="008B6282" w:rsidRPr="00856B08" w:rsidRDefault="008B6282" w:rsidP="006261AD">
            <w:pPr>
              <w:pStyle w:val="CETBodytext"/>
              <w:jc w:val="center"/>
              <w:rPr>
                <w:rFonts w:cs="Arial"/>
                <w:szCs w:val="18"/>
              </w:rPr>
            </w:pPr>
            <w:r w:rsidRPr="00BB16B4">
              <w:rPr>
                <w:rFonts w:cs="Arial"/>
                <w:color w:val="000000"/>
                <w:szCs w:val="18"/>
              </w:rPr>
              <w:t>2x4</w:t>
            </w:r>
          </w:p>
        </w:tc>
        <w:tc>
          <w:tcPr>
            <w:tcW w:w="851" w:type="dxa"/>
            <w:tcBorders>
              <w:top w:val="single" w:sz="4" w:space="0" w:color="76923C" w:themeColor="accent3" w:themeShade="BF"/>
              <w:bottom w:val="single" w:sz="4" w:space="0" w:color="76923C" w:themeColor="accent3" w:themeShade="BF"/>
            </w:tcBorders>
            <w:shd w:val="clear" w:color="auto" w:fill="FFFFFF"/>
            <w:vAlign w:val="bottom"/>
          </w:tcPr>
          <w:p w14:paraId="5FEFA86D" w14:textId="77777777" w:rsidR="008B6282" w:rsidRPr="00856B08" w:rsidRDefault="008B6282" w:rsidP="006261AD">
            <w:pPr>
              <w:pStyle w:val="CETBodytext"/>
              <w:jc w:val="center"/>
              <w:rPr>
                <w:rFonts w:cs="Arial"/>
                <w:szCs w:val="18"/>
              </w:rPr>
            </w:pPr>
            <w:r w:rsidRPr="00BB16B4">
              <w:rPr>
                <w:rFonts w:cs="Arial"/>
                <w:color w:val="000000"/>
                <w:szCs w:val="18"/>
              </w:rPr>
              <w:t>15</w:t>
            </w:r>
          </w:p>
        </w:tc>
        <w:tc>
          <w:tcPr>
            <w:tcW w:w="850" w:type="dxa"/>
            <w:tcBorders>
              <w:top w:val="single" w:sz="4" w:space="0" w:color="76923C" w:themeColor="accent3" w:themeShade="BF"/>
              <w:bottom w:val="single" w:sz="4" w:space="0" w:color="76923C" w:themeColor="accent3" w:themeShade="BF"/>
            </w:tcBorders>
            <w:shd w:val="clear" w:color="auto" w:fill="FFFFFF"/>
            <w:vAlign w:val="bottom"/>
          </w:tcPr>
          <w:p w14:paraId="081D4CF2" w14:textId="77777777" w:rsidR="008B6282" w:rsidRPr="00856B08" w:rsidRDefault="008B6282" w:rsidP="006261AD">
            <w:pPr>
              <w:pStyle w:val="CETBodytext"/>
              <w:jc w:val="center"/>
              <w:rPr>
                <w:rFonts w:cs="Arial"/>
                <w:szCs w:val="18"/>
              </w:rPr>
            </w:pPr>
            <w:r w:rsidRPr="00BB16B4">
              <w:rPr>
                <w:rFonts w:cs="Arial"/>
                <w:color w:val="000000"/>
                <w:szCs w:val="18"/>
              </w:rPr>
              <w:t>1</w:t>
            </w:r>
            <w:r>
              <w:rPr>
                <w:rFonts w:cs="Arial"/>
                <w:color w:val="000000"/>
                <w:szCs w:val="18"/>
              </w:rPr>
              <w:t>,</w:t>
            </w:r>
            <w:r w:rsidRPr="00BB16B4">
              <w:rPr>
                <w:rFonts w:cs="Arial"/>
                <w:color w:val="000000"/>
                <w:szCs w:val="18"/>
              </w:rPr>
              <w:t>100</w:t>
            </w:r>
          </w:p>
        </w:tc>
        <w:tc>
          <w:tcPr>
            <w:tcW w:w="992" w:type="dxa"/>
            <w:tcBorders>
              <w:top w:val="single" w:sz="4" w:space="0" w:color="76923C" w:themeColor="accent3" w:themeShade="BF"/>
              <w:bottom w:val="single" w:sz="4" w:space="0" w:color="76923C" w:themeColor="accent3" w:themeShade="BF"/>
            </w:tcBorders>
            <w:shd w:val="clear" w:color="auto" w:fill="FFFFFF"/>
            <w:vAlign w:val="bottom"/>
          </w:tcPr>
          <w:p w14:paraId="671D903E" w14:textId="77777777" w:rsidR="008B6282" w:rsidRPr="00856B08" w:rsidRDefault="008B6282" w:rsidP="006261AD">
            <w:pPr>
              <w:pStyle w:val="CETBodytext"/>
              <w:jc w:val="center"/>
              <w:rPr>
                <w:rFonts w:cs="Arial"/>
                <w:szCs w:val="18"/>
              </w:rPr>
            </w:pPr>
            <w:r w:rsidRPr="00BB16B4">
              <w:rPr>
                <w:rFonts w:cs="Arial"/>
                <w:color w:val="000000"/>
                <w:szCs w:val="18"/>
              </w:rPr>
              <w:t>2</w:t>
            </w:r>
            <w:r>
              <w:rPr>
                <w:rFonts w:cs="Arial"/>
                <w:color w:val="000000"/>
                <w:szCs w:val="18"/>
              </w:rPr>
              <w:t>,</w:t>
            </w:r>
            <w:r w:rsidRPr="00BB16B4">
              <w:rPr>
                <w:rFonts w:cs="Arial"/>
                <w:color w:val="000000"/>
                <w:szCs w:val="18"/>
              </w:rPr>
              <w:t>900</w:t>
            </w:r>
          </w:p>
        </w:tc>
      </w:tr>
      <w:tr w:rsidR="008B6282" w:rsidRPr="00B57B36" w14:paraId="658E3D14" w14:textId="77777777" w:rsidTr="001640DD">
        <w:tc>
          <w:tcPr>
            <w:tcW w:w="851" w:type="dxa"/>
            <w:tcBorders>
              <w:top w:val="single" w:sz="4" w:space="0" w:color="76923C" w:themeColor="accent3" w:themeShade="BF"/>
            </w:tcBorders>
            <w:shd w:val="clear" w:color="auto" w:fill="FFFFFF"/>
            <w:vAlign w:val="bottom"/>
          </w:tcPr>
          <w:p w14:paraId="75ECBAFB" w14:textId="77777777" w:rsidR="008B6282" w:rsidRPr="00856B08" w:rsidRDefault="008B6282" w:rsidP="006261AD">
            <w:pPr>
              <w:pStyle w:val="CETBodytext"/>
              <w:jc w:val="center"/>
              <w:rPr>
                <w:rFonts w:cs="Arial"/>
                <w:szCs w:val="18"/>
              </w:rPr>
            </w:pPr>
            <w:r>
              <w:rPr>
                <w:rFonts w:cs="Arial"/>
                <w:color w:val="000000"/>
                <w:szCs w:val="18"/>
              </w:rPr>
              <w:t>20</w:t>
            </w:r>
          </w:p>
        </w:tc>
        <w:tc>
          <w:tcPr>
            <w:tcW w:w="709" w:type="dxa"/>
            <w:tcBorders>
              <w:top w:val="single" w:sz="4" w:space="0" w:color="76923C" w:themeColor="accent3" w:themeShade="BF"/>
            </w:tcBorders>
            <w:shd w:val="clear" w:color="auto" w:fill="FFFFFF"/>
            <w:vAlign w:val="bottom"/>
          </w:tcPr>
          <w:p w14:paraId="15CE141D" w14:textId="77777777" w:rsidR="008B6282" w:rsidRPr="00856B08" w:rsidRDefault="008B6282" w:rsidP="006261AD">
            <w:pPr>
              <w:pStyle w:val="CETBodytext"/>
              <w:jc w:val="center"/>
              <w:rPr>
                <w:rFonts w:cs="Arial"/>
                <w:szCs w:val="18"/>
              </w:rPr>
            </w:pPr>
            <w:r w:rsidRPr="00BB16B4">
              <w:rPr>
                <w:rFonts w:cs="Arial"/>
                <w:color w:val="000000"/>
                <w:szCs w:val="18"/>
              </w:rPr>
              <w:t>L-20</w:t>
            </w:r>
          </w:p>
        </w:tc>
        <w:tc>
          <w:tcPr>
            <w:tcW w:w="850" w:type="dxa"/>
            <w:tcBorders>
              <w:top w:val="single" w:sz="4" w:space="0" w:color="76923C" w:themeColor="accent3" w:themeShade="BF"/>
            </w:tcBorders>
            <w:shd w:val="clear" w:color="auto" w:fill="FFFFFF"/>
            <w:vAlign w:val="bottom"/>
          </w:tcPr>
          <w:p w14:paraId="1DE669CA" w14:textId="77777777" w:rsidR="008B6282" w:rsidRPr="00856B08" w:rsidRDefault="008B6282" w:rsidP="006261AD">
            <w:pPr>
              <w:pStyle w:val="CETBodytext"/>
              <w:jc w:val="center"/>
              <w:rPr>
                <w:rFonts w:cs="Arial"/>
                <w:szCs w:val="18"/>
              </w:rPr>
            </w:pPr>
            <w:r w:rsidRPr="00BB16B4">
              <w:rPr>
                <w:rFonts w:cs="Arial"/>
                <w:color w:val="000000"/>
                <w:szCs w:val="18"/>
              </w:rPr>
              <w:t>4x4</w:t>
            </w:r>
          </w:p>
        </w:tc>
        <w:tc>
          <w:tcPr>
            <w:tcW w:w="851" w:type="dxa"/>
            <w:tcBorders>
              <w:top w:val="single" w:sz="4" w:space="0" w:color="76923C" w:themeColor="accent3" w:themeShade="BF"/>
            </w:tcBorders>
            <w:shd w:val="clear" w:color="auto" w:fill="FFFFFF"/>
            <w:vAlign w:val="bottom"/>
          </w:tcPr>
          <w:p w14:paraId="2B752846" w14:textId="77777777" w:rsidR="008B6282" w:rsidRPr="00856B08" w:rsidRDefault="008B6282" w:rsidP="006261AD">
            <w:pPr>
              <w:pStyle w:val="CETBodytext"/>
              <w:jc w:val="center"/>
              <w:rPr>
                <w:rFonts w:cs="Arial"/>
                <w:szCs w:val="18"/>
              </w:rPr>
            </w:pPr>
            <w:r w:rsidRPr="00BB16B4">
              <w:rPr>
                <w:rFonts w:cs="Arial"/>
                <w:color w:val="000000"/>
                <w:szCs w:val="18"/>
              </w:rPr>
              <w:t>15</w:t>
            </w:r>
          </w:p>
        </w:tc>
        <w:tc>
          <w:tcPr>
            <w:tcW w:w="850" w:type="dxa"/>
            <w:tcBorders>
              <w:top w:val="single" w:sz="4" w:space="0" w:color="76923C" w:themeColor="accent3" w:themeShade="BF"/>
            </w:tcBorders>
            <w:shd w:val="clear" w:color="auto" w:fill="FFFFFF"/>
            <w:vAlign w:val="bottom"/>
          </w:tcPr>
          <w:p w14:paraId="4896E09E" w14:textId="77777777" w:rsidR="008B6282" w:rsidRPr="00856B08" w:rsidRDefault="008B6282" w:rsidP="006261AD">
            <w:pPr>
              <w:pStyle w:val="CETBodytext"/>
              <w:jc w:val="center"/>
              <w:rPr>
                <w:rFonts w:cs="Arial"/>
                <w:szCs w:val="18"/>
              </w:rPr>
            </w:pPr>
            <w:r w:rsidRPr="00BB16B4">
              <w:rPr>
                <w:rFonts w:cs="Arial"/>
                <w:color w:val="000000"/>
                <w:szCs w:val="18"/>
              </w:rPr>
              <w:t>1</w:t>
            </w:r>
            <w:r>
              <w:rPr>
                <w:rFonts w:cs="Arial"/>
                <w:color w:val="000000"/>
                <w:szCs w:val="18"/>
              </w:rPr>
              <w:t>,</w:t>
            </w:r>
            <w:r w:rsidRPr="00BB16B4">
              <w:rPr>
                <w:rFonts w:cs="Arial"/>
                <w:color w:val="000000"/>
                <w:szCs w:val="18"/>
              </w:rPr>
              <w:t>179</w:t>
            </w:r>
          </w:p>
        </w:tc>
        <w:tc>
          <w:tcPr>
            <w:tcW w:w="992" w:type="dxa"/>
            <w:tcBorders>
              <w:top w:val="single" w:sz="4" w:space="0" w:color="76923C" w:themeColor="accent3" w:themeShade="BF"/>
            </w:tcBorders>
            <w:shd w:val="clear" w:color="auto" w:fill="FFFFFF"/>
            <w:vAlign w:val="bottom"/>
          </w:tcPr>
          <w:p w14:paraId="5F33E969" w14:textId="77777777" w:rsidR="008B6282" w:rsidRPr="00856B08" w:rsidRDefault="008B6282" w:rsidP="006261AD">
            <w:pPr>
              <w:pStyle w:val="CETBodytext"/>
              <w:jc w:val="center"/>
              <w:rPr>
                <w:rFonts w:cs="Arial"/>
                <w:szCs w:val="18"/>
              </w:rPr>
            </w:pPr>
            <w:r w:rsidRPr="00BB16B4">
              <w:rPr>
                <w:rFonts w:cs="Arial"/>
                <w:color w:val="000000"/>
                <w:szCs w:val="18"/>
              </w:rPr>
              <w:t>3</w:t>
            </w:r>
            <w:r>
              <w:rPr>
                <w:rFonts w:cs="Arial"/>
                <w:color w:val="000000"/>
                <w:szCs w:val="18"/>
              </w:rPr>
              <w:t>,</w:t>
            </w:r>
            <w:r w:rsidRPr="00BB16B4">
              <w:rPr>
                <w:rFonts w:cs="Arial"/>
                <w:color w:val="000000"/>
                <w:szCs w:val="18"/>
              </w:rPr>
              <w:t>135</w:t>
            </w:r>
          </w:p>
        </w:tc>
      </w:tr>
    </w:tbl>
    <w:p w14:paraId="1CCA239A" w14:textId="77777777" w:rsidR="008B6282" w:rsidRDefault="008B6282" w:rsidP="008B6282">
      <w:pPr>
        <w:pStyle w:val="CETBodytext"/>
      </w:pPr>
    </w:p>
    <w:p w14:paraId="11C47DAD" w14:textId="5A08708C" w:rsidR="008B6282" w:rsidRDefault="003F7490" w:rsidP="008B6282">
      <w:pPr>
        <w:pStyle w:val="CETBodytext"/>
      </w:pPr>
      <w:r w:rsidRPr="003F7490">
        <w:rPr>
          <w:noProof/>
        </w:rPr>
        <w:drawing>
          <wp:inline distT="0" distB="0" distL="0" distR="0" wp14:anchorId="10D2872D" wp14:editId="22382CC1">
            <wp:extent cx="5579745" cy="2790190"/>
            <wp:effectExtent l="0" t="0" r="1905" b="0"/>
            <wp:docPr id="12527944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794425"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579745" cy="2790190"/>
                    </a:xfrm>
                    <a:prstGeom prst="rect">
                      <a:avLst/>
                    </a:prstGeom>
                  </pic:spPr>
                </pic:pic>
              </a:graphicData>
            </a:graphic>
          </wp:inline>
        </w:drawing>
      </w:r>
    </w:p>
    <w:p w14:paraId="3A160833" w14:textId="23CE9144" w:rsidR="008B6282" w:rsidRPr="00BD077D" w:rsidRDefault="008B6282" w:rsidP="008B6282">
      <w:pPr>
        <w:pStyle w:val="CETCaption"/>
      </w:pPr>
      <w:r w:rsidRPr="00BD077D">
        <w:rPr>
          <w:rStyle w:val="CETCaptionCarattere"/>
          <w:i/>
        </w:rPr>
        <w:t xml:space="preserve">Figure </w:t>
      </w:r>
      <w:r>
        <w:rPr>
          <w:rStyle w:val="CETCaptionCarattere"/>
          <w:i/>
        </w:rPr>
        <w:t>2</w:t>
      </w:r>
      <w:r w:rsidRPr="00BD077D">
        <w:rPr>
          <w:rStyle w:val="CETCaptionCarattere"/>
          <w:i/>
        </w:rPr>
        <w:t xml:space="preserve">: </w:t>
      </w:r>
      <w:r>
        <w:rPr>
          <w:rStyle w:val="CETCaptionCarattere"/>
          <w:i/>
        </w:rPr>
        <w:t>Vertical profile</w:t>
      </w:r>
      <w:r w:rsidR="003C172A">
        <w:rPr>
          <w:rStyle w:val="CETCaptionCarattere"/>
          <w:i/>
        </w:rPr>
        <w:t xml:space="preserve"> </w:t>
      </w:r>
      <w:r>
        <w:rPr>
          <w:rStyle w:val="CETCaptionCarattere"/>
          <w:i/>
        </w:rPr>
        <w:t>of the dispersed cloud</w:t>
      </w:r>
      <w:r w:rsidR="003C172A">
        <w:rPr>
          <w:rStyle w:val="CETCaptionCarattere"/>
          <w:i/>
        </w:rPr>
        <w:t xml:space="preserve"> (</w:t>
      </w:r>
      <w:r w:rsidR="008A3F92">
        <w:rPr>
          <w:rStyle w:val="CETCaptionCarattere"/>
          <w:i/>
        </w:rPr>
        <w:t xml:space="preserve">plotted </w:t>
      </w:r>
      <w:r w:rsidR="003C172A">
        <w:rPr>
          <w:rStyle w:val="CETCaptionCarattere"/>
          <w:i/>
        </w:rPr>
        <w:t xml:space="preserve">at the </w:t>
      </w:r>
      <w:r w:rsidR="008A3F92" w:rsidRPr="008A3F92">
        <w:rPr>
          <w:rStyle w:val="CETCaptionCarattere"/>
          <w:rFonts w:ascii="Times New Roman" w:hAnsi="Times New Roman"/>
          <w:i/>
        </w:rPr>
        <w:t>y</w:t>
      </w:r>
      <w:r w:rsidR="008A3F92">
        <w:rPr>
          <w:rStyle w:val="CETCaptionCarattere"/>
          <w:i/>
        </w:rPr>
        <w:t>-</w:t>
      </w:r>
      <w:r w:rsidR="003C172A">
        <w:rPr>
          <w:rStyle w:val="CETCaptionCarattere"/>
          <w:i/>
        </w:rPr>
        <w:t>coordinate of the leak)</w:t>
      </w:r>
      <w:r>
        <w:rPr>
          <w:rStyle w:val="CETCaptionCarattere"/>
          <w:i/>
        </w:rPr>
        <w:t xml:space="preserve"> for some selected scenarios.</w:t>
      </w:r>
      <w:r w:rsidR="00E46A6D">
        <w:rPr>
          <w:rStyle w:val="CETCaptionCarattere"/>
          <w:i/>
        </w:rPr>
        <w:t xml:space="preserve"> </w:t>
      </w:r>
      <w:r w:rsidR="00E46A6D" w:rsidRPr="00E026C2">
        <w:rPr>
          <w:rFonts w:ascii="Times New Roman" w:hAnsi="Times New Roman"/>
          <w:iCs/>
        </w:rPr>
        <w:t>ER</w:t>
      </w:r>
      <w:r w:rsidR="00E46A6D">
        <w:rPr>
          <w:rFonts w:ascii="Times New Roman" w:hAnsi="Times New Roman"/>
          <w:iCs/>
        </w:rPr>
        <w:t> </w:t>
      </w:r>
      <w:r w:rsidR="00E46A6D">
        <w:t xml:space="preserve">= 0.52 and </w:t>
      </w:r>
      <w:r w:rsidR="00E46A6D" w:rsidRPr="00E026C2">
        <w:rPr>
          <w:rFonts w:ascii="Times New Roman" w:hAnsi="Times New Roman"/>
          <w:iCs/>
        </w:rPr>
        <w:t>ER</w:t>
      </w:r>
      <w:r w:rsidR="00E46A6D">
        <w:rPr>
          <w:rFonts w:ascii="Times New Roman" w:hAnsi="Times New Roman"/>
          <w:iCs/>
        </w:rPr>
        <w:t> </w:t>
      </w:r>
      <w:r w:rsidR="00E46A6D">
        <w:t xml:space="preserve">= 2.40 correspond to LFL and UFL </w:t>
      </w:r>
      <w:r w:rsidR="008A3F92">
        <w:t>in</w:t>
      </w:r>
      <w:r w:rsidR="00E46A6D">
        <w:t xml:space="preserve"> </w:t>
      </w:r>
      <w:r w:rsidR="008A3F92">
        <w:t xml:space="preserve">a </w:t>
      </w:r>
      <w:r w:rsidR="00E46A6D">
        <w:t>propane</w:t>
      </w:r>
      <w:r w:rsidR="008A3F92">
        <w:t>-air mixture</w:t>
      </w:r>
      <w:r w:rsidR="00F26830">
        <w:t>.</w:t>
      </w:r>
    </w:p>
    <w:p w14:paraId="7A4568C3" w14:textId="569F21DC" w:rsidR="008B6282" w:rsidRPr="00FD70B5" w:rsidRDefault="008B6282" w:rsidP="008B6282">
      <w:pPr>
        <w:pStyle w:val="CETBodytext"/>
        <w:rPr>
          <w:lang w:val="en-GB"/>
        </w:rPr>
      </w:pPr>
      <w:r>
        <w:rPr>
          <w:lang w:val="en-GB"/>
        </w:rPr>
        <w:t>The influence of different parameters (besides the leak properties) was studied for a few selected scenarios. Figure 3</w:t>
      </w:r>
      <w:r w:rsidR="00A66681">
        <w:rPr>
          <w:lang w:val="en-GB"/>
        </w:rPr>
        <w:t> </w:t>
      </w:r>
      <w:r>
        <w:rPr>
          <w:lang w:val="en-GB"/>
        </w:rPr>
        <w:t xml:space="preserve">a) shows average </w:t>
      </w:r>
      <w:r w:rsidRPr="00FB7C35">
        <w:rPr>
          <w:rFonts w:ascii="Times New Roman" w:hAnsi="Times New Roman"/>
          <w:i/>
          <w:iCs/>
        </w:rPr>
        <w:t>V</w:t>
      </w:r>
      <w:r w:rsidRPr="00FB7C35">
        <w:rPr>
          <w:rFonts w:ascii="Times New Roman" w:hAnsi="Times New Roman"/>
          <w:i/>
          <w:iCs/>
          <w:vertAlign w:val="subscript"/>
        </w:rPr>
        <w:t>Q9</w:t>
      </w:r>
      <w:r>
        <w:rPr>
          <w:lang w:val="en-GB"/>
        </w:rPr>
        <w:t xml:space="preserve"> for different leak types and number of vehicles, normalized based on </w:t>
      </w:r>
      <w:r w:rsidRPr="00FB7C35">
        <w:rPr>
          <w:rFonts w:ascii="Times New Roman" w:hAnsi="Times New Roman"/>
          <w:i/>
          <w:iCs/>
        </w:rPr>
        <w:t>V</w:t>
      </w:r>
      <w:r w:rsidRPr="00FB7C35">
        <w:rPr>
          <w:rFonts w:ascii="Times New Roman" w:hAnsi="Times New Roman"/>
          <w:i/>
          <w:iCs/>
          <w:vertAlign w:val="subscript"/>
        </w:rPr>
        <w:t>Q9</w:t>
      </w:r>
      <w:r>
        <w:rPr>
          <w:lang w:val="en-GB"/>
        </w:rPr>
        <w:t xml:space="preserve"> for the </w:t>
      </w:r>
      <w:r>
        <w:rPr>
          <w:lang w:val="en-GB"/>
        </w:rPr>
        <w:lastRenderedPageBreak/>
        <w:t xml:space="preserve">respective scenarios without vehicles. For all studied cases, introducing </w:t>
      </w:r>
      <w:r w:rsidRPr="00060537">
        <w:rPr>
          <w:lang w:val="en-GB"/>
        </w:rPr>
        <w:t xml:space="preserve">vehicles in the scenario resulted in an increase of the </w:t>
      </w:r>
      <w:r w:rsidR="00B90975" w:rsidRPr="00060537">
        <w:rPr>
          <w:lang w:val="en-GB"/>
        </w:rPr>
        <w:t xml:space="preserve">volume of the </w:t>
      </w:r>
      <w:r w:rsidRPr="00060537">
        <w:rPr>
          <w:lang w:val="en-GB"/>
        </w:rPr>
        <w:t xml:space="preserve">ESC. This effect was particularly strong for leak L-20. </w:t>
      </w:r>
      <w:r w:rsidR="008E77B3">
        <w:rPr>
          <w:lang w:val="en-GB"/>
        </w:rPr>
        <w:t>However, t</w:t>
      </w:r>
      <w:r w:rsidRPr="00060537">
        <w:rPr>
          <w:lang w:val="en-GB"/>
        </w:rPr>
        <w:t xml:space="preserve">his </w:t>
      </w:r>
      <w:r w:rsidR="00B90975" w:rsidRPr="00060537">
        <w:rPr>
          <w:lang w:val="en-GB"/>
        </w:rPr>
        <w:t xml:space="preserve">enhancing </w:t>
      </w:r>
      <w:r w:rsidRPr="00060537">
        <w:rPr>
          <w:lang w:val="en-GB"/>
        </w:rPr>
        <w:t xml:space="preserve">effect </w:t>
      </w:r>
      <w:r w:rsidR="003F7490" w:rsidRPr="00060537">
        <w:rPr>
          <w:lang w:val="en-GB"/>
        </w:rPr>
        <w:t>wa</w:t>
      </w:r>
      <w:r w:rsidRPr="00060537">
        <w:rPr>
          <w:lang w:val="en-GB"/>
        </w:rPr>
        <w:t xml:space="preserve">s not </w:t>
      </w:r>
      <w:r w:rsidR="00B90975" w:rsidRPr="00060537">
        <w:rPr>
          <w:lang w:val="en-GB"/>
        </w:rPr>
        <w:t xml:space="preserve">as </w:t>
      </w:r>
      <w:r w:rsidR="008E77B3">
        <w:rPr>
          <w:lang w:val="en-GB"/>
        </w:rPr>
        <w:t>significant</w:t>
      </w:r>
      <w:r w:rsidRPr="00060537">
        <w:rPr>
          <w:lang w:val="en-GB"/>
        </w:rPr>
        <w:t xml:space="preserve"> for L-50</w:t>
      </w:r>
      <w:r w:rsidR="008E77B3">
        <w:rPr>
          <w:lang w:val="en-GB"/>
        </w:rPr>
        <w:t>,</w:t>
      </w:r>
      <w:r w:rsidRPr="00060537">
        <w:rPr>
          <w:lang w:val="en-GB"/>
        </w:rPr>
        <w:t xml:space="preserve"> </w:t>
      </w:r>
      <w:r w:rsidR="00B90975" w:rsidRPr="00060537">
        <w:rPr>
          <w:lang w:val="en-GB"/>
        </w:rPr>
        <w:t xml:space="preserve">possibly because </w:t>
      </w:r>
      <w:r w:rsidRPr="00060537">
        <w:rPr>
          <w:lang w:val="en-GB"/>
        </w:rPr>
        <w:t xml:space="preserve">the vehicles </w:t>
      </w:r>
      <w:r w:rsidR="00B90975" w:rsidRPr="00060537">
        <w:rPr>
          <w:lang w:val="en-GB"/>
        </w:rPr>
        <w:t>were</w:t>
      </w:r>
      <w:r w:rsidRPr="00060537">
        <w:rPr>
          <w:lang w:val="en-GB"/>
        </w:rPr>
        <w:t xml:space="preserve"> largely located within the rich region of the mixture</w:t>
      </w:r>
      <w:r w:rsidR="008E77B3">
        <w:rPr>
          <w:lang w:val="en-GB"/>
        </w:rPr>
        <w:t xml:space="preserve"> in the L-50 scenarios</w:t>
      </w:r>
      <w:r w:rsidRPr="00060537">
        <w:rPr>
          <w:lang w:val="en-GB"/>
        </w:rPr>
        <w:t>. In Figure 3</w:t>
      </w:r>
      <w:r w:rsidR="00B90975" w:rsidRPr="00060537">
        <w:rPr>
          <w:lang w:val="en-GB"/>
        </w:rPr>
        <w:t> </w:t>
      </w:r>
      <w:r w:rsidRPr="00060537">
        <w:rPr>
          <w:lang w:val="en-GB"/>
        </w:rPr>
        <w:t>b), the influence of the wind speed on Scenario 3 was evaluated. The results showed that lower wind</w:t>
      </w:r>
      <w:r>
        <w:rPr>
          <w:lang w:val="en-GB"/>
        </w:rPr>
        <w:t xml:space="preserve"> speeds allow</w:t>
      </w:r>
      <w:r w:rsidR="0023578C">
        <w:rPr>
          <w:lang w:val="en-GB"/>
        </w:rPr>
        <w:t>ed</w:t>
      </w:r>
      <w:r>
        <w:rPr>
          <w:lang w:val="en-GB"/>
        </w:rPr>
        <w:t xml:space="preserve"> for more optimal mixing of propane and air resulting in greater ESC. Finally, the influence of a noise barrier (length 100</w:t>
      </w:r>
      <w:r w:rsidR="009370A0">
        <w:rPr>
          <w:lang w:val="en-GB"/>
        </w:rPr>
        <w:t> </w:t>
      </w:r>
      <w:r>
        <w:rPr>
          <w:lang w:val="en-GB"/>
        </w:rPr>
        <w:t>m</w:t>
      </w:r>
      <w:r w:rsidR="009370A0">
        <w:rPr>
          <w:lang w:val="en-GB"/>
        </w:rPr>
        <w:t xml:space="preserve"> and</w:t>
      </w:r>
      <w:r>
        <w:rPr>
          <w:lang w:val="en-GB"/>
        </w:rPr>
        <w:t xml:space="preserve"> height</w:t>
      </w:r>
      <w:r w:rsidR="009370A0">
        <w:rPr>
          <w:lang w:val="en-GB"/>
        </w:rPr>
        <w:t> </w:t>
      </w:r>
      <w:r>
        <w:rPr>
          <w:lang w:val="en-GB"/>
        </w:rPr>
        <w:t xml:space="preserve">4 m) parallel to the road was investigated for Scenario 3. The noise barrier was placed at </w:t>
      </w:r>
      <w:r w:rsidR="0023578C">
        <w:rPr>
          <w:lang w:val="en-GB"/>
        </w:rPr>
        <w:t>two</w:t>
      </w:r>
      <w:r>
        <w:rPr>
          <w:lang w:val="en-GB"/>
        </w:rPr>
        <w:t xml:space="preserve"> different distances from the vehicles. </w:t>
      </w:r>
      <w:r w:rsidR="009370A0">
        <w:rPr>
          <w:lang w:val="en-GB"/>
        </w:rPr>
        <w:t xml:space="preserve">The results suggest that </w:t>
      </w:r>
      <w:r>
        <w:rPr>
          <w:lang w:val="en-GB"/>
        </w:rPr>
        <w:t>a barrier close to the vehicles may</w:t>
      </w:r>
      <w:r w:rsidR="0023578C">
        <w:rPr>
          <w:lang w:val="en-GB"/>
        </w:rPr>
        <w:t xml:space="preserve"> lead to a</w:t>
      </w:r>
      <w:r>
        <w:rPr>
          <w:lang w:val="en-GB"/>
        </w:rPr>
        <w:t xml:space="preserve"> significant</w:t>
      </w:r>
      <w:r w:rsidR="0023578C">
        <w:rPr>
          <w:lang w:val="en-GB"/>
        </w:rPr>
        <w:t xml:space="preserve"> increase of the</w:t>
      </w:r>
      <w:r>
        <w:rPr>
          <w:lang w:val="en-GB"/>
        </w:rPr>
        <w:t xml:space="preserve"> ESC, </w:t>
      </w:r>
      <w:r w:rsidR="009370A0">
        <w:rPr>
          <w:lang w:val="en-GB"/>
        </w:rPr>
        <w:t>though</w:t>
      </w:r>
      <w:r>
        <w:rPr>
          <w:lang w:val="en-GB"/>
        </w:rPr>
        <w:t xml:space="preserve"> this effect diminishe</w:t>
      </w:r>
      <w:r w:rsidR="009370A0">
        <w:rPr>
          <w:lang w:val="en-GB"/>
        </w:rPr>
        <w:t>s</w:t>
      </w:r>
      <w:r>
        <w:rPr>
          <w:lang w:val="en-GB"/>
        </w:rPr>
        <w:t xml:space="preserve"> for barrier</w:t>
      </w:r>
      <w:r w:rsidR="0023578C">
        <w:rPr>
          <w:lang w:val="en-GB"/>
        </w:rPr>
        <w:t>s</w:t>
      </w:r>
      <w:r>
        <w:rPr>
          <w:lang w:val="en-GB"/>
        </w:rPr>
        <w:t xml:space="preserve"> located further away. </w:t>
      </w:r>
    </w:p>
    <w:p w14:paraId="53D0F1AE" w14:textId="77777777" w:rsidR="008B6282" w:rsidRPr="009370A0" w:rsidRDefault="008B6282" w:rsidP="008B6282">
      <w:pPr>
        <w:pStyle w:val="CETBodytext"/>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7"/>
        <w:gridCol w:w="2365"/>
        <w:gridCol w:w="2365"/>
      </w:tblGrid>
      <w:tr w:rsidR="008B6282" w14:paraId="0C0DBF71" w14:textId="77777777" w:rsidTr="001640DD">
        <w:tc>
          <w:tcPr>
            <w:tcW w:w="2925" w:type="dxa"/>
          </w:tcPr>
          <w:p w14:paraId="11D48F55" w14:textId="77777777" w:rsidR="008B6282" w:rsidRDefault="008B6282" w:rsidP="001640DD">
            <w:pPr>
              <w:pStyle w:val="CETBodytext"/>
            </w:pPr>
            <w:r>
              <w:t>a)</w:t>
            </w:r>
          </w:p>
        </w:tc>
        <w:tc>
          <w:tcPr>
            <w:tcW w:w="2926" w:type="dxa"/>
          </w:tcPr>
          <w:p w14:paraId="228B71AB" w14:textId="77777777" w:rsidR="008B6282" w:rsidRDefault="008B6282" w:rsidP="001640DD">
            <w:pPr>
              <w:pStyle w:val="CETBodytext"/>
            </w:pPr>
            <w:r>
              <w:t>b)</w:t>
            </w:r>
          </w:p>
        </w:tc>
        <w:tc>
          <w:tcPr>
            <w:tcW w:w="2926" w:type="dxa"/>
          </w:tcPr>
          <w:p w14:paraId="5A947307" w14:textId="77777777" w:rsidR="008B6282" w:rsidRDefault="008B6282" w:rsidP="001640DD">
            <w:pPr>
              <w:pStyle w:val="CETBodytext"/>
            </w:pPr>
            <w:r>
              <w:t>c)</w:t>
            </w:r>
          </w:p>
        </w:tc>
      </w:tr>
      <w:tr w:rsidR="008B6282" w14:paraId="42EC09B5" w14:textId="77777777" w:rsidTr="001640DD">
        <w:tc>
          <w:tcPr>
            <w:tcW w:w="2925" w:type="dxa"/>
          </w:tcPr>
          <w:p w14:paraId="06761B1C" w14:textId="791F6192" w:rsidR="008B6282" w:rsidRDefault="008344A9" w:rsidP="001640DD">
            <w:pPr>
              <w:pStyle w:val="CETBodytext"/>
            </w:pPr>
            <w:r>
              <w:rPr>
                <w:noProof/>
              </w:rPr>
              <w:drawing>
                <wp:inline distT="0" distB="0" distL="0" distR="0" wp14:anchorId="7AC24BA1" wp14:editId="474583D2">
                  <wp:extent cx="2433600" cy="1620000"/>
                  <wp:effectExtent l="0" t="0" r="5080" b="0"/>
                  <wp:docPr id="20485564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3600" cy="1620000"/>
                          </a:xfrm>
                          <a:prstGeom prst="rect">
                            <a:avLst/>
                          </a:prstGeom>
                          <a:noFill/>
                        </pic:spPr>
                      </pic:pic>
                    </a:graphicData>
                  </a:graphic>
                </wp:inline>
              </w:drawing>
            </w:r>
          </w:p>
        </w:tc>
        <w:tc>
          <w:tcPr>
            <w:tcW w:w="2926" w:type="dxa"/>
          </w:tcPr>
          <w:p w14:paraId="7BFAB877" w14:textId="20E08A41" w:rsidR="008B6282" w:rsidRDefault="00E34E6B" w:rsidP="001640DD">
            <w:pPr>
              <w:pStyle w:val="CETBodytext"/>
            </w:pPr>
            <w:r>
              <w:rPr>
                <w:noProof/>
              </w:rPr>
              <w:drawing>
                <wp:inline distT="0" distB="0" distL="0" distR="0" wp14:anchorId="377B82E2" wp14:editId="6124A944">
                  <wp:extent cx="1350000" cy="1620000"/>
                  <wp:effectExtent l="0" t="0" r="3175" b="0"/>
                  <wp:docPr id="19743248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000" cy="1620000"/>
                          </a:xfrm>
                          <a:prstGeom prst="rect">
                            <a:avLst/>
                          </a:prstGeom>
                          <a:noFill/>
                        </pic:spPr>
                      </pic:pic>
                    </a:graphicData>
                  </a:graphic>
                </wp:inline>
              </w:drawing>
            </w:r>
          </w:p>
        </w:tc>
        <w:tc>
          <w:tcPr>
            <w:tcW w:w="2926" w:type="dxa"/>
          </w:tcPr>
          <w:p w14:paraId="5C83AF61" w14:textId="3A35CA92" w:rsidR="008B6282" w:rsidRDefault="00E34E6B" w:rsidP="001640DD">
            <w:pPr>
              <w:pStyle w:val="CETBodytext"/>
            </w:pPr>
            <w:r>
              <w:rPr>
                <w:noProof/>
              </w:rPr>
              <w:drawing>
                <wp:inline distT="0" distB="0" distL="0" distR="0" wp14:anchorId="08E7ECEE" wp14:editId="3CA92306">
                  <wp:extent cx="1350000" cy="1620000"/>
                  <wp:effectExtent l="0" t="0" r="3175" b="0"/>
                  <wp:docPr id="20385468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50000" cy="1620000"/>
                          </a:xfrm>
                          <a:prstGeom prst="rect">
                            <a:avLst/>
                          </a:prstGeom>
                          <a:noFill/>
                        </pic:spPr>
                      </pic:pic>
                    </a:graphicData>
                  </a:graphic>
                </wp:inline>
              </w:drawing>
            </w:r>
          </w:p>
        </w:tc>
      </w:tr>
    </w:tbl>
    <w:p w14:paraId="743D4D0D" w14:textId="4AD019C0" w:rsidR="008B6282" w:rsidRPr="00BD077D" w:rsidRDefault="008B6282" w:rsidP="008B6282">
      <w:pPr>
        <w:pStyle w:val="CETCaption"/>
      </w:pPr>
      <w:r w:rsidRPr="00BD077D">
        <w:rPr>
          <w:rStyle w:val="CETCaptionCarattere"/>
          <w:i/>
        </w:rPr>
        <w:t xml:space="preserve">Figure </w:t>
      </w:r>
      <w:r>
        <w:rPr>
          <w:rStyle w:val="CETCaptionCarattere"/>
          <w:i/>
        </w:rPr>
        <w:t>3</w:t>
      </w:r>
      <w:r w:rsidRPr="00BD077D">
        <w:rPr>
          <w:rStyle w:val="CETCaptionCarattere"/>
          <w:i/>
        </w:rPr>
        <w:t xml:space="preserve">: </w:t>
      </w:r>
      <w:r>
        <w:rPr>
          <w:rStyle w:val="CETCaptionCarattere"/>
          <w:i/>
        </w:rPr>
        <w:t>Influence of different parameters on the ESC</w:t>
      </w:r>
      <w:r w:rsidR="001C618D">
        <w:rPr>
          <w:rStyle w:val="CETCaptionCarattere"/>
          <w:i/>
        </w:rPr>
        <w:t>.</w:t>
      </w:r>
      <w:r>
        <w:rPr>
          <w:rStyle w:val="CETCaptionCarattere"/>
          <w:i/>
        </w:rPr>
        <w:t xml:space="preserve"> a) number of vehicles, b)</w:t>
      </w:r>
      <w:r w:rsidR="001C618D">
        <w:rPr>
          <w:rStyle w:val="CETCaptionCarattere"/>
          <w:i/>
        </w:rPr>
        <w:t xml:space="preserve"> wind speed (for Scenario 3),</w:t>
      </w:r>
      <w:r>
        <w:rPr>
          <w:rStyle w:val="CETCaptionCarattere"/>
          <w:i/>
        </w:rPr>
        <w:t xml:space="preserve"> c)</w:t>
      </w:r>
      <w:r w:rsidRPr="00BD077D">
        <w:t xml:space="preserve"> </w:t>
      </w:r>
      <w:r w:rsidR="001C618D">
        <w:t>presence of noise barrier (for Scenario 3)</w:t>
      </w:r>
      <w:r>
        <w:t xml:space="preserve">. </w:t>
      </w:r>
    </w:p>
    <w:p w14:paraId="6EC1E5EE" w14:textId="77777777" w:rsidR="008B6282" w:rsidRPr="00675905" w:rsidRDefault="008B6282" w:rsidP="008B6282">
      <w:pPr>
        <w:pStyle w:val="CETHeading1"/>
        <w:rPr>
          <w:lang w:val="en-GB"/>
        </w:rPr>
      </w:pPr>
      <w:r w:rsidRPr="00675905">
        <w:rPr>
          <w:lang w:val="en-GB"/>
        </w:rPr>
        <w:t>Conclusions</w:t>
      </w:r>
    </w:p>
    <w:p w14:paraId="1F9EBF31" w14:textId="3E193568" w:rsidR="008B6282" w:rsidRPr="00FD0E3A" w:rsidRDefault="008B6282" w:rsidP="008B6282">
      <w:pPr>
        <w:pStyle w:val="CETBodytext"/>
        <w:rPr>
          <w:lang w:val="en-GB"/>
        </w:rPr>
      </w:pPr>
      <w:r w:rsidRPr="00CD42CC">
        <w:rPr>
          <w:lang w:val="en-GB"/>
        </w:rPr>
        <w:t>This study conducted a numerical study of LPG dispersion on a road</w:t>
      </w:r>
      <w:r>
        <w:rPr>
          <w:lang w:val="en-GB"/>
        </w:rPr>
        <w:t xml:space="preserve"> for different standard release scenarios</w:t>
      </w:r>
      <w:r w:rsidRPr="00CD42CC">
        <w:rPr>
          <w:lang w:val="en-GB"/>
        </w:rPr>
        <w:t xml:space="preserve">, with particular focus on the transformation of the dispersed cloud into </w:t>
      </w:r>
      <w:r>
        <w:rPr>
          <w:lang w:val="en-GB"/>
        </w:rPr>
        <w:t xml:space="preserve">an </w:t>
      </w:r>
      <w:r w:rsidRPr="00CD42CC">
        <w:rPr>
          <w:lang w:val="en-GB"/>
        </w:rPr>
        <w:t xml:space="preserve">equivalent </w:t>
      </w:r>
      <w:r>
        <w:rPr>
          <w:lang w:val="en-GB"/>
        </w:rPr>
        <w:t>stoichiometric</w:t>
      </w:r>
      <w:r w:rsidRPr="00CD42CC">
        <w:rPr>
          <w:lang w:val="en-GB"/>
        </w:rPr>
        <w:t xml:space="preserve"> cloud</w:t>
      </w:r>
      <w:r>
        <w:rPr>
          <w:lang w:val="en-GB"/>
        </w:rPr>
        <w:t xml:space="preserve"> that yields similar explosion characteristics in a domain of about 150 m from the release. For a purely gaseous release (diameter </w:t>
      </w:r>
      <w:r>
        <w:rPr>
          <w:rFonts w:cs="Arial"/>
          <w:lang w:val="en-GB"/>
        </w:rPr>
        <w:t>≤</w:t>
      </w:r>
      <w:r>
        <w:rPr>
          <w:lang w:val="en-GB"/>
        </w:rPr>
        <w:t xml:space="preserve"> 100 mm) and for small liquid releases (diameter </w:t>
      </w:r>
      <w:r>
        <w:rPr>
          <w:rFonts w:cs="Arial"/>
          <w:lang w:val="en-GB"/>
        </w:rPr>
        <w:t>≤</w:t>
      </w:r>
      <w:r>
        <w:rPr>
          <w:lang w:val="en-GB"/>
        </w:rPr>
        <w:t xml:space="preserve"> 20 mm), the results showed that it may be overly conservative to assume that all vehicles within the flammable dispersed cloud form the blast source if a stoichiometric concentration is assumed for the blast source for the evaluation of the explosion. Instead, the study informs on appropriate maximum equivalent </w:t>
      </w:r>
      <w:r w:rsidR="00A221A2">
        <w:rPr>
          <w:lang w:val="en-GB"/>
        </w:rPr>
        <w:t xml:space="preserve">gas cloud </w:t>
      </w:r>
      <w:r>
        <w:rPr>
          <w:lang w:val="en-GB"/>
        </w:rPr>
        <w:t>volume</w:t>
      </w:r>
      <w:r w:rsidR="00A221A2">
        <w:rPr>
          <w:lang w:val="en-GB"/>
        </w:rPr>
        <w:t>s</w:t>
      </w:r>
      <w:r>
        <w:rPr>
          <w:lang w:val="en-GB"/>
        </w:rPr>
        <w:t xml:space="preserve"> that can be used as a source of blast, which could be translated to </w:t>
      </w:r>
      <w:r w:rsidR="00A221A2">
        <w:rPr>
          <w:lang w:val="en-GB"/>
        </w:rPr>
        <w:t xml:space="preserve">a </w:t>
      </w:r>
      <w:r>
        <w:rPr>
          <w:lang w:val="en-GB"/>
        </w:rPr>
        <w:t xml:space="preserve">maximum number of vehicles that should be considered as the blast source, even if more vehicles are present within the flammable region. For medium or large liquid release (diameter </w:t>
      </w:r>
      <w:r>
        <w:rPr>
          <w:rFonts w:cs="Arial"/>
          <w:lang w:val="en-GB"/>
        </w:rPr>
        <w:t>≥</w:t>
      </w:r>
      <w:r w:rsidR="00F26830">
        <w:rPr>
          <w:rFonts w:cs="Arial"/>
          <w:lang w:val="en-GB"/>
        </w:rPr>
        <w:t> </w:t>
      </w:r>
      <w:r>
        <w:rPr>
          <w:lang w:val="en-GB"/>
        </w:rPr>
        <w:t>50</w:t>
      </w:r>
      <w:r w:rsidR="00F26830">
        <w:rPr>
          <w:lang w:val="en-GB"/>
        </w:rPr>
        <w:t> </w:t>
      </w:r>
      <w:r>
        <w:rPr>
          <w:lang w:val="en-GB"/>
        </w:rPr>
        <w:t xml:space="preserve">mm), it was found appropriate to determine the blast source based on the traffic conditions within the flammable region of the cloud. </w:t>
      </w:r>
    </w:p>
    <w:p w14:paraId="28198BA6" w14:textId="77777777" w:rsidR="008B6282" w:rsidRPr="00B57B36" w:rsidRDefault="008B6282" w:rsidP="008B6282">
      <w:pPr>
        <w:pStyle w:val="CETAcknowledgementstitle"/>
      </w:pPr>
      <w:r w:rsidRPr="00B57B36">
        <w:t>Acknowledgments</w:t>
      </w:r>
    </w:p>
    <w:p w14:paraId="770F38C4" w14:textId="1F8674EB" w:rsidR="008B6282" w:rsidRPr="004E1275" w:rsidRDefault="008B6282" w:rsidP="008B6282">
      <w:pPr>
        <w:pStyle w:val="CETBodytext"/>
      </w:pPr>
      <w:r w:rsidRPr="004E1275">
        <w:t>This work was financed by the Swedish Transport Administration, Swedish Fortifications Agency, and Swedish Civil Contingencies Agency.</w:t>
      </w:r>
      <w:r>
        <w:t xml:space="preserve"> </w:t>
      </w:r>
      <w:r w:rsidRPr="004E1275">
        <w:t xml:space="preserve">The calculations were performed on the high-performance computing cluster </w:t>
      </w:r>
      <w:r w:rsidRPr="00F81E80">
        <w:rPr>
          <w:i/>
          <w:iCs/>
        </w:rPr>
        <w:t>Vera</w:t>
      </w:r>
      <w:r w:rsidRPr="004E1275">
        <w:t>, provided by Chalmers e-Commons at Chalmers.</w:t>
      </w:r>
    </w:p>
    <w:p w14:paraId="1E01B2C3" w14:textId="77777777" w:rsidR="008B6282" w:rsidRPr="0048059C" w:rsidRDefault="008B6282" w:rsidP="0048059C">
      <w:pPr>
        <w:pStyle w:val="CETAcknowledgementstitle"/>
      </w:pPr>
      <w:r w:rsidRPr="0048059C">
        <w:t>References</w:t>
      </w:r>
    </w:p>
    <w:p w14:paraId="4FCF198A" w14:textId="166BA28F" w:rsidR="00481CD5" w:rsidRPr="0048059C" w:rsidRDefault="00481CD5" w:rsidP="0048059C">
      <w:pPr>
        <w:pStyle w:val="CETReferencetext"/>
      </w:pPr>
      <w:r w:rsidRPr="0048059C">
        <w:t xml:space="preserve">Bubbico R., Ferrari C., </w:t>
      </w:r>
      <w:proofErr w:type="spellStart"/>
      <w:r w:rsidRPr="0048059C">
        <w:t>Mazzarotta</w:t>
      </w:r>
      <w:proofErr w:type="spellEnd"/>
      <w:r w:rsidRPr="0048059C">
        <w:t xml:space="preserve"> B.</w:t>
      </w:r>
      <w:r w:rsidR="00F22B1E" w:rsidRPr="0048059C">
        <w:t>,</w:t>
      </w:r>
      <w:r w:rsidRPr="0048059C">
        <w:t xml:space="preserve"> 2000</w:t>
      </w:r>
      <w:r w:rsidR="00F22B1E" w:rsidRPr="0048059C">
        <w:t>,</w:t>
      </w:r>
      <w:r w:rsidRPr="0048059C">
        <w:t xml:space="preserve"> Risk analysis of LPG transport by road and rail</w:t>
      </w:r>
      <w:r w:rsidR="00F22B1E" w:rsidRPr="0048059C">
        <w:t>,</w:t>
      </w:r>
      <w:r w:rsidRPr="0048059C">
        <w:t xml:space="preserve"> Journal of Loss Prevention in the Process Industries, 13(1), 27–31.</w:t>
      </w:r>
    </w:p>
    <w:p w14:paraId="5713B5EC" w14:textId="4A9C5ADD" w:rsidR="00481CD5" w:rsidRPr="0048059C" w:rsidRDefault="00481CD5" w:rsidP="0048059C">
      <w:pPr>
        <w:pStyle w:val="CETReferencetext"/>
      </w:pPr>
      <w:r w:rsidRPr="0048059C">
        <w:t>Committee for the P</w:t>
      </w:r>
      <w:r w:rsidR="00F22B1E" w:rsidRPr="0048059C">
        <w:t>revention</w:t>
      </w:r>
      <w:r w:rsidRPr="0048059C">
        <w:t xml:space="preserve"> of D</w:t>
      </w:r>
      <w:r w:rsidR="00F22B1E" w:rsidRPr="0048059C">
        <w:t xml:space="preserve">isasters, </w:t>
      </w:r>
      <w:r w:rsidRPr="0048059C">
        <w:t>2005</w:t>
      </w:r>
      <w:r w:rsidR="005E6A21" w:rsidRPr="0048059C">
        <w:t>,</w:t>
      </w:r>
      <w:r w:rsidRPr="0048059C">
        <w:t xml:space="preserve"> Methods for the calculation of physical effects </w:t>
      </w:r>
      <w:r w:rsidR="006B7C43">
        <w:t>(</w:t>
      </w:r>
      <w:r w:rsidRPr="0048059C">
        <w:t>’Yellow book’</w:t>
      </w:r>
      <w:r w:rsidR="006B7C43">
        <w:t>)</w:t>
      </w:r>
      <w:r w:rsidRPr="0048059C">
        <w:t>.</w:t>
      </w:r>
    </w:p>
    <w:p w14:paraId="2A370311" w14:textId="7F668712" w:rsidR="00481CD5" w:rsidRPr="0048059C" w:rsidRDefault="00481CD5" w:rsidP="0048059C">
      <w:pPr>
        <w:pStyle w:val="CETReferencetext"/>
      </w:pPr>
      <w:r w:rsidRPr="0048059C">
        <w:t>Gexcon AS.</w:t>
      </w:r>
      <w:r w:rsidR="005E6A21" w:rsidRPr="0048059C">
        <w:t>,</w:t>
      </w:r>
      <w:r w:rsidRPr="0048059C">
        <w:t xml:space="preserve"> 2022</w:t>
      </w:r>
      <w:r w:rsidR="005E6A21" w:rsidRPr="0048059C">
        <w:t>,</w:t>
      </w:r>
      <w:r w:rsidRPr="0048059C">
        <w:t xml:space="preserve"> FLACS-CFD v22.1 User’s Manual.</w:t>
      </w:r>
    </w:p>
    <w:p w14:paraId="1B7D5EF9" w14:textId="5DD0486D" w:rsidR="00481CD5" w:rsidRPr="0048059C" w:rsidRDefault="00481CD5" w:rsidP="0048059C">
      <w:pPr>
        <w:pStyle w:val="CETReferencetext"/>
      </w:pPr>
      <w:r w:rsidRPr="0048059C">
        <w:t>Nielsen M.</w:t>
      </w:r>
      <w:r w:rsidR="005E6A21" w:rsidRPr="0048059C">
        <w:t>, 1</w:t>
      </w:r>
      <w:r w:rsidRPr="0048059C">
        <w:t>998</w:t>
      </w:r>
      <w:r w:rsidR="005E6A21" w:rsidRPr="0048059C">
        <w:t>,</w:t>
      </w:r>
      <w:r w:rsidRPr="0048059C">
        <w:t xml:space="preserve"> Dense gas dispersion in the atmosphere</w:t>
      </w:r>
      <w:r w:rsidR="005E6A21" w:rsidRPr="0048059C">
        <w:t>,</w:t>
      </w:r>
      <w:r w:rsidRPr="0048059C">
        <w:t xml:space="preserve"> Risø National Laboratory.</w:t>
      </w:r>
    </w:p>
    <w:p w14:paraId="33B127FC" w14:textId="3320DF10" w:rsidR="00481CD5" w:rsidRPr="0048059C" w:rsidRDefault="00481CD5" w:rsidP="0048059C">
      <w:pPr>
        <w:pStyle w:val="CETReferencetext"/>
      </w:pPr>
      <w:r w:rsidRPr="0048059C">
        <w:t>Shen R., Jiao Z., Parker T., Sun Y., Wang Q.</w:t>
      </w:r>
      <w:r w:rsidR="005E6A21" w:rsidRPr="0048059C">
        <w:t>,</w:t>
      </w:r>
      <w:r w:rsidRPr="0048059C">
        <w:t xml:space="preserve"> 2020</w:t>
      </w:r>
      <w:r w:rsidR="005E6A21" w:rsidRPr="0048059C">
        <w:t>,</w:t>
      </w:r>
      <w:r w:rsidRPr="0048059C">
        <w:t xml:space="preserve"> Recent application of Computational Fluid Dynamics (CFD) in process safety and loss prevention: A review</w:t>
      </w:r>
      <w:r w:rsidR="005E6A21" w:rsidRPr="0048059C">
        <w:t>,</w:t>
      </w:r>
      <w:r w:rsidRPr="0048059C">
        <w:t xml:space="preserve"> Journal of Loss Prevention in the Process Industries, 67, 104252</w:t>
      </w:r>
      <w:r w:rsidR="0048059C" w:rsidRPr="0048059C">
        <w:t>.</w:t>
      </w:r>
    </w:p>
    <w:p w14:paraId="2E57CADC" w14:textId="558A863F" w:rsidR="00481CD5" w:rsidRPr="0048059C" w:rsidRDefault="00481CD5" w:rsidP="0048059C">
      <w:pPr>
        <w:pStyle w:val="CETReferencetext"/>
      </w:pPr>
      <w:r w:rsidRPr="0048059C">
        <w:t>Tam V. H. Y., Tan F., Savvides C.</w:t>
      </w:r>
      <w:r w:rsidR="0048059C" w:rsidRPr="0048059C">
        <w:t>,</w:t>
      </w:r>
      <w:r w:rsidRPr="0048059C">
        <w:t xml:space="preserve"> </w:t>
      </w:r>
      <w:r w:rsidR="0048059C" w:rsidRPr="0048059C">
        <w:t>2021,</w:t>
      </w:r>
      <w:r w:rsidRPr="0048059C">
        <w:t xml:space="preserve"> </w:t>
      </w:r>
      <w:r w:rsidR="0048059C" w:rsidRPr="0048059C">
        <w:t>A critical review of the Equivalent Stoichiometric Cloud model Q9 in gas explosion modelling, </w:t>
      </w:r>
      <w:r w:rsidR="0048059C" w:rsidRPr="0048059C">
        <w:rPr>
          <w:rStyle w:val="Emphasis"/>
          <w:i w:val="0"/>
          <w:iCs w:val="0"/>
        </w:rPr>
        <w:t>Eng</w:t>
      </w:r>
      <w:r w:rsidR="0048059C" w:rsidRPr="0048059C">
        <w:t>., 2(2)</w:t>
      </w:r>
      <w:r w:rsidR="000F6C7B">
        <w:t xml:space="preserve">, </w:t>
      </w:r>
      <w:r w:rsidR="0048059C" w:rsidRPr="0048059C">
        <w:t xml:space="preserve">156-180. </w:t>
      </w:r>
    </w:p>
    <w:p w14:paraId="790E2B5E" w14:textId="7FDD1EE0" w:rsidR="00481CD5" w:rsidRPr="0048059C" w:rsidRDefault="00481CD5" w:rsidP="0048059C">
      <w:pPr>
        <w:pStyle w:val="CETReferencetext"/>
      </w:pPr>
      <w:r w:rsidRPr="0048059C">
        <w:t>van den Berg A. C.</w:t>
      </w:r>
      <w:r w:rsidR="0048059C" w:rsidRPr="0048059C">
        <w:t>,</w:t>
      </w:r>
      <w:r w:rsidRPr="0048059C">
        <w:t xml:space="preserve"> 1985</w:t>
      </w:r>
      <w:r w:rsidR="0048059C" w:rsidRPr="0048059C">
        <w:t>,</w:t>
      </w:r>
      <w:r w:rsidRPr="0048059C">
        <w:t xml:space="preserve"> The multi-energy method: A framework for vapour cloud explosion blast prediction</w:t>
      </w:r>
      <w:r w:rsidR="0048059C" w:rsidRPr="0048059C">
        <w:t>,</w:t>
      </w:r>
      <w:r w:rsidRPr="0048059C">
        <w:t xml:space="preserve"> Journal of Hazardous Materials, 12(1), Article 1.</w:t>
      </w:r>
    </w:p>
    <w:sectPr w:rsidR="00481CD5" w:rsidRPr="0048059C" w:rsidSect="00105F91">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0A1540" w14:textId="77777777" w:rsidR="00810AEC" w:rsidRDefault="00810AEC" w:rsidP="004F5E36">
      <w:r>
        <w:separator/>
      </w:r>
    </w:p>
  </w:endnote>
  <w:endnote w:type="continuationSeparator" w:id="0">
    <w:p w14:paraId="4E6F104C" w14:textId="77777777" w:rsidR="00810AEC" w:rsidRDefault="00810AEC"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1C194E" w14:textId="77777777" w:rsidR="00810AEC" w:rsidRDefault="00810AEC" w:rsidP="004F5E36">
      <w:r>
        <w:separator/>
      </w:r>
    </w:p>
  </w:footnote>
  <w:footnote w:type="continuationSeparator" w:id="0">
    <w:p w14:paraId="51FF2C92" w14:textId="77777777" w:rsidR="00810AEC" w:rsidRDefault="00810AEC"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30305860">
    <w:abstractNumId w:val="10"/>
  </w:num>
  <w:num w:numId="2" w16cid:durableId="1939479859">
    <w:abstractNumId w:val="8"/>
  </w:num>
  <w:num w:numId="3" w16cid:durableId="976295760">
    <w:abstractNumId w:val="3"/>
  </w:num>
  <w:num w:numId="4" w16cid:durableId="23678545">
    <w:abstractNumId w:val="2"/>
  </w:num>
  <w:num w:numId="5" w16cid:durableId="1901554720">
    <w:abstractNumId w:val="1"/>
  </w:num>
  <w:num w:numId="6" w16cid:durableId="1979601308">
    <w:abstractNumId w:val="0"/>
  </w:num>
  <w:num w:numId="7" w16cid:durableId="1215388478">
    <w:abstractNumId w:val="9"/>
  </w:num>
  <w:num w:numId="8" w16cid:durableId="759717833">
    <w:abstractNumId w:val="7"/>
  </w:num>
  <w:num w:numId="9" w16cid:durableId="815683955">
    <w:abstractNumId w:val="6"/>
  </w:num>
  <w:num w:numId="10" w16cid:durableId="1066416165">
    <w:abstractNumId w:val="5"/>
  </w:num>
  <w:num w:numId="11" w16cid:durableId="438722583">
    <w:abstractNumId w:val="4"/>
  </w:num>
  <w:num w:numId="12" w16cid:durableId="733702629">
    <w:abstractNumId w:val="17"/>
  </w:num>
  <w:num w:numId="13" w16cid:durableId="1573659240">
    <w:abstractNumId w:val="12"/>
  </w:num>
  <w:num w:numId="14" w16cid:durableId="2092192635">
    <w:abstractNumId w:val="18"/>
  </w:num>
  <w:num w:numId="15" w16cid:durableId="1115637783">
    <w:abstractNumId w:val="20"/>
  </w:num>
  <w:num w:numId="16" w16cid:durableId="635987207">
    <w:abstractNumId w:val="19"/>
  </w:num>
  <w:num w:numId="17" w16cid:durableId="1476411020">
    <w:abstractNumId w:val="11"/>
  </w:num>
  <w:num w:numId="18" w16cid:durableId="2106877164">
    <w:abstractNumId w:val="12"/>
    <w:lvlOverride w:ilvl="0">
      <w:startOverride w:val="1"/>
    </w:lvlOverride>
  </w:num>
  <w:num w:numId="19" w16cid:durableId="1650403514">
    <w:abstractNumId w:val="16"/>
  </w:num>
  <w:num w:numId="20" w16cid:durableId="536504040">
    <w:abstractNumId w:val="15"/>
  </w:num>
  <w:num w:numId="21" w16cid:durableId="518815501">
    <w:abstractNumId w:val="14"/>
  </w:num>
  <w:num w:numId="22" w16cid:durableId="2995308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7C6B"/>
    <w:rsid w:val="0003148D"/>
    <w:rsid w:val="00031EEC"/>
    <w:rsid w:val="0003656B"/>
    <w:rsid w:val="00051566"/>
    <w:rsid w:val="00060537"/>
    <w:rsid w:val="00062A9A"/>
    <w:rsid w:val="00065058"/>
    <w:rsid w:val="0006664C"/>
    <w:rsid w:val="000851E8"/>
    <w:rsid w:val="00086C39"/>
    <w:rsid w:val="000A03B2"/>
    <w:rsid w:val="000A7CBA"/>
    <w:rsid w:val="000C5C62"/>
    <w:rsid w:val="000D0268"/>
    <w:rsid w:val="000D34BE"/>
    <w:rsid w:val="000E102F"/>
    <w:rsid w:val="000E36F1"/>
    <w:rsid w:val="000E3A73"/>
    <w:rsid w:val="000E414A"/>
    <w:rsid w:val="000F093C"/>
    <w:rsid w:val="000F6C7B"/>
    <w:rsid w:val="000F787B"/>
    <w:rsid w:val="00105F91"/>
    <w:rsid w:val="00106B28"/>
    <w:rsid w:val="00117644"/>
    <w:rsid w:val="0012091F"/>
    <w:rsid w:val="00126BC2"/>
    <w:rsid w:val="001307F2"/>
    <w:rsid w:val="001308B6"/>
    <w:rsid w:val="0013121F"/>
    <w:rsid w:val="00131FE6"/>
    <w:rsid w:val="0013263F"/>
    <w:rsid w:val="001331DF"/>
    <w:rsid w:val="00134DE4"/>
    <w:rsid w:val="001361C1"/>
    <w:rsid w:val="0014034D"/>
    <w:rsid w:val="00144D16"/>
    <w:rsid w:val="00150E59"/>
    <w:rsid w:val="00152DE3"/>
    <w:rsid w:val="00160FC9"/>
    <w:rsid w:val="001621D6"/>
    <w:rsid w:val="00164CF9"/>
    <w:rsid w:val="001667A6"/>
    <w:rsid w:val="00184AD6"/>
    <w:rsid w:val="0019697C"/>
    <w:rsid w:val="001A1EF3"/>
    <w:rsid w:val="001A4AF7"/>
    <w:rsid w:val="001B0349"/>
    <w:rsid w:val="001B1E93"/>
    <w:rsid w:val="001B65C1"/>
    <w:rsid w:val="001C618D"/>
    <w:rsid w:val="001C684B"/>
    <w:rsid w:val="001D0CFB"/>
    <w:rsid w:val="001D53FC"/>
    <w:rsid w:val="001E28BD"/>
    <w:rsid w:val="001F42A5"/>
    <w:rsid w:val="001F7B9D"/>
    <w:rsid w:val="00200E6D"/>
    <w:rsid w:val="00201C93"/>
    <w:rsid w:val="00203B66"/>
    <w:rsid w:val="00212F02"/>
    <w:rsid w:val="002224B4"/>
    <w:rsid w:val="00232465"/>
    <w:rsid w:val="0023578C"/>
    <w:rsid w:val="0024184C"/>
    <w:rsid w:val="002447EF"/>
    <w:rsid w:val="00251550"/>
    <w:rsid w:val="00263B05"/>
    <w:rsid w:val="00265536"/>
    <w:rsid w:val="002721F4"/>
    <w:rsid w:val="0027221A"/>
    <w:rsid w:val="00275B61"/>
    <w:rsid w:val="00280FAF"/>
    <w:rsid w:val="00282656"/>
    <w:rsid w:val="00296B83"/>
    <w:rsid w:val="002B4015"/>
    <w:rsid w:val="002B78CE"/>
    <w:rsid w:val="002C2FB6"/>
    <w:rsid w:val="002E5FA7"/>
    <w:rsid w:val="002F0DCA"/>
    <w:rsid w:val="002F3309"/>
    <w:rsid w:val="003008CE"/>
    <w:rsid w:val="003009B7"/>
    <w:rsid w:val="00300E56"/>
    <w:rsid w:val="0030469C"/>
    <w:rsid w:val="0031021A"/>
    <w:rsid w:val="00321CA6"/>
    <w:rsid w:val="00323763"/>
    <w:rsid w:val="00334C09"/>
    <w:rsid w:val="003351D5"/>
    <w:rsid w:val="0036042D"/>
    <w:rsid w:val="003706F7"/>
    <w:rsid w:val="00371935"/>
    <w:rsid w:val="003723D4"/>
    <w:rsid w:val="00381905"/>
    <w:rsid w:val="00383052"/>
    <w:rsid w:val="00384CC8"/>
    <w:rsid w:val="003871FD"/>
    <w:rsid w:val="003A1A79"/>
    <w:rsid w:val="003A1E30"/>
    <w:rsid w:val="003A2829"/>
    <w:rsid w:val="003A7D1C"/>
    <w:rsid w:val="003B304B"/>
    <w:rsid w:val="003B3146"/>
    <w:rsid w:val="003C172A"/>
    <w:rsid w:val="003F015E"/>
    <w:rsid w:val="003F7490"/>
    <w:rsid w:val="00400414"/>
    <w:rsid w:val="0041446B"/>
    <w:rsid w:val="0044329C"/>
    <w:rsid w:val="00446CA5"/>
    <w:rsid w:val="00453E24"/>
    <w:rsid w:val="00457456"/>
    <w:rsid w:val="004577FE"/>
    <w:rsid w:val="00457B9C"/>
    <w:rsid w:val="0046164A"/>
    <w:rsid w:val="004628D2"/>
    <w:rsid w:val="00462DCD"/>
    <w:rsid w:val="004648AD"/>
    <w:rsid w:val="004703A9"/>
    <w:rsid w:val="00470487"/>
    <w:rsid w:val="004760DE"/>
    <w:rsid w:val="004763D7"/>
    <w:rsid w:val="0048059C"/>
    <w:rsid w:val="00481645"/>
    <w:rsid w:val="00481CD5"/>
    <w:rsid w:val="00496D3B"/>
    <w:rsid w:val="004A004E"/>
    <w:rsid w:val="004A24CF"/>
    <w:rsid w:val="004C3D1D"/>
    <w:rsid w:val="004C7913"/>
    <w:rsid w:val="004E4DD6"/>
    <w:rsid w:val="004E76E8"/>
    <w:rsid w:val="004F5E36"/>
    <w:rsid w:val="005046FC"/>
    <w:rsid w:val="00507B47"/>
    <w:rsid w:val="00507BEF"/>
    <w:rsid w:val="00507CC9"/>
    <w:rsid w:val="00510AB7"/>
    <w:rsid w:val="005119A5"/>
    <w:rsid w:val="00516BAC"/>
    <w:rsid w:val="005278B7"/>
    <w:rsid w:val="00532016"/>
    <w:rsid w:val="005346C8"/>
    <w:rsid w:val="00543E7D"/>
    <w:rsid w:val="00547A68"/>
    <w:rsid w:val="005531C9"/>
    <w:rsid w:val="00554331"/>
    <w:rsid w:val="00566CC9"/>
    <w:rsid w:val="00570C43"/>
    <w:rsid w:val="005712F0"/>
    <w:rsid w:val="00573ACF"/>
    <w:rsid w:val="00585E26"/>
    <w:rsid w:val="005B2110"/>
    <w:rsid w:val="005B61E6"/>
    <w:rsid w:val="005C77E1"/>
    <w:rsid w:val="005D668A"/>
    <w:rsid w:val="005D6A2F"/>
    <w:rsid w:val="005E1A82"/>
    <w:rsid w:val="005E4BAB"/>
    <w:rsid w:val="005E6A21"/>
    <w:rsid w:val="005E794C"/>
    <w:rsid w:val="005F0A28"/>
    <w:rsid w:val="005F0E5E"/>
    <w:rsid w:val="005F4661"/>
    <w:rsid w:val="00600535"/>
    <w:rsid w:val="00610CD6"/>
    <w:rsid w:val="00620C18"/>
    <w:rsid w:val="00620DEE"/>
    <w:rsid w:val="00621F92"/>
    <w:rsid w:val="0062280A"/>
    <w:rsid w:val="00625639"/>
    <w:rsid w:val="006261AD"/>
    <w:rsid w:val="00627D92"/>
    <w:rsid w:val="00631B33"/>
    <w:rsid w:val="006332D6"/>
    <w:rsid w:val="0064184D"/>
    <w:rsid w:val="006422CC"/>
    <w:rsid w:val="00660E3E"/>
    <w:rsid w:val="00662E74"/>
    <w:rsid w:val="00665323"/>
    <w:rsid w:val="0067386E"/>
    <w:rsid w:val="00680C23"/>
    <w:rsid w:val="00693766"/>
    <w:rsid w:val="006A3281"/>
    <w:rsid w:val="006B4888"/>
    <w:rsid w:val="006B7C43"/>
    <w:rsid w:val="006C2E45"/>
    <w:rsid w:val="006C359C"/>
    <w:rsid w:val="006C5579"/>
    <w:rsid w:val="006D6E8B"/>
    <w:rsid w:val="006E737D"/>
    <w:rsid w:val="006F318D"/>
    <w:rsid w:val="007021DD"/>
    <w:rsid w:val="00713973"/>
    <w:rsid w:val="00716009"/>
    <w:rsid w:val="00720A24"/>
    <w:rsid w:val="00732386"/>
    <w:rsid w:val="007324A9"/>
    <w:rsid w:val="00733E4C"/>
    <w:rsid w:val="0073514D"/>
    <w:rsid w:val="007447F3"/>
    <w:rsid w:val="0075499F"/>
    <w:rsid w:val="007661C8"/>
    <w:rsid w:val="0077098D"/>
    <w:rsid w:val="007856F6"/>
    <w:rsid w:val="007931FA"/>
    <w:rsid w:val="007A4861"/>
    <w:rsid w:val="007A7BBA"/>
    <w:rsid w:val="007B0C50"/>
    <w:rsid w:val="007B48F9"/>
    <w:rsid w:val="007C1A43"/>
    <w:rsid w:val="007C28B2"/>
    <w:rsid w:val="007C6DC2"/>
    <w:rsid w:val="007D303E"/>
    <w:rsid w:val="007E46D8"/>
    <w:rsid w:val="007E4982"/>
    <w:rsid w:val="007F4C25"/>
    <w:rsid w:val="0080013E"/>
    <w:rsid w:val="00810AEC"/>
    <w:rsid w:val="00813288"/>
    <w:rsid w:val="008168FC"/>
    <w:rsid w:val="00825DD9"/>
    <w:rsid w:val="00830996"/>
    <w:rsid w:val="008344A9"/>
    <w:rsid w:val="008345F1"/>
    <w:rsid w:val="0084388D"/>
    <w:rsid w:val="00850502"/>
    <w:rsid w:val="00865B07"/>
    <w:rsid w:val="008667EA"/>
    <w:rsid w:val="008738C4"/>
    <w:rsid w:val="0087637F"/>
    <w:rsid w:val="00892AD5"/>
    <w:rsid w:val="008A1512"/>
    <w:rsid w:val="008A1B60"/>
    <w:rsid w:val="008A3F92"/>
    <w:rsid w:val="008B6282"/>
    <w:rsid w:val="008D0F61"/>
    <w:rsid w:val="008D32B9"/>
    <w:rsid w:val="008D433B"/>
    <w:rsid w:val="008E566E"/>
    <w:rsid w:val="008E6AD4"/>
    <w:rsid w:val="008E77B3"/>
    <w:rsid w:val="0090161A"/>
    <w:rsid w:val="00901EB6"/>
    <w:rsid w:val="00904C62"/>
    <w:rsid w:val="009176CF"/>
    <w:rsid w:val="00922BA8"/>
    <w:rsid w:val="00924DAC"/>
    <w:rsid w:val="00927058"/>
    <w:rsid w:val="0093388E"/>
    <w:rsid w:val="009370A0"/>
    <w:rsid w:val="00937424"/>
    <w:rsid w:val="00942750"/>
    <w:rsid w:val="00942FE3"/>
    <w:rsid w:val="009450CE"/>
    <w:rsid w:val="00947179"/>
    <w:rsid w:val="0095164B"/>
    <w:rsid w:val="00954090"/>
    <w:rsid w:val="009573E7"/>
    <w:rsid w:val="00963E05"/>
    <w:rsid w:val="00967843"/>
    <w:rsid w:val="00967D54"/>
    <w:rsid w:val="00971028"/>
    <w:rsid w:val="00993B84"/>
    <w:rsid w:val="00996483"/>
    <w:rsid w:val="00996F5A"/>
    <w:rsid w:val="009B041A"/>
    <w:rsid w:val="009B2524"/>
    <w:rsid w:val="009C058A"/>
    <w:rsid w:val="009C37C3"/>
    <w:rsid w:val="009C7C86"/>
    <w:rsid w:val="009D0606"/>
    <w:rsid w:val="009D2FF7"/>
    <w:rsid w:val="009E7884"/>
    <w:rsid w:val="009E788A"/>
    <w:rsid w:val="009F0E08"/>
    <w:rsid w:val="00A1763D"/>
    <w:rsid w:val="00A17CEC"/>
    <w:rsid w:val="00A221A2"/>
    <w:rsid w:val="00A27EF0"/>
    <w:rsid w:val="00A42361"/>
    <w:rsid w:val="00A50B20"/>
    <w:rsid w:val="00A51390"/>
    <w:rsid w:val="00A571AC"/>
    <w:rsid w:val="00A60D13"/>
    <w:rsid w:val="00A66681"/>
    <w:rsid w:val="00A72745"/>
    <w:rsid w:val="00A76EFC"/>
    <w:rsid w:val="00A91010"/>
    <w:rsid w:val="00A97F29"/>
    <w:rsid w:val="00AA702E"/>
    <w:rsid w:val="00AB0964"/>
    <w:rsid w:val="00AB5011"/>
    <w:rsid w:val="00AC7368"/>
    <w:rsid w:val="00AD16B9"/>
    <w:rsid w:val="00AE377D"/>
    <w:rsid w:val="00AE392C"/>
    <w:rsid w:val="00AF0EBA"/>
    <w:rsid w:val="00B02C8A"/>
    <w:rsid w:val="00B02F8B"/>
    <w:rsid w:val="00B06962"/>
    <w:rsid w:val="00B17FBD"/>
    <w:rsid w:val="00B250C0"/>
    <w:rsid w:val="00B3141F"/>
    <w:rsid w:val="00B315A6"/>
    <w:rsid w:val="00B31813"/>
    <w:rsid w:val="00B33365"/>
    <w:rsid w:val="00B57B36"/>
    <w:rsid w:val="00B57E6F"/>
    <w:rsid w:val="00B64B25"/>
    <w:rsid w:val="00B71762"/>
    <w:rsid w:val="00B8686D"/>
    <w:rsid w:val="00B90975"/>
    <w:rsid w:val="00B93F69"/>
    <w:rsid w:val="00BA322C"/>
    <w:rsid w:val="00BB1DDC"/>
    <w:rsid w:val="00BB45F7"/>
    <w:rsid w:val="00BC30C9"/>
    <w:rsid w:val="00BD077D"/>
    <w:rsid w:val="00BE3E58"/>
    <w:rsid w:val="00C01616"/>
    <w:rsid w:val="00C0162B"/>
    <w:rsid w:val="00C068ED"/>
    <w:rsid w:val="00C22E0C"/>
    <w:rsid w:val="00C345B1"/>
    <w:rsid w:val="00C40142"/>
    <w:rsid w:val="00C52C3C"/>
    <w:rsid w:val="00C535E3"/>
    <w:rsid w:val="00C57182"/>
    <w:rsid w:val="00C57863"/>
    <w:rsid w:val="00C655FD"/>
    <w:rsid w:val="00C75407"/>
    <w:rsid w:val="00C820F0"/>
    <w:rsid w:val="00C870A8"/>
    <w:rsid w:val="00C91BD0"/>
    <w:rsid w:val="00C94434"/>
    <w:rsid w:val="00C94D72"/>
    <w:rsid w:val="00C961EF"/>
    <w:rsid w:val="00CA0D75"/>
    <w:rsid w:val="00CA1C95"/>
    <w:rsid w:val="00CA5A9C"/>
    <w:rsid w:val="00CB3ECB"/>
    <w:rsid w:val="00CC4C20"/>
    <w:rsid w:val="00CD3517"/>
    <w:rsid w:val="00CD5FE2"/>
    <w:rsid w:val="00CE3990"/>
    <w:rsid w:val="00CE7C68"/>
    <w:rsid w:val="00D01B48"/>
    <w:rsid w:val="00D02B4C"/>
    <w:rsid w:val="00D040C4"/>
    <w:rsid w:val="00D1702C"/>
    <w:rsid w:val="00D36C75"/>
    <w:rsid w:val="00D46B7E"/>
    <w:rsid w:val="00D57C84"/>
    <w:rsid w:val="00D6057D"/>
    <w:rsid w:val="00D6288D"/>
    <w:rsid w:val="00D81B9A"/>
    <w:rsid w:val="00D836C5"/>
    <w:rsid w:val="00D84576"/>
    <w:rsid w:val="00DA1399"/>
    <w:rsid w:val="00DA24C6"/>
    <w:rsid w:val="00DA4D7B"/>
    <w:rsid w:val="00DA7DA8"/>
    <w:rsid w:val="00DC5655"/>
    <w:rsid w:val="00DC709F"/>
    <w:rsid w:val="00DE264A"/>
    <w:rsid w:val="00DF5072"/>
    <w:rsid w:val="00DF540D"/>
    <w:rsid w:val="00E02D18"/>
    <w:rsid w:val="00E041E7"/>
    <w:rsid w:val="00E23CA1"/>
    <w:rsid w:val="00E2454C"/>
    <w:rsid w:val="00E34E6B"/>
    <w:rsid w:val="00E409A8"/>
    <w:rsid w:val="00E46A6D"/>
    <w:rsid w:val="00E50C12"/>
    <w:rsid w:val="00E65B91"/>
    <w:rsid w:val="00E7209D"/>
    <w:rsid w:val="00E72EAD"/>
    <w:rsid w:val="00E76642"/>
    <w:rsid w:val="00E77223"/>
    <w:rsid w:val="00E8528B"/>
    <w:rsid w:val="00E85B94"/>
    <w:rsid w:val="00E9118B"/>
    <w:rsid w:val="00E978D0"/>
    <w:rsid w:val="00EA4613"/>
    <w:rsid w:val="00EA7F91"/>
    <w:rsid w:val="00EB1523"/>
    <w:rsid w:val="00EC0E49"/>
    <w:rsid w:val="00EC101F"/>
    <w:rsid w:val="00EC1D9F"/>
    <w:rsid w:val="00EE0131"/>
    <w:rsid w:val="00EE17B0"/>
    <w:rsid w:val="00EE1A07"/>
    <w:rsid w:val="00EF06D9"/>
    <w:rsid w:val="00F139AD"/>
    <w:rsid w:val="00F22B1E"/>
    <w:rsid w:val="00F26830"/>
    <w:rsid w:val="00F30C64"/>
    <w:rsid w:val="00F32BA2"/>
    <w:rsid w:val="00F32CDB"/>
    <w:rsid w:val="00F436C6"/>
    <w:rsid w:val="00F561E8"/>
    <w:rsid w:val="00F565FE"/>
    <w:rsid w:val="00F63A70"/>
    <w:rsid w:val="00F7534E"/>
    <w:rsid w:val="00F853EF"/>
    <w:rsid w:val="00FA21D0"/>
    <w:rsid w:val="00FA5F5F"/>
    <w:rsid w:val="00FB730C"/>
    <w:rsid w:val="00FC2695"/>
    <w:rsid w:val="00FC3E03"/>
    <w:rsid w:val="00FC3F3A"/>
    <w:rsid w:val="00FC3FC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AE0CC22"/>
  <w14:defaultImageDpi w14:val="330"/>
  <w15:docId w15:val="{DE5B9DFA-7F9F-497B-A0F7-CB1436FA97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48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Paragraph">
    <w:name w:val="List Paragraph"/>
    <w:basedOn w:val="Normal"/>
    <w:uiPriority w:val="34"/>
    <w:rsid w:val="00280FAF"/>
    <w:pPr>
      <w:ind w:left="720"/>
      <w:contextualSpacing/>
    </w:pPr>
  </w:style>
  <w:style w:type="character" w:styleId="UnresolvedMention">
    <w:name w:val="Unresolved Mention"/>
    <w:basedOn w:val="DefaultParagraphFont"/>
    <w:uiPriority w:val="99"/>
    <w:semiHidden/>
    <w:unhideWhenUsed/>
    <w:rsid w:val="006F318D"/>
    <w:rPr>
      <w:color w:val="605E5C"/>
      <w:shd w:val="clear" w:color="auto" w:fill="E1DFDD"/>
    </w:rPr>
  </w:style>
  <w:style w:type="character" w:styleId="Emphasis">
    <w:name w:val="Emphasis"/>
    <w:basedOn w:val="DefaultParagraphFont"/>
    <w:uiPriority w:val="20"/>
    <w:qFormat/>
    <w:rsid w:val="0048059C"/>
    <w:rPr>
      <w:i/>
      <w:iCs/>
    </w:rPr>
  </w:style>
  <w:style w:type="character" w:styleId="LineNumber">
    <w:name w:val="line number"/>
    <w:basedOn w:val="DefaultParagraphFont"/>
    <w:uiPriority w:val="99"/>
    <w:semiHidden/>
    <w:unhideWhenUsed/>
    <w:rsid w:val="002418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6</Pages>
  <Words>3641</Words>
  <Characters>19303</Characters>
  <Application>Microsoft Office Word</Application>
  <DocSecurity>0</DocSecurity>
  <Lines>160</Lines>
  <Paragraphs>45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Dipartimento CMIC - Politecnico di Milano</Company>
  <LinksUpToDate>false</LinksUpToDate>
  <CharactersWithSpaces>22899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Fabio José Lozano Mendoza</cp:lastModifiedBy>
  <cp:revision>63</cp:revision>
  <cp:lastPrinted>2015-05-12T18:31:00Z</cp:lastPrinted>
  <dcterms:created xsi:type="dcterms:W3CDTF">2024-02-15T13:09:00Z</dcterms:created>
  <dcterms:modified xsi:type="dcterms:W3CDTF">2024-05-14T16:24:00Z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zotero-version="6.0.30"&gt;&lt;session id="JKskrGGK"/&gt;&lt;style id="http://www.zotero.org/styles/apa" locale="en-US" hasBibliography="1" bibliographyStyleHasBeenSet="1"/&gt;&lt;prefs&gt;&lt;pref name="fieldType" value="Field"/&gt;&lt;pref name="storeReference</vt:lpwstr>
  </property>
  <property fmtid="{D5CDD505-2E9C-101B-9397-08002B2CF9AE}" pid="3" name="ZOTERO_PREF_2">
    <vt:lpwstr>s" value="true"/&gt;&lt;/prefs&gt;&lt;/data&gt;</vt:lpwstr>
  </property>
  <property fmtid="{D5CDD505-2E9C-101B-9397-08002B2CF9AE}" pid="4" name="GrammarlyDocumentId">
    <vt:lpwstr>1f4fd5ead77f4af14ddf62ba75b92d265a1eb5697dd2f47edb31db2d1a34b845</vt:lpwstr>
  </property>
</Properties>
</file>