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9262FE">
          <w:type w:val="continuous"/>
          <w:pgSz w:w="11906" w:h="16838" w:code="9"/>
          <w:pgMar w:top="1701" w:right="1418" w:bottom="1701" w:left="1701" w:header="1701" w:footer="0" w:gutter="0"/>
          <w:cols w:space="708"/>
          <w:titlePg/>
          <w:docGrid w:linePitch="360"/>
        </w:sectPr>
      </w:pPr>
    </w:p>
    <w:p w14:paraId="2E667253" w14:textId="4C38E3D2" w:rsidR="00E978D0" w:rsidRPr="00665323" w:rsidRDefault="003908CD" w:rsidP="00665323">
      <w:pPr>
        <w:pStyle w:val="CETTitle"/>
      </w:pPr>
      <w:r w:rsidRPr="003908CD">
        <w:t xml:space="preserve">Assessment of Damages to the Environment </w:t>
      </w:r>
      <w:r w:rsidR="007D79A4">
        <w:br/>
      </w:r>
      <w:r w:rsidRPr="003908CD">
        <w:t>due to Natech accidents: a Case Study</w:t>
      </w:r>
    </w:p>
    <w:p w14:paraId="0488FED2" w14:textId="3C35DCE4" w:rsidR="00B57E6F" w:rsidRPr="00CE2E4D" w:rsidRDefault="003908CD" w:rsidP="00B57E6F">
      <w:pPr>
        <w:pStyle w:val="CETAuthors"/>
        <w:rPr>
          <w:lang w:val="it-IT"/>
        </w:rPr>
      </w:pPr>
      <w:r w:rsidRPr="00CE2E4D">
        <w:rPr>
          <w:lang w:val="it-IT"/>
        </w:rPr>
        <w:t>Valentina Di Talia*</w:t>
      </w:r>
      <w:r w:rsidR="00B57E6F" w:rsidRPr="00CE2E4D">
        <w:rPr>
          <w:lang w:val="it-IT"/>
        </w:rPr>
        <w:t xml:space="preserve">, </w:t>
      </w:r>
      <w:r w:rsidRPr="00CE2E4D">
        <w:rPr>
          <w:lang w:val="it-IT"/>
        </w:rPr>
        <w:t>Federica Ricci, Sarah Bonvicini, Valerio Cozzani</w:t>
      </w:r>
    </w:p>
    <w:p w14:paraId="3D72B0B0" w14:textId="2E6A4645" w:rsidR="00B57E6F" w:rsidRPr="00CE2E4D" w:rsidRDefault="00152ADA" w:rsidP="00B57E6F">
      <w:pPr>
        <w:pStyle w:val="CETAddress"/>
        <w:rPr>
          <w:lang w:val="it-IT"/>
        </w:rPr>
      </w:pPr>
      <w:r w:rsidRPr="00CE2E4D">
        <w:rPr>
          <w:lang w:val="it-IT"/>
        </w:rPr>
        <w:t>LISES – Dipartimento di Ingegneria Civile, Chimica, Ambientale e dei Materiali - Alma Mater Studiorum – Università di Bologna, via Terracini 28, 40131 Bologna (Italy)</w:t>
      </w:r>
    </w:p>
    <w:p w14:paraId="5293BE64" w14:textId="3AA840F1" w:rsidR="00C3023A" w:rsidRDefault="00152ADA" w:rsidP="007F3ADE">
      <w:pPr>
        <w:pStyle w:val="CETemail"/>
      </w:pPr>
      <w:r>
        <w:t>*</w:t>
      </w:r>
      <w:r w:rsidR="003908CD">
        <w:t>valentina.ditalia2</w:t>
      </w:r>
      <w:r w:rsidR="00324BD1" w:rsidRPr="00324BD1">
        <w:t>@</w:t>
      </w:r>
      <w:r w:rsidR="003908CD">
        <w:t>unibo.</w:t>
      </w:r>
      <w:r>
        <w:t>it</w:t>
      </w:r>
      <w:r w:rsidR="00B57E6F" w:rsidRPr="00B57B36">
        <w:t xml:space="preserve"> </w:t>
      </w:r>
    </w:p>
    <w:p w14:paraId="005F2552" w14:textId="4841656B" w:rsidR="000B4FD8" w:rsidRPr="000B4FD8" w:rsidRDefault="000B4FD8" w:rsidP="000B4FD8">
      <w:pPr>
        <w:pStyle w:val="CETBodytext"/>
      </w:pPr>
      <w:r w:rsidRPr="000B4FD8">
        <w:t xml:space="preserve">One of the potential triggers for major accidents </w:t>
      </w:r>
      <w:r w:rsidR="00F63048">
        <w:t>is</w:t>
      </w:r>
      <w:r w:rsidRPr="000B4FD8">
        <w:t xml:space="preserve"> natural events, </w:t>
      </w:r>
      <w:r w:rsidR="005F7463">
        <w:t xml:space="preserve">the so-called </w:t>
      </w:r>
      <w:r w:rsidRPr="000B4FD8">
        <w:t xml:space="preserve">Natech scenarios. The </w:t>
      </w:r>
      <w:r w:rsidR="00520535">
        <w:t xml:space="preserve">attention toward these </w:t>
      </w:r>
      <w:r w:rsidRPr="000B4FD8">
        <w:t xml:space="preserve">accidents has been growing over the last decades, driven by the increasing frequency of natural events and the severe consequences they can entail. </w:t>
      </w:r>
      <w:r w:rsidR="00CF0C64">
        <w:t>Indeed, s</w:t>
      </w:r>
      <w:r w:rsidR="00CF0C64" w:rsidRPr="00CF0C64">
        <w:t xml:space="preserve">erious hazards to human health and the environment arise from major accidents. </w:t>
      </w:r>
      <w:r w:rsidR="000802D6">
        <w:t xml:space="preserve">Besides </w:t>
      </w:r>
      <w:r w:rsidR="00CF0C64" w:rsidRPr="00CF0C64">
        <w:t xml:space="preserve">impacting ecosystems, environmental harm can </w:t>
      </w:r>
      <w:r w:rsidR="000802D6">
        <w:t xml:space="preserve">also </w:t>
      </w:r>
      <w:r w:rsidR="00CF0C64" w:rsidRPr="00CF0C64">
        <w:t>pose indirect threat</w:t>
      </w:r>
      <w:r w:rsidR="000802D6">
        <w:t>s</w:t>
      </w:r>
      <w:r w:rsidR="00CF0C64" w:rsidRPr="00CF0C64">
        <w:t xml:space="preserve"> to the population </w:t>
      </w:r>
      <w:r w:rsidR="000802D6">
        <w:t>contaminating</w:t>
      </w:r>
      <w:r w:rsidR="00CF0C64" w:rsidRPr="00CF0C64">
        <w:t xml:space="preserve"> land, surface water, and groundwater. Extensive research has been conducted on the direct risks to the population originating from fires, explosions, and toxic releases</w:t>
      </w:r>
      <w:r w:rsidR="001A4C1B">
        <w:t xml:space="preserve">, while </w:t>
      </w:r>
      <w:r w:rsidR="009351D4">
        <w:t xml:space="preserve">the assessment of </w:t>
      </w:r>
      <w:r w:rsidR="00CF0C64" w:rsidRPr="00CF0C64">
        <w:t>environmental damage</w:t>
      </w:r>
      <w:r w:rsidR="009351D4">
        <w:t>s was only marginally considered</w:t>
      </w:r>
      <w:r w:rsidR="00CF0C64" w:rsidRPr="00CF0C64">
        <w:t>.</w:t>
      </w:r>
    </w:p>
    <w:p w14:paraId="7204D1CD" w14:textId="01A74769" w:rsidR="00466EC1" w:rsidRPr="003C5CE1" w:rsidRDefault="000B4FD8" w:rsidP="000B4FD8">
      <w:pPr>
        <w:pStyle w:val="CETBodytext"/>
      </w:pPr>
      <w:r w:rsidRPr="000B4FD8">
        <w:t xml:space="preserve">The necessity to create a methodology </w:t>
      </w:r>
      <w:r w:rsidR="00120B4E">
        <w:t xml:space="preserve">to evaluate </w:t>
      </w:r>
      <w:r w:rsidRPr="000B4FD8">
        <w:t>damage</w:t>
      </w:r>
      <w:r w:rsidR="00544BC4">
        <w:t>s</w:t>
      </w:r>
      <w:r w:rsidRPr="000B4FD8">
        <w:t xml:space="preserve"> to the environment is paramount </w:t>
      </w:r>
      <w:r w:rsidR="00797DB4">
        <w:t>t</w:t>
      </w:r>
      <w:r w:rsidR="00797DB4" w:rsidRPr="00797DB4">
        <w:t xml:space="preserve">o enable a comprehensive assessment of the risk posed by </w:t>
      </w:r>
      <w:r w:rsidR="001B4C41">
        <w:t>N</w:t>
      </w:r>
      <w:r w:rsidR="00797DB4" w:rsidRPr="00797DB4">
        <w:t>atech accidents</w:t>
      </w:r>
      <w:r w:rsidRPr="000B4FD8">
        <w:t xml:space="preserve">. The current study seeks to establish a methodological approach to assess consequences for the environment resulting </w:t>
      </w:r>
      <w:r w:rsidRPr="00356A30">
        <w:t xml:space="preserve">from </w:t>
      </w:r>
      <w:r w:rsidR="007B6A4E" w:rsidRPr="00356A30">
        <w:t>releases of L</w:t>
      </w:r>
      <w:r w:rsidR="004E26ED">
        <w:t>ight</w:t>
      </w:r>
      <w:r w:rsidR="007B6A4E" w:rsidRPr="00356A30">
        <w:t xml:space="preserve"> Non-Acqueous Phase </w:t>
      </w:r>
      <w:r w:rsidR="00DF6FEC">
        <w:t xml:space="preserve">Liquids </w:t>
      </w:r>
      <w:r w:rsidR="007B6A4E" w:rsidRPr="00356A30">
        <w:t>(LNAP</w:t>
      </w:r>
      <w:r w:rsidR="00DF6FEC">
        <w:t>L</w:t>
      </w:r>
      <w:r w:rsidR="00C334CA">
        <w:t>s</w:t>
      </w:r>
      <w:r w:rsidR="007B6A4E" w:rsidRPr="00356A30">
        <w:t xml:space="preserve">) </w:t>
      </w:r>
      <w:r w:rsidRPr="000B4FD8">
        <w:t>caused by Natech accidents</w:t>
      </w:r>
      <w:r w:rsidR="00567380">
        <w:t xml:space="preserve"> on seawater. </w:t>
      </w:r>
      <w:r w:rsidRPr="000B4FD8">
        <w:t xml:space="preserve">The methodology is applied to a fictitious case study to demonstrate its applicability and the relevance of the environmental contamination issues. </w:t>
      </w:r>
      <w:r w:rsidR="00B178A3">
        <w:t xml:space="preserve">The </w:t>
      </w:r>
      <w:r w:rsidR="005F4C0C">
        <w:t xml:space="preserve">methods developed in the present study represent a step forward </w:t>
      </w:r>
      <w:r w:rsidR="00C20467">
        <w:t>towards a comprehensive Natech risk assessment</w:t>
      </w:r>
      <w:r w:rsidR="00256772">
        <w:t xml:space="preserve">, paving the way </w:t>
      </w:r>
      <w:r w:rsidR="003459B1">
        <w:t>for</w:t>
      </w:r>
      <w:r w:rsidR="00256772">
        <w:t xml:space="preserve"> the inclusion of </w:t>
      </w:r>
      <w:r w:rsidR="00567380">
        <w:t>other e</w:t>
      </w:r>
      <w:r w:rsidR="00BE0226">
        <w:t>n</w:t>
      </w:r>
      <w:r w:rsidR="00567380">
        <w:t xml:space="preserve">vironmental compartments. </w:t>
      </w:r>
    </w:p>
    <w:p w14:paraId="476B2F2E" w14:textId="1FB73D9A" w:rsidR="00600535" w:rsidRPr="00575EF1" w:rsidRDefault="00600535" w:rsidP="00575EF1">
      <w:pPr>
        <w:pStyle w:val="CETHeading1"/>
      </w:pPr>
      <w:r w:rsidRPr="00575EF1">
        <w:t>Introduction</w:t>
      </w:r>
    </w:p>
    <w:p w14:paraId="270B515E" w14:textId="498C4553" w:rsidR="000B0F81" w:rsidRDefault="00534412" w:rsidP="00F01553">
      <w:pPr>
        <w:pStyle w:val="CETBodytext"/>
      </w:pPr>
      <w:r w:rsidRPr="00AF7544">
        <w:t>N</w:t>
      </w:r>
      <w:r w:rsidR="00021579" w:rsidRPr="00AF7544">
        <w:t xml:space="preserve">atural events can induce </w:t>
      </w:r>
      <w:r w:rsidR="007B7D3B" w:rsidRPr="00AF7544">
        <w:t xml:space="preserve">major </w:t>
      </w:r>
      <w:r w:rsidR="00021579" w:rsidRPr="00AF7544">
        <w:t xml:space="preserve">technological </w:t>
      </w:r>
      <w:r w:rsidR="00F27634" w:rsidRPr="00AF7544">
        <w:t xml:space="preserve">accidents </w:t>
      </w:r>
      <w:r w:rsidRPr="00AF7544">
        <w:t>in industrial contexts</w:t>
      </w:r>
      <w:r w:rsidR="00021579" w:rsidRPr="00AF7544">
        <w:t xml:space="preserve"> commonly denoted as Natech</w:t>
      </w:r>
      <w:r w:rsidR="00831D98" w:rsidRPr="00AF7544">
        <w:t xml:space="preserve">s </w:t>
      </w:r>
      <w:r w:rsidR="00021579" w:rsidRPr="00AF7544">
        <w:t>(Krausmann et al., 201</w:t>
      </w:r>
      <w:r w:rsidR="00DE47C9" w:rsidRPr="00AF7544">
        <w:t>7</w:t>
      </w:r>
      <w:r w:rsidR="00021579" w:rsidRPr="00AF7544">
        <w:t>).</w:t>
      </w:r>
      <w:r w:rsidR="00C3023A" w:rsidRPr="00AF7544">
        <w:t xml:space="preserve"> </w:t>
      </w:r>
      <w:r w:rsidR="00F14D2D" w:rsidRPr="00AF7544">
        <w:t xml:space="preserve">These </w:t>
      </w:r>
      <w:r w:rsidR="00C3023A" w:rsidRPr="00AF7544">
        <w:t xml:space="preserve">events </w:t>
      </w:r>
      <w:r w:rsidRPr="00AF7544">
        <w:t>are related to the Loss Of Containment (LOC) of hazardous substances and</w:t>
      </w:r>
      <w:r w:rsidR="00660F83" w:rsidRPr="00AF7544">
        <w:t xml:space="preserve"> are of particular concern due to their </w:t>
      </w:r>
      <w:r w:rsidR="00F14D2D" w:rsidRPr="00AF7544">
        <w:t>specific peculiarities</w:t>
      </w:r>
      <w:r w:rsidR="00AF2AB8">
        <w:t>,</w:t>
      </w:r>
      <w:r w:rsidR="00F14D2D" w:rsidRPr="00AF7544">
        <w:t xml:space="preserve"> </w:t>
      </w:r>
      <w:r w:rsidR="00560DDD" w:rsidRPr="00AF7544">
        <w:t>such as</w:t>
      </w:r>
      <w:r w:rsidR="00C3023A" w:rsidRPr="00AF7544">
        <w:t xml:space="preserve"> the simultaneous failure of multiple equipment items</w:t>
      </w:r>
      <w:r w:rsidR="0091140E" w:rsidRPr="00AF7544">
        <w:t xml:space="preserve"> and </w:t>
      </w:r>
      <w:r w:rsidR="00660F83" w:rsidRPr="00AF7544">
        <w:t xml:space="preserve">the unavailability of traditional </w:t>
      </w:r>
      <w:r w:rsidR="00C3023A" w:rsidRPr="00AF7544">
        <w:t xml:space="preserve">safety </w:t>
      </w:r>
      <w:r w:rsidR="00660F83" w:rsidRPr="00AF7544">
        <w:t>barriers, utilities and lifelines</w:t>
      </w:r>
      <w:r w:rsidR="00FD1123" w:rsidRPr="00AF7544">
        <w:t xml:space="preserve"> </w:t>
      </w:r>
      <w:r w:rsidR="004F6E31" w:rsidRPr="00AF7544">
        <w:t>(</w:t>
      </w:r>
      <w:r w:rsidR="00D35644" w:rsidRPr="00AF7544">
        <w:t xml:space="preserve">Misuri et al., </w:t>
      </w:r>
      <w:r w:rsidR="005F55D6" w:rsidRPr="00AF7544">
        <w:t>2023</w:t>
      </w:r>
      <w:r w:rsidR="004F6E31" w:rsidRPr="00AF7544">
        <w:t>).</w:t>
      </w:r>
      <w:r w:rsidR="00660F83" w:rsidRPr="00AF7544">
        <w:t xml:space="preserve"> </w:t>
      </w:r>
      <w:r w:rsidR="007F026F" w:rsidRPr="00AF7544">
        <w:t xml:space="preserve">Over the recent decades, there has been a discernible increase in academic and industrial attention towards investigating the potential </w:t>
      </w:r>
      <w:r w:rsidR="00124B97" w:rsidRPr="00AF7544">
        <w:t>outcomes</w:t>
      </w:r>
      <w:r w:rsidR="007F026F" w:rsidRPr="00AF7544">
        <w:t xml:space="preserve"> of Natech accidents, also propelled by the rising frequency of natural events </w:t>
      </w:r>
      <w:r w:rsidR="007523AC" w:rsidRPr="00AF7544">
        <w:t xml:space="preserve">(IPPC, 2018) </w:t>
      </w:r>
      <w:r w:rsidR="007F026F" w:rsidRPr="00AF7544">
        <w:t>and the potentially severe consequences t</w:t>
      </w:r>
      <w:r w:rsidR="00B7797E" w:rsidRPr="00AF7544">
        <w:t>o which t</w:t>
      </w:r>
      <w:r w:rsidR="007F026F" w:rsidRPr="00AF7544">
        <w:t xml:space="preserve">hey can </w:t>
      </w:r>
      <w:r w:rsidR="00B7797E" w:rsidRPr="00AF7544">
        <w:t xml:space="preserve">lead </w:t>
      </w:r>
      <w:r w:rsidR="007F026F" w:rsidRPr="00AF7544">
        <w:t>(</w:t>
      </w:r>
      <w:r w:rsidR="00EA25B9" w:rsidRPr="00AF7544">
        <w:t xml:space="preserve">Krausmann </w:t>
      </w:r>
      <w:r w:rsidR="00675089" w:rsidRPr="00AF7544">
        <w:t>et al. 2017</w:t>
      </w:r>
      <w:r w:rsidR="007F026F" w:rsidRPr="00AF7544">
        <w:t>).</w:t>
      </w:r>
      <w:r w:rsidR="000617CE" w:rsidRPr="00AF7544">
        <w:t xml:space="preserve"> </w:t>
      </w:r>
    </w:p>
    <w:p w14:paraId="3744458A" w14:textId="254C63C3" w:rsidR="00A1529D" w:rsidRDefault="008745D3" w:rsidP="00F01553">
      <w:pPr>
        <w:pStyle w:val="CETBodytext"/>
      </w:pPr>
      <w:r w:rsidRPr="00AF7544">
        <w:t>The scenarios</w:t>
      </w:r>
      <w:r w:rsidR="00A1623D" w:rsidRPr="00AF7544">
        <w:t xml:space="preserve"> currently</w:t>
      </w:r>
      <w:r w:rsidRPr="00AF7544">
        <w:t xml:space="preserve"> accounted for in the</w:t>
      </w:r>
      <w:r w:rsidR="006D03C2" w:rsidRPr="00AF7544">
        <w:t xml:space="preserve"> </w:t>
      </w:r>
      <w:r w:rsidR="004E2A47" w:rsidRPr="00AF7544">
        <w:t>consequ</w:t>
      </w:r>
      <w:r w:rsidR="00CD1B28" w:rsidRPr="00AF7544">
        <w:t>ence assessment</w:t>
      </w:r>
      <w:r w:rsidR="00A1623D" w:rsidRPr="00AF7544">
        <w:t xml:space="preserve"> </w:t>
      </w:r>
      <w:r w:rsidR="00E75A71" w:rsidRPr="00AF7544">
        <w:t xml:space="preserve">consider </w:t>
      </w:r>
      <w:r w:rsidR="00A1623D" w:rsidRPr="00AF7544">
        <w:t>primarily humans</w:t>
      </w:r>
      <w:r w:rsidR="006D03C2" w:rsidRPr="00AF7544">
        <w:t xml:space="preserve"> </w:t>
      </w:r>
      <w:r w:rsidR="00A1623D" w:rsidRPr="00AF7544">
        <w:t xml:space="preserve">(i.e., </w:t>
      </w:r>
      <w:r w:rsidR="006D03C2" w:rsidRPr="00AF7544">
        <w:t>f</w:t>
      </w:r>
      <w:r w:rsidR="001B4C41" w:rsidRPr="00AF7544">
        <w:t>ires, explosions</w:t>
      </w:r>
      <w:r w:rsidR="00A1623D" w:rsidRPr="00AF7544">
        <w:t>,</w:t>
      </w:r>
      <w:r w:rsidR="001B4C41" w:rsidRPr="00AF7544">
        <w:t xml:space="preserve"> toxic releases</w:t>
      </w:r>
      <w:r w:rsidR="00A1623D" w:rsidRPr="00AF7544">
        <w:t xml:space="preserve">) but it was proven by </w:t>
      </w:r>
      <w:r w:rsidR="00A1623D" w:rsidRPr="007C56E4">
        <w:t>Ricci et al. (2021)</w:t>
      </w:r>
      <w:r w:rsidR="001B4C41" w:rsidRPr="007C56E4">
        <w:t xml:space="preserve"> that</w:t>
      </w:r>
      <w:r w:rsidR="001B4C41" w:rsidRPr="00AF7544">
        <w:t xml:space="preserve"> environmental contamination is also </w:t>
      </w:r>
      <w:r w:rsidR="00AF2AB8">
        <w:t xml:space="preserve">a </w:t>
      </w:r>
      <w:r w:rsidR="001B4C41" w:rsidRPr="00AF7544">
        <w:t xml:space="preserve">significant </w:t>
      </w:r>
      <w:r w:rsidR="0016271F" w:rsidRPr="00AF7544">
        <w:t>outcome</w:t>
      </w:r>
      <w:r w:rsidR="001B4C41" w:rsidRPr="00AF7544">
        <w:t>.</w:t>
      </w:r>
      <w:r w:rsidR="00987525">
        <w:t xml:space="preserve"> </w:t>
      </w:r>
      <w:r w:rsidR="00440D2C" w:rsidRPr="00552567">
        <w:t>More s</w:t>
      </w:r>
      <w:r w:rsidR="00941970" w:rsidRPr="00552567">
        <w:t>pecifically</w:t>
      </w:r>
      <w:r w:rsidR="00987525" w:rsidRPr="00552567">
        <w:t>,</w:t>
      </w:r>
      <w:r w:rsidR="00FE2C50" w:rsidRPr="00552567">
        <w:t xml:space="preserve"> </w:t>
      </w:r>
      <w:r w:rsidR="00A53C68" w:rsidRPr="00552567">
        <w:t xml:space="preserve">the </w:t>
      </w:r>
      <w:r w:rsidR="00B0400E" w:rsidRPr="00552567">
        <w:t>h</w:t>
      </w:r>
      <w:r w:rsidR="00A53C68" w:rsidRPr="00552567">
        <w:t>istorical analysi</w:t>
      </w:r>
      <w:r w:rsidR="00B0400E" w:rsidRPr="00552567">
        <w:t xml:space="preserve">s of past Natech accidents (3,970 records) </w:t>
      </w:r>
      <w:r w:rsidR="00FE2C50" w:rsidRPr="00552567">
        <w:t xml:space="preserve">demonstrated that </w:t>
      </w:r>
      <w:r w:rsidR="00B0400E" w:rsidRPr="00552567">
        <w:t xml:space="preserve">environmental contamination </w:t>
      </w:r>
      <w:r w:rsidR="007F55C0" w:rsidRPr="00552567">
        <w:t>occur</w:t>
      </w:r>
      <w:r w:rsidR="00FF53A7" w:rsidRPr="00552567">
        <w:t>r</w:t>
      </w:r>
      <w:r w:rsidR="007F55C0" w:rsidRPr="00552567">
        <w:t>ed</w:t>
      </w:r>
      <w:r w:rsidR="00A66D70" w:rsidRPr="00552567">
        <w:t xml:space="preserve"> in </w:t>
      </w:r>
      <w:r w:rsidR="00EB070C" w:rsidRPr="00552567">
        <w:t xml:space="preserve">44% </w:t>
      </w:r>
      <w:r w:rsidR="00A66D70" w:rsidRPr="00552567">
        <w:t>of the case</w:t>
      </w:r>
      <w:r w:rsidR="00723AAF" w:rsidRPr="00552567">
        <w:t>s</w:t>
      </w:r>
      <w:r w:rsidR="00E2071D" w:rsidRPr="00552567">
        <w:t xml:space="preserve"> and that </w:t>
      </w:r>
      <w:r w:rsidR="00343D30" w:rsidRPr="00552567">
        <w:t xml:space="preserve">it was mainly related </w:t>
      </w:r>
      <w:r w:rsidR="00F411FA" w:rsidRPr="00552567">
        <w:t>to releases</w:t>
      </w:r>
      <w:r w:rsidR="00343D30" w:rsidRPr="00552567">
        <w:t xml:space="preserve"> of Light Non-Acqueous Phase Liquid (LNAPL) substances</w:t>
      </w:r>
      <w:r w:rsidR="00513273" w:rsidRPr="00552567">
        <w:t>.</w:t>
      </w:r>
      <w:r w:rsidR="00440D2C" w:rsidRPr="00552567">
        <w:t xml:space="preserve"> </w:t>
      </w:r>
      <w:r w:rsidR="00323753" w:rsidRPr="00552567">
        <w:t>The</w:t>
      </w:r>
      <w:r w:rsidR="00AE1300" w:rsidRPr="00552567">
        <w:t xml:space="preserve"> </w:t>
      </w:r>
      <w:r w:rsidR="00577DBB" w:rsidRPr="00552567">
        <w:t xml:space="preserve">Livorno </w:t>
      </w:r>
      <w:r w:rsidR="007F55C0" w:rsidRPr="00552567">
        <w:t xml:space="preserve">oil spill </w:t>
      </w:r>
      <w:r w:rsidR="00FB392F" w:rsidRPr="00552567">
        <w:t>(eNatech, 2021)</w:t>
      </w:r>
      <w:r w:rsidR="007F55C0" w:rsidRPr="00552567">
        <w:t xml:space="preserve">, </w:t>
      </w:r>
      <w:r w:rsidR="00577DBB" w:rsidRPr="00552567">
        <w:t>the Tohuko</w:t>
      </w:r>
      <w:r w:rsidR="007F55C0" w:rsidRPr="00552567">
        <w:t xml:space="preserve"> oil spill</w:t>
      </w:r>
      <w:r w:rsidR="00530248" w:rsidRPr="00552567">
        <w:t xml:space="preserve"> (Krausmann and Cruz, 2013)</w:t>
      </w:r>
      <w:r w:rsidR="007F55C0" w:rsidRPr="00552567">
        <w:t xml:space="preserve">, </w:t>
      </w:r>
      <w:r w:rsidR="005D3579" w:rsidRPr="00552567">
        <w:t>and the Koeali acrylonit</w:t>
      </w:r>
      <w:r w:rsidR="00A53C68" w:rsidRPr="00552567">
        <w:t>ril</w:t>
      </w:r>
      <w:r w:rsidR="005D3579" w:rsidRPr="00552567">
        <w:t xml:space="preserve">e release </w:t>
      </w:r>
      <w:r w:rsidR="0014716E" w:rsidRPr="00552567">
        <w:t>(Girgin</w:t>
      </w:r>
      <w:r w:rsidR="00FC5057" w:rsidRPr="00552567">
        <w:t>,</w:t>
      </w:r>
      <w:r w:rsidR="0014716E" w:rsidRPr="00552567">
        <w:t xml:space="preserve"> 2021</w:t>
      </w:r>
      <w:r w:rsidR="00323753" w:rsidRPr="00552567">
        <w:t xml:space="preserve">) are </w:t>
      </w:r>
      <w:r w:rsidR="002A44AC" w:rsidRPr="00552567">
        <w:t xml:space="preserve">some </w:t>
      </w:r>
      <w:r w:rsidR="00774291" w:rsidRPr="00552567">
        <w:t xml:space="preserve">paradigmatic examples </w:t>
      </w:r>
      <w:r w:rsidR="0045794B" w:rsidRPr="00552567">
        <w:t xml:space="preserve">of accidents where relevant contamination to the environment occurred. </w:t>
      </w:r>
      <w:r w:rsidR="00F04A05" w:rsidRPr="00552567">
        <w:t>Hence</w:t>
      </w:r>
      <w:r w:rsidR="000617CE" w:rsidRPr="00552567">
        <w:t>,</w:t>
      </w:r>
      <w:r w:rsidR="00F411FA" w:rsidRPr="00552567">
        <w:t xml:space="preserve"> </w:t>
      </w:r>
      <w:r w:rsidR="00B837A5" w:rsidRPr="00552567">
        <w:t>it is clear that</w:t>
      </w:r>
      <w:r w:rsidR="000617CE" w:rsidRPr="00552567">
        <w:t xml:space="preserve"> </w:t>
      </w:r>
      <w:r w:rsidR="000617CE" w:rsidRPr="00440D2C">
        <w:t>Natech accidents represent a serious hazard</w:t>
      </w:r>
      <w:r w:rsidR="00B71710" w:rsidRPr="00440D2C">
        <w:t xml:space="preserve"> both </w:t>
      </w:r>
      <w:r w:rsidR="000617CE" w:rsidRPr="00440D2C">
        <w:t>to human health and the environment.</w:t>
      </w:r>
      <w:r w:rsidR="000617CE" w:rsidRPr="00AF7544">
        <w:t xml:space="preserve"> </w:t>
      </w:r>
    </w:p>
    <w:p w14:paraId="3C0FE334" w14:textId="6744036C" w:rsidR="00642B03" w:rsidRPr="00A1529D" w:rsidRDefault="007F026F" w:rsidP="00F01553">
      <w:pPr>
        <w:pStyle w:val="CETBodytext"/>
        <w:rPr>
          <w:highlight w:val="cyan"/>
        </w:rPr>
      </w:pPr>
      <w:r w:rsidRPr="00AF7544">
        <w:t xml:space="preserve">While extensive research has explored the direct risks to the population arising from Natechs triggered by different natural events, there has been relatively less emphasis on quantitatively evaluating environmental damage (Mesa-Gomez et al., 2021) </w:t>
      </w:r>
      <w:r w:rsidR="00124B97" w:rsidRPr="00AF7544">
        <w:t>even though</w:t>
      </w:r>
      <w:r w:rsidRPr="00AF7544">
        <w:t xml:space="preserve"> this specific assessment is prescribed by current legislation (i.e., the Seveso III Directive).</w:t>
      </w:r>
      <w:r w:rsidR="00124B97" w:rsidRPr="00AF7544">
        <w:t xml:space="preserve"> </w:t>
      </w:r>
      <w:r w:rsidR="007B2F96" w:rsidRPr="00AF7544">
        <w:t xml:space="preserve">In addition, </w:t>
      </w:r>
      <w:r w:rsidR="00DC169A" w:rsidRPr="00AF7544">
        <w:t>besides direct</w:t>
      </w:r>
      <w:r w:rsidR="00057544" w:rsidRPr="00AF7544">
        <w:t>ly</w:t>
      </w:r>
      <w:r w:rsidR="00DC169A" w:rsidRPr="00AF7544">
        <w:t xml:space="preserve"> </w:t>
      </w:r>
      <w:r w:rsidR="00057544" w:rsidRPr="00AF7544">
        <w:t xml:space="preserve">harming the environment </w:t>
      </w:r>
      <w:r w:rsidR="00F01553" w:rsidRPr="00AF7544">
        <w:t>through the contamination of land, surface water, and groundwater, these effect</w:t>
      </w:r>
      <w:r w:rsidR="003459B1" w:rsidRPr="00AF7544">
        <w:t>s</w:t>
      </w:r>
      <w:r w:rsidR="00F01553" w:rsidRPr="00AF7544">
        <w:t xml:space="preserve"> may</w:t>
      </w:r>
      <w:r w:rsidR="003459B1" w:rsidRPr="00AF7544">
        <w:t xml:space="preserve"> pose</w:t>
      </w:r>
      <w:r w:rsidR="00F01553" w:rsidRPr="00AF7544">
        <w:t xml:space="preserve"> </w:t>
      </w:r>
      <w:r w:rsidR="007B2F96" w:rsidRPr="00AF7544">
        <w:t>an indirect threat to the population</w:t>
      </w:r>
      <w:r w:rsidR="00DC169A" w:rsidRPr="00AF7544">
        <w:t>.</w:t>
      </w:r>
    </w:p>
    <w:p w14:paraId="2EBA60B2" w14:textId="6531BB4F" w:rsidR="00466EC1" w:rsidRDefault="007F026F" w:rsidP="003C5CE1">
      <w:pPr>
        <w:pStyle w:val="CETBodytext"/>
      </w:pPr>
      <w:r>
        <w:lastRenderedPageBreak/>
        <w:t>In this context, t</w:t>
      </w:r>
      <w:r w:rsidRPr="00403036">
        <w:t xml:space="preserve">he </w:t>
      </w:r>
      <w:r>
        <w:t>present</w:t>
      </w:r>
      <w:r w:rsidRPr="00403036">
        <w:t xml:space="preserve"> study aims to establish a </w:t>
      </w:r>
      <w:r>
        <w:t xml:space="preserve">general </w:t>
      </w:r>
      <w:r w:rsidRPr="00403036">
        <w:t xml:space="preserve">methodological approach for assessing </w:t>
      </w:r>
      <w:r w:rsidR="00124B97">
        <w:t xml:space="preserve">the environmental </w:t>
      </w:r>
      <w:r w:rsidR="00F01553">
        <w:t xml:space="preserve">damages </w:t>
      </w:r>
      <w:r w:rsidRPr="00403036">
        <w:t>resulting from</w:t>
      </w:r>
      <w:r w:rsidR="007B6A4E">
        <w:t xml:space="preserve"> </w:t>
      </w:r>
      <w:r w:rsidRPr="00403036">
        <w:t>releases</w:t>
      </w:r>
      <w:r w:rsidR="007B6A4E">
        <w:t xml:space="preserve"> </w:t>
      </w:r>
      <w:r w:rsidR="007B6A4E" w:rsidRPr="00356A30">
        <w:t>of LNAP</w:t>
      </w:r>
      <w:r w:rsidR="00DF6FEC">
        <w:t>L</w:t>
      </w:r>
      <w:r w:rsidR="007B6A4E" w:rsidRPr="00356A30">
        <w:t xml:space="preserve"> </w:t>
      </w:r>
      <w:r w:rsidR="00DF6FEC">
        <w:t xml:space="preserve">substances </w:t>
      </w:r>
      <w:r w:rsidRPr="00356A30">
        <w:t>caused</w:t>
      </w:r>
      <w:r w:rsidRPr="00403036">
        <w:t xml:space="preserve"> by Natech accident</w:t>
      </w:r>
      <w:r w:rsidR="00124B97">
        <w:t>s</w:t>
      </w:r>
      <w:r w:rsidR="00343D30">
        <w:t xml:space="preserve">. </w:t>
      </w:r>
      <w:r w:rsidR="000B7B64">
        <w:t xml:space="preserve">The </w:t>
      </w:r>
      <w:r w:rsidR="00124B97">
        <w:t xml:space="preserve">methodology is </w:t>
      </w:r>
      <w:r w:rsidR="00922026">
        <w:t>tailored</w:t>
      </w:r>
      <w:r w:rsidR="00124B97">
        <w:t xml:space="preserve"> to address the effects of</w:t>
      </w:r>
      <w:r w:rsidR="007B6A4E">
        <w:t xml:space="preserve"> the</w:t>
      </w:r>
      <w:r w:rsidR="00124B97">
        <w:t xml:space="preserve"> LOC</w:t>
      </w:r>
      <w:r w:rsidR="007B6A4E">
        <w:t xml:space="preserve"> events</w:t>
      </w:r>
      <w:r w:rsidR="00124B97">
        <w:t xml:space="preserve"> </w:t>
      </w:r>
      <w:r w:rsidR="00683D5C">
        <w:t>in the marine environment</w:t>
      </w:r>
      <w:r w:rsidR="00124B97">
        <w:t>, acknowledging the peculiarities of its sub-compartments</w:t>
      </w:r>
      <w:r w:rsidR="00AA189D">
        <w:t>.</w:t>
      </w:r>
      <w:r w:rsidR="008E1D4F">
        <w:t xml:space="preserve"> </w:t>
      </w:r>
      <w:r w:rsidR="00AA189D">
        <w:t>Th</w:t>
      </w:r>
      <w:r w:rsidR="00124B97">
        <w:t>is</w:t>
      </w:r>
      <w:r w:rsidR="00AA189D">
        <w:t xml:space="preserve"> </w:t>
      </w:r>
      <w:r w:rsidR="00124B97">
        <w:t>novel approach</w:t>
      </w:r>
      <w:r w:rsidR="00AA189D">
        <w:t xml:space="preserve"> is </w:t>
      </w:r>
      <w:r w:rsidR="00036970">
        <w:t xml:space="preserve">specifically </w:t>
      </w:r>
      <w:r w:rsidR="00683D5C">
        <w:t>designed</w:t>
      </w:r>
      <w:r w:rsidR="00AA189D">
        <w:t xml:space="preserve"> to be integrated into the Natech Quantitative Risk Assessment</w:t>
      </w:r>
      <w:r w:rsidR="00036970">
        <w:t xml:space="preserve"> (QRA)</w:t>
      </w:r>
      <w:r w:rsidR="00381C6A">
        <w:t xml:space="preserve"> </w:t>
      </w:r>
      <w:r w:rsidR="009E38B9">
        <w:t xml:space="preserve">framework </w:t>
      </w:r>
      <w:r w:rsidR="00381C6A">
        <w:t xml:space="preserve">and </w:t>
      </w:r>
      <w:r w:rsidR="009E38B9">
        <w:t xml:space="preserve">it </w:t>
      </w:r>
      <w:r w:rsidR="00DA36E1">
        <w:t xml:space="preserve">is based on </w:t>
      </w:r>
      <w:r w:rsidR="00FD5E8A">
        <w:t>the</w:t>
      </w:r>
      <w:r w:rsidR="00124B97">
        <w:t xml:space="preserve"> identification and</w:t>
      </w:r>
      <w:r w:rsidR="00DA36E1">
        <w:t xml:space="preserve"> quantification o</w:t>
      </w:r>
      <w:r w:rsidR="00EE4565">
        <w:t>f the</w:t>
      </w:r>
      <w:r w:rsidR="00DA36E1">
        <w:t xml:space="preserve"> physical effects</w:t>
      </w:r>
      <w:r w:rsidR="00EE4565">
        <w:t xml:space="preserve"> </w:t>
      </w:r>
      <w:r w:rsidR="00124B97">
        <w:t xml:space="preserve">related to the release </w:t>
      </w:r>
      <w:r w:rsidR="00124B97" w:rsidRPr="00356A30">
        <w:t xml:space="preserve">of </w:t>
      </w:r>
      <w:r w:rsidR="007B6A4E" w:rsidRPr="00356A30">
        <w:t>LNAP</w:t>
      </w:r>
      <w:r w:rsidR="00DF6FEC">
        <w:t>L</w:t>
      </w:r>
      <w:r w:rsidR="00025AEE">
        <w:t>s</w:t>
      </w:r>
      <w:r w:rsidR="007B6A4E" w:rsidRPr="00356A30">
        <w:t xml:space="preserve"> </w:t>
      </w:r>
      <w:r w:rsidR="00124B97" w:rsidRPr="00356A30">
        <w:t>in</w:t>
      </w:r>
      <w:r w:rsidR="000B7B64">
        <w:t xml:space="preserve">to the sea. </w:t>
      </w:r>
    </w:p>
    <w:p w14:paraId="613AC6D2" w14:textId="77777777" w:rsidR="00560E87" w:rsidRDefault="00403036" w:rsidP="003C5CE1">
      <w:pPr>
        <w:pStyle w:val="CETBodytext"/>
      </w:pPr>
      <w:r w:rsidRPr="00403036">
        <w:t xml:space="preserve">To demonstrate </w:t>
      </w:r>
      <w:r w:rsidR="00352581">
        <w:t>the</w:t>
      </w:r>
      <w:r w:rsidRPr="00403036">
        <w:t xml:space="preserve"> applicability</w:t>
      </w:r>
      <w:r w:rsidR="00352581">
        <w:t xml:space="preserve"> of the methodology</w:t>
      </w:r>
      <w:r w:rsidRPr="00403036">
        <w:t>, a fictitious case study</w:t>
      </w:r>
      <w:r w:rsidR="00381C6A">
        <w:t xml:space="preserve"> </w:t>
      </w:r>
      <w:r w:rsidR="008417E0">
        <w:t>was designed</w:t>
      </w:r>
      <w:r w:rsidR="00124B97">
        <w:t>. The</w:t>
      </w:r>
      <w:r w:rsidR="0086594F">
        <w:t xml:space="preserve"> </w:t>
      </w:r>
      <w:r w:rsidR="00124B97">
        <w:t>quantification of</w:t>
      </w:r>
      <w:r w:rsidR="00381C6A">
        <w:t xml:space="preserve"> the effects </w:t>
      </w:r>
      <w:r w:rsidR="00124B97">
        <w:t>of a</w:t>
      </w:r>
      <w:r w:rsidR="00F61043">
        <w:t>n oil spill</w:t>
      </w:r>
      <w:r w:rsidR="00124B97">
        <w:t xml:space="preserve"> into the sea (i.e., off-shore) </w:t>
      </w:r>
      <w:r w:rsidR="00381C6A">
        <w:t>derived from the</w:t>
      </w:r>
      <w:r w:rsidR="00381C6A" w:rsidRPr="00381C6A">
        <w:t xml:space="preserve"> </w:t>
      </w:r>
      <w:r w:rsidR="00381C6A">
        <w:t>rupture of an atmospheric tank located on the coast (i.e</w:t>
      </w:r>
      <w:r w:rsidR="00BE0226">
        <w:t>.</w:t>
      </w:r>
      <w:r w:rsidR="00381C6A">
        <w:t>, on-shore)</w:t>
      </w:r>
      <w:r w:rsidR="00124B97">
        <w:t xml:space="preserve"> is presented</w:t>
      </w:r>
      <w:r w:rsidR="00F61043">
        <w:t xml:space="preserve"> and discussed.</w:t>
      </w:r>
      <w:r w:rsidR="00B62E8B" w:rsidRPr="00B62E8B">
        <w:t xml:space="preserve"> </w:t>
      </w:r>
    </w:p>
    <w:p w14:paraId="6E1C5D3C" w14:textId="62744225" w:rsidR="00D70DDA" w:rsidRDefault="00560E87" w:rsidP="003C5CE1">
      <w:pPr>
        <w:pStyle w:val="CETBodytext"/>
      </w:pPr>
      <w:r w:rsidRPr="00AF7544">
        <w:t xml:space="preserve">The methodology proposed </w:t>
      </w:r>
      <w:r w:rsidR="00CE2A85" w:rsidRPr="00AF7544">
        <w:t xml:space="preserve">represents a first step towards a more comprehensive </w:t>
      </w:r>
      <w:r w:rsidR="003C2B65" w:rsidRPr="00AF7544">
        <w:t>assessment of the risk related to Natech accidents</w:t>
      </w:r>
      <w:r w:rsidR="00CE2A85" w:rsidRPr="00AF7544">
        <w:t xml:space="preserve"> and </w:t>
      </w:r>
      <w:r w:rsidR="005E6500" w:rsidRPr="00AF7544">
        <w:t>lay</w:t>
      </w:r>
      <w:r w:rsidR="009F381B" w:rsidRPr="00AF7544">
        <w:t>s</w:t>
      </w:r>
      <w:r w:rsidR="005E6500" w:rsidRPr="00AF7544">
        <w:t xml:space="preserve"> the fo</w:t>
      </w:r>
      <w:r w:rsidR="004C08C2" w:rsidRPr="00AF7544">
        <w:t>undations</w:t>
      </w:r>
      <w:r w:rsidR="00AE620A" w:rsidRPr="00AF7544">
        <w:t xml:space="preserve"> for the inclusion of other environmental compartments</w:t>
      </w:r>
      <w:r w:rsidRPr="00AF7544">
        <w:t>.</w:t>
      </w:r>
    </w:p>
    <w:p w14:paraId="71107558" w14:textId="7F492276" w:rsidR="00575EF1" w:rsidRPr="00575EF1" w:rsidRDefault="0082477B" w:rsidP="00EB454D">
      <w:pPr>
        <w:pStyle w:val="CETHeading1"/>
        <w:rPr>
          <w:lang w:val="en-GB"/>
        </w:rPr>
      </w:pPr>
      <w:r w:rsidRPr="00381C6A">
        <w:rPr>
          <w:lang w:val="en-GB"/>
        </w:rPr>
        <w:t xml:space="preserve">Methodology </w:t>
      </w:r>
    </w:p>
    <w:p w14:paraId="353C06D7" w14:textId="6BCC1F55" w:rsidR="000557B2" w:rsidRPr="00AF7544" w:rsidRDefault="004621D9" w:rsidP="00935E55">
      <w:pPr>
        <w:pStyle w:val="CETBodytext"/>
      </w:pPr>
      <w:r w:rsidRPr="00AF7544">
        <w:t>The QRA process - as defined by ISO 31000</w:t>
      </w:r>
      <w:r w:rsidR="004E4848" w:rsidRPr="00AF7544">
        <w:t xml:space="preserve"> (</w:t>
      </w:r>
      <w:r w:rsidR="001B4C41" w:rsidRPr="00AF7544">
        <w:t>2018</w:t>
      </w:r>
      <w:r w:rsidR="004E4848" w:rsidRPr="00AF7544">
        <w:t>)</w:t>
      </w:r>
      <w:r w:rsidRPr="00AF7544">
        <w:t xml:space="preserve"> - has been </w:t>
      </w:r>
      <w:r w:rsidR="00AF2AB8">
        <w:t>adapted</w:t>
      </w:r>
      <w:r w:rsidR="008E1D4F" w:rsidRPr="00AF7544">
        <w:t xml:space="preserve"> over the years</w:t>
      </w:r>
      <w:r w:rsidRPr="00AF7544">
        <w:t xml:space="preserve"> to address Natech events triggered by various typologies of natural hazards, focusing solely on the human target (</w:t>
      </w:r>
      <w:r w:rsidR="00B45A8A" w:rsidRPr="00AF7544">
        <w:t>Mesa-Gomez et al., 2021)</w:t>
      </w:r>
      <w:r w:rsidR="00986DFB" w:rsidRPr="00AF7544">
        <w:t xml:space="preserve">. </w:t>
      </w:r>
      <w:r w:rsidRPr="00AF7544">
        <w:t>The assessment comprises three key macro-phases: hazard identification, risk analysis and risk evaluation.</w:t>
      </w:r>
      <w:r w:rsidR="0042056D" w:rsidRPr="00AF7544">
        <w:t xml:space="preserve"> </w:t>
      </w:r>
      <w:r w:rsidRPr="00AF7544">
        <w:t>Hazard identification involves identifying the potential hazards and sources of accidents, both</w:t>
      </w:r>
      <w:r w:rsidRPr="004621D9">
        <w:t xml:space="preserve"> internal and external to the analysed </w:t>
      </w:r>
      <w:r w:rsidR="00D2166C">
        <w:t>industrial site</w:t>
      </w:r>
      <w:r w:rsidRPr="004621D9">
        <w:t>. Up to this stage, no significant differences arise while considering humans or the environment as the target.</w:t>
      </w:r>
      <w:r w:rsidR="0042056D">
        <w:t xml:space="preserve"> </w:t>
      </w:r>
      <w:r w:rsidRPr="004621D9">
        <w:t xml:space="preserve">On the </w:t>
      </w:r>
      <w:r w:rsidR="00BC1489">
        <w:t>contrary</w:t>
      </w:r>
      <w:r w:rsidRPr="004621D9">
        <w:t xml:space="preserve">, risk analysis entails evaluating the frequencies and the consequences of credible accidental scenarios and needs to be tailored for the target environment. </w:t>
      </w:r>
      <w:r w:rsidR="001B4C41" w:rsidRPr="00AF7544">
        <w:t>In particular, i</w:t>
      </w:r>
      <w:r w:rsidR="00AC1C87" w:rsidRPr="00AF7544">
        <w:t xml:space="preserve">t is important to </w:t>
      </w:r>
      <w:r w:rsidR="001B4C41" w:rsidRPr="00AF7544">
        <w:t>consider</w:t>
      </w:r>
      <w:r w:rsidR="00AC1C87" w:rsidRPr="00AF7544">
        <w:t xml:space="preserve"> </w:t>
      </w:r>
      <w:r w:rsidR="00C86322" w:rsidRPr="00AF7544">
        <w:t xml:space="preserve">the target environment </w:t>
      </w:r>
      <w:r w:rsidR="001778F0" w:rsidRPr="009133FB">
        <w:t xml:space="preserve">when applying methods </w:t>
      </w:r>
      <w:r w:rsidR="003459B1" w:rsidRPr="009133FB">
        <w:t xml:space="preserve">such </w:t>
      </w:r>
      <w:r w:rsidR="001778F0" w:rsidRPr="009133FB">
        <w:t>as event trees in</w:t>
      </w:r>
      <w:r w:rsidR="00C86322" w:rsidRPr="009133FB">
        <w:t xml:space="preserve"> the frequency assessment </w:t>
      </w:r>
      <w:r w:rsidR="001B4C41" w:rsidRPr="009133FB">
        <w:t>(</w:t>
      </w:r>
      <w:r w:rsidR="00155F3B" w:rsidRPr="009133FB">
        <w:t>the ARAMIS project (Andersen et al., 20</w:t>
      </w:r>
      <w:r w:rsidR="001B4C41" w:rsidRPr="009133FB">
        <w:t>0</w:t>
      </w:r>
      <w:r w:rsidR="00155F3B" w:rsidRPr="009133FB">
        <w:t>4)</w:t>
      </w:r>
      <w:r w:rsidR="001B4C41" w:rsidRPr="009133FB">
        <w:t xml:space="preserve"> can be seen as an example)</w:t>
      </w:r>
      <w:r w:rsidR="00D85FA7" w:rsidRPr="009133FB">
        <w:t>.</w:t>
      </w:r>
      <w:r w:rsidR="00EA59C8" w:rsidRPr="009133FB">
        <w:t xml:space="preserve"> It is </w:t>
      </w:r>
      <w:r w:rsidR="005C3D90" w:rsidRPr="009133FB">
        <w:t>noteworthy</w:t>
      </w:r>
      <w:r w:rsidR="00EA59C8" w:rsidRPr="009133FB">
        <w:t xml:space="preserve"> </w:t>
      </w:r>
      <w:r w:rsidR="0048380C" w:rsidRPr="009133FB">
        <w:t xml:space="preserve">that </w:t>
      </w:r>
      <w:r w:rsidR="00914286" w:rsidRPr="009133FB">
        <w:t xml:space="preserve">the </w:t>
      </w:r>
      <w:r w:rsidR="0048380C" w:rsidRPr="009133FB">
        <w:t xml:space="preserve">event trees should acknowledge the </w:t>
      </w:r>
      <w:r w:rsidR="005C3D90" w:rsidRPr="009133FB">
        <w:t>possible disruption</w:t>
      </w:r>
      <w:r w:rsidR="0048380C" w:rsidRPr="009133FB">
        <w:t xml:space="preserve"> of safety barriers</w:t>
      </w:r>
      <w:r w:rsidR="00A95E13" w:rsidRPr="009133FB">
        <w:t xml:space="preserve"> given that</w:t>
      </w:r>
      <w:r w:rsidR="00030C3E" w:rsidRPr="009133FB">
        <w:t xml:space="preserve"> their </w:t>
      </w:r>
      <w:r w:rsidR="00914286" w:rsidRPr="009133FB">
        <w:t xml:space="preserve">failure </w:t>
      </w:r>
      <w:r w:rsidR="00F000BF" w:rsidRPr="009133FB">
        <w:t>is</w:t>
      </w:r>
      <w:r w:rsidR="00CD776E" w:rsidRPr="009133FB">
        <w:t xml:space="preserve"> </w:t>
      </w:r>
      <w:r w:rsidR="00030C3E" w:rsidRPr="009133FB">
        <w:t xml:space="preserve">a </w:t>
      </w:r>
      <w:r w:rsidR="00CD776E" w:rsidRPr="009133FB">
        <w:t>credible scenario</w:t>
      </w:r>
      <w:r w:rsidR="00F000BF" w:rsidRPr="009133FB">
        <w:t xml:space="preserve"> in the case of Natechs </w:t>
      </w:r>
      <w:r w:rsidR="00C71F4A" w:rsidRPr="009133FB">
        <w:t>(Misuri et al., 2020).</w:t>
      </w:r>
      <w:r w:rsidR="00AF7544" w:rsidRPr="009133FB">
        <w:t xml:space="preserve"> </w:t>
      </w:r>
      <w:r w:rsidR="001C77ED" w:rsidRPr="009133FB">
        <w:t>T</w:t>
      </w:r>
      <w:r w:rsidR="00030C3E" w:rsidRPr="009133FB">
        <w:t>he rupture of a catch basin</w:t>
      </w:r>
      <w:r w:rsidR="001C77ED" w:rsidRPr="009133FB">
        <w:t xml:space="preserve"> </w:t>
      </w:r>
      <w:r w:rsidR="00B53988" w:rsidRPr="009133FB">
        <w:t xml:space="preserve">due to a natural event </w:t>
      </w:r>
      <w:r w:rsidR="005E3713" w:rsidRPr="009133FB">
        <w:t xml:space="preserve">serves as an exemplary instance </w:t>
      </w:r>
      <w:r w:rsidR="001C77ED" w:rsidRPr="009133FB">
        <w:t>in this regard as it</w:t>
      </w:r>
      <w:r w:rsidR="00030C3E" w:rsidRPr="009133FB">
        <w:t xml:space="preserve"> </w:t>
      </w:r>
      <w:r w:rsidR="00B8092D" w:rsidRPr="009133FB">
        <w:t xml:space="preserve">can lead to </w:t>
      </w:r>
      <w:r w:rsidR="00D963D0" w:rsidRPr="009133FB">
        <w:t xml:space="preserve">the unrestrained spread of </w:t>
      </w:r>
      <w:r w:rsidR="00FD70BF" w:rsidRPr="009133FB">
        <w:t xml:space="preserve">the released substances in the area </w:t>
      </w:r>
      <w:r w:rsidR="00D8169B" w:rsidRPr="009133FB">
        <w:t xml:space="preserve">around </w:t>
      </w:r>
      <w:r w:rsidR="00B05E41" w:rsidRPr="009133FB">
        <w:t>the</w:t>
      </w:r>
      <w:r w:rsidR="00D8169B" w:rsidRPr="009133FB">
        <w:t xml:space="preserve"> </w:t>
      </w:r>
      <w:r w:rsidR="003A07C2" w:rsidRPr="009133FB">
        <w:t xml:space="preserve">industrial </w:t>
      </w:r>
      <w:r w:rsidR="00D8169B" w:rsidRPr="009133FB">
        <w:t xml:space="preserve">facility, </w:t>
      </w:r>
      <w:r w:rsidR="00A95E13" w:rsidRPr="009133FB">
        <w:t>thereby</w:t>
      </w:r>
      <w:r w:rsidR="00B53988" w:rsidRPr="009133FB">
        <w:t xml:space="preserve"> </w:t>
      </w:r>
      <w:r w:rsidR="003A07C2" w:rsidRPr="009133FB">
        <w:t>exacerbating the consequences</w:t>
      </w:r>
      <w:r w:rsidR="00B53988" w:rsidRPr="009133FB">
        <w:t xml:space="preserve"> for the environment</w:t>
      </w:r>
      <w:r w:rsidR="003A07C2" w:rsidRPr="009133FB">
        <w:t>.</w:t>
      </w:r>
      <w:r w:rsidR="00265970">
        <w:rPr>
          <w:rFonts w:ascii="Segoe UI" w:hAnsi="Segoe UI" w:cs="Segoe UI"/>
          <w:color w:val="0D0D0D"/>
          <w:shd w:val="clear" w:color="auto" w:fill="FFFFFF"/>
        </w:rPr>
        <w:t xml:space="preserve"> </w:t>
      </w:r>
      <w:r w:rsidR="00FC6E71" w:rsidRPr="00AF7544">
        <w:t>Regarding</w:t>
      </w:r>
      <w:r w:rsidR="003459B1" w:rsidRPr="00AF7544">
        <w:t xml:space="preserve"> </w:t>
      </w:r>
      <w:r w:rsidR="00A31AF4" w:rsidRPr="00AF7544">
        <w:t>consequence assessment, it is to highlight that it involves two sequential stages: source term mode</w:t>
      </w:r>
      <w:r w:rsidR="005E0C11" w:rsidRPr="00AF7544">
        <w:t>l</w:t>
      </w:r>
      <w:r w:rsidR="00A31AF4" w:rsidRPr="00AF7544">
        <w:t>ling and effect mode</w:t>
      </w:r>
      <w:r w:rsidR="005E0C11" w:rsidRPr="00AF7544">
        <w:t>l</w:t>
      </w:r>
      <w:r w:rsidR="00A31AF4" w:rsidRPr="00AF7544">
        <w:t>ling. While the former can be carried out with consolidated approaches</w:t>
      </w:r>
      <w:r w:rsidR="00254C8A" w:rsidRPr="00AF7544">
        <w:t xml:space="preserve"> (TNO, 1998)</w:t>
      </w:r>
      <w:r w:rsidR="00A31AF4" w:rsidRPr="00AF7544">
        <w:t xml:space="preserve">, the latter requires </w:t>
      </w:r>
      <w:r w:rsidR="005C5E3A" w:rsidRPr="00AF7544">
        <w:t xml:space="preserve">to specifically </w:t>
      </w:r>
      <w:r w:rsidR="00C836A7" w:rsidRPr="00AF7544">
        <w:t>acknowledge</w:t>
      </w:r>
      <w:r w:rsidRPr="00AF7544">
        <w:t xml:space="preserve"> the peculiarities of the environmental compartments.</w:t>
      </w:r>
      <w:r w:rsidR="00A31AF4" w:rsidRPr="00AF7544">
        <w:t xml:space="preserve"> </w:t>
      </w:r>
      <w:r w:rsidR="00CB1E58" w:rsidRPr="00AF7544">
        <w:t>Lastly</w:t>
      </w:r>
      <w:r w:rsidRPr="00AF7544">
        <w:t xml:space="preserve">, </w:t>
      </w:r>
      <w:r w:rsidR="005E0C11" w:rsidRPr="00AF7544">
        <w:t xml:space="preserve">in the risk evaluation stage, </w:t>
      </w:r>
      <w:r w:rsidR="006855E8" w:rsidRPr="00AF7544">
        <w:t xml:space="preserve">specific metrics should be defined to quantify the risk </w:t>
      </w:r>
      <w:r w:rsidR="005E0C11" w:rsidRPr="00AF7544">
        <w:t xml:space="preserve">to the environment. </w:t>
      </w:r>
      <w:r w:rsidRPr="00AF7544">
        <w:t>While for the human target risk is usually calculated in terms of fatalities in the form of individual or societal risk, considering the environment requires to account for different parameters.</w:t>
      </w:r>
      <w:r w:rsidR="008E1D4F" w:rsidRPr="00AF7544">
        <w:t xml:space="preserve"> </w:t>
      </w:r>
    </w:p>
    <w:p w14:paraId="27E2FA84" w14:textId="7CF69EDB" w:rsidR="006665EF" w:rsidRPr="00AF7544" w:rsidRDefault="006665EF" w:rsidP="00935E55">
      <w:pPr>
        <w:pStyle w:val="CETheadingx"/>
      </w:pPr>
      <w:r w:rsidRPr="00AF7544">
        <w:t xml:space="preserve">Consequence assessment </w:t>
      </w:r>
    </w:p>
    <w:p w14:paraId="353579A3" w14:textId="3DB47BDF" w:rsidR="00396ED5" w:rsidRDefault="00396ED5" w:rsidP="00396ED5">
      <w:pPr>
        <w:pStyle w:val="CETBodytext"/>
      </w:pPr>
      <w:r w:rsidRPr="009133FB">
        <w:t>The methodology presented in this paper targets in particular sea water,</w:t>
      </w:r>
      <w:r w:rsidR="00F411FA" w:rsidRPr="009133FB">
        <w:t xml:space="preserve"> </w:t>
      </w:r>
      <w:r w:rsidRPr="009133FB">
        <w:t xml:space="preserve">acknowledging that accidental hydrocarbon spills are a significant source of marine pollution (ITOPFa, 2012) </w:t>
      </w:r>
      <w:r w:rsidR="00F42600" w:rsidRPr="009133FB">
        <w:t xml:space="preserve">and that Natech events have the potential to cause substantial damage to the environment, especially when they involve the LOC of LNAPLs (Ricci et al. 2022). </w:t>
      </w:r>
      <w:r w:rsidR="00DC0275" w:rsidRPr="009133FB">
        <w:t xml:space="preserve">Furthermore, </w:t>
      </w:r>
      <w:r w:rsidR="003C1949" w:rsidRPr="009133FB">
        <w:t>it is considered</w:t>
      </w:r>
      <w:r w:rsidR="004E11C3" w:rsidRPr="009133FB">
        <w:t xml:space="preserve"> that hydrocarbon spills</w:t>
      </w:r>
      <w:r w:rsidR="000A55DF" w:rsidRPr="009133FB">
        <w:t xml:space="preserve"> </w:t>
      </w:r>
      <w:r w:rsidRPr="009133FB">
        <w:t>pose immediate and long-term harm to all four sea sub-compartments: sea surface,  water column,  sea bed and shoreline (</w:t>
      </w:r>
      <w:hyperlink r:id="rId13" w:anchor="bib0335" w:history="1">
        <w:r w:rsidRPr="009133FB">
          <w:t>Stephansen et al., 2017</w:t>
        </w:r>
      </w:hyperlink>
      <w:r w:rsidRPr="009133FB">
        <w:t>).</w:t>
      </w:r>
      <w:r w:rsidRPr="00262113">
        <w:t xml:space="preserve"> </w:t>
      </w:r>
    </w:p>
    <w:p w14:paraId="60C308CD" w14:textId="6E1FF6AC" w:rsidR="00396ED5" w:rsidRDefault="00396ED5" w:rsidP="00396ED5">
      <w:pPr>
        <w:pStyle w:val="CETBodytext"/>
      </w:pPr>
      <w:r w:rsidRPr="00AF7544">
        <w:t>To assess the severity of the impacts caused by a release of LNAPLs into the sea, it is paramount to acknowledge the processes that these substances undergo after the spill and to individuate parameters to characterize each sea sub-compartment.</w:t>
      </w:r>
      <w:r>
        <w:t xml:space="preserve"> </w:t>
      </w:r>
      <w:r w:rsidRPr="00AF7544">
        <w:t>The fate and transport of LNAPLs (oil is considered as reference substance in this context) depend on a complex interplay of physical, chemical and biological processes, commonly known as “weathering” (ITOPFb, 2012).</w:t>
      </w:r>
      <w:r w:rsidR="00243DCA">
        <w:t xml:space="preserve"> </w:t>
      </w:r>
      <w:r w:rsidR="00243DCA" w:rsidRPr="00AF7544">
        <w:t>Weathering processes are directly linked with the action of currents and winds and depend on many different aspects such as the spill characteristics, the composition of the hydrocarbon mixture, the meteo-marine conditions during and after the spill and the morpho-bathymetry at the accident site (API, 1999).</w:t>
      </w:r>
    </w:p>
    <w:p w14:paraId="131A8A93" w14:textId="77777777" w:rsidR="00396ED5" w:rsidRDefault="00396ED5" w:rsidP="00262113">
      <w:pPr>
        <w:pStyle w:val="CETBodytext"/>
      </w:pPr>
    </w:p>
    <w:p w14:paraId="7F8470EA" w14:textId="77777777" w:rsidR="004E11C3" w:rsidRDefault="004E11C3" w:rsidP="00262113">
      <w:pPr>
        <w:pStyle w:val="CETBodytext"/>
      </w:pPr>
    </w:p>
    <w:p w14:paraId="7F58014C" w14:textId="77777777" w:rsidR="004E11C3" w:rsidRDefault="004E11C3" w:rsidP="00262113">
      <w:pPr>
        <w:pStyle w:val="CETBodytext"/>
      </w:pPr>
    </w:p>
    <w:p w14:paraId="45C37AFB" w14:textId="77777777" w:rsidR="004E11C3" w:rsidRDefault="004E11C3" w:rsidP="00262113">
      <w:pPr>
        <w:pStyle w:val="CETBodytext"/>
      </w:pPr>
    </w:p>
    <w:p w14:paraId="18F86D14" w14:textId="77777777" w:rsidR="004E11C3" w:rsidRDefault="004E11C3" w:rsidP="00262113">
      <w:pPr>
        <w:pStyle w:val="CETBodytext"/>
      </w:pPr>
    </w:p>
    <w:p w14:paraId="1A231175" w14:textId="77777777" w:rsidR="004E11C3" w:rsidRDefault="004E11C3" w:rsidP="00262113">
      <w:pPr>
        <w:pStyle w:val="CETBodytext"/>
      </w:pPr>
    </w:p>
    <w:p w14:paraId="0C835A26" w14:textId="77777777" w:rsidR="004E11C3" w:rsidRDefault="004E11C3" w:rsidP="00262113">
      <w:pPr>
        <w:pStyle w:val="CETBodytext"/>
      </w:pPr>
    </w:p>
    <w:p w14:paraId="1F26ED85" w14:textId="77777777" w:rsidR="004E11C3" w:rsidRDefault="004E11C3" w:rsidP="00262113">
      <w:pPr>
        <w:pStyle w:val="CETBodytext"/>
      </w:pPr>
    </w:p>
    <w:p w14:paraId="54EA7E9B" w14:textId="77777777" w:rsidR="004E11C3" w:rsidRDefault="004E11C3" w:rsidP="00262113">
      <w:pPr>
        <w:pStyle w:val="CETBodytext"/>
      </w:pPr>
    </w:p>
    <w:p w14:paraId="1F6B33ED" w14:textId="77777777" w:rsidR="004E11C3" w:rsidRDefault="004E11C3" w:rsidP="00262113">
      <w:pPr>
        <w:pStyle w:val="CETBodytext"/>
      </w:pPr>
    </w:p>
    <w:p w14:paraId="04A7F0C8" w14:textId="77777777" w:rsidR="004E11C3" w:rsidRDefault="004E11C3" w:rsidP="00262113">
      <w:pPr>
        <w:pStyle w:val="CETBodytext"/>
      </w:pPr>
    </w:p>
    <w:p w14:paraId="0073F511" w14:textId="77777777" w:rsidR="004E11C3" w:rsidRDefault="004E11C3" w:rsidP="00262113">
      <w:pPr>
        <w:pStyle w:val="CETBodytext"/>
      </w:pPr>
    </w:p>
    <w:p w14:paraId="604F1B50" w14:textId="29442F4A" w:rsidR="005247A9" w:rsidRPr="00D22DC6" w:rsidRDefault="00D22DC6" w:rsidP="00D22DC6">
      <w:pPr>
        <w:pStyle w:val="CETBodytext"/>
      </w:pPr>
      <w:r>
        <w:rPr>
          <w:noProof/>
        </w:rPr>
        <w:drawing>
          <wp:inline distT="0" distB="0" distL="0" distR="0" wp14:anchorId="37D703E0" wp14:editId="3D9C7F9B">
            <wp:extent cx="5579745" cy="2161540"/>
            <wp:effectExtent l="0" t="0" r="0" b="0"/>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14">
                      <a:extLst>
                        <a:ext uri="{96DAC541-7B7A-43D3-8B79-37D633B846F1}">
                          <asvg:svgBlip xmlns:asvg="http://schemas.microsoft.com/office/drawing/2016/SVG/main" r:embed="rId15"/>
                        </a:ext>
                      </a:extLst>
                    </a:blip>
                    <a:stretch>
                      <a:fillRect/>
                    </a:stretch>
                  </pic:blipFill>
                  <pic:spPr>
                    <a:xfrm>
                      <a:off x="0" y="0"/>
                      <a:ext cx="5579745" cy="2161540"/>
                    </a:xfrm>
                    <a:prstGeom prst="rect">
                      <a:avLst/>
                    </a:prstGeom>
                  </pic:spPr>
                </pic:pic>
              </a:graphicData>
            </a:graphic>
          </wp:inline>
        </w:drawing>
      </w:r>
    </w:p>
    <w:p w14:paraId="293F9E7C" w14:textId="6DEF205B" w:rsidR="007B6A4E" w:rsidRDefault="00D2155E" w:rsidP="00D22DC6">
      <w:pPr>
        <w:pStyle w:val="CETCaption"/>
        <w:rPr>
          <w:rStyle w:val="CETCaptionCarattere"/>
          <w:i/>
        </w:rPr>
      </w:pPr>
      <w:r w:rsidRPr="00AF7544">
        <w:rPr>
          <w:rStyle w:val="CETCaptionCarattere"/>
          <w:i/>
        </w:rPr>
        <w:t xml:space="preserve">Figure 1: </w:t>
      </w:r>
      <w:r w:rsidR="00274E25" w:rsidRPr="00AF7544">
        <w:rPr>
          <w:rStyle w:val="CETCaptionCarattere"/>
          <w:i/>
        </w:rPr>
        <w:t>a</w:t>
      </w:r>
      <w:r w:rsidR="0091363A" w:rsidRPr="00AF7544">
        <w:rPr>
          <w:rStyle w:val="CETCaptionCarattere"/>
          <w:i/>
        </w:rPr>
        <w:t xml:space="preserve">) </w:t>
      </w:r>
      <w:r w:rsidR="00C65F8D" w:rsidRPr="00AF7544">
        <w:rPr>
          <w:rStyle w:val="CETCaptionCarattere"/>
          <w:i/>
        </w:rPr>
        <w:t>Schematization of the weathering processes occurring after a release of oil into the sea</w:t>
      </w:r>
      <w:r w:rsidR="001825E4" w:rsidRPr="00AF7544">
        <w:rPr>
          <w:rStyle w:val="CETCaptionCarattere"/>
          <w:i/>
        </w:rPr>
        <w:t xml:space="preserve"> (adapted from</w:t>
      </w:r>
      <w:r w:rsidR="003459B1" w:rsidRPr="00AF7544">
        <w:rPr>
          <w:rStyle w:val="CETCaptionCarattere"/>
          <w:i/>
        </w:rPr>
        <w:t xml:space="preserve"> </w:t>
      </w:r>
      <w:r w:rsidR="00215829" w:rsidRPr="00AF7544">
        <w:rPr>
          <w:rStyle w:val="CETCaptionCarattere"/>
          <w:i/>
        </w:rPr>
        <w:t>Keramea et al.</w:t>
      </w:r>
      <w:r w:rsidR="008E26B5">
        <w:rPr>
          <w:rStyle w:val="CETCaptionCarattere"/>
          <w:i/>
        </w:rPr>
        <w:t>,</w:t>
      </w:r>
      <w:r w:rsidR="00215829" w:rsidRPr="00AF7544">
        <w:rPr>
          <w:rStyle w:val="CETCaptionCarattere"/>
          <w:i/>
        </w:rPr>
        <w:t xml:space="preserve"> 2021</w:t>
      </w:r>
      <w:r w:rsidR="001825E4" w:rsidRPr="00AF7544">
        <w:rPr>
          <w:rStyle w:val="CETCaptionCarattere"/>
          <w:i/>
        </w:rPr>
        <w:t>)</w:t>
      </w:r>
      <w:r w:rsidR="0091363A" w:rsidRPr="00AF7544">
        <w:rPr>
          <w:rStyle w:val="CETCaptionCarattere"/>
          <w:i/>
        </w:rPr>
        <w:t xml:space="preserve">; </w:t>
      </w:r>
      <w:r w:rsidR="00274E25" w:rsidRPr="00AF7544">
        <w:rPr>
          <w:rStyle w:val="CETCaptionCarattere"/>
          <w:i/>
        </w:rPr>
        <w:t>b</w:t>
      </w:r>
      <w:r w:rsidR="0091363A" w:rsidRPr="00AF7544">
        <w:rPr>
          <w:rStyle w:val="CETCaptionCarattere"/>
          <w:i/>
        </w:rPr>
        <w:t xml:space="preserve">) Changes </w:t>
      </w:r>
      <w:r w:rsidR="00685C49" w:rsidRPr="00AF7544">
        <w:rPr>
          <w:rStyle w:val="CETCaptionCarattere"/>
          <w:i/>
        </w:rPr>
        <w:t>in</w:t>
      </w:r>
      <w:r w:rsidR="0091363A" w:rsidRPr="00AF7544">
        <w:rPr>
          <w:rStyle w:val="CETCaptionCarattere"/>
          <w:i/>
        </w:rPr>
        <w:t xml:space="preserve"> the relative impo</w:t>
      </w:r>
      <w:r w:rsidR="00726FAE" w:rsidRPr="00AF7544">
        <w:rPr>
          <w:rStyle w:val="CETCaptionCarattere"/>
          <w:i/>
        </w:rPr>
        <w:t xml:space="preserve">rtance of the weathering processes over time </w:t>
      </w:r>
      <w:r w:rsidR="00440F4A" w:rsidRPr="00AF7544">
        <w:rPr>
          <w:rStyle w:val="CETCaptionCarattere"/>
          <w:i/>
        </w:rPr>
        <w:t>(</w:t>
      </w:r>
      <w:r w:rsidR="00263367" w:rsidRPr="00AF7544">
        <w:rPr>
          <w:rStyle w:val="CETCaptionCarattere"/>
          <w:i/>
        </w:rPr>
        <w:t xml:space="preserve">adapted from </w:t>
      </w:r>
      <w:r w:rsidR="00AC01A4" w:rsidRPr="00AF7544">
        <w:t>ITOPFb, 2012)</w:t>
      </w:r>
      <w:r w:rsidR="00F80A4D" w:rsidRPr="00AF7544">
        <w:t>.</w:t>
      </w:r>
    </w:p>
    <w:p w14:paraId="6D9848F2" w14:textId="44850B88" w:rsidR="00396ED5" w:rsidRPr="009133FB" w:rsidRDefault="00396ED5" w:rsidP="00396ED5">
      <w:pPr>
        <w:pStyle w:val="CETBodytext"/>
      </w:pPr>
      <w:r w:rsidRPr="009133FB">
        <w:t xml:space="preserve">Figure 1a outlines </w:t>
      </w:r>
      <w:r w:rsidR="00243DCA" w:rsidRPr="009133FB">
        <w:t xml:space="preserve">the weathering </w:t>
      </w:r>
      <w:r w:rsidRPr="009133FB">
        <w:t>processes</w:t>
      </w:r>
      <w:r w:rsidR="009467FA" w:rsidRPr="009133FB">
        <w:t xml:space="preserve"> that occur after a release of oil into the sea</w:t>
      </w:r>
      <w:r w:rsidRPr="009133FB">
        <w:t>, which include the spreading of the oil slick</w:t>
      </w:r>
      <w:r w:rsidR="009467FA" w:rsidRPr="009133FB">
        <w:t xml:space="preserve"> on the sea surface</w:t>
      </w:r>
      <w:r w:rsidRPr="009133FB">
        <w:t xml:space="preserve"> and the evaporation of its volatile components, the dispersion and the dissolution of the oil in the water column, and the oil interactions with the seabed and the coast. It is to remark that the relative importance of the weathering processes varies over time, significantly affecting the fate of the spill. For the sake of completeness, this aspect is described in Figure 1b.</w:t>
      </w:r>
    </w:p>
    <w:p w14:paraId="27A1515F" w14:textId="621DB609" w:rsidR="00555E17" w:rsidRPr="009133FB" w:rsidRDefault="00567106" w:rsidP="00555E17">
      <w:pPr>
        <w:pStyle w:val="CETBodytext"/>
      </w:pPr>
      <w:r w:rsidRPr="009133FB">
        <w:t>T</w:t>
      </w:r>
      <w:r w:rsidR="00324662" w:rsidRPr="009133FB">
        <w:t xml:space="preserve">he </w:t>
      </w:r>
      <w:r w:rsidR="00FD3C98" w:rsidRPr="009133FB">
        <w:t xml:space="preserve">parameters to </w:t>
      </w:r>
      <w:r w:rsidR="007D43B5" w:rsidRPr="009133FB">
        <w:t xml:space="preserve">be </w:t>
      </w:r>
      <w:r w:rsidR="00FD3C98" w:rsidRPr="009133FB">
        <w:t xml:space="preserve">addressed </w:t>
      </w:r>
      <w:r w:rsidR="00121739" w:rsidRPr="009133FB">
        <w:t>in the assessment of the effects of LNAP</w:t>
      </w:r>
      <w:r w:rsidR="00DF6FEC" w:rsidRPr="009133FB">
        <w:t>L</w:t>
      </w:r>
      <w:r w:rsidR="00121739" w:rsidRPr="009133FB">
        <w:t xml:space="preserve"> </w:t>
      </w:r>
      <w:r w:rsidR="00802537" w:rsidRPr="009133FB">
        <w:t>releases</w:t>
      </w:r>
      <w:r w:rsidR="007D43B5" w:rsidRPr="009133FB">
        <w:t xml:space="preserve"> per each sea-sub compartment</w:t>
      </w:r>
      <w:r w:rsidR="00121739" w:rsidRPr="009133FB">
        <w:t xml:space="preserve"> </w:t>
      </w:r>
      <w:r w:rsidR="00D336B8" w:rsidRPr="009133FB">
        <w:t>have been identified</w:t>
      </w:r>
      <w:r w:rsidRPr="009133FB">
        <w:t xml:space="preserve"> taking into a</w:t>
      </w:r>
      <w:r w:rsidR="009E4E6B" w:rsidRPr="009133FB">
        <w:t xml:space="preserve">ccount all the aspects just presented </w:t>
      </w:r>
      <w:r w:rsidR="009B6E7E" w:rsidRPr="009133FB">
        <w:t xml:space="preserve">and are </w:t>
      </w:r>
      <w:r w:rsidR="009E4E6B" w:rsidRPr="009133FB">
        <w:t xml:space="preserve">reported </w:t>
      </w:r>
      <w:r w:rsidR="009B6E7E" w:rsidRPr="009133FB">
        <w:t>in Table</w:t>
      </w:r>
      <w:r w:rsidR="00121739" w:rsidRPr="009133FB">
        <w:t xml:space="preserve"> 1. </w:t>
      </w:r>
      <w:r w:rsidR="00555E17" w:rsidRPr="009133FB">
        <w:t>Thus, after the individuation of the release scenario to be analysed at a specific location, the parameters that need to be quantified are the area of the oil slick on the sea surface, the contaminated volume of sea water, the length of the contaminated shoreline and the contaminated sea</w:t>
      </w:r>
      <w:r w:rsidR="00C1595D" w:rsidRPr="009133FB">
        <w:t xml:space="preserve"> </w:t>
      </w:r>
      <w:r w:rsidR="00555E17" w:rsidRPr="009133FB">
        <w:t>floor area. Specific software tools able to forecast the oil spill trajectory and the evolution of the oil mass balance in each sea sub-compartment</w:t>
      </w:r>
      <w:r w:rsidR="00C57A54">
        <w:t xml:space="preserve"> -</w:t>
      </w:r>
      <w:r w:rsidR="00555E17" w:rsidRPr="009133FB">
        <w:t xml:space="preserve"> as the ones reviewed by Keramea et al.</w:t>
      </w:r>
      <w:r w:rsidR="005B13C2" w:rsidRPr="009133FB">
        <w:t xml:space="preserve"> (</w:t>
      </w:r>
      <w:r w:rsidR="00555E17" w:rsidRPr="009133FB">
        <w:t>2021</w:t>
      </w:r>
      <w:r w:rsidR="005B13C2" w:rsidRPr="009133FB">
        <w:t>)</w:t>
      </w:r>
      <w:r w:rsidR="00C57A54">
        <w:t xml:space="preserve"> -</w:t>
      </w:r>
      <w:r w:rsidR="00555E17" w:rsidRPr="009133FB">
        <w:t xml:space="preserve"> </w:t>
      </w:r>
      <w:r w:rsidR="002A1158" w:rsidRPr="009133FB">
        <w:t xml:space="preserve">can be </w:t>
      </w:r>
      <w:r w:rsidR="00555E17" w:rsidRPr="009133FB">
        <w:t xml:space="preserve">employed </w:t>
      </w:r>
      <w:r w:rsidR="002A1158" w:rsidRPr="009133FB">
        <w:t xml:space="preserve">to perform the </w:t>
      </w:r>
      <w:r w:rsidR="00555E17" w:rsidRPr="009133FB">
        <w:t xml:space="preserve">assessment. </w:t>
      </w:r>
    </w:p>
    <w:p w14:paraId="765F6B22" w14:textId="050F6024" w:rsidR="00555E17" w:rsidRPr="009133FB" w:rsidRDefault="00396ED5" w:rsidP="003964B6">
      <w:pPr>
        <w:pStyle w:val="CETBodytext"/>
      </w:pPr>
      <w:r w:rsidRPr="009133FB">
        <w:t>In addition, t</w:t>
      </w:r>
      <w:r w:rsidR="00982611" w:rsidRPr="009133FB">
        <w:t xml:space="preserve">hreshold values could be employed to assess the significance of the contamination per each sea sub-compartment, meaning that there is harm to the environment only if the contamination is above the threshold. </w:t>
      </w:r>
      <w:r w:rsidR="00CE2504" w:rsidRPr="009133FB">
        <w:t xml:space="preserve">Table 1 reports an example of threshold values </w:t>
      </w:r>
      <w:r w:rsidR="0097239A" w:rsidRPr="009133FB">
        <w:t>proposed in the Norsk Olje &amp; Gass reports</w:t>
      </w:r>
      <w:r w:rsidR="000D72A5" w:rsidRPr="009133FB">
        <w:t xml:space="preserve">. </w:t>
      </w:r>
    </w:p>
    <w:p w14:paraId="4A8F02BC" w14:textId="39E7EBE4" w:rsidR="004F02D3" w:rsidRPr="00B57B36" w:rsidRDefault="004F02D3" w:rsidP="008E26B5">
      <w:pPr>
        <w:pStyle w:val="CETTabletitle"/>
        <w:jc w:val="both"/>
      </w:pPr>
      <w:r w:rsidRPr="009133FB">
        <w:t>Table 1: Parameters</w:t>
      </w:r>
      <w:r w:rsidR="008E26B5" w:rsidRPr="009133FB">
        <w:t xml:space="preserve"> and threshold values</w:t>
      </w:r>
      <w:r w:rsidRPr="009133FB">
        <w:t xml:space="preserve"> for the consequence assessment</w:t>
      </w:r>
      <w:r w:rsidR="00121739" w:rsidRPr="009133FB">
        <w:t xml:space="preserve"> related to </w:t>
      </w:r>
      <w:r w:rsidR="00F82D4F" w:rsidRPr="009133FB">
        <w:t>LNAP</w:t>
      </w:r>
      <w:r w:rsidR="00DF6FEC" w:rsidRPr="009133FB">
        <w:t>L</w:t>
      </w:r>
      <w:r w:rsidR="00F82D4F" w:rsidRPr="009133FB">
        <w:t xml:space="preserve"> releases</w:t>
      </w:r>
      <w:r w:rsidR="00AF05A0" w:rsidRPr="009133FB">
        <w:t xml:space="preserve"> due to Natech accidents </w:t>
      </w:r>
      <w:r w:rsidR="000D5906" w:rsidRPr="009133FB">
        <w:t>per sea sub-compartment</w:t>
      </w:r>
      <w:r w:rsidR="00F80A4D" w:rsidRPr="009133FB">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835"/>
        <w:gridCol w:w="1986"/>
        <w:gridCol w:w="2265"/>
      </w:tblGrid>
      <w:tr w:rsidR="000D72A5" w:rsidRPr="00B57B36" w14:paraId="0E705C1D" w14:textId="51174D07" w:rsidTr="000143CB">
        <w:trPr>
          <w:trHeight w:val="279"/>
        </w:trPr>
        <w:tc>
          <w:tcPr>
            <w:tcW w:w="968" w:type="pct"/>
            <w:tcBorders>
              <w:top w:val="single" w:sz="12" w:space="0" w:color="008000"/>
              <w:bottom w:val="single" w:sz="6" w:space="0" w:color="008000"/>
            </w:tcBorders>
            <w:shd w:val="clear" w:color="auto" w:fill="FFFFFF"/>
          </w:tcPr>
          <w:p w14:paraId="6B68CBBF" w14:textId="7938F784" w:rsidR="000D72A5" w:rsidRPr="00B57B36" w:rsidRDefault="000D72A5" w:rsidP="000D5906">
            <w:pPr>
              <w:pStyle w:val="CETBodytext"/>
              <w:jc w:val="left"/>
              <w:rPr>
                <w:lang w:val="en-GB"/>
              </w:rPr>
            </w:pPr>
            <w:r>
              <w:rPr>
                <w:lang w:val="en-GB"/>
              </w:rPr>
              <w:t xml:space="preserve">Sub-compartment </w:t>
            </w:r>
          </w:p>
        </w:tc>
        <w:tc>
          <w:tcPr>
            <w:tcW w:w="1613" w:type="pct"/>
            <w:tcBorders>
              <w:top w:val="single" w:sz="12" w:space="0" w:color="008000"/>
              <w:bottom w:val="single" w:sz="6" w:space="0" w:color="008000"/>
            </w:tcBorders>
            <w:shd w:val="clear" w:color="auto" w:fill="FFFFFF"/>
          </w:tcPr>
          <w:p w14:paraId="2E5D5C58" w14:textId="1F897CBE" w:rsidR="000D72A5" w:rsidRPr="00B57B36" w:rsidRDefault="000D72A5" w:rsidP="000D5906">
            <w:pPr>
              <w:pStyle w:val="CETBodytext"/>
              <w:jc w:val="left"/>
              <w:rPr>
                <w:lang w:val="en-GB"/>
              </w:rPr>
            </w:pPr>
            <w:r>
              <w:rPr>
                <w:lang w:val="en-GB"/>
              </w:rPr>
              <w:t>Parameter</w:t>
            </w:r>
          </w:p>
        </w:tc>
        <w:tc>
          <w:tcPr>
            <w:tcW w:w="1130" w:type="pct"/>
            <w:tcBorders>
              <w:top w:val="single" w:sz="12" w:space="0" w:color="008000"/>
              <w:bottom w:val="single" w:sz="6" w:space="0" w:color="008000"/>
            </w:tcBorders>
            <w:shd w:val="clear" w:color="auto" w:fill="FFFFFF"/>
          </w:tcPr>
          <w:p w14:paraId="05F2DE90" w14:textId="460348A3" w:rsidR="000D72A5" w:rsidRDefault="000D72A5" w:rsidP="000D5906">
            <w:pPr>
              <w:pStyle w:val="CETBodytext"/>
              <w:jc w:val="left"/>
              <w:rPr>
                <w:lang w:val="en-GB"/>
              </w:rPr>
            </w:pPr>
            <w:r>
              <w:rPr>
                <w:lang w:val="en-GB"/>
              </w:rPr>
              <w:t>Threshold value</w:t>
            </w:r>
          </w:p>
        </w:tc>
        <w:tc>
          <w:tcPr>
            <w:tcW w:w="1289" w:type="pct"/>
            <w:tcBorders>
              <w:top w:val="single" w:sz="12" w:space="0" w:color="008000"/>
              <w:bottom w:val="single" w:sz="6" w:space="0" w:color="008000"/>
            </w:tcBorders>
            <w:shd w:val="clear" w:color="auto" w:fill="FFFFFF"/>
          </w:tcPr>
          <w:p w14:paraId="5150F129" w14:textId="56CD4E45" w:rsidR="000D72A5" w:rsidRDefault="000D72A5" w:rsidP="000D5906">
            <w:pPr>
              <w:pStyle w:val="CETBodytext"/>
              <w:jc w:val="left"/>
              <w:rPr>
                <w:lang w:val="en-GB"/>
              </w:rPr>
            </w:pPr>
            <w:r>
              <w:rPr>
                <w:lang w:val="en-GB"/>
              </w:rPr>
              <w:t>Reference</w:t>
            </w:r>
          </w:p>
        </w:tc>
      </w:tr>
      <w:tr w:rsidR="005C5248" w:rsidRPr="00B57B36" w14:paraId="2837CA23" w14:textId="306FC9AC" w:rsidTr="000143CB">
        <w:trPr>
          <w:trHeight w:val="269"/>
        </w:trPr>
        <w:tc>
          <w:tcPr>
            <w:tcW w:w="968" w:type="pct"/>
            <w:shd w:val="clear" w:color="auto" w:fill="FFFFFF"/>
          </w:tcPr>
          <w:p w14:paraId="078A6AFA" w14:textId="5AAE57BE" w:rsidR="005C5248" w:rsidRPr="00B57B36" w:rsidRDefault="005C5248" w:rsidP="005C5248">
            <w:pPr>
              <w:pStyle w:val="CETBodytext"/>
              <w:jc w:val="left"/>
              <w:rPr>
                <w:lang w:val="en-GB"/>
              </w:rPr>
            </w:pPr>
            <w:r>
              <w:rPr>
                <w:lang w:val="en-GB"/>
              </w:rPr>
              <w:t>Sea surface</w:t>
            </w:r>
          </w:p>
        </w:tc>
        <w:tc>
          <w:tcPr>
            <w:tcW w:w="1613" w:type="pct"/>
            <w:shd w:val="clear" w:color="auto" w:fill="FFFFFF"/>
          </w:tcPr>
          <w:p w14:paraId="6436B343" w14:textId="23513E79" w:rsidR="005C5248" w:rsidRPr="00B57B36" w:rsidRDefault="005C5248" w:rsidP="005C5248">
            <w:pPr>
              <w:pStyle w:val="CETBodytext"/>
              <w:jc w:val="left"/>
              <w:rPr>
                <w:lang w:val="en-GB"/>
              </w:rPr>
            </w:pPr>
            <w:r>
              <w:rPr>
                <w:lang w:val="en-GB"/>
              </w:rPr>
              <w:t>Contaminated sea surface area</w:t>
            </w:r>
          </w:p>
        </w:tc>
        <w:tc>
          <w:tcPr>
            <w:tcW w:w="1130" w:type="pct"/>
            <w:shd w:val="clear" w:color="auto" w:fill="FFFFFF"/>
          </w:tcPr>
          <w:p w14:paraId="4B989237" w14:textId="5BAB2444" w:rsidR="005C5248" w:rsidRPr="00AF7544" w:rsidRDefault="005C5248" w:rsidP="005C5248">
            <w:pPr>
              <w:pStyle w:val="CETBodytext"/>
              <w:jc w:val="left"/>
              <w:rPr>
                <w:lang w:val="en-GB"/>
              </w:rPr>
            </w:pPr>
            <w:r w:rsidRPr="00AF7544">
              <w:rPr>
                <w:lang w:val="en-GB"/>
              </w:rPr>
              <w:t>0.001 mm thickness</w:t>
            </w:r>
          </w:p>
        </w:tc>
        <w:tc>
          <w:tcPr>
            <w:tcW w:w="1289" w:type="pct"/>
            <w:shd w:val="clear" w:color="auto" w:fill="FFFFFF"/>
          </w:tcPr>
          <w:p w14:paraId="372E33CE" w14:textId="6E414C5F" w:rsidR="005C5248" w:rsidRPr="00AF7544" w:rsidRDefault="005C5248" w:rsidP="005C5248">
            <w:pPr>
              <w:pStyle w:val="CETBodytext"/>
              <w:jc w:val="left"/>
              <w:rPr>
                <w:lang w:val="en-GB"/>
              </w:rPr>
            </w:pPr>
            <w:r w:rsidRPr="00AF7544">
              <w:t>Norsk Olje &amp; Gass (2018a)</w:t>
            </w:r>
          </w:p>
        </w:tc>
      </w:tr>
      <w:tr w:rsidR="005C5248" w:rsidRPr="00B57B36" w14:paraId="39C47FF0" w14:textId="4421255E" w:rsidTr="000143CB">
        <w:trPr>
          <w:trHeight w:val="269"/>
        </w:trPr>
        <w:tc>
          <w:tcPr>
            <w:tcW w:w="968" w:type="pct"/>
            <w:shd w:val="clear" w:color="auto" w:fill="FFFFFF"/>
          </w:tcPr>
          <w:p w14:paraId="7F527588" w14:textId="6B49F72E" w:rsidR="005C5248" w:rsidRPr="00B57B36" w:rsidRDefault="005C5248" w:rsidP="005C5248">
            <w:pPr>
              <w:pStyle w:val="CETBodytext"/>
              <w:ind w:right="-1"/>
              <w:jc w:val="left"/>
              <w:rPr>
                <w:rFonts w:cs="Arial"/>
                <w:szCs w:val="18"/>
                <w:lang w:val="en-GB"/>
              </w:rPr>
            </w:pPr>
            <w:r>
              <w:rPr>
                <w:rFonts w:cs="Arial"/>
                <w:szCs w:val="18"/>
                <w:lang w:val="en-GB"/>
              </w:rPr>
              <w:t>Water column</w:t>
            </w:r>
          </w:p>
        </w:tc>
        <w:tc>
          <w:tcPr>
            <w:tcW w:w="1613" w:type="pct"/>
            <w:shd w:val="clear" w:color="auto" w:fill="FFFFFF"/>
          </w:tcPr>
          <w:p w14:paraId="1973D3ED" w14:textId="0397DF4E" w:rsidR="005C5248" w:rsidRPr="00B57B36" w:rsidRDefault="005C5248" w:rsidP="005C5248">
            <w:pPr>
              <w:pStyle w:val="CETBodytext"/>
              <w:ind w:right="-1"/>
              <w:jc w:val="left"/>
              <w:rPr>
                <w:rFonts w:cs="Arial"/>
                <w:szCs w:val="18"/>
                <w:lang w:val="en-GB"/>
              </w:rPr>
            </w:pPr>
            <w:r>
              <w:rPr>
                <w:rFonts w:cs="Arial"/>
                <w:szCs w:val="18"/>
                <w:lang w:val="en-GB"/>
              </w:rPr>
              <w:t>Contaminated water column volume</w:t>
            </w:r>
          </w:p>
        </w:tc>
        <w:tc>
          <w:tcPr>
            <w:tcW w:w="1130" w:type="pct"/>
            <w:shd w:val="clear" w:color="auto" w:fill="FFFFFF"/>
          </w:tcPr>
          <w:p w14:paraId="46A368C8" w14:textId="5695C91E" w:rsidR="005C5248" w:rsidRPr="00AF7544" w:rsidRDefault="005C5248" w:rsidP="005C5248">
            <w:pPr>
              <w:pStyle w:val="CETBodytext"/>
              <w:ind w:right="-1"/>
              <w:jc w:val="left"/>
              <w:rPr>
                <w:rFonts w:cs="Arial"/>
                <w:szCs w:val="18"/>
                <w:lang w:val="en-GB"/>
              </w:rPr>
            </w:pPr>
            <w:r w:rsidRPr="00AF7544">
              <w:rPr>
                <w:rFonts w:cs="Arial"/>
                <w:szCs w:val="18"/>
                <w:lang w:val="en-GB"/>
              </w:rPr>
              <w:t>58 ppb concentration</w:t>
            </w:r>
          </w:p>
        </w:tc>
        <w:tc>
          <w:tcPr>
            <w:tcW w:w="1289" w:type="pct"/>
            <w:shd w:val="clear" w:color="auto" w:fill="FFFFFF"/>
          </w:tcPr>
          <w:p w14:paraId="05F78E23" w14:textId="340E373D" w:rsidR="005C5248" w:rsidRPr="00AF7544" w:rsidRDefault="005C5248" w:rsidP="005C5248">
            <w:pPr>
              <w:pStyle w:val="CETBodytext"/>
              <w:ind w:right="-1"/>
              <w:jc w:val="left"/>
              <w:rPr>
                <w:rFonts w:cs="Arial"/>
                <w:szCs w:val="18"/>
                <w:lang w:val="en-GB"/>
              </w:rPr>
            </w:pPr>
            <w:r w:rsidRPr="00AF7544">
              <w:t>Norsk Olje &amp; Gass (2018b)</w:t>
            </w:r>
          </w:p>
        </w:tc>
      </w:tr>
      <w:tr w:rsidR="005C5248" w:rsidRPr="00B57B36" w14:paraId="08FCB1FC" w14:textId="0305D107" w:rsidTr="000143CB">
        <w:trPr>
          <w:trHeight w:val="269"/>
        </w:trPr>
        <w:tc>
          <w:tcPr>
            <w:tcW w:w="968" w:type="pct"/>
            <w:shd w:val="clear" w:color="auto" w:fill="FFFFFF"/>
          </w:tcPr>
          <w:p w14:paraId="684F04DD" w14:textId="4EC9FD0D" w:rsidR="005C5248" w:rsidRPr="00B57B36" w:rsidRDefault="005C5248" w:rsidP="005C5248">
            <w:pPr>
              <w:pStyle w:val="CETBodytext"/>
              <w:ind w:right="-1"/>
              <w:jc w:val="left"/>
              <w:rPr>
                <w:rFonts w:cs="Arial"/>
                <w:szCs w:val="18"/>
                <w:lang w:val="en-GB"/>
              </w:rPr>
            </w:pPr>
            <w:r>
              <w:rPr>
                <w:rFonts w:cs="Arial"/>
                <w:szCs w:val="18"/>
                <w:lang w:val="en-GB"/>
              </w:rPr>
              <w:t>Shoreline</w:t>
            </w:r>
          </w:p>
        </w:tc>
        <w:tc>
          <w:tcPr>
            <w:tcW w:w="1613" w:type="pct"/>
            <w:shd w:val="clear" w:color="auto" w:fill="FFFFFF"/>
          </w:tcPr>
          <w:p w14:paraId="3A7A82E7" w14:textId="0948E1E3" w:rsidR="005C5248" w:rsidRPr="00B57B36" w:rsidRDefault="005C5248" w:rsidP="005C5248">
            <w:pPr>
              <w:pStyle w:val="CETBodytext"/>
              <w:ind w:right="-1"/>
              <w:jc w:val="left"/>
              <w:rPr>
                <w:rFonts w:cs="Arial"/>
                <w:szCs w:val="18"/>
                <w:lang w:val="en-GB"/>
              </w:rPr>
            </w:pPr>
            <w:r>
              <w:rPr>
                <w:rFonts w:cs="Arial"/>
                <w:szCs w:val="18"/>
                <w:lang w:val="en-GB"/>
              </w:rPr>
              <w:t xml:space="preserve">Contaminated shore length </w:t>
            </w:r>
          </w:p>
        </w:tc>
        <w:tc>
          <w:tcPr>
            <w:tcW w:w="1130" w:type="pct"/>
            <w:shd w:val="clear" w:color="auto" w:fill="FFFFFF"/>
          </w:tcPr>
          <w:p w14:paraId="1130B39E" w14:textId="74FF6ABE" w:rsidR="005C5248" w:rsidRPr="00AF7544" w:rsidRDefault="005C5248" w:rsidP="005C5248">
            <w:pPr>
              <w:pStyle w:val="CETBodytext"/>
              <w:ind w:right="-1"/>
              <w:jc w:val="left"/>
              <w:rPr>
                <w:rFonts w:cs="Arial"/>
                <w:szCs w:val="18"/>
                <w:lang w:val="en-GB"/>
              </w:rPr>
            </w:pPr>
            <w:r w:rsidRPr="00AF7544">
              <w:t>0.2 ton</w:t>
            </w:r>
            <w:r w:rsidRPr="00AF7544">
              <w:rPr>
                <w:vertAlign w:val="subscript"/>
              </w:rPr>
              <w:t>oil</w:t>
            </w:r>
            <w:r w:rsidRPr="00AF7544">
              <w:t>/km</w:t>
            </w:r>
            <w:r w:rsidRPr="00AF7544">
              <w:rPr>
                <w:vertAlign w:val="subscript"/>
              </w:rPr>
              <w:t>shoreline</w:t>
            </w:r>
          </w:p>
        </w:tc>
        <w:tc>
          <w:tcPr>
            <w:tcW w:w="1289" w:type="pct"/>
            <w:shd w:val="clear" w:color="auto" w:fill="FFFFFF"/>
          </w:tcPr>
          <w:p w14:paraId="14675F1D" w14:textId="1CF4B719" w:rsidR="005C5248" w:rsidRPr="00AF7544" w:rsidRDefault="005C5248" w:rsidP="005C5248">
            <w:pPr>
              <w:pStyle w:val="CETBodytext"/>
              <w:ind w:right="-1"/>
              <w:jc w:val="left"/>
              <w:rPr>
                <w:rFonts w:cs="Arial"/>
                <w:szCs w:val="18"/>
                <w:lang w:val="en-GB"/>
              </w:rPr>
            </w:pPr>
            <w:r w:rsidRPr="00AF7544">
              <w:t>Norsk Olje &amp; Gass (</w:t>
            </w:r>
            <w:r w:rsidR="004F731E" w:rsidRPr="00AF7544">
              <w:t>2018c</w:t>
            </w:r>
            <w:r w:rsidRPr="00AF7544">
              <w:t>)</w:t>
            </w:r>
          </w:p>
        </w:tc>
      </w:tr>
      <w:tr w:rsidR="004F731E" w:rsidRPr="00B57B36" w14:paraId="403C7916" w14:textId="77777777" w:rsidTr="000143CB">
        <w:trPr>
          <w:trHeight w:val="269"/>
        </w:trPr>
        <w:tc>
          <w:tcPr>
            <w:tcW w:w="968" w:type="pct"/>
            <w:shd w:val="clear" w:color="auto" w:fill="FFFFFF"/>
          </w:tcPr>
          <w:p w14:paraId="73EB23A7" w14:textId="0C5A1F87" w:rsidR="004F731E" w:rsidRDefault="004F731E" w:rsidP="004F731E">
            <w:pPr>
              <w:pStyle w:val="CETBodytext"/>
              <w:ind w:right="-1"/>
              <w:jc w:val="left"/>
              <w:rPr>
                <w:rFonts w:cs="Arial"/>
                <w:szCs w:val="18"/>
                <w:lang w:val="en-GB"/>
              </w:rPr>
            </w:pPr>
            <w:r>
              <w:rPr>
                <w:rFonts w:cs="Arial"/>
                <w:szCs w:val="18"/>
                <w:lang w:val="en-GB"/>
              </w:rPr>
              <w:t>Sea floor</w:t>
            </w:r>
          </w:p>
        </w:tc>
        <w:tc>
          <w:tcPr>
            <w:tcW w:w="1613" w:type="pct"/>
            <w:shd w:val="clear" w:color="auto" w:fill="FFFFFF"/>
          </w:tcPr>
          <w:p w14:paraId="1EC3A645" w14:textId="78783D81" w:rsidR="004F731E" w:rsidRDefault="004F731E" w:rsidP="004F731E">
            <w:pPr>
              <w:pStyle w:val="CETBodytext"/>
              <w:ind w:right="-1"/>
              <w:jc w:val="left"/>
              <w:rPr>
                <w:rFonts w:cs="Arial"/>
                <w:szCs w:val="18"/>
                <w:lang w:val="en-GB"/>
              </w:rPr>
            </w:pPr>
            <w:r>
              <w:rPr>
                <w:rFonts w:cs="Arial"/>
                <w:szCs w:val="18"/>
                <w:lang w:val="en-GB"/>
              </w:rPr>
              <w:t>Contaminated sea floor area</w:t>
            </w:r>
          </w:p>
        </w:tc>
        <w:tc>
          <w:tcPr>
            <w:tcW w:w="1130" w:type="pct"/>
            <w:shd w:val="clear" w:color="auto" w:fill="FFFFFF"/>
          </w:tcPr>
          <w:p w14:paraId="52CE6E6C" w14:textId="37DC784C" w:rsidR="004F731E" w:rsidRPr="00AF7544" w:rsidRDefault="004F731E" w:rsidP="004F731E">
            <w:pPr>
              <w:pStyle w:val="CETBodytext"/>
              <w:ind w:right="-1"/>
              <w:jc w:val="left"/>
            </w:pPr>
            <w:r w:rsidRPr="00AF7544">
              <w:t>7 mg</w:t>
            </w:r>
            <w:r w:rsidRPr="00AF7544">
              <w:rPr>
                <w:vertAlign w:val="subscript"/>
              </w:rPr>
              <w:t>oil</w:t>
            </w:r>
            <w:r w:rsidRPr="00AF7544">
              <w:t>/kg</w:t>
            </w:r>
            <w:r w:rsidRPr="00AF7544">
              <w:rPr>
                <w:vertAlign w:val="subscript"/>
              </w:rPr>
              <w:t>dry sediment</w:t>
            </w:r>
            <w:r w:rsidRPr="00AF7544">
              <w:t xml:space="preserve"> </w:t>
            </w:r>
          </w:p>
        </w:tc>
        <w:tc>
          <w:tcPr>
            <w:tcW w:w="1289" w:type="pct"/>
            <w:shd w:val="clear" w:color="auto" w:fill="FFFFFF"/>
          </w:tcPr>
          <w:p w14:paraId="546EF867" w14:textId="392C82FE" w:rsidR="004F731E" w:rsidRPr="00AF7544" w:rsidRDefault="004F731E" w:rsidP="004F731E">
            <w:pPr>
              <w:pStyle w:val="CETBodytext"/>
              <w:ind w:right="-1"/>
              <w:jc w:val="left"/>
            </w:pPr>
            <w:r w:rsidRPr="00AF7544">
              <w:t>Norsk Olje &amp; Gass (2018d)</w:t>
            </w:r>
          </w:p>
        </w:tc>
      </w:tr>
    </w:tbl>
    <w:p w14:paraId="2F4FFF19" w14:textId="736397BD" w:rsidR="0050298E" w:rsidRDefault="0050298E" w:rsidP="00935E55">
      <w:pPr>
        <w:pStyle w:val="CETBodytext"/>
      </w:pPr>
    </w:p>
    <w:p w14:paraId="25D266C2" w14:textId="2BCB3D07" w:rsidR="00EB454D" w:rsidRDefault="006665EF" w:rsidP="00EB454D">
      <w:pPr>
        <w:pStyle w:val="CETheadingx"/>
      </w:pPr>
      <w:r>
        <w:t>Case study</w:t>
      </w:r>
    </w:p>
    <w:p w14:paraId="60506776" w14:textId="098D141C" w:rsidR="007F3ADE" w:rsidRPr="009133FB" w:rsidRDefault="00E871A5" w:rsidP="00136979">
      <w:pPr>
        <w:pStyle w:val="CETBodytext"/>
      </w:pPr>
      <w:r w:rsidRPr="009133FB">
        <w:t>A</w:t>
      </w:r>
      <w:r w:rsidR="00A812C4" w:rsidRPr="009133FB">
        <w:t xml:space="preserve"> fictitious case study </w:t>
      </w:r>
      <w:r w:rsidR="00396ED5" w:rsidRPr="009133FB">
        <w:t xml:space="preserve">inspired by a real installation </w:t>
      </w:r>
      <w:r w:rsidR="00A812C4" w:rsidRPr="009133FB">
        <w:t>was designed in order to test the proposed methodolo</w:t>
      </w:r>
      <w:r w:rsidR="0067710D" w:rsidRPr="009133FB">
        <w:t>gy</w:t>
      </w:r>
      <w:r w:rsidR="00A812C4" w:rsidRPr="009133FB">
        <w:t>.</w:t>
      </w:r>
      <w:r w:rsidR="000B7303" w:rsidRPr="009133FB">
        <w:t xml:space="preserve"> The scenario considered is the catastrophic rupture </w:t>
      </w:r>
      <w:r w:rsidR="0072585F" w:rsidRPr="009133FB">
        <w:t xml:space="preserve">due to an earthquake </w:t>
      </w:r>
      <w:r w:rsidR="000B7303" w:rsidRPr="009133FB">
        <w:t xml:space="preserve">of </w:t>
      </w:r>
      <w:r w:rsidR="008540DB" w:rsidRPr="009133FB">
        <w:t>an atmospheric storage tank</w:t>
      </w:r>
      <w:r w:rsidR="0000073B" w:rsidRPr="009133FB">
        <w:t xml:space="preserve"> located on the coast, in the proximity of the Adriatic Sea (Puglia Region)</w:t>
      </w:r>
      <w:r w:rsidR="00B76F4A" w:rsidRPr="009133FB">
        <w:t xml:space="preserve">. The </w:t>
      </w:r>
      <w:r w:rsidR="00B51AB4" w:rsidRPr="009133FB">
        <w:t>rupture causes</w:t>
      </w:r>
      <w:r w:rsidR="0013473C" w:rsidRPr="009133FB">
        <w:t xml:space="preserve"> </w:t>
      </w:r>
      <w:r w:rsidR="00DE5BEC" w:rsidRPr="009133FB">
        <w:t>the</w:t>
      </w:r>
      <w:r w:rsidR="0013473C" w:rsidRPr="009133FB">
        <w:t xml:space="preserve"> instantaneous release of 2000 tonnes of oil </w:t>
      </w:r>
      <w:r w:rsidR="00DE5BEC" w:rsidRPr="009133FB">
        <w:t>from the on-shore tank to the adjacent sea water</w:t>
      </w:r>
      <w:r w:rsidR="0013473C" w:rsidRPr="009133FB">
        <w:t>.</w:t>
      </w:r>
      <w:r w:rsidR="007F3ADE" w:rsidRPr="009133FB">
        <w:t xml:space="preserve"> </w:t>
      </w:r>
    </w:p>
    <w:p w14:paraId="64F8EC2F" w14:textId="70623C10" w:rsidR="005A1AB4" w:rsidRPr="009133FB" w:rsidRDefault="00136979" w:rsidP="005A1AB4">
      <w:pPr>
        <w:pStyle w:val="CETBodytext"/>
      </w:pPr>
      <w:r w:rsidRPr="009133FB">
        <w:t xml:space="preserve">The atmospheric tank </w:t>
      </w:r>
      <w:r w:rsidR="00D77FBD" w:rsidRPr="009133FB">
        <w:t xml:space="preserve">has a diameter of 35 meters and a height of 3.6 meters, and it is filled at </w:t>
      </w:r>
      <w:r w:rsidR="00FE6E12" w:rsidRPr="009133FB">
        <w:t xml:space="preserve">the </w:t>
      </w:r>
      <w:r w:rsidR="00D77FBD" w:rsidRPr="009133FB">
        <w:t xml:space="preserve">70% of its capacity with oil. The oil is assumed to be of the Arab </w:t>
      </w:r>
      <w:r w:rsidR="00DE5BEC" w:rsidRPr="009133FB">
        <w:t>L</w:t>
      </w:r>
      <w:r w:rsidR="00D77FBD" w:rsidRPr="009133FB">
        <w:t xml:space="preserve">ight </w:t>
      </w:r>
      <w:r w:rsidR="008A4D42" w:rsidRPr="009133FB">
        <w:t xml:space="preserve">Batelle </w:t>
      </w:r>
      <w:r w:rsidR="00D77FBD" w:rsidRPr="009133FB">
        <w:t xml:space="preserve">type </w:t>
      </w:r>
      <w:r w:rsidR="005A1AB4" w:rsidRPr="009133FB">
        <w:t xml:space="preserve">and its characteristics, retrieved from the the MEMW Oil Database (SINTEF, 2023), are summarized in Table 2. </w:t>
      </w:r>
    </w:p>
    <w:p w14:paraId="3C89A350" w14:textId="77777777" w:rsidR="005A1AB4" w:rsidRPr="009133FB" w:rsidRDefault="005A1AB4" w:rsidP="005A1AB4">
      <w:pPr>
        <w:pStyle w:val="CETTabletitle"/>
      </w:pPr>
      <w:r w:rsidRPr="009133FB">
        <w:lastRenderedPageBreak/>
        <w:t>Table 2: Arab Light Batelle oil characteristics (source: MEMW Oil Database (SINTEF, 2023)).</w:t>
      </w:r>
    </w:p>
    <w:tbl>
      <w:tblPr>
        <w:tblW w:w="868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7"/>
        <w:gridCol w:w="5418"/>
      </w:tblGrid>
      <w:tr w:rsidR="005A1AB4" w:rsidRPr="009133FB" w14:paraId="0CFC36AA" w14:textId="77777777" w:rsidTr="0051235A">
        <w:trPr>
          <w:trHeight w:val="279"/>
        </w:trPr>
        <w:tc>
          <w:tcPr>
            <w:tcW w:w="3267" w:type="dxa"/>
            <w:tcBorders>
              <w:top w:val="single" w:sz="12" w:space="0" w:color="008000"/>
              <w:bottom w:val="single" w:sz="6" w:space="0" w:color="008000"/>
            </w:tcBorders>
            <w:shd w:val="clear" w:color="auto" w:fill="FFFFFF"/>
          </w:tcPr>
          <w:p w14:paraId="074AFE8C" w14:textId="77777777" w:rsidR="005A1AB4" w:rsidRPr="009133FB" w:rsidRDefault="005A1AB4" w:rsidP="0051235A">
            <w:pPr>
              <w:pStyle w:val="CETBodytext"/>
              <w:jc w:val="left"/>
              <w:rPr>
                <w:lang w:val="en-GB"/>
              </w:rPr>
            </w:pPr>
            <w:r w:rsidRPr="009133FB">
              <w:rPr>
                <w:lang w:val="en-GB"/>
              </w:rPr>
              <w:t xml:space="preserve">Arab light oil characteristic   </w:t>
            </w:r>
          </w:p>
        </w:tc>
        <w:tc>
          <w:tcPr>
            <w:tcW w:w="5418" w:type="dxa"/>
            <w:tcBorders>
              <w:top w:val="single" w:sz="12" w:space="0" w:color="008000"/>
              <w:bottom w:val="single" w:sz="6" w:space="0" w:color="008000"/>
            </w:tcBorders>
            <w:shd w:val="clear" w:color="auto" w:fill="FFFFFF"/>
          </w:tcPr>
          <w:p w14:paraId="6313E31A" w14:textId="77777777" w:rsidR="005A1AB4" w:rsidRPr="009133FB" w:rsidRDefault="005A1AB4" w:rsidP="0051235A">
            <w:pPr>
              <w:pStyle w:val="CETBodytext"/>
              <w:jc w:val="left"/>
              <w:rPr>
                <w:lang w:val="en-GB"/>
              </w:rPr>
            </w:pPr>
            <w:r w:rsidRPr="009133FB">
              <w:rPr>
                <w:lang w:val="en-GB"/>
              </w:rPr>
              <w:t>Value</w:t>
            </w:r>
          </w:p>
        </w:tc>
      </w:tr>
      <w:tr w:rsidR="005A1AB4" w:rsidRPr="009133FB" w14:paraId="5C2BE40A" w14:textId="77777777" w:rsidTr="0051235A">
        <w:trPr>
          <w:trHeight w:val="269"/>
        </w:trPr>
        <w:tc>
          <w:tcPr>
            <w:tcW w:w="3267" w:type="dxa"/>
            <w:shd w:val="clear" w:color="auto" w:fill="FFFFFF"/>
          </w:tcPr>
          <w:p w14:paraId="42C9BF8B" w14:textId="77777777" w:rsidR="005A1AB4" w:rsidRPr="009133FB" w:rsidRDefault="005A1AB4" w:rsidP="0051235A">
            <w:pPr>
              <w:pStyle w:val="CETBodytext"/>
              <w:jc w:val="left"/>
              <w:rPr>
                <w:lang w:val="en-GB"/>
              </w:rPr>
            </w:pPr>
            <w:r w:rsidRPr="009133FB">
              <w:rPr>
                <w:lang w:val="en-GB"/>
              </w:rPr>
              <w:t>Density</w:t>
            </w:r>
          </w:p>
        </w:tc>
        <w:tc>
          <w:tcPr>
            <w:tcW w:w="5418" w:type="dxa"/>
            <w:shd w:val="clear" w:color="auto" w:fill="FFFFFF"/>
          </w:tcPr>
          <w:p w14:paraId="50C622A5" w14:textId="77777777" w:rsidR="005A1AB4" w:rsidRPr="009133FB" w:rsidRDefault="005A1AB4" w:rsidP="0051235A">
            <w:pPr>
              <w:pStyle w:val="CETBodytext"/>
              <w:jc w:val="left"/>
              <w:rPr>
                <w:lang w:val="en-GB"/>
              </w:rPr>
            </w:pPr>
            <w:r w:rsidRPr="009133FB">
              <w:t>0.864 g/cm³ (15°C)</w:t>
            </w:r>
          </w:p>
        </w:tc>
      </w:tr>
      <w:tr w:rsidR="005A1AB4" w:rsidRPr="009133FB" w14:paraId="23E46626" w14:textId="77777777" w:rsidTr="0051235A">
        <w:trPr>
          <w:trHeight w:val="269"/>
        </w:trPr>
        <w:tc>
          <w:tcPr>
            <w:tcW w:w="3267" w:type="dxa"/>
            <w:shd w:val="clear" w:color="auto" w:fill="FFFFFF"/>
          </w:tcPr>
          <w:p w14:paraId="1AD83425" w14:textId="77777777" w:rsidR="005A1AB4" w:rsidRPr="009133FB" w:rsidRDefault="005A1AB4" w:rsidP="0051235A">
            <w:pPr>
              <w:pStyle w:val="CETBodytext"/>
              <w:ind w:right="-1"/>
              <w:jc w:val="left"/>
              <w:rPr>
                <w:rFonts w:cs="Arial"/>
                <w:szCs w:val="18"/>
                <w:lang w:val="en-GB"/>
              </w:rPr>
            </w:pPr>
            <w:r w:rsidRPr="009133FB">
              <w:rPr>
                <w:rFonts w:cs="Arial"/>
                <w:szCs w:val="18"/>
                <w:lang w:val="en-GB"/>
              </w:rPr>
              <w:t>API°</w:t>
            </w:r>
          </w:p>
        </w:tc>
        <w:tc>
          <w:tcPr>
            <w:tcW w:w="5418" w:type="dxa"/>
            <w:shd w:val="clear" w:color="auto" w:fill="FFFFFF"/>
          </w:tcPr>
          <w:p w14:paraId="7355211E" w14:textId="77777777" w:rsidR="005A1AB4" w:rsidRPr="009133FB" w:rsidRDefault="005A1AB4" w:rsidP="0051235A">
            <w:pPr>
              <w:pStyle w:val="CETBodytext"/>
              <w:ind w:right="-1"/>
              <w:jc w:val="left"/>
              <w:rPr>
                <w:rFonts w:cs="Arial"/>
                <w:szCs w:val="18"/>
                <w:lang w:val="en-GB"/>
              </w:rPr>
            </w:pPr>
            <w:r w:rsidRPr="009133FB">
              <w:rPr>
                <w:rFonts w:cs="Arial"/>
                <w:szCs w:val="18"/>
                <w:lang w:val="en-GB"/>
              </w:rPr>
              <w:t>32.3</w:t>
            </w:r>
          </w:p>
        </w:tc>
      </w:tr>
      <w:tr w:rsidR="005A1AB4" w:rsidRPr="00B57B36" w14:paraId="223B007B" w14:textId="77777777" w:rsidTr="0051235A">
        <w:trPr>
          <w:trHeight w:val="269"/>
        </w:trPr>
        <w:tc>
          <w:tcPr>
            <w:tcW w:w="3267" w:type="dxa"/>
            <w:shd w:val="clear" w:color="auto" w:fill="FFFFFF"/>
          </w:tcPr>
          <w:p w14:paraId="0C2F892A" w14:textId="77777777" w:rsidR="005A1AB4" w:rsidRPr="009133FB" w:rsidRDefault="005A1AB4" w:rsidP="0051235A">
            <w:pPr>
              <w:pStyle w:val="CETBodytext"/>
              <w:ind w:right="-1"/>
              <w:jc w:val="left"/>
              <w:rPr>
                <w:rFonts w:cs="Arial"/>
                <w:szCs w:val="18"/>
                <w:lang w:val="en-GB"/>
              </w:rPr>
            </w:pPr>
            <w:r w:rsidRPr="009133FB">
              <w:rPr>
                <w:rFonts w:cs="Arial"/>
                <w:szCs w:val="18"/>
                <w:lang w:val="en-GB"/>
              </w:rPr>
              <w:t>Pour point temperature</w:t>
            </w:r>
          </w:p>
        </w:tc>
        <w:tc>
          <w:tcPr>
            <w:tcW w:w="5418" w:type="dxa"/>
            <w:shd w:val="clear" w:color="auto" w:fill="FFFFFF"/>
          </w:tcPr>
          <w:p w14:paraId="16ADBD11" w14:textId="77777777" w:rsidR="005A1AB4" w:rsidRPr="00B57B36" w:rsidRDefault="005A1AB4" w:rsidP="0051235A">
            <w:pPr>
              <w:pStyle w:val="CETBodytext"/>
              <w:ind w:right="-1"/>
              <w:jc w:val="left"/>
              <w:rPr>
                <w:rFonts w:cs="Arial"/>
                <w:szCs w:val="18"/>
                <w:lang w:val="en-GB"/>
              </w:rPr>
            </w:pPr>
            <w:r w:rsidRPr="009133FB">
              <w:t>- 40°C</w:t>
            </w:r>
          </w:p>
        </w:tc>
      </w:tr>
    </w:tbl>
    <w:p w14:paraId="1812B622" w14:textId="77777777" w:rsidR="005A1AB4" w:rsidRDefault="005A1AB4" w:rsidP="00136979">
      <w:pPr>
        <w:pStyle w:val="CETBodytext"/>
      </w:pPr>
    </w:p>
    <w:p w14:paraId="0191D362" w14:textId="20D3C76F" w:rsidR="003C15CC" w:rsidRPr="00AF7544" w:rsidRDefault="006230F0" w:rsidP="00822C64">
      <w:pPr>
        <w:pStyle w:val="CETBodytext"/>
      </w:pPr>
      <w:r w:rsidRPr="00AF7544">
        <w:t xml:space="preserve">The consequence assessment of the scenario </w:t>
      </w:r>
      <w:r w:rsidR="006B39EE" w:rsidRPr="00AF7544">
        <w:t xml:space="preserve">targeting </w:t>
      </w:r>
      <w:r w:rsidRPr="00AF7544">
        <w:t xml:space="preserve">the sea and its sub-compartments required the selection of an appropriate software tool for the estimation of the parameters presented in Table 1. </w:t>
      </w:r>
      <w:r w:rsidR="00560BD9" w:rsidRPr="00AF7544">
        <w:t>The software employed</w:t>
      </w:r>
      <w:r w:rsidR="00366704" w:rsidRPr="00AF7544">
        <w:t xml:space="preserve"> for the application</w:t>
      </w:r>
      <w:r w:rsidR="00560BD9" w:rsidRPr="00AF7544">
        <w:t xml:space="preserve"> </w:t>
      </w:r>
      <w:r w:rsidR="00366704" w:rsidRPr="00AF7544">
        <w:t>is version</w:t>
      </w:r>
      <w:r w:rsidR="00C8471F" w:rsidRPr="00AF7544">
        <w:t xml:space="preserve"> </w:t>
      </w:r>
      <w:r w:rsidR="00366704" w:rsidRPr="00AF7544">
        <w:t xml:space="preserve">14.1.0 of OSCAR, the </w:t>
      </w:r>
      <w:r w:rsidRPr="00AF7544">
        <w:t>Oil Spill Contingency and Re</w:t>
      </w:r>
      <w:r w:rsidR="00366704" w:rsidRPr="00AF7544">
        <w:t>sponse model developed by SINTEF</w:t>
      </w:r>
      <w:r w:rsidR="00D204B6" w:rsidRPr="00AF7544">
        <w:t xml:space="preserve"> </w:t>
      </w:r>
      <w:r w:rsidR="00366704" w:rsidRPr="00AF7544">
        <w:t xml:space="preserve">(2023). </w:t>
      </w:r>
      <w:r w:rsidR="00D204B6" w:rsidRPr="00AF7544">
        <w:t>OSCAR is an advanced and recognized fate and transport model that</w:t>
      </w:r>
      <w:r w:rsidR="00366704" w:rsidRPr="00AF7544">
        <w:t xml:space="preserve"> allows </w:t>
      </w:r>
      <w:r w:rsidR="00D204B6" w:rsidRPr="00AF7544">
        <w:t>the estimate of the effects of an oil release in the sea surface, water</w:t>
      </w:r>
      <w:r w:rsidR="00C8471F" w:rsidRPr="00AF7544">
        <w:t xml:space="preserve"> </w:t>
      </w:r>
      <w:r w:rsidR="00D204B6" w:rsidRPr="00AF7544">
        <w:t xml:space="preserve">column, shoreline and sea </w:t>
      </w:r>
      <w:r w:rsidR="00C334CA" w:rsidRPr="00AF7544">
        <w:t>floor</w:t>
      </w:r>
      <w:r w:rsidR="00D204B6" w:rsidRPr="00AF7544">
        <w:t xml:space="preserve"> pr</w:t>
      </w:r>
      <w:r w:rsidR="00C8471F" w:rsidRPr="00AF7544">
        <w:t>o</w:t>
      </w:r>
      <w:r w:rsidR="00D204B6" w:rsidRPr="00AF7544">
        <w:t>vided the spill characteristics (e.g. oil mass spil</w:t>
      </w:r>
      <w:r w:rsidR="00C8471F" w:rsidRPr="00AF7544">
        <w:t>t</w:t>
      </w:r>
      <w:r w:rsidR="00D204B6" w:rsidRPr="00AF7544">
        <w:t xml:space="preserve">, oil typology, </w:t>
      </w:r>
      <w:r w:rsidR="00A06226" w:rsidRPr="00AF7544">
        <w:t xml:space="preserve">coordinates of the release) </w:t>
      </w:r>
      <w:r w:rsidR="00D204B6" w:rsidRPr="00AF7544">
        <w:t>and the environmental</w:t>
      </w:r>
      <w:r w:rsidR="00A06226" w:rsidRPr="00AF7544">
        <w:t xml:space="preserve"> conditions in the area where the spill is located (e.g., wind</w:t>
      </w:r>
      <w:r w:rsidR="003C15CC" w:rsidRPr="00AF7544">
        <w:t xml:space="preserve"> and </w:t>
      </w:r>
      <w:r w:rsidR="00A06226" w:rsidRPr="00AF7544">
        <w:t>current</w:t>
      </w:r>
      <w:r w:rsidR="003C15CC" w:rsidRPr="00AF7544">
        <w:t xml:space="preserve"> data</w:t>
      </w:r>
      <w:r w:rsidR="00A06226" w:rsidRPr="00AF7544">
        <w:t xml:space="preserve">). </w:t>
      </w:r>
      <w:r w:rsidR="009B61B8" w:rsidRPr="00AF7544">
        <w:t xml:space="preserve">It is </w:t>
      </w:r>
      <w:r w:rsidR="00975068" w:rsidRPr="00AF7544">
        <w:t xml:space="preserve">worth mentioning </w:t>
      </w:r>
      <w:r w:rsidR="009B61B8" w:rsidRPr="00AF7544">
        <w:t>that t</w:t>
      </w:r>
      <w:r w:rsidR="00D44AE5" w:rsidRPr="00AF7544">
        <w:t xml:space="preserve">he software </w:t>
      </w:r>
      <w:r w:rsidR="00755CAE" w:rsidRPr="00AF7544">
        <w:t>has</w:t>
      </w:r>
      <w:r w:rsidR="007D17D4" w:rsidRPr="00AF7544">
        <w:t xml:space="preserve"> an internal </w:t>
      </w:r>
      <w:r w:rsidR="00C75AEC" w:rsidRPr="00AF7544">
        <w:t xml:space="preserve">database that provides bathymetry and coastal </w:t>
      </w:r>
      <w:r w:rsidR="00A634F0" w:rsidRPr="00AF7544">
        <w:t>data for a specific location</w:t>
      </w:r>
      <w:r w:rsidR="00A0711D" w:rsidRPr="00AF7544">
        <w:t xml:space="preserve"> and that </w:t>
      </w:r>
      <w:r w:rsidR="00A06226" w:rsidRPr="00AF7544">
        <w:t>is able</w:t>
      </w:r>
      <w:r w:rsidR="001F0286" w:rsidRPr="00AF7544">
        <w:t xml:space="preserve"> </w:t>
      </w:r>
      <w:r w:rsidR="00A06226" w:rsidRPr="00AF7544">
        <w:t>to model the oil weathering processes that start occurring immediately after a spill (Keramea et al., 2021)</w:t>
      </w:r>
      <w:r w:rsidR="003C15CC" w:rsidRPr="00AF7544">
        <w:t>.</w:t>
      </w:r>
    </w:p>
    <w:p w14:paraId="4C6EE718" w14:textId="0DEDDF2F" w:rsidR="008E1D4F" w:rsidRPr="00AF7544" w:rsidRDefault="003C15CC" w:rsidP="00822C64">
      <w:pPr>
        <w:pStyle w:val="CETBodytext"/>
      </w:pPr>
      <w:r w:rsidRPr="00AF7544">
        <w:t xml:space="preserve">In order to assess the consequences of the defined scenario, six deterministic simulations of the duration of </w:t>
      </w:r>
      <w:r w:rsidR="000C0165" w:rsidRPr="00AF7544">
        <w:t>6</w:t>
      </w:r>
      <w:r w:rsidR="001873E9" w:rsidRPr="00AF7544">
        <w:t xml:space="preserve">0 </w:t>
      </w:r>
      <w:r w:rsidR="000C0165" w:rsidRPr="00AF7544">
        <w:t>days</w:t>
      </w:r>
      <w:r w:rsidRPr="00AF7544">
        <w:t xml:space="preserve"> </w:t>
      </w:r>
      <w:r w:rsidR="001873E9" w:rsidRPr="00AF7544">
        <w:t xml:space="preserve">each </w:t>
      </w:r>
      <w:r w:rsidRPr="00AF7544">
        <w:t>were performed</w:t>
      </w:r>
      <w:r w:rsidR="0064339C" w:rsidRPr="00AF7544">
        <w:t xml:space="preserve"> to cover the whole year </w:t>
      </w:r>
      <w:r w:rsidR="001A6317" w:rsidRPr="00AF7544">
        <w:t>to</w:t>
      </w:r>
      <w:r w:rsidR="0064339C" w:rsidRPr="00AF7544">
        <w:t xml:space="preserve"> ack</w:t>
      </w:r>
      <w:r w:rsidR="00C8471F" w:rsidRPr="00AF7544">
        <w:t>nowled</w:t>
      </w:r>
      <w:r w:rsidR="0064339C" w:rsidRPr="00AF7544">
        <w:t>ge the</w:t>
      </w:r>
      <w:r w:rsidR="007C0A56" w:rsidRPr="00AF7544">
        <w:t xml:space="preserve"> seasonal</w:t>
      </w:r>
      <w:r w:rsidR="0064339C" w:rsidRPr="00AF7544">
        <w:t xml:space="preserve"> </w:t>
      </w:r>
      <w:r w:rsidR="00196D8B" w:rsidRPr="00AF7544">
        <w:t>factors</w:t>
      </w:r>
      <w:r w:rsidR="0064339C" w:rsidRPr="00AF7544">
        <w:t xml:space="preserve"> that might influence</w:t>
      </w:r>
      <w:r w:rsidR="0064339C" w:rsidRPr="00BF799F">
        <w:t xml:space="preserve"> </w:t>
      </w:r>
      <w:r w:rsidR="0064339C" w:rsidRPr="00AF7544">
        <w:t>the fate of the oil spil</w:t>
      </w:r>
      <w:r w:rsidR="007C0A56" w:rsidRPr="00AF7544">
        <w:t>l.</w:t>
      </w:r>
      <w:r w:rsidR="005B1EF2" w:rsidRPr="00AF7544">
        <w:t xml:space="preserve"> </w:t>
      </w:r>
      <w:r w:rsidR="003012E5" w:rsidRPr="00AF7544">
        <w:t xml:space="preserve">The simulations </w:t>
      </w:r>
      <w:r w:rsidR="00443847" w:rsidRPr="00AF7544">
        <w:t>starting dates are: 1</w:t>
      </w:r>
      <w:r w:rsidR="00443847" w:rsidRPr="00AF7544">
        <w:rPr>
          <w:vertAlign w:val="superscript"/>
        </w:rPr>
        <w:t>st</w:t>
      </w:r>
      <w:r w:rsidR="00443847" w:rsidRPr="00AF7544">
        <w:t xml:space="preserve"> January (Sim</w:t>
      </w:r>
      <w:r w:rsidR="00687B65" w:rsidRPr="00AF7544">
        <w:t xml:space="preserve">ulation </w:t>
      </w:r>
      <w:r w:rsidR="00443847" w:rsidRPr="00AF7544">
        <w:t>1), 1</w:t>
      </w:r>
      <w:r w:rsidR="00443847" w:rsidRPr="00AF7544">
        <w:rPr>
          <w:vertAlign w:val="superscript"/>
        </w:rPr>
        <w:t>st</w:t>
      </w:r>
      <w:r w:rsidR="00443847" w:rsidRPr="00AF7544">
        <w:t xml:space="preserve"> March (</w:t>
      </w:r>
      <w:r w:rsidR="00687B65" w:rsidRPr="00AF7544">
        <w:t xml:space="preserve">Simulation </w:t>
      </w:r>
      <w:r w:rsidR="00443847" w:rsidRPr="00AF7544">
        <w:t>2), 1</w:t>
      </w:r>
      <w:r w:rsidR="00443847" w:rsidRPr="00AF7544">
        <w:rPr>
          <w:vertAlign w:val="superscript"/>
        </w:rPr>
        <w:t>st</w:t>
      </w:r>
      <w:r w:rsidR="00443847" w:rsidRPr="00AF7544">
        <w:t xml:space="preserve"> May (</w:t>
      </w:r>
      <w:r w:rsidR="00687B65" w:rsidRPr="00AF7544">
        <w:t xml:space="preserve">Simulation </w:t>
      </w:r>
      <w:r w:rsidR="00443847" w:rsidRPr="00AF7544">
        <w:t>3), 1</w:t>
      </w:r>
      <w:r w:rsidR="00443847" w:rsidRPr="00AF7544">
        <w:rPr>
          <w:vertAlign w:val="superscript"/>
        </w:rPr>
        <w:t>st</w:t>
      </w:r>
      <w:r w:rsidR="00443847" w:rsidRPr="00AF7544">
        <w:t xml:space="preserve"> </w:t>
      </w:r>
      <w:r w:rsidR="00A8135B" w:rsidRPr="00AF7544">
        <w:t>July (</w:t>
      </w:r>
      <w:r w:rsidR="00687B65" w:rsidRPr="00AF7544">
        <w:t xml:space="preserve">Simulation </w:t>
      </w:r>
      <w:r w:rsidR="00A8135B" w:rsidRPr="00AF7544">
        <w:t>4): 1</w:t>
      </w:r>
      <w:r w:rsidR="00A8135B" w:rsidRPr="00AF7544">
        <w:rPr>
          <w:vertAlign w:val="superscript"/>
        </w:rPr>
        <w:t>st</w:t>
      </w:r>
      <w:r w:rsidR="00A8135B" w:rsidRPr="00AF7544">
        <w:t xml:space="preserve"> </w:t>
      </w:r>
      <w:r w:rsidR="00687B65" w:rsidRPr="00AF7544">
        <w:t>September (</w:t>
      </w:r>
      <w:r w:rsidR="009762C7" w:rsidRPr="00AF7544">
        <w:t xml:space="preserve">Simulation </w:t>
      </w:r>
      <w:r w:rsidR="00687B65" w:rsidRPr="00AF7544">
        <w:t>5), 1</w:t>
      </w:r>
      <w:r w:rsidR="00687B65" w:rsidRPr="00AF7544">
        <w:rPr>
          <w:vertAlign w:val="superscript"/>
        </w:rPr>
        <w:t>st</w:t>
      </w:r>
      <w:r w:rsidR="00687B65" w:rsidRPr="00AF7544">
        <w:t xml:space="preserve">  November (</w:t>
      </w:r>
      <w:r w:rsidR="009762C7" w:rsidRPr="00AF7544">
        <w:t xml:space="preserve">Simulation </w:t>
      </w:r>
      <w:r w:rsidR="00687B65" w:rsidRPr="00AF7544">
        <w:t xml:space="preserve">6). </w:t>
      </w:r>
      <w:r w:rsidR="003B66F0" w:rsidRPr="00AF7544">
        <w:t xml:space="preserve">The </w:t>
      </w:r>
      <w:r w:rsidR="009762C7" w:rsidRPr="00AF7544">
        <w:t>tests</w:t>
      </w:r>
      <w:r w:rsidR="003B66F0" w:rsidRPr="00AF7544">
        <w:t xml:space="preserve"> were conducted with a spatial resolution of 500 m per 500 m and a time step of 15 minutes</w:t>
      </w:r>
      <w:r w:rsidR="009762C7" w:rsidRPr="00AF7544">
        <w:t xml:space="preserve"> and t</w:t>
      </w:r>
      <w:r w:rsidR="0091226B" w:rsidRPr="00AF7544">
        <w:t xml:space="preserve">he oil thickness was set to initial and final values of 4 mm and 0.0007 mm, respectively. </w:t>
      </w:r>
      <w:r w:rsidR="00847CBB" w:rsidRPr="00AF7544">
        <w:t>Wind and current data for a solar year were sourced from the Copernicus Marine Environment Monitoring Service database (CMEMS, 2023). The wind data used in the application had a temporal resolution of 1 hour, while the current data had a temporal resolution of one day and a horizontal spatial resolution of 1/24°, with 141 unequally spaced vertical levels.</w:t>
      </w:r>
      <w:r w:rsidR="002E7E6B" w:rsidRPr="00AF7544">
        <w:t xml:space="preserve"> It is to note that some preliminary runs were performed to identify an appropriate duration of a single simulation keeping as a reference the relative importance of the weathering processes as summarized in Figure 1b. </w:t>
      </w:r>
    </w:p>
    <w:p w14:paraId="776C1B54" w14:textId="3C4A3D05" w:rsidR="00873FA0" w:rsidRPr="007410C9" w:rsidRDefault="00E24A38" w:rsidP="00FF1D01">
      <w:pPr>
        <w:pStyle w:val="CETBodytext"/>
        <w:rPr>
          <w:color w:val="A6A6A6" w:themeColor="background1" w:themeShade="A6"/>
        </w:rPr>
      </w:pPr>
      <w:r w:rsidRPr="009133FB">
        <w:t>T</w:t>
      </w:r>
      <w:r w:rsidR="00E31AF2" w:rsidRPr="009133FB">
        <w:t xml:space="preserve">he most hazardous simulation for each marine sub-compartment </w:t>
      </w:r>
      <w:r w:rsidR="00C11F0C" w:rsidRPr="009133FB">
        <w:t>was</w:t>
      </w:r>
      <w:r w:rsidR="00E31AF2" w:rsidRPr="009133FB">
        <w:t xml:space="preserve"> identified based on the maximum extension of the contamination</w:t>
      </w:r>
      <w:r w:rsidR="008B2154" w:rsidRPr="009133FB">
        <w:t xml:space="preserve"> (i.e. maximum oil slick area, maximum volume of contaminated water column, maximum contaminated shoreline and maximum area of contaminated sea </w:t>
      </w:r>
      <w:r w:rsidR="00C334CA" w:rsidRPr="009133FB">
        <w:t>floor</w:t>
      </w:r>
      <w:r w:rsidR="008B2154" w:rsidRPr="009133FB">
        <w:t>)</w:t>
      </w:r>
      <w:r w:rsidR="00E07DD3" w:rsidRPr="009133FB">
        <w:t xml:space="preserve"> and</w:t>
      </w:r>
      <w:r w:rsidR="007C1355" w:rsidRPr="009133FB">
        <w:t xml:space="preserve"> considering the </w:t>
      </w:r>
      <w:r w:rsidR="00ED56A6" w:rsidRPr="009133FB">
        <w:t xml:space="preserve">threshold values presented in </w:t>
      </w:r>
      <w:r w:rsidRPr="009133FB">
        <w:t xml:space="preserve">Section </w:t>
      </w:r>
      <w:r w:rsidR="00ED56A6" w:rsidRPr="009133FB">
        <w:t xml:space="preserve">2.1. The thresholds allow </w:t>
      </w:r>
      <w:r w:rsidR="00D8326B" w:rsidRPr="009133FB">
        <w:t>for addressing</w:t>
      </w:r>
      <w:r w:rsidR="00534F70" w:rsidRPr="009133FB">
        <w:t xml:space="preserve"> the significant </w:t>
      </w:r>
      <w:r w:rsidR="00ED56A6" w:rsidRPr="009133FB">
        <w:t>effects of the analyzed release in each sub-compartment</w:t>
      </w:r>
      <w:r w:rsidR="00534F70" w:rsidRPr="009133FB">
        <w:t xml:space="preserve"> of the marine environment</w:t>
      </w:r>
      <w:r w:rsidR="00345B74" w:rsidRPr="009133FB">
        <w:t xml:space="preserve"> (i.e., values </w:t>
      </w:r>
      <w:r w:rsidR="00F26DB6" w:rsidRPr="009133FB">
        <w:t xml:space="preserve">below </w:t>
      </w:r>
      <w:r w:rsidR="00242604" w:rsidRPr="009133FB">
        <w:t xml:space="preserve">the </w:t>
      </w:r>
      <w:r w:rsidR="00345B74" w:rsidRPr="009133FB">
        <w:t>threshold</w:t>
      </w:r>
      <w:r w:rsidR="00F26DB6" w:rsidRPr="009133FB">
        <w:t xml:space="preserve"> </w:t>
      </w:r>
      <w:r w:rsidR="002663C4" w:rsidRPr="009133FB">
        <w:t xml:space="preserve">can be neglected </w:t>
      </w:r>
      <w:r w:rsidR="00242604" w:rsidRPr="009133FB">
        <w:t>while assessing the consequences)</w:t>
      </w:r>
      <w:r w:rsidR="00ED56A6" w:rsidRPr="009133FB">
        <w:t>.</w:t>
      </w:r>
      <w:r w:rsidR="0071213B" w:rsidRPr="009133FB">
        <w:t xml:space="preserve"> </w:t>
      </w:r>
      <w:r w:rsidR="005625D9" w:rsidRPr="009133FB">
        <w:t>The</w:t>
      </w:r>
      <w:r w:rsidR="009C7428" w:rsidRPr="009133FB">
        <w:t xml:space="preserve"> </w:t>
      </w:r>
      <w:r w:rsidR="008B2154" w:rsidRPr="009133FB">
        <w:t>results</w:t>
      </w:r>
      <w:r w:rsidR="005625D9" w:rsidRPr="009133FB">
        <w:t xml:space="preserve"> obtained with this approach are to be used in the </w:t>
      </w:r>
      <w:r w:rsidR="00B02661" w:rsidRPr="009133FB">
        <w:t>Natech QRA as the base for the quantification of the risk</w:t>
      </w:r>
      <w:r w:rsidR="002A74C4" w:rsidRPr="009133FB">
        <w:t>.</w:t>
      </w:r>
    </w:p>
    <w:p w14:paraId="677EBFF0" w14:textId="3EA1271C" w:rsidR="00600535" w:rsidRPr="00A30022" w:rsidRDefault="0082477B" w:rsidP="00A30022">
      <w:pPr>
        <w:pStyle w:val="CETHeading1"/>
        <w:tabs>
          <w:tab w:val="num" w:pos="360"/>
        </w:tabs>
      </w:pPr>
      <w:r w:rsidRPr="00A30022">
        <w:t xml:space="preserve">Results </w:t>
      </w:r>
    </w:p>
    <w:p w14:paraId="31025D19" w14:textId="3A2356FD" w:rsidR="00265243" w:rsidRDefault="00864698" w:rsidP="002A74C4">
      <w:pPr>
        <w:pStyle w:val="CETBodytext"/>
      </w:pPr>
      <w:r>
        <w:t xml:space="preserve">The results </w:t>
      </w:r>
      <w:r w:rsidR="000E283B">
        <w:t xml:space="preserve">of </w:t>
      </w:r>
      <w:r w:rsidR="00937BCE">
        <w:t xml:space="preserve">the </w:t>
      </w:r>
      <w:r w:rsidR="002A74C4" w:rsidRPr="002A74C4">
        <w:t xml:space="preserve">deterministic simulations </w:t>
      </w:r>
      <w:r w:rsidR="000E283B">
        <w:t xml:space="preserve">provide </w:t>
      </w:r>
      <w:r w:rsidR="00601DC4">
        <w:t>an estimate of</w:t>
      </w:r>
      <w:r w:rsidR="003962F2">
        <w:t xml:space="preserve"> </w:t>
      </w:r>
      <w:r w:rsidR="00F35195">
        <w:t xml:space="preserve">the variation of the </w:t>
      </w:r>
      <w:r w:rsidR="006C2B13">
        <w:t xml:space="preserve">four </w:t>
      </w:r>
      <w:r w:rsidR="00F35195">
        <w:t xml:space="preserve">parameters </w:t>
      </w:r>
      <w:r w:rsidR="00937BCE">
        <w:t>used to evaluate the damage to the environment</w:t>
      </w:r>
      <w:r w:rsidR="00F129CD">
        <w:t xml:space="preserve"> (see Table 1) </w:t>
      </w:r>
      <w:r w:rsidR="00570A67">
        <w:t>over 60 days</w:t>
      </w:r>
      <w:r>
        <w:t xml:space="preserve">. </w:t>
      </w:r>
      <w:r w:rsidR="008A0BF9" w:rsidRPr="00E57E43">
        <w:t xml:space="preserve">The most hazardous simulation per each sub-compartment was individuated based on the higher value </w:t>
      </w:r>
      <w:r w:rsidR="00ED320C" w:rsidRPr="00E57E43">
        <w:t xml:space="preserve">above the threshold </w:t>
      </w:r>
      <w:r w:rsidR="008A0BF9" w:rsidRPr="00E57E43">
        <w:t xml:space="preserve">of the parameter analysed </w:t>
      </w:r>
      <w:r w:rsidR="008A0BF9" w:rsidRPr="00265243">
        <w:t xml:space="preserve">(i.e., worst-case scenario approach). </w:t>
      </w:r>
      <w:r w:rsidR="004522D2" w:rsidRPr="00265243">
        <w:t>Simulation 3, Simulation 1, Simulation 3, and Simulation 2 have been identified as the most hazardous for, respectively, the sea surface, the water column, the shoreline, and the sea floor</w:t>
      </w:r>
      <w:r w:rsidR="004522D2">
        <w:t>.</w:t>
      </w:r>
      <w:r w:rsidR="00D13C1B">
        <w:t xml:space="preserve"> </w:t>
      </w:r>
      <w:r w:rsidR="00206DEC" w:rsidRPr="0049463D">
        <w:t xml:space="preserve">Figure 2 presents the trend over time of the extension of the contamination in the most hazardous </w:t>
      </w:r>
      <w:r w:rsidR="00206DEC" w:rsidRPr="009133FB">
        <w:t xml:space="preserve">simulation of each marine sub-compartment, estimated by applying the threshold values proposed in Table 1. </w:t>
      </w:r>
      <w:r w:rsidR="004307AC" w:rsidRPr="009133FB">
        <w:t xml:space="preserve">As presented in the </w:t>
      </w:r>
      <w:r w:rsidR="00F7066F" w:rsidRPr="009133FB">
        <w:t>four graphs</w:t>
      </w:r>
      <w:r w:rsidR="004307AC" w:rsidRPr="009133FB">
        <w:t>, concerning the scenario analysed, the maximum value of the polluted surface area is 1060 km</w:t>
      </w:r>
      <w:r w:rsidR="004307AC" w:rsidRPr="009133FB">
        <w:rPr>
          <w:vertAlign w:val="superscript"/>
        </w:rPr>
        <w:t>2</w:t>
      </w:r>
      <w:r w:rsidR="004307AC" w:rsidRPr="009133FB">
        <w:t xml:space="preserve"> on day 19, the maximum value of the polluted water column volume is 9.54 km</w:t>
      </w:r>
      <w:r w:rsidR="004307AC" w:rsidRPr="009133FB">
        <w:rPr>
          <w:vertAlign w:val="superscript"/>
        </w:rPr>
        <w:t xml:space="preserve">3 </w:t>
      </w:r>
      <w:r w:rsidR="004307AC" w:rsidRPr="009133FB">
        <w:t>on day 2, the maximum oiled shore length is 360 km on day 57 and the maximum contaminated sea floor surface is 56 km</w:t>
      </w:r>
      <w:r w:rsidR="004307AC" w:rsidRPr="009133FB">
        <w:rPr>
          <w:vertAlign w:val="superscript"/>
        </w:rPr>
        <w:t>2</w:t>
      </w:r>
      <w:r w:rsidR="004307AC" w:rsidRPr="009133FB">
        <w:t xml:space="preserve"> on day 60. These values, summarized in Table 3 for the sake of clarity, provide a straightforward quantification of the effects in each marine sub-compartment that can be used to assess the severity of a scenario (i.e., the consequences) in the Natech QRA context.</w:t>
      </w:r>
      <w:r w:rsidR="004307AC">
        <w:t xml:space="preserve"> </w:t>
      </w:r>
      <w:r w:rsidR="00C87D18" w:rsidRPr="00AF2AB8">
        <w:t xml:space="preserve">It is also noteworthy that the present method sets a basis for designing the remediation strategies to be employed in each marine sub-compartment in the case of an accident. </w:t>
      </w:r>
      <w:r w:rsidR="00A43895" w:rsidRPr="00AF2AB8">
        <w:t xml:space="preserve">Remediation strategies must be chosen based on the nature of the released material and the specific environmental compartment of concern. In this regard, the methodology applied in this study not only </w:t>
      </w:r>
      <w:r w:rsidR="00F82304" w:rsidRPr="00AF2AB8">
        <w:t>calculate</w:t>
      </w:r>
      <w:r w:rsidR="00CC186E" w:rsidRPr="00AF2AB8">
        <w:t>s</w:t>
      </w:r>
      <w:r w:rsidR="00F82304" w:rsidRPr="00AF2AB8">
        <w:t xml:space="preserve"> the extent of the damage on each compartment, but also </w:t>
      </w:r>
      <w:r w:rsidR="00A43895" w:rsidRPr="00AF2AB8">
        <w:t xml:space="preserve">identifies the most impacted </w:t>
      </w:r>
      <w:r w:rsidR="000D0F70" w:rsidRPr="00AF2AB8">
        <w:t xml:space="preserve">ones providing </w:t>
      </w:r>
      <w:r w:rsidR="00A43895" w:rsidRPr="00AF2AB8">
        <w:t>guidance for prioritizing remediation actions.</w:t>
      </w:r>
    </w:p>
    <w:p w14:paraId="58E2F97F" w14:textId="77777777" w:rsidR="00804737" w:rsidRDefault="00B5302B" w:rsidP="00804737">
      <w:pPr>
        <w:pStyle w:val="CETBodytext"/>
        <w:rPr>
          <w:rStyle w:val="CETCaptionCarattere"/>
        </w:rPr>
      </w:pPr>
      <w:r>
        <w:rPr>
          <w:noProof/>
        </w:rPr>
        <w:lastRenderedPageBreak/>
        <w:drawing>
          <wp:inline distT="0" distB="0" distL="0" distR="0" wp14:anchorId="4CAEA912" wp14:editId="5E215013">
            <wp:extent cx="4104861" cy="4104861"/>
            <wp:effectExtent l="0" t="0" r="0" b="0"/>
            <wp:docPr id="3655282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28213" name="Immagine 365528213"/>
                    <pic:cNvPicPr/>
                  </pic:nvPicPr>
                  <pic:blipFill>
                    <a:blip r:embed="rId16"/>
                    <a:stretch>
                      <a:fillRect/>
                    </a:stretch>
                  </pic:blipFill>
                  <pic:spPr>
                    <a:xfrm>
                      <a:off x="0" y="0"/>
                      <a:ext cx="4166095" cy="4166095"/>
                    </a:xfrm>
                    <a:prstGeom prst="rect">
                      <a:avLst/>
                    </a:prstGeom>
                  </pic:spPr>
                </pic:pic>
              </a:graphicData>
            </a:graphic>
          </wp:inline>
        </w:drawing>
      </w:r>
    </w:p>
    <w:p w14:paraId="3CE6DD3C" w14:textId="1117CB67" w:rsidR="00563A35" w:rsidRPr="00804737" w:rsidRDefault="0075221C" w:rsidP="00804737">
      <w:pPr>
        <w:pStyle w:val="CETBodytext"/>
        <w:rPr>
          <w:rStyle w:val="CETCaptionCarattere"/>
          <w:i w:val="0"/>
          <w:lang w:val="en-US"/>
        </w:rPr>
      </w:pPr>
      <w:r w:rsidRPr="00BD077D">
        <w:rPr>
          <w:rStyle w:val="CETCaptionCarattere"/>
        </w:rPr>
        <w:t xml:space="preserve">Figure </w:t>
      </w:r>
      <w:r>
        <w:rPr>
          <w:rStyle w:val="CETCaptionCarattere"/>
        </w:rPr>
        <w:t>2</w:t>
      </w:r>
      <w:r w:rsidRPr="00BD077D">
        <w:rPr>
          <w:rStyle w:val="CETCaptionCarattere"/>
        </w:rPr>
        <w:t xml:space="preserve">: </w:t>
      </w:r>
      <w:r w:rsidR="00E822F8">
        <w:rPr>
          <w:rStyle w:val="CETCaptionCarattere"/>
        </w:rPr>
        <w:t>V</w:t>
      </w:r>
      <w:r>
        <w:rPr>
          <w:rStyle w:val="CETCaptionCarattere"/>
        </w:rPr>
        <w:t>ariation over time of the relevant parameters</w:t>
      </w:r>
      <w:r w:rsidR="005D4255">
        <w:rPr>
          <w:rStyle w:val="CETCaptionCarattere"/>
        </w:rPr>
        <w:t xml:space="preserve"> for the most hazardous simulations</w:t>
      </w:r>
      <w:r w:rsidR="008E1D4F">
        <w:rPr>
          <w:rStyle w:val="CETCaptionCarattere"/>
        </w:rPr>
        <w:t xml:space="preserve">: </w:t>
      </w:r>
      <w:r>
        <w:rPr>
          <w:rStyle w:val="CETCaptionCarattere"/>
        </w:rPr>
        <w:t xml:space="preserve">a) contaminated sea surface area, b) contaminated water column volume, </w:t>
      </w:r>
      <w:r w:rsidR="00E822F8">
        <w:rPr>
          <w:rStyle w:val="CETCaptionCarattere"/>
        </w:rPr>
        <w:t>c</w:t>
      </w:r>
      <w:r>
        <w:rPr>
          <w:rStyle w:val="CETCaptionCarattere"/>
        </w:rPr>
        <w:t xml:space="preserve">) contaminated shore length, and d) contaminated sea floor area. </w:t>
      </w:r>
    </w:p>
    <w:p w14:paraId="1DF65223" w14:textId="07BFE7DC" w:rsidR="000A526B" w:rsidRDefault="000A526B" w:rsidP="000A526B">
      <w:pPr>
        <w:pStyle w:val="CETTabletitle"/>
      </w:pPr>
      <w:r w:rsidRPr="00B57B36">
        <w:t xml:space="preserve">Table </w:t>
      </w:r>
      <w:r>
        <w:t>3</w:t>
      </w:r>
      <w:r w:rsidRPr="00B57B36">
        <w:t xml:space="preserve">: </w:t>
      </w:r>
      <w:r>
        <w:t>Results of the consequence assessment for the scenario analyzed in the case study.</w:t>
      </w:r>
    </w:p>
    <w:tbl>
      <w:tblPr>
        <w:tblW w:w="884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03"/>
        <w:gridCol w:w="3605"/>
        <w:gridCol w:w="2840"/>
      </w:tblGrid>
      <w:tr w:rsidR="000A526B" w:rsidRPr="00B57B36" w14:paraId="1198F2E8" w14:textId="77777777" w:rsidTr="00FF0976">
        <w:trPr>
          <w:trHeight w:val="302"/>
        </w:trPr>
        <w:tc>
          <w:tcPr>
            <w:tcW w:w="2403" w:type="dxa"/>
            <w:tcBorders>
              <w:top w:val="single" w:sz="12" w:space="0" w:color="008000"/>
              <w:bottom w:val="single" w:sz="6" w:space="0" w:color="008000"/>
            </w:tcBorders>
            <w:shd w:val="clear" w:color="auto" w:fill="FFFFFF"/>
          </w:tcPr>
          <w:p w14:paraId="0DB9D55F" w14:textId="77777777" w:rsidR="000A526B" w:rsidRPr="00B57B36" w:rsidRDefault="000A526B" w:rsidP="00FF0976">
            <w:pPr>
              <w:pStyle w:val="CETBodytext"/>
              <w:jc w:val="left"/>
              <w:rPr>
                <w:lang w:val="en-GB"/>
              </w:rPr>
            </w:pPr>
            <w:r>
              <w:rPr>
                <w:lang w:val="en-GB"/>
              </w:rPr>
              <w:t xml:space="preserve">Sea sub-compartment </w:t>
            </w:r>
            <w:r w:rsidRPr="00B57B36">
              <w:rPr>
                <w:lang w:val="en-GB"/>
              </w:rPr>
              <w:t xml:space="preserve"> </w:t>
            </w:r>
          </w:p>
        </w:tc>
        <w:tc>
          <w:tcPr>
            <w:tcW w:w="3605" w:type="dxa"/>
            <w:tcBorders>
              <w:top w:val="single" w:sz="12" w:space="0" w:color="008000"/>
              <w:bottom w:val="single" w:sz="6" w:space="0" w:color="008000"/>
            </w:tcBorders>
            <w:shd w:val="clear" w:color="auto" w:fill="FFFFFF"/>
          </w:tcPr>
          <w:p w14:paraId="2D3B5586" w14:textId="77777777" w:rsidR="000A526B" w:rsidRPr="00B57B36" w:rsidRDefault="000A526B" w:rsidP="00FF0976">
            <w:pPr>
              <w:pStyle w:val="CETBodytext"/>
              <w:jc w:val="left"/>
              <w:rPr>
                <w:lang w:val="en-GB"/>
              </w:rPr>
            </w:pPr>
            <w:r>
              <w:rPr>
                <w:lang w:val="en-GB"/>
              </w:rPr>
              <w:t>Parameter</w:t>
            </w:r>
          </w:p>
        </w:tc>
        <w:tc>
          <w:tcPr>
            <w:tcW w:w="2840" w:type="dxa"/>
            <w:tcBorders>
              <w:top w:val="single" w:sz="12" w:space="0" w:color="008000"/>
              <w:bottom w:val="single" w:sz="6" w:space="0" w:color="008000"/>
            </w:tcBorders>
            <w:shd w:val="clear" w:color="auto" w:fill="FFFFFF"/>
          </w:tcPr>
          <w:p w14:paraId="584CB3C2" w14:textId="77777777" w:rsidR="000A526B" w:rsidRDefault="000A526B" w:rsidP="00FF0976">
            <w:pPr>
              <w:pStyle w:val="CETBodytext"/>
              <w:jc w:val="left"/>
              <w:rPr>
                <w:lang w:val="en-GB"/>
              </w:rPr>
            </w:pPr>
            <w:r>
              <w:rPr>
                <w:lang w:val="en-GB"/>
              </w:rPr>
              <w:t>Result (maximum value)</w:t>
            </w:r>
          </w:p>
        </w:tc>
      </w:tr>
      <w:tr w:rsidR="000A526B" w:rsidRPr="00B57B36" w14:paraId="4C9DC232" w14:textId="77777777" w:rsidTr="00FF0976">
        <w:trPr>
          <w:trHeight w:val="291"/>
        </w:trPr>
        <w:tc>
          <w:tcPr>
            <w:tcW w:w="2403" w:type="dxa"/>
            <w:shd w:val="clear" w:color="auto" w:fill="FFFFFF"/>
          </w:tcPr>
          <w:p w14:paraId="33AB6CC6" w14:textId="77777777" w:rsidR="000A526B" w:rsidRPr="00B57B36" w:rsidRDefault="000A526B" w:rsidP="00FF0976">
            <w:pPr>
              <w:pStyle w:val="CETBodytext"/>
              <w:jc w:val="left"/>
              <w:rPr>
                <w:lang w:val="en-GB"/>
              </w:rPr>
            </w:pPr>
            <w:r>
              <w:rPr>
                <w:lang w:val="en-GB"/>
              </w:rPr>
              <w:t>Sea surface</w:t>
            </w:r>
          </w:p>
        </w:tc>
        <w:tc>
          <w:tcPr>
            <w:tcW w:w="3605" w:type="dxa"/>
            <w:shd w:val="clear" w:color="auto" w:fill="FFFFFF"/>
          </w:tcPr>
          <w:p w14:paraId="5278AE23" w14:textId="77777777" w:rsidR="000A526B" w:rsidRPr="00B57B36" w:rsidRDefault="000A526B" w:rsidP="00FF0976">
            <w:pPr>
              <w:pStyle w:val="CETBodytext"/>
              <w:jc w:val="left"/>
              <w:rPr>
                <w:lang w:val="en-GB"/>
              </w:rPr>
            </w:pPr>
            <w:r>
              <w:rPr>
                <w:lang w:val="en-GB"/>
              </w:rPr>
              <w:t>Contaminated sea surface area</w:t>
            </w:r>
          </w:p>
        </w:tc>
        <w:tc>
          <w:tcPr>
            <w:tcW w:w="2840" w:type="dxa"/>
            <w:shd w:val="clear" w:color="auto" w:fill="FFFFFF"/>
          </w:tcPr>
          <w:p w14:paraId="7ABD561E" w14:textId="77777777" w:rsidR="000A526B" w:rsidRDefault="000A526B" w:rsidP="00FF0976">
            <w:pPr>
              <w:pStyle w:val="CETBodytext"/>
              <w:jc w:val="left"/>
              <w:rPr>
                <w:lang w:val="en-GB"/>
              </w:rPr>
            </w:pPr>
            <w:r w:rsidRPr="001D07D1">
              <w:t>1060 km</w:t>
            </w:r>
            <w:r w:rsidRPr="001D07D1">
              <w:rPr>
                <w:vertAlign w:val="superscript"/>
              </w:rPr>
              <w:t>2</w:t>
            </w:r>
          </w:p>
        </w:tc>
      </w:tr>
      <w:tr w:rsidR="000A526B" w:rsidRPr="00B57B36" w14:paraId="0A76AC39" w14:textId="77777777" w:rsidTr="00FF0976">
        <w:trPr>
          <w:trHeight w:val="291"/>
        </w:trPr>
        <w:tc>
          <w:tcPr>
            <w:tcW w:w="2403" w:type="dxa"/>
            <w:shd w:val="clear" w:color="auto" w:fill="FFFFFF"/>
          </w:tcPr>
          <w:p w14:paraId="5B2FD766" w14:textId="77777777" w:rsidR="000A526B" w:rsidRPr="00B57B36" w:rsidRDefault="000A526B" w:rsidP="00FF0976">
            <w:pPr>
              <w:pStyle w:val="CETBodytext"/>
              <w:ind w:right="-1"/>
              <w:jc w:val="left"/>
              <w:rPr>
                <w:rFonts w:cs="Arial"/>
                <w:szCs w:val="18"/>
                <w:lang w:val="en-GB"/>
              </w:rPr>
            </w:pPr>
            <w:r>
              <w:rPr>
                <w:rFonts w:cs="Arial"/>
                <w:szCs w:val="18"/>
                <w:lang w:val="en-GB"/>
              </w:rPr>
              <w:t>Water column</w:t>
            </w:r>
          </w:p>
        </w:tc>
        <w:tc>
          <w:tcPr>
            <w:tcW w:w="3605" w:type="dxa"/>
            <w:shd w:val="clear" w:color="auto" w:fill="FFFFFF"/>
          </w:tcPr>
          <w:p w14:paraId="556738B9" w14:textId="77777777" w:rsidR="000A526B" w:rsidRPr="00B57B36" w:rsidRDefault="000A526B" w:rsidP="00FF0976">
            <w:pPr>
              <w:pStyle w:val="CETBodytext"/>
              <w:ind w:right="-1"/>
              <w:jc w:val="left"/>
              <w:rPr>
                <w:rFonts w:cs="Arial"/>
                <w:szCs w:val="18"/>
                <w:lang w:val="en-GB"/>
              </w:rPr>
            </w:pPr>
            <w:r>
              <w:rPr>
                <w:rFonts w:cs="Arial"/>
                <w:szCs w:val="18"/>
                <w:lang w:val="en-GB"/>
              </w:rPr>
              <w:t>Contaminated water column volume</w:t>
            </w:r>
          </w:p>
        </w:tc>
        <w:tc>
          <w:tcPr>
            <w:tcW w:w="2840" w:type="dxa"/>
            <w:shd w:val="clear" w:color="auto" w:fill="FFFFFF"/>
          </w:tcPr>
          <w:p w14:paraId="73F7F4C9" w14:textId="77777777" w:rsidR="000A526B" w:rsidRDefault="000A526B" w:rsidP="00FF0976">
            <w:pPr>
              <w:pStyle w:val="CETBodytext"/>
              <w:ind w:right="-1"/>
              <w:jc w:val="left"/>
              <w:rPr>
                <w:rFonts w:cs="Arial"/>
                <w:szCs w:val="18"/>
                <w:lang w:val="en-GB"/>
              </w:rPr>
            </w:pPr>
            <w:r w:rsidRPr="001D07D1">
              <w:t>9.54 km</w:t>
            </w:r>
            <w:r w:rsidRPr="001D07D1">
              <w:rPr>
                <w:vertAlign w:val="superscript"/>
              </w:rPr>
              <w:t>3</w:t>
            </w:r>
          </w:p>
        </w:tc>
      </w:tr>
      <w:tr w:rsidR="00C92994" w:rsidRPr="00B57B36" w14:paraId="61FEE465" w14:textId="77777777" w:rsidTr="00FF0976">
        <w:trPr>
          <w:trHeight w:val="291"/>
        </w:trPr>
        <w:tc>
          <w:tcPr>
            <w:tcW w:w="2403" w:type="dxa"/>
            <w:shd w:val="clear" w:color="auto" w:fill="FFFFFF"/>
          </w:tcPr>
          <w:p w14:paraId="4280A6B1" w14:textId="547D4CEE" w:rsidR="00C92994" w:rsidRDefault="00C92994" w:rsidP="00C92994">
            <w:pPr>
              <w:pStyle w:val="CETBodytext"/>
              <w:ind w:right="-1"/>
              <w:jc w:val="left"/>
              <w:rPr>
                <w:rFonts w:cs="Arial"/>
                <w:szCs w:val="18"/>
                <w:lang w:val="en-GB"/>
              </w:rPr>
            </w:pPr>
            <w:r>
              <w:rPr>
                <w:rFonts w:cs="Arial"/>
                <w:szCs w:val="18"/>
                <w:lang w:val="en-GB"/>
              </w:rPr>
              <w:t>Shoreline</w:t>
            </w:r>
          </w:p>
        </w:tc>
        <w:tc>
          <w:tcPr>
            <w:tcW w:w="3605" w:type="dxa"/>
            <w:shd w:val="clear" w:color="auto" w:fill="FFFFFF"/>
          </w:tcPr>
          <w:p w14:paraId="5C87BDB9" w14:textId="65FD2BFD" w:rsidR="00C92994" w:rsidRDefault="00C92994" w:rsidP="00C92994">
            <w:pPr>
              <w:pStyle w:val="CETBodytext"/>
              <w:ind w:right="-1"/>
              <w:jc w:val="left"/>
              <w:rPr>
                <w:rFonts w:cs="Arial"/>
                <w:szCs w:val="18"/>
                <w:lang w:val="en-GB"/>
              </w:rPr>
            </w:pPr>
            <w:r>
              <w:rPr>
                <w:rFonts w:cs="Arial"/>
                <w:szCs w:val="18"/>
                <w:lang w:val="en-GB"/>
              </w:rPr>
              <w:t>Contaminated shore length</w:t>
            </w:r>
          </w:p>
        </w:tc>
        <w:tc>
          <w:tcPr>
            <w:tcW w:w="2840" w:type="dxa"/>
            <w:shd w:val="clear" w:color="auto" w:fill="FFFFFF"/>
          </w:tcPr>
          <w:p w14:paraId="5E8651D9" w14:textId="3C8D6778" w:rsidR="00C92994" w:rsidRPr="001D07D1" w:rsidRDefault="00C92994" w:rsidP="00C92994">
            <w:pPr>
              <w:pStyle w:val="CETBodytext"/>
              <w:ind w:right="-1"/>
              <w:jc w:val="left"/>
            </w:pPr>
            <w:r w:rsidRPr="001D07D1">
              <w:t>360 km</w:t>
            </w:r>
          </w:p>
        </w:tc>
      </w:tr>
      <w:tr w:rsidR="000143CB" w:rsidRPr="00B57B36" w14:paraId="6ABEC66E" w14:textId="77777777" w:rsidTr="00FF0976">
        <w:trPr>
          <w:trHeight w:val="291"/>
        </w:trPr>
        <w:tc>
          <w:tcPr>
            <w:tcW w:w="2403" w:type="dxa"/>
            <w:shd w:val="clear" w:color="auto" w:fill="FFFFFF"/>
          </w:tcPr>
          <w:p w14:paraId="2BBA87B7" w14:textId="349F0D12" w:rsidR="000143CB" w:rsidRDefault="000143CB" w:rsidP="000143CB">
            <w:pPr>
              <w:pStyle w:val="CETBodytext"/>
              <w:ind w:right="-1"/>
              <w:jc w:val="left"/>
              <w:rPr>
                <w:rFonts w:cs="Arial"/>
                <w:szCs w:val="18"/>
                <w:lang w:val="en-GB"/>
              </w:rPr>
            </w:pPr>
            <w:r>
              <w:rPr>
                <w:rFonts w:cs="Arial"/>
                <w:szCs w:val="18"/>
                <w:lang w:val="en-GB"/>
              </w:rPr>
              <w:t>Sea bed</w:t>
            </w:r>
          </w:p>
        </w:tc>
        <w:tc>
          <w:tcPr>
            <w:tcW w:w="3605" w:type="dxa"/>
            <w:shd w:val="clear" w:color="auto" w:fill="FFFFFF"/>
          </w:tcPr>
          <w:p w14:paraId="2DF53CA4" w14:textId="54C53ABD" w:rsidR="000143CB" w:rsidRDefault="000143CB" w:rsidP="000143CB">
            <w:pPr>
              <w:pStyle w:val="CETBodytext"/>
              <w:ind w:right="-1"/>
              <w:jc w:val="left"/>
              <w:rPr>
                <w:rFonts w:cs="Arial"/>
                <w:szCs w:val="18"/>
                <w:lang w:val="en-GB"/>
              </w:rPr>
            </w:pPr>
            <w:r>
              <w:rPr>
                <w:rFonts w:cs="Arial"/>
                <w:szCs w:val="18"/>
                <w:lang w:val="en-GB"/>
              </w:rPr>
              <w:t>Contaminated sea floor area</w:t>
            </w:r>
          </w:p>
        </w:tc>
        <w:tc>
          <w:tcPr>
            <w:tcW w:w="2840" w:type="dxa"/>
            <w:shd w:val="clear" w:color="auto" w:fill="FFFFFF"/>
          </w:tcPr>
          <w:p w14:paraId="34242C28" w14:textId="2D6B3E47" w:rsidR="000143CB" w:rsidRPr="001D07D1" w:rsidRDefault="000143CB" w:rsidP="000143CB">
            <w:pPr>
              <w:pStyle w:val="CETBodytext"/>
              <w:ind w:right="-1"/>
              <w:jc w:val="left"/>
            </w:pPr>
            <w:r w:rsidRPr="001D07D1">
              <w:t>56 km</w:t>
            </w:r>
            <w:r w:rsidRPr="001D07D1">
              <w:rPr>
                <w:vertAlign w:val="superscript"/>
              </w:rPr>
              <w:t>2</w:t>
            </w:r>
          </w:p>
        </w:tc>
      </w:tr>
    </w:tbl>
    <w:p w14:paraId="4E8DD7D9" w14:textId="4B9B9F12" w:rsidR="0082477B" w:rsidRPr="00D35995" w:rsidRDefault="00600535" w:rsidP="00D35995">
      <w:pPr>
        <w:pStyle w:val="CETHeading1"/>
        <w:tabs>
          <w:tab w:val="num" w:pos="360"/>
        </w:tabs>
      </w:pPr>
      <w:r w:rsidRPr="00D35995">
        <w:t>Conclusions</w:t>
      </w:r>
    </w:p>
    <w:p w14:paraId="6C26C578" w14:textId="4397116D" w:rsidR="00265B75" w:rsidRPr="009133FB" w:rsidRDefault="008C79D2" w:rsidP="001A24C8">
      <w:pPr>
        <w:pStyle w:val="CETBodytext"/>
      </w:pPr>
      <w:r w:rsidRPr="00AF7544">
        <w:t xml:space="preserve">The methodology proposed provides an approach </w:t>
      </w:r>
      <w:r w:rsidR="008B0C7A" w:rsidRPr="00AF7544">
        <w:t xml:space="preserve">that can be </w:t>
      </w:r>
      <w:r w:rsidR="005C7016" w:rsidRPr="00AF7544">
        <w:t xml:space="preserve">applied in the context of Natech QRA </w:t>
      </w:r>
      <w:r w:rsidRPr="00AF7544">
        <w:t xml:space="preserve">for the quantification of the </w:t>
      </w:r>
      <w:r w:rsidR="00F67876" w:rsidRPr="00AF7544">
        <w:t>consequences</w:t>
      </w:r>
      <w:r w:rsidRPr="00AF7544">
        <w:t xml:space="preserve"> of LNAPL releases in the marine environment</w:t>
      </w:r>
      <w:r w:rsidR="005C7016" w:rsidRPr="00AF7544">
        <w:t xml:space="preserve"> acknowledging its sub-compartments: sea surface, water column, shoreline and sea </w:t>
      </w:r>
      <w:r w:rsidR="00C334CA" w:rsidRPr="00AF7544">
        <w:t>floor</w:t>
      </w:r>
      <w:r w:rsidR="005C7016" w:rsidRPr="00AF7544">
        <w:t xml:space="preserve">. </w:t>
      </w:r>
      <w:r w:rsidR="00F67876" w:rsidRPr="00AF7544">
        <w:t xml:space="preserve">The methodology consists </w:t>
      </w:r>
      <w:r w:rsidR="004148A8" w:rsidRPr="00AF7544">
        <w:t>of quantifying</w:t>
      </w:r>
      <w:r w:rsidR="0039727C" w:rsidRPr="00AF7544">
        <w:t xml:space="preserve"> a representative parameter per each marine sub-compartment</w:t>
      </w:r>
      <w:r w:rsidR="00D612CD" w:rsidRPr="00AF7544">
        <w:t xml:space="preserve"> </w:t>
      </w:r>
      <w:r w:rsidR="00266D6B" w:rsidRPr="00AF7544">
        <w:t>by employing an adequate software tool</w:t>
      </w:r>
      <w:r w:rsidR="00A6231F" w:rsidRPr="00AF7544">
        <w:t xml:space="preserve">. The </w:t>
      </w:r>
      <w:r w:rsidR="00A6231F" w:rsidRPr="009133FB">
        <w:t xml:space="preserve">parameters proposed are </w:t>
      </w:r>
      <w:r w:rsidR="008A3E92" w:rsidRPr="009133FB">
        <w:t>the area of the oil slick on the sea surface</w:t>
      </w:r>
      <w:r w:rsidR="001A24C8" w:rsidRPr="009133FB">
        <w:t xml:space="preserve">, the contaminated volume of the water column, the contaminated shoreline and </w:t>
      </w:r>
      <w:r w:rsidR="00A07F8A" w:rsidRPr="009133FB">
        <w:t xml:space="preserve">the contaminated sea </w:t>
      </w:r>
      <w:r w:rsidR="00C334CA" w:rsidRPr="009133FB">
        <w:t>floor</w:t>
      </w:r>
      <w:r w:rsidR="00A07F8A" w:rsidRPr="009133FB">
        <w:t xml:space="preserve"> area.</w:t>
      </w:r>
      <w:r w:rsidR="000E2858" w:rsidRPr="009133FB">
        <w:t xml:space="preserve"> </w:t>
      </w:r>
      <w:r w:rsidR="00B14322" w:rsidRPr="009133FB">
        <w:t xml:space="preserve">Considering the context of </w:t>
      </w:r>
      <w:r w:rsidR="008B6397" w:rsidRPr="009133FB">
        <w:t xml:space="preserve">the </w:t>
      </w:r>
      <w:r w:rsidR="00B14322" w:rsidRPr="009133FB">
        <w:t>application of the methodology,</w:t>
      </w:r>
      <w:r w:rsidR="002B3C92" w:rsidRPr="009133FB">
        <w:t xml:space="preserve"> it should be</w:t>
      </w:r>
      <w:r w:rsidR="0034547A" w:rsidRPr="009133FB">
        <w:t xml:space="preserve"> also</w:t>
      </w:r>
      <w:r w:rsidR="002B3C92" w:rsidRPr="009133FB">
        <w:t xml:space="preserve"> evaluated</w:t>
      </w:r>
      <w:r w:rsidR="0029429E" w:rsidRPr="009133FB">
        <w:t xml:space="preserve"> </w:t>
      </w:r>
      <w:r w:rsidR="007F3ADE" w:rsidRPr="009133FB">
        <w:t>w</w:t>
      </w:r>
      <w:r w:rsidR="008E1D4F" w:rsidRPr="009133FB">
        <w:t>he</w:t>
      </w:r>
      <w:r w:rsidR="007F3ADE" w:rsidRPr="009133FB">
        <w:t>ther a specific level of contamination causes harm to the environment</w:t>
      </w:r>
      <w:r w:rsidR="0029429E" w:rsidRPr="009133FB">
        <w:t xml:space="preserve"> or not</w:t>
      </w:r>
      <w:r w:rsidR="00685A1F" w:rsidRPr="009133FB">
        <w:t xml:space="preserve">. </w:t>
      </w:r>
      <w:r w:rsidR="0029429E" w:rsidRPr="009133FB">
        <w:t>To this aim</w:t>
      </w:r>
      <w:r w:rsidR="00685A1F" w:rsidRPr="009133FB">
        <w:t>,</w:t>
      </w:r>
      <w:r w:rsidR="007F3ADE" w:rsidRPr="009133FB">
        <w:t xml:space="preserve"> </w:t>
      </w:r>
      <w:r w:rsidR="00F93458" w:rsidRPr="009133FB">
        <w:t>threshold</w:t>
      </w:r>
      <w:r w:rsidR="0029429E" w:rsidRPr="009133FB">
        <w:t xml:space="preserve"> values</w:t>
      </w:r>
      <w:r w:rsidR="003459B1" w:rsidRPr="009133FB">
        <w:t xml:space="preserve"> </w:t>
      </w:r>
      <w:r w:rsidR="00601207" w:rsidRPr="009133FB">
        <w:t>could</w:t>
      </w:r>
      <w:r w:rsidR="00F93458" w:rsidRPr="009133FB">
        <w:t xml:space="preserve"> be applied in the </w:t>
      </w:r>
      <w:r w:rsidR="00D85E93" w:rsidRPr="009133FB">
        <w:t xml:space="preserve">evaluation of consequences, </w:t>
      </w:r>
      <w:r w:rsidR="00EC638A" w:rsidRPr="009133FB">
        <w:t xml:space="preserve">including in the analysis only </w:t>
      </w:r>
      <w:r w:rsidR="00F06E78" w:rsidRPr="009133FB">
        <w:t xml:space="preserve">contamination above </w:t>
      </w:r>
      <w:r w:rsidR="00EC638A" w:rsidRPr="009133FB">
        <w:t xml:space="preserve">the </w:t>
      </w:r>
      <w:r w:rsidR="00F06E78" w:rsidRPr="009133FB">
        <w:t xml:space="preserve">threshold </w:t>
      </w:r>
      <w:r w:rsidR="00EC638A" w:rsidRPr="009133FB">
        <w:t xml:space="preserve">value. </w:t>
      </w:r>
    </w:p>
    <w:p w14:paraId="76E8CA86" w14:textId="49AA8FA0" w:rsidR="007F3ADE" w:rsidRPr="00D57EAD" w:rsidRDefault="0040492C" w:rsidP="00AF7544">
      <w:pPr>
        <w:pStyle w:val="CETBodytext"/>
      </w:pPr>
      <w:r w:rsidRPr="009133FB">
        <w:t xml:space="preserve">The novel approach </w:t>
      </w:r>
      <w:r w:rsidR="001B1126" w:rsidRPr="009133FB">
        <w:t xml:space="preserve">was </w:t>
      </w:r>
      <w:r w:rsidRPr="009133FB">
        <w:t xml:space="preserve">applied to a </w:t>
      </w:r>
      <w:r w:rsidR="00011050" w:rsidRPr="009133FB">
        <w:t xml:space="preserve">case study </w:t>
      </w:r>
      <w:r w:rsidRPr="009133FB">
        <w:t xml:space="preserve">inspired </w:t>
      </w:r>
      <w:r w:rsidR="00774418" w:rsidRPr="009133FB">
        <w:t>by</w:t>
      </w:r>
      <w:r w:rsidRPr="009133FB">
        <w:t xml:space="preserve"> a real installation to demonstrate </w:t>
      </w:r>
      <w:r w:rsidR="00774418" w:rsidRPr="009133FB">
        <w:t>its</w:t>
      </w:r>
      <w:r w:rsidRPr="009133FB">
        <w:t xml:space="preserve"> applicability.</w:t>
      </w:r>
      <w:r w:rsidR="0034547A" w:rsidRPr="009133FB">
        <w:t xml:space="preserve"> </w:t>
      </w:r>
      <w:r w:rsidR="00C57F4B" w:rsidRPr="009133FB">
        <w:t xml:space="preserve">The results </w:t>
      </w:r>
      <w:r w:rsidR="00487EA5" w:rsidRPr="009133FB">
        <w:t xml:space="preserve">provide </w:t>
      </w:r>
      <w:r w:rsidR="00C22FDD" w:rsidRPr="009133FB">
        <w:t xml:space="preserve">a clear quantification of the </w:t>
      </w:r>
      <w:r w:rsidR="00DA48CF" w:rsidRPr="009133FB">
        <w:t xml:space="preserve">effects caused by the release in each of the four marine sub-compartments, setting the basis for the </w:t>
      </w:r>
      <w:r w:rsidR="00C97630" w:rsidRPr="009133FB">
        <w:t xml:space="preserve">estimation of the risk targeting the environment in the Natech QRA. </w:t>
      </w:r>
      <w:r w:rsidR="00DD267E" w:rsidRPr="009133FB">
        <w:t xml:space="preserve">In the risk analysis, the </w:t>
      </w:r>
      <w:r w:rsidR="007E25B4" w:rsidRPr="009133FB">
        <w:t xml:space="preserve">quantified consequences </w:t>
      </w:r>
      <w:r w:rsidR="00FD4A82" w:rsidRPr="009133FB">
        <w:t xml:space="preserve">should </w:t>
      </w:r>
      <w:r w:rsidR="007E25B4" w:rsidRPr="009133FB">
        <w:t xml:space="preserve">be integrated </w:t>
      </w:r>
      <w:r w:rsidR="00BA2BCB" w:rsidRPr="009133FB">
        <w:t xml:space="preserve">with the expected frequencies of the scenario to </w:t>
      </w:r>
      <w:r w:rsidR="00764A63" w:rsidRPr="009133FB">
        <w:t>assess</w:t>
      </w:r>
      <w:r w:rsidR="00BA2BCB" w:rsidRPr="009133FB">
        <w:t xml:space="preserve"> the risk.</w:t>
      </w:r>
      <w:r w:rsidR="00764A63" w:rsidRPr="009133FB">
        <w:t xml:space="preserve"> </w:t>
      </w:r>
      <w:r w:rsidR="00B7680A" w:rsidRPr="009133FB">
        <w:t>Furthermore, t</w:t>
      </w:r>
      <w:r w:rsidR="0006273D" w:rsidRPr="009133FB">
        <w:t>he</w:t>
      </w:r>
      <w:r w:rsidR="0006273D" w:rsidRPr="00AF7544">
        <w:t xml:space="preserve"> </w:t>
      </w:r>
      <w:r w:rsidR="00292256" w:rsidRPr="00AF7544">
        <w:t xml:space="preserve">results </w:t>
      </w:r>
      <w:r w:rsidR="0006273D" w:rsidRPr="00AF7544">
        <w:t xml:space="preserve">obtained for the target environment, and in this specific case for the sea, </w:t>
      </w:r>
      <w:r w:rsidR="00292256" w:rsidRPr="00AF7544">
        <w:t>ca</w:t>
      </w:r>
      <w:r w:rsidR="004750B5" w:rsidRPr="00AF7544">
        <w:t>n</w:t>
      </w:r>
      <w:r w:rsidR="00292256" w:rsidRPr="00AF7544">
        <w:t xml:space="preserve"> be </w:t>
      </w:r>
      <w:r w:rsidR="004750B5" w:rsidRPr="00AF7544">
        <w:t xml:space="preserve">integrated </w:t>
      </w:r>
      <w:r w:rsidR="00667D60" w:rsidRPr="00AF7544">
        <w:t xml:space="preserve">with those calculated for </w:t>
      </w:r>
      <w:r w:rsidR="0006273D" w:rsidRPr="00AF7544">
        <w:t>the human target</w:t>
      </w:r>
      <w:r w:rsidR="004038E5" w:rsidRPr="00AF7544">
        <w:t xml:space="preserve"> to draw a</w:t>
      </w:r>
      <w:r w:rsidR="00D57EAD" w:rsidRPr="00AF7544">
        <w:t xml:space="preserve"> complete risk profile.</w:t>
      </w:r>
      <w:r w:rsidR="00667D60" w:rsidRPr="00AF7544">
        <w:t xml:space="preserve"> </w:t>
      </w:r>
      <w:r w:rsidR="006E028C" w:rsidRPr="00AF7544">
        <w:lastRenderedPageBreak/>
        <w:t>Clearly enough</w:t>
      </w:r>
      <w:r w:rsidR="00667D60" w:rsidRPr="00AF7544">
        <w:t>,</w:t>
      </w:r>
      <w:r w:rsidR="005D0213" w:rsidRPr="00AF7544">
        <w:t xml:space="preserve"> </w:t>
      </w:r>
      <w:r w:rsidR="00667D60" w:rsidRPr="00AF7544">
        <w:t xml:space="preserve">the methodology proposed in the present study </w:t>
      </w:r>
      <w:r w:rsidR="005C4DE1" w:rsidRPr="00AF7544">
        <w:t xml:space="preserve">creates the ground for defining specific methods to assess the consequences in other environmental compartments and </w:t>
      </w:r>
      <w:r w:rsidR="00667D60" w:rsidRPr="00AF7544">
        <w:t>represent</w:t>
      </w:r>
      <w:r w:rsidR="00774418" w:rsidRPr="00AF7544">
        <w:t>s</w:t>
      </w:r>
      <w:r w:rsidR="00667D60" w:rsidRPr="00AF7544">
        <w:t xml:space="preserve"> a step forward in the </w:t>
      </w:r>
      <w:r w:rsidR="00BC23AF" w:rsidRPr="00AF7544">
        <w:t>definition of a comprehensive approach to perform Natech QRA able to include all possible targets.</w:t>
      </w:r>
      <w:r w:rsidR="00D57EAD">
        <w:t xml:space="preserve"> </w:t>
      </w:r>
    </w:p>
    <w:p w14:paraId="4F1327F8" w14:textId="77777777" w:rsidR="00600535" w:rsidRDefault="00600535" w:rsidP="00600535">
      <w:pPr>
        <w:pStyle w:val="CETReference"/>
      </w:pPr>
      <w:r w:rsidRPr="00B57B36">
        <w:t>References</w:t>
      </w:r>
    </w:p>
    <w:p w14:paraId="4A687031" w14:textId="5A676BB9" w:rsidR="004A1132" w:rsidRPr="00AF7544" w:rsidRDefault="004A1132" w:rsidP="00A24051">
      <w:pPr>
        <w:pStyle w:val="CETReferencetext"/>
        <w:rPr>
          <w:rFonts w:eastAsiaTheme="minorHAnsi"/>
        </w:rPr>
      </w:pPr>
      <w:r w:rsidRPr="00392CA7">
        <w:t>Andersen H., Casal J., Debray B., De Dianous V., Duijm N. J.</w:t>
      </w:r>
      <w:r w:rsidR="001B4C41" w:rsidRPr="00392CA7">
        <w:t xml:space="preserve">, </w:t>
      </w:r>
      <w:r w:rsidRPr="00392CA7">
        <w:t>2004</w:t>
      </w:r>
      <w:r w:rsidR="001B4C41" w:rsidRPr="00392CA7">
        <w:t xml:space="preserve">, </w:t>
      </w:r>
      <w:r w:rsidRPr="00392CA7">
        <w:t>ARAMIS: Accidental Risk Assessment Methodology for Industries in the Context of the SEVESO II Directive</w:t>
      </w:r>
      <w:r w:rsidR="008E4563" w:rsidRPr="00392CA7">
        <w:t>,</w:t>
      </w:r>
      <w:r w:rsidRPr="00392CA7">
        <w:t xml:space="preserve"> User Guide</w:t>
      </w:r>
      <w:r w:rsidR="008E4563" w:rsidRPr="00392CA7">
        <w:t>, Faculté Polytechnique de Mons, Major Risk Research Centre: Mons, Belgium.</w:t>
      </w:r>
    </w:p>
    <w:p w14:paraId="65FF8AAA" w14:textId="4899ABA1" w:rsidR="00883FC8" w:rsidRPr="00AF7544" w:rsidRDefault="00CB1E58" w:rsidP="00A24051">
      <w:pPr>
        <w:pStyle w:val="CETReferencetext"/>
        <w:rPr>
          <w:rFonts w:eastAsiaTheme="minorHAnsi"/>
        </w:rPr>
      </w:pPr>
      <w:r w:rsidRPr="00AF7544">
        <w:rPr>
          <w:rFonts w:eastAsiaTheme="minorHAnsi"/>
        </w:rPr>
        <w:t>API, 1999</w:t>
      </w:r>
      <w:r w:rsidR="00C413B0" w:rsidRPr="00AF7544">
        <w:rPr>
          <w:rFonts w:eastAsiaTheme="minorHAnsi"/>
        </w:rPr>
        <w:t xml:space="preserve">, </w:t>
      </w:r>
      <w:r w:rsidRPr="00AF7544">
        <w:rPr>
          <w:rFonts w:eastAsiaTheme="minorHAnsi"/>
        </w:rPr>
        <w:t>Fate of Spilled Oil in Marine Waters: Where Does It Go, What Does It</w:t>
      </w:r>
      <w:r w:rsidR="00CA58AA" w:rsidRPr="00AF7544">
        <w:rPr>
          <w:rFonts w:eastAsiaTheme="minorHAnsi"/>
        </w:rPr>
        <w:t xml:space="preserve"> </w:t>
      </w:r>
      <w:r w:rsidRPr="00AF7544">
        <w:rPr>
          <w:rFonts w:eastAsiaTheme="minorHAnsi"/>
        </w:rPr>
        <w:t>Do, How Do Dispersants Affect It? American Petroleum Institute</w:t>
      </w:r>
      <w:r w:rsidR="00A51538" w:rsidRPr="00AF7544">
        <w:rPr>
          <w:rFonts w:eastAsiaTheme="minorHAnsi"/>
        </w:rPr>
        <w:t>,</w:t>
      </w:r>
      <w:r w:rsidRPr="00AF7544">
        <w:rPr>
          <w:rFonts w:eastAsiaTheme="minorHAnsi"/>
        </w:rPr>
        <w:t xml:space="preserve"> Publication n.4961, Washington.</w:t>
      </w:r>
    </w:p>
    <w:p w14:paraId="54371687" w14:textId="77777777" w:rsidR="000B545F" w:rsidRDefault="00883FC8" w:rsidP="000B545F">
      <w:pPr>
        <w:pStyle w:val="CETReferencetext"/>
        <w:rPr>
          <w:rFonts w:eastAsiaTheme="minorHAnsi"/>
        </w:rPr>
      </w:pPr>
      <w:r w:rsidRPr="00AF7544">
        <w:rPr>
          <w:rFonts w:eastAsiaTheme="minorHAnsi"/>
        </w:rPr>
        <w:t>CMEMS, 202</w:t>
      </w:r>
      <w:r w:rsidR="00FC41EC" w:rsidRPr="00AF7544">
        <w:rPr>
          <w:rFonts w:eastAsiaTheme="minorHAnsi"/>
        </w:rPr>
        <w:t>3</w:t>
      </w:r>
      <w:r w:rsidR="00ED323E" w:rsidRPr="00AF7544">
        <w:rPr>
          <w:rFonts w:eastAsiaTheme="minorHAnsi"/>
        </w:rPr>
        <w:t>,</w:t>
      </w:r>
      <w:r w:rsidR="00FA2E12" w:rsidRPr="00AF7544">
        <w:rPr>
          <w:rFonts w:eastAsiaTheme="minorHAnsi"/>
        </w:rPr>
        <w:t xml:space="preserve"> </w:t>
      </w:r>
      <w:r w:rsidR="00ED323E" w:rsidRPr="00AF7544">
        <w:rPr>
          <w:rFonts w:eastAsiaTheme="minorHAnsi"/>
        </w:rPr>
        <w:t>Copernicus Marine Environment Monitoring Service database, &lt;</w:t>
      </w:r>
      <w:r w:rsidRPr="00AF7544">
        <w:rPr>
          <w:rFonts w:eastAsiaTheme="minorHAnsi"/>
        </w:rPr>
        <w:t>marine.copernicus.eu/</w:t>
      </w:r>
      <w:r w:rsidR="00ED323E" w:rsidRPr="00AF7544">
        <w:rPr>
          <w:rFonts w:eastAsiaTheme="minorHAnsi"/>
        </w:rPr>
        <w:t>&gt;</w:t>
      </w:r>
      <w:r w:rsidRPr="00AF7544">
        <w:rPr>
          <w:rFonts w:eastAsiaTheme="minorHAnsi"/>
        </w:rPr>
        <w:t xml:space="preserve">, </w:t>
      </w:r>
      <w:r w:rsidR="004C370D" w:rsidRPr="00AF7544">
        <w:rPr>
          <w:rFonts w:eastAsiaTheme="minorHAnsi"/>
        </w:rPr>
        <w:t xml:space="preserve">accessed </w:t>
      </w:r>
      <w:r w:rsidR="00ED323E" w:rsidRPr="00AF7544">
        <w:rPr>
          <w:rFonts w:eastAsiaTheme="minorHAnsi"/>
        </w:rPr>
        <w:t>15.12.2023</w:t>
      </w:r>
      <w:r w:rsidR="00487EA5" w:rsidRPr="00AF7544">
        <w:rPr>
          <w:rFonts w:eastAsiaTheme="minorHAnsi"/>
        </w:rPr>
        <w:t>.</w:t>
      </w:r>
    </w:p>
    <w:p w14:paraId="23D5EEAA" w14:textId="0C1F682F" w:rsidR="000B545F" w:rsidRPr="009133FB" w:rsidRDefault="000B545F" w:rsidP="00FC5057">
      <w:pPr>
        <w:pStyle w:val="CETReferencetext"/>
        <w:rPr>
          <w:rFonts w:eastAsiaTheme="minorHAnsi"/>
        </w:rPr>
      </w:pPr>
      <w:r w:rsidRPr="009133FB">
        <w:rPr>
          <w:rFonts w:eastAsiaTheme="minorHAnsi"/>
        </w:rPr>
        <w:t>eNatech, 2021, eNatech: Natural hazard-triggered technological accidents database, Eur. Comm. Jt. Res.Cent., &lt;enatech.jrc.ec.europa.eu&gt;</w:t>
      </w:r>
      <w:r w:rsidR="004D2DE6">
        <w:rPr>
          <w:rFonts w:eastAsiaTheme="minorHAnsi"/>
        </w:rPr>
        <w:t>,</w:t>
      </w:r>
      <w:r w:rsidRPr="009133FB">
        <w:rPr>
          <w:rFonts w:eastAsiaTheme="minorHAnsi"/>
        </w:rPr>
        <w:t xml:space="preserve"> accessed 12.</w:t>
      </w:r>
      <w:r w:rsidR="00C40EFD" w:rsidRPr="009133FB">
        <w:rPr>
          <w:rFonts w:eastAsiaTheme="minorHAnsi"/>
        </w:rPr>
        <w:t>2</w:t>
      </w:r>
      <w:r w:rsidRPr="009133FB">
        <w:rPr>
          <w:rFonts w:eastAsiaTheme="minorHAnsi"/>
        </w:rPr>
        <w:t>.2</w:t>
      </w:r>
      <w:r w:rsidR="00C40EFD" w:rsidRPr="009133FB">
        <w:rPr>
          <w:rFonts w:eastAsiaTheme="minorHAnsi"/>
        </w:rPr>
        <w:t>4</w:t>
      </w:r>
    </w:p>
    <w:p w14:paraId="7FFFFB9B" w14:textId="57FD58F2" w:rsidR="002B3F96" w:rsidRPr="008A5CA3" w:rsidRDefault="002B3F96" w:rsidP="002B3F96">
      <w:pPr>
        <w:pStyle w:val="CETReferencetext"/>
        <w:rPr>
          <w:rFonts w:eastAsiaTheme="minorHAnsi"/>
          <w:lang w:val="en-US"/>
        </w:rPr>
      </w:pPr>
      <w:r w:rsidRPr="000D0F70">
        <w:rPr>
          <w:rFonts w:eastAsiaTheme="minorHAnsi"/>
          <w:lang w:val="en-US"/>
        </w:rPr>
        <w:t xml:space="preserve">Girgin S., 2011, The natech events during the 17 August 1999 Kocaeli earthquake: aftermath and lessons learned, Nat. </w:t>
      </w:r>
      <w:r w:rsidRPr="008A5CA3">
        <w:rPr>
          <w:rFonts w:eastAsiaTheme="minorHAnsi"/>
          <w:lang w:val="en-US"/>
        </w:rPr>
        <w:t>Hazards Earth Syst. Sci., 11, 1129–1140.</w:t>
      </w:r>
    </w:p>
    <w:p w14:paraId="7CAD0031" w14:textId="1B4E51F2" w:rsidR="003A4841" w:rsidRPr="00AF7544" w:rsidRDefault="003A4841" w:rsidP="00A24051">
      <w:pPr>
        <w:pStyle w:val="CETReferencetext"/>
        <w:rPr>
          <w:rFonts w:eastAsiaTheme="minorHAnsi"/>
        </w:rPr>
      </w:pPr>
      <w:r w:rsidRPr="00AF7544">
        <w:rPr>
          <w:rFonts w:eastAsiaTheme="minorHAnsi"/>
        </w:rPr>
        <w:t>ITOPF</w:t>
      </w:r>
      <w:r w:rsidR="003713F7" w:rsidRPr="00AF7544">
        <w:rPr>
          <w:rFonts w:eastAsiaTheme="minorHAnsi"/>
        </w:rPr>
        <w:t>a</w:t>
      </w:r>
      <w:r w:rsidRPr="00AF7544">
        <w:rPr>
          <w:rFonts w:eastAsiaTheme="minorHAnsi"/>
        </w:rPr>
        <w:t>, 2012</w:t>
      </w:r>
      <w:r w:rsidR="003713F7" w:rsidRPr="00AF7544">
        <w:rPr>
          <w:rFonts w:eastAsiaTheme="minorHAnsi"/>
        </w:rPr>
        <w:t xml:space="preserve">, </w:t>
      </w:r>
      <w:r w:rsidRPr="00AF7544">
        <w:rPr>
          <w:rFonts w:eastAsiaTheme="minorHAnsi"/>
        </w:rPr>
        <w:t>Response to Marine Chemical Incidents</w:t>
      </w:r>
      <w:r w:rsidR="00D43C85" w:rsidRPr="00AF7544">
        <w:rPr>
          <w:rFonts w:eastAsiaTheme="minorHAnsi"/>
        </w:rPr>
        <w:t>,</w:t>
      </w:r>
      <w:r w:rsidRPr="00AF7544">
        <w:rPr>
          <w:rFonts w:eastAsiaTheme="minorHAnsi"/>
        </w:rPr>
        <w:t xml:space="preserve"> The International</w:t>
      </w:r>
      <w:r w:rsidR="00D43C85" w:rsidRPr="00AF7544">
        <w:rPr>
          <w:rFonts w:eastAsiaTheme="minorHAnsi"/>
        </w:rPr>
        <w:t xml:space="preserve"> </w:t>
      </w:r>
      <w:r w:rsidRPr="00AF7544">
        <w:rPr>
          <w:rFonts w:eastAsiaTheme="minorHAnsi"/>
        </w:rPr>
        <w:t>Tanker Owners Pollution Federation Limited, London, UK, Technical Information Paper n. 17.</w:t>
      </w:r>
    </w:p>
    <w:p w14:paraId="092D72EE" w14:textId="75545A36" w:rsidR="00980C1D" w:rsidRPr="00AF7544" w:rsidRDefault="003A4841" w:rsidP="00A24051">
      <w:pPr>
        <w:pStyle w:val="CETReferencetext"/>
        <w:rPr>
          <w:rFonts w:eastAsiaTheme="minorHAnsi"/>
        </w:rPr>
      </w:pPr>
      <w:r w:rsidRPr="00AF7544">
        <w:rPr>
          <w:rFonts w:eastAsiaTheme="minorHAnsi"/>
        </w:rPr>
        <w:t>ITOPF</w:t>
      </w:r>
      <w:r w:rsidR="003713F7" w:rsidRPr="00AF7544">
        <w:rPr>
          <w:rFonts w:eastAsiaTheme="minorHAnsi"/>
        </w:rPr>
        <w:t>b</w:t>
      </w:r>
      <w:r w:rsidRPr="00AF7544">
        <w:rPr>
          <w:rFonts w:eastAsiaTheme="minorHAnsi"/>
        </w:rPr>
        <w:t>, 2012</w:t>
      </w:r>
      <w:r w:rsidR="00F66C9C" w:rsidRPr="00AF7544">
        <w:rPr>
          <w:rFonts w:eastAsiaTheme="minorHAnsi"/>
        </w:rPr>
        <w:t>,</w:t>
      </w:r>
      <w:r w:rsidRPr="00AF7544">
        <w:rPr>
          <w:rFonts w:eastAsiaTheme="minorHAnsi"/>
        </w:rPr>
        <w:t xml:space="preserve"> Fate of Oil Marine Oil Spills</w:t>
      </w:r>
      <w:r w:rsidR="00D43C85" w:rsidRPr="00AF7544">
        <w:rPr>
          <w:rFonts w:eastAsiaTheme="minorHAnsi"/>
        </w:rPr>
        <w:t>,</w:t>
      </w:r>
      <w:r w:rsidR="001D0B78" w:rsidRPr="00AF7544">
        <w:rPr>
          <w:rFonts w:eastAsiaTheme="minorHAnsi"/>
        </w:rPr>
        <w:t xml:space="preserve"> </w:t>
      </w:r>
      <w:r w:rsidRPr="00AF7544">
        <w:rPr>
          <w:rFonts w:eastAsiaTheme="minorHAnsi"/>
        </w:rPr>
        <w:t>The International Tanker Owners</w:t>
      </w:r>
      <w:r w:rsidR="00D43C85" w:rsidRPr="00AF7544">
        <w:rPr>
          <w:rFonts w:eastAsiaTheme="minorHAnsi"/>
        </w:rPr>
        <w:t xml:space="preserve"> </w:t>
      </w:r>
      <w:r w:rsidRPr="00AF7544">
        <w:rPr>
          <w:rFonts w:eastAsiaTheme="minorHAnsi"/>
        </w:rPr>
        <w:t>Pollution Federation Limited, London, UK, Technical Information Paper n. 2.</w:t>
      </w:r>
    </w:p>
    <w:p w14:paraId="5C7FAEE6" w14:textId="45985E4D" w:rsidR="00CA58AA" w:rsidRPr="00AF7544" w:rsidRDefault="00CA58AA" w:rsidP="00A24051">
      <w:pPr>
        <w:pStyle w:val="CETReferencetext"/>
        <w:rPr>
          <w:rFonts w:eastAsiaTheme="minorHAnsi"/>
        </w:rPr>
      </w:pPr>
      <w:r w:rsidRPr="00AF7544">
        <w:rPr>
          <w:rFonts w:eastAsiaTheme="minorHAnsi"/>
        </w:rPr>
        <w:t xml:space="preserve">IPPC, </w:t>
      </w:r>
      <w:r w:rsidR="0037611F" w:rsidRPr="00AF7544">
        <w:rPr>
          <w:rFonts w:eastAsiaTheme="minorHAnsi"/>
        </w:rPr>
        <w:t>2018, Global warming of 1.5◦C. An IPCC special report on the impacts of global warming of 1.5◦C above pre-industrial levels and related global greenhouse gas emission pathways, The Context of Strengthening the Global Response to the Threat of Climate Change, Geneva, Switzerland.</w:t>
      </w:r>
    </w:p>
    <w:p w14:paraId="680A0D4B" w14:textId="44CD626B" w:rsidR="001B4C41" w:rsidRPr="00AF7544" w:rsidRDefault="004E4848" w:rsidP="00AF7544">
      <w:pPr>
        <w:pStyle w:val="CETReferencetext"/>
        <w:rPr>
          <w:rFonts w:eastAsiaTheme="minorHAnsi"/>
        </w:rPr>
      </w:pPr>
      <w:r w:rsidRPr="00AF7544">
        <w:t>I</w:t>
      </w:r>
      <w:r w:rsidR="001B4C41" w:rsidRPr="00AF7544">
        <w:t>SO 31000, 2018, Risk management Guidelines, &lt; iso.org/obp/ui/#iso:std:iso:31000:ed-2:v1:en&gt;, accessed 1.02.2024.</w:t>
      </w:r>
    </w:p>
    <w:p w14:paraId="537B5C45" w14:textId="4FC6A841" w:rsidR="00D858A5" w:rsidRDefault="00D858A5" w:rsidP="00A24051">
      <w:pPr>
        <w:pStyle w:val="CETReferencetext"/>
        <w:rPr>
          <w:rFonts w:eastAsiaTheme="minorHAnsi"/>
        </w:rPr>
      </w:pPr>
      <w:r w:rsidRPr="00AF7544">
        <w:rPr>
          <w:rFonts w:eastAsiaTheme="minorHAnsi"/>
        </w:rPr>
        <w:t>Keramea P., Spanoudaki K.</w:t>
      </w:r>
      <w:r w:rsidR="00BA7861" w:rsidRPr="00AF7544">
        <w:rPr>
          <w:rFonts w:eastAsiaTheme="minorHAnsi"/>
        </w:rPr>
        <w:t>,</w:t>
      </w:r>
      <w:r w:rsidRPr="00AF7544">
        <w:rPr>
          <w:rFonts w:eastAsiaTheme="minorHAnsi"/>
        </w:rPr>
        <w:t xml:space="preserve"> Zodiatis G.</w:t>
      </w:r>
      <w:r w:rsidR="00BA7861" w:rsidRPr="00AF7544">
        <w:rPr>
          <w:rFonts w:eastAsiaTheme="minorHAnsi"/>
        </w:rPr>
        <w:t>,</w:t>
      </w:r>
      <w:r w:rsidRPr="00AF7544">
        <w:rPr>
          <w:rFonts w:eastAsiaTheme="minorHAnsi"/>
        </w:rPr>
        <w:t xml:space="preserve"> Gikas G.</w:t>
      </w:r>
      <w:r w:rsidR="00BA7861" w:rsidRPr="00AF7544">
        <w:rPr>
          <w:rFonts w:eastAsiaTheme="minorHAnsi"/>
        </w:rPr>
        <w:t xml:space="preserve">, </w:t>
      </w:r>
      <w:r w:rsidRPr="00AF7544">
        <w:rPr>
          <w:rFonts w:eastAsiaTheme="minorHAnsi"/>
        </w:rPr>
        <w:t>Sylaios G.</w:t>
      </w:r>
      <w:r w:rsidR="00BA7861" w:rsidRPr="00AF7544">
        <w:rPr>
          <w:rFonts w:eastAsiaTheme="minorHAnsi"/>
        </w:rPr>
        <w:t xml:space="preserve">, </w:t>
      </w:r>
      <w:r w:rsidRPr="00AF7544">
        <w:rPr>
          <w:rFonts w:eastAsiaTheme="minorHAnsi"/>
        </w:rPr>
        <w:t>2021</w:t>
      </w:r>
      <w:r w:rsidR="00BA7861" w:rsidRPr="00AF7544">
        <w:rPr>
          <w:rFonts w:eastAsiaTheme="minorHAnsi"/>
        </w:rPr>
        <w:t>,</w:t>
      </w:r>
      <w:r w:rsidRPr="00AF7544">
        <w:rPr>
          <w:rFonts w:eastAsiaTheme="minorHAnsi"/>
        </w:rPr>
        <w:t xml:space="preserve"> Oil spill modeling: A critical review on current trends, perspectives, and challenges</w:t>
      </w:r>
      <w:r w:rsidR="00BA7861" w:rsidRPr="00AF7544">
        <w:rPr>
          <w:rFonts w:eastAsiaTheme="minorHAnsi"/>
        </w:rPr>
        <w:t>,</w:t>
      </w:r>
      <w:r w:rsidRPr="00AF7544">
        <w:rPr>
          <w:rFonts w:eastAsiaTheme="minorHAnsi"/>
        </w:rPr>
        <w:t xml:space="preserve"> Journal of Marine Science and Engineering</w:t>
      </w:r>
      <w:r w:rsidR="00BA7861" w:rsidRPr="00AF7544">
        <w:rPr>
          <w:rFonts w:eastAsiaTheme="minorHAnsi"/>
        </w:rPr>
        <w:t xml:space="preserve">, 9(2), </w:t>
      </w:r>
      <w:r w:rsidRPr="00AF7544">
        <w:rPr>
          <w:rFonts w:eastAsiaTheme="minorHAnsi"/>
        </w:rPr>
        <w:t xml:space="preserve"> 1–41.</w:t>
      </w:r>
    </w:p>
    <w:p w14:paraId="0D901FAA" w14:textId="3116065D" w:rsidR="00FC5057" w:rsidRPr="008A5CA3" w:rsidRDefault="00FC5057" w:rsidP="00FC5057">
      <w:pPr>
        <w:pStyle w:val="CETReferencetext"/>
        <w:rPr>
          <w:rFonts w:eastAsiaTheme="minorHAnsi"/>
          <w:lang w:val="en-US"/>
        </w:rPr>
      </w:pPr>
      <w:r w:rsidRPr="000D0F70">
        <w:rPr>
          <w:rFonts w:eastAsiaTheme="minorHAnsi"/>
          <w:lang w:val="en-US"/>
        </w:rPr>
        <w:t xml:space="preserve">Krausmann E., Cruz A.M., 2013, Impact of the 11 March 2011, Great East Japan earthquake and tsunami on the chemical industry, Nat. </w:t>
      </w:r>
      <w:r w:rsidRPr="008A5CA3">
        <w:rPr>
          <w:rFonts w:eastAsiaTheme="minorHAnsi"/>
          <w:lang w:val="en-US"/>
        </w:rPr>
        <w:t>Hazards, 67, 811–828.</w:t>
      </w:r>
    </w:p>
    <w:p w14:paraId="4776800A" w14:textId="682351A3" w:rsidR="005144E5" w:rsidRPr="00AF7544" w:rsidRDefault="00124B97" w:rsidP="00A24051">
      <w:pPr>
        <w:pStyle w:val="CETReferencetext"/>
        <w:rPr>
          <w:rFonts w:eastAsiaTheme="minorHAnsi"/>
        </w:rPr>
      </w:pPr>
      <w:r w:rsidRPr="00AF7544">
        <w:rPr>
          <w:rFonts w:eastAsiaTheme="minorHAnsi"/>
        </w:rPr>
        <w:t>Krausmann E., Cruz A.M., Salzano E., 2017, Natech Risk Assessment and Management. Reducing the Risk of</w:t>
      </w:r>
      <w:r w:rsidR="00980C1D" w:rsidRPr="00AF7544">
        <w:rPr>
          <w:rFonts w:eastAsiaTheme="minorHAnsi"/>
        </w:rPr>
        <w:t xml:space="preserve"> </w:t>
      </w:r>
      <w:r w:rsidRPr="00AF7544">
        <w:rPr>
          <w:rFonts w:eastAsiaTheme="minorHAnsi"/>
        </w:rPr>
        <w:t>Natural-Hazard Impact on Hazardous Installations. Elsevier Inc.</w:t>
      </w:r>
    </w:p>
    <w:p w14:paraId="426AB159" w14:textId="01668997" w:rsidR="001D1FE5" w:rsidRPr="00392CA7" w:rsidRDefault="001D1FE5" w:rsidP="00A24051">
      <w:pPr>
        <w:pStyle w:val="CETReferencetext"/>
      </w:pPr>
      <w:r w:rsidRPr="00392CA7">
        <w:t xml:space="preserve">Mesa-Gómez A., Casal J., Sánchez-Silva M., Muñoz F., 2021, Advances and gaps in natech quantitative risk analysis, Processes, 9(1), 1–14. </w:t>
      </w:r>
    </w:p>
    <w:p w14:paraId="0FA9A81E" w14:textId="5A5CF248" w:rsidR="003459B1" w:rsidRPr="00AF7544" w:rsidRDefault="003459B1" w:rsidP="00A24051">
      <w:pPr>
        <w:pStyle w:val="CETReferencetext"/>
        <w:rPr>
          <w:rFonts w:eastAsiaTheme="minorHAnsi"/>
        </w:rPr>
      </w:pPr>
      <w:r w:rsidRPr="00AF7544">
        <w:rPr>
          <w:rFonts w:eastAsiaTheme="minorHAnsi"/>
        </w:rPr>
        <w:t>Misuri A., Ricci F., Sorichetti R.</w:t>
      </w:r>
      <w:r w:rsidR="001D0B78" w:rsidRPr="00AF7544">
        <w:rPr>
          <w:rFonts w:eastAsiaTheme="minorHAnsi"/>
        </w:rPr>
        <w:t>,</w:t>
      </w:r>
      <w:r w:rsidRPr="00AF7544">
        <w:rPr>
          <w:rFonts w:eastAsiaTheme="minorHAnsi"/>
        </w:rPr>
        <w:t xml:space="preserve"> Cozzani V</w:t>
      </w:r>
      <w:r w:rsidR="001D0B78" w:rsidRPr="00AF7544">
        <w:rPr>
          <w:rFonts w:eastAsiaTheme="minorHAnsi"/>
        </w:rPr>
        <w:t xml:space="preserve">, </w:t>
      </w:r>
      <w:r w:rsidRPr="00AF7544">
        <w:rPr>
          <w:rFonts w:eastAsiaTheme="minorHAnsi"/>
        </w:rPr>
        <w:t>2023</w:t>
      </w:r>
      <w:r w:rsidR="001D0B78" w:rsidRPr="00AF7544">
        <w:rPr>
          <w:rFonts w:eastAsiaTheme="minorHAnsi"/>
        </w:rPr>
        <w:t>,</w:t>
      </w:r>
      <w:r w:rsidRPr="00AF7544">
        <w:rPr>
          <w:rFonts w:eastAsiaTheme="minorHAnsi"/>
        </w:rPr>
        <w:t xml:space="preserve"> The Effect of Safety Barrier Degradation on the Severity of Primary Natech Scenarios</w:t>
      </w:r>
      <w:r w:rsidR="001D0B78" w:rsidRPr="00AF7544">
        <w:rPr>
          <w:rFonts w:eastAsiaTheme="minorHAnsi"/>
        </w:rPr>
        <w:t xml:space="preserve">, </w:t>
      </w:r>
      <w:r w:rsidRPr="00AF7544">
        <w:rPr>
          <w:rFonts w:eastAsiaTheme="minorHAnsi"/>
        </w:rPr>
        <w:t xml:space="preserve">Reliability Engineering &amp; System Safety, 235, 109272. </w:t>
      </w:r>
    </w:p>
    <w:p w14:paraId="72823F0E" w14:textId="2461C352" w:rsidR="00E43A69" w:rsidRPr="00AF7544" w:rsidRDefault="00E43A69" w:rsidP="00A24051">
      <w:pPr>
        <w:pStyle w:val="CETReferencetext"/>
        <w:rPr>
          <w:rFonts w:eastAsiaTheme="minorHAnsi"/>
        </w:rPr>
      </w:pPr>
      <w:r w:rsidRPr="00AF7544">
        <w:rPr>
          <w:rFonts w:eastAsiaTheme="minorHAnsi"/>
        </w:rPr>
        <w:t>Norsk Olje &amp; Gass, 2018a</w:t>
      </w:r>
      <w:r w:rsidR="00774F42" w:rsidRPr="00AF7544">
        <w:rPr>
          <w:rFonts w:eastAsiaTheme="minorHAnsi"/>
        </w:rPr>
        <w:t xml:space="preserve">, </w:t>
      </w:r>
      <w:r w:rsidRPr="00AF7544">
        <w:rPr>
          <w:rFonts w:eastAsiaTheme="minorHAnsi"/>
        </w:rPr>
        <w:t>Bjørgesæter, A., ERA Acute Report 3 (2015): ERA Acute Phase 3 – Surface compartment, Acona Report n° 37571</w:t>
      </w:r>
      <w:r w:rsidR="00487EA5" w:rsidRPr="00AF7544">
        <w:rPr>
          <w:rFonts w:eastAsiaTheme="minorHAnsi"/>
        </w:rPr>
        <w:t>.</w:t>
      </w:r>
      <w:r w:rsidRPr="00AF7544">
        <w:rPr>
          <w:rFonts w:eastAsiaTheme="minorHAnsi"/>
        </w:rPr>
        <w:t xml:space="preserve"> </w:t>
      </w:r>
    </w:p>
    <w:p w14:paraId="09B9E98F" w14:textId="558EE353" w:rsidR="00E43A69" w:rsidRPr="00AF7544" w:rsidRDefault="00E43A69" w:rsidP="00A24051">
      <w:pPr>
        <w:pStyle w:val="CETReferencetext"/>
        <w:rPr>
          <w:rFonts w:eastAsiaTheme="minorHAnsi"/>
        </w:rPr>
      </w:pPr>
      <w:r w:rsidRPr="00AF7544">
        <w:rPr>
          <w:rFonts w:eastAsiaTheme="minorHAnsi"/>
        </w:rPr>
        <w:t>Norsk Olje &amp; Gass, 2018b</w:t>
      </w:r>
      <w:r w:rsidR="00774F42" w:rsidRPr="00AF7544">
        <w:rPr>
          <w:rFonts w:eastAsiaTheme="minorHAnsi"/>
        </w:rPr>
        <w:t xml:space="preserve">, </w:t>
      </w:r>
      <w:r w:rsidRPr="00AF7544">
        <w:rPr>
          <w:rFonts w:eastAsiaTheme="minorHAnsi"/>
        </w:rPr>
        <w:t>Nilsen, H., Johnsen H.G., Nordtug T., Johansen, Ø., ERA Acute Report 2 (2006): threshold values and exposure to risk functions for oil components in the water column to be used for risk assessment of acute discharges (EIF Acute), Statoil contract n° C.FOU.DE.B02</w:t>
      </w:r>
      <w:r w:rsidR="00487EA5" w:rsidRPr="00AF7544">
        <w:rPr>
          <w:rFonts w:eastAsiaTheme="minorHAnsi"/>
        </w:rPr>
        <w:t>.</w:t>
      </w:r>
      <w:r w:rsidRPr="00AF7544">
        <w:rPr>
          <w:rFonts w:eastAsiaTheme="minorHAnsi"/>
        </w:rPr>
        <w:t xml:space="preserve"> </w:t>
      </w:r>
    </w:p>
    <w:p w14:paraId="3C41D4F6" w14:textId="65B3CC61" w:rsidR="00E43A69" w:rsidRPr="00AF7544" w:rsidRDefault="00E43A69" w:rsidP="00A24051">
      <w:pPr>
        <w:pStyle w:val="CETReferencetext"/>
        <w:rPr>
          <w:rFonts w:eastAsiaTheme="minorHAnsi"/>
        </w:rPr>
      </w:pPr>
      <w:r w:rsidRPr="00AF7544">
        <w:rPr>
          <w:rFonts w:eastAsiaTheme="minorHAnsi"/>
        </w:rPr>
        <w:t>Norsk Olje &amp; Gass, 2018c</w:t>
      </w:r>
      <w:r w:rsidR="00774F42" w:rsidRPr="00AF7544">
        <w:rPr>
          <w:rFonts w:eastAsiaTheme="minorHAnsi"/>
        </w:rPr>
        <w:t xml:space="preserve">, </w:t>
      </w:r>
      <w:r w:rsidRPr="00AF7544">
        <w:rPr>
          <w:rFonts w:eastAsiaTheme="minorHAnsi"/>
        </w:rPr>
        <w:t xml:space="preserve">Brude, O.W., Rusten, M., Braathen, M., ERA Acute Report 4 (2015): ERA Acute Phase 3 - Development of shoreline compartment algorithms, DNV GL Report n° 2015 </w:t>
      </w:r>
      <w:r w:rsidR="00487EA5" w:rsidRPr="00AF7544">
        <w:rPr>
          <w:rFonts w:eastAsiaTheme="minorHAnsi"/>
        </w:rPr>
        <w:t>–</w:t>
      </w:r>
      <w:r w:rsidRPr="00AF7544">
        <w:rPr>
          <w:rFonts w:eastAsiaTheme="minorHAnsi"/>
        </w:rPr>
        <w:t xml:space="preserve"> 0552</w:t>
      </w:r>
      <w:r w:rsidR="00487EA5" w:rsidRPr="00AF7544">
        <w:rPr>
          <w:rFonts w:eastAsiaTheme="minorHAnsi"/>
        </w:rPr>
        <w:t>.</w:t>
      </w:r>
      <w:r w:rsidRPr="00AF7544">
        <w:rPr>
          <w:rFonts w:eastAsiaTheme="minorHAnsi"/>
        </w:rPr>
        <w:t xml:space="preserve"> </w:t>
      </w:r>
    </w:p>
    <w:p w14:paraId="58ED570F" w14:textId="3DB48E4A" w:rsidR="005144E5" w:rsidRPr="00AF7544" w:rsidRDefault="00E43A69" w:rsidP="00A24051">
      <w:pPr>
        <w:pStyle w:val="CETReferencetext"/>
        <w:rPr>
          <w:rFonts w:eastAsiaTheme="minorHAnsi"/>
        </w:rPr>
      </w:pPr>
      <w:r w:rsidRPr="00AF7544">
        <w:rPr>
          <w:rFonts w:eastAsiaTheme="minorHAnsi"/>
        </w:rPr>
        <w:t>Norsk Olje &amp; Gass, 2018d</w:t>
      </w:r>
      <w:r w:rsidR="00774F42" w:rsidRPr="00AF7544">
        <w:rPr>
          <w:rFonts w:eastAsiaTheme="minorHAnsi"/>
        </w:rPr>
        <w:t xml:space="preserve">, </w:t>
      </w:r>
      <w:r w:rsidRPr="00AF7544">
        <w:rPr>
          <w:rFonts w:eastAsiaTheme="minorHAnsi"/>
        </w:rPr>
        <w:t>Stephansen, C., Sørnes, T.O., Skeie, G.M., ERA Acute Report 6 (2015): ERA Acute - development of seafloor compartment algorithms -biological modeling, Akvaplan-niva Report n° 5425.02</w:t>
      </w:r>
      <w:r w:rsidR="00487EA5" w:rsidRPr="00AF7544">
        <w:rPr>
          <w:rFonts w:eastAsiaTheme="minorHAnsi"/>
        </w:rPr>
        <w:t>.</w:t>
      </w:r>
    </w:p>
    <w:p w14:paraId="76AC29DF" w14:textId="58FAF027" w:rsidR="001B4C41" w:rsidRPr="00AF7544" w:rsidRDefault="001B4C41" w:rsidP="00A24051">
      <w:pPr>
        <w:pStyle w:val="CETReferencetext"/>
        <w:rPr>
          <w:rFonts w:eastAsiaTheme="minorHAnsi"/>
        </w:rPr>
      </w:pPr>
      <w:r w:rsidRPr="00AF7544">
        <w:rPr>
          <w:rFonts w:eastAsiaTheme="minorHAnsi"/>
        </w:rPr>
        <w:t>Ricci F., Casson Moreno V., Cozzani V</w:t>
      </w:r>
      <w:r w:rsidR="001D0B78" w:rsidRPr="00AF7544">
        <w:rPr>
          <w:rFonts w:eastAsiaTheme="minorHAnsi"/>
        </w:rPr>
        <w:t xml:space="preserve">., </w:t>
      </w:r>
      <w:r w:rsidRPr="00AF7544">
        <w:rPr>
          <w:rFonts w:eastAsiaTheme="minorHAnsi"/>
        </w:rPr>
        <w:t>2021</w:t>
      </w:r>
      <w:r w:rsidR="001D0B78" w:rsidRPr="00AF7544">
        <w:rPr>
          <w:rFonts w:eastAsiaTheme="minorHAnsi"/>
        </w:rPr>
        <w:t xml:space="preserve">, </w:t>
      </w:r>
      <w:r w:rsidRPr="00AF7544">
        <w:rPr>
          <w:rFonts w:eastAsiaTheme="minorHAnsi"/>
        </w:rPr>
        <w:t>A comprehensive analysis of the occurrence of Natech events in the process industry</w:t>
      </w:r>
      <w:r w:rsidR="001D0B78" w:rsidRPr="00AF7544">
        <w:rPr>
          <w:rFonts w:eastAsiaTheme="minorHAnsi"/>
        </w:rPr>
        <w:t xml:space="preserve">, </w:t>
      </w:r>
      <w:r w:rsidRPr="00AF7544">
        <w:rPr>
          <w:rFonts w:eastAsiaTheme="minorHAnsi"/>
        </w:rPr>
        <w:t xml:space="preserve">Process Safety and Environmental Protection, 147, 703–713. </w:t>
      </w:r>
    </w:p>
    <w:p w14:paraId="5497837D" w14:textId="13E8DF9E" w:rsidR="008C72BC" w:rsidRPr="00AF7544" w:rsidRDefault="006A0726" w:rsidP="00A24051">
      <w:pPr>
        <w:pStyle w:val="CETReferencetext"/>
        <w:rPr>
          <w:rFonts w:eastAsiaTheme="minorHAnsi"/>
        </w:rPr>
      </w:pPr>
      <w:r w:rsidRPr="00AF7544">
        <w:rPr>
          <w:rFonts w:eastAsiaTheme="minorHAnsi"/>
        </w:rPr>
        <w:t>Ricci F., Bonvicini S., Moreno V.C., Cozzani V.</w:t>
      </w:r>
      <w:r w:rsidR="001D1FE5" w:rsidRPr="00AF7544">
        <w:rPr>
          <w:rFonts w:eastAsiaTheme="minorHAnsi"/>
        </w:rPr>
        <w:t>,</w:t>
      </w:r>
      <w:r w:rsidR="00AE3B99">
        <w:rPr>
          <w:rFonts w:eastAsiaTheme="minorHAnsi"/>
        </w:rPr>
        <w:t xml:space="preserve"> </w:t>
      </w:r>
      <w:r w:rsidRPr="00AF7544">
        <w:rPr>
          <w:rFonts w:eastAsiaTheme="minorHAnsi"/>
        </w:rPr>
        <w:t>2022</w:t>
      </w:r>
      <w:r w:rsidR="001D1FE5" w:rsidRPr="00AF7544">
        <w:rPr>
          <w:rFonts w:eastAsiaTheme="minorHAnsi"/>
        </w:rPr>
        <w:t>,</w:t>
      </w:r>
      <w:r w:rsidR="001D0B78" w:rsidRPr="00AF7544">
        <w:rPr>
          <w:rFonts w:eastAsiaTheme="minorHAnsi"/>
        </w:rPr>
        <w:t xml:space="preserve"> </w:t>
      </w:r>
      <w:r w:rsidRPr="00AF7544">
        <w:rPr>
          <w:rFonts w:eastAsiaTheme="minorHAnsi"/>
        </w:rPr>
        <w:t>The Quantitative Assessment of Damage to the Environment in Major Accidents Caused by Natural Events</w:t>
      </w:r>
      <w:r w:rsidR="001D1FE5" w:rsidRPr="00AF7544">
        <w:rPr>
          <w:rFonts w:eastAsiaTheme="minorHAnsi"/>
        </w:rPr>
        <w:t xml:space="preserve">, </w:t>
      </w:r>
      <w:r w:rsidRPr="00AF7544">
        <w:rPr>
          <w:rFonts w:eastAsiaTheme="minorHAnsi"/>
        </w:rPr>
        <w:t>Chemical Engineering Transactions, 90, 253–258</w:t>
      </w:r>
      <w:r w:rsidR="001D1FE5" w:rsidRPr="00AF7544">
        <w:rPr>
          <w:rFonts w:eastAsiaTheme="minorHAnsi"/>
        </w:rPr>
        <w:t xml:space="preserve">. </w:t>
      </w:r>
    </w:p>
    <w:p w14:paraId="15E6C77D" w14:textId="72A11BC6" w:rsidR="003713F7" w:rsidRPr="00AF7544" w:rsidRDefault="00366704" w:rsidP="00A24051">
      <w:pPr>
        <w:pStyle w:val="CETReferencetext"/>
        <w:rPr>
          <w:rFonts w:eastAsiaTheme="minorHAnsi"/>
        </w:rPr>
      </w:pPr>
      <w:r w:rsidRPr="00AF7544">
        <w:rPr>
          <w:rFonts w:eastAsiaTheme="minorHAnsi"/>
        </w:rPr>
        <w:t>SI</w:t>
      </w:r>
      <w:r w:rsidR="001B4C41" w:rsidRPr="00AF7544">
        <w:rPr>
          <w:rFonts w:eastAsiaTheme="minorHAnsi"/>
        </w:rPr>
        <w:t>N</w:t>
      </w:r>
      <w:r w:rsidRPr="00AF7544">
        <w:rPr>
          <w:rFonts w:eastAsiaTheme="minorHAnsi"/>
        </w:rPr>
        <w:t>TEF, 2023</w:t>
      </w:r>
      <w:r w:rsidR="002517F1" w:rsidRPr="00AF7544">
        <w:rPr>
          <w:rFonts w:eastAsiaTheme="minorHAnsi"/>
        </w:rPr>
        <w:t>, &lt;</w:t>
      </w:r>
      <w:r w:rsidRPr="00AF7544">
        <w:rPr>
          <w:rFonts w:eastAsiaTheme="minorHAnsi"/>
        </w:rPr>
        <w:t>www.sintef.no/en/software/oscar</w:t>
      </w:r>
      <w:r w:rsidR="002517F1" w:rsidRPr="00AF7544">
        <w:rPr>
          <w:rFonts w:eastAsiaTheme="minorHAnsi"/>
        </w:rPr>
        <w:t>&gt;</w:t>
      </w:r>
      <w:r w:rsidRPr="00AF7544">
        <w:rPr>
          <w:rFonts w:eastAsiaTheme="minorHAnsi"/>
        </w:rPr>
        <w:t xml:space="preserve">, </w:t>
      </w:r>
      <w:r w:rsidR="002517F1" w:rsidRPr="00AF7544">
        <w:rPr>
          <w:rFonts w:eastAsiaTheme="minorHAnsi"/>
        </w:rPr>
        <w:t xml:space="preserve">accessed </w:t>
      </w:r>
      <w:r w:rsidR="001D1FE5" w:rsidRPr="00AF7544">
        <w:rPr>
          <w:rFonts w:eastAsiaTheme="minorHAnsi"/>
        </w:rPr>
        <w:t>10.0</w:t>
      </w:r>
      <w:r w:rsidR="008C72BC" w:rsidRPr="00AF7544">
        <w:rPr>
          <w:rFonts w:eastAsiaTheme="minorHAnsi"/>
        </w:rPr>
        <w:t>2</w:t>
      </w:r>
      <w:r w:rsidR="001B4C41" w:rsidRPr="00AF7544">
        <w:rPr>
          <w:rFonts w:eastAsiaTheme="minorHAnsi"/>
        </w:rPr>
        <w:t>.</w:t>
      </w:r>
      <w:r w:rsidR="001D1FE5" w:rsidRPr="00AF7544">
        <w:rPr>
          <w:rFonts w:eastAsiaTheme="minorHAnsi"/>
        </w:rPr>
        <w:t>2023</w:t>
      </w:r>
      <w:r w:rsidR="00D204B6" w:rsidRPr="00AF7544">
        <w:rPr>
          <w:rFonts w:eastAsiaTheme="minorHAnsi"/>
        </w:rPr>
        <w:t>.</w:t>
      </w:r>
    </w:p>
    <w:p w14:paraId="2B0F6826" w14:textId="10B85ABD" w:rsidR="00BD02DE" w:rsidRPr="00AF7544" w:rsidRDefault="007B6A4E" w:rsidP="00A24051">
      <w:pPr>
        <w:pStyle w:val="CETReferencetext"/>
        <w:rPr>
          <w:rFonts w:eastAsiaTheme="minorHAnsi"/>
        </w:rPr>
      </w:pPr>
      <w:r w:rsidRPr="00AF7544">
        <w:rPr>
          <w:rFonts w:eastAsiaTheme="minorHAnsi"/>
        </w:rPr>
        <w:t>Stephansen</w:t>
      </w:r>
      <w:r w:rsidR="00CB1E58" w:rsidRPr="00AF7544">
        <w:rPr>
          <w:rFonts w:eastAsiaTheme="minorHAnsi"/>
        </w:rPr>
        <w:t xml:space="preserve"> C.</w:t>
      </w:r>
      <w:r w:rsidRPr="00AF7544">
        <w:rPr>
          <w:rFonts w:eastAsiaTheme="minorHAnsi"/>
        </w:rPr>
        <w:t>, Bjørgesæter</w:t>
      </w:r>
      <w:r w:rsidR="00325E3F" w:rsidRPr="00AF7544">
        <w:rPr>
          <w:rFonts w:eastAsiaTheme="minorHAnsi"/>
        </w:rPr>
        <w:t xml:space="preserve"> A.</w:t>
      </w:r>
      <w:r w:rsidRPr="00AF7544">
        <w:rPr>
          <w:rFonts w:eastAsiaTheme="minorHAnsi"/>
        </w:rPr>
        <w:t>, Brude</w:t>
      </w:r>
      <w:r w:rsidR="00325E3F" w:rsidRPr="00AF7544">
        <w:rPr>
          <w:rFonts w:eastAsiaTheme="minorHAnsi"/>
        </w:rPr>
        <w:t xml:space="preserve"> O.W.</w:t>
      </w:r>
      <w:r w:rsidRPr="00AF7544">
        <w:rPr>
          <w:rFonts w:eastAsiaTheme="minorHAnsi"/>
        </w:rPr>
        <w:t>, Brönner</w:t>
      </w:r>
      <w:r w:rsidR="00325E3F" w:rsidRPr="00AF7544">
        <w:rPr>
          <w:rFonts w:eastAsiaTheme="minorHAnsi"/>
        </w:rPr>
        <w:t xml:space="preserve"> U.</w:t>
      </w:r>
      <w:r w:rsidRPr="00AF7544">
        <w:rPr>
          <w:rFonts w:eastAsiaTheme="minorHAnsi"/>
        </w:rPr>
        <w:t>, Kjeilen-Eilertsen</w:t>
      </w:r>
      <w:r w:rsidR="00325E3F" w:rsidRPr="00AF7544">
        <w:rPr>
          <w:rFonts w:eastAsiaTheme="minorHAnsi"/>
        </w:rPr>
        <w:t xml:space="preserve"> G.</w:t>
      </w:r>
      <w:r w:rsidRPr="00AF7544">
        <w:rPr>
          <w:rFonts w:eastAsiaTheme="minorHAnsi"/>
        </w:rPr>
        <w:t>, Libre</w:t>
      </w:r>
      <w:r w:rsidR="00325E3F" w:rsidRPr="00AF7544">
        <w:rPr>
          <w:rFonts w:eastAsiaTheme="minorHAnsi"/>
        </w:rPr>
        <w:t xml:space="preserve"> J.M.</w:t>
      </w:r>
      <w:r w:rsidRPr="00AF7544">
        <w:rPr>
          <w:rFonts w:eastAsiaTheme="minorHAnsi"/>
        </w:rPr>
        <w:t>, Waterloo Rogstad</w:t>
      </w:r>
      <w:r w:rsidR="00325E3F" w:rsidRPr="00AF7544">
        <w:rPr>
          <w:rFonts w:eastAsiaTheme="minorHAnsi"/>
        </w:rPr>
        <w:t xml:space="preserve"> T.</w:t>
      </w:r>
      <w:r w:rsidRPr="00AF7544">
        <w:rPr>
          <w:rFonts w:eastAsiaTheme="minorHAnsi"/>
        </w:rPr>
        <w:t>, Fjeld Nygaard</w:t>
      </w:r>
      <w:r w:rsidR="00325E3F" w:rsidRPr="00AF7544">
        <w:rPr>
          <w:rFonts w:eastAsiaTheme="minorHAnsi"/>
        </w:rPr>
        <w:t xml:space="preserve"> C.</w:t>
      </w:r>
      <w:r w:rsidRPr="00AF7544">
        <w:rPr>
          <w:rFonts w:eastAsiaTheme="minorHAnsi"/>
        </w:rPr>
        <w:t>, Sørnes</w:t>
      </w:r>
      <w:r w:rsidR="00325E3F" w:rsidRPr="00AF7544">
        <w:rPr>
          <w:rFonts w:eastAsiaTheme="minorHAnsi"/>
        </w:rPr>
        <w:t xml:space="preserve"> T.</w:t>
      </w:r>
      <w:r w:rsidRPr="00AF7544">
        <w:rPr>
          <w:rFonts w:eastAsiaTheme="minorHAnsi"/>
        </w:rPr>
        <w:t>, Skeie</w:t>
      </w:r>
      <w:r w:rsidR="00325E3F" w:rsidRPr="00AF7544">
        <w:rPr>
          <w:rFonts w:eastAsiaTheme="minorHAnsi"/>
        </w:rPr>
        <w:t xml:space="preserve"> G.M.</w:t>
      </w:r>
      <w:r w:rsidRPr="00AF7544">
        <w:rPr>
          <w:rFonts w:eastAsiaTheme="minorHAnsi"/>
        </w:rPr>
        <w:t>, Jonsson</w:t>
      </w:r>
      <w:r w:rsidR="00325E3F" w:rsidRPr="00AF7544">
        <w:rPr>
          <w:rFonts w:eastAsiaTheme="minorHAnsi"/>
        </w:rPr>
        <w:t xml:space="preserve"> H.</w:t>
      </w:r>
      <w:r w:rsidRPr="00AF7544">
        <w:rPr>
          <w:rFonts w:eastAsiaTheme="minorHAnsi"/>
        </w:rPr>
        <w:t>, Rusten</w:t>
      </w:r>
      <w:r w:rsidR="00325E3F" w:rsidRPr="00AF7544">
        <w:rPr>
          <w:rFonts w:eastAsiaTheme="minorHAnsi"/>
        </w:rPr>
        <w:t xml:space="preserve"> M.</w:t>
      </w:r>
      <w:r w:rsidRPr="00AF7544">
        <w:rPr>
          <w:rFonts w:eastAsiaTheme="minorHAnsi"/>
        </w:rPr>
        <w:t>, Nordtug</w:t>
      </w:r>
      <w:r w:rsidR="00325E3F" w:rsidRPr="00AF7544">
        <w:rPr>
          <w:rFonts w:eastAsiaTheme="minorHAnsi"/>
        </w:rPr>
        <w:t xml:space="preserve"> T.</w:t>
      </w:r>
      <w:r w:rsidRPr="00AF7544">
        <w:rPr>
          <w:rFonts w:eastAsiaTheme="minorHAnsi"/>
        </w:rPr>
        <w:t>, Reed</w:t>
      </w:r>
      <w:r w:rsidR="00325E3F" w:rsidRPr="00AF7544">
        <w:rPr>
          <w:rFonts w:eastAsiaTheme="minorHAnsi"/>
        </w:rPr>
        <w:t xml:space="preserve"> M.</w:t>
      </w:r>
      <w:r w:rsidRPr="00AF7544">
        <w:rPr>
          <w:rFonts w:eastAsiaTheme="minorHAnsi"/>
        </w:rPr>
        <w:t>, Collin-Hansen</w:t>
      </w:r>
      <w:r w:rsidR="00325E3F" w:rsidRPr="00AF7544">
        <w:rPr>
          <w:rFonts w:eastAsiaTheme="minorHAnsi"/>
        </w:rPr>
        <w:t xml:space="preserve"> C.</w:t>
      </w:r>
      <w:r w:rsidRPr="00AF7544">
        <w:rPr>
          <w:rFonts w:eastAsiaTheme="minorHAnsi"/>
        </w:rPr>
        <w:t>, Damsgaard</w:t>
      </w:r>
      <w:r w:rsidR="00325E3F" w:rsidRPr="00AF7544">
        <w:rPr>
          <w:rFonts w:eastAsiaTheme="minorHAnsi"/>
        </w:rPr>
        <w:t xml:space="preserve"> J.</w:t>
      </w:r>
      <w:r w:rsidRPr="00AF7544">
        <w:rPr>
          <w:rFonts w:eastAsiaTheme="minorHAnsi"/>
        </w:rPr>
        <w:t xml:space="preserve">, </w:t>
      </w:r>
      <w:r w:rsidR="005C4D9B" w:rsidRPr="00AF7544">
        <w:rPr>
          <w:rFonts w:eastAsiaTheme="minorHAnsi"/>
        </w:rPr>
        <w:t>2017,</w:t>
      </w:r>
      <w:r w:rsidR="00892D5D" w:rsidRPr="00AF7544">
        <w:rPr>
          <w:rFonts w:eastAsiaTheme="minorHAnsi"/>
        </w:rPr>
        <w:t xml:space="preserve"> </w:t>
      </w:r>
      <w:r w:rsidRPr="00AF7544">
        <w:rPr>
          <w:rFonts w:eastAsiaTheme="minorHAnsi"/>
        </w:rPr>
        <w:t>ERA acute - a multi-compartment quantitative risk assessment methodology for oil spills, Poster Presented at the International Oil Spill Conference</w:t>
      </w:r>
      <w:r w:rsidR="007A64EB" w:rsidRPr="00AF7544">
        <w:rPr>
          <w:rFonts w:eastAsiaTheme="minorHAnsi"/>
        </w:rPr>
        <w:t>,</w:t>
      </w:r>
      <w:r w:rsidRPr="00AF7544">
        <w:rPr>
          <w:rFonts w:eastAsiaTheme="minorHAnsi"/>
        </w:rPr>
        <w:t xml:space="preserve"> 15-18 May 2017, Long Beach CA, US</w:t>
      </w:r>
      <w:r w:rsidR="007A64EB" w:rsidRPr="00AF7544">
        <w:rPr>
          <w:rFonts w:eastAsiaTheme="minorHAnsi"/>
        </w:rPr>
        <w:t>.</w:t>
      </w:r>
    </w:p>
    <w:p w14:paraId="02463327" w14:textId="4A69DC5E" w:rsidR="008E1D4F" w:rsidRPr="00804737" w:rsidRDefault="007B6A4E" w:rsidP="00804737">
      <w:pPr>
        <w:pStyle w:val="CETReferencetext"/>
        <w:jc w:val="left"/>
        <w:rPr>
          <w:rFonts w:eastAsiaTheme="minorHAnsi"/>
        </w:rPr>
      </w:pPr>
      <w:r w:rsidRPr="00AF7544">
        <w:rPr>
          <w:rFonts w:eastAsiaTheme="minorHAnsi"/>
        </w:rPr>
        <w:t>TNO</w:t>
      </w:r>
      <w:r w:rsidR="006B30D2" w:rsidRPr="00AF7544">
        <w:rPr>
          <w:rFonts w:eastAsiaTheme="minorHAnsi"/>
        </w:rPr>
        <w:t>, 1998</w:t>
      </w:r>
      <w:r w:rsidRPr="00AF7544">
        <w:rPr>
          <w:rFonts w:eastAsiaTheme="minorHAnsi"/>
        </w:rPr>
        <w:t>, Methods for the Calculation of Physical Effects (Yellow Book</w:t>
      </w:r>
      <w:r w:rsidR="00892D5D" w:rsidRPr="00AF7544">
        <w:rPr>
          <w:rFonts w:eastAsiaTheme="minorHAnsi"/>
        </w:rPr>
        <w:t>)</w:t>
      </w:r>
      <w:r w:rsidRPr="00AF7544">
        <w:rPr>
          <w:rFonts w:eastAsiaTheme="minorHAnsi"/>
        </w:rPr>
        <w:t>,</w:t>
      </w:r>
      <w:r w:rsidR="00892D5D" w:rsidRPr="00AF7544">
        <w:rPr>
          <w:rFonts w:eastAsiaTheme="minorHAnsi"/>
        </w:rPr>
        <w:t xml:space="preserve"> Committee for the Prevention of Disasters,</w:t>
      </w:r>
      <w:r w:rsidRPr="00AF7544">
        <w:rPr>
          <w:rFonts w:eastAsiaTheme="minorHAnsi"/>
        </w:rPr>
        <w:t xml:space="preserve"> CPR 16E, Sdu Uitgevers</w:t>
      </w:r>
      <w:r w:rsidR="006B30D2" w:rsidRPr="00AF7544">
        <w:rPr>
          <w:rFonts w:eastAsiaTheme="minorHAnsi"/>
        </w:rPr>
        <w:t>,</w:t>
      </w:r>
      <w:r w:rsidR="00B86624" w:rsidRPr="00AF7544">
        <w:rPr>
          <w:rFonts w:eastAsiaTheme="minorHAnsi"/>
        </w:rPr>
        <w:t xml:space="preserve"> </w:t>
      </w:r>
      <w:r w:rsidRPr="00AF7544">
        <w:rPr>
          <w:rFonts w:eastAsiaTheme="minorHAnsi"/>
        </w:rPr>
        <w:t>The Hague.</w:t>
      </w:r>
    </w:p>
    <w:sectPr w:rsidR="008E1D4F" w:rsidRPr="00804737" w:rsidSect="009262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0EEDE" w14:textId="77777777" w:rsidR="00AD501C" w:rsidRDefault="00AD501C" w:rsidP="004F5E36">
      <w:r>
        <w:separator/>
      </w:r>
    </w:p>
  </w:endnote>
  <w:endnote w:type="continuationSeparator" w:id="0">
    <w:p w14:paraId="6C7B40BB" w14:textId="77777777" w:rsidR="00AD501C" w:rsidRDefault="00AD50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E409" w14:textId="77777777" w:rsidR="00AD501C" w:rsidRDefault="00AD501C" w:rsidP="004F5E36">
      <w:r>
        <w:separator/>
      </w:r>
    </w:p>
  </w:footnote>
  <w:footnote w:type="continuationSeparator" w:id="0">
    <w:p w14:paraId="07B757D8" w14:textId="77777777" w:rsidR="00AD501C" w:rsidRDefault="00AD501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2A5974"/>
    <w:multiLevelType w:val="hybridMultilevel"/>
    <w:tmpl w:val="FF667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606249"/>
    <w:multiLevelType w:val="hybridMultilevel"/>
    <w:tmpl w:val="ABEC1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404546"/>
    <w:multiLevelType w:val="hybridMultilevel"/>
    <w:tmpl w:val="ABE63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284"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62C18F8"/>
    <w:multiLevelType w:val="hybridMultilevel"/>
    <w:tmpl w:val="92F8A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8907E3"/>
    <w:multiLevelType w:val="hybridMultilevel"/>
    <w:tmpl w:val="734A4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1362C"/>
    <w:multiLevelType w:val="hybridMultilevel"/>
    <w:tmpl w:val="0220FA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3F0CDE"/>
    <w:multiLevelType w:val="hybridMultilevel"/>
    <w:tmpl w:val="BE4C0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9514CD"/>
    <w:multiLevelType w:val="hybridMultilevel"/>
    <w:tmpl w:val="59023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C12B4B"/>
    <w:multiLevelType w:val="hybridMultilevel"/>
    <w:tmpl w:val="E6F4D678"/>
    <w:lvl w:ilvl="0" w:tplc="9A7AB5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2626FF"/>
    <w:multiLevelType w:val="hybridMultilevel"/>
    <w:tmpl w:val="8B360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295E33"/>
    <w:multiLevelType w:val="hybridMultilevel"/>
    <w:tmpl w:val="212AA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0210385">
    <w:abstractNumId w:val="13"/>
  </w:num>
  <w:num w:numId="2" w16cid:durableId="613442737">
    <w:abstractNumId w:val="8"/>
  </w:num>
  <w:num w:numId="3" w16cid:durableId="1462765970">
    <w:abstractNumId w:val="3"/>
  </w:num>
  <w:num w:numId="4" w16cid:durableId="668098735">
    <w:abstractNumId w:val="2"/>
  </w:num>
  <w:num w:numId="5" w16cid:durableId="265889783">
    <w:abstractNumId w:val="1"/>
  </w:num>
  <w:num w:numId="6" w16cid:durableId="1784155747">
    <w:abstractNumId w:val="0"/>
  </w:num>
  <w:num w:numId="7" w16cid:durableId="319232557">
    <w:abstractNumId w:val="9"/>
  </w:num>
  <w:num w:numId="8" w16cid:durableId="572813752">
    <w:abstractNumId w:val="7"/>
  </w:num>
  <w:num w:numId="9" w16cid:durableId="822310345">
    <w:abstractNumId w:val="6"/>
  </w:num>
  <w:num w:numId="10" w16cid:durableId="1219512639">
    <w:abstractNumId w:val="5"/>
  </w:num>
  <w:num w:numId="11" w16cid:durableId="887298351">
    <w:abstractNumId w:val="4"/>
  </w:num>
  <w:num w:numId="12" w16cid:durableId="545946820">
    <w:abstractNumId w:val="24"/>
  </w:num>
  <w:num w:numId="13" w16cid:durableId="326127808">
    <w:abstractNumId w:val="17"/>
  </w:num>
  <w:num w:numId="14" w16cid:durableId="112602226">
    <w:abstractNumId w:val="25"/>
  </w:num>
  <w:num w:numId="15" w16cid:durableId="1234848524">
    <w:abstractNumId w:val="30"/>
  </w:num>
  <w:num w:numId="16" w16cid:durableId="2062752734">
    <w:abstractNumId w:val="29"/>
  </w:num>
  <w:num w:numId="17" w16cid:durableId="1720400341">
    <w:abstractNumId w:val="16"/>
  </w:num>
  <w:num w:numId="18" w16cid:durableId="542787418">
    <w:abstractNumId w:val="17"/>
    <w:lvlOverride w:ilvl="0">
      <w:startOverride w:val="1"/>
    </w:lvlOverride>
  </w:num>
  <w:num w:numId="19" w16cid:durableId="129982371">
    <w:abstractNumId w:val="22"/>
  </w:num>
  <w:num w:numId="20" w16cid:durableId="1635981923">
    <w:abstractNumId w:val="21"/>
  </w:num>
  <w:num w:numId="21" w16cid:durableId="343089453">
    <w:abstractNumId w:val="20"/>
  </w:num>
  <w:num w:numId="22" w16cid:durableId="595674072">
    <w:abstractNumId w:val="18"/>
  </w:num>
  <w:num w:numId="23" w16cid:durableId="948317639">
    <w:abstractNumId w:val="13"/>
  </w:num>
  <w:num w:numId="24" w16cid:durableId="1683167321">
    <w:abstractNumId w:val="23"/>
  </w:num>
  <w:num w:numId="25" w16cid:durableId="665860830">
    <w:abstractNumId w:val="27"/>
  </w:num>
  <w:num w:numId="26" w16cid:durableId="56393643">
    <w:abstractNumId w:val="14"/>
  </w:num>
  <w:num w:numId="27" w16cid:durableId="845830523">
    <w:abstractNumId w:val="13"/>
  </w:num>
  <w:num w:numId="28" w16cid:durableId="873464227">
    <w:abstractNumId w:val="19"/>
  </w:num>
  <w:num w:numId="29" w16cid:durableId="1750227247">
    <w:abstractNumId w:val="15"/>
  </w:num>
  <w:num w:numId="30" w16cid:durableId="1544172126">
    <w:abstractNumId w:val="28"/>
  </w:num>
  <w:num w:numId="31" w16cid:durableId="876546850">
    <w:abstractNumId w:val="31"/>
  </w:num>
  <w:num w:numId="32" w16cid:durableId="55593814">
    <w:abstractNumId w:val="12"/>
  </w:num>
  <w:num w:numId="33" w16cid:durableId="659777330">
    <w:abstractNumId w:val="13"/>
  </w:num>
  <w:num w:numId="34" w16cid:durableId="1982074429">
    <w:abstractNumId w:val="13"/>
  </w:num>
  <w:num w:numId="35" w16cid:durableId="887183225">
    <w:abstractNumId w:val="26"/>
  </w:num>
  <w:num w:numId="36" w16cid:durableId="1896313058">
    <w:abstractNumId w:val="11"/>
  </w:num>
  <w:num w:numId="37" w16cid:durableId="1410033969">
    <w:abstractNumId w:val="10"/>
  </w:num>
  <w:num w:numId="38" w16cid:durableId="1918129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akFALICgP8tAAAA"/>
  </w:docVars>
  <w:rsids>
    <w:rsidRoot w:val="000E414A"/>
    <w:rsid w:val="000001B5"/>
    <w:rsid w:val="0000073B"/>
    <w:rsid w:val="000027C0"/>
    <w:rsid w:val="000052FB"/>
    <w:rsid w:val="00005F6A"/>
    <w:rsid w:val="000064C2"/>
    <w:rsid w:val="00011050"/>
    <w:rsid w:val="000117CB"/>
    <w:rsid w:val="000143CB"/>
    <w:rsid w:val="0001736F"/>
    <w:rsid w:val="00020588"/>
    <w:rsid w:val="00021579"/>
    <w:rsid w:val="000222CB"/>
    <w:rsid w:val="00022F9D"/>
    <w:rsid w:val="00023084"/>
    <w:rsid w:val="0002341E"/>
    <w:rsid w:val="00024DDE"/>
    <w:rsid w:val="00025AEE"/>
    <w:rsid w:val="000260A8"/>
    <w:rsid w:val="000279E7"/>
    <w:rsid w:val="00030C3E"/>
    <w:rsid w:val="00030F9A"/>
    <w:rsid w:val="0003148D"/>
    <w:rsid w:val="00031EEC"/>
    <w:rsid w:val="00034D2E"/>
    <w:rsid w:val="000351BC"/>
    <w:rsid w:val="000353D6"/>
    <w:rsid w:val="00035AC0"/>
    <w:rsid w:val="00036970"/>
    <w:rsid w:val="00037967"/>
    <w:rsid w:val="000407F7"/>
    <w:rsid w:val="000438C9"/>
    <w:rsid w:val="00045F2B"/>
    <w:rsid w:val="00051566"/>
    <w:rsid w:val="00052631"/>
    <w:rsid w:val="00053EBB"/>
    <w:rsid w:val="000557B2"/>
    <w:rsid w:val="00057544"/>
    <w:rsid w:val="0006062D"/>
    <w:rsid w:val="00060794"/>
    <w:rsid w:val="000617CE"/>
    <w:rsid w:val="0006273D"/>
    <w:rsid w:val="00062A9A"/>
    <w:rsid w:val="00063CD3"/>
    <w:rsid w:val="00065058"/>
    <w:rsid w:val="000802D6"/>
    <w:rsid w:val="0008385C"/>
    <w:rsid w:val="00084234"/>
    <w:rsid w:val="00086C39"/>
    <w:rsid w:val="00090362"/>
    <w:rsid w:val="00090AC8"/>
    <w:rsid w:val="00090FBE"/>
    <w:rsid w:val="000934AE"/>
    <w:rsid w:val="000957BE"/>
    <w:rsid w:val="00096B37"/>
    <w:rsid w:val="000A0241"/>
    <w:rsid w:val="000A03B2"/>
    <w:rsid w:val="000A4405"/>
    <w:rsid w:val="000A4DBA"/>
    <w:rsid w:val="000A526B"/>
    <w:rsid w:val="000A55DF"/>
    <w:rsid w:val="000B0DD1"/>
    <w:rsid w:val="000B0F81"/>
    <w:rsid w:val="000B2B79"/>
    <w:rsid w:val="000B2BED"/>
    <w:rsid w:val="000B4FD8"/>
    <w:rsid w:val="000B545F"/>
    <w:rsid w:val="000B7303"/>
    <w:rsid w:val="000B7B64"/>
    <w:rsid w:val="000C0165"/>
    <w:rsid w:val="000C0306"/>
    <w:rsid w:val="000C0D28"/>
    <w:rsid w:val="000C18D1"/>
    <w:rsid w:val="000C705D"/>
    <w:rsid w:val="000C7F49"/>
    <w:rsid w:val="000D0268"/>
    <w:rsid w:val="000D0C89"/>
    <w:rsid w:val="000D0F70"/>
    <w:rsid w:val="000D34BE"/>
    <w:rsid w:val="000D41B9"/>
    <w:rsid w:val="000D589F"/>
    <w:rsid w:val="000D5906"/>
    <w:rsid w:val="000D642D"/>
    <w:rsid w:val="000D72A5"/>
    <w:rsid w:val="000D7A2E"/>
    <w:rsid w:val="000E102F"/>
    <w:rsid w:val="000E283B"/>
    <w:rsid w:val="000E2858"/>
    <w:rsid w:val="000E2B0B"/>
    <w:rsid w:val="000E36F1"/>
    <w:rsid w:val="000E3A73"/>
    <w:rsid w:val="000E414A"/>
    <w:rsid w:val="000E445E"/>
    <w:rsid w:val="000F093C"/>
    <w:rsid w:val="000F0E78"/>
    <w:rsid w:val="000F194B"/>
    <w:rsid w:val="000F2346"/>
    <w:rsid w:val="000F3293"/>
    <w:rsid w:val="000F73A6"/>
    <w:rsid w:val="000F787B"/>
    <w:rsid w:val="0010180D"/>
    <w:rsid w:val="00106B28"/>
    <w:rsid w:val="00110EA6"/>
    <w:rsid w:val="00111C0F"/>
    <w:rsid w:val="00112DEB"/>
    <w:rsid w:val="00115217"/>
    <w:rsid w:val="00116B60"/>
    <w:rsid w:val="001170FE"/>
    <w:rsid w:val="0012091F"/>
    <w:rsid w:val="001209BD"/>
    <w:rsid w:val="001209FE"/>
    <w:rsid w:val="00120B4E"/>
    <w:rsid w:val="00121739"/>
    <w:rsid w:val="00124B97"/>
    <w:rsid w:val="001260E6"/>
    <w:rsid w:val="00126BC2"/>
    <w:rsid w:val="0012704B"/>
    <w:rsid w:val="00127A08"/>
    <w:rsid w:val="00127F44"/>
    <w:rsid w:val="001308B6"/>
    <w:rsid w:val="0013121F"/>
    <w:rsid w:val="00131350"/>
    <w:rsid w:val="00131FE6"/>
    <w:rsid w:val="0013263F"/>
    <w:rsid w:val="001331DF"/>
    <w:rsid w:val="0013473C"/>
    <w:rsid w:val="00134DE4"/>
    <w:rsid w:val="00136979"/>
    <w:rsid w:val="00137961"/>
    <w:rsid w:val="0014034D"/>
    <w:rsid w:val="001420D4"/>
    <w:rsid w:val="00143524"/>
    <w:rsid w:val="00143713"/>
    <w:rsid w:val="00143CE0"/>
    <w:rsid w:val="00144D16"/>
    <w:rsid w:val="00145297"/>
    <w:rsid w:val="0014716E"/>
    <w:rsid w:val="00150E59"/>
    <w:rsid w:val="0015266B"/>
    <w:rsid w:val="00152ADA"/>
    <w:rsid w:val="00152DE3"/>
    <w:rsid w:val="00154116"/>
    <w:rsid w:val="001541D7"/>
    <w:rsid w:val="0015522D"/>
    <w:rsid w:val="00155F3B"/>
    <w:rsid w:val="001600DB"/>
    <w:rsid w:val="00161958"/>
    <w:rsid w:val="0016271F"/>
    <w:rsid w:val="00163990"/>
    <w:rsid w:val="00164563"/>
    <w:rsid w:val="00164CF9"/>
    <w:rsid w:val="00165418"/>
    <w:rsid w:val="001655D9"/>
    <w:rsid w:val="00165810"/>
    <w:rsid w:val="001667A6"/>
    <w:rsid w:val="00166C8A"/>
    <w:rsid w:val="00166F67"/>
    <w:rsid w:val="00170D1F"/>
    <w:rsid w:val="00171DC0"/>
    <w:rsid w:val="001720BA"/>
    <w:rsid w:val="00172E6F"/>
    <w:rsid w:val="00173468"/>
    <w:rsid w:val="00173AEF"/>
    <w:rsid w:val="00174EF9"/>
    <w:rsid w:val="00175B34"/>
    <w:rsid w:val="001778F0"/>
    <w:rsid w:val="00181CDB"/>
    <w:rsid w:val="001825E4"/>
    <w:rsid w:val="001844D4"/>
    <w:rsid w:val="00184AD6"/>
    <w:rsid w:val="001873E9"/>
    <w:rsid w:val="0018796E"/>
    <w:rsid w:val="00191ABF"/>
    <w:rsid w:val="00196D8B"/>
    <w:rsid w:val="001A24C8"/>
    <w:rsid w:val="001A4AF7"/>
    <w:rsid w:val="001A4C1B"/>
    <w:rsid w:val="001A4CB1"/>
    <w:rsid w:val="001A5243"/>
    <w:rsid w:val="001A6317"/>
    <w:rsid w:val="001A6652"/>
    <w:rsid w:val="001B0349"/>
    <w:rsid w:val="001B1126"/>
    <w:rsid w:val="001B1E93"/>
    <w:rsid w:val="001B4C41"/>
    <w:rsid w:val="001B600F"/>
    <w:rsid w:val="001B65C1"/>
    <w:rsid w:val="001B6C27"/>
    <w:rsid w:val="001B7505"/>
    <w:rsid w:val="001C1A62"/>
    <w:rsid w:val="001C4B48"/>
    <w:rsid w:val="001C684B"/>
    <w:rsid w:val="001C75D6"/>
    <w:rsid w:val="001C77ED"/>
    <w:rsid w:val="001D07D1"/>
    <w:rsid w:val="001D0B78"/>
    <w:rsid w:val="001D0CFB"/>
    <w:rsid w:val="001D1FE5"/>
    <w:rsid w:val="001D5370"/>
    <w:rsid w:val="001D53FC"/>
    <w:rsid w:val="001E108C"/>
    <w:rsid w:val="001E5DBC"/>
    <w:rsid w:val="001E6538"/>
    <w:rsid w:val="001F0286"/>
    <w:rsid w:val="001F0B1E"/>
    <w:rsid w:val="001F1BA5"/>
    <w:rsid w:val="001F42A5"/>
    <w:rsid w:val="001F7ADD"/>
    <w:rsid w:val="001F7B9D"/>
    <w:rsid w:val="00200C19"/>
    <w:rsid w:val="00200CAC"/>
    <w:rsid w:val="00201C42"/>
    <w:rsid w:val="00201C93"/>
    <w:rsid w:val="0020414A"/>
    <w:rsid w:val="00206DEC"/>
    <w:rsid w:val="002073A3"/>
    <w:rsid w:val="0021082D"/>
    <w:rsid w:val="00210A5B"/>
    <w:rsid w:val="00211352"/>
    <w:rsid w:val="00212B93"/>
    <w:rsid w:val="00214314"/>
    <w:rsid w:val="00214DC1"/>
    <w:rsid w:val="00215829"/>
    <w:rsid w:val="002161A3"/>
    <w:rsid w:val="002170B6"/>
    <w:rsid w:val="002173AF"/>
    <w:rsid w:val="002174EF"/>
    <w:rsid w:val="00220B90"/>
    <w:rsid w:val="002222A8"/>
    <w:rsid w:val="002224B4"/>
    <w:rsid w:val="0023088F"/>
    <w:rsid w:val="00230E7E"/>
    <w:rsid w:val="00232F6F"/>
    <w:rsid w:val="00233B9F"/>
    <w:rsid w:val="00233E02"/>
    <w:rsid w:val="002347D3"/>
    <w:rsid w:val="00234CB1"/>
    <w:rsid w:val="00236CB5"/>
    <w:rsid w:val="00242604"/>
    <w:rsid w:val="00243D86"/>
    <w:rsid w:val="00243DCA"/>
    <w:rsid w:val="002447EF"/>
    <w:rsid w:val="00245299"/>
    <w:rsid w:val="00250FB0"/>
    <w:rsid w:val="00251550"/>
    <w:rsid w:val="002517F1"/>
    <w:rsid w:val="0025304F"/>
    <w:rsid w:val="0025493A"/>
    <w:rsid w:val="00254C8A"/>
    <w:rsid w:val="00254DF0"/>
    <w:rsid w:val="00256772"/>
    <w:rsid w:val="00257070"/>
    <w:rsid w:val="002577EE"/>
    <w:rsid w:val="002610EB"/>
    <w:rsid w:val="00262113"/>
    <w:rsid w:val="00262CE2"/>
    <w:rsid w:val="00263367"/>
    <w:rsid w:val="00263B05"/>
    <w:rsid w:val="00265243"/>
    <w:rsid w:val="00265970"/>
    <w:rsid w:val="00265B75"/>
    <w:rsid w:val="002663C4"/>
    <w:rsid w:val="002669E9"/>
    <w:rsid w:val="00266D6B"/>
    <w:rsid w:val="0027003C"/>
    <w:rsid w:val="0027221A"/>
    <w:rsid w:val="00273C21"/>
    <w:rsid w:val="00274305"/>
    <w:rsid w:val="00274E25"/>
    <w:rsid w:val="00274F88"/>
    <w:rsid w:val="00275B61"/>
    <w:rsid w:val="002778DA"/>
    <w:rsid w:val="00280FAF"/>
    <w:rsid w:val="002811C9"/>
    <w:rsid w:val="00282656"/>
    <w:rsid w:val="00284971"/>
    <w:rsid w:val="0028555C"/>
    <w:rsid w:val="00292256"/>
    <w:rsid w:val="0029429E"/>
    <w:rsid w:val="00296B83"/>
    <w:rsid w:val="00296E4C"/>
    <w:rsid w:val="002A0047"/>
    <w:rsid w:val="002A1158"/>
    <w:rsid w:val="002A33E0"/>
    <w:rsid w:val="002A3B81"/>
    <w:rsid w:val="002A44AC"/>
    <w:rsid w:val="002A5921"/>
    <w:rsid w:val="002A65CB"/>
    <w:rsid w:val="002A74C4"/>
    <w:rsid w:val="002B11A8"/>
    <w:rsid w:val="002B3C92"/>
    <w:rsid w:val="002B3F96"/>
    <w:rsid w:val="002B4015"/>
    <w:rsid w:val="002B66F3"/>
    <w:rsid w:val="002B78CE"/>
    <w:rsid w:val="002C2FB6"/>
    <w:rsid w:val="002C41E6"/>
    <w:rsid w:val="002C6334"/>
    <w:rsid w:val="002D3DC7"/>
    <w:rsid w:val="002D7307"/>
    <w:rsid w:val="002D7399"/>
    <w:rsid w:val="002E1E81"/>
    <w:rsid w:val="002E39BE"/>
    <w:rsid w:val="002E5FA7"/>
    <w:rsid w:val="002E7E6B"/>
    <w:rsid w:val="002F1215"/>
    <w:rsid w:val="002F2405"/>
    <w:rsid w:val="002F3159"/>
    <w:rsid w:val="002F3309"/>
    <w:rsid w:val="003008CE"/>
    <w:rsid w:val="003009B7"/>
    <w:rsid w:val="00300E56"/>
    <w:rsid w:val="003012E5"/>
    <w:rsid w:val="0030469C"/>
    <w:rsid w:val="00305341"/>
    <w:rsid w:val="003060E7"/>
    <w:rsid w:val="0031308A"/>
    <w:rsid w:val="00314077"/>
    <w:rsid w:val="00314132"/>
    <w:rsid w:val="003203E7"/>
    <w:rsid w:val="00320C42"/>
    <w:rsid w:val="00321CA6"/>
    <w:rsid w:val="00323753"/>
    <w:rsid w:val="00323763"/>
    <w:rsid w:val="00324662"/>
    <w:rsid w:val="00324BD1"/>
    <w:rsid w:val="00325E3F"/>
    <w:rsid w:val="00326597"/>
    <w:rsid w:val="003267DE"/>
    <w:rsid w:val="00331A3F"/>
    <w:rsid w:val="00332562"/>
    <w:rsid w:val="00334C09"/>
    <w:rsid w:val="00343537"/>
    <w:rsid w:val="00343D30"/>
    <w:rsid w:val="0034547A"/>
    <w:rsid w:val="003459B1"/>
    <w:rsid w:val="00345B74"/>
    <w:rsid w:val="00352581"/>
    <w:rsid w:val="00356A30"/>
    <w:rsid w:val="00357065"/>
    <w:rsid w:val="003624A8"/>
    <w:rsid w:val="003625D0"/>
    <w:rsid w:val="00366704"/>
    <w:rsid w:val="00366813"/>
    <w:rsid w:val="00367960"/>
    <w:rsid w:val="003707C3"/>
    <w:rsid w:val="003713F7"/>
    <w:rsid w:val="003723D4"/>
    <w:rsid w:val="0037368A"/>
    <w:rsid w:val="0037611F"/>
    <w:rsid w:val="00381905"/>
    <w:rsid w:val="00381C6A"/>
    <w:rsid w:val="00384917"/>
    <w:rsid w:val="00384CC8"/>
    <w:rsid w:val="00386D7D"/>
    <w:rsid w:val="003871FD"/>
    <w:rsid w:val="003908CD"/>
    <w:rsid w:val="00392CA7"/>
    <w:rsid w:val="0039346D"/>
    <w:rsid w:val="00394ABA"/>
    <w:rsid w:val="00395BCC"/>
    <w:rsid w:val="003962F2"/>
    <w:rsid w:val="003964B6"/>
    <w:rsid w:val="00396ED5"/>
    <w:rsid w:val="0039727C"/>
    <w:rsid w:val="003A07C2"/>
    <w:rsid w:val="003A0E1B"/>
    <w:rsid w:val="003A1E30"/>
    <w:rsid w:val="003A2829"/>
    <w:rsid w:val="003A34B9"/>
    <w:rsid w:val="003A3EEB"/>
    <w:rsid w:val="003A444C"/>
    <w:rsid w:val="003A4841"/>
    <w:rsid w:val="003A5EE5"/>
    <w:rsid w:val="003A7993"/>
    <w:rsid w:val="003A7D1C"/>
    <w:rsid w:val="003B143E"/>
    <w:rsid w:val="003B2D96"/>
    <w:rsid w:val="003B304B"/>
    <w:rsid w:val="003B3146"/>
    <w:rsid w:val="003B339B"/>
    <w:rsid w:val="003B3859"/>
    <w:rsid w:val="003B41DF"/>
    <w:rsid w:val="003B4310"/>
    <w:rsid w:val="003B66F0"/>
    <w:rsid w:val="003B6716"/>
    <w:rsid w:val="003C05C7"/>
    <w:rsid w:val="003C15CC"/>
    <w:rsid w:val="003C1949"/>
    <w:rsid w:val="003C2B65"/>
    <w:rsid w:val="003C5CE1"/>
    <w:rsid w:val="003C5F8E"/>
    <w:rsid w:val="003C7C41"/>
    <w:rsid w:val="003D08A0"/>
    <w:rsid w:val="003D1739"/>
    <w:rsid w:val="003D539B"/>
    <w:rsid w:val="003D57E6"/>
    <w:rsid w:val="003E010A"/>
    <w:rsid w:val="003E1692"/>
    <w:rsid w:val="003E3BFF"/>
    <w:rsid w:val="003E5E74"/>
    <w:rsid w:val="003F015E"/>
    <w:rsid w:val="003F3711"/>
    <w:rsid w:val="00400414"/>
    <w:rsid w:val="00402AE6"/>
    <w:rsid w:val="00403036"/>
    <w:rsid w:val="004030F6"/>
    <w:rsid w:val="004038E5"/>
    <w:rsid w:val="0040409C"/>
    <w:rsid w:val="0040437E"/>
    <w:rsid w:val="0040492C"/>
    <w:rsid w:val="00405770"/>
    <w:rsid w:val="00405D82"/>
    <w:rsid w:val="004060DC"/>
    <w:rsid w:val="0041049C"/>
    <w:rsid w:val="00412935"/>
    <w:rsid w:val="0041446B"/>
    <w:rsid w:val="00414757"/>
    <w:rsid w:val="004148A8"/>
    <w:rsid w:val="004163B9"/>
    <w:rsid w:val="0042032C"/>
    <w:rsid w:val="0042056D"/>
    <w:rsid w:val="0042537B"/>
    <w:rsid w:val="00425A20"/>
    <w:rsid w:val="0042795E"/>
    <w:rsid w:val="004307AC"/>
    <w:rsid w:val="0043196B"/>
    <w:rsid w:val="00431D92"/>
    <w:rsid w:val="00431DE5"/>
    <w:rsid w:val="0043465A"/>
    <w:rsid w:val="00440D2C"/>
    <w:rsid w:val="00440F4A"/>
    <w:rsid w:val="004419E5"/>
    <w:rsid w:val="00443001"/>
    <w:rsid w:val="0044329C"/>
    <w:rsid w:val="00443847"/>
    <w:rsid w:val="00444A48"/>
    <w:rsid w:val="004522C0"/>
    <w:rsid w:val="004522D2"/>
    <w:rsid w:val="00453E24"/>
    <w:rsid w:val="00454570"/>
    <w:rsid w:val="00454C09"/>
    <w:rsid w:val="004559AF"/>
    <w:rsid w:val="00457456"/>
    <w:rsid w:val="004577FE"/>
    <w:rsid w:val="0045794B"/>
    <w:rsid w:val="00457B9C"/>
    <w:rsid w:val="0046164A"/>
    <w:rsid w:val="004621D9"/>
    <w:rsid w:val="004628D2"/>
    <w:rsid w:val="00462DCD"/>
    <w:rsid w:val="00463037"/>
    <w:rsid w:val="00463B97"/>
    <w:rsid w:val="004648AD"/>
    <w:rsid w:val="00466131"/>
    <w:rsid w:val="00466EC1"/>
    <w:rsid w:val="00467CA2"/>
    <w:rsid w:val="004703A9"/>
    <w:rsid w:val="00472374"/>
    <w:rsid w:val="0047260E"/>
    <w:rsid w:val="00474529"/>
    <w:rsid w:val="004750B5"/>
    <w:rsid w:val="0047537A"/>
    <w:rsid w:val="00475497"/>
    <w:rsid w:val="004760DE"/>
    <w:rsid w:val="004763D7"/>
    <w:rsid w:val="004772A6"/>
    <w:rsid w:val="004773F8"/>
    <w:rsid w:val="00477CDA"/>
    <w:rsid w:val="00477CE4"/>
    <w:rsid w:val="00482300"/>
    <w:rsid w:val="0048380C"/>
    <w:rsid w:val="00483DF2"/>
    <w:rsid w:val="00487081"/>
    <w:rsid w:val="00487EA5"/>
    <w:rsid w:val="0049463D"/>
    <w:rsid w:val="00496429"/>
    <w:rsid w:val="00496F1B"/>
    <w:rsid w:val="004977FB"/>
    <w:rsid w:val="004A004E"/>
    <w:rsid w:val="004A1109"/>
    <w:rsid w:val="004A1132"/>
    <w:rsid w:val="004A1DB1"/>
    <w:rsid w:val="004A24CF"/>
    <w:rsid w:val="004A3100"/>
    <w:rsid w:val="004A33F2"/>
    <w:rsid w:val="004A46CF"/>
    <w:rsid w:val="004A4715"/>
    <w:rsid w:val="004A50BF"/>
    <w:rsid w:val="004A5DF0"/>
    <w:rsid w:val="004A7BE2"/>
    <w:rsid w:val="004B1574"/>
    <w:rsid w:val="004B245A"/>
    <w:rsid w:val="004B5DCF"/>
    <w:rsid w:val="004C022B"/>
    <w:rsid w:val="004C08C2"/>
    <w:rsid w:val="004C0F2A"/>
    <w:rsid w:val="004C1F01"/>
    <w:rsid w:val="004C370D"/>
    <w:rsid w:val="004C3D1D"/>
    <w:rsid w:val="004C4F51"/>
    <w:rsid w:val="004C7156"/>
    <w:rsid w:val="004C7913"/>
    <w:rsid w:val="004C7E5C"/>
    <w:rsid w:val="004D04F7"/>
    <w:rsid w:val="004D2DE6"/>
    <w:rsid w:val="004D3D7E"/>
    <w:rsid w:val="004D3E18"/>
    <w:rsid w:val="004E0215"/>
    <w:rsid w:val="004E11C3"/>
    <w:rsid w:val="004E26ED"/>
    <w:rsid w:val="004E2A47"/>
    <w:rsid w:val="004E4848"/>
    <w:rsid w:val="004E4DD6"/>
    <w:rsid w:val="004E6572"/>
    <w:rsid w:val="004E7F72"/>
    <w:rsid w:val="004F02D3"/>
    <w:rsid w:val="004F06BB"/>
    <w:rsid w:val="004F0EA9"/>
    <w:rsid w:val="004F3569"/>
    <w:rsid w:val="004F5E36"/>
    <w:rsid w:val="004F6E31"/>
    <w:rsid w:val="004F731E"/>
    <w:rsid w:val="00500B13"/>
    <w:rsid w:val="00502909"/>
    <w:rsid w:val="0050298E"/>
    <w:rsid w:val="00506030"/>
    <w:rsid w:val="00507B47"/>
    <w:rsid w:val="00507BEF"/>
    <w:rsid w:val="00507CC9"/>
    <w:rsid w:val="005119A5"/>
    <w:rsid w:val="00512DF7"/>
    <w:rsid w:val="00513273"/>
    <w:rsid w:val="005144E5"/>
    <w:rsid w:val="00515ED5"/>
    <w:rsid w:val="0051722E"/>
    <w:rsid w:val="00517442"/>
    <w:rsid w:val="00520535"/>
    <w:rsid w:val="005240A8"/>
    <w:rsid w:val="005247A9"/>
    <w:rsid w:val="00524822"/>
    <w:rsid w:val="00525FE0"/>
    <w:rsid w:val="005278B7"/>
    <w:rsid w:val="00530248"/>
    <w:rsid w:val="00530EFD"/>
    <w:rsid w:val="0053116B"/>
    <w:rsid w:val="005313A8"/>
    <w:rsid w:val="00532016"/>
    <w:rsid w:val="00534412"/>
    <w:rsid w:val="005346C8"/>
    <w:rsid w:val="00534F70"/>
    <w:rsid w:val="00541B47"/>
    <w:rsid w:val="00543E7D"/>
    <w:rsid w:val="00544BC4"/>
    <w:rsid w:val="00547A68"/>
    <w:rsid w:val="0055060C"/>
    <w:rsid w:val="00550BFB"/>
    <w:rsid w:val="00552567"/>
    <w:rsid w:val="005531C9"/>
    <w:rsid w:val="00554537"/>
    <w:rsid w:val="00555BD0"/>
    <w:rsid w:val="00555E17"/>
    <w:rsid w:val="005570C6"/>
    <w:rsid w:val="005600C3"/>
    <w:rsid w:val="005601A8"/>
    <w:rsid w:val="0056021C"/>
    <w:rsid w:val="00560BD9"/>
    <w:rsid w:val="00560DDD"/>
    <w:rsid w:val="00560E87"/>
    <w:rsid w:val="005625D9"/>
    <w:rsid w:val="0056302F"/>
    <w:rsid w:val="00563A35"/>
    <w:rsid w:val="005647FD"/>
    <w:rsid w:val="005650FC"/>
    <w:rsid w:val="00567106"/>
    <w:rsid w:val="00567380"/>
    <w:rsid w:val="00570A67"/>
    <w:rsid w:val="00570C43"/>
    <w:rsid w:val="00574142"/>
    <w:rsid w:val="00575EF1"/>
    <w:rsid w:val="0057662A"/>
    <w:rsid w:val="00577DBB"/>
    <w:rsid w:val="00581013"/>
    <w:rsid w:val="005832FF"/>
    <w:rsid w:val="00583A3C"/>
    <w:rsid w:val="005847DF"/>
    <w:rsid w:val="0058494F"/>
    <w:rsid w:val="00593768"/>
    <w:rsid w:val="00593DFC"/>
    <w:rsid w:val="005A1AB4"/>
    <w:rsid w:val="005A1D90"/>
    <w:rsid w:val="005A385D"/>
    <w:rsid w:val="005A3CE8"/>
    <w:rsid w:val="005A3FC7"/>
    <w:rsid w:val="005A607D"/>
    <w:rsid w:val="005B0550"/>
    <w:rsid w:val="005B13C2"/>
    <w:rsid w:val="005B183D"/>
    <w:rsid w:val="005B1EF2"/>
    <w:rsid w:val="005B2110"/>
    <w:rsid w:val="005B615A"/>
    <w:rsid w:val="005B61E6"/>
    <w:rsid w:val="005C3699"/>
    <w:rsid w:val="005C3D90"/>
    <w:rsid w:val="005C475C"/>
    <w:rsid w:val="005C4D9B"/>
    <w:rsid w:val="005C4DE1"/>
    <w:rsid w:val="005C5248"/>
    <w:rsid w:val="005C5E3A"/>
    <w:rsid w:val="005C7016"/>
    <w:rsid w:val="005C77E1"/>
    <w:rsid w:val="005D0213"/>
    <w:rsid w:val="005D03FC"/>
    <w:rsid w:val="005D3579"/>
    <w:rsid w:val="005D3B65"/>
    <w:rsid w:val="005D3DC6"/>
    <w:rsid w:val="005D4255"/>
    <w:rsid w:val="005D5D74"/>
    <w:rsid w:val="005D668A"/>
    <w:rsid w:val="005D6A2F"/>
    <w:rsid w:val="005D6BC5"/>
    <w:rsid w:val="005E014E"/>
    <w:rsid w:val="005E0923"/>
    <w:rsid w:val="005E0C11"/>
    <w:rsid w:val="005E1939"/>
    <w:rsid w:val="005E1A82"/>
    <w:rsid w:val="005E2B41"/>
    <w:rsid w:val="005E31BB"/>
    <w:rsid w:val="005E3274"/>
    <w:rsid w:val="005E3713"/>
    <w:rsid w:val="005E6500"/>
    <w:rsid w:val="005E794C"/>
    <w:rsid w:val="005F0A28"/>
    <w:rsid w:val="005F0E5E"/>
    <w:rsid w:val="005F15BF"/>
    <w:rsid w:val="005F4661"/>
    <w:rsid w:val="005F4C0C"/>
    <w:rsid w:val="005F4DE9"/>
    <w:rsid w:val="005F55D6"/>
    <w:rsid w:val="005F7463"/>
    <w:rsid w:val="005F7B78"/>
    <w:rsid w:val="00600535"/>
    <w:rsid w:val="00600E9C"/>
    <w:rsid w:val="00601207"/>
    <w:rsid w:val="00601DC4"/>
    <w:rsid w:val="006028EB"/>
    <w:rsid w:val="00605B4F"/>
    <w:rsid w:val="00610CD6"/>
    <w:rsid w:val="0061136E"/>
    <w:rsid w:val="006125E7"/>
    <w:rsid w:val="006126A8"/>
    <w:rsid w:val="0061581B"/>
    <w:rsid w:val="00620DA9"/>
    <w:rsid w:val="00620DEE"/>
    <w:rsid w:val="006210FA"/>
    <w:rsid w:val="00621437"/>
    <w:rsid w:val="00621F92"/>
    <w:rsid w:val="00622712"/>
    <w:rsid w:val="0062280A"/>
    <w:rsid w:val="006230F0"/>
    <w:rsid w:val="0062377A"/>
    <w:rsid w:val="00625639"/>
    <w:rsid w:val="00627D4A"/>
    <w:rsid w:val="00631B33"/>
    <w:rsid w:val="00632415"/>
    <w:rsid w:val="006343A0"/>
    <w:rsid w:val="00637F85"/>
    <w:rsid w:val="00640839"/>
    <w:rsid w:val="006411A7"/>
    <w:rsid w:val="0064184D"/>
    <w:rsid w:val="006422CC"/>
    <w:rsid w:val="00642ABE"/>
    <w:rsid w:val="00642B03"/>
    <w:rsid w:val="00642CA6"/>
    <w:rsid w:val="0064339C"/>
    <w:rsid w:val="0064510F"/>
    <w:rsid w:val="00650B29"/>
    <w:rsid w:val="0065116C"/>
    <w:rsid w:val="00652460"/>
    <w:rsid w:val="00655451"/>
    <w:rsid w:val="00655DE4"/>
    <w:rsid w:val="00656A3B"/>
    <w:rsid w:val="00660827"/>
    <w:rsid w:val="00660E3E"/>
    <w:rsid w:val="00660F83"/>
    <w:rsid w:val="00662E74"/>
    <w:rsid w:val="00663853"/>
    <w:rsid w:val="00665323"/>
    <w:rsid w:val="006665EF"/>
    <w:rsid w:val="006670BB"/>
    <w:rsid w:val="0066726A"/>
    <w:rsid w:val="00667D60"/>
    <w:rsid w:val="00671CD1"/>
    <w:rsid w:val="00674084"/>
    <w:rsid w:val="00675089"/>
    <w:rsid w:val="0067710D"/>
    <w:rsid w:val="00680C23"/>
    <w:rsid w:val="00681CA6"/>
    <w:rsid w:val="00682ED0"/>
    <w:rsid w:val="00683D5C"/>
    <w:rsid w:val="00683F51"/>
    <w:rsid w:val="00684C6B"/>
    <w:rsid w:val="006855E8"/>
    <w:rsid w:val="00685A1F"/>
    <w:rsid w:val="00685C49"/>
    <w:rsid w:val="00687B65"/>
    <w:rsid w:val="006930EC"/>
    <w:rsid w:val="0069329D"/>
    <w:rsid w:val="00693766"/>
    <w:rsid w:val="00694540"/>
    <w:rsid w:val="006965E4"/>
    <w:rsid w:val="00697134"/>
    <w:rsid w:val="006A0726"/>
    <w:rsid w:val="006A3281"/>
    <w:rsid w:val="006A39D9"/>
    <w:rsid w:val="006A3A05"/>
    <w:rsid w:val="006A760A"/>
    <w:rsid w:val="006A7689"/>
    <w:rsid w:val="006A78BE"/>
    <w:rsid w:val="006B1BF4"/>
    <w:rsid w:val="006B2744"/>
    <w:rsid w:val="006B28B3"/>
    <w:rsid w:val="006B2E02"/>
    <w:rsid w:val="006B30D2"/>
    <w:rsid w:val="006B39EE"/>
    <w:rsid w:val="006B4888"/>
    <w:rsid w:val="006B5165"/>
    <w:rsid w:val="006B5207"/>
    <w:rsid w:val="006B7F5A"/>
    <w:rsid w:val="006C22E1"/>
    <w:rsid w:val="006C2B13"/>
    <w:rsid w:val="006C2E45"/>
    <w:rsid w:val="006C336F"/>
    <w:rsid w:val="006C359C"/>
    <w:rsid w:val="006C408F"/>
    <w:rsid w:val="006C5161"/>
    <w:rsid w:val="006C51E5"/>
    <w:rsid w:val="006C5579"/>
    <w:rsid w:val="006D03C2"/>
    <w:rsid w:val="006D0C17"/>
    <w:rsid w:val="006D6E8B"/>
    <w:rsid w:val="006E028C"/>
    <w:rsid w:val="006E053F"/>
    <w:rsid w:val="006E254D"/>
    <w:rsid w:val="006E399C"/>
    <w:rsid w:val="006E4EE5"/>
    <w:rsid w:val="006E737D"/>
    <w:rsid w:val="006F0C5D"/>
    <w:rsid w:val="006F356C"/>
    <w:rsid w:val="00700897"/>
    <w:rsid w:val="00705EF5"/>
    <w:rsid w:val="00705FA1"/>
    <w:rsid w:val="007066E7"/>
    <w:rsid w:val="00707A2C"/>
    <w:rsid w:val="0071154C"/>
    <w:rsid w:val="00711913"/>
    <w:rsid w:val="0071213B"/>
    <w:rsid w:val="007134E2"/>
    <w:rsid w:val="00713973"/>
    <w:rsid w:val="00715945"/>
    <w:rsid w:val="00715ED4"/>
    <w:rsid w:val="00717FFB"/>
    <w:rsid w:val="0072071E"/>
    <w:rsid w:val="00720A24"/>
    <w:rsid w:val="00721BD2"/>
    <w:rsid w:val="00723AAF"/>
    <w:rsid w:val="00724543"/>
    <w:rsid w:val="00724F41"/>
    <w:rsid w:val="0072585F"/>
    <w:rsid w:val="00726FAE"/>
    <w:rsid w:val="00730031"/>
    <w:rsid w:val="0073112D"/>
    <w:rsid w:val="00732386"/>
    <w:rsid w:val="00733BAF"/>
    <w:rsid w:val="0073514D"/>
    <w:rsid w:val="0073673F"/>
    <w:rsid w:val="007379B1"/>
    <w:rsid w:val="007408A7"/>
    <w:rsid w:val="007410C9"/>
    <w:rsid w:val="007421B6"/>
    <w:rsid w:val="007447F3"/>
    <w:rsid w:val="00744D93"/>
    <w:rsid w:val="0075187F"/>
    <w:rsid w:val="0075221C"/>
    <w:rsid w:val="007523AC"/>
    <w:rsid w:val="0075499F"/>
    <w:rsid w:val="00755CAE"/>
    <w:rsid w:val="00755F3F"/>
    <w:rsid w:val="00760001"/>
    <w:rsid w:val="00763856"/>
    <w:rsid w:val="00764A63"/>
    <w:rsid w:val="007654A6"/>
    <w:rsid w:val="007661C8"/>
    <w:rsid w:val="0077065B"/>
    <w:rsid w:val="0077098D"/>
    <w:rsid w:val="00774291"/>
    <w:rsid w:val="00774418"/>
    <w:rsid w:val="00774F42"/>
    <w:rsid w:val="007763A9"/>
    <w:rsid w:val="0077750E"/>
    <w:rsid w:val="00777C85"/>
    <w:rsid w:val="00780649"/>
    <w:rsid w:val="00782D56"/>
    <w:rsid w:val="00786E8A"/>
    <w:rsid w:val="007931FA"/>
    <w:rsid w:val="00796599"/>
    <w:rsid w:val="00796F43"/>
    <w:rsid w:val="00797DB4"/>
    <w:rsid w:val="007A076E"/>
    <w:rsid w:val="007A4861"/>
    <w:rsid w:val="007A64EB"/>
    <w:rsid w:val="007A7834"/>
    <w:rsid w:val="007A7BBA"/>
    <w:rsid w:val="007B0C50"/>
    <w:rsid w:val="007B20ED"/>
    <w:rsid w:val="007B2F96"/>
    <w:rsid w:val="007B3FE1"/>
    <w:rsid w:val="007B48F9"/>
    <w:rsid w:val="007B6A4E"/>
    <w:rsid w:val="007B7D3B"/>
    <w:rsid w:val="007C0812"/>
    <w:rsid w:val="007C0A56"/>
    <w:rsid w:val="007C1355"/>
    <w:rsid w:val="007C1A43"/>
    <w:rsid w:val="007C2973"/>
    <w:rsid w:val="007C56E4"/>
    <w:rsid w:val="007C6099"/>
    <w:rsid w:val="007D120B"/>
    <w:rsid w:val="007D17D4"/>
    <w:rsid w:val="007D2A3A"/>
    <w:rsid w:val="007D43B5"/>
    <w:rsid w:val="007D4F7E"/>
    <w:rsid w:val="007D6970"/>
    <w:rsid w:val="007D79A4"/>
    <w:rsid w:val="007E25B4"/>
    <w:rsid w:val="007E53D0"/>
    <w:rsid w:val="007E71F8"/>
    <w:rsid w:val="007F026F"/>
    <w:rsid w:val="007F24BA"/>
    <w:rsid w:val="007F3795"/>
    <w:rsid w:val="007F3ADE"/>
    <w:rsid w:val="007F55C0"/>
    <w:rsid w:val="007F6A19"/>
    <w:rsid w:val="0080013E"/>
    <w:rsid w:val="0080075F"/>
    <w:rsid w:val="00802537"/>
    <w:rsid w:val="008025B4"/>
    <w:rsid w:val="00802D99"/>
    <w:rsid w:val="00803229"/>
    <w:rsid w:val="008043F1"/>
    <w:rsid w:val="00804737"/>
    <w:rsid w:val="008070E4"/>
    <w:rsid w:val="0080762C"/>
    <w:rsid w:val="00812C74"/>
    <w:rsid w:val="00813288"/>
    <w:rsid w:val="00813C48"/>
    <w:rsid w:val="008151FE"/>
    <w:rsid w:val="00815790"/>
    <w:rsid w:val="008168FC"/>
    <w:rsid w:val="0081756A"/>
    <w:rsid w:val="00817949"/>
    <w:rsid w:val="00817DE0"/>
    <w:rsid w:val="0082027F"/>
    <w:rsid w:val="00820D1C"/>
    <w:rsid w:val="00822C64"/>
    <w:rsid w:val="00822E61"/>
    <w:rsid w:val="0082477B"/>
    <w:rsid w:val="00825DD9"/>
    <w:rsid w:val="00830996"/>
    <w:rsid w:val="00830AF7"/>
    <w:rsid w:val="00831D98"/>
    <w:rsid w:val="008345F1"/>
    <w:rsid w:val="00835C67"/>
    <w:rsid w:val="00836DE9"/>
    <w:rsid w:val="008417E0"/>
    <w:rsid w:val="00841F17"/>
    <w:rsid w:val="008433C8"/>
    <w:rsid w:val="00843D67"/>
    <w:rsid w:val="008459E7"/>
    <w:rsid w:val="00847CBB"/>
    <w:rsid w:val="00853CB6"/>
    <w:rsid w:val="008540DB"/>
    <w:rsid w:val="00854CA8"/>
    <w:rsid w:val="0086147A"/>
    <w:rsid w:val="008634C9"/>
    <w:rsid w:val="00864698"/>
    <w:rsid w:val="0086594F"/>
    <w:rsid w:val="00865B07"/>
    <w:rsid w:val="008667EA"/>
    <w:rsid w:val="0086775A"/>
    <w:rsid w:val="00873FA0"/>
    <w:rsid w:val="008745D3"/>
    <w:rsid w:val="0087637F"/>
    <w:rsid w:val="0088131F"/>
    <w:rsid w:val="00881353"/>
    <w:rsid w:val="00883F2B"/>
    <w:rsid w:val="00883F55"/>
    <w:rsid w:val="00883FC8"/>
    <w:rsid w:val="008852AF"/>
    <w:rsid w:val="008906FF"/>
    <w:rsid w:val="00892AD5"/>
    <w:rsid w:val="00892D5D"/>
    <w:rsid w:val="00893652"/>
    <w:rsid w:val="0089537C"/>
    <w:rsid w:val="008A0BF9"/>
    <w:rsid w:val="008A1512"/>
    <w:rsid w:val="008A1F45"/>
    <w:rsid w:val="008A3E92"/>
    <w:rsid w:val="008A4D42"/>
    <w:rsid w:val="008A5804"/>
    <w:rsid w:val="008A5CA3"/>
    <w:rsid w:val="008B0C7A"/>
    <w:rsid w:val="008B2154"/>
    <w:rsid w:val="008B28E5"/>
    <w:rsid w:val="008B4C0B"/>
    <w:rsid w:val="008B6397"/>
    <w:rsid w:val="008C0E3E"/>
    <w:rsid w:val="008C12A8"/>
    <w:rsid w:val="008C6201"/>
    <w:rsid w:val="008C6F76"/>
    <w:rsid w:val="008C72BC"/>
    <w:rsid w:val="008C79D2"/>
    <w:rsid w:val="008D185C"/>
    <w:rsid w:val="008D32B9"/>
    <w:rsid w:val="008D433B"/>
    <w:rsid w:val="008D6B00"/>
    <w:rsid w:val="008E1D4F"/>
    <w:rsid w:val="008E26B5"/>
    <w:rsid w:val="008E4563"/>
    <w:rsid w:val="008E566E"/>
    <w:rsid w:val="008E5CD9"/>
    <w:rsid w:val="008E6C54"/>
    <w:rsid w:val="008F184F"/>
    <w:rsid w:val="008F1982"/>
    <w:rsid w:val="008F1A0C"/>
    <w:rsid w:val="008F2DDE"/>
    <w:rsid w:val="0090161A"/>
    <w:rsid w:val="00901EB6"/>
    <w:rsid w:val="009031BD"/>
    <w:rsid w:val="00904C62"/>
    <w:rsid w:val="0091140E"/>
    <w:rsid w:val="0091226B"/>
    <w:rsid w:val="009133FB"/>
    <w:rsid w:val="0091363A"/>
    <w:rsid w:val="00914286"/>
    <w:rsid w:val="00920F18"/>
    <w:rsid w:val="00922026"/>
    <w:rsid w:val="00922BA8"/>
    <w:rsid w:val="00923B95"/>
    <w:rsid w:val="00924DAC"/>
    <w:rsid w:val="009257BC"/>
    <w:rsid w:val="009262FE"/>
    <w:rsid w:val="00926E55"/>
    <w:rsid w:val="00927058"/>
    <w:rsid w:val="00927EE7"/>
    <w:rsid w:val="00930BCB"/>
    <w:rsid w:val="00932607"/>
    <w:rsid w:val="009351D4"/>
    <w:rsid w:val="0093568E"/>
    <w:rsid w:val="00935E55"/>
    <w:rsid w:val="00937BCE"/>
    <w:rsid w:val="00940458"/>
    <w:rsid w:val="00941970"/>
    <w:rsid w:val="00942750"/>
    <w:rsid w:val="009450CE"/>
    <w:rsid w:val="009467FA"/>
    <w:rsid w:val="00947179"/>
    <w:rsid w:val="0095164B"/>
    <w:rsid w:val="00954090"/>
    <w:rsid w:val="0095546F"/>
    <w:rsid w:val="009573E7"/>
    <w:rsid w:val="00960829"/>
    <w:rsid w:val="00963E05"/>
    <w:rsid w:val="0096469F"/>
    <w:rsid w:val="00967843"/>
    <w:rsid w:val="00967D54"/>
    <w:rsid w:val="00970640"/>
    <w:rsid w:val="009706A4"/>
    <w:rsid w:val="00971028"/>
    <w:rsid w:val="0097239A"/>
    <w:rsid w:val="00975068"/>
    <w:rsid w:val="009751B6"/>
    <w:rsid w:val="00975F1B"/>
    <w:rsid w:val="009762C7"/>
    <w:rsid w:val="00980C1D"/>
    <w:rsid w:val="00982611"/>
    <w:rsid w:val="00983B5A"/>
    <w:rsid w:val="00985973"/>
    <w:rsid w:val="00986DFB"/>
    <w:rsid w:val="00987525"/>
    <w:rsid w:val="00993B84"/>
    <w:rsid w:val="00996483"/>
    <w:rsid w:val="00996F5A"/>
    <w:rsid w:val="009A0B64"/>
    <w:rsid w:val="009A0C00"/>
    <w:rsid w:val="009A1760"/>
    <w:rsid w:val="009A7781"/>
    <w:rsid w:val="009A7EB1"/>
    <w:rsid w:val="009B041A"/>
    <w:rsid w:val="009B3DCE"/>
    <w:rsid w:val="009B4477"/>
    <w:rsid w:val="009B61B8"/>
    <w:rsid w:val="009B6E7E"/>
    <w:rsid w:val="009C16F5"/>
    <w:rsid w:val="009C34F6"/>
    <w:rsid w:val="009C37C3"/>
    <w:rsid w:val="009C380B"/>
    <w:rsid w:val="009C4356"/>
    <w:rsid w:val="009C7428"/>
    <w:rsid w:val="009C7C86"/>
    <w:rsid w:val="009D18A6"/>
    <w:rsid w:val="009D2FF7"/>
    <w:rsid w:val="009D3AD6"/>
    <w:rsid w:val="009D5B97"/>
    <w:rsid w:val="009D6BA1"/>
    <w:rsid w:val="009E38B9"/>
    <w:rsid w:val="009E3FB9"/>
    <w:rsid w:val="009E447E"/>
    <w:rsid w:val="009E4E6B"/>
    <w:rsid w:val="009E5538"/>
    <w:rsid w:val="009E7884"/>
    <w:rsid w:val="009E788A"/>
    <w:rsid w:val="009F0E08"/>
    <w:rsid w:val="009F381B"/>
    <w:rsid w:val="009F4446"/>
    <w:rsid w:val="009F63C5"/>
    <w:rsid w:val="009F6A5C"/>
    <w:rsid w:val="00A00254"/>
    <w:rsid w:val="00A041AB"/>
    <w:rsid w:val="00A04D17"/>
    <w:rsid w:val="00A06226"/>
    <w:rsid w:val="00A0642B"/>
    <w:rsid w:val="00A0711D"/>
    <w:rsid w:val="00A07274"/>
    <w:rsid w:val="00A07F8A"/>
    <w:rsid w:val="00A12EB0"/>
    <w:rsid w:val="00A14174"/>
    <w:rsid w:val="00A1529D"/>
    <w:rsid w:val="00A1623D"/>
    <w:rsid w:val="00A1763D"/>
    <w:rsid w:val="00A17CEC"/>
    <w:rsid w:val="00A212CC"/>
    <w:rsid w:val="00A2180A"/>
    <w:rsid w:val="00A21F1D"/>
    <w:rsid w:val="00A2303C"/>
    <w:rsid w:val="00A24051"/>
    <w:rsid w:val="00A27EF0"/>
    <w:rsid w:val="00A30022"/>
    <w:rsid w:val="00A3138C"/>
    <w:rsid w:val="00A31AF4"/>
    <w:rsid w:val="00A31C02"/>
    <w:rsid w:val="00A32BAA"/>
    <w:rsid w:val="00A350C5"/>
    <w:rsid w:val="00A36ADD"/>
    <w:rsid w:val="00A3741B"/>
    <w:rsid w:val="00A37B64"/>
    <w:rsid w:val="00A42361"/>
    <w:rsid w:val="00A43895"/>
    <w:rsid w:val="00A45251"/>
    <w:rsid w:val="00A50B20"/>
    <w:rsid w:val="00A51390"/>
    <w:rsid w:val="00A51538"/>
    <w:rsid w:val="00A52212"/>
    <w:rsid w:val="00A53C68"/>
    <w:rsid w:val="00A60D13"/>
    <w:rsid w:val="00A616D9"/>
    <w:rsid w:val="00A61D09"/>
    <w:rsid w:val="00A6231F"/>
    <w:rsid w:val="00A634F0"/>
    <w:rsid w:val="00A66D70"/>
    <w:rsid w:val="00A71861"/>
    <w:rsid w:val="00A72745"/>
    <w:rsid w:val="00A7318F"/>
    <w:rsid w:val="00A7414A"/>
    <w:rsid w:val="00A751C6"/>
    <w:rsid w:val="00A76EFC"/>
    <w:rsid w:val="00A812C4"/>
    <w:rsid w:val="00A8135B"/>
    <w:rsid w:val="00A85719"/>
    <w:rsid w:val="00A91010"/>
    <w:rsid w:val="00A95E13"/>
    <w:rsid w:val="00A97F29"/>
    <w:rsid w:val="00AA1782"/>
    <w:rsid w:val="00AA189D"/>
    <w:rsid w:val="00AA47E9"/>
    <w:rsid w:val="00AA641F"/>
    <w:rsid w:val="00AA702E"/>
    <w:rsid w:val="00AA7433"/>
    <w:rsid w:val="00AB0964"/>
    <w:rsid w:val="00AB158A"/>
    <w:rsid w:val="00AB5011"/>
    <w:rsid w:val="00AB5EED"/>
    <w:rsid w:val="00AB66C1"/>
    <w:rsid w:val="00AC01A4"/>
    <w:rsid w:val="00AC1C87"/>
    <w:rsid w:val="00AC2BD2"/>
    <w:rsid w:val="00AC2BDC"/>
    <w:rsid w:val="00AC4F98"/>
    <w:rsid w:val="00AC7368"/>
    <w:rsid w:val="00AD0757"/>
    <w:rsid w:val="00AD0E64"/>
    <w:rsid w:val="00AD16B9"/>
    <w:rsid w:val="00AD431A"/>
    <w:rsid w:val="00AD43C6"/>
    <w:rsid w:val="00AD4B69"/>
    <w:rsid w:val="00AD4D99"/>
    <w:rsid w:val="00AD501C"/>
    <w:rsid w:val="00AD6ADA"/>
    <w:rsid w:val="00AE1300"/>
    <w:rsid w:val="00AE377D"/>
    <w:rsid w:val="00AE3B99"/>
    <w:rsid w:val="00AE55A4"/>
    <w:rsid w:val="00AE572E"/>
    <w:rsid w:val="00AE620A"/>
    <w:rsid w:val="00AE7393"/>
    <w:rsid w:val="00AF05A0"/>
    <w:rsid w:val="00AF0EBA"/>
    <w:rsid w:val="00AF14CB"/>
    <w:rsid w:val="00AF1792"/>
    <w:rsid w:val="00AF2AB8"/>
    <w:rsid w:val="00AF31BC"/>
    <w:rsid w:val="00AF3ACC"/>
    <w:rsid w:val="00AF4461"/>
    <w:rsid w:val="00AF4484"/>
    <w:rsid w:val="00AF7544"/>
    <w:rsid w:val="00B02661"/>
    <w:rsid w:val="00B0274D"/>
    <w:rsid w:val="00B02C8A"/>
    <w:rsid w:val="00B0400E"/>
    <w:rsid w:val="00B05E41"/>
    <w:rsid w:val="00B06A40"/>
    <w:rsid w:val="00B1116D"/>
    <w:rsid w:val="00B14322"/>
    <w:rsid w:val="00B147F8"/>
    <w:rsid w:val="00B14FA2"/>
    <w:rsid w:val="00B178A3"/>
    <w:rsid w:val="00B178FB"/>
    <w:rsid w:val="00B179D2"/>
    <w:rsid w:val="00B17FBD"/>
    <w:rsid w:val="00B20AA0"/>
    <w:rsid w:val="00B20EFE"/>
    <w:rsid w:val="00B22B8B"/>
    <w:rsid w:val="00B25770"/>
    <w:rsid w:val="00B25989"/>
    <w:rsid w:val="00B26470"/>
    <w:rsid w:val="00B315A6"/>
    <w:rsid w:val="00B31813"/>
    <w:rsid w:val="00B33365"/>
    <w:rsid w:val="00B3460D"/>
    <w:rsid w:val="00B3591D"/>
    <w:rsid w:val="00B4010E"/>
    <w:rsid w:val="00B4032E"/>
    <w:rsid w:val="00B43CAA"/>
    <w:rsid w:val="00B44894"/>
    <w:rsid w:val="00B45904"/>
    <w:rsid w:val="00B45A8A"/>
    <w:rsid w:val="00B45C37"/>
    <w:rsid w:val="00B46893"/>
    <w:rsid w:val="00B51AB4"/>
    <w:rsid w:val="00B5302B"/>
    <w:rsid w:val="00B53988"/>
    <w:rsid w:val="00B53C12"/>
    <w:rsid w:val="00B55631"/>
    <w:rsid w:val="00B563B7"/>
    <w:rsid w:val="00B57B36"/>
    <w:rsid w:val="00B57E6F"/>
    <w:rsid w:val="00B62E8B"/>
    <w:rsid w:val="00B71710"/>
    <w:rsid w:val="00B73476"/>
    <w:rsid w:val="00B73E3D"/>
    <w:rsid w:val="00B74444"/>
    <w:rsid w:val="00B7680A"/>
    <w:rsid w:val="00B76F4A"/>
    <w:rsid w:val="00B7797E"/>
    <w:rsid w:val="00B803B9"/>
    <w:rsid w:val="00B8092D"/>
    <w:rsid w:val="00B8182D"/>
    <w:rsid w:val="00B837A5"/>
    <w:rsid w:val="00B86624"/>
    <w:rsid w:val="00B8686D"/>
    <w:rsid w:val="00B920F7"/>
    <w:rsid w:val="00B92477"/>
    <w:rsid w:val="00B93F69"/>
    <w:rsid w:val="00B96593"/>
    <w:rsid w:val="00B97EEE"/>
    <w:rsid w:val="00BA2A0F"/>
    <w:rsid w:val="00BA2BCB"/>
    <w:rsid w:val="00BA7861"/>
    <w:rsid w:val="00BB1DDC"/>
    <w:rsid w:val="00BB390C"/>
    <w:rsid w:val="00BB434A"/>
    <w:rsid w:val="00BB7635"/>
    <w:rsid w:val="00BC1489"/>
    <w:rsid w:val="00BC23AF"/>
    <w:rsid w:val="00BC30C9"/>
    <w:rsid w:val="00BC5272"/>
    <w:rsid w:val="00BC5369"/>
    <w:rsid w:val="00BC680D"/>
    <w:rsid w:val="00BC717D"/>
    <w:rsid w:val="00BD0017"/>
    <w:rsid w:val="00BD02DE"/>
    <w:rsid w:val="00BD077D"/>
    <w:rsid w:val="00BD2950"/>
    <w:rsid w:val="00BE0226"/>
    <w:rsid w:val="00BE0B22"/>
    <w:rsid w:val="00BE0C2F"/>
    <w:rsid w:val="00BE257C"/>
    <w:rsid w:val="00BE3155"/>
    <w:rsid w:val="00BE3E58"/>
    <w:rsid w:val="00BE5352"/>
    <w:rsid w:val="00BE58D9"/>
    <w:rsid w:val="00BE5EF5"/>
    <w:rsid w:val="00BE66C5"/>
    <w:rsid w:val="00BF429E"/>
    <w:rsid w:val="00C01616"/>
    <w:rsid w:val="00C0162B"/>
    <w:rsid w:val="00C03FA1"/>
    <w:rsid w:val="00C05A28"/>
    <w:rsid w:val="00C05EAC"/>
    <w:rsid w:val="00C068ED"/>
    <w:rsid w:val="00C06E4D"/>
    <w:rsid w:val="00C071AA"/>
    <w:rsid w:val="00C0776A"/>
    <w:rsid w:val="00C077EA"/>
    <w:rsid w:val="00C07912"/>
    <w:rsid w:val="00C11F0C"/>
    <w:rsid w:val="00C1595D"/>
    <w:rsid w:val="00C17348"/>
    <w:rsid w:val="00C20146"/>
    <w:rsid w:val="00C20467"/>
    <w:rsid w:val="00C22E0C"/>
    <w:rsid w:val="00C22FDD"/>
    <w:rsid w:val="00C3023A"/>
    <w:rsid w:val="00C30FF1"/>
    <w:rsid w:val="00C334CA"/>
    <w:rsid w:val="00C345B1"/>
    <w:rsid w:val="00C35552"/>
    <w:rsid w:val="00C3711F"/>
    <w:rsid w:val="00C37914"/>
    <w:rsid w:val="00C40142"/>
    <w:rsid w:val="00C40EFD"/>
    <w:rsid w:val="00C413B0"/>
    <w:rsid w:val="00C52C3C"/>
    <w:rsid w:val="00C5604E"/>
    <w:rsid w:val="00C57182"/>
    <w:rsid w:val="00C57863"/>
    <w:rsid w:val="00C57A54"/>
    <w:rsid w:val="00C57F4B"/>
    <w:rsid w:val="00C6521C"/>
    <w:rsid w:val="00C655FD"/>
    <w:rsid w:val="00C65F8D"/>
    <w:rsid w:val="00C66CA0"/>
    <w:rsid w:val="00C719C5"/>
    <w:rsid w:val="00C71BF3"/>
    <w:rsid w:val="00C71F4A"/>
    <w:rsid w:val="00C75154"/>
    <w:rsid w:val="00C75407"/>
    <w:rsid w:val="00C759F2"/>
    <w:rsid w:val="00C75AEC"/>
    <w:rsid w:val="00C75BDE"/>
    <w:rsid w:val="00C76B8A"/>
    <w:rsid w:val="00C836A7"/>
    <w:rsid w:val="00C8471F"/>
    <w:rsid w:val="00C85878"/>
    <w:rsid w:val="00C86322"/>
    <w:rsid w:val="00C870A8"/>
    <w:rsid w:val="00C87AC9"/>
    <w:rsid w:val="00C87D18"/>
    <w:rsid w:val="00C92994"/>
    <w:rsid w:val="00C94434"/>
    <w:rsid w:val="00C97630"/>
    <w:rsid w:val="00C97F24"/>
    <w:rsid w:val="00CA0B84"/>
    <w:rsid w:val="00CA0D40"/>
    <w:rsid w:val="00CA0D75"/>
    <w:rsid w:val="00CA1C95"/>
    <w:rsid w:val="00CA3AE2"/>
    <w:rsid w:val="00CA58AA"/>
    <w:rsid w:val="00CA5A9C"/>
    <w:rsid w:val="00CA6EDB"/>
    <w:rsid w:val="00CB018C"/>
    <w:rsid w:val="00CB0577"/>
    <w:rsid w:val="00CB0A9C"/>
    <w:rsid w:val="00CB1E58"/>
    <w:rsid w:val="00CB299B"/>
    <w:rsid w:val="00CB5ADE"/>
    <w:rsid w:val="00CC0615"/>
    <w:rsid w:val="00CC186E"/>
    <w:rsid w:val="00CC4C20"/>
    <w:rsid w:val="00CC5C26"/>
    <w:rsid w:val="00CD085F"/>
    <w:rsid w:val="00CD1B28"/>
    <w:rsid w:val="00CD3517"/>
    <w:rsid w:val="00CD5FE2"/>
    <w:rsid w:val="00CD776E"/>
    <w:rsid w:val="00CE2504"/>
    <w:rsid w:val="00CE2A85"/>
    <w:rsid w:val="00CE2E4D"/>
    <w:rsid w:val="00CE7C68"/>
    <w:rsid w:val="00CE7F8D"/>
    <w:rsid w:val="00CF0C64"/>
    <w:rsid w:val="00D01839"/>
    <w:rsid w:val="00D02848"/>
    <w:rsid w:val="00D02B4C"/>
    <w:rsid w:val="00D02D5D"/>
    <w:rsid w:val="00D03A09"/>
    <w:rsid w:val="00D040C4"/>
    <w:rsid w:val="00D13C1B"/>
    <w:rsid w:val="00D144A9"/>
    <w:rsid w:val="00D170E1"/>
    <w:rsid w:val="00D204B6"/>
    <w:rsid w:val="00D2155E"/>
    <w:rsid w:val="00D2166C"/>
    <w:rsid w:val="00D218A6"/>
    <w:rsid w:val="00D22DC6"/>
    <w:rsid w:val="00D265F6"/>
    <w:rsid w:val="00D336B8"/>
    <w:rsid w:val="00D35644"/>
    <w:rsid w:val="00D35995"/>
    <w:rsid w:val="00D35DFE"/>
    <w:rsid w:val="00D43C85"/>
    <w:rsid w:val="00D44AE5"/>
    <w:rsid w:val="00D46B7E"/>
    <w:rsid w:val="00D476D0"/>
    <w:rsid w:val="00D509C5"/>
    <w:rsid w:val="00D52A7B"/>
    <w:rsid w:val="00D52C9E"/>
    <w:rsid w:val="00D55948"/>
    <w:rsid w:val="00D56D4D"/>
    <w:rsid w:val="00D57C84"/>
    <w:rsid w:val="00D57EAD"/>
    <w:rsid w:val="00D6057D"/>
    <w:rsid w:val="00D612CD"/>
    <w:rsid w:val="00D63687"/>
    <w:rsid w:val="00D64445"/>
    <w:rsid w:val="00D70DDA"/>
    <w:rsid w:val="00D70EB2"/>
    <w:rsid w:val="00D7227E"/>
    <w:rsid w:val="00D75CC0"/>
    <w:rsid w:val="00D76DCF"/>
    <w:rsid w:val="00D77FBD"/>
    <w:rsid w:val="00D804E5"/>
    <w:rsid w:val="00D8169B"/>
    <w:rsid w:val="00D8326B"/>
    <w:rsid w:val="00D836C5"/>
    <w:rsid w:val="00D838B3"/>
    <w:rsid w:val="00D83BC2"/>
    <w:rsid w:val="00D84576"/>
    <w:rsid w:val="00D858A5"/>
    <w:rsid w:val="00D85E93"/>
    <w:rsid w:val="00D85FA7"/>
    <w:rsid w:val="00D92044"/>
    <w:rsid w:val="00D929EE"/>
    <w:rsid w:val="00D92EF5"/>
    <w:rsid w:val="00D93295"/>
    <w:rsid w:val="00D94780"/>
    <w:rsid w:val="00D963D0"/>
    <w:rsid w:val="00D97446"/>
    <w:rsid w:val="00D97A7F"/>
    <w:rsid w:val="00DA1399"/>
    <w:rsid w:val="00DA24C6"/>
    <w:rsid w:val="00DA36E1"/>
    <w:rsid w:val="00DA3977"/>
    <w:rsid w:val="00DA48CF"/>
    <w:rsid w:val="00DA4B59"/>
    <w:rsid w:val="00DA4D7B"/>
    <w:rsid w:val="00DB5750"/>
    <w:rsid w:val="00DC0275"/>
    <w:rsid w:val="00DC050E"/>
    <w:rsid w:val="00DC09EA"/>
    <w:rsid w:val="00DC169A"/>
    <w:rsid w:val="00DC1A5A"/>
    <w:rsid w:val="00DC2130"/>
    <w:rsid w:val="00DC3073"/>
    <w:rsid w:val="00DD0414"/>
    <w:rsid w:val="00DD267E"/>
    <w:rsid w:val="00DD3E49"/>
    <w:rsid w:val="00DD556E"/>
    <w:rsid w:val="00DD78AE"/>
    <w:rsid w:val="00DD7A5F"/>
    <w:rsid w:val="00DD7B23"/>
    <w:rsid w:val="00DD7CB0"/>
    <w:rsid w:val="00DE264A"/>
    <w:rsid w:val="00DE47C9"/>
    <w:rsid w:val="00DE5BEC"/>
    <w:rsid w:val="00DE7AD6"/>
    <w:rsid w:val="00DF5072"/>
    <w:rsid w:val="00DF6FEC"/>
    <w:rsid w:val="00E016E2"/>
    <w:rsid w:val="00E02D18"/>
    <w:rsid w:val="00E041E7"/>
    <w:rsid w:val="00E07DD3"/>
    <w:rsid w:val="00E1418C"/>
    <w:rsid w:val="00E16345"/>
    <w:rsid w:val="00E2071D"/>
    <w:rsid w:val="00E21791"/>
    <w:rsid w:val="00E23CA1"/>
    <w:rsid w:val="00E248ED"/>
    <w:rsid w:val="00E24A38"/>
    <w:rsid w:val="00E24B55"/>
    <w:rsid w:val="00E30581"/>
    <w:rsid w:val="00E31AF2"/>
    <w:rsid w:val="00E34BF6"/>
    <w:rsid w:val="00E34F6D"/>
    <w:rsid w:val="00E37A6C"/>
    <w:rsid w:val="00E409A8"/>
    <w:rsid w:val="00E4143C"/>
    <w:rsid w:val="00E43A69"/>
    <w:rsid w:val="00E45C80"/>
    <w:rsid w:val="00E476CC"/>
    <w:rsid w:val="00E50C12"/>
    <w:rsid w:val="00E55A85"/>
    <w:rsid w:val="00E56D2F"/>
    <w:rsid w:val="00E57E43"/>
    <w:rsid w:val="00E60B2B"/>
    <w:rsid w:val="00E612D2"/>
    <w:rsid w:val="00E62E91"/>
    <w:rsid w:val="00E65B91"/>
    <w:rsid w:val="00E7209D"/>
    <w:rsid w:val="00E72EAD"/>
    <w:rsid w:val="00E75A71"/>
    <w:rsid w:val="00E77223"/>
    <w:rsid w:val="00E80A69"/>
    <w:rsid w:val="00E81272"/>
    <w:rsid w:val="00E8148A"/>
    <w:rsid w:val="00E818F9"/>
    <w:rsid w:val="00E822F8"/>
    <w:rsid w:val="00E82C38"/>
    <w:rsid w:val="00E8507F"/>
    <w:rsid w:val="00E8528B"/>
    <w:rsid w:val="00E85A27"/>
    <w:rsid w:val="00E85B94"/>
    <w:rsid w:val="00E86803"/>
    <w:rsid w:val="00E871A5"/>
    <w:rsid w:val="00E8732F"/>
    <w:rsid w:val="00E933FE"/>
    <w:rsid w:val="00E94C78"/>
    <w:rsid w:val="00E978D0"/>
    <w:rsid w:val="00EA1B02"/>
    <w:rsid w:val="00EA25B9"/>
    <w:rsid w:val="00EA2B35"/>
    <w:rsid w:val="00EA32D5"/>
    <w:rsid w:val="00EA4613"/>
    <w:rsid w:val="00EA59C8"/>
    <w:rsid w:val="00EA5BB9"/>
    <w:rsid w:val="00EA65A0"/>
    <w:rsid w:val="00EA6D1C"/>
    <w:rsid w:val="00EA7F91"/>
    <w:rsid w:val="00EB070C"/>
    <w:rsid w:val="00EB1523"/>
    <w:rsid w:val="00EB2E39"/>
    <w:rsid w:val="00EB454D"/>
    <w:rsid w:val="00EB7898"/>
    <w:rsid w:val="00EC05AA"/>
    <w:rsid w:val="00EC0E49"/>
    <w:rsid w:val="00EC101F"/>
    <w:rsid w:val="00EC121D"/>
    <w:rsid w:val="00EC1D9F"/>
    <w:rsid w:val="00EC21E1"/>
    <w:rsid w:val="00EC4340"/>
    <w:rsid w:val="00EC5AA9"/>
    <w:rsid w:val="00EC638A"/>
    <w:rsid w:val="00ED0457"/>
    <w:rsid w:val="00ED06FF"/>
    <w:rsid w:val="00ED0D19"/>
    <w:rsid w:val="00ED2015"/>
    <w:rsid w:val="00ED320C"/>
    <w:rsid w:val="00ED323E"/>
    <w:rsid w:val="00ED418C"/>
    <w:rsid w:val="00ED56A6"/>
    <w:rsid w:val="00EE0131"/>
    <w:rsid w:val="00EE088D"/>
    <w:rsid w:val="00EE171C"/>
    <w:rsid w:val="00EE17B0"/>
    <w:rsid w:val="00EE42E3"/>
    <w:rsid w:val="00EE4565"/>
    <w:rsid w:val="00EF06D9"/>
    <w:rsid w:val="00EF121C"/>
    <w:rsid w:val="00EF3011"/>
    <w:rsid w:val="00EF4CEB"/>
    <w:rsid w:val="00EF522E"/>
    <w:rsid w:val="00EF6594"/>
    <w:rsid w:val="00F000BF"/>
    <w:rsid w:val="00F01553"/>
    <w:rsid w:val="00F01B2D"/>
    <w:rsid w:val="00F025F3"/>
    <w:rsid w:val="00F04A05"/>
    <w:rsid w:val="00F051F9"/>
    <w:rsid w:val="00F06E78"/>
    <w:rsid w:val="00F06FE7"/>
    <w:rsid w:val="00F1089F"/>
    <w:rsid w:val="00F11C75"/>
    <w:rsid w:val="00F129CD"/>
    <w:rsid w:val="00F149C1"/>
    <w:rsid w:val="00F14D2D"/>
    <w:rsid w:val="00F14E55"/>
    <w:rsid w:val="00F1573E"/>
    <w:rsid w:val="00F17265"/>
    <w:rsid w:val="00F1764E"/>
    <w:rsid w:val="00F21999"/>
    <w:rsid w:val="00F23D0A"/>
    <w:rsid w:val="00F26DB6"/>
    <w:rsid w:val="00F26EEA"/>
    <w:rsid w:val="00F27634"/>
    <w:rsid w:val="00F300BF"/>
    <w:rsid w:val="00F30C64"/>
    <w:rsid w:val="00F32BA2"/>
    <w:rsid w:val="00F32CDB"/>
    <w:rsid w:val="00F35195"/>
    <w:rsid w:val="00F360B8"/>
    <w:rsid w:val="00F411FA"/>
    <w:rsid w:val="00F42600"/>
    <w:rsid w:val="00F42AFD"/>
    <w:rsid w:val="00F434AE"/>
    <w:rsid w:val="00F565FE"/>
    <w:rsid w:val="00F56CE4"/>
    <w:rsid w:val="00F61043"/>
    <w:rsid w:val="00F63048"/>
    <w:rsid w:val="00F63A70"/>
    <w:rsid w:val="00F6597A"/>
    <w:rsid w:val="00F66C9C"/>
    <w:rsid w:val="00F67876"/>
    <w:rsid w:val="00F7066F"/>
    <w:rsid w:val="00F7534E"/>
    <w:rsid w:val="00F76AD8"/>
    <w:rsid w:val="00F77F21"/>
    <w:rsid w:val="00F80A4D"/>
    <w:rsid w:val="00F8145E"/>
    <w:rsid w:val="00F81C92"/>
    <w:rsid w:val="00F82304"/>
    <w:rsid w:val="00F82D4F"/>
    <w:rsid w:val="00F90CC9"/>
    <w:rsid w:val="00F92179"/>
    <w:rsid w:val="00F92FAB"/>
    <w:rsid w:val="00F93458"/>
    <w:rsid w:val="00F9451B"/>
    <w:rsid w:val="00F9585F"/>
    <w:rsid w:val="00F95BA3"/>
    <w:rsid w:val="00FA21D0"/>
    <w:rsid w:val="00FA2E12"/>
    <w:rsid w:val="00FA5F5F"/>
    <w:rsid w:val="00FA7788"/>
    <w:rsid w:val="00FB0FE7"/>
    <w:rsid w:val="00FB392F"/>
    <w:rsid w:val="00FB44D2"/>
    <w:rsid w:val="00FB45CC"/>
    <w:rsid w:val="00FB63FA"/>
    <w:rsid w:val="00FB730C"/>
    <w:rsid w:val="00FC12D9"/>
    <w:rsid w:val="00FC2695"/>
    <w:rsid w:val="00FC2CC0"/>
    <w:rsid w:val="00FC3E03"/>
    <w:rsid w:val="00FC3FC1"/>
    <w:rsid w:val="00FC41EC"/>
    <w:rsid w:val="00FC5057"/>
    <w:rsid w:val="00FC6E71"/>
    <w:rsid w:val="00FD1123"/>
    <w:rsid w:val="00FD3C98"/>
    <w:rsid w:val="00FD4A82"/>
    <w:rsid w:val="00FD4CAB"/>
    <w:rsid w:val="00FD5E8A"/>
    <w:rsid w:val="00FD6666"/>
    <w:rsid w:val="00FD70BF"/>
    <w:rsid w:val="00FE2C50"/>
    <w:rsid w:val="00FE5BCB"/>
    <w:rsid w:val="00FE6E12"/>
    <w:rsid w:val="00FF1680"/>
    <w:rsid w:val="00FF1D01"/>
    <w:rsid w:val="00FF2298"/>
    <w:rsid w:val="00FF4C99"/>
    <w:rsid w:val="00FF4DB6"/>
    <w:rsid w:val="00FF53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link w:val="ParagrafoelencoCarattere"/>
    <w:uiPriority w:val="34"/>
    <w:qFormat/>
    <w:rsid w:val="00280FAF"/>
    <w:pPr>
      <w:ind w:left="720"/>
      <w:contextualSpacing/>
    </w:pPr>
  </w:style>
  <w:style w:type="character" w:customStyle="1" w:styleId="ParagrafoelencoCarattere">
    <w:name w:val="Paragrafo elenco Carattere"/>
    <w:basedOn w:val="Carpredefinitoparagrafo"/>
    <w:link w:val="Paragrafoelenco"/>
    <w:uiPriority w:val="34"/>
    <w:rsid w:val="00DD3E49"/>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786E8A"/>
    <w:rPr>
      <w:color w:val="666666"/>
    </w:rPr>
  </w:style>
  <w:style w:type="character" w:customStyle="1" w:styleId="anchor-text">
    <w:name w:val="anchor-text"/>
    <w:basedOn w:val="Carpredefinitoparagrafo"/>
    <w:rsid w:val="00642B03"/>
  </w:style>
  <w:style w:type="character" w:styleId="Menzionenonrisolta">
    <w:name w:val="Unresolved Mention"/>
    <w:basedOn w:val="Carpredefinitoparagrafo"/>
    <w:uiPriority w:val="99"/>
    <w:semiHidden/>
    <w:unhideWhenUsed/>
    <w:rsid w:val="005144E5"/>
    <w:rPr>
      <w:color w:val="605E5C"/>
      <w:shd w:val="clear" w:color="auto" w:fill="E1DFDD"/>
    </w:rPr>
  </w:style>
  <w:style w:type="paragraph" w:styleId="Revisione">
    <w:name w:val="Revision"/>
    <w:hidden/>
    <w:uiPriority w:val="99"/>
    <w:semiHidden/>
    <w:rsid w:val="001B6C2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0578">
      <w:bodyDiv w:val="1"/>
      <w:marLeft w:val="0"/>
      <w:marRight w:val="0"/>
      <w:marTop w:val="0"/>
      <w:marBottom w:val="0"/>
      <w:divBdr>
        <w:top w:val="none" w:sz="0" w:space="0" w:color="auto"/>
        <w:left w:val="none" w:sz="0" w:space="0" w:color="auto"/>
        <w:bottom w:val="none" w:sz="0" w:space="0" w:color="auto"/>
        <w:right w:val="none" w:sz="0" w:space="0" w:color="auto"/>
      </w:divBdr>
      <w:divsChild>
        <w:div w:id="1530991561">
          <w:marLeft w:val="0"/>
          <w:marRight w:val="0"/>
          <w:marTop w:val="0"/>
          <w:marBottom w:val="0"/>
          <w:divBdr>
            <w:top w:val="none" w:sz="0" w:space="0" w:color="auto"/>
            <w:left w:val="none" w:sz="0" w:space="0" w:color="auto"/>
            <w:bottom w:val="none" w:sz="0" w:space="0" w:color="auto"/>
            <w:right w:val="none" w:sz="0" w:space="0" w:color="auto"/>
          </w:divBdr>
          <w:divsChild>
            <w:div w:id="1203254412">
              <w:marLeft w:val="0"/>
              <w:marRight w:val="0"/>
              <w:marTop w:val="0"/>
              <w:marBottom w:val="0"/>
              <w:divBdr>
                <w:top w:val="none" w:sz="0" w:space="0" w:color="auto"/>
                <w:left w:val="none" w:sz="0" w:space="0" w:color="auto"/>
                <w:bottom w:val="none" w:sz="0" w:space="0" w:color="auto"/>
                <w:right w:val="none" w:sz="0" w:space="0" w:color="auto"/>
              </w:divBdr>
            </w:div>
            <w:div w:id="1870340381">
              <w:marLeft w:val="0"/>
              <w:marRight w:val="0"/>
              <w:marTop w:val="0"/>
              <w:marBottom w:val="0"/>
              <w:divBdr>
                <w:top w:val="none" w:sz="0" w:space="0" w:color="auto"/>
                <w:left w:val="none" w:sz="0" w:space="0" w:color="auto"/>
                <w:bottom w:val="none" w:sz="0" w:space="0" w:color="auto"/>
                <w:right w:val="none" w:sz="0" w:space="0" w:color="auto"/>
              </w:divBdr>
            </w:div>
          </w:divsChild>
        </w:div>
        <w:div w:id="96829185">
          <w:marLeft w:val="0"/>
          <w:marRight w:val="0"/>
          <w:marTop w:val="0"/>
          <w:marBottom w:val="0"/>
          <w:divBdr>
            <w:top w:val="none" w:sz="0" w:space="0" w:color="auto"/>
            <w:left w:val="none" w:sz="0" w:space="0" w:color="auto"/>
            <w:bottom w:val="none" w:sz="0" w:space="0" w:color="auto"/>
            <w:right w:val="none" w:sz="0" w:space="0" w:color="auto"/>
          </w:divBdr>
        </w:div>
      </w:divsChild>
    </w:div>
    <w:div w:id="264579639">
      <w:bodyDiv w:val="1"/>
      <w:marLeft w:val="0"/>
      <w:marRight w:val="0"/>
      <w:marTop w:val="0"/>
      <w:marBottom w:val="0"/>
      <w:divBdr>
        <w:top w:val="none" w:sz="0" w:space="0" w:color="auto"/>
        <w:left w:val="none" w:sz="0" w:space="0" w:color="auto"/>
        <w:bottom w:val="none" w:sz="0" w:space="0" w:color="auto"/>
        <w:right w:val="none" w:sz="0" w:space="0" w:color="auto"/>
      </w:divBdr>
    </w:div>
    <w:div w:id="267273436">
      <w:bodyDiv w:val="1"/>
      <w:marLeft w:val="0"/>
      <w:marRight w:val="0"/>
      <w:marTop w:val="0"/>
      <w:marBottom w:val="0"/>
      <w:divBdr>
        <w:top w:val="none" w:sz="0" w:space="0" w:color="auto"/>
        <w:left w:val="none" w:sz="0" w:space="0" w:color="auto"/>
        <w:bottom w:val="none" w:sz="0" w:space="0" w:color="auto"/>
        <w:right w:val="none" w:sz="0" w:space="0" w:color="auto"/>
      </w:divBdr>
      <w:divsChild>
        <w:div w:id="174080249">
          <w:marLeft w:val="480"/>
          <w:marRight w:val="0"/>
          <w:marTop w:val="0"/>
          <w:marBottom w:val="0"/>
          <w:divBdr>
            <w:top w:val="none" w:sz="0" w:space="0" w:color="auto"/>
            <w:left w:val="none" w:sz="0" w:space="0" w:color="auto"/>
            <w:bottom w:val="none" w:sz="0" w:space="0" w:color="auto"/>
            <w:right w:val="none" w:sz="0" w:space="0" w:color="auto"/>
          </w:divBdr>
        </w:div>
        <w:div w:id="689722808">
          <w:marLeft w:val="480"/>
          <w:marRight w:val="0"/>
          <w:marTop w:val="0"/>
          <w:marBottom w:val="0"/>
          <w:divBdr>
            <w:top w:val="none" w:sz="0" w:space="0" w:color="auto"/>
            <w:left w:val="none" w:sz="0" w:space="0" w:color="auto"/>
            <w:bottom w:val="none" w:sz="0" w:space="0" w:color="auto"/>
            <w:right w:val="none" w:sz="0" w:space="0" w:color="auto"/>
          </w:divBdr>
        </w:div>
      </w:divsChild>
    </w:div>
    <w:div w:id="362171277">
      <w:bodyDiv w:val="1"/>
      <w:marLeft w:val="0"/>
      <w:marRight w:val="0"/>
      <w:marTop w:val="0"/>
      <w:marBottom w:val="0"/>
      <w:divBdr>
        <w:top w:val="none" w:sz="0" w:space="0" w:color="auto"/>
        <w:left w:val="none" w:sz="0" w:space="0" w:color="auto"/>
        <w:bottom w:val="none" w:sz="0" w:space="0" w:color="auto"/>
        <w:right w:val="none" w:sz="0" w:space="0" w:color="auto"/>
      </w:divBdr>
      <w:divsChild>
        <w:div w:id="520629262">
          <w:marLeft w:val="480"/>
          <w:marRight w:val="0"/>
          <w:marTop w:val="0"/>
          <w:marBottom w:val="0"/>
          <w:divBdr>
            <w:top w:val="none" w:sz="0" w:space="0" w:color="auto"/>
            <w:left w:val="none" w:sz="0" w:space="0" w:color="auto"/>
            <w:bottom w:val="none" w:sz="0" w:space="0" w:color="auto"/>
            <w:right w:val="none" w:sz="0" w:space="0" w:color="auto"/>
          </w:divBdr>
        </w:div>
        <w:div w:id="972948577">
          <w:marLeft w:val="480"/>
          <w:marRight w:val="0"/>
          <w:marTop w:val="0"/>
          <w:marBottom w:val="0"/>
          <w:divBdr>
            <w:top w:val="none" w:sz="0" w:space="0" w:color="auto"/>
            <w:left w:val="none" w:sz="0" w:space="0" w:color="auto"/>
            <w:bottom w:val="none" w:sz="0" w:space="0" w:color="auto"/>
            <w:right w:val="none" w:sz="0" w:space="0" w:color="auto"/>
          </w:divBdr>
        </w:div>
      </w:divsChild>
    </w:div>
    <w:div w:id="411856607">
      <w:bodyDiv w:val="1"/>
      <w:marLeft w:val="0"/>
      <w:marRight w:val="0"/>
      <w:marTop w:val="0"/>
      <w:marBottom w:val="0"/>
      <w:divBdr>
        <w:top w:val="none" w:sz="0" w:space="0" w:color="auto"/>
        <w:left w:val="none" w:sz="0" w:space="0" w:color="auto"/>
        <w:bottom w:val="none" w:sz="0" w:space="0" w:color="auto"/>
        <w:right w:val="none" w:sz="0" w:space="0" w:color="auto"/>
      </w:divBdr>
    </w:div>
    <w:div w:id="5486111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4121">
      <w:bodyDiv w:val="1"/>
      <w:marLeft w:val="0"/>
      <w:marRight w:val="0"/>
      <w:marTop w:val="0"/>
      <w:marBottom w:val="0"/>
      <w:divBdr>
        <w:top w:val="none" w:sz="0" w:space="0" w:color="auto"/>
        <w:left w:val="none" w:sz="0" w:space="0" w:color="auto"/>
        <w:bottom w:val="none" w:sz="0" w:space="0" w:color="auto"/>
        <w:right w:val="none" w:sz="0" w:space="0" w:color="auto"/>
      </w:divBdr>
      <w:divsChild>
        <w:div w:id="2145466245">
          <w:marLeft w:val="480"/>
          <w:marRight w:val="0"/>
          <w:marTop w:val="0"/>
          <w:marBottom w:val="0"/>
          <w:divBdr>
            <w:top w:val="none" w:sz="0" w:space="0" w:color="auto"/>
            <w:left w:val="none" w:sz="0" w:space="0" w:color="auto"/>
            <w:bottom w:val="none" w:sz="0" w:space="0" w:color="auto"/>
            <w:right w:val="none" w:sz="0" w:space="0" w:color="auto"/>
          </w:divBdr>
        </w:div>
        <w:div w:id="293407519">
          <w:marLeft w:val="480"/>
          <w:marRight w:val="0"/>
          <w:marTop w:val="0"/>
          <w:marBottom w:val="0"/>
          <w:divBdr>
            <w:top w:val="none" w:sz="0" w:space="0" w:color="auto"/>
            <w:left w:val="none" w:sz="0" w:space="0" w:color="auto"/>
            <w:bottom w:val="none" w:sz="0" w:space="0" w:color="auto"/>
            <w:right w:val="none" w:sz="0" w:space="0" w:color="auto"/>
          </w:divBdr>
          <w:divsChild>
            <w:div w:id="1111246320">
              <w:marLeft w:val="0"/>
              <w:marRight w:val="0"/>
              <w:marTop w:val="0"/>
              <w:marBottom w:val="0"/>
              <w:divBdr>
                <w:top w:val="none" w:sz="0" w:space="0" w:color="auto"/>
                <w:left w:val="none" w:sz="0" w:space="0" w:color="auto"/>
                <w:bottom w:val="none" w:sz="0" w:space="0" w:color="auto"/>
                <w:right w:val="none" w:sz="0" w:space="0" w:color="auto"/>
              </w:divBdr>
              <w:divsChild>
                <w:div w:id="1185436219">
                  <w:marLeft w:val="480"/>
                  <w:marRight w:val="0"/>
                  <w:marTop w:val="0"/>
                  <w:marBottom w:val="0"/>
                  <w:divBdr>
                    <w:top w:val="none" w:sz="0" w:space="0" w:color="auto"/>
                    <w:left w:val="none" w:sz="0" w:space="0" w:color="auto"/>
                    <w:bottom w:val="none" w:sz="0" w:space="0" w:color="auto"/>
                    <w:right w:val="none" w:sz="0" w:space="0" w:color="auto"/>
                  </w:divBdr>
                </w:div>
              </w:divsChild>
            </w:div>
            <w:div w:id="1289702309">
              <w:marLeft w:val="0"/>
              <w:marRight w:val="0"/>
              <w:marTop w:val="0"/>
              <w:marBottom w:val="0"/>
              <w:divBdr>
                <w:top w:val="none" w:sz="0" w:space="0" w:color="auto"/>
                <w:left w:val="none" w:sz="0" w:space="0" w:color="auto"/>
                <w:bottom w:val="none" w:sz="0" w:space="0" w:color="auto"/>
                <w:right w:val="none" w:sz="0" w:space="0" w:color="auto"/>
              </w:divBdr>
              <w:divsChild>
                <w:div w:id="13048492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69333">
      <w:bodyDiv w:val="1"/>
      <w:marLeft w:val="0"/>
      <w:marRight w:val="0"/>
      <w:marTop w:val="0"/>
      <w:marBottom w:val="0"/>
      <w:divBdr>
        <w:top w:val="none" w:sz="0" w:space="0" w:color="auto"/>
        <w:left w:val="none" w:sz="0" w:space="0" w:color="auto"/>
        <w:bottom w:val="none" w:sz="0" w:space="0" w:color="auto"/>
        <w:right w:val="none" w:sz="0" w:space="0" w:color="auto"/>
      </w:divBdr>
      <w:divsChild>
        <w:div w:id="2130009803">
          <w:marLeft w:val="480"/>
          <w:marRight w:val="0"/>
          <w:marTop w:val="0"/>
          <w:marBottom w:val="0"/>
          <w:divBdr>
            <w:top w:val="none" w:sz="0" w:space="0" w:color="auto"/>
            <w:left w:val="none" w:sz="0" w:space="0" w:color="auto"/>
            <w:bottom w:val="none" w:sz="0" w:space="0" w:color="auto"/>
            <w:right w:val="none" w:sz="0" w:space="0" w:color="auto"/>
          </w:divBdr>
        </w:div>
        <w:div w:id="916935495">
          <w:marLeft w:val="480"/>
          <w:marRight w:val="0"/>
          <w:marTop w:val="0"/>
          <w:marBottom w:val="0"/>
          <w:divBdr>
            <w:top w:val="none" w:sz="0" w:space="0" w:color="auto"/>
            <w:left w:val="none" w:sz="0" w:space="0" w:color="auto"/>
            <w:bottom w:val="none" w:sz="0" w:space="0" w:color="auto"/>
            <w:right w:val="none" w:sz="0" w:space="0" w:color="auto"/>
          </w:divBdr>
        </w:div>
        <w:div w:id="272060138">
          <w:marLeft w:val="480"/>
          <w:marRight w:val="0"/>
          <w:marTop w:val="0"/>
          <w:marBottom w:val="0"/>
          <w:divBdr>
            <w:top w:val="none" w:sz="0" w:space="0" w:color="auto"/>
            <w:left w:val="none" w:sz="0" w:space="0" w:color="auto"/>
            <w:bottom w:val="none" w:sz="0" w:space="0" w:color="auto"/>
            <w:right w:val="none" w:sz="0" w:space="0" w:color="auto"/>
          </w:divBdr>
        </w:div>
        <w:div w:id="555750289">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162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29229948">
      <w:bodyDiv w:val="1"/>
      <w:marLeft w:val="0"/>
      <w:marRight w:val="0"/>
      <w:marTop w:val="0"/>
      <w:marBottom w:val="0"/>
      <w:divBdr>
        <w:top w:val="none" w:sz="0" w:space="0" w:color="auto"/>
        <w:left w:val="none" w:sz="0" w:space="0" w:color="auto"/>
        <w:bottom w:val="none" w:sz="0" w:space="0" w:color="auto"/>
        <w:right w:val="none" w:sz="0" w:space="0" w:color="auto"/>
      </w:divBdr>
      <w:divsChild>
        <w:div w:id="874778123">
          <w:marLeft w:val="480"/>
          <w:marRight w:val="0"/>
          <w:marTop w:val="0"/>
          <w:marBottom w:val="0"/>
          <w:divBdr>
            <w:top w:val="none" w:sz="0" w:space="0" w:color="auto"/>
            <w:left w:val="none" w:sz="0" w:space="0" w:color="auto"/>
            <w:bottom w:val="none" w:sz="0" w:space="0" w:color="auto"/>
            <w:right w:val="none" w:sz="0" w:space="0" w:color="auto"/>
          </w:divBdr>
        </w:div>
        <w:div w:id="927615283">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25">
      <w:bodyDiv w:val="1"/>
      <w:marLeft w:val="0"/>
      <w:marRight w:val="0"/>
      <w:marTop w:val="0"/>
      <w:marBottom w:val="0"/>
      <w:divBdr>
        <w:top w:val="none" w:sz="0" w:space="0" w:color="auto"/>
        <w:left w:val="none" w:sz="0" w:space="0" w:color="auto"/>
        <w:bottom w:val="none" w:sz="0" w:space="0" w:color="auto"/>
        <w:right w:val="none" w:sz="0" w:space="0" w:color="auto"/>
      </w:divBdr>
      <w:divsChild>
        <w:div w:id="2113820599">
          <w:marLeft w:val="480"/>
          <w:marRight w:val="0"/>
          <w:marTop w:val="0"/>
          <w:marBottom w:val="0"/>
          <w:divBdr>
            <w:top w:val="none" w:sz="0" w:space="0" w:color="auto"/>
            <w:left w:val="none" w:sz="0" w:space="0" w:color="auto"/>
            <w:bottom w:val="none" w:sz="0" w:space="0" w:color="auto"/>
            <w:right w:val="none" w:sz="0" w:space="0" w:color="auto"/>
          </w:divBdr>
        </w:div>
      </w:divsChild>
    </w:div>
    <w:div w:id="1870873435">
      <w:bodyDiv w:val="1"/>
      <w:marLeft w:val="0"/>
      <w:marRight w:val="0"/>
      <w:marTop w:val="0"/>
      <w:marBottom w:val="0"/>
      <w:divBdr>
        <w:top w:val="none" w:sz="0" w:space="0" w:color="auto"/>
        <w:left w:val="none" w:sz="0" w:space="0" w:color="auto"/>
        <w:bottom w:val="none" w:sz="0" w:space="0" w:color="auto"/>
        <w:right w:val="none" w:sz="0" w:space="0" w:color="auto"/>
      </w:divBdr>
    </w:div>
    <w:div w:id="2038044744">
      <w:bodyDiv w:val="1"/>
      <w:marLeft w:val="0"/>
      <w:marRight w:val="0"/>
      <w:marTop w:val="0"/>
      <w:marBottom w:val="0"/>
      <w:divBdr>
        <w:top w:val="none" w:sz="0" w:space="0" w:color="auto"/>
        <w:left w:val="none" w:sz="0" w:space="0" w:color="auto"/>
        <w:bottom w:val="none" w:sz="0" w:space="0" w:color="auto"/>
        <w:right w:val="none" w:sz="0" w:space="0" w:color="auto"/>
      </w:divBdr>
      <w:divsChild>
        <w:div w:id="1468627483">
          <w:marLeft w:val="0"/>
          <w:marRight w:val="0"/>
          <w:marTop w:val="0"/>
          <w:marBottom w:val="0"/>
          <w:divBdr>
            <w:top w:val="single" w:sz="2" w:space="0" w:color="E3E3E3"/>
            <w:left w:val="single" w:sz="2" w:space="0" w:color="E3E3E3"/>
            <w:bottom w:val="single" w:sz="2" w:space="0" w:color="E3E3E3"/>
            <w:right w:val="single" w:sz="2" w:space="0" w:color="E3E3E3"/>
          </w:divBdr>
          <w:divsChild>
            <w:div w:id="1283149171">
              <w:marLeft w:val="0"/>
              <w:marRight w:val="0"/>
              <w:marTop w:val="0"/>
              <w:marBottom w:val="0"/>
              <w:divBdr>
                <w:top w:val="single" w:sz="2" w:space="0" w:color="E3E3E3"/>
                <w:left w:val="single" w:sz="2" w:space="0" w:color="E3E3E3"/>
                <w:bottom w:val="single" w:sz="2" w:space="0" w:color="E3E3E3"/>
                <w:right w:val="single" w:sz="2" w:space="0" w:color="E3E3E3"/>
              </w:divBdr>
              <w:divsChild>
                <w:div w:id="1584758711">
                  <w:marLeft w:val="0"/>
                  <w:marRight w:val="0"/>
                  <w:marTop w:val="0"/>
                  <w:marBottom w:val="0"/>
                  <w:divBdr>
                    <w:top w:val="single" w:sz="2" w:space="0" w:color="E3E3E3"/>
                    <w:left w:val="single" w:sz="2" w:space="0" w:color="E3E3E3"/>
                    <w:bottom w:val="single" w:sz="2" w:space="0" w:color="E3E3E3"/>
                    <w:right w:val="single" w:sz="2" w:space="0" w:color="E3E3E3"/>
                  </w:divBdr>
                  <w:divsChild>
                    <w:div w:id="1260258423">
                      <w:marLeft w:val="0"/>
                      <w:marRight w:val="0"/>
                      <w:marTop w:val="0"/>
                      <w:marBottom w:val="0"/>
                      <w:divBdr>
                        <w:top w:val="single" w:sz="2" w:space="0" w:color="E3E3E3"/>
                        <w:left w:val="single" w:sz="2" w:space="0" w:color="E3E3E3"/>
                        <w:bottom w:val="single" w:sz="2" w:space="0" w:color="E3E3E3"/>
                        <w:right w:val="single" w:sz="2" w:space="0" w:color="E3E3E3"/>
                      </w:divBdr>
                      <w:divsChild>
                        <w:div w:id="642270388">
                          <w:marLeft w:val="0"/>
                          <w:marRight w:val="0"/>
                          <w:marTop w:val="0"/>
                          <w:marBottom w:val="0"/>
                          <w:divBdr>
                            <w:top w:val="single" w:sz="2" w:space="0" w:color="E3E3E3"/>
                            <w:left w:val="single" w:sz="2" w:space="0" w:color="E3E3E3"/>
                            <w:bottom w:val="single" w:sz="2" w:space="0" w:color="E3E3E3"/>
                            <w:right w:val="single" w:sz="2" w:space="0" w:color="E3E3E3"/>
                          </w:divBdr>
                          <w:divsChild>
                            <w:div w:id="1609656735">
                              <w:marLeft w:val="0"/>
                              <w:marRight w:val="0"/>
                              <w:marTop w:val="100"/>
                              <w:marBottom w:val="100"/>
                              <w:divBdr>
                                <w:top w:val="single" w:sz="2" w:space="0" w:color="E3E3E3"/>
                                <w:left w:val="single" w:sz="2" w:space="0" w:color="E3E3E3"/>
                                <w:bottom w:val="single" w:sz="2" w:space="0" w:color="E3E3E3"/>
                                <w:right w:val="single" w:sz="2" w:space="0" w:color="E3E3E3"/>
                              </w:divBdr>
                              <w:divsChild>
                                <w:div w:id="878325792">
                                  <w:marLeft w:val="0"/>
                                  <w:marRight w:val="0"/>
                                  <w:marTop w:val="0"/>
                                  <w:marBottom w:val="0"/>
                                  <w:divBdr>
                                    <w:top w:val="single" w:sz="2" w:space="0" w:color="E3E3E3"/>
                                    <w:left w:val="single" w:sz="2" w:space="0" w:color="E3E3E3"/>
                                    <w:bottom w:val="single" w:sz="2" w:space="0" w:color="E3E3E3"/>
                                    <w:right w:val="single" w:sz="2" w:space="0" w:color="E3E3E3"/>
                                  </w:divBdr>
                                  <w:divsChild>
                                    <w:div w:id="1182087997">
                                      <w:marLeft w:val="0"/>
                                      <w:marRight w:val="0"/>
                                      <w:marTop w:val="0"/>
                                      <w:marBottom w:val="0"/>
                                      <w:divBdr>
                                        <w:top w:val="single" w:sz="2" w:space="0" w:color="E3E3E3"/>
                                        <w:left w:val="single" w:sz="2" w:space="0" w:color="E3E3E3"/>
                                        <w:bottom w:val="single" w:sz="2" w:space="0" w:color="E3E3E3"/>
                                        <w:right w:val="single" w:sz="2" w:space="0" w:color="E3E3E3"/>
                                      </w:divBdr>
                                      <w:divsChild>
                                        <w:div w:id="1768695179">
                                          <w:marLeft w:val="0"/>
                                          <w:marRight w:val="0"/>
                                          <w:marTop w:val="0"/>
                                          <w:marBottom w:val="0"/>
                                          <w:divBdr>
                                            <w:top w:val="single" w:sz="2" w:space="0" w:color="E3E3E3"/>
                                            <w:left w:val="single" w:sz="2" w:space="0" w:color="E3E3E3"/>
                                            <w:bottom w:val="single" w:sz="2" w:space="0" w:color="E3E3E3"/>
                                            <w:right w:val="single" w:sz="2" w:space="0" w:color="E3E3E3"/>
                                          </w:divBdr>
                                          <w:divsChild>
                                            <w:div w:id="780027802">
                                              <w:marLeft w:val="0"/>
                                              <w:marRight w:val="0"/>
                                              <w:marTop w:val="0"/>
                                              <w:marBottom w:val="0"/>
                                              <w:divBdr>
                                                <w:top w:val="single" w:sz="2" w:space="0" w:color="E3E3E3"/>
                                                <w:left w:val="single" w:sz="2" w:space="0" w:color="E3E3E3"/>
                                                <w:bottom w:val="single" w:sz="2" w:space="0" w:color="E3E3E3"/>
                                                <w:right w:val="single" w:sz="2" w:space="0" w:color="E3E3E3"/>
                                              </w:divBdr>
                                              <w:divsChild>
                                                <w:div w:id="1942833892">
                                                  <w:marLeft w:val="0"/>
                                                  <w:marRight w:val="0"/>
                                                  <w:marTop w:val="0"/>
                                                  <w:marBottom w:val="0"/>
                                                  <w:divBdr>
                                                    <w:top w:val="single" w:sz="2" w:space="0" w:color="E3E3E3"/>
                                                    <w:left w:val="single" w:sz="2" w:space="0" w:color="E3E3E3"/>
                                                    <w:bottom w:val="single" w:sz="2" w:space="0" w:color="E3E3E3"/>
                                                    <w:right w:val="single" w:sz="2" w:space="0" w:color="E3E3E3"/>
                                                  </w:divBdr>
                                                  <w:divsChild>
                                                    <w:div w:id="341593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30864962">
          <w:marLeft w:val="0"/>
          <w:marRight w:val="0"/>
          <w:marTop w:val="0"/>
          <w:marBottom w:val="0"/>
          <w:divBdr>
            <w:top w:val="none" w:sz="0" w:space="0" w:color="auto"/>
            <w:left w:val="none" w:sz="0" w:space="0" w:color="auto"/>
            <w:bottom w:val="none" w:sz="0" w:space="0" w:color="auto"/>
            <w:right w:val="none" w:sz="0" w:space="0" w:color="auto"/>
          </w:divBdr>
        </w:div>
      </w:divsChild>
    </w:div>
    <w:div w:id="2084401279">
      <w:bodyDiv w:val="1"/>
      <w:marLeft w:val="0"/>
      <w:marRight w:val="0"/>
      <w:marTop w:val="0"/>
      <w:marBottom w:val="0"/>
      <w:divBdr>
        <w:top w:val="none" w:sz="0" w:space="0" w:color="auto"/>
        <w:left w:val="none" w:sz="0" w:space="0" w:color="auto"/>
        <w:bottom w:val="none" w:sz="0" w:space="0" w:color="auto"/>
        <w:right w:val="none" w:sz="0" w:space="0" w:color="auto"/>
      </w:divBdr>
      <w:divsChild>
        <w:div w:id="1011687573">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ezproxy.unibo.it/science/article/pii/S0957582021003426?via%3Dih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F6E7B1-1382-4F48-81A1-228199CC6FCA}">
  <we:reference id="f78a3046-9e99-4300-aa2b-5814002b01a2" version="1.55.1.0" store="EXCatalog" storeType="EXCatalog"/>
  <we:alternateReferences>
    <we:reference id="WA104382081" version="1.55.1.0" store="it-IT"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7E60FA7C79949856CC7C99548FD9A" ma:contentTypeVersion="18" ma:contentTypeDescription="Create a new document." ma:contentTypeScope="" ma:versionID="23eeb5cea9a2dbf485f23e323bb6c2ae">
  <xsd:schema xmlns:xsd="http://www.w3.org/2001/XMLSchema" xmlns:xs="http://www.w3.org/2001/XMLSchema" xmlns:p="http://schemas.microsoft.com/office/2006/metadata/properties" xmlns:ns3="12fdc3d8-a6fb-4c87-b5b7-a0ccc09008bb" xmlns:ns4="ac3d028a-5a57-40aa-bcd0-526e688e4b71" targetNamespace="http://schemas.microsoft.com/office/2006/metadata/properties" ma:root="true" ma:fieldsID="348b8d80a702ad77c2e2ad5438a8fe0c" ns3:_="" ns4:_="">
    <xsd:import namespace="12fdc3d8-a6fb-4c87-b5b7-a0ccc09008bb"/>
    <xsd:import namespace="ac3d028a-5a57-40aa-bcd0-526e688e4b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dc3d8-a6fb-4c87-b5b7-a0ccc0900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d028a-5a57-40aa-bcd0-526e688e4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2fdc3d8-a6fb-4c87-b5b7-a0ccc09008bb" xsi:nil="true"/>
  </documentManagement>
</p:properties>
</file>

<file path=customXml/itemProps1.xml><?xml version="1.0" encoding="utf-8"?>
<ds:datastoreItem xmlns:ds="http://schemas.openxmlformats.org/officeDocument/2006/customXml" ds:itemID="{BA536A2C-07B3-4497-B73F-8CD8E18B83E3}">
  <ds:schemaRefs>
    <ds:schemaRef ds:uri="http://schemas.microsoft.com/sharepoint/v3/contenttype/forms"/>
  </ds:schemaRefs>
</ds:datastoreItem>
</file>

<file path=customXml/itemProps2.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3.xml><?xml version="1.0" encoding="utf-8"?>
<ds:datastoreItem xmlns:ds="http://schemas.openxmlformats.org/officeDocument/2006/customXml" ds:itemID="{F189BDD8-6493-45CD-B143-7206E112D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dc3d8-a6fb-4c87-b5b7-a0ccc09008bb"/>
    <ds:schemaRef ds:uri="ac3d028a-5a57-40aa-bcd0-526e688e4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90633-E3EC-4E11-8399-1EDEB239D6AE}">
  <ds:schemaRefs>
    <ds:schemaRef ds:uri="http://schemas.microsoft.com/office/2006/metadata/properties"/>
    <ds:schemaRef ds:uri="http://schemas.microsoft.com/office/infopath/2007/PartnerControls"/>
    <ds:schemaRef ds:uri="12fdc3d8-a6fb-4c87-b5b7-a0ccc09008bb"/>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3550</Words>
  <Characters>20237</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Valentina Di Talia</cp:lastModifiedBy>
  <cp:revision>12</cp:revision>
  <cp:lastPrinted>2015-05-12T18:31:00Z</cp:lastPrinted>
  <dcterms:created xsi:type="dcterms:W3CDTF">2024-05-29T09:58:00Z</dcterms:created>
  <dcterms:modified xsi:type="dcterms:W3CDTF">2024-07-31T11:14:00Z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0x010100F817E60FA7C79949856CC7C99548FD9A</vt:lpwstr>
  </property>
</Properties>
</file>