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C3A334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5137E">
              <w:rPr>
                <w:rFonts w:cs="Arial"/>
                <w:b/>
                <w:bCs/>
                <w:i/>
                <w:iCs/>
                <w:color w:val="000066"/>
                <w:sz w:val="22"/>
                <w:szCs w:val="22"/>
                <w:lang w:eastAsia="it-IT"/>
              </w:rPr>
              <w:t>xx</w:t>
            </w:r>
            <w:r w:rsidR="008F2980">
              <w:rPr>
                <w:rFonts w:cs="Arial"/>
                <w:b/>
                <w:bCs/>
                <w:i/>
                <w:iCs/>
                <w:color w:val="000066"/>
                <w:sz w:val="22"/>
                <w:szCs w:val="22"/>
                <w:lang w:eastAsia="it-IT"/>
              </w:rPr>
              <w:t>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C5137E">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0E4E74" w:rsidRDefault="00300E56" w:rsidP="00B57E6F">
            <w:pPr>
              <w:ind w:left="-107"/>
              <w:outlineLvl w:val="2"/>
              <w:rPr>
                <w:rFonts w:ascii="Tahoma" w:hAnsi="Tahoma" w:cs="Tahoma"/>
                <w:bCs/>
                <w:color w:val="000000"/>
                <w:sz w:val="14"/>
                <w:szCs w:val="14"/>
                <w:lang w:val="it-IT" w:eastAsia="it-IT"/>
              </w:rPr>
            </w:pPr>
            <w:r w:rsidRPr="000E4E74">
              <w:rPr>
                <w:rFonts w:ascii="Tahoma" w:hAnsi="Tahoma" w:cs="Tahoma"/>
                <w:iCs/>
                <w:color w:val="333333"/>
                <w:sz w:val="14"/>
                <w:szCs w:val="14"/>
                <w:lang w:val="it-IT" w:eastAsia="it-IT"/>
              </w:rPr>
              <w:t>Guest Editors:</w:t>
            </w:r>
            <w:r w:rsidR="00904C62" w:rsidRPr="000E4E74">
              <w:rPr>
                <w:rFonts w:ascii="Tahoma" w:hAnsi="Tahoma" w:cs="Tahoma"/>
                <w:iCs/>
                <w:color w:val="333333"/>
                <w:sz w:val="14"/>
                <w:szCs w:val="14"/>
                <w:lang w:val="it-IT" w:eastAsia="it-IT"/>
              </w:rPr>
              <w:t xml:space="preserve"> </w:t>
            </w:r>
            <w:r w:rsidR="00B57E6F" w:rsidRPr="000E4E74">
              <w:rPr>
                <w:rFonts w:ascii="Tahoma" w:hAnsi="Tahoma" w:cs="Tahoma"/>
                <w:color w:val="000000"/>
                <w:sz w:val="14"/>
                <w:szCs w:val="14"/>
                <w:shd w:val="clear" w:color="auto" w:fill="FFFFFF"/>
                <w:lang w:val="it-IT"/>
              </w:rPr>
              <w:t xml:space="preserve">Valerio Cozzani, </w:t>
            </w:r>
            <w:r w:rsidR="001331DF" w:rsidRPr="000E4E74">
              <w:rPr>
                <w:rFonts w:ascii="Tahoma" w:hAnsi="Tahoma" w:cs="Tahoma"/>
                <w:color w:val="000000"/>
                <w:sz w:val="14"/>
                <w:szCs w:val="14"/>
                <w:shd w:val="clear" w:color="auto" w:fill="FFFFFF"/>
                <w:lang w:val="it-IT"/>
              </w:rPr>
              <w:t>Bruno Fabiano</w:t>
            </w:r>
            <w:r w:rsidR="00B57E6F" w:rsidRPr="000E4E74">
              <w:rPr>
                <w:rFonts w:ascii="Tahoma" w:hAnsi="Tahoma" w:cs="Tahoma"/>
                <w:color w:val="000000"/>
                <w:sz w:val="14"/>
                <w:szCs w:val="14"/>
                <w:shd w:val="clear" w:color="auto" w:fill="FFFFFF"/>
                <w:lang w:val="it-IT"/>
              </w:rPr>
              <w:t xml:space="preserve">, </w:t>
            </w:r>
            <w:proofErr w:type="spellStart"/>
            <w:r w:rsidR="00B57E6F" w:rsidRPr="000E4E74">
              <w:rPr>
                <w:rFonts w:ascii="Tahoma" w:hAnsi="Tahoma" w:cs="Tahoma"/>
                <w:bCs/>
                <w:color w:val="000000"/>
                <w:sz w:val="14"/>
                <w:szCs w:val="14"/>
                <w:lang w:val="it-IT" w:eastAsia="it-IT"/>
              </w:rPr>
              <w:t>Genserik</w:t>
            </w:r>
            <w:proofErr w:type="spellEnd"/>
            <w:r w:rsidR="00B57E6F" w:rsidRPr="000E4E74">
              <w:rPr>
                <w:rFonts w:ascii="Tahoma" w:hAnsi="Tahoma" w:cs="Tahoma"/>
                <w:bCs/>
                <w:color w:val="000000"/>
                <w:sz w:val="14"/>
                <w:szCs w:val="14"/>
                <w:lang w:val="it-IT" w:eastAsia="it-IT"/>
              </w:rPr>
              <w:t xml:space="preserve"> </w:t>
            </w:r>
            <w:proofErr w:type="spellStart"/>
            <w:r w:rsidR="00B57E6F" w:rsidRPr="000E4E74">
              <w:rPr>
                <w:rFonts w:ascii="Tahoma" w:hAnsi="Tahoma" w:cs="Tahoma"/>
                <w:bCs/>
                <w:color w:val="000000"/>
                <w:sz w:val="14"/>
                <w:szCs w:val="14"/>
                <w:lang w:val="it-IT" w:eastAsia="it-IT"/>
              </w:rPr>
              <w:t>Reniers</w:t>
            </w:r>
            <w:proofErr w:type="spellEnd"/>
          </w:p>
          <w:p w14:paraId="1B0F1814" w14:textId="4812AF88"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EAF">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8F2980" w:rsidRPr="00B57B36">
              <w:rPr>
                <w:rFonts w:ascii="Tahoma" w:hAnsi="Tahoma" w:cs="Tahoma"/>
                <w:b/>
                <w:iCs/>
                <w:color w:val="000000"/>
                <w:sz w:val="14"/>
                <w:szCs w:val="14"/>
                <w:lang w:eastAsia="it-IT"/>
              </w:rPr>
              <w:t>ISBN</w:t>
            </w:r>
            <w:r w:rsidR="008F2980" w:rsidRPr="00B57B36">
              <w:rPr>
                <w:rFonts w:ascii="Tahoma" w:hAnsi="Tahoma" w:cs="Tahoma"/>
                <w:iCs/>
                <w:color w:val="000000"/>
                <w:sz w:val="14"/>
                <w:szCs w:val="14"/>
                <w:lang w:eastAsia="it-IT"/>
              </w:rPr>
              <w:t xml:space="preserve"> </w:t>
            </w:r>
            <w:r w:rsidR="008F2980" w:rsidRPr="00825DD9">
              <w:rPr>
                <w:rFonts w:ascii="Tahoma" w:hAnsi="Tahoma" w:cs="Tahoma"/>
                <w:sz w:val="14"/>
                <w:szCs w:val="14"/>
                <w:lang w:eastAsia="it-IT"/>
              </w:rPr>
              <w:t>979-12-81206-11-3</w:t>
            </w:r>
            <w:r w:rsidR="008F2980" w:rsidRPr="00EF06D9">
              <w:rPr>
                <w:rFonts w:ascii="Tahoma" w:hAnsi="Tahoma" w:cs="Tahoma"/>
                <w:iCs/>
                <w:color w:val="333333"/>
                <w:sz w:val="14"/>
                <w:szCs w:val="14"/>
                <w:lang w:eastAsia="it-IT"/>
              </w:rPr>
              <w:t>;</w:t>
            </w:r>
            <w:r w:rsidR="008F2980" w:rsidRPr="00B57B36">
              <w:rPr>
                <w:rFonts w:ascii="Tahoma" w:hAnsi="Tahoma" w:cs="Tahoma"/>
                <w:iCs/>
                <w:color w:val="333333"/>
                <w:sz w:val="14"/>
                <w:szCs w:val="14"/>
                <w:lang w:eastAsia="it-IT"/>
              </w:rPr>
              <w:t xml:space="preserve"> </w:t>
            </w:r>
            <w:r w:rsidR="008F2980" w:rsidRPr="00B57B36">
              <w:rPr>
                <w:rFonts w:ascii="Tahoma" w:hAnsi="Tahoma" w:cs="Tahoma"/>
                <w:b/>
                <w:iCs/>
                <w:color w:val="333333"/>
                <w:sz w:val="14"/>
                <w:szCs w:val="14"/>
                <w:lang w:eastAsia="it-IT"/>
              </w:rPr>
              <w:t>ISSN</w:t>
            </w:r>
            <w:r w:rsidR="008F2980"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B32DA93" w:rsidR="00E978D0" w:rsidRPr="00B57B36" w:rsidRDefault="000E4E74" w:rsidP="00E978D0">
      <w:pPr>
        <w:pStyle w:val="CETTitle"/>
      </w:pPr>
      <w:r>
        <w:t>Depressurization Simulation of Methane-Hydrogen Mixtures in Pipelines</w:t>
      </w:r>
    </w:p>
    <w:p w14:paraId="0488FED2" w14:textId="01A24187" w:rsidR="00B57E6F" w:rsidRPr="00046C07" w:rsidRDefault="000E4E74" w:rsidP="00B57E6F">
      <w:pPr>
        <w:pStyle w:val="CETAuthors"/>
        <w:rPr>
          <w:lang w:val="it-IT"/>
        </w:rPr>
      </w:pPr>
      <w:r w:rsidRPr="00046C07">
        <w:rPr>
          <w:lang w:val="it-IT"/>
        </w:rPr>
        <w:t>Luigi Raimondi</w:t>
      </w:r>
    </w:p>
    <w:p w14:paraId="6B2D21B3" w14:textId="36668FE2" w:rsidR="00B57E6F" w:rsidRPr="00046C07" w:rsidRDefault="000E4E74" w:rsidP="00B57E6F">
      <w:pPr>
        <w:pStyle w:val="CETAddress"/>
        <w:rPr>
          <w:lang w:val="it-IT"/>
        </w:rPr>
      </w:pPr>
      <w:r w:rsidRPr="00046C07">
        <w:rPr>
          <w:lang w:val="it-IT"/>
        </w:rPr>
        <w:t>Process Simulation Services, Via Piave 17, 20027 Rescaldina (MI), Italy</w:t>
      </w:r>
    </w:p>
    <w:p w14:paraId="73F1267A" w14:textId="086CFD9F" w:rsidR="00B57E6F" w:rsidRPr="00B57B36" w:rsidRDefault="009A00C1" w:rsidP="00B57E6F">
      <w:pPr>
        <w:pStyle w:val="CETemail"/>
      </w:pPr>
      <w:r>
        <w:t>l</w:t>
      </w:r>
      <w:r w:rsidR="000E4E74">
        <w:t>uigi.raimondi@xpsimworld.com</w:t>
      </w:r>
    </w:p>
    <w:p w14:paraId="7DE1469F" w14:textId="270BC055" w:rsidR="000E4E74" w:rsidRDefault="007B6AE5" w:rsidP="000E4E74">
      <w:pPr>
        <w:spacing w:line="240" w:lineRule="auto"/>
        <w:rPr>
          <w:rFonts w:cs="Arial"/>
          <w:szCs w:val="24"/>
          <w:lang w:val="en-US" w:eastAsia="it-IT"/>
        </w:rPr>
      </w:pPr>
      <w:r>
        <w:rPr>
          <w:rFonts w:cs="Arial"/>
          <w:szCs w:val="24"/>
          <w:lang w:val="en-US" w:eastAsia="it-IT"/>
        </w:rPr>
        <w:t>T</w:t>
      </w:r>
      <w:r w:rsidR="000E4E74">
        <w:rPr>
          <w:rFonts w:cs="Arial"/>
          <w:szCs w:val="24"/>
          <w:lang w:val="en-US" w:eastAsia="it-IT"/>
        </w:rPr>
        <w:t xml:space="preserve">he reduction of carbon dioxide generated </w:t>
      </w:r>
      <w:r w:rsidR="00F94B55">
        <w:rPr>
          <w:rFonts w:cs="Arial"/>
          <w:szCs w:val="24"/>
          <w:lang w:val="en-US" w:eastAsia="it-IT"/>
        </w:rPr>
        <w:t>using</w:t>
      </w:r>
      <w:r>
        <w:rPr>
          <w:rFonts w:cs="Arial"/>
          <w:szCs w:val="24"/>
          <w:lang w:val="en-US" w:eastAsia="it-IT"/>
        </w:rPr>
        <w:t xml:space="preserve"> natural gas for </w:t>
      </w:r>
      <w:r w:rsidR="000E4E74">
        <w:rPr>
          <w:rFonts w:cs="Arial"/>
          <w:szCs w:val="24"/>
          <w:lang w:val="en-US" w:eastAsia="it-IT"/>
        </w:rPr>
        <w:t xml:space="preserve">electric energy production or domestic usage is the main factor suggesting the addition of hydrogen. </w:t>
      </w:r>
      <w:r w:rsidR="0029099B">
        <w:rPr>
          <w:rFonts w:cs="Arial"/>
          <w:szCs w:val="24"/>
          <w:lang w:val="en-US" w:eastAsia="it-IT"/>
        </w:rPr>
        <w:t>A</w:t>
      </w:r>
      <w:r w:rsidR="000E4E74">
        <w:rPr>
          <w:rFonts w:cs="Arial"/>
          <w:szCs w:val="24"/>
          <w:lang w:val="en-US" w:eastAsia="it-IT"/>
        </w:rPr>
        <w:t xml:space="preserve">n increase in the use of hydrogen mixed with methane is one possible technology for </w:t>
      </w:r>
      <w:r w:rsidR="00FB2236">
        <w:rPr>
          <w:rFonts w:cs="Arial"/>
          <w:szCs w:val="24"/>
          <w:lang w:val="en-US" w:eastAsia="it-IT"/>
        </w:rPr>
        <w:t>m</w:t>
      </w:r>
      <w:r w:rsidR="000E4E74">
        <w:rPr>
          <w:rFonts w:cs="Arial"/>
          <w:szCs w:val="24"/>
          <w:lang w:val="en-US" w:eastAsia="it-IT"/>
        </w:rPr>
        <w:t>itigati</w:t>
      </w:r>
      <w:r w:rsidR="00FB2236">
        <w:rPr>
          <w:rFonts w:cs="Arial"/>
          <w:szCs w:val="24"/>
          <w:lang w:val="en-US" w:eastAsia="it-IT"/>
        </w:rPr>
        <w:t>ng</w:t>
      </w:r>
      <w:r w:rsidR="000E4E74">
        <w:rPr>
          <w:rFonts w:cs="Arial"/>
          <w:szCs w:val="24"/>
          <w:lang w:val="en-US" w:eastAsia="it-IT"/>
        </w:rPr>
        <w:t xml:space="preserve"> greenhouse effects. Besides mechanical problems related to hydrogen embrittlement generated by hydrogen absorption, the presence of hydrogen changes the thermodynamic and transport properties of the natural gas. Different equations of state for an optimum simulation are tested for both steady-state and dynamic calculations. </w:t>
      </w:r>
      <w:r w:rsidR="000E4E74" w:rsidRPr="002D2652">
        <w:rPr>
          <w:rFonts w:cs="Arial"/>
          <w:szCs w:val="24"/>
          <w:lang w:val="en-US" w:eastAsia="it-IT"/>
        </w:rPr>
        <w:t>Depressurization of a pipeline can be performed as a scheduled or emergency operation</w:t>
      </w:r>
      <w:r w:rsidR="000E4E74">
        <w:rPr>
          <w:rFonts w:cs="Arial"/>
          <w:szCs w:val="24"/>
          <w:lang w:val="en-US" w:eastAsia="it-IT"/>
        </w:rPr>
        <w:t xml:space="preserve">. Hydrogen mixtures with natural gas are considered at ambient temperature and high pressures ranging from 150 bar to 250 bar. The reliable simulation of relief conditions (flow rate, pressure, and temperature) is a preliminary </w:t>
      </w:r>
      <w:r w:rsidR="00046C07">
        <w:rPr>
          <w:rFonts w:cs="Arial"/>
          <w:szCs w:val="24"/>
          <w:lang w:val="en-US" w:eastAsia="it-IT"/>
        </w:rPr>
        <w:t xml:space="preserve">fundamental </w:t>
      </w:r>
      <w:r w:rsidR="000E4E74">
        <w:rPr>
          <w:rFonts w:cs="Arial"/>
          <w:szCs w:val="24"/>
          <w:lang w:val="en-US" w:eastAsia="it-IT"/>
        </w:rPr>
        <w:t xml:space="preserve">step for </w:t>
      </w:r>
      <w:r w:rsidR="00C63A77">
        <w:rPr>
          <w:rFonts w:cs="Arial"/>
          <w:szCs w:val="24"/>
          <w:lang w:val="en-US" w:eastAsia="it-IT"/>
        </w:rPr>
        <w:t>evaluating</w:t>
      </w:r>
      <w:r w:rsidR="000E4E74">
        <w:rPr>
          <w:rFonts w:cs="Arial"/>
          <w:szCs w:val="24"/>
          <w:lang w:val="en-US" w:eastAsia="it-IT"/>
        </w:rPr>
        <w:t xml:space="preserve"> gas dispersion effects. This study </w:t>
      </w:r>
      <w:r w:rsidR="00046C07">
        <w:rPr>
          <w:rFonts w:cs="Arial"/>
          <w:szCs w:val="24"/>
          <w:lang w:val="en-US" w:eastAsia="it-IT"/>
        </w:rPr>
        <w:t>analy</w:t>
      </w:r>
      <w:r w:rsidR="00F94B55">
        <w:rPr>
          <w:rFonts w:cs="Arial"/>
          <w:szCs w:val="24"/>
          <w:lang w:val="en-US" w:eastAsia="it-IT"/>
        </w:rPr>
        <w:t>zes</w:t>
      </w:r>
      <w:r w:rsidR="00046C07">
        <w:rPr>
          <w:rFonts w:cs="Arial"/>
          <w:szCs w:val="24"/>
          <w:lang w:val="en-US" w:eastAsia="it-IT"/>
        </w:rPr>
        <w:t xml:space="preserve"> the depressurization of </w:t>
      </w:r>
      <w:r w:rsidR="000E4E74">
        <w:rPr>
          <w:rFonts w:cs="Arial"/>
          <w:szCs w:val="24"/>
          <w:lang w:val="en-US" w:eastAsia="it-IT"/>
        </w:rPr>
        <w:t>a large-diameter pipeline, designed for natural gas</w:t>
      </w:r>
      <w:r w:rsidR="00F94B55">
        <w:rPr>
          <w:rFonts w:cs="Arial"/>
          <w:szCs w:val="24"/>
          <w:lang w:val="en-US" w:eastAsia="it-IT"/>
        </w:rPr>
        <w:t xml:space="preserve"> transportation</w:t>
      </w:r>
      <w:r w:rsidR="000E4E74">
        <w:rPr>
          <w:rFonts w:cs="Arial"/>
          <w:szCs w:val="24"/>
          <w:lang w:val="en-US" w:eastAsia="it-IT"/>
        </w:rPr>
        <w:t xml:space="preserve">, now transporting methane-hydrogen mixtures across a distance of 20 km. Mixtures containing up to 10 % of hydrogen in </w:t>
      </w:r>
      <w:r w:rsidR="00046C07">
        <w:rPr>
          <w:rFonts w:cs="Arial"/>
          <w:szCs w:val="24"/>
          <w:lang w:val="en-US" w:eastAsia="it-IT"/>
        </w:rPr>
        <w:t xml:space="preserve">moles </w:t>
      </w:r>
      <w:r w:rsidR="000E4E74">
        <w:rPr>
          <w:rFonts w:cs="Arial"/>
          <w:szCs w:val="24"/>
          <w:lang w:val="en-US" w:eastAsia="it-IT"/>
        </w:rPr>
        <w:t xml:space="preserve">are considered. The event of a leak at </w:t>
      </w:r>
      <w:r w:rsidR="00046C07">
        <w:rPr>
          <w:rFonts w:cs="Arial"/>
          <w:szCs w:val="24"/>
          <w:lang w:val="en-US" w:eastAsia="it-IT"/>
        </w:rPr>
        <w:t xml:space="preserve">15 km from the inlet </w:t>
      </w:r>
      <w:r w:rsidR="000E4E74">
        <w:rPr>
          <w:rFonts w:cs="Arial"/>
          <w:szCs w:val="24"/>
          <w:lang w:val="en-US" w:eastAsia="it-IT"/>
        </w:rPr>
        <w:t xml:space="preserve">point </w:t>
      </w:r>
      <w:r w:rsidR="00046C07">
        <w:rPr>
          <w:rFonts w:cs="Arial"/>
          <w:szCs w:val="24"/>
          <w:lang w:val="en-US" w:eastAsia="it-IT"/>
        </w:rPr>
        <w:t xml:space="preserve">is </w:t>
      </w:r>
      <w:r w:rsidR="000E4E74">
        <w:rPr>
          <w:rFonts w:cs="Arial"/>
          <w:szCs w:val="24"/>
          <w:lang w:val="en-US" w:eastAsia="it-IT"/>
        </w:rPr>
        <w:t>considered</w:t>
      </w:r>
      <w:r w:rsidR="00046C07">
        <w:rPr>
          <w:rFonts w:cs="Arial"/>
          <w:szCs w:val="24"/>
          <w:lang w:val="en-US" w:eastAsia="it-IT"/>
        </w:rPr>
        <w:t xml:space="preserve">. Differences between pure methane </w:t>
      </w:r>
      <w:r w:rsidR="000E4E74">
        <w:rPr>
          <w:rFonts w:cs="Arial"/>
          <w:szCs w:val="24"/>
          <w:lang w:val="en-US" w:eastAsia="it-IT"/>
        </w:rPr>
        <w:t xml:space="preserve">and </w:t>
      </w:r>
      <w:r w:rsidR="00046C07">
        <w:rPr>
          <w:rFonts w:cs="Arial"/>
          <w:szCs w:val="24"/>
          <w:lang w:val="en-US" w:eastAsia="it-IT"/>
        </w:rPr>
        <w:t xml:space="preserve">its mixtures with hydrogen </w:t>
      </w:r>
      <w:r w:rsidR="0070014C">
        <w:rPr>
          <w:rFonts w:cs="Arial"/>
          <w:szCs w:val="24"/>
          <w:lang w:val="en-US" w:eastAsia="it-IT"/>
        </w:rPr>
        <w:t>are evaluated and discussed.</w:t>
      </w:r>
      <w:r w:rsidR="00082975">
        <w:rPr>
          <w:rFonts w:cs="Arial"/>
          <w:szCs w:val="24"/>
          <w:lang w:val="en-US" w:eastAsia="it-IT"/>
        </w:rPr>
        <w:t xml:space="preserve"> The methods presented allow the calculation of the discharged gas flow</w:t>
      </w:r>
      <w:r w:rsidR="00CF05F0">
        <w:rPr>
          <w:rFonts w:cs="Arial"/>
          <w:szCs w:val="24"/>
          <w:lang w:val="en-US" w:eastAsia="it-IT"/>
        </w:rPr>
        <w:t xml:space="preserve"> </w:t>
      </w:r>
      <w:r w:rsidR="00082975">
        <w:rPr>
          <w:rFonts w:cs="Arial"/>
          <w:szCs w:val="24"/>
          <w:lang w:val="en-US" w:eastAsia="it-IT"/>
        </w:rPr>
        <w:t>rate and its duration as fundamental data required for the evaluation of dispersion in the ambient and HSE evaluation.</w:t>
      </w:r>
    </w:p>
    <w:p w14:paraId="6EDF5453" w14:textId="77777777" w:rsidR="000E4E74" w:rsidRPr="00B57B36" w:rsidRDefault="000E4E74" w:rsidP="000E4E74">
      <w:pPr>
        <w:pStyle w:val="CETHeading1"/>
        <w:rPr>
          <w:lang w:val="en-GB"/>
        </w:rPr>
      </w:pPr>
      <w:bookmarkStart w:id="0" w:name="_Hlk158198250"/>
      <w:r w:rsidRPr="00B57B36">
        <w:rPr>
          <w:lang w:val="en-GB"/>
        </w:rPr>
        <w:t>Introduction</w:t>
      </w:r>
    </w:p>
    <w:bookmarkEnd w:id="0"/>
    <w:p w14:paraId="13008EBC" w14:textId="08DE46FD" w:rsidR="00FC53E4" w:rsidRDefault="007B6AE5" w:rsidP="00FC53E4">
      <w:pPr>
        <w:pStyle w:val="CETBodytext"/>
        <w:rPr>
          <w:lang w:eastAsia="it-IT"/>
        </w:rPr>
      </w:pPr>
      <w:r>
        <w:rPr>
          <w:lang w:eastAsia="it-IT"/>
        </w:rPr>
        <w:t xml:space="preserve">The consideration of green hydrogen as a low-carbon energy carrier brings attention to hydrogen </w:t>
      </w:r>
      <w:r w:rsidR="000E4E74">
        <w:rPr>
          <w:lang w:eastAsia="it-IT"/>
        </w:rPr>
        <w:t>storage and transport</w:t>
      </w:r>
      <w:r>
        <w:rPr>
          <w:lang w:eastAsia="it-IT"/>
        </w:rPr>
        <w:t xml:space="preserve">: </w:t>
      </w:r>
      <w:r w:rsidR="000E4E74">
        <w:rPr>
          <w:lang w:eastAsia="it-IT"/>
        </w:rPr>
        <w:t xml:space="preserve">a theme </w:t>
      </w:r>
      <w:r>
        <w:rPr>
          <w:lang w:eastAsia="it-IT"/>
        </w:rPr>
        <w:t>related to t</w:t>
      </w:r>
      <w:r w:rsidR="000E4E74">
        <w:rPr>
          <w:lang w:eastAsia="it-IT"/>
        </w:rPr>
        <w:t xml:space="preserve">he consideration of green hydrogen as a </w:t>
      </w:r>
      <w:r>
        <w:rPr>
          <w:lang w:eastAsia="it-IT"/>
        </w:rPr>
        <w:t>ren</w:t>
      </w:r>
      <w:r w:rsidR="000E4E74">
        <w:rPr>
          <w:lang w:eastAsia="it-IT"/>
        </w:rPr>
        <w:t>ewable energy resource for meeting our commodity needs.</w:t>
      </w:r>
      <w:r w:rsidR="00223322">
        <w:rPr>
          <w:lang w:eastAsia="it-IT"/>
        </w:rPr>
        <w:t xml:space="preserve"> The use of </w:t>
      </w:r>
      <w:r w:rsidR="000E4E74" w:rsidRPr="00545E48">
        <w:rPr>
          <w:lang w:eastAsia="it-IT"/>
        </w:rPr>
        <w:t>hydrogen</w:t>
      </w:r>
      <w:r w:rsidR="00223322">
        <w:rPr>
          <w:lang w:eastAsia="it-IT"/>
        </w:rPr>
        <w:t>,</w:t>
      </w:r>
      <w:r w:rsidR="000E4E74" w:rsidRPr="00545E48">
        <w:rPr>
          <w:lang w:eastAsia="it-IT"/>
        </w:rPr>
        <w:t xml:space="preserve"> </w:t>
      </w:r>
      <w:r w:rsidR="00223322">
        <w:rPr>
          <w:lang w:eastAsia="it-IT"/>
        </w:rPr>
        <w:t xml:space="preserve">as a substitution </w:t>
      </w:r>
      <w:r w:rsidR="001644BE">
        <w:rPr>
          <w:lang w:eastAsia="it-IT"/>
        </w:rPr>
        <w:t>for</w:t>
      </w:r>
      <w:r w:rsidR="000E4E74">
        <w:rPr>
          <w:lang w:eastAsia="it-IT"/>
        </w:rPr>
        <w:t xml:space="preserve"> </w:t>
      </w:r>
      <w:r w:rsidR="000E4E74" w:rsidRPr="00545E48">
        <w:rPr>
          <w:lang w:eastAsia="it-IT"/>
        </w:rPr>
        <w:t>fossil fuels</w:t>
      </w:r>
      <w:r w:rsidR="00223322">
        <w:rPr>
          <w:lang w:eastAsia="it-IT"/>
        </w:rPr>
        <w:t>, is considered an environmentally friendly alternative since its combustion emits only water.</w:t>
      </w:r>
      <w:r w:rsidR="001644BE">
        <w:rPr>
          <w:lang w:eastAsia="it-IT"/>
        </w:rPr>
        <w:t xml:space="preserve"> </w:t>
      </w:r>
      <w:r w:rsidR="000E4E74">
        <w:rPr>
          <w:lang w:eastAsia="it-IT"/>
        </w:rPr>
        <w:t>One of the various possibilities of using hydrogen for reducing the carbon dioxide footprint is the mixing of some amounts with natural gas obtaining a fuel gas that generates a lower amount of carbon dioxide. Th</w:t>
      </w:r>
      <w:r w:rsidR="007C0487">
        <w:rPr>
          <w:lang w:eastAsia="it-IT"/>
        </w:rPr>
        <w:t xml:space="preserve">e </w:t>
      </w:r>
      <w:r w:rsidR="004E124E">
        <w:rPr>
          <w:lang w:eastAsia="it-IT"/>
        </w:rPr>
        <w:t xml:space="preserve">transport of such a gas </w:t>
      </w:r>
      <w:r w:rsidR="000E4E74">
        <w:rPr>
          <w:lang w:eastAsia="it-IT"/>
        </w:rPr>
        <w:t xml:space="preserve">can be facilitated by the large natural gas distribution network existing </w:t>
      </w:r>
      <w:r w:rsidR="001644BE">
        <w:rPr>
          <w:lang w:eastAsia="it-IT"/>
        </w:rPr>
        <w:t xml:space="preserve">in </w:t>
      </w:r>
      <w:r w:rsidR="000E4E74">
        <w:rPr>
          <w:lang w:eastAsia="it-IT"/>
        </w:rPr>
        <w:t>highly populated countries such as Western Europe.</w:t>
      </w:r>
      <w:r w:rsidR="00FC53E4">
        <w:rPr>
          <w:lang w:eastAsia="it-IT"/>
        </w:rPr>
        <w:t xml:space="preserve"> </w:t>
      </w:r>
      <w:r w:rsidR="000E4E74">
        <w:rPr>
          <w:lang w:eastAsia="it-IT"/>
        </w:rPr>
        <w:t>From the engineering point of view</w:t>
      </w:r>
      <w:r w:rsidR="00082975">
        <w:rPr>
          <w:lang w:eastAsia="it-IT"/>
        </w:rPr>
        <w:t>,</w:t>
      </w:r>
      <w:r w:rsidR="000E4E74">
        <w:rPr>
          <w:lang w:eastAsia="it-IT"/>
        </w:rPr>
        <w:t xml:space="preserve"> such an option requires the re-analysis of many technical problems </w:t>
      </w:r>
      <w:r w:rsidR="00082975">
        <w:rPr>
          <w:lang w:eastAsia="it-IT"/>
        </w:rPr>
        <w:t xml:space="preserve">generated by the presence of hydrogen mixed with natural gas. </w:t>
      </w:r>
      <w:r w:rsidR="000E4E74">
        <w:rPr>
          <w:lang w:eastAsia="it-IT"/>
        </w:rPr>
        <w:t xml:space="preserve">Apart </w:t>
      </w:r>
      <w:r w:rsidR="00082975">
        <w:rPr>
          <w:lang w:eastAsia="it-IT"/>
        </w:rPr>
        <w:t xml:space="preserve">from </w:t>
      </w:r>
      <w:r w:rsidR="000E4E74">
        <w:rPr>
          <w:lang w:eastAsia="it-IT"/>
        </w:rPr>
        <w:t>the well</w:t>
      </w:r>
      <w:r w:rsidR="00082975">
        <w:rPr>
          <w:lang w:eastAsia="it-IT"/>
        </w:rPr>
        <w:t>-</w:t>
      </w:r>
      <w:r w:rsidR="000E4E74">
        <w:rPr>
          <w:lang w:eastAsia="it-IT"/>
        </w:rPr>
        <w:t>known problem of the fragility</w:t>
      </w:r>
      <w:r w:rsidR="00E87804">
        <w:rPr>
          <w:lang w:eastAsia="it-IT"/>
        </w:rPr>
        <w:t>,</w:t>
      </w:r>
      <w:r w:rsidR="000E4E74">
        <w:rPr>
          <w:lang w:eastAsia="it-IT"/>
        </w:rPr>
        <w:t xml:space="preserve"> generate</w:t>
      </w:r>
      <w:r w:rsidR="00082975">
        <w:rPr>
          <w:lang w:eastAsia="it-IT"/>
        </w:rPr>
        <w:t>d</w:t>
      </w:r>
      <w:r w:rsidR="000E4E74">
        <w:rPr>
          <w:lang w:eastAsia="it-IT"/>
        </w:rPr>
        <w:t xml:space="preserve"> by atomic absorption of hydrogen in steel </w:t>
      </w:r>
      <w:r w:rsidR="00082975">
        <w:rPr>
          <w:lang w:eastAsia="it-IT"/>
        </w:rPr>
        <w:t xml:space="preserve">pipes, the impact of hydrogen on fluid thermodynamic properties is a topic to be considered in detail in </w:t>
      </w:r>
      <w:r w:rsidR="00E87804">
        <w:rPr>
          <w:lang w:eastAsia="it-IT"/>
        </w:rPr>
        <w:t>any engineering project</w:t>
      </w:r>
      <w:r w:rsidR="00082975">
        <w:rPr>
          <w:lang w:eastAsia="it-IT"/>
        </w:rPr>
        <w:t>.</w:t>
      </w:r>
      <w:r w:rsidR="00FC53E4">
        <w:rPr>
          <w:lang w:eastAsia="it-IT"/>
        </w:rPr>
        <w:t xml:space="preserve"> </w:t>
      </w:r>
      <w:r w:rsidR="004E124E">
        <w:rPr>
          <w:lang w:eastAsia="it-IT"/>
        </w:rPr>
        <w:t>The first consideration is that hydrogen is extremely flammable</w:t>
      </w:r>
      <w:r w:rsidR="00E87804">
        <w:rPr>
          <w:lang w:eastAsia="it-IT"/>
        </w:rPr>
        <w:t>,</w:t>
      </w:r>
      <w:r w:rsidR="004E124E">
        <w:rPr>
          <w:lang w:eastAsia="it-IT"/>
        </w:rPr>
        <w:t xml:space="preserve"> being </w:t>
      </w:r>
      <w:r w:rsidR="00E87804">
        <w:rPr>
          <w:lang w:eastAsia="it-IT"/>
        </w:rPr>
        <w:t xml:space="preserve">the flammability interval </w:t>
      </w:r>
      <w:r w:rsidR="004E124E">
        <w:rPr>
          <w:lang w:eastAsia="it-IT"/>
        </w:rPr>
        <w:t>at atmospheric pressure between 4</w:t>
      </w:r>
      <w:r w:rsidR="0030473E">
        <w:rPr>
          <w:lang w:eastAsia="it-IT"/>
        </w:rPr>
        <w:t xml:space="preserve"> %</w:t>
      </w:r>
      <w:r w:rsidR="004E124E">
        <w:rPr>
          <w:lang w:eastAsia="it-IT"/>
        </w:rPr>
        <w:t xml:space="preserve"> to 75</w:t>
      </w:r>
      <w:r w:rsidR="0030473E">
        <w:rPr>
          <w:lang w:eastAsia="it-IT"/>
        </w:rPr>
        <w:t xml:space="preserve"> </w:t>
      </w:r>
      <w:r w:rsidR="004E124E">
        <w:rPr>
          <w:lang w:eastAsia="it-IT"/>
        </w:rPr>
        <w:t xml:space="preserve">% in volume. </w:t>
      </w:r>
      <w:r w:rsidR="006D06FE">
        <w:rPr>
          <w:lang w:eastAsia="it-IT"/>
        </w:rPr>
        <w:t>These values can be compared with th</w:t>
      </w:r>
      <w:r w:rsidR="00E87804">
        <w:rPr>
          <w:lang w:eastAsia="it-IT"/>
        </w:rPr>
        <w:t xml:space="preserve">e </w:t>
      </w:r>
      <w:r w:rsidR="006D06FE">
        <w:rPr>
          <w:lang w:eastAsia="it-IT"/>
        </w:rPr>
        <w:t>methane</w:t>
      </w:r>
      <w:r w:rsidR="00E87804">
        <w:rPr>
          <w:lang w:eastAsia="it-IT"/>
        </w:rPr>
        <w:t xml:space="preserve"> flammability</w:t>
      </w:r>
      <w:r w:rsidR="006D06FE">
        <w:rPr>
          <w:lang w:eastAsia="it-IT"/>
        </w:rPr>
        <w:t xml:space="preserve"> which ranges from 5</w:t>
      </w:r>
      <w:r w:rsidR="0030473E">
        <w:rPr>
          <w:lang w:eastAsia="it-IT"/>
        </w:rPr>
        <w:t xml:space="preserve"> </w:t>
      </w:r>
      <w:r w:rsidR="006D06FE">
        <w:rPr>
          <w:lang w:eastAsia="it-IT"/>
        </w:rPr>
        <w:t>% to 15</w:t>
      </w:r>
      <w:r w:rsidR="0030473E">
        <w:rPr>
          <w:lang w:eastAsia="it-IT"/>
        </w:rPr>
        <w:t xml:space="preserve"> </w:t>
      </w:r>
      <w:r w:rsidR="006D06FE">
        <w:rPr>
          <w:lang w:eastAsia="it-IT"/>
        </w:rPr>
        <w:t>%. So</w:t>
      </w:r>
      <w:r w:rsidR="00FC53E4">
        <w:rPr>
          <w:lang w:eastAsia="it-IT"/>
        </w:rPr>
        <w:t>,</w:t>
      </w:r>
      <w:r w:rsidR="006D06FE">
        <w:rPr>
          <w:lang w:eastAsia="it-IT"/>
        </w:rPr>
        <w:t xml:space="preserve"> it is extremely important </w:t>
      </w:r>
      <w:r w:rsidR="00E87804">
        <w:rPr>
          <w:lang w:eastAsia="it-IT"/>
        </w:rPr>
        <w:t>to calculate</w:t>
      </w:r>
      <w:r w:rsidR="006D06FE">
        <w:rPr>
          <w:lang w:eastAsia="it-IT"/>
        </w:rPr>
        <w:t xml:space="preserve"> </w:t>
      </w:r>
      <w:r w:rsidR="00FC53E4">
        <w:rPr>
          <w:lang w:eastAsia="it-IT"/>
        </w:rPr>
        <w:t>the</w:t>
      </w:r>
      <w:r w:rsidR="006D06FE">
        <w:rPr>
          <w:lang w:eastAsia="it-IT"/>
        </w:rPr>
        <w:t xml:space="preserve"> hydrogen dispersion in the air </w:t>
      </w:r>
      <w:r w:rsidR="00FC53E4">
        <w:rPr>
          <w:lang w:eastAsia="it-IT"/>
        </w:rPr>
        <w:t xml:space="preserve">when </w:t>
      </w:r>
      <w:r w:rsidR="006D06FE">
        <w:rPr>
          <w:lang w:eastAsia="it-IT"/>
        </w:rPr>
        <w:t xml:space="preserve">a leak </w:t>
      </w:r>
      <w:r w:rsidR="00FC53E4">
        <w:rPr>
          <w:lang w:eastAsia="it-IT"/>
        </w:rPr>
        <w:t xml:space="preserve">occurs </w:t>
      </w:r>
      <w:r w:rsidR="006D06FE">
        <w:rPr>
          <w:lang w:eastAsia="it-IT"/>
        </w:rPr>
        <w:t>in the pipeline.</w:t>
      </w:r>
      <w:r w:rsidR="00FC53E4">
        <w:rPr>
          <w:lang w:eastAsia="it-IT"/>
        </w:rPr>
        <w:t xml:space="preserve"> </w:t>
      </w:r>
      <w:r w:rsidR="000E4E74">
        <w:rPr>
          <w:lang w:eastAsia="it-IT"/>
        </w:rPr>
        <w:t>The changes experienced in the depressurization of pipelines transporting a</w:t>
      </w:r>
      <w:r w:rsidR="00082975">
        <w:rPr>
          <w:lang w:eastAsia="it-IT"/>
        </w:rPr>
        <w:t>n</w:t>
      </w:r>
      <w:r w:rsidR="000E4E74">
        <w:rPr>
          <w:lang w:eastAsia="it-IT"/>
        </w:rPr>
        <w:t xml:space="preserve"> H</w:t>
      </w:r>
      <w:r w:rsidR="000E4E74" w:rsidRPr="00082975">
        <w:rPr>
          <w:vertAlign w:val="subscript"/>
          <w:lang w:eastAsia="it-IT"/>
        </w:rPr>
        <w:t>2</w:t>
      </w:r>
      <w:r w:rsidR="000E4E74">
        <w:rPr>
          <w:lang w:eastAsia="it-IT"/>
        </w:rPr>
        <w:t>-CH</w:t>
      </w:r>
      <w:r w:rsidR="000E4E74" w:rsidRPr="008F2980">
        <w:rPr>
          <w:vertAlign w:val="subscript"/>
          <w:lang w:eastAsia="it-IT"/>
        </w:rPr>
        <w:t>4</w:t>
      </w:r>
      <w:r w:rsidR="000E4E74">
        <w:rPr>
          <w:lang w:eastAsia="it-IT"/>
        </w:rPr>
        <w:t xml:space="preserve"> mixture are evaluated showing the main differences to pure methane fluid.</w:t>
      </w:r>
      <w:r w:rsidR="00031EE4">
        <w:rPr>
          <w:lang w:eastAsia="it-IT"/>
        </w:rPr>
        <w:t xml:space="preserve"> This study </w:t>
      </w:r>
      <w:r w:rsidR="00E87804">
        <w:rPr>
          <w:lang w:eastAsia="it-IT"/>
        </w:rPr>
        <w:t xml:space="preserve">begins with </w:t>
      </w:r>
      <w:r w:rsidR="00031EE4">
        <w:rPr>
          <w:lang w:eastAsia="it-IT"/>
        </w:rPr>
        <w:t>an initial thermodynamic analysis of the characteristics of natural</w:t>
      </w:r>
      <w:r w:rsidR="00610758">
        <w:rPr>
          <w:lang w:eastAsia="it-IT"/>
        </w:rPr>
        <w:t xml:space="preserve"> </w:t>
      </w:r>
      <w:r w:rsidR="00031EE4">
        <w:rPr>
          <w:lang w:eastAsia="it-IT"/>
        </w:rPr>
        <w:t xml:space="preserve">gas </w:t>
      </w:r>
      <w:r w:rsidR="00610758">
        <w:rPr>
          <w:lang w:eastAsia="it-IT"/>
        </w:rPr>
        <w:t xml:space="preserve">(NG) </w:t>
      </w:r>
      <w:r w:rsidR="00031EE4">
        <w:rPr>
          <w:lang w:eastAsia="it-IT"/>
        </w:rPr>
        <w:t>mixture</w:t>
      </w:r>
      <w:r w:rsidR="00610758">
        <w:rPr>
          <w:lang w:eastAsia="it-IT"/>
        </w:rPr>
        <w:t xml:space="preserve"> </w:t>
      </w:r>
      <w:r w:rsidR="00031EE4">
        <w:rPr>
          <w:lang w:eastAsia="it-IT"/>
        </w:rPr>
        <w:t xml:space="preserve">and of the </w:t>
      </w:r>
      <w:r w:rsidR="00610758">
        <w:rPr>
          <w:lang w:eastAsia="it-IT"/>
        </w:rPr>
        <w:t xml:space="preserve">changes </w:t>
      </w:r>
      <w:r w:rsidR="00031EE4">
        <w:rPr>
          <w:lang w:eastAsia="it-IT"/>
        </w:rPr>
        <w:t xml:space="preserve">obtained when an amount of hydrogen is added. In particular, the effects obtained in Joule-Thomson expansion </w:t>
      </w:r>
      <w:r w:rsidR="00082975">
        <w:rPr>
          <w:lang w:eastAsia="it-IT"/>
        </w:rPr>
        <w:t>are</w:t>
      </w:r>
      <w:r w:rsidR="00031EE4">
        <w:rPr>
          <w:lang w:eastAsia="it-IT"/>
        </w:rPr>
        <w:t xml:space="preserve"> considered, since </w:t>
      </w:r>
      <w:r w:rsidR="00082975">
        <w:rPr>
          <w:lang w:eastAsia="it-IT"/>
        </w:rPr>
        <w:t xml:space="preserve">the </w:t>
      </w:r>
      <w:r w:rsidR="00031EE4">
        <w:rPr>
          <w:lang w:eastAsia="it-IT"/>
        </w:rPr>
        <w:t xml:space="preserve">pressure used in transporting the mixture </w:t>
      </w:r>
      <w:r w:rsidR="00082975">
        <w:rPr>
          <w:lang w:eastAsia="it-IT"/>
        </w:rPr>
        <w:t>is</w:t>
      </w:r>
      <w:r w:rsidR="00031EE4">
        <w:rPr>
          <w:lang w:eastAsia="it-IT"/>
        </w:rPr>
        <w:t xml:space="preserve"> quite high and the </w:t>
      </w:r>
      <w:r w:rsidR="00082975">
        <w:rPr>
          <w:lang w:eastAsia="it-IT"/>
        </w:rPr>
        <w:t xml:space="preserve">final </w:t>
      </w:r>
      <w:r w:rsidR="00031EE4">
        <w:rPr>
          <w:lang w:eastAsia="it-IT"/>
        </w:rPr>
        <w:t xml:space="preserve">temperatures reached during the depressurization </w:t>
      </w:r>
      <w:r w:rsidR="00082975">
        <w:rPr>
          <w:lang w:eastAsia="it-IT"/>
        </w:rPr>
        <w:t>can be</w:t>
      </w:r>
      <w:r w:rsidR="00031EE4">
        <w:rPr>
          <w:lang w:eastAsia="it-IT"/>
        </w:rPr>
        <w:t xml:space="preserve"> </w:t>
      </w:r>
      <w:r w:rsidR="00610758">
        <w:rPr>
          <w:lang w:eastAsia="it-IT"/>
        </w:rPr>
        <w:t xml:space="preserve">quite </w:t>
      </w:r>
      <w:r w:rsidR="00031EE4">
        <w:rPr>
          <w:lang w:eastAsia="it-IT"/>
        </w:rPr>
        <w:t>low.</w:t>
      </w:r>
      <w:r w:rsidR="008941E0">
        <w:rPr>
          <w:lang w:eastAsia="it-IT"/>
        </w:rPr>
        <w:t xml:space="preserve"> </w:t>
      </w:r>
      <w:r w:rsidR="00031EE4">
        <w:rPr>
          <w:lang w:eastAsia="it-IT"/>
        </w:rPr>
        <w:t>The thermodynamic and fluid</w:t>
      </w:r>
      <w:r w:rsidR="0030473E">
        <w:rPr>
          <w:lang w:eastAsia="it-IT"/>
        </w:rPr>
        <w:t xml:space="preserve"> </w:t>
      </w:r>
      <w:r w:rsidR="00031EE4">
        <w:rPr>
          <w:lang w:eastAsia="it-IT"/>
        </w:rPr>
        <w:t xml:space="preserve">flow calculations are </w:t>
      </w:r>
      <w:r w:rsidR="0030473E">
        <w:rPr>
          <w:lang w:eastAsia="it-IT"/>
        </w:rPr>
        <w:t>performed</w:t>
      </w:r>
      <w:r w:rsidR="00031EE4">
        <w:rPr>
          <w:lang w:eastAsia="it-IT"/>
        </w:rPr>
        <w:t xml:space="preserve"> using a</w:t>
      </w:r>
      <w:r w:rsidR="00FC53E4">
        <w:rPr>
          <w:lang w:eastAsia="it-IT"/>
        </w:rPr>
        <w:t xml:space="preserve"> process </w:t>
      </w:r>
      <w:r w:rsidR="00031EE4">
        <w:rPr>
          <w:lang w:eastAsia="it-IT"/>
        </w:rPr>
        <w:t>engineering simulation code</w:t>
      </w:r>
      <w:r w:rsidR="00FC53E4">
        <w:rPr>
          <w:lang w:eastAsia="it-IT"/>
        </w:rPr>
        <w:t>,</w:t>
      </w:r>
      <w:r w:rsidR="00031EE4">
        <w:rPr>
          <w:lang w:eastAsia="it-IT"/>
        </w:rPr>
        <w:t xml:space="preserve"> developed by the author (XPSIM, 2023)</w:t>
      </w:r>
      <w:r w:rsidR="00FC53E4">
        <w:rPr>
          <w:lang w:eastAsia="it-IT"/>
        </w:rPr>
        <w:t>,</w:t>
      </w:r>
      <w:r w:rsidR="004839FF">
        <w:rPr>
          <w:lang w:eastAsia="it-IT"/>
        </w:rPr>
        <w:t xml:space="preserve"> which allows the simulation of steady-state and dynamic effects</w:t>
      </w:r>
      <w:r w:rsidR="00031EE4">
        <w:rPr>
          <w:lang w:eastAsia="it-IT"/>
        </w:rPr>
        <w:t>.</w:t>
      </w:r>
    </w:p>
    <w:p w14:paraId="2441246D" w14:textId="523975D9" w:rsidR="000E4E74" w:rsidRPr="00FC53E4" w:rsidRDefault="000E4E74" w:rsidP="00FC53E4">
      <w:pPr>
        <w:pStyle w:val="CETHeading1"/>
        <w:rPr>
          <w:lang w:val="en-GB"/>
        </w:rPr>
      </w:pPr>
      <w:r w:rsidRPr="00FC53E4">
        <w:rPr>
          <w:lang w:val="en-GB"/>
        </w:rPr>
        <w:lastRenderedPageBreak/>
        <w:t>Thermodynamic bas</w:t>
      </w:r>
      <w:r w:rsidR="00FC53E4">
        <w:rPr>
          <w:lang w:val="en-GB"/>
        </w:rPr>
        <w:t>is</w:t>
      </w:r>
    </w:p>
    <w:p w14:paraId="3C3271EA" w14:textId="1C7056E8" w:rsidR="000E4E74" w:rsidRDefault="000E4E74" w:rsidP="00632A40">
      <w:pPr>
        <w:pStyle w:val="CETBodytextItalic"/>
        <w:rPr>
          <w:i w:val="0"/>
          <w:iCs/>
          <w:lang w:val="en-US"/>
        </w:rPr>
      </w:pPr>
      <w:r w:rsidRPr="00632A40">
        <w:rPr>
          <w:i w:val="0"/>
          <w:iCs/>
          <w:lang w:val="en-US"/>
        </w:rPr>
        <w:t xml:space="preserve">An initial analysis of the thermodynamic properties of hydrogen and methane shows a large difference in the behavior of the two chemical components for Joule-Thomson effects which </w:t>
      </w:r>
      <w:r w:rsidR="004839FF">
        <w:rPr>
          <w:i w:val="0"/>
          <w:iCs/>
          <w:lang w:val="en-US"/>
        </w:rPr>
        <w:t>can be identified</w:t>
      </w:r>
      <w:r w:rsidRPr="00632A40">
        <w:rPr>
          <w:i w:val="0"/>
          <w:iCs/>
          <w:lang w:val="en-US"/>
        </w:rPr>
        <w:t xml:space="preserve"> during isenthalpic depressurization.</w:t>
      </w:r>
      <w:r w:rsidR="008F3AB3">
        <w:rPr>
          <w:i w:val="0"/>
          <w:iCs/>
          <w:lang w:val="en-US"/>
        </w:rPr>
        <w:t xml:space="preserve"> </w:t>
      </w:r>
      <w:r w:rsidRPr="00632A40">
        <w:rPr>
          <w:i w:val="0"/>
          <w:iCs/>
          <w:lang w:val="en-US"/>
        </w:rPr>
        <w:t>The critical properties of hydrogen and the two lightest component</w:t>
      </w:r>
      <w:r w:rsidR="008F3AB3">
        <w:rPr>
          <w:i w:val="0"/>
          <w:iCs/>
          <w:lang w:val="en-US"/>
        </w:rPr>
        <w:t>s</w:t>
      </w:r>
      <w:r w:rsidRPr="00632A40">
        <w:rPr>
          <w:i w:val="0"/>
          <w:iCs/>
          <w:lang w:val="en-US"/>
        </w:rPr>
        <w:t xml:space="preserve"> of natural gas methane</w:t>
      </w:r>
      <w:r w:rsidR="004839FF">
        <w:rPr>
          <w:i w:val="0"/>
          <w:iCs/>
          <w:lang w:val="en-US"/>
        </w:rPr>
        <w:t>,</w:t>
      </w:r>
      <w:r w:rsidRPr="00632A40">
        <w:rPr>
          <w:i w:val="0"/>
          <w:iCs/>
          <w:lang w:val="en-US"/>
        </w:rPr>
        <w:t xml:space="preserve"> and ethane</w:t>
      </w:r>
      <w:r w:rsidR="004839FF">
        <w:rPr>
          <w:i w:val="0"/>
          <w:iCs/>
          <w:lang w:val="en-US"/>
        </w:rPr>
        <w:t xml:space="preserve"> are summarized in Table 1</w:t>
      </w:r>
      <w:r w:rsidRPr="00632A40">
        <w:rPr>
          <w:i w:val="0"/>
          <w:iCs/>
          <w:lang w:val="en-US"/>
        </w:rPr>
        <w:t>.</w:t>
      </w:r>
      <w:r w:rsidR="008F3AB3">
        <w:rPr>
          <w:i w:val="0"/>
          <w:iCs/>
          <w:lang w:val="en-US"/>
        </w:rPr>
        <w:t xml:space="preserve"> </w:t>
      </w:r>
      <w:r w:rsidRPr="00632A40">
        <w:rPr>
          <w:i w:val="0"/>
          <w:iCs/>
          <w:lang w:val="en-US"/>
        </w:rPr>
        <w:t>One can easily deduce</w:t>
      </w:r>
      <w:r w:rsidR="00A25249">
        <w:rPr>
          <w:i w:val="0"/>
          <w:iCs/>
          <w:lang w:val="en-US"/>
        </w:rPr>
        <w:t>,</w:t>
      </w:r>
      <w:r w:rsidRPr="00632A40">
        <w:rPr>
          <w:i w:val="0"/>
          <w:iCs/>
          <w:lang w:val="en-US"/>
        </w:rPr>
        <w:t xml:space="preserve"> from the value of the critical temperature</w:t>
      </w:r>
      <w:r w:rsidR="00A25249">
        <w:rPr>
          <w:i w:val="0"/>
          <w:iCs/>
          <w:lang w:val="en-US"/>
        </w:rPr>
        <w:t>,</w:t>
      </w:r>
      <w:r w:rsidRPr="00632A40">
        <w:rPr>
          <w:i w:val="0"/>
          <w:iCs/>
          <w:lang w:val="en-US"/>
        </w:rPr>
        <w:t xml:space="preserve"> that hydrogen will be never found in the liquid phase when the standard transportation conditions are considered. So</w:t>
      </w:r>
      <w:r w:rsidR="008F3AB3">
        <w:rPr>
          <w:i w:val="0"/>
          <w:iCs/>
          <w:lang w:val="en-US"/>
        </w:rPr>
        <w:t>,</w:t>
      </w:r>
      <w:r w:rsidRPr="00632A40">
        <w:rPr>
          <w:i w:val="0"/>
          <w:iCs/>
          <w:lang w:val="en-US"/>
        </w:rPr>
        <w:t xml:space="preserve"> from the engineering point of view</w:t>
      </w:r>
      <w:r w:rsidR="008F3AB3">
        <w:rPr>
          <w:i w:val="0"/>
          <w:iCs/>
          <w:lang w:val="en-US"/>
        </w:rPr>
        <w:t>,</w:t>
      </w:r>
      <w:r w:rsidRPr="00632A40">
        <w:rPr>
          <w:i w:val="0"/>
          <w:iCs/>
          <w:lang w:val="en-US"/>
        </w:rPr>
        <w:t xml:space="preserve"> the effect of hydrogen as </w:t>
      </w:r>
      <w:r w:rsidR="008F3AB3">
        <w:rPr>
          <w:i w:val="0"/>
          <w:iCs/>
          <w:lang w:val="en-US"/>
        </w:rPr>
        <w:t xml:space="preserve">a </w:t>
      </w:r>
      <w:r w:rsidR="007E713E">
        <w:rPr>
          <w:i w:val="0"/>
          <w:iCs/>
          <w:lang w:val="en-US"/>
        </w:rPr>
        <w:t>no</w:t>
      </w:r>
      <w:r w:rsidR="008F3AB3">
        <w:rPr>
          <w:i w:val="0"/>
          <w:iCs/>
          <w:lang w:val="en-US"/>
        </w:rPr>
        <w:t>n</w:t>
      </w:r>
      <w:r w:rsidRPr="00632A40">
        <w:rPr>
          <w:i w:val="0"/>
          <w:iCs/>
          <w:lang w:val="en-US"/>
        </w:rPr>
        <w:t>-condensable chemical component will be the matter of the following analysis.</w:t>
      </w:r>
    </w:p>
    <w:p w14:paraId="7648DF91" w14:textId="154EFE6F" w:rsidR="000E4E74" w:rsidRDefault="00632A40" w:rsidP="007E713E">
      <w:pPr>
        <w:pStyle w:val="CETTabletitle"/>
      </w:pPr>
      <w:r>
        <w:t>Table 1</w:t>
      </w:r>
      <w:r w:rsidRPr="00632A40">
        <w:t xml:space="preserve">. </w:t>
      </w:r>
      <w:r w:rsidR="000E4E74" w:rsidRPr="00632A40">
        <w:t>Critical properties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701"/>
        <w:gridCol w:w="1701"/>
        <w:gridCol w:w="1701"/>
      </w:tblGrid>
      <w:tr w:rsidR="007E713E" w:rsidRPr="00B57B36" w14:paraId="5AD15EF6" w14:textId="77777777" w:rsidTr="007E713E">
        <w:tc>
          <w:tcPr>
            <w:tcW w:w="1134" w:type="dxa"/>
            <w:tcBorders>
              <w:top w:val="single" w:sz="12" w:space="0" w:color="008000"/>
              <w:bottom w:val="single" w:sz="6" w:space="0" w:color="008000"/>
            </w:tcBorders>
            <w:shd w:val="clear" w:color="auto" w:fill="FFFFFF"/>
          </w:tcPr>
          <w:p w14:paraId="591E4092" w14:textId="5BD491A9" w:rsidR="007E713E" w:rsidRPr="00B57B36" w:rsidRDefault="007E713E" w:rsidP="007E713E">
            <w:pPr>
              <w:pStyle w:val="CETBodytext"/>
              <w:rPr>
                <w:lang w:val="en-GB"/>
              </w:rPr>
            </w:pPr>
            <w:bookmarkStart w:id="1" w:name="_Hlk158222082"/>
            <w:r>
              <w:rPr>
                <w:lang w:val="en-GB"/>
              </w:rPr>
              <w:t>Component</w:t>
            </w:r>
          </w:p>
        </w:tc>
        <w:tc>
          <w:tcPr>
            <w:tcW w:w="1701" w:type="dxa"/>
            <w:tcBorders>
              <w:top w:val="single" w:sz="12" w:space="0" w:color="008000"/>
              <w:bottom w:val="single" w:sz="6" w:space="0" w:color="008000"/>
            </w:tcBorders>
            <w:shd w:val="clear" w:color="auto" w:fill="FFFFFF"/>
          </w:tcPr>
          <w:p w14:paraId="78A01387" w14:textId="41DD7A32" w:rsidR="007E713E" w:rsidRPr="00B57B36" w:rsidRDefault="007E713E" w:rsidP="007E713E">
            <w:pPr>
              <w:pStyle w:val="CETBodytext"/>
              <w:rPr>
                <w:lang w:val="en-GB"/>
              </w:rPr>
            </w:pPr>
            <w:r>
              <w:rPr>
                <w:lang w:val="en-GB"/>
              </w:rPr>
              <w:t>Temperature, °C</w:t>
            </w:r>
          </w:p>
        </w:tc>
        <w:tc>
          <w:tcPr>
            <w:tcW w:w="1701" w:type="dxa"/>
            <w:tcBorders>
              <w:top w:val="single" w:sz="12" w:space="0" w:color="008000"/>
              <w:bottom w:val="single" w:sz="6" w:space="0" w:color="008000"/>
            </w:tcBorders>
            <w:shd w:val="clear" w:color="auto" w:fill="FFFFFF"/>
          </w:tcPr>
          <w:p w14:paraId="301A1C54" w14:textId="0C741073" w:rsidR="007E713E" w:rsidRPr="00B57B36" w:rsidRDefault="007E713E" w:rsidP="007E713E">
            <w:pPr>
              <w:pStyle w:val="CETBodytext"/>
              <w:rPr>
                <w:lang w:val="en-GB"/>
              </w:rPr>
            </w:pPr>
            <w:r>
              <w:rPr>
                <w:lang w:val="en-GB"/>
              </w:rPr>
              <w:t>Pressure, bar</w:t>
            </w:r>
          </w:p>
        </w:tc>
        <w:tc>
          <w:tcPr>
            <w:tcW w:w="1701" w:type="dxa"/>
            <w:tcBorders>
              <w:top w:val="single" w:sz="12" w:space="0" w:color="008000"/>
              <w:bottom w:val="single" w:sz="6" w:space="0" w:color="008000"/>
            </w:tcBorders>
            <w:shd w:val="clear" w:color="auto" w:fill="FFFFFF"/>
          </w:tcPr>
          <w:p w14:paraId="74BD86C6" w14:textId="1C13ECDE" w:rsidR="007E713E" w:rsidRPr="00B57B36" w:rsidRDefault="007E713E" w:rsidP="007E713E">
            <w:pPr>
              <w:pStyle w:val="CETBodytext"/>
              <w:ind w:right="-1"/>
              <w:rPr>
                <w:rFonts w:cs="Arial"/>
                <w:szCs w:val="18"/>
                <w:lang w:val="en-GB"/>
              </w:rPr>
            </w:pPr>
            <w:r>
              <w:rPr>
                <w:rFonts w:cs="Arial"/>
                <w:szCs w:val="18"/>
                <w:lang w:val="en-GB"/>
              </w:rPr>
              <w:t>Volume, m</w:t>
            </w:r>
            <w:r w:rsidRPr="007E713E">
              <w:rPr>
                <w:rFonts w:cs="Arial"/>
                <w:szCs w:val="18"/>
                <w:vertAlign w:val="superscript"/>
                <w:lang w:val="en-GB"/>
              </w:rPr>
              <w:t>3</w:t>
            </w:r>
          </w:p>
        </w:tc>
      </w:tr>
      <w:tr w:rsidR="007E713E" w:rsidRPr="00B57B36" w14:paraId="4380DC57" w14:textId="77777777" w:rsidTr="007E713E">
        <w:tc>
          <w:tcPr>
            <w:tcW w:w="1134" w:type="dxa"/>
            <w:shd w:val="clear" w:color="auto" w:fill="FFFFFF"/>
          </w:tcPr>
          <w:p w14:paraId="2D34E6B9" w14:textId="4B5A8F61" w:rsidR="007E713E" w:rsidRPr="00B57B36" w:rsidRDefault="007E713E" w:rsidP="00E716E5">
            <w:pPr>
              <w:pStyle w:val="CETBodytext"/>
              <w:rPr>
                <w:lang w:val="en-GB"/>
              </w:rPr>
            </w:pPr>
            <w:r>
              <w:rPr>
                <w:lang w:val="en-GB"/>
              </w:rPr>
              <w:t>Hydrogen</w:t>
            </w:r>
          </w:p>
        </w:tc>
        <w:tc>
          <w:tcPr>
            <w:tcW w:w="1701" w:type="dxa"/>
            <w:shd w:val="clear" w:color="auto" w:fill="FFFFFF"/>
          </w:tcPr>
          <w:p w14:paraId="61841B80" w14:textId="31C9D0AE" w:rsidR="007E713E" w:rsidRPr="00B57B36" w:rsidRDefault="007E713E" w:rsidP="00E716E5">
            <w:pPr>
              <w:pStyle w:val="CETBodytext"/>
              <w:rPr>
                <w:lang w:val="en-GB"/>
              </w:rPr>
            </w:pPr>
            <w:r>
              <w:rPr>
                <w:lang w:val="en-GB"/>
              </w:rPr>
              <w:t>-239.92</w:t>
            </w:r>
          </w:p>
        </w:tc>
        <w:tc>
          <w:tcPr>
            <w:tcW w:w="1701" w:type="dxa"/>
            <w:shd w:val="clear" w:color="auto" w:fill="FFFFFF"/>
          </w:tcPr>
          <w:p w14:paraId="241FE49A" w14:textId="1083540B" w:rsidR="007E713E" w:rsidRPr="00B57B36" w:rsidRDefault="007E713E" w:rsidP="00E716E5">
            <w:pPr>
              <w:pStyle w:val="CETBodytext"/>
              <w:rPr>
                <w:lang w:val="en-GB"/>
              </w:rPr>
            </w:pPr>
            <w:r>
              <w:rPr>
                <w:lang w:val="en-GB"/>
              </w:rPr>
              <w:t>13.16</w:t>
            </w:r>
          </w:p>
        </w:tc>
        <w:tc>
          <w:tcPr>
            <w:tcW w:w="1701" w:type="dxa"/>
            <w:shd w:val="clear" w:color="auto" w:fill="FFFFFF"/>
          </w:tcPr>
          <w:p w14:paraId="7691BF62" w14:textId="06EA66D7" w:rsidR="007E713E" w:rsidRPr="00B57B36" w:rsidRDefault="007E713E" w:rsidP="00E716E5">
            <w:pPr>
              <w:pStyle w:val="CETBodytext"/>
              <w:ind w:right="-1"/>
              <w:rPr>
                <w:rFonts w:cs="Arial"/>
                <w:szCs w:val="18"/>
                <w:lang w:val="en-GB"/>
              </w:rPr>
            </w:pPr>
            <w:r>
              <w:rPr>
                <w:rFonts w:cs="Arial"/>
                <w:szCs w:val="18"/>
                <w:lang w:val="en-GB"/>
              </w:rPr>
              <w:t>0.06516</w:t>
            </w:r>
          </w:p>
        </w:tc>
      </w:tr>
      <w:tr w:rsidR="007E713E" w:rsidRPr="00B57B36" w14:paraId="1BA5029E" w14:textId="77777777" w:rsidTr="007E713E">
        <w:tc>
          <w:tcPr>
            <w:tcW w:w="1134" w:type="dxa"/>
            <w:shd w:val="clear" w:color="auto" w:fill="FFFFFF"/>
          </w:tcPr>
          <w:p w14:paraId="4191C5C7" w14:textId="6B867933" w:rsidR="007E713E" w:rsidRPr="00B57B36" w:rsidRDefault="007E713E" w:rsidP="00E716E5">
            <w:pPr>
              <w:pStyle w:val="CETBodytext"/>
              <w:ind w:right="-1"/>
              <w:rPr>
                <w:rFonts w:cs="Arial"/>
                <w:szCs w:val="18"/>
                <w:lang w:val="en-GB"/>
              </w:rPr>
            </w:pPr>
            <w:r>
              <w:rPr>
                <w:rFonts w:cs="Arial"/>
                <w:szCs w:val="18"/>
                <w:lang w:val="en-GB"/>
              </w:rPr>
              <w:t>Methane</w:t>
            </w:r>
          </w:p>
        </w:tc>
        <w:tc>
          <w:tcPr>
            <w:tcW w:w="1701" w:type="dxa"/>
            <w:shd w:val="clear" w:color="auto" w:fill="FFFFFF"/>
          </w:tcPr>
          <w:p w14:paraId="105D4AC6" w14:textId="31625011" w:rsidR="007E713E" w:rsidRPr="00B57B36" w:rsidRDefault="007E713E" w:rsidP="00E716E5">
            <w:pPr>
              <w:pStyle w:val="CETBodytext"/>
              <w:ind w:right="-1"/>
              <w:rPr>
                <w:rFonts w:cs="Arial"/>
                <w:szCs w:val="18"/>
                <w:lang w:val="en-GB"/>
              </w:rPr>
            </w:pPr>
            <w:r>
              <w:rPr>
                <w:rFonts w:cs="Arial"/>
                <w:szCs w:val="18"/>
                <w:lang w:val="en-GB"/>
              </w:rPr>
              <w:t>-82.62</w:t>
            </w:r>
          </w:p>
        </w:tc>
        <w:tc>
          <w:tcPr>
            <w:tcW w:w="1701" w:type="dxa"/>
            <w:shd w:val="clear" w:color="auto" w:fill="FFFFFF"/>
          </w:tcPr>
          <w:p w14:paraId="660A3B7C" w14:textId="743A70D4" w:rsidR="007E713E" w:rsidRPr="00B57B36" w:rsidRDefault="007E713E" w:rsidP="00E716E5">
            <w:pPr>
              <w:pStyle w:val="CETBodytext"/>
              <w:ind w:right="-1"/>
              <w:rPr>
                <w:rFonts w:cs="Arial"/>
                <w:szCs w:val="18"/>
                <w:lang w:val="en-GB"/>
              </w:rPr>
            </w:pPr>
            <w:r>
              <w:rPr>
                <w:rFonts w:cs="Arial"/>
                <w:szCs w:val="18"/>
                <w:lang w:val="en-GB"/>
              </w:rPr>
              <w:t>45.90</w:t>
            </w:r>
          </w:p>
        </w:tc>
        <w:tc>
          <w:tcPr>
            <w:tcW w:w="1701" w:type="dxa"/>
            <w:shd w:val="clear" w:color="auto" w:fill="FFFFFF"/>
          </w:tcPr>
          <w:p w14:paraId="3198EEAC" w14:textId="13B6E5A0" w:rsidR="007E713E" w:rsidRPr="00B57B36" w:rsidRDefault="007E713E" w:rsidP="00E716E5">
            <w:pPr>
              <w:pStyle w:val="CETBodytext"/>
              <w:ind w:right="-1"/>
              <w:rPr>
                <w:rFonts w:cs="Arial"/>
                <w:szCs w:val="18"/>
                <w:lang w:val="en-GB"/>
              </w:rPr>
            </w:pPr>
            <w:r>
              <w:rPr>
                <w:rFonts w:cs="Arial"/>
                <w:szCs w:val="18"/>
                <w:lang w:val="en-GB"/>
              </w:rPr>
              <w:t>0.09901</w:t>
            </w:r>
          </w:p>
        </w:tc>
      </w:tr>
      <w:tr w:rsidR="007E713E" w:rsidRPr="00B57B36" w14:paraId="3F407B32" w14:textId="77777777" w:rsidTr="007E713E">
        <w:tc>
          <w:tcPr>
            <w:tcW w:w="1134" w:type="dxa"/>
            <w:shd w:val="clear" w:color="auto" w:fill="FFFFFF"/>
          </w:tcPr>
          <w:p w14:paraId="43BB94DD" w14:textId="21E2C106" w:rsidR="007E713E" w:rsidRDefault="007E713E" w:rsidP="00E716E5">
            <w:pPr>
              <w:pStyle w:val="CETBodytext"/>
              <w:ind w:right="-1"/>
              <w:rPr>
                <w:rFonts w:cs="Arial"/>
                <w:szCs w:val="18"/>
                <w:lang w:val="en-GB"/>
              </w:rPr>
            </w:pPr>
            <w:r>
              <w:rPr>
                <w:rFonts w:cs="Arial"/>
                <w:szCs w:val="18"/>
                <w:lang w:val="en-GB"/>
              </w:rPr>
              <w:t>Ethane</w:t>
            </w:r>
          </w:p>
        </w:tc>
        <w:tc>
          <w:tcPr>
            <w:tcW w:w="1701" w:type="dxa"/>
            <w:shd w:val="clear" w:color="auto" w:fill="FFFFFF"/>
          </w:tcPr>
          <w:p w14:paraId="0E4AAFFD" w14:textId="31F17049" w:rsidR="007E713E" w:rsidRPr="00B57B36" w:rsidRDefault="007E713E" w:rsidP="00E716E5">
            <w:pPr>
              <w:pStyle w:val="CETBodytext"/>
              <w:ind w:right="-1"/>
              <w:rPr>
                <w:rFonts w:cs="Arial"/>
                <w:szCs w:val="18"/>
                <w:lang w:val="en-GB"/>
              </w:rPr>
            </w:pPr>
            <w:r>
              <w:rPr>
                <w:rFonts w:cs="Arial"/>
                <w:szCs w:val="18"/>
                <w:lang w:val="en-GB"/>
              </w:rPr>
              <w:t>32.27</w:t>
            </w:r>
          </w:p>
        </w:tc>
        <w:tc>
          <w:tcPr>
            <w:tcW w:w="1701" w:type="dxa"/>
            <w:shd w:val="clear" w:color="auto" w:fill="FFFFFF"/>
          </w:tcPr>
          <w:p w14:paraId="624E3E3F" w14:textId="5249172F" w:rsidR="007E713E" w:rsidRPr="00B57B36" w:rsidRDefault="007E713E" w:rsidP="00E716E5">
            <w:pPr>
              <w:pStyle w:val="CETBodytext"/>
              <w:ind w:right="-1"/>
              <w:rPr>
                <w:rFonts w:cs="Arial"/>
                <w:szCs w:val="18"/>
                <w:lang w:val="en-GB"/>
              </w:rPr>
            </w:pPr>
            <w:r>
              <w:rPr>
                <w:rFonts w:cs="Arial"/>
                <w:szCs w:val="18"/>
                <w:lang w:val="en-GB"/>
              </w:rPr>
              <w:t>48.79</w:t>
            </w:r>
          </w:p>
        </w:tc>
        <w:tc>
          <w:tcPr>
            <w:tcW w:w="1701" w:type="dxa"/>
            <w:shd w:val="clear" w:color="auto" w:fill="FFFFFF"/>
          </w:tcPr>
          <w:p w14:paraId="6EB6DFB5" w14:textId="651F6C76" w:rsidR="007E713E" w:rsidRPr="00B57B36" w:rsidRDefault="007E713E" w:rsidP="00E716E5">
            <w:pPr>
              <w:pStyle w:val="CETBodytext"/>
              <w:ind w:right="-1"/>
              <w:rPr>
                <w:rFonts w:cs="Arial"/>
                <w:szCs w:val="18"/>
                <w:lang w:val="en-GB"/>
              </w:rPr>
            </w:pPr>
            <w:r>
              <w:rPr>
                <w:rFonts w:cs="Arial"/>
                <w:szCs w:val="18"/>
                <w:lang w:val="en-GB"/>
              </w:rPr>
              <w:t>0.1481</w:t>
            </w:r>
          </w:p>
        </w:tc>
      </w:tr>
      <w:bookmarkEnd w:id="1"/>
    </w:tbl>
    <w:p w14:paraId="0568751D" w14:textId="77777777" w:rsidR="004B1FEA" w:rsidRDefault="004B1FEA" w:rsidP="00632A40">
      <w:pPr>
        <w:pStyle w:val="CETBodytext"/>
        <w:rPr>
          <w:lang w:eastAsia="it-IT"/>
        </w:rPr>
      </w:pPr>
    </w:p>
    <w:p w14:paraId="441D3C4E" w14:textId="18B1AA09" w:rsidR="000E4E74" w:rsidRDefault="000E4E74" w:rsidP="00632A40">
      <w:pPr>
        <w:pStyle w:val="CETBodytext"/>
        <w:rPr>
          <w:lang w:eastAsia="it-IT"/>
        </w:rPr>
      </w:pPr>
      <w:r>
        <w:rPr>
          <w:lang w:eastAsia="it-IT"/>
        </w:rPr>
        <w:t>Dealing with fluid depressurization</w:t>
      </w:r>
      <w:r w:rsidR="008941E0">
        <w:rPr>
          <w:lang w:eastAsia="it-IT"/>
        </w:rPr>
        <w:t>,</w:t>
      </w:r>
      <w:r>
        <w:rPr>
          <w:lang w:eastAsia="it-IT"/>
        </w:rPr>
        <w:t xml:space="preserve"> either operated as a controlled action or due to an emergency cause, a first thermodynamic analysis </w:t>
      </w:r>
      <w:r w:rsidR="008941E0">
        <w:rPr>
          <w:lang w:eastAsia="it-IT"/>
        </w:rPr>
        <w:t>is</w:t>
      </w:r>
      <w:r>
        <w:rPr>
          <w:lang w:eastAsia="it-IT"/>
        </w:rPr>
        <w:t xml:space="preserve"> the comparison of the Joule-Thomson effect</w:t>
      </w:r>
      <w:r w:rsidR="008941E0">
        <w:rPr>
          <w:lang w:eastAsia="it-IT"/>
        </w:rPr>
        <w:t>s</w:t>
      </w:r>
      <w:r>
        <w:rPr>
          <w:lang w:eastAsia="it-IT"/>
        </w:rPr>
        <w:t>.</w:t>
      </w:r>
      <w:r w:rsidR="00DF05D8">
        <w:rPr>
          <w:lang w:eastAsia="it-IT"/>
        </w:rPr>
        <w:t xml:space="preserve"> </w:t>
      </w:r>
      <w:r>
        <w:rPr>
          <w:lang w:eastAsia="it-IT"/>
        </w:rPr>
        <w:t xml:space="preserve">For the analysis, a natural gas </w:t>
      </w:r>
      <w:r w:rsidR="00D02E08">
        <w:rPr>
          <w:lang w:eastAsia="it-IT"/>
        </w:rPr>
        <w:t xml:space="preserve">(NG) </w:t>
      </w:r>
      <w:r>
        <w:rPr>
          <w:lang w:eastAsia="it-IT"/>
        </w:rPr>
        <w:t xml:space="preserve">composition is taken from a real project i.e. one </w:t>
      </w:r>
      <w:r w:rsidR="00DF05D8">
        <w:rPr>
          <w:lang w:eastAsia="it-IT"/>
        </w:rPr>
        <w:t>“</w:t>
      </w:r>
      <w:r>
        <w:rPr>
          <w:lang w:eastAsia="it-IT"/>
        </w:rPr>
        <w:t>Blue Stream</w:t>
      </w:r>
      <w:r w:rsidR="00DF05D8">
        <w:rPr>
          <w:lang w:eastAsia="it-IT"/>
        </w:rPr>
        <w:t>”</w:t>
      </w:r>
      <w:r>
        <w:rPr>
          <w:lang w:eastAsia="it-IT"/>
        </w:rPr>
        <w:t xml:space="preserve"> simulation which is a long-distance pipeline crossing the Black Sea and transporting natural gas from Russia to Turkey.</w:t>
      </w:r>
    </w:p>
    <w:p w14:paraId="61499A28" w14:textId="18A44C4B" w:rsidR="00632A40" w:rsidRPr="007E713E" w:rsidRDefault="00632A40" w:rsidP="007E713E">
      <w:pPr>
        <w:pStyle w:val="CETTabletitle"/>
      </w:pPr>
      <w:r w:rsidRPr="00B83A14">
        <w:t xml:space="preserve">Table 2. </w:t>
      </w:r>
      <w:r w:rsidR="00DF05D8">
        <w:t xml:space="preserve">One </w:t>
      </w:r>
      <w:r w:rsidR="00D02E08">
        <w:t xml:space="preserve">real </w:t>
      </w:r>
      <w:r w:rsidRPr="00B83A14">
        <w:t>natural gas composition</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0"/>
        <w:gridCol w:w="1842"/>
      </w:tblGrid>
      <w:tr w:rsidR="00031E91" w:rsidRPr="00B57B36" w14:paraId="406D3799" w14:textId="77777777" w:rsidTr="00031E91">
        <w:tc>
          <w:tcPr>
            <w:tcW w:w="1560" w:type="dxa"/>
            <w:tcBorders>
              <w:top w:val="single" w:sz="12" w:space="0" w:color="008000"/>
              <w:bottom w:val="single" w:sz="6" w:space="0" w:color="008000"/>
            </w:tcBorders>
            <w:shd w:val="clear" w:color="auto" w:fill="FFFFFF"/>
          </w:tcPr>
          <w:p w14:paraId="5D1A5285" w14:textId="77777777" w:rsidR="00031E91" w:rsidRPr="00B57B36" w:rsidRDefault="00031E91" w:rsidP="007941BA">
            <w:pPr>
              <w:pStyle w:val="CETBodytext"/>
              <w:rPr>
                <w:lang w:val="en-GB"/>
              </w:rPr>
            </w:pPr>
            <w:r>
              <w:rPr>
                <w:lang w:val="en-GB"/>
              </w:rPr>
              <w:t>Component</w:t>
            </w:r>
          </w:p>
        </w:tc>
        <w:tc>
          <w:tcPr>
            <w:tcW w:w="1842" w:type="dxa"/>
            <w:tcBorders>
              <w:top w:val="single" w:sz="12" w:space="0" w:color="008000"/>
              <w:bottom w:val="single" w:sz="6" w:space="0" w:color="008000"/>
            </w:tcBorders>
            <w:shd w:val="clear" w:color="auto" w:fill="FFFFFF"/>
          </w:tcPr>
          <w:p w14:paraId="55DC929B" w14:textId="40DE29A3" w:rsidR="00031E91" w:rsidRPr="00B57B36" w:rsidRDefault="00031E91" w:rsidP="00031E91">
            <w:pPr>
              <w:pStyle w:val="CETBodytext"/>
              <w:jc w:val="center"/>
              <w:rPr>
                <w:lang w:val="en-GB"/>
              </w:rPr>
            </w:pPr>
            <w:r>
              <w:rPr>
                <w:lang w:val="en-GB"/>
              </w:rPr>
              <w:t>Molar composition, %</w:t>
            </w:r>
          </w:p>
        </w:tc>
      </w:tr>
      <w:tr w:rsidR="00031E91" w:rsidRPr="00B57B36" w14:paraId="3BC5C177" w14:textId="77777777" w:rsidTr="00031E91">
        <w:tc>
          <w:tcPr>
            <w:tcW w:w="1560" w:type="dxa"/>
            <w:shd w:val="clear" w:color="auto" w:fill="FFFFFF"/>
          </w:tcPr>
          <w:p w14:paraId="38FAC592" w14:textId="21CB4404" w:rsidR="00031E91" w:rsidRPr="00B57B36" w:rsidRDefault="00031E91" w:rsidP="00031E91">
            <w:pPr>
              <w:pStyle w:val="CETBodytext"/>
              <w:rPr>
                <w:lang w:val="en-GB"/>
              </w:rPr>
            </w:pPr>
            <w:r w:rsidRPr="00031E91">
              <w:rPr>
                <w:lang w:val="en-GB"/>
              </w:rPr>
              <w:t>Water</w:t>
            </w:r>
          </w:p>
        </w:tc>
        <w:tc>
          <w:tcPr>
            <w:tcW w:w="1842" w:type="dxa"/>
            <w:shd w:val="clear" w:color="auto" w:fill="FFFFFF"/>
          </w:tcPr>
          <w:p w14:paraId="077A40F1" w14:textId="6A43E48D" w:rsidR="00031E91" w:rsidRPr="00B57B36" w:rsidRDefault="00031E91" w:rsidP="00031E91">
            <w:pPr>
              <w:pStyle w:val="CETBodytext"/>
              <w:jc w:val="center"/>
              <w:rPr>
                <w:lang w:val="en-GB"/>
              </w:rPr>
            </w:pPr>
            <w:r w:rsidRPr="00031E91">
              <w:rPr>
                <w:lang w:val="en-GB"/>
              </w:rPr>
              <w:t>0.0029</w:t>
            </w:r>
          </w:p>
        </w:tc>
      </w:tr>
      <w:tr w:rsidR="00031E91" w:rsidRPr="00B57B36" w14:paraId="559E895A" w14:textId="77777777" w:rsidTr="00031E91">
        <w:tc>
          <w:tcPr>
            <w:tcW w:w="1560" w:type="dxa"/>
            <w:shd w:val="clear" w:color="auto" w:fill="FFFFFF"/>
          </w:tcPr>
          <w:p w14:paraId="2C9BD463" w14:textId="3FC2E8FE" w:rsidR="00031E91" w:rsidRPr="00B57B36" w:rsidRDefault="00031E91" w:rsidP="00031E91">
            <w:pPr>
              <w:pStyle w:val="CETBodytext"/>
              <w:ind w:right="-1"/>
              <w:rPr>
                <w:rFonts w:cs="Arial"/>
                <w:szCs w:val="18"/>
                <w:lang w:val="en-GB"/>
              </w:rPr>
            </w:pPr>
            <w:r w:rsidRPr="00031E91">
              <w:rPr>
                <w:lang w:val="en-GB"/>
              </w:rPr>
              <w:t>Nitrogen</w:t>
            </w:r>
          </w:p>
        </w:tc>
        <w:tc>
          <w:tcPr>
            <w:tcW w:w="1842" w:type="dxa"/>
            <w:shd w:val="clear" w:color="auto" w:fill="FFFFFF"/>
          </w:tcPr>
          <w:p w14:paraId="712FB1DA" w14:textId="2F6D6667" w:rsidR="00031E91" w:rsidRPr="00B57B36" w:rsidRDefault="00031E91" w:rsidP="00031E91">
            <w:pPr>
              <w:pStyle w:val="CETBodytext"/>
              <w:ind w:right="-1"/>
              <w:jc w:val="center"/>
              <w:rPr>
                <w:rFonts w:cs="Arial"/>
                <w:szCs w:val="18"/>
                <w:lang w:val="en-GB"/>
              </w:rPr>
            </w:pPr>
            <w:r w:rsidRPr="00031E91">
              <w:rPr>
                <w:lang w:val="en-GB"/>
              </w:rPr>
              <w:t>0.9303</w:t>
            </w:r>
          </w:p>
        </w:tc>
      </w:tr>
      <w:tr w:rsidR="00031E91" w:rsidRPr="00B57B36" w14:paraId="57EF523C" w14:textId="77777777" w:rsidTr="00031E91">
        <w:tc>
          <w:tcPr>
            <w:tcW w:w="1560" w:type="dxa"/>
            <w:shd w:val="clear" w:color="auto" w:fill="FFFFFF"/>
          </w:tcPr>
          <w:p w14:paraId="3E081C49" w14:textId="19208E43" w:rsidR="00031E91" w:rsidRDefault="00031E91" w:rsidP="00031E91">
            <w:pPr>
              <w:pStyle w:val="CETBodytext"/>
              <w:ind w:right="-1"/>
              <w:rPr>
                <w:rFonts w:cs="Arial"/>
                <w:szCs w:val="18"/>
                <w:lang w:val="en-GB"/>
              </w:rPr>
            </w:pPr>
            <w:r w:rsidRPr="00031E91">
              <w:rPr>
                <w:lang w:val="en-GB"/>
              </w:rPr>
              <w:t>Carbon Dioxide</w:t>
            </w:r>
          </w:p>
        </w:tc>
        <w:tc>
          <w:tcPr>
            <w:tcW w:w="1842" w:type="dxa"/>
            <w:shd w:val="clear" w:color="auto" w:fill="FFFFFF"/>
          </w:tcPr>
          <w:p w14:paraId="5831E726" w14:textId="42802F7C" w:rsidR="00031E91" w:rsidRPr="00B57B36" w:rsidRDefault="00031E91" w:rsidP="00031E91">
            <w:pPr>
              <w:pStyle w:val="CETBodytext"/>
              <w:ind w:right="-1"/>
              <w:jc w:val="center"/>
              <w:rPr>
                <w:rFonts w:cs="Arial"/>
                <w:szCs w:val="18"/>
                <w:lang w:val="en-GB"/>
              </w:rPr>
            </w:pPr>
            <w:r w:rsidRPr="00031E91">
              <w:rPr>
                <w:lang w:val="en-GB"/>
              </w:rPr>
              <w:t>0.4100</w:t>
            </w:r>
          </w:p>
        </w:tc>
      </w:tr>
      <w:tr w:rsidR="00031E91" w:rsidRPr="00B57B36" w14:paraId="6A9BBB5C" w14:textId="77777777" w:rsidTr="00031E91">
        <w:tc>
          <w:tcPr>
            <w:tcW w:w="1560" w:type="dxa"/>
            <w:shd w:val="clear" w:color="auto" w:fill="FFFFFF"/>
          </w:tcPr>
          <w:p w14:paraId="7D5DD808" w14:textId="10FE559E" w:rsidR="00031E91" w:rsidRDefault="00031E91" w:rsidP="00031E91">
            <w:pPr>
              <w:pStyle w:val="CETBodytext"/>
              <w:ind w:right="-1"/>
              <w:rPr>
                <w:rFonts w:cs="Arial"/>
                <w:szCs w:val="18"/>
                <w:lang w:val="en-GB"/>
              </w:rPr>
            </w:pPr>
            <w:r w:rsidRPr="00031E91">
              <w:rPr>
                <w:lang w:val="en-GB"/>
              </w:rPr>
              <w:t>Methane</w:t>
            </w:r>
          </w:p>
        </w:tc>
        <w:tc>
          <w:tcPr>
            <w:tcW w:w="1842" w:type="dxa"/>
            <w:shd w:val="clear" w:color="auto" w:fill="FFFFFF"/>
          </w:tcPr>
          <w:p w14:paraId="1435AF88" w14:textId="4AAA82B6" w:rsidR="00031E91" w:rsidRDefault="00031E91" w:rsidP="00031E91">
            <w:pPr>
              <w:pStyle w:val="CETBodytext"/>
              <w:ind w:right="-1"/>
              <w:jc w:val="center"/>
              <w:rPr>
                <w:rFonts w:cs="Arial"/>
                <w:szCs w:val="18"/>
                <w:lang w:val="en-GB"/>
              </w:rPr>
            </w:pPr>
            <w:r w:rsidRPr="00031E91">
              <w:rPr>
                <w:lang w:val="en-GB"/>
              </w:rPr>
              <w:t>97.5278</w:t>
            </w:r>
          </w:p>
        </w:tc>
      </w:tr>
      <w:tr w:rsidR="00031E91" w:rsidRPr="00B57B36" w14:paraId="0053E9CB" w14:textId="77777777" w:rsidTr="00031E91">
        <w:tc>
          <w:tcPr>
            <w:tcW w:w="1560" w:type="dxa"/>
            <w:shd w:val="clear" w:color="auto" w:fill="FFFFFF"/>
          </w:tcPr>
          <w:p w14:paraId="07102853" w14:textId="0827477F" w:rsidR="00031E91" w:rsidRDefault="00031E91" w:rsidP="00031E91">
            <w:pPr>
              <w:pStyle w:val="CETBodytext"/>
              <w:ind w:right="-1"/>
              <w:rPr>
                <w:rFonts w:cs="Arial"/>
                <w:szCs w:val="18"/>
                <w:lang w:val="en-GB"/>
              </w:rPr>
            </w:pPr>
            <w:r w:rsidRPr="00031E91">
              <w:rPr>
                <w:lang w:val="en-GB"/>
              </w:rPr>
              <w:t>Ethane</w:t>
            </w:r>
          </w:p>
        </w:tc>
        <w:tc>
          <w:tcPr>
            <w:tcW w:w="1842" w:type="dxa"/>
            <w:shd w:val="clear" w:color="auto" w:fill="FFFFFF"/>
          </w:tcPr>
          <w:p w14:paraId="11E7AFE7" w14:textId="0A6551B8" w:rsidR="00031E91" w:rsidRDefault="00031E91" w:rsidP="00031E91">
            <w:pPr>
              <w:pStyle w:val="CETBodytext"/>
              <w:ind w:right="-1"/>
              <w:jc w:val="center"/>
              <w:rPr>
                <w:rFonts w:cs="Arial"/>
                <w:szCs w:val="18"/>
                <w:lang w:val="en-GB"/>
              </w:rPr>
            </w:pPr>
            <w:r w:rsidRPr="00031E91">
              <w:rPr>
                <w:lang w:val="en-GB"/>
              </w:rPr>
              <w:t>0.8797</w:t>
            </w:r>
          </w:p>
        </w:tc>
      </w:tr>
      <w:tr w:rsidR="00031E91" w:rsidRPr="00B57B36" w14:paraId="39F8CEC8" w14:textId="77777777" w:rsidTr="00031E91">
        <w:tc>
          <w:tcPr>
            <w:tcW w:w="1560" w:type="dxa"/>
            <w:shd w:val="clear" w:color="auto" w:fill="FFFFFF"/>
          </w:tcPr>
          <w:p w14:paraId="4AF5368F" w14:textId="65EE9658" w:rsidR="00031E91" w:rsidRDefault="00031E91" w:rsidP="00031E91">
            <w:pPr>
              <w:pStyle w:val="CETBodytext"/>
              <w:ind w:right="-1"/>
              <w:rPr>
                <w:rFonts w:cs="Arial"/>
                <w:szCs w:val="18"/>
                <w:lang w:val="en-GB"/>
              </w:rPr>
            </w:pPr>
            <w:r w:rsidRPr="00031E91">
              <w:rPr>
                <w:lang w:val="en-GB"/>
              </w:rPr>
              <w:t>Propane</w:t>
            </w:r>
          </w:p>
        </w:tc>
        <w:tc>
          <w:tcPr>
            <w:tcW w:w="1842" w:type="dxa"/>
            <w:shd w:val="clear" w:color="auto" w:fill="FFFFFF"/>
          </w:tcPr>
          <w:p w14:paraId="3C3AE1E4" w14:textId="6BFCABE6" w:rsidR="00031E91" w:rsidRDefault="00031E91" w:rsidP="00031E91">
            <w:pPr>
              <w:pStyle w:val="CETBodytext"/>
              <w:ind w:right="-1"/>
              <w:jc w:val="center"/>
              <w:rPr>
                <w:rFonts w:cs="Arial"/>
                <w:szCs w:val="18"/>
                <w:lang w:val="en-GB"/>
              </w:rPr>
            </w:pPr>
            <w:r w:rsidRPr="00031E91">
              <w:rPr>
                <w:lang w:val="en-GB"/>
              </w:rPr>
              <w:t>0.1397</w:t>
            </w:r>
          </w:p>
        </w:tc>
      </w:tr>
      <w:tr w:rsidR="00031E91" w:rsidRPr="00B57B36" w14:paraId="420290F1" w14:textId="77777777" w:rsidTr="00031E91">
        <w:tc>
          <w:tcPr>
            <w:tcW w:w="1560" w:type="dxa"/>
            <w:shd w:val="clear" w:color="auto" w:fill="FFFFFF"/>
          </w:tcPr>
          <w:p w14:paraId="34726F6D" w14:textId="0D0AAB8D" w:rsidR="00031E91" w:rsidRDefault="00031E91" w:rsidP="00031E91">
            <w:pPr>
              <w:pStyle w:val="CETBodytext"/>
              <w:ind w:right="-1"/>
              <w:rPr>
                <w:rFonts w:cs="Arial"/>
                <w:szCs w:val="18"/>
                <w:lang w:val="en-GB"/>
              </w:rPr>
            </w:pPr>
            <w:proofErr w:type="spellStart"/>
            <w:r w:rsidRPr="00031E91">
              <w:rPr>
                <w:lang w:val="en-GB"/>
              </w:rPr>
              <w:t>i</w:t>
            </w:r>
            <w:proofErr w:type="spellEnd"/>
            <w:r w:rsidRPr="00031E91">
              <w:rPr>
                <w:lang w:val="en-GB"/>
              </w:rPr>
              <w:t>-butane</w:t>
            </w:r>
          </w:p>
        </w:tc>
        <w:tc>
          <w:tcPr>
            <w:tcW w:w="1842" w:type="dxa"/>
            <w:shd w:val="clear" w:color="auto" w:fill="FFFFFF"/>
          </w:tcPr>
          <w:p w14:paraId="252971E1" w14:textId="575B8F43" w:rsidR="00031E91" w:rsidRDefault="00031E91" w:rsidP="00031E91">
            <w:pPr>
              <w:pStyle w:val="CETBodytext"/>
              <w:ind w:right="-1"/>
              <w:jc w:val="center"/>
              <w:rPr>
                <w:rFonts w:cs="Arial"/>
                <w:szCs w:val="18"/>
                <w:lang w:val="en-GB"/>
              </w:rPr>
            </w:pPr>
            <w:r w:rsidRPr="00031E91">
              <w:rPr>
                <w:lang w:val="en-GB"/>
              </w:rPr>
              <w:t>0.0149</w:t>
            </w:r>
          </w:p>
        </w:tc>
      </w:tr>
      <w:tr w:rsidR="00031E91" w:rsidRPr="00B57B36" w14:paraId="38684D17" w14:textId="77777777" w:rsidTr="00031E91">
        <w:tc>
          <w:tcPr>
            <w:tcW w:w="1560" w:type="dxa"/>
            <w:shd w:val="clear" w:color="auto" w:fill="FFFFFF"/>
          </w:tcPr>
          <w:p w14:paraId="77D8EFA9" w14:textId="6D64042E" w:rsidR="00031E91" w:rsidRDefault="00031E91" w:rsidP="00031E91">
            <w:pPr>
              <w:pStyle w:val="CETBodytext"/>
              <w:ind w:right="-1"/>
              <w:rPr>
                <w:rFonts w:cs="Arial"/>
                <w:szCs w:val="18"/>
                <w:lang w:val="en-GB"/>
              </w:rPr>
            </w:pPr>
            <w:r w:rsidRPr="00031E91">
              <w:rPr>
                <w:lang w:val="en-GB"/>
              </w:rPr>
              <w:t>n-Butane</w:t>
            </w:r>
          </w:p>
        </w:tc>
        <w:tc>
          <w:tcPr>
            <w:tcW w:w="1842" w:type="dxa"/>
            <w:shd w:val="clear" w:color="auto" w:fill="FFFFFF"/>
          </w:tcPr>
          <w:p w14:paraId="586F143D" w14:textId="6E93EF27" w:rsidR="00031E91" w:rsidRDefault="00031E91" w:rsidP="00031E91">
            <w:pPr>
              <w:pStyle w:val="CETBodytext"/>
              <w:ind w:right="-1"/>
              <w:jc w:val="center"/>
              <w:rPr>
                <w:rFonts w:cs="Arial"/>
                <w:szCs w:val="18"/>
                <w:lang w:val="en-GB"/>
              </w:rPr>
            </w:pPr>
            <w:r w:rsidRPr="00031E91">
              <w:rPr>
                <w:lang w:val="en-GB"/>
              </w:rPr>
              <w:t>0.0248</w:t>
            </w:r>
          </w:p>
        </w:tc>
      </w:tr>
      <w:tr w:rsidR="00031E91" w:rsidRPr="00B57B36" w14:paraId="5D77BD28" w14:textId="77777777" w:rsidTr="00031E91">
        <w:tc>
          <w:tcPr>
            <w:tcW w:w="1560" w:type="dxa"/>
            <w:shd w:val="clear" w:color="auto" w:fill="FFFFFF"/>
          </w:tcPr>
          <w:p w14:paraId="31E4E39C" w14:textId="31014F40" w:rsidR="00031E91" w:rsidRDefault="00031E91" w:rsidP="00031E91">
            <w:pPr>
              <w:pStyle w:val="CETBodytext"/>
              <w:ind w:right="-1"/>
              <w:rPr>
                <w:rFonts w:cs="Arial"/>
                <w:szCs w:val="18"/>
                <w:lang w:val="en-GB"/>
              </w:rPr>
            </w:pPr>
            <w:proofErr w:type="spellStart"/>
            <w:r w:rsidRPr="00031E91">
              <w:rPr>
                <w:lang w:val="en-GB"/>
              </w:rPr>
              <w:t>i</w:t>
            </w:r>
            <w:proofErr w:type="spellEnd"/>
            <w:r w:rsidRPr="00031E91">
              <w:rPr>
                <w:lang w:val="en-GB"/>
              </w:rPr>
              <w:t>-Pentane</w:t>
            </w:r>
          </w:p>
        </w:tc>
        <w:tc>
          <w:tcPr>
            <w:tcW w:w="1842" w:type="dxa"/>
            <w:shd w:val="clear" w:color="auto" w:fill="FFFFFF"/>
          </w:tcPr>
          <w:p w14:paraId="34FCB34F" w14:textId="3C4AA800" w:rsidR="00031E91" w:rsidRDefault="00031E91" w:rsidP="00031E91">
            <w:pPr>
              <w:pStyle w:val="CETBodytext"/>
              <w:ind w:right="-1"/>
              <w:jc w:val="center"/>
              <w:rPr>
                <w:rFonts w:cs="Arial"/>
                <w:szCs w:val="18"/>
                <w:lang w:val="en-GB"/>
              </w:rPr>
            </w:pPr>
            <w:r w:rsidRPr="00031E91">
              <w:rPr>
                <w:lang w:val="en-GB"/>
              </w:rPr>
              <w:t>0.0180</w:t>
            </w:r>
          </w:p>
        </w:tc>
      </w:tr>
      <w:tr w:rsidR="00031E91" w:rsidRPr="00B57B36" w14:paraId="4FBBD1BF" w14:textId="77777777" w:rsidTr="00031E91">
        <w:tc>
          <w:tcPr>
            <w:tcW w:w="1560" w:type="dxa"/>
            <w:shd w:val="clear" w:color="auto" w:fill="FFFFFF"/>
          </w:tcPr>
          <w:p w14:paraId="67012080" w14:textId="1A4A0B84" w:rsidR="00031E91" w:rsidRDefault="00031E91" w:rsidP="00031E91">
            <w:pPr>
              <w:pStyle w:val="CETBodytext"/>
              <w:ind w:right="-1"/>
              <w:rPr>
                <w:rFonts w:cs="Arial"/>
                <w:szCs w:val="18"/>
                <w:lang w:val="en-GB"/>
              </w:rPr>
            </w:pPr>
            <w:r w:rsidRPr="00031E91">
              <w:rPr>
                <w:lang w:val="en-GB"/>
              </w:rPr>
              <w:t>n-Pentane</w:t>
            </w:r>
          </w:p>
        </w:tc>
        <w:tc>
          <w:tcPr>
            <w:tcW w:w="1842" w:type="dxa"/>
            <w:shd w:val="clear" w:color="auto" w:fill="FFFFFF"/>
          </w:tcPr>
          <w:p w14:paraId="3148C50A" w14:textId="171BD328" w:rsidR="00031E91" w:rsidRDefault="00031E91" w:rsidP="00031E91">
            <w:pPr>
              <w:pStyle w:val="CETBodytext"/>
              <w:ind w:right="-1"/>
              <w:jc w:val="center"/>
              <w:rPr>
                <w:rFonts w:cs="Arial"/>
                <w:szCs w:val="18"/>
                <w:lang w:val="en-GB"/>
              </w:rPr>
            </w:pPr>
            <w:r w:rsidRPr="00031E91">
              <w:rPr>
                <w:lang w:val="en-GB"/>
              </w:rPr>
              <w:t>0.2203</w:t>
            </w:r>
          </w:p>
        </w:tc>
      </w:tr>
      <w:tr w:rsidR="00031E91" w:rsidRPr="00B57B36" w14:paraId="60370DCA" w14:textId="77777777" w:rsidTr="00031E91">
        <w:tc>
          <w:tcPr>
            <w:tcW w:w="1560" w:type="dxa"/>
            <w:shd w:val="clear" w:color="auto" w:fill="FFFFFF"/>
          </w:tcPr>
          <w:p w14:paraId="6162F520" w14:textId="25A88273" w:rsidR="00031E91" w:rsidRDefault="00031E91" w:rsidP="00031E91">
            <w:pPr>
              <w:pStyle w:val="CETBodytext"/>
              <w:ind w:right="-1"/>
              <w:rPr>
                <w:rFonts w:cs="Arial"/>
                <w:szCs w:val="18"/>
                <w:lang w:val="en-GB"/>
              </w:rPr>
            </w:pPr>
            <w:r w:rsidRPr="00031E91">
              <w:rPr>
                <w:lang w:val="en-GB"/>
              </w:rPr>
              <w:t>n-Hexane</w:t>
            </w:r>
          </w:p>
        </w:tc>
        <w:tc>
          <w:tcPr>
            <w:tcW w:w="1842" w:type="dxa"/>
            <w:shd w:val="clear" w:color="auto" w:fill="FFFFFF"/>
          </w:tcPr>
          <w:p w14:paraId="2C62AA96" w14:textId="21806021" w:rsidR="00031E91" w:rsidRDefault="00031E91" w:rsidP="00031E91">
            <w:pPr>
              <w:pStyle w:val="CETBodytext"/>
              <w:ind w:right="-1"/>
              <w:jc w:val="center"/>
              <w:rPr>
                <w:rFonts w:cs="Arial"/>
                <w:szCs w:val="18"/>
                <w:lang w:val="en-GB"/>
              </w:rPr>
            </w:pPr>
            <w:r w:rsidRPr="00031E91">
              <w:rPr>
                <w:lang w:val="en-GB"/>
              </w:rPr>
              <w:t>0.0222</w:t>
            </w:r>
          </w:p>
        </w:tc>
      </w:tr>
      <w:tr w:rsidR="00031E91" w:rsidRPr="00B57B36" w14:paraId="69FE425C" w14:textId="77777777" w:rsidTr="00031E91">
        <w:tc>
          <w:tcPr>
            <w:tcW w:w="1560" w:type="dxa"/>
            <w:shd w:val="clear" w:color="auto" w:fill="FFFFFF"/>
          </w:tcPr>
          <w:p w14:paraId="2CC65C25" w14:textId="4CA131CB" w:rsidR="00031E91" w:rsidRDefault="00031E91" w:rsidP="00031E91">
            <w:pPr>
              <w:pStyle w:val="CETBodytext"/>
              <w:ind w:right="-1"/>
              <w:rPr>
                <w:rFonts w:cs="Arial"/>
                <w:szCs w:val="18"/>
                <w:lang w:val="en-GB"/>
              </w:rPr>
            </w:pPr>
            <w:r w:rsidRPr="00031E91">
              <w:rPr>
                <w:lang w:val="en-GB"/>
              </w:rPr>
              <w:t>C7+</w:t>
            </w:r>
          </w:p>
        </w:tc>
        <w:tc>
          <w:tcPr>
            <w:tcW w:w="1842" w:type="dxa"/>
            <w:shd w:val="clear" w:color="auto" w:fill="FFFFFF"/>
          </w:tcPr>
          <w:p w14:paraId="50C9D507" w14:textId="54F4871D" w:rsidR="00031E91" w:rsidRDefault="00031E91" w:rsidP="00031E91">
            <w:pPr>
              <w:pStyle w:val="CETBodytext"/>
              <w:ind w:right="-1"/>
              <w:jc w:val="center"/>
              <w:rPr>
                <w:rFonts w:cs="Arial"/>
                <w:szCs w:val="18"/>
                <w:lang w:val="en-GB"/>
              </w:rPr>
            </w:pPr>
            <w:r w:rsidRPr="00031E91">
              <w:rPr>
                <w:lang w:val="en-GB"/>
              </w:rPr>
              <w:t>0.0126</w:t>
            </w:r>
          </w:p>
        </w:tc>
      </w:tr>
    </w:tbl>
    <w:p w14:paraId="71304BE6" w14:textId="77777777" w:rsidR="00031E91" w:rsidRDefault="00031E91" w:rsidP="00FE38ED">
      <w:pPr>
        <w:pStyle w:val="CETBodytext"/>
        <w:rPr>
          <w:lang w:eastAsia="it-IT"/>
        </w:rPr>
      </w:pPr>
    </w:p>
    <w:p w14:paraId="12A0A4A2" w14:textId="23404631" w:rsidR="00FE38ED" w:rsidRDefault="00FE38ED" w:rsidP="00FE38ED">
      <w:pPr>
        <w:pStyle w:val="CETBodytext"/>
        <w:rPr>
          <w:lang w:eastAsia="it-IT"/>
        </w:rPr>
      </w:pPr>
      <w:r w:rsidRPr="00FE38ED">
        <w:rPr>
          <w:lang w:eastAsia="it-IT"/>
        </w:rPr>
        <w:t xml:space="preserve">A simple characterization </w:t>
      </w:r>
      <w:r w:rsidR="00A25249">
        <w:rPr>
          <w:lang w:eastAsia="it-IT"/>
        </w:rPr>
        <w:t>is</w:t>
      </w:r>
      <w:r w:rsidRPr="00FE38ED">
        <w:rPr>
          <w:lang w:eastAsia="it-IT"/>
        </w:rPr>
        <w:t xml:space="preserve"> obtained </w:t>
      </w:r>
      <w:r w:rsidR="00C63A77">
        <w:rPr>
          <w:lang w:eastAsia="it-IT"/>
        </w:rPr>
        <w:t xml:space="preserve">by </w:t>
      </w:r>
      <w:r w:rsidR="00A25249">
        <w:rPr>
          <w:lang w:eastAsia="it-IT"/>
        </w:rPr>
        <w:t xml:space="preserve">calculating </w:t>
      </w:r>
      <w:r w:rsidR="00D02E08">
        <w:rPr>
          <w:lang w:eastAsia="it-IT"/>
        </w:rPr>
        <w:t xml:space="preserve">phase envelopes of simple </w:t>
      </w:r>
      <w:r w:rsidR="0047089A">
        <w:rPr>
          <w:lang w:eastAsia="it-IT"/>
        </w:rPr>
        <w:t>natural gas (</w:t>
      </w:r>
      <w:r w:rsidR="00D02E08">
        <w:rPr>
          <w:lang w:eastAsia="it-IT"/>
        </w:rPr>
        <w:t>NG</w:t>
      </w:r>
      <w:r w:rsidR="0047089A">
        <w:rPr>
          <w:lang w:eastAsia="it-IT"/>
        </w:rPr>
        <w:t>)</w:t>
      </w:r>
      <w:r w:rsidR="00D02E08">
        <w:rPr>
          <w:lang w:eastAsia="it-IT"/>
        </w:rPr>
        <w:t xml:space="preserve"> and its mixture with hydrogen</w:t>
      </w:r>
      <w:r w:rsidR="00B71420">
        <w:rPr>
          <w:lang w:eastAsia="it-IT"/>
        </w:rPr>
        <w:t xml:space="preserve"> at 2.5</w:t>
      </w:r>
      <w:r w:rsidR="0030473E">
        <w:rPr>
          <w:lang w:eastAsia="it-IT"/>
        </w:rPr>
        <w:t xml:space="preserve"> </w:t>
      </w:r>
      <w:r w:rsidR="00B71420">
        <w:rPr>
          <w:lang w:eastAsia="it-IT"/>
        </w:rPr>
        <w:t>% in volume</w:t>
      </w:r>
      <w:r w:rsidR="00D02E08">
        <w:rPr>
          <w:lang w:eastAsia="it-IT"/>
        </w:rPr>
        <w:t>, as shown in Figure 1</w:t>
      </w:r>
      <w:r w:rsidRPr="00FE38ED">
        <w:rPr>
          <w:lang w:eastAsia="it-IT"/>
        </w:rPr>
        <w:t>.</w:t>
      </w:r>
    </w:p>
    <w:p w14:paraId="2CEE0FF8" w14:textId="2EC0A922" w:rsidR="005B2284" w:rsidRDefault="005B2284" w:rsidP="005B2284">
      <w:pPr>
        <w:pStyle w:val="CETBodytext"/>
        <w:rPr>
          <w:lang w:eastAsia="it-IT"/>
        </w:rPr>
      </w:pPr>
      <w:r w:rsidRPr="005B0913">
        <w:rPr>
          <w:lang w:eastAsia="it-IT"/>
        </w:rPr>
        <w:t>It is interesting to not</w:t>
      </w:r>
      <w:r>
        <w:rPr>
          <w:lang w:eastAsia="it-IT"/>
        </w:rPr>
        <w:t>e,</w:t>
      </w:r>
      <w:r w:rsidRPr="005B0913">
        <w:rPr>
          <w:lang w:eastAsia="it-IT"/>
        </w:rPr>
        <w:t xml:space="preserve"> that the natural gas mixture can be transported as a single phase even at low temperatures </w:t>
      </w:r>
      <w:r>
        <w:rPr>
          <w:lang w:eastAsia="it-IT"/>
        </w:rPr>
        <w:t xml:space="preserve">and </w:t>
      </w:r>
      <w:r w:rsidRPr="005B0913">
        <w:rPr>
          <w:lang w:eastAsia="it-IT"/>
        </w:rPr>
        <w:t xml:space="preserve">pressure values just above 70 </w:t>
      </w:r>
      <w:proofErr w:type="gramStart"/>
      <w:r w:rsidRPr="005B0913">
        <w:rPr>
          <w:lang w:eastAsia="it-IT"/>
        </w:rPr>
        <w:t>bar</w:t>
      </w:r>
      <w:proofErr w:type="gramEnd"/>
      <w:r w:rsidRPr="005B0913">
        <w:rPr>
          <w:lang w:eastAsia="it-IT"/>
        </w:rPr>
        <w:t xml:space="preserve">. The addition of hydrogen </w:t>
      </w:r>
      <w:r>
        <w:rPr>
          <w:lang w:eastAsia="it-IT"/>
        </w:rPr>
        <w:t xml:space="preserve">greatly </w:t>
      </w:r>
      <w:r w:rsidRPr="005B0913">
        <w:rPr>
          <w:lang w:eastAsia="it-IT"/>
        </w:rPr>
        <w:t>extends the pressure-temperature region where gas and liquid phases can coexist.</w:t>
      </w:r>
      <w:r>
        <w:rPr>
          <w:lang w:eastAsia="it-IT"/>
        </w:rPr>
        <w:t xml:space="preserve"> </w:t>
      </w:r>
    </w:p>
    <w:p w14:paraId="15C8EC19" w14:textId="77777777" w:rsidR="005B2284" w:rsidRPr="00FE38ED" w:rsidRDefault="005B2284" w:rsidP="00FE38ED">
      <w:pPr>
        <w:pStyle w:val="CETBodytext"/>
        <w:rPr>
          <w:lang w:eastAsia="it-IT"/>
        </w:rPr>
      </w:pPr>
    </w:p>
    <w:p w14:paraId="2A3B02D0" w14:textId="4EC4CAFF" w:rsidR="004F77A6" w:rsidRDefault="00B17821" w:rsidP="00600535">
      <w:pPr>
        <w:pStyle w:val="CETBodytext"/>
        <w:rPr>
          <w:lang w:eastAsia="it-IT"/>
        </w:rPr>
      </w:pPr>
      <w:r>
        <w:rPr>
          <w:noProof/>
          <w:lang w:eastAsia="it-IT"/>
        </w:rPr>
        <w:lastRenderedPageBreak/>
        <w:drawing>
          <wp:inline distT="0" distB="0" distL="0" distR="0" wp14:anchorId="6EAC6835" wp14:editId="23ABBB7E">
            <wp:extent cx="4040336" cy="2754712"/>
            <wp:effectExtent l="0" t="0" r="0" b="7620"/>
            <wp:docPr id="4597565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56569" name="Picture 459756569"/>
                    <pic:cNvPicPr/>
                  </pic:nvPicPr>
                  <pic:blipFill>
                    <a:blip r:embed="rId10"/>
                    <a:stretch>
                      <a:fillRect/>
                    </a:stretch>
                  </pic:blipFill>
                  <pic:spPr>
                    <a:xfrm>
                      <a:off x="0" y="0"/>
                      <a:ext cx="4059679" cy="2767900"/>
                    </a:xfrm>
                    <a:prstGeom prst="rect">
                      <a:avLst/>
                    </a:prstGeom>
                  </pic:spPr>
                </pic:pic>
              </a:graphicData>
            </a:graphic>
          </wp:inline>
        </w:drawing>
      </w:r>
    </w:p>
    <w:p w14:paraId="03440F34" w14:textId="2E6BA00C" w:rsidR="004F77A6" w:rsidRDefault="004F77A6" w:rsidP="004F77A6">
      <w:pPr>
        <w:pStyle w:val="CETCaption"/>
        <w:rPr>
          <w:lang w:eastAsia="it-IT"/>
        </w:rPr>
      </w:pPr>
      <w:r>
        <w:rPr>
          <w:lang w:eastAsia="it-IT"/>
        </w:rPr>
        <w:t xml:space="preserve">Figure 1- NG and Hydrogen </w:t>
      </w:r>
      <w:r w:rsidR="00B17821">
        <w:rPr>
          <w:lang w:eastAsia="it-IT"/>
        </w:rPr>
        <w:t xml:space="preserve">phase envelope. </w:t>
      </w:r>
      <w:r w:rsidR="00FC53E4">
        <w:rPr>
          <w:lang w:eastAsia="it-IT"/>
        </w:rPr>
        <w:t xml:space="preserve">Curves: </w:t>
      </w:r>
      <w:r w:rsidR="00DF05D8">
        <w:rPr>
          <w:lang w:eastAsia="it-IT"/>
        </w:rPr>
        <w:t>(</w:t>
      </w:r>
      <w:r w:rsidR="00A35638" w:rsidRPr="00A35638">
        <w:rPr>
          <w:rFonts w:cs="Arial"/>
          <w:b/>
          <w:bCs/>
          <w:i w:val="0"/>
          <w:iCs/>
          <w:color w:val="00B050"/>
          <w:highlight w:val="green"/>
          <w:lang w:eastAsia="it-IT"/>
        </w:rPr>
        <w:t>◊</w:t>
      </w:r>
      <w:r w:rsidR="00DF05D8">
        <w:rPr>
          <w:rFonts w:cs="Arial"/>
          <w:lang w:eastAsia="it-IT"/>
        </w:rPr>
        <w:t>)</w:t>
      </w:r>
      <w:r w:rsidR="00B17821">
        <w:rPr>
          <w:lang w:eastAsia="it-IT"/>
        </w:rPr>
        <w:t xml:space="preserve"> N</w:t>
      </w:r>
      <w:r w:rsidR="0030473E">
        <w:rPr>
          <w:lang w:eastAsia="it-IT"/>
        </w:rPr>
        <w:t>G</w:t>
      </w:r>
      <w:r w:rsidR="00B17821">
        <w:rPr>
          <w:lang w:eastAsia="it-IT"/>
        </w:rPr>
        <w:t xml:space="preserve"> b</w:t>
      </w:r>
      <w:r w:rsidR="00A35638">
        <w:rPr>
          <w:lang w:eastAsia="it-IT"/>
        </w:rPr>
        <w:t>ubble point</w:t>
      </w:r>
      <w:r w:rsidR="00B17821">
        <w:rPr>
          <w:lang w:eastAsia="it-IT"/>
        </w:rPr>
        <w:t xml:space="preserve">, </w:t>
      </w:r>
      <w:r w:rsidR="00DF05D8">
        <w:rPr>
          <w:lang w:eastAsia="it-IT"/>
        </w:rPr>
        <w:t>(</w:t>
      </w:r>
      <w:r w:rsidR="00DF05D8" w:rsidRPr="00A35638">
        <w:rPr>
          <w:rFonts w:cs="Arial"/>
          <w:b/>
          <w:bCs/>
          <w:i w:val="0"/>
          <w:iCs/>
          <w:color w:val="0070C0"/>
          <w:lang w:eastAsia="it-IT"/>
        </w:rPr>
        <w:t>X</w:t>
      </w:r>
      <w:r w:rsidR="00DF05D8">
        <w:rPr>
          <w:lang w:eastAsia="it-IT"/>
        </w:rPr>
        <w:t>)</w:t>
      </w:r>
      <w:r w:rsidR="00B17821">
        <w:rPr>
          <w:lang w:eastAsia="it-IT"/>
        </w:rPr>
        <w:t xml:space="preserve"> NG dew</w:t>
      </w:r>
      <w:r w:rsidR="00A35638">
        <w:rPr>
          <w:lang w:eastAsia="it-IT"/>
        </w:rPr>
        <w:t xml:space="preserve"> point</w:t>
      </w:r>
      <w:r w:rsidR="00B17821">
        <w:rPr>
          <w:lang w:eastAsia="it-IT"/>
        </w:rPr>
        <w:t xml:space="preserve">, </w:t>
      </w:r>
      <w:r w:rsidR="00DF05D8">
        <w:rPr>
          <w:lang w:eastAsia="it-IT"/>
        </w:rPr>
        <w:t>(</w:t>
      </w:r>
      <w:r w:rsidR="00DF05D8" w:rsidRPr="00DF05D8">
        <w:rPr>
          <w:b/>
          <w:bCs/>
          <w:i w:val="0"/>
          <w:iCs/>
          <w:lang w:eastAsia="it-IT"/>
        </w:rPr>
        <w:t>+</w:t>
      </w:r>
      <w:r w:rsidR="00DF05D8">
        <w:rPr>
          <w:lang w:eastAsia="it-IT"/>
        </w:rPr>
        <w:t>)</w:t>
      </w:r>
      <w:r w:rsidR="00B17821">
        <w:rPr>
          <w:lang w:eastAsia="it-IT"/>
        </w:rPr>
        <w:t xml:space="preserve"> H2 2.5</w:t>
      </w:r>
      <w:r w:rsidR="0030473E">
        <w:rPr>
          <w:lang w:eastAsia="it-IT"/>
        </w:rPr>
        <w:t xml:space="preserve"> </w:t>
      </w:r>
      <w:r w:rsidR="00B17821">
        <w:rPr>
          <w:lang w:eastAsia="it-IT"/>
        </w:rPr>
        <w:t>%</w:t>
      </w:r>
      <w:r w:rsidR="00A35638">
        <w:rPr>
          <w:lang w:eastAsia="it-IT"/>
        </w:rPr>
        <w:t xml:space="preserve"> dew point.</w:t>
      </w:r>
    </w:p>
    <w:p w14:paraId="5D7FD0A2" w14:textId="6515F691" w:rsidR="00A35638" w:rsidRPr="001A3452" w:rsidRDefault="00A35638" w:rsidP="00A35638">
      <w:pPr>
        <w:pStyle w:val="CETBodytext"/>
        <w:rPr>
          <w:lang w:eastAsia="it-IT"/>
        </w:rPr>
      </w:pPr>
      <w:r w:rsidRPr="001A3452">
        <w:rPr>
          <w:lang w:eastAsia="it-IT"/>
        </w:rPr>
        <w:t xml:space="preserve">The </w:t>
      </w:r>
      <w:r>
        <w:rPr>
          <w:lang w:eastAsia="it-IT"/>
        </w:rPr>
        <w:t xml:space="preserve">final temperature obtained by the Joule-Thomson expansion </w:t>
      </w:r>
      <w:r w:rsidRPr="001A3452">
        <w:rPr>
          <w:lang w:eastAsia="it-IT"/>
        </w:rPr>
        <w:t xml:space="preserve">of a stream of natural gas with increasing quantities of hydrogen through adiabatic flash is given in </w:t>
      </w:r>
      <w:r>
        <w:rPr>
          <w:lang w:eastAsia="it-IT"/>
        </w:rPr>
        <w:t>Table 3</w:t>
      </w:r>
      <w:r w:rsidRPr="001A3452">
        <w:rPr>
          <w:lang w:eastAsia="it-IT"/>
        </w:rPr>
        <w:t>.</w:t>
      </w:r>
    </w:p>
    <w:p w14:paraId="0B73B0C5" w14:textId="3AA95F6A" w:rsidR="00A35638" w:rsidRDefault="00A35638" w:rsidP="00A35638">
      <w:pPr>
        <w:pStyle w:val="CETTabletitle"/>
      </w:pPr>
      <w:r w:rsidRPr="00B83A14">
        <w:t xml:space="preserve">Table </w:t>
      </w:r>
      <w:r>
        <w:t>3</w:t>
      </w:r>
      <w:r w:rsidRPr="00B83A14">
        <w:t xml:space="preserve">. </w:t>
      </w:r>
      <w:r>
        <w:t>Final temperatures from isenthalpic depressurization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43"/>
        <w:gridCol w:w="1134"/>
        <w:gridCol w:w="1134"/>
        <w:gridCol w:w="1134"/>
        <w:gridCol w:w="1134"/>
      </w:tblGrid>
      <w:tr w:rsidR="00A35638" w:rsidRPr="00B57B36" w14:paraId="1197E3FC" w14:textId="77777777" w:rsidTr="00B323DB">
        <w:tc>
          <w:tcPr>
            <w:tcW w:w="0" w:type="auto"/>
            <w:tcBorders>
              <w:top w:val="single" w:sz="12" w:space="0" w:color="008000"/>
              <w:bottom w:val="single" w:sz="6" w:space="0" w:color="008000"/>
            </w:tcBorders>
            <w:shd w:val="clear" w:color="auto" w:fill="FFFFFF"/>
          </w:tcPr>
          <w:p w14:paraId="705127D7" w14:textId="77777777" w:rsidR="00A35638" w:rsidRPr="00B57B36" w:rsidRDefault="00A35638" w:rsidP="00B323DB">
            <w:pPr>
              <w:pStyle w:val="CETBodytext"/>
              <w:rPr>
                <w:lang w:val="en-GB"/>
              </w:rPr>
            </w:pPr>
            <w:r>
              <w:rPr>
                <w:lang w:val="en-GB"/>
              </w:rPr>
              <w:t>Property</w:t>
            </w:r>
          </w:p>
        </w:tc>
        <w:tc>
          <w:tcPr>
            <w:tcW w:w="1134" w:type="dxa"/>
            <w:tcBorders>
              <w:top w:val="single" w:sz="12" w:space="0" w:color="008000"/>
              <w:bottom w:val="single" w:sz="6" w:space="0" w:color="008000"/>
            </w:tcBorders>
            <w:shd w:val="clear" w:color="auto" w:fill="FFFFFF"/>
          </w:tcPr>
          <w:p w14:paraId="74725EBC" w14:textId="77777777" w:rsidR="00A35638" w:rsidRPr="00B57B36" w:rsidRDefault="00A35638" w:rsidP="00B323DB">
            <w:pPr>
              <w:pStyle w:val="CETBodytext"/>
              <w:jc w:val="center"/>
              <w:rPr>
                <w:lang w:val="en-GB"/>
              </w:rPr>
            </w:pPr>
            <w:r>
              <w:rPr>
                <w:lang w:val="en-GB"/>
              </w:rPr>
              <w:t>NG</w:t>
            </w:r>
          </w:p>
        </w:tc>
        <w:tc>
          <w:tcPr>
            <w:tcW w:w="1134" w:type="dxa"/>
            <w:tcBorders>
              <w:top w:val="single" w:sz="12" w:space="0" w:color="008000"/>
              <w:bottom w:val="single" w:sz="6" w:space="0" w:color="008000"/>
            </w:tcBorders>
            <w:shd w:val="clear" w:color="auto" w:fill="FFFFFF"/>
          </w:tcPr>
          <w:p w14:paraId="62A94768" w14:textId="77777777" w:rsidR="00A35638" w:rsidRPr="00B57B36" w:rsidRDefault="00A35638" w:rsidP="00B323DB">
            <w:pPr>
              <w:pStyle w:val="CETBodytext"/>
              <w:jc w:val="center"/>
              <w:rPr>
                <w:lang w:val="en-GB"/>
              </w:rPr>
            </w:pPr>
            <w:r>
              <w:rPr>
                <w:lang w:val="en-GB"/>
              </w:rPr>
              <w:t>NG+H</w:t>
            </w:r>
            <w:r w:rsidRPr="008F2980">
              <w:rPr>
                <w:vertAlign w:val="subscript"/>
                <w:lang w:val="en-GB"/>
              </w:rPr>
              <w:t>2</w:t>
            </w:r>
            <w:r>
              <w:rPr>
                <w:lang w:val="en-GB"/>
              </w:rPr>
              <w:t xml:space="preserve"> 2.5%</w:t>
            </w:r>
          </w:p>
        </w:tc>
        <w:tc>
          <w:tcPr>
            <w:tcW w:w="1134" w:type="dxa"/>
            <w:tcBorders>
              <w:top w:val="single" w:sz="12" w:space="0" w:color="008000"/>
              <w:bottom w:val="single" w:sz="6" w:space="0" w:color="008000"/>
            </w:tcBorders>
            <w:shd w:val="clear" w:color="auto" w:fill="FFFFFF"/>
          </w:tcPr>
          <w:p w14:paraId="13255D64" w14:textId="77777777" w:rsidR="00A35638" w:rsidRPr="00B57B36" w:rsidRDefault="00A35638" w:rsidP="00B323DB">
            <w:pPr>
              <w:pStyle w:val="CETBodytext"/>
              <w:ind w:right="-1"/>
              <w:jc w:val="center"/>
              <w:rPr>
                <w:rFonts w:cs="Arial"/>
                <w:szCs w:val="18"/>
                <w:lang w:val="en-GB"/>
              </w:rPr>
            </w:pPr>
            <w:r>
              <w:rPr>
                <w:rFonts w:cs="Arial"/>
                <w:szCs w:val="18"/>
                <w:lang w:val="en-GB"/>
              </w:rPr>
              <w:t>NG+H</w:t>
            </w:r>
            <w:r w:rsidRPr="008F2980">
              <w:rPr>
                <w:rFonts w:cs="Arial"/>
                <w:szCs w:val="18"/>
                <w:vertAlign w:val="subscript"/>
                <w:lang w:val="en-GB"/>
              </w:rPr>
              <w:t>2</w:t>
            </w:r>
            <w:r>
              <w:rPr>
                <w:rFonts w:cs="Arial"/>
                <w:szCs w:val="18"/>
                <w:lang w:val="en-GB"/>
              </w:rPr>
              <w:t xml:space="preserve"> 5%</w:t>
            </w:r>
          </w:p>
        </w:tc>
        <w:tc>
          <w:tcPr>
            <w:tcW w:w="1134" w:type="dxa"/>
            <w:tcBorders>
              <w:top w:val="single" w:sz="12" w:space="0" w:color="008000"/>
              <w:bottom w:val="single" w:sz="6" w:space="0" w:color="008000"/>
            </w:tcBorders>
            <w:shd w:val="clear" w:color="auto" w:fill="FFFFFF"/>
          </w:tcPr>
          <w:p w14:paraId="1B7C7B6E" w14:textId="77777777" w:rsidR="00A35638" w:rsidRPr="00B57B36" w:rsidRDefault="00A35638" w:rsidP="00B323DB">
            <w:pPr>
              <w:pStyle w:val="CETBodytext"/>
              <w:ind w:right="-1"/>
              <w:jc w:val="center"/>
              <w:rPr>
                <w:rFonts w:cs="Arial"/>
                <w:szCs w:val="18"/>
                <w:lang w:val="en-GB"/>
              </w:rPr>
            </w:pPr>
            <w:r>
              <w:rPr>
                <w:rFonts w:cs="Arial"/>
                <w:szCs w:val="18"/>
                <w:lang w:val="en-GB"/>
              </w:rPr>
              <w:t>NG+H</w:t>
            </w:r>
            <w:r w:rsidRPr="008F2980">
              <w:rPr>
                <w:rFonts w:cs="Arial"/>
                <w:szCs w:val="18"/>
                <w:vertAlign w:val="subscript"/>
                <w:lang w:val="en-GB"/>
              </w:rPr>
              <w:t>2</w:t>
            </w:r>
            <w:r>
              <w:rPr>
                <w:rFonts w:cs="Arial"/>
                <w:szCs w:val="18"/>
                <w:lang w:val="en-GB"/>
              </w:rPr>
              <w:t xml:space="preserve"> 10%</w:t>
            </w:r>
          </w:p>
        </w:tc>
      </w:tr>
      <w:tr w:rsidR="00A35638" w:rsidRPr="00B57B36" w14:paraId="2C924C9D" w14:textId="77777777" w:rsidTr="00B323DB">
        <w:tc>
          <w:tcPr>
            <w:tcW w:w="0" w:type="auto"/>
            <w:shd w:val="clear" w:color="auto" w:fill="FFFFFF"/>
          </w:tcPr>
          <w:p w14:paraId="0B11F6CB" w14:textId="77777777" w:rsidR="00A35638" w:rsidRPr="00B57B36" w:rsidRDefault="00A35638" w:rsidP="00B323DB">
            <w:pPr>
              <w:pStyle w:val="CETBodytext"/>
              <w:rPr>
                <w:lang w:val="en-GB"/>
              </w:rPr>
            </w:pPr>
            <w:r>
              <w:rPr>
                <w:lang w:val="en-GB"/>
              </w:rPr>
              <w:t>Initial pressure, bar</w:t>
            </w:r>
          </w:p>
        </w:tc>
        <w:tc>
          <w:tcPr>
            <w:tcW w:w="1134" w:type="dxa"/>
            <w:shd w:val="clear" w:color="auto" w:fill="FFFFFF"/>
          </w:tcPr>
          <w:p w14:paraId="4B357EB8" w14:textId="77777777" w:rsidR="00A35638" w:rsidRPr="00B57B36" w:rsidRDefault="00A35638" w:rsidP="00B323DB">
            <w:pPr>
              <w:pStyle w:val="CETBodytext"/>
              <w:jc w:val="center"/>
              <w:rPr>
                <w:lang w:val="en-GB"/>
              </w:rPr>
            </w:pPr>
            <w:r>
              <w:rPr>
                <w:lang w:val="en-GB"/>
              </w:rPr>
              <w:t>255</w:t>
            </w:r>
          </w:p>
        </w:tc>
        <w:tc>
          <w:tcPr>
            <w:tcW w:w="1134" w:type="dxa"/>
            <w:shd w:val="clear" w:color="auto" w:fill="FFFFFF"/>
          </w:tcPr>
          <w:p w14:paraId="5E4B42CA" w14:textId="77777777" w:rsidR="00A35638" w:rsidRPr="00B57B36" w:rsidRDefault="00A35638" w:rsidP="00B323DB">
            <w:pPr>
              <w:pStyle w:val="CETBodytext"/>
              <w:jc w:val="center"/>
              <w:rPr>
                <w:lang w:val="en-GB"/>
              </w:rPr>
            </w:pPr>
            <w:r>
              <w:rPr>
                <w:lang w:val="en-GB"/>
              </w:rPr>
              <w:t>255</w:t>
            </w:r>
          </w:p>
        </w:tc>
        <w:tc>
          <w:tcPr>
            <w:tcW w:w="1134" w:type="dxa"/>
            <w:shd w:val="clear" w:color="auto" w:fill="FFFFFF"/>
          </w:tcPr>
          <w:p w14:paraId="084E3972" w14:textId="77777777" w:rsidR="00A35638" w:rsidRPr="00B57B36" w:rsidRDefault="00A35638" w:rsidP="00B323DB">
            <w:pPr>
              <w:pStyle w:val="CETBodytext"/>
              <w:ind w:right="-1"/>
              <w:jc w:val="center"/>
              <w:rPr>
                <w:rFonts w:cs="Arial"/>
                <w:szCs w:val="18"/>
                <w:lang w:val="en-GB"/>
              </w:rPr>
            </w:pPr>
            <w:r>
              <w:rPr>
                <w:rFonts w:cs="Arial"/>
                <w:szCs w:val="18"/>
                <w:lang w:val="en-GB"/>
              </w:rPr>
              <w:t>255</w:t>
            </w:r>
          </w:p>
        </w:tc>
        <w:tc>
          <w:tcPr>
            <w:tcW w:w="1134" w:type="dxa"/>
            <w:shd w:val="clear" w:color="auto" w:fill="FFFFFF"/>
          </w:tcPr>
          <w:p w14:paraId="3BFE79C5" w14:textId="77777777" w:rsidR="00A35638" w:rsidRPr="00B57B36" w:rsidRDefault="00A35638" w:rsidP="00B323DB">
            <w:pPr>
              <w:pStyle w:val="CETBodytext"/>
              <w:ind w:right="-1"/>
              <w:jc w:val="center"/>
              <w:rPr>
                <w:rFonts w:cs="Arial"/>
                <w:szCs w:val="18"/>
                <w:lang w:val="en-GB"/>
              </w:rPr>
            </w:pPr>
            <w:r>
              <w:rPr>
                <w:rFonts w:cs="Arial"/>
                <w:szCs w:val="18"/>
                <w:lang w:val="en-GB"/>
              </w:rPr>
              <w:t>255</w:t>
            </w:r>
          </w:p>
        </w:tc>
      </w:tr>
      <w:tr w:rsidR="00A35638" w:rsidRPr="00B57B36" w14:paraId="244BB657" w14:textId="77777777" w:rsidTr="00B323DB">
        <w:tc>
          <w:tcPr>
            <w:tcW w:w="0" w:type="auto"/>
            <w:shd w:val="clear" w:color="auto" w:fill="FFFFFF"/>
          </w:tcPr>
          <w:p w14:paraId="0391F8E8" w14:textId="77777777" w:rsidR="00A35638" w:rsidRPr="00B57B36" w:rsidRDefault="00A35638" w:rsidP="00B323DB">
            <w:pPr>
              <w:pStyle w:val="CETBodytext"/>
              <w:ind w:right="-1"/>
              <w:rPr>
                <w:rFonts w:cs="Arial"/>
                <w:szCs w:val="18"/>
                <w:lang w:val="en-GB"/>
              </w:rPr>
            </w:pPr>
            <w:r>
              <w:rPr>
                <w:rFonts w:cs="Arial"/>
                <w:szCs w:val="18"/>
                <w:lang w:val="en-GB"/>
              </w:rPr>
              <w:t>Initial temperature, °C</w:t>
            </w:r>
          </w:p>
        </w:tc>
        <w:tc>
          <w:tcPr>
            <w:tcW w:w="1134" w:type="dxa"/>
            <w:shd w:val="clear" w:color="auto" w:fill="FFFFFF"/>
          </w:tcPr>
          <w:p w14:paraId="120695E7" w14:textId="77777777" w:rsidR="00A35638" w:rsidRPr="00B57B36" w:rsidRDefault="00A35638" w:rsidP="00B323DB">
            <w:pPr>
              <w:pStyle w:val="CETBodytext"/>
              <w:ind w:right="-1"/>
              <w:jc w:val="center"/>
              <w:rPr>
                <w:rFonts w:cs="Arial"/>
                <w:szCs w:val="18"/>
                <w:lang w:val="en-GB"/>
              </w:rPr>
            </w:pPr>
            <w:r>
              <w:rPr>
                <w:rFonts w:cs="Arial"/>
                <w:szCs w:val="18"/>
                <w:lang w:val="en-GB"/>
              </w:rPr>
              <w:t>20</w:t>
            </w:r>
          </w:p>
        </w:tc>
        <w:tc>
          <w:tcPr>
            <w:tcW w:w="1134" w:type="dxa"/>
            <w:shd w:val="clear" w:color="auto" w:fill="FFFFFF"/>
          </w:tcPr>
          <w:p w14:paraId="21B18C8C" w14:textId="77777777" w:rsidR="00A35638" w:rsidRPr="00B57B36" w:rsidRDefault="00A35638" w:rsidP="00B323DB">
            <w:pPr>
              <w:pStyle w:val="CETBodytext"/>
              <w:ind w:right="-1"/>
              <w:jc w:val="center"/>
              <w:rPr>
                <w:rFonts w:cs="Arial"/>
                <w:szCs w:val="18"/>
                <w:lang w:val="en-GB"/>
              </w:rPr>
            </w:pPr>
            <w:r>
              <w:rPr>
                <w:rFonts w:cs="Arial"/>
                <w:szCs w:val="18"/>
                <w:lang w:val="en-GB"/>
              </w:rPr>
              <w:t>20</w:t>
            </w:r>
          </w:p>
        </w:tc>
        <w:tc>
          <w:tcPr>
            <w:tcW w:w="1134" w:type="dxa"/>
            <w:shd w:val="clear" w:color="auto" w:fill="FFFFFF"/>
          </w:tcPr>
          <w:p w14:paraId="3369913B" w14:textId="77777777" w:rsidR="00A35638" w:rsidRPr="00B57B36" w:rsidRDefault="00A35638" w:rsidP="00B323DB">
            <w:pPr>
              <w:pStyle w:val="CETBodytext"/>
              <w:ind w:right="-1"/>
              <w:jc w:val="center"/>
              <w:rPr>
                <w:rFonts w:cs="Arial"/>
                <w:szCs w:val="18"/>
                <w:lang w:val="en-GB"/>
              </w:rPr>
            </w:pPr>
            <w:r>
              <w:rPr>
                <w:rFonts w:cs="Arial"/>
                <w:szCs w:val="18"/>
                <w:lang w:val="en-GB"/>
              </w:rPr>
              <w:t>20</w:t>
            </w:r>
          </w:p>
        </w:tc>
        <w:tc>
          <w:tcPr>
            <w:tcW w:w="1134" w:type="dxa"/>
            <w:shd w:val="clear" w:color="auto" w:fill="FFFFFF"/>
          </w:tcPr>
          <w:p w14:paraId="73F54B03" w14:textId="77777777" w:rsidR="00A35638" w:rsidRPr="00B57B36" w:rsidRDefault="00A35638" w:rsidP="00B323DB">
            <w:pPr>
              <w:pStyle w:val="CETBodytext"/>
              <w:ind w:right="-1"/>
              <w:jc w:val="center"/>
              <w:rPr>
                <w:rFonts w:cs="Arial"/>
                <w:szCs w:val="18"/>
                <w:lang w:val="en-GB"/>
              </w:rPr>
            </w:pPr>
            <w:r>
              <w:rPr>
                <w:rFonts w:cs="Arial"/>
                <w:szCs w:val="18"/>
                <w:lang w:val="en-GB"/>
              </w:rPr>
              <w:t>20</w:t>
            </w:r>
          </w:p>
        </w:tc>
      </w:tr>
      <w:tr w:rsidR="00A35638" w:rsidRPr="00B57B36" w14:paraId="4A1896B5" w14:textId="77777777" w:rsidTr="00B323DB">
        <w:tc>
          <w:tcPr>
            <w:tcW w:w="0" w:type="auto"/>
            <w:shd w:val="clear" w:color="auto" w:fill="FFFFFF"/>
          </w:tcPr>
          <w:p w14:paraId="079EF203" w14:textId="77777777" w:rsidR="00A35638" w:rsidRPr="00B57B36" w:rsidRDefault="00A35638" w:rsidP="00B323DB">
            <w:pPr>
              <w:pStyle w:val="CETBodytext"/>
              <w:ind w:right="-1"/>
              <w:rPr>
                <w:rFonts w:cs="Arial"/>
                <w:szCs w:val="18"/>
                <w:lang w:val="en-GB"/>
              </w:rPr>
            </w:pPr>
            <w:r>
              <w:rPr>
                <w:rFonts w:cs="Arial"/>
                <w:szCs w:val="18"/>
                <w:lang w:val="en-GB"/>
              </w:rPr>
              <w:t>Final pressure, bar</w:t>
            </w:r>
          </w:p>
        </w:tc>
        <w:tc>
          <w:tcPr>
            <w:tcW w:w="1134" w:type="dxa"/>
            <w:shd w:val="clear" w:color="auto" w:fill="FFFFFF"/>
          </w:tcPr>
          <w:p w14:paraId="77B71EB9" w14:textId="77777777" w:rsidR="00A35638" w:rsidRPr="00B57B36" w:rsidRDefault="00A35638" w:rsidP="00B323DB">
            <w:pPr>
              <w:pStyle w:val="CETBodytext"/>
              <w:ind w:right="-1"/>
              <w:jc w:val="center"/>
              <w:rPr>
                <w:rFonts w:cs="Arial"/>
                <w:szCs w:val="18"/>
                <w:lang w:val="en-GB"/>
              </w:rPr>
            </w:pPr>
            <w:r>
              <w:rPr>
                <w:rFonts w:cs="Arial"/>
                <w:szCs w:val="18"/>
                <w:lang w:val="en-GB"/>
              </w:rPr>
              <w:t>5</w:t>
            </w:r>
          </w:p>
        </w:tc>
        <w:tc>
          <w:tcPr>
            <w:tcW w:w="1134" w:type="dxa"/>
            <w:shd w:val="clear" w:color="auto" w:fill="FFFFFF"/>
          </w:tcPr>
          <w:p w14:paraId="4722A3E8" w14:textId="77777777" w:rsidR="00A35638" w:rsidRPr="00B57B36" w:rsidRDefault="00A35638" w:rsidP="00B323DB">
            <w:pPr>
              <w:pStyle w:val="CETBodytext"/>
              <w:ind w:right="-1"/>
              <w:jc w:val="center"/>
              <w:rPr>
                <w:rFonts w:cs="Arial"/>
                <w:szCs w:val="18"/>
                <w:lang w:val="en-GB"/>
              </w:rPr>
            </w:pPr>
            <w:r>
              <w:rPr>
                <w:rFonts w:cs="Arial"/>
                <w:szCs w:val="18"/>
                <w:lang w:val="en-GB"/>
              </w:rPr>
              <w:t>5</w:t>
            </w:r>
          </w:p>
        </w:tc>
        <w:tc>
          <w:tcPr>
            <w:tcW w:w="1134" w:type="dxa"/>
            <w:shd w:val="clear" w:color="auto" w:fill="FFFFFF"/>
          </w:tcPr>
          <w:p w14:paraId="16F6C922" w14:textId="77777777" w:rsidR="00A35638" w:rsidRPr="00B57B36" w:rsidRDefault="00A35638" w:rsidP="00B323DB">
            <w:pPr>
              <w:pStyle w:val="CETBodytext"/>
              <w:ind w:right="-1"/>
              <w:jc w:val="center"/>
              <w:rPr>
                <w:rFonts w:cs="Arial"/>
                <w:szCs w:val="18"/>
                <w:lang w:val="en-GB"/>
              </w:rPr>
            </w:pPr>
            <w:r>
              <w:rPr>
                <w:rFonts w:cs="Arial"/>
                <w:szCs w:val="18"/>
                <w:lang w:val="en-GB"/>
              </w:rPr>
              <w:t>5</w:t>
            </w:r>
          </w:p>
        </w:tc>
        <w:tc>
          <w:tcPr>
            <w:tcW w:w="1134" w:type="dxa"/>
            <w:shd w:val="clear" w:color="auto" w:fill="FFFFFF"/>
          </w:tcPr>
          <w:p w14:paraId="148EECA1" w14:textId="77777777" w:rsidR="00A35638" w:rsidRPr="00B57B36" w:rsidRDefault="00A35638" w:rsidP="00B323DB">
            <w:pPr>
              <w:pStyle w:val="CETBodytext"/>
              <w:ind w:right="-1"/>
              <w:jc w:val="center"/>
              <w:rPr>
                <w:rFonts w:cs="Arial"/>
                <w:szCs w:val="18"/>
                <w:lang w:val="en-GB"/>
              </w:rPr>
            </w:pPr>
            <w:r>
              <w:rPr>
                <w:rFonts w:cs="Arial"/>
                <w:szCs w:val="18"/>
                <w:lang w:val="en-GB"/>
              </w:rPr>
              <w:t>5</w:t>
            </w:r>
          </w:p>
        </w:tc>
      </w:tr>
      <w:tr w:rsidR="00A35638" w:rsidRPr="00B57B36" w14:paraId="41D05545" w14:textId="77777777" w:rsidTr="00B323DB">
        <w:tc>
          <w:tcPr>
            <w:tcW w:w="0" w:type="auto"/>
            <w:shd w:val="clear" w:color="auto" w:fill="FFFFFF"/>
          </w:tcPr>
          <w:p w14:paraId="2C5A7CC4" w14:textId="77777777" w:rsidR="00A35638" w:rsidRPr="00B57B36" w:rsidRDefault="00A35638" w:rsidP="00B323DB">
            <w:pPr>
              <w:pStyle w:val="CETBodytext"/>
              <w:ind w:right="-1"/>
              <w:rPr>
                <w:rFonts w:cs="Arial"/>
                <w:szCs w:val="18"/>
                <w:lang w:val="en-GB"/>
              </w:rPr>
            </w:pPr>
            <w:r>
              <w:rPr>
                <w:rFonts w:cs="Arial"/>
                <w:szCs w:val="18"/>
                <w:lang w:val="en-GB"/>
              </w:rPr>
              <w:t>Final temperature, °C</w:t>
            </w:r>
          </w:p>
        </w:tc>
        <w:tc>
          <w:tcPr>
            <w:tcW w:w="1134" w:type="dxa"/>
            <w:shd w:val="clear" w:color="auto" w:fill="FFFFFF"/>
          </w:tcPr>
          <w:p w14:paraId="26712AF8" w14:textId="77777777" w:rsidR="00A35638" w:rsidRPr="00B57B36" w:rsidRDefault="00A35638" w:rsidP="00B323DB">
            <w:pPr>
              <w:pStyle w:val="CETBodytext"/>
              <w:ind w:right="-1"/>
              <w:jc w:val="center"/>
              <w:rPr>
                <w:rFonts w:cs="Arial"/>
                <w:szCs w:val="18"/>
                <w:lang w:val="en-GB"/>
              </w:rPr>
            </w:pPr>
            <w:r>
              <w:rPr>
                <w:rFonts w:cs="Arial"/>
                <w:szCs w:val="18"/>
                <w:lang w:val="en-GB"/>
              </w:rPr>
              <w:t>-74.25</w:t>
            </w:r>
          </w:p>
        </w:tc>
        <w:tc>
          <w:tcPr>
            <w:tcW w:w="1134" w:type="dxa"/>
            <w:shd w:val="clear" w:color="auto" w:fill="FFFFFF"/>
          </w:tcPr>
          <w:p w14:paraId="5E8A35AC" w14:textId="77777777" w:rsidR="00A35638" w:rsidRPr="00B57B36" w:rsidRDefault="00A35638" w:rsidP="00B323DB">
            <w:pPr>
              <w:pStyle w:val="CETBodytext"/>
              <w:ind w:right="-1"/>
              <w:jc w:val="center"/>
              <w:rPr>
                <w:rFonts w:cs="Arial"/>
                <w:szCs w:val="18"/>
                <w:lang w:val="en-GB"/>
              </w:rPr>
            </w:pPr>
            <w:r>
              <w:rPr>
                <w:rFonts w:cs="Arial"/>
                <w:szCs w:val="18"/>
                <w:lang w:val="en-GB"/>
              </w:rPr>
              <w:t>-50.88</w:t>
            </w:r>
          </w:p>
        </w:tc>
        <w:tc>
          <w:tcPr>
            <w:tcW w:w="1134" w:type="dxa"/>
            <w:shd w:val="clear" w:color="auto" w:fill="FFFFFF"/>
          </w:tcPr>
          <w:p w14:paraId="7739EF8F" w14:textId="77777777" w:rsidR="00A35638" w:rsidRPr="00B57B36" w:rsidRDefault="00A35638" w:rsidP="00B323DB">
            <w:pPr>
              <w:pStyle w:val="CETBodytext"/>
              <w:ind w:right="-1"/>
              <w:jc w:val="center"/>
              <w:rPr>
                <w:rFonts w:cs="Arial"/>
                <w:szCs w:val="18"/>
                <w:lang w:val="en-GB"/>
              </w:rPr>
            </w:pPr>
            <w:r>
              <w:rPr>
                <w:rFonts w:cs="Arial"/>
                <w:szCs w:val="18"/>
                <w:lang w:val="en-GB"/>
              </w:rPr>
              <w:t>-35.29</w:t>
            </w:r>
          </w:p>
        </w:tc>
        <w:tc>
          <w:tcPr>
            <w:tcW w:w="1134" w:type="dxa"/>
            <w:shd w:val="clear" w:color="auto" w:fill="FFFFFF"/>
          </w:tcPr>
          <w:p w14:paraId="04A82642" w14:textId="77777777" w:rsidR="00A35638" w:rsidRPr="00B57B36" w:rsidRDefault="00A35638" w:rsidP="00B323DB">
            <w:pPr>
              <w:pStyle w:val="CETBodytext"/>
              <w:ind w:right="-1"/>
              <w:jc w:val="center"/>
              <w:rPr>
                <w:rFonts w:cs="Arial"/>
                <w:szCs w:val="18"/>
                <w:lang w:val="en-GB"/>
              </w:rPr>
            </w:pPr>
            <w:r>
              <w:rPr>
                <w:rFonts w:cs="Arial"/>
                <w:szCs w:val="18"/>
                <w:lang w:val="en-GB"/>
              </w:rPr>
              <w:t>-21.44</w:t>
            </w:r>
          </w:p>
        </w:tc>
      </w:tr>
    </w:tbl>
    <w:p w14:paraId="706400BF" w14:textId="77777777" w:rsidR="00A35638" w:rsidRDefault="00A35638" w:rsidP="00A35638">
      <w:pPr>
        <w:pStyle w:val="CETBodytext"/>
        <w:rPr>
          <w:lang w:eastAsia="it-IT"/>
        </w:rPr>
      </w:pPr>
    </w:p>
    <w:p w14:paraId="477D8092" w14:textId="203EE9E0" w:rsidR="00A35638" w:rsidRPr="002D371E" w:rsidRDefault="00A35638" w:rsidP="00A35638">
      <w:pPr>
        <w:pStyle w:val="CETBodytext"/>
      </w:pPr>
      <w:r w:rsidRPr="002D371E">
        <w:t xml:space="preserve">The temperature reached during the depressurization shows a sharp increase from -74 °C of pure natural gas to </w:t>
      </w:r>
      <w:r>
        <w:t>-</w:t>
      </w:r>
      <w:r w:rsidRPr="002D371E">
        <w:t>21 °C when 10</w:t>
      </w:r>
      <w:r w:rsidR="0030473E">
        <w:t xml:space="preserve"> </w:t>
      </w:r>
      <w:r w:rsidRPr="002D371E">
        <w:t xml:space="preserve">% </w:t>
      </w:r>
      <w:r w:rsidR="00F77F42">
        <w:t xml:space="preserve">in volume </w:t>
      </w:r>
      <w:r w:rsidRPr="002D371E">
        <w:t>of hydrogen is mixed with the methane stream.</w:t>
      </w:r>
    </w:p>
    <w:p w14:paraId="63AAB8BD" w14:textId="1E44483F" w:rsidR="005B0913" w:rsidRDefault="00A35638" w:rsidP="00600535">
      <w:pPr>
        <w:pStyle w:val="CETBodytext"/>
        <w:rPr>
          <w:lang w:eastAsia="it-IT"/>
        </w:rPr>
      </w:pPr>
      <w:r>
        <w:rPr>
          <w:lang w:eastAsia="it-IT"/>
        </w:rPr>
        <w:t xml:space="preserve">The following </w:t>
      </w:r>
      <w:r w:rsidR="00D87922">
        <w:rPr>
          <w:lang w:eastAsia="it-IT"/>
        </w:rPr>
        <w:t xml:space="preserve">Table </w:t>
      </w:r>
      <w:r>
        <w:rPr>
          <w:lang w:eastAsia="it-IT"/>
        </w:rPr>
        <w:t>4</w:t>
      </w:r>
      <w:r w:rsidR="00D87922">
        <w:rPr>
          <w:lang w:eastAsia="it-IT"/>
        </w:rPr>
        <w:t xml:space="preserve"> presents some typical compositions of imported natural gas from abroad and distributed in Italy.</w:t>
      </w:r>
      <w:r>
        <w:rPr>
          <w:lang w:eastAsia="it-IT"/>
        </w:rPr>
        <w:t xml:space="preserve"> In the following dynamic simulations, one of these compositions i.e. the National one is used.</w:t>
      </w:r>
    </w:p>
    <w:p w14:paraId="3A586850" w14:textId="33A8E26F" w:rsidR="00B83A14" w:rsidRPr="00B83A14" w:rsidRDefault="00B83A14" w:rsidP="006313BB">
      <w:pPr>
        <w:pStyle w:val="CETTabletitle"/>
      </w:pPr>
      <w:r w:rsidRPr="00B83A14">
        <w:t xml:space="preserve">Table </w:t>
      </w:r>
      <w:r w:rsidR="00A35638">
        <w:t>4</w:t>
      </w:r>
      <w:r w:rsidRPr="00B83A14">
        <w:t>. Chemical composition</w:t>
      </w:r>
      <w:r w:rsidR="0030473E">
        <w:t>s</w:t>
      </w:r>
      <w:r w:rsidRPr="00B83A14">
        <w:t xml:space="preserve"> of natural gas in Italy</w:t>
      </w:r>
      <w:r w:rsidR="0030473E">
        <w:t xml:space="preserve"> (volume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11"/>
        <w:gridCol w:w="1134"/>
        <w:gridCol w:w="1134"/>
        <w:gridCol w:w="1134"/>
        <w:gridCol w:w="1134"/>
      </w:tblGrid>
      <w:tr w:rsidR="00710CC9" w:rsidRPr="00B57B36" w14:paraId="66CB3464" w14:textId="77777777" w:rsidTr="002D3DFE">
        <w:tc>
          <w:tcPr>
            <w:tcW w:w="0" w:type="auto"/>
            <w:tcBorders>
              <w:top w:val="single" w:sz="12" w:space="0" w:color="008000"/>
              <w:bottom w:val="single" w:sz="6" w:space="0" w:color="008000"/>
            </w:tcBorders>
            <w:shd w:val="clear" w:color="auto" w:fill="FFFFFF"/>
          </w:tcPr>
          <w:p w14:paraId="200293E5" w14:textId="610899DB" w:rsidR="00710CC9" w:rsidRPr="00B57B36" w:rsidRDefault="002D3DFE" w:rsidP="00E716E5">
            <w:pPr>
              <w:pStyle w:val="CETBodytext"/>
              <w:rPr>
                <w:lang w:val="en-GB"/>
              </w:rPr>
            </w:pPr>
            <w:r>
              <w:rPr>
                <w:lang w:val="en-GB"/>
              </w:rPr>
              <w:t>Component</w:t>
            </w:r>
          </w:p>
        </w:tc>
        <w:tc>
          <w:tcPr>
            <w:tcW w:w="1134" w:type="dxa"/>
            <w:tcBorders>
              <w:top w:val="single" w:sz="12" w:space="0" w:color="008000"/>
              <w:bottom w:val="single" w:sz="6" w:space="0" w:color="008000"/>
            </w:tcBorders>
            <w:shd w:val="clear" w:color="auto" w:fill="FFFFFF"/>
          </w:tcPr>
          <w:p w14:paraId="1DF08512" w14:textId="0EF69B61" w:rsidR="00710CC9" w:rsidRPr="00B57B36" w:rsidRDefault="002D3DFE" w:rsidP="002D3DFE">
            <w:pPr>
              <w:pStyle w:val="CETBodytext"/>
              <w:jc w:val="center"/>
              <w:rPr>
                <w:lang w:val="en-GB"/>
              </w:rPr>
            </w:pPr>
            <w:r>
              <w:rPr>
                <w:lang w:val="en-GB"/>
              </w:rPr>
              <w:t>National</w:t>
            </w:r>
          </w:p>
        </w:tc>
        <w:tc>
          <w:tcPr>
            <w:tcW w:w="1134" w:type="dxa"/>
            <w:tcBorders>
              <w:top w:val="single" w:sz="12" w:space="0" w:color="008000"/>
              <w:bottom w:val="single" w:sz="6" w:space="0" w:color="008000"/>
            </w:tcBorders>
            <w:shd w:val="clear" w:color="auto" w:fill="FFFFFF"/>
          </w:tcPr>
          <w:p w14:paraId="2F2DC4F4" w14:textId="3237D97B" w:rsidR="00710CC9" w:rsidRPr="00B57B36" w:rsidRDefault="002D3DFE" w:rsidP="002D3DFE">
            <w:pPr>
              <w:pStyle w:val="CETBodytext"/>
              <w:jc w:val="center"/>
              <w:rPr>
                <w:lang w:val="en-GB"/>
              </w:rPr>
            </w:pPr>
            <w:r>
              <w:rPr>
                <w:lang w:val="en-GB"/>
              </w:rPr>
              <w:t>Russia</w:t>
            </w:r>
          </w:p>
        </w:tc>
        <w:tc>
          <w:tcPr>
            <w:tcW w:w="1134" w:type="dxa"/>
            <w:tcBorders>
              <w:top w:val="single" w:sz="12" w:space="0" w:color="008000"/>
              <w:bottom w:val="single" w:sz="6" w:space="0" w:color="008000"/>
            </w:tcBorders>
            <w:shd w:val="clear" w:color="auto" w:fill="FFFFFF"/>
          </w:tcPr>
          <w:p w14:paraId="09E98E13" w14:textId="06211AE0" w:rsidR="00710CC9" w:rsidRPr="00B57B36" w:rsidRDefault="002D3DFE" w:rsidP="002D3DFE">
            <w:pPr>
              <w:pStyle w:val="CETBodytext"/>
              <w:ind w:right="-1"/>
              <w:jc w:val="center"/>
              <w:rPr>
                <w:rFonts w:cs="Arial"/>
                <w:szCs w:val="18"/>
                <w:lang w:val="en-GB"/>
              </w:rPr>
            </w:pPr>
            <w:r>
              <w:rPr>
                <w:rFonts w:cs="Arial"/>
                <w:szCs w:val="18"/>
                <w:lang w:val="en-GB"/>
              </w:rPr>
              <w:t>Holland</w:t>
            </w:r>
          </w:p>
        </w:tc>
        <w:tc>
          <w:tcPr>
            <w:tcW w:w="1134" w:type="dxa"/>
            <w:tcBorders>
              <w:top w:val="single" w:sz="12" w:space="0" w:color="008000"/>
              <w:bottom w:val="single" w:sz="6" w:space="0" w:color="008000"/>
            </w:tcBorders>
            <w:shd w:val="clear" w:color="auto" w:fill="FFFFFF"/>
          </w:tcPr>
          <w:p w14:paraId="5FFC22AD" w14:textId="5971CBEC" w:rsidR="00710CC9" w:rsidRPr="00B57B36" w:rsidRDefault="002D3DFE" w:rsidP="002D3DFE">
            <w:pPr>
              <w:pStyle w:val="CETBodytext"/>
              <w:ind w:right="-1"/>
              <w:jc w:val="center"/>
              <w:rPr>
                <w:rFonts w:cs="Arial"/>
                <w:szCs w:val="18"/>
                <w:lang w:val="en-GB"/>
              </w:rPr>
            </w:pPr>
            <w:r>
              <w:rPr>
                <w:rFonts w:cs="Arial"/>
                <w:szCs w:val="18"/>
                <w:lang w:val="en-GB"/>
              </w:rPr>
              <w:t>Algeria</w:t>
            </w:r>
          </w:p>
        </w:tc>
      </w:tr>
      <w:tr w:rsidR="00710CC9" w:rsidRPr="00B57B36" w14:paraId="6DF9A20E" w14:textId="77777777" w:rsidTr="002D3DFE">
        <w:tc>
          <w:tcPr>
            <w:tcW w:w="0" w:type="auto"/>
            <w:shd w:val="clear" w:color="auto" w:fill="FFFFFF"/>
          </w:tcPr>
          <w:p w14:paraId="1CA5CF99" w14:textId="7BA4DEDF" w:rsidR="00710CC9" w:rsidRPr="00B57B36" w:rsidRDefault="00710CC9" w:rsidP="00E716E5">
            <w:pPr>
              <w:pStyle w:val="CETBodytext"/>
              <w:rPr>
                <w:lang w:val="en-GB"/>
              </w:rPr>
            </w:pPr>
            <w:r>
              <w:rPr>
                <w:lang w:val="en-GB"/>
              </w:rPr>
              <w:t>Methane</w:t>
            </w:r>
          </w:p>
        </w:tc>
        <w:tc>
          <w:tcPr>
            <w:tcW w:w="1134" w:type="dxa"/>
            <w:shd w:val="clear" w:color="auto" w:fill="FFFFFF"/>
          </w:tcPr>
          <w:p w14:paraId="2019F04F" w14:textId="4812CE68" w:rsidR="00710CC9" w:rsidRPr="00B57B36" w:rsidRDefault="002D3DFE" w:rsidP="002D3DFE">
            <w:pPr>
              <w:pStyle w:val="CETBodytext"/>
              <w:jc w:val="center"/>
              <w:rPr>
                <w:lang w:val="en-GB"/>
              </w:rPr>
            </w:pPr>
            <w:r>
              <w:rPr>
                <w:lang w:val="en-GB"/>
              </w:rPr>
              <w:t>99.62</w:t>
            </w:r>
          </w:p>
        </w:tc>
        <w:tc>
          <w:tcPr>
            <w:tcW w:w="1134" w:type="dxa"/>
            <w:shd w:val="clear" w:color="auto" w:fill="FFFFFF"/>
          </w:tcPr>
          <w:p w14:paraId="1E24C45E" w14:textId="7C223C14" w:rsidR="00710CC9" w:rsidRPr="00B57B36" w:rsidRDefault="002D3DFE" w:rsidP="002D3DFE">
            <w:pPr>
              <w:pStyle w:val="CETBodytext"/>
              <w:jc w:val="center"/>
              <w:rPr>
                <w:lang w:val="en-GB"/>
              </w:rPr>
            </w:pPr>
            <w:r>
              <w:rPr>
                <w:lang w:val="en-GB"/>
              </w:rPr>
              <w:t>98.07</w:t>
            </w:r>
          </w:p>
        </w:tc>
        <w:tc>
          <w:tcPr>
            <w:tcW w:w="1134" w:type="dxa"/>
            <w:shd w:val="clear" w:color="auto" w:fill="FFFFFF"/>
          </w:tcPr>
          <w:p w14:paraId="038E106F" w14:textId="10C0C7C3" w:rsidR="00710CC9" w:rsidRPr="00B57B36" w:rsidRDefault="00994BF7" w:rsidP="002D3DFE">
            <w:pPr>
              <w:pStyle w:val="CETBodytext"/>
              <w:ind w:right="-1"/>
              <w:jc w:val="center"/>
              <w:rPr>
                <w:rFonts w:cs="Arial"/>
                <w:szCs w:val="18"/>
                <w:lang w:val="en-GB"/>
              </w:rPr>
            </w:pPr>
            <w:r>
              <w:rPr>
                <w:rFonts w:cs="Arial"/>
                <w:szCs w:val="18"/>
                <w:lang w:val="en-GB"/>
              </w:rPr>
              <w:t>91.01</w:t>
            </w:r>
          </w:p>
        </w:tc>
        <w:tc>
          <w:tcPr>
            <w:tcW w:w="1134" w:type="dxa"/>
            <w:shd w:val="clear" w:color="auto" w:fill="FFFFFF"/>
          </w:tcPr>
          <w:p w14:paraId="7C193455" w14:textId="153D2434" w:rsidR="00710CC9" w:rsidRPr="00B57B36" w:rsidRDefault="00994BF7" w:rsidP="002D3DFE">
            <w:pPr>
              <w:pStyle w:val="CETBodytext"/>
              <w:ind w:right="-1"/>
              <w:jc w:val="center"/>
              <w:rPr>
                <w:rFonts w:cs="Arial"/>
                <w:szCs w:val="18"/>
                <w:lang w:val="en-GB"/>
              </w:rPr>
            </w:pPr>
            <w:r>
              <w:rPr>
                <w:rFonts w:cs="Arial"/>
                <w:szCs w:val="18"/>
                <w:lang w:val="en-GB"/>
              </w:rPr>
              <w:t>83.28</w:t>
            </w:r>
          </w:p>
        </w:tc>
      </w:tr>
      <w:tr w:rsidR="00710CC9" w:rsidRPr="00B57B36" w14:paraId="6EAF4C8B" w14:textId="77777777" w:rsidTr="002D3DFE">
        <w:tc>
          <w:tcPr>
            <w:tcW w:w="0" w:type="auto"/>
            <w:shd w:val="clear" w:color="auto" w:fill="FFFFFF"/>
          </w:tcPr>
          <w:p w14:paraId="1CCAD29F" w14:textId="6D8F36D5" w:rsidR="00710CC9" w:rsidRPr="00B57B36" w:rsidRDefault="00710CC9" w:rsidP="00E716E5">
            <w:pPr>
              <w:pStyle w:val="CETBodytext"/>
              <w:ind w:right="-1"/>
              <w:rPr>
                <w:rFonts w:cs="Arial"/>
                <w:szCs w:val="18"/>
                <w:lang w:val="en-GB"/>
              </w:rPr>
            </w:pPr>
            <w:r>
              <w:rPr>
                <w:rFonts w:cs="Arial"/>
                <w:szCs w:val="18"/>
                <w:lang w:val="en-GB"/>
              </w:rPr>
              <w:t>Ethane</w:t>
            </w:r>
          </w:p>
        </w:tc>
        <w:tc>
          <w:tcPr>
            <w:tcW w:w="1134" w:type="dxa"/>
            <w:shd w:val="clear" w:color="auto" w:fill="FFFFFF"/>
          </w:tcPr>
          <w:p w14:paraId="2BFEE804" w14:textId="45A2E8D4" w:rsidR="00710CC9" w:rsidRPr="00B57B36" w:rsidRDefault="002D3DFE" w:rsidP="002D3DFE">
            <w:pPr>
              <w:pStyle w:val="CETBodytext"/>
              <w:ind w:right="-1"/>
              <w:jc w:val="center"/>
              <w:rPr>
                <w:rFonts w:cs="Arial"/>
                <w:szCs w:val="18"/>
                <w:lang w:val="en-GB"/>
              </w:rPr>
            </w:pPr>
            <w:r>
              <w:rPr>
                <w:rFonts w:cs="Arial"/>
                <w:szCs w:val="18"/>
                <w:lang w:val="en-GB"/>
              </w:rPr>
              <w:t>0.06</w:t>
            </w:r>
          </w:p>
        </w:tc>
        <w:tc>
          <w:tcPr>
            <w:tcW w:w="1134" w:type="dxa"/>
            <w:shd w:val="clear" w:color="auto" w:fill="FFFFFF"/>
          </w:tcPr>
          <w:p w14:paraId="6D17BB84" w14:textId="06CEED70" w:rsidR="00710CC9" w:rsidRPr="00B57B36" w:rsidRDefault="002D3DFE" w:rsidP="002D3DFE">
            <w:pPr>
              <w:pStyle w:val="CETBodytext"/>
              <w:ind w:right="-1"/>
              <w:jc w:val="center"/>
              <w:rPr>
                <w:rFonts w:cs="Arial"/>
                <w:szCs w:val="18"/>
                <w:lang w:val="en-GB"/>
              </w:rPr>
            </w:pPr>
            <w:r>
              <w:rPr>
                <w:rFonts w:cs="Arial"/>
                <w:szCs w:val="18"/>
                <w:lang w:val="en-GB"/>
              </w:rPr>
              <w:t>0.60</w:t>
            </w:r>
          </w:p>
        </w:tc>
        <w:tc>
          <w:tcPr>
            <w:tcW w:w="1134" w:type="dxa"/>
            <w:shd w:val="clear" w:color="auto" w:fill="FFFFFF"/>
          </w:tcPr>
          <w:p w14:paraId="42819D88" w14:textId="0BE7EFD5" w:rsidR="00710CC9" w:rsidRPr="00B57B36" w:rsidRDefault="00994BF7" w:rsidP="002D3DFE">
            <w:pPr>
              <w:pStyle w:val="CETBodytext"/>
              <w:ind w:right="-1"/>
              <w:jc w:val="center"/>
              <w:rPr>
                <w:rFonts w:cs="Arial"/>
                <w:szCs w:val="18"/>
                <w:lang w:val="en-GB"/>
              </w:rPr>
            </w:pPr>
            <w:r>
              <w:rPr>
                <w:rFonts w:cs="Arial"/>
                <w:szCs w:val="18"/>
                <w:lang w:val="en-GB"/>
              </w:rPr>
              <w:t>3.70</w:t>
            </w:r>
          </w:p>
        </w:tc>
        <w:tc>
          <w:tcPr>
            <w:tcW w:w="1134" w:type="dxa"/>
            <w:shd w:val="clear" w:color="auto" w:fill="FFFFFF"/>
          </w:tcPr>
          <w:p w14:paraId="01853783" w14:textId="16FE6B12" w:rsidR="00710CC9" w:rsidRPr="00B57B36" w:rsidRDefault="00994BF7" w:rsidP="002D3DFE">
            <w:pPr>
              <w:pStyle w:val="CETBodytext"/>
              <w:ind w:right="-1"/>
              <w:jc w:val="center"/>
              <w:rPr>
                <w:rFonts w:cs="Arial"/>
                <w:szCs w:val="18"/>
                <w:lang w:val="en-GB"/>
              </w:rPr>
            </w:pPr>
            <w:r>
              <w:rPr>
                <w:rFonts w:cs="Arial"/>
                <w:szCs w:val="18"/>
                <w:lang w:val="en-GB"/>
              </w:rPr>
              <w:t>7.68</w:t>
            </w:r>
          </w:p>
        </w:tc>
      </w:tr>
      <w:tr w:rsidR="00710CC9" w:rsidRPr="00B57B36" w14:paraId="2AB2AE24" w14:textId="77777777" w:rsidTr="002D3DFE">
        <w:tc>
          <w:tcPr>
            <w:tcW w:w="0" w:type="auto"/>
            <w:shd w:val="clear" w:color="auto" w:fill="FFFFFF"/>
          </w:tcPr>
          <w:p w14:paraId="732D23D3" w14:textId="7CA8AA08" w:rsidR="00710CC9" w:rsidRPr="00B57B36" w:rsidRDefault="00710CC9" w:rsidP="00E716E5">
            <w:pPr>
              <w:pStyle w:val="CETBodytext"/>
              <w:ind w:right="-1"/>
              <w:rPr>
                <w:rFonts w:cs="Arial"/>
                <w:szCs w:val="18"/>
                <w:lang w:val="en-GB"/>
              </w:rPr>
            </w:pPr>
            <w:r>
              <w:rPr>
                <w:rFonts w:cs="Arial"/>
                <w:szCs w:val="18"/>
                <w:lang w:val="en-GB"/>
              </w:rPr>
              <w:t>Propane</w:t>
            </w:r>
          </w:p>
        </w:tc>
        <w:tc>
          <w:tcPr>
            <w:tcW w:w="1134" w:type="dxa"/>
            <w:shd w:val="clear" w:color="auto" w:fill="FFFFFF"/>
          </w:tcPr>
          <w:p w14:paraId="25C441A0" w14:textId="219C59FE" w:rsidR="00710CC9" w:rsidRPr="00B57B36" w:rsidRDefault="002D3DFE" w:rsidP="002D3DFE">
            <w:pPr>
              <w:pStyle w:val="CETBodytext"/>
              <w:ind w:right="-1"/>
              <w:jc w:val="center"/>
              <w:rPr>
                <w:rFonts w:cs="Arial"/>
                <w:szCs w:val="18"/>
                <w:lang w:val="en-GB"/>
              </w:rPr>
            </w:pPr>
            <w:r>
              <w:rPr>
                <w:rFonts w:cs="Arial"/>
                <w:szCs w:val="18"/>
                <w:lang w:val="en-GB"/>
              </w:rPr>
              <w:t>0.02</w:t>
            </w:r>
          </w:p>
        </w:tc>
        <w:tc>
          <w:tcPr>
            <w:tcW w:w="1134" w:type="dxa"/>
            <w:shd w:val="clear" w:color="auto" w:fill="FFFFFF"/>
          </w:tcPr>
          <w:p w14:paraId="75166738" w14:textId="61079912" w:rsidR="00710CC9" w:rsidRPr="00B57B36" w:rsidRDefault="002D3DFE" w:rsidP="002D3DFE">
            <w:pPr>
              <w:pStyle w:val="CETBodytext"/>
              <w:ind w:right="-1"/>
              <w:jc w:val="center"/>
              <w:rPr>
                <w:rFonts w:cs="Arial"/>
                <w:szCs w:val="18"/>
                <w:lang w:val="en-GB"/>
              </w:rPr>
            </w:pPr>
            <w:r>
              <w:rPr>
                <w:rFonts w:cs="Arial"/>
                <w:szCs w:val="18"/>
                <w:lang w:val="en-GB"/>
              </w:rPr>
              <w:t>0.22</w:t>
            </w:r>
          </w:p>
        </w:tc>
        <w:tc>
          <w:tcPr>
            <w:tcW w:w="1134" w:type="dxa"/>
            <w:shd w:val="clear" w:color="auto" w:fill="FFFFFF"/>
          </w:tcPr>
          <w:p w14:paraId="7782D636" w14:textId="08E4AFBD" w:rsidR="00710CC9" w:rsidRPr="00B57B36" w:rsidRDefault="00994BF7" w:rsidP="002D3DFE">
            <w:pPr>
              <w:pStyle w:val="CETBodytext"/>
              <w:ind w:right="-1"/>
              <w:jc w:val="center"/>
              <w:rPr>
                <w:rFonts w:cs="Arial"/>
                <w:szCs w:val="18"/>
                <w:lang w:val="en-GB"/>
              </w:rPr>
            </w:pPr>
            <w:r>
              <w:rPr>
                <w:rFonts w:cs="Arial"/>
                <w:szCs w:val="18"/>
                <w:lang w:val="en-GB"/>
              </w:rPr>
              <w:t>0.88</w:t>
            </w:r>
          </w:p>
        </w:tc>
        <w:tc>
          <w:tcPr>
            <w:tcW w:w="1134" w:type="dxa"/>
            <w:shd w:val="clear" w:color="auto" w:fill="FFFFFF"/>
          </w:tcPr>
          <w:p w14:paraId="7160D405" w14:textId="39014D16" w:rsidR="00710CC9" w:rsidRPr="00B57B36" w:rsidRDefault="00994BF7" w:rsidP="002D3DFE">
            <w:pPr>
              <w:pStyle w:val="CETBodytext"/>
              <w:ind w:right="-1"/>
              <w:jc w:val="center"/>
              <w:rPr>
                <w:rFonts w:cs="Arial"/>
                <w:szCs w:val="18"/>
                <w:lang w:val="en-GB"/>
              </w:rPr>
            </w:pPr>
            <w:r>
              <w:rPr>
                <w:rFonts w:cs="Arial"/>
                <w:szCs w:val="18"/>
                <w:lang w:val="en-GB"/>
              </w:rPr>
              <w:t>2.05</w:t>
            </w:r>
          </w:p>
        </w:tc>
      </w:tr>
      <w:tr w:rsidR="00710CC9" w:rsidRPr="00B57B36" w14:paraId="4790CF70" w14:textId="77777777" w:rsidTr="002D3DFE">
        <w:tc>
          <w:tcPr>
            <w:tcW w:w="0" w:type="auto"/>
            <w:shd w:val="clear" w:color="auto" w:fill="FFFFFF"/>
          </w:tcPr>
          <w:p w14:paraId="4DE0528A" w14:textId="6182F937" w:rsidR="00710CC9" w:rsidRPr="00B57B36" w:rsidRDefault="00710CC9" w:rsidP="00E716E5">
            <w:pPr>
              <w:pStyle w:val="CETBodytext"/>
              <w:ind w:right="-1"/>
              <w:rPr>
                <w:rFonts w:cs="Arial"/>
                <w:szCs w:val="18"/>
                <w:lang w:val="en-GB"/>
              </w:rPr>
            </w:pPr>
            <w:r>
              <w:rPr>
                <w:rFonts w:cs="Arial"/>
                <w:szCs w:val="18"/>
                <w:lang w:val="en-GB"/>
              </w:rPr>
              <w:t>Butanes</w:t>
            </w:r>
          </w:p>
        </w:tc>
        <w:tc>
          <w:tcPr>
            <w:tcW w:w="1134" w:type="dxa"/>
            <w:shd w:val="clear" w:color="auto" w:fill="FFFFFF"/>
          </w:tcPr>
          <w:p w14:paraId="31CB4F6D" w14:textId="1F5B9BD0" w:rsidR="00710CC9" w:rsidRPr="00B57B36" w:rsidRDefault="002D3DFE" w:rsidP="002D3DFE">
            <w:pPr>
              <w:pStyle w:val="CETBodytext"/>
              <w:ind w:right="-1"/>
              <w:jc w:val="center"/>
              <w:rPr>
                <w:rFonts w:cs="Arial"/>
                <w:szCs w:val="18"/>
                <w:lang w:val="en-GB"/>
              </w:rPr>
            </w:pPr>
            <w:r>
              <w:rPr>
                <w:rFonts w:cs="Arial"/>
                <w:szCs w:val="18"/>
                <w:lang w:val="en-GB"/>
              </w:rPr>
              <w:t>0.01</w:t>
            </w:r>
          </w:p>
        </w:tc>
        <w:tc>
          <w:tcPr>
            <w:tcW w:w="1134" w:type="dxa"/>
            <w:shd w:val="clear" w:color="auto" w:fill="FFFFFF"/>
          </w:tcPr>
          <w:p w14:paraId="5FB2D386" w14:textId="07E18879" w:rsidR="00710CC9" w:rsidRPr="00B57B36" w:rsidRDefault="002D3DFE" w:rsidP="002D3DFE">
            <w:pPr>
              <w:pStyle w:val="CETBodytext"/>
              <w:ind w:right="-1"/>
              <w:jc w:val="center"/>
              <w:rPr>
                <w:rFonts w:cs="Arial"/>
                <w:szCs w:val="18"/>
                <w:lang w:val="en-GB"/>
              </w:rPr>
            </w:pPr>
            <w:r>
              <w:rPr>
                <w:rFonts w:cs="Arial"/>
                <w:szCs w:val="18"/>
                <w:lang w:val="en-GB"/>
              </w:rPr>
              <w:t>0.09</w:t>
            </w:r>
          </w:p>
        </w:tc>
        <w:tc>
          <w:tcPr>
            <w:tcW w:w="1134" w:type="dxa"/>
            <w:shd w:val="clear" w:color="auto" w:fill="FFFFFF"/>
          </w:tcPr>
          <w:p w14:paraId="6A69AE18" w14:textId="5CF1DA51" w:rsidR="00710CC9" w:rsidRPr="00B57B36" w:rsidRDefault="00994BF7" w:rsidP="002D3DFE">
            <w:pPr>
              <w:pStyle w:val="CETBodytext"/>
              <w:ind w:right="-1"/>
              <w:jc w:val="center"/>
              <w:rPr>
                <w:rFonts w:cs="Arial"/>
                <w:szCs w:val="18"/>
                <w:lang w:val="en-GB"/>
              </w:rPr>
            </w:pPr>
            <w:r>
              <w:rPr>
                <w:rFonts w:cs="Arial"/>
                <w:szCs w:val="18"/>
                <w:lang w:val="en-GB"/>
              </w:rPr>
              <w:t>0.28</w:t>
            </w:r>
          </w:p>
        </w:tc>
        <w:tc>
          <w:tcPr>
            <w:tcW w:w="1134" w:type="dxa"/>
            <w:shd w:val="clear" w:color="auto" w:fill="FFFFFF"/>
          </w:tcPr>
          <w:p w14:paraId="7348B691" w14:textId="01F20FF5" w:rsidR="00710CC9" w:rsidRPr="00B57B36" w:rsidRDefault="00994BF7" w:rsidP="002D3DFE">
            <w:pPr>
              <w:pStyle w:val="CETBodytext"/>
              <w:ind w:right="-1"/>
              <w:jc w:val="center"/>
              <w:rPr>
                <w:rFonts w:cs="Arial"/>
                <w:szCs w:val="18"/>
                <w:lang w:val="en-GB"/>
              </w:rPr>
            </w:pPr>
            <w:r>
              <w:rPr>
                <w:rFonts w:cs="Arial"/>
                <w:szCs w:val="18"/>
                <w:lang w:val="en-GB"/>
              </w:rPr>
              <w:t>0.78</w:t>
            </w:r>
          </w:p>
        </w:tc>
      </w:tr>
      <w:tr w:rsidR="00710CC9" w:rsidRPr="00B57B36" w14:paraId="3A4B8CF3" w14:textId="77777777" w:rsidTr="002D3DFE">
        <w:tc>
          <w:tcPr>
            <w:tcW w:w="0" w:type="auto"/>
            <w:shd w:val="clear" w:color="auto" w:fill="FFFFFF"/>
          </w:tcPr>
          <w:p w14:paraId="0643C122" w14:textId="7A455613" w:rsidR="00710CC9" w:rsidRPr="00B57B36" w:rsidRDefault="00710CC9" w:rsidP="00E716E5">
            <w:pPr>
              <w:pStyle w:val="CETBodytext"/>
              <w:ind w:right="-1"/>
              <w:rPr>
                <w:rFonts w:cs="Arial"/>
                <w:szCs w:val="18"/>
                <w:lang w:val="en-GB"/>
              </w:rPr>
            </w:pPr>
            <w:r>
              <w:rPr>
                <w:rFonts w:cs="Arial"/>
                <w:szCs w:val="18"/>
                <w:lang w:val="en-GB"/>
              </w:rPr>
              <w:t>Pentanes</w:t>
            </w:r>
          </w:p>
        </w:tc>
        <w:tc>
          <w:tcPr>
            <w:tcW w:w="1134" w:type="dxa"/>
            <w:shd w:val="clear" w:color="auto" w:fill="FFFFFF"/>
          </w:tcPr>
          <w:p w14:paraId="7054D6FE" w14:textId="52475177" w:rsidR="00710CC9" w:rsidRPr="00B57B36" w:rsidRDefault="002D3DFE" w:rsidP="002D3DFE">
            <w:pPr>
              <w:pStyle w:val="CETBodytext"/>
              <w:ind w:right="-1"/>
              <w:jc w:val="center"/>
              <w:rPr>
                <w:rFonts w:cs="Arial"/>
                <w:szCs w:val="18"/>
                <w:lang w:val="en-GB"/>
              </w:rPr>
            </w:pPr>
            <w:r>
              <w:rPr>
                <w:rFonts w:cs="Arial"/>
                <w:szCs w:val="18"/>
                <w:lang w:val="en-GB"/>
              </w:rPr>
              <w:t>0.00</w:t>
            </w:r>
          </w:p>
        </w:tc>
        <w:tc>
          <w:tcPr>
            <w:tcW w:w="1134" w:type="dxa"/>
            <w:shd w:val="clear" w:color="auto" w:fill="FFFFFF"/>
          </w:tcPr>
          <w:p w14:paraId="01C8BD79" w14:textId="494B1822" w:rsidR="00710CC9" w:rsidRPr="00B57B36" w:rsidRDefault="002D3DFE" w:rsidP="002D3DFE">
            <w:pPr>
              <w:pStyle w:val="CETBodytext"/>
              <w:ind w:right="-1"/>
              <w:jc w:val="center"/>
              <w:rPr>
                <w:rFonts w:cs="Arial"/>
                <w:szCs w:val="18"/>
                <w:lang w:val="en-GB"/>
              </w:rPr>
            </w:pPr>
            <w:r>
              <w:rPr>
                <w:rFonts w:cs="Arial"/>
                <w:szCs w:val="18"/>
                <w:lang w:val="en-GB"/>
              </w:rPr>
              <w:t>0.01</w:t>
            </w:r>
          </w:p>
        </w:tc>
        <w:tc>
          <w:tcPr>
            <w:tcW w:w="1134" w:type="dxa"/>
            <w:shd w:val="clear" w:color="auto" w:fill="FFFFFF"/>
          </w:tcPr>
          <w:p w14:paraId="0D196D5A" w14:textId="0D2BD41E" w:rsidR="00710CC9" w:rsidRPr="00B57B36" w:rsidRDefault="00994BF7" w:rsidP="002D3DFE">
            <w:pPr>
              <w:pStyle w:val="CETBodytext"/>
              <w:ind w:right="-1"/>
              <w:jc w:val="center"/>
              <w:rPr>
                <w:rFonts w:cs="Arial"/>
                <w:szCs w:val="18"/>
                <w:lang w:val="en-GB"/>
              </w:rPr>
            </w:pPr>
            <w:r>
              <w:rPr>
                <w:rFonts w:cs="Arial"/>
                <w:szCs w:val="18"/>
                <w:lang w:val="en-GB"/>
              </w:rPr>
              <w:t>0.07</w:t>
            </w:r>
          </w:p>
        </w:tc>
        <w:tc>
          <w:tcPr>
            <w:tcW w:w="1134" w:type="dxa"/>
            <w:shd w:val="clear" w:color="auto" w:fill="FFFFFF"/>
          </w:tcPr>
          <w:p w14:paraId="2384D77D" w14:textId="16E072C0" w:rsidR="00710CC9" w:rsidRPr="00B57B36" w:rsidRDefault="00994BF7" w:rsidP="002D3DFE">
            <w:pPr>
              <w:pStyle w:val="CETBodytext"/>
              <w:ind w:right="-1"/>
              <w:jc w:val="center"/>
              <w:rPr>
                <w:rFonts w:cs="Arial"/>
                <w:szCs w:val="18"/>
                <w:lang w:val="en-GB"/>
              </w:rPr>
            </w:pPr>
            <w:r>
              <w:rPr>
                <w:rFonts w:cs="Arial"/>
                <w:szCs w:val="18"/>
                <w:lang w:val="en-GB"/>
              </w:rPr>
              <w:t>0.21</w:t>
            </w:r>
          </w:p>
        </w:tc>
      </w:tr>
      <w:tr w:rsidR="00710CC9" w:rsidRPr="00B57B36" w14:paraId="143F56AD" w14:textId="77777777" w:rsidTr="002D3DFE">
        <w:tc>
          <w:tcPr>
            <w:tcW w:w="0" w:type="auto"/>
            <w:shd w:val="clear" w:color="auto" w:fill="FFFFFF"/>
          </w:tcPr>
          <w:p w14:paraId="50D77A68" w14:textId="35DA8CDA" w:rsidR="00710CC9" w:rsidRPr="00B57B36" w:rsidRDefault="00710CC9" w:rsidP="00E716E5">
            <w:pPr>
              <w:pStyle w:val="CETBodytext"/>
              <w:ind w:right="-1"/>
              <w:rPr>
                <w:rFonts w:cs="Arial"/>
                <w:szCs w:val="18"/>
                <w:lang w:val="en-GB"/>
              </w:rPr>
            </w:pPr>
            <w:r>
              <w:rPr>
                <w:rFonts w:cs="Arial"/>
                <w:szCs w:val="18"/>
                <w:lang w:val="en-GB"/>
              </w:rPr>
              <w:t>Hexanes</w:t>
            </w:r>
          </w:p>
        </w:tc>
        <w:tc>
          <w:tcPr>
            <w:tcW w:w="1134" w:type="dxa"/>
            <w:shd w:val="clear" w:color="auto" w:fill="FFFFFF"/>
          </w:tcPr>
          <w:p w14:paraId="757FBCD2" w14:textId="34FC2415" w:rsidR="00710CC9" w:rsidRPr="00B57B36" w:rsidRDefault="002D3DFE" w:rsidP="002D3DFE">
            <w:pPr>
              <w:pStyle w:val="CETBodytext"/>
              <w:ind w:right="-1"/>
              <w:jc w:val="center"/>
              <w:rPr>
                <w:rFonts w:cs="Arial"/>
                <w:szCs w:val="18"/>
                <w:lang w:val="en-GB"/>
              </w:rPr>
            </w:pPr>
            <w:r>
              <w:rPr>
                <w:rFonts w:cs="Arial"/>
                <w:szCs w:val="18"/>
                <w:lang w:val="en-GB"/>
              </w:rPr>
              <w:t>0.01</w:t>
            </w:r>
          </w:p>
        </w:tc>
        <w:tc>
          <w:tcPr>
            <w:tcW w:w="1134" w:type="dxa"/>
            <w:shd w:val="clear" w:color="auto" w:fill="FFFFFF"/>
          </w:tcPr>
          <w:p w14:paraId="407BCAB6" w14:textId="2D561C46" w:rsidR="00710CC9" w:rsidRPr="00B57B36" w:rsidRDefault="002D3DFE" w:rsidP="002D3DFE">
            <w:pPr>
              <w:pStyle w:val="CETBodytext"/>
              <w:ind w:right="-1"/>
              <w:jc w:val="center"/>
              <w:rPr>
                <w:rFonts w:cs="Arial"/>
                <w:szCs w:val="18"/>
                <w:lang w:val="en-GB"/>
              </w:rPr>
            </w:pPr>
            <w:r>
              <w:rPr>
                <w:rFonts w:cs="Arial"/>
                <w:szCs w:val="18"/>
                <w:lang w:val="en-GB"/>
              </w:rPr>
              <w:t>0.02</w:t>
            </w:r>
          </w:p>
        </w:tc>
        <w:tc>
          <w:tcPr>
            <w:tcW w:w="1134" w:type="dxa"/>
            <w:shd w:val="clear" w:color="auto" w:fill="FFFFFF"/>
          </w:tcPr>
          <w:p w14:paraId="681C7CDC" w14:textId="7B7C1672" w:rsidR="00710CC9" w:rsidRPr="00B57B36" w:rsidRDefault="00994BF7" w:rsidP="002D3DFE">
            <w:pPr>
              <w:pStyle w:val="CETBodytext"/>
              <w:ind w:right="-1"/>
              <w:jc w:val="center"/>
              <w:rPr>
                <w:rFonts w:cs="Arial"/>
                <w:szCs w:val="18"/>
                <w:lang w:val="en-GB"/>
              </w:rPr>
            </w:pPr>
            <w:r>
              <w:rPr>
                <w:rFonts w:cs="Arial"/>
                <w:szCs w:val="18"/>
                <w:lang w:val="en-GB"/>
              </w:rPr>
              <w:t>0.07</w:t>
            </w:r>
          </w:p>
        </w:tc>
        <w:tc>
          <w:tcPr>
            <w:tcW w:w="1134" w:type="dxa"/>
            <w:shd w:val="clear" w:color="auto" w:fill="FFFFFF"/>
          </w:tcPr>
          <w:p w14:paraId="27EEEE79" w14:textId="40EA0577" w:rsidR="00710CC9" w:rsidRPr="00B57B36" w:rsidRDefault="00994BF7" w:rsidP="002D3DFE">
            <w:pPr>
              <w:pStyle w:val="CETBodytext"/>
              <w:ind w:right="-1"/>
              <w:jc w:val="center"/>
              <w:rPr>
                <w:rFonts w:cs="Arial"/>
                <w:szCs w:val="18"/>
                <w:lang w:val="en-GB"/>
              </w:rPr>
            </w:pPr>
            <w:r>
              <w:rPr>
                <w:rFonts w:cs="Arial"/>
                <w:szCs w:val="18"/>
                <w:lang w:val="en-GB"/>
              </w:rPr>
              <w:t>0.11</w:t>
            </w:r>
          </w:p>
        </w:tc>
      </w:tr>
      <w:tr w:rsidR="00710CC9" w:rsidRPr="00B57B36" w14:paraId="1925C0EC" w14:textId="77777777" w:rsidTr="002D3DFE">
        <w:tc>
          <w:tcPr>
            <w:tcW w:w="0" w:type="auto"/>
            <w:shd w:val="clear" w:color="auto" w:fill="FFFFFF"/>
          </w:tcPr>
          <w:p w14:paraId="56220D20" w14:textId="1E0E2473" w:rsidR="00710CC9" w:rsidRPr="00B57B36" w:rsidRDefault="00710CC9" w:rsidP="00E716E5">
            <w:pPr>
              <w:pStyle w:val="CETBodytext"/>
              <w:ind w:right="-1"/>
              <w:rPr>
                <w:rFonts w:cs="Arial"/>
                <w:szCs w:val="18"/>
                <w:lang w:val="en-GB"/>
              </w:rPr>
            </w:pPr>
            <w:r>
              <w:rPr>
                <w:rFonts w:cs="Arial"/>
                <w:szCs w:val="18"/>
                <w:lang w:val="en-GB"/>
              </w:rPr>
              <w:t>Carbon dioxide</w:t>
            </w:r>
          </w:p>
        </w:tc>
        <w:tc>
          <w:tcPr>
            <w:tcW w:w="1134" w:type="dxa"/>
            <w:shd w:val="clear" w:color="auto" w:fill="FFFFFF"/>
          </w:tcPr>
          <w:p w14:paraId="735E5ADD" w14:textId="4EACD66B" w:rsidR="00710CC9" w:rsidRPr="00B57B36" w:rsidRDefault="002D3DFE" w:rsidP="002D3DFE">
            <w:pPr>
              <w:pStyle w:val="CETBodytext"/>
              <w:ind w:right="-1"/>
              <w:jc w:val="center"/>
              <w:rPr>
                <w:rFonts w:cs="Arial"/>
                <w:szCs w:val="18"/>
                <w:lang w:val="en-GB"/>
              </w:rPr>
            </w:pPr>
            <w:r>
              <w:rPr>
                <w:rFonts w:cs="Arial"/>
                <w:szCs w:val="18"/>
                <w:lang w:val="en-GB"/>
              </w:rPr>
              <w:t>0.02</w:t>
            </w:r>
          </w:p>
        </w:tc>
        <w:tc>
          <w:tcPr>
            <w:tcW w:w="1134" w:type="dxa"/>
            <w:shd w:val="clear" w:color="auto" w:fill="FFFFFF"/>
          </w:tcPr>
          <w:p w14:paraId="05D0D31D" w14:textId="42CB49CB" w:rsidR="00710CC9" w:rsidRPr="00B57B36" w:rsidRDefault="002D3DFE" w:rsidP="002D3DFE">
            <w:pPr>
              <w:pStyle w:val="CETBodytext"/>
              <w:ind w:right="-1"/>
              <w:jc w:val="center"/>
              <w:rPr>
                <w:rFonts w:cs="Arial"/>
                <w:szCs w:val="18"/>
                <w:lang w:val="en-GB"/>
              </w:rPr>
            </w:pPr>
            <w:r>
              <w:rPr>
                <w:rFonts w:cs="Arial"/>
                <w:szCs w:val="18"/>
                <w:lang w:val="en-GB"/>
              </w:rPr>
              <w:t>0.11</w:t>
            </w:r>
          </w:p>
        </w:tc>
        <w:tc>
          <w:tcPr>
            <w:tcW w:w="1134" w:type="dxa"/>
            <w:shd w:val="clear" w:color="auto" w:fill="FFFFFF"/>
          </w:tcPr>
          <w:p w14:paraId="373FB8B5" w14:textId="41011D37" w:rsidR="00710CC9" w:rsidRPr="00B57B36" w:rsidRDefault="00994BF7" w:rsidP="002D3DFE">
            <w:pPr>
              <w:pStyle w:val="CETBodytext"/>
              <w:ind w:right="-1"/>
              <w:jc w:val="center"/>
              <w:rPr>
                <w:rFonts w:cs="Arial"/>
                <w:szCs w:val="18"/>
                <w:lang w:val="en-GB"/>
              </w:rPr>
            </w:pPr>
            <w:r>
              <w:rPr>
                <w:rFonts w:cs="Arial"/>
                <w:szCs w:val="18"/>
                <w:lang w:val="en-GB"/>
              </w:rPr>
              <w:t>1.11</w:t>
            </w:r>
          </w:p>
        </w:tc>
        <w:tc>
          <w:tcPr>
            <w:tcW w:w="1134" w:type="dxa"/>
            <w:shd w:val="clear" w:color="auto" w:fill="FFFFFF"/>
          </w:tcPr>
          <w:p w14:paraId="229DC1EF" w14:textId="400DE34A" w:rsidR="00710CC9" w:rsidRPr="00B57B36" w:rsidRDefault="00994BF7" w:rsidP="002D3DFE">
            <w:pPr>
              <w:pStyle w:val="CETBodytext"/>
              <w:ind w:right="-1"/>
              <w:jc w:val="center"/>
              <w:rPr>
                <w:rFonts w:cs="Arial"/>
                <w:szCs w:val="18"/>
                <w:lang w:val="en-GB"/>
              </w:rPr>
            </w:pPr>
            <w:r>
              <w:rPr>
                <w:rFonts w:cs="Arial"/>
                <w:szCs w:val="18"/>
                <w:lang w:val="en-GB"/>
              </w:rPr>
              <w:t>0.19</w:t>
            </w:r>
          </w:p>
        </w:tc>
      </w:tr>
      <w:tr w:rsidR="00710CC9" w:rsidRPr="00B57B36" w14:paraId="13B5F037" w14:textId="77777777" w:rsidTr="002D3DFE">
        <w:tc>
          <w:tcPr>
            <w:tcW w:w="0" w:type="auto"/>
            <w:shd w:val="clear" w:color="auto" w:fill="FFFFFF"/>
          </w:tcPr>
          <w:p w14:paraId="1D50EDBB" w14:textId="0203B1F9" w:rsidR="00710CC9" w:rsidRPr="00B57B36" w:rsidRDefault="00710CC9" w:rsidP="00E716E5">
            <w:pPr>
              <w:pStyle w:val="CETBodytext"/>
              <w:ind w:right="-1"/>
              <w:rPr>
                <w:rFonts w:cs="Arial"/>
                <w:szCs w:val="18"/>
                <w:lang w:val="en-GB"/>
              </w:rPr>
            </w:pPr>
            <w:r>
              <w:rPr>
                <w:rFonts w:cs="Arial"/>
                <w:szCs w:val="18"/>
                <w:lang w:val="en-GB"/>
              </w:rPr>
              <w:t>Nitrogen</w:t>
            </w:r>
          </w:p>
        </w:tc>
        <w:tc>
          <w:tcPr>
            <w:tcW w:w="1134" w:type="dxa"/>
            <w:shd w:val="clear" w:color="auto" w:fill="FFFFFF"/>
          </w:tcPr>
          <w:p w14:paraId="44BCD9AD" w14:textId="556676DC" w:rsidR="00710CC9" w:rsidRPr="00B57B36" w:rsidRDefault="002D3DFE" w:rsidP="002D3DFE">
            <w:pPr>
              <w:pStyle w:val="CETBodytext"/>
              <w:ind w:right="-1"/>
              <w:jc w:val="center"/>
              <w:rPr>
                <w:rFonts w:cs="Arial"/>
                <w:szCs w:val="18"/>
                <w:lang w:val="en-GB"/>
              </w:rPr>
            </w:pPr>
            <w:r>
              <w:rPr>
                <w:rFonts w:cs="Arial"/>
                <w:szCs w:val="18"/>
                <w:lang w:val="en-GB"/>
              </w:rPr>
              <w:t>0.26</w:t>
            </w:r>
          </w:p>
        </w:tc>
        <w:tc>
          <w:tcPr>
            <w:tcW w:w="1134" w:type="dxa"/>
            <w:shd w:val="clear" w:color="auto" w:fill="FFFFFF"/>
          </w:tcPr>
          <w:p w14:paraId="1BF7AB46" w14:textId="00959EF3" w:rsidR="00710CC9" w:rsidRPr="00B57B36" w:rsidRDefault="002D3DFE" w:rsidP="002D3DFE">
            <w:pPr>
              <w:pStyle w:val="CETBodytext"/>
              <w:ind w:right="-1"/>
              <w:jc w:val="center"/>
              <w:rPr>
                <w:rFonts w:cs="Arial"/>
                <w:szCs w:val="18"/>
                <w:lang w:val="en-GB"/>
              </w:rPr>
            </w:pPr>
            <w:r>
              <w:rPr>
                <w:rFonts w:cs="Arial"/>
                <w:szCs w:val="18"/>
                <w:lang w:val="en-GB"/>
              </w:rPr>
              <w:t>0.87</w:t>
            </w:r>
          </w:p>
        </w:tc>
        <w:tc>
          <w:tcPr>
            <w:tcW w:w="1134" w:type="dxa"/>
            <w:shd w:val="clear" w:color="auto" w:fill="FFFFFF"/>
          </w:tcPr>
          <w:p w14:paraId="077265B7" w14:textId="371D44B3" w:rsidR="00710CC9" w:rsidRPr="00B57B36" w:rsidRDefault="00994BF7" w:rsidP="002D3DFE">
            <w:pPr>
              <w:pStyle w:val="CETBodytext"/>
              <w:ind w:right="-1"/>
              <w:jc w:val="center"/>
              <w:rPr>
                <w:rFonts w:cs="Arial"/>
                <w:szCs w:val="18"/>
                <w:lang w:val="en-GB"/>
              </w:rPr>
            </w:pPr>
            <w:r>
              <w:rPr>
                <w:rFonts w:cs="Arial"/>
                <w:szCs w:val="18"/>
                <w:lang w:val="en-GB"/>
              </w:rPr>
              <w:t>2.84</w:t>
            </w:r>
          </w:p>
        </w:tc>
        <w:tc>
          <w:tcPr>
            <w:tcW w:w="1134" w:type="dxa"/>
            <w:shd w:val="clear" w:color="auto" w:fill="FFFFFF"/>
          </w:tcPr>
          <w:p w14:paraId="4AB4C352" w14:textId="18BA0517" w:rsidR="00710CC9" w:rsidRPr="00B57B36" w:rsidRDefault="00994BF7" w:rsidP="002D3DFE">
            <w:pPr>
              <w:pStyle w:val="CETBodytext"/>
              <w:ind w:right="-1"/>
              <w:jc w:val="center"/>
              <w:rPr>
                <w:rFonts w:cs="Arial"/>
                <w:szCs w:val="18"/>
                <w:lang w:val="en-GB"/>
              </w:rPr>
            </w:pPr>
            <w:r>
              <w:rPr>
                <w:rFonts w:cs="Arial"/>
                <w:szCs w:val="18"/>
                <w:lang w:val="en-GB"/>
              </w:rPr>
              <w:t>5.52</w:t>
            </w:r>
          </w:p>
        </w:tc>
      </w:tr>
      <w:tr w:rsidR="00710CC9" w:rsidRPr="00B57B36" w14:paraId="31B21F56" w14:textId="77777777" w:rsidTr="002D3DFE">
        <w:tc>
          <w:tcPr>
            <w:tcW w:w="0" w:type="auto"/>
            <w:shd w:val="clear" w:color="auto" w:fill="FFFFFF"/>
          </w:tcPr>
          <w:p w14:paraId="0FE26665" w14:textId="5FECDA41" w:rsidR="00710CC9" w:rsidRPr="00B57B36" w:rsidRDefault="00710CC9" w:rsidP="00E716E5">
            <w:pPr>
              <w:pStyle w:val="CETBodytext"/>
              <w:ind w:right="-1"/>
              <w:rPr>
                <w:rFonts w:cs="Arial"/>
                <w:szCs w:val="18"/>
                <w:lang w:val="en-GB"/>
              </w:rPr>
            </w:pPr>
            <w:r>
              <w:rPr>
                <w:rFonts w:cs="Arial"/>
                <w:szCs w:val="18"/>
                <w:lang w:val="en-GB"/>
              </w:rPr>
              <w:t>Helium</w:t>
            </w:r>
          </w:p>
        </w:tc>
        <w:tc>
          <w:tcPr>
            <w:tcW w:w="1134" w:type="dxa"/>
            <w:shd w:val="clear" w:color="auto" w:fill="FFFFFF"/>
          </w:tcPr>
          <w:p w14:paraId="7B7ED780" w14:textId="5E73D1D1" w:rsidR="00710CC9" w:rsidRPr="00B57B36" w:rsidRDefault="002D3DFE" w:rsidP="002D3DFE">
            <w:pPr>
              <w:pStyle w:val="CETBodytext"/>
              <w:ind w:right="-1"/>
              <w:jc w:val="center"/>
              <w:rPr>
                <w:rFonts w:cs="Arial"/>
                <w:szCs w:val="18"/>
                <w:lang w:val="en-GB"/>
              </w:rPr>
            </w:pPr>
            <w:r>
              <w:rPr>
                <w:rFonts w:cs="Arial"/>
                <w:szCs w:val="18"/>
                <w:lang w:val="en-GB"/>
              </w:rPr>
              <w:t>0.00</w:t>
            </w:r>
          </w:p>
        </w:tc>
        <w:tc>
          <w:tcPr>
            <w:tcW w:w="1134" w:type="dxa"/>
            <w:shd w:val="clear" w:color="auto" w:fill="FFFFFF"/>
          </w:tcPr>
          <w:p w14:paraId="4C1E4D26" w14:textId="62CD7CA8" w:rsidR="00710CC9" w:rsidRPr="00B57B36" w:rsidRDefault="002D3DFE" w:rsidP="002D3DFE">
            <w:pPr>
              <w:pStyle w:val="CETBodytext"/>
              <w:ind w:right="-1"/>
              <w:jc w:val="center"/>
              <w:rPr>
                <w:rFonts w:cs="Arial"/>
                <w:szCs w:val="18"/>
                <w:lang w:val="en-GB"/>
              </w:rPr>
            </w:pPr>
            <w:r>
              <w:rPr>
                <w:rFonts w:cs="Arial"/>
                <w:szCs w:val="18"/>
                <w:lang w:val="en-GB"/>
              </w:rPr>
              <w:t>0.01</w:t>
            </w:r>
          </w:p>
        </w:tc>
        <w:tc>
          <w:tcPr>
            <w:tcW w:w="1134" w:type="dxa"/>
            <w:shd w:val="clear" w:color="auto" w:fill="FFFFFF"/>
          </w:tcPr>
          <w:p w14:paraId="41828A30" w14:textId="34617BF5" w:rsidR="00710CC9" w:rsidRPr="00B57B36" w:rsidRDefault="00994BF7" w:rsidP="002D3DFE">
            <w:pPr>
              <w:pStyle w:val="CETBodytext"/>
              <w:ind w:right="-1"/>
              <w:jc w:val="center"/>
              <w:rPr>
                <w:rFonts w:cs="Arial"/>
                <w:szCs w:val="18"/>
                <w:lang w:val="en-GB"/>
              </w:rPr>
            </w:pPr>
            <w:r>
              <w:rPr>
                <w:rFonts w:cs="Arial"/>
                <w:szCs w:val="18"/>
                <w:lang w:val="en-GB"/>
              </w:rPr>
              <w:t>0.04</w:t>
            </w:r>
          </w:p>
        </w:tc>
        <w:tc>
          <w:tcPr>
            <w:tcW w:w="1134" w:type="dxa"/>
            <w:shd w:val="clear" w:color="auto" w:fill="FFFFFF"/>
          </w:tcPr>
          <w:p w14:paraId="47FC360B" w14:textId="6648163D" w:rsidR="00710CC9" w:rsidRPr="00B57B36" w:rsidRDefault="00994BF7" w:rsidP="002D3DFE">
            <w:pPr>
              <w:pStyle w:val="CETBodytext"/>
              <w:ind w:right="-1"/>
              <w:jc w:val="center"/>
              <w:rPr>
                <w:rFonts w:cs="Arial"/>
                <w:szCs w:val="18"/>
                <w:lang w:val="en-GB"/>
              </w:rPr>
            </w:pPr>
            <w:r>
              <w:rPr>
                <w:rFonts w:cs="Arial"/>
                <w:szCs w:val="18"/>
                <w:lang w:val="en-GB"/>
              </w:rPr>
              <w:t>0.18</w:t>
            </w:r>
          </w:p>
        </w:tc>
      </w:tr>
    </w:tbl>
    <w:p w14:paraId="68229012" w14:textId="77777777" w:rsidR="00710CC9" w:rsidRDefault="00710CC9" w:rsidP="00600535">
      <w:pPr>
        <w:pStyle w:val="CETBodytext"/>
        <w:rPr>
          <w:lang w:eastAsia="it-IT"/>
        </w:rPr>
      </w:pPr>
    </w:p>
    <w:p w14:paraId="50E1C633" w14:textId="650F0E4D" w:rsidR="002D371E" w:rsidRDefault="002D371E" w:rsidP="002D371E">
      <w:pPr>
        <w:pStyle w:val="CETHeading1"/>
      </w:pPr>
      <w:r w:rsidRPr="002D371E">
        <w:t xml:space="preserve">Thermodynamic and </w:t>
      </w:r>
      <w:r w:rsidR="006313BB">
        <w:t>f</w:t>
      </w:r>
      <w:r w:rsidRPr="002D371E">
        <w:t>luid</w:t>
      </w:r>
      <w:r w:rsidR="006313BB">
        <w:t xml:space="preserve"> d</w:t>
      </w:r>
      <w:r w:rsidRPr="002D371E">
        <w:t xml:space="preserve">ynamics </w:t>
      </w:r>
      <w:r w:rsidR="006313BB">
        <w:t>mo</w:t>
      </w:r>
      <w:r w:rsidRPr="002D371E">
        <w:t>dels</w:t>
      </w:r>
    </w:p>
    <w:p w14:paraId="2D17B7AE" w14:textId="4DB7CC2A" w:rsidR="00631900" w:rsidRDefault="00631900" w:rsidP="00631900">
      <w:pPr>
        <w:pStyle w:val="CETBodytext"/>
      </w:pPr>
      <w:r>
        <w:t xml:space="preserve">The use of standard cubic equations of state such as the Soave-Redlich-Kwong SRK (Soave, 1972) and Peng-Robinson PR (Peng and Robinson, 1978) are usually the default choices in chemical engineering design. Other equations of state such as the GERG models are more exact at the cost of increased calculation times. These models are the GERG-2004 (Kunz et al., 2007) or the GERG-2008 (Kunz et al., 2012). However, the application </w:t>
      </w:r>
      <w:r>
        <w:lastRenderedPageBreak/>
        <w:t>of these equations to complex mixture</w:t>
      </w:r>
      <w:r w:rsidR="006860E0">
        <w:t>s</w:t>
      </w:r>
      <w:r>
        <w:t xml:space="preserve"> present</w:t>
      </w:r>
      <w:r w:rsidR="006860E0">
        <w:t>s</w:t>
      </w:r>
      <w:r>
        <w:t xml:space="preserve"> numerous problems associated </w:t>
      </w:r>
      <w:r w:rsidR="006860E0">
        <w:t>with</w:t>
      </w:r>
      <w:r>
        <w:t xml:space="preserve"> the large number of parameters required (over 100 per pure component) </w:t>
      </w:r>
      <w:r w:rsidR="006860E0">
        <w:t xml:space="preserve">if compared to </w:t>
      </w:r>
      <w:r>
        <w:t>more simple cubic equations of state</w:t>
      </w:r>
      <w:r w:rsidR="0088550E">
        <w:t>.</w:t>
      </w:r>
      <w:r w:rsidR="00AD4C4A">
        <w:t xml:space="preserve"> </w:t>
      </w:r>
      <w:r w:rsidR="008C7261">
        <w:t>Though hydrogen is included in the components set defined for the GERG-2008 equation</w:t>
      </w:r>
      <w:r w:rsidR="00AD4C4A">
        <w:t>,</w:t>
      </w:r>
      <w:r w:rsidR="008C7261">
        <w:t xml:space="preserve"> this equation was not applied in this study. </w:t>
      </w:r>
      <w:r w:rsidR="0088550E">
        <w:t>The results</w:t>
      </w:r>
      <w:r w:rsidR="006860E0">
        <w:t>,</w:t>
      </w:r>
      <w:r w:rsidR="0088550E">
        <w:t xml:space="preserve"> presented </w:t>
      </w:r>
      <w:r w:rsidR="006860E0">
        <w:t xml:space="preserve">in the following pages, </w:t>
      </w:r>
      <w:r w:rsidR="0088550E">
        <w:t>are calculated using the Peng-Robinson equation (PR, Peng and Robinson, 1976) for vapor-liquid equilibrium calculations and the Lee-Kesler model (LK, Lee and Kesler, 1975) for the evaluation of thermal properties i.e., enthalpy, entropy, density, heat</w:t>
      </w:r>
      <w:r w:rsidR="006860E0">
        <w:t xml:space="preserve"> </w:t>
      </w:r>
      <w:r w:rsidR="0088550E">
        <w:t xml:space="preserve">capacity of the vapor and liquid phases. </w:t>
      </w:r>
      <w:r>
        <w:t>The PR equation provide</w:t>
      </w:r>
      <w:r w:rsidR="006860E0">
        <w:t>s</w:t>
      </w:r>
      <w:r>
        <w:t xml:space="preserve"> good values for the vapor-liquid equilibrium constants but gives inaccurate values of thermal properties in the </w:t>
      </w:r>
      <w:r w:rsidR="00AD4C4A">
        <w:t xml:space="preserve">high-pressure and </w:t>
      </w:r>
      <w:r>
        <w:t>critical point region</w:t>
      </w:r>
      <w:r w:rsidR="00AD4C4A">
        <w:t>s</w:t>
      </w:r>
      <w:r>
        <w:t>. In th</w:t>
      </w:r>
      <w:r w:rsidR="00AD4C4A">
        <w:t>ese</w:t>
      </w:r>
      <w:r>
        <w:t xml:space="preserve"> region</w:t>
      </w:r>
      <w:r w:rsidR="00AD4C4A">
        <w:t>s</w:t>
      </w:r>
      <w:r w:rsidR="006860E0">
        <w:t>,</w:t>
      </w:r>
      <w:r>
        <w:t xml:space="preserve"> the LK model provides accuracy comparable </w:t>
      </w:r>
      <w:r w:rsidR="006860E0">
        <w:t>to</w:t>
      </w:r>
      <w:r>
        <w:t xml:space="preserve"> the GERG models.</w:t>
      </w:r>
    </w:p>
    <w:p w14:paraId="446F80D3" w14:textId="0AF75432" w:rsidR="006B3A3F" w:rsidRDefault="006B3A3F" w:rsidP="006B3A3F">
      <w:pPr>
        <w:pStyle w:val="CETHeading1"/>
      </w:pPr>
      <w:r w:rsidRPr="006B3A3F">
        <w:t xml:space="preserve">Pipeline </w:t>
      </w:r>
      <w:r w:rsidR="00831D01">
        <w:t>d</w:t>
      </w:r>
      <w:r w:rsidRPr="006B3A3F">
        <w:t xml:space="preserve">epressurization </w:t>
      </w:r>
      <w:r w:rsidR="00831D01">
        <w:t>a</w:t>
      </w:r>
      <w:r w:rsidRPr="006B3A3F">
        <w:t>nalyses</w:t>
      </w:r>
    </w:p>
    <w:p w14:paraId="6B9A0D4B" w14:textId="2E47DC22" w:rsidR="00625D63" w:rsidRDefault="006B3A3F" w:rsidP="006B3A3F">
      <w:pPr>
        <w:pStyle w:val="CETBodytext"/>
        <w:rPr>
          <w:lang w:eastAsia="it-IT"/>
        </w:rPr>
      </w:pPr>
      <w:r>
        <w:rPr>
          <w:lang w:eastAsia="it-IT"/>
        </w:rPr>
        <w:t xml:space="preserve">The simulation of the depressurization of a pipeline is the first and fundamental step required for the subsequent analyses of the dispersion effects: the mass discharged, </w:t>
      </w:r>
      <w:r w:rsidR="00011651">
        <w:rPr>
          <w:lang w:eastAsia="it-IT"/>
        </w:rPr>
        <w:t>the related</w:t>
      </w:r>
      <w:r>
        <w:rPr>
          <w:lang w:eastAsia="it-IT"/>
        </w:rPr>
        <w:t xml:space="preserve"> temperature and physical status, </w:t>
      </w:r>
      <w:r w:rsidR="00011651">
        <w:rPr>
          <w:lang w:eastAsia="it-IT"/>
        </w:rPr>
        <w:t xml:space="preserve">and </w:t>
      </w:r>
      <w:r>
        <w:rPr>
          <w:lang w:eastAsia="it-IT"/>
        </w:rPr>
        <w:t xml:space="preserve">the time required to obtain a complete discharge of its content </w:t>
      </w:r>
      <w:r w:rsidR="00494794">
        <w:rPr>
          <w:lang w:eastAsia="it-IT"/>
        </w:rPr>
        <w:t>are</w:t>
      </w:r>
      <w:r w:rsidR="00831D01">
        <w:rPr>
          <w:lang w:eastAsia="it-IT"/>
        </w:rPr>
        <w:t xml:space="preserve"> </w:t>
      </w:r>
      <w:r w:rsidR="00494794">
        <w:rPr>
          <w:lang w:eastAsia="it-IT"/>
        </w:rPr>
        <w:t xml:space="preserve">parameters </w:t>
      </w:r>
      <w:r>
        <w:rPr>
          <w:lang w:eastAsia="it-IT"/>
        </w:rPr>
        <w:t>fundamental for a complete HSE evaluation.</w:t>
      </w:r>
      <w:r w:rsidR="006D3622">
        <w:rPr>
          <w:lang w:eastAsia="it-IT"/>
        </w:rPr>
        <w:t xml:space="preserve"> Among</w:t>
      </w:r>
      <w:r>
        <w:rPr>
          <w:lang w:eastAsia="it-IT"/>
        </w:rPr>
        <w:t xml:space="preserve"> the infinite possibilities of analysis of the depressurization of a pipeline transporting hydrogen-methane mixture</w:t>
      </w:r>
      <w:r w:rsidR="006D3622">
        <w:rPr>
          <w:lang w:eastAsia="it-IT"/>
        </w:rPr>
        <w:t>s,</w:t>
      </w:r>
      <w:r>
        <w:rPr>
          <w:lang w:eastAsia="it-IT"/>
        </w:rPr>
        <w:t xml:space="preserve"> some scenarios must be selected. We are n</w:t>
      </w:r>
      <w:r w:rsidR="00335CFA">
        <w:rPr>
          <w:lang w:eastAsia="it-IT"/>
        </w:rPr>
        <w:t>o</w:t>
      </w:r>
      <w:r>
        <w:rPr>
          <w:lang w:eastAsia="it-IT"/>
        </w:rPr>
        <w:t xml:space="preserve">w considering a </w:t>
      </w:r>
      <w:r w:rsidR="00335CFA">
        <w:rPr>
          <w:lang w:eastAsia="it-IT"/>
        </w:rPr>
        <w:t>2</w:t>
      </w:r>
      <w:r>
        <w:rPr>
          <w:lang w:eastAsia="it-IT"/>
        </w:rPr>
        <w:t xml:space="preserve">0 km long pipeline with </w:t>
      </w:r>
      <w:r w:rsidR="00335CFA">
        <w:rPr>
          <w:lang w:eastAsia="it-IT"/>
        </w:rPr>
        <w:t xml:space="preserve">a </w:t>
      </w:r>
      <w:r>
        <w:rPr>
          <w:lang w:eastAsia="it-IT"/>
        </w:rPr>
        <w:t xml:space="preserve">diameter of </w:t>
      </w:r>
      <w:r w:rsidR="00335CFA">
        <w:rPr>
          <w:lang w:eastAsia="it-IT"/>
        </w:rPr>
        <w:t>18</w:t>
      </w:r>
      <w:r>
        <w:rPr>
          <w:lang w:eastAsia="it-IT"/>
        </w:rPr>
        <w:t xml:space="preserve"> in (</w:t>
      </w:r>
      <w:r w:rsidR="00335CFA">
        <w:rPr>
          <w:lang w:eastAsia="it-IT"/>
        </w:rPr>
        <w:t>0.460</w:t>
      </w:r>
      <w:r>
        <w:rPr>
          <w:lang w:eastAsia="it-IT"/>
        </w:rPr>
        <w:t xml:space="preserve"> m)</w:t>
      </w:r>
      <w:r w:rsidR="00335CFA">
        <w:rPr>
          <w:lang w:eastAsia="it-IT"/>
        </w:rPr>
        <w:t>:</w:t>
      </w:r>
      <w:r>
        <w:rPr>
          <w:lang w:eastAsia="it-IT"/>
        </w:rPr>
        <w:t xml:space="preserve"> </w:t>
      </w:r>
      <w:r w:rsidR="00335CFA">
        <w:rPr>
          <w:lang w:eastAsia="it-IT"/>
        </w:rPr>
        <w:t>i.e.</w:t>
      </w:r>
      <w:r w:rsidR="00831D01">
        <w:rPr>
          <w:lang w:eastAsia="it-IT"/>
        </w:rPr>
        <w:t xml:space="preserve"> </w:t>
      </w:r>
      <w:r w:rsidR="00335CFA">
        <w:rPr>
          <w:lang w:eastAsia="it-IT"/>
        </w:rPr>
        <w:t>a trunk line connecting the production site to a main distribution facility.</w:t>
      </w:r>
    </w:p>
    <w:p w14:paraId="25110426" w14:textId="77777777" w:rsidR="00831D01" w:rsidRDefault="00831D01" w:rsidP="006B3A3F">
      <w:pPr>
        <w:pStyle w:val="CETBodytext"/>
        <w:rPr>
          <w:lang w:eastAsia="it-IT"/>
        </w:rPr>
      </w:pPr>
    </w:p>
    <w:p w14:paraId="75035CE8" w14:textId="74AE2BD9" w:rsidR="00625D63" w:rsidRDefault="007A30E0" w:rsidP="006B3A3F">
      <w:pPr>
        <w:pStyle w:val="CETBodytext"/>
        <w:rPr>
          <w:lang w:eastAsia="it-IT"/>
        </w:rPr>
      </w:pPr>
      <w:r>
        <w:rPr>
          <w:noProof/>
          <w:lang w:eastAsia="it-IT"/>
        </w:rPr>
        <w:drawing>
          <wp:inline distT="0" distB="0" distL="0" distR="0" wp14:anchorId="58D5236F" wp14:editId="13BBEE4D">
            <wp:extent cx="5579745" cy="3138805"/>
            <wp:effectExtent l="0" t="0" r="1905" b="4445"/>
            <wp:docPr id="834661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61007" name="Picture 834661007"/>
                    <pic:cNvPicPr/>
                  </pic:nvPicPr>
                  <pic:blipFill>
                    <a:blip r:embed="rId11"/>
                    <a:stretch>
                      <a:fillRect/>
                    </a:stretch>
                  </pic:blipFill>
                  <pic:spPr>
                    <a:xfrm>
                      <a:off x="0" y="0"/>
                      <a:ext cx="5579745" cy="3138805"/>
                    </a:xfrm>
                    <a:prstGeom prst="rect">
                      <a:avLst/>
                    </a:prstGeom>
                  </pic:spPr>
                </pic:pic>
              </a:graphicData>
            </a:graphic>
          </wp:inline>
        </w:drawing>
      </w:r>
    </w:p>
    <w:p w14:paraId="08A7560B" w14:textId="7DBB4311" w:rsidR="00625D63" w:rsidRDefault="00625D63" w:rsidP="00625D63">
      <w:pPr>
        <w:pStyle w:val="CETCaption"/>
        <w:rPr>
          <w:lang w:eastAsia="it-IT"/>
        </w:rPr>
      </w:pPr>
      <w:r>
        <w:rPr>
          <w:lang w:eastAsia="it-IT"/>
        </w:rPr>
        <w:t xml:space="preserve">Figure 2. Schema of the simulated </w:t>
      </w:r>
      <w:r w:rsidR="00C24286">
        <w:rPr>
          <w:lang w:eastAsia="it-IT"/>
        </w:rPr>
        <w:t>pipeline depressurization</w:t>
      </w:r>
      <w:r>
        <w:rPr>
          <w:lang w:eastAsia="it-IT"/>
        </w:rPr>
        <w:t>.</w:t>
      </w:r>
    </w:p>
    <w:p w14:paraId="1959372D" w14:textId="73D18DE1" w:rsidR="006A2F6D" w:rsidRDefault="006C42A7" w:rsidP="006B3A3F">
      <w:pPr>
        <w:pStyle w:val="CETBodytext"/>
        <w:rPr>
          <w:szCs w:val="18"/>
        </w:rPr>
      </w:pPr>
      <w:r>
        <w:rPr>
          <w:szCs w:val="18"/>
        </w:rPr>
        <w:t xml:space="preserve">This example </w:t>
      </w:r>
      <w:r w:rsidR="00335CFA">
        <w:rPr>
          <w:szCs w:val="18"/>
        </w:rPr>
        <w:t xml:space="preserve">is taken </w:t>
      </w:r>
      <w:r>
        <w:rPr>
          <w:szCs w:val="18"/>
        </w:rPr>
        <w:t>from a re</w:t>
      </w:r>
      <w:r w:rsidR="00831D01">
        <w:rPr>
          <w:szCs w:val="18"/>
        </w:rPr>
        <w:t>cent</w:t>
      </w:r>
      <w:r>
        <w:rPr>
          <w:szCs w:val="18"/>
        </w:rPr>
        <w:t xml:space="preserve"> engineering project</w:t>
      </w:r>
      <w:r w:rsidR="00B10EB6">
        <w:rPr>
          <w:szCs w:val="18"/>
        </w:rPr>
        <w:t>,</w:t>
      </w:r>
      <w:r>
        <w:rPr>
          <w:szCs w:val="18"/>
        </w:rPr>
        <w:t xml:space="preserve"> </w:t>
      </w:r>
      <w:r w:rsidR="00B10EB6">
        <w:rPr>
          <w:szCs w:val="18"/>
        </w:rPr>
        <w:t xml:space="preserve">with </w:t>
      </w:r>
      <w:r w:rsidR="00335CFA">
        <w:rPr>
          <w:szCs w:val="18"/>
        </w:rPr>
        <w:t xml:space="preserve">only </w:t>
      </w:r>
      <w:r>
        <w:rPr>
          <w:szCs w:val="18"/>
        </w:rPr>
        <w:t xml:space="preserve">the pipeline length being </w:t>
      </w:r>
      <w:r w:rsidR="000E31C5">
        <w:rPr>
          <w:szCs w:val="18"/>
        </w:rPr>
        <w:t xml:space="preserve">limited </w:t>
      </w:r>
      <w:r>
        <w:rPr>
          <w:szCs w:val="18"/>
        </w:rPr>
        <w:t xml:space="preserve">to 20 km and </w:t>
      </w:r>
      <w:r w:rsidR="000E31C5">
        <w:rPr>
          <w:szCs w:val="18"/>
        </w:rPr>
        <w:t xml:space="preserve">the </w:t>
      </w:r>
      <w:r>
        <w:rPr>
          <w:szCs w:val="18"/>
        </w:rPr>
        <w:t xml:space="preserve">elevation profile assumed horizontal. </w:t>
      </w:r>
      <w:r w:rsidR="00335CFA">
        <w:rPr>
          <w:szCs w:val="18"/>
        </w:rPr>
        <w:t>The pipeline</w:t>
      </w:r>
      <w:r>
        <w:rPr>
          <w:szCs w:val="18"/>
        </w:rPr>
        <w:t xml:space="preserve"> was designed to transport </w:t>
      </w:r>
      <w:r w:rsidR="002D495E">
        <w:rPr>
          <w:szCs w:val="18"/>
        </w:rPr>
        <w:t xml:space="preserve">nearly </w:t>
      </w:r>
      <w:r>
        <w:rPr>
          <w:szCs w:val="18"/>
        </w:rPr>
        <w:t>300</w:t>
      </w:r>
      <w:r w:rsidR="00335CFA">
        <w:rPr>
          <w:szCs w:val="18"/>
        </w:rPr>
        <w:t>,</w:t>
      </w:r>
      <w:r>
        <w:rPr>
          <w:szCs w:val="18"/>
        </w:rPr>
        <w:t>000 kg/h of natural gas</w:t>
      </w:r>
      <w:r w:rsidR="00E7110D">
        <w:rPr>
          <w:szCs w:val="18"/>
        </w:rPr>
        <w:t xml:space="preserve"> and is buried at 1 m depth</w:t>
      </w:r>
      <w:r>
        <w:rPr>
          <w:szCs w:val="18"/>
        </w:rPr>
        <w:t>.</w:t>
      </w:r>
      <w:r w:rsidR="00297EB6">
        <w:rPr>
          <w:szCs w:val="18"/>
        </w:rPr>
        <w:t xml:space="preserve"> </w:t>
      </w:r>
      <w:r w:rsidR="006B3A3F">
        <w:rPr>
          <w:szCs w:val="18"/>
        </w:rPr>
        <w:t xml:space="preserve">It is assumed that </w:t>
      </w:r>
      <w:r w:rsidR="00E7110D">
        <w:rPr>
          <w:szCs w:val="18"/>
        </w:rPr>
        <w:t>a</w:t>
      </w:r>
      <w:r w:rsidR="006B3A3F">
        <w:rPr>
          <w:szCs w:val="18"/>
        </w:rPr>
        <w:t xml:space="preserve"> leak </w:t>
      </w:r>
      <w:r w:rsidR="00E7110D">
        <w:rPr>
          <w:szCs w:val="18"/>
        </w:rPr>
        <w:t xml:space="preserve">of diameter equal to 50 mm </w:t>
      </w:r>
      <w:r w:rsidR="006B3A3F">
        <w:rPr>
          <w:szCs w:val="18"/>
        </w:rPr>
        <w:t xml:space="preserve">is </w:t>
      </w:r>
      <w:r w:rsidR="00E7110D">
        <w:rPr>
          <w:szCs w:val="18"/>
        </w:rPr>
        <w:t>created</w:t>
      </w:r>
      <w:r w:rsidR="006B3A3F">
        <w:rPr>
          <w:szCs w:val="18"/>
        </w:rPr>
        <w:t xml:space="preserve"> at a distance of 15 km</w:t>
      </w:r>
      <w:r w:rsidR="001D38FF">
        <w:rPr>
          <w:szCs w:val="18"/>
        </w:rPr>
        <w:t xml:space="preserve"> from the </w:t>
      </w:r>
      <w:r w:rsidR="00E7110D">
        <w:rPr>
          <w:szCs w:val="18"/>
        </w:rPr>
        <w:t>initial point</w:t>
      </w:r>
      <w:r w:rsidR="006B3A3F">
        <w:rPr>
          <w:szCs w:val="18"/>
        </w:rPr>
        <w:t xml:space="preserve">. The depressurization is analyzed by considering </w:t>
      </w:r>
      <w:r w:rsidR="005550B1">
        <w:rPr>
          <w:szCs w:val="18"/>
        </w:rPr>
        <w:t xml:space="preserve">different fluid compositions: the </w:t>
      </w:r>
      <w:r w:rsidR="00E7110D">
        <w:rPr>
          <w:szCs w:val="18"/>
        </w:rPr>
        <w:t xml:space="preserve">first </w:t>
      </w:r>
      <w:r w:rsidR="005550B1">
        <w:rPr>
          <w:szCs w:val="18"/>
        </w:rPr>
        <w:t xml:space="preserve">one </w:t>
      </w:r>
      <w:r w:rsidR="00297EB6">
        <w:rPr>
          <w:szCs w:val="18"/>
        </w:rPr>
        <w:t xml:space="preserve">is </w:t>
      </w:r>
      <w:r w:rsidR="005550B1">
        <w:rPr>
          <w:szCs w:val="18"/>
        </w:rPr>
        <w:t>natural gas only</w:t>
      </w:r>
      <w:r w:rsidR="00297EB6">
        <w:rPr>
          <w:szCs w:val="18"/>
        </w:rPr>
        <w:t xml:space="preserve">, while </w:t>
      </w:r>
      <w:r w:rsidR="00E7110D">
        <w:rPr>
          <w:szCs w:val="18"/>
        </w:rPr>
        <w:t xml:space="preserve">three </w:t>
      </w:r>
      <w:r w:rsidR="005550B1">
        <w:rPr>
          <w:szCs w:val="18"/>
        </w:rPr>
        <w:t>other</w:t>
      </w:r>
      <w:r w:rsidR="00297EB6">
        <w:rPr>
          <w:szCs w:val="18"/>
        </w:rPr>
        <w:t xml:space="preserve">s have </w:t>
      </w:r>
      <w:r w:rsidR="005550B1">
        <w:rPr>
          <w:szCs w:val="18"/>
        </w:rPr>
        <w:t>increasing amounts of hydrogen: 2.5</w:t>
      </w:r>
      <w:r w:rsidR="0030473E">
        <w:rPr>
          <w:szCs w:val="18"/>
        </w:rPr>
        <w:t xml:space="preserve"> </w:t>
      </w:r>
      <w:r w:rsidR="00494794">
        <w:rPr>
          <w:szCs w:val="18"/>
        </w:rPr>
        <w:t>%</w:t>
      </w:r>
      <w:r w:rsidR="005550B1">
        <w:rPr>
          <w:szCs w:val="18"/>
        </w:rPr>
        <w:t>, 5</w:t>
      </w:r>
      <w:r w:rsidR="0030473E">
        <w:rPr>
          <w:szCs w:val="18"/>
        </w:rPr>
        <w:t xml:space="preserve"> </w:t>
      </w:r>
      <w:r w:rsidR="00494794">
        <w:rPr>
          <w:szCs w:val="18"/>
        </w:rPr>
        <w:t>%</w:t>
      </w:r>
      <w:r w:rsidR="005550B1">
        <w:rPr>
          <w:szCs w:val="18"/>
        </w:rPr>
        <w:t>, and 10</w:t>
      </w:r>
      <w:r w:rsidR="0030473E">
        <w:rPr>
          <w:szCs w:val="18"/>
        </w:rPr>
        <w:t xml:space="preserve"> </w:t>
      </w:r>
      <w:r w:rsidR="005550B1">
        <w:rPr>
          <w:szCs w:val="18"/>
        </w:rPr>
        <w:t>% of the molar flow rate</w:t>
      </w:r>
      <w:r w:rsidR="00297EB6">
        <w:rPr>
          <w:szCs w:val="18"/>
        </w:rPr>
        <w:t xml:space="preserve">. </w:t>
      </w:r>
      <w:r w:rsidR="005550B1">
        <w:rPr>
          <w:szCs w:val="18"/>
        </w:rPr>
        <w:t xml:space="preserve">The external ambient temperature is </w:t>
      </w:r>
      <w:r w:rsidR="00297EB6">
        <w:rPr>
          <w:szCs w:val="18"/>
        </w:rPr>
        <w:t xml:space="preserve">taken </w:t>
      </w:r>
      <w:r w:rsidR="005550B1">
        <w:rPr>
          <w:szCs w:val="18"/>
        </w:rPr>
        <w:t>to be 20 °C and t</w:t>
      </w:r>
      <w:r w:rsidR="006B3A3F">
        <w:rPr>
          <w:szCs w:val="18"/>
        </w:rPr>
        <w:t xml:space="preserve">he heat </w:t>
      </w:r>
      <w:r w:rsidR="00E7110D">
        <w:rPr>
          <w:szCs w:val="18"/>
        </w:rPr>
        <w:t xml:space="preserve">exchanged </w:t>
      </w:r>
      <w:r w:rsidR="006B3A3F">
        <w:rPr>
          <w:szCs w:val="18"/>
        </w:rPr>
        <w:t xml:space="preserve">between the flowing fluid and the external is fully modeled taking into account the metal conductivity and </w:t>
      </w:r>
      <w:r w:rsidR="005550B1">
        <w:rPr>
          <w:szCs w:val="18"/>
        </w:rPr>
        <w:t xml:space="preserve">the </w:t>
      </w:r>
      <w:r w:rsidR="006B3A3F">
        <w:rPr>
          <w:szCs w:val="18"/>
        </w:rPr>
        <w:t>soil properties (density, conductivity</w:t>
      </w:r>
      <w:r w:rsidR="005550B1">
        <w:rPr>
          <w:szCs w:val="18"/>
        </w:rPr>
        <w:t>,</w:t>
      </w:r>
      <w:r w:rsidR="006B3A3F">
        <w:rPr>
          <w:szCs w:val="18"/>
        </w:rPr>
        <w:t xml:space="preserve"> and heat</w:t>
      </w:r>
      <w:r w:rsidR="005550B1">
        <w:rPr>
          <w:szCs w:val="18"/>
        </w:rPr>
        <w:t xml:space="preserve"> </w:t>
      </w:r>
      <w:r w:rsidR="006B3A3F">
        <w:rPr>
          <w:szCs w:val="18"/>
        </w:rPr>
        <w:t>capacity</w:t>
      </w:r>
      <w:r w:rsidR="00297EB6">
        <w:rPr>
          <w:szCs w:val="18"/>
        </w:rPr>
        <w:t xml:space="preserve">). </w:t>
      </w:r>
      <w:r w:rsidR="00E7110D">
        <w:rPr>
          <w:szCs w:val="18"/>
        </w:rPr>
        <w:t>T</w:t>
      </w:r>
      <w:r w:rsidR="006B3A3F">
        <w:rPr>
          <w:szCs w:val="18"/>
        </w:rPr>
        <w:t>he global heat transfer coefficient is found to be around 1.</w:t>
      </w:r>
      <w:r w:rsidR="008A2F3E">
        <w:rPr>
          <w:szCs w:val="18"/>
        </w:rPr>
        <w:t>55</w:t>
      </w:r>
      <w:r w:rsidR="006B3A3F">
        <w:rPr>
          <w:szCs w:val="18"/>
        </w:rPr>
        <w:t xml:space="preserve"> W/m</w:t>
      </w:r>
      <w:r w:rsidR="006B3A3F" w:rsidRPr="0013334F">
        <w:rPr>
          <w:sz w:val="12"/>
          <w:szCs w:val="12"/>
          <w:vertAlign w:val="superscript"/>
        </w:rPr>
        <w:t>2</w:t>
      </w:r>
      <w:r>
        <w:rPr>
          <w:sz w:val="12"/>
          <w:szCs w:val="12"/>
          <w:vertAlign w:val="superscript"/>
        </w:rPr>
        <w:t xml:space="preserve"> </w:t>
      </w:r>
      <w:r w:rsidR="006B3A3F">
        <w:rPr>
          <w:szCs w:val="18"/>
        </w:rPr>
        <w:t>°C. The temperature profile across the pipeline metal wall, soil layers</w:t>
      </w:r>
      <w:r w:rsidR="00831D01">
        <w:rPr>
          <w:szCs w:val="18"/>
        </w:rPr>
        <w:t>,</w:t>
      </w:r>
      <w:r w:rsidR="006B3A3F">
        <w:rPr>
          <w:szCs w:val="18"/>
        </w:rPr>
        <w:t xml:space="preserve"> and ambient</w:t>
      </w:r>
      <w:r w:rsidR="00C63A77">
        <w:rPr>
          <w:szCs w:val="18"/>
        </w:rPr>
        <w:t>,</w:t>
      </w:r>
      <w:r w:rsidR="006B3A3F">
        <w:rPr>
          <w:szCs w:val="18"/>
        </w:rPr>
        <w:t xml:space="preserve"> is calculated at each time step for each pipeline segment used to solve the finite volume equations. One of the main points is the calculation of the change of fluid temperatures associated </w:t>
      </w:r>
      <w:r w:rsidR="00831D01">
        <w:rPr>
          <w:szCs w:val="18"/>
        </w:rPr>
        <w:t>with</w:t>
      </w:r>
      <w:r w:rsidR="006B3A3F">
        <w:rPr>
          <w:szCs w:val="18"/>
        </w:rPr>
        <w:t xml:space="preserve"> </w:t>
      </w:r>
      <w:r w:rsidR="00831D01">
        <w:rPr>
          <w:szCs w:val="18"/>
        </w:rPr>
        <w:t xml:space="preserve">the </w:t>
      </w:r>
      <w:r w:rsidR="006B3A3F">
        <w:rPr>
          <w:szCs w:val="18"/>
        </w:rPr>
        <w:t>Joule-Thomson effects when the internal fluid is subject to a fast depressurization.</w:t>
      </w:r>
      <w:r w:rsidR="00E65799">
        <w:rPr>
          <w:szCs w:val="18"/>
        </w:rPr>
        <w:t xml:space="preserve"> </w:t>
      </w:r>
      <w:r w:rsidR="00800D5F">
        <w:rPr>
          <w:szCs w:val="18"/>
        </w:rPr>
        <w:t>For the compositions considered in this study, a</w:t>
      </w:r>
      <w:r w:rsidR="00B10EB6">
        <w:rPr>
          <w:szCs w:val="18"/>
        </w:rPr>
        <w:t xml:space="preserve"> </w:t>
      </w:r>
      <w:r w:rsidR="00800D5F">
        <w:rPr>
          <w:szCs w:val="18"/>
        </w:rPr>
        <w:t xml:space="preserve">liquid </w:t>
      </w:r>
      <w:r w:rsidR="00B10EB6">
        <w:rPr>
          <w:szCs w:val="18"/>
        </w:rPr>
        <w:t xml:space="preserve">phase would appear only </w:t>
      </w:r>
      <w:r w:rsidR="00800D5F">
        <w:rPr>
          <w:szCs w:val="18"/>
        </w:rPr>
        <w:t xml:space="preserve">when </w:t>
      </w:r>
      <w:r w:rsidR="00B10EB6">
        <w:rPr>
          <w:szCs w:val="18"/>
        </w:rPr>
        <w:t xml:space="preserve">the natural gas contains a significant </w:t>
      </w:r>
      <w:r w:rsidR="00A35638">
        <w:rPr>
          <w:szCs w:val="18"/>
        </w:rPr>
        <w:t>fraction</w:t>
      </w:r>
      <w:r w:rsidR="00B10EB6">
        <w:rPr>
          <w:szCs w:val="18"/>
        </w:rPr>
        <w:t xml:space="preserve"> of heavier hydrocarbons up to the C7+ fraction. </w:t>
      </w:r>
      <w:r w:rsidR="006B3A3F">
        <w:rPr>
          <w:szCs w:val="18"/>
        </w:rPr>
        <w:t xml:space="preserve">The two-phase flow algorithms are based on the numerical developments presented by the author in </w:t>
      </w:r>
      <w:r w:rsidR="006A2F6D">
        <w:rPr>
          <w:szCs w:val="18"/>
        </w:rPr>
        <w:t xml:space="preserve">previous </w:t>
      </w:r>
      <w:r w:rsidR="006B3A3F">
        <w:rPr>
          <w:szCs w:val="18"/>
        </w:rPr>
        <w:t>studies (Raimondi, 2017) for the depressurization of pipelines.</w:t>
      </w:r>
      <w:r w:rsidR="006A2F6D">
        <w:rPr>
          <w:szCs w:val="18"/>
        </w:rPr>
        <w:t xml:space="preserve"> </w:t>
      </w:r>
      <w:r w:rsidR="006B3A3F">
        <w:rPr>
          <w:szCs w:val="18"/>
        </w:rPr>
        <w:t xml:space="preserve">The </w:t>
      </w:r>
      <w:r w:rsidR="00800D5F">
        <w:rPr>
          <w:szCs w:val="18"/>
        </w:rPr>
        <w:t xml:space="preserve">numerical </w:t>
      </w:r>
      <w:r w:rsidR="006B3A3F">
        <w:rPr>
          <w:szCs w:val="18"/>
        </w:rPr>
        <w:t xml:space="preserve">algorithms are based on the </w:t>
      </w:r>
      <w:r w:rsidR="006B3A3F">
        <w:rPr>
          <w:szCs w:val="18"/>
        </w:rPr>
        <w:lastRenderedPageBreak/>
        <w:t xml:space="preserve">solution of the Navier-Stokes equations using a volume-of-fluid (VOF) schema and a compositional model </w:t>
      </w:r>
      <w:r w:rsidR="00B10EB6">
        <w:rPr>
          <w:szCs w:val="18"/>
        </w:rPr>
        <w:t xml:space="preserve">that </w:t>
      </w:r>
      <w:r w:rsidR="006B3A3F">
        <w:rPr>
          <w:szCs w:val="18"/>
        </w:rPr>
        <w:t xml:space="preserve">can track changes </w:t>
      </w:r>
      <w:r w:rsidR="00B10EB6">
        <w:rPr>
          <w:szCs w:val="18"/>
        </w:rPr>
        <w:t>in</w:t>
      </w:r>
      <w:r w:rsidR="006B3A3F">
        <w:rPr>
          <w:szCs w:val="18"/>
        </w:rPr>
        <w:t xml:space="preserve"> fluid composition, as well as the formation and evolution of liquid waves along the pipeline distance and time. </w:t>
      </w:r>
      <w:r w:rsidR="00B10EB6">
        <w:rPr>
          <w:szCs w:val="18"/>
        </w:rPr>
        <w:t xml:space="preserve">The reliability of the results was already </w:t>
      </w:r>
      <w:r w:rsidR="003B608D">
        <w:rPr>
          <w:szCs w:val="18"/>
        </w:rPr>
        <w:t>discussed</w:t>
      </w:r>
      <w:r w:rsidR="00B10EB6">
        <w:rPr>
          <w:szCs w:val="18"/>
        </w:rPr>
        <w:t xml:space="preserve"> in a previous </w:t>
      </w:r>
      <w:r w:rsidR="003B608D">
        <w:rPr>
          <w:szCs w:val="18"/>
        </w:rPr>
        <w:t xml:space="preserve">study </w:t>
      </w:r>
      <w:r w:rsidR="006B3A3F">
        <w:rPr>
          <w:szCs w:val="18"/>
        </w:rPr>
        <w:t xml:space="preserve">(Raimondi, 2017) </w:t>
      </w:r>
      <w:r w:rsidR="00B10EB6">
        <w:rPr>
          <w:szCs w:val="18"/>
        </w:rPr>
        <w:t xml:space="preserve">where calculated results were compared with experimental data </w:t>
      </w:r>
      <w:r w:rsidR="006B3A3F">
        <w:rPr>
          <w:szCs w:val="18"/>
        </w:rPr>
        <w:t>for the ‘Isle of Grain’ LPG depressurization (Richardson and Saville, 1996).</w:t>
      </w:r>
      <w:r w:rsidR="006A2F6D">
        <w:rPr>
          <w:szCs w:val="18"/>
        </w:rPr>
        <w:t xml:space="preserve"> An example of the depressurization of carbon dioxide has been presented recently in this journal (Raimondi, 2022). </w:t>
      </w:r>
      <w:r w:rsidR="006B3A3F">
        <w:rPr>
          <w:szCs w:val="18"/>
        </w:rPr>
        <w:t>The initial pipeline status is</w:t>
      </w:r>
      <w:r w:rsidR="006A2F6D">
        <w:rPr>
          <w:szCs w:val="18"/>
        </w:rPr>
        <w:t xml:space="preserve"> </w:t>
      </w:r>
      <w:r w:rsidR="006B3A3F">
        <w:rPr>
          <w:szCs w:val="18"/>
        </w:rPr>
        <w:t xml:space="preserve">defined by a steady state simulation </w:t>
      </w:r>
      <w:r w:rsidR="0013334F">
        <w:rPr>
          <w:szCs w:val="18"/>
        </w:rPr>
        <w:t xml:space="preserve">with an inlet pressure of 220 bar and </w:t>
      </w:r>
      <w:r w:rsidR="006A2F6D">
        <w:rPr>
          <w:szCs w:val="18"/>
        </w:rPr>
        <w:t xml:space="preserve">a </w:t>
      </w:r>
      <w:r w:rsidR="0013334F">
        <w:rPr>
          <w:szCs w:val="18"/>
        </w:rPr>
        <w:t xml:space="preserve">temperature </w:t>
      </w:r>
      <w:r w:rsidR="003B6C1F">
        <w:rPr>
          <w:szCs w:val="18"/>
        </w:rPr>
        <w:t xml:space="preserve">of </w:t>
      </w:r>
      <w:r w:rsidR="0013334F">
        <w:rPr>
          <w:szCs w:val="18"/>
        </w:rPr>
        <w:t>2</w:t>
      </w:r>
      <w:r w:rsidR="00B10EB6">
        <w:rPr>
          <w:szCs w:val="18"/>
        </w:rPr>
        <w:t>0</w:t>
      </w:r>
      <w:r w:rsidR="0013334F">
        <w:rPr>
          <w:szCs w:val="18"/>
        </w:rPr>
        <w:t xml:space="preserve"> °C. </w:t>
      </w:r>
      <w:r w:rsidR="00B10EB6">
        <w:rPr>
          <w:szCs w:val="18"/>
        </w:rPr>
        <w:t>A</w:t>
      </w:r>
      <w:r w:rsidR="006B3A3F">
        <w:rPr>
          <w:szCs w:val="18"/>
        </w:rPr>
        <w:t xml:space="preserve">ll cases assume that the leak </w:t>
      </w:r>
      <w:r w:rsidR="008A2F3E">
        <w:rPr>
          <w:szCs w:val="18"/>
        </w:rPr>
        <w:t>occurs</w:t>
      </w:r>
      <w:r w:rsidR="006B3A3F">
        <w:rPr>
          <w:szCs w:val="18"/>
        </w:rPr>
        <w:t xml:space="preserve"> 1 hour after the initial </w:t>
      </w:r>
      <w:r w:rsidR="0013334F">
        <w:rPr>
          <w:szCs w:val="18"/>
        </w:rPr>
        <w:t xml:space="preserve">simulation </w:t>
      </w:r>
      <w:r w:rsidR="006B3A3F">
        <w:rPr>
          <w:szCs w:val="18"/>
        </w:rPr>
        <w:t>time</w:t>
      </w:r>
      <w:r w:rsidR="00B10EB6">
        <w:rPr>
          <w:szCs w:val="18"/>
        </w:rPr>
        <w:t xml:space="preserve">, </w:t>
      </w:r>
      <w:r w:rsidR="006B3A3F">
        <w:rPr>
          <w:szCs w:val="18"/>
        </w:rPr>
        <w:t xml:space="preserve">and is detected </w:t>
      </w:r>
      <w:r w:rsidR="0013334F">
        <w:rPr>
          <w:szCs w:val="18"/>
        </w:rPr>
        <w:t xml:space="preserve">10 minutes </w:t>
      </w:r>
      <w:r w:rsidR="008A2F3E">
        <w:rPr>
          <w:szCs w:val="18"/>
        </w:rPr>
        <w:t xml:space="preserve">later </w:t>
      </w:r>
      <w:r w:rsidR="0013334F">
        <w:rPr>
          <w:szCs w:val="18"/>
        </w:rPr>
        <w:t>when the inlet and outlet valves are closed.</w:t>
      </w:r>
      <w:r w:rsidR="006A2F6D">
        <w:rPr>
          <w:szCs w:val="18"/>
        </w:rPr>
        <w:t xml:space="preserve"> </w:t>
      </w:r>
      <w:r w:rsidR="00CB5E51">
        <w:rPr>
          <w:szCs w:val="18"/>
        </w:rPr>
        <w:t xml:space="preserve">The history of the pipeline depressurization is shown </w:t>
      </w:r>
      <w:r w:rsidR="006A2F6D">
        <w:rPr>
          <w:szCs w:val="18"/>
        </w:rPr>
        <w:t>in</w:t>
      </w:r>
      <w:r w:rsidR="00CB5E51">
        <w:rPr>
          <w:szCs w:val="18"/>
        </w:rPr>
        <w:t xml:space="preserve"> Figure 3</w:t>
      </w:r>
      <w:r w:rsidR="003B6C1F">
        <w:rPr>
          <w:szCs w:val="18"/>
        </w:rPr>
        <w:t>, where the pipeline inventory and the leak flow rate are presented</w:t>
      </w:r>
      <w:r w:rsidR="00CB5E51">
        <w:rPr>
          <w:szCs w:val="18"/>
        </w:rPr>
        <w:t>.</w:t>
      </w:r>
    </w:p>
    <w:p w14:paraId="2423DF65" w14:textId="77777777" w:rsidR="005B2284" w:rsidRDefault="005B2284" w:rsidP="006B3A3F">
      <w:pPr>
        <w:pStyle w:val="CETBodytext"/>
        <w:rPr>
          <w:szCs w:val="18"/>
        </w:rPr>
      </w:pPr>
    </w:p>
    <w:p w14:paraId="205D2900" w14:textId="563D1C30" w:rsidR="007E04F7" w:rsidRDefault="007E04F7" w:rsidP="005B2284">
      <w:pPr>
        <w:tabs>
          <w:tab w:val="clear" w:pos="7100"/>
        </w:tabs>
        <w:spacing w:after="200" w:line="276" w:lineRule="auto"/>
        <w:jc w:val="left"/>
        <w:rPr>
          <w:lang w:eastAsia="it-IT"/>
        </w:rPr>
      </w:pPr>
      <w:r>
        <w:rPr>
          <w:noProof/>
          <w:lang w:eastAsia="it-IT"/>
        </w:rPr>
        <w:drawing>
          <wp:inline distT="0" distB="0" distL="0" distR="0" wp14:anchorId="41E7FFD2" wp14:editId="61D3779B">
            <wp:extent cx="2567735" cy="2282190"/>
            <wp:effectExtent l="0" t="0" r="4445" b="3810"/>
            <wp:docPr id="1237481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81895" name="Picture 1237481895"/>
                    <pic:cNvPicPr/>
                  </pic:nvPicPr>
                  <pic:blipFill>
                    <a:blip r:embed="rId12"/>
                    <a:stretch>
                      <a:fillRect/>
                    </a:stretch>
                  </pic:blipFill>
                  <pic:spPr>
                    <a:xfrm>
                      <a:off x="0" y="0"/>
                      <a:ext cx="2588074" cy="2300268"/>
                    </a:xfrm>
                    <a:prstGeom prst="rect">
                      <a:avLst/>
                    </a:prstGeom>
                  </pic:spPr>
                </pic:pic>
              </a:graphicData>
            </a:graphic>
          </wp:inline>
        </w:drawing>
      </w:r>
      <w:r>
        <w:rPr>
          <w:noProof/>
          <w:lang w:eastAsia="it-IT"/>
        </w:rPr>
        <w:drawing>
          <wp:inline distT="0" distB="0" distL="0" distR="0" wp14:anchorId="5215A669" wp14:editId="6512874E">
            <wp:extent cx="2967355" cy="2253849"/>
            <wp:effectExtent l="0" t="0" r="4445" b="0"/>
            <wp:docPr id="1720876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76786" name="Picture 1720876786"/>
                    <pic:cNvPicPr/>
                  </pic:nvPicPr>
                  <pic:blipFill>
                    <a:blip r:embed="rId13"/>
                    <a:stretch>
                      <a:fillRect/>
                    </a:stretch>
                  </pic:blipFill>
                  <pic:spPr>
                    <a:xfrm>
                      <a:off x="0" y="0"/>
                      <a:ext cx="3017299" cy="2291784"/>
                    </a:xfrm>
                    <a:prstGeom prst="rect">
                      <a:avLst/>
                    </a:prstGeom>
                  </pic:spPr>
                </pic:pic>
              </a:graphicData>
            </a:graphic>
          </wp:inline>
        </w:drawing>
      </w:r>
    </w:p>
    <w:p w14:paraId="52C4D67A" w14:textId="0C50CD14" w:rsidR="006313BB" w:rsidRDefault="00CB5E51" w:rsidP="006313BB">
      <w:pPr>
        <w:pStyle w:val="CETCaption"/>
        <w:rPr>
          <w:lang w:eastAsia="it-IT"/>
        </w:rPr>
      </w:pPr>
      <w:r w:rsidRPr="006313BB">
        <w:rPr>
          <w:lang w:eastAsia="it-IT"/>
        </w:rPr>
        <w:t xml:space="preserve">Figure </w:t>
      </w:r>
      <w:r w:rsidR="00A64B32">
        <w:rPr>
          <w:lang w:eastAsia="it-IT"/>
        </w:rPr>
        <w:t>3</w:t>
      </w:r>
      <w:r w:rsidR="006313BB">
        <w:rPr>
          <w:lang w:eastAsia="it-IT"/>
        </w:rPr>
        <w:t xml:space="preserve">. Pipeline </w:t>
      </w:r>
      <w:r w:rsidR="007E04F7">
        <w:rPr>
          <w:lang w:eastAsia="it-IT"/>
        </w:rPr>
        <w:t>inventory</w:t>
      </w:r>
      <w:r w:rsidR="006313BB">
        <w:rPr>
          <w:lang w:eastAsia="it-IT"/>
        </w:rPr>
        <w:t xml:space="preserve"> and leak flow</w:t>
      </w:r>
      <w:r w:rsidR="00F96414">
        <w:rPr>
          <w:lang w:eastAsia="it-IT"/>
        </w:rPr>
        <w:t xml:space="preserve"> </w:t>
      </w:r>
      <w:r w:rsidR="006313BB">
        <w:rPr>
          <w:lang w:eastAsia="it-IT"/>
        </w:rPr>
        <w:t>rates. Curves: (</w:t>
      </w:r>
      <w:r w:rsidR="006313BB" w:rsidRPr="0089342B">
        <w:rPr>
          <w:b/>
          <w:bCs/>
          <w:i w:val="0"/>
          <w:iCs/>
          <w:color w:val="0070C0"/>
          <w:lang w:eastAsia="it-IT"/>
        </w:rPr>
        <w:t>X</w:t>
      </w:r>
      <w:r w:rsidR="006313BB">
        <w:rPr>
          <w:rFonts w:cs="Arial"/>
          <w:lang w:eastAsia="it-IT"/>
        </w:rPr>
        <w:t>)</w:t>
      </w:r>
      <w:r w:rsidR="006313BB">
        <w:rPr>
          <w:lang w:eastAsia="it-IT"/>
        </w:rPr>
        <w:t xml:space="preserve"> Natural gas, (</w:t>
      </w:r>
      <w:r w:rsidR="006313BB" w:rsidRPr="0089342B">
        <w:rPr>
          <w:rFonts w:cs="Arial"/>
          <w:b/>
          <w:bCs/>
          <w:i w:val="0"/>
          <w:iCs/>
          <w:color w:val="FF0000"/>
          <w:lang w:eastAsia="it-IT"/>
        </w:rPr>
        <w:t>Δ</w:t>
      </w:r>
      <w:r w:rsidR="006313BB">
        <w:rPr>
          <w:lang w:eastAsia="it-IT"/>
        </w:rPr>
        <w:t>) H2 2.5%, (</w:t>
      </w:r>
      <w:r w:rsidR="00CD11AA" w:rsidRPr="0089342B">
        <w:rPr>
          <w:rFonts w:cs="Arial"/>
          <w:color w:val="00B050"/>
          <w:lang w:eastAsia="it-IT"/>
        </w:rPr>
        <w:t>◊</w:t>
      </w:r>
      <w:r w:rsidR="006313BB">
        <w:rPr>
          <w:lang w:eastAsia="it-IT"/>
        </w:rPr>
        <w:t xml:space="preserve">) H2 5%, </w:t>
      </w:r>
      <w:r w:rsidR="006313BB" w:rsidRPr="0089342B">
        <w:rPr>
          <w:lang w:eastAsia="it-IT"/>
        </w:rPr>
        <w:t>(</w:t>
      </w:r>
      <w:r w:rsidR="00CD11AA" w:rsidRPr="0089342B">
        <w:rPr>
          <w:rFonts w:cs="Arial"/>
          <w:lang w:eastAsia="it-IT"/>
        </w:rPr>
        <w:t>■</w:t>
      </w:r>
      <w:r w:rsidR="006313BB" w:rsidRPr="0089342B">
        <w:rPr>
          <w:lang w:eastAsia="it-IT"/>
        </w:rPr>
        <w:t xml:space="preserve">) </w:t>
      </w:r>
      <w:r w:rsidR="006313BB">
        <w:rPr>
          <w:lang w:eastAsia="it-IT"/>
        </w:rPr>
        <w:t>H2 10%.</w:t>
      </w:r>
    </w:p>
    <w:p w14:paraId="74C164B2" w14:textId="66DA23B6" w:rsidR="00AA1382" w:rsidRDefault="006A6D94" w:rsidP="00AA1382">
      <w:pPr>
        <w:pStyle w:val="CETBodytext"/>
        <w:rPr>
          <w:szCs w:val="18"/>
        </w:rPr>
      </w:pPr>
      <w:r>
        <w:rPr>
          <w:szCs w:val="18"/>
        </w:rPr>
        <w:t>The simulation can catch many details at the various pipeline segments.</w:t>
      </w:r>
      <w:r w:rsidR="00743168">
        <w:rPr>
          <w:szCs w:val="18"/>
        </w:rPr>
        <w:t xml:space="preserve"> </w:t>
      </w:r>
      <w:r w:rsidR="008F2980">
        <w:rPr>
          <w:szCs w:val="18"/>
        </w:rPr>
        <w:t xml:space="preserve">For all cases examined the complete depressurization is reached </w:t>
      </w:r>
      <w:r w:rsidR="00D77CE8">
        <w:rPr>
          <w:szCs w:val="18"/>
        </w:rPr>
        <w:t xml:space="preserve">around </w:t>
      </w:r>
      <w:r w:rsidR="008F2980">
        <w:rPr>
          <w:szCs w:val="18"/>
        </w:rPr>
        <w:t>9 hours after the leak occurrence.</w:t>
      </w:r>
      <w:r w:rsidR="00D77CE8">
        <w:rPr>
          <w:szCs w:val="18"/>
        </w:rPr>
        <w:t xml:space="preserve"> </w:t>
      </w:r>
      <w:r w:rsidR="00B66BE0">
        <w:rPr>
          <w:szCs w:val="18"/>
        </w:rPr>
        <w:t>The discharge of the fluid through the leak is always at sonic conditions</w:t>
      </w:r>
      <w:r w:rsidR="00D77CE8">
        <w:rPr>
          <w:szCs w:val="18"/>
        </w:rPr>
        <w:t xml:space="preserve"> due to the high internal pressure vs ambient pressure ratio</w:t>
      </w:r>
      <w:r w:rsidR="00B66BE0">
        <w:rPr>
          <w:szCs w:val="18"/>
        </w:rPr>
        <w:t xml:space="preserve">. Sonic velocity </w:t>
      </w:r>
      <w:r w:rsidR="008F2980">
        <w:rPr>
          <w:szCs w:val="18"/>
        </w:rPr>
        <w:t>does</w:t>
      </w:r>
      <w:r w:rsidR="00B66BE0">
        <w:rPr>
          <w:szCs w:val="18"/>
        </w:rPr>
        <w:t xml:space="preserve"> not chang</w:t>
      </w:r>
      <w:r w:rsidR="008F2980">
        <w:rPr>
          <w:szCs w:val="18"/>
        </w:rPr>
        <w:t>e</w:t>
      </w:r>
      <w:r w:rsidR="00B66BE0">
        <w:rPr>
          <w:szCs w:val="18"/>
        </w:rPr>
        <w:t xml:space="preserve"> significantly with the fraction of hydrogen. For the pure NG case, the maximum sonic velocity is reached at the initial pressure</w:t>
      </w:r>
      <w:r w:rsidR="00D77CE8">
        <w:rPr>
          <w:szCs w:val="18"/>
        </w:rPr>
        <w:t>,</w:t>
      </w:r>
      <w:r w:rsidR="00B66BE0">
        <w:rPr>
          <w:szCs w:val="18"/>
        </w:rPr>
        <w:t xml:space="preserve"> with an average value of 560 m/s</w:t>
      </w:r>
      <w:r w:rsidR="00D77CE8">
        <w:rPr>
          <w:szCs w:val="18"/>
        </w:rPr>
        <w:t>,</w:t>
      </w:r>
      <w:r w:rsidR="00B66BE0">
        <w:rPr>
          <w:szCs w:val="18"/>
        </w:rPr>
        <w:t xml:space="preserve"> which decreases to 440 m/s at the end of the depressurization. For the 10</w:t>
      </w:r>
      <w:r w:rsidR="0030473E">
        <w:rPr>
          <w:szCs w:val="18"/>
        </w:rPr>
        <w:t xml:space="preserve"> </w:t>
      </w:r>
      <w:r w:rsidR="00B66BE0">
        <w:rPr>
          <w:szCs w:val="18"/>
        </w:rPr>
        <w:t xml:space="preserve">% hydrogen mixture, the maximum sonic velocity is 565 m/s at initial conditions and the final value is 465 m/s. Fluid temperatures decrease during the </w:t>
      </w:r>
      <w:r w:rsidR="005B7362">
        <w:rPr>
          <w:szCs w:val="18"/>
        </w:rPr>
        <w:t>depressurization as expected but the values reached are never too low to create fragility problems for the pipeline metal.</w:t>
      </w:r>
      <w:r w:rsidR="00062563">
        <w:rPr>
          <w:szCs w:val="18"/>
        </w:rPr>
        <w:t xml:space="preserve"> </w:t>
      </w:r>
      <w:r>
        <w:rPr>
          <w:szCs w:val="18"/>
        </w:rPr>
        <w:t xml:space="preserve">For the cases simulated the minimum temperatures are </w:t>
      </w:r>
      <w:r w:rsidR="00E427F6">
        <w:rPr>
          <w:szCs w:val="18"/>
        </w:rPr>
        <w:t xml:space="preserve">around -10°C and are </w:t>
      </w:r>
      <w:r>
        <w:rPr>
          <w:szCs w:val="18"/>
        </w:rPr>
        <w:t xml:space="preserve">obtained at the outlet segment of the pipeline. Figure </w:t>
      </w:r>
      <w:r w:rsidR="00A64B32">
        <w:rPr>
          <w:szCs w:val="18"/>
        </w:rPr>
        <w:t>4</w:t>
      </w:r>
      <w:r>
        <w:rPr>
          <w:szCs w:val="18"/>
        </w:rPr>
        <w:t xml:space="preserve"> shows the temperature history at the outlet section for the NG </w:t>
      </w:r>
      <w:r w:rsidR="000A6A42">
        <w:rPr>
          <w:szCs w:val="18"/>
        </w:rPr>
        <w:t xml:space="preserve">case </w:t>
      </w:r>
      <w:r>
        <w:rPr>
          <w:szCs w:val="18"/>
        </w:rPr>
        <w:t>and one hydrogen mixture (</w:t>
      </w:r>
      <w:r w:rsidR="0078438A">
        <w:rPr>
          <w:szCs w:val="18"/>
        </w:rPr>
        <w:t xml:space="preserve">10 </w:t>
      </w:r>
      <w:r>
        <w:rPr>
          <w:szCs w:val="18"/>
        </w:rPr>
        <w:t>%) depressurization.</w:t>
      </w:r>
      <w:r w:rsidR="00AA1382">
        <w:rPr>
          <w:szCs w:val="18"/>
        </w:rPr>
        <w:t xml:space="preserve"> One can notice in this figure the pressure wave generated by the leak formation which is reflected by the sharp oscillation of fluid temperature.</w:t>
      </w:r>
    </w:p>
    <w:p w14:paraId="6054EFD5" w14:textId="4B684399" w:rsidR="00A64B32" w:rsidRDefault="00A64B32" w:rsidP="00CB5E51">
      <w:pPr>
        <w:pStyle w:val="CETBodytext"/>
        <w:rPr>
          <w:szCs w:val="18"/>
        </w:rPr>
      </w:pPr>
      <w:r>
        <w:rPr>
          <w:noProof/>
          <w:szCs w:val="18"/>
        </w:rPr>
        <w:lastRenderedPageBreak/>
        <w:drawing>
          <wp:inline distT="0" distB="0" distL="0" distR="0" wp14:anchorId="79F614FA" wp14:editId="5492AF2E">
            <wp:extent cx="4102100" cy="2829501"/>
            <wp:effectExtent l="0" t="0" r="0" b="9525"/>
            <wp:docPr id="1014348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48582" name="Picture 1014348582"/>
                    <pic:cNvPicPr/>
                  </pic:nvPicPr>
                  <pic:blipFill>
                    <a:blip r:embed="rId14"/>
                    <a:stretch>
                      <a:fillRect/>
                    </a:stretch>
                  </pic:blipFill>
                  <pic:spPr>
                    <a:xfrm>
                      <a:off x="0" y="0"/>
                      <a:ext cx="4123507" cy="2844267"/>
                    </a:xfrm>
                    <a:prstGeom prst="rect">
                      <a:avLst/>
                    </a:prstGeom>
                  </pic:spPr>
                </pic:pic>
              </a:graphicData>
            </a:graphic>
          </wp:inline>
        </w:drawing>
      </w:r>
    </w:p>
    <w:p w14:paraId="4E7E9831" w14:textId="31206ACC" w:rsidR="00A64B32" w:rsidRDefault="00A64B32" w:rsidP="00A64B32">
      <w:pPr>
        <w:pStyle w:val="CETCaption"/>
        <w:rPr>
          <w:lang w:eastAsia="it-IT"/>
        </w:rPr>
      </w:pPr>
      <w:r w:rsidRPr="006313BB">
        <w:rPr>
          <w:lang w:eastAsia="it-IT"/>
        </w:rPr>
        <w:t xml:space="preserve">Figure </w:t>
      </w:r>
      <w:r>
        <w:rPr>
          <w:lang w:eastAsia="it-IT"/>
        </w:rPr>
        <w:t>4. Temperature at pipeline exit. Curves: (</w:t>
      </w:r>
      <w:r w:rsidRPr="00424C9D">
        <w:rPr>
          <w:b/>
          <w:bCs/>
          <w:i w:val="0"/>
          <w:iCs/>
          <w:color w:val="0070C0"/>
          <w:lang w:eastAsia="it-IT"/>
        </w:rPr>
        <w:t>X</w:t>
      </w:r>
      <w:r>
        <w:rPr>
          <w:rFonts w:cs="Arial"/>
          <w:lang w:eastAsia="it-IT"/>
        </w:rPr>
        <w:t>)</w:t>
      </w:r>
      <w:r>
        <w:rPr>
          <w:lang w:eastAsia="it-IT"/>
        </w:rPr>
        <w:t xml:space="preserve"> Natural gas, (</w:t>
      </w:r>
      <w:r w:rsidRPr="00424C9D">
        <w:rPr>
          <w:rFonts w:cs="Arial"/>
          <w:b/>
          <w:bCs/>
          <w:i w:val="0"/>
          <w:iCs/>
          <w:color w:val="FF0000"/>
          <w:lang w:eastAsia="it-IT"/>
        </w:rPr>
        <w:t>Δ</w:t>
      </w:r>
      <w:r>
        <w:rPr>
          <w:lang w:eastAsia="it-IT"/>
        </w:rPr>
        <w:t>) H2 10</w:t>
      </w:r>
      <w:r w:rsidR="0030473E">
        <w:rPr>
          <w:lang w:eastAsia="it-IT"/>
        </w:rPr>
        <w:t xml:space="preserve"> </w:t>
      </w:r>
      <w:r>
        <w:rPr>
          <w:lang w:eastAsia="it-IT"/>
        </w:rPr>
        <w:t>%.</w:t>
      </w:r>
    </w:p>
    <w:p w14:paraId="2ABBBCD8" w14:textId="5A6F13BA" w:rsidR="006B3A3F" w:rsidRDefault="006B3A3F" w:rsidP="006B3A3F">
      <w:pPr>
        <w:pStyle w:val="CETHeading1"/>
      </w:pPr>
      <w:r w:rsidRPr="006B3A3F">
        <w:t>Conclusions</w:t>
      </w:r>
    </w:p>
    <w:p w14:paraId="4072F0A1" w14:textId="31768D01" w:rsidR="00C63A77" w:rsidRDefault="006B3A3F" w:rsidP="006B3A3F">
      <w:pPr>
        <w:rPr>
          <w:szCs w:val="18"/>
        </w:rPr>
      </w:pPr>
      <w:r>
        <w:rPr>
          <w:szCs w:val="18"/>
        </w:rPr>
        <w:t>The simulation approach provide</w:t>
      </w:r>
      <w:r w:rsidR="001E7578">
        <w:rPr>
          <w:szCs w:val="18"/>
        </w:rPr>
        <w:t>s</w:t>
      </w:r>
      <w:r>
        <w:rPr>
          <w:szCs w:val="18"/>
        </w:rPr>
        <w:t xml:space="preserve"> </w:t>
      </w:r>
      <w:r w:rsidR="00A14DA5">
        <w:rPr>
          <w:szCs w:val="18"/>
        </w:rPr>
        <w:t>fundamental</w:t>
      </w:r>
      <w:r>
        <w:rPr>
          <w:szCs w:val="18"/>
        </w:rPr>
        <w:t xml:space="preserve"> results for the safety analysis of the </w:t>
      </w:r>
      <w:r w:rsidR="009A51EB">
        <w:rPr>
          <w:szCs w:val="18"/>
        </w:rPr>
        <w:t>methane</w:t>
      </w:r>
      <w:r w:rsidR="008C7261">
        <w:rPr>
          <w:szCs w:val="18"/>
        </w:rPr>
        <w:t>-hydrogen mixtures in pipelines</w:t>
      </w:r>
      <w:r>
        <w:rPr>
          <w:szCs w:val="18"/>
        </w:rPr>
        <w:t>. Th</w:t>
      </w:r>
      <w:r w:rsidR="008C7261">
        <w:rPr>
          <w:szCs w:val="18"/>
        </w:rPr>
        <w:t>e</w:t>
      </w:r>
      <w:r>
        <w:rPr>
          <w:szCs w:val="18"/>
        </w:rPr>
        <w:t xml:space="preserve"> study present</w:t>
      </w:r>
      <w:r w:rsidR="001E7578">
        <w:rPr>
          <w:szCs w:val="18"/>
        </w:rPr>
        <w:t>s</w:t>
      </w:r>
      <w:r w:rsidR="008C7261">
        <w:rPr>
          <w:szCs w:val="18"/>
        </w:rPr>
        <w:t xml:space="preserve"> an overview of </w:t>
      </w:r>
      <w:r w:rsidR="00E427F6">
        <w:rPr>
          <w:szCs w:val="18"/>
        </w:rPr>
        <w:t xml:space="preserve">the </w:t>
      </w:r>
      <w:r w:rsidR="008C7261">
        <w:rPr>
          <w:szCs w:val="18"/>
        </w:rPr>
        <w:t xml:space="preserve">effects of a leak in a pipeline transporting </w:t>
      </w:r>
      <w:r w:rsidR="00A14DA5">
        <w:rPr>
          <w:szCs w:val="18"/>
        </w:rPr>
        <w:t xml:space="preserve">methane-hydrogen mixtures </w:t>
      </w:r>
      <w:r w:rsidR="008C7261">
        <w:rPr>
          <w:szCs w:val="18"/>
        </w:rPr>
        <w:t>a</w:t>
      </w:r>
      <w:r w:rsidR="00A14DA5">
        <w:rPr>
          <w:szCs w:val="18"/>
        </w:rPr>
        <w:t xml:space="preserve">t a </w:t>
      </w:r>
      <w:r w:rsidR="008C7261">
        <w:rPr>
          <w:szCs w:val="18"/>
        </w:rPr>
        <w:t xml:space="preserve">pressure of 220 bar </w:t>
      </w:r>
      <w:r w:rsidR="00A14DA5">
        <w:rPr>
          <w:szCs w:val="18"/>
        </w:rPr>
        <w:t xml:space="preserve">over a </w:t>
      </w:r>
      <w:r w:rsidR="008C7261">
        <w:rPr>
          <w:szCs w:val="18"/>
        </w:rPr>
        <w:t xml:space="preserve">20 km </w:t>
      </w:r>
      <w:r w:rsidR="00A14DA5">
        <w:rPr>
          <w:szCs w:val="18"/>
        </w:rPr>
        <w:t>distance.</w:t>
      </w:r>
      <w:r w:rsidR="008C7261">
        <w:rPr>
          <w:szCs w:val="18"/>
        </w:rPr>
        <w:t xml:space="preserve"> </w:t>
      </w:r>
      <w:r>
        <w:rPr>
          <w:szCs w:val="18"/>
        </w:rPr>
        <w:t>The calculation of the duration</w:t>
      </w:r>
      <w:r w:rsidR="00E427F6">
        <w:rPr>
          <w:szCs w:val="18"/>
        </w:rPr>
        <w:t xml:space="preserve"> of the mass discharge </w:t>
      </w:r>
      <w:r>
        <w:rPr>
          <w:szCs w:val="18"/>
        </w:rPr>
        <w:t xml:space="preserve">and the maximum value of </w:t>
      </w:r>
      <w:r w:rsidR="00E427F6">
        <w:rPr>
          <w:szCs w:val="18"/>
        </w:rPr>
        <w:t xml:space="preserve">the </w:t>
      </w:r>
      <w:r>
        <w:rPr>
          <w:szCs w:val="18"/>
        </w:rPr>
        <w:t>fluid flow</w:t>
      </w:r>
      <w:r w:rsidR="008C7261">
        <w:rPr>
          <w:szCs w:val="18"/>
        </w:rPr>
        <w:t xml:space="preserve"> </w:t>
      </w:r>
      <w:r>
        <w:rPr>
          <w:szCs w:val="18"/>
        </w:rPr>
        <w:t xml:space="preserve">rate dispersed are the most important results for </w:t>
      </w:r>
      <w:r w:rsidR="008C7261">
        <w:rPr>
          <w:szCs w:val="18"/>
        </w:rPr>
        <w:t xml:space="preserve">the </w:t>
      </w:r>
      <w:r>
        <w:rPr>
          <w:szCs w:val="18"/>
        </w:rPr>
        <w:t>following evaluation of dispersion effects in the nearby environment.</w:t>
      </w:r>
      <w:r w:rsidR="00062563">
        <w:rPr>
          <w:szCs w:val="18"/>
        </w:rPr>
        <w:t xml:space="preserve"> </w:t>
      </w:r>
      <w:r w:rsidR="001E7578">
        <w:rPr>
          <w:szCs w:val="18"/>
        </w:rPr>
        <w:t>The r</w:t>
      </w:r>
      <w:r>
        <w:rPr>
          <w:szCs w:val="18"/>
        </w:rPr>
        <w:t xml:space="preserve">esults of the simulations show that leaks with diameters of </w:t>
      </w:r>
      <w:r w:rsidR="00E427F6">
        <w:rPr>
          <w:szCs w:val="18"/>
        </w:rPr>
        <w:t>50</w:t>
      </w:r>
      <w:r>
        <w:rPr>
          <w:szCs w:val="18"/>
        </w:rPr>
        <w:t xml:space="preserve"> mm</w:t>
      </w:r>
      <w:r w:rsidR="00E427F6">
        <w:rPr>
          <w:szCs w:val="18"/>
        </w:rPr>
        <w:t xml:space="preserve"> can produce a</w:t>
      </w:r>
      <w:r w:rsidR="00D77CE8">
        <w:rPr>
          <w:szCs w:val="18"/>
        </w:rPr>
        <w:t xml:space="preserve">n initial </w:t>
      </w:r>
      <w:r w:rsidR="00E427F6">
        <w:rPr>
          <w:szCs w:val="18"/>
        </w:rPr>
        <w:t xml:space="preserve">peak discharge </w:t>
      </w:r>
      <w:r w:rsidR="00F363D3">
        <w:rPr>
          <w:szCs w:val="18"/>
        </w:rPr>
        <w:t xml:space="preserve">of </w:t>
      </w:r>
      <w:r w:rsidR="00E427F6">
        <w:rPr>
          <w:szCs w:val="18"/>
        </w:rPr>
        <w:t>around 300,000 kg/h</w:t>
      </w:r>
      <w:r w:rsidR="00D77CE8">
        <w:rPr>
          <w:szCs w:val="18"/>
        </w:rPr>
        <w:t xml:space="preserve">. </w:t>
      </w:r>
      <w:r>
        <w:rPr>
          <w:szCs w:val="18"/>
        </w:rPr>
        <w:t xml:space="preserve">The rigorous thermodynamic framework provides the calculation of </w:t>
      </w:r>
      <w:r w:rsidR="00D77CE8">
        <w:rPr>
          <w:szCs w:val="18"/>
        </w:rPr>
        <w:t xml:space="preserve">numerous </w:t>
      </w:r>
      <w:r>
        <w:rPr>
          <w:szCs w:val="18"/>
        </w:rPr>
        <w:t>operating parameters such as pressures, temperatures, gas</w:t>
      </w:r>
      <w:r w:rsidR="00C50681">
        <w:rPr>
          <w:szCs w:val="18"/>
        </w:rPr>
        <w:t xml:space="preserve"> </w:t>
      </w:r>
      <w:r>
        <w:rPr>
          <w:szCs w:val="18"/>
        </w:rPr>
        <w:t>flow</w:t>
      </w:r>
      <w:r w:rsidR="00F363D3">
        <w:rPr>
          <w:szCs w:val="18"/>
        </w:rPr>
        <w:t xml:space="preserve"> </w:t>
      </w:r>
      <w:r>
        <w:rPr>
          <w:szCs w:val="18"/>
        </w:rPr>
        <w:t xml:space="preserve">rates, </w:t>
      </w:r>
      <w:r w:rsidR="00C50681">
        <w:rPr>
          <w:szCs w:val="18"/>
        </w:rPr>
        <w:t>phase</w:t>
      </w:r>
      <w:r>
        <w:rPr>
          <w:szCs w:val="18"/>
        </w:rPr>
        <w:t xml:space="preserve"> densities and velocities, and the local liquid holdup</w:t>
      </w:r>
      <w:r w:rsidR="00C50681">
        <w:rPr>
          <w:szCs w:val="18"/>
        </w:rPr>
        <w:t xml:space="preserve"> in case of heavier hydrocarbon condensation</w:t>
      </w:r>
      <w:r>
        <w:rPr>
          <w:szCs w:val="18"/>
        </w:rPr>
        <w:t xml:space="preserve">. The model can also provide an a-posteriori analysis of the </w:t>
      </w:r>
      <w:r w:rsidR="005B2284">
        <w:rPr>
          <w:szCs w:val="18"/>
        </w:rPr>
        <w:t xml:space="preserve">leak’s </w:t>
      </w:r>
      <w:r>
        <w:rPr>
          <w:szCs w:val="18"/>
        </w:rPr>
        <w:t xml:space="preserve">thermal effects </w:t>
      </w:r>
      <w:r w:rsidR="00D77CE8">
        <w:rPr>
          <w:szCs w:val="18"/>
        </w:rPr>
        <w:t xml:space="preserve">such as </w:t>
      </w:r>
      <w:r>
        <w:rPr>
          <w:szCs w:val="18"/>
        </w:rPr>
        <w:t>the lowest temperature reached by the fluid and the pipeline metal wall in contact.</w:t>
      </w:r>
      <w:r w:rsidR="00C50681">
        <w:rPr>
          <w:szCs w:val="18"/>
        </w:rPr>
        <w:t xml:space="preserve"> The process engineer would be able to </w:t>
      </w:r>
      <w:r>
        <w:rPr>
          <w:szCs w:val="18"/>
        </w:rPr>
        <w:t>identify the sections of the pipeline where possible metal failures could be expected</w:t>
      </w:r>
      <w:r w:rsidR="00C50681">
        <w:rPr>
          <w:szCs w:val="18"/>
        </w:rPr>
        <w:t>. However</w:t>
      </w:r>
      <w:r w:rsidR="00D77CE8">
        <w:rPr>
          <w:szCs w:val="18"/>
        </w:rPr>
        <w:t>,</w:t>
      </w:r>
      <w:r w:rsidR="00C50681">
        <w:rPr>
          <w:szCs w:val="18"/>
        </w:rPr>
        <w:t xml:space="preserve"> the addition of hydrogen </w:t>
      </w:r>
      <w:r w:rsidR="00D77CE8">
        <w:rPr>
          <w:szCs w:val="18"/>
        </w:rPr>
        <w:t xml:space="preserve">reduces </w:t>
      </w:r>
      <w:r w:rsidR="00C50681">
        <w:rPr>
          <w:szCs w:val="18"/>
        </w:rPr>
        <w:t>the JT effects</w:t>
      </w:r>
      <w:r w:rsidR="00D77CE8">
        <w:rPr>
          <w:szCs w:val="18"/>
        </w:rPr>
        <w:t xml:space="preserve"> </w:t>
      </w:r>
      <w:r w:rsidR="00A14DA5">
        <w:rPr>
          <w:szCs w:val="18"/>
        </w:rPr>
        <w:t xml:space="preserve">obtained </w:t>
      </w:r>
      <w:r w:rsidR="00062563">
        <w:rPr>
          <w:szCs w:val="18"/>
        </w:rPr>
        <w:t xml:space="preserve">for </w:t>
      </w:r>
      <w:r w:rsidR="00934401">
        <w:rPr>
          <w:szCs w:val="18"/>
        </w:rPr>
        <w:t>the original natural gas. S</w:t>
      </w:r>
      <w:r w:rsidR="00C50681">
        <w:rPr>
          <w:szCs w:val="18"/>
        </w:rPr>
        <w:t>o</w:t>
      </w:r>
      <w:r w:rsidR="00B24E2E">
        <w:rPr>
          <w:szCs w:val="18"/>
        </w:rPr>
        <w:t>,</w:t>
      </w:r>
      <w:r w:rsidR="00C50681">
        <w:rPr>
          <w:szCs w:val="18"/>
        </w:rPr>
        <w:t xml:space="preserve"> </w:t>
      </w:r>
      <w:r w:rsidR="00D77CE8">
        <w:rPr>
          <w:szCs w:val="18"/>
        </w:rPr>
        <w:t xml:space="preserve">wall metal temperatures would be higher than those </w:t>
      </w:r>
      <w:r w:rsidR="00A14DA5">
        <w:rPr>
          <w:szCs w:val="18"/>
        </w:rPr>
        <w:t>reached</w:t>
      </w:r>
      <w:r w:rsidR="00D77CE8">
        <w:rPr>
          <w:szCs w:val="18"/>
        </w:rPr>
        <w:t xml:space="preserve"> by a natural gas depressurization.</w:t>
      </w:r>
      <w:r w:rsidR="00B24E2E">
        <w:rPr>
          <w:szCs w:val="18"/>
        </w:rPr>
        <w:t xml:space="preserve"> The</w:t>
      </w:r>
      <w:r w:rsidR="00CC21A9">
        <w:rPr>
          <w:szCs w:val="18"/>
        </w:rPr>
        <w:t xml:space="preserve"> </w:t>
      </w:r>
      <w:r w:rsidR="00C63A77">
        <w:rPr>
          <w:szCs w:val="18"/>
        </w:rPr>
        <w:t xml:space="preserve">independent simulation software </w:t>
      </w:r>
      <w:r w:rsidR="00B24E2E">
        <w:rPr>
          <w:szCs w:val="18"/>
        </w:rPr>
        <w:t xml:space="preserve">tool used </w:t>
      </w:r>
      <w:r w:rsidR="00CC21A9">
        <w:rPr>
          <w:szCs w:val="18"/>
        </w:rPr>
        <w:t xml:space="preserve">shows its capabilities in the analysis of </w:t>
      </w:r>
      <w:r w:rsidR="00B24E2E">
        <w:rPr>
          <w:szCs w:val="18"/>
        </w:rPr>
        <w:t xml:space="preserve">the </w:t>
      </w:r>
      <w:r w:rsidR="00CC21A9">
        <w:rPr>
          <w:szCs w:val="18"/>
        </w:rPr>
        <w:t xml:space="preserve">new technical problems </w:t>
      </w:r>
      <w:r w:rsidR="00B24E2E">
        <w:rPr>
          <w:szCs w:val="18"/>
        </w:rPr>
        <w:t>arising from the extended use of hydrogen as a greener energy carrier.</w:t>
      </w:r>
      <w:r w:rsidR="00AA1382">
        <w:rPr>
          <w:szCs w:val="18"/>
        </w:rPr>
        <w:t xml:space="preserve"> </w:t>
      </w:r>
      <w:r w:rsidR="00AA1382" w:rsidRPr="00AA1382">
        <w:rPr>
          <w:szCs w:val="18"/>
        </w:rPr>
        <w:t>The cases discussed are limited to hydrogen percentages not exceeding 10%, but mixtures with higher hydrogen content can be treated without problems</w:t>
      </w:r>
      <w:r w:rsidR="00AA1382">
        <w:rPr>
          <w:szCs w:val="18"/>
        </w:rPr>
        <w:t>.</w:t>
      </w:r>
    </w:p>
    <w:p w14:paraId="6AA7AC8E" w14:textId="77777777" w:rsidR="006B3A3F" w:rsidRDefault="006B3A3F" w:rsidP="006B3A3F">
      <w:pPr>
        <w:pStyle w:val="CETReference"/>
      </w:pPr>
      <w:r>
        <w:t xml:space="preserve">References </w:t>
      </w:r>
    </w:p>
    <w:p w14:paraId="3D93A49E" w14:textId="0993406A" w:rsidR="006B3A3F" w:rsidRDefault="006B3A3F" w:rsidP="006B3A3F">
      <w:pPr>
        <w:pStyle w:val="CETReferencetext"/>
      </w:pPr>
      <w:r>
        <w:t xml:space="preserve">Kunz O., Klimeck R., Wagner W., Jaeschke M., </w:t>
      </w:r>
      <w:r w:rsidR="00BD7D3D">
        <w:t xml:space="preserve">2007, </w:t>
      </w:r>
      <w:r>
        <w:t xml:space="preserve">The GERG-2004 Wide-Range Equation of State for Natural Gases and Other Mixtures, Groupe </w:t>
      </w:r>
      <w:proofErr w:type="spellStart"/>
      <w:r>
        <w:t>Européen</w:t>
      </w:r>
      <w:proofErr w:type="spellEnd"/>
      <w:r>
        <w:t xml:space="preserve"> de </w:t>
      </w:r>
      <w:proofErr w:type="spellStart"/>
      <w:r>
        <w:t>Recherches</w:t>
      </w:r>
      <w:proofErr w:type="spellEnd"/>
      <w:r>
        <w:t xml:space="preserve"> </w:t>
      </w:r>
      <w:proofErr w:type="spellStart"/>
      <w:r>
        <w:t>Gazières</w:t>
      </w:r>
      <w:proofErr w:type="spellEnd"/>
      <w:r>
        <w:t>, 2007</w:t>
      </w:r>
    </w:p>
    <w:p w14:paraId="641F23DA" w14:textId="2C34823E" w:rsidR="006B3A3F" w:rsidRDefault="006B3A3F" w:rsidP="006B3A3F">
      <w:pPr>
        <w:pStyle w:val="CETReferencetext"/>
      </w:pPr>
      <w:r>
        <w:t xml:space="preserve">Kunz O., Wagner W., </w:t>
      </w:r>
      <w:r w:rsidR="00BD7D3D">
        <w:t xml:space="preserve">2012, </w:t>
      </w:r>
      <w:r>
        <w:t xml:space="preserve">The GERG-2008 Wide-Range Equation of State for Natural Gases and Other Mixtures: An Expansion of GERG-2004, Journal of Chemical Engineering Data, 57, 3032-3091 </w:t>
      </w:r>
    </w:p>
    <w:p w14:paraId="19AF55F6" w14:textId="77777777" w:rsidR="006B3A3F" w:rsidRDefault="006B3A3F" w:rsidP="006B3A3F">
      <w:pPr>
        <w:pStyle w:val="CETReferencetext"/>
      </w:pPr>
      <w:r>
        <w:t xml:space="preserve">Lee B.I., Kesler M.G., 1975, A generalized thermodynamic correlation based on three-parameter corresponding states, AIChE J., 21, 510-527. </w:t>
      </w:r>
    </w:p>
    <w:p w14:paraId="76818A31" w14:textId="77777777" w:rsidR="006B3A3F" w:rsidRDefault="006B3A3F" w:rsidP="006B3A3F">
      <w:pPr>
        <w:pStyle w:val="CETReferencetext"/>
      </w:pPr>
      <w:r>
        <w:t xml:space="preserve">Peng D.Y., Robinson D.B., 1976, A new two-constant equation of state, Ind. Eng. Chem. Fund. 15, 59–64. </w:t>
      </w:r>
    </w:p>
    <w:p w14:paraId="1A0FD603" w14:textId="77777777" w:rsidR="006B3A3F" w:rsidRDefault="006B3A3F" w:rsidP="006B3A3F">
      <w:pPr>
        <w:pStyle w:val="CETReferencetext"/>
      </w:pPr>
      <w:r>
        <w:t xml:space="preserve">Raimondi L., 2017, Compositional Simulation of Two-Phase Flows for Pipeline Depressurization, SPE Journal, 22, 4, 1242-1253. </w:t>
      </w:r>
    </w:p>
    <w:p w14:paraId="001BC509" w14:textId="74CE782D" w:rsidR="00602AFD" w:rsidRDefault="00602AFD" w:rsidP="006B3A3F">
      <w:pPr>
        <w:pStyle w:val="CETReferencetext"/>
      </w:pPr>
      <w:r>
        <w:t xml:space="preserve">Raimondi L., </w:t>
      </w:r>
      <w:r w:rsidR="00E427F6">
        <w:t xml:space="preserve">2022, </w:t>
      </w:r>
      <w:r>
        <w:t>CCS Technology – CO2 Transportation and Relief Simulation in the critical Region for HSE assessment, Chem. Eng. Trans., 91</w:t>
      </w:r>
    </w:p>
    <w:p w14:paraId="3447FCDB" w14:textId="09B52DBD" w:rsidR="006B3A3F" w:rsidRDefault="006B3A3F" w:rsidP="006B3A3F">
      <w:pPr>
        <w:pStyle w:val="CETReferencetext"/>
      </w:pPr>
      <w:r>
        <w:t>Richardson S.M., Saville G., 1996, Isle of Grain Pipeline Depressurization Tests, Health &amp; Safety Executive</w:t>
      </w:r>
      <w:r w:rsidR="00BD7D3D">
        <w:t>.</w:t>
      </w:r>
    </w:p>
    <w:p w14:paraId="48BC3AD8" w14:textId="77777777" w:rsidR="006B3A3F" w:rsidRDefault="006B3A3F" w:rsidP="006B3A3F">
      <w:pPr>
        <w:pStyle w:val="CETReferencetext"/>
      </w:pPr>
      <w:r>
        <w:t xml:space="preserve">Soave G., 1972, Equilibrium constants from a modified Redlich-Kwong equation of state, </w:t>
      </w:r>
      <w:proofErr w:type="spellStart"/>
      <w:r>
        <w:t>Chem.Eng.Sci</w:t>
      </w:r>
      <w:proofErr w:type="spellEnd"/>
      <w:r>
        <w:t xml:space="preserve">. 27, 1197-1203 </w:t>
      </w:r>
    </w:p>
    <w:p w14:paraId="0A4360EF" w14:textId="5A8C7238" w:rsidR="006B3A3F" w:rsidRPr="00C11919" w:rsidRDefault="006B3A3F" w:rsidP="006B3A3F">
      <w:pPr>
        <w:pStyle w:val="CETReferencetext"/>
        <w:rPr>
          <w:rFonts w:cs="Arial"/>
          <w:szCs w:val="24"/>
          <w:lang w:val="en-US" w:eastAsia="it-IT"/>
        </w:rPr>
      </w:pPr>
      <w:r>
        <w:t>XPSIM (</w:t>
      </w:r>
      <w:proofErr w:type="spellStart"/>
      <w:r>
        <w:t>eXtended</w:t>
      </w:r>
      <w:proofErr w:type="spellEnd"/>
      <w:r>
        <w:t xml:space="preserve"> Process </w:t>
      </w:r>
      <w:proofErr w:type="spellStart"/>
      <w:r>
        <w:t>SIMulator</w:t>
      </w:r>
      <w:proofErr w:type="spellEnd"/>
      <w:r>
        <w:t>), 202</w:t>
      </w:r>
      <w:r w:rsidR="003A1B7D">
        <w:t>3</w:t>
      </w:r>
      <w:r>
        <w:t>, Reference Manual, Version 3.</w:t>
      </w:r>
      <w:r w:rsidR="003A1B7D">
        <w:t>1</w:t>
      </w:r>
      <w:r>
        <w:t xml:space="preserve">., Process Simulation Services, </w:t>
      </w:r>
      <w:r>
        <w:rPr>
          <w:color w:val="0000FF"/>
        </w:rPr>
        <w:t>www.xpsimworld.com</w:t>
      </w:r>
      <w:r>
        <w:t>.</w:t>
      </w:r>
    </w:p>
    <w:sectPr w:rsidR="006B3A3F" w:rsidRPr="00C1191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D198" w14:textId="77777777" w:rsidR="00A37CB8" w:rsidRDefault="00A37CB8" w:rsidP="004F5E36">
      <w:r>
        <w:separator/>
      </w:r>
    </w:p>
  </w:endnote>
  <w:endnote w:type="continuationSeparator" w:id="0">
    <w:p w14:paraId="37F428AC" w14:textId="77777777" w:rsidR="00A37CB8" w:rsidRDefault="00A37CB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100D3" w14:textId="77777777" w:rsidR="00A37CB8" w:rsidRDefault="00A37CB8" w:rsidP="004F5E36">
      <w:r>
        <w:separator/>
      </w:r>
    </w:p>
  </w:footnote>
  <w:footnote w:type="continuationSeparator" w:id="0">
    <w:p w14:paraId="7D13A19D" w14:textId="77777777" w:rsidR="00A37CB8" w:rsidRDefault="00A37CB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9020374">
    <w:abstractNumId w:val="10"/>
  </w:num>
  <w:num w:numId="2" w16cid:durableId="415634873">
    <w:abstractNumId w:val="8"/>
  </w:num>
  <w:num w:numId="3" w16cid:durableId="1258781982">
    <w:abstractNumId w:val="3"/>
  </w:num>
  <w:num w:numId="4" w16cid:durableId="5636639">
    <w:abstractNumId w:val="2"/>
  </w:num>
  <w:num w:numId="5" w16cid:durableId="1848902178">
    <w:abstractNumId w:val="1"/>
  </w:num>
  <w:num w:numId="6" w16cid:durableId="2048673939">
    <w:abstractNumId w:val="0"/>
  </w:num>
  <w:num w:numId="7" w16cid:durableId="1271548019">
    <w:abstractNumId w:val="9"/>
  </w:num>
  <w:num w:numId="8" w16cid:durableId="769004504">
    <w:abstractNumId w:val="7"/>
  </w:num>
  <w:num w:numId="9" w16cid:durableId="1551306883">
    <w:abstractNumId w:val="6"/>
  </w:num>
  <w:num w:numId="10" w16cid:durableId="928122269">
    <w:abstractNumId w:val="5"/>
  </w:num>
  <w:num w:numId="11" w16cid:durableId="1791777216">
    <w:abstractNumId w:val="4"/>
  </w:num>
  <w:num w:numId="12" w16cid:durableId="1217398496">
    <w:abstractNumId w:val="17"/>
  </w:num>
  <w:num w:numId="13" w16cid:durableId="379324826">
    <w:abstractNumId w:val="12"/>
  </w:num>
  <w:num w:numId="14" w16cid:durableId="1233808791">
    <w:abstractNumId w:val="18"/>
  </w:num>
  <w:num w:numId="15" w16cid:durableId="1562014393">
    <w:abstractNumId w:val="20"/>
  </w:num>
  <w:num w:numId="16" w16cid:durableId="1357317558">
    <w:abstractNumId w:val="19"/>
  </w:num>
  <w:num w:numId="17" w16cid:durableId="1601452365">
    <w:abstractNumId w:val="11"/>
  </w:num>
  <w:num w:numId="18" w16cid:durableId="1827016905">
    <w:abstractNumId w:val="12"/>
    <w:lvlOverride w:ilvl="0">
      <w:startOverride w:val="1"/>
    </w:lvlOverride>
  </w:num>
  <w:num w:numId="19" w16cid:durableId="646596861">
    <w:abstractNumId w:val="16"/>
  </w:num>
  <w:num w:numId="20" w16cid:durableId="240918757">
    <w:abstractNumId w:val="15"/>
  </w:num>
  <w:num w:numId="21" w16cid:durableId="1149056764">
    <w:abstractNumId w:val="14"/>
  </w:num>
  <w:num w:numId="22" w16cid:durableId="1405374855">
    <w:abstractNumId w:val="13"/>
  </w:num>
  <w:num w:numId="23" w16cid:durableId="888419933">
    <w:abstractNumId w:val="10"/>
  </w:num>
  <w:num w:numId="24" w16cid:durableId="1599755183">
    <w:abstractNumId w:val="10"/>
  </w:num>
  <w:num w:numId="25" w16cid:durableId="588540982">
    <w:abstractNumId w:val="10"/>
  </w:num>
  <w:num w:numId="26" w16cid:durableId="1353798363">
    <w:abstractNumId w:val="10"/>
  </w:num>
  <w:num w:numId="27" w16cid:durableId="1279026480">
    <w:abstractNumId w:val="10"/>
  </w:num>
  <w:num w:numId="28" w16cid:durableId="403721513">
    <w:abstractNumId w:val="10"/>
  </w:num>
  <w:num w:numId="29" w16cid:durableId="973372229">
    <w:abstractNumId w:val="10"/>
  </w:num>
  <w:num w:numId="30" w16cid:durableId="473104483">
    <w:abstractNumId w:val="10"/>
  </w:num>
  <w:num w:numId="31" w16cid:durableId="1956909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651"/>
    <w:rsid w:val="000117CB"/>
    <w:rsid w:val="000259C6"/>
    <w:rsid w:val="0003148D"/>
    <w:rsid w:val="00031E91"/>
    <w:rsid w:val="00031EE4"/>
    <w:rsid w:val="00031EEC"/>
    <w:rsid w:val="00046C07"/>
    <w:rsid w:val="00051566"/>
    <w:rsid w:val="00062563"/>
    <w:rsid w:val="00062A9A"/>
    <w:rsid w:val="00065058"/>
    <w:rsid w:val="00082975"/>
    <w:rsid w:val="00086C39"/>
    <w:rsid w:val="000A03B2"/>
    <w:rsid w:val="000A6A42"/>
    <w:rsid w:val="000D0268"/>
    <w:rsid w:val="000D34BE"/>
    <w:rsid w:val="000E102F"/>
    <w:rsid w:val="000E31C5"/>
    <w:rsid w:val="000E36F1"/>
    <w:rsid w:val="000E3A73"/>
    <w:rsid w:val="000E414A"/>
    <w:rsid w:val="000E4E74"/>
    <w:rsid w:val="000F093C"/>
    <w:rsid w:val="000F787B"/>
    <w:rsid w:val="0012091F"/>
    <w:rsid w:val="00126BC2"/>
    <w:rsid w:val="001308B6"/>
    <w:rsid w:val="0013121F"/>
    <w:rsid w:val="00131FE6"/>
    <w:rsid w:val="0013263F"/>
    <w:rsid w:val="001331DF"/>
    <w:rsid w:val="0013334F"/>
    <w:rsid w:val="00134DE4"/>
    <w:rsid w:val="0014034D"/>
    <w:rsid w:val="00144D16"/>
    <w:rsid w:val="00150E59"/>
    <w:rsid w:val="00152DE3"/>
    <w:rsid w:val="001644BE"/>
    <w:rsid w:val="00164CF9"/>
    <w:rsid w:val="001667A6"/>
    <w:rsid w:val="00184AD6"/>
    <w:rsid w:val="00186665"/>
    <w:rsid w:val="001A3452"/>
    <w:rsid w:val="001A4AF7"/>
    <w:rsid w:val="001B0349"/>
    <w:rsid w:val="001B1E93"/>
    <w:rsid w:val="001B65C1"/>
    <w:rsid w:val="001C1FD8"/>
    <w:rsid w:val="001C2672"/>
    <w:rsid w:val="001C684B"/>
    <w:rsid w:val="001D0CFB"/>
    <w:rsid w:val="001D38FF"/>
    <w:rsid w:val="001D53FC"/>
    <w:rsid w:val="001E7578"/>
    <w:rsid w:val="001F42A5"/>
    <w:rsid w:val="001F7B9D"/>
    <w:rsid w:val="00201C93"/>
    <w:rsid w:val="00221A3F"/>
    <w:rsid w:val="002224B4"/>
    <w:rsid w:val="00223322"/>
    <w:rsid w:val="002447EF"/>
    <w:rsid w:val="00251550"/>
    <w:rsid w:val="00263B05"/>
    <w:rsid w:val="0027221A"/>
    <w:rsid w:val="00275B61"/>
    <w:rsid w:val="00280FAF"/>
    <w:rsid w:val="00282656"/>
    <w:rsid w:val="0029099B"/>
    <w:rsid w:val="00296B83"/>
    <w:rsid w:val="00297EB6"/>
    <w:rsid w:val="002B4015"/>
    <w:rsid w:val="002B78CE"/>
    <w:rsid w:val="002C17C4"/>
    <w:rsid w:val="002C2FB6"/>
    <w:rsid w:val="002D371E"/>
    <w:rsid w:val="002D3DFE"/>
    <w:rsid w:val="002D495E"/>
    <w:rsid w:val="002E5FA7"/>
    <w:rsid w:val="002F3309"/>
    <w:rsid w:val="003008CE"/>
    <w:rsid w:val="003009B7"/>
    <w:rsid w:val="00300E56"/>
    <w:rsid w:val="0030469C"/>
    <w:rsid w:val="0030473E"/>
    <w:rsid w:val="00321CA6"/>
    <w:rsid w:val="00323763"/>
    <w:rsid w:val="0032619A"/>
    <w:rsid w:val="00334C09"/>
    <w:rsid w:val="00335CFA"/>
    <w:rsid w:val="003723D4"/>
    <w:rsid w:val="00381905"/>
    <w:rsid w:val="00384CC8"/>
    <w:rsid w:val="003871FD"/>
    <w:rsid w:val="003A1B7D"/>
    <w:rsid w:val="003A1E30"/>
    <w:rsid w:val="003A2829"/>
    <w:rsid w:val="003A7D1C"/>
    <w:rsid w:val="003B304B"/>
    <w:rsid w:val="003B3146"/>
    <w:rsid w:val="003B608D"/>
    <w:rsid w:val="003B6C1F"/>
    <w:rsid w:val="003E00CE"/>
    <w:rsid w:val="003E0AD4"/>
    <w:rsid w:val="003F015E"/>
    <w:rsid w:val="003F092D"/>
    <w:rsid w:val="00400414"/>
    <w:rsid w:val="0041446B"/>
    <w:rsid w:val="00417840"/>
    <w:rsid w:val="00422F9F"/>
    <w:rsid w:val="00424C9D"/>
    <w:rsid w:val="00425FE9"/>
    <w:rsid w:val="0044329C"/>
    <w:rsid w:val="00453E24"/>
    <w:rsid w:val="00457456"/>
    <w:rsid w:val="004577FE"/>
    <w:rsid w:val="00457B9C"/>
    <w:rsid w:val="0046164A"/>
    <w:rsid w:val="004628D2"/>
    <w:rsid w:val="00462DCD"/>
    <w:rsid w:val="004648AD"/>
    <w:rsid w:val="004703A9"/>
    <w:rsid w:val="0047089A"/>
    <w:rsid w:val="0047301C"/>
    <w:rsid w:val="004760DE"/>
    <w:rsid w:val="004763D7"/>
    <w:rsid w:val="00476AEB"/>
    <w:rsid w:val="004839FF"/>
    <w:rsid w:val="00494794"/>
    <w:rsid w:val="004A004E"/>
    <w:rsid w:val="004A24CF"/>
    <w:rsid w:val="004B1FEA"/>
    <w:rsid w:val="004C3D1D"/>
    <w:rsid w:val="004C7913"/>
    <w:rsid w:val="004E124E"/>
    <w:rsid w:val="004E4DD6"/>
    <w:rsid w:val="004F5E36"/>
    <w:rsid w:val="004F77A6"/>
    <w:rsid w:val="00507B47"/>
    <w:rsid w:val="00507BEF"/>
    <w:rsid w:val="00507CC9"/>
    <w:rsid w:val="005119A5"/>
    <w:rsid w:val="005278B7"/>
    <w:rsid w:val="00532016"/>
    <w:rsid w:val="005346C8"/>
    <w:rsid w:val="00536096"/>
    <w:rsid w:val="00543E7D"/>
    <w:rsid w:val="00543EAF"/>
    <w:rsid w:val="00547A68"/>
    <w:rsid w:val="005531C9"/>
    <w:rsid w:val="005550B1"/>
    <w:rsid w:val="00570C43"/>
    <w:rsid w:val="005B0913"/>
    <w:rsid w:val="005B2110"/>
    <w:rsid w:val="005B2284"/>
    <w:rsid w:val="005B61E6"/>
    <w:rsid w:val="005B7362"/>
    <w:rsid w:val="005C0F68"/>
    <w:rsid w:val="005C77E1"/>
    <w:rsid w:val="005D668A"/>
    <w:rsid w:val="005D6A2F"/>
    <w:rsid w:val="005E1A82"/>
    <w:rsid w:val="005E794C"/>
    <w:rsid w:val="005F0A28"/>
    <w:rsid w:val="005F0E5E"/>
    <w:rsid w:val="00600535"/>
    <w:rsid w:val="00602AFD"/>
    <w:rsid w:val="00610758"/>
    <w:rsid w:val="00610CD6"/>
    <w:rsid w:val="00620DEE"/>
    <w:rsid w:val="00621F92"/>
    <w:rsid w:val="0062280A"/>
    <w:rsid w:val="00625639"/>
    <w:rsid w:val="00625D63"/>
    <w:rsid w:val="006313BB"/>
    <w:rsid w:val="00631900"/>
    <w:rsid w:val="00631B33"/>
    <w:rsid w:val="00632A40"/>
    <w:rsid w:val="0064184D"/>
    <w:rsid w:val="006422CC"/>
    <w:rsid w:val="00660E3E"/>
    <w:rsid w:val="00662E74"/>
    <w:rsid w:val="00680C23"/>
    <w:rsid w:val="006860E0"/>
    <w:rsid w:val="00693766"/>
    <w:rsid w:val="006A2F6D"/>
    <w:rsid w:val="006A3281"/>
    <w:rsid w:val="006A6D94"/>
    <w:rsid w:val="006B3A3F"/>
    <w:rsid w:val="006B4888"/>
    <w:rsid w:val="006C2E45"/>
    <w:rsid w:val="006C359C"/>
    <w:rsid w:val="006C42A7"/>
    <w:rsid w:val="006C5579"/>
    <w:rsid w:val="006D06FE"/>
    <w:rsid w:val="006D3622"/>
    <w:rsid w:val="006D6E8B"/>
    <w:rsid w:val="006E737D"/>
    <w:rsid w:val="006F7788"/>
    <w:rsid w:val="0070014C"/>
    <w:rsid w:val="00710CC9"/>
    <w:rsid w:val="00713973"/>
    <w:rsid w:val="00720A24"/>
    <w:rsid w:val="00724D96"/>
    <w:rsid w:val="00732386"/>
    <w:rsid w:val="0073514D"/>
    <w:rsid w:val="00743168"/>
    <w:rsid w:val="007447F3"/>
    <w:rsid w:val="0075499F"/>
    <w:rsid w:val="007661C8"/>
    <w:rsid w:val="00770180"/>
    <w:rsid w:val="0077098D"/>
    <w:rsid w:val="007756D1"/>
    <w:rsid w:val="0078438A"/>
    <w:rsid w:val="007931FA"/>
    <w:rsid w:val="007A30E0"/>
    <w:rsid w:val="007A4861"/>
    <w:rsid w:val="007A7BBA"/>
    <w:rsid w:val="007B0C50"/>
    <w:rsid w:val="007B48F9"/>
    <w:rsid w:val="007B6AE5"/>
    <w:rsid w:val="007C0487"/>
    <w:rsid w:val="007C1A43"/>
    <w:rsid w:val="007E04F7"/>
    <w:rsid w:val="007E713E"/>
    <w:rsid w:val="007F1946"/>
    <w:rsid w:val="0080013E"/>
    <w:rsid w:val="00800624"/>
    <w:rsid w:val="00800D5F"/>
    <w:rsid w:val="00813288"/>
    <w:rsid w:val="008168FC"/>
    <w:rsid w:val="00830996"/>
    <w:rsid w:val="00831A74"/>
    <w:rsid w:val="00831D01"/>
    <w:rsid w:val="00832309"/>
    <w:rsid w:val="00833A15"/>
    <w:rsid w:val="008345F1"/>
    <w:rsid w:val="008470BE"/>
    <w:rsid w:val="0086293D"/>
    <w:rsid w:val="00865B07"/>
    <w:rsid w:val="008667EA"/>
    <w:rsid w:val="0087637F"/>
    <w:rsid w:val="0088550E"/>
    <w:rsid w:val="00892AD5"/>
    <w:rsid w:val="0089342B"/>
    <w:rsid w:val="008941E0"/>
    <w:rsid w:val="0089548C"/>
    <w:rsid w:val="008A1512"/>
    <w:rsid w:val="008A2F3E"/>
    <w:rsid w:val="008C7261"/>
    <w:rsid w:val="008D32B9"/>
    <w:rsid w:val="008D433B"/>
    <w:rsid w:val="008E0CF9"/>
    <w:rsid w:val="008E566E"/>
    <w:rsid w:val="008F2980"/>
    <w:rsid w:val="008F3AB3"/>
    <w:rsid w:val="00900452"/>
    <w:rsid w:val="0090161A"/>
    <w:rsid w:val="00901EB6"/>
    <w:rsid w:val="00904325"/>
    <w:rsid w:val="00904C62"/>
    <w:rsid w:val="00911FA8"/>
    <w:rsid w:val="00922BA8"/>
    <w:rsid w:val="00924DAC"/>
    <w:rsid w:val="00927058"/>
    <w:rsid w:val="00933A4F"/>
    <w:rsid w:val="00934401"/>
    <w:rsid w:val="00942750"/>
    <w:rsid w:val="009450CE"/>
    <w:rsid w:val="00947179"/>
    <w:rsid w:val="0095164B"/>
    <w:rsid w:val="00954090"/>
    <w:rsid w:val="009573E7"/>
    <w:rsid w:val="00963E05"/>
    <w:rsid w:val="00967843"/>
    <w:rsid w:val="00967D54"/>
    <w:rsid w:val="00971028"/>
    <w:rsid w:val="00993B84"/>
    <w:rsid w:val="00994BF7"/>
    <w:rsid w:val="00996483"/>
    <w:rsid w:val="00996F5A"/>
    <w:rsid w:val="009A00C1"/>
    <w:rsid w:val="009A51EB"/>
    <w:rsid w:val="009B041A"/>
    <w:rsid w:val="009C37C3"/>
    <w:rsid w:val="009C7C86"/>
    <w:rsid w:val="009D2FF7"/>
    <w:rsid w:val="009D43C7"/>
    <w:rsid w:val="009E7884"/>
    <w:rsid w:val="009E788A"/>
    <w:rsid w:val="009F0E08"/>
    <w:rsid w:val="00A03078"/>
    <w:rsid w:val="00A12DE5"/>
    <w:rsid w:val="00A14DA5"/>
    <w:rsid w:val="00A1763D"/>
    <w:rsid w:val="00A17CEC"/>
    <w:rsid w:val="00A25249"/>
    <w:rsid w:val="00A27EF0"/>
    <w:rsid w:val="00A35638"/>
    <w:rsid w:val="00A37CB8"/>
    <w:rsid w:val="00A42361"/>
    <w:rsid w:val="00A50B20"/>
    <w:rsid w:val="00A51390"/>
    <w:rsid w:val="00A60D13"/>
    <w:rsid w:val="00A64B32"/>
    <w:rsid w:val="00A72745"/>
    <w:rsid w:val="00A76EFC"/>
    <w:rsid w:val="00A91010"/>
    <w:rsid w:val="00A97F29"/>
    <w:rsid w:val="00AA1382"/>
    <w:rsid w:val="00AA702E"/>
    <w:rsid w:val="00AB0964"/>
    <w:rsid w:val="00AB5011"/>
    <w:rsid w:val="00AC7368"/>
    <w:rsid w:val="00AD16B9"/>
    <w:rsid w:val="00AD4C4A"/>
    <w:rsid w:val="00AD7627"/>
    <w:rsid w:val="00AE377D"/>
    <w:rsid w:val="00AF0EBA"/>
    <w:rsid w:val="00B02C8A"/>
    <w:rsid w:val="00B10EB6"/>
    <w:rsid w:val="00B17821"/>
    <w:rsid w:val="00B17FBD"/>
    <w:rsid w:val="00B24E2E"/>
    <w:rsid w:val="00B315A6"/>
    <w:rsid w:val="00B31813"/>
    <w:rsid w:val="00B33365"/>
    <w:rsid w:val="00B57B36"/>
    <w:rsid w:val="00B57E6F"/>
    <w:rsid w:val="00B66BE0"/>
    <w:rsid w:val="00B71420"/>
    <w:rsid w:val="00B83A14"/>
    <w:rsid w:val="00B8686D"/>
    <w:rsid w:val="00B93F69"/>
    <w:rsid w:val="00B94D4A"/>
    <w:rsid w:val="00BB1DDC"/>
    <w:rsid w:val="00BC30C9"/>
    <w:rsid w:val="00BD077D"/>
    <w:rsid w:val="00BD7D3D"/>
    <w:rsid w:val="00BE3E58"/>
    <w:rsid w:val="00C00A0F"/>
    <w:rsid w:val="00C01616"/>
    <w:rsid w:val="00C0162B"/>
    <w:rsid w:val="00C068ED"/>
    <w:rsid w:val="00C22E0C"/>
    <w:rsid w:val="00C24286"/>
    <w:rsid w:val="00C345B1"/>
    <w:rsid w:val="00C40142"/>
    <w:rsid w:val="00C45559"/>
    <w:rsid w:val="00C50681"/>
    <w:rsid w:val="00C5137E"/>
    <w:rsid w:val="00C52C3C"/>
    <w:rsid w:val="00C57182"/>
    <w:rsid w:val="00C57863"/>
    <w:rsid w:val="00C63A77"/>
    <w:rsid w:val="00C655FD"/>
    <w:rsid w:val="00C67A93"/>
    <w:rsid w:val="00C707DF"/>
    <w:rsid w:val="00C7262C"/>
    <w:rsid w:val="00C75407"/>
    <w:rsid w:val="00C870A8"/>
    <w:rsid w:val="00C94434"/>
    <w:rsid w:val="00C950E8"/>
    <w:rsid w:val="00CA0D75"/>
    <w:rsid w:val="00CA1C95"/>
    <w:rsid w:val="00CA5A9C"/>
    <w:rsid w:val="00CB5E51"/>
    <w:rsid w:val="00CC21A9"/>
    <w:rsid w:val="00CC4C20"/>
    <w:rsid w:val="00CD11AA"/>
    <w:rsid w:val="00CD3517"/>
    <w:rsid w:val="00CD5FE2"/>
    <w:rsid w:val="00CE7C68"/>
    <w:rsid w:val="00CF05F0"/>
    <w:rsid w:val="00CF1627"/>
    <w:rsid w:val="00D02B4C"/>
    <w:rsid w:val="00D02E08"/>
    <w:rsid w:val="00D040C4"/>
    <w:rsid w:val="00D079C7"/>
    <w:rsid w:val="00D462F5"/>
    <w:rsid w:val="00D46B7E"/>
    <w:rsid w:val="00D57C84"/>
    <w:rsid w:val="00D6057D"/>
    <w:rsid w:val="00D77CE8"/>
    <w:rsid w:val="00D836C5"/>
    <w:rsid w:val="00D84576"/>
    <w:rsid w:val="00D87922"/>
    <w:rsid w:val="00DA1399"/>
    <w:rsid w:val="00DA24C6"/>
    <w:rsid w:val="00DA4D7B"/>
    <w:rsid w:val="00DE264A"/>
    <w:rsid w:val="00DF05D8"/>
    <w:rsid w:val="00DF5072"/>
    <w:rsid w:val="00E02D18"/>
    <w:rsid w:val="00E041E7"/>
    <w:rsid w:val="00E23CA1"/>
    <w:rsid w:val="00E409A8"/>
    <w:rsid w:val="00E427F6"/>
    <w:rsid w:val="00E50C12"/>
    <w:rsid w:val="00E6537F"/>
    <w:rsid w:val="00E65799"/>
    <w:rsid w:val="00E65B91"/>
    <w:rsid w:val="00E7110D"/>
    <w:rsid w:val="00E7209D"/>
    <w:rsid w:val="00E72EAD"/>
    <w:rsid w:val="00E77223"/>
    <w:rsid w:val="00E8528B"/>
    <w:rsid w:val="00E85B94"/>
    <w:rsid w:val="00E87804"/>
    <w:rsid w:val="00E978D0"/>
    <w:rsid w:val="00EA4613"/>
    <w:rsid w:val="00EA7F91"/>
    <w:rsid w:val="00EB1523"/>
    <w:rsid w:val="00EC0E49"/>
    <w:rsid w:val="00EC101F"/>
    <w:rsid w:val="00EC1D9F"/>
    <w:rsid w:val="00EE0131"/>
    <w:rsid w:val="00EE17B0"/>
    <w:rsid w:val="00EF06D9"/>
    <w:rsid w:val="00EF07AE"/>
    <w:rsid w:val="00F30C64"/>
    <w:rsid w:val="00F32BA2"/>
    <w:rsid w:val="00F32CDB"/>
    <w:rsid w:val="00F363D3"/>
    <w:rsid w:val="00F565FE"/>
    <w:rsid w:val="00F63A70"/>
    <w:rsid w:val="00F65690"/>
    <w:rsid w:val="00F7534E"/>
    <w:rsid w:val="00F77F42"/>
    <w:rsid w:val="00F94B55"/>
    <w:rsid w:val="00F96414"/>
    <w:rsid w:val="00F971F7"/>
    <w:rsid w:val="00FA21D0"/>
    <w:rsid w:val="00FA5F5F"/>
    <w:rsid w:val="00FB2236"/>
    <w:rsid w:val="00FB730C"/>
    <w:rsid w:val="00FC2695"/>
    <w:rsid w:val="00FC3E03"/>
    <w:rsid w:val="00FC3FC1"/>
    <w:rsid w:val="00FC53E4"/>
    <w:rsid w:val="00FE38ED"/>
    <w:rsid w:val="00FF26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4BFCB876-4796-4CDD-849D-5457EA2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Default">
    <w:name w:val="Default"/>
    <w:rsid w:val="002D371E"/>
    <w:pPr>
      <w:autoSpaceDE w:val="0"/>
      <w:autoSpaceDN w:val="0"/>
      <w:adjustRightInd w:val="0"/>
      <w:spacing w:after="0" w:line="240" w:lineRule="auto"/>
    </w:pPr>
    <w:rPr>
      <w:rFonts w:ascii="Arial" w:hAnsi="Arial" w:cs="Arial"/>
      <w:color w:val="000000"/>
      <w:sz w:val="24"/>
      <w:szCs w:val="24"/>
      <w:lang w:val="en-GB"/>
      <w14:ligatures w14:val="standardContextual"/>
    </w:rPr>
  </w:style>
  <w:style w:type="character" w:styleId="UnresolvedMention">
    <w:name w:val="Unresolved Mention"/>
    <w:basedOn w:val="DefaultParagraphFont"/>
    <w:uiPriority w:val="99"/>
    <w:semiHidden/>
    <w:unhideWhenUsed/>
    <w:rsid w:val="00602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2620</Words>
  <Characters>14281</Characters>
  <Application>Microsoft Office Word</Application>
  <DocSecurity>0</DocSecurity>
  <Lines>310</Lines>
  <Paragraphs>196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Luigi Raimondi</cp:lastModifiedBy>
  <cp:revision>2</cp:revision>
  <cp:lastPrinted>2015-05-12T18:31:00Z</cp:lastPrinted>
  <dcterms:created xsi:type="dcterms:W3CDTF">2024-06-10T16:29:00Z</dcterms:created>
  <dcterms:modified xsi:type="dcterms:W3CDTF">2024-06-10T16:29:00Z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0b33ba0427d8df32504284d111ed8698712a5e32eb45457c9eb3ec4b559b6d93</vt:lpwstr>
  </property>
</Properties>
</file>