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a.xml" ContentType="application/vnd.openxmlformats-officedocument.wordprocessingml.header+xml"/>
  <Override PartName="/word/footer9.xml" ContentType="application/vnd.openxmlformats-officedocument.wordprocessingml.footer+xml"/>
  <Override PartName="/word/footera.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jc w:val="center"/>
        <w:tblBorders>
          <w:bottom w:val="single" w:color="auto" w:sz="4" w:space="0"/>
        </w:tblBorders>
        <w:tblLook w:val="01E0" w:firstRow="1" w:lastRow="1" w:firstColumn="1" w:lastColumn="1" w:noHBand="0" w:noVBand="0"/>
      </w:tblPr>
      <w:tblGrid>
        <w:gridCol w:w="6946"/>
        <w:gridCol w:w="1843"/>
      </w:tblGrid>
      <w:tr w:rsidRPr="00B57B36" w:rsidR="000A03B2" w:rsidTr="00DE264A" w14:paraId="2A131A54" w14:textId="77777777">
        <w:trPr>
          <w:trHeight w:val="852"/>
          <w:jc w:val="center"/>
        </w:trPr>
        <w:tc>
          <w:tcPr>
            <w:tcW w:w="6946" w:type="dxa"/>
            <w:vMerge w:val="restart"/>
            <w:tcBorders>
              <w:right w:val="single" w:color="auto" w:sz="4" w:space="0"/>
            </w:tcBorders>
          </w:tcPr>
          <w:p w:rsidRPr="00B57B36" w:rsidR="000A03B2" w:rsidP="00DE264A" w:rsidRDefault="000A03B2" w14:paraId="38C3D2BA" w14:textId="77777777">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Pr="00B57B36" w:rsidR="000A03B2" w:rsidP="00B57E6F" w:rsidRDefault="00A76EFC" w14:paraId="4B780582" w14:textId="38BD1662">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color="auto" w:sz="4" w:space="0"/>
              <w:bottom w:val="nil"/>
              <w:right w:val="single" w:color="auto" w:sz="4" w:space="0"/>
            </w:tcBorders>
          </w:tcPr>
          <w:p w:rsidRPr="00B57B36" w:rsidR="000A03B2" w:rsidP="00CD5FE2" w:rsidRDefault="000A03B2" w14:paraId="56782132" w14:textId="77777777">
            <w:pPr>
              <w:spacing w:line="140" w:lineRule="atLeast"/>
              <w:jc w:val="right"/>
              <w:rPr>
                <w:rFonts w:cs="Arial"/>
                <w:sz w:val="14"/>
                <w:szCs w:val="14"/>
              </w:rPr>
            </w:pPr>
            <w:r w:rsidRPr="00B57B36">
              <w:rPr>
                <w:rFonts w:cs="Arial"/>
                <w:sz w:val="14"/>
                <w:szCs w:val="14"/>
              </w:rPr>
              <w:t>A publication of</w:t>
            </w:r>
          </w:p>
          <w:p w:rsidRPr="00B57B36" w:rsidR="000A03B2" w:rsidP="00CD5FE2" w:rsidRDefault="000A03B2" w14:paraId="599E5441" w14:textId="77777777">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Pr="00B57B36" w:rsidR="000A03B2" w:rsidTr="00DE264A" w14:paraId="380FA3CD" w14:textId="77777777">
        <w:trPr>
          <w:trHeight w:val="567"/>
          <w:jc w:val="center"/>
        </w:trPr>
        <w:tc>
          <w:tcPr>
            <w:tcW w:w="6946" w:type="dxa"/>
            <w:vMerge/>
            <w:tcBorders>
              <w:right w:val="single" w:color="auto" w:sz="4" w:space="0"/>
            </w:tcBorders>
          </w:tcPr>
          <w:p w:rsidRPr="00B57B36" w:rsidR="000A03B2" w:rsidP="00CD5FE2" w:rsidRDefault="000A03B2" w14:paraId="39E5E4C1" w14:textId="77777777">
            <w:pPr>
              <w:tabs>
                <w:tab w:val="left" w:pos="-108"/>
              </w:tabs>
            </w:pPr>
          </w:p>
        </w:tc>
        <w:tc>
          <w:tcPr>
            <w:tcW w:w="1843" w:type="dxa"/>
            <w:tcBorders>
              <w:left w:val="single" w:color="auto" w:sz="4" w:space="0"/>
              <w:bottom w:val="nil"/>
              <w:right w:val="single" w:color="auto" w:sz="4" w:space="0"/>
            </w:tcBorders>
          </w:tcPr>
          <w:p w:rsidRPr="00B57B36" w:rsidR="000A03B2" w:rsidP="00CD5FE2" w:rsidRDefault="000A03B2" w14:paraId="43858A98" w14:textId="77777777">
            <w:pPr>
              <w:spacing w:line="140" w:lineRule="atLeast"/>
              <w:jc w:val="right"/>
              <w:rPr>
                <w:rFonts w:cs="Arial"/>
                <w:sz w:val="14"/>
                <w:szCs w:val="14"/>
              </w:rPr>
            </w:pPr>
            <w:r w:rsidRPr="00B57B36">
              <w:rPr>
                <w:rFonts w:cs="Arial"/>
                <w:sz w:val="14"/>
                <w:szCs w:val="14"/>
              </w:rPr>
              <w:t>The Italian Association</w:t>
            </w:r>
          </w:p>
          <w:p w:rsidRPr="00B57B36" w:rsidR="000A03B2" w:rsidP="00CD5FE2" w:rsidRDefault="000A03B2" w14:paraId="7522B1D2" w14:textId="77777777">
            <w:pPr>
              <w:spacing w:line="140" w:lineRule="atLeast"/>
              <w:jc w:val="right"/>
              <w:rPr>
                <w:rFonts w:cs="Arial"/>
                <w:sz w:val="14"/>
                <w:szCs w:val="14"/>
              </w:rPr>
            </w:pPr>
            <w:r w:rsidRPr="00B57B36">
              <w:rPr>
                <w:rFonts w:cs="Arial"/>
                <w:sz w:val="14"/>
                <w:szCs w:val="14"/>
              </w:rPr>
              <w:t>of Chemical Engineering</w:t>
            </w:r>
          </w:p>
          <w:p w:rsidRPr="000D0268" w:rsidR="000A03B2" w:rsidP="00CD5FE2" w:rsidRDefault="000D0268" w14:paraId="4F0CC5DE" w14:textId="47FDB2FC">
            <w:pPr>
              <w:spacing w:line="140" w:lineRule="atLeast"/>
              <w:jc w:val="right"/>
              <w:rPr>
                <w:rFonts w:cs="Arial"/>
                <w:sz w:val="13"/>
                <w:szCs w:val="13"/>
              </w:rPr>
            </w:pPr>
            <w:r w:rsidRPr="000D0268">
              <w:rPr>
                <w:rFonts w:cs="Arial"/>
                <w:sz w:val="13"/>
                <w:szCs w:val="13"/>
              </w:rPr>
              <w:t>Online at www.cetjournal.it</w:t>
            </w:r>
          </w:p>
        </w:tc>
      </w:tr>
      <w:tr w:rsidRPr="00B57B36" w:rsidR="000A03B2" w:rsidTr="00DE264A" w14:paraId="2D1B7169" w14:textId="77777777">
        <w:trPr>
          <w:trHeight w:val="68"/>
          <w:jc w:val="center"/>
        </w:trPr>
        <w:tc>
          <w:tcPr>
            <w:tcW w:w="8789" w:type="dxa"/>
            <w:gridSpan w:val="2"/>
          </w:tcPr>
          <w:p w:rsidRPr="00825DD9" w:rsidR="00300E56" w:rsidP="00B57E6F" w:rsidRDefault="00300E56" w14:paraId="4B0BB442" w14:textId="4EADF2C2">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Pr="00825DD9" w:rsidR="00904C62">
              <w:rPr>
                <w:rFonts w:ascii="Tahoma" w:hAnsi="Tahoma" w:cs="Tahoma"/>
                <w:iCs/>
                <w:color w:val="333333"/>
                <w:sz w:val="14"/>
                <w:szCs w:val="14"/>
                <w:lang w:val="it-IT" w:eastAsia="it-IT"/>
              </w:rPr>
              <w:t xml:space="preserve"> </w:t>
            </w:r>
            <w:r w:rsidRPr="00825DD9" w:rsidR="00B57E6F">
              <w:rPr>
                <w:rFonts w:ascii="Tahoma" w:hAnsi="Tahoma" w:cs="Tahoma"/>
                <w:color w:val="000000"/>
                <w:sz w:val="14"/>
                <w:szCs w:val="14"/>
                <w:shd w:val="clear" w:color="auto" w:fill="FFFFFF"/>
                <w:lang w:val="it-IT"/>
              </w:rPr>
              <w:t xml:space="preserve">Valerio Cozzani, </w:t>
            </w:r>
            <w:r w:rsidRPr="00825DD9" w:rsidR="001331DF">
              <w:rPr>
                <w:rFonts w:ascii="Tahoma" w:hAnsi="Tahoma" w:cs="Tahoma"/>
                <w:color w:val="000000"/>
                <w:sz w:val="14"/>
                <w:szCs w:val="14"/>
                <w:shd w:val="clear" w:color="auto" w:fill="FFFFFF"/>
                <w:lang w:val="it-IT"/>
              </w:rPr>
              <w:t>Bruno Fabiano</w:t>
            </w:r>
            <w:r w:rsidRPr="00825DD9" w:rsidR="00B57E6F">
              <w:rPr>
                <w:rFonts w:ascii="Tahoma" w:hAnsi="Tahoma" w:cs="Tahoma"/>
                <w:color w:val="000000"/>
                <w:sz w:val="14"/>
                <w:szCs w:val="14"/>
                <w:shd w:val="clear" w:color="auto" w:fill="FFFFFF"/>
                <w:lang w:val="it-IT"/>
              </w:rPr>
              <w:t xml:space="preserve">, </w:t>
            </w:r>
            <w:r w:rsidRPr="00825DD9" w:rsidR="00B57E6F">
              <w:rPr>
                <w:rFonts w:ascii="Tahoma" w:hAnsi="Tahoma" w:cs="Tahoma"/>
                <w:bCs/>
                <w:color w:val="000000"/>
                <w:sz w:val="14"/>
                <w:szCs w:val="14"/>
                <w:lang w:val="it-IT" w:eastAsia="it-IT"/>
              </w:rPr>
              <w:t>Genserik Reniers</w:t>
            </w:r>
          </w:p>
          <w:p w:rsidRPr="00B57B36" w:rsidR="000A03B2" w:rsidP="00B57E6F" w:rsidRDefault="00FA5F5F" w14:paraId="1B0F1814" w14:textId="7E8B8C7E">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Pr="00B57B36" w:rsidR="00904C62">
              <w:rPr>
                <w:rFonts w:ascii="Tahoma" w:hAnsi="Tahoma" w:cs="Tahoma"/>
                <w:iCs/>
                <w:color w:val="333333"/>
                <w:sz w:val="14"/>
                <w:szCs w:val="14"/>
                <w:lang w:eastAsia="it-IT"/>
              </w:rPr>
              <w:t xml:space="preserve">, AIDIC </w:t>
            </w:r>
            <w:proofErr w:type="spellStart"/>
            <w:r w:rsidRPr="00B57B36" w:rsidR="00904C62">
              <w:rPr>
                <w:rFonts w:ascii="Tahoma" w:hAnsi="Tahoma" w:cs="Tahoma"/>
                <w:iCs/>
                <w:color w:val="333333"/>
                <w:sz w:val="14"/>
                <w:szCs w:val="14"/>
                <w:lang w:eastAsia="it-IT"/>
              </w:rPr>
              <w:t>Servizi</w:t>
            </w:r>
            <w:proofErr w:type="spellEnd"/>
            <w:r w:rsidRPr="00B57B36" w:rsidR="00904C62">
              <w:rPr>
                <w:rFonts w:ascii="Tahoma" w:hAnsi="Tahoma" w:cs="Tahoma"/>
                <w:iCs/>
                <w:color w:val="333333"/>
                <w:sz w:val="14"/>
                <w:szCs w:val="14"/>
                <w:lang w:eastAsia="it-IT"/>
              </w:rPr>
              <w:t xml:space="preserve"> </w:t>
            </w:r>
            <w:proofErr w:type="spellStart"/>
            <w:r w:rsidRPr="00B57B36" w:rsidR="00904C62">
              <w:rPr>
                <w:rFonts w:ascii="Tahoma" w:hAnsi="Tahoma" w:cs="Tahoma"/>
                <w:iCs/>
                <w:color w:val="333333"/>
                <w:sz w:val="14"/>
                <w:szCs w:val="14"/>
                <w:lang w:eastAsia="it-IT"/>
              </w:rPr>
              <w:t>S.r.l</w:t>
            </w:r>
            <w:proofErr w:type="spellEnd"/>
            <w:r w:rsidRPr="00B57B36" w:rsidR="00904C62">
              <w:rPr>
                <w:rFonts w:ascii="Tahoma" w:hAnsi="Tahoma" w:cs="Tahoma"/>
                <w:iCs/>
                <w:color w:val="333333"/>
                <w:sz w:val="14"/>
                <w:szCs w:val="14"/>
                <w:lang w:eastAsia="it-IT"/>
              </w:rPr>
              <w:t>.</w:t>
            </w:r>
            <w:r w:rsidRPr="00B57B36" w:rsidR="00300E56">
              <w:rPr>
                <w:rFonts w:ascii="Tahoma" w:hAnsi="Tahoma" w:cs="Tahoma"/>
                <w:iCs/>
                <w:color w:val="333333"/>
                <w:sz w:val="14"/>
                <w:szCs w:val="14"/>
                <w:lang w:eastAsia="it-IT"/>
              </w:rPr>
              <w:br/>
            </w:r>
            <w:r w:rsidRPr="00B57B36" w:rsidR="00300E56">
              <w:rPr>
                <w:rFonts w:ascii="Tahoma" w:hAnsi="Tahoma" w:cs="Tahoma"/>
                <w:b/>
                <w:iCs/>
                <w:color w:val="000000"/>
                <w:sz w:val="14"/>
                <w:szCs w:val="14"/>
                <w:lang w:eastAsia="it-IT"/>
              </w:rPr>
              <w:t>ISBN</w:t>
            </w:r>
            <w:r w:rsidRPr="00B57B36" w:rsidR="00300E56">
              <w:rPr>
                <w:rFonts w:ascii="Tahoma" w:hAnsi="Tahoma" w:cs="Tahoma"/>
                <w:iCs/>
                <w:color w:val="000000"/>
                <w:sz w:val="14"/>
                <w:szCs w:val="14"/>
                <w:lang w:eastAsia="it-IT"/>
              </w:rPr>
              <w:t xml:space="preserve"> </w:t>
            </w:r>
            <w:r w:rsidRPr="00825DD9" w:rsidR="00825DD9">
              <w:rPr>
                <w:rFonts w:ascii="Tahoma" w:hAnsi="Tahoma" w:cs="Tahoma"/>
                <w:sz w:val="14"/>
                <w:szCs w:val="14"/>
                <w:lang w:eastAsia="it-IT"/>
              </w:rPr>
              <w:t>979-12-81206-11-3</w:t>
            </w:r>
            <w:r w:rsidRPr="00EF06D9" w:rsidR="007B48F9">
              <w:rPr>
                <w:rFonts w:ascii="Tahoma" w:hAnsi="Tahoma" w:cs="Tahoma"/>
                <w:iCs/>
                <w:color w:val="333333"/>
                <w:sz w:val="14"/>
                <w:szCs w:val="14"/>
                <w:lang w:eastAsia="it-IT"/>
              </w:rPr>
              <w:t>;</w:t>
            </w:r>
            <w:r w:rsidRPr="00B57B36" w:rsidR="00300E56">
              <w:rPr>
                <w:rFonts w:ascii="Tahoma" w:hAnsi="Tahoma" w:cs="Tahoma"/>
                <w:iCs/>
                <w:color w:val="333333"/>
                <w:sz w:val="14"/>
                <w:szCs w:val="14"/>
                <w:lang w:eastAsia="it-IT"/>
              </w:rPr>
              <w:t xml:space="preserve"> </w:t>
            </w:r>
            <w:r w:rsidRPr="00B57B36" w:rsidR="00300E56">
              <w:rPr>
                <w:rFonts w:ascii="Tahoma" w:hAnsi="Tahoma" w:cs="Tahoma"/>
                <w:b/>
                <w:iCs/>
                <w:color w:val="333333"/>
                <w:sz w:val="14"/>
                <w:szCs w:val="14"/>
                <w:lang w:eastAsia="it-IT"/>
              </w:rPr>
              <w:t>ISSN</w:t>
            </w:r>
            <w:r w:rsidRPr="00B57B36" w:rsidR="00300E56">
              <w:rPr>
                <w:rFonts w:ascii="Tahoma" w:hAnsi="Tahoma" w:cs="Tahoma"/>
                <w:iCs/>
                <w:color w:val="333333"/>
                <w:sz w:val="14"/>
                <w:szCs w:val="14"/>
                <w:lang w:eastAsia="it-IT"/>
              </w:rPr>
              <w:t xml:space="preserve"> 2283-9216</w:t>
            </w:r>
          </w:p>
        </w:tc>
      </w:tr>
    </w:tbl>
    <w:p w:rsidRPr="00B57B36" w:rsidR="000A03B2" w:rsidP="000A03B2" w:rsidRDefault="000A03B2" w14:paraId="10DAA130" w14:textId="77777777">
      <w:pPr>
        <w:pStyle w:val="CETAuthors"/>
        <w:sectPr w:rsidRPr="00B57B36" w:rsidR="000A03B2" w:rsidSect="00CD5FE2">
          <w:type w:val="continuous"/>
          <w:pgSz w:w="11906" w:h="16838" w:orient="portrait" w:code="9"/>
          <w:pgMar w:top="1701" w:right="1418" w:bottom="1701" w:left="1701" w:header="1701" w:footer="0" w:gutter="0"/>
          <w:cols w:space="708"/>
          <w:titlePg/>
          <w:docGrid w:linePitch="360"/>
          <w:headerReference w:type="default" r:id="R2323b451adac4566"/>
          <w:headerReference w:type="first" r:id="Rbf333b6f9bd14651"/>
          <w:footerReference w:type="default" r:id="R0b5e6a308f8b4468"/>
          <w:footerReference w:type="first" r:id="R20fb73b2b48a405f"/>
        </w:sectPr>
      </w:pPr>
    </w:p>
    <w:p w:rsidRPr="00665323" w:rsidR="00E978D0" w:rsidP="00665323" w:rsidRDefault="5DBF28FB" w14:paraId="2E667253" w14:textId="6D3393DB">
      <w:pPr>
        <w:pStyle w:val="CETTitle"/>
      </w:pPr>
      <w:r>
        <w:t xml:space="preserve">Customizing a Weighted Scale for Precision in Fatigue Assessment within the Process Industry  </w:t>
      </w:r>
    </w:p>
    <w:p w:rsidRPr="00A3623B" w:rsidR="00B57E6F" w:rsidP="00B57E6F" w:rsidRDefault="0B38934F" w14:paraId="0488FED2" w14:textId="26446166">
      <w:pPr>
        <w:pStyle w:val="CETAuthors"/>
        <w:rPr>
          <w:lang w:val="it-IT"/>
        </w:rPr>
      </w:pPr>
      <w:r w:rsidRPr="00A3623B">
        <w:rPr>
          <w:lang w:val="it-IT"/>
        </w:rPr>
        <w:t>C</w:t>
      </w:r>
      <w:r w:rsidRPr="00A3623B" w:rsidR="6DC56DA6">
        <w:rPr>
          <w:lang w:val="it-IT"/>
        </w:rPr>
        <w:t>arlos Albarrán Morillo*,</w:t>
      </w:r>
      <w:r w:rsidRPr="00A3623B" w:rsidR="0A71BCE7">
        <w:rPr>
          <w:lang w:val="it-IT"/>
        </w:rPr>
        <w:t xml:space="preserve"> </w:t>
      </w:r>
      <w:r w:rsidRPr="3F60FB55" w:rsidR="0A71BCE7">
        <w:rPr>
          <w:rFonts w:eastAsia="Arial" w:cs="Arial"/>
          <w:color w:val="000000" w:themeColor="text1"/>
          <w:szCs w:val="24"/>
          <w:lang w:val="it-IT"/>
        </w:rPr>
        <w:t>Huxiao Shi,</w:t>
      </w:r>
      <w:r w:rsidRPr="00A3623B" w:rsidR="0A71BCE7">
        <w:rPr>
          <w:lang w:val="it-IT"/>
        </w:rPr>
        <w:t xml:space="preserve"> Gabriele Baldissone,</w:t>
      </w:r>
      <w:r w:rsidRPr="00A3623B" w:rsidR="6DC56DA6">
        <w:rPr>
          <w:lang w:val="it-IT"/>
        </w:rPr>
        <w:t xml:space="preserve"> </w:t>
      </w:r>
      <w:r w:rsidRPr="00A3623B" w:rsidR="2F46D27D">
        <w:rPr>
          <w:lang w:val="it-IT"/>
        </w:rPr>
        <w:t>Micaela Demichela</w:t>
      </w:r>
    </w:p>
    <w:p w:rsidRPr="00B57B36" w:rsidR="00B57E6F" w:rsidP="00B57E6F" w:rsidRDefault="0F08AF0B" w14:paraId="6B2D21B3" w14:textId="3C72F32F">
      <w:pPr>
        <w:pStyle w:val="CETAddress"/>
      </w:pPr>
      <w:r>
        <w:t xml:space="preserve">Applied Science and Technology Department, Politecnico di Torino, Turin, Italy  </w:t>
      </w:r>
    </w:p>
    <w:p w:rsidRPr="00B57B36" w:rsidR="00B57E6F" w:rsidP="00B57E6F" w:rsidRDefault="0F08AF0B" w14:paraId="73F1267A" w14:textId="58FB67E6">
      <w:pPr>
        <w:pStyle w:val="CETemail"/>
      </w:pPr>
      <w:r>
        <w:t>carlos.albarran@polito.it</w:t>
      </w:r>
    </w:p>
    <w:p w:rsidRPr="00B57B36" w:rsidR="00600535" w:rsidP="00600535" w:rsidRDefault="29C4AF38" w14:paraId="04B319EE" w14:textId="187853A9">
      <w:pPr>
        <w:pStyle w:val="CETBodytext"/>
        <w:rPr>
          <w:lang w:val="en-GB"/>
        </w:rPr>
      </w:pPr>
      <w:r w:rsidRPr="63C25C16" w:rsidR="29C4AF38">
        <w:rPr>
          <w:lang w:val="en-GB"/>
        </w:rPr>
        <w:t xml:space="preserve">In the diverse landscape of process industries, operators </w:t>
      </w:r>
      <w:r w:rsidRPr="63C25C16" w:rsidR="29C4AF38">
        <w:rPr>
          <w:lang w:val="en-GB"/>
        </w:rPr>
        <w:t>frequently</w:t>
      </w:r>
      <w:r w:rsidRPr="63C25C16" w:rsidR="29C4AF38">
        <w:rPr>
          <w:lang w:val="en-GB"/>
        </w:rPr>
        <w:t xml:space="preserve"> undertake solitary activities such as routine inspections, instrument calibration, emergency response, equipment maintenance, sampling and testing, and isolation procedures. The heightened focus on physical fatigue management in these operations has sparked a critical </w:t>
      </w:r>
      <w:r w:rsidRPr="63C25C16" w:rsidR="329DF93F">
        <w:rPr>
          <w:lang w:val="en-GB"/>
        </w:rPr>
        <w:t>re-evaluation</w:t>
      </w:r>
      <w:r w:rsidRPr="63C25C16" w:rsidR="29C4AF38">
        <w:rPr>
          <w:lang w:val="en-GB"/>
        </w:rPr>
        <w:t xml:space="preserve"> of current approaches. Currently, the prevalent method for assessing physical fatigue relies on subjective testing, primarily employing the Borg scale. However, the intrinsic limitations, characterized by low accuracy and a lack of real-time measurement, hinder its refinement and effectiveness. Motivated by the potential of objective measures, this research introduces an innovative approach to measuring physical fatigue. Specifically, a smartwatch equipped to collect electrodermal activity, skin temperature, pulse rate, and motion parameters is employed. Data is gathered in a fitness environment simulating industrial tasks, </w:t>
      </w:r>
      <w:r w:rsidRPr="63C25C16" w:rsidR="29C4AF38">
        <w:rPr>
          <w:lang w:val="en-GB"/>
        </w:rPr>
        <w:t>providing</w:t>
      </w:r>
      <w:r w:rsidRPr="63C25C16" w:rsidR="29C4AF38">
        <w:rPr>
          <w:lang w:val="en-GB"/>
        </w:rPr>
        <w:t xml:space="preserve"> valuable insights into physical fatigue dynamics. </w:t>
      </w:r>
      <w:r w:rsidRPr="63C25C16" w:rsidR="1365D5C5">
        <w:rPr>
          <w:lang w:val="en-GB"/>
        </w:rPr>
        <w:t>The objective data collected are then subjected to Principal Component Analysis</w:t>
      </w:r>
      <w:r w:rsidRPr="63C25C16" w:rsidR="4A214706">
        <w:rPr>
          <w:lang w:val="en-GB"/>
        </w:rPr>
        <w:t xml:space="preserve"> (PCA)</w:t>
      </w:r>
      <w:r w:rsidRPr="63C25C16" w:rsidR="1365D5C5">
        <w:rPr>
          <w:lang w:val="en-GB"/>
        </w:rPr>
        <w:t xml:space="preserve"> to derive two principal components: one related to physiological aspects and the other associated with motion dimensi</w:t>
      </w:r>
      <w:r w:rsidRPr="63C25C16" w:rsidR="1365D5C5">
        <w:rPr>
          <w:lang w:val="en-GB"/>
        </w:rPr>
        <w:t xml:space="preserve">ons. </w:t>
      </w:r>
      <w:r w:rsidRPr="63C25C16" w:rsidR="29C4AF38">
        <w:rPr>
          <w:lang w:val="en-GB"/>
        </w:rPr>
        <w:t>Subse</w:t>
      </w:r>
      <w:r w:rsidRPr="63C25C16" w:rsidR="29C4AF38">
        <w:rPr>
          <w:lang w:val="en-GB"/>
        </w:rPr>
        <w:t>quent</w:t>
      </w:r>
      <w:r w:rsidRPr="63C25C16" w:rsidR="29C4AF38">
        <w:rPr>
          <w:lang w:val="en-GB"/>
        </w:rPr>
        <w:t xml:space="preserve"> linear regression anal</w:t>
      </w:r>
      <w:r w:rsidRPr="63C25C16" w:rsidR="29C4AF38">
        <w:rPr>
          <w:lang w:val="en-GB"/>
        </w:rPr>
        <w:t xml:space="preserve">yses </w:t>
      </w:r>
      <w:r w:rsidRPr="63C25C16" w:rsidR="29C4AF38">
        <w:rPr>
          <w:lang w:val="en-GB"/>
        </w:rPr>
        <w:t>ut</w:t>
      </w:r>
      <w:r w:rsidRPr="63C25C16" w:rsidR="29C4AF38">
        <w:rPr>
          <w:lang w:val="en-GB"/>
        </w:rPr>
        <w:t>ilize</w:t>
      </w:r>
      <w:r w:rsidRPr="63C25C16" w:rsidR="29C4AF38">
        <w:rPr>
          <w:lang w:val="en-GB"/>
        </w:rPr>
        <w:t xml:space="preserve"> these s</w:t>
      </w:r>
      <w:r w:rsidRPr="63C25C16" w:rsidR="076295A8">
        <w:rPr>
          <w:lang w:val="en-GB"/>
        </w:rPr>
        <w:t>ubscale</w:t>
      </w:r>
      <w:r w:rsidRPr="63C25C16" w:rsidR="076295A8">
        <w:rPr>
          <w:lang w:val="en-GB"/>
        </w:rPr>
        <w:t>s</w:t>
      </w:r>
      <w:r w:rsidRPr="63C25C16" w:rsidR="29C4AF38">
        <w:rPr>
          <w:lang w:val="en-GB"/>
        </w:rPr>
        <w:t xml:space="preserve"> to </w:t>
      </w:r>
      <w:r w:rsidRPr="63C25C16" w:rsidR="29C4AF38">
        <w:rPr>
          <w:lang w:val="en-GB"/>
        </w:rPr>
        <w:t>esta</w:t>
      </w:r>
      <w:r w:rsidRPr="63C25C16" w:rsidR="29C4AF38">
        <w:rPr>
          <w:lang w:val="en-GB"/>
        </w:rPr>
        <w:t>blish</w:t>
      </w:r>
      <w:r w:rsidRPr="63C25C16" w:rsidR="29C4AF38">
        <w:rPr>
          <w:lang w:val="en-GB"/>
        </w:rPr>
        <w:t xml:space="preserve"> a physical fatigue-weighted scale based solely on factual data. The derived physical fatigue scale reveals promising applications as a customized warning system, exclusi</w:t>
      </w:r>
      <w:r w:rsidRPr="63C25C16" w:rsidR="29C4AF38">
        <w:rPr>
          <w:lang w:val="en-GB"/>
        </w:rPr>
        <w:t xml:space="preserve">vely </w:t>
      </w:r>
      <w:r w:rsidRPr="63C25C16" w:rsidR="29C4AF38">
        <w:rPr>
          <w:lang w:val="en-GB"/>
        </w:rPr>
        <w:t>lever</w:t>
      </w:r>
      <w:r w:rsidRPr="63C25C16" w:rsidR="29C4AF38">
        <w:rPr>
          <w:lang w:val="en-GB"/>
        </w:rPr>
        <w:t>aging</w:t>
      </w:r>
      <w:r w:rsidRPr="63C25C16" w:rsidR="29C4AF38">
        <w:rPr>
          <w:lang w:val="en-GB"/>
        </w:rPr>
        <w:t xml:space="preserve"> a non-intrusive smartwatch.</w:t>
      </w:r>
      <w:bookmarkStart w:name="_Hlk495475023" w:id="0"/>
    </w:p>
    <w:bookmarkEnd w:id="0"/>
    <w:p w:rsidRPr="00B57B36" w:rsidR="00600535" w:rsidP="00600535" w:rsidRDefault="00600535" w14:paraId="476B2F2E" w14:textId="77777777">
      <w:pPr>
        <w:pStyle w:val="CETHeading1"/>
        <w:rPr>
          <w:lang w:val="en-GB"/>
        </w:rPr>
      </w:pPr>
      <w:r w:rsidRPr="3F60FB55">
        <w:rPr>
          <w:lang w:val="en-GB"/>
        </w:rPr>
        <w:t>Introduction</w:t>
      </w:r>
    </w:p>
    <w:p w:rsidR="6AB2840B" w:rsidP="766F4288" w:rsidRDefault="6AB2840B" w14:paraId="72E389A6" w14:textId="6EC5B862">
      <w:pPr>
        <w:pStyle w:val="a1"/>
        <w:spacing w:before="240" w:beforeAutospacing="off" w:after="240" w:afterAutospacing="off"/>
        <w:rPr>
          <w:lang w:val="en-GB"/>
        </w:rPr>
      </w:pPr>
      <w:r w:rsidRPr="4908073F" w:rsidR="6AB2840B">
        <w:rPr>
          <w:lang w:val="en-GB"/>
        </w:rPr>
        <w:t>The process industries are complicated and demanding, with operators undertaking solo activities such as routine inspections, instrument calibration, emergency reactions, equipment maintenance, sampling and testing, and isolation protocols</w:t>
      </w:r>
      <w:r w:rsidRPr="4908073F" w:rsidR="0690C2C5">
        <w:rPr>
          <w:lang w:val="en-GB"/>
        </w:rPr>
        <w:t xml:space="preserve"> (</w:t>
      </w:r>
      <w:r w:rsidRPr="4908073F" w:rsidR="6B59F2C2">
        <w:rPr>
          <w:lang w:val="en-GB"/>
        </w:rPr>
        <w:t>Jamshidi, 2018</w:t>
      </w:r>
      <w:r w:rsidRPr="4908073F" w:rsidR="0690C2C5">
        <w:rPr>
          <w:lang w:val="en-GB"/>
        </w:rPr>
        <w:t>)</w:t>
      </w:r>
      <w:r w:rsidRPr="4908073F" w:rsidR="6AB2840B">
        <w:rPr>
          <w:lang w:val="en-GB"/>
        </w:rPr>
        <w:t>. These operations might cause physical tiredness because operators must negotiate the demands with steadfast accuracy</w:t>
      </w:r>
      <w:r w:rsidRPr="4908073F" w:rsidR="5920AC02">
        <w:rPr>
          <w:lang w:val="en-GB"/>
        </w:rPr>
        <w:t xml:space="preserve"> (</w:t>
      </w:r>
      <w:r w:rsidRPr="4908073F" w:rsidR="2A399772">
        <w:rPr>
          <w:lang w:val="en-GB"/>
        </w:rPr>
        <w:t>Frederick et al., 1984</w:t>
      </w:r>
      <w:r w:rsidRPr="4908073F" w:rsidR="5920AC02">
        <w:rPr>
          <w:lang w:val="en-GB"/>
        </w:rPr>
        <w:t>)</w:t>
      </w:r>
      <w:r w:rsidRPr="4908073F" w:rsidR="6AB2840B">
        <w:rPr>
          <w:lang w:val="en-GB"/>
        </w:rPr>
        <w:t xml:space="preserve">. The rigorous nature of routine inspections and emergency reactions </w:t>
      </w:r>
      <w:r w:rsidRPr="4908073F" w:rsidR="6AB2840B">
        <w:rPr>
          <w:lang w:val="en-GB"/>
        </w:rPr>
        <w:t>necessitates</w:t>
      </w:r>
      <w:r w:rsidRPr="4908073F" w:rsidR="6AB2840B">
        <w:rPr>
          <w:lang w:val="en-GB"/>
        </w:rPr>
        <w:t xml:space="preserve"> top physical fitness, but the cumulative impact can cause a progressive loss of energy and awareness</w:t>
      </w:r>
      <w:r w:rsidRPr="4908073F" w:rsidR="6AB2840B">
        <w:rPr>
          <w:lang w:val="en-GB"/>
        </w:rPr>
        <w:t xml:space="preserve">. Instrument calibration and equipment maintenance demand prolonged concentration and physical effort, which adds to the strain felt by operators. Sampling and testing, which are critical for quality control and process optimization, need rigorous attention to detail, </w:t>
      </w:r>
      <w:r w:rsidRPr="4908073F" w:rsidR="6AB2840B">
        <w:rPr>
          <w:lang w:val="en-GB"/>
        </w:rPr>
        <w:t>frequently</w:t>
      </w:r>
      <w:r w:rsidRPr="4908073F" w:rsidR="6AB2840B">
        <w:rPr>
          <w:lang w:val="en-GB"/>
        </w:rPr>
        <w:t xml:space="preserve"> requiring operators to work with heavy equipment and </w:t>
      </w:r>
      <w:r w:rsidRPr="4908073F" w:rsidR="6AB2840B">
        <w:rPr>
          <w:lang w:val="en-GB"/>
        </w:rPr>
        <w:t>maintain</w:t>
      </w:r>
      <w:r w:rsidRPr="4908073F" w:rsidR="6AB2840B">
        <w:rPr>
          <w:lang w:val="en-GB"/>
        </w:rPr>
        <w:t xml:space="preserve"> lengthy focus. Isolation techniques, while critical for safety and contamination avoidance, need a thorough approach. </w:t>
      </w:r>
      <w:r w:rsidRPr="4908073F" w:rsidR="45FA4A02">
        <w:rPr>
          <w:lang w:val="en-GB"/>
        </w:rPr>
        <w:t>When faced with life-threatening scenarios or exhaustion, workers are 99% more likely to make poor judgments</w:t>
      </w:r>
      <w:r w:rsidRPr="4908073F" w:rsidR="4ACDBB25">
        <w:rPr>
          <w:lang w:val="en-GB"/>
        </w:rPr>
        <w:t xml:space="preserve"> </w:t>
      </w:r>
      <w:r w:rsidRPr="4908073F" w:rsidR="3934EF57">
        <w:rPr>
          <w:noProof w:val="0"/>
          <w:lang w:val="en-GB"/>
        </w:rPr>
        <w:t>(</w:t>
      </w:r>
      <w:r w:rsidRPr="4908073F" w:rsidR="3934EF57">
        <w:rPr>
          <w:noProof w:val="0"/>
          <w:lang w:val="en-GB"/>
        </w:rPr>
        <w:t xml:space="preserve">Gruhn and </w:t>
      </w:r>
      <w:r w:rsidRPr="4908073F" w:rsidR="3934EF57">
        <w:rPr>
          <w:noProof w:val="0"/>
          <w:lang w:val="en-GB"/>
        </w:rPr>
        <w:t>Cheddie</w:t>
      </w:r>
      <w:r w:rsidRPr="4908073F" w:rsidR="3934EF57">
        <w:rPr>
          <w:noProof w:val="0"/>
          <w:lang w:val="en-GB"/>
        </w:rPr>
        <w:t>, 2006</w:t>
      </w:r>
      <w:r w:rsidRPr="4908073F" w:rsidR="3934EF57">
        <w:rPr>
          <w:noProof w:val="0"/>
          <w:lang w:val="en-GB"/>
        </w:rPr>
        <w:t>).</w:t>
      </w:r>
      <w:r w:rsidRPr="4908073F" w:rsidR="58FFB196">
        <w:rPr>
          <w:noProof w:val="0"/>
          <w:lang w:val="en-GB"/>
        </w:rPr>
        <w:t xml:space="preserve"> For this reason, t</w:t>
      </w:r>
      <w:r w:rsidRPr="4908073F" w:rsidR="6AB2840B">
        <w:rPr>
          <w:lang w:val="en-GB"/>
        </w:rPr>
        <w:t>he</w:t>
      </w:r>
      <w:r w:rsidRPr="4908073F" w:rsidR="6AB2840B">
        <w:rPr>
          <w:lang w:val="en-GB"/>
        </w:rPr>
        <w:t xml:space="preserve"> management of physical weariness is critical to the productivity, safety, and success of process industries</w:t>
      </w:r>
      <w:r w:rsidRPr="4908073F" w:rsidR="74292B89">
        <w:rPr>
          <w:lang w:val="en-GB"/>
        </w:rPr>
        <w:t xml:space="preserve"> (</w:t>
      </w:r>
      <w:r w:rsidRPr="4908073F" w:rsidR="07B4D1A6">
        <w:rPr>
          <w:lang w:val="en-GB"/>
        </w:rPr>
        <w:t>Randolph, 2015</w:t>
      </w:r>
      <w:r w:rsidRPr="4908073F" w:rsidR="74292B89">
        <w:rPr>
          <w:lang w:val="en-GB"/>
        </w:rPr>
        <w:t>)</w:t>
      </w:r>
      <w:r w:rsidRPr="4908073F" w:rsidR="6AB2840B">
        <w:rPr>
          <w:lang w:val="en-GB"/>
        </w:rPr>
        <w:t xml:space="preserve">. In this dynamic industry, a novel method to </w:t>
      </w:r>
      <w:r w:rsidRPr="4908073F" w:rsidR="75455914">
        <w:rPr>
          <w:lang w:val="en-GB"/>
        </w:rPr>
        <w:t>detect</w:t>
      </w:r>
      <w:r w:rsidRPr="4908073F" w:rsidR="6AB2840B">
        <w:rPr>
          <w:lang w:val="en-GB"/>
        </w:rPr>
        <w:t xml:space="preserve"> and control physical stress is</w:t>
      </w:r>
      <w:r w:rsidRPr="4908073F" w:rsidR="6AB2840B">
        <w:rPr>
          <w:lang w:val="en-GB"/>
        </w:rPr>
        <w:t xml:space="preserve"> </w:t>
      </w:r>
      <w:r w:rsidRPr="4908073F" w:rsidR="6AB2840B">
        <w:rPr>
          <w:lang w:val="en-GB"/>
        </w:rPr>
        <w:t>require</w:t>
      </w:r>
      <w:r w:rsidRPr="4908073F" w:rsidR="6AB2840B">
        <w:rPr>
          <w:lang w:val="en-GB"/>
        </w:rPr>
        <w:t>d</w:t>
      </w:r>
      <w:r w:rsidRPr="4908073F" w:rsidR="6AB2840B">
        <w:rPr>
          <w:lang w:val="en-GB"/>
        </w:rPr>
        <w:t xml:space="preserve"> to improve safety, increase productivity, and redefine fatigue management</w:t>
      </w:r>
      <w:r w:rsidRPr="4908073F" w:rsidR="5ABC7C63">
        <w:rPr>
          <w:lang w:val="en-GB"/>
        </w:rPr>
        <w:t xml:space="preserve"> (</w:t>
      </w:r>
      <w:r w:rsidRPr="4908073F" w:rsidR="652B4777">
        <w:rPr>
          <w:lang w:val="en-GB"/>
        </w:rPr>
        <w:t>Randolph, 2015</w:t>
      </w:r>
      <w:r w:rsidRPr="4908073F" w:rsidR="5ABC7C63">
        <w:rPr>
          <w:lang w:val="en-GB"/>
        </w:rPr>
        <w:t>)</w:t>
      </w:r>
      <w:r w:rsidRPr="4908073F" w:rsidR="6AB2840B">
        <w:rPr>
          <w:lang w:val="en-GB"/>
        </w:rPr>
        <w:t>.</w:t>
      </w:r>
    </w:p>
    <w:p w:rsidR="740B3AC5" w:rsidP="3F60FB55" w:rsidRDefault="740B3AC5" w14:paraId="0D278927" w14:textId="024B6AAC">
      <w:pPr>
        <w:pStyle w:val="CETBodytext"/>
      </w:pPr>
      <w:r w:rsidRPr="0EED3580" w:rsidR="740B3AC5">
        <w:rPr>
          <w:lang w:val="en-GB"/>
        </w:rPr>
        <w:t xml:space="preserve">Despite the subjective nature of fatigue, influenced by factors such as overall health, job demands, and circumstances, current evaluation methods lack the accuracy needed for a comprehensive understanding. The prevalent reliance on interviews and questionnaires introduces subjectivity and potential biases into the assessment, making it susceptible to individual mood variations or the willingness to </w:t>
      </w:r>
      <w:r w:rsidRPr="0EED3580" w:rsidR="740B3AC5">
        <w:rPr>
          <w:lang w:val="en-GB"/>
        </w:rPr>
        <w:t>provide</w:t>
      </w:r>
      <w:r w:rsidRPr="0EED3580" w:rsidR="740B3AC5">
        <w:rPr>
          <w:lang w:val="en-GB"/>
        </w:rPr>
        <w:t xml:space="preserve"> </w:t>
      </w:r>
      <w:r w:rsidRPr="0EED3580" w:rsidR="740B3AC5">
        <w:rPr>
          <w:lang w:val="en-GB"/>
        </w:rPr>
        <w:t>accurate</w:t>
      </w:r>
      <w:r w:rsidRPr="0EED3580" w:rsidR="740B3AC5">
        <w:rPr>
          <w:lang w:val="en-GB"/>
        </w:rPr>
        <w:t xml:space="preserve"> accounts of fatigue</w:t>
      </w:r>
      <w:r w:rsidRPr="0EED3580" w:rsidR="2A2584C4">
        <w:rPr>
          <w:lang w:val="en-GB"/>
        </w:rPr>
        <w:t xml:space="preserve"> (</w:t>
      </w:r>
      <w:r w:rsidRPr="0EED3580" w:rsidR="7D8DF70D">
        <w:rPr>
          <w:lang w:val="en-GB"/>
        </w:rPr>
        <w:t>Claros-Salinas et al., 2010</w:t>
      </w:r>
      <w:r w:rsidRPr="0EED3580" w:rsidR="2A2584C4">
        <w:rPr>
          <w:lang w:val="en-GB"/>
        </w:rPr>
        <w:t>)</w:t>
      </w:r>
      <w:r w:rsidRPr="0EED3580" w:rsidR="740B3AC5">
        <w:rPr>
          <w:lang w:val="en-GB"/>
        </w:rPr>
        <w:t>.</w:t>
      </w:r>
    </w:p>
    <w:p w:rsidR="71E13AFA" w:rsidP="4908073F" w:rsidRDefault="71E13AFA" w14:paraId="0B6EED78" w14:textId="03D2971C">
      <w:pPr>
        <w:pStyle w:val="CETBodytext"/>
        <w:rPr>
          <w:lang w:val="en-GB"/>
        </w:rPr>
      </w:pPr>
      <w:r w:rsidRPr="4908073F" w:rsidR="71E13AFA">
        <w:rPr>
          <w:lang w:val="en-GB"/>
        </w:rPr>
        <w:t xml:space="preserve">To improve the reliability of tiredness evaluation, objective metrics must be included. Physical fatigue is </w:t>
      </w:r>
      <w:r w:rsidRPr="4908073F" w:rsidR="71E13AFA">
        <w:rPr>
          <w:lang w:val="en-GB"/>
        </w:rPr>
        <w:t>directly related</w:t>
      </w:r>
      <w:r w:rsidRPr="4908073F" w:rsidR="71E13AFA">
        <w:rPr>
          <w:lang w:val="en-GB"/>
        </w:rPr>
        <w:t xml:space="preserve"> to the sympathetic nervous system (SNS</w:t>
      </w:r>
      <w:r w:rsidRPr="4908073F" w:rsidR="15E07CD6">
        <w:rPr>
          <w:lang w:val="en-GB"/>
        </w:rPr>
        <w:t>) and</w:t>
      </w:r>
      <w:r w:rsidRPr="4908073F" w:rsidR="71E13AFA">
        <w:rPr>
          <w:lang w:val="en-GB"/>
        </w:rPr>
        <w:t xml:space="preserve"> assessing its influence on the body requires the use of several physiological indicators</w:t>
      </w:r>
      <w:r w:rsidRPr="4908073F" w:rsidR="40AB4AE6">
        <w:rPr>
          <w:lang w:val="en-GB"/>
        </w:rPr>
        <w:t xml:space="preserve"> (</w:t>
      </w:r>
      <w:r w:rsidRPr="4908073F" w:rsidR="55B5AD7D">
        <w:rPr>
          <w:lang w:val="en-GB"/>
        </w:rPr>
        <w:t>Hirooka</w:t>
      </w:r>
      <w:r w:rsidRPr="4908073F" w:rsidR="55B5AD7D">
        <w:rPr>
          <w:lang w:val="en-GB"/>
        </w:rPr>
        <w:t>, 2020</w:t>
      </w:r>
      <w:r w:rsidRPr="4908073F" w:rsidR="40AB4AE6">
        <w:rPr>
          <w:lang w:val="en-GB"/>
        </w:rPr>
        <w:t>)</w:t>
      </w:r>
      <w:r w:rsidRPr="4908073F" w:rsidR="71E13AFA">
        <w:rPr>
          <w:lang w:val="en-GB"/>
        </w:rPr>
        <w:t xml:space="preserve">. These markers include factors such as heart rate, blood type, and skin </w:t>
      </w:r>
      <w:r w:rsidRPr="4908073F" w:rsidR="71E13AFA">
        <w:rPr>
          <w:lang w:val="en-GB"/>
        </w:rPr>
        <w:t xml:space="preserve">responses, which together </w:t>
      </w:r>
      <w:r w:rsidRPr="4908073F" w:rsidR="71E13AFA">
        <w:rPr>
          <w:lang w:val="en-GB"/>
        </w:rPr>
        <w:t>provide</w:t>
      </w:r>
      <w:r w:rsidRPr="4908073F" w:rsidR="71E13AFA">
        <w:rPr>
          <w:lang w:val="en-GB"/>
        </w:rPr>
        <w:t xml:space="preserve"> a thorough knowledge of the physiological foundations of fatigue</w:t>
      </w:r>
      <w:r w:rsidRPr="4908073F" w:rsidR="47A26443">
        <w:rPr>
          <w:lang w:val="en-GB"/>
        </w:rPr>
        <w:t xml:space="preserve"> (</w:t>
      </w:r>
      <w:r w:rsidRPr="4908073F" w:rsidR="336AC12B">
        <w:rPr>
          <w:lang w:val="en-GB"/>
        </w:rPr>
        <w:t>Bossung et al., 2023</w:t>
      </w:r>
      <w:r w:rsidRPr="4908073F" w:rsidR="47A26443">
        <w:rPr>
          <w:lang w:val="en-GB"/>
        </w:rPr>
        <w:t>)</w:t>
      </w:r>
      <w:r w:rsidRPr="4908073F" w:rsidR="71E13AFA">
        <w:rPr>
          <w:lang w:val="en-GB"/>
        </w:rPr>
        <w:t>. Utilizing modern technology, particularly wireless sensors, allows for continuous monitoring of an individual's physiological data.</w:t>
      </w:r>
    </w:p>
    <w:p w:rsidR="3F60FB55" w:rsidP="3F60FB55" w:rsidRDefault="3F60FB55" w14:paraId="50F62548" w14:textId="79BEE4EE">
      <w:pPr>
        <w:pStyle w:val="CETBodytext"/>
        <w:rPr>
          <w:lang w:val="en-GB"/>
        </w:rPr>
      </w:pPr>
      <w:r w:rsidRPr="45DB60AF" w:rsidR="0FD4CA01">
        <w:rPr>
          <w:lang w:val="en-GB"/>
        </w:rPr>
        <w:t>This instigates the current study to develop a physical fatigue-weighted scale grounded solely on physiological parameters</w:t>
      </w:r>
      <w:r w:rsidRPr="45DB60AF" w:rsidR="44EA5CD6">
        <w:rPr>
          <w:lang w:val="en-GB"/>
        </w:rPr>
        <w:t xml:space="preserve"> collected via a single smartwatch</w:t>
      </w:r>
      <w:r w:rsidRPr="45DB60AF" w:rsidR="0FD4CA01">
        <w:rPr>
          <w:lang w:val="en-GB"/>
        </w:rPr>
        <w:t xml:space="preserve">. The resulting physical fatigue scale shows promising potential for applications as a tailored warning system, exclusively </w:t>
      </w:r>
      <w:r w:rsidRPr="45DB60AF" w:rsidR="0FD4CA01">
        <w:rPr>
          <w:lang w:val="en-GB"/>
        </w:rPr>
        <w:t>utilizing</w:t>
      </w:r>
      <w:r w:rsidRPr="45DB60AF" w:rsidR="0FD4CA01">
        <w:rPr>
          <w:lang w:val="en-GB"/>
        </w:rPr>
        <w:t xml:space="preserve"> a non-intrusive smartwatch. It aims to provide a simpler yet effective scale for rapid fatigue detection.</w:t>
      </w:r>
    </w:p>
    <w:p w:rsidR="45DB60AF" w:rsidP="45DB60AF" w:rsidRDefault="45DB60AF" w14:paraId="0C9EC2AD" w14:textId="6FCB3C0D">
      <w:pPr>
        <w:pStyle w:val="CETBodytext"/>
        <w:rPr>
          <w:lang w:val="en-GB"/>
        </w:rPr>
      </w:pPr>
    </w:p>
    <w:p w:rsidR="3C9B0DFA" w:rsidP="6B73DD53" w:rsidRDefault="3C9B0DFA" w14:paraId="2CD30857" w14:textId="52BF0275">
      <w:pPr>
        <w:pStyle w:val="CETBodytext"/>
        <w:rPr>
          <w:lang w:val="en-GB"/>
        </w:rPr>
      </w:pPr>
      <w:r w:rsidRPr="6B73DD53">
        <w:rPr>
          <w:lang w:val="en-GB"/>
        </w:rPr>
        <w:t>The remaining sections detail the methodology, including the experimental design, participant information, and data collecting processes. The results and their discussion are then provided, followed by a thorough examination of the limits discovered. The conclusion focuses on the overall model performance and prospective applications.</w:t>
      </w:r>
    </w:p>
    <w:p w:rsidR="330CE98B" w:rsidP="3F60FB55" w:rsidRDefault="330CE98B" w14:paraId="279C6547" w14:textId="22DB2429">
      <w:pPr>
        <w:pStyle w:val="CETHeading1"/>
        <w:rPr>
          <w:lang w:val="en-GB"/>
        </w:rPr>
      </w:pPr>
      <w:r w:rsidRPr="3F60FB55">
        <w:rPr>
          <w:lang w:val="en-GB"/>
        </w:rPr>
        <w:t>Method</w:t>
      </w:r>
    </w:p>
    <w:p w:rsidR="330CE98B" w:rsidP="3F60FB55" w:rsidRDefault="330CE98B" w14:paraId="008BAC22" w14:textId="0CB1E313">
      <w:pPr>
        <w:pStyle w:val="CETheadingx"/>
      </w:pPr>
      <w:r>
        <w:t>Experimental design</w:t>
      </w:r>
    </w:p>
    <w:p w:rsidR="5C508016" w:rsidP="45DB60AF" w:rsidRDefault="5C508016" w14:paraId="0744F3D5" w14:textId="26C61531">
      <w:pPr>
        <w:pStyle w:val="a1"/>
        <w:rPr>
          <w:noProof w:val="0"/>
          <w:lang w:val="en-US"/>
        </w:rPr>
      </w:pPr>
      <w:r w:rsidR="78C0FFFD">
        <w:rPr/>
        <w:t>w</w:t>
      </w:r>
      <w:r w:rsidR="0A790D94">
        <w:rPr/>
        <w:t xml:space="preserve">The proposed </w:t>
      </w:r>
      <w:r w:rsidR="0A790D94">
        <w:rPr/>
        <w:t>methodology</w:t>
      </w:r>
      <w:r w:rsidR="0A790D94">
        <w:rPr/>
        <w:t xml:space="preserve"> evaluates tiredness by simulating industrial duties in a fitness setting. Participants do physically demanding activities such as pushing, tugging, picking up, bending, and lifting, which are frequent in the factory environment. These tasks </w:t>
      </w:r>
      <w:r w:rsidR="0A790D94">
        <w:rPr/>
        <w:t>necessitate</w:t>
      </w:r>
      <w:r w:rsidR="0A790D94">
        <w:rPr/>
        <w:t xml:space="preserve"> repetitive actions and the use of physical force, mimicking real-world </w:t>
      </w:r>
      <w:r w:rsidR="0A790D94">
        <w:rPr/>
        <w:t>labor</w:t>
      </w:r>
      <w:r w:rsidR="0A790D94">
        <w:rPr/>
        <w:t xml:space="preserve"> conditions. </w:t>
      </w:r>
      <w:r w:rsidR="0D23C3D0">
        <w:rPr/>
        <w:t xml:space="preserve">To ensure safety and data quality, the study recruited participants who were physically fit and had experience with weightlifting. This approach </w:t>
      </w:r>
      <w:r w:rsidR="0D23C3D0">
        <w:rPr/>
        <w:t>facilitated</w:t>
      </w:r>
      <w:r w:rsidR="0D23C3D0">
        <w:rPr/>
        <w:t xml:space="preserve"> the handling of heavier weights and increased repetitions during the exercises, resulting in more meaningful and precise data collection.</w:t>
      </w:r>
      <w:r w:rsidR="0B1622D2">
        <w:rPr/>
        <w:t xml:space="preserve"> </w:t>
      </w:r>
      <w:r w:rsidRPr="4908073F" w:rsidR="6C36CBA0">
        <w:rPr>
          <w:noProof w:val="0"/>
          <w:lang w:val="en-US"/>
        </w:rPr>
        <w:t>Grouping participants according to their exercise styles and preferences is beneficial as it enhances the likelihood of their engagement and commitment to the program</w:t>
      </w:r>
      <w:r w:rsidRPr="4908073F" w:rsidR="3EC5573E">
        <w:rPr>
          <w:noProof w:val="0"/>
          <w:lang w:val="en-US"/>
        </w:rPr>
        <w:t>.</w:t>
      </w:r>
      <w:r w:rsidRPr="4908073F" w:rsidR="0123EA08">
        <w:rPr>
          <w:noProof w:val="0"/>
          <w:lang w:val="en-US"/>
        </w:rPr>
        <w:t xml:space="preserve"> </w:t>
      </w:r>
      <w:r w:rsidR="0A790D94">
        <w:rPr/>
        <w:t xml:space="preserve">The data for tiredness prediction is derived from the </w:t>
      </w:r>
      <w:r w:rsidR="0A790D94">
        <w:rPr/>
        <w:t>Empatica</w:t>
      </w:r>
      <w:r w:rsidR="0A790D94">
        <w:rPr/>
        <w:t xml:space="preserve"> </w:t>
      </w:r>
      <w:r w:rsidR="0A790D94">
        <w:rPr/>
        <w:t>EmbracePlus</w:t>
      </w:r>
      <w:r w:rsidR="0A790D94">
        <w:rPr/>
        <w:t xml:space="preserve"> bracelet, which offers real-time physiological signals based on the wearer's physical activity level. The bracelet continuously measures </w:t>
      </w:r>
      <w:r w:rsidR="2DADAE32">
        <w:rPr/>
        <w:t>four</w:t>
      </w:r>
      <w:r w:rsidR="0A790D94">
        <w:rPr/>
        <w:t xml:space="preserve"> major components: pulse rate, electrodermal activity (EDA), temperature and movement.</w:t>
      </w:r>
      <w:r w:rsidR="405B8D78">
        <w:rPr/>
        <w:t xml:space="preserve"> The data associated with movement encompasses the activity count, accelerometer data, and step counts. Therefore, the smartwatch collects six </w:t>
      </w:r>
      <w:r w:rsidR="405B8D78">
        <w:rPr/>
        <w:t>different types</w:t>
      </w:r>
      <w:r w:rsidR="405B8D78">
        <w:rPr/>
        <w:t xml:space="preserve"> of data. </w:t>
      </w:r>
      <w:r w:rsidR="0A790D94">
        <w:rPr/>
        <w:t xml:space="preserve">During the data collecting process in the fitness setup, the participants' exhaustion levels are </w:t>
      </w:r>
      <w:r w:rsidR="0A790D94">
        <w:rPr/>
        <w:t>labeled</w:t>
      </w:r>
      <w:r w:rsidR="0A790D94">
        <w:rPr/>
        <w:t xml:space="preserve"> with the Borg scale or Borg test</w:t>
      </w:r>
      <w:r w:rsidR="05DDC335">
        <w:rPr/>
        <w:t xml:space="preserve"> (</w:t>
      </w:r>
      <w:r w:rsidR="314A6EE0">
        <w:rPr/>
        <w:t>Williams, 2017</w:t>
      </w:r>
      <w:r w:rsidR="05DDC335">
        <w:rPr/>
        <w:t>)</w:t>
      </w:r>
      <w:r w:rsidR="0A790D94">
        <w:rPr/>
        <w:t xml:space="preserve">. This method </w:t>
      </w:r>
      <w:r w:rsidR="7CEB5220">
        <w:rPr/>
        <w:t>allows</w:t>
      </w:r>
      <w:r w:rsidR="0A790D94">
        <w:rPr/>
        <w:t xml:space="preserve"> individuals to subjectively rate their level of physical exertion on a scale ranging from 6 (no exertion) to 20 (maximum exertion)</w:t>
      </w:r>
      <w:r w:rsidR="140373F3">
        <w:rPr/>
        <w:t>.</w:t>
      </w:r>
      <w:r w:rsidR="140373F3">
        <w:rPr/>
        <w:t xml:space="preserve"> </w:t>
      </w:r>
      <w:r w:rsidR="0A7EA8E0">
        <w:rPr/>
        <w:t xml:space="preserve">For </w:t>
      </w:r>
      <w:r w:rsidR="0A7EA8E0">
        <w:rPr/>
        <w:t>addit</w:t>
      </w:r>
      <w:r w:rsidR="0A7EA8E0">
        <w:rPr/>
        <w:t>ional</w:t>
      </w:r>
      <w:r w:rsidR="0A7EA8E0">
        <w:rPr/>
        <w:t xml:space="preserve"> details regarding experimental design and procedures, kindly consult the authors' prior publications (</w:t>
      </w:r>
      <w:r w:rsidRPr="4908073F" w:rsidR="0E4A2BF7">
        <w:rPr>
          <w:noProof w:val="0"/>
          <w:lang w:val="en-GB"/>
        </w:rPr>
        <w:t>Albarrán</w:t>
      </w:r>
      <w:r w:rsidRPr="4908073F" w:rsidR="0E4A2BF7">
        <w:rPr>
          <w:noProof w:val="0"/>
          <w:lang w:val="en-GB"/>
        </w:rPr>
        <w:t xml:space="preserve"> </w:t>
      </w:r>
      <w:r w:rsidRPr="4908073F" w:rsidR="0E4A2BF7">
        <w:rPr>
          <w:noProof w:val="0"/>
          <w:lang w:val="en-GB"/>
        </w:rPr>
        <w:t>Morillo</w:t>
      </w:r>
      <w:r w:rsidRPr="4908073F" w:rsidR="0E4A2BF7">
        <w:rPr>
          <w:noProof w:val="0"/>
          <w:lang w:val="en-GB"/>
        </w:rPr>
        <w:t xml:space="preserve"> and </w:t>
      </w:r>
      <w:r w:rsidRPr="4908073F" w:rsidR="0E4A2BF7">
        <w:rPr>
          <w:noProof w:val="0"/>
          <w:lang w:val="en-GB"/>
        </w:rPr>
        <w:t>Demichela</w:t>
      </w:r>
      <w:r w:rsidRPr="4908073F" w:rsidR="0E4A2BF7">
        <w:rPr>
          <w:noProof w:val="0"/>
          <w:lang w:val="en-GB"/>
        </w:rPr>
        <w:t>, 2023</w:t>
      </w:r>
      <w:r w:rsidRPr="4908073F" w:rsidR="0038A2E3">
        <w:rPr>
          <w:noProof w:val="0"/>
          <w:lang w:val="en-GB"/>
        </w:rPr>
        <w:t>a</w:t>
      </w:r>
      <w:r w:rsidRPr="4908073F" w:rsidR="0E4A2BF7">
        <w:rPr>
          <w:noProof w:val="0"/>
          <w:lang w:val="en-GB"/>
        </w:rPr>
        <w:t xml:space="preserve">; </w:t>
      </w:r>
      <w:r w:rsidRPr="4908073F" w:rsidR="0E4A2BF7">
        <w:rPr>
          <w:noProof w:val="0"/>
          <w:lang w:val="en-GB"/>
        </w:rPr>
        <w:t>Albarrán</w:t>
      </w:r>
      <w:r w:rsidRPr="4908073F" w:rsidR="0E4A2BF7">
        <w:rPr>
          <w:noProof w:val="0"/>
          <w:lang w:val="en-GB"/>
        </w:rPr>
        <w:t xml:space="preserve"> </w:t>
      </w:r>
      <w:r w:rsidRPr="4908073F" w:rsidR="0E4A2BF7">
        <w:rPr>
          <w:noProof w:val="0"/>
          <w:lang w:val="en-GB"/>
        </w:rPr>
        <w:t>Morillo</w:t>
      </w:r>
      <w:r w:rsidRPr="4908073F" w:rsidR="0E4A2BF7">
        <w:rPr>
          <w:noProof w:val="0"/>
          <w:lang w:val="en-GB"/>
        </w:rPr>
        <w:t xml:space="preserve"> and </w:t>
      </w:r>
      <w:r w:rsidRPr="4908073F" w:rsidR="0E4A2BF7">
        <w:rPr>
          <w:noProof w:val="0"/>
          <w:lang w:val="en-GB"/>
        </w:rPr>
        <w:t>Demichela</w:t>
      </w:r>
      <w:r w:rsidRPr="4908073F" w:rsidR="0E4A2BF7">
        <w:rPr>
          <w:noProof w:val="0"/>
          <w:lang w:val="en-GB"/>
        </w:rPr>
        <w:t>, 2023</w:t>
      </w:r>
      <w:r w:rsidRPr="4908073F" w:rsidR="6BA9DD31">
        <w:rPr>
          <w:noProof w:val="0"/>
          <w:lang w:val="en-GB"/>
        </w:rPr>
        <w:t>b</w:t>
      </w:r>
      <w:r w:rsidR="0A7EA8E0">
        <w:rPr/>
        <w:t>).</w:t>
      </w:r>
    </w:p>
    <w:p w:rsidR="1728939D" w:rsidP="3F60FB55" w:rsidRDefault="1728939D" w14:paraId="5CD7D529" w14:textId="15B6D690">
      <w:pPr>
        <w:pStyle w:val="CETheadingx"/>
      </w:pPr>
      <w:r>
        <w:t>Subjects</w:t>
      </w:r>
    </w:p>
    <w:p w:rsidR="65B1D385" w:rsidP="6B73DD53" w:rsidRDefault="65B1D385" w14:paraId="659B4ED4" w14:textId="340F7CAF">
      <w:pPr>
        <w:pStyle w:val="CETBodytext"/>
      </w:pPr>
      <w:r w:rsidR="65B1D385">
        <w:rPr/>
        <w:t>The study included 33 healthy volunteers (21 men and 13 females) ranging in age from 21 to 41 years, with a mean of 25.6 ± 4.4 years. The sample size of 33 people employed in this study is quite big when compared to what has been described in the literature for investigations involving human physiological parameters. With this sample size, we have nearly reached the desired statistical power of 80% (34 individuals), which is critical for assuring the reliability and validity of the experimental findings.</w:t>
      </w:r>
      <w:r w:rsidR="48B39AAC">
        <w:rPr/>
        <w:t xml:space="preserve"> </w:t>
      </w:r>
      <w:r w:rsidR="65B1D385">
        <w:rPr/>
        <w:t xml:space="preserve">People with present or </w:t>
      </w:r>
      <w:r w:rsidR="65B1D385">
        <w:rPr/>
        <w:t>previous</w:t>
      </w:r>
      <w:r w:rsidR="65B1D385">
        <w:rPr/>
        <w:t xml:space="preserve"> injuries, pain, discomfort, medical disorders, or those using drugs were eliminated from the first screening questions (see Figure 1). </w:t>
      </w:r>
      <w:r w:rsidR="1D85E59E">
        <w:rPr/>
        <w:t xml:space="preserve"> </w:t>
      </w:r>
      <w:r w:rsidR="32625D5E">
        <w:rPr/>
        <w:t>The participation was voluntary, with participants recruited through flyers distributed at a fitness center. Before data collection, each participant received an informed consent form.</w:t>
      </w:r>
      <w:r w:rsidR="65B1D385">
        <w:rPr/>
        <w:t xml:space="preserve"> </w:t>
      </w:r>
      <w:r w:rsidR="5FC4BD89">
        <w:rPr/>
        <w:t xml:space="preserve">Participants were given the opportunity to review and understand this information before deciding whether to </w:t>
      </w:r>
      <w:r w:rsidR="5FC4BD89">
        <w:rPr/>
        <w:t>participate</w:t>
      </w:r>
      <w:r w:rsidR="5FC4BD89">
        <w:rPr/>
        <w:t xml:space="preserve"> in the study.</w:t>
      </w:r>
    </w:p>
    <w:p w:rsidR="1728939D" w:rsidP="3F60FB55" w:rsidRDefault="1728939D" w14:paraId="391809A3" w14:textId="0AE9D7D9">
      <w:pPr>
        <w:pStyle w:val="CETheadingx"/>
      </w:pPr>
      <w:r>
        <w:t>Procedure</w:t>
      </w:r>
    </w:p>
    <w:p w:rsidR="20236A05" w:rsidP="3F60FB55" w:rsidRDefault="20236A05" w14:paraId="1E629A6A" w14:textId="3E18E1C2">
      <w:pPr>
        <w:pStyle w:val="CETBodytext"/>
      </w:pPr>
      <w:r>
        <w:t>The study uses a fitness setup to simulate industrial tasks safely and effectively. It employs various exercises, including weightlifting, resistance band exercises, isometric exercises, and bodyweight exercises:</w:t>
      </w:r>
    </w:p>
    <w:p w:rsidR="6B73DD53" w:rsidP="6B73DD53" w:rsidRDefault="6B73DD53" w14:paraId="334D7313" w14:textId="48990C31">
      <w:pPr>
        <w:pStyle w:val="CETBodytext"/>
      </w:pPr>
    </w:p>
    <w:p w:rsidR="20236A05" w:rsidP="3F60FB55" w:rsidRDefault="20236A05" w14:paraId="4C26F1B9" w14:textId="095F2A3A">
      <w:pPr>
        <w:pStyle w:val="CETBodytext"/>
        <w:numPr>
          <w:ilvl w:val="0"/>
          <w:numId w:val="1"/>
        </w:numPr>
      </w:pPr>
      <w:r>
        <w:t xml:space="preserve">Weightlifting exercises target muscle groups involved in lifting, pushing, and pulling heavy objects. </w:t>
      </w:r>
    </w:p>
    <w:p w:rsidR="20236A05" w:rsidP="3F60FB55" w:rsidRDefault="20236A05" w14:paraId="501DB11A" w14:textId="59C29A14">
      <w:pPr>
        <w:pStyle w:val="CETBodytext"/>
        <w:numPr>
          <w:ilvl w:val="0"/>
          <w:numId w:val="1"/>
        </w:numPr>
      </w:pPr>
      <w:r>
        <w:t xml:space="preserve">Resistance band exercises simulate tasks requiring pulling and pushing actions. </w:t>
      </w:r>
    </w:p>
    <w:p w:rsidR="20236A05" w:rsidP="3F60FB55" w:rsidRDefault="20236A05" w14:paraId="5F7B53F2" w14:textId="6C85512B">
      <w:pPr>
        <w:pStyle w:val="CETBodytext"/>
        <w:numPr>
          <w:ilvl w:val="0"/>
          <w:numId w:val="1"/>
        </w:numPr>
      </w:pPr>
      <w:r>
        <w:t xml:space="preserve">Isometric exercises replicate holding specific positions suitable for those with mobility limitations or recovering from injuries. </w:t>
      </w:r>
    </w:p>
    <w:p w:rsidR="20236A05" w:rsidP="3F60FB55" w:rsidRDefault="20236A05" w14:paraId="28120264" w14:textId="5F65CD91">
      <w:pPr>
        <w:pStyle w:val="CETBodytext"/>
        <w:numPr>
          <w:ilvl w:val="0"/>
          <w:numId w:val="1"/>
        </w:numPr>
      </w:pPr>
      <w:r>
        <w:t>Bodyweight exercises simulate climbing, crawling, and bending movements.</w:t>
      </w:r>
    </w:p>
    <w:p w:rsidR="6B73DD53" w:rsidP="6B73DD53" w:rsidRDefault="6B73DD53" w14:paraId="79C23A5D" w14:textId="2677BD91">
      <w:pPr>
        <w:pStyle w:val="CETBodytext"/>
        <w:rPr>
          <w:szCs w:val="18"/>
        </w:rPr>
      </w:pPr>
    </w:p>
    <w:p w:rsidR="20236A05" w:rsidP="3F60FB55" w:rsidRDefault="20236A05" w14:paraId="5A30C5D1" w14:textId="10BBA525">
      <w:pPr>
        <w:pStyle w:val="CETBodytext"/>
      </w:pPr>
      <w:r>
        <w:t xml:space="preserve">Participants have the freedom to select exercises based on their fitness levels and preferences. </w:t>
      </w:r>
      <w:r w:rsidR="7EF1AA7B">
        <w:t xml:space="preserve">Throughout the physical activity, participants wear the </w:t>
      </w:r>
      <w:proofErr w:type="spellStart"/>
      <w:r w:rsidR="7EF1AA7B">
        <w:t>EmbracePlus</w:t>
      </w:r>
      <w:proofErr w:type="spellEnd"/>
      <w:r w:rsidR="7EF1AA7B">
        <w:t xml:space="preserve"> device, which continually records physiological data. Baseline measurements are obtained 10 minutes before and after the activities to provide a reference point for comparing other data. These measurements </w:t>
      </w:r>
      <w:r w:rsidR="6B1FAD6A">
        <w:t>assist in determining</w:t>
      </w:r>
      <w:r w:rsidR="7EF1AA7B">
        <w:t xml:space="preserve"> the participant's initial and end degrees of physical tiredness, allowing for the tracking of any changes that occur during the workout. The complete study for each participant lasts around 1 hour and 30 minutes, including baseline measurements. To label the </w:t>
      </w:r>
      <w:r w:rsidR="7EF1AA7B">
        <w:lastRenderedPageBreak/>
        <w:t>acquired data, the Borg Test is used</w:t>
      </w:r>
      <w:r w:rsidR="33F8F733">
        <w:t xml:space="preserve">. </w:t>
      </w:r>
      <w:r w:rsidR="7EF1AA7B">
        <w:t>The Borg Test is performed during brief rest times between exercises and every 2 minutes at the</w:t>
      </w:r>
      <w:r w:rsidR="6B9910CC">
        <w:t xml:space="preserve"> beginning and</w:t>
      </w:r>
      <w:r w:rsidR="7EF1AA7B">
        <w:t xml:space="preserve"> end of the session to monitor the recovery process (see Figure 1).</w:t>
      </w:r>
    </w:p>
    <w:p w:rsidR="3F60FB55" w:rsidP="3F60FB55" w:rsidRDefault="3F60FB55" w14:paraId="239703BC" w14:textId="7C09B309">
      <w:pPr>
        <w:pStyle w:val="CETBodytext"/>
      </w:pPr>
    </w:p>
    <w:p w:rsidR="1B4DC235" w:rsidP="6B73DD53" w:rsidRDefault="1B4DC235" w14:paraId="741F04C4" w14:textId="3386DD18">
      <w:r w:rsidR="0C466FBF">
        <w:drawing>
          <wp:inline wp14:editId="0B60C4FC" wp14:anchorId="7A106003">
            <wp:extent cx="5423381" cy="2463119"/>
            <wp:effectExtent l="0" t="0" r="0" b="0"/>
            <wp:docPr id="608021656" name="图片 608021656" title=""/>
            <wp:cNvGraphicFramePr>
              <a:graphicFrameLocks noChangeAspect="1"/>
            </wp:cNvGraphicFramePr>
            <a:graphic>
              <a:graphicData uri="http://schemas.openxmlformats.org/drawingml/2006/picture">
                <pic:pic>
                  <pic:nvPicPr>
                    <pic:cNvPr id="0" name="图片 608021656"/>
                    <pic:cNvPicPr/>
                  </pic:nvPicPr>
                  <pic:blipFill>
                    <a:blip r:embed="R2513941ce2654f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23381" cy="2463119"/>
                    </a:xfrm>
                    <a:prstGeom prst="rect">
                      <a:avLst/>
                    </a:prstGeom>
                  </pic:spPr>
                </pic:pic>
              </a:graphicData>
            </a:graphic>
          </wp:inline>
        </w:drawing>
      </w:r>
    </w:p>
    <w:p w:rsidR="2CA827C2" w:rsidP="3F60FB55" w:rsidRDefault="2CA827C2" w14:paraId="6C32F9F5" w14:textId="349DAA9F">
      <w:pPr>
        <w:rPr>
          <w:rStyle w:val="CETCaptionCarattere"/>
          <w:iCs/>
        </w:rPr>
      </w:pPr>
      <w:r w:rsidRPr="3F60FB55">
        <w:rPr>
          <w:rStyle w:val="CETCaptionCarattere"/>
          <w:iCs/>
        </w:rPr>
        <w:t>Figure 1: Data collection procedure in the fitness setup</w:t>
      </w:r>
    </w:p>
    <w:p w:rsidR="3F60FB55" w:rsidP="3F60FB55" w:rsidRDefault="3F60FB55" w14:paraId="16E9EC8C" w14:textId="2A86C104">
      <w:pPr>
        <w:pStyle w:val="CETBodytext"/>
      </w:pPr>
    </w:p>
    <w:p w:rsidR="1728939D" w:rsidP="3F60FB55" w:rsidRDefault="1728939D" w14:paraId="5331A4E7" w14:textId="1596D456">
      <w:pPr>
        <w:pStyle w:val="CETHeading1"/>
        <w:rPr>
          <w:lang w:val="en-GB"/>
        </w:rPr>
      </w:pPr>
      <w:r w:rsidRPr="6B73DD53">
        <w:rPr>
          <w:lang w:val="en-GB"/>
        </w:rPr>
        <w:t>Results and discussion</w:t>
      </w:r>
    </w:p>
    <w:p w:rsidR="26AB644E" w:rsidP="503AC0F3" w:rsidRDefault="713B7411" w14:paraId="60835B5E" w14:textId="0CE68785">
      <w:pPr>
        <w:pStyle w:val="CETheadingx"/>
        <w:numPr>
          <w:ilvl w:val="0"/>
          <w:numId w:val="0"/>
        </w:numPr>
      </w:pPr>
      <w:r w:rsidR="713B7411">
        <w:rPr/>
        <w:t>Principal Component</w:t>
      </w:r>
      <w:r w:rsidR="26AB644E">
        <w:rPr/>
        <w:t xml:space="preserve"> </w:t>
      </w:r>
      <w:r w:rsidR="248ACE5C">
        <w:rPr/>
        <w:t>Analysis</w:t>
      </w:r>
      <w:r w:rsidR="489D44A3">
        <w:rPr/>
        <w:t xml:space="preserve"> (PCA)</w:t>
      </w:r>
      <w:r w:rsidR="248ACE5C">
        <w:rPr/>
        <w:t xml:space="preserve"> </w:t>
      </w:r>
      <w:r w:rsidR="26AB644E">
        <w:rPr/>
        <w:t>of objective measures</w:t>
      </w:r>
    </w:p>
    <w:p w:rsidR="32445266" w:rsidP="45DB60AF" w:rsidRDefault="32445266" w14:paraId="3D3238FF" w14:textId="70D22D71">
      <w:pPr>
        <w:pStyle w:val="a1"/>
        <w:spacing w:before="240" w:beforeAutospacing="off" w:after="240" w:afterAutospacing="off"/>
      </w:pPr>
      <w:r w:rsidR="77D35675">
        <w:rPr/>
        <w:t xml:space="preserve">To </w:t>
      </w:r>
      <w:r w:rsidR="77D35675">
        <w:rPr/>
        <w:t>facilitate</w:t>
      </w:r>
      <w:r w:rsidR="77D35675">
        <w:rPr/>
        <w:t xml:space="preserve"> practical integration and frequent monitoring, a dataset </w:t>
      </w:r>
      <w:r w:rsidR="77D35675">
        <w:rPr/>
        <w:t>comprising</w:t>
      </w:r>
      <w:r w:rsidR="77D35675">
        <w:rPr/>
        <w:t xml:space="preserve"> six items would introduce considerable complexity to the analysis. </w:t>
      </w:r>
      <w:r w:rsidR="07D2D8AE">
        <w:rPr/>
        <w:t>In studies focusing on physical fatigue, researchers often employ PCA to reduce the dimensionality of complex physiological datasets (</w:t>
      </w:r>
      <w:r w:rsidRPr="45DB60AF" w:rsidR="4BF0C99C">
        <w:rPr>
          <w:noProof w:val="0"/>
          <w:lang w:val="en-US"/>
        </w:rPr>
        <w:t xml:space="preserve">Brown et al., 2016; </w:t>
      </w:r>
      <w:r w:rsidR="6671050D">
        <w:rPr/>
        <w:t>Nagahanumaiah</w:t>
      </w:r>
      <w:r w:rsidR="6671050D">
        <w:rPr/>
        <w:t xml:space="preserve"> et al., 2022</w:t>
      </w:r>
      <w:r w:rsidRPr="45DB60AF" w:rsidR="4BF0C99C">
        <w:rPr>
          <w:noProof w:val="0"/>
          <w:lang w:val="en-US"/>
        </w:rPr>
        <w:t>)</w:t>
      </w:r>
      <w:r w:rsidR="07D2D8AE">
        <w:rPr/>
        <w:t xml:space="preserve">. </w:t>
      </w:r>
      <w:r w:rsidR="77D35675">
        <w:rPr/>
        <w:t xml:space="preserve">Consequently, </w:t>
      </w:r>
      <w:r w:rsidR="454CA8B2">
        <w:rPr/>
        <w:t>PCA</w:t>
      </w:r>
      <w:r w:rsidR="454CA8B2">
        <w:rPr/>
        <w:t xml:space="preserve"> </w:t>
      </w:r>
      <w:r w:rsidR="77D35675">
        <w:rPr/>
        <w:t xml:space="preserve">with </w:t>
      </w:r>
      <w:r w:rsidR="1E99B32E">
        <w:rPr/>
        <w:t>v</w:t>
      </w:r>
      <w:r w:rsidR="77D35675">
        <w:rPr/>
        <w:t>arimax rotation was conducted on the data collected from the smartwatch</w:t>
      </w:r>
      <w:r w:rsidR="6A4E9FD9">
        <w:rPr/>
        <w:t xml:space="preserve"> (</w:t>
      </w:r>
      <w:r w:rsidR="540D3179">
        <w:rPr/>
        <w:t>Wastell, 1981</w:t>
      </w:r>
      <w:r w:rsidR="6A4E9FD9">
        <w:rPr/>
        <w:t>)</w:t>
      </w:r>
      <w:r w:rsidR="77D35675">
        <w:rPr/>
        <w:t>. This aim</w:t>
      </w:r>
      <w:r w:rsidR="77D35675">
        <w:rPr/>
        <w:t>ed to</w:t>
      </w:r>
      <w:r w:rsidR="77D35675">
        <w:rPr/>
        <w:t xml:space="preserve"> </w:t>
      </w:r>
      <w:r w:rsidR="77D35675">
        <w:rPr/>
        <w:t>id</w:t>
      </w:r>
      <w:r w:rsidR="77D35675">
        <w:rPr/>
        <w:t>entif</w:t>
      </w:r>
      <w:r w:rsidR="77D35675">
        <w:rPr/>
        <w:t>y</w:t>
      </w:r>
      <w:r w:rsidR="77D35675">
        <w:rPr/>
        <w:t xml:space="preserve"> items that tended to cluster together, simplifying the sca</w:t>
      </w:r>
      <w:r w:rsidR="77D35675">
        <w:rPr/>
        <w:t>le by</w:t>
      </w:r>
      <w:r w:rsidR="77D35675">
        <w:rPr/>
        <w:t xml:space="preserve"> </w:t>
      </w:r>
      <w:r w:rsidR="77D35675">
        <w:rPr/>
        <w:t>ret</w:t>
      </w:r>
      <w:r w:rsidR="77D35675">
        <w:rPr/>
        <w:t>ainin</w:t>
      </w:r>
      <w:r w:rsidR="77D35675">
        <w:rPr/>
        <w:t>g</w:t>
      </w:r>
      <w:r w:rsidR="77D35675">
        <w:rPr/>
        <w:t xml:space="preserve"> fewer key items. </w:t>
      </w:r>
      <w:r w:rsidR="77D35675">
        <w:rPr/>
        <w:t>These</w:t>
      </w:r>
      <w:r w:rsidR="77D35675">
        <w:rPr/>
        <w:t xml:space="preserve"> </w:t>
      </w:r>
      <w:r w:rsidR="77D35675">
        <w:rPr/>
        <w:t>re</w:t>
      </w:r>
      <w:r w:rsidR="77D35675">
        <w:rPr/>
        <w:t>taine</w:t>
      </w:r>
      <w:r w:rsidR="77D35675">
        <w:rPr/>
        <w:t>d</w:t>
      </w:r>
      <w:r w:rsidR="77D35675">
        <w:rPr/>
        <w:t xml:space="preserve"> items would later be assigned weights.</w:t>
      </w:r>
      <w:r w:rsidR="0BDEC34D">
        <w:rPr/>
        <w:t xml:space="preserve"> </w:t>
      </w:r>
      <w:r w:rsidR="1E1ECEE0">
        <w:rPr/>
        <w:t>PCA</w:t>
      </w:r>
      <w:r w:rsidR="10885053">
        <w:rPr/>
        <w:t xml:space="preserve"> </w:t>
      </w:r>
      <w:r w:rsidR="1E1ECEE0">
        <w:rPr/>
        <w:t xml:space="preserve">was employed to transform potentially correlated variables into a set of linearly uncorrelated variables through orthogonal transformation, known as principal components. The comparison of information between these principal components and the original multiple variables is elucidated by the sum of squares of deviations or variances. </w:t>
      </w:r>
      <w:r w:rsidR="1E1ECEE0">
        <w:rPr/>
        <w:t>PCA</w:t>
      </w:r>
      <w:r w:rsidR="1E1ECEE0">
        <w:rPr/>
        <w:t xml:space="preserve"> serves as a widely applied method for achieving dimensionality reduction, effectively reducing the complexity of the target system. In the specific context of varimax rotation within </w:t>
      </w:r>
      <w:r w:rsidR="1E1ECEE0">
        <w:rPr/>
        <w:t>PCA</w:t>
      </w:r>
      <w:r w:rsidR="1E1ECEE0">
        <w:rPr/>
        <w:t>, the principal components are optimally rotat</w:t>
      </w:r>
      <w:r w:rsidR="1E1ECEE0">
        <w:rPr/>
        <w:t>ed to</w:t>
      </w:r>
      <w:r w:rsidR="1E1ECEE0">
        <w:rPr/>
        <w:t xml:space="preserve"> </w:t>
      </w:r>
      <w:r w:rsidR="1E1ECEE0">
        <w:rPr/>
        <w:t>attai</w:t>
      </w:r>
      <w:r w:rsidR="1E1ECEE0">
        <w:rPr/>
        <w:t>n</w:t>
      </w:r>
      <w:r w:rsidR="1E1ECEE0">
        <w:rPr/>
        <w:t xml:space="preserve"> a simpler and more interpretable structure. This rotation ensures that variance is maximized along a few dimensions, enhancing the clarity and meaningfulness of the overall data representation.</w:t>
      </w:r>
    </w:p>
    <w:p w:rsidR="32445266" w:rsidP="45DB60AF" w:rsidRDefault="32445266" w14:paraId="6215D438" w14:textId="7577E29F">
      <w:pPr>
        <w:pStyle w:val="a1"/>
        <w:spacing w:before="240" w:beforeAutospacing="off" w:after="240" w:afterAutospacing="off"/>
      </w:pPr>
      <w:r w:rsidR="3D3647DB">
        <w:rPr/>
        <w:t>Initially, the dataset underwent the Kaiser-Meyer-Olkin (KMO) test and Bartlett's Test to assess the presence of correlations among variables</w:t>
      </w:r>
      <w:r w:rsidR="2AC686A4">
        <w:rPr/>
        <w:t xml:space="preserve"> (</w:t>
      </w:r>
      <w:r w:rsidR="3EB96570">
        <w:rPr/>
        <w:t xml:space="preserve">Sweeting and </w:t>
      </w:r>
      <w:r w:rsidR="3EB96570">
        <w:rPr/>
        <w:t>Kharroubi</w:t>
      </w:r>
      <w:r w:rsidR="3EB96570">
        <w:rPr/>
        <w:t>, 2003</w:t>
      </w:r>
      <w:r w:rsidR="2AC686A4">
        <w:rPr/>
        <w:t>)</w:t>
      </w:r>
      <w:r w:rsidR="3D3647DB">
        <w:rPr/>
        <w:t>. The outcomes of these tests endorse the practicality and appropriateness of feature-extraction techniques</w:t>
      </w:r>
      <w:r w:rsidR="523B91B1">
        <w:rPr/>
        <w:t xml:space="preserve">, </w:t>
      </w:r>
      <w:r w:rsidR="599228A0">
        <w:rPr/>
        <w:t xml:space="preserve">specifically </w:t>
      </w:r>
      <w:r w:rsidR="2D96E5C1">
        <w:rPr/>
        <w:t>PCA</w:t>
      </w:r>
      <w:r w:rsidR="3D3647DB">
        <w:rPr/>
        <w:t xml:space="preserve">. The KMO value stands at 0.761, accompanied by a highly significant p-value of &lt;0.001. This implies that the chi-square value is statistically significant, leading to the rejection of the null hypothesis suggesting the variables' independence. Consequently, it is inferred that this dataset is well-suited for </w:t>
      </w:r>
      <w:r w:rsidR="6B068539">
        <w:rPr/>
        <w:t>PCA</w:t>
      </w:r>
      <w:r w:rsidR="3D3647DB">
        <w:rPr/>
        <w:t>.</w:t>
      </w:r>
    </w:p>
    <w:p w:rsidR="6B73DD53" w:rsidP="6B73DD53" w:rsidRDefault="6B73DD53" w14:paraId="679972C2" w14:textId="6262B130">
      <w:pPr>
        <w:pStyle w:val="CETBodytext"/>
      </w:pPr>
    </w:p>
    <w:p w:rsidR="32CE490D" w:rsidP="6B73DD53" w:rsidRDefault="32CE490D" w14:paraId="6E8B725F" w14:textId="2AEC0268">
      <w:pPr>
        <w:pStyle w:val="CETBodytext"/>
      </w:pPr>
      <w:r w:rsidR="004936B1">
        <w:drawing>
          <wp:inline wp14:editId="68F0BA99" wp14:anchorId="1B1EA61E">
            <wp:extent cx="4133622" cy="2437527"/>
            <wp:effectExtent l="0" t="0" r="0" b="3810"/>
            <wp:docPr id="346459562" name="图片 1" title=""/>
            <wp:cNvGraphicFramePr>
              <a:graphicFrameLocks noChangeAspect="1"/>
            </wp:cNvGraphicFramePr>
            <a:graphic>
              <a:graphicData uri="http://schemas.openxmlformats.org/drawingml/2006/picture">
                <pic:pic>
                  <pic:nvPicPr>
                    <pic:cNvPr id="0" name="图片 1"/>
                    <pic:cNvPicPr/>
                  </pic:nvPicPr>
                  <pic:blipFill>
                    <a:blip r:embed="R50b6e3e3e53f434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33622" cy="2437527"/>
                    </a:xfrm>
                    <a:prstGeom prst="rect">
                      <a:avLst/>
                    </a:prstGeom>
                  </pic:spPr>
                </pic:pic>
              </a:graphicData>
            </a:graphic>
          </wp:inline>
        </w:drawing>
      </w:r>
    </w:p>
    <w:p w:rsidR="32CE490D" w:rsidP="52A52B0A" w:rsidRDefault="32CE490D" w14:paraId="191CFA20" w14:textId="79C52221">
      <w:pPr>
        <w:rPr>
          <w:rStyle w:val="CETCaptionCarattere"/>
        </w:rPr>
      </w:pPr>
      <w:r w:rsidRPr="52A52B0A" w:rsidR="32CE490D">
        <w:rPr>
          <w:rStyle w:val="CETCaptionCarattere"/>
        </w:rPr>
        <w:t xml:space="preserve">Figure 2: Scree plot </w:t>
      </w:r>
      <w:r w:rsidRPr="52A52B0A" w:rsidR="5E68975E">
        <w:rPr>
          <w:rStyle w:val="CETCaptionCarattere"/>
        </w:rPr>
        <w:t xml:space="preserve">of </w:t>
      </w:r>
      <w:r w:rsidRPr="52A52B0A" w:rsidR="0D345C09">
        <w:rPr>
          <w:rStyle w:val="CETCaptionCarattere"/>
        </w:rPr>
        <w:t>PCA</w:t>
      </w:r>
    </w:p>
    <w:p w:rsidR="6B73DD53" w:rsidP="6B73DD53" w:rsidRDefault="6B73DD53" w14:paraId="31ECB1D6" w14:textId="6C9282C5">
      <w:pPr>
        <w:rPr>
          <w:rStyle w:val="CETCaptionCarattere"/>
          <w:iCs/>
        </w:rPr>
      </w:pPr>
    </w:p>
    <w:p w:rsidR="7A0BC81D" w:rsidP="6B73DD53" w:rsidRDefault="7A0BC81D" w14:paraId="31CB0786" w14:textId="523FA597">
      <w:pPr>
        <w:pStyle w:val="CETTabletitle"/>
      </w:pPr>
      <w:r w:rsidR="7A0BC81D">
        <w:rPr/>
        <w:t xml:space="preserve">Table 1: Rotated </w:t>
      </w:r>
      <w:r w:rsidR="7A0BC81D">
        <w:rPr/>
        <w:t>component</w:t>
      </w:r>
      <w:r w:rsidR="7A0BC81D">
        <w:rPr/>
        <w:t xml:space="preserve"> matrix of </w:t>
      </w:r>
      <w:r w:rsidR="29D89DA7">
        <w:rPr/>
        <w:t xml:space="preserve">varimax rotation within </w:t>
      </w:r>
      <w:r w:rsidR="5E2D0517">
        <w:rPr/>
        <w:t>PCA</w:t>
      </w:r>
    </w:p>
    <w:tbl>
      <w:tblPr>
        <w:tblW w:w="0" w:type="auto"/>
        <w:tblBorders>
          <w:top w:val="single" w:color="008000" w:sz="12" w:space="0"/>
          <w:bottom w:val="single" w:color="008000" w:sz="12" w:space="0"/>
        </w:tblBorders>
        <w:tblLook w:val="00A0" w:firstRow="1" w:lastRow="0" w:firstColumn="1" w:lastColumn="0" w:noHBand="0" w:noVBand="0"/>
      </w:tblPr>
      <w:tblGrid>
        <w:gridCol w:w="2535"/>
        <w:gridCol w:w="1230"/>
        <w:gridCol w:w="555"/>
        <w:gridCol w:w="960"/>
        <w:gridCol w:w="390"/>
      </w:tblGrid>
      <w:tr w:rsidR="6B73DD53" w:rsidTr="503AC0F3" w14:paraId="7EDEBA8B" w14:textId="77777777">
        <w:trPr>
          <w:trHeight w:val="300"/>
        </w:trPr>
        <w:tc>
          <w:tcPr>
            <w:tcW w:w="2535" w:type="dxa"/>
            <w:tcBorders>
              <w:top w:val="single" w:color="008000" w:sz="12" w:space="0"/>
              <w:bottom w:val="single" w:color="008000" w:sz="6" w:space="0"/>
            </w:tcBorders>
            <w:shd w:val="clear" w:color="auto" w:fill="FFFFFF" w:themeFill="background1"/>
            <w:tcMar/>
          </w:tcPr>
          <w:p w:rsidR="18115902" w:rsidP="6B73DD53" w:rsidRDefault="18115902" w14:paraId="30A354C7" w14:textId="162456DF">
            <w:pPr>
              <w:pStyle w:val="CETBodytext"/>
              <w:rPr>
                <w:b/>
                <w:bCs/>
                <w:sz w:val="17"/>
                <w:szCs w:val="17"/>
                <w:lang w:val="en-GB"/>
              </w:rPr>
            </w:pPr>
            <w:r w:rsidRPr="6B73DD53">
              <w:rPr>
                <w:b/>
                <w:bCs/>
                <w:sz w:val="17"/>
                <w:szCs w:val="17"/>
                <w:lang w:val="en-GB"/>
              </w:rPr>
              <w:t>Rotated</w:t>
            </w:r>
            <w:r w:rsidRPr="6B73DD53" w:rsidR="3EA14AAB">
              <w:rPr>
                <w:b/>
                <w:bCs/>
                <w:sz w:val="17"/>
                <w:szCs w:val="17"/>
                <w:lang w:val="en-GB"/>
              </w:rPr>
              <w:t xml:space="preserve"> </w:t>
            </w:r>
            <w:r w:rsidRPr="6B73DD53">
              <w:rPr>
                <w:b/>
                <w:bCs/>
                <w:sz w:val="17"/>
                <w:szCs w:val="17"/>
                <w:lang w:val="en-GB"/>
              </w:rPr>
              <w:t>Component</w:t>
            </w:r>
            <w:r w:rsidRPr="6B73DD53" w:rsidR="5305DD6C">
              <w:rPr>
                <w:b/>
                <w:bCs/>
                <w:sz w:val="17"/>
                <w:szCs w:val="17"/>
                <w:lang w:val="en-GB"/>
              </w:rPr>
              <w:t xml:space="preserve"> Matrix</w:t>
            </w:r>
          </w:p>
          <w:p w:rsidR="6B73DD53" w:rsidP="6B73DD53" w:rsidRDefault="6B73DD53" w14:paraId="229335F0" w14:textId="34AAA95F">
            <w:pPr>
              <w:pStyle w:val="CETBodytext"/>
              <w:rPr>
                <w:b/>
                <w:bCs/>
                <w:sz w:val="17"/>
                <w:szCs w:val="17"/>
                <w:lang w:val="en-GB"/>
              </w:rPr>
            </w:pPr>
          </w:p>
          <w:p w:rsidR="6B73DD53" w:rsidP="6B73DD53" w:rsidRDefault="6B73DD53" w14:paraId="398A9CAD" w14:textId="49FEF4E0">
            <w:pPr>
              <w:pStyle w:val="CETBodytext"/>
              <w:rPr>
                <w:b/>
                <w:bCs/>
                <w:sz w:val="17"/>
                <w:szCs w:val="17"/>
                <w:lang w:val="en-GB"/>
              </w:rPr>
            </w:pPr>
          </w:p>
        </w:tc>
        <w:tc>
          <w:tcPr>
            <w:tcW w:w="1230" w:type="dxa"/>
            <w:tcBorders>
              <w:top w:val="single" w:color="008000" w:sz="12" w:space="0"/>
              <w:bottom w:val="single" w:color="008000" w:sz="6" w:space="0"/>
            </w:tcBorders>
            <w:shd w:val="clear" w:color="auto" w:fill="FFFFFF" w:themeFill="background1"/>
            <w:tcMar/>
          </w:tcPr>
          <w:p w:rsidR="6B73DD53" w:rsidP="6B73DD53" w:rsidRDefault="6B73DD53" w14:paraId="6E6E3975" w14:textId="1FB3FEEB">
            <w:pPr>
              <w:pStyle w:val="CETBodytext"/>
              <w:rPr>
                <w:b/>
                <w:bCs/>
                <w:lang w:val="en-GB"/>
              </w:rPr>
            </w:pPr>
          </w:p>
          <w:p w:rsidR="5305DD6C" w:rsidP="6B73DD53" w:rsidRDefault="5305DD6C" w14:paraId="3D263FD3" w14:textId="4D672345">
            <w:pPr>
              <w:pStyle w:val="CETBodytext"/>
              <w:rPr>
                <w:b/>
                <w:bCs/>
                <w:lang w:val="en-GB"/>
              </w:rPr>
            </w:pPr>
            <w:r w:rsidRPr="6B73DD53">
              <w:rPr>
                <w:b/>
                <w:bCs/>
                <w:lang w:val="en-GB"/>
              </w:rPr>
              <w:t>Component</w:t>
            </w:r>
          </w:p>
          <w:p w:rsidR="5305DD6C" w:rsidP="6B73DD53" w:rsidRDefault="5305DD6C" w14:paraId="5E9E9F61" w14:textId="29B0EA90">
            <w:pPr>
              <w:pStyle w:val="CETBodytext"/>
              <w:rPr>
                <w:b/>
                <w:bCs/>
                <w:lang w:val="en-GB"/>
              </w:rPr>
            </w:pPr>
            <w:r w:rsidRPr="6B73DD53">
              <w:rPr>
                <w:b/>
                <w:bCs/>
                <w:lang w:val="en-GB"/>
              </w:rPr>
              <w:t xml:space="preserve">1                                     </w:t>
            </w:r>
          </w:p>
        </w:tc>
        <w:tc>
          <w:tcPr>
            <w:tcW w:w="555" w:type="dxa"/>
            <w:tcBorders>
              <w:top w:val="single" w:color="008000" w:sz="12" w:space="0"/>
              <w:bottom w:val="single" w:color="008000" w:sz="6" w:space="0"/>
            </w:tcBorders>
            <w:shd w:val="clear" w:color="auto" w:fill="FFFFFF" w:themeFill="background1"/>
            <w:tcMar/>
          </w:tcPr>
          <w:p w:rsidR="6B73DD53" w:rsidP="6B73DD53" w:rsidRDefault="6B73DD53" w14:paraId="396A145D" w14:textId="4FFD048D">
            <w:pPr>
              <w:pStyle w:val="CETBodytext"/>
              <w:rPr>
                <w:b/>
                <w:bCs/>
                <w:lang w:val="en-GB"/>
              </w:rPr>
            </w:pPr>
          </w:p>
        </w:tc>
        <w:tc>
          <w:tcPr>
            <w:tcW w:w="960" w:type="dxa"/>
            <w:tcBorders>
              <w:top w:val="single" w:color="008000" w:sz="12" w:space="0"/>
              <w:bottom w:val="single" w:color="008000" w:sz="6" w:space="0"/>
            </w:tcBorders>
            <w:shd w:val="clear" w:color="auto" w:fill="FFFFFF" w:themeFill="background1"/>
            <w:tcMar/>
          </w:tcPr>
          <w:p w:rsidR="6B73DD53" w:rsidP="6B73DD53" w:rsidRDefault="6B73DD53" w14:paraId="0850835F" w14:textId="3388DC56">
            <w:pPr>
              <w:pStyle w:val="CETBodytext"/>
              <w:rPr>
                <w:rFonts w:cs="Arial"/>
                <w:b/>
                <w:bCs/>
                <w:lang w:val="en-GB"/>
              </w:rPr>
            </w:pPr>
          </w:p>
          <w:p w:rsidR="6B73DD53" w:rsidP="6B73DD53" w:rsidRDefault="6B73DD53" w14:paraId="7F9A83CF" w14:textId="4354217D">
            <w:pPr>
              <w:pStyle w:val="CETBodytext"/>
              <w:rPr>
                <w:rFonts w:cs="Arial"/>
                <w:b/>
                <w:bCs/>
                <w:lang w:val="en-GB"/>
              </w:rPr>
            </w:pPr>
          </w:p>
          <w:p w:rsidR="4293964D" w:rsidP="6B73DD53" w:rsidRDefault="4293964D" w14:paraId="14769EBB" w14:textId="785A1EDF">
            <w:pPr>
              <w:pStyle w:val="CETBodytext"/>
              <w:rPr>
                <w:rFonts w:cs="Arial"/>
                <w:b/>
                <w:bCs/>
                <w:lang w:val="en-GB"/>
              </w:rPr>
            </w:pPr>
            <w:r w:rsidRPr="6B73DD53">
              <w:rPr>
                <w:rFonts w:cs="Arial"/>
                <w:b/>
                <w:bCs/>
                <w:lang w:val="en-GB"/>
              </w:rPr>
              <w:t>2</w:t>
            </w:r>
          </w:p>
        </w:tc>
        <w:tc>
          <w:tcPr>
            <w:tcW w:w="390" w:type="dxa"/>
            <w:tcBorders>
              <w:top w:val="single" w:color="008000" w:sz="12" w:space="0"/>
              <w:bottom w:val="single" w:color="008000" w:sz="6" w:space="0"/>
            </w:tcBorders>
            <w:shd w:val="clear" w:color="auto" w:fill="FFFFFF" w:themeFill="background1"/>
            <w:tcMar/>
          </w:tcPr>
          <w:p w:rsidR="6B73DD53" w:rsidP="6B73DD53" w:rsidRDefault="6B73DD53" w14:paraId="6B415DFC" w14:textId="680F882B">
            <w:pPr>
              <w:pStyle w:val="CETBodytext"/>
              <w:rPr>
                <w:rFonts w:cs="Arial"/>
                <w:lang w:val="en-GB"/>
              </w:rPr>
            </w:pPr>
          </w:p>
          <w:p w:rsidR="6B73DD53" w:rsidP="6B73DD53" w:rsidRDefault="6B73DD53" w14:paraId="0325B48B" w14:textId="16C69F2B">
            <w:pPr>
              <w:pStyle w:val="CETBodytext"/>
              <w:rPr>
                <w:rFonts w:cs="Arial"/>
                <w:lang w:val="en-GB"/>
              </w:rPr>
            </w:pPr>
          </w:p>
        </w:tc>
      </w:tr>
      <w:tr w:rsidR="6B73DD53" w:rsidTr="503AC0F3" w14:paraId="7C3288DB" w14:textId="77777777">
        <w:trPr>
          <w:trHeight w:val="763"/>
        </w:trPr>
        <w:tc>
          <w:tcPr>
            <w:tcW w:w="2535" w:type="dxa"/>
            <w:shd w:val="clear" w:color="auto" w:fill="FFFFFF" w:themeFill="background1"/>
            <w:tcMar/>
          </w:tcPr>
          <w:p w:rsidR="4F557CA5" w:rsidP="6B73DD53" w:rsidRDefault="4F557CA5" w14:paraId="73CEC432" w14:textId="4B4E1B73">
            <w:pPr>
              <w:pStyle w:val="CETBodytext"/>
              <w:rPr>
                <w:b w:val="1"/>
                <w:bCs w:val="1"/>
                <w:lang w:val="en-GB"/>
              </w:rPr>
            </w:pPr>
            <w:r w:rsidRPr="6F8F3DFA" w:rsidR="69D2183B">
              <w:rPr>
                <w:b w:val="1"/>
                <w:bCs w:val="1"/>
                <w:lang w:val="en-GB"/>
              </w:rPr>
              <w:t>E</w:t>
            </w:r>
            <w:r w:rsidRPr="6F8F3DFA" w:rsidR="629F0BE5">
              <w:rPr>
                <w:b w:val="1"/>
                <w:bCs w:val="1"/>
                <w:lang w:val="en-GB"/>
              </w:rPr>
              <w:t>DA</w:t>
            </w:r>
          </w:p>
          <w:p w:rsidR="4F557CA5" w:rsidP="6B73DD53" w:rsidRDefault="4F557CA5" w14:paraId="043B4D70" w14:textId="5D2D5850">
            <w:pPr>
              <w:pStyle w:val="CETBodytext"/>
              <w:rPr>
                <w:b/>
                <w:bCs/>
                <w:lang w:val="en-GB"/>
              </w:rPr>
            </w:pPr>
            <w:r w:rsidRPr="6B73DD53">
              <w:rPr>
                <w:b/>
                <w:bCs/>
                <w:lang w:val="en-GB"/>
              </w:rPr>
              <w:t>Pulse rate</w:t>
            </w:r>
          </w:p>
          <w:p w:rsidR="4F557CA5" w:rsidP="6B73DD53" w:rsidRDefault="4F557CA5" w14:paraId="139D51E4" w14:textId="060C92FB">
            <w:pPr>
              <w:pStyle w:val="CETBodytext"/>
              <w:rPr>
                <w:b/>
                <w:bCs/>
                <w:lang w:val="en-GB"/>
              </w:rPr>
            </w:pPr>
            <w:r w:rsidRPr="6B73DD53">
              <w:rPr>
                <w:b/>
                <w:bCs/>
                <w:lang w:val="en-GB"/>
              </w:rPr>
              <w:t>Steps count</w:t>
            </w:r>
          </w:p>
          <w:p w:rsidR="4F557CA5" w:rsidP="6B73DD53" w:rsidRDefault="4F557CA5" w14:paraId="585CC7D7" w14:textId="4B176A19">
            <w:pPr>
              <w:pStyle w:val="CETBodytext"/>
              <w:rPr>
                <w:b/>
                <w:bCs/>
                <w:lang w:val="en-GB"/>
              </w:rPr>
            </w:pPr>
            <w:r w:rsidRPr="6B73DD53">
              <w:rPr>
                <w:b/>
                <w:bCs/>
                <w:lang w:val="en-GB"/>
              </w:rPr>
              <w:t>Activity counts</w:t>
            </w:r>
          </w:p>
        </w:tc>
        <w:tc>
          <w:tcPr>
            <w:tcW w:w="1230" w:type="dxa"/>
            <w:shd w:val="clear" w:color="auto" w:fill="FFFFFF" w:themeFill="background1"/>
            <w:tcMar/>
          </w:tcPr>
          <w:p w:rsidR="4F557CA5" w:rsidP="6B73DD53" w:rsidRDefault="4F557CA5" w14:paraId="6DC8A128" w14:textId="188475A3">
            <w:pPr>
              <w:pStyle w:val="CETBodytext"/>
              <w:rPr>
                <w:lang w:val="en-GB"/>
              </w:rPr>
            </w:pPr>
            <w:r w:rsidRPr="6B73DD53">
              <w:rPr>
                <w:lang w:val="en-GB"/>
              </w:rPr>
              <w:t>0.911</w:t>
            </w:r>
          </w:p>
          <w:p w:rsidR="4F557CA5" w:rsidP="6B73DD53" w:rsidRDefault="4F557CA5" w14:paraId="2DEA3773" w14:textId="38590EA3">
            <w:pPr>
              <w:pStyle w:val="CETBodytext"/>
              <w:rPr>
                <w:lang w:val="en-GB"/>
              </w:rPr>
            </w:pPr>
            <w:r w:rsidRPr="6B73DD53">
              <w:rPr>
                <w:lang w:val="en-GB"/>
              </w:rPr>
              <w:t>0.686</w:t>
            </w:r>
          </w:p>
        </w:tc>
        <w:tc>
          <w:tcPr>
            <w:tcW w:w="555" w:type="dxa"/>
            <w:shd w:val="clear" w:color="auto" w:fill="FFFFFF" w:themeFill="background1"/>
            <w:tcMar/>
          </w:tcPr>
          <w:p w:rsidR="6B73DD53" w:rsidP="6B73DD53" w:rsidRDefault="6B73DD53" w14:paraId="3B618104" w14:textId="358ED44A">
            <w:pPr>
              <w:pStyle w:val="CETBodytext"/>
              <w:rPr>
                <w:lang w:val="en-GB"/>
              </w:rPr>
            </w:pPr>
          </w:p>
          <w:p w:rsidR="6B73DD53" w:rsidP="6B73DD53" w:rsidRDefault="6B73DD53" w14:paraId="59B7C08E" w14:textId="34F23639">
            <w:pPr>
              <w:pStyle w:val="CETBodytext"/>
              <w:rPr>
                <w:lang w:val="en-GB"/>
              </w:rPr>
            </w:pPr>
          </w:p>
          <w:p w:rsidR="0E003994" w:rsidP="6B73DD53" w:rsidRDefault="0E003994" w14:paraId="06B2DBFB" w14:textId="10D1E883">
            <w:pPr>
              <w:pStyle w:val="CETBodytext"/>
              <w:rPr>
                <w:lang w:val="en-GB"/>
              </w:rPr>
            </w:pPr>
            <w:r w:rsidRPr="503AC0F3" w:rsidR="3A5DE1F7">
              <w:rPr>
                <w:lang w:val="en-GB"/>
              </w:rPr>
              <w:t xml:space="preserve">         </w:t>
            </w:r>
          </w:p>
        </w:tc>
        <w:tc>
          <w:tcPr>
            <w:tcW w:w="960" w:type="dxa"/>
            <w:shd w:val="clear" w:color="auto" w:fill="FFFFFF" w:themeFill="background1"/>
            <w:tcMar/>
          </w:tcPr>
          <w:p w:rsidR="6B73DD53" w:rsidP="6B73DD53" w:rsidRDefault="6B73DD53" w14:paraId="0E13DC95" w14:textId="696A6F55">
            <w:pPr>
              <w:pStyle w:val="CETBodytext"/>
              <w:ind w:right="-1"/>
              <w:rPr>
                <w:rFonts w:cs="Arial"/>
                <w:lang w:val="en-GB"/>
              </w:rPr>
            </w:pPr>
          </w:p>
          <w:p w:rsidR="6B73DD53" w:rsidP="6B73DD53" w:rsidRDefault="6B73DD53" w14:paraId="62AF5F82" w14:textId="64451EF8">
            <w:pPr>
              <w:pStyle w:val="CETBodytext"/>
              <w:ind w:right="-1"/>
              <w:rPr>
                <w:rFonts w:cs="Arial"/>
                <w:lang w:val="en-GB"/>
              </w:rPr>
            </w:pPr>
          </w:p>
          <w:p w:rsidR="6FF93D1B" w:rsidP="6B73DD53" w:rsidRDefault="6FF93D1B" w14:paraId="73EA3B50" w14:textId="3400C0A6">
            <w:pPr>
              <w:pStyle w:val="CETBodytext"/>
              <w:ind w:right="-1"/>
              <w:rPr>
                <w:rFonts w:cs="Arial"/>
                <w:lang w:val="en-GB"/>
              </w:rPr>
            </w:pPr>
            <w:r w:rsidRPr="6B73DD53">
              <w:rPr>
                <w:rFonts w:cs="Arial"/>
                <w:lang w:val="en-GB"/>
              </w:rPr>
              <w:t>0.903</w:t>
            </w:r>
          </w:p>
          <w:p w:rsidR="6FF93D1B" w:rsidP="6B73DD53" w:rsidRDefault="6FF93D1B" w14:paraId="32296941" w14:textId="2956139F">
            <w:pPr>
              <w:pStyle w:val="CETBodytext"/>
              <w:ind w:right="-1"/>
              <w:rPr>
                <w:rFonts w:cs="Arial"/>
                <w:lang w:val="en-GB"/>
              </w:rPr>
            </w:pPr>
            <w:r w:rsidRPr="6B73DD53">
              <w:rPr>
                <w:rFonts w:cs="Arial"/>
                <w:lang w:val="en-GB"/>
              </w:rPr>
              <w:t>0.902</w:t>
            </w:r>
          </w:p>
        </w:tc>
        <w:tc>
          <w:tcPr>
            <w:tcW w:w="390" w:type="dxa"/>
            <w:shd w:val="clear" w:color="auto" w:fill="FFFFFF" w:themeFill="background1"/>
            <w:tcMar/>
          </w:tcPr>
          <w:p w:rsidR="6B73DD53" w:rsidP="6B73DD53" w:rsidRDefault="6B73DD53" w14:paraId="06226CCE" w14:textId="77777777">
            <w:pPr>
              <w:pStyle w:val="CETBodytext"/>
              <w:ind w:right="-1"/>
              <w:rPr>
                <w:rFonts w:cs="Arial"/>
                <w:lang w:val="en-GB"/>
              </w:rPr>
            </w:pPr>
          </w:p>
        </w:tc>
      </w:tr>
    </w:tbl>
    <w:p w:rsidR="6B73DD53" w:rsidRDefault="6B73DD53" w14:paraId="070A68A0" w14:textId="6D6D1837"/>
    <w:p w:rsidR="519DFFD8" w:rsidP="6B73DD53" w:rsidRDefault="00374C1E" w14:paraId="44CE90C1" w14:textId="295E1ED0">
      <w:r w:rsidR="00374C1E">
        <w:rPr/>
        <w:t>Based on the</w:t>
      </w:r>
      <w:r w:rsidR="00374C1E">
        <w:rPr/>
        <w:t xml:space="preserve"> </w:t>
      </w:r>
      <w:r w:rsidR="00374C1E">
        <w:rPr/>
        <w:t>scree</w:t>
      </w:r>
      <w:r w:rsidR="00374C1E">
        <w:rPr/>
        <w:t xml:space="preserve"> plot shown in F</w:t>
      </w:r>
      <w:r w:rsidR="00374C1E">
        <w:rPr/>
        <w:t xml:space="preserve">igure 2, two components are </w:t>
      </w:r>
      <w:r w:rsidR="00374C1E">
        <w:rPr/>
        <w:t>selected</w:t>
      </w:r>
      <w:r w:rsidR="00374C1E">
        <w:rPr/>
        <w:t xml:space="preserve"> </w:t>
      </w:r>
      <w:r w:rsidR="004936B1">
        <w:rPr/>
        <w:t xml:space="preserve">since it can explain </w:t>
      </w:r>
      <w:r w:rsidR="00AB0B55">
        <w:rPr/>
        <w:t xml:space="preserve">79.243% </w:t>
      </w:r>
      <w:r w:rsidR="00AB0B55">
        <w:rPr/>
        <w:t>of the variance.</w:t>
      </w:r>
      <w:r w:rsidR="002C3422">
        <w:rPr/>
        <w:t xml:space="preserve"> </w:t>
      </w:r>
      <w:r w:rsidR="002C3422">
        <w:rPr/>
        <w:t xml:space="preserve">Variables that are not related to </w:t>
      </w:r>
      <w:r w:rsidR="002C3422">
        <w:rPr/>
        <w:t>th</w:t>
      </w:r>
      <w:r w:rsidR="3FD756F7">
        <w:rPr/>
        <w:t>ese</w:t>
      </w:r>
      <w:r w:rsidR="002C3422">
        <w:rPr/>
        <w:t xml:space="preserve"> two components</w:t>
      </w:r>
      <w:r w:rsidR="002C3422">
        <w:rPr/>
        <w:t xml:space="preserve"> as well as whose factor loading is less than 0.5 have been re</w:t>
      </w:r>
      <w:r w:rsidR="002C3422">
        <w:rPr/>
        <w:t>moved.</w:t>
      </w:r>
      <w:r w:rsidR="00AB0B55">
        <w:rPr/>
        <w:t xml:space="preserve"> </w:t>
      </w:r>
      <w:r w:rsidR="41732758">
        <w:rPr/>
        <w:t xml:space="preserve">To </w:t>
      </w:r>
      <w:r w:rsidR="00AB0B55">
        <w:rPr/>
        <w:t>r</w:t>
      </w:r>
      <w:r w:rsidR="00AB0B55">
        <w:rPr/>
        <w:t>eveal underlying relationships and structures between variables</w:t>
      </w:r>
      <w:r w:rsidR="00AB0B55">
        <w:rPr/>
        <w:t xml:space="preserve">, </w:t>
      </w:r>
      <w:r w:rsidR="00AB0B55">
        <w:rPr/>
        <w:t xml:space="preserve">the rotation method of </w:t>
      </w:r>
      <w:r w:rsidR="00AB0B55">
        <w:rPr/>
        <w:t>Varimax</w:t>
      </w:r>
      <w:r w:rsidR="00AB0B55">
        <w:rPr/>
        <w:t xml:space="preserve"> with Kaiser Normalization has been applied</w:t>
      </w:r>
      <w:r w:rsidR="00AB0B55">
        <w:rPr/>
        <w:t xml:space="preserve"> </w:t>
      </w:r>
      <w:r w:rsidR="00AB0B55">
        <w:rPr/>
        <w:t>(</w:t>
      </w:r>
      <w:r w:rsidR="519DFFD8">
        <w:rPr/>
        <w:t>Table 1</w:t>
      </w:r>
      <w:r w:rsidR="573756DB">
        <w:rPr/>
        <w:t>).</w:t>
      </w:r>
      <w:r w:rsidR="519DFFD8">
        <w:rPr/>
        <w:t xml:space="preserve"> </w:t>
      </w:r>
      <w:r w:rsidR="519DFFD8">
        <w:rPr/>
        <w:t>The findings reveal the existence of two s</w:t>
      </w:r>
      <w:r w:rsidR="36FAB122">
        <w:rPr/>
        <w:t>ubscales</w:t>
      </w:r>
      <w:r w:rsidR="519DFFD8">
        <w:rPr/>
        <w:t xml:space="preserve">, namely PC1 and PC2. PC1 </w:t>
      </w:r>
      <w:r w:rsidR="002C3422">
        <w:rPr/>
        <w:t>is contributed by two factors E</w:t>
      </w:r>
      <w:r w:rsidR="3193C96E">
        <w:rPr/>
        <w:t>DA</w:t>
      </w:r>
      <w:r w:rsidR="002C3422">
        <w:rPr/>
        <w:t xml:space="preserve"> and Pulse rate, with the </w:t>
      </w:r>
      <w:r w:rsidR="002C3422">
        <w:rPr/>
        <w:t xml:space="preserve">factor </w:t>
      </w:r>
      <w:r w:rsidR="002C3422">
        <w:rPr/>
        <w:t>loading</w:t>
      </w:r>
      <w:r w:rsidR="002C3422">
        <w:rPr/>
        <w:t xml:space="preserve"> </w:t>
      </w:r>
      <w:r w:rsidR="002C3422">
        <w:rPr/>
        <w:t xml:space="preserve">of (0.911 and 0.686), which </w:t>
      </w:r>
      <w:r w:rsidR="519DFFD8">
        <w:rPr/>
        <w:t xml:space="preserve">can be construed as the physiological dimension, capturing variables such as electrodermal activity and pulse rate, while </w:t>
      </w:r>
      <w:r w:rsidR="519DFFD8">
        <w:rPr/>
        <w:t>PC2</w:t>
      </w:r>
      <w:r w:rsidR="519DFFD8">
        <w:rPr/>
        <w:t xml:space="preserve"> </w:t>
      </w:r>
      <w:r w:rsidR="519DFFD8">
        <w:rPr/>
        <w:t>represents</w:t>
      </w:r>
      <w:r w:rsidR="519DFFD8">
        <w:rPr/>
        <w:t xml:space="preserve"> the motion dimension, encapsulating variables such as steps and activity count</w:t>
      </w:r>
      <w:r w:rsidR="002C3422">
        <w:rPr/>
        <w:t xml:space="preserve">, with the factor loading of 0.903 and </w:t>
      </w:r>
      <w:r w:rsidR="002C3422">
        <w:rPr/>
        <w:t>0.902</w:t>
      </w:r>
      <w:r w:rsidR="002C3422">
        <w:rPr/>
        <w:t xml:space="preserve"> respectively</w:t>
      </w:r>
      <w:r w:rsidR="519DFFD8">
        <w:rPr/>
        <w:t>. Consequently, this allows the reduction of the original 6-dimensional features to a more concise 2-dimensional feature variable.</w:t>
      </w:r>
    </w:p>
    <w:p w:rsidR="6B73DD53" w:rsidP="6B73DD53" w:rsidRDefault="6B73DD53" w14:paraId="42F9B6F2" w14:textId="2FA72B26">
      <w:pPr>
        <w:pStyle w:val="CETBodytext"/>
      </w:pPr>
    </w:p>
    <w:p w:rsidR="26AB644E" w:rsidP="3F60FB55" w:rsidRDefault="26AB644E" w14:paraId="41231DCA" w14:textId="7B677FD7">
      <w:pPr>
        <w:pStyle w:val="CETheadingx"/>
      </w:pPr>
      <w:r>
        <w:t xml:space="preserve">Linear regression </w:t>
      </w:r>
      <w:r w:rsidR="656C29FF">
        <w:t>on</w:t>
      </w:r>
      <w:r>
        <w:t xml:space="preserve"> the weighted scale</w:t>
      </w:r>
    </w:p>
    <w:p w:rsidR="750043DA" w:rsidP="6B73DD53" w:rsidRDefault="750043DA" w14:paraId="1F84C63C" w14:textId="471D6940">
      <w:pPr>
        <w:pStyle w:val="CETBodytext"/>
      </w:pPr>
      <w:r>
        <w:t xml:space="preserve">Concluding the analysis, linear regressions were performed to derive weights for the physical fatigue, utilizing PC1 and PC2 subsets as independent variables and the </w:t>
      </w:r>
      <w:r w:rsidR="24ED86DC">
        <w:t>results of the Borg Test</w:t>
      </w:r>
      <w:r>
        <w:t xml:space="preserve"> as the dependent variable.</w:t>
      </w:r>
      <w:r w:rsidR="1BC73D2E">
        <w:t xml:space="preserve"> This approach, relying solely on objective measures, enhances the robustness of the index, ensuring a more reliable and objective evaluation of fatigue.</w:t>
      </w:r>
    </w:p>
    <w:p w:rsidR="6B73DD53" w:rsidP="6B73DD53" w:rsidRDefault="6B73DD53" w14:paraId="693FC96D" w14:textId="29487BEB">
      <w:pPr>
        <w:pStyle w:val="CETBodytext"/>
      </w:pPr>
    </w:p>
    <w:p w:rsidR="034380FC" w:rsidP="6B73DD53" w:rsidRDefault="034380FC" w14:paraId="28D83957" w14:textId="79FDF8BC">
      <w:pPr>
        <w:pStyle w:val="CETBodytext"/>
      </w:pPr>
      <w:r w:rsidR="034380FC">
        <w:rPr/>
        <w:t>Prior to conducting linear regression, Structural Equation Modeling (SEM)</w:t>
      </w:r>
      <w:r w:rsidR="3160B8EE">
        <w:rPr/>
        <w:t xml:space="preserve"> (16)</w:t>
      </w:r>
      <w:r w:rsidR="034380FC">
        <w:rPr/>
        <w:t xml:space="preserve"> was executed to assess the model's fit an</w:t>
      </w:r>
      <w:r w:rsidR="034380FC">
        <w:rPr/>
        <w:t xml:space="preserve">d </w:t>
      </w:r>
      <w:r w:rsidR="034380FC">
        <w:rPr/>
        <w:t>valida</w:t>
      </w:r>
      <w:r w:rsidR="034380FC">
        <w:rPr/>
        <w:t>te</w:t>
      </w:r>
      <w:r w:rsidR="034380FC">
        <w:rPr/>
        <w:t xml:space="preserve"> the relationships between the subset (PC1 and PC2) an</w:t>
      </w:r>
      <w:r w:rsidR="034380FC">
        <w:rPr/>
        <w:t xml:space="preserve">d </w:t>
      </w:r>
      <w:r w:rsidR="034380FC">
        <w:rPr/>
        <w:t>observ</w:t>
      </w:r>
      <w:r w:rsidR="034380FC">
        <w:rPr/>
        <w:t>ed</w:t>
      </w:r>
      <w:r w:rsidR="034380FC">
        <w:rPr/>
        <w:t xml:space="preserve"> data, laying the groundwork fo</w:t>
      </w:r>
      <w:r w:rsidR="034380FC">
        <w:rPr/>
        <w:t xml:space="preserve">r </w:t>
      </w:r>
      <w:r w:rsidR="034380FC">
        <w:rPr/>
        <w:t>subseque</w:t>
      </w:r>
      <w:r w:rsidR="034380FC">
        <w:rPr/>
        <w:t>nt</w:t>
      </w:r>
      <w:r w:rsidR="034380FC">
        <w:rPr/>
        <w:t xml:space="preserve"> regression </w:t>
      </w:r>
      <w:r w:rsidR="1D3B1433">
        <w:rPr/>
        <w:t>analysis</w:t>
      </w:r>
      <w:r w:rsidR="0038663A">
        <w:rPr/>
        <w:t xml:space="preserve"> </w:t>
      </w:r>
      <w:r w:rsidR="0038663A">
        <w:rPr/>
        <w:t>(Figure 3)</w:t>
      </w:r>
      <w:r w:rsidR="1D3B1433">
        <w:rPr/>
        <w:t>. The fit indices, including CMIN/DF (3.415), RMSEA (0.069), NFI (0.994), IFI (0.996), TLI (0.976), and CFI (0.996), collectivel</w:t>
      </w:r>
      <w:r w:rsidR="1D3B1433">
        <w:rPr/>
        <w:t xml:space="preserve">y </w:t>
      </w:r>
      <w:r w:rsidR="1D3B1433">
        <w:rPr/>
        <w:t>indica</w:t>
      </w:r>
      <w:r w:rsidR="1D3B1433">
        <w:rPr/>
        <w:t>te</w:t>
      </w:r>
      <w:r w:rsidR="1D3B1433">
        <w:rPr/>
        <w:t xml:space="preserve"> a good fit for the </w:t>
      </w:r>
      <w:r w:rsidR="0038663A">
        <w:rPr/>
        <w:t>explored structure</w:t>
      </w:r>
      <w:r w:rsidR="1D3B1433">
        <w:rPr/>
        <w:t>.</w:t>
      </w:r>
    </w:p>
    <w:p w:rsidR="6B73DD53" w:rsidP="6B73DD53" w:rsidRDefault="0038663A" w14:paraId="283F8056" w14:textId="5CF102F1" w14:noSpellErr="1">
      <w:pPr>
        <w:pStyle w:val="CETBodytext"/>
      </w:pPr>
      <w:r w:rsidR="0038663A">
        <w:drawing>
          <wp:inline wp14:editId="4981F5B0" wp14:anchorId="5E8A82F6">
            <wp:extent cx="3803548" cy="2489341"/>
            <wp:effectExtent l="0" t="0" r="0" b="0"/>
            <wp:docPr id="1068234377" name="图片 2" title=""/>
            <wp:cNvGraphicFramePr>
              <a:graphicFrameLocks noChangeAspect="1"/>
            </wp:cNvGraphicFramePr>
            <a:graphic>
              <a:graphicData uri="http://schemas.openxmlformats.org/drawingml/2006/picture">
                <pic:pic>
                  <pic:nvPicPr>
                    <pic:cNvPr id="0" name="图片 2"/>
                    <pic:cNvPicPr/>
                  </pic:nvPicPr>
                  <pic:blipFill>
                    <a:blip r:embed="Rf9593834764a45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03548" cy="2489341"/>
                    </a:xfrm>
                    <a:prstGeom prst="rect">
                      <a:avLst/>
                    </a:prstGeom>
                  </pic:spPr>
                </pic:pic>
              </a:graphicData>
            </a:graphic>
          </wp:inline>
        </w:drawing>
      </w:r>
    </w:p>
    <w:p w:rsidR="0038663A" w:rsidP="766F4288" w:rsidRDefault="0038663A" w14:paraId="073093FC" w14:textId="345286BF">
      <w:pPr>
        <w:rPr>
          <w:rStyle w:val="CETCaptionCarattere"/>
          <w:rFonts w:eastAsia="宋体" w:eastAsiaTheme="minorEastAsia"/>
        </w:rPr>
      </w:pPr>
      <w:r w:rsidRPr="766F4288" w:rsidR="4DA9B1BC">
        <w:rPr>
          <w:rStyle w:val="CETCaptionCarattere"/>
          <w:rFonts w:eastAsia="宋体" w:eastAsiaTheme="minorEastAsia"/>
        </w:rPr>
        <w:t xml:space="preserve">Figure 3. Validation results through </w:t>
      </w:r>
      <w:r w:rsidRPr="766F4288" w:rsidR="4DA9B1BC">
        <w:rPr>
          <w:rStyle w:val="CETCaptionCarattere"/>
        </w:rPr>
        <w:t>SEM</w:t>
      </w:r>
    </w:p>
    <w:p w:rsidR="766F4288" w:rsidP="766F4288" w:rsidRDefault="766F4288" w14:paraId="01B0BDFB" w14:textId="28A109BA">
      <w:pPr>
        <w:pStyle w:val="a1"/>
        <w:rPr>
          <w:rStyle w:val="CETCaptionCarattere"/>
        </w:rPr>
      </w:pPr>
    </w:p>
    <w:p w:rsidR="5EB5E9F6" w:rsidP="6B73DD53" w:rsidRDefault="5EB5E9F6" w14:paraId="76540090" w14:textId="203059C5">
      <w:pPr>
        <w:pStyle w:val="CETBodytext"/>
        <w:jc w:val="left"/>
      </w:pPr>
      <w:r w:rsidR="5EB5E9F6">
        <w:rPr/>
        <w:t xml:space="preserve">At this stage, we </w:t>
      </w:r>
      <w:r w:rsidR="6B6350E8">
        <w:rPr/>
        <w:t>were</w:t>
      </w:r>
      <w:r w:rsidR="5EB5E9F6">
        <w:rPr/>
        <w:t xml:space="preserve"> prepared to apply the regression model to our data. Initially, we set out with the null hypothesis assuming no linear relationship. However, the obtained p-value of less than 0.001 </w:t>
      </w:r>
      <w:r w:rsidR="5EB5E9F6">
        <w:rPr/>
        <w:t>provides</w:t>
      </w:r>
      <w:r w:rsidR="5EB5E9F6">
        <w:rPr/>
        <w:t xml:space="preserve"> compelling evidence against the null hypothesis. This signifies a statistically significant linear relationship between the predictor variables (PC1 and PC2 subsets) and the dependent variable (</w:t>
      </w:r>
      <w:r w:rsidR="58CC5556">
        <w:rPr/>
        <w:t>fatigue level</w:t>
      </w:r>
      <w:r w:rsidR="5EB5E9F6">
        <w:rPr/>
        <w:t>).</w:t>
      </w:r>
    </w:p>
    <w:p w:rsidR="5EB5E9F6" w:rsidP="6B73DD53" w:rsidRDefault="5EB5E9F6" w14:paraId="2F12B928" w14:textId="66FA7B0E">
      <w:pPr>
        <w:pStyle w:val="CETBodytext"/>
      </w:pPr>
      <w:r>
        <w:t>Furthermore, the coefficient of determination (R^2) is calculated to be 0.541. This R^2 value indicates that approximately 54.1% of the variability in the fatigue level</w:t>
      </w:r>
      <w:r w:rsidR="642150F3">
        <w:t xml:space="preserve"> or Borg Test</w:t>
      </w:r>
      <w:r>
        <w:t xml:space="preserve"> can be explained by the linear regression model. In other words, over half of the observed variations in fatigue can be attributed to the identified </w:t>
      </w:r>
      <w:r w:rsidR="5C0DED73">
        <w:t>objective</w:t>
      </w:r>
      <w:r>
        <w:t xml:space="preserve"> factors represented by PC1 and PC2.</w:t>
      </w:r>
    </w:p>
    <w:p w:rsidR="5EB5E9F6" w:rsidP="6B73DD53" w:rsidRDefault="5EB5E9F6" w14:paraId="51ACB47D" w14:textId="18E6AA46">
      <w:pPr>
        <w:pStyle w:val="CETBodytext"/>
      </w:pPr>
      <w:r>
        <w:t>These results collectively support the rejection of the null hypothesis and affirm the strength and explanatory power of the linear regression model in capturing and understanding the relationship between the latent factors and fatigue level.</w:t>
      </w:r>
    </w:p>
    <w:p w:rsidR="27775C63" w:rsidP="6B73DD53" w:rsidRDefault="27775C63" w14:paraId="62F40C99" w14:textId="2662AB3D">
      <w:pPr>
        <w:pStyle w:val="CETBodytext"/>
      </w:pPr>
      <w:r w:rsidR="27775C63">
        <w:rPr/>
        <w:t xml:space="preserve">The calculated new fatigue index is represented by the </w:t>
      </w:r>
      <w:r w:rsidR="4848F6F5">
        <w:rPr/>
        <w:t>Eq (</w:t>
      </w:r>
      <w:r w:rsidR="27775C63">
        <w:rPr/>
        <w:t xml:space="preserve">1). Notably, PC1 carries a higher weight than PC2, </w:t>
      </w:r>
      <w:r w:rsidR="27775C63">
        <w:rPr/>
        <w:t>indicating</w:t>
      </w:r>
      <w:r w:rsidR="27775C63">
        <w:rPr/>
        <w:t xml:space="preserve"> that PC1 holds more significance in the assessment of fatigue compared to motion dimensions. This underscores the influential role of physiological parameters, represented by PC1, in the overall evaluation of fatigue.</w:t>
      </w:r>
    </w:p>
    <w:p w:rsidR="6B73DD53" w:rsidP="6B73DD53" w:rsidRDefault="6B73DD53" w14:paraId="0E0014A0" w14:textId="3FAEE361">
      <w:pPr>
        <w:pStyle w:val="CETBodytext"/>
      </w:pPr>
    </w:p>
    <w:p w:rsidR="6B73DD53" w:rsidP="6B73DD53" w:rsidRDefault="6B73DD53" w14:paraId="2CED1AA6" w14:textId="307A8FFC">
      <w:pPr>
        <w:pStyle w:val="CETEquation"/>
      </w:pPr>
      <m:oMath>
        <m:r>
          <w:rPr>
            <w:rFonts w:ascii="Cambria Math" w:hAnsi="Cambria Math"/>
          </w:rPr>
          <m:t>NewFatigueIndex=5.115+7.079⋅PC1+4.755⋅PC2 </m:t>
        </m:r>
      </m:oMath>
      <w:r w:rsidR="751B71D7">
        <w:t xml:space="preserve">                                                  (1)</w:t>
      </w:r>
    </w:p>
    <w:p w:rsidR="6B73DD53" w:rsidP="6B73DD53" w:rsidRDefault="6B73DD53" w14:paraId="6D412A10" w14:textId="478AACB7">
      <w:pPr>
        <w:pStyle w:val="CETBodytext"/>
      </w:pPr>
    </w:p>
    <w:p w:rsidR="5A9AD404" w:rsidP="6B73DD53" w:rsidRDefault="5A9AD404" w14:paraId="54BCD82D" w14:textId="739BE7B3">
      <w:pPr>
        <w:pStyle w:val="CETBodytext"/>
      </w:pPr>
      <w:r>
        <w:t>The model's assumption of a linear relationship between objective measures (PC1 and PC2) and fatigue levels may overlook non-linear physiological responses common in fatigue scenarios. Non-linearities, such as saturation points or threshold effects, could be overlooked, potentially impacting the model's accuracy. Additionally, while the sample size of 33 participants is reasonable, generalizing findings to broader populations or specific occupational groups necessitates validation with larger, more diverse samples. The exclusion criteria, targeting individuals with certain health conditions, introduces potential selection bias, limiting the model's applicability to a wider range of real-world scenarios.</w:t>
      </w:r>
      <w:r w:rsidR="3072DDB6">
        <w:t xml:space="preserve"> To enhance the model's utility and relevance, future studies may consider including participants with a broader range of health conditions encountered in real-world scenarios.</w:t>
      </w:r>
    </w:p>
    <w:p w:rsidR="6B73DD53" w:rsidP="6B73DD53" w:rsidRDefault="6B73DD53" w14:paraId="73CD3B3A" w14:textId="3F754FB5">
      <w:pPr>
        <w:pStyle w:val="CETBodytext"/>
      </w:pPr>
    </w:p>
    <w:p w:rsidR="1728939D" w:rsidP="3F60FB55" w:rsidRDefault="1728939D" w14:paraId="11557E3E" w14:textId="0156EA81">
      <w:pPr>
        <w:pStyle w:val="CETHeading1"/>
        <w:rPr>
          <w:lang w:val="en-GB"/>
        </w:rPr>
      </w:pPr>
      <w:r w:rsidRPr="3F60FB55">
        <w:rPr>
          <w:lang w:val="en-GB"/>
        </w:rPr>
        <w:t>Conclusions</w:t>
      </w:r>
    </w:p>
    <w:p w:rsidR="7F13CAD0" w:rsidP="6B73DD53" w:rsidRDefault="7F13CAD0" w14:paraId="6C6F95B4" w14:textId="3C1B4E3A">
      <w:pPr>
        <w:pStyle w:val="CETBodytext"/>
        <w:rPr>
          <w:lang w:val="en-GB"/>
        </w:rPr>
      </w:pPr>
      <w:r w:rsidRPr="6B73DD53">
        <w:rPr>
          <w:lang w:val="en-GB"/>
        </w:rPr>
        <w:t>This study established a nuanced objective scale to enhance the precision of assessments of physical fatigue and facilitate their seamless integration into practical devices.</w:t>
      </w:r>
      <w:r w:rsidRPr="6B73DD53" w:rsidR="527CA86C">
        <w:rPr>
          <w:lang w:val="en-GB"/>
        </w:rPr>
        <w:t xml:space="preserve"> This scale was crafted based on comprehensive </w:t>
      </w:r>
      <w:r w:rsidRPr="6B73DD53" w:rsidR="527CA86C">
        <w:rPr>
          <w:lang w:val="en-GB"/>
        </w:rPr>
        <w:lastRenderedPageBreak/>
        <w:t>objective measures obtained through a non-intrusive smartwatch.</w:t>
      </w:r>
      <w:r w:rsidRPr="6B73DD53">
        <w:rPr>
          <w:lang w:val="en-GB"/>
        </w:rPr>
        <w:t xml:space="preserve"> </w:t>
      </w:r>
      <w:r w:rsidRPr="6B73DD53" w:rsidR="1212651E">
        <w:rPr>
          <w:lang w:val="en-GB"/>
        </w:rPr>
        <w:t>The smartwatch, in conjunction with a subjective Borg test questionnaire, concurrently gathered physiological parameters such as skin temperature, pulse rate, and electrodermal activity. Additionally, it captured intricate movement data during tasks designed to emulate various industrial activities, notably those prevalent in the process industry,</w:t>
      </w:r>
      <w:r w:rsidRPr="6B73DD53" w:rsidR="5524A4EF">
        <w:rPr>
          <w:lang w:val="en-GB"/>
        </w:rPr>
        <w:t xml:space="preserve"> including</w:t>
      </w:r>
      <w:r w:rsidRPr="6B73DD53" w:rsidR="1212651E">
        <w:rPr>
          <w:lang w:val="en-GB"/>
        </w:rPr>
        <w:t xml:space="preserve"> </w:t>
      </w:r>
      <w:r w:rsidRPr="6B73DD53" w:rsidR="46558174">
        <w:rPr>
          <w:lang w:val="en-GB"/>
        </w:rPr>
        <w:t>instrument calibration, emergency response, equipment maintenance, sampling and testing, and isolation procedures</w:t>
      </w:r>
      <w:r w:rsidRPr="6B73DD53" w:rsidR="5DC46F2C">
        <w:rPr>
          <w:lang w:val="en-GB"/>
        </w:rPr>
        <w:t>.</w:t>
      </w:r>
    </w:p>
    <w:p w:rsidR="5DC46F2C" w:rsidP="6B73DD53" w:rsidRDefault="5DC46F2C" w14:paraId="5BCCDFDC" w14:textId="781E7FE3">
      <w:pPr>
        <w:pStyle w:val="CETBodytext"/>
        <w:rPr>
          <w:lang w:val="en-GB"/>
        </w:rPr>
      </w:pPr>
      <w:r w:rsidRPr="52A52B0A" w:rsidR="5DC46F2C">
        <w:rPr>
          <w:lang w:val="en-GB"/>
        </w:rPr>
        <w:t xml:space="preserve">The complexity of objective data was distilled into two meaningful subscales through </w:t>
      </w:r>
      <w:r w:rsidRPr="52A52B0A" w:rsidR="61AAD637">
        <w:rPr>
          <w:lang w:val="en-GB"/>
        </w:rPr>
        <w:t>PCA</w:t>
      </w:r>
      <w:r w:rsidRPr="52A52B0A" w:rsidR="5DC46F2C">
        <w:rPr>
          <w:lang w:val="en-GB"/>
        </w:rPr>
        <w:t>, providing a more interpretable representation. The weighting solution was then meticulously derived through linear regressions. These regression models were strategically formulated, with two specific items (PC1 and PC2) serving as independent variables and preceding fatigue levels assessed through the Borg test acting as the dependent variable. Importantly, the fitness level was initially v</w:t>
      </w:r>
      <w:r w:rsidRPr="52A52B0A" w:rsidR="5DC46F2C">
        <w:rPr>
          <w:lang w:val="en-GB"/>
        </w:rPr>
        <w:t xml:space="preserve">alidated </w:t>
      </w:r>
      <w:r w:rsidRPr="52A52B0A" w:rsidR="5DC46F2C">
        <w:rPr>
          <w:lang w:val="en-GB"/>
        </w:rPr>
        <w:t>through Subject Matter Expert (SME) assessment, providing a robust foundation for s</w:t>
      </w:r>
      <w:r w:rsidRPr="52A52B0A" w:rsidR="5DC46F2C">
        <w:rPr>
          <w:lang w:val="en-GB"/>
        </w:rPr>
        <w:t xml:space="preserve">ubsequent </w:t>
      </w:r>
      <w:r w:rsidRPr="52A52B0A" w:rsidR="5DC46F2C">
        <w:rPr>
          <w:lang w:val="en-GB"/>
        </w:rPr>
        <w:t>analyses.</w:t>
      </w:r>
    </w:p>
    <w:p w:rsidR="40D4E8A6" w:rsidP="6B73DD53" w:rsidRDefault="40D4E8A6" w14:paraId="053F3CB9" w14:textId="1FDDD837">
      <w:pPr>
        <w:pStyle w:val="CETBodytext"/>
        <w:rPr>
          <w:lang w:val="en-GB"/>
        </w:rPr>
      </w:pPr>
      <w:r w:rsidRPr="6B73DD53">
        <w:rPr>
          <w:lang w:val="en-GB"/>
        </w:rPr>
        <w:t>The potential applications of the physical fatigue scale utilizing a non-intrusive smartwatch are diverse and impactful. The developed scale serves as a customized warning system, leveraging the capabilities of a non-intrusive smartwatch for real-time monitoring and prompt alerts when the fatigue index reaches critical levels. This enhances safety across various industries. The primary goal is to offer a simplified yet effective scale for swift fatigue detection, crucial in dynamic work environments where quick identification is essential for maintaining optimal performance and preventing accidents. In scenarios where operators work alone, the fatigue scale can intelligently schedule rest periods. For example, implementing a warning system to prompt breaks when the fatigue index surpasses a predetermined threshold, such as 14, ensures that operators receive timely rest, mitigating the risk of exhaustion. As a forward-looking initiative, there is potential to study and develop a rest index with a corresponding scale. This involves comprehensive research on optimal rest periods, considering factors such as the nature of tasks, individual differences, and work duration.</w:t>
      </w:r>
    </w:p>
    <w:p w:rsidR="6B73DD53" w:rsidP="6B73DD53" w:rsidRDefault="6B73DD53" w14:paraId="39E7574F" w14:textId="3C8217FD">
      <w:pPr>
        <w:pStyle w:val="CETBodytext"/>
        <w:rPr>
          <w:lang w:val="en-GB"/>
        </w:rPr>
      </w:pPr>
    </w:p>
    <w:p w:rsidR="1728939D" w:rsidP="3F60FB55" w:rsidRDefault="1728939D" w14:paraId="0C90BA46" w14:textId="77777777">
      <w:pPr>
        <w:pStyle w:val="CETAcknowledgementstitle"/>
      </w:pPr>
      <w:r>
        <w:t>Acknowledgments</w:t>
      </w:r>
    </w:p>
    <w:p w:rsidR="4866FEB4" w:rsidP="3F60FB55" w:rsidRDefault="4866FEB4" w14:paraId="274191A2" w14:textId="52792C97">
      <w:pPr>
        <w:pStyle w:val="CETBodytext"/>
        <w:rPr>
          <w:lang w:val="en-GB"/>
        </w:rPr>
      </w:pPr>
      <w:r w:rsidRPr="3F60FB55">
        <w:rPr>
          <w:lang w:val="en-GB"/>
        </w:rPr>
        <w:t xml:space="preserve">This work is funded by CISC project, which is part of the grant H2020-MSCA-ITN-2020 grant agreement no.955901.  </w:t>
      </w:r>
    </w:p>
    <w:p w:rsidR="3F60FB55" w:rsidP="0EED3580" w:rsidRDefault="3F60FB55" w14:paraId="31EBE4A2" w14:textId="62E2B942">
      <w:pPr>
        <w:pStyle w:val="CETReference"/>
      </w:pPr>
      <w:r w:rsidR="4D6C5B2C">
        <w:rPr/>
        <w:t>References</w:t>
      </w:r>
    </w:p>
    <w:p w:rsidR="0E9B3A1A" w:rsidP="0EED3580" w:rsidRDefault="0E9B3A1A" w14:paraId="1EA6B442" w14:textId="6053C9AB">
      <w:pPr>
        <w:pStyle w:val="CETReferencetext"/>
      </w:pPr>
      <w:r w:rsidRPr="4908073F" w:rsidR="2AF04837">
        <w:rPr>
          <w:noProof w:val="0"/>
          <w:lang w:val="en-GB"/>
        </w:rPr>
        <w:t>Albarrán</w:t>
      </w:r>
      <w:r w:rsidRPr="4908073F" w:rsidR="2AF04837">
        <w:rPr>
          <w:noProof w:val="0"/>
          <w:lang w:val="en-GB"/>
        </w:rPr>
        <w:t xml:space="preserve"> </w:t>
      </w:r>
      <w:r w:rsidRPr="4908073F" w:rsidR="1308A4BF">
        <w:rPr>
          <w:noProof w:val="0"/>
          <w:lang w:val="en-GB"/>
        </w:rPr>
        <w:t>Morillo, C</w:t>
      </w:r>
      <w:r w:rsidRPr="4908073F" w:rsidR="58413655">
        <w:rPr>
          <w:noProof w:val="0"/>
          <w:lang w:val="en-GB"/>
        </w:rPr>
        <w:t>.</w:t>
      </w:r>
      <w:r w:rsidRPr="4908073F" w:rsidR="31239755">
        <w:rPr>
          <w:noProof w:val="0"/>
          <w:lang w:val="en-GB"/>
        </w:rPr>
        <w:t xml:space="preserve">, </w:t>
      </w:r>
      <w:r w:rsidRPr="4908073F" w:rsidR="1308A4BF">
        <w:rPr>
          <w:noProof w:val="0"/>
          <w:lang w:val="en-GB"/>
        </w:rPr>
        <w:t>Demichela</w:t>
      </w:r>
      <w:r w:rsidRPr="4908073F" w:rsidR="1308A4BF">
        <w:rPr>
          <w:noProof w:val="0"/>
          <w:lang w:val="en-GB"/>
        </w:rPr>
        <w:t>, M., 2023</w:t>
      </w:r>
      <w:r w:rsidRPr="4908073F" w:rsidR="07F10FD2">
        <w:rPr>
          <w:noProof w:val="0"/>
          <w:lang w:val="en-GB"/>
        </w:rPr>
        <w:t>a</w:t>
      </w:r>
      <w:r w:rsidRPr="4908073F" w:rsidR="1308A4BF">
        <w:rPr>
          <w:noProof w:val="0"/>
          <w:lang w:val="en-GB"/>
        </w:rPr>
        <w:t>, Exploring the Impact of Repetitive Exercise on Physical Fatigue: A Study of Industrial Task Simulation in a Controlled Fitness Setting, Chemical Engineering Transactions, 99(December 2022), 163–168.</w:t>
      </w:r>
    </w:p>
    <w:p w:rsidR="0E9B3A1A" w:rsidP="55408AAE" w:rsidRDefault="0E9B3A1A" w14:paraId="55D182FE" w14:textId="1DC5D08E">
      <w:pPr>
        <w:pStyle w:val="CETReferencetext"/>
        <w:rPr>
          <w:noProof w:val="0"/>
          <w:lang w:val="en-GB"/>
        </w:rPr>
      </w:pPr>
      <w:r w:rsidRPr="4908073F" w:rsidR="1308A4BF">
        <w:rPr>
          <w:noProof w:val="0"/>
          <w:lang w:val="en-GB"/>
        </w:rPr>
        <w:t>Albarrán</w:t>
      </w:r>
      <w:r w:rsidRPr="4908073F" w:rsidR="1308A4BF">
        <w:rPr>
          <w:noProof w:val="0"/>
          <w:lang w:val="en-GB"/>
        </w:rPr>
        <w:t xml:space="preserve"> Morillo, C.</w:t>
      </w:r>
      <w:r w:rsidRPr="4908073F" w:rsidR="3AF52407">
        <w:rPr>
          <w:noProof w:val="0"/>
          <w:lang w:val="en-GB"/>
        </w:rPr>
        <w:t xml:space="preserve">, </w:t>
      </w:r>
      <w:r w:rsidRPr="4908073F" w:rsidR="1308A4BF">
        <w:rPr>
          <w:noProof w:val="0"/>
          <w:lang w:val="en-GB"/>
        </w:rPr>
        <w:t>Demichela</w:t>
      </w:r>
      <w:r w:rsidRPr="4908073F" w:rsidR="1308A4BF">
        <w:rPr>
          <w:noProof w:val="0"/>
          <w:lang w:val="en-GB"/>
        </w:rPr>
        <w:t>, M.</w:t>
      </w:r>
      <w:r w:rsidRPr="4908073F" w:rsidR="7DD8AC80">
        <w:rPr>
          <w:noProof w:val="0"/>
          <w:lang w:val="en-GB"/>
        </w:rPr>
        <w:t>,</w:t>
      </w:r>
      <w:r w:rsidRPr="4908073F" w:rsidR="1308A4BF">
        <w:rPr>
          <w:noProof w:val="0"/>
          <w:lang w:val="en-GB"/>
        </w:rPr>
        <w:t xml:space="preserve"> 2023</w:t>
      </w:r>
      <w:r w:rsidRPr="4908073F" w:rsidR="048FD0AA">
        <w:rPr>
          <w:noProof w:val="0"/>
          <w:lang w:val="en-GB"/>
        </w:rPr>
        <w:t>b,</w:t>
      </w:r>
      <w:r w:rsidRPr="4908073F" w:rsidR="1308A4BF">
        <w:rPr>
          <w:noProof w:val="0"/>
          <w:lang w:val="en-GB"/>
        </w:rPr>
        <w:t xml:space="preserve"> A Data-Driven Framework to Model Physical Fatigue in Industrial Environments Using Wearable Technologies</w:t>
      </w:r>
      <w:r w:rsidRPr="4908073F" w:rsidR="2A0FC91B">
        <w:rPr>
          <w:noProof w:val="0"/>
          <w:lang w:val="en-GB"/>
        </w:rPr>
        <w:t>,</w:t>
      </w:r>
      <w:r w:rsidRPr="4908073F" w:rsidR="1308A4BF">
        <w:rPr>
          <w:noProof w:val="0"/>
          <w:lang w:val="en-GB"/>
        </w:rPr>
        <w:t xml:space="preserve"> </w:t>
      </w:r>
      <w:r w:rsidRPr="4908073F" w:rsidR="1308A4BF">
        <w:rPr>
          <w:noProof w:val="0"/>
          <w:lang w:val="en-GB"/>
        </w:rPr>
        <w:t>Neuroergonomic</w:t>
      </w:r>
      <w:r w:rsidRPr="4908073F" w:rsidR="1308A4BF">
        <w:rPr>
          <w:noProof w:val="0"/>
          <w:lang w:val="en-GB"/>
        </w:rPr>
        <w:t>s</w:t>
      </w:r>
      <w:r w:rsidRPr="4908073F" w:rsidR="1308A4BF">
        <w:rPr>
          <w:noProof w:val="0"/>
          <w:lang w:val="en-GB"/>
        </w:rPr>
        <w:t xml:space="preserve"> and Cognitive Engineering, 102, 160–17</w:t>
      </w:r>
      <w:r w:rsidRPr="4908073F" w:rsidR="1308A4BF">
        <w:rPr>
          <w:noProof w:val="0"/>
          <w:lang w:val="en-GB"/>
        </w:rPr>
        <w:t>0</w:t>
      </w:r>
      <w:r w:rsidRPr="4908073F" w:rsidR="1308A4BF">
        <w:rPr>
          <w:noProof w:val="0"/>
          <w:lang w:val="en-GB"/>
        </w:rPr>
        <w:t xml:space="preserve">. </w:t>
      </w:r>
      <w:r w:rsidRPr="4908073F" w:rsidR="1308A4BF">
        <w:rPr>
          <w:noProof w:val="0"/>
          <w:lang w:val="en-GB"/>
        </w:rPr>
        <w:t xml:space="preserve"> </w:t>
      </w:r>
    </w:p>
    <w:p w:rsidR="0E9B3A1A" w:rsidP="0EED3580" w:rsidRDefault="0E9B3A1A" w14:paraId="3CCD5D30" w14:textId="24DB2AD7">
      <w:pPr>
        <w:pStyle w:val="CETReferencetext"/>
      </w:pPr>
      <w:r w:rsidR="7A42C343">
        <w:rPr/>
        <w:t xml:space="preserve">Bossung, V., Singer, A., Ratz, T., </w:t>
      </w:r>
      <w:r w:rsidR="7A42C343">
        <w:rPr/>
        <w:t>Rothenbühler</w:t>
      </w:r>
      <w:r w:rsidR="7A42C343">
        <w:rPr/>
        <w:t xml:space="preserve">, M., </w:t>
      </w:r>
      <w:r w:rsidR="7A42C343">
        <w:rPr/>
        <w:t>Leeners</w:t>
      </w:r>
      <w:r w:rsidR="7A42C343">
        <w:rPr/>
        <w:t>, B.</w:t>
      </w:r>
      <w:r w:rsidR="3B24C786">
        <w:rPr/>
        <w:t xml:space="preserve">, </w:t>
      </w:r>
      <w:r w:rsidR="7A42C343">
        <w:rPr/>
        <w:t>Kimmich, N., 2023, Changes in Heart Rate, Heart Rate Variability, Breathing Rate, and Skin Temperature throughout Pregnancy and the Impact of Emotions—A Longitudinal Evaluation Using a Sensor Bracelet, Sensors 23(14</w:t>
      </w:r>
      <w:r w:rsidR="7A42C343">
        <w:rPr/>
        <w:t>), 6620</w:t>
      </w:r>
      <w:r w:rsidR="7A42C343">
        <w:rPr/>
        <w:t xml:space="preserve">. </w:t>
      </w:r>
    </w:p>
    <w:p w:rsidR="654D7086" w:rsidP="7CBCC0E9" w:rsidRDefault="654D7086" w14:paraId="541FD822" w14:textId="6F0865EB">
      <w:pPr>
        <w:pStyle w:val="CETReferencetext"/>
      </w:pPr>
      <w:r w:rsidR="654D7086">
        <w:rPr/>
        <w:t xml:space="preserve">Brown, N., Bichler, S., Fiedler, M., Alt, W., 2016, Fatigue detection in strength training using three-dimensional </w:t>
      </w:r>
      <w:r w:rsidR="654D7086">
        <w:rPr/>
        <w:t>accelerometry</w:t>
      </w:r>
      <w:r w:rsidR="654D7086">
        <w:rPr/>
        <w:t xml:space="preserve"> and principal </w:t>
      </w:r>
      <w:r w:rsidR="654D7086">
        <w:rPr/>
        <w:t>component</w:t>
      </w:r>
      <w:r w:rsidR="654D7086">
        <w:rPr/>
        <w:t xml:space="preserve"> analysis, Sports Biomechanics 15, 139–150. </w:t>
      </w:r>
    </w:p>
    <w:p w:rsidR="71B0B657" w:rsidP="0EED3580" w:rsidRDefault="71B0B657" w14:paraId="7ED744DD" w14:textId="1B2802B8">
      <w:pPr>
        <w:pStyle w:val="CETReferencetext"/>
      </w:pPr>
      <w:r w:rsidR="71B0B657">
        <w:rPr/>
        <w:t xml:space="preserve">Claros-Salinas, D., </w:t>
      </w:r>
      <w:r w:rsidR="71B0B657">
        <w:rPr/>
        <w:t>Bratzke</w:t>
      </w:r>
      <w:r w:rsidR="71B0B657">
        <w:rPr/>
        <w:t>, D.</w:t>
      </w:r>
      <w:r w:rsidR="0AF0903B">
        <w:rPr/>
        <w:t xml:space="preserve">, </w:t>
      </w:r>
      <w:r w:rsidR="71B0B657">
        <w:rPr/>
        <w:t xml:space="preserve">Schröter, H., 2010, Subjective and objective assessment of fatigue, Journal of the Neurological Sciences 298(1–2), 165–166. </w:t>
      </w:r>
    </w:p>
    <w:p w:rsidR="4EA47A4B" w:rsidP="0EED3580" w:rsidRDefault="4EA47A4B" w14:paraId="7B203D02" w14:textId="44572DB2">
      <w:pPr>
        <w:pStyle w:val="CETReferencetext"/>
      </w:pPr>
      <w:r w:rsidR="4EA47A4B">
        <w:rPr/>
        <w:t xml:space="preserve">Frederick, L., </w:t>
      </w:r>
      <w:r w:rsidR="4EA47A4B">
        <w:rPr/>
        <w:t>Habes</w:t>
      </w:r>
      <w:r w:rsidR="4EA47A4B">
        <w:rPr/>
        <w:t>, D.</w:t>
      </w:r>
      <w:r w:rsidR="737F3BFD">
        <w:rPr/>
        <w:t xml:space="preserve">, </w:t>
      </w:r>
      <w:r w:rsidR="4EA47A4B">
        <w:rPr/>
        <w:t>Schloemer, J., 1984, An Introduction to the Principles of Occupational Ergonomics, Occupational Health Nursing 32(12), 643–645.</w:t>
      </w:r>
    </w:p>
    <w:p w:rsidR="218697FB" w:rsidP="766F4288" w:rsidRDefault="218697FB" w14:paraId="334A3D93" w14:textId="06CD5206">
      <w:pPr>
        <w:pStyle w:val="CETReferencetext"/>
      </w:pPr>
      <w:r w:rsidR="218697FB">
        <w:rPr/>
        <w:t>Gruhn, P.</w:t>
      </w:r>
      <w:r w:rsidR="24628D2E">
        <w:rPr/>
        <w:t xml:space="preserve">, </w:t>
      </w:r>
      <w:r w:rsidR="218697FB">
        <w:rPr/>
        <w:t>Cheddie</w:t>
      </w:r>
      <w:r w:rsidR="218697FB">
        <w:rPr/>
        <w:t>, H., 2006. Safety Instrumented Systems. ISA International Society for Measurement and Control.</w:t>
      </w:r>
    </w:p>
    <w:p w:rsidR="202E11D9" w:rsidP="0EED3580" w:rsidRDefault="202E11D9" w14:paraId="7B86D5D3" w14:textId="7EC6D4B3">
      <w:pPr>
        <w:pStyle w:val="CETReferencetext"/>
      </w:pPr>
      <w:r w:rsidR="202E11D9">
        <w:rPr/>
        <w:t>Hirooka</w:t>
      </w:r>
      <w:r w:rsidR="202E11D9">
        <w:rPr/>
        <w:t xml:space="preserve">, Y., 2020, Sympathetic Activation in Hypertension: Importance of the Central Nervous System, American Journal of </w:t>
      </w:r>
      <w:r w:rsidR="202E11D9">
        <w:rPr/>
        <w:t>Hypertension.</w:t>
      </w:r>
      <w:r w:rsidR="202E11D9">
        <w:rPr/>
        <w:t xml:space="preserve"> </w:t>
      </w:r>
    </w:p>
    <w:p w:rsidR="1C79DD9D" w:rsidP="0EED3580" w:rsidRDefault="1C79DD9D" w14:paraId="060DA46F" w14:textId="39BFB19E">
      <w:pPr>
        <w:pStyle w:val="CETReferencetext"/>
      </w:pPr>
      <w:r w:rsidR="1C79DD9D">
        <w:rPr/>
        <w:t xml:space="preserve">Jamshidi, M., 2008, System of systems engineering - </w:t>
      </w:r>
      <w:r w:rsidR="1C79DD9D">
        <w:rPr/>
        <w:t>New</w:t>
      </w:r>
      <w:r w:rsidR="1C79DD9D">
        <w:rPr/>
        <w:t xml:space="preserve"> challenges for the 21st century, IEEE Aerospace and Electronic Systems Magazine, 23(5), 4–19.</w:t>
      </w:r>
    </w:p>
    <w:p w:rsidR="4CD49C60" w:rsidP="7CBCC0E9" w:rsidRDefault="4CD49C60" w14:paraId="0153A267" w14:textId="33A8FF44">
      <w:pPr>
        <w:pStyle w:val="CETReferencetext"/>
      </w:pPr>
      <w:r w:rsidR="4CD49C60">
        <w:rPr/>
        <w:t xml:space="preserve"> </w:t>
      </w:r>
      <w:r w:rsidR="4CD49C60">
        <w:rPr/>
        <w:t>Nagahanumaiah</w:t>
      </w:r>
      <w:r w:rsidR="4CD49C60">
        <w:rPr/>
        <w:t>, L., Singh, S.</w:t>
      </w:r>
      <w:r w:rsidR="0AE9D3FD">
        <w:rPr/>
        <w:t xml:space="preserve">, </w:t>
      </w:r>
      <w:r w:rsidR="4CD49C60">
        <w:rPr/>
        <w:t>Heard, J., 2022</w:t>
      </w:r>
      <w:r w:rsidR="31D922C5">
        <w:rPr/>
        <w:t>,</w:t>
      </w:r>
      <w:r w:rsidR="4CD49C60">
        <w:rPr/>
        <w:t xml:space="preserve"> Diagnostic Human Fatigue Classification using Wearable Sensors for Intelligent Systems,</w:t>
      </w:r>
      <w:r w:rsidR="49D673A5">
        <w:rPr/>
        <w:t xml:space="preserve"> </w:t>
      </w:r>
      <w:r w:rsidR="4CD49C60">
        <w:rPr/>
        <w:t>17th Annual System of Systems Engineering Conference (SOSE), Rochester, NY, USA,</w:t>
      </w:r>
      <w:r w:rsidR="78A56FF4">
        <w:rPr/>
        <w:t xml:space="preserve"> </w:t>
      </w:r>
      <w:r w:rsidR="4CD49C60">
        <w:rPr/>
        <w:t>424-429</w:t>
      </w:r>
      <w:r w:rsidR="1F016ED7">
        <w:rPr/>
        <w:t>.</w:t>
      </w:r>
    </w:p>
    <w:p w:rsidR="4B036538" w:rsidP="0EED3580" w:rsidRDefault="4B036538" w14:paraId="283DD5E2" w14:textId="4BC76BD9">
      <w:pPr>
        <w:pStyle w:val="CETReferencetext"/>
      </w:pPr>
      <w:r w:rsidR="5ACE2FC3">
        <w:rPr/>
        <w:t xml:space="preserve">Randolph, S.A., 2015, Fatigue Risk Management, Workplace Health &amp; Safety 63(5), 236–236. </w:t>
      </w:r>
    </w:p>
    <w:p w:rsidR="38BE756F" w:rsidP="2E4FB4A4" w:rsidRDefault="38BE756F" w14:paraId="2934D294" w14:textId="7F65D31F">
      <w:pPr>
        <w:pStyle w:val="CETReferencetext"/>
      </w:pPr>
      <w:r w:rsidR="38BE756F">
        <w:rPr/>
        <w:t>Sweeting, T.J.</w:t>
      </w:r>
      <w:r w:rsidR="6FC59BC4">
        <w:rPr/>
        <w:t xml:space="preserve">, </w:t>
      </w:r>
      <w:r w:rsidR="38BE756F">
        <w:rPr/>
        <w:t>Kharroubi</w:t>
      </w:r>
      <w:r w:rsidR="38BE756F">
        <w:rPr/>
        <w:t xml:space="preserve">, S.A., 2003, Some new formulae for posterior expectations and Bartlett corrections, Test 12(2), 497–521. </w:t>
      </w:r>
    </w:p>
    <w:p w:rsidR="5C244C39" w:rsidP="2E4FB4A4" w:rsidRDefault="5C244C39" w14:paraId="311E224E" w14:textId="19D5E714">
      <w:pPr>
        <w:pStyle w:val="CETReferencetext"/>
      </w:pPr>
      <w:r w:rsidR="5C244C39">
        <w:rPr/>
        <w:t xml:space="preserve">Wastell, D.G., 1981, PCA and varimax rotation: Some comments on Rösler and </w:t>
      </w:r>
      <w:r w:rsidR="5C244C39">
        <w:rPr/>
        <w:t>Manzey</w:t>
      </w:r>
      <w:r w:rsidR="5C244C39">
        <w:rPr/>
        <w:t>,</w:t>
      </w:r>
      <w:r w:rsidR="5C244C39">
        <w:rPr/>
        <w:t xml:space="preserve"> Biological Psychology 13, 27–29. </w:t>
      </w:r>
    </w:p>
    <w:p w:rsidR="3F60FB55" w:rsidP="0354FF14" w:rsidRDefault="3F60FB55" w14:paraId="008BD0C7" w14:textId="64A1B1DC">
      <w:pPr>
        <w:pStyle w:val="CETReferencetext"/>
        <w:sectPr w:rsidRPr="00280FAF" w:rsidR="00280FAF" w:rsidSect="00B57E6F">
          <w:type w:val="continuous"/>
          <w:pgSz w:w="11906" w:h="16838" w:orient="portrait" w:code="9"/>
          <w:pgMar w:top="1701" w:right="1418" w:bottom="1701" w:left="1701" w:header="1701" w:footer="0" w:gutter="0"/>
          <w:cols w:space="708"/>
          <w:formProt w:val="0"/>
          <w:titlePg/>
          <w:docGrid w:linePitch="360"/>
          <w:headerReference w:type="default" r:id="Rc4cde7138ba14e45"/>
          <w:headerReference w:type="first" r:id="Redfc01d22a87496f"/>
          <w:footerReference w:type="default" r:id="R20c351d14a624500"/>
          <w:footerReference w:type="first" r:id="Rf4de4199ff764082"/>
        </w:sectPr>
      </w:pPr>
      <w:r w:rsidR="7F78720A">
        <w:rPr/>
        <w:t>Williams, N., 2017, The Borg Rating of Perceived Exertion (RPE) scale, Occupational Medicine 67(5</w:t>
      </w:r>
      <w:r w:rsidR="7F78720A">
        <w:rPr/>
        <w:t>),</w:t>
      </w:r>
      <w:r w:rsidR="7ADA5E13">
        <w:rPr/>
        <w:t xml:space="preserve"> </w:t>
      </w:r>
      <w:r w:rsidR="7F78720A">
        <w:rPr/>
        <w:t>404–4</w:t>
      </w:r>
      <w:r w:rsidR="7F78720A">
        <w:rPr/>
        <w:t>05</w:t>
      </w:r>
      <w:r w:rsidR="0892DCC4">
        <w:rPr/>
        <w:t>.</w:t>
      </w:r>
    </w:p>
    <w:p w:rsidRPr="00280FAF" w:rsidR="00280FAF" w:rsidP="2E4FB4A4" w:rsidRDefault="00280FAF" w14:paraId="7DFFBF41" w14:textId="77777777">
      <w:pPr>
        <w:pStyle w:val="CETBodytext"/>
        <w:spacing/>
        <w:contextualSpacing/>
        <w:jc w:val="left"/>
        <w:rPr>
          <w:rFonts w:eastAsia="宋体"/>
        </w:rPr>
        <w:sectPr w:rsidRPr="00280FAF" w:rsidR="00280FAF" w:rsidSect="0077098D">
          <w:type w:val="continuous"/>
          <w:pgSz w:w="11906" w:h="16838" w:orient="portrait" w:code="9"/>
          <w:pgMar w:top="1701" w:right="1418" w:bottom="1701" w:left="1701" w:header="1701" w:footer="0" w:gutter="0"/>
          <w:cols w:space="708"/>
          <w:formProt w:val="0"/>
          <w:titlePg/>
          <w:docGrid w:linePitch="360"/>
          <w:headerReference w:type="default" r:id="R19defe8449534fa8"/>
          <w:headerReference w:type="first" r:id="R450fb1856df94f25"/>
          <w:footerReference w:type="default" r:id="R28a68e42d78e41a1"/>
          <w:footerReference w:type="first" r:id="R21b48616f270499c"/>
        </w:sectPr>
      </w:pPr>
    </w:p>
    <w:p w:rsidR="546EBAA6" w:rsidP="2E4FB4A4" w:rsidRDefault="546EBAA6" w14:paraId="08B9DEAF" w14:textId="7574AB77">
      <w:pPr>
        <w:pStyle w:val="CETBodytext"/>
        <w:spacing/>
        <w:contextualSpacing/>
        <w:rPr>
          <w:rFonts w:eastAsia="宋体"/>
        </w:rPr>
        <w:sectPr w:rsidRPr="00E377D0" w:rsidR="00280FAF" w:rsidSect="00200ECB">
          <w:type w:val="continuous"/>
          <w:pgSz w:w="11906" w:h="16838" w:orient="portrait" w:code="9"/>
          <w:pgMar w:top="1701" w:right="1418" w:bottom="1701" w:left="1701" w:header="1701" w:footer="0" w:gutter="0"/>
          <w:cols w:space="708" w:num="2"/>
          <w:formProt w:val="0"/>
          <w:titlePg/>
          <w:docGrid w:linePitch="360"/>
          <w:headerReference w:type="default" r:id="R0155d90798bb4fd0"/>
          <w:headerReference w:type="first" r:id="R3f2aecde9e8b40a9"/>
          <w:footerReference w:type="default" r:id="Rde4496851a6c482a"/>
          <w:footerReference w:type="first" r:id="R3e443bb371f44b6b"/>
        </w:sectPr>
      </w:pPr>
    </w:p>
    <w:p w:rsidR="004628D2" w:rsidP="3883382D" w:rsidRDefault="004628D2" w14:paraId="19C4FC68" w14:textId="26BE5C77">
      <w:pPr>
        <w:pStyle w:val="CETHeading1"/>
        <w:numPr>
          <w:numId w:val="0"/>
        </w:numPr>
        <w:ind w:left="0"/>
        <w:rPr>
          <w:lang w:val="en-GB"/>
        </w:rPr>
      </w:pPr>
    </w:p>
    <w:sectPr w:rsidR="004628D2" w:rsidSect="00EF06D9">
      <w:type w:val="continuous"/>
      <w:pgSz w:w="11906" w:h="16838" w:orient="portrait" w:code="9"/>
      <w:pgMar w:top="1701" w:right="1418" w:bottom="1701" w:left="1701" w:header="1701" w:footer="0" w:gutter="0"/>
      <w:cols w:space="708"/>
      <w:formProt w:val="0"/>
      <w:titlePg/>
      <w:docGrid w:linePitch="360"/>
      <w:headerReference w:type="default" r:id="Rb2a63efb0e25455d"/>
      <w:headerReference w:type="first" r:id="R41fbef854d6948fc"/>
      <w:footerReference w:type="default" r:id="Rf2c5502459834a87"/>
      <w:footerReference w:type="first" r:id="Ra545a3234a63415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284" w:rsidP="004F5E36" w:rsidRDefault="00767284" w14:paraId="6CCAFFFF" w14:textId="77777777">
      <w:r>
        <w:separator/>
      </w:r>
    </w:p>
  </w:endnote>
  <w:endnote w:type="continuationSeparator" w:id="0">
    <w:p w:rsidR="00767284" w:rsidP="004F5E36" w:rsidRDefault="00767284" w14:paraId="1D99CB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669A0176">
      <w:trPr>
        <w:trHeight w:val="300"/>
      </w:trPr>
      <w:tc>
        <w:tcPr>
          <w:tcW w:w="2925" w:type="dxa"/>
          <w:tcMar/>
        </w:tcPr>
        <w:p w:rsidR="3883382D" w:rsidP="3883382D" w:rsidRDefault="3883382D" w14:paraId="35CDCC3E" w14:textId="4C77423E">
          <w:pPr>
            <w:pStyle w:val="afff7"/>
            <w:bidi w:val="0"/>
            <w:ind w:left="-115"/>
            <w:jc w:val="left"/>
          </w:pPr>
        </w:p>
      </w:tc>
      <w:tc>
        <w:tcPr>
          <w:tcW w:w="2925" w:type="dxa"/>
          <w:tcMar/>
        </w:tcPr>
        <w:p w:rsidR="3883382D" w:rsidP="3883382D" w:rsidRDefault="3883382D" w14:paraId="25E626DD" w14:textId="4AD617D0">
          <w:pPr>
            <w:pStyle w:val="afff7"/>
            <w:bidi w:val="0"/>
            <w:jc w:val="center"/>
          </w:pPr>
        </w:p>
      </w:tc>
      <w:tc>
        <w:tcPr>
          <w:tcW w:w="2925" w:type="dxa"/>
          <w:tcMar/>
        </w:tcPr>
        <w:p w:rsidR="3883382D" w:rsidP="3883382D" w:rsidRDefault="3883382D" w14:paraId="6CCB953C" w14:textId="089A26B9">
          <w:pPr>
            <w:pStyle w:val="afff7"/>
            <w:bidi w:val="0"/>
            <w:ind w:right="-115"/>
            <w:jc w:val="right"/>
          </w:pPr>
        </w:p>
      </w:tc>
    </w:tr>
  </w:tbl>
  <w:p w:rsidR="3883382D" w:rsidP="3883382D" w:rsidRDefault="3883382D" w14:paraId="41FD5FCF" w14:textId="6A54F40A">
    <w:pPr>
      <w:pStyle w:val="afff9"/>
      <w:bidi w:val="0"/>
    </w:pPr>
  </w:p>
</w:ftr>
</file>

<file path=word/footer2.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39267080">
      <w:trPr>
        <w:trHeight w:val="300"/>
      </w:trPr>
      <w:tc>
        <w:tcPr>
          <w:tcW w:w="2925" w:type="dxa"/>
          <w:tcMar/>
        </w:tcPr>
        <w:p w:rsidR="3883382D" w:rsidP="3883382D" w:rsidRDefault="3883382D" w14:paraId="03AD7129" w14:textId="38D6A105">
          <w:pPr>
            <w:pStyle w:val="afff7"/>
            <w:bidi w:val="0"/>
            <w:ind w:left="-115"/>
            <w:jc w:val="left"/>
          </w:pPr>
        </w:p>
      </w:tc>
      <w:tc>
        <w:tcPr>
          <w:tcW w:w="2925" w:type="dxa"/>
          <w:tcMar/>
        </w:tcPr>
        <w:p w:rsidR="3883382D" w:rsidP="3883382D" w:rsidRDefault="3883382D" w14:paraId="519F3C2D" w14:textId="60745F9D">
          <w:pPr>
            <w:pStyle w:val="afff7"/>
            <w:bidi w:val="0"/>
            <w:jc w:val="center"/>
          </w:pPr>
        </w:p>
      </w:tc>
      <w:tc>
        <w:tcPr>
          <w:tcW w:w="2925" w:type="dxa"/>
          <w:tcMar/>
        </w:tcPr>
        <w:p w:rsidR="3883382D" w:rsidP="3883382D" w:rsidRDefault="3883382D" w14:paraId="538918A5" w14:textId="3E292A1A">
          <w:pPr>
            <w:pStyle w:val="afff7"/>
            <w:bidi w:val="0"/>
            <w:ind w:right="-115"/>
            <w:jc w:val="right"/>
          </w:pPr>
        </w:p>
      </w:tc>
    </w:tr>
  </w:tbl>
  <w:p w:rsidR="3883382D" w:rsidP="3883382D" w:rsidRDefault="3883382D" w14:paraId="2BE4B96B" w14:textId="396B6F66">
    <w:pPr>
      <w:pStyle w:val="afff9"/>
      <w:bidi w:val="0"/>
    </w:pPr>
  </w:p>
</w:ftr>
</file>

<file path=word/footer3.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62DF0CE7">
      <w:trPr>
        <w:trHeight w:val="300"/>
      </w:trPr>
      <w:tc>
        <w:tcPr>
          <w:tcW w:w="2925" w:type="dxa"/>
          <w:tcMar/>
        </w:tcPr>
        <w:p w:rsidR="3883382D" w:rsidP="3883382D" w:rsidRDefault="3883382D" w14:paraId="7895037E" w14:textId="523DCD91">
          <w:pPr>
            <w:pStyle w:val="afff7"/>
            <w:bidi w:val="0"/>
            <w:ind w:left="-115"/>
            <w:jc w:val="left"/>
          </w:pPr>
        </w:p>
      </w:tc>
      <w:tc>
        <w:tcPr>
          <w:tcW w:w="2925" w:type="dxa"/>
          <w:tcMar/>
        </w:tcPr>
        <w:p w:rsidR="3883382D" w:rsidP="3883382D" w:rsidRDefault="3883382D" w14:paraId="2FA455EF" w14:textId="572580E5">
          <w:pPr>
            <w:pStyle w:val="afff7"/>
            <w:bidi w:val="0"/>
            <w:jc w:val="center"/>
          </w:pPr>
        </w:p>
      </w:tc>
      <w:tc>
        <w:tcPr>
          <w:tcW w:w="2925" w:type="dxa"/>
          <w:tcMar/>
        </w:tcPr>
        <w:p w:rsidR="3883382D" w:rsidP="3883382D" w:rsidRDefault="3883382D" w14:paraId="7F674190" w14:textId="7CAE6BC7">
          <w:pPr>
            <w:pStyle w:val="afff7"/>
            <w:bidi w:val="0"/>
            <w:ind w:right="-115"/>
            <w:jc w:val="right"/>
          </w:pPr>
        </w:p>
      </w:tc>
    </w:tr>
  </w:tbl>
  <w:p w:rsidR="3883382D" w:rsidP="3883382D" w:rsidRDefault="3883382D" w14:paraId="64AE51CC" w14:textId="54B2099C">
    <w:pPr>
      <w:pStyle w:val="afff9"/>
      <w:bidi w:val="0"/>
    </w:pPr>
  </w:p>
</w:ftr>
</file>

<file path=word/footer4.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79D0FCB1">
      <w:trPr>
        <w:trHeight w:val="300"/>
      </w:trPr>
      <w:tc>
        <w:tcPr>
          <w:tcW w:w="2925" w:type="dxa"/>
          <w:tcMar/>
        </w:tcPr>
        <w:p w:rsidR="3883382D" w:rsidP="3883382D" w:rsidRDefault="3883382D" w14:paraId="2B6E5FB6" w14:textId="16EF8F89">
          <w:pPr>
            <w:pStyle w:val="afff7"/>
            <w:bidi w:val="0"/>
            <w:ind w:left="-115"/>
            <w:jc w:val="left"/>
          </w:pPr>
        </w:p>
      </w:tc>
      <w:tc>
        <w:tcPr>
          <w:tcW w:w="2925" w:type="dxa"/>
          <w:tcMar/>
        </w:tcPr>
        <w:p w:rsidR="3883382D" w:rsidP="3883382D" w:rsidRDefault="3883382D" w14:paraId="598C9A2F" w14:textId="4DE26A99">
          <w:pPr>
            <w:pStyle w:val="afff7"/>
            <w:bidi w:val="0"/>
            <w:jc w:val="center"/>
          </w:pPr>
        </w:p>
      </w:tc>
      <w:tc>
        <w:tcPr>
          <w:tcW w:w="2925" w:type="dxa"/>
          <w:tcMar/>
        </w:tcPr>
        <w:p w:rsidR="3883382D" w:rsidP="3883382D" w:rsidRDefault="3883382D" w14:paraId="19E2B466" w14:textId="28BF20AD">
          <w:pPr>
            <w:pStyle w:val="afff7"/>
            <w:bidi w:val="0"/>
            <w:ind w:right="-115"/>
            <w:jc w:val="right"/>
          </w:pPr>
        </w:p>
      </w:tc>
    </w:tr>
  </w:tbl>
  <w:p w:rsidR="3883382D" w:rsidP="3883382D" w:rsidRDefault="3883382D" w14:paraId="65F2B43D" w14:textId="47F334E4">
    <w:pPr>
      <w:pStyle w:val="afff9"/>
      <w:bidi w:val="0"/>
    </w:pPr>
  </w:p>
</w:ftr>
</file>

<file path=word/footer5.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22B74DCD">
      <w:trPr>
        <w:trHeight w:val="300"/>
      </w:trPr>
      <w:tc>
        <w:tcPr>
          <w:tcW w:w="2925" w:type="dxa"/>
          <w:tcMar/>
        </w:tcPr>
        <w:p w:rsidR="3883382D" w:rsidP="3883382D" w:rsidRDefault="3883382D" w14:paraId="3329471C" w14:textId="7F63D8DD">
          <w:pPr>
            <w:pStyle w:val="afff7"/>
            <w:bidi w:val="0"/>
            <w:ind w:left="-115"/>
            <w:jc w:val="left"/>
          </w:pPr>
        </w:p>
      </w:tc>
      <w:tc>
        <w:tcPr>
          <w:tcW w:w="2925" w:type="dxa"/>
          <w:tcMar/>
        </w:tcPr>
        <w:p w:rsidR="3883382D" w:rsidP="3883382D" w:rsidRDefault="3883382D" w14:paraId="3B4E52DE" w14:textId="48B10FB3">
          <w:pPr>
            <w:pStyle w:val="afff7"/>
            <w:bidi w:val="0"/>
            <w:jc w:val="center"/>
          </w:pPr>
        </w:p>
      </w:tc>
      <w:tc>
        <w:tcPr>
          <w:tcW w:w="2925" w:type="dxa"/>
          <w:tcMar/>
        </w:tcPr>
        <w:p w:rsidR="3883382D" w:rsidP="3883382D" w:rsidRDefault="3883382D" w14:paraId="68D23020" w14:textId="2DC656EB">
          <w:pPr>
            <w:pStyle w:val="afff7"/>
            <w:bidi w:val="0"/>
            <w:ind w:right="-115"/>
            <w:jc w:val="right"/>
          </w:pPr>
        </w:p>
      </w:tc>
    </w:tr>
  </w:tbl>
  <w:p w:rsidR="3883382D" w:rsidP="3883382D" w:rsidRDefault="3883382D" w14:paraId="22EA4A93" w14:textId="40363053">
    <w:pPr>
      <w:pStyle w:val="afff9"/>
      <w:bidi w:val="0"/>
    </w:pPr>
  </w:p>
</w:ftr>
</file>

<file path=word/footer6.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49D9CB38">
      <w:trPr>
        <w:trHeight w:val="300"/>
      </w:trPr>
      <w:tc>
        <w:tcPr>
          <w:tcW w:w="2925" w:type="dxa"/>
          <w:tcMar/>
        </w:tcPr>
        <w:p w:rsidR="3883382D" w:rsidP="3883382D" w:rsidRDefault="3883382D" w14:paraId="16EC7237" w14:textId="7D3B8744">
          <w:pPr>
            <w:pStyle w:val="afff7"/>
            <w:bidi w:val="0"/>
            <w:ind w:left="-115"/>
            <w:jc w:val="left"/>
          </w:pPr>
        </w:p>
      </w:tc>
      <w:tc>
        <w:tcPr>
          <w:tcW w:w="2925" w:type="dxa"/>
          <w:tcMar/>
        </w:tcPr>
        <w:p w:rsidR="3883382D" w:rsidP="3883382D" w:rsidRDefault="3883382D" w14:paraId="29279087" w14:textId="27499133">
          <w:pPr>
            <w:pStyle w:val="afff7"/>
            <w:bidi w:val="0"/>
            <w:jc w:val="center"/>
          </w:pPr>
        </w:p>
      </w:tc>
      <w:tc>
        <w:tcPr>
          <w:tcW w:w="2925" w:type="dxa"/>
          <w:tcMar/>
        </w:tcPr>
        <w:p w:rsidR="3883382D" w:rsidP="3883382D" w:rsidRDefault="3883382D" w14:paraId="27C3034C" w14:textId="06092F0A">
          <w:pPr>
            <w:pStyle w:val="afff7"/>
            <w:bidi w:val="0"/>
            <w:ind w:right="-115"/>
            <w:jc w:val="right"/>
          </w:pPr>
        </w:p>
      </w:tc>
    </w:tr>
  </w:tbl>
  <w:p w:rsidR="3883382D" w:rsidP="3883382D" w:rsidRDefault="3883382D" w14:paraId="550D545C" w14:textId="69AFFD84">
    <w:pPr>
      <w:pStyle w:val="afff9"/>
      <w:bidi w:val="0"/>
    </w:pPr>
  </w:p>
</w:ftr>
</file>

<file path=word/footer7.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1345"/>
      <w:gridCol w:w="1345"/>
      <w:gridCol w:w="1345"/>
    </w:tblGrid>
    <w:tr w:rsidR="3883382D" w:rsidTr="3883382D" w14:paraId="2E392BF4">
      <w:trPr>
        <w:trHeight w:val="300"/>
      </w:trPr>
      <w:tc>
        <w:tcPr>
          <w:tcW w:w="1345" w:type="dxa"/>
          <w:tcMar/>
        </w:tcPr>
        <w:p w:rsidR="3883382D" w:rsidP="3883382D" w:rsidRDefault="3883382D" w14:paraId="3AEE8221" w14:textId="38E37F58">
          <w:pPr>
            <w:pStyle w:val="afff7"/>
            <w:bidi w:val="0"/>
            <w:ind w:left="-115"/>
            <w:jc w:val="left"/>
          </w:pPr>
        </w:p>
      </w:tc>
      <w:tc>
        <w:tcPr>
          <w:tcW w:w="1345" w:type="dxa"/>
          <w:tcMar/>
        </w:tcPr>
        <w:p w:rsidR="3883382D" w:rsidP="3883382D" w:rsidRDefault="3883382D" w14:paraId="7470B323" w14:textId="05AD315A">
          <w:pPr>
            <w:pStyle w:val="afff7"/>
            <w:bidi w:val="0"/>
            <w:jc w:val="center"/>
          </w:pPr>
        </w:p>
      </w:tc>
      <w:tc>
        <w:tcPr>
          <w:tcW w:w="1345" w:type="dxa"/>
          <w:tcMar/>
        </w:tcPr>
        <w:p w:rsidR="3883382D" w:rsidP="3883382D" w:rsidRDefault="3883382D" w14:paraId="74F1C6B7" w14:textId="70ECBF5E">
          <w:pPr>
            <w:pStyle w:val="afff7"/>
            <w:bidi w:val="0"/>
            <w:ind w:right="-115"/>
            <w:jc w:val="right"/>
          </w:pPr>
        </w:p>
      </w:tc>
    </w:tr>
  </w:tbl>
  <w:p w:rsidR="3883382D" w:rsidP="3883382D" w:rsidRDefault="3883382D" w14:paraId="6BE81892" w14:textId="430F04F6">
    <w:pPr>
      <w:pStyle w:val="afff9"/>
      <w:bidi w:val="0"/>
    </w:pPr>
  </w:p>
</w:ftr>
</file>

<file path=word/footer8.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1345"/>
      <w:gridCol w:w="1345"/>
      <w:gridCol w:w="1345"/>
    </w:tblGrid>
    <w:tr w:rsidR="3883382D" w:rsidTr="3883382D" w14:paraId="10869B5B">
      <w:trPr>
        <w:trHeight w:val="300"/>
      </w:trPr>
      <w:tc>
        <w:tcPr>
          <w:tcW w:w="1345" w:type="dxa"/>
          <w:tcMar/>
        </w:tcPr>
        <w:p w:rsidR="3883382D" w:rsidP="3883382D" w:rsidRDefault="3883382D" w14:paraId="4914E02A" w14:textId="43ED0535">
          <w:pPr>
            <w:pStyle w:val="afff7"/>
            <w:bidi w:val="0"/>
            <w:ind w:left="-115"/>
            <w:jc w:val="left"/>
          </w:pPr>
        </w:p>
      </w:tc>
      <w:tc>
        <w:tcPr>
          <w:tcW w:w="1345" w:type="dxa"/>
          <w:tcMar/>
        </w:tcPr>
        <w:p w:rsidR="3883382D" w:rsidP="3883382D" w:rsidRDefault="3883382D" w14:paraId="175DBD8C" w14:textId="22C8FC4A">
          <w:pPr>
            <w:pStyle w:val="afff7"/>
            <w:bidi w:val="0"/>
            <w:jc w:val="center"/>
          </w:pPr>
        </w:p>
      </w:tc>
      <w:tc>
        <w:tcPr>
          <w:tcW w:w="1345" w:type="dxa"/>
          <w:tcMar/>
        </w:tcPr>
        <w:p w:rsidR="3883382D" w:rsidP="3883382D" w:rsidRDefault="3883382D" w14:paraId="6163F954" w14:textId="12A2C035">
          <w:pPr>
            <w:pStyle w:val="afff7"/>
            <w:bidi w:val="0"/>
            <w:ind w:right="-115"/>
            <w:jc w:val="right"/>
          </w:pPr>
        </w:p>
      </w:tc>
    </w:tr>
  </w:tbl>
  <w:p w:rsidR="3883382D" w:rsidP="3883382D" w:rsidRDefault="3883382D" w14:paraId="498F9C47" w14:textId="2C6F733B">
    <w:pPr>
      <w:pStyle w:val="afff9"/>
      <w:bidi w:val="0"/>
    </w:pPr>
  </w:p>
</w:ftr>
</file>

<file path=word/footer9.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1188B8BC">
      <w:trPr>
        <w:trHeight w:val="300"/>
      </w:trPr>
      <w:tc>
        <w:tcPr>
          <w:tcW w:w="2925" w:type="dxa"/>
          <w:tcMar/>
        </w:tcPr>
        <w:p w:rsidR="3883382D" w:rsidP="3883382D" w:rsidRDefault="3883382D" w14:paraId="713AF781" w14:textId="3A91D6B4">
          <w:pPr>
            <w:pStyle w:val="afff7"/>
            <w:bidi w:val="0"/>
            <w:ind w:left="-115"/>
            <w:jc w:val="left"/>
          </w:pPr>
        </w:p>
      </w:tc>
      <w:tc>
        <w:tcPr>
          <w:tcW w:w="2925" w:type="dxa"/>
          <w:tcMar/>
        </w:tcPr>
        <w:p w:rsidR="3883382D" w:rsidP="3883382D" w:rsidRDefault="3883382D" w14:paraId="2099BC34" w14:textId="397F2534">
          <w:pPr>
            <w:pStyle w:val="afff7"/>
            <w:bidi w:val="0"/>
            <w:jc w:val="center"/>
          </w:pPr>
        </w:p>
      </w:tc>
      <w:tc>
        <w:tcPr>
          <w:tcW w:w="2925" w:type="dxa"/>
          <w:tcMar/>
        </w:tcPr>
        <w:p w:rsidR="3883382D" w:rsidP="3883382D" w:rsidRDefault="3883382D" w14:paraId="277E376D" w14:textId="4CB2F287">
          <w:pPr>
            <w:pStyle w:val="afff7"/>
            <w:bidi w:val="0"/>
            <w:ind w:right="-115"/>
            <w:jc w:val="right"/>
          </w:pPr>
        </w:p>
      </w:tc>
    </w:tr>
  </w:tbl>
  <w:p w:rsidR="3883382D" w:rsidP="3883382D" w:rsidRDefault="3883382D" w14:paraId="2BB25856" w14:textId="04E7C2C6">
    <w:pPr>
      <w:pStyle w:val="afff9"/>
      <w:bidi w:val="0"/>
    </w:pPr>
  </w:p>
</w:ftr>
</file>

<file path=word/footera.xml><?xml version="1.0" encoding="utf-8"?>
<w:ft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2B06A110">
      <w:trPr>
        <w:trHeight w:val="300"/>
      </w:trPr>
      <w:tc>
        <w:tcPr>
          <w:tcW w:w="2925" w:type="dxa"/>
          <w:tcMar/>
        </w:tcPr>
        <w:p w:rsidR="3883382D" w:rsidP="3883382D" w:rsidRDefault="3883382D" w14:paraId="69FD332C" w14:textId="1A5FC7B2">
          <w:pPr>
            <w:pStyle w:val="afff7"/>
            <w:bidi w:val="0"/>
            <w:ind w:left="-115"/>
            <w:jc w:val="left"/>
          </w:pPr>
        </w:p>
      </w:tc>
      <w:tc>
        <w:tcPr>
          <w:tcW w:w="2925" w:type="dxa"/>
          <w:tcMar/>
        </w:tcPr>
        <w:p w:rsidR="3883382D" w:rsidP="3883382D" w:rsidRDefault="3883382D" w14:paraId="5A7C407C" w14:textId="6B3BBD9E">
          <w:pPr>
            <w:pStyle w:val="afff7"/>
            <w:bidi w:val="0"/>
            <w:jc w:val="center"/>
          </w:pPr>
        </w:p>
      </w:tc>
      <w:tc>
        <w:tcPr>
          <w:tcW w:w="2925" w:type="dxa"/>
          <w:tcMar/>
        </w:tcPr>
        <w:p w:rsidR="3883382D" w:rsidP="3883382D" w:rsidRDefault="3883382D" w14:paraId="765D127A" w14:textId="1FD87794">
          <w:pPr>
            <w:pStyle w:val="afff7"/>
            <w:bidi w:val="0"/>
            <w:ind w:right="-115"/>
            <w:jc w:val="right"/>
          </w:pPr>
        </w:p>
      </w:tc>
    </w:tr>
  </w:tbl>
  <w:p w:rsidR="3883382D" w:rsidP="3883382D" w:rsidRDefault="3883382D" w14:paraId="189EF6B0" w14:textId="512F7368">
    <w:pPr>
      <w:pStyle w:val="afff9"/>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284" w:rsidP="004F5E36" w:rsidRDefault="00767284" w14:paraId="06E8C858" w14:textId="77777777">
      <w:r>
        <w:separator/>
      </w:r>
    </w:p>
  </w:footnote>
  <w:footnote w:type="continuationSeparator" w:id="0">
    <w:p w:rsidR="00767284" w:rsidP="004F5E36" w:rsidRDefault="00767284" w14:paraId="4D2594C1" w14:textId="77777777">
      <w:r>
        <w:continuationSeparator/>
      </w:r>
    </w:p>
  </w:footnote>
</w:footnotes>
</file>

<file path=word/header.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1E6E31F5">
      <w:trPr>
        <w:trHeight w:val="300"/>
      </w:trPr>
      <w:tc>
        <w:tcPr>
          <w:tcW w:w="2925" w:type="dxa"/>
          <w:tcMar/>
        </w:tcPr>
        <w:p w:rsidR="3883382D" w:rsidP="3883382D" w:rsidRDefault="3883382D" w14:paraId="25FC4B33" w14:textId="7B973D80">
          <w:pPr>
            <w:pStyle w:val="afff7"/>
            <w:bidi w:val="0"/>
            <w:ind w:left="-115"/>
            <w:jc w:val="left"/>
          </w:pPr>
        </w:p>
      </w:tc>
      <w:tc>
        <w:tcPr>
          <w:tcW w:w="2925" w:type="dxa"/>
          <w:tcMar/>
        </w:tcPr>
        <w:p w:rsidR="3883382D" w:rsidP="3883382D" w:rsidRDefault="3883382D" w14:paraId="4961500C" w14:textId="6548E536">
          <w:pPr>
            <w:pStyle w:val="afff7"/>
            <w:bidi w:val="0"/>
            <w:jc w:val="center"/>
          </w:pPr>
        </w:p>
      </w:tc>
      <w:tc>
        <w:tcPr>
          <w:tcW w:w="2925" w:type="dxa"/>
          <w:tcMar/>
        </w:tcPr>
        <w:p w:rsidR="3883382D" w:rsidP="3883382D" w:rsidRDefault="3883382D" w14:paraId="79FC9B2A" w14:textId="62DFBC25">
          <w:pPr>
            <w:pStyle w:val="afff7"/>
            <w:bidi w:val="0"/>
            <w:ind w:right="-115"/>
            <w:jc w:val="right"/>
          </w:pPr>
        </w:p>
      </w:tc>
    </w:tr>
  </w:tbl>
  <w:p w:rsidR="3883382D" w:rsidP="3883382D" w:rsidRDefault="3883382D" w14:paraId="556E1B8E" w14:textId="1000F369">
    <w:pPr>
      <w:pStyle w:val="afff7"/>
      <w:bidi w:val="0"/>
    </w:pPr>
  </w:p>
</w:hdr>
</file>

<file path=word/header2.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38A0FA97">
      <w:trPr>
        <w:trHeight w:val="300"/>
      </w:trPr>
      <w:tc>
        <w:tcPr>
          <w:tcW w:w="2925" w:type="dxa"/>
          <w:tcMar/>
        </w:tcPr>
        <w:p w:rsidR="3883382D" w:rsidP="3883382D" w:rsidRDefault="3883382D" w14:paraId="5C636CFB" w14:textId="335BFEAF">
          <w:pPr>
            <w:pStyle w:val="afff7"/>
            <w:bidi w:val="0"/>
            <w:ind w:left="-115"/>
            <w:jc w:val="left"/>
          </w:pPr>
        </w:p>
      </w:tc>
      <w:tc>
        <w:tcPr>
          <w:tcW w:w="2925" w:type="dxa"/>
          <w:tcMar/>
        </w:tcPr>
        <w:p w:rsidR="3883382D" w:rsidP="3883382D" w:rsidRDefault="3883382D" w14:paraId="39BD49B5" w14:textId="6D3A4908">
          <w:pPr>
            <w:pStyle w:val="afff7"/>
            <w:bidi w:val="0"/>
            <w:jc w:val="center"/>
          </w:pPr>
        </w:p>
      </w:tc>
      <w:tc>
        <w:tcPr>
          <w:tcW w:w="2925" w:type="dxa"/>
          <w:tcMar/>
        </w:tcPr>
        <w:p w:rsidR="3883382D" w:rsidP="3883382D" w:rsidRDefault="3883382D" w14:paraId="09A6976E" w14:textId="6B0D8D62">
          <w:pPr>
            <w:pStyle w:val="afff7"/>
            <w:bidi w:val="0"/>
            <w:ind w:right="-115"/>
            <w:jc w:val="right"/>
          </w:pPr>
        </w:p>
      </w:tc>
    </w:tr>
  </w:tbl>
  <w:p w:rsidR="3883382D" w:rsidP="3883382D" w:rsidRDefault="3883382D" w14:paraId="438E6885" w14:textId="579F2EFE">
    <w:pPr>
      <w:pStyle w:val="afff7"/>
      <w:bidi w:val="0"/>
    </w:pPr>
  </w:p>
</w:hdr>
</file>

<file path=word/header3.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282966F9">
      <w:trPr>
        <w:trHeight w:val="300"/>
      </w:trPr>
      <w:tc>
        <w:tcPr>
          <w:tcW w:w="2925" w:type="dxa"/>
          <w:tcMar/>
        </w:tcPr>
        <w:p w:rsidR="3883382D" w:rsidP="3883382D" w:rsidRDefault="3883382D" w14:paraId="26F810C7" w14:textId="60E373DC">
          <w:pPr>
            <w:pStyle w:val="afff7"/>
            <w:bidi w:val="0"/>
            <w:ind w:left="-115"/>
            <w:jc w:val="left"/>
          </w:pPr>
        </w:p>
      </w:tc>
      <w:tc>
        <w:tcPr>
          <w:tcW w:w="2925" w:type="dxa"/>
          <w:tcMar/>
        </w:tcPr>
        <w:p w:rsidR="3883382D" w:rsidP="3883382D" w:rsidRDefault="3883382D" w14:paraId="408288F2" w14:textId="2E1D4870">
          <w:pPr>
            <w:pStyle w:val="afff7"/>
            <w:bidi w:val="0"/>
            <w:jc w:val="center"/>
          </w:pPr>
        </w:p>
      </w:tc>
      <w:tc>
        <w:tcPr>
          <w:tcW w:w="2925" w:type="dxa"/>
          <w:tcMar/>
        </w:tcPr>
        <w:p w:rsidR="3883382D" w:rsidP="3883382D" w:rsidRDefault="3883382D" w14:paraId="20E557F2" w14:textId="1196DF8F">
          <w:pPr>
            <w:pStyle w:val="afff7"/>
            <w:bidi w:val="0"/>
            <w:ind w:right="-115"/>
            <w:jc w:val="right"/>
          </w:pPr>
        </w:p>
      </w:tc>
    </w:tr>
  </w:tbl>
  <w:p w:rsidR="3883382D" w:rsidP="3883382D" w:rsidRDefault="3883382D" w14:paraId="1E6F0368" w14:textId="0D334F52">
    <w:pPr>
      <w:pStyle w:val="afff7"/>
      <w:bidi w:val="0"/>
    </w:pPr>
  </w:p>
</w:hdr>
</file>

<file path=word/header4.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32198546">
      <w:trPr>
        <w:trHeight w:val="300"/>
      </w:trPr>
      <w:tc>
        <w:tcPr>
          <w:tcW w:w="2925" w:type="dxa"/>
          <w:tcMar/>
        </w:tcPr>
        <w:p w:rsidR="3883382D" w:rsidP="3883382D" w:rsidRDefault="3883382D" w14:paraId="7CE5B715" w14:textId="747A2275">
          <w:pPr>
            <w:pStyle w:val="afff7"/>
            <w:bidi w:val="0"/>
            <w:ind w:left="-115"/>
            <w:jc w:val="left"/>
          </w:pPr>
        </w:p>
      </w:tc>
      <w:tc>
        <w:tcPr>
          <w:tcW w:w="2925" w:type="dxa"/>
          <w:tcMar/>
        </w:tcPr>
        <w:p w:rsidR="3883382D" w:rsidP="3883382D" w:rsidRDefault="3883382D" w14:paraId="4B1E6068" w14:textId="3A40D1FC">
          <w:pPr>
            <w:pStyle w:val="afff7"/>
            <w:bidi w:val="0"/>
            <w:jc w:val="center"/>
          </w:pPr>
        </w:p>
      </w:tc>
      <w:tc>
        <w:tcPr>
          <w:tcW w:w="2925" w:type="dxa"/>
          <w:tcMar/>
        </w:tcPr>
        <w:p w:rsidR="3883382D" w:rsidP="3883382D" w:rsidRDefault="3883382D" w14:paraId="3E917FAD" w14:textId="590F3D6A">
          <w:pPr>
            <w:pStyle w:val="afff7"/>
            <w:bidi w:val="0"/>
            <w:ind w:right="-115"/>
            <w:jc w:val="right"/>
          </w:pPr>
        </w:p>
      </w:tc>
    </w:tr>
  </w:tbl>
  <w:p w:rsidR="3883382D" w:rsidP="3883382D" w:rsidRDefault="3883382D" w14:paraId="457F625E" w14:textId="29312DBE">
    <w:pPr>
      <w:pStyle w:val="afff7"/>
      <w:bidi w:val="0"/>
    </w:pPr>
  </w:p>
</w:hdr>
</file>

<file path=word/header5.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1352E4B2">
      <w:trPr>
        <w:trHeight w:val="300"/>
      </w:trPr>
      <w:tc>
        <w:tcPr>
          <w:tcW w:w="2925" w:type="dxa"/>
          <w:tcMar/>
        </w:tcPr>
        <w:p w:rsidR="3883382D" w:rsidP="3883382D" w:rsidRDefault="3883382D" w14:paraId="22B3BA7B" w14:textId="39283912">
          <w:pPr>
            <w:pStyle w:val="afff7"/>
            <w:bidi w:val="0"/>
            <w:ind w:left="-115"/>
            <w:jc w:val="left"/>
          </w:pPr>
        </w:p>
      </w:tc>
      <w:tc>
        <w:tcPr>
          <w:tcW w:w="2925" w:type="dxa"/>
          <w:tcMar/>
        </w:tcPr>
        <w:p w:rsidR="3883382D" w:rsidP="3883382D" w:rsidRDefault="3883382D" w14:paraId="48D48B30" w14:textId="6675F48F">
          <w:pPr>
            <w:pStyle w:val="afff7"/>
            <w:bidi w:val="0"/>
            <w:jc w:val="center"/>
          </w:pPr>
        </w:p>
      </w:tc>
      <w:tc>
        <w:tcPr>
          <w:tcW w:w="2925" w:type="dxa"/>
          <w:tcMar/>
        </w:tcPr>
        <w:p w:rsidR="3883382D" w:rsidP="3883382D" w:rsidRDefault="3883382D" w14:paraId="427237FF" w14:textId="1B36F505">
          <w:pPr>
            <w:pStyle w:val="afff7"/>
            <w:bidi w:val="0"/>
            <w:ind w:right="-115"/>
            <w:jc w:val="right"/>
          </w:pPr>
        </w:p>
      </w:tc>
    </w:tr>
  </w:tbl>
  <w:p w:rsidR="3883382D" w:rsidP="3883382D" w:rsidRDefault="3883382D" w14:paraId="7F7D3884" w14:textId="58B3CD03">
    <w:pPr>
      <w:pStyle w:val="afff7"/>
      <w:bidi w:val="0"/>
    </w:pPr>
  </w:p>
</w:hdr>
</file>

<file path=word/header6.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7B0D9AB6">
      <w:trPr>
        <w:trHeight w:val="300"/>
      </w:trPr>
      <w:tc>
        <w:tcPr>
          <w:tcW w:w="2925" w:type="dxa"/>
          <w:tcMar/>
        </w:tcPr>
        <w:p w:rsidR="3883382D" w:rsidP="3883382D" w:rsidRDefault="3883382D" w14:paraId="0126D635" w14:textId="5697F559">
          <w:pPr>
            <w:pStyle w:val="afff7"/>
            <w:bidi w:val="0"/>
            <w:ind w:left="-115"/>
            <w:jc w:val="left"/>
          </w:pPr>
        </w:p>
      </w:tc>
      <w:tc>
        <w:tcPr>
          <w:tcW w:w="2925" w:type="dxa"/>
          <w:tcMar/>
        </w:tcPr>
        <w:p w:rsidR="3883382D" w:rsidP="3883382D" w:rsidRDefault="3883382D" w14:paraId="0E1779BE" w14:textId="62201FD5">
          <w:pPr>
            <w:pStyle w:val="afff7"/>
            <w:bidi w:val="0"/>
            <w:jc w:val="center"/>
          </w:pPr>
        </w:p>
      </w:tc>
      <w:tc>
        <w:tcPr>
          <w:tcW w:w="2925" w:type="dxa"/>
          <w:tcMar/>
        </w:tcPr>
        <w:p w:rsidR="3883382D" w:rsidP="3883382D" w:rsidRDefault="3883382D" w14:paraId="4FFC064F" w14:textId="1C5C84B4">
          <w:pPr>
            <w:pStyle w:val="afff7"/>
            <w:bidi w:val="0"/>
            <w:ind w:right="-115"/>
            <w:jc w:val="right"/>
          </w:pPr>
        </w:p>
      </w:tc>
    </w:tr>
  </w:tbl>
  <w:p w:rsidR="3883382D" w:rsidP="3883382D" w:rsidRDefault="3883382D" w14:paraId="57B176FC" w14:textId="11AEE5E0">
    <w:pPr>
      <w:pStyle w:val="afff7"/>
      <w:bidi w:val="0"/>
    </w:pPr>
  </w:p>
</w:hdr>
</file>

<file path=word/header7.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1345"/>
      <w:gridCol w:w="1345"/>
      <w:gridCol w:w="1345"/>
    </w:tblGrid>
    <w:tr w:rsidR="3883382D" w:rsidTr="3883382D" w14:paraId="5CC36A2D">
      <w:trPr>
        <w:trHeight w:val="300"/>
      </w:trPr>
      <w:tc>
        <w:tcPr>
          <w:tcW w:w="1345" w:type="dxa"/>
          <w:tcMar/>
        </w:tcPr>
        <w:p w:rsidR="3883382D" w:rsidP="3883382D" w:rsidRDefault="3883382D" w14:paraId="37B80E91" w14:textId="57785A78">
          <w:pPr>
            <w:pStyle w:val="afff7"/>
            <w:bidi w:val="0"/>
            <w:ind w:left="-115"/>
            <w:jc w:val="left"/>
          </w:pPr>
        </w:p>
      </w:tc>
      <w:tc>
        <w:tcPr>
          <w:tcW w:w="1345" w:type="dxa"/>
          <w:tcMar/>
        </w:tcPr>
        <w:p w:rsidR="3883382D" w:rsidP="3883382D" w:rsidRDefault="3883382D" w14:paraId="0D335FE2" w14:textId="60DCFE8F">
          <w:pPr>
            <w:pStyle w:val="afff7"/>
            <w:bidi w:val="0"/>
            <w:jc w:val="center"/>
          </w:pPr>
        </w:p>
      </w:tc>
      <w:tc>
        <w:tcPr>
          <w:tcW w:w="1345" w:type="dxa"/>
          <w:tcMar/>
        </w:tcPr>
        <w:p w:rsidR="3883382D" w:rsidP="3883382D" w:rsidRDefault="3883382D" w14:paraId="4D097127" w14:textId="0AE2A0F3">
          <w:pPr>
            <w:pStyle w:val="afff7"/>
            <w:bidi w:val="0"/>
            <w:ind w:right="-115"/>
            <w:jc w:val="right"/>
          </w:pPr>
        </w:p>
      </w:tc>
    </w:tr>
  </w:tbl>
  <w:p w:rsidR="3883382D" w:rsidP="3883382D" w:rsidRDefault="3883382D" w14:paraId="700DB902" w14:textId="535CFDB1">
    <w:pPr>
      <w:pStyle w:val="afff7"/>
      <w:bidi w:val="0"/>
    </w:pPr>
  </w:p>
</w:hdr>
</file>

<file path=word/header8.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1345"/>
      <w:gridCol w:w="1345"/>
      <w:gridCol w:w="1345"/>
    </w:tblGrid>
    <w:tr w:rsidR="3883382D" w:rsidTr="3883382D" w14:paraId="15EA3E62">
      <w:trPr>
        <w:trHeight w:val="300"/>
      </w:trPr>
      <w:tc>
        <w:tcPr>
          <w:tcW w:w="1345" w:type="dxa"/>
          <w:tcMar/>
        </w:tcPr>
        <w:p w:rsidR="3883382D" w:rsidP="3883382D" w:rsidRDefault="3883382D" w14:paraId="3724FE8A" w14:textId="5D173FFF">
          <w:pPr>
            <w:pStyle w:val="afff7"/>
            <w:bidi w:val="0"/>
            <w:ind w:left="-115"/>
            <w:jc w:val="left"/>
          </w:pPr>
        </w:p>
      </w:tc>
      <w:tc>
        <w:tcPr>
          <w:tcW w:w="1345" w:type="dxa"/>
          <w:tcMar/>
        </w:tcPr>
        <w:p w:rsidR="3883382D" w:rsidP="3883382D" w:rsidRDefault="3883382D" w14:paraId="5BE6DE82" w14:textId="3560E453">
          <w:pPr>
            <w:pStyle w:val="afff7"/>
            <w:bidi w:val="0"/>
            <w:jc w:val="center"/>
          </w:pPr>
        </w:p>
      </w:tc>
      <w:tc>
        <w:tcPr>
          <w:tcW w:w="1345" w:type="dxa"/>
          <w:tcMar/>
        </w:tcPr>
        <w:p w:rsidR="3883382D" w:rsidP="3883382D" w:rsidRDefault="3883382D" w14:paraId="1938DFF0" w14:textId="4265DF02">
          <w:pPr>
            <w:pStyle w:val="afff7"/>
            <w:bidi w:val="0"/>
            <w:ind w:right="-115"/>
            <w:jc w:val="right"/>
          </w:pPr>
        </w:p>
      </w:tc>
    </w:tr>
  </w:tbl>
  <w:p w:rsidR="3883382D" w:rsidP="3883382D" w:rsidRDefault="3883382D" w14:paraId="63F63B2D" w14:textId="70A254B5">
    <w:pPr>
      <w:pStyle w:val="afff7"/>
      <w:bidi w:val="0"/>
    </w:pPr>
  </w:p>
</w:hdr>
</file>

<file path=word/header9.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4C33DCC4">
      <w:trPr>
        <w:trHeight w:val="300"/>
      </w:trPr>
      <w:tc>
        <w:tcPr>
          <w:tcW w:w="2925" w:type="dxa"/>
          <w:tcMar/>
        </w:tcPr>
        <w:p w:rsidR="3883382D" w:rsidP="3883382D" w:rsidRDefault="3883382D" w14:paraId="465D0A11" w14:textId="0A5D0701">
          <w:pPr>
            <w:pStyle w:val="afff7"/>
            <w:bidi w:val="0"/>
            <w:ind w:left="-115"/>
            <w:jc w:val="left"/>
          </w:pPr>
        </w:p>
      </w:tc>
      <w:tc>
        <w:tcPr>
          <w:tcW w:w="2925" w:type="dxa"/>
          <w:tcMar/>
        </w:tcPr>
        <w:p w:rsidR="3883382D" w:rsidP="3883382D" w:rsidRDefault="3883382D" w14:paraId="2D513B4A" w14:textId="490778CF">
          <w:pPr>
            <w:pStyle w:val="afff7"/>
            <w:bidi w:val="0"/>
            <w:jc w:val="center"/>
          </w:pPr>
        </w:p>
      </w:tc>
      <w:tc>
        <w:tcPr>
          <w:tcW w:w="2925" w:type="dxa"/>
          <w:tcMar/>
        </w:tcPr>
        <w:p w:rsidR="3883382D" w:rsidP="3883382D" w:rsidRDefault="3883382D" w14:paraId="6F7B5C93" w14:textId="1A3B9736">
          <w:pPr>
            <w:pStyle w:val="afff7"/>
            <w:bidi w:val="0"/>
            <w:ind w:right="-115"/>
            <w:jc w:val="right"/>
          </w:pPr>
        </w:p>
      </w:tc>
    </w:tr>
  </w:tbl>
  <w:p w:rsidR="3883382D" w:rsidP="3883382D" w:rsidRDefault="3883382D" w14:paraId="405C805F" w14:textId="6C4021B4">
    <w:pPr>
      <w:pStyle w:val="afff7"/>
      <w:bidi w:val="0"/>
    </w:pPr>
  </w:p>
</w:hdr>
</file>

<file path=word/headera.xml><?xml version="1.0" encoding="utf-8"?>
<w:hdr xmlns:w14="http://schemas.microsoft.com/office/word/2010/wordml" xmlns:w="http://schemas.openxmlformats.org/wordprocessingml/2006/main">
  <w:tbl>
    <w:tblPr>
      <w:tblStyle w:val="a3"/>
      <w:bidiVisual w:val="0"/>
      <w:tblW w:w="0" w:type="auto"/>
      <w:tblLayout w:type="fixed"/>
      <w:tblLook w:val="06A0" w:firstRow="1" w:lastRow="0" w:firstColumn="1" w:lastColumn="0" w:noHBand="1" w:noVBand="1"/>
    </w:tblPr>
    <w:tblGrid>
      <w:gridCol w:w="2925"/>
      <w:gridCol w:w="2925"/>
      <w:gridCol w:w="2925"/>
    </w:tblGrid>
    <w:tr w:rsidR="3883382D" w:rsidTr="3883382D" w14:paraId="3C5D4C43">
      <w:trPr>
        <w:trHeight w:val="300"/>
      </w:trPr>
      <w:tc>
        <w:tcPr>
          <w:tcW w:w="2925" w:type="dxa"/>
          <w:tcMar/>
        </w:tcPr>
        <w:p w:rsidR="3883382D" w:rsidP="3883382D" w:rsidRDefault="3883382D" w14:paraId="1F56A074" w14:textId="255B7A0D">
          <w:pPr>
            <w:pStyle w:val="afff7"/>
            <w:bidi w:val="0"/>
            <w:ind w:left="-115"/>
            <w:jc w:val="left"/>
          </w:pPr>
        </w:p>
      </w:tc>
      <w:tc>
        <w:tcPr>
          <w:tcW w:w="2925" w:type="dxa"/>
          <w:tcMar/>
        </w:tcPr>
        <w:p w:rsidR="3883382D" w:rsidP="3883382D" w:rsidRDefault="3883382D" w14:paraId="15490EA2" w14:textId="49084279">
          <w:pPr>
            <w:pStyle w:val="afff7"/>
            <w:bidi w:val="0"/>
            <w:jc w:val="center"/>
          </w:pPr>
        </w:p>
      </w:tc>
      <w:tc>
        <w:tcPr>
          <w:tcW w:w="2925" w:type="dxa"/>
          <w:tcMar/>
        </w:tcPr>
        <w:p w:rsidR="3883382D" w:rsidP="3883382D" w:rsidRDefault="3883382D" w14:paraId="37F6F915" w14:textId="346DCFEE">
          <w:pPr>
            <w:pStyle w:val="afff7"/>
            <w:bidi w:val="0"/>
            <w:ind w:right="-115"/>
            <w:jc w:val="right"/>
          </w:pPr>
        </w:p>
      </w:tc>
    </w:tr>
  </w:tbl>
  <w:p w:rsidR="3883382D" w:rsidP="3883382D" w:rsidRDefault="3883382D" w14:paraId="36D406B0" w14:textId="77DD9928">
    <w:pPr>
      <w:pStyle w:val="afff7"/>
      <w:bidi w:val="0"/>
    </w:pPr>
  </w:p>
</w:hdr>
</file>

<file path=word/intelligence2.xml><?xml version="1.0" encoding="utf-8"?>
<int2:intelligence xmlns:int2="http://schemas.microsoft.com/office/intelligence/2020/intelligence">
  <int2:observations>
    <int2:textHash int2:hashCode="0PMn8K74U3yLrt" int2:id="EyoZpd2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hint="default" w:ascii="Symbol" w:hAnsi="Symbol"/>
      </w:rPr>
    </w:lvl>
  </w:abstractNum>
  <w:abstractNum w:abstractNumId="10" w15:restartNumberingAfterBreak="0">
    <w:nsid w:val="1DD931C6"/>
    <w:multiLevelType w:val="hybridMultilevel"/>
    <w:tmpl w:val="357ADC46"/>
    <w:lvl w:ilvl="0" w:tplc="EB883DA8">
      <w:start w:val="1"/>
      <w:numFmt w:val="bullet"/>
      <w:lvlText w:val=""/>
      <w:lvlJc w:val="left"/>
      <w:pPr>
        <w:ind w:left="720" w:hanging="360"/>
      </w:pPr>
      <w:rPr>
        <w:rFonts w:hint="default" w:ascii="Symbol" w:hAnsi="Symbol"/>
      </w:rPr>
    </w:lvl>
    <w:lvl w:ilvl="1" w:tplc="C7FA6198">
      <w:start w:val="1"/>
      <w:numFmt w:val="bullet"/>
      <w:lvlText w:val="o"/>
      <w:lvlJc w:val="left"/>
      <w:pPr>
        <w:ind w:left="1440" w:hanging="360"/>
      </w:pPr>
      <w:rPr>
        <w:rFonts w:hint="default" w:ascii="Courier New" w:hAnsi="Courier New"/>
      </w:rPr>
    </w:lvl>
    <w:lvl w:ilvl="2" w:tplc="A2C4D4FE">
      <w:start w:val="1"/>
      <w:numFmt w:val="bullet"/>
      <w:lvlText w:val=""/>
      <w:lvlJc w:val="left"/>
      <w:pPr>
        <w:ind w:left="2160" w:hanging="360"/>
      </w:pPr>
      <w:rPr>
        <w:rFonts w:hint="default" w:ascii="Wingdings" w:hAnsi="Wingdings"/>
      </w:rPr>
    </w:lvl>
    <w:lvl w:ilvl="3" w:tplc="BCFA4DAC">
      <w:start w:val="1"/>
      <w:numFmt w:val="bullet"/>
      <w:lvlText w:val=""/>
      <w:lvlJc w:val="left"/>
      <w:pPr>
        <w:ind w:left="2880" w:hanging="360"/>
      </w:pPr>
      <w:rPr>
        <w:rFonts w:hint="default" w:ascii="Symbol" w:hAnsi="Symbol"/>
      </w:rPr>
    </w:lvl>
    <w:lvl w:ilvl="4" w:tplc="3556A3B8">
      <w:start w:val="1"/>
      <w:numFmt w:val="bullet"/>
      <w:lvlText w:val="o"/>
      <w:lvlJc w:val="left"/>
      <w:pPr>
        <w:ind w:left="3600" w:hanging="360"/>
      </w:pPr>
      <w:rPr>
        <w:rFonts w:hint="default" w:ascii="Courier New" w:hAnsi="Courier New"/>
      </w:rPr>
    </w:lvl>
    <w:lvl w:ilvl="5" w:tplc="66C63348">
      <w:start w:val="1"/>
      <w:numFmt w:val="bullet"/>
      <w:lvlText w:val=""/>
      <w:lvlJc w:val="left"/>
      <w:pPr>
        <w:ind w:left="4320" w:hanging="360"/>
      </w:pPr>
      <w:rPr>
        <w:rFonts w:hint="default" w:ascii="Wingdings" w:hAnsi="Wingdings"/>
      </w:rPr>
    </w:lvl>
    <w:lvl w:ilvl="6" w:tplc="C498B6D4">
      <w:start w:val="1"/>
      <w:numFmt w:val="bullet"/>
      <w:lvlText w:val=""/>
      <w:lvlJc w:val="left"/>
      <w:pPr>
        <w:ind w:left="5040" w:hanging="360"/>
      </w:pPr>
      <w:rPr>
        <w:rFonts w:hint="default" w:ascii="Symbol" w:hAnsi="Symbol"/>
      </w:rPr>
    </w:lvl>
    <w:lvl w:ilvl="7" w:tplc="580A1092">
      <w:start w:val="1"/>
      <w:numFmt w:val="bullet"/>
      <w:lvlText w:val="o"/>
      <w:lvlJc w:val="left"/>
      <w:pPr>
        <w:ind w:left="5760" w:hanging="360"/>
      </w:pPr>
      <w:rPr>
        <w:rFonts w:hint="default" w:ascii="Courier New" w:hAnsi="Courier New"/>
      </w:rPr>
    </w:lvl>
    <w:lvl w:ilvl="8" w:tplc="31CCCE1A">
      <w:start w:val="1"/>
      <w:numFmt w:val="bullet"/>
      <w:lvlText w:val=""/>
      <w:lvlJc w:val="left"/>
      <w:pPr>
        <w:ind w:left="6480" w:hanging="360"/>
      </w:pPr>
      <w:rPr>
        <w:rFonts w:hint="default" w:ascii="Wingdings" w:hAnsi="Wingdings"/>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pStyle w:val="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784572305">
    <w:abstractNumId w:val="10"/>
  </w:num>
  <w:num w:numId="2" w16cid:durableId="1030305860">
    <w:abstractNumId w:val="11"/>
  </w:num>
  <w:num w:numId="3" w16cid:durableId="1939479859">
    <w:abstractNumId w:val="8"/>
  </w:num>
  <w:num w:numId="4" w16cid:durableId="976295760">
    <w:abstractNumId w:val="3"/>
  </w:num>
  <w:num w:numId="5" w16cid:durableId="23678545">
    <w:abstractNumId w:val="2"/>
  </w:num>
  <w:num w:numId="6" w16cid:durableId="1901554720">
    <w:abstractNumId w:val="1"/>
  </w:num>
  <w:num w:numId="7" w16cid:durableId="1979601308">
    <w:abstractNumId w:val="0"/>
  </w:num>
  <w:num w:numId="8" w16cid:durableId="1215388478">
    <w:abstractNumId w:val="9"/>
  </w:num>
  <w:num w:numId="9" w16cid:durableId="759717833">
    <w:abstractNumId w:val="7"/>
  </w:num>
  <w:num w:numId="10" w16cid:durableId="815683955">
    <w:abstractNumId w:val="6"/>
  </w:num>
  <w:num w:numId="11" w16cid:durableId="1066416165">
    <w:abstractNumId w:val="5"/>
  </w:num>
  <w:num w:numId="12" w16cid:durableId="438722583">
    <w:abstractNumId w:val="4"/>
  </w:num>
  <w:num w:numId="13" w16cid:durableId="733702629">
    <w:abstractNumId w:val="18"/>
  </w:num>
  <w:num w:numId="14" w16cid:durableId="1573659240">
    <w:abstractNumId w:val="13"/>
  </w:num>
  <w:num w:numId="15" w16cid:durableId="2092192635">
    <w:abstractNumId w:val="19"/>
  </w:num>
  <w:num w:numId="16" w16cid:durableId="1115637783">
    <w:abstractNumId w:val="21"/>
  </w:num>
  <w:num w:numId="17" w16cid:durableId="635987207">
    <w:abstractNumId w:val="20"/>
  </w:num>
  <w:num w:numId="18" w16cid:durableId="1476411020">
    <w:abstractNumId w:val="12"/>
  </w:num>
  <w:num w:numId="19" w16cid:durableId="2106877164">
    <w:abstractNumId w:val="13"/>
    <w:lvlOverride w:ilvl="0">
      <w:startOverride w:val="1"/>
    </w:lvlOverride>
  </w:num>
  <w:num w:numId="20" w16cid:durableId="1650403514">
    <w:abstractNumId w:val="17"/>
  </w:num>
  <w:num w:numId="21" w16cid:durableId="536504040">
    <w:abstractNumId w:val="16"/>
  </w:num>
  <w:num w:numId="22" w16cid:durableId="518815501">
    <w:abstractNumId w:val="15"/>
  </w:num>
  <w:num w:numId="23" w16cid:durableId="299530822">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5DDA"/>
    <w:rsid w:val="000F787B"/>
    <w:rsid w:val="00106B28"/>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C3422"/>
    <w:rsid w:val="002E5FA7"/>
    <w:rsid w:val="002F3309"/>
    <w:rsid w:val="003008CE"/>
    <w:rsid w:val="003009B7"/>
    <w:rsid w:val="00300E56"/>
    <w:rsid w:val="0030469C"/>
    <w:rsid w:val="00321CA6"/>
    <w:rsid w:val="00323763"/>
    <w:rsid w:val="00334C09"/>
    <w:rsid w:val="003723D4"/>
    <w:rsid w:val="00374C1E"/>
    <w:rsid w:val="00381905"/>
    <w:rsid w:val="00384CC8"/>
    <w:rsid w:val="0038663A"/>
    <w:rsid w:val="003871FD"/>
    <w:rsid w:val="0038A2E3"/>
    <w:rsid w:val="003A1E30"/>
    <w:rsid w:val="003A2829"/>
    <w:rsid w:val="003A7D1C"/>
    <w:rsid w:val="003B304B"/>
    <w:rsid w:val="003B3146"/>
    <w:rsid w:val="003E61D1"/>
    <w:rsid w:val="003F015E"/>
    <w:rsid w:val="00400414"/>
    <w:rsid w:val="0041446B"/>
    <w:rsid w:val="00431AED"/>
    <w:rsid w:val="0044329C"/>
    <w:rsid w:val="00453E24"/>
    <w:rsid w:val="00457456"/>
    <w:rsid w:val="004577FE"/>
    <w:rsid w:val="00457B9C"/>
    <w:rsid w:val="0046164A"/>
    <w:rsid w:val="004628D2"/>
    <w:rsid w:val="00462DCD"/>
    <w:rsid w:val="004648AD"/>
    <w:rsid w:val="004703A9"/>
    <w:rsid w:val="004760DE"/>
    <w:rsid w:val="004763D7"/>
    <w:rsid w:val="004936B1"/>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60E3E"/>
    <w:rsid w:val="00662E74"/>
    <w:rsid w:val="00665323"/>
    <w:rsid w:val="00680C23"/>
    <w:rsid w:val="00693766"/>
    <w:rsid w:val="006A3281"/>
    <w:rsid w:val="006B4888"/>
    <w:rsid w:val="006C2E45"/>
    <w:rsid w:val="006C359C"/>
    <w:rsid w:val="006C5579"/>
    <w:rsid w:val="006D4545"/>
    <w:rsid w:val="006D6E8B"/>
    <w:rsid w:val="006E737D"/>
    <w:rsid w:val="00713973"/>
    <w:rsid w:val="00720A24"/>
    <w:rsid w:val="00732386"/>
    <w:rsid w:val="0073514D"/>
    <w:rsid w:val="007447F3"/>
    <w:rsid w:val="0075499F"/>
    <w:rsid w:val="007661C8"/>
    <w:rsid w:val="00767284"/>
    <w:rsid w:val="0077098D"/>
    <w:rsid w:val="007931FA"/>
    <w:rsid w:val="007A4861"/>
    <w:rsid w:val="007A7BBA"/>
    <w:rsid w:val="007B0C50"/>
    <w:rsid w:val="007B48F9"/>
    <w:rsid w:val="007C1A43"/>
    <w:rsid w:val="0080013E"/>
    <w:rsid w:val="00813288"/>
    <w:rsid w:val="008168FC"/>
    <w:rsid w:val="00825DD9"/>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02A3"/>
    <w:rsid w:val="00993B84"/>
    <w:rsid w:val="00996483"/>
    <w:rsid w:val="00996F5A"/>
    <w:rsid w:val="009B041A"/>
    <w:rsid w:val="009C37C3"/>
    <w:rsid w:val="009C7C86"/>
    <w:rsid w:val="009D2FF7"/>
    <w:rsid w:val="009E7884"/>
    <w:rsid w:val="009E788A"/>
    <w:rsid w:val="009F0E08"/>
    <w:rsid w:val="00A1763D"/>
    <w:rsid w:val="00A17CEC"/>
    <w:rsid w:val="00A27EF0"/>
    <w:rsid w:val="00A3623B"/>
    <w:rsid w:val="00A42361"/>
    <w:rsid w:val="00A50B20"/>
    <w:rsid w:val="00A51390"/>
    <w:rsid w:val="00A60D13"/>
    <w:rsid w:val="00A72745"/>
    <w:rsid w:val="00A76EFC"/>
    <w:rsid w:val="00A91010"/>
    <w:rsid w:val="00A97F29"/>
    <w:rsid w:val="00AA702E"/>
    <w:rsid w:val="00AB0964"/>
    <w:rsid w:val="00AB0B55"/>
    <w:rsid w:val="00AB5011"/>
    <w:rsid w:val="00AC7368"/>
    <w:rsid w:val="00AD16B9"/>
    <w:rsid w:val="00AE377D"/>
    <w:rsid w:val="00AF0EBA"/>
    <w:rsid w:val="00B02C8A"/>
    <w:rsid w:val="00B17FBD"/>
    <w:rsid w:val="00B315A6"/>
    <w:rsid w:val="00B31813"/>
    <w:rsid w:val="00B33365"/>
    <w:rsid w:val="00B57B36"/>
    <w:rsid w:val="00B57E6F"/>
    <w:rsid w:val="00B668FC"/>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07359"/>
    <w:rsid w:val="00F30C64"/>
    <w:rsid w:val="00F32BA2"/>
    <w:rsid w:val="00F32CDB"/>
    <w:rsid w:val="00F565FE"/>
    <w:rsid w:val="00F574DD"/>
    <w:rsid w:val="00F63A70"/>
    <w:rsid w:val="00F7534E"/>
    <w:rsid w:val="00FA21D0"/>
    <w:rsid w:val="00FA5F5F"/>
    <w:rsid w:val="00FB730C"/>
    <w:rsid w:val="00FC2695"/>
    <w:rsid w:val="00FC3E03"/>
    <w:rsid w:val="00FC3FC1"/>
    <w:rsid w:val="0123EA08"/>
    <w:rsid w:val="014E7B3D"/>
    <w:rsid w:val="015225A8"/>
    <w:rsid w:val="02389B36"/>
    <w:rsid w:val="02446DA5"/>
    <w:rsid w:val="0248FA55"/>
    <w:rsid w:val="029C69D7"/>
    <w:rsid w:val="02EB0CB2"/>
    <w:rsid w:val="032F3FEC"/>
    <w:rsid w:val="032FCD58"/>
    <w:rsid w:val="0336C9C4"/>
    <w:rsid w:val="034380FC"/>
    <w:rsid w:val="0354FF14"/>
    <w:rsid w:val="03570CD6"/>
    <w:rsid w:val="037043A5"/>
    <w:rsid w:val="048FD0AA"/>
    <w:rsid w:val="04ECE8EA"/>
    <w:rsid w:val="04F52909"/>
    <w:rsid w:val="0589D8DF"/>
    <w:rsid w:val="05DDC335"/>
    <w:rsid w:val="0656A979"/>
    <w:rsid w:val="0690C2C5"/>
    <w:rsid w:val="06AA829A"/>
    <w:rsid w:val="06F927CC"/>
    <w:rsid w:val="076295A8"/>
    <w:rsid w:val="07B4D1A6"/>
    <w:rsid w:val="07D2D8AE"/>
    <w:rsid w:val="07F10FD2"/>
    <w:rsid w:val="0892DCC4"/>
    <w:rsid w:val="089526F3"/>
    <w:rsid w:val="08AF6D2E"/>
    <w:rsid w:val="08DD3D33"/>
    <w:rsid w:val="0924CEB9"/>
    <w:rsid w:val="0A450D42"/>
    <w:rsid w:val="0A6E554D"/>
    <w:rsid w:val="0A71BCE7"/>
    <w:rsid w:val="0A790D94"/>
    <w:rsid w:val="0A7EA8E0"/>
    <w:rsid w:val="0ACC9875"/>
    <w:rsid w:val="0AE9D3FD"/>
    <w:rsid w:val="0AF0903B"/>
    <w:rsid w:val="0B1622D2"/>
    <w:rsid w:val="0B38934F"/>
    <w:rsid w:val="0B5116B5"/>
    <w:rsid w:val="0B5C2A6E"/>
    <w:rsid w:val="0B7552CB"/>
    <w:rsid w:val="0BB79EC4"/>
    <w:rsid w:val="0BDEC34D"/>
    <w:rsid w:val="0C1AD242"/>
    <w:rsid w:val="0C466FBF"/>
    <w:rsid w:val="0CBD66D7"/>
    <w:rsid w:val="0CF7FACF"/>
    <w:rsid w:val="0D10CFE1"/>
    <w:rsid w:val="0D23C3D0"/>
    <w:rsid w:val="0D345C09"/>
    <w:rsid w:val="0E003994"/>
    <w:rsid w:val="0E4A2BF7"/>
    <w:rsid w:val="0E6137CF"/>
    <w:rsid w:val="0E7F6FEF"/>
    <w:rsid w:val="0E9B3A1A"/>
    <w:rsid w:val="0EB01648"/>
    <w:rsid w:val="0EED3580"/>
    <w:rsid w:val="0F08AF0B"/>
    <w:rsid w:val="0FD4CA01"/>
    <w:rsid w:val="102F9B91"/>
    <w:rsid w:val="1072CFD1"/>
    <w:rsid w:val="10885053"/>
    <w:rsid w:val="11304C72"/>
    <w:rsid w:val="117EE211"/>
    <w:rsid w:val="11CB6BF2"/>
    <w:rsid w:val="11E7D3B0"/>
    <w:rsid w:val="1212651E"/>
    <w:rsid w:val="12C1C80D"/>
    <w:rsid w:val="1308A4BF"/>
    <w:rsid w:val="1365D5C5"/>
    <w:rsid w:val="138E54F5"/>
    <w:rsid w:val="140373F3"/>
    <w:rsid w:val="1520FEF0"/>
    <w:rsid w:val="152B0B8D"/>
    <w:rsid w:val="159E79D9"/>
    <w:rsid w:val="15E07CD6"/>
    <w:rsid w:val="15F21BE9"/>
    <w:rsid w:val="16AED3B6"/>
    <w:rsid w:val="16D155DD"/>
    <w:rsid w:val="16E3E560"/>
    <w:rsid w:val="1728939D"/>
    <w:rsid w:val="173A4A3A"/>
    <w:rsid w:val="178031CE"/>
    <w:rsid w:val="18115902"/>
    <w:rsid w:val="18177082"/>
    <w:rsid w:val="1838BBFC"/>
    <w:rsid w:val="1878F10C"/>
    <w:rsid w:val="19491B71"/>
    <w:rsid w:val="19B9C532"/>
    <w:rsid w:val="19C97E80"/>
    <w:rsid w:val="19D69A43"/>
    <w:rsid w:val="19F59753"/>
    <w:rsid w:val="1AB1186D"/>
    <w:rsid w:val="1ABE065B"/>
    <w:rsid w:val="1B4DC235"/>
    <w:rsid w:val="1B7A3BBE"/>
    <w:rsid w:val="1BA59A16"/>
    <w:rsid w:val="1BC00679"/>
    <w:rsid w:val="1BC73D2E"/>
    <w:rsid w:val="1C4CB285"/>
    <w:rsid w:val="1C77F40B"/>
    <w:rsid w:val="1C79DD9D"/>
    <w:rsid w:val="1D3B1433"/>
    <w:rsid w:val="1D81233F"/>
    <w:rsid w:val="1D85E59E"/>
    <w:rsid w:val="1E006E62"/>
    <w:rsid w:val="1E1ECEE0"/>
    <w:rsid w:val="1E99B32E"/>
    <w:rsid w:val="1EA25603"/>
    <w:rsid w:val="1F016ED7"/>
    <w:rsid w:val="1F8B62D1"/>
    <w:rsid w:val="20236A05"/>
    <w:rsid w:val="2024A5FA"/>
    <w:rsid w:val="202E11D9"/>
    <w:rsid w:val="20B2F33F"/>
    <w:rsid w:val="20BD70C6"/>
    <w:rsid w:val="213B861F"/>
    <w:rsid w:val="218697FB"/>
    <w:rsid w:val="22961E61"/>
    <w:rsid w:val="235E18D4"/>
    <w:rsid w:val="24628D2E"/>
    <w:rsid w:val="248ACE5C"/>
    <w:rsid w:val="24C22564"/>
    <w:rsid w:val="24ED86DC"/>
    <w:rsid w:val="2510AE3A"/>
    <w:rsid w:val="258CA8DC"/>
    <w:rsid w:val="25D02979"/>
    <w:rsid w:val="2610162C"/>
    <w:rsid w:val="262F6B53"/>
    <w:rsid w:val="26AB644E"/>
    <w:rsid w:val="2747E893"/>
    <w:rsid w:val="275B12AC"/>
    <w:rsid w:val="27775C63"/>
    <w:rsid w:val="278706D9"/>
    <w:rsid w:val="2831B1A4"/>
    <w:rsid w:val="28F0F848"/>
    <w:rsid w:val="29C4AF38"/>
    <w:rsid w:val="29D89DA7"/>
    <w:rsid w:val="29F48F27"/>
    <w:rsid w:val="29F8A08F"/>
    <w:rsid w:val="2A0FC91B"/>
    <w:rsid w:val="2A2584C4"/>
    <w:rsid w:val="2A34FD27"/>
    <w:rsid w:val="2A399772"/>
    <w:rsid w:val="2AC686A4"/>
    <w:rsid w:val="2ACCED2B"/>
    <w:rsid w:val="2AF04837"/>
    <w:rsid w:val="2C237B49"/>
    <w:rsid w:val="2CA827C2"/>
    <w:rsid w:val="2CF85BF5"/>
    <w:rsid w:val="2CFEAC4B"/>
    <w:rsid w:val="2D96E5C1"/>
    <w:rsid w:val="2D9FFD94"/>
    <w:rsid w:val="2DADAE32"/>
    <w:rsid w:val="2DD564EB"/>
    <w:rsid w:val="2DE7E0A6"/>
    <w:rsid w:val="2E4FB4A4"/>
    <w:rsid w:val="2ED378AA"/>
    <w:rsid w:val="2F0A4C43"/>
    <w:rsid w:val="2F2B46B3"/>
    <w:rsid w:val="2F46D27D"/>
    <w:rsid w:val="2F777066"/>
    <w:rsid w:val="2FA7DC54"/>
    <w:rsid w:val="2FFACF7C"/>
    <w:rsid w:val="30471806"/>
    <w:rsid w:val="3072DDB6"/>
    <w:rsid w:val="309CC6A2"/>
    <w:rsid w:val="30B91FD7"/>
    <w:rsid w:val="31239755"/>
    <w:rsid w:val="312EE4C4"/>
    <w:rsid w:val="314A6EE0"/>
    <w:rsid w:val="31562074"/>
    <w:rsid w:val="3160B8EE"/>
    <w:rsid w:val="3193C96E"/>
    <w:rsid w:val="31ABE4B7"/>
    <w:rsid w:val="31D922C5"/>
    <w:rsid w:val="323BA36A"/>
    <w:rsid w:val="32445266"/>
    <w:rsid w:val="32625D5E"/>
    <w:rsid w:val="329DF93F"/>
    <w:rsid w:val="32CE490D"/>
    <w:rsid w:val="32D78D8A"/>
    <w:rsid w:val="32E80B67"/>
    <w:rsid w:val="32FA97E0"/>
    <w:rsid w:val="32FF19A0"/>
    <w:rsid w:val="33092876"/>
    <w:rsid w:val="330CE98B"/>
    <w:rsid w:val="336AC12B"/>
    <w:rsid w:val="33F8F733"/>
    <w:rsid w:val="34668586"/>
    <w:rsid w:val="34715845"/>
    <w:rsid w:val="351E038F"/>
    <w:rsid w:val="3541524E"/>
    <w:rsid w:val="36208944"/>
    <w:rsid w:val="367EC807"/>
    <w:rsid w:val="36FAB122"/>
    <w:rsid w:val="37199BBA"/>
    <w:rsid w:val="374B0C49"/>
    <w:rsid w:val="37E4F36F"/>
    <w:rsid w:val="37FE2E6B"/>
    <w:rsid w:val="38355F8E"/>
    <w:rsid w:val="3883382D"/>
    <w:rsid w:val="388E00F9"/>
    <w:rsid w:val="38BE756F"/>
    <w:rsid w:val="39052847"/>
    <w:rsid w:val="3934EF57"/>
    <w:rsid w:val="3A0304DC"/>
    <w:rsid w:val="3A150EB8"/>
    <w:rsid w:val="3A354EA9"/>
    <w:rsid w:val="3A5DE1F7"/>
    <w:rsid w:val="3AF52407"/>
    <w:rsid w:val="3B0859CC"/>
    <w:rsid w:val="3B24C786"/>
    <w:rsid w:val="3B2735A0"/>
    <w:rsid w:val="3B5682EC"/>
    <w:rsid w:val="3B9FF8F6"/>
    <w:rsid w:val="3C005F9B"/>
    <w:rsid w:val="3C4985C2"/>
    <w:rsid w:val="3C9B0DFA"/>
    <w:rsid w:val="3CD0D515"/>
    <w:rsid w:val="3D3647DB"/>
    <w:rsid w:val="3DB5CC11"/>
    <w:rsid w:val="3E87CA15"/>
    <w:rsid w:val="3EA14AAB"/>
    <w:rsid w:val="3EB96570"/>
    <w:rsid w:val="3EC5573E"/>
    <w:rsid w:val="3F285D93"/>
    <w:rsid w:val="3F60FB55"/>
    <w:rsid w:val="3F645D8E"/>
    <w:rsid w:val="3FD756F7"/>
    <w:rsid w:val="40239A76"/>
    <w:rsid w:val="405B8D78"/>
    <w:rsid w:val="40AB4AE6"/>
    <w:rsid w:val="40D4E8A6"/>
    <w:rsid w:val="412BE031"/>
    <w:rsid w:val="41384D1B"/>
    <w:rsid w:val="41732758"/>
    <w:rsid w:val="4293964D"/>
    <w:rsid w:val="4294BB61"/>
    <w:rsid w:val="43D1B425"/>
    <w:rsid w:val="442BE145"/>
    <w:rsid w:val="44E43CD5"/>
    <w:rsid w:val="44EA5CD6"/>
    <w:rsid w:val="4529D92F"/>
    <w:rsid w:val="4540E5AE"/>
    <w:rsid w:val="454CA8B2"/>
    <w:rsid w:val="45DB60AF"/>
    <w:rsid w:val="45ECDEC8"/>
    <w:rsid w:val="45FA4A02"/>
    <w:rsid w:val="460B4789"/>
    <w:rsid w:val="460C7AEC"/>
    <w:rsid w:val="46558174"/>
    <w:rsid w:val="46E935F9"/>
    <w:rsid w:val="47029AC4"/>
    <w:rsid w:val="47A26443"/>
    <w:rsid w:val="47A84B4D"/>
    <w:rsid w:val="47C3D08F"/>
    <w:rsid w:val="47C9BE61"/>
    <w:rsid w:val="4848F6F5"/>
    <w:rsid w:val="4866FEB4"/>
    <w:rsid w:val="489D44A3"/>
    <w:rsid w:val="48B39AAC"/>
    <w:rsid w:val="4908073F"/>
    <w:rsid w:val="495FA0F0"/>
    <w:rsid w:val="49967B4A"/>
    <w:rsid w:val="49D673A5"/>
    <w:rsid w:val="4A01AAA8"/>
    <w:rsid w:val="4A1A558E"/>
    <w:rsid w:val="4A214706"/>
    <w:rsid w:val="4A2CEE2B"/>
    <w:rsid w:val="4ACDBB25"/>
    <w:rsid w:val="4AFEC02B"/>
    <w:rsid w:val="4B036538"/>
    <w:rsid w:val="4B0DD1A5"/>
    <w:rsid w:val="4B324BAB"/>
    <w:rsid w:val="4BA4AFA1"/>
    <w:rsid w:val="4BC6856A"/>
    <w:rsid w:val="4BF0C99C"/>
    <w:rsid w:val="4C3D3876"/>
    <w:rsid w:val="4C7E1955"/>
    <w:rsid w:val="4C997E1D"/>
    <w:rsid w:val="4CD49C60"/>
    <w:rsid w:val="4D45D412"/>
    <w:rsid w:val="4D464376"/>
    <w:rsid w:val="4D6C5B2C"/>
    <w:rsid w:val="4DA9B1BC"/>
    <w:rsid w:val="4DF8AF98"/>
    <w:rsid w:val="4E5B3B99"/>
    <w:rsid w:val="4EA47A4B"/>
    <w:rsid w:val="4EB42708"/>
    <w:rsid w:val="4F0DACA9"/>
    <w:rsid w:val="4F13F06D"/>
    <w:rsid w:val="4F557CA5"/>
    <w:rsid w:val="4F61FDC2"/>
    <w:rsid w:val="5024578C"/>
    <w:rsid w:val="503AC0F3"/>
    <w:rsid w:val="5149A412"/>
    <w:rsid w:val="519DFFD8"/>
    <w:rsid w:val="51E6E065"/>
    <w:rsid w:val="51FE0637"/>
    <w:rsid w:val="52184DB0"/>
    <w:rsid w:val="523B91B1"/>
    <w:rsid w:val="524156D5"/>
    <w:rsid w:val="527CA86C"/>
    <w:rsid w:val="528993DE"/>
    <w:rsid w:val="52A52B0A"/>
    <w:rsid w:val="5305DD6C"/>
    <w:rsid w:val="538CBC83"/>
    <w:rsid w:val="53D1974F"/>
    <w:rsid w:val="53F3D9C9"/>
    <w:rsid w:val="540D3179"/>
    <w:rsid w:val="546EBAA6"/>
    <w:rsid w:val="549FC5A0"/>
    <w:rsid w:val="54B5F8DD"/>
    <w:rsid w:val="5515CBF5"/>
    <w:rsid w:val="5524A4EF"/>
    <w:rsid w:val="55408AAE"/>
    <w:rsid w:val="55B5AD7D"/>
    <w:rsid w:val="573756DB"/>
    <w:rsid w:val="58413655"/>
    <w:rsid w:val="58740626"/>
    <w:rsid w:val="58876156"/>
    <w:rsid w:val="588BD1A1"/>
    <w:rsid w:val="58CC5556"/>
    <w:rsid w:val="58FFB196"/>
    <w:rsid w:val="5920AC02"/>
    <w:rsid w:val="599228A0"/>
    <w:rsid w:val="59B42D2A"/>
    <w:rsid w:val="5A16870F"/>
    <w:rsid w:val="5A40D8C3"/>
    <w:rsid w:val="5A9AD404"/>
    <w:rsid w:val="5ABC7C63"/>
    <w:rsid w:val="5ACE2FC3"/>
    <w:rsid w:val="5B43755B"/>
    <w:rsid w:val="5B5BCE9A"/>
    <w:rsid w:val="5B70B4A3"/>
    <w:rsid w:val="5BD7A1E2"/>
    <w:rsid w:val="5C0DED73"/>
    <w:rsid w:val="5C244C39"/>
    <w:rsid w:val="5C508016"/>
    <w:rsid w:val="5C8CA428"/>
    <w:rsid w:val="5C95E5B1"/>
    <w:rsid w:val="5CE9B237"/>
    <w:rsid w:val="5D74BC4F"/>
    <w:rsid w:val="5D8191AE"/>
    <w:rsid w:val="5D85F727"/>
    <w:rsid w:val="5DAF18B4"/>
    <w:rsid w:val="5DBF28FB"/>
    <w:rsid w:val="5DC46F2C"/>
    <w:rsid w:val="5DF41D25"/>
    <w:rsid w:val="5E2761E9"/>
    <w:rsid w:val="5E2D0517"/>
    <w:rsid w:val="5E68975E"/>
    <w:rsid w:val="5E858298"/>
    <w:rsid w:val="5EB5E9F6"/>
    <w:rsid w:val="5EBBCE66"/>
    <w:rsid w:val="5EF4B31F"/>
    <w:rsid w:val="5F0738E7"/>
    <w:rsid w:val="5F5AAACD"/>
    <w:rsid w:val="5FC4BD89"/>
    <w:rsid w:val="6019E5B3"/>
    <w:rsid w:val="602152F9"/>
    <w:rsid w:val="60BE01CE"/>
    <w:rsid w:val="61A27B89"/>
    <w:rsid w:val="61AAD637"/>
    <w:rsid w:val="61B1F09D"/>
    <w:rsid w:val="622BFED3"/>
    <w:rsid w:val="623397EE"/>
    <w:rsid w:val="62704374"/>
    <w:rsid w:val="629F0BE5"/>
    <w:rsid w:val="62E168CF"/>
    <w:rsid w:val="633E4BEA"/>
    <w:rsid w:val="63C25C16"/>
    <w:rsid w:val="6410981C"/>
    <w:rsid w:val="642150F3"/>
    <w:rsid w:val="642734C4"/>
    <w:rsid w:val="6491FF29"/>
    <w:rsid w:val="64F29CCB"/>
    <w:rsid w:val="64FE6E8C"/>
    <w:rsid w:val="652455E0"/>
    <w:rsid w:val="652B4777"/>
    <w:rsid w:val="654D7086"/>
    <w:rsid w:val="656C29FF"/>
    <w:rsid w:val="656F414C"/>
    <w:rsid w:val="65ABE5DE"/>
    <w:rsid w:val="65B1D385"/>
    <w:rsid w:val="65CD00BC"/>
    <w:rsid w:val="6648448A"/>
    <w:rsid w:val="6671050D"/>
    <w:rsid w:val="667CB5DA"/>
    <w:rsid w:val="668CC2BC"/>
    <w:rsid w:val="678B20F7"/>
    <w:rsid w:val="67A2A3CC"/>
    <w:rsid w:val="67C615B6"/>
    <w:rsid w:val="6845EB36"/>
    <w:rsid w:val="68660903"/>
    <w:rsid w:val="6926F158"/>
    <w:rsid w:val="6986260D"/>
    <w:rsid w:val="69B09693"/>
    <w:rsid w:val="69D2183B"/>
    <w:rsid w:val="6A4E9FD9"/>
    <w:rsid w:val="6A554843"/>
    <w:rsid w:val="6AB2840B"/>
    <w:rsid w:val="6AE1B27B"/>
    <w:rsid w:val="6B068539"/>
    <w:rsid w:val="6B1FAD6A"/>
    <w:rsid w:val="6B59F2C2"/>
    <w:rsid w:val="6B6350E8"/>
    <w:rsid w:val="6B73DD53"/>
    <w:rsid w:val="6B9910CC"/>
    <w:rsid w:val="6BA9DD31"/>
    <w:rsid w:val="6BAC6126"/>
    <w:rsid w:val="6BDC01F5"/>
    <w:rsid w:val="6C36CBA0"/>
    <w:rsid w:val="6CAAF1CE"/>
    <w:rsid w:val="6D03818C"/>
    <w:rsid w:val="6D2CA53E"/>
    <w:rsid w:val="6D33E3A5"/>
    <w:rsid w:val="6D542A27"/>
    <w:rsid w:val="6D836533"/>
    <w:rsid w:val="6D932CC9"/>
    <w:rsid w:val="6DC56DA6"/>
    <w:rsid w:val="6DDEF77E"/>
    <w:rsid w:val="6DEB73E7"/>
    <w:rsid w:val="6E5F643F"/>
    <w:rsid w:val="6ECFB406"/>
    <w:rsid w:val="6EDB2F84"/>
    <w:rsid w:val="6F63FD62"/>
    <w:rsid w:val="6F8F3DFA"/>
    <w:rsid w:val="6FB20B74"/>
    <w:rsid w:val="6FC59BC4"/>
    <w:rsid w:val="6FF93D1B"/>
    <w:rsid w:val="70C489C7"/>
    <w:rsid w:val="70FC4A71"/>
    <w:rsid w:val="7134E426"/>
    <w:rsid w:val="713B7411"/>
    <w:rsid w:val="715CC059"/>
    <w:rsid w:val="71B0B657"/>
    <w:rsid w:val="71E13AFA"/>
    <w:rsid w:val="72143AA5"/>
    <w:rsid w:val="7250D3AB"/>
    <w:rsid w:val="72981AD2"/>
    <w:rsid w:val="729CBB62"/>
    <w:rsid w:val="72BBD3BC"/>
    <w:rsid w:val="737F3BFD"/>
    <w:rsid w:val="73A1FA13"/>
    <w:rsid w:val="73D17FBA"/>
    <w:rsid w:val="73EFBBD3"/>
    <w:rsid w:val="740A8252"/>
    <w:rsid w:val="740B3AC5"/>
    <w:rsid w:val="74292B89"/>
    <w:rsid w:val="74F8A60F"/>
    <w:rsid w:val="750043DA"/>
    <w:rsid w:val="751B71D7"/>
    <w:rsid w:val="75455914"/>
    <w:rsid w:val="75946FB6"/>
    <w:rsid w:val="7597FAEA"/>
    <w:rsid w:val="759F9653"/>
    <w:rsid w:val="764244C3"/>
    <w:rsid w:val="766F4288"/>
    <w:rsid w:val="773C6C3D"/>
    <w:rsid w:val="77D35675"/>
    <w:rsid w:val="77E91391"/>
    <w:rsid w:val="78A56FF4"/>
    <w:rsid w:val="78BF028F"/>
    <w:rsid w:val="78C0FFFD"/>
    <w:rsid w:val="7974DFFB"/>
    <w:rsid w:val="79A22101"/>
    <w:rsid w:val="7A0BC81D"/>
    <w:rsid w:val="7A42C343"/>
    <w:rsid w:val="7A740CFF"/>
    <w:rsid w:val="7AC29E0F"/>
    <w:rsid w:val="7ADA5E13"/>
    <w:rsid w:val="7B56EE2F"/>
    <w:rsid w:val="7BFC9420"/>
    <w:rsid w:val="7CBCC0E9"/>
    <w:rsid w:val="7CEB5220"/>
    <w:rsid w:val="7CF1199D"/>
    <w:rsid w:val="7D50E106"/>
    <w:rsid w:val="7D62A958"/>
    <w:rsid w:val="7D705F2D"/>
    <w:rsid w:val="7D8DF70D"/>
    <w:rsid w:val="7DD8AC80"/>
    <w:rsid w:val="7EB54B74"/>
    <w:rsid w:val="7EF1AA7B"/>
    <w:rsid w:val="7F0C2F8E"/>
    <w:rsid w:val="7F13CAD0"/>
    <w:rsid w:val="7F1624C5"/>
    <w:rsid w:val="7F325B5C"/>
    <w:rsid w:val="7F37DEE2"/>
    <w:rsid w:val="7F626154"/>
    <w:rsid w:val="7F6B1164"/>
    <w:rsid w:val="7F7872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aliases w:val="CET Top_page"/>
    <w:rsid w:val="00620DEE"/>
    <w:pPr>
      <w:tabs>
        <w:tab w:val="right" w:pos="7100"/>
      </w:tabs>
      <w:spacing w:after="0" w:line="264" w:lineRule="auto"/>
      <w:jc w:val="both"/>
    </w:pPr>
    <w:rPr>
      <w:rFonts w:ascii="Arial" w:hAnsi="Arial" w:eastAsia="Times New Roman"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hAnsiTheme="majorHAnsi" w:eastAsiaTheme="majorEastAsia"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hAnsiTheme="majorHAnsi" w:eastAsiaTheme="majorEastAsia"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hAnsiTheme="majorHAnsi" w:eastAsiaTheme="majorEastAsia"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hAnsiTheme="majorHAnsi" w:eastAsiaTheme="majorEastAsia"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hAnsiTheme="majorHAnsi" w:eastAsiaTheme="majorEastAsia"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hAnsiTheme="majorHAnsi" w:eastAsiaTheme="majorEastAsia"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hAnsiTheme="majorHAnsi" w:eastAsiaTheme="majorEastAsia" w:cstheme="majorBidi"/>
      <w:i/>
      <w:iCs/>
      <w:color w:val="404040" w:themeColor="text1" w:themeTint="BF"/>
    </w:rPr>
  </w:style>
  <w:style w:type="character" w:styleId="a2" w:default="1">
    <w:name w:val="Default Paragraph Font"/>
    <w:uiPriority w:val="1"/>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CETAuthors" w:customStyle="1">
    <w:name w:val="CET Authors"/>
    <w:basedOn w:val="CETBodytext"/>
    <w:link w:val="CETAuthorsCarattere"/>
    <w:qFormat/>
    <w:rsid w:val="000E414A"/>
    <w:pPr>
      <w:keepNext/>
      <w:suppressAutoHyphens/>
      <w:spacing w:after="120"/>
    </w:pPr>
    <w:rPr>
      <w:noProof/>
      <w:sz w:val="24"/>
      <w:lang w:val="en-GB"/>
    </w:rPr>
  </w:style>
  <w:style w:type="paragraph" w:styleId="CETTitle" w:customStyle="1">
    <w:name w:val="CET Title"/>
    <w:next w:val="CETAuthors"/>
    <w:link w:val="CETTitleCarattere"/>
    <w:rsid w:val="00FB730C"/>
    <w:pPr>
      <w:suppressAutoHyphens/>
      <w:spacing w:before="480" w:after="120" w:line="264" w:lineRule="auto"/>
      <w:jc w:val="center"/>
      <w:outlineLvl w:val="0"/>
    </w:pPr>
    <w:rPr>
      <w:rFonts w:ascii="Arial" w:hAnsi="Arial" w:eastAsia="Times New Roman" w:cs="Times New Roman"/>
      <w:sz w:val="32"/>
      <w:szCs w:val="20"/>
      <w:lang w:val="en-GB"/>
    </w:rPr>
  </w:style>
  <w:style w:type="character" w:styleId="CETAuthorsCarattere" w:customStyle="1">
    <w:name w:val="CET Authors Carattere"/>
    <w:link w:val="CETAuthors"/>
    <w:rsid w:val="009E788A"/>
    <w:rPr>
      <w:rFonts w:ascii="Arial" w:hAnsi="Arial" w:eastAsia="Times New Roman" w:cs="Times New Roman"/>
      <w:noProof/>
      <w:sz w:val="24"/>
      <w:szCs w:val="20"/>
      <w:lang w:val="en-GB"/>
    </w:rPr>
  </w:style>
  <w:style w:type="character" w:styleId="CETTitleCarattere" w:customStyle="1">
    <w:name w:val="CET Title Carattere"/>
    <w:link w:val="CETTitle"/>
    <w:rsid w:val="00FB730C"/>
    <w:rPr>
      <w:rFonts w:ascii="Arial" w:hAnsi="Arial" w:eastAsia="Times New Roman" w:cs="Times New Roman"/>
      <w:sz w:val="32"/>
      <w:szCs w:val="20"/>
      <w:lang w:val="en-GB"/>
    </w:rPr>
  </w:style>
  <w:style w:type="paragraph" w:styleId="CETHeading1" w:customStyle="1">
    <w:name w:val="CET Heading1"/>
    <w:next w:val="CETBodytext"/>
    <w:qFormat/>
    <w:rsid w:val="009E788A"/>
    <w:pPr>
      <w:keepNext/>
      <w:numPr>
        <w:ilvl w:val="1"/>
        <w:numId w:val="2"/>
      </w:numPr>
      <w:tabs>
        <w:tab w:val="num" w:pos="360"/>
      </w:tabs>
      <w:suppressAutoHyphens/>
      <w:spacing w:before="240" w:after="120" w:line="240" w:lineRule="auto"/>
    </w:pPr>
    <w:rPr>
      <w:rFonts w:ascii="Arial" w:hAnsi="Arial" w:eastAsia="Times New Roman" w:cs="Times New Roman"/>
      <w:b/>
      <w:sz w:val="20"/>
      <w:szCs w:val="20"/>
      <w:lang w:val="en-US"/>
    </w:rPr>
  </w:style>
  <w:style w:type="paragraph" w:styleId="CETBodytext" w:customStyle="1">
    <w:name w:val="CET Body text"/>
    <w:link w:val="CETBodytextCarattere"/>
    <w:qFormat/>
    <w:rsid w:val="000E414A"/>
    <w:pPr>
      <w:tabs>
        <w:tab w:val="right" w:pos="7100"/>
      </w:tabs>
      <w:spacing w:after="0" w:line="264" w:lineRule="auto"/>
      <w:jc w:val="both"/>
    </w:pPr>
    <w:rPr>
      <w:rFonts w:ascii="Arial" w:hAnsi="Arial" w:eastAsia="Times New Roman" w:cs="Times New Roman"/>
      <w:sz w:val="18"/>
      <w:szCs w:val="20"/>
      <w:lang w:val="en-US"/>
    </w:rPr>
  </w:style>
  <w:style w:type="paragraph" w:styleId="CETheadingx" w:customStyle="1">
    <w:name w:val="CET headingx"/>
    <w:next w:val="CETBodytext"/>
    <w:link w:val="CETheadingxCarattere"/>
    <w:autoRedefine/>
    <w:qFormat/>
    <w:rsid w:val="00FA5F5F"/>
    <w:pPr>
      <w:keepNext/>
      <w:numPr>
        <w:ilvl w:val="2"/>
        <w:numId w:val="2"/>
      </w:numPr>
      <w:suppressAutoHyphens/>
      <w:spacing w:before="120" w:after="120" w:line="240" w:lineRule="auto"/>
    </w:pPr>
    <w:rPr>
      <w:rFonts w:ascii="Arial" w:hAnsi="Arial" w:eastAsia="Times New Roman" w:cs="Times New Roman"/>
      <w:b/>
      <w:sz w:val="18"/>
      <w:szCs w:val="20"/>
      <w:lang w:val="en-US"/>
    </w:rPr>
  </w:style>
  <w:style w:type="paragraph" w:styleId="CETAddress" w:customStyle="1">
    <w:name w:val="CET Address"/>
    <w:link w:val="CETAddressCarattere"/>
    <w:qFormat/>
    <w:rsid w:val="009E788A"/>
    <w:pPr>
      <w:keepNext/>
      <w:suppressAutoHyphens/>
      <w:spacing w:after="0"/>
      <w:contextualSpacing/>
    </w:pPr>
    <w:rPr>
      <w:rFonts w:ascii="Arial" w:hAnsi="Arial" w:eastAsia="Times New Roman" w:cs="Times New Roman"/>
      <w:noProof/>
      <w:sz w:val="16"/>
      <w:szCs w:val="20"/>
      <w:lang w:val="en-GB"/>
    </w:rPr>
  </w:style>
  <w:style w:type="table" w:styleId="1">
    <w:name w:val="Table Simple 1"/>
    <w:basedOn w:val="a3"/>
    <w:semiHidden/>
    <w:rsid w:val="000E414A"/>
    <w:pPr>
      <w:numPr>
        <w:ilvl w:val="3"/>
        <w:numId w:val="2"/>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character" w:styleId="CETBodytextCarattere" w:customStyle="1">
    <w:name w:val="CET Body text Carattere"/>
    <w:link w:val="CETBodytext"/>
    <w:rsid w:val="000E414A"/>
    <w:rPr>
      <w:rFonts w:ascii="Arial" w:hAnsi="Arial" w:eastAsia="Times New Roman" w:cs="Times New Roman"/>
      <w:sz w:val="18"/>
      <w:szCs w:val="20"/>
      <w:lang w:val="en-US"/>
    </w:rPr>
  </w:style>
  <w:style w:type="paragraph" w:styleId="CETReference" w:customStyle="1">
    <w:name w:val="CET Reference"/>
    <w:qFormat/>
    <w:rsid w:val="00FC2695"/>
    <w:pPr>
      <w:spacing w:before="200" w:after="120" w:line="240" w:lineRule="auto"/>
    </w:pPr>
    <w:rPr>
      <w:rFonts w:ascii="Arial" w:hAnsi="Arial" w:eastAsia="Times New Roman" w:cs="Times New Roman"/>
      <w:b/>
      <w:sz w:val="18"/>
      <w:szCs w:val="20"/>
      <w:lang w:val="en-GB"/>
    </w:rPr>
  </w:style>
  <w:style w:type="paragraph" w:styleId="CETCaption" w:customStyle="1">
    <w:name w:val="CET Caption"/>
    <w:link w:val="CETCaptionCarattere"/>
    <w:qFormat/>
    <w:rsid w:val="00F7534E"/>
    <w:pPr>
      <w:spacing w:before="240" w:after="240" w:line="264" w:lineRule="auto"/>
      <w:jc w:val="both"/>
    </w:pPr>
    <w:rPr>
      <w:rFonts w:ascii="Arial" w:hAnsi="Arial" w:eastAsia="Times New Roman" w:cs="Times New Roman"/>
      <w:i/>
      <w:sz w:val="18"/>
      <w:szCs w:val="20"/>
      <w:lang w:val="en-GB"/>
    </w:rPr>
  </w:style>
  <w:style w:type="character" w:styleId="CETheadingxCarattere" w:customStyle="1">
    <w:name w:val="CET headingx Carattere"/>
    <w:link w:val="CETheadingx"/>
    <w:rsid w:val="00FA5F5F"/>
    <w:rPr>
      <w:rFonts w:ascii="Arial" w:hAnsi="Arial" w:eastAsia="Times New Roman" w:cs="Times New Roman"/>
      <w:b/>
      <w:sz w:val="18"/>
      <w:szCs w:val="20"/>
      <w:lang w:val="en-US"/>
    </w:rPr>
  </w:style>
  <w:style w:type="character" w:styleId="CETCaptionCarattere" w:customStyle="1">
    <w:name w:val="CET Caption Carattere"/>
    <w:link w:val="CETCaption"/>
    <w:rsid w:val="00F7534E"/>
    <w:rPr>
      <w:rFonts w:ascii="Arial" w:hAnsi="Arial" w:eastAsia="Times New Roman" w:cs="Times New Roman"/>
      <w:i/>
      <w:sz w:val="18"/>
      <w:szCs w:val="20"/>
      <w:lang w:val="en-GB"/>
    </w:rPr>
  </w:style>
  <w:style w:type="paragraph" w:styleId="CETBodytextItalic" w:customStyle="1">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styleId="a7" w:customStyle="1">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styleId="24" w:customStyle="1">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styleId="34" w:customStyle="1">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styleId="aa" w:customStyle="1">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styleId="ac" w:customStyle="1">
    <w:name w:val="日期 字符"/>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styleId="af1" w:customStyle="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styleId="af3" w:customStyle="1">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styleId="af5" w:customStyle="1">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styleId="af7" w:customStyle="1">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styleId="HTML0" w:customStyle="1">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hAnsiTheme="majorHAnsi" w:eastAsiaTheme="majorEastAsia" w:cstheme="majorBidi"/>
    </w:rPr>
  </w:style>
  <w:style w:type="paragraph" w:styleId="afc">
    <w:name w:val="Message Header"/>
    <w:basedOn w:val="a1"/>
    <w:link w:val="afd"/>
    <w:uiPriority w:val="99"/>
    <w:semiHidden/>
    <w:unhideWhenUsed/>
    <w:rsid w:val="0003148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afd" w:customStyle="1">
    <w:name w:val="信息标题 字符"/>
    <w:basedOn w:val="a2"/>
    <w:link w:val="afc"/>
    <w:uiPriority w:val="99"/>
    <w:semiHidden/>
    <w:rsid w:val="0003148D"/>
    <w:rPr>
      <w:rFonts w:asciiTheme="majorHAnsi" w:hAnsiTheme="majorHAnsi" w:eastAsiaTheme="majorEastAsia"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styleId="aff" w:customStyle="1">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styleId="aff1" w:customStyle="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3"/>
      </w:numPr>
      <w:contextualSpacing/>
    </w:pPr>
  </w:style>
  <w:style w:type="paragraph" w:styleId="2">
    <w:name w:val="List Number 2"/>
    <w:basedOn w:val="a1"/>
    <w:uiPriority w:val="99"/>
    <w:semiHidden/>
    <w:unhideWhenUsed/>
    <w:rsid w:val="0003148D"/>
    <w:pPr>
      <w:numPr>
        <w:numId w:val="4"/>
      </w:numPr>
      <w:contextualSpacing/>
    </w:pPr>
  </w:style>
  <w:style w:type="paragraph" w:styleId="3">
    <w:name w:val="List Number 3"/>
    <w:basedOn w:val="a1"/>
    <w:uiPriority w:val="99"/>
    <w:semiHidden/>
    <w:unhideWhenUsed/>
    <w:rsid w:val="0003148D"/>
    <w:pPr>
      <w:numPr>
        <w:numId w:val="5"/>
      </w:numPr>
      <w:contextualSpacing/>
    </w:pPr>
  </w:style>
  <w:style w:type="paragraph" w:styleId="4">
    <w:name w:val="List Number 4"/>
    <w:basedOn w:val="a1"/>
    <w:uiPriority w:val="99"/>
    <w:semiHidden/>
    <w:unhideWhenUsed/>
    <w:rsid w:val="0003148D"/>
    <w:pPr>
      <w:numPr>
        <w:numId w:val="6"/>
      </w:numPr>
      <w:contextualSpacing/>
    </w:pPr>
  </w:style>
  <w:style w:type="paragraph" w:styleId="5">
    <w:name w:val="List Number 5"/>
    <w:basedOn w:val="a1"/>
    <w:uiPriority w:val="99"/>
    <w:semiHidden/>
    <w:unhideWhenUsed/>
    <w:rsid w:val="0003148D"/>
    <w:pPr>
      <w:numPr>
        <w:numId w:val="7"/>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styleId="HTML2" w:customStyle="1">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styleId="aff4" w:customStyle="1">
    <w:name w:val="正文文本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styleId="aff6" w:customStyle="1">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styleId="29" w:customStyle="1">
    <w:name w:val="正文文本首行缩进 2 字符"/>
    <w:basedOn w:val="aff6"/>
    <w:link w:val="28"/>
    <w:uiPriority w:val="99"/>
    <w:semiHidden/>
    <w:rsid w:val="0003148D"/>
  </w:style>
  <w:style w:type="paragraph" w:styleId="a0">
    <w:name w:val="List Bullet"/>
    <w:basedOn w:val="a1"/>
    <w:uiPriority w:val="99"/>
    <w:semiHidden/>
    <w:unhideWhenUsed/>
    <w:rsid w:val="0003148D"/>
    <w:pPr>
      <w:numPr>
        <w:numId w:val="8"/>
      </w:numPr>
      <w:contextualSpacing/>
    </w:pPr>
  </w:style>
  <w:style w:type="paragraph" w:styleId="20">
    <w:name w:val="List Bullet 2"/>
    <w:basedOn w:val="a1"/>
    <w:uiPriority w:val="99"/>
    <w:semiHidden/>
    <w:unhideWhenUsed/>
    <w:rsid w:val="0003148D"/>
    <w:pPr>
      <w:numPr>
        <w:numId w:val="9"/>
      </w:numPr>
      <w:contextualSpacing/>
    </w:pPr>
  </w:style>
  <w:style w:type="paragraph" w:styleId="30">
    <w:name w:val="List Bullet 3"/>
    <w:basedOn w:val="a1"/>
    <w:uiPriority w:val="99"/>
    <w:semiHidden/>
    <w:unhideWhenUsed/>
    <w:rsid w:val="0003148D"/>
    <w:pPr>
      <w:numPr>
        <w:numId w:val="10"/>
      </w:numPr>
      <w:contextualSpacing/>
    </w:pPr>
  </w:style>
  <w:style w:type="paragraph" w:styleId="40">
    <w:name w:val="List Bullet 4"/>
    <w:basedOn w:val="a1"/>
    <w:uiPriority w:val="99"/>
    <w:semiHidden/>
    <w:unhideWhenUsed/>
    <w:rsid w:val="0003148D"/>
    <w:pPr>
      <w:numPr>
        <w:numId w:val="11"/>
      </w:numPr>
      <w:contextualSpacing/>
    </w:pPr>
  </w:style>
  <w:style w:type="paragraph" w:styleId="50">
    <w:name w:val="List Bullet 5"/>
    <w:basedOn w:val="a1"/>
    <w:uiPriority w:val="99"/>
    <w:semiHidden/>
    <w:unhideWhenUsed/>
    <w:rsid w:val="0003148D"/>
    <w:pPr>
      <w:numPr>
        <w:numId w:val="12"/>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styleId="2b" w:customStyle="1">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styleId="39" w:customStyle="1">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styleId="aff9" w:customStyle="1">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styleId="affb" w:customStyle="1">
    <w:name w:val="批注主题 字符"/>
    <w:basedOn w:val="aff9"/>
    <w:link w:val="affa"/>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affe" w:customStyle="1">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styleId="afff0" w:customStyle="1">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styleId="afff2" w:customStyle="1">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styleId="afff4" w:customStyle="1">
    <w:name w:val="尾注文本 字符"/>
    <w:basedOn w:val="a2"/>
    <w:link w:val="afff3"/>
    <w:uiPriority w:val="99"/>
    <w:semiHidden/>
    <w:rsid w:val="0003148D"/>
    <w:rPr>
      <w:sz w:val="20"/>
      <w:szCs w:val="20"/>
    </w:rPr>
  </w:style>
  <w:style w:type="character" w:styleId="11" w:customStyle="1">
    <w:name w:val="标题 1 字符"/>
    <w:basedOn w:val="a2"/>
    <w:link w:val="10"/>
    <w:uiPriority w:val="9"/>
    <w:rsid w:val="004F5E36"/>
    <w:rPr>
      <w:rFonts w:ascii="Arial" w:hAnsi="Arial" w:eastAsia="Times New Roman" w:cs="Times New Roman"/>
      <w:b/>
      <w:sz w:val="20"/>
      <w:szCs w:val="20"/>
      <w:lang w:val="en-GB"/>
    </w:rPr>
  </w:style>
  <w:style w:type="character" w:styleId="22" w:customStyle="1">
    <w:name w:val="标题 2 字符"/>
    <w:basedOn w:val="a2"/>
    <w:link w:val="21"/>
    <w:uiPriority w:val="9"/>
    <w:semiHidden/>
    <w:rsid w:val="0003148D"/>
    <w:rPr>
      <w:rFonts w:asciiTheme="majorHAnsi" w:hAnsiTheme="majorHAnsi" w:eastAsiaTheme="majorEastAsia" w:cstheme="majorBidi"/>
      <w:b/>
      <w:bCs/>
      <w:color w:val="4F81BD" w:themeColor="accent1"/>
      <w:sz w:val="26"/>
      <w:szCs w:val="26"/>
    </w:rPr>
  </w:style>
  <w:style w:type="character" w:styleId="32" w:customStyle="1">
    <w:name w:val="标题 3 字符"/>
    <w:basedOn w:val="a2"/>
    <w:link w:val="31"/>
    <w:uiPriority w:val="9"/>
    <w:semiHidden/>
    <w:rsid w:val="0003148D"/>
    <w:rPr>
      <w:rFonts w:asciiTheme="majorHAnsi" w:hAnsiTheme="majorHAnsi" w:eastAsiaTheme="majorEastAsia" w:cstheme="majorBidi"/>
      <w:b/>
      <w:bCs/>
      <w:color w:val="4F81BD" w:themeColor="accent1"/>
    </w:rPr>
  </w:style>
  <w:style w:type="character" w:styleId="42" w:customStyle="1">
    <w:name w:val="标题 4 字符"/>
    <w:basedOn w:val="a2"/>
    <w:link w:val="41"/>
    <w:uiPriority w:val="9"/>
    <w:semiHidden/>
    <w:rsid w:val="0003148D"/>
    <w:rPr>
      <w:rFonts w:asciiTheme="majorHAnsi" w:hAnsiTheme="majorHAnsi" w:eastAsiaTheme="majorEastAsia" w:cstheme="majorBidi"/>
      <w:b/>
      <w:bCs/>
      <w:i/>
      <w:iCs/>
      <w:color w:val="4F81BD" w:themeColor="accent1"/>
    </w:rPr>
  </w:style>
  <w:style w:type="character" w:styleId="52" w:customStyle="1">
    <w:name w:val="标题 5 字符"/>
    <w:basedOn w:val="a2"/>
    <w:link w:val="51"/>
    <w:uiPriority w:val="9"/>
    <w:semiHidden/>
    <w:rsid w:val="0003148D"/>
    <w:rPr>
      <w:rFonts w:asciiTheme="majorHAnsi" w:hAnsiTheme="majorHAnsi" w:eastAsiaTheme="majorEastAsia" w:cstheme="majorBidi"/>
      <w:color w:val="243F60" w:themeColor="accent1" w:themeShade="7F"/>
    </w:rPr>
  </w:style>
  <w:style w:type="character" w:styleId="60" w:customStyle="1">
    <w:name w:val="标题 6 字符"/>
    <w:basedOn w:val="a2"/>
    <w:link w:val="6"/>
    <w:uiPriority w:val="9"/>
    <w:semiHidden/>
    <w:rsid w:val="0003148D"/>
    <w:rPr>
      <w:rFonts w:asciiTheme="majorHAnsi" w:hAnsiTheme="majorHAnsi" w:eastAsiaTheme="majorEastAsia" w:cstheme="majorBidi"/>
      <w:i/>
      <w:iCs/>
      <w:color w:val="243F60" w:themeColor="accent1" w:themeShade="7F"/>
    </w:rPr>
  </w:style>
  <w:style w:type="character" w:styleId="70" w:customStyle="1">
    <w:name w:val="标题 7 字符"/>
    <w:basedOn w:val="a2"/>
    <w:link w:val="7"/>
    <w:uiPriority w:val="9"/>
    <w:semiHidden/>
    <w:rsid w:val="0003148D"/>
    <w:rPr>
      <w:rFonts w:asciiTheme="majorHAnsi" w:hAnsiTheme="majorHAnsi" w:eastAsiaTheme="majorEastAsia" w:cstheme="majorBidi"/>
      <w:i/>
      <w:iCs/>
      <w:color w:val="404040" w:themeColor="text1" w:themeTint="BF"/>
    </w:rPr>
  </w:style>
  <w:style w:type="character" w:styleId="80" w:customStyle="1">
    <w:name w:val="标题 8 字符"/>
    <w:basedOn w:val="a2"/>
    <w:link w:val="8"/>
    <w:uiPriority w:val="9"/>
    <w:semiHidden/>
    <w:rsid w:val="0003148D"/>
    <w:rPr>
      <w:rFonts w:asciiTheme="majorHAnsi" w:hAnsiTheme="majorHAnsi" w:eastAsiaTheme="majorEastAsia" w:cstheme="majorBidi"/>
      <w:color w:val="404040" w:themeColor="text1" w:themeTint="BF"/>
      <w:sz w:val="20"/>
      <w:szCs w:val="20"/>
    </w:rPr>
  </w:style>
  <w:style w:type="character" w:styleId="90" w:customStyle="1">
    <w:name w:val="标题 9 字符"/>
    <w:basedOn w:val="a2"/>
    <w:link w:val="9"/>
    <w:uiPriority w:val="9"/>
    <w:semiHidden/>
    <w:rsid w:val="0003148D"/>
    <w:rPr>
      <w:rFonts w:asciiTheme="majorHAnsi" w:hAnsiTheme="majorHAnsi" w:eastAsiaTheme="majorEastAsia"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hAnsiTheme="majorHAnsi" w:eastAsiaTheme="majorEastAsia" w:cstheme="majorBidi"/>
      <w:b/>
      <w:bCs/>
    </w:rPr>
  </w:style>
  <w:style w:type="paragraph" w:styleId="afff6">
    <w:name w:val="toa heading"/>
    <w:basedOn w:val="a1"/>
    <w:next w:val="a1"/>
    <w:uiPriority w:val="99"/>
    <w:semiHidden/>
    <w:unhideWhenUsed/>
    <w:rsid w:val="0003148D"/>
    <w:pPr>
      <w:spacing w:before="120"/>
    </w:pPr>
    <w:rPr>
      <w:rFonts w:asciiTheme="majorHAnsi" w:hAnsiTheme="majorHAnsi" w:eastAsiaTheme="majorEastAsia"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styleId="CETemail" w:customStyle="1">
    <w:name w:val="CET email"/>
    <w:next w:val="CETBodytext"/>
    <w:rsid w:val="009E788A"/>
    <w:pPr>
      <w:spacing w:after="240"/>
    </w:pPr>
    <w:rPr>
      <w:rFonts w:ascii="Arial" w:hAnsi="Arial" w:eastAsia="Times New Roman" w:cs="Times New Roman"/>
      <w:noProof/>
      <w:sz w:val="16"/>
      <w:szCs w:val="20"/>
      <w:lang w:val="en-GB"/>
    </w:rPr>
  </w:style>
  <w:style w:type="character" w:styleId="CETAddressCarattere" w:customStyle="1">
    <w:name w:val="CET Address Carattere"/>
    <w:basedOn w:val="a2"/>
    <w:link w:val="CETAddress"/>
    <w:rsid w:val="009E788A"/>
    <w:rPr>
      <w:rFonts w:ascii="Arial" w:hAnsi="Arial" w:eastAsia="Times New Roman" w:cs="Times New Roman"/>
      <w:noProof/>
      <w:sz w:val="16"/>
      <w:szCs w:val="20"/>
      <w:lang w:val="en-GB"/>
    </w:rPr>
  </w:style>
  <w:style w:type="paragraph" w:styleId="CETBodytextBold" w:customStyle="1">
    <w:name w:val="CET Body text (Bold)"/>
    <w:basedOn w:val="CETBodytext"/>
    <w:rsid w:val="00901EB6"/>
    <w:rPr>
      <w:b/>
    </w:rPr>
  </w:style>
  <w:style w:type="paragraph" w:styleId="CETnumberingbullets" w:customStyle="1">
    <w:name w:val="CET numbering (bullets)"/>
    <w:rsid w:val="008D433B"/>
    <w:pPr>
      <w:numPr>
        <w:numId w:val="14"/>
      </w:numPr>
      <w:spacing w:after="0" w:line="264" w:lineRule="auto"/>
    </w:pPr>
    <w:rPr>
      <w:rFonts w:ascii="Arial" w:hAnsi="Arial" w:eastAsia="Times New Roman" w:cs="Times New Roman"/>
      <w:sz w:val="18"/>
      <w:szCs w:val="20"/>
      <w:lang w:val="en-GB"/>
    </w:rPr>
  </w:style>
  <w:style w:type="paragraph" w:styleId="CETnumbering1" w:customStyle="1">
    <w:name w:val="CET numbering (1"/>
    <w:aliases w:val="2..)"/>
    <w:rsid w:val="00B57B36"/>
    <w:pPr>
      <w:numPr>
        <w:numId w:val="15"/>
      </w:numPr>
      <w:spacing w:after="0" w:line="264" w:lineRule="auto"/>
      <w:ind w:left="340" w:hanging="227"/>
    </w:pPr>
    <w:rPr>
      <w:rFonts w:ascii="Arial" w:hAnsi="Arial" w:eastAsia="Times New Roman" w:cs="Times New Roman"/>
      <w:sz w:val="18"/>
      <w:szCs w:val="20"/>
      <w:lang w:val="en-US"/>
    </w:rPr>
  </w:style>
  <w:style w:type="paragraph" w:styleId="CETnumberinga" w:customStyle="1">
    <w:name w:val="CET numbering (a"/>
    <w:aliases w:val="b,..)"/>
    <w:rsid w:val="00B57B36"/>
    <w:pPr>
      <w:numPr>
        <w:numId w:val="16"/>
      </w:numPr>
      <w:spacing w:after="0" w:line="264" w:lineRule="auto"/>
    </w:pPr>
    <w:rPr>
      <w:rFonts w:ascii="Arial" w:hAnsi="Arial" w:eastAsia="Times New Roman"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styleId="afff8" w:customStyle="1">
    <w:name w:val="页眉 字符"/>
    <w:basedOn w:val="a2"/>
    <w:link w:val="afff7"/>
    <w:uiPriority w:val="99"/>
    <w:rsid w:val="005278B7"/>
    <w:rPr>
      <w:rFonts w:ascii="Arial" w:hAnsi="Arial" w:eastAsia="Times New Roman"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styleId="afffa" w:customStyle="1">
    <w:name w:val="页脚 字符"/>
    <w:basedOn w:val="a2"/>
    <w:link w:val="afff9"/>
    <w:uiPriority w:val="99"/>
    <w:rsid w:val="005278B7"/>
    <w:rPr>
      <w:rFonts w:ascii="Arial" w:hAnsi="Arial" w:eastAsia="Times New Roman" w:cs="Times New Roman"/>
      <w:sz w:val="18"/>
      <w:szCs w:val="20"/>
      <w:lang w:val="en-GB"/>
    </w:rPr>
  </w:style>
  <w:style w:type="table" w:styleId="afffb">
    <w:name w:val="Table Grid"/>
    <w:basedOn w:val="a3"/>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fc">
    <w:name w:val="Hyperlink"/>
    <w:basedOn w:val="a2"/>
    <w:uiPriority w:val="99"/>
    <w:unhideWhenUsed/>
    <w:rsid w:val="00904C62"/>
    <w:rPr>
      <w:color w:val="0000FF" w:themeColor="hyperlink"/>
      <w:u w:val="single"/>
    </w:rPr>
  </w:style>
  <w:style w:type="character" w:styleId="eudoraheader" w:customStyle="1">
    <w:name w:val="eudoraheader"/>
    <w:basedOn w:val="a2"/>
    <w:rsid w:val="00904C62"/>
  </w:style>
  <w:style w:type="paragraph" w:styleId="CETListbullets" w:customStyle="1">
    <w:name w:val="CET List bullets"/>
    <w:qFormat/>
    <w:rsid w:val="004577FE"/>
    <w:pPr>
      <w:spacing w:after="0" w:line="264" w:lineRule="auto"/>
      <w:ind w:left="340" w:hanging="227"/>
      <w:jc w:val="both"/>
    </w:pPr>
    <w:rPr>
      <w:rFonts w:ascii="Arial" w:hAnsi="Arial" w:eastAsia="Times New Roman" w:cs="Times New Roman"/>
      <w:sz w:val="18"/>
      <w:szCs w:val="20"/>
      <w:lang w:val="en-GB"/>
    </w:rPr>
  </w:style>
  <w:style w:type="paragraph" w:styleId="CETReferencetext" w:customStyle="1">
    <w:name w:val="CET Reference text"/>
    <w:qFormat/>
    <w:rsid w:val="00600535"/>
    <w:pPr>
      <w:spacing w:after="0" w:line="264" w:lineRule="auto"/>
      <w:ind w:left="284" w:hanging="284"/>
      <w:jc w:val="both"/>
    </w:pPr>
    <w:rPr>
      <w:rFonts w:ascii="Arial" w:hAnsi="Arial" w:eastAsia="Times New Roman" w:cs="Times New Roman"/>
      <w:sz w:val="18"/>
      <w:szCs w:val="20"/>
      <w:lang w:val="en-GB"/>
    </w:rPr>
  </w:style>
  <w:style w:type="paragraph" w:styleId="CETTabletitle" w:customStyle="1">
    <w:name w:val="CET Table title"/>
    <w:qFormat/>
    <w:rsid w:val="00600535"/>
    <w:pPr>
      <w:keepNext/>
      <w:spacing w:before="240" w:after="80" w:line="240" w:lineRule="exact"/>
    </w:pPr>
    <w:rPr>
      <w:rFonts w:ascii="Arial" w:hAnsi="Arial" w:eastAsia="Times New Roman" w:cs="Times New Roman"/>
      <w:i/>
      <w:sz w:val="18"/>
      <w:szCs w:val="20"/>
      <w:lang w:val="en-GB"/>
    </w:rPr>
  </w:style>
  <w:style w:type="paragraph" w:styleId="CETAcknowledgementstitle" w:customStyle="1">
    <w:name w:val="CET Acknowledgements title"/>
    <w:next w:val="CETBodytext"/>
    <w:qFormat/>
    <w:rsid w:val="00600535"/>
    <w:pPr>
      <w:spacing w:before="200" w:after="120"/>
    </w:pPr>
    <w:rPr>
      <w:rFonts w:ascii="Arial" w:hAnsi="Arial" w:eastAsia="Times New Roman" w:cs="Times New Roman"/>
      <w:b/>
      <w:sz w:val="18"/>
      <w:szCs w:val="20"/>
      <w:lang w:val="en-GB"/>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numPr>
        <w:ilvl w:val="0"/>
        <w:numId w:val="0"/>
      </w:numPr>
    </w:pPr>
  </w:style>
  <w:style w:type="character" w:styleId="CETHeadingxxChar" w:customStyle="1">
    <w:name w:val="CET Headingxx Char"/>
    <w:basedOn w:val="CETheadingxCarattere"/>
    <w:link w:val="CETHeadingxx"/>
    <w:rsid w:val="000F787B"/>
    <w:rPr>
      <w:rFonts w:ascii="Arial" w:hAnsi="Arial" w:eastAsia="Times New Roman" w:cs="Times New Roman"/>
      <w:b/>
      <w:sz w:val="18"/>
      <w:szCs w:val="20"/>
      <w:lang w:val="en-US"/>
    </w:rPr>
  </w:style>
  <w:style w:type="paragraph" w:styleId="afffd">
    <w:name w:val="List Paragraph"/>
    <w:basedOn w:val="a1"/>
    <w:uiPriority w:val="34"/>
    <w:rsid w:val="00280FAF"/>
    <w:pPr>
      <w:ind w:left="720"/>
      <w:contextualSpacing/>
    </w:pPr>
  </w:style>
  <w:style w:type="paragraph" w:styleId="Els-body-text" w:customStyle="1">
    <w:name w:val="Els-body-text"/>
    <w:basedOn w:val="a1"/>
    <w:uiPriority w:val="1"/>
    <w:rsid w:val="3F60FB55"/>
    <w:pPr>
      <w:spacing w:line="240" w:lineRule="exact"/>
      <w:ind w:firstLine="238"/>
    </w:pPr>
    <w:rPr>
      <w:lang w:val="en-US"/>
    </w:rPr>
  </w:style>
  <w:style w:type="paragraph" w:styleId="afffe">
    <w:name w:val="Revision"/>
    <w:hidden/>
    <w:uiPriority w:val="99"/>
    <w:semiHidden/>
    <w:rsid w:val="00A3623B"/>
    <w:pPr>
      <w:spacing w:after="0" w:line="240" w:lineRule="auto"/>
    </w:pPr>
    <w:rPr>
      <w:rFonts w:ascii="Arial" w:hAnsi="Arial" w:eastAsia="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16/09/relationships/commentsIds" Target="commentsIds.xml" Id="rId13"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22" /><Relationship Type="http://schemas.microsoft.com/office/2020/10/relationships/intelligence" Target="intelligence2.xml" Id="R36edbaf9e0c24a43" /><Relationship Type="http://schemas.openxmlformats.org/officeDocument/2006/relationships/header" Target="header.xml" Id="R2323b451adac4566" /><Relationship Type="http://schemas.openxmlformats.org/officeDocument/2006/relationships/header" Target="header2.xml" Id="Rbf333b6f9bd14651" /><Relationship Type="http://schemas.openxmlformats.org/officeDocument/2006/relationships/footer" Target="footer.xml" Id="R0b5e6a308f8b4468" /><Relationship Type="http://schemas.openxmlformats.org/officeDocument/2006/relationships/footer" Target="footer2.xml" Id="R20fb73b2b48a405f" /><Relationship Type="http://schemas.openxmlformats.org/officeDocument/2006/relationships/header" Target="header3.xml" Id="Rc4cde7138ba14e45" /><Relationship Type="http://schemas.openxmlformats.org/officeDocument/2006/relationships/header" Target="header4.xml" Id="Redfc01d22a87496f" /><Relationship Type="http://schemas.openxmlformats.org/officeDocument/2006/relationships/footer" Target="footer3.xml" Id="R20c351d14a624500" /><Relationship Type="http://schemas.openxmlformats.org/officeDocument/2006/relationships/footer" Target="footer4.xml" Id="Rf4de4199ff764082" /><Relationship Type="http://schemas.openxmlformats.org/officeDocument/2006/relationships/header" Target="header5.xml" Id="R19defe8449534fa8" /><Relationship Type="http://schemas.openxmlformats.org/officeDocument/2006/relationships/header" Target="header6.xml" Id="R450fb1856df94f25" /><Relationship Type="http://schemas.openxmlformats.org/officeDocument/2006/relationships/footer" Target="footer5.xml" Id="R28a68e42d78e41a1" /><Relationship Type="http://schemas.openxmlformats.org/officeDocument/2006/relationships/footer" Target="footer6.xml" Id="R21b48616f270499c" /><Relationship Type="http://schemas.openxmlformats.org/officeDocument/2006/relationships/header" Target="header7.xml" Id="R0155d90798bb4fd0" /><Relationship Type="http://schemas.openxmlformats.org/officeDocument/2006/relationships/header" Target="header8.xml" Id="R3f2aecde9e8b40a9" /><Relationship Type="http://schemas.openxmlformats.org/officeDocument/2006/relationships/footer" Target="footer7.xml" Id="Rde4496851a6c482a" /><Relationship Type="http://schemas.openxmlformats.org/officeDocument/2006/relationships/footer" Target="footer8.xml" Id="R3e443bb371f44b6b" /><Relationship Type="http://schemas.openxmlformats.org/officeDocument/2006/relationships/header" Target="header9.xml" Id="Rb2a63efb0e25455d" /><Relationship Type="http://schemas.openxmlformats.org/officeDocument/2006/relationships/header" Target="headera.xml" Id="R41fbef854d6948fc" /><Relationship Type="http://schemas.openxmlformats.org/officeDocument/2006/relationships/footer" Target="footer9.xml" Id="Rf2c5502459834a87" /><Relationship Type="http://schemas.openxmlformats.org/officeDocument/2006/relationships/footer" Target="footera.xml" Id="Ra545a3234a634157" /><Relationship Type="http://schemas.openxmlformats.org/officeDocument/2006/relationships/image" Target="/media/image7.png" Id="R2513941ce2654f10" /><Relationship Type="http://schemas.openxmlformats.org/officeDocument/2006/relationships/image" Target="/media/image8.png" Id="R50b6e3e3e53f4346" /><Relationship Type="http://schemas.openxmlformats.org/officeDocument/2006/relationships/image" Target="/media/image9.png" Id="Rf9593834764a455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Dipartimento CMIC - Politecnico di Milano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raffaella</dc:creator>
  <lastModifiedBy>Carlos  Albarran Morillo</lastModifiedBy>
  <revision>22</revision>
  <lastPrinted>2015-05-12T18:31:00.0000000Z</lastPrinted>
  <dcterms:created xsi:type="dcterms:W3CDTF">2024-02-05T09:07:00.0000000Z</dcterms:created>
  <dcterms:modified xsi:type="dcterms:W3CDTF">2024-04-12T17:36:19.2398227Z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