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eastAsia="en-GB"/>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eastAsia="en-GB"/>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Sauro Pierucci</w:t>
            </w:r>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3491A871" w:rsidR="00E978D0" w:rsidRPr="00B57B36" w:rsidRDefault="00005ECF" w:rsidP="00E978D0">
      <w:pPr>
        <w:pStyle w:val="CETTitle"/>
      </w:pPr>
      <w:r>
        <w:t>A</w:t>
      </w:r>
      <w:r w:rsidR="00960C62">
        <w:t>nalysis of accidental hydrogen releases in the glass manufacturing industry</w:t>
      </w:r>
    </w:p>
    <w:p w14:paraId="0488FED2" w14:textId="053333A0" w:rsidR="00B57E6F" w:rsidRPr="003756F7" w:rsidRDefault="00D550F1" w:rsidP="00B57E6F">
      <w:pPr>
        <w:pStyle w:val="CETAuthors"/>
        <w:rPr>
          <w:lang w:val="it-IT"/>
        </w:rPr>
      </w:pPr>
      <w:r w:rsidRPr="003756F7">
        <w:rPr>
          <w:lang w:val="it-IT"/>
        </w:rPr>
        <w:t>Alice Schiaroli</w:t>
      </w:r>
      <w:r w:rsidR="00B57E6F" w:rsidRPr="003756F7">
        <w:rPr>
          <w:vertAlign w:val="superscript"/>
          <w:lang w:val="it-IT"/>
        </w:rPr>
        <w:t>a</w:t>
      </w:r>
      <w:r w:rsidR="00D62B26" w:rsidRPr="003756F7">
        <w:rPr>
          <w:vertAlign w:val="superscript"/>
          <w:lang w:val="it-IT"/>
        </w:rPr>
        <w:t>,b</w:t>
      </w:r>
      <w:r w:rsidR="00FD48F6">
        <w:rPr>
          <w:vertAlign w:val="superscript"/>
          <w:lang w:val="it-IT"/>
        </w:rPr>
        <w:t>,</w:t>
      </w:r>
      <w:r w:rsidR="00FD48F6" w:rsidRPr="000F46A0">
        <w:rPr>
          <w:lang w:val="it-IT"/>
        </w:rPr>
        <w:t>*</w:t>
      </w:r>
      <w:r w:rsidR="00B57E6F" w:rsidRPr="003756F7">
        <w:rPr>
          <w:lang w:val="it-IT"/>
        </w:rPr>
        <w:t xml:space="preserve">, </w:t>
      </w:r>
      <w:r w:rsidR="00960C62">
        <w:rPr>
          <w:lang w:val="it-IT"/>
        </w:rPr>
        <w:t>Alberto Baldassarri</w:t>
      </w:r>
      <w:r w:rsidR="00557E83">
        <w:rPr>
          <w:vertAlign w:val="superscript"/>
          <w:lang w:val="it-IT"/>
        </w:rPr>
        <w:t>a</w:t>
      </w:r>
      <w:r w:rsidR="00960C62">
        <w:rPr>
          <w:vertAlign w:val="superscript"/>
          <w:lang w:val="it-IT"/>
        </w:rPr>
        <w:t>,b</w:t>
      </w:r>
      <w:r w:rsidR="003756F7">
        <w:rPr>
          <w:lang w:val="it-IT"/>
        </w:rPr>
        <w:t>, Federico Ustolin</w:t>
      </w:r>
      <w:r w:rsidR="00960C62">
        <w:rPr>
          <w:vertAlign w:val="superscript"/>
          <w:lang w:val="it-IT"/>
        </w:rPr>
        <w:t>a</w:t>
      </w:r>
    </w:p>
    <w:p w14:paraId="56E03ADC" w14:textId="56891A6E" w:rsidR="00557E83" w:rsidRDefault="00960C62" w:rsidP="00B57E6F">
      <w:pPr>
        <w:pStyle w:val="CETAddress"/>
      </w:pPr>
      <w:r>
        <w:rPr>
          <w:vertAlign w:val="superscript"/>
        </w:rPr>
        <w:t>a</w:t>
      </w:r>
      <w:r w:rsidR="00557E83">
        <w:t>Norwegian University of Science and Technology – NTNU</w:t>
      </w:r>
      <w:r w:rsidR="00557E83" w:rsidRPr="00B57B36">
        <w:t>,</w:t>
      </w:r>
      <w:r w:rsidR="00557E83">
        <w:t xml:space="preserve"> Department of Mechanical and Industrial Engineering, Richard Birkelands vei 2, 7034, Ttrondheim, Norway</w:t>
      </w:r>
      <w:r w:rsidR="00557E83" w:rsidRPr="00B57B36">
        <w:t xml:space="preserve"> </w:t>
      </w:r>
    </w:p>
    <w:p w14:paraId="71CA3408" w14:textId="77039E24" w:rsidR="00960C62" w:rsidRPr="00960C62" w:rsidRDefault="00960C62" w:rsidP="00B57E6F">
      <w:pPr>
        <w:pStyle w:val="CETAddress"/>
        <w:rPr>
          <w:lang w:val="it-IT"/>
        </w:rPr>
      </w:pPr>
      <w:r>
        <w:rPr>
          <w:vertAlign w:val="superscript"/>
          <w:lang w:val="it-IT"/>
        </w:rPr>
        <w:t>b</w:t>
      </w:r>
      <w:r w:rsidRPr="005C436E">
        <w:rPr>
          <w:lang w:val="it-IT"/>
        </w:rPr>
        <w:t>Alma Mater Studiorum – Università di Bologn</w:t>
      </w:r>
      <w:r>
        <w:rPr>
          <w:lang w:val="it-IT"/>
        </w:rPr>
        <w:t>a, Dipartimento di Ingegneria Civile, Chimica, Ambientale e dei Materiali , via Terracini 28, 40131, Bologna, Italy</w:t>
      </w:r>
      <w:r w:rsidRPr="005C436E">
        <w:rPr>
          <w:lang w:val="it-IT"/>
        </w:rPr>
        <w:t xml:space="preserve"> </w:t>
      </w:r>
    </w:p>
    <w:p w14:paraId="73F1267A" w14:textId="73CE1E61" w:rsidR="00B57E6F" w:rsidRPr="00B57B36" w:rsidRDefault="00B57E6F" w:rsidP="00B57E6F">
      <w:pPr>
        <w:pStyle w:val="CETemail"/>
      </w:pPr>
      <w:r w:rsidRPr="002A465A">
        <w:rPr>
          <w:lang w:val="it-IT"/>
        </w:rPr>
        <w:t xml:space="preserve"> </w:t>
      </w:r>
      <w:r w:rsidR="00FD48F6">
        <w:t xml:space="preserve">* </w:t>
      </w:r>
      <w:r w:rsidR="00390ACB">
        <w:t>alice.schiaroli@unibo.it</w:t>
      </w:r>
    </w:p>
    <w:p w14:paraId="40A4D371" w14:textId="07AA7D70" w:rsidR="00743E83" w:rsidRDefault="00960C62" w:rsidP="00D3676B">
      <w:pPr>
        <w:pStyle w:val="ListParagraph"/>
        <w:ind w:left="0"/>
      </w:pPr>
      <w:r w:rsidRPr="00FD76E3">
        <w:t xml:space="preserve">Glass is one of the most ubiquitous materials in the world. </w:t>
      </w:r>
      <w:r>
        <w:t>Due to</w:t>
      </w:r>
      <w:r w:rsidR="00886D35">
        <w:t xml:space="preserve"> the</w:t>
      </w:r>
      <w:r>
        <w:t xml:space="preserve"> </w:t>
      </w:r>
      <w:r w:rsidRPr="00FD76E3">
        <w:t xml:space="preserve">extremely high temperatures required in the </w:t>
      </w:r>
      <w:r>
        <w:t xml:space="preserve">melting process, </w:t>
      </w:r>
      <w:r w:rsidRPr="00FD76E3">
        <w:t>the glass industry is considered a hard-to-abate sector and poses major challenges to meet the net-zero target in the next decades. Since the highest share of emissions from glass production stem</w:t>
      </w:r>
      <w:r>
        <w:t>s</w:t>
      </w:r>
      <w:r w:rsidRPr="00FD76E3">
        <w:t xml:space="preserve"> from the combustion of natural gas, its replacement with hydrogen is considered a promising solution to reduce the sector's environmental impact. </w:t>
      </w:r>
      <w:r>
        <w:t>This is the aim of t</w:t>
      </w:r>
      <w:r w:rsidRPr="00FD76E3">
        <w:t>he H2GLASS project, launched by the European Union at the beginning of</w:t>
      </w:r>
      <w:r w:rsidR="00432B07">
        <w:t xml:space="preserve"> 2023</w:t>
      </w:r>
      <w:r>
        <w:t>.</w:t>
      </w:r>
      <w:r w:rsidRPr="00FD76E3">
        <w:t xml:space="preserve"> In this </w:t>
      </w:r>
      <w:r>
        <w:t>context</w:t>
      </w:r>
      <w:r w:rsidRPr="00FD76E3">
        <w:t>, addressing hydrogen-safety</w:t>
      </w:r>
      <w:r w:rsidR="009E6A84">
        <w:t>-</w:t>
      </w:r>
      <w:r w:rsidRPr="00FD76E3">
        <w:t>related aspects is a top priority. In fact, due to hydrogen</w:t>
      </w:r>
      <w:r w:rsidR="00886D35">
        <w:t>’s</w:t>
      </w:r>
      <w:r w:rsidRPr="00FD76E3">
        <w:t xml:space="preserve"> peculiar flammability properties (e.g., wide flammability range, low ignition energy)</w:t>
      </w:r>
      <w:r w:rsidR="00886D35">
        <w:t>,</w:t>
      </w:r>
      <w:r w:rsidRPr="00FD76E3">
        <w:t xml:space="preserve"> its utili</w:t>
      </w:r>
      <w:r>
        <w:t>s</w:t>
      </w:r>
      <w:r w:rsidRPr="00FD76E3">
        <w:t xml:space="preserve">ation in furnaces </w:t>
      </w:r>
      <w:r>
        <w:t xml:space="preserve">may </w:t>
      </w:r>
      <w:r w:rsidRPr="00FD76E3">
        <w:t>pose significant risks.</w:t>
      </w:r>
    </w:p>
    <w:p w14:paraId="208629BF" w14:textId="40F1646D" w:rsidR="0001641B" w:rsidRDefault="00E2100D" w:rsidP="00D3676B">
      <w:pPr>
        <w:pStyle w:val="ListParagraph"/>
        <w:ind w:left="0"/>
      </w:pPr>
      <w:r>
        <w:t xml:space="preserve">In this study, a </w:t>
      </w:r>
      <w:r w:rsidRPr="00FD76E3">
        <w:t>computational fluid dynamic (CFD) model</w:t>
      </w:r>
      <w:r>
        <w:t xml:space="preserve"> is developed in </w:t>
      </w:r>
      <w:r w:rsidRPr="00FD76E3">
        <w:t>Ansys Fluent</w:t>
      </w:r>
      <w:r>
        <w:t xml:space="preserve"> to investigate hydrogen diffusion in enclosures following an accidental release. A grid and time-step sensitivity analys</w:t>
      </w:r>
      <w:r w:rsidR="00432B07">
        <w:t>e</w:t>
      </w:r>
      <w:r>
        <w:t xml:space="preserve">s are carried out to identify the best setup. The model is then validated against experimental data. The results of this work can be used as the starting point to build a CFD model suitable </w:t>
      </w:r>
      <w:r w:rsidR="00886D35">
        <w:t xml:space="preserve"> for studying </w:t>
      </w:r>
      <w:r>
        <w:t>hydrogen releases in large domains</w:t>
      </w:r>
      <w:r w:rsidR="00D3676B">
        <w:t xml:space="preserve">, such as </w:t>
      </w:r>
      <w:r w:rsidR="00D3676B" w:rsidRPr="001B42E4">
        <w:t xml:space="preserve">glass manufacturing </w:t>
      </w:r>
      <w:r w:rsidR="00D3676B">
        <w:t>facilities, where obstacles and mechanical ventilation systems are present.</w:t>
      </w:r>
    </w:p>
    <w:p w14:paraId="4278DC5C" w14:textId="77777777" w:rsidR="00960C62" w:rsidRPr="0047603A" w:rsidRDefault="00960C62" w:rsidP="00960C62">
      <w:pPr>
        <w:pStyle w:val="CETHeading1"/>
        <w:rPr>
          <w:lang w:val="en-GB"/>
        </w:rPr>
      </w:pPr>
      <w:r w:rsidRPr="0047603A">
        <w:rPr>
          <w:lang w:val="en-GB"/>
        </w:rPr>
        <w:t>Introduction</w:t>
      </w:r>
    </w:p>
    <w:p w14:paraId="31AA9EC6" w14:textId="6AB51209" w:rsidR="00960C62" w:rsidRPr="001B42E4" w:rsidRDefault="00960C62" w:rsidP="00960C62">
      <w:pPr>
        <w:pStyle w:val="CETBodytext"/>
        <w:rPr>
          <w:lang w:val="en-GB"/>
        </w:rPr>
      </w:pPr>
      <w:r w:rsidRPr="001B42E4">
        <w:rPr>
          <w:lang w:val="en-GB"/>
        </w:rPr>
        <w:t>In recent years, hydrogen has gained ever</w:t>
      </w:r>
      <w:r w:rsidR="009E6A84">
        <w:rPr>
          <w:lang w:val="en-GB"/>
        </w:rPr>
        <w:t>-</w:t>
      </w:r>
      <w:r w:rsidRPr="001B42E4">
        <w:rPr>
          <w:lang w:val="en-GB"/>
        </w:rPr>
        <w:t>increasing attention as an alternative to fossil fuels in the framework of the energy transition. Indeed, it has the potential to be employed in the decarbonisation of sectors where other technologies, such as electrification, might prove challenging to implement. One of these sectors is the glass industry, which is extremely energy-consuming due to the high temperatures</w:t>
      </w:r>
      <w:r>
        <w:rPr>
          <w:lang w:val="en-GB"/>
        </w:rPr>
        <w:t>, around 1500 °C (</w:t>
      </w:r>
      <w:r w:rsidRPr="00C152E8">
        <w:t>Jatzwauk</w:t>
      </w:r>
      <w:r>
        <w:t>, 2021)</w:t>
      </w:r>
      <w:r>
        <w:rPr>
          <w:lang w:val="en-GB"/>
        </w:rPr>
        <w:t>,</w:t>
      </w:r>
      <w:r w:rsidRPr="001B42E4">
        <w:rPr>
          <w:lang w:val="en-GB"/>
        </w:rPr>
        <w:t xml:space="preserve"> required in the melting and fining processes. In 2007, the average specific energy consumption in the EU glass in</w:t>
      </w:r>
      <w:r w:rsidR="00AB1964">
        <w:rPr>
          <w:lang w:val="en-GB"/>
        </w:rPr>
        <w:t>dustry</w:t>
      </w:r>
      <w:r w:rsidRPr="001B42E4">
        <w:rPr>
          <w:lang w:val="en-GB"/>
        </w:rPr>
        <w:t xml:space="preserve"> was estim</w:t>
      </w:r>
      <w:r>
        <w:rPr>
          <w:lang w:val="en-GB"/>
        </w:rPr>
        <w:t>a</w:t>
      </w:r>
      <w:r w:rsidRPr="001B42E4">
        <w:rPr>
          <w:lang w:val="en-GB"/>
        </w:rPr>
        <w:t>ted to be 7.8 GJ per tonne of saleable glass (Schmitz et al., 2011)</w:t>
      </w:r>
      <w:r w:rsidRPr="001B42E4">
        <w:rPr>
          <w:rFonts w:eastAsiaTheme="minorHAnsi"/>
          <w:lang w:val="en-GB"/>
        </w:rPr>
        <w:t>, compared to 15.7 GJ per tonne of crude steel (Pardo et al., 2012) and 3.7 GJ per tonne of clinker (Ecofys, 2009).</w:t>
      </w:r>
      <w:r w:rsidRPr="001B42E4">
        <w:rPr>
          <w:lang w:val="en-GB"/>
        </w:rPr>
        <w:t xml:space="preserve"> Currently, in traditional glass furnaces heat is provided through direct flame, fuelled by the combustion of natural gas</w:t>
      </w:r>
      <w:r w:rsidR="00AB1964">
        <w:rPr>
          <w:lang w:val="en-GB"/>
        </w:rPr>
        <w:t xml:space="preserve"> in specific burners, resulting</w:t>
      </w:r>
      <w:r w:rsidRPr="001B42E4">
        <w:rPr>
          <w:lang w:val="en-GB"/>
        </w:rPr>
        <w:t xml:space="preserve"> in CO</w:t>
      </w:r>
      <w:r w:rsidRPr="00AB1964">
        <w:rPr>
          <w:vertAlign w:val="subscript"/>
          <w:lang w:val="en-GB"/>
        </w:rPr>
        <w:t>2</w:t>
      </w:r>
      <w:r w:rsidRPr="001B42E4">
        <w:rPr>
          <w:lang w:val="en-GB"/>
        </w:rPr>
        <w:t xml:space="preserve"> and other greenhouse gas (GHG) emissions. In 2022, the glass sector produced 22 Mt of CO</w:t>
      </w:r>
      <w:r w:rsidRPr="00AB1964">
        <w:rPr>
          <w:vertAlign w:val="subscript"/>
          <w:lang w:val="en-GB"/>
        </w:rPr>
        <w:t>2</w:t>
      </w:r>
      <w:r w:rsidR="00AB1964">
        <w:rPr>
          <w:vertAlign w:val="subscript"/>
          <w:lang w:val="en-GB"/>
        </w:rPr>
        <w:t>,</w:t>
      </w:r>
      <w:r w:rsidRPr="00AB1964">
        <w:rPr>
          <w:vertAlign w:val="subscript"/>
          <w:lang w:val="en-GB"/>
        </w:rPr>
        <w:t>eq</w:t>
      </w:r>
      <w:r w:rsidRPr="001B42E4">
        <w:rPr>
          <w:lang w:val="en-GB"/>
        </w:rPr>
        <w:t xml:space="preserve"> in the EU (CINEA, 2022), accounting for 2.7% of the total emissions from industry (Eurostat, 2023), and 95 Mt</w:t>
      </w:r>
      <w:r w:rsidRPr="001B42E4">
        <w:rPr>
          <w:rFonts w:eastAsiaTheme="minorHAnsi"/>
          <w:lang w:val="en-GB"/>
        </w:rPr>
        <w:t xml:space="preserve"> w</w:t>
      </w:r>
      <w:r w:rsidRPr="001B42E4">
        <w:rPr>
          <w:lang w:val="en-GB"/>
        </w:rPr>
        <w:t>orldwide (CINEA, 2022). Several decarbonisation options exist to mitigate the environmental impact of the glass sector</w:t>
      </w:r>
      <w:r w:rsidRPr="001B42E4">
        <w:rPr>
          <w:color w:val="FF0000"/>
          <w:lang w:val="en-GB"/>
        </w:rPr>
        <w:t xml:space="preserve"> </w:t>
      </w:r>
      <w:r w:rsidRPr="001B42E4">
        <w:rPr>
          <w:lang w:val="en-GB"/>
        </w:rPr>
        <w:t>(Furszyfer Del Rio et al., 2022), but</w:t>
      </w:r>
      <w:r w:rsidRPr="001B42E4">
        <w:rPr>
          <w:color w:val="FF0000"/>
          <w:lang w:val="en-GB"/>
        </w:rPr>
        <w:t xml:space="preserve"> </w:t>
      </w:r>
      <w:r w:rsidRPr="001B42E4">
        <w:rPr>
          <w:lang w:val="en-GB"/>
        </w:rPr>
        <w:t>the use of hydrogen as a fuel appears to be the most promising</w:t>
      </w:r>
      <w:r w:rsidR="00432B07">
        <w:rPr>
          <w:lang w:val="en-GB"/>
        </w:rPr>
        <w:t xml:space="preserve"> one</w:t>
      </w:r>
      <w:r>
        <w:rPr>
          <w:lang w:val="en-GB"/>
        </w:rPr>
        <w:t>.</w:t>
      </w:r>
      <w:r w:rsidRPr="001B42E4">
        <w:rPr>
          <w:lang w:val="en-GB"/>
        </w:rPr>
        <w:t xml:space="preserve"> For instance, Zier et al. (2023)</w:t>
      </w:r>
      <w:r>
        <w:rPr>
          <w:lang w:val="en-GB"/>
        </w:rPr>
        <w:t xml:space="preserve"> </w:t>
      </w:r>
      <w:r w:rsidRPr="001B42E4">
        <w:rPr>
          <w:lang w:val="en-GB"/>
        </w:rPr>
        <w:t>highlighted that transitioning to hydrogen combustion is the only way the German glass industry has to comply with the loose 2 °C temperature increase target established by the Paris Agreement. Nevertheless, the application of hydrogen technologies in hard-to</w:t>
      </w:r>
      <w:r w:rsidR="00AB1964">
        <w:rPr>
          <w:lang w:val="en-GB"/>
        </w:rPr>
        <w:t>-abate sectors is challenging. I</w:t>
      </w:r>
      <w:r w:rsidRPr="001B42E4">
        <w:rPr>
          <w:lang w:val="en-GB"/>
        </w:rPr>
        <w:t>n the attempt to speed up the process, the EU has funded and launched, at the beginning of 2023, the H2GLASS project – advancing Hydrogen (H2) technologies and smart production systems TO decarbonise the GLass and Aluminium SectorS –, whose primary goal is to increase the technology readiness level of hydrogen combustion in glass furnaces (H2GLASS, 2023). The project also places particular emphas</w:t>
      </w:r>
      <w:r w:rsidR="00AB1964">
        <w:rPr>
          <w:lang w:val="en-GB"/>
        </w:rPr>
        <w:t xml:space="preserve">is on safety aspects. In fact, </w:t>
      </w:r>
      <w:r w:rsidRPr="001B42E4">
        <w:rPr>
          <w:lang w:val="en-GB"/>
        </w:rPr>
        <w:t xml:space="preserve">the use of hydrogen, if not properly handled, is known to pose significant risks. An accidental release within a confined environment can quickly result in a dangerous build-up of hydrogen </w:t>
      </w:r>
      <w:r w:rsidRPr="001B42E4">
        <w:rPr>
          <w:lang w:val="en-GB"/>
        </w:rPr>
        <w:lastRenderedPageBreak/>
        <w:t>with the cons</w:t>
      </w:r>
      <w:r>
        <w:rPr>
          <w:lang w:val="en-GB"/>
        </w:rPr>
        <w:t>e</w:t>
      </w:r>
      <w:r w:rsidRPr="001B42E4">
        <w:rPr>
          <w:lang w:val="en-GB"/>
        </w:rPr>
        <w:t>quent formation of an extremely explosive atmosphere. Considering that hydrogen has a wide flammability range</w:t>
      </w:r>
      <w:r>
        <w:rPr>
          <w:lang w:val="en-GB"/>
        </w:rPr>
        <w:t xml:space="preserve">, </w:t>
      </w:r>
      <w:r w:rsidRPr="001B42E4">
        <w:rPr>
          <w:lang w:val="en-GB"/>
        </w:rPr>
        <w:t>4-75% vol</w:t>
      </w:r>
      <w:r>
        <w:rPr>
          <w:lang w:val="en-GB"/>
        </w:rPr>
        <w:t xml:space="preserve"> </w:t>
      </w:r>
      <w:r w:rsidRPr="001B42E4">
        <w:rPr>
          <w:lang w:val="en-GB"/>
        </w:rPr>
        <w:t>(Yang et al., 2021), a very low minimum ignition energy</w:t>
      </w:r>
      <w:r>
        <w:rPr>
          <w:lang w:val="en-GB"/>
        </w:rPr>
        <w:t>,</w:t>
      </w:r>
      <w:r w:rsidRPr="001B42E4">
        <w:rPr>
          <w:lang w:val="en-GB"/>
        </w:rPr>
        <w:t xml:space="preserve"> 0.018 m</w:t>
      </w:r>
      <w:r>
        <w:rPr>
          <w:lang w:val="en-GB"/>
        </w:rPr>
        <w:t xml:space="preserve">J </w:t>
      </w:r>
      <w:r w:rsidRPr="001B42E4">
        <w:rPr>
          <w:lang w:val="en-GB"/>
        </w:rPr>
        <w:t>(Yang et al., 2021)</w:t>
      </w:r>
      <w:r>
        <w:rPr>
          <w:lang w:val="en-GB"/>
        </w:rPr>
        <w:t>,</w:t>
      </w:r>
      <w:r w:rsidRPr="001B42E4">
        <w:rPr>
          <w:lang w:val="en-GB"/>
        </w:rPr>
        <w:t xml:space="preserve"> and a strong tendency to detonation (Yang et al., 2021), it is fundamental to carefully assess and evaluate its dispersion in enclosures. </w:t>
      </w:r>
      <w:r>
        <w:rPr>
          <w:lang w:val="en-GB"/>
        </w:rPr>
        <w:t>F</w:t>
      </w:r>
      <w:r w:rsidRPr="001B42E4">
        <w:rPr>
          <w:lang w:val="en-GB"/>
        </w:rPr>
        <w:t>or this type of invest</w:t>
      </w:r>
      <w:r>
        <w:rPr>
          <w:lang w:val="en-GB"/>
        </w:rPr>
        <w:t>i</w:t>
      </w:r>
      <w:r w:rsidRPr="001B42E4">
        <w:rPr>
          <w:lang w:val="en-GB"/>
        </w:rPr>
        <w:t>gation,</w:t>
      </w:r>
      <w:r>
        <w:rPr>
          <w:lang w:val="en-GB"/>
        </w:rPr>
        <w:t xml:space="preserve"> </w:t>
      </w:r>
      <w:r w:rsidRPr="001B42E4">
        <w:rPr>
          <w:lang w:val="en-GB"/>
        </w:rPr>
        <w:t>computational fluid dynamic (CFD) models are valuable and powerful tools</w:t>
      </w:r>
      <w:r>
        <w:rPr>
          <w:lang w:val="en-GB"/>
        </w:rPr>
        <w:t xml:space="preserve">. </w:t>
      </w:r>
      <w:r w:rsidRPr="001B42E4">
        <w:rPr>
          <w:lang w:val="en-GB"/>
        </w:rPr>
        <w:t>Zhang et al. (2021) and Patel et al. (2023) used CFD models</w:t>
      </w:r>
      <w:r>
        <w:rPr>
          <w:lang w:val="en-GB"/>
        </w:rPr>
        <w:t xml:space="preserve"> developed in Ansys Fluent</w:t>
      </w:r>
      <w:r w:rsidRPr="001B42E4">
        <w:rPr>
          <w:lang w:val="en-GB"/>
        </w:rPr>
        <w:t xml:space="preserve"> to analyse the effect of the leakage position, direction, and vent openings arrangement, finding that lateral vents close to the ceiling and roof vents above the leakage source are the most effective combination to reduce hydrogen concentration. Furthermore, Hussein et al. (2020) simulated </w:t>
      </w:r>
      <w:r>
        <w:rPr>
          <w:lang w:val="en-GB"/>
        </w:rPr>
        <w:t xml:space="preserve">in Ansys Fluent </w:t>
      </w:r>
      <w:r w:rsidRPr="001B42E4">
        <w:rPr>
          <w:lang w:val="en-GB"/>
        </w:rPr>
        <w:t xml:space="preserve">a release from the tank of a hydrogen fuel cell vehicle (HFCV) in an underground car park with natural ventilation, </w:t>
      </w:r>
      <w:r w:rsidR="00886D35">
        <w:rPr>
          <w:lang w:val="en-GB"/>
        </w:rPr>
        <w:t xml:space="preserve"> to evaluate</w:t>
      </w:r>
      <w:r w:rsidR="009E6A84">
        <w:rPr>
          <w:lang w:val="en-GB"/>
        </w:rPr>
        <w:t xml:space="preserve"> </w:t>
      </w:r>
      <w:r w:rsidRPr="001B42E4">
        <w:rPr>
          <w:lang w:val="en-GB"/>
        </w:rPr>
        <w:t>the effect of the leakage diameter on the dispersion of hydrogen. Li et al. (2021), analysed a similar release scenario</w:t>
      </w:r>
      <w:r>
        <w:rPr>
          <w:lang w:val="en-GB"/>
        </w:rPr>
        <w:t xml:space="preserve"> using the CFD code GASFLOW-MPI,</w:t>
      </w:r>
      <w:r w:rsidRPr="001B42E4">
        <w:rPr>
          <w:lang w:val="en-GB"/>
        </w:rPr>
        <w:t xml:space="preserve"> simulating also immediate and delayed ignition of the hydrogen-air mixture into a tunnel. The effect of ventilation has been studied by Houf et al. (2013), who</w:t>
      </w:r>
      <w:r w:rsidRPr="001B42E4">
        <w:rPr>
          <w:rFonts w:ascii="Segoe UI" w:hAnsi="Segoe UI" w:cs="Segoe UI"/>
          <w:color w:val="374151"/>
          <w:lang w:val="en-GB"/>
        </w:rPr>
        <w:t xml:space="preserve"> </w:t>
      </w:r>
      <w:r w:rsidRPr="001B42E4">
        <w:rPr>
          <w:lang w:val="en-GB"/>
        </w:rPr>
        <w:t>simulated</w:t>
      </w:r>
      <w:r>
        <w:rPr>
          <w:lang w:val="en-GB"/>
        </w:rPr>
        <w:t xml:space="preserve"> in FUEGO and FLACS</w:t>
      </w:r>
      <w:r w:rsidRPr="001B42E4">
        <w:rPr>
          <w:lang w:val="en-GB"/>
        </w:rPr>
        <w:t xml:space="preserve"> the release from a fuel cell forklift in an industrial warehouse, finding a limited effect in reducing the hydrogen concentration. The same release was simulated</w:t>
      </w:r>
      <w:r>
        <w:rPr>
          <w:lang w:val="en-GB"/>
        </w:rPr>
        <w:t xml:space="preserve"> in FLACS </w:t>
      </w:r>
      <w:r w:rsidRPr="001B42E4">
        <w:rPr>
          <w:lang w:val="en-GB"/>
        </w:rPr>
        <w:t>by</w:t>
      </w:r>
      <w:r>
        <w:rPr>
          <w:lang w:val="en-GB"/>
        </w:rPr>
        <w:t xml:space="preserve"> </w:t>
      </w:r>
      <w:r w:rsidRPr="001B42E4">
        <w:rPr>
          <w:lang w:val="en-GB"/>
        </w:rPr>
        <w:t xml:space="preserve">Lucas et al. (2021) in a much larger environment and with obstructions, highlighting a modest influence of passive ventilation on reducing blast overpressure. For laminar flows, the effect of ventilation was assessed solely through empirical formulas (Bauwens and Dorofeev, 2014). At present, the development and validation of a CFD model capable of predicting the behaviour of a laminar hydrogen leak within a confined environment </w:t>
      </w:r>
      <w:r w:rsidR="00886D35">
        <w:rPr>
          <w:lang w:val="en-GB"/>
        </w:rPr>
        <w:t xml:space="preserve"> are</w:t>
      </w:r>
      <w:r w:rsidRPr="001B42E4">
        <w:rPr>
          <w:lang w:val="en-GB"/>
        </w:rPr>
        <w:t xml:space="preserve"> still missing</w:t>
      </w:r>
      <w:r>
        <w:rPr>
          <w:lang w:val="en-GB"/>
        </w:rPr>
        <w:t xml:space="preserve">. </w:t>
      </w:r>
      <w:r w:rsidRPr="001B42E4">
        <w:rPr>
          <w:lang w:val="en-GB"/>
        </w:rPr>
        <w:t>This work is the starting point o</w:t>
      </w:r>
      <w:r w:rsidR="00AB1964">
        <w:rPr>
          <w:lang w:val="en-GB"/>
        </w:rPr>
        <w:t>f the construction of this model</w:t>
      </w:r>
      <w:r w:rsidRPr="001B42E4">
        <w:rPr>
          <w:lang w:val="en-GB"/>
        </w:rPr>
        <w:t xml:space="preserve">. </w:t>
      </w:r>
    </w:p>
    <w:p w14:paraId="7999D43D" w14:textId="77777777" w:rsidR="00960C62" w:rsidRPr="0047603A" w:rsidRDefault="00960C62" w:rsidP="00960C62">
      <w:pPr>
        <w:pStyle w:val="CETHeading1"/>
        <w:rPr>
          <w:lang w:val="en-GB"/>
        </w:rPr>
      </w:pPr>
      <w:r w:rsidRPr="0047603A">
        <w:rPr>
          <w:lang w:val="en-GB"/>
        </w:rPr>
        <w:t>Methodology</w:t>
      </w:r>
    </w:p>
    <w:p w14:paraId="1D701ED9" w14:textId="77777777" w:rsidR="00960C62" w:rsidRPr="001B42E4" w:rsidRDefault="00960C62" w:rsidP="00960C62">
      <w:pPr>
        <w:pStyle w:val="CETBodytext"/>
        <w:rPr>
          <w:lang w:val="en-GB"/>
        </w:rPr>
      </w:pPr>
      <w:r w:rsidRPr="001B42E4">
        <w:rPr>
          <w:lang w:val="en-GB"/>
        </w:rPr>
        <w:t>In this section, the methodology used for the model setup is presented. Section 2.1 provides the numerical details of the model, while section 2.2</w:t>
      </w:r>
      <w:r>
        <w:rPr>
          <w:lang w:val="en-GB"/>
        </w:rPr>
        <w:t xml:space="preserve"> describes </w:t>
      </w:r>
      <w:r w:rsidRPr="001B42E4">
        <w:rPr>
          <w:lang w:val="en-GB"/>
        </w:rPr>
        <w:t>the case study used for its validation.</w:t>
      </w:r>
    </w:p>
    <w:p w14:paraId="715C39E1" w14:textId="77777777" w:rsidR="00960C62" w:rsidRPr="001B42E4" w:rsidRDefault="00960C62" w:rsidP="00960C62">
      <w:pPr>
        <w:pStyle w:val="CETheadingx"/>
        <w:rPr>
          <w:lang w:val="en-GB"/>
        </w:rPr>
      </w:pPr>
      <w:r w:rsidRPr="001B42E4">
        <w:rPr>
          <w:lang w:val="en-GB"/>
        </w:rPr>
        <w:t>CFD setup</w:t>
      </w:r>
    </w:p>
    <w:p w14:paraId="7A255EC7" w14:textId="3F81CE1E" w:rsidR="00960C62" w:rsidRPr="001B42E4" w:rsidRDefault="00960C62" w:rsidP="00960C62">
      <w:pPr>
        <w:pStyle w:val="CETBodytext"/>
        <w:rPr>
          <w:lang w:val="en-GB"/>
        </w:rPr>
      </w:pPr>
      <w:r w:rsidRPr="001B42E4">
        <w:rPr>
          <w:lang w:val="en-GB"/>
        </w:rPr>
        <w:t>The model was developed in Ansys Fluent</w:t>
      </w:r>
      <w:r>
        <w:rPr>
          <w:lang w:val="en-GB"/>
        </w:rPr>
        <w:t xml:space="preserve"> (2023)</w:t>
      </w:r>
      <w:r w:rsidRPr="001B42E4">
        <w:rPr>
          <w:lang w:val="en-GB"/>
        </w:rPr>
        <w:t>, in which the finite volume method is used to solve the governing equations of fluid mechanics. For every fluid flow</w:t>
      </w:r>
      <w:r w:rsidR="00AB1964">
        <w:rPr>
          <w:lang w:val="en-GB"/>
        </w:rPr>
        <w:t>,</w:t>
      </w:r>
      <w:r w:rsidRPr="001B42E4">
        <w:rPr>
          <w:lang w:val="en-GB"/>
        </w:rPr>
        <w:t xml:space="preserve"> the Navier-Stokes equations are solved to ensure mass (Eq. (1)) and momentum (Eq. (2)) conservation.</w:t>
      </w:r>
    </w:p>
    <w:tbl>
      <w:tblPr>
        <w:tblW w:w="5000" w:type="pct"/>
        <w:tblLook w:val="04A0" w:firstRow="1" w:lastRow="0" w:firstColumn="1" w:lastColumn="0" w:noHBand="0" w:noVBand="1"/>
      </w:tblPr>
      <w:tblGrid>
        <w:gridCol w:w="7986"/>
        <w:gridCol w:w="801"/>
      </w:tblGrid>
      <w:tr w:rsidR="00960C62" w:rsidRPr="001B42E4" w14:paraId="79E021A2" w14:textId="77777777" w:rsidTr="008B5CFB">
        <w:tc>
          <w:tcPr>
            <w:tcW w:w="7986" w:type="dxa"/>
            <w:shd w:val="clear" w:color="auto" w:fill="auto"/>
            <w:vAlign w:val="center"/>
          </w:tcPr>
          <w:p w14:paraId="06B1E3D2" w14:textId="77777777" w:rsidR="00960C62" w:rsidRPr="00960C62" w:rsidRDefault="00E27DA3" w:rsidP="00960C62">
            <w:pPr>
              <w:pStyle w:val="CETEquation"/>
            </w:pPr>
            <m:oMathPara>
              <m:oMathParaPr>
                <m:jc m:val="left"/>
              </m:oMathParaPr>
              <m:oMath>
                <m:f>
                  <m:fPr>
                    <m:ctrlPr>
                      <w:rPr>
                        <w:rFonts w:ascii="Cambria Math" w:hAnsi="Cambria Math"/>
                      </w:rPr>
                    </m:ctrlPr>
                  </m:fPr>
                  <m:num>
                    <m:r>
                      <m:rPr>
                        <m:nor/>
                      </m:rPr>
                      <m:t>∂ρ</m:t>
                    </m:r>
                  </m:num>
                  <m:den>
                    <m:r>
                      <m:rPr>
                        <m:nor/>
                      </m:rPr>
                      <m:t>∂t</m:t>
                    </m:r>
                  </m:den>
                </m:f>
                <m:r>
                  <m:rPr>
                    <m:nor/>
                  </m:rPr>
                  <m:t xml:space="preserve"> + </m:t>
                </m:r>
                <m:acc>
                  <m:accPr>
                    <m:chr m:val="̅"/>
                    <m:ctrlPr>
                      <w:rPr>
                        <w:rFonts w:ascii="Cambria Math" w:hAnsi="Cambria Math"/>
                      </w:rPr>
                    </m:ctrlPr>
                  </m:accPr>
                  <m:e>
                    <m:r>
                      <m:rPr>
                        <m:nor/>
                      </m:rPr>
                      <w:rPr>
                        <w:rFonts w:ascii="Cambria Math" w:hAnsi="Cambria Math" w:cs="Cambria Math"/>
                      </w:rPr>
                      <m:t>∇</m:t>
                    </m:r>
                  </m:e>
                </m:acc>
                <m:r>
                  <m:rPr>
                    <m:nor/>
                  </m:rPr>
                  <m:t xml:space="preserve"> ∙ </m:t>
                </m:r>
                <m:d>
                  <m:dPr>
                    <m:ctrlPr>
                      <w:rPr>
                        <w:rFonts w:ascii="Cambria Math" w:hAnsi="Cambria Math"/>
                      </w:rPr>
                    </m:ctrlPr>
                  </m:dPr>
                  <m:e>
                    <m:r>
                      <m:rPr>
                        <m:nor/>
                      </m:rPr>
                      <m:t>ρ</m:t>
                    </m:r>
                    <m:acc>
                      <m:accPr>
                        <m:chr m:val="̅"/>
                        <m:ctrlPr>
                          <w:rPr>
                            <w:rFonts w:ascii="Cambria Math" w:hAnsi="Cambria Math"/>
                          </w:rPr>
                        </m:ctrlPr>
                      </m:accPr>
                      <m:e>
                        <m:r>
                          <m:rPr>
                            <m:nor/>
                          </m:rPr>
                          <m:t>u</m:t>
                        </m:r>
                      </m:e>
                    </m:acc>
                  </m:e>
                </m:d>
                <m:r>
                  <m:rPr>
                    <m:nor/>
                  </m:rPr>
                  <m:t xml:space="preserve"> = 0</m:t>
                </m:r>
              </m:oMath>
            </m:oMathPara>
          </w:p>
        </w:tc>
        <w:tc>
          <w:tcPr>
            <w:tcW w:w="801" w:type="dxa"/>
            <w:shd w:val="clear" w:color="auto" w:fill="auto"/>
            <w:vAlign w:val="center"/>
          </w:tcPr>
          <w:p w14:paraId="717D9593" w14:textId="77777777" w:rsidR="00960C62" w:rsidRPr="001B42E4" w:rsidRDefault="00960C62" w:rsidP="008B5CFB">
            <w:pPr>
              <w:pStyle w:val="CETEquation"/>
              <w:jc w:val="right"/>
            </w:pPr>
            <w:r w:rsidRPr="001B42E4">
              <w:t>(1)</w:t>
            </w:r>
          </w:p>
        </w:tc>
      </w:tr>
      <w:tr w:rsidR="00960C62" w:rsidRPr="001B42E4" w14:paraId="3CDEAF6C" w14:textId="77777777" w:rsidTr="008B5CFB">
        <w:tc>
          <w:tcPr>
            <w:tcW w:w="7986" w:type="dxa"/>
            <w:shd w:val="clear" w:color="auto" w:fill="auto"/>
            <w:vAlign w:val="center"/>
          </w:tcPr>
          <w:p w14:paraId="26774029" w14:textId="77777777" w:rsidR="00960C62" w:rsidRPr="001B42E4" w:rsidRDefault="00E27DA3" w:rsidP="008B5CFB">
            <w:pPr>
              <w:pStyle w:val="CETEquation"/>
            </w:pPr>
            <m:oMathPara>
              <m:oMathParaPr>
                <m:jc m:val="left"/>
              </m:oMathParaPr>
              <m:oMath>
                <m:f>
                  <m:fPr>
                    <m:ctrlPr>
                      <w:rPr>
                        <w:rFonts w:ascii="Cambria Math" w:hAnsi="Cambria Math"/>
                      </w:rPr>
                    </m:ctrlPr>
                  </m:fPr>
                  <m:num>
                    <m:r>
                      <m:rPr>
                        <m:nor/>
                      </m:rPr>
                      <m:t>∂</m:t>
                    </m:r>
                  </m:num>
                  <m:den>
                    <m:r>
                      <m:rPr>
                        <m:nor/>
                      </m:rPr>
                      <m:t>∂t</m:t>
                    </m:r>
                  </m:den>
                </m:f>
                <m:d>
                  <m:dPr>
                    <m:ctrlPr>
                      <w:rPr>
                        <w:rFonts w:ascii="Cambria Math" w:hAnsi="Cambria Math"/>
                      </w:rPr>
                    </m:ctrlPr>
                  </m:dPr>
                  <m:e>
                    <m:r>
                      <m:rPr>
                        <m:nor/>
                      </m:rPr>
                      <m:t>ρ</m:t>
                    </m:r>
                    <m:acc>
                      <m:accPr>
                        <m:chr m:val="̅"/>
                        <m:ctrlPr>
                          <w:rPr>
                            <w:rFonts w:ascii="Cambria Math" w:hAnsi="Cambria Math"/>
                          </w:rPr>
                        </m:ctrlPr>
                      </m:accPr>
                      <m:e>
                        <m:r>
                          <m:rPr>
                            <m:nor/>
                          </m:rPr>
                          <m:t>u</m:t>
                        </m:r>
                      </m:e>
                    </m:acc>
                  </m:e>
                </m:d>
                <m:r>
                  <m:rPr>
                    <m:nor/>
                  </m:rPr>
                  <m:t xml:space="preserve"> + </m:t>
                </m:r>
                <m:acc>
                  <m:accPr>
                    <m:chr m:val="̅"/>
                    <m:ctrlPr>
                      <w:rPr>
                        <w:rFonts w:ascii="Cambria Math" w:hAnsi="Cambria Math"/>
                      </w:rPr>
                    </m:ctrlPr>
                  </m:accPr>
                  <m:e>
                    <m:r>
                      <m:rPr>
                        <m:nor/>
                      </m:rPr>
                      <w:rPr>
                        <w:rFonts w:ascii="Cambria Math" w:hAnsi="Cambria Math" w:cs="Cambria Math"/>
                      </w:rPr>
                      <m:t>∇</m:t>
                    </m:r>
                  </m:e>
                </m:acc>
                <m:r>
                  <m:rPr>
                    <m:nor/>
                  </m:rPr>
                  <m:t xml:space="preserve"> ∙ </m:t>
                </m:r>
                <m:d>
                  <m:dPr>
                    <m:ctrlPr>
                      <w:rPr>
                        <w:rFonts w:ascii="Cambria Math" w:hAnsi="Cambria Math"/>
                      </w:rPr>
                    </m:ctrlPr>
                  </m:dPr>
                  <m:e>
                    <m:r>
                      <m:rPr>
                        <m:nor/>
                      </m:rPr>
                      <m:t>ρ</m:t>
                    </m:r>
                    <m:acc>
                      <m:accPr>
                        <m:chr m:val="̅"/>
                        <m:ctrlPr>
                          <w:rPr>
                            <w:rFonts w:ascii="Cambria Math" w:hAnsi="Cambria Math"/>
                          </w:rPr>
                        </m:ctrlPr>
                      </m:accPr>
                      <m:e>
                        <m:r>
                          <m:rPr>
                            <m:nor/>
                          </m:rPr>
                          <m:t>u</m:t>
                        </m:r>
                      </m:e>
                    </m:acc>
                    <m:acc>
                      <m:accPr>
                        <m:chr m:val="̅"/>
                        <m:ctrlPr>
                          <w:rPr>
                            <w:rFonts w:ascii="Cambria Math" w:hAnsi="Cambria Math"/>
                          </w:rPr>
                        </m:ctrlPr>
                      </m:accPr>
                      <m:e>
                        <m:r>
                          <m:rPr>
                            <m:nor/>
                          </m:rPr>
                          <m:t>u</m:t>
                        </m:r>
                      </m:e>
                    </m:acc>
                  </m:e>
                </m:d>
                <m:r>
                  <m:rPr>
                    <m:nor/>
                  </m:rPr>
                  <m:t xml:space="preserve"> = </m:t>
                </m:r>
                <m:r>
                  <m:rPr>
                    <m:nor/>
                  </m:rPr>
                  <w:rPr>
                    <w:rFonts w:ascii="Cambria Math"/>
                  </w:rPr>
                  <m:t xml:space="preserve">- </m:t>
                </m:r>
                <m:acc>
                  <m:accPr>
                    <m:chr m:val="̅"/>
                    <m:ctrlPr>
                      <w:rPr>
                        <w:rFonts w:ascii="Cambria Math" w:hAnsi="Cambria Math"/>
                      </w:rPr>
                    </m:ctrlPr>
                  </m:accPr>
                  <m:e>
                    <m:r>
                      <m:rPr>
                        <m:nor/>
                      </m:rPr>
                      <w:rPr>
                        <w:rFonts w:ascii="Cambria Math" w:hAnsi="Cambria Math" w:cs="Cambria Math"/>
                      </w:rPr>
                      <m:t>∇</m:t>
                    </m:r>
                  </m:e>
                </m:acc>
                <m:r>
                  <m:rPr>
                    <m:nor/>
                  </m:rPr>
                  <m:t xml:space="preserve">P + </m:t>
                </m:r>
                <m:acc>
                  <m:accPr>
                    <m:chr m:val="̅"/>
                    <m:ctrlPr>
                      <w:rPr>
                        <w:rFonts w:ascii="Cambria Math" w:hAnsi="Cambria Math"/>
                      </w:rPr>
                    </m:ctrlPr>
                  </m:accPr>
                  <m:e>
                    <m:r>
                      <m:rPr>
                        <m:nor/>
                      </m:rPr>
                      <w:rPr>
                        <w:rFonts w:ascii="Cambria Math" w:hAnsi="Cambria Math" w:cs="Cambria Math"/>
                      </w:rPr>
                      <m:t>∇</m:t>
                    </m:r>
                  </m:e>
                </m:acc>
                <m:r>
                  <m:rPr>
                    <m:nor/>
                  </m:rPr>
                  <m:t xml:space="preserve"> ∙ </m:t>
                </m:r>
                <m:acc>
                  <m:accPr>
                    <m:chr m:val="̿"/>
                    <m:ctrlPr>
                      <w:rPr>
                        <w:rFonts w:ascii="Cambria Math" w:hAnsi="Cambria Math"/>
                      </w:rPr>
                    </m:ctrlPr>
                  </m:accPr>
                  <m:e>
                    <m:r>
                      <m:rPr>
                        <m:nor/>
                      </m:rPr>
                      <m:t>T</m:t>
                    </m:r>
                  </m:e>
                </m:acc>
                <m:r>
                  <m:rPr>
                    <m:nor/>
                  </m:rPr>
                  <m:t xml:space="preserve"> + ρ</m:t>
                </m:r>
                <m:acc>
                  <m:accPr>
                    <m:chr m:val="̅"/>
                    <m:ctrlPr>
                      <w:rPr>
                        <w:rFonts w:ascii="Cambria Math" w:hAnsi="Cambria Math"/>
                      </w:rPr>
                    </m:ctrlPr>
                  </m:accPr>
                  <m:e>
                    <m:r>
                      <m:rPr>
                        <m:nor/>
                      </m:rPr>
                      <m:t>g</m:t>
                    </m:r>
                  </m:e>
                </m:acc>
              </m:oMath>
            </m:oMathPara>
          </w:p>
        </w:tc>
        <w:tc>
          <w:tcPr>
            <w:tcW w:w="801" w:type="dxa"/>
            <w:shd w:val="clear" w:color="auto" w:fill="auto"/>
            <w:vAlign w:val="center"/>
          </w:tcPr>
          <w:p w14:paraId="47E5258F" w14:textId="77777777" w:rsidR="00960C62" w:rsidRPr="001B42E4" w:rsidRDefault="00960C62" w:rsidP="008B5CFB">
            <w:pPr>
              <w:pStyle w:val="CETEquation"/>
              <w:jc w:val="right"/>
            </w:pPr>
            <w:r w:rsidRPr="001B42E4">
              <w:t>(2)</w:t>
            </w:r>
          </w:p>
        </w:tc>
      </w:tr>
    </w:tbl>
    <w:p w14:paraId="45FC9F38" w14:textId="77777777" w:rsidR="00960C62" w:rsidRPr="001B42E4" w:rsidRDefault="00960C62" w:rsidP="00960C62">
      <w:pPr>
        <w:pStyle w:val="CETBodytext"/>
        <w:rPr>
          <w:rFonts w:cs="Arial"/>
          <w:lang w:val="en-GB"/>
        </w:rPr>
      </w:pPr>
      <w:r w:rsidRPr="001B42E4">
        <w:rPr>
          <w:rFonts w:cs="Arial"/>
          <w:lang w:val="en-GB"/>
        </w:rPr>
        <w:t xml:space="preserve">Where </w:t>
      </w:r>
      <m:oMath>
        <m:r>
          <m:rPr>
            <m:nor/>
          </m:rPr>
          <w:rPr>
            <w:rFonts w:cs="Arial"/>
            <w:lang w:val="en-GB"/>
          </w:rPr>
          <m:t>ρ</m:t>
        </m:r>
      </m:oMath>
      <w:r w:rsidRPr="001B42E4">
        <w:rPr>
          <w:rFonts w:cs="Arial"/>
          <w:lang w:val="en-GB"/>
        </w:rPr>
        <w:t xml:space="preserve"> is the density of the fluid, </w:t>
      </w:r>
      <m:oMath>
        <m:acc>
          <m:accPr>
            <m:chr m:val="̅"/>
            <m:ctrlPr>
              <w:rPr>
                <w:rFonts w:ascii="Cambria Math" w:hAnsi="Cambria Math" w:cs="Arial"/>
                <w:lang w:val="en-GB"/>
              </w:rPr>
            </m:ctrlPr>
          </m:accPr>
          <m:e>
            <m:r>
              <m:rPr>
                <m:nor/>
              </m:rPr>
              <w:rPr>
                <w:rFonts w:cs="Arial"/>
                <w:lang w:val="en-GB"/>
              </w:rPr>
              <m:t>u</m:t>
            </m:r>
          </m:e>
        </m:acc>
      </m:oMath>
      <w:r w:rsidRPr="001B42E4">
        <w:rPr>
          <w:rFonts w:cs="Arial"/>
          <w:lang w:val="en-GB"/>
        </w:rPr>
        <w:t xml:space="preserve"> is the velocity vector, </w:t>
      </w:r>
      <m:oMath>
        <m:r>
          <m:rPr>
            <m:nor/>
          </m:rPr>
          <w:rPr>
            <w:rFonts w:cs="Arial"/>
            <w:lang w:val="en-GB"/>
          </w:rPr>
          <m:t>P</m:t>
        </m:r>
      </m:oMath>
      <w:r w:rsidRPr="001B42E4">
        <w:rPr>
          <w:rFonts w:cs="Arial"/>
          <w:lang w:val="en-GB"/>
        </w:rPr>
        <w:t xml:space="preserve"> is the pressure, and </w:t>
      </w:r>
      <m:oMath>
        <m:acc>
          <m:accPr>
            <m:chr m:val="̅"/>
            <m:ctrlPr>
              <w:rPr>
                <w:rFonts w:ascii="Cambria Math" w:hAnsi="Cambria Math" w:cs="Arial"/>
                <w:lang w:val="en-GB"/>
              </w:rPr>
            </m:ctrlPr>
          </m:accPr>
          <m:e>
            <m:r>
              <m:rPr>
                <m:nor/>
              </m:rPr>
              <w:rPr>
                <w:rFonts w:cs="Arial"/>
                <w:lang w:val="en-GB"/>
              </w:rPr>
              <m:t>g</m:t>
            </m:r>
          </m:e>
        </m:acc>
      </m:oMath>
      <w:r w:rsidRPr="001B42E4">
        <w:rPr>
          <w:rFonts w:cs="Arial"/>
          <w:lang w:val="en-GB"/>
        </w:rPr>
        <w:t xml:space="preserve"> is the gravitational acceleration. </w:t>
      </w:r>
      <m:oMath>
        <m:acc>
          <m:accPr>
            <m:chr m:val="̿"/>
            <m:ctrlPr>
              <w:rPr>
                <w:rFonts w:ascii="Cambria Math" w:hAnsi="Cambria Math" w:cs="Arial"/>
                <w:lang w:val="en-GB"/>
              </w:rPr>
            </m:ctrlPr>
          </m:accPr>
          <m:e>
            <m:r>
              <m:rPr>
                <m:nor/>
              </m:rPr>
              <w:rPr>
                <w:rFonts w:cs="Arial"/>
                <w:lang w:val="en-GB"/>
              </w:rPr>
              <m:t>T</m:t>
            </m:r>
          </m:e>
        </m:acc>
      </m:oMath>
      <w:r w:rsidRPr="001B42E4">
        <w:rPr>
          <w:rFonts w:cs="Arial"/>
          <w:lang w:val="en-GB"/>
        </w:rPr>
        <w:t xml:space="preserve"> is the stress tensor,</w:t>
      </w:r>
      <w:r>
        <w:rPr>
          <w:rFonts w:cs="Arial"/>
          <w:lang w:val="en-GB"/>
        </w:rPr>
        <w:t xml:space="preserve"> </w:t>
      </w:r>
      <w:r w:rsidRPr="001B42E4">
        <w:rPr>
          <w:rFonts w:cs="Arial"/>
          <w:lang w:val="en-GB"/>
        </w:rPr>
        <w:t>expressed as follows (Eq. (3)):</w:t>
      </w:r>
    </w:p>
    <w:tbl>
      <w:tblPr>
        <w:tblW w:w="5000" w:type="pct"/>
        <w:tblLook w:val="04A0" w:firstRow="1" w:lastRow="0" w:firstColumn="1" w:lastColumn="0" w:noHBand="0" w:noVBand="1"/>
      </w:tblPr>
      <w:tblGrid>
        <w:gridCol w:w="7986"/>
        <w:gridCol w:w="801"/>
      </w:tblGrid>
      <w:tr w:rsidR="00960C62" w:rsidRPr="001B42E4" w14:paraId="2039487D" w14:textId="77777777" w:rsidTr="008B5CFB">
        <w:tc>
          <w:tcPr>
            <w:tcW w:w="7986" w:type="dxa"/>
            <w:shd w:val="clear" w:color="auto" w:fill="auto"/>
            <w:vAlign w:val="center"/>
          </w:tcPr>
          <w:p w14:paraId="07751125" w14:textId="77777777" w:rsidR="00960C62" w:rsidRPr="001B42E4" w:rsidRDefault="00E27DA3" w:rsidP="008B5CFB">
            <w:pPr>
              <w:pStyle w:val="CETEquation"/>
              <w:rPr>
                <w:rFonts w:cs="Arial"/>
              </w:rPr>
            </w:pPr>
            <m:oMathPara>
              <m:oMathParaPr>
                <m:jc m:val="left"/>
              </m:oMathParaPr>
              <m:oMath>
                <m:acc>
                  <m:accPr>
                    <m:chr m:val="̿"/>
                    <m:ctrlPr>
                      <w:rPr>
                        <w:rFonts w:ascii="Cambria Math" w:hAnsi="Cambria Math" w:cs="Arial"/>
                      </w:rPr>
                    </m:ctrlPr>
                  </m:accPr>
                  <m:e>
                    <m:r>
                      <m:rPr>
                        <m:nor/>
                      </m:rPr>
                      <w:rPr>
                        <w:rFonts w:cs="Arial"/>
                      </w:rPr>
                      <m:t>T</m:t>
                    </m:r>
                  </m:e>
                </m:acc>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μ</m:t>
                </m:r>
                <m:d>
                  <m:dPr>
                    <m:begChr m:val="["/>
                    <m:endChr m:val="]"/>
                    <m:ctrlPr>
                      <w:rPr>
                        <w:rFonts w:ascii="Cambria Math" w:hAnsi="Cambria Math" w:cs="Arial"/>
                        <w:i/>
                      </w:rPr>
                    </m:ctrlPr>
                  </m:dPr>
                  <m:e>
                    <m:d>
                      <m:dPr>
                        <m:ctrlPr>
                          <w:rPr>
                            <w:rFonts w:ascii="Cambria Math" w:hAnsi="Cambria Math" w:cs="Arial"/>
                            <w:i/>
                          </w:rPr>
                        </m:ctrlPr>
                      </m:dPr>
                      <m:e>
                        <m:acc>
                          <m:accPr>
                            <m:chr m:val="̅"/>
                            <m:ctrlPr>
                              <w:rPr>
                                <w:rFonts w:ascii="Cambria Math" w:hAnsi="Cambria Math" w:cs="Arial"/>
                              </w:rPr>
                            </m:ctrlPr>
                          </m:accPr>
                          <m:e>
                            <m:r>
                              <m:rPr>
                                <m:nor/>
                              </m:rPr>
                              <w:rPr>
                                <w:rFonts w:ascii="Cambria Math" w:hAnsi="Cambria Math" w:cs="Cambria Math"/>
                              </w:rPr>
                              <m:t>∇</m:t>
                            </m:r>
                          </m:e>
                        </m:acc>
                        <m:acc>
                          <m:accPr>
                            <m:chr m:val="̅"/>
                            <m:ctrlPr>
                              <w:rPr>
                                <w:rFonts w:ascii="Cambria Math" w:hAnsi="Cambria Math" w:cs="Arial"/>
                              </w:rPr>
                            </m:ctrlPr>
                          </m:accPr>
                          <m:e>
                            <m:r>
                              <m:rPr>
                                <m:nor/>
                              </m:rPr>
                              <w:rPr>
                                <w:rFonts w:cs="Arial"/>
                              </w:rPr>
                              <m:t>u</m:t>
                            </m:r>
                          </m:e>
                        </m:acc>
                        <m:r>
                          <m:rPr>
                            <m:nor/>
                          </m:rPr>
                          <w:rPr>
                            <w:rFonts w:cs="Arial"/>
                          </w:rPr>
                          <m:t xml:space="preserve"> +  </m:t>
                        </m:r>
                        <m:acc>
                          <m:accPr>
                            <m:chr m:val="̅"/>
                            <m:ctrlPr>
                              <w:rPr>
                                <w:rFonts w:ascii="Cambria Math" w:hAnsi="Cambria Math" w:cs="Arial"/>
                              </w:rPr>
                            </m:ctrlPr>
                          </m:accPr>
                          <m:e>
                            <m:r>
                              <m:rPr>
                                <m:nor/>
                              </m:rPr>
                              <w:rPr>
                                <w:rFonts w:ascii="Cambria Math" w:hAnsi="Cambria Math" w:cs="Cambria Math"/>
                              </w:rPr>
                              <m:t>∇</m:t>
                            </m:r>
                          </m:e>
                        </m:acc>
                        <m:sSup>
                          <m:sSupPr>
                            <m:ctrlPr>
                              <w:rPr>
                                <w:rFonts w:ascii="Cambria Math" w:hAnsi="Cambria Math" w:cs="Arial"/>
                                <w:i/>
                              </w:rPr>
                            </m:ctrlPr>
                          </m:sSupPr>
                          <m:e>
                            <m:acc>
                              <m:accPr>
                                <m:chr m:val="̅"/>
                                <m:ctrlPr>
                                  <w:rPr>
                                    <w:rFonts w:ascii="Cambria Math" w:hAnsi="Cambria Math" w:cs="Arial"/>
                                  </w:rPr>
                                </m:ctrlPr>
                              </m:accPr>
                              <m:e>
                                <m:r>
                                  <m:rPr>
                                    <m:nor/>
                                  </m:rPr>
                                  <w:rPr>
                                    <w:rFonts w:cs="Arial"/>
                                  </w:rPr>
                                  <m:t>u</m:t>
                                </m:r>
                              </m:e>
                            </m:acc>
                          </m:e>
                          <m:sup>
                            <m:r>
                              <m:rPr>
                                <m:nor/>
                              </m:rPr>
                              <w:rPr>
                                <w:rFonts w:cs="Arial"/>
                              </w:rPr>
                              <m:t>T</m:t>
                            </m:r>
                          </m:sup>
                        </m:sSup>
                      </m:e>
                    </m:d>
                    <m:r>
                      <w:rPr>
                        <w:rFonts w:ascii="Cambria Math" w:hAnsi="Cambria Math" w:cs="Arial"/>
                      </w:rPr>
                      <m:t xml:space="preserve"> </m:t>
                    </m:r>
                    <m:r>
                      <m:rPr>
                        <m:nor/>
                      </m:rPr>
                      <w:rPr>
                        <w:rFonts w:ascii="Cambria Math" w:cs="Arial"/>
                      </w:rPr>
                      <m:t xml:space="preserve">- </m:t>
                    </m:r>
                    <m:f>
                      <m:fPr>
                        <m:ctrlPr>
                          <w:rPr>
                            <w:rFonts w:ascii="Cambria Math" w:hAnsi="Cambria Math" w:cs="Arial"/>
                            <w:i/>
                          </w:rPr>
                        </m:ctrlPr>
                      </m:fPr>
                      <m:num>
                        <m:r>
                          <m:rPr>
                            <m:nor/>
                          </m:rPr>
                          <w:rPr>
                            <w:rFonts w:cs="Arial"/>
                          </w:rPr>
                          <m:t>2</m:t>
                        </m:r>
                      </m:num>
                      <m:den>
                        <m:r>
                          <m:rPr>
                            <m:nor/>
                          </m:rPr>
                          <w:rPr>
                            <w:rFonts w:cs="Arial"/>
                          </w:rPr>
                          <m:t>3</m:t>
                        </m:r>
                      </m:den>
                    </m:f>
                    <m:acc>
                      <m:accPr>
                        <m:chr m:val="̅"/>
                        <m:ctrlPr>
                          <w:rPr>
                            <w:rFonts w:ascii="Cambria Math" w:hAnsi="Cambria Math" w:cs="Arial"/>
                          </w:rPr>
                        </m:ctrlPr>
                      </m:accPr>
                      <m:e>
                        <m:r>
                          <m:rPr>
                            <m:nor/>
                          </m:rPr>
                          <w:rPr>
                            <w:rFonts w:ascii="Cambria Math" w:hAnsi="Cambria Math" w:cs="Cambria Math"/>
                          </w:rPr>
                          <m:t>∇</m:t>
                        </m:r>
                      </m:e>
                    </m:acc>
                    <m:r>
                      <m:rPr>
                        <m:nor/>
                      </m:rPr>
                      <w:rPr>
                        <w:rFonts w:ascii="Cambria Math" w:hAnsi="Cambria Math" w:cs="Cambria Math"/>
                      </w:rPr>
                      <m:t>⋅</m:t>
                    </m:r>
                    <m:r>
                      <w:rPr>
                        <w:rFonts w:ascii="Cambria Math" w:hAnsi="Cambria Math" w:cs="Arial"/>
                      </w:rPr>
                      <m:t xml:space="preserve"> </m:t>
                    </m:r>
                    <m:acc>
                      <m:accPr>
                        <m:chr m:val="̅"/>
                        <m:ctrlPr>
                          <w:rPr>
                            <w:rFonts w:ascii="Cambria Math" w:hAnsi="Cambria Math" w:cs="Arial"/>
                            <w:i/>
                          </w:rPr>
                        </m:ctrlPr>
                      </m:accPr>
                      <m:e>
                        <m:r>
                          <m:rPr>
                            <m:nor/>
                          </m:rPr>
                          <w:rPr>
                            <w:rFonts w:cs="Arial"/>
                          </w:rPr>
                          <m:t>u</m:t>
                        </m:r>
                      </m:e>
                    </m:acc>
                    <m:r>
                      <m:rPr>
                        <m:nor/>
                      </m:rPr>
                      <w:rPr>
                        <w:rFonts w:cs="Arial"/>
                      </w:rPr>
                      <m:t xml:space="preserve"> </m:t>
                    </m:r>
                    <m:acc>
                      <m:accPr>
                        <m:chr m:val="̿"/>
                        <m:ctrlPr>
                          <w:rPr>
                            <w:rFonts w:ascii="Cambria Math" w:hAnsi="Cambria Math" w:cs="Arial"/>
                          </w:rPr>
                        </m:ctrlPr>
                      </m:accPr>
                      <m:e>
                        <m:r>
                          <m:rPr>
                            <m:nor/>
                          </m:rPr>
                          <w:rPr>
                            <w:rFonts w:cs="Arial"/>
                          </w:rPr>
                          <m:t>I</m:t>
                        </m:r>
                      </m:e>
                    </m:acc>
                  </m:e>
                </m:d>
              </m:oMath>
            </m:oMathPara>
          </w:p>
        </w:tc>
        <w:tc>
          <w:tcPr>
            <w:tcW w:w="801" w:type="dxa"/>
            <w:shd w:val="clear" w:color="auto" w:fill="auto"/>
            <w:vAlign w:val="center"/>
          </w:tcPr>
          <w:p w14:paraId="311F7E33" w14:textId="77777777" w:rsidR="00960C62" w:rsidRPr="001B42E4" w:rsidRDefault="00960C62" w:rsidP="008B5CFB">
            <w:pPr>
              <w:pStyle w:val="CETEquation"/>
              <w:jc w:val="right"/>
            </w:pPr>
            <w:r w:rsidRPr="001B42E4">
              <w:t>(3)</w:t>
            </w:r>
          </w:p>
        </w:tc>
      </w:tr>
    </w:tbl>
    <w:p w14:paraId="509EB4B5" w14:textId="77777777" w:rsidR="00960C62" w:rsidRPr="001B42E4" w:rsidRDefault="00960C62" w:rsidP="00960C62">
      <w:pPr>
        <w:pStyle w:val="CETBodytext"/>
        <w:rPr>
          <w:rFonts w:cs="Arial"/>
          <w:lang w:val="en-GB"/>
        </w:rPr>
      </w:pPr>
      <w:r w:rsidRPr="001B42E4">
        <w:rPr>
          <w:rFonts w:cs="Arial"/>
          <w:lang w:val="en-GB"/>
        </w:rPr>
        <w:t xml:space="preserve">Where </w:t>
      </w:r>
      <m:oMath>
        <m:r>
          <m:rPr>
            <m:nor/>
          </m:rPr>
          <w:rPr>
            <w:rFonts w:cs="Arial"/>
            <w:lang w:val="en-GB"/>
          </w:rPr>
          <m:t>μ</m:t>
        </m:r>
      </m:oMath>
      <w:r w:rsidRPr="001B42E4">
        <w:rPr>
          <w:rFonts w:cs="Arial"/>
          <w:lang w:val="en-GB"/>
        </w:rPr>
        <w:t xml:space="preserve"> is the molecular viscosity of the fluid and </w:t>
      </w:r>
      <m:oMath>
        <m:acc>
          <m:accPr>
            <m:chr m:val="̿"/>
            <m:ctrlPr>
              <w:rPr>
                <w:rFonts w:ascii="Cambria Math" w:hAnsi="Cambria Math" w:cs="Arial"/>
                <w:lang w:val="en-GB"/>
              </w:rPr>
            </m:ctrlPr>
          </m:accPr>
          <m:e>
            <m:r>
              <m:rPr>
                <m:nor/>
              </m:rPr>
              <w:rPr>
                <w:rFonts w:cs="Arial"/>
                <w:lang w:val="en-GB"/>
              </w:rPr>
              <m:t>I</m:t>
            </m:r>
          </m:e>
        </m:acc>
      </m:oMath>
      <w:r w:rsidRPr="001B42E4">
        <w:rPr>
          <w:rFonts w:cs="Arial"/>
          <w:lang w:val="en-GB"/>
        </w:rPr>
        <w:t xml:space="preserve"> is the unit tensor.</w:t>
      </w:r>
    </w:p>
    <w:p w14:paraId="738760AA" w14:textId="77777777" w:rsidR="00960C62" w:rsidRPr="001B42E4" w:rsidRDefault="00960C62" w:rsidP="00960C62">
      <w:pPr>
        <w:pStyle w:val="CETBodytext"/>
        <w:rPr>
          <w:rFonts w:cs="Arial"/>
          <w:lang w:val="en-GB"/>
        </w:rPr>
      </w:pPr>
      <w:r w:rsidRPr="001B42E4">
        <w:rPr>
          <w:rFonts w:cs="Arial"/>
          <w:lang w:val="en-GB"/>
        </w:rPr>
        <w:t>In addition, when there is more than one chemical species in the system, the mass conservation equation is introduced for a single component, as shown in Eq. (4):</w:t>
      </w:r>
    </w:p>
    <w:tbl>
      <w:tblPr>
        <w:tblW w:w="5000" w:type="pct"/>
        <w:tblLook w:val="04A0" w:firstRow="1" w:lastRow="0" w:firstColumn="1" w:lastColumn="0" w:noHBand="0" w:noVBand="1"/>
      </w:tblPr>
      <w:tblGrid>
        <w:gridCol w:w="7986"/>
        <w:gridCol w:w="801"/>
      </w:tblGrid>
      <w:tr w:rsidR="00960C62" w:rsidRPr="001B42E4" w14:paraId="247487C1" w14:textId="77777777" w:rsidTr="008B5CFB">
        <w:tc>
          <w:tcPr>
            <w:tcW w:w="7986" w:type="dxa"/>
            <w:shd w:val="clear" w:color="auto" w:fill="auto"/>
            <w:vAlign w:val="center"/>
          </w:tcPr>
          <w:p w14:paraId="2B943C97" w14:textId="77777777" w:rsidR="00960C62" w:rsidRPr="000914C5" w:rsidRDefault="00E27DA3" w:rsidP="008B5CFB">
            <w:pPr>
              <w:pStyle w:val="CETEquation"/>
              <w:rPr>
                <w:rFonts w:cs="Arial"/>
                <w:lang w:val="it-IT"/>
              </w:rPr>
            </w:pPr>
            <m:oMathPara>
              <m:oMathParaPr>
                <m:jc m:val="left"/>
              </m:oMathParaPr>
              <m:oMath>
                <m:f>
                  <m:fPr>
                    <m:ctrlPr>
                      <w:rPr>
                        <w:rFonts w:ascii="Cambria Math" w:hAnsi="Cambria Math" w:cs="Arial"/>
                        <w:i/>
                      </w:rPr>
                    </m:ctrlPr>
                  </m:fPr>
                  <m:num>
                    <m:r>
                      <m:rPr>
                        <m:nor/>
                      </m:rPr>
                      <w:rPr>
                        <w:rFonts w:cs="Arial"/>
                        <w:lang w:val="it-IT"/>
                      </w:rPr>
                      <m:t>∂</m:t>
                    </m:r>
                  </m:num>
                  <m:den>
                    <m:r>
                      <m:rPr>
                        <m:nor/>
                      </m:rPr>
                      <w:rPr>
                        <w:rFonts w:cs="Arial"/>
                        <w:lang w:val="it-IT"/>
                      </w:rPr>
                      <m:t>∂t</m:t>
                    </m:r>
                  </m:den>
                </m:f>
                <m:d>
                  <m:dPr>
                    <m:ctrlPr>
                      <w:rPr>
                        <w:rFonts w:ascii="Cambria Math" w:hAnsi="Cambria Math" w:cs="Arial"/>
                        <w:i/>
                      </w:rPr>
                    </m:ctrlPr>
                  </m:dPr>
                  <m:e>
                    <m:r>
                      <m:rPr>
                        <m:nor/>
                      </m:rPr>
                      <w:rPr>
                        <w:rFonts w:cs="Arial"/>
                      </w:rPr>
                      <m:t>ρ</m:t>
                    </m:r>
                    <m:sSub>
                      <m:sSubPr>
                        <m:ctrlPr>
                          <w:rPr>
                            <w:rFonts w:ascii="Cambria Math" w:hAnsi="Cambria Math" w:cs="Arial"/>
                            <w:i/>
                          </w:rPr>
                        </m:ctrlPr>
                      </m:sSubPr>
                      <m:e>
                        <m:r>
                          <m:rPr>
                            <m:nor/>
                          </m:rPr>
                          <w:rPr>
                            <w:rFonts w:cs="Arial"/>
                            <w:lang w:val="it-IT"/>
                          </w:rPr>
                          <m:t>Y</m:t>
                        </m:r>
                      </m:e>
                      <m:sub>
                        <m:r>
                          <m:rPr>
                            <m:nor/>
                          </m:rPr>
                          <w:rPr>
                            <w:rFonts w:cs="Arial"/>
                            <w:lang w:val="it-IT"/>
                          </w:rPr>
                          <m:t>i</m:t>
                        </m:r>
                      </m:sub>
                    </m:sSub>
                  </m:e>
                </m:d>
                <m:r>
                  <m:rPr>
                    <m:nor/>
                  </m:rPr>
                  <w:rPr>
                    <w:rFonts w:ascii="Cambria Math" w:cs="Arial"/>
                    <w:lang w:val="it-IT"/>
                  </w:rPr>
                  <m:t xml:space="preserve"> </m:t>
                </m:r>
                <m:r>
                  <m:rPr>
                    <m:nor/>
                  </m:rPr>
                  <w:rPr>
                    <w:rFonts w:cs="Arial"/>
                    <w:lang w:val="it-IT"/>
                  </w:rPr>
                  <m:t>+</m:t>
                </m:r>
                <m:r>
                  <m:rPr>
                    <m:nor/>
                  </m:rPr>
                  <w:rPr>
                    <w:rFonts w:ascii="Cambria Math" w:cs="Arial"/>
                    <w:lang w:val="it-IT"/>
                  </w:rPr>
                  <m:t xml:space="preserve"> </m:t>
                </m:r>
                <m:acc>
                  <m:accPr>
                    <m:chr m:val="̅"/>
                    <m:ctrlPr>
                      <w:rPr>
                        <w:rFonts w:ascii="Cambria Math" w:hAnsi="Cambria Math" w:cs="Arial"/>
                      </w:rPr>
                    </m:ctrlPr>
                  </m:accPr>
                  <m:e>
                    <m:r>
                      <m:rPr>
                        <m:nor/>
                      </m:rPr>
                      <w:rPr>
                        <w:rFonts w:ascii="Cambria Math" w:hAnsi="Cambria Math" w:cs="Cambria Math"/>
                        <w:lang w:val="it-IT"/>
                      </w:rPr>
                      <m:t>∇</m:t>
                    </m:r>
                  </m:e>
                </m:acc>
                <m:r>
                  <m:rPr>
                    <m:nor/>
                  </m:rPr>
                  <w:rPr>
                    <w:rFonts w:ascii="Cambria Math" w:cs="Arial"/>
                    <w:lang w:val="it-IT"/>
                  </w:rPr>
                  <m:t xml:space="preserve"> </m:t>
                </m:r>
                <m:r>
                  <m:rPr>
                    <m:nor/>
                  </m:rPr>
                  <w:rPr>
                    <w:rFonts w:ascii="Cambria Math" w:hAnsi="Cambria Math" w:cs="Cambria Math"/>
                    <w:lang w:val="it-IT"/>
                  </w:rPr>
                  <m:t>⋅</m:t>
                </m:r>
                <m:r>
                  <w:rPr>
                    <w:rFonts w:ascii="Cambria Math" w:hAnsi="Cambria Math" w:cs="Arial"/>
                    <w:lang w:val="it-IT"/>
                  </w:rPr>
                  <m:t xml:space="preserve"> </m:t>
                </m:r>
                <m:d>
                  <m:dPr>
                    <m:ctrlPr>
                      <w:rPr>
                        <w:rFonts w:ascii="Cambria Math" w:hAnsi="Cambria Math" w:cs="Arial"/>
                        <w:i/>
                      </w:rPr>
                    </m:ctrlPr>
                  </m:dPr>
                  <m:e>
                    <m:r>
                      <m:rPr>
                        <m:nor/>
                      </m:rPr>
                      <w:rPr>
                        <w:rFonts w:cs="Arial"/>
                      </w:rPr>
                      <m:t>ρ</m:t>
                    </m:r>
                    <m:acc>
                      <m:accPr>
                        <m:chr m:val="̅"/>
                        <m:ctrlPr>
                          <w:rPr>
                            <w:rFonts w:ascii="Cambria Math" w:hAnsi="Cambria Math" w:cs="Arial"/>
                            <w:i/>
                          </w:rPr>
                        </m:ctrlPr>
                      </m:accPr>
                      <m:e>
                        <m:r>
                          <m:rPr>
                            <m:nor/>
                          </m:rPr>
                          <w:rPr>
                            <w:rFonts w:cs="Arial"/>
                            <w:lang w:val="it-IT"/>
                          </w:rPr>
                          <m:t>u</m:t>
                        </m:r>
                      </m:e>
                    </m:acc>
                    <m:sSub>
                      <m:sSubPr>
                        <m:ctrlPr>
                          <w:rPr>
                            <w:rFonts w:ascii="Cambria Math" w:hAnsi="Cambria Math" w:cs="Arial"/>
                            <w:i/>
                          </w:rPr>
                        </m:ctrlPr>
                      </m:sSubPr>
                      <m:e>
                        <m:r>
                          <m:rPr>
                            <m:nor/>
                          </m:rPr>
                          <w:rPr>
                            <w:rFonts w:cs="Arial"/>
                            <w:lang w:val="it-IT"/>
                          </w:rPr>
                          <m:t>Y</m:t>
                        </m:r>
                      </m:e>
                      <m:sub>
                        <m:r>
                          <m:rPr>
                            <m:nor/>
                          </m:rPr>
                          <w:rPr>
                            <w:rFonts w:cs="Arial"/>
                            <w:lang w:val="it-IT"/>
                          </w:rPr>
                          <m:t>i</m:t>
                        </m:r>
                      </m:sub>
                    </m:sSub>
                  </m:e>
                </m:d>
                <m:r>
                  <m:rPr>
                    <m:nor/>
                  </m:rPr>
                  <w:rPr>
                    <w:rFonts w:ascii="Cambria Math" w:cs="Arial"/>
                    <w:lang w:val="it-IT"/>
                  </w:rPr>
                  <m:t xml:space="preserve"> </m:t>
                </m:r>
                <m:r>
                  <m:rPr>
                    <m:nor/>
                  </m:rPr>
                  <w:rPr>
                    <w:rFonts w:cs="Arial"/>
                    <w:lang w:val="it-IT"/>
                  </w:rPr>
                  <m:t>=</m:t>
                </m:r>
                <m:r>
                  <m:rPr>
                    <m:nor/>
                  </m:rPr>
                  <w:rPr>
                    <w:rFonts w:ascii="Cambria Math" w:cs="Arial"/>
                    <w:lang w:val="it-IT"/>
                  </w:rPr>
                  <m:t xml:space="preserve"> </m:t>
                </m:r>
                <m:r>
                  <m:rPr>
                    <m:nor/>
                  </m:rPr>
                  <w:rPr>
                    <w:rFonts w:cs="Arial"/>
                    <w:lang w:val="it-IT"/>
                  </w:rPr>
                  <m:t>-</m:t>
                </m:r>
                <m:r>
                  <m:rPr>
                    <m:nor/>
                  </m:rPr>
                  <w:rPr>
                    <w:rFonts w:ascii="Cambria Math" w:cs="Arial"/>
                    <w:lang w:val="it-IT"/>
                  </w:rPr>
                  <m:t xml:space="preserve"> </m:t>
                </m:r>
                <m:acc>
                  <m:accPr>
                    <m:chr m:val="̅"/>
                    <m:ctrlPr>
                      <w:rPr>
                        <w:rFonts w:ascii="Cambria Math" w:hAnsi="Cambria Math" w:cs="Arial"/>
                      </w:rPr>
                    </m:ctrlPr>
                  </m:accPr>
                  <m:e>
                    <m:r>
                      <m:rPr>
                        <m:nor/>
                      </m:rPr>
                      <w:rPr>
                        <w:rFonts w:ascii="Cambria Math" w:hAnsi="Cambria Math" w:cs="Cambria Math"/>
                        <w:lang w:val="it-IT"/>
                      </w:rPr>
                      <m:t>∇</m:t>
                    </m:r>
                  </m:e>
                </m:acc>
                <m:r>
                  <m:rPr>
                    <m:nor/>
                  </m:rPr>
                  <w:rPr>
                    <w:rFonts w:ascii="Cambria Math" w:hAnsi="Cambria Math" w:cs="Cambria Math"/>
                    <w:lang w:val="it-IT"/>
                  </w:rPr>
                  <m:t xml:space="preserve"> ⋅</m:t>
                </m:r>
                <m:r>
                  <w:rPr>
                    <w:rFonts w:ascii="Cambria Math" w:hAnsi="Cambria Math" w:cs="Arial"/>
                    <w:lang w:val="it-IT"/>
                  </w:rPr>
                  <m:t xml:space="preserve"> </m:t>
                </m:r>
                <m:acc>
                  <m:accPr>
                    <m:chr m:val="̅"/>
                    <m:ctrlPr>
                      <w:rPr>
                        <w:rFonts w:ascii="Cambria Math" w:hAnsi="Cambria Math" w:cs="Arial"/>
                        <w:i/>
                      </w:rPr>
                    </m:ctrlPr>
                  </m:accPr>
                  <m:e>
                    <m:sSub>
                      <m:sSubPr>
                        <m:ctrlPr>
                          <w:rPr>
                            <w:rFonts w:ascii="Cambria Math" w:hAnsi="Cambria Math" w:cs="Arial"/>
                            <w:i/>
                          </w:rPr>
                        </m:ctrlPr>
                      </m:sSubPr>
                      <m:e>
                        <m:r>
                          <m:rPr>
                            <m:nor/>
                          </m:rPr>
                          <w:rPr>
                            <w:rFonts w:cs="Arial"/>
                            <w:lang w:val="it-IT"/>
                          </w:rPr>
                          <m:t>J</m:t>
                        </m:r>
                      </m:e>
                      <m:sub>
                        <m:r>
                          <m:rPr>
                            <m:nor/>
                          </m:rPr>
                          <w:rPr>
                            <w:rFonts w:cs="Arial"/>
                            <w:lang w:val="it-IT"/>
                          </w:rPr>
                          <m:t>i</m:t>
                        </m:r>
                      </m:sub>
                    </m:sSub>
                  </m:e>
                </m:acc>
                <m:r>
                  <m:rPr>
                    <m:nor/>
                  </m:rPr>
                  <w:rPr>
                    <w:rFonts w:ascii="Cambria Math" w:cs="Arial"/>
                    <w:lang w:val="it-IT"/>
                  </w:rPr>
                  <m:t xml:space="preserve"> </m:t>
                </m:r>
                <m:r>
                  <m:rPr>
                    <m:nor/>
                  </m:rPr>
                  <w:rPr>
                    <w:rFonts w:cs="Arial"/>
                    <w:lang w:val="it-IT"/>
                  </w:rPr>
                  <m:t>+</m:t>
                </m:r>
                <m:r>
                  <m:rPr>
                    <m:nor/>
                  </m:rPr>
                  <w:rPr>
                    <w:rFonts w:ascii="Cambria Math" w:cs="Arial"/>
                    <w:lang w:val="it-IT"/>
                  </w:rPr>
                  <m:t xml:space="preserve"> </m:t>
                </m:r>
                <m:sSub>
                  <m:sSubPr>
                    <m:ctrlPr>
                      <w:rPr>
                        <w:rFonts w:ascii="Cambria Math" w:hAnsi="Cambria Math" w:cs="Arial"/>
                        <w:i/>
                      </w:rPr>
                    </m:ctrlPr>
                  </m:sSubPr>
                  <m:e>
                    <m:r>
                      <m:rPr>
                        <m:nor/>
                      </m:rPr>
                      <w:rPr>
                        <w:rFonts w:cs="Arial"/>
                        <w:lang w:val="it-IT"/>
                      </w:rPr>
                      <m:t>R</m:t>
                    </m:r>
                  </m:e>
                  <m:sub>
                    <m:r>
                      <m:rPr>
                        <m:nor/>
                      </m:rPr>
                      <w:rPr>
                        <w:rFonts w:cs="Arial"/>
                        <w:lang w:val="it-IT"/>
                      </w:rPr>
                      <m:t>i</m:t>
                    </m:r>
                  </m:sub>
                </m:sSub>
              </m:oMath>
            </m:oMathPara>
          </w:p>
        </w:tc>
        <w:tc>
          <w:tcPr>
            <w:tcW w:w="801" w:type="dxa"/>
            <w:shd w:val="clear" w:color="auto" w:fill="auto"/>
            <w:vAlign w:val="center"/>
          </w:tcPr>
          <w:p w14:paraId="70E536CF" w14:textId="77777777" w:rsidR="00960C62" w:rsidRPr="001B42E4" w:rsidRDefault="00960C62" w:rsidP="008B5CFB">
            <w:pPr>
              <w:pStyle w:val="CETEquation"/>
              <w:jc w:val="right"/>
            </w:pPr>
            <w:r w:rsidRPr="001B42E4">
              <w:t>(4)</w:t>
            </w:r>
          </w:p>
        </w:tc>
      </w:tr>
    </w:tbl>
    <w:p w14:paraId="2588C7F6" w14:textId="77777777" w:rsidR="00960C62" w:rsidRPr="001B42E4" w:rsidRDefault="00960C62" w:rsidP="00960C62">
      <w:pPr>
        <w:pStyle w:val="CETBodytext"/>
        <w:rPr>
          <w:lang w:val="en-GB"/>
        </w:rPr>
      </w:pPr>
      <w:r w:rsidRPr="001B42E4">
        <w:rPr>
          <w:lang w:val="en-GB"/>
        </w:rPr>
        <w:t xml:space="preserve">Where </w:t>
      </w:r>
      <m:oMath>
        <m:sSub>
          <m:sSubPr>
            <m:ctrlPr>
              <w:rPr>
                <w:rFonts w:ascii="Cambria Math" w:hAnsi="Cambria Math" w:cs="Arial"/>
                <w:i/>
                <w:lang w:val="en-GB"/>
              </w:rPr>
            </m:ctrlPr>
          </m:sSubPr>
          <m:e>
            <m:r>
              <m:rPr>
                <m:nor/>
              </m:rPr>
              <w:rPr>
                <w:rFonts w:cs="Arial"/>
                <w:lang w:val="en-GB"/>
              </w:rPr>
              <m:t>Y</m:t>
            </m:r>
          </m:e>
          <m:sub>
            <m:r>
              <m:rPr>
                <m:nor/>
              </m:rPr>
              <w:rPr>
                <w:rFonts w:cs="Arial"/>
                <w:lang w:val="en-GB"/>
              </w:rPr>
              <m:t>i</m:t>
            </m:r>
          </m:sub>
        </m:sSub>
      </m:oMath>
      <w:r w:rsidRPr="001B42E4">
        <w:rPr>
          <w:lang w:val="en-GB"/>
        </w:rPr>
        <w:t xml:space="preserve"> is the mass fraction of the species i, </w:t>
      </w:r>
      <m:oMath>
        <m:sSub>
          <m:sSubPr>
            <m:ctrlPr>
              <w:rPr>
                <w:rFonts w:ascii="Cambria Math" w:hAnsi="Cambria Math" w:cs="Arial"/>
                <w:i/>
                <w:lang w:val="en-GB"/>
              </w:rPr>
            </m:ctrlPr>
          </m:sSubPr>
          <m:e>
            <m:r>
              <m:rPr>
                <m:nor/>
              </m:rPr>
              <w:rPr>
                <w:rFonts w:cs="Arial"/>
                <w:lang w:val="en-GB"/>
              </w:rPr>
              <m:t>R</m:t>
            </m:r>
          </m:e>
          <m:sub>
            <m:r>
              <m:rPr>
                <m:nor/>
              </m:rPr>
              <w:rPr>
                <w:rFonts w:cs="Arial"/>
                <w:lang w:val="en-GB"/>
              </w:rPr>
              <m:t>i</m:t>
            </m:r>
          </m:sub>
        </m:sSub>
      </m:oMath>
      <w:r w:rsidRPr="001B42E4">
        <w:rPr>
          <w:lang w:val="en-GB"/>
        </w:rPr>
        <w:t xml:space="preserve"> is its net rate of production by chemical reaction (not present in this case) and </w:t>
      </w:r>
      <m:oMath>
        <m:acc>
          <m:accPr>
            <m:chr m:val="̅"/>
            <m:ctrlPr>
              <w:rPr>
                <w:rFonts w:ascii="Cambria Math" w:hAnsi="Cambria Math" w:cs="Arial"/>
                <w:i/>
                <w:lang w:val="en-GB"/>
              </w:rPr>
            </m:ctrlPr>
          </m:accPr>
          <m:e>
            <m:sSub>
              <m:sSubPr>
                <m:ctrlPr>
                  <w:rPr>
                    <w:rFonts w:ascii="Cambria Math" w:hAnsi="Cambria Math" w:cs="Arial"/>
                    <w:i/>
                    <w:lang w:val="en-GB"/>
                  </w:rPr>
                </m:ctrlPr>
              </m:sSubPr>
              <m:e>
                <m:r>
                  <m:rPr>
                    <m:nor/>
                  </m:rPr>
                  <w:rPr>
                    <w:rFonts w:cs="Arial"/>
                    <w:lang w:val="en-GB"/>
                  </w:rPr>
                  <m:t>J</m:t>
                </m:r>
              </m:e>
              <m:sub>
                <m:r>
                  <m:rPr>
                    <m:nor/>
                  </m:rPr>
                  <w:rPr>
                    <w:rFonts w:cs="Arial"/>
                    <w:lang w:val="en-GB"/>
                  </w:rPr>
                  <m:t>i</m:t>
                </m:r>
              </m:sub>
            </m:sSub>
          </m:e>
        </m:acc>
        <m:r>
          <m:rPr>
            <m:nor/>
          </m:rPr>
          <w:rPr>
            <w:rFonts w:ascii="Cambria Math" w:cs="Arial"/>
            <w:lang w:val="en-GB"/>
          </w:rPr>
          <m:t xml:space="preserve"> </m:t>
        </m:r>
      </m:oMath>
      <w:r w:rsidRPr="001B42E4">
        <w:rPr>
          <w:lang w:val="en-GB"/>
        </w:rPr>
        <w:t>is the diffusion flux, calculated through the Fick’s law (Eq. (5)).</w:t>
      </w:r>
    </w:p>
    <w:tbl>
      <w:tblPr>
        <w:tblW w:w="5000" w:type="pct"/>
        <w:tblLook w:val="04A0" w:firstRow="1" w:lastRow="0" w:firstColumn="1" w:lastColumn="0" w:noHBand="0" w:noVBand="1"/>
      </w:tblPr>
      <w:tblGrid>
        <w:gridCol w:w="7986"/>
        <w:gridCol w:w="801"/>
      </w:tblGrid>
      <w:tr w:rsidR="00960C62" w:rsidRPr="001B42E4" w14:paraId="126E5809" w14:textId="77777777" w:rsidTr="008B5CFB">
        <w:tc>
          <w:tcPr>
            <w:tcW w:w="7986" w:type="dxa"/>
            <w:shd w:val="clear" w:color="auto" w:fill="auto"/>
            <w:vAlign w:val="center"/>
          </w:tcPr>
          <w:p w14:paraId="0B6C01D6" w14:textId="77777777" w:rsidR="00960C62" w:rsidRPr="000914C5" w:rsidRDefault="00E27DA3" w:rsidP="008B5CFB">
            <w:pPr>
              <w:pStyle w:val="CETEquation"/>
              <w:rPr>
                <w:rFonts w:cs="Arial"/>
                <w:lang w:val="it-IT"/>
              </w:rPr>
            </w:pPr>
            <m:oMathPara>
              <m:oMathParaPr>
                <m:jc m:val="left"/>
              </m:oMathParaPr>
              <m:oMath>
                <m:acc>
                  <m:accPr>
                    <m:chr m:val="̅"/>
                    <m:ctrlPr>
                      <w:rPr>
                        <w:rFonts w:ascii="Cambria Math" w:hAnsi="Cambria Math" w:cs="Arial"/>
                        <w:i/>
                      </w:rPr>
                    </m:ctrlPr>
                  </m:accPr>
                  <m:e>
                    <m:sSub>
                      <m:sSubPr>
                        <m:ctrlPr>
                          <w:rPr>
                            <w:rFonts w:ascii="Cambria Math" w:hAnsi="Cambria Math" w:cs="Arial"/>
                            <w:i/>
                          </w:rPr>
                        </m:ctrlPr>
                      </m:sSubPr>
                      <m:e>
                        <m:r>
                          <m:rPr>
                            <m:nor/>
                          </m:rPr>
                          <w:rPr>
                            <w:rFonts w:cs="Arial"/>
                            <w:lang w:val="it-IT"/>
                          </w:rPr>
                          <m:t>J</m:t>
                        </m:r>
                      </m:e>
                      <m:sub>
                        <m:r>
                          <m:rPr>
                            <m:nor/>
                          </m:rPr>
                          <w:rPr>
                            <w:rFonts w:cs="Arial"/>
                            <w:lang w:val="it-IT"/>
                          </w:rPr>
                          <m:t>i</m:t>
                        </m:r>
                      </m:sub>
                    </m:sSub>
                  </m:e>
                </m:acc>
                <m:r>
                  <m:rPr>
                    <m:nor/>
                  </m:rPr>
                  <w:rPr>
                    <w:rFonts w:ascii="Cambria Math" w:cs="Arial"/>
                    <w:lang w:val="it-IT"/>
                  </w:rPr>
                  <m:t xml:space="preserve"> </m:t>
                </m:r>
                <m:r>
                  <m:rPr>
                    <m:nor/>
                  </m:rPr>
                  <w:rPr>
                    <w:rFonts w:cs="Arial"/>
                    <w:lang w:val="it-IT"/>
                  </w:rPr>
                  <m:t>=</m:t>
                </m:r>
                <m:r>
                  <m:rPr>
                    <m:nor/>
                  </m:rPr>
                  <w:rPr>
                    <w:rFonts w:ascii="Cambria Math" w:cs="Arial"/>
                    <w:lang w:val="it-IT"/>
                  </w:rPr>
                  <m:t xml:space="preserve"> </m:t>
                </m:r>
                <m:r>
                  <m:rPr>
                    <m:nor/>
                  </m:rPr>
                  <w:rPr>
                    <w:rFonts w:cs="Arial"/>
                    <w:lang w:val="it-IT"/>
                  </w:rPr>
                  <m:t>-</m:t>
                </m:r>
                <m:r>
                  <m:rPr>
                    <m:nor/>
                  </m:rPr>
                  <w:rPr>
                    <w:rFonts w:ascii="Cambria Math" w:cs="Arial"/>
                    <w:lang w:val="it-IT"/>
                  </w:rPr>
                  <m:t xml:space="preserve"> </m:t>
                </m:r>
                <m:r>
                  <m:rPr>
                    <m:nor/>
                  </m:rPr>
                  <w:rPr>
                    <w:rFonts w:cs="Arial"/>
                  </w:rPr>
                  <m:t>ρ</m:t>
                </m:r>
                <m:sSub>
                  <m:sSubPr>
                    <m:ctrlPr>
                      <w:rPr>
                        <w:rFonts w:ascii="Cambria Math" w:hAnsi="Cambria Math" w:cs="Arial"/>
                        <w:i/>
                      </w:rPr>
                    </m:ctrlPr>
                  </m:sSubPr>
                  <m:e>
                    <m:r>
                      <m:rPr>
                        <m:nor/>
                      </m:rPr>
                      <w:rPr>
                        <w:rFonts w:cs="Arial"/>
                        <w:lang w:val="it-IT"/>
                      </w:rPr>
                      <m:t>D</m:t>
                    </m:r>
                  </m:e>
                  <m:sub>
                    <m:r>
                      <m:rPr>
                        <m:nor/>
                      </m:rPr>
                      <w:rPr>
                        <w:rFonts w:cs="Arial"/>
                        <w:lang w:val="it-IT"/>
                      </w:rPr>
                      <m:t>i,m</m:t>
                    </m:r>
                  </m:sub>
                </m:sSub>
                <m:acc>
                  <m:accPr>
                    <m:chr m:val="̅"/>
                    <m:ctrlPr>
                      <w:rPr>
                        <w:rFonts w:ascii="Cambria Math" w:hAnsi="Cambria Math" w:cs="Arial"/>
                      </w:rPr>
                    </m:ctrlPr>
                  </m:accPr>
                  <m:e>
                    <m:r>
                      <m:rPr>
                        <m:nor/>
                      </m:rPr>
                      <w:rPr>
                        <w:rFonts w:ascii="Cambria Math" w:hAnsi="Cambria Math" w:cs="Cambria Math"/>
                        <w:lang w:val="it-IT"/>
                      </w:rPr>
                      <m:t>∇</m:t>
                    </m:r>
                  </m:e>
                </m:acc>
                <m:sSub>
                  <m:sSubPr>
                    <m:ctrlPr>
                      <w:rPr>
                        <w:rFonts w:ascii="Cambria Math" w:hAnsi="Cambria Math" w:cs="Arial"/>
                        <w:i/>
                      </w:rPr>
                    </m:ctrlPr>
                  </m:sSubPr>
                  <m:e>
                    <m:r>
                      <m:rPr>
                        <m:nor/>
                      </m:rPr>
                      <w:rPr>
                        <w:rFonts w:cs="Arial"/>
                        <w:lang w:val="it-IT"/>
                      </w:rPr>
                      <m:t>Y</m:t>
                    </m:r>
                  </m:e>
                  <m:sub>
                    <m:r>
                      <m:rPr>
                        <m:nor/>
                      </m:rPr>
                      <w:rPr>
                        <w:rFonts w:cs="Arial"/>
                        <w:lang w:val="it-IT"/>
                      </w:rPr>
                      <m:t>i</m:t>
                    </m:r>
                  </m:sub>
                </m:sSub>
                <m:r>
                  <w:rPr>
                    <w:rFonts w:ascii="Cambria Math" w:hAnsi="Cambria Math" w:cs="Arial"/>
                    <w:lang w:val="it-IT"/>
                  </w:rPr>
                  <m:t xml:space="preserve"> </m:t>
                </m:r>
                <m:r>
                  <m:rPr>
                    <m:nor/>
                  </m:rPr>
                  <w:rPr>
                    <w:rFonts w:cs="Arial"/>
                    <w:lang w:val="it-IT"/>
                  </w:rPr>
                  <m:t>-</m:t>
                </m:r>
                <m:r>
                  <m:rPr>
                    <m:nor/>
                  </m:rPr>
                  <w:rPr>
                    <w:rFonts w:ascii="Cambria Math" w:cs="Arial"/>
                    <w:lang w:val="it-IT"/>
                  </w:rPr>
                  <m:t xml:space="preserve"> </m:t>
                </m:r>
                <m:sSub>
                  <m:sSubPr>
                    <m:ctrlPr>
                      <w:rPr>
                        <w:rFonts w:ascii="Cambria Math" w:hAnsi="Cambria Math" w:cs="Arial"/>
                        <w:i/>
                      </w:rPr>
                    </m:ctrlPr>
                  </m:sSubPr>
                  <m:e>
                    <m:r>
                      <m:rPr>
                        <m:nor/>
                      </m:rPr>
                      <w:rPr>
                        <w:rFonts w:cs="Arial"/>
                        <w:lang w:val="it-IT"/>
                      </w:rPr>
                      <m:t>D</m:t>
                    </m:r>
                  </m:e>
                  <m:sub>
                    <m:r>
                      <m:rPr>
                        <m:nor/>
                      </m:rPr>
                      <w:rPr>
                        <w:rFonts w:cs="Arial"/>
                        <w:lang w:val="it-IT"/>
                      </w:rPr>
                      <m:t>i,T</m:t>
                    </m:r>
                  </m:sub>
                </m:sSub>
                <m:f>
                  <m:fPr>
                    <m:ctrlPr>
                      <w:rPr>
                        <w:rFonts w:ascii="Cambria Math" w:hAnsi="Cambria Math" w:cs="Arial"/>
                        <w:i/>
                      </w:rPr>
                    </m:ctrlPr>
                  </m:fPr>
                  <m:num>
                    <m:acc>
                      <m:accPr>
                        <m:chr m:val="̅"/>
                        <m:ctrlPr>
                          <w:rPr>
                            <w:rFonts w:ascii="Cambria Math" w:hAnsi="Cambria Math" w:cs="Arial"/>
                          </w:rPr>
                        </m:ctrlPr>
                      </m:accPr>
                      <m:e>
                        <m:r>
                          <m:rPr>
                            <m:nor/>
                          </m:rPr>
                          <w:rPr>
                            <w:rFonts w:ascii="Cambria Math" w:hAnsi="Cambria Math" w:cs="Cambria Math"/>
                            <w:lang w:val="it-IT"/>
                          </w:rPr>
                          <m:t>∇</m:t>
                        </m:r>
                      </m:e>
                    </m:acc>
                    <m:r>
                      <m:rPr>
                        <m:nor/>
                      </m:rPr>
                      <w:rPr>
                        <w:rFonts w:cs="Arial"/>
                        <w:lang w:val="it-IT"/>
                      </w:rPr>
                      <m:t>T</m:t>
                    </m:r>
                  </m:num>
                  <m:den>
                    <m:r>
                      <m:rPr>
                        <m:nor/>
                      </m:rPr>
                      <w:rPr>
                        <w:rFonts w:cs="Arial"/>
                        <w:lang w:val="it-IT"/>
                      </w:rPr>
                      <m:t>T</m:t>
                    </m:r>
                  </m:den>
                </m:f>
              </m:oMath>
            </m:oMathPara>
          </w:p>
        </w:tc>
        <w:tc>
          <w:tcPr>
            <w:tcW w:w="801" w:type="dxa"/>
            <w:shd w:val="clear" w:color="auto" w:fill="auto"/>
            <w:vAlign w:val="center"/>
          </w:tcPr>
          <w:p w14:paraId="498F1D92" w14:textId="77777777" w:rsidR="00960C62" w:rsidRPr="001B42E4" w:rsidRDefault="00960C62" w:rsidP="008B5CFB">
            <w:pPr>
              <w:pStyle w:val="CETEquation"/>
              <w:jc w:val="right"/>
            </w:pPr>
            <w:r w:rsidRPr="001B42E4">
              <w:t>(5)</w:t>
            </w:r>
          </w:p>
        </w:tc>
      </w:tr>
    </w:tbl>
    <w:p w14:paraId="2E341D9F" w14:textId="77777777" w:rsidR="00960C62" w:rsidRPr="001B42E4" w:rsidRDefault="00960C62" w:rsidP="00960C62">
      <w:pPr>
        <w:pStyle w:val="CETBodytext"/>
        <w:rPr>
          <w:rFonts w:eastAsiaTheme="minorHAnsi"/>
          <w:lang w:val="en-GB"/>
        </w:rPr>
      </w:pPr>
      <w:r w:rsidRPr="001B42E4">
        <w:rPr>
          <w:lang w:val="en-GB"/>
        </w:rPr>
        <w:t xml:space="preserve">Where </w:t>
      </w:r>
      <m:oMath>
        <m:sSub>
          <m:sSubPr>
            <m:ctrlPr>
              <w:rPr>
                <w:rFonts w:ascii="Cambria Math" w:hAnsi="Cambria Math" w:cs="Arial"/>
                <w:i/>
                <w:lang w:val="en-GB"/>
              </w:rPr>
            </m:ctrlPr>
          </m:sSubPr>
          <m:e>
            <m:r>
              <m:rPr>
                <m:nor/>
              </m:rPr>
              <w:rPr>
                <w:rFonts w:cs="Arial"/>
                <w:lang w:val="en-GB"/>
              </w:rPr>
              <m:t>D</m:t>
            </m:r>
          </m:e>
          <m:sub>
            <m:r>
              <m:rPr>
                <m:nor/>
              </m:rPr>
              <w:rPr>
                <w:rFonts w:cs="Arial"/>
                <w:lang w:val="en-GB"/>
              </w:rPr>
              <m:t>i,m</m:t>
            </m:r>
          </m:sub>
        </m:sSub>
      </m:oMath>
      <w:r w:rsidRPr="001B42E4">
        <w:rPr>
          <w:lang w:val="en-GB"/>
        </w:rPr>
        <w:t xml:space="preserve"> is the mass diffusion coefficient for the species i in the mixture, </w:t>
      </w:r>
      <m:oMath>
        <m:sSub>
          <m:sSubPr>
            <m:ctrlPr>
              <w:rPr>
                <w:rFonts w:ascii="Cambria Math" w:hAnsi="Cambria Math" w:cs="Arial"/>
                <w:i/>
                <w:lang w:val="en-GB"/>
              </w:rPr>
            </m:ctrlPr>
          </m:sSubPr>
          <m:e>
            <m:r>
              <m:rPr>
                <m:nor/>
              </m:rPr>
              <w:rPr>
                <w:rFonts w:cs="Arial"/>
                <w:lang w:val="en-GB"/>
              </w:rPr>
              <m:t>D</m:t>
            </m:r>
          </m:e>
          <m:sub>
            <m:r>
              <m:rPr>
                <m:nor/>
              </m:rPr>
              <w:rPr>
                <w:rFonts w:cs="Arial"/>
                <w:lang w:val="en-GB"/>
              </w:rPr>
              <m:t>i,T</m:t>
            </m:r>
          </m:sub>
        </m:sSub>
      </m:oMath>
      <w:r w:rsidRPr="001B42E4">
        <w:rPr>
          <w:lang w:val="en-GB"/>
        </w:rPr>
        <w:t xml:space="preserve"> is the thermal diffusion coefficient, and </w:t>
      </w:r>
      <m:oMath>
        <m:r>
          <m:rPr>
            <m:nor/>
          </m:rPr>
          <w:rPr>
            <w:rFonts w:cs="Arial"/>
            <w:lang w:val="en-GB"/>
          </w:rPr>
          <m:t>T</m:t>
        </m:r>
      </m:oMath>
      <w:r w:rsidRPr="001B42E4">
        <w:rPr>
          <w:lang w:val="en-GB"/>
        </w:rPr>
        <w:t xml:space="preserve"> is the temperature of the fluid</w:t>
      </w:r>
      <w:r w:rsidRPr="001B42E4">
        <w:rPr>
          <w:rFonts w:eastAsiaTheme="minorHAnsi"/>
          <w:lang w:val="en-GB"/>
        </w:rPr>
        <w:t>.</w:t>
      </w:r>
    </w:p>
    <w:p w14:paraId="20613A20" w14:textId="77777777" w:rsidR="00960C62" w:rsidRPr="001B42E4" w:rsidRDefault="00960C62" w:rsidP="00960C62">
      <w:pPr>
        <w:pStyle w:val="CETBodytext"/>
        <w:rPr>
          <w:rFonts w:eastAsiaTheme="minorHAnsi"/>
          <w:lang w:val="en-GB"/>
        </w:rPr>
      </w:pPr>
      <w:r w:rsidRPr="001B42E4">
        <w:rPr>
          <w:rFonts w:eastAsiaTheme="minorHAnsi"/>
          <w:lang w:val="en-GB"/>
        </w:rPr>
        <w:t>Lastly, when heat transfer has to be modelled, the energy conservation (Eq. (6)) equation is introduced.</w:t>
      </w:r>
    </w:p>
    <w:tbl>
      <w:tblPr>
        <w:tblW w:w="5000" w:type="pct"/>
        <w:tblLook w:val="04A0" w:firstRow="1" w:lastRow="0" w:firstColumn="1" w:lastColumn="0" w:noHBand="0" w:noVBand="1"/>
      </w:tblPr>
      <w:tblGrid>
        <w:gridCol w:w="7986"/>
        <w:gridCol w:w="801"/>
      </w:tblGrid>
      <w:tr w:rsidR="00960C62" w:rsidRPr="001B42E4" w14:paraId="3EAC5623" w14:textId="77777777" w:rsidTr="008B5CFB">
        <w:tc>
          <w:tcPr>
            <w:tcW w:w="7986" w:type="dxa"/>
            <w:shd w:val="clear" w:color="auto" w:fill="auto"/>
            <w:vAlign w:val="center"/>
          </w:tcPr>
          <w:p w14:paraId="4CFF9D8A" w14:textId="77777777" w:rsidR="00960C62" w:rsidRPr="001B42E4" w:rsidRDefault="00E27DA3" w:rsidP="008B5CFB">
            <w:pPr>
              <w:pStyle w:val="CETEquation"/>
              <w:rPr>
                <w:rFonts w:cs="Arial"/>
              </w:rPr>
            </w:pPr>
            <m:oMathPara>
              <m:oMathParaPr>
                <m:jc m:val="left"/>
              </m:oMathParaPr>
              <m:oMath>
                <m:f>
                  <m:fPr>
                    <m:ctrlPr>
                      <w:rPr>
                        <w:rFonts w:ascii="Cambria Math" w:hAnsi="Cambria Math" w:cs="Arial"/>
                        <w:i/>
                      </w:rPr>
                    </m:ctrlPr>
                  </m:fPr>
                  <m:num>
                    <m:r>
                      <m:rPr>
                        <m:nor/>
                      </m:rPr>
                      <w:rPr>
                        <w:rFonts w:cs="Arial"/>
                      </w:rPr>
                      <m:t>∂</m:t>
                    </m:r>
                  </m:num>
                  <m:den>
                    <m:r>
                      <m:rPr>
                        <m:nor/>
                      </m:rPr>
                      <w:rPr>
                        <w:rFonts w:cs="Arial"/>
                      </w:rPr>
                      <m:t>∂t</m:t>
                    </m:r>
                  </m:den>
                </m:f>
                <m:d>
                  <m:dPr>
                    <m:ctrlPr>
                      <w:rPr>
                        <w:rFonts w:ascii="Cambria Math" w:hAnsi="Cambria Math" w:cs="Arial"/>
                        <w:i/>
                      </w:rPr>
                    </m:ctrlPr>
                  </m:dPr>
                  <m:e>
                    <m:r>
                      <m:rPr>
                        <m:nor/>
                      </m:rPr>
                      <w:rPr>
                        <w:rFonts w:cs="Arial"/>
                      </w:rPr>
                      <m:t>ρE</m:t>
                    </m:r>
                  </m:e>
                </m:d>
                <m:r>
                  <m:rPr>
                    <m:nor/>
                  </m:rPr>
                  <w:rPr>
                    <w:rFonts w:cs="Arial"/>
                  </w:rPr>
                  <m:t xml:space="preserve"> +</m:t>
                </m:r>
                <m:r>
                  <w:rPr>
                    <w:rFonts w:ascii="Cambria Math" w:hAnsi="Cambria Math" w:cs="Arial"/>
                  </w:rPr>
                  <m:t xml:space="preserve"> </m:t>
                </m:r>
                <m:acc>
                  <m:accPr>
                    <m:chr m:val="̅"/>
                    <m:ctrlPr>
                      <w:rPr>
                        <w:rFonts w:ascii="Cambria Math" w:hAnsi="Cambria Math" w:cs="Arial"/>
                      </w:rPr>
                    </m:ctrlPr>
                  </m:accPr>
                  <m:e>
                    <m:r>
                      <m:rPr>
                        <m:nor/>
                      </m:rPr>
                      <w:rPr>
                        <w:rFonts w:ascii="Cambria Math" w:hAnsi="Cambria Math" w:cs="Cambria Math"/>
                      </w:rPr>
                      <m:t>∇</m:t>
                    </m:r>
                  </m:e>
                </m:acc>
                <m:r>
                  <m:rPr>
                    <m:nor/>
                  </m:rPr>
                  <w:rPr>
                    <w:rFonts w:ascii="Cambria Math" w:hAnsi="Cambria Math" w:cs="Cambria Math"/>
                  </w:rPr>
                  <m:t>⋅</m:t>
                </m:r>
                <m:r>
                  <w:rPr>
                    <w:rFonts w:ascii="Cambria Math" w:hAnsi="Cambria Math" w:cs="Arial"/>
                  </w:rPr>
                  <m:t xml:space="preserve"> </m:t>
                </m:r>
                <m:d>
                  <m:dPr>
                    <m:begChr m:val="["/>
                    <m:endChr m:val="]"/>
                    <m:ctrlPr>
                      <w:rPr>
                        <w:rFonts w:ascii="Cambria Math" w:hAnsi="Cambria Math" w:cs="Arial"/>
                        <w:i/>
                      </w:rPr>
                    </m:ctrlPr>
                  </m:dPr>
                  <m:e>
                    <m:acc>
                      <m:accPr>
                        <m:chr m:val="̅"/>
                        <m:ctrlPr>
                          <w:rPr>
                            <w:rFonts w:ascii="Cambria Math" w:hAnsi="Cambria Math" w:cs="Arial"/>
                          </w:rPr>
                        </m:ctrlPr>
                      </m:accPr>
                      <m:e>
                        <m:r>
                          <m:rPr>
                            <m:nor/>
                          </m:rPr>
                          <w:rPr>
                            <w:rFonts w:cs="Arial"/>
                          </w:rPr>
                          <m:t>u</m:t>
                        </m:r>
                      </m:e>
                    </m:acc>
                    <m:d>
                      <m:dPr>
                        <m:ctrlPr>
                          <w:rPr>
                            <w:rFonts w:ascii="Cambria Math" w:hAnsi="Cambria Math" w:cs="Arial"/>
                            <w:i/>
                          </w:rPr>
                        </m:ctrlPr>
                      </m:dPr>
                      <m:e>
                        <m:r>
                          <m:rPr>
                            <m:nor/>
                          </m:rPr>
                          <w:rPr>
                            <w:rFonts w:cs="Arial"/>
                          </w:rPr>
                          <m:t>ρE+P</m:t>
                        </m:r>
                      </m:e>
                    </m:d>
                  </m:e>
                </m:d>
                <m:r>
                  <m:rPr>
                    <m:nor/>
                  </m:rPr>
                  <w:rPr>
                    <w:rFonts w:cs="Arial"/>
                  </w:rPr>
                  <m:t xml:space="preserve"> =</m:t>
                </m:r>
                <m:r>
                  <w:rPr>
                    <w:rFonts w:ascii="Cambria Math" w:hAnsi="Cambria Math" w:cs="Arial"/>
                  </w:rPr>
                  <m:t xml:space="preserve"> </m:t>
                </m:r>
                <m:acc>
                  <m:accPr>
                    <m:chr m:val="̅"/>
                    <m:ctrlPr>
                      <w:rPr>
                        <w:rFonts w:ascii="Cambria Math" w:hAnsi="Cambria Math" w:cs="Arial"/>
                      </w:rPr>
                    </m:ctrlPr>
                  </m:accPr>
                  <m:e>
                    <m:r>
                      <m:rPr>
                        <m:nor/>
                      </m:rPr>
                      <w:rPr>
                        <w:rFonts w:ascii="Cambria Math" w:hAnsi="Cambria Math" w:cs="Cambria Math"/>
                      </w:rPr>
                      <m:t>∇</m:t>
                    </m:r>
                  </m:e>
                </m:acc>
                <m:r>
                  <m:rPr>
                    <m:nor/>
                  </m:rPr>
                  <w:rPr>
                    <w:rFonts w:cs="Arial"/>
                  </w:rPr>
                  <m:t xml:space="preserve"> </m:t>
                </m:r>
                <m:r>
                  <m:rPr>
                    <m:nor/>
                  </m:rPr>
                  <w:rPr>
                    <w:rFonts w:ascii="Cambria Math" w:hAnsi="Cambria Math" w:cs="Cambria Math"/>
                  </w:rPr>
                  <m:t>⋅</m:t>
                </m:r>
                <m:r>
                  <w:rPr>
                    <w:rFonts w:ascii="Cambria Math" w:hAnsi="Cambria Math" w:cs="Arial"/>
                  </w:rPr>
                  <m:t xml:space="preserve"> </m:t>
                </m:r>
                <m:d>
                  <m:dPr>
                    <m:ctrlPr>
                      <w:rPr>
                        <w:rFonts w:ascii="Cambria Math" w:hAnsi="Cambria Math" w:cs="Arial"/>
                        <w:i/>
                      </w:rPr>
                    </m:ctrlPr>
                  </m:dPr>
                  <m:e>
                    <m:r>
                      <m:rPr>
                        <m:nor/>
                      </m:rPr>
                      <w:rPr>
                        <w:rFonts w:cs="Arial"/>
                      </w:rPr>
                      <m:t>k</m:t>
                    </m:r>
                    <m:acc>
                      <m:accPr>
                        <m:chr m:val="̅"/>
                        <m:ctrlPr>
                          <w:rPr>
                            <w:rFonts w:ascii="Cambria Math" w:hAnsi="Cambria Math" w:cs="Arial"/>
                          </w:rPr>
                        </m:ctrlPr>
                      </m:accPr>
                      <m:e>
                        <m:r>
                          <m:rPr>
                            <m:nor/>
                          </m:rPr>
                          <w:rPr>
                            <w:rFonts w:ascii="Cambria Math" w:hAnsi="Cambria Math" w:cs="Cambria Math"/>
                          </w:rPr>
                          <m:t>∇</m:t>
                        </m:r>
                      </m:e>
                    </m:acc>
                    <m:r>
                      <m:rPr>
                        <m:nor/>
                      </m:rPr>
                      <w:rPr>
                        <w:rFonts w:cs="Arial"/>
                      </w:rPr>
                      <m:t>T -</m:t>
                    </m:r>
                    <m:r>
                      <w:rPr>
                        <w:rFonts w:ascii="Cambria Math" w:hAnsi="Cambria Math" w:cs="Arial"/>
                      </w:rPr>
                      <m:t xml:space="preserve"> </m:t>
                    </m:r>
                    <m:nary>
                      <m:naryPr>
                        <m:chr m:val="∑"/>
                        <m:limLoc m:val="subSup"/>
                        <m:supHide m:val="1"/>
                        <m:ctrlPr>
                          <w:rPr>
                            <w:rFonts w:ascii="Cambria Math" w:hAnsi="Cambria Math" w:cs="Arial"/>
                            <w:i/>
                          </w:rPr>
                        </m:ctrlPr>
                      </m:naryPr>
                      <m:sub>
                        <m:r>
                          <m:rPr>
                            <m:nor/>
                          </m:rPr>
                          <w:rPr>
                            <w:rFonts w:cs="Arial"/>
                          </w:rPr>
                          <m:t>i</m:t>
                        </m:r>
                      </m:sub>
                      <m:sup/>
                      <m:e>
                        <m:sSub>
                          <m:sSubPr>
                            <m:ctrlPr>
                              <w:rPr>
                                <w:rFonts w:ascii="Cambria Math" w:hAnsi="Cambria Math" w:cs="Arial"/>
                                <w:i/>
                              </w:rPr>
                            </m:ctrlPr>
                          </m:sSubPr>
                          <m:e>
                            <m:r>
                              <m:rPr>
                                <m:nor/>
                              </m:rPr>
                              <w:rPr>
                                <w:rFonts w:cs="Arial"/>
                              </w:rPr>
                              <m:t>h</m:t>
                            </m:r>
                          </m:e>
                          <m:sub>
                            <m:r>
                              <m:rPr>
                                <m:nor/>
                              </m:rPr>
                              <w:rPr>
                                <w:rFonts w:cs="Arial"/>
                              </w:rPr>
                              <m:t>i</m:t>
                            </m:r>
                          </m:sub>
                        </m:sSub>
                        <m:acc>
                          <m:accPr>
                            <m:chr m:val="̅"/>
                            <m:ctrlPr>
                              <w:rPr>
                                <w:rFonts w:ascii="Cambria Math" w:hAnsi="Cambria Math" w:cs="Arial"/>
                                <w:i/>
                              </w:rPr>
                            </m:ctrlPr>
                          </m:accPr>
                          <m:e>
                            <m:sSub>
                              <m:sSubPr>
                                <m:ctrlPr>
                                  <w:rPr>
                                    <w:rFonts w:ascii="Cambria Math" w:hAnsi="Cambria Math" w:cs="Arial"/>
                                    <w:i/>
                                  </w:rPr>
                                </m:ctrlPr>
                              </m:sSubPr>
                              <m:e>
                                <m:r>
                                  <m:rPr>
                                    <m:nor/>
                                  </m:rPr>
                                  <w:rPr>
                                    <w:rFonts w:cs="Arial"/>
                                  </w:rPr>
                                  <m:t>J</m:t>
                                </m:r>
                              </m:e>
                              <m:sub>
                                <m:r>
                                  <m:rPr>
                                    <m:nor/>
                                  </m:rPr>
                                  <w:rPr>
                                    <w:rFonts w:cs="Arial"/>
                                  </w:rPr>
                                  <m:t>i</m:t>
                                </m:r>
                              </m:sub>
                            </m:sSub>
                          </m:e>
                        </m:acc>
                      </m:e>
                    </m:nary>
                    <m:r>
                      <m:rPr>
                        <m:nor/>
                      </m:rPr>
                      <w:rPr>
                        <w:rFonts w:cs="Arial"/>
                      </w:rPr>
                      <m:t>+</m:t>
                    </m:r>
                    <m:r>
                      <w:rPr>
                        <w:rFonts w:ascii="Cambria Math" w:hAnsi="Cambria Math" w:cs="Arial"/>
                      </w:rPr>
                      <m:t xml:space="preserve"> </m:t>
                    </m:r>
                    <m:acc>
                      <m:accPr>
                        <m:chr m:val="̿"/>
                        <m:ctrlPr>
                          <w:rPr>
                            <w:rFonts w:ascii="Cambria Math" w:hAnsi="Cambria Math"/>
                          </w:rPr>
                        </m:ctrlPr>
                      </m:accPr>
                      <m:e>
                        <m:r>
                          <m:rPr>
                            <m:nor/>
                          </m:rPr>
                          <m:t>T</m:t>
                        </m:r>
                      </m:e>
                    </m:acc>
                    <m:r>
                      <m:rPr>
                        <m:nor/>
                      </m:rPr>
                      <w:rPr>
                        <w:rFonts w:ascii="Cambria Math" w:hAnsi="Cambria Math" w:cs="Cambria Math"/>
                      </w:rPr>
                      <m:t xml:space="preserve"> ⋅</m:t>
                    </m:r>
                    <m:r>
                      <w:rPr>
                        <w:rFonts w:ascii="Cambria Math" w:hAnsi="Cambria Math" w:cs="Arial"/>
                      </w:rPr>
                      <m:t xml:space="preserve"> </m:t>
                    </m:r>
                    <m:acc>
                      <m:accPr>
                        <m:chr m:val="̅"/>
                        <m:ctrlPr>
                          <w:rPr>
                            <w:rFonts w:ascii="Cambria Math" w:hAnsi="Cambria Math" w:cs="Arial"/>
                          </w:rPr>
                        </m:ctrlPr>
                      </m:accPr>
                      <m:e>
                        <m:r>
                          <m:rPr>
                            <m:nor/>
                          </m:rPr>
                          <w:rPr>
                            <w:rFonts w:cs="Arial"/>
                          </w:rPr>
                          <m:t>u</m:t>
                        </m:r>
                      </m:e>
                    </m:acc>
                  </m:e>
                </m:d>
              </m:oMath>
            </m:oMathPara>
          </w:p>
        </w:tc>
        <w:tc>
          <w:tcPr>
            <w:tcW w:w="801" w:type="dxa"/>
            <w:shd w:val="clear" w:color="auto" w:fill="auto"/>
            <w:vAlign w:val="center"/>
          </w:tcPr>
          <w:p w14:paraId="054B8EA7" w14:textId="77777777" w:rsidR="00960C62" w:rsidRPr="001B42E4" w:rsidRDefault="00960C62" w:rsidP="008B5CFB">
            <w:pPr>
              <w:pStyle w:val="CETEquation"/>
              <w:jc w:val="right"/>
            </w:pPr>
            <w:r w:rsidRPr="001B42E4">
              <w:t>(6)</w:t>
            </w:r>
          </w:p>
        </w:tc>
      </w:tr>
    </w:tbl>
    <w:p w14:paraId="747162C4" w14:textId="77777777" w:rsidR="00960C62" w:rsidRPr="001B42E4" w:rsidRDefault="00960C62" w:rsidP="00960C62">
      <w:pPr>
        <w:pStyle w:val="CETBodytext"/>
        <w:rPr>
          <w:rFonts w:eastAsiaTheme="minorEastAsia"/>
          <w:lang w:val="en-GB"/>
        </w:rPr>
      </w:pPr>
      <w:r w:rsidRPr="0047603A">
        <w:rPr>
          <w:rFonts w:eastAsiaTheme="minorHAnsi"/>
          <w:lang w:val="en-GB"/>
        </w:rPr>
        <w:lastRenderedPageBreak/>
        <w:t>W</w:t>
      </w:r>
      <w:bookmarkStart w:id="0" w:name="_Hlk158717285"/>
      <w:r w:rsidRPr="001B42E4">
        <w:rPr>
          <w:rFonts w:eastAsiaTheme="minorHAnsi"/>
          <w:lang w:val="en-GB"/>
        </w:rPr>
        <w:t xml:space="preserve">here </w:t>
      </w:r>
      <m:oMath>
        <m:r>
          <m:rPr>
            <m:nor/>
          </m:rPr>
          <w:rPr>
            <w:rFonts w:cs="Arial"/>
            <w:lang w:val="en-GB"/>
          </w:rPr>
          <m:t>E</m:t>
        </m:r>
      </m:oMath>
      <w:r w:rsidRPr="001B42E4">
        <w:rPr>
          <w:rFonts w:eastAsiaTheme="minorHAnsi"/>
          <w:lang w:val="en-GB"/>
        </w:rPr>
        <w:t xml:space="preserve"> is the total energy of the fluid, </w:t>
      </w:r>
      <m:oMath>
        <m:r>
          <m:rPr>
            <m:nor/>
          </m:rPr>
          <w:rPr>
            <w:rFonts w:cs="Arial"/>
            <w:lang w:val="en-GB"/>
          </w:rPr>
          <m:t>k</m:t>
        </m:r>
      </m:oMath>
      <w:r w:rsidRPr="001B42E4">
        <w:rPr>
          <w:rFonts w:eastAsiaTheme="minorEastAsia"/>
          <w:lang w:val="en-GB"/>
        </w:rPr>
        <w:t xml:space="preserve"> is the thermal conductivity and </w:t>
      </w:r>
      <m:oMath>
        <m:sSub>
          <m:sSubPr>
            <m:ctrlPr>
              <w:rPr>
                <w:rFonts w:ascii="Cambria Math" w:hAnsi="Cambria Math" w:cs="Arial"/>
                <w:i/>
                <w:lang w:val="en-GB"/>
              </w:rPr>
            </m:ctrlPr>
          </m:sSubPr>
          <m:e>
            <m:r>
              <m:rPr>
                <m:nor/>
              </m:rPr>
              <w:rPr>
                <w:rFonts w:cs="Arial"/>
                <w:lang w:val="en-GB"/>
              </w:rPr>
              <m:t>h</m:t>
            </m:r>
          </m:e>
          <m:sub>
            <m:r>
              <m:rPr>
                <m:nor/>
              </m:rPr>
              <w:rPr>
                <w:rFonts w:cs="Arial"/>
                <w:lang w:val="en-GB"/>
              </w:rPr>
              <m:t>i</m:t>
            </m:r>
          </m:sub>
        </m:sSub>
      </m:oMath>
      <w:r w:rsidRPr="001B42E4">
        <w:rPr>
          <w:rFonts w:eastAsiaTheme="minorEastAsia"/>
          <w:lang w:val="en-GB"/>
        </w:rPr>
        <w:t xml:space="preserve"> is the sensible enthalpy, defined as the sum of the enthalpies of each component in the mixture, weighted by their mass fraction.</w:t>
      </w:r>
    </w:p>
    <w:p w14:paraId="3CE6E22E" w14:textId="67A39909" w:rsidR="00960C62" w:rsidRPr="001B42E4" w:rsidRDefault="00960C62" w:rsidP="00960C62">
      <w:pPr>
        <w:pStyle w:val="CETBodytext"/>
        <w:rPr>
          <w:lang w:val="en-GB"/>
        </w:rPr>
      </w:pPr>
      <w:r w:rsidRPr="001B42E4">
        <w:rPr>
          <w:rFonts w:eastAsiaTheme="minorHAnsi"/>
          <w:lang w:val="en-GB"/>
        </w:rPr>
        <w:t>As for the numerical schemes and methods employed in the simulation,</w:t>
      </w:r>
      <w:r w:rsidRPr="001B42E4">
        <w:rPr>
          <w:lang w:val="en-GB"/>
        </w:rPr>
        <w:t xml:space="preserve"> the SIMPLE (Semi-Implicit Method for Pressure-Linked Equation) algorithm was selected for the pressure-velocity coupling.</w:t>
      </w:r>
      <w:r w:rsidRPr="001B42E4">
        <w:rPr>
          <w:rFonts w:eastAsiaTheme="minorHAnsi"/>
          <w:lang w:val="en-GB"/>
        </w:rPr>
        <w:t xml:space="preserve"> F</w:t>
      </w:r>
      <w:r w:rsidRPr="001B42E4">
        <w:rPr>
          <w:lang w:val="en-GB"/>
        </w:rPr>
        <w:t>or the spatial discretisation, the Second Order Upwind scheme was used for all the variables of interest, to improve the accuracy of the solution.</w:t>
      </w:r>
      <w:r w:rsidRPr="001B42E4">
        <w:rPr>
          <w:rFonts w:eastAsiaTheme="minorHAnsi"/>
          <w:lang w:val="en-GB"/>
        </w:rPr>
        <w:t xml:space="preserve"> </w:t>
      </w:r>
      <w:r w:rsidRPr="001B42E4">
        <w:rPr>
          <w:lang w:val="en-GB"/>
        </w:rPr>
        <w:t>Finally, the transient formulation was set to Bounded Second Order Implicit</w:t>
      </w:r>
      <w:r w:rsidRPr="001B42E4">
        <w:rPr>
          <w:rFonts w:eastAsiaTheme="minorHAnsi"/>
          <w:lang w:val="en-GB"/>
        </w:rPr>
        <w:t xml:space="preserve">, which </w:t>
      </w:r>
      <w:r w:rsidRPr="001B42E4">
        <w:rPr>
          <w:lang w:val="en-GB"/>
        </w:rPr>
        <w:t>ensures high stability and robustness even for long time steps. This formulation requires higher computational power but leads to very precise results. However, for the sake of comparison, a simulation was also conducted using the SIMPLEC (Semi-Implicit Method for Pressure-Linked Equation-Consistent) algorithm</w:t>
      </w:r>
      <w:r w:rsidR="0011230F">
        <w:rPr>
          <w:lang w:val="en-GB"/>
        </w:rPr>
        <w:t>, which improves the SIMPLE algorithm to achieve faster convergence,</w:t>
      </w:r>
      <w:r w:rsidRPr="001B42E4">
        <w:rPr>
          <w:lang w:val="en-GB"/>
        </w:rPr>
        <w:t xml:space="preserve"> and the PRESTO! (PREssure STaggering Option) </w:t>
      </w:r>
      <w:r w:rsidR="00432B07">
        <w:rPr>
          <w:lang w:val="en-GB"/>
        </w:rPr>
        <w:t xml:space="preserve">spatial </w:t>
      </w:r>
      <w:r w:rsidRPr="001B42E4">
        <w:rPr>
          <w:lang w:val="en-GB"/>
        </w:rPr>
        <w:t>discretisation scheme for pressure</w:t>
      </w:r>
      <w:r w:rsidR="0011230F">
        <w:rPr>
          <w:lang w:val="en-GB"/>
        </w:rPr>
        <w:t>, which is considered to give a more physically accurate representation of the pressure field</w:t>
      </w:r>
      <w:r w:rsidR="00FE2E2F">
        <w:rPr>
          <w:lang w:val="en-GB"/>
        </w:rPr>
        <w:t>, compared to the Secon Order Upwind scheme</w:t>
      </w:r>
      <w:r w:rsidRPr="001B42E4">
        <w:rPr>
          <w:lang w:val="en-GB"/>
        </w:rPr>
        <w:t>.</w:t>
      </w:r>
    </w:p>
    <w:bookmarkEnd w:id="0"/>
    <w:p w14:paraId="007FC4A0" w14:textId="77777777" w:rsidR="00960C62" w:rsidRPr="001B42E4" w:rsidRDefault="00960C62" w:rsidP="00960C62">
      <w:pPr>
        <w:pStyle w:val="CETheadingx"/>
        <w:rPr>
          <w:lang w:val="en-GB"/>
        </w:rPr>
      </w:pPr>
      <w:r w:rsidRPr="001B42E4">
        <w:rPr>
          <w:lang w:val="en-GB"/>
        </w:rPr>
        <w:t>Case study</w:t>
      </w:r>
    </w:p>
    <w:p w14:paraId="40A6CD4C" w14:textId="38D72FE6" w:rsidR="00960C62" w:rsidRDefault="00960C62" w:rsidP="00960C62">
      <w:pPr>
        <w:pStyle w:val="CETBodytext"/>
        <w:rPr>
          <w:lang w:val="en-GB"/>
        </w:rPr>
      </w:pPr>
      <w:r w:rsidRPr="001B42E4">
        <w:rPr>
          <w:lang w:val="en-GB"/>
        </w:rPr>
        <w:t xml:space="preserve">The experimental study </w:t>
      </w:r>
      <w:r w:rsidR="00B46B5C">
        <w:rPr>
          <w:lang w:val="en-GB"/>
        </w:rPr>
        <w:t>carried out by</w:t>
      </w:r>
      <w:r w:rsidRPr="001B42E4">
        <w:rPr>
          <w:lang w:val="en-GB"/>
        </w:rPr>
        <w:t xml:space="preserve"> </w:t>
      </w:r>
      <w:r w:rsidR="00B46B5C">
        <w:rPr>
          <w:lang w:val="en-GB"/>
        </w:rPr>
        <w:t>De Stefano et al.</w:t>
      </w:r>
      <w:r>
        <w:rPr>
          <w:lang w:val="en-GB"/>
        </w:rPr>
        <w:t xml:space="preserve"> </w:t>
      </w:r>
      <w:r w:rsidR="00B46B5C">
        <w:rPr>
          <w:lang w:val="en-GB"/>
        </w:rPr>
        <w:t>(</w:t>
      </w:r>
      <w:r w:rsidRPr="001B42E4">
        <w:rPr>
          <w:lang w:val="en-GB"/>
        </w:rPr>
        <w:t>2019) was chosen for the validation because it</w:t>
      </w:r>
      <w:r w:rsidR="00956673">
        <w:rPr>
          <w:lang w:val="en-GB"/>
        </w:rPr>
        <w:t xml:space="preserve"> </w:t>
      </w:r>
      <w:r w:rsidR="00956673" w:rsidRPr="00415559">
        <w:t>exhibited some of the characteristics of a potential hydrogen release in a glass production facility</w:t>
      </w:r>
      <w:r w:rsidR="00956673">
        <w:t xml:space="preserve"> (e.g., confined environment and low-velocity releases)</w:t>
      </w:r>
      <w:r w:rsidRPr="001B42E4">
        <w:rPr>
          <w:lang w:val="en-GB"/>
        </w:rPr>
        <w:t>.</w:t>
      </w:r>
      <w:r w:rsidRPr="001B42E4">
        <w:rPr>
          <w:rFonts w:eastAsiaTheme="minorHAnsi"/>
          <w:lang w:val="en-GB"/>
        </w:rPr>
        <w:t xml:space="preserve">. </w:t>
      </w:r>
      <w:r w:rsidRPr="001B42E4">
        <w:rPr>
          <w:lang w:val="en-GB"/>
        </w:rPr>
        <w:t>The experimental domain</w:t>
      </w:r>
      <w:r w:rsidRPr="001B42E4">
        <w:rPr>
          <w:rFonts w:eastAsiaTheme="minorHAnsi"/>
          <w:lang w:val="en-GB"/>
        </w:rPr>
        <w:t xml:space="preserve"> </w:t>
      </w:r>
      <w:r w:rsidRPr="001B42E4">
        <w:rPr>
          <w:lang w:val="en-GB"/>
        </w:rPr>
        <w:t xml:space="preserve">was a </w:t>
      </w:r>
      <w:r w:rsidR="00956673">
        <w:rPr>
          <w:lang w:val="en-GB"/>
        </w:rPr>
        <w:t xml:space="preserve">closed unventilated </w:t>
      </w:r>
      <w:r w:rsidRPr="001B42E4">
        <w:rPr>
          <w:lang w:val="en-GB"/>
        </w:rPr>
        <w:t xml:space="preserve">chamber with dimensions 470 mm × 330 mm × 200 mm and a total volume of </w:t>
      </w:r>
      <w:r w:rsidRPr="001B42E4">
        <w:rPr>
          <w:rFonts w:eastAsiaTheme="minorHAnsi"/>
          <w:lang w:val="en-GB"/>
        </w:rPr>
        <w:t>31 litres</w:t>
      </w:r>
      <w:r w:rsidRPr="001B42E4">
        <w:rPr>
          <w:lang w:val="en-GB"/>
        </w:rPr>
        <w:t xml:space="preserve">. A symmetry condition </w:t>
      </w:r>
      <w:r w:rsidR="00956673">
        <w:rPr>
          <w:lang w:val="en-GB"/>
        </w:rPr>
        <w:t xml:space="preserve">could </w:t>
      </w:r>
      <w:r w:rsidRPr="001B42E4">
        <w:rPr>
          <w:lang w:val="en-GB"/>
        </w:rPr>
        <w:t xml:space="preserve">be exploited to split the computational domain along the y-axis, </w:t>
      </w:r>
      <w:r>
        <w:rPr>
          <w:lang w:val="en-GB"/>
        </w:rPr>
        <w:t>reducing the computation</w:t>
      </w:r>
      <w:r w:rsidR="00432B07">
        <w:rPr>
          <w:lang w:val="en-GB"/>
        </w:rPr>
        <w:t>al</w:t>
      </w:r>
      <w:r>
        <w:rPr>
          <w:lang w:val="en-GB"/>
        </w:rPr>
        <w:t xml:space="preserve"> effort of</w:t>
      </w:r>
      <w:r w:rsidRPr="001B42E4">
        <w:rPr>
          <w:lang w:val="en-GB"/>
        </w:rPr>
        <w:t xml:space="preserve"> the simulations.</w:t>
      </w:r>
      <w:r w:rsidRPr="001B42E4">
        <w:rPr>
          <w:rFonts w:eastAsiaTheme="minorHAnsi"/>
          <w:lang w:val="en-GB"/>
        </w:rPr>
        <w:t xml:space="preserve"> </w:t>
      </w:r>
      <w:r w:rsidRPr="001B42E4">
        <w:rPr>
          <w:lang w:val="en-GB"/>
        </w:rPr>
        <w:t>The release hole, from which hydrogen was discharged vertically downward, was located on the ceiling of the box and its diameter was 4 mm. Furthermore, four rods of sensors were positioned into the chamber, but due to the symmetry</w:t>
      </w:r>
      <w:r w:rsidRPr="001B42E4">
        <w:rPr>
          <w:rFonts w:eastAsiaTheme="minorHAnsi"/>
          <w:lang w:val="en-GB"/>
        </w:rPr>
        <w:t xml:space="preserve"> </w:t>
      </w:r>
      <w:r w:rsidRPr="001B42E4">
        <w:rPr>
          <w:lang w:val="en-GB"/>
        </w:rPr>
        <w:t xml:space="preserve">condition only two of them were included in the simulation. </w:t>
      </w:r>
      <w:r w:rsidR="00475DE7">
        <w:rPr>
          <w:lang w:val="en-GB"/>
        </w:rPr>
        <w:t>T</w:t>
      </w:r>
      <w:r w:rsidRPr="001B42E4">
        <w:rPr>
          <w:lang w:val="en-GB"/>
        </w:rPr>
        <w:t>he geometry shown in Figure 1</w:t>
      </w:r>
      <w:r>
        <w:rPr>
          <w:lang w:val="en-GB"/>
        </w:rPr>
        <w:t>a</w:t>
      </w:r>
      <w:r w:rsidRPr="001B42E4">
        <w:rPr>
          <w:lang w:val="en-GB"/>
        </w:rPr>
        <w:t xml:space="preserve"> was employed to reproduce the chamber.</w:t>
      </w:r>
    </w:p>
    <w:p w14:paraId="51DE0636" w14:textId="77777777" w:rsidR="00B46B5C" w:rsidRDefault="00B46B5C" w:rsidP="00960C62">
      <w:pPr>
        <w:pStyle w:val="CETBodytext"/>
        <w:rPr>
          <w:lang w:val="en-GB"/>
        </w:rPr>
      </w:pPr>
    </w:p>
    <w:p w14:paraId="35B8BB53" w14:textId="77777777" w:rsidR="00B46B5C" w:rsidRDefault="00B46B5C" w:rsidP="00B46B5C">
      <w:pPr>
        <w:pStyle w:val="CETBodytext"/>
        <w:keepNext/>
      </w:pPr>
      <w:r w:rsidRPr="00B46B5C">
        <w:rPr>
          <w:noProof/>
          <w:lang w:val="en-GB" w:eastAsia="en-GB"/>
        </w:rPr>
        <w:drawing>
          <wp:inline distT="0" distB="0" distL="0" distR="0" wp14:anchorId="135DA21B" wp14:editId="5E490E98">
            <wp:extent cx="4929753" cy="178723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1833" cy="1787991"/>
                    </a:xfrm>
                    <a:prstGeom prst="rect">
                      <a:avLst/>
                    </a:prstGeom>
                    <a:noFill/>
                    <a:ln>
                      <a:noFill/>
                    </a:ln>
                  </pic:spPr>
                </pic:pic>
              </a:graphicData>
            </a:graphic>
          </wp:inline>
        </w:drawing>
      </w:r>
    </w:p>
    <w:p w14:paraId="0B2E4748" w14:textId="43D961B0" w:rsidR="00B46B5C" w:rsidRPr="00B46B5C" w:rsidRDefault="00B46B5C" w:rsidP="00B46B5C">
      <w:pPr>
        <w:pStyle w:val="CETCaption"/>
      </w:pPr>
      <w:r>
        <w:t xml:space="preserve">Figure </w:t>
      </w:r>
      <w:r>
        <w:fldChar w:fldCharType="begin"/>
      </w:r>
      <w:r>
        <w:instrText xml:space="preserve"> SEQ Figure \* ARABIC </w:instrText>
      </w:r>
      <w:r>
        <w:fldChar w:fldCharType="separate"/>
      </w:r>
      <w:r w:rsidR="00204E5E">
        <w:rPr>
          <w:noProof/>
        </w:rPr>
        <w:t>1</w:t>
      </w:r>
      <w:r>
        <w:fldChar w:fldCharType="end"/>
      </w:r>
      <w:r>
        <w:t xml:space="preserve">: </w:t>
      </w:r>
      <w:r w:rsidR="00204E5E">
        <w:t>(a) G</w:t>
      </w:r>
      <w:r>
        <w:t>eometrical domain, with hydrogen inlet and sensors; (b) medium mesh considered in the simulation. The xz plane is the symmetry plane.</w:t>
      </w:r>
    </w:p>
    <w:p w14:paraId="5A1EA5AA" w14:textId="5A859B6B" w:rsidR="00960C62" w:rsidRPr="001B42E4" w:rsidRDefault="00960C62" w:rsidP="00960C62">
      <w:pPr>
        <w:pStyle w:val="CETBodytext"/>
        <w:rPr>
          <w:lang w:val="en-GB"/>
        </w:rPr>
      </w:pPr>
      <w:r w:rsidRPr="001B42E4">
        <w:rPr>
          <w:lang w:val="en-GB"/>
        </w:rPr>
        <w:t>The experiments were conducted, as reported by the authors, at atmospheric pressure and room temperature, which was considered to be 20 °C. This value was used in the simulations both as the chamber</w:t>
      </w:r>
      <w:r w:rsidR="00FE2E2F">
        <w:rPr>
          <w:lang w:val="en-GB"/>
        </w:rPr>
        <w:t>’s</w:t>
      </w:r>
      <w:r w:rsidRPr="001B42E4">
        <w:rPr>
          <w:lang w:val="en-GB"/>
        </w:rPr>
        <w:t xml:space="preserve"> initial temperature and as a boundary condition for the hydrogen inflow. </w:t>
      </w:r>
      <w:r w:rsidRPr="001B42E4">
        <w:rPr>
          <w:rFonts w:eastAsiaTheme="minorHAnsi"/>
          <w:lang w:val="en-GB"/>
        </w:rPr>
        <w:t>T</w:t>
      </w:r>
      <w:r w:rsidRPr="001B42E4">
        <w:rPr>
          <w:lang w:val="en-GB"/>
        </w:rPr>
        <w:t>he release flow rate was 0.1 Nm</w:t>
      </w:r>
      <w:r w:rsidRPr="001B42E4">
        <w:rPr>
          <w:vertAlign w:val="superscript"/>
          <w:lang w:val="en-GB"/>
        </w:rPr>
        <w:t>3</w:t>
      </w:r>
      <w:r w:rsidRPr="001B42E4">
        <w:rPr>
          <w:lang w:val="en-GB"/>
        </w:rPr>
        <w:t xml:space="preserve">/h, and the release duration was 53 seconds. </w:t>
      </w:r>
      <w:r w:rsidR="00B46B5C">
        <w:rPr>
          <w:lang w:val="en-GB"/>
        </w:rPr>
        <w:t>It is worth mentioning that with these data, the</w:t>
      </w:r>
      <w:r w:rsidRPr="001B42E4">
        <w:rPr>
          <w:lang w:val="en-GB"/>
        </w:rPr>
        <w:t xml:space="preserve"> </w:t>
      </w:r>
      <w:r w:rsidR="00B46B5C">
        <w:rPr>
          <w:lang w:val="en-GB"/>
        </w:rPr>
        <w:t xml:space="preserve">calculated </w:t>
      </w:r>
      <w:r w:rsidRPr="001B42E4">
        <w:rPr>
          <w:lang w:val="en-GB"/>
        </w:rPr>
        <w:t xml:space="preserve">total released volume </w:t>
      </w:r>
      <w:r w:rsidR="00B46B5C">
        <w:rPr>
          <w:lang w:val="en-GB"/>
        </w:rPr>
        <w:t xml:space="preserve">is lower </w:t>
      </w:r>
      <w:r w:rsidRPr="001B42E4">
        <w:rPr>
          <w:lang w:val="en-GB"/>
        </w:rPr>
        <w:t xml:space="preserve">than that declared in the study. As stated by the authors, this discrepancy was due to an error </w:t>
      </w:r>
      <w:r w:rsidRPr="00B46B5C">
        <w:t>in the mass flow rate control instrument. To compensate</w:t>
      </w:r>
      <w:r w:rsidR="00FE2E2F">
        <w:t xml:space="preserve"> for</w:t>
      </w:r>
      <w:r w:rsidRPr="00B46B5C">
        <w:t xml:space="preserve"> this gap, </w:t>
      </w:r>
      <w:r w:rsidR="00475DE7" w:rsidRPr="001B42E4">
        <w:rPr>
          <w:lang w:val="en-GB"/>
        </w:rPr>
        <w:t>a higher flow rate</w:t>
      </w:r>
      <w:r w:rsidR="00475DE7">
        <w:rPr>
          <w:lang w:val="en-GB"/>
        </w:rPr>
        <w:t xml:space="preserve">, </w:t>
      </w:r>
      <w:r w:rsidR="00475DE7" w:rsidRPr="001B42E4">
        <w:rPr>
          <w:lang w:val="en-GB"/>
        </w:rPr>
        <w:t xml:space="preserve">calculated so that the total volume released matched the value of </w:t>
      </w:r>
      <m:oMath>
        <m:r>
          <m:rPr>
            <m:nor/>
          </m:rPr>
          <w:rPr>
            <w:rFonts w:cs="Arial"/>
            <w:lang w:val="en-GB"/>
          </w:rPr>
          <m:t>1.67 ×</m:t>
        </m:r>
        <m:sSup>
          <m:sSupPr>
            <m:ctrlPr>
              <w:rPr>
                <w:rFonts w:ascii="Cambria Math" w:hAnsi="Cambria Math" w:cs="Arial"/>
                <w:i/>
                <w:lang w:val="en-GB"/>
              </w:rPr>
            </m:ctrlPr>
          </m:sSupPr>
          <m:e>
            <m:r>
              <m:rPr>
                <m:nor/>
              </m:rPr>
              <w:rPr>
                <w:rFonts w:cs="Arial"/>
                <w:lang w:val="en-GB"/>
              </w:rPr>
              <m:t>10</m:t>
            </m:r>
          </m:e>
          <m:sup>
            <m:r>
              <m:rPr>
                <m:nor/>
              </m:rPr>
              <w:rPr>
                <w:rFonts w:cs="Arial"/>
                <w:lang w:val="en-GB"/>
              </w:rPr>
              <m:t>-3</m:t>
            </m:r>
          </m:sup>
        </m:sSup>
        <m:r>
          <w:rPr>
            <w:rFonts w:ascii="Cambria Math" w:hAnsi="Cambria Math" w:cs="Arial"/>
            <w:lang w:val="en-GB"/>
          </w:rPr>
          <m:t xml:space="preserve"> </m:t>
        </m:r>
      </m:oMath>
      <w:r w:rsidR="00475DE7">
        <w:rPr>
          <w:lang w:val="en-GB"/>
        </w:rPr>
        <w:t>N</w:t>
      </w:r>
      <w:r w:rsidR="00475DE7" w:rsidRPr="001B42E4">
        <w:rPr>
          <w:lang w:val="en-GB"/>
        </w:rPr>
        <w:t>m</w:t>
      </w:r>
      <w:r w:rsidR="00475DE7" w:rsidRPr="001B42E4">
        <w:rPr>
          <w:vertAlign w:val="superscript"/>
          <w:lang w:val="en-GB"/>
        </w:rPr>
        <w:t>3</w:t>
      </w:r>
      <w:r w:rsidR="00475DE7">
        <w:rPr>
          <w:lang w:val="en-GB"/>
        </w:rPr>
        <w:t>,</w:t>
      </w:r>
      <w:r w:rsidR="00475DE7" w:rsidRPr="001B42E4">
        <w:rPr>
          <w:lang w:val="en-GB"/>
        </w:rPr>
        <w:t xml:space="preserve"> was adopted in this study for the first 10 seconds.</w:t>
      </w:r>
      <w:r w:rsidRPr="001B42E4">
        <w:rPr>
          <w:lang w:val="en-GB"/>
        </w:rPr>
        <w:t>. The resulting mass flow rate, defined by means of a User-Defined Function (UDF), was halved due to the symmetry condition, leading to the following expression (Eq. (7)):</w:t>
      </w:r>
    </w:p>
    <w:tbl>
      <w:tblPr>
        <w:tblW w:w="5000" w:type="pct"/>
        <w:tblLook w:val="04A0" w:firstRow="1" w:lastRow="0" w:firstColumn="1" w:lastColumn="0" w:noHBand="0" w:noVBand="1"/>
      </w:tblPr>
      <w:tblGrid>
        <w:gridCol w:w="7986"/>
        <w:gridCol w:w="801"/>
      </w:tblGrid>
      <w:tr w:rsidR="00960C62" w:rsidRPr="0047603A" w14:paraId="6168BFB2" w14:textId="77777777" w:rsidTr="008B5CFB">
        <w:tc>
          <w:tcPr>
            <w:tcW w:w="7986" w:type="dxa"/>
            <w:shd w:val="clear" w:color="auto" w:fill="auto"/>
            <w:vAlign w:val="center"/>
          </w:tcPr>
          <w:p w14:paraId="64C653E1" w14:textId="77777777" w:rsidR="00960C62" w:rsidRPr="0047603A" w:rsidRDefault="00E27DA3" w:rsidP="008B5CFB">
            <w:pPr>
              <w:pStyle w:val="CETEquation"/>
              <w:rPr>
                <w:rFonts w:cs="Arial"/>
              </w:rPr>
            </w:pPr>
            <m:oMathPara>
              <m:oMathParaPr>
                <m:jc m:val="left"/>
              </m:oMathParaPr>
              <m:oMath>
                <m:acc>
                  <m:accPr>
                    <m:chr m:val="̇"/>
                    <m:ctrlPr>
                      <w:rPr>
                        <w:rFonts w:ascii="Cambria Math" w:hAnsi="Cambria Math" w:cs="Arial"/>
                        <w:i/>
                      </w:rPr>
                    </m:ctrlPr>
                  </m:accPr>
                  <m:e>
                    <m:r>
                      <m:rPr>
                        <m:nor/>
                      </m:rPr>
                      <w:rPr>
                        <w:rFonts w:cs="Arial"/>
                      </w:rPr>
                      <m:t xml:space="preserve">m </m:t>
                    </m:r>
                  </m:e>
                </m:acc>
                <m:r>
                  <m:rPr>
                    <m:nor/>
                  </m:rPr>
                  <w:rPr>
                    <w:rFonts w:cs="Arial"/>
                  </w:rPr>
                  <m:t xml:space="preserve">= </m:t>
                </m:r>
                <m:d>
                  <m:dPr>
                    <m:begChr m:val="{"/>
                    <m:endChr m:val=""/>
                    <m:ctrlPr>
                      <w:rPr>
                        <w:rFonts w:ascii="Cambria Math" w:hAnsi="Cambria Math" w:cs="Arial"/>
                        <w:i/>
                      </w:rPr>
                    </m:ctrlPr>
                  </m:dPr>
                  <m:e>
                    <m:eqArr>
                      <m:eqArrPr>
                        <m:ctrlPr>
                          <w:rPr>
                            <w:rFonts w:ascii="Cambria Math" w:hAnsi="Cambria Math" w:cs="Arial"/>
                            <w:i/>
                          </w:rPr>
                        </m:ctrlPr>
                      </m:eqArrPr>
                      <m:e>
                        <m:r>
                          <m:rPr>
                            <m:nor/>
                          </m:rPr>
                          <w:rPr>
                            <w:rFonts w:cs="Arial"/>
                          </w:rPr>
                          <m:t>2.139×</m:t>
                        </m:r>
                        <m:sSup>
                          <m:sSupPr>
                            <m:ctrlPr>
                              <w:rPr>
                                <w:rFonts w:ascii="Cambria Math" w:hAnsi="Cambria Math" w:cs="Arial"/>
                                <w:i/>
                              </w:rPr>
                            </m:ctrlPr>
                          </m:sSupPr>
                          <m:e>
                            <m:r>
                              <m:rPr>
                                <m:nor/>
                              </m:rPr>
                              <w:rPr>
                                <w:rFonts w:cs="Arial"/>
                              </w:rPr>
                              <m:t>10</m:t>
                            </m:r>
                          </m:e>
                          <m:sup>
                            <m:r>
                              <m:rPr>
                                <m:nor/>
                              </m:rPr>
                              <w:rPr>
                                <w:rFonts w:cs="Arial"/>
                              </w:rPr>
                              <m:t>-6</m:t>
                            </m:r>
                          </m:sup>
                        </m:sSup>
                        <m:r>
                          <m:rPr>
                            <m:nor/>
                          </m:rPr>
                          <w:rPr>
                            <w:rFonts w:cs="Arial"/>
                          </w:rPr>
                          <m:t xml:space="preserve"> kg/s, if t ≤ 10 s</m:t>
                        </m:r>
                      </m:e>
                      <m:e>
                        <m:r>
                          <m:rPr>
                            <m:nor/>
                          </m:rPr>
                          <w:rPr>
                            <w:rFonts w:cs="Arial"/>
                          </w:rPr>
                          <m:t>1.249×</m:t>
                        </m:r>
                        <m:sSup>
                          <m:sSupPr>
                            <m:ctrlPr>
                              <w:rPr>
                                <w:rFonts w:ascii="Cambria Math" w:hAnsi="Cambria Math" w:cs="Arial"/>
                                <w:i/>
                              </w:rPr>
                            </m:ctrlPr>
                          </m:sSupPr>
                          <m:e>
                            <m:r>
                              <m:rPr>
                                <m:nor/>
                              </m:rPr>
                              <w:rPr>
                                <w:rFonts w:cs="Arial"/>
                              </w:rPr>
                              <m:t>10</m:t>
                            </m:r>
                          </m:e>
                          <m:sup>
                            <m:r>
                              <m:rPr>
                                <m:nor/>
                              </m:rPr>
                              <w:rPr>
                                <w:rFonts w:cs="Arial"/>
                              </w:rPr>
                              <m:t>-6</m:t>
                            </m:r>
                          </m:sup>
                        </m:sSup>
                        <m:r>
                          <m:rPr>
                            <m:nor/>
                          </m:rPr>
                          <w:rPr>
                            <w:rFonts w:cs="Arial"/>
                          </w:rPr>
                          <m:t xml:space="preserve"> kg/s, if 10 s &lt; t ≤ 53 s</m:t>
                        </m:r>
                      </m:e>
                    </m:eqArr>
                  </m:e>
                </m:d>
              </m:oMath>
            </m:oMathPara>
          </w:p>
        </w:tc>
        <w:tc>
          <w:tcPr>
            <w:tcW w:w="801" w:type="dxa"/>
            <w:shd w:val="clear" w:color="auto" w:fill="auto"/>
            <w:vAlign w:val="center"/>
          </w:tcPr>
          <w:p w14:paraId="278CD8E0" w14:textId="77777777" w:rsidR="00960C62" w:rsidRPr="0047603A" w:rsidRDefault="00960C62" w:rsidP="008B5CFB">
            <w:pPr>
              <w:pStyle w:val="CETEquation"/>
              <w:jc w:val="right"/>
            </w:pPr>
            <w:r w:rsidRPr="0047603A">
              <w:t>(7)</w:t>
            </w:r>
          </w:p>
        </w:tc>
      </w:tr>
    </w:tbl>
    <w:p w14:paraId="0A8F03F5" w14:textId="77777777" w:rsidR="00960C62" w:rsidRPr="001B42E4" w:rsidRDefault="00960C62" w:rsidP="00960C62">
      <w:pPr>
        <w:pStyle w:val="CETBodytext"/>
        <w:rPr>
          <w:lang w:val="en-GB"/>
        </w:rPr>
      </w:pPr>
      <w:r w:rsidRPr="001B42E4">
        <w:rPr>
          <w:lang w:val="en-GB"/>
        </w:rPr>
        <w:t>Two different diffusion coefficients, that took into account the effect of temperature, were evaluated: one determined experimentally by Scott and Cox (1960), which is 0.763 cm</w:t>
      </w:r>
      <w:r w:rsidRPr="001B42E4">
        <w:rPr>
          <w:vertAlign w:val="superscript"/>
          <w:lang w:val="en-GB"/>
        </w:rPr>
        <w:t>2</w:t>
      </w:r>
      <w:r w:rsidRPr="001B42E4">
        <w:rPr>
          <w:lang w:val="en-GB"/>
        </w:rPr>
        <w:t>/s, and the other obtained from Winkelmann's empirical equation, which is 0.679 cm</w:t>
      </w:r>
      <w:r w:rsidRPr="001B42E4">
        <w:rPr>
          <w:vertAlign w:val="superscript"/>
          <w:lang w:val="en-GB"/>
        </w:rPr>
        <w:t>2</w:t>
      </w:r>
      <w:r w:rsidRPr="001B42E4">
        <w:rPr>
          <w:lang w:val="en-GB"/>
        </w:rPr>
        <w:t xml:space="preserve">/s. </w:t>
      </w:r>
      <w:r>
        <w:rPr>
          <w:lang w:val="en-GB"/>
        </w:rPr>
        <w:t xml:space="preserve">The effect of the equation of state was assessed as well, testing both the ideal gas and the Peng-Robinson equation of state, </w:t>
      </w:r>
      <w:r w:rsidRPr="001B42E4">
        <w:rPr>
          <w:lang w:val="en-GB"/>
        </w:rPr>
        <w:t>to see if a potential pressure increase at the hydrogen inlet could lead to a deviation from ideality</w:t>
      </w:r>
      <w:r>
        <w:rPr>
          <w:lang w:val="en-GB"/>
        </w:rPr>
        <w:t>.</w:t>
      </w:r>
    </w:p>
    <w:p w14:paraId="2B977DE2" w14:textId="52A84C4F" w:rsidR="00960C62" w:rsidRPr="002C5CD9" w:rsidRDefault="00960C62" w:rsidP="00960C62">
      <w:pPr>
        <w:pStyle w:val="CETBodytext"/>
        <w:rPr>
          <w:lang w:val="en-GB"/>
        </w:rPr>
      </w:pPr>
      <w:r w:rsidRPr="001B42E4">
        <w:rPr>
          <w:lang w:val="en-GB"/>
        </w:rPr>
        <w:lastRenderedPageBreak/>
        <w:t xml:space="preserve">In addition, to ensure that the results were not dependent on the mesh or on the time step employed in the simulations, a sensitivity analysis was performed, testing three different degrees of grid refinement and three different time step lengths. The meshes created for this validation were of the structured type, consisting exclusively of hexahedral elements. The cylindrical area around the inlet was discretised using the C-grid </w:t>
      </w:r>
      <w:r w:rsidRPr="0047603A">
        <w:rPr>
          <w:lang w:val="en-GB"/>
        </w:rPr>
        <w:t>technique. The total number of elements was 33,600 for the coarse mesh, 120,800 for the medium mesh</w:t>
      </w:r>
      <w:r>
        <w:rPr>
          <w:lang w:val="en-GB"/>
        </w:rPr>
        <w:t xml:space="preserve"> (see Figure 1b)</w:t>
      </w:r>
      <w:r w:rsidRPr="0047603A">
        <w:rPr>
          <w:lang w:val="en-GB"/>
        </w:rPr>
        <w:t>, and 299</w:t>
      </w:r>
      <w:r w:rsidR="00FE2E2F">
        <w:rPr>
          <w:lang w:val="en-GB"/>
        </w:rPr>
        <w:t>,</w:t>
      </w:r>
      <w:r w:rsidRPr="0047603A">
        <w:rPr>
          <w:lang w:val="en-GB"/>
        </w:rPr>
        <w:t>840 for the fine mesh. The time step lengths were 0.2 s, 0.1 s, and 0.05 s.</w:t>
      </w:r>
    </w:p>
    <w:p w14:paraId="6DC52390" w14:textId="18206728" w:rsidR="00960C62" w:rsidRPr="0047603A" w:rsidRDefault="00960C62" w:rsidP="00960C62">
      <w:pPr>
        <w:pStyle w:val="CETHeading1"/>
        <w:rPr>
          <w:lang w:val="en-GB"/>
        </w:rPr>
      </w:pPr>
      <w:r w:rsidRPr="0047603A">
        <w:rPr>
          <w:lang w:val="en-GB"/>
        </w:rPr>
        <w:t>Results</w:t>
      </w:r>
    </w:p>
    <w:p w14:paraId="4F9512E1" w14:textId="1D8456E1" w:rsidR="005B092A" w:rsidRDefault="00960C62" w:rsidP="00960C62">
      <w:pPr>
        <w:pStyle w:val="CETBodytext"/>
        <w:rPr>
          <w:lang w:val="en-GB"/>
        </w:rPr>
      </w:pPr>
      <w:r w:rsidRPr="001B42E4">
        <w:rPr>
          <w:lang w:val="en-GB"/>
        </w:rPr>
        <w:t>Figure 2a displays the hydrogen concentration profiles obtained with three different levels of grid refinement. The curves represent sensors B4 and B1, selected</w:t>
      </w:r>
      <w:r w:rsidR="002A465A">
        <w:rPr>
          <w:lang w:val="en-GB"/>
        </w:rPr>
        <w:t xml:space="preserve"> in order to capture the upper and the lower concentration limits,</w:t>
      </w:r>
      <w:r w:rsidRPr="001B42E4">
        <w:rPr>
          <w:lang w:val="en-GB"/>
        </w:rPr>
        <w:t xml:space="preserve"> </w:t>
      </w:r>
      <w:r w:rsidR="002A465A">
        <w:rPr>
          <w:lang w:val="en-GB"/>
        </w:rPr>
        <w:t xml:space="preserve">since </w:t>
      </w:r>
      <w:r w:rsidRPr="001B42E4">
        <w:rPr>
          <w:lang w:val="en-GB"/>
        </w:rPr>
        <w:t>they were positioned at the greatest and lowest heights,</w:t>
      </w:r>
      <w:r w:rsidRPr="001B42E4">
        <w:rPr>
          <w:rFonts w:ascii="Segoe UI" w:hAnsi="Segoe UI" w:cs="Segoe UI"/>
          <w:color w:val="374151"/>
          <w:lang w:val="en-GB"/>
        </w:rPr>
        <w:t xml:space="preserve"> </w:t>
      </w:r>
      <w:r w:rsidRPr="001B42E4">
        <w:rPr>
          <w:lang w:val="en-GB"/>
        </w:rPr>
        <w:t xml:space="preserve">respectively. </w:t>
      </w:r>
    </w:p>
    <w:p w14:paraId="0683EAB3" w14:textId="77777777" w:rsidR="005B092A" w:rsidRDefault="005B092A" w:rsidP="00960C62">
      <w:pPr>
        <w:pStyle w:val="CETBodytext"/>
        <w:rPr>
          <w:lang w:val="en-GB"/>
        </w:rPr>
      </w:pPr>
    </w:p>
    <w:p w14:paraId="5D5049C8" w14:textId="671AE111" w:rsidR="005B092A" w:rsidRDefault="00FB7655" w:rsidP="00960C62">
      <w:pPr>
        <w:pStyle w:val="CETBodytext"/>
        <w:rPr>
          <w:lang w:val="en-GB"/>
        </w:rPr>
      </w:pPr>
      <w:r w:rsidRPr="00FB7655">
        <w:rPr>
          <w:noProof/>
        </w:rPr>
        <w:drawing>
          <wp:inline distT="0" distB="0" distL="0" distR="0" wp14:anchorId="6C452444" wp14:editId="67C9C726">
            <wp:extent cx="5549030" cy="20406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4930" cy="2046491"/>
                    </a:xfrm>
                    <a:prstGeom prst="rect">
                      <a:avLst/>
                    </a:prstGeom>
                    <a:noFill/>
                    <a:ln>
                      <a:noFill/>
                    </a:ln>
                  </pic:spPr>
                </pic:pic>
              </a:graphicData>
            </a:graphic>
          </wp:inline>
        </w:drawing>
      </w:r>
    </w:p>
    <w:p w14:paraId="0236DC74" w14:textId="3AFC4ACD" w:rsidR="005B092A" w:rsidRDefault="005B092A" w:rsidP="005B092A">
      <w:pPr>
        <w:pStyle w:val="CETCaption"/>
      </w:pPr>
      <w:r w:rsidRPr="00FB7655">
        <w:t xml:space="preserve">Figure </w:t>
      </w:r>
      <w:r w:rsidRPr="00FB7655">
        <w:fldChar w:fldCharType="begin"/>
      </w:r>
      <w:r w:rsidRPr="00FB7655">
        <w:instrText xml:space="preserve"> SEQ Figure \* ARABIC </w:instrText>
      </w:r>
      <w:r w:rsidRPr="00FB7655">
        <w:fldChar w:fldCharType="separate"/>
      </w:r>
      <w:r w:rsidRPr="00FB7655">
        <w:rPr>
          <w:noProof/>
        </w:rPr>
        <w:t>2</w:t>
      </w:r>
      <w:r w:rsidRPr="00FB7655">
        <w:fldChar w:fldCharType="end"/>
      </w:r>
      <w:r w:rsidRPr="00FB7655">
        <w:t>: (a) Grid sensitivity analysis; (b) results of the simulations compared to experimental data.</w:t>
      </w:r>
    </w:p>
    <w:p w14:paraId="3EF22AB2" w14:textId="25021E47" w:rsidR="00960C62" w:rsidRDefault="00960C62" w:rsidP="00960C62">
      <w:pPr>
        <w:pStyle w:val="CETBodytext"/>
        <w:rPr>
          <w:lang w:val="en-GB"/>
        </w:rPr>
      </w:pPr>
      <w:r w:rsidRPr="001B42E4">
        <w:rPr>
          <w:lang w:val="en-GB"/>
        </w:rPr>
        <w:t xml:space="preserve">It can be observed that for sensor B1, the three curves are perfectly overlapped, while for sensor B4, the coarse mesh produces a slightly lower concentration profile compared to those produced by the medium and fine meshes. Therefore, the results of the sensitivity analysis indicate that the medium mesh ensures grid independence. As for the time step, since for both sensors all three curves were almost identical, it can be concluded that the largest of the tested values </w:t>
      </w:r>
      <w:r w:rsidR="00204E5E">
        <w:rPr>
          <w:lang w:val="en-GB"/>
        </w:rPr>
        <w:t>(</w:t>
      </w:r>
      <w:r w:rsidRPr="001B42E4">
        <w:rPr>
          <w:lang w:val="en-GB"/>
        </w:rPr>
        <w:t>0.2 seconds</w:t>
      </w:r>
      <w:r w:rsidR="00204E5E">
        <w:rPr>
          <w:lang w:val="en-GB"/>
        </w:rPr>
        <w:t>)</w:t>
      </w:r>
      <w:r w:rsidRPr="001B42E4">
        <w:rPr>
          <w:lang w:val="en-GB"/>
        </w:rPr>
        <w:t xml:space="preserve"> ensures time step independence.</w:t>
      </w:r>
    </w:p>
    <w:p w14:paraId="6B5CD158" w14:textId="5E41839C" w:rsidR="00960C62" w:rsidRDefault="00960C62" w:rsidP="00960C62">
      <w:pPr>
        <w:pStyle w:val="CETBodytext"/>
        <w:rPr>
          <w:lang w:val="en-GB"/>
        </w:rPr>
      </w:pPr>
      <w:r w:rsidRPr="009B2759">
        <w:rPr>
          <w:lang w:val="en-GB"/>
        </w:rPr>
        <w:t>Figure 2b shows the comparison between the concentration profiles obtained in the simulation and the experimental data. The graph includes data from all the sensors in rod B, while</w:t>
      </w:r>
      <w:r w:rsidR="00204E5E">
        <w:rPr>
          <w:lang w:val="en-GB"/>
        </w:rPr>
        <w:t xml:space="preserve"> for rod C</w:t>
      </w:r>
      <w:r w:rsidRPr="009B2759">
        <w:rPr>
          <w:lang w:val="en-GB"/>
        </w:rPr>
        <w:t xml:space="preserve"> only C4 and C3 are represented. </w:t>
      </w:r>
      <w:r w:rsidR="00FB546E">
        <w:rPr>
          <w:lang w:val="en-GB"/>
        </w:rPr>
        <w:t xml:space="preserve"> For the sake of brevity, sensors C1 and C2 were ex</w:t>
      </w:r>
      <w:r w:rsidR="00CF0D37">
        <w:rPr>
          <w:lang w:val="en-GB"/>
        </w:rPr>
        <w:t>c</w:t>
      </w:r>
      <w:r w:rsidR="00FB546E">
        <w:rPr>
          <w:lang w:val="en-GB"/>
        </w:rPr>
        <w:t>luded</w:t>
      </w:r>
      <w:r w:rsidRPr="009B2759">
        <w:rPr>
          <w:lang w:val="en-GB"/>
        </w:rPr>
        <w:t xml:space="preserve"> because, except for sensor C4, experimental observations showed perfect horizontal homogenisation (i.e., sensors at the same height produced the same concentration curves over time). </w:t>
      </w:r>
      <w:r w:rsidR="0011230F">
        <w:rPr>
          <w:lang w:val="en-GB"/>
        </w:rPr>
        <w:t>T</w:t>
      </w:r>
      <w:r w:rsidRPr="009B2759">
        <w:rPr>
          <w:lang w:val="en-GB"/>
        </w:rPr>
        <w:t>he curve for sensor C3 confirm</w:t>
      </w:r>
      <w:r w:rsidR="0011230F">
        <w:rPr>
          <w:lang w:val="en-GB"/>
        </w:rPr>
        <w:t>s</w:t>
      </w:r>
      <w:r w:rsidRPr="009B2759">
        <w:rPr>
          <w:lang w:val="en-GB"/>
        </w:rPr>
        <w:t xml:space="preserve"> that the simulation is able to capture diffusion in the horizontal direction. Overall, it can be observed that the simulation curves reproduce the experimental data with excellent agreement, although they slightly underestimate the concentration detected by some sensors. For instance, for sensor B3, the numerically predicted peak concentration is 6.38%, while in the experiment it was 6.97%, resulting in an error of 8.5%, which is still within an acceptable range. Instead, for sensors B4 and C4, the errors are as low as 0.7% and 1.8%, respectively. For sensors B2 and B3, the peak value corresponds to the final concentration value, when complete homogenisation of the hydrogen-air mixture inside the chamber is achieved. In general, the average concentration value, which is 5.46% in the simulation, is lower than that observed in the experiment, which was about 6%. However, the trend over time of the simulated curves is very similar to that of the experimental ones. Indeed, the concentration gradient (defined as the difference between the highest and the lowest concentration values) 20 seconds after the end of the release is 7.89%, while in the experiment it was 7.86%, resulting in a 0.4% error. Finally, it can be observed that the curves obtained from the simulation take a slightly longer time to converge to the final value, compared to the experimental ones. In fact, the experimental homogeni</w:t>
      </w:r>
      <w:r w:rsidR="00CF0D37">
        <w:rPr>
          <w:lang w:val="en-GB"/>
        </w:rPr>
        <w:t>s</w:t>
      </w:r>
      <w:r w:rsidRPr="009B2759">
        <w:rPr>
          <w:lang w:val="en-GB"/>
        </w:rPr>
        <w:t xml:space="preserve">ation time was reported to be 183 seconds, at which the concentration gradient was 0.3%. In the simulation, this concentration difference was barely reached at the final time of the test, which was 220 seconds. </w:t>
      </w:r>
    </w:p>
    <w:p w14:paraId="797BC8F4" w14:textId="1262F122" w:rsidR="00960C62" w:rsidRDefault="00960C62" w:rsidP="00960C62">
      <w:pPr>
        <w:pStyle w:val="CETBodytext"/>
      </w:pPr>
      <w:r w:rsidRPr="008478BB">
        <w:t>It is worth noti</w:t>
      </w:r>
      <w:r w:rsidRPr="008478BB">
        <w:rPr>
          <w:rFonts w:eastAsiaTheme="minorHAnsi"/>
        </w:rPr>
        <w:t>ci</w:t>
      </w:r>
      <w:r w:rsidRPr="008478BB">
        <w:t>ng that the above-mentioned data were obtained using</w:t>
      </w:r>
      <w:r>
        <w:t xml:space="preserve"> </w:t>
      </w:r>
      <w:r w:rsidRPr="008478BB">
        <w:t>the ideal gas equation of state and a diffusion coefficient of</w:t>
      </w:r>
      <w:r w:rsidRPr="008478BB">
        <w:rPr>
          <w:rFonts w:eastAsiaTheme="minorHAnsi"/>
        </w:rPr>
        <w:t xml:space="preserve"> 0.763 cm</w:t>
      </w:r>
      <w:r w:rsidRPr="00E30BF8">
        <w:rPr>
          <w:rFonts w:eastAsiaTheme="minorHAnsi"/>
          <w:vertAlign w:val="superscript"/>
        </w:rPr>
        <w:t>2</w:t>
      </w:r>
      <w:r w:rsidRPr="008478BB">
        <w:rPr>
          <w:rFonts w:eastAsiaTheme="minorHAnsi"/>
        </w:rPr>
        <w:t>/s, as explained in Section 2. However</w:t>
      </w:r>
      <w:r>
        <w:rPr>
          <w:rFonts w:eastAsiaTheme="minorHAnsi"/>
        </w:rPr>
        <w:t>, a</w:t>
      </w:r>
      <w:r w:rsidRPr="008478BB">
        <w:rPr>
          <w:rFonts w:eastAsiaTheme="minorHAnsi"/>
        </w:rPr>
        <w:t xml:space="preserve"> diffusion coefficient</w:t>
      </w:r>
      <w:r>
        <w:rPr>
          <w:rFonts w:eastAsiaTheme="minorHAnsi"/>
        </w:rPr>
        <w:t xml:space="preserve"> of </w:t>
      </w:r>
      <w:r w:rsidRPr="008478BB">
        <w:rPr>
          <w:rFonts w:eastAsiaTheme="minorHAnsi"/>
        </w:rPr>
        <w:t>0.679 cm</w:t>
      </w:r>
      <w:r w:rsidRPr="00E30BF8">
        <w:rPr>
          <w:rFonts w:eastAsiaTheme="minorHAnsi"/>
          <w:vertAlign w:val="superscript"/>
        </w:rPr>
        <w:t>2</w:t>
      </w:r>
      <w:r w:rsidRPr="008478BB">
        <w:rPr>
          <w:rFonts w:eastAsiaTheme="minorHAnsi"/>
        </w:rPr>
        <w:t>/s</w:t>
      </w:r>
      <w:r>
        <w:rPr>
          <w:rFonts w:eastAsiaTheme="minorHAnsi"/>
        </w:rPr>
        <w:t>,</w:t>
      </w:r>
      <w:r w:rsidRPr="008478BB">
        <w:rPr>
          <w:rFonts w:eastAsiaTheme="minorHAnsi"/>
        </w:rPr>
        <w:t xml:space="preserve"> determined through Winkelmann’s empirical equation</w:t>
      </w:r>
      <w:r>
        <w:rPr>
          <w:rFonts w:eastAsiaTheme="minorHAnsi"/>
        </w:rPr>
        <w:t>, was tested as well.</w:t>
      </w:r>
      <w:r w:rsidRPr="008478BB">
        <w:t xml:space="preserve"> </w:t>
      </w:r>
      <w:r>
        <w:t>F</w:t>
      </w:r>
      <w:r w:rsidRPr="008478BB">
        <w:t>or the higher</w:t>
      </w:r>
      <w:r w:rsidRPr="008478BB">
        <w:rPr>
          <w:rFonts w:eastAsiaTheme="minorHAnsi"/>
        </w:rPr>
        <w:t xml:space="preserve"> </w:t>
      </w:r>
      <w:r w:rsidRPr="008478BB">
        <w:t xml:space="preserve">sensors, the differences </w:t>
      </w:r>
      <w:r>
        <w:t>were</w:t>
      </w:r>
      <w:r w:rsidRPr="008478BB">
        <w:t xml:space="preserve"> negligible, but </w:t>
      </w:r>
      <w:r w:rsidRPr="008478BB">
        <w:rPr>
          <w:rFonts w:eastAsiaTheme="minorHAnsi"/>
        </w:rPr>
        <w:t xml:space="preserve">they </w:t>
      </w:r>
      <w:r w:rsidRPr="008478BB">
        <w:t>bec</w:t>
      </w:r>
      <w:r>
        <w:t>a</w:t>
      </w:r>
      <w:r w:rsidRPr="008478BB">
        <w:t>me more significant</w:t>
      </w:r>
      <w:r>
        <w:t xml:space="preserve"> moving downwards</w:t>
      </w:r>
      <w:r w:rsidRPr="008478BB">
        <w:t xml:space="preserve">, though always remaining </w:t>
      </w:r>
      <w:r w:rsidRPr="008478BB">
        <w:lastRenderedPageBreak/>
        <w:t>small.</w:t>
      </w:r>
      <w:r w:rsidRPr="008478BB">
        <w:rPr>
          <w:rFonts w:eastAsiaTheme="minorHAnsi"/>
        </w:rPr>
        <w:t xml:space="preserve"> </w:t>
      </w:r>
      <w:r w:rsidRPr="008478BB">
        <w:t>Additionally, with</w:t>
      </w:r>
      <w:r w:rsidRPr="008478BB">
        <w:rPr>
          <w:rFonts w:eastAsiaTheme="minorHAnsi"/>
        </w:rPr>
        <w:t xml:space="preserve"> </w:t>
      </w:r>
      <w:r w:rsidRPr="008478BB">
        <w:t>a lower diffusion coefficient, the curves d</w:t>
      </w:r>
      <w:r>
        <w:t>id</w:t>
      </w:r>
      <w:r w:rsidRPr="008478BB">
        <w:t xml:space="preserve"> not</w:t>
      </w:r>
      <w:r w:rsidRPr="008478BB">
        <w:rPr>
          <w:rFonts w:eastAsiaTheme="minorHAnsi"/>
        </w:rPr>
        <w:t xml:space="preserve"> even</w:t>
      </w:r>
      <w:r w:rsidRPr="008478BB">
        <w:t xml:space="preserve"> reach full convergence at</w:t>
      </w:r>
      <w:r w:rsidRPr="008478BB">
        <w:rPr>
          <w:rFonts w:eastAsiaTheme="minorHAnsi"/>
        </w:rPr>
        <w:t xml:space="preserve"> </w:t>
      </w:r>
      <w:r w:rsidRPr="008478BB">
        <w:t>the end of the simulation</w:t>
      </w:r>
      <w:r w:rsidRPr="008478BB">
        <w:rPr>
          <w:rFonts w:eastAsiaTheme="minorHAnsi"/>
        </w:rPr>
        <w:t>.</w:t>
      </w:r>
      <w:r w:rsidRPr="008478BB">
        <w:t xml:space="preserve"> </w:t>
      </w:r>
      <w:r>
        <w:t>The main figures and errors obtained in these simulations are reported in Table 1.</w:t>
      </w:r>
    </w:p>
    <w:p w14:paraId="62D7FF46" w14:textId="3D34115D" w:rsidR="00960C62" w:rsidRPr="001B42E4" w:rsidRDefault="00960C62" w:rsidP="00960C62">
      <w:pPr>
        <w:pStyle w:val="CETTabletitle"/>
      </w:pPr>
      <w:r w:rsidRPr="001B42E4">
        <w:t xml:space="preserve">Table </w:t>
      </w:r>
      <w:r w:rsidRPr="001B42E4">
        <w:fldChar w:fldCharType="begin"/>
      </w:r>
      <w:r w:rsidRPr="001B42E4">
        <w:instrText xml:space="preserve"> SEQ Table \* ARABIC </w:instrText>
      </w:r>
      <w:r w:rsidRPr="001B42E4">
        <w:fldChar w:fldCharType="separate"/>
      </w:r>
      <w:r w:rsidRPr="001B42E4">
        <w:t>1</w:t>
      </w:r>
      <w:r w:rsidRPr="001B42E4">
        <w:fldChar w:fldCharType="end"/>
      </w:r>
      <w:r w:rsidR="00204E5E">
        <w:t>: M</w:t>
      </w:r>
      <w:r w:rsidRPr="001B42E4">
        <w:t>ain figures of the simulations</w:t>
      </w:r>
      <w:r w:rsidR="005E6F33">
        <w:t>,</w:t>
      </w:r>
      <w:r>
        <w:t xml:space="preserve"> with different diffusion coefficients (D)</w:t>
      </w:r>
      <w:r w:rsidRPr="001B42E4">
        <w:t>; simulation 1: D = 0.763 cm</w:t>
      </w:r>
      <w:r w:rsidRPr="001B42E4">
        <w:rPr>
          <w:vertAlign w:val="superscript"/>
        </w:rPr>
        <w:t>2</w:t>
      </w:r>
      <w:r w:rsidRPr="001B42E4">
        <w:t>/s; simulation 2: D = 0.679 cm</w:t>
      </w:r>
      <w:r w:rsidRPr="001B42E4">
        <w:rPr>
          <w:vertAlign w:val="superscript"/>
        </w:rPr>
        <w:t>2</w:t>
      </w:r>
      <w:r w:rsidRPr="001B42E4">
        <w:t>/s.</w:t>
      </w:r>
    </w:p>
    <w:p w14:paraId="13690643" w14:textId="77777777" w:rsidR="00960C62" w:rsidRPr="001B42E4" w:rsidRDefault="00960C62" w:rsidP="00960C62"/>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552"/>
        <w:gridCol w:w="1134"/>
        <w:gridCol w:w="1134"/>
        <w:gridCol w:w="1417"/>
        <w:gridCol w:w="1134"/>
        <w:gridCol w:w="1097"/>
      </w:tblGrid>
      <w:tr w:rsidR="00960C62" w:rsidRPr="001B42E4" w14:paraId="701413C3" w14:textId="77777777" w:rsidTr="00204E5E">
        <w:tc>
          <w:tcPr>
            <w:tcW w:w="2552" w:type="dxa"/>
            <w:tcBorders>
              <w:top w:val="single" w:sz="12" w:space="0" w:color="008000"/>
              <w:bottom w:val="single" w:sz="6" w:space="0" w:color="008000"/>
            </w:tcBorders>
            <w:shd w:val="clear" w:color="auto" w:fill="FFFFFF"/>
          </w:tcPr>
          <w:p w14:paraId="3F21E60C" w14:textId="77777777" w:rsidR="00960C62" w:rsidRPr="001B42E4" w:rsidRDefault="00960C62" w:rsidP="008B5CFB">
            <w:pPr>
              <w:pStyle w:val="CETBodytext"/>
              <w:rPr>
                <w:lang w:val="en-GB"/>
              </w:rPr>
            </w:pPr>
          </w:p>
        </w:tc>
        <w:tc>
          <w:tcPr>
            <w:tcW w:w="1134" w:type="dxa"/>
            <w:tcBorders>
              <w:top w:val="single" w:sz="12" w:space="0" w:color="008000"/>
              <w:bottom w:val="single" w:sz="6" w:space="0" w:color="008000"/>
            </w:tcBorders>
            <w:shd w:val="clear" w:color="auto" w:fill="FFFFFF"/>
          </w:tcPr>
          <w:p w14:paraId="12832C8F" w14:textId="77777777" w:rsidR="00960C62" w:rsidRPr="001B42E4" w:rsidRDefault="00960C62" w:rsidP="008B5CFB">
            <w:pPr>
              <w:pStyle w:val="CETBodytext"/>
              <w:rPr>
                <w:lang w:val="en-GB"/>
              </w:rPr>
            </w:pPr>
            <w:r w:rsidRPr="001B42E4">
              <w:rPr>
                <w:lang w:val="en-GB"/>
              </w:rPr>
              <w:t>Experiments</w:t>
            </w:r>
          </w:p>
        </w:tc>
        <w:tc>
          <w:tcPr>
            <w:tcW w:w="1134" w:type="dxa"/>
            <w:tcBorders>
              <w:top w:val="single" w:sz="12" w:space="0" w:color="008000"/>
              <w:bottom w:val="single" w:sz="6" w:space="0" w:color="008000"/>
            </w:tcBorders>
            <w:shd w:val="clear" w:color="auto" w:fill="FFFFFF"/>
          </w:tcPr>
          <w:p w14:paraId="4D512764" w14:textId="77777777" w:rsidR="00960C62" w:rsidRPr="001B42E4" w:rsidRDefault="00960C62" w:rsidP="008B5CFB">
            <w:pPr>
              <w:pStyle w:val="CETBodytext"/>
              <w:rPr>
                <w:lang w:val="en-GB"/>
              </w:rPr>
            </w:pPr>
            <w:r w:rsidRPr="001B42E4">
              <w:rPr>
                <w:lang w:val="en-GB"/>
              </w:rPr>
              <w:t>Simulation 1</w:t>
            </w:r>
          </w:p>
        </w:tc>
        <w:tc>
          <w:tcPr>
            <w:tcW w:w="1417" w:type="dxa"/>
            <w:tcBorders>
              <w:top w:val="single" w:sz="12" w:space="0" w:color="008000"/>
              <w:bottom w:val="single" w:sz="6" w:space="0" w:color="008000"/>
            </w:tcBorders>
            <w:shd w:val="clear" w:color="auto" w:fill="FFFFFF"/>
          </w:tcPr>
          <w:p w14:paraId="3D60FF12" w14:textId="77777777" w:rsidR="00960C62" w:rsidRPr="001B42E4" w:rsidRDefault="00960C62" w:rsidP="008B5CFB">
            <w:pPr>
              <w:pStyle w:val="CETBodytext"/>
              <w:ind w:right="-1"/>
              <w:rPr>
                <w:rFonts w:cs="Arial"/>
                <w:szCs w:val="18"/>
                <w:lang w:val="en-GB"/>
              </w:rPr>
            </w:pPr>
            <w:r w:rsidRPr="001B42E4">
              <w:rPr>
                <w:rFonts w:cs="Arial"/>
                <w:szCs w:val="18"/>
                <w:lang w:val="en-GB"/>
              </w:rPr>
              <w:t xml:space="preserve">Error sim. 1 </w:t>
            </w:r>
          </w:p>
        </w:tc>
        <w:tc>
          <w:tcPr>
            <w:tcW w:w="1134" w:type="dxa"/>
            <w:tcBorders>
              <w:top w:val="single" w:sz="12" w:space="0" w:color="008000"/>
              <w:bottom w:val="single" w:sz="6" w:space="0" w:color="008000"/>
            </w:tcBorders>
            <w:shd w:val="clear" w:color="auto" w:fill="FFFFFF"/>
          </w:tcPr>
          <w:p w14:paraId="4D2623EA" w14:textId="77777777" w:rsidR="00960C62" w:rsidRPr="001B42E4" w:rsidRDefault="00960C62" w:rsidP="008B5CFB">
            <w:pPr>
              <w:pStyle w:val="CETBodytext"/>
              <w:ind w:right="-1"/>
              <w:rPr>
                <w:rFonts w:cs="Arial"/>
                <w:szCs w:val="18"/>
                <w:lang w:val="en-GB"/>
              </w:rPr>
            </w:pPr>
            <w:r w:rsidRPr="001B42E4">
              <w:rPr>
                <w:rFonts w:cs="Arial"/>
                <w:szCs w:val="18"/>
                <w:lang w:val="en-GB"/>
              </w:rPr>
              <w:t>Simulation 2</w:t>
            </w:r>
          </w:p>
        </w:tc>
        <w:tc>
          <w:tcPr>
            <w:tcW w:w="1097" w:type="dxa"/>
            <w:tcBorders>
              <w:top w:val="single" w:sz="12" w:space="0" w:color="008000"/>
              <w:bottom w:val="single" w:sz="6" w:space="0" w:color="008000"/>
            </w:tcBorders>
            <w:shd w:val="clear" w:color="auto" w:fill="FFFFFF"/>
          </w:tcPr>
          <w:p w14:paraId="4B3CA1B2" w14:textId="77777777" w:rsidR="00960C62" w:rsidRPr="001B42E4" w:rsidRDefault="00960C62" w:rsidP="008B5CFB">
            <w:pPr>
              <w:pStyle w:val="CETBodytext"/>
              <w:ind w:right="-1"/>
              <w:rPr>
                <w:rFonts w:cs="Arial"/>
                <w:szCs w:val="18"/>
                <w:lang w:val="en-GB"/>
              </w:rPr>
            </w:pPr>
            <w:r w:rsidRPr="001B42E4">
              <w:rPr>
                <w:rFonts w:cs="Arial"/>
                <w:szCs w:val="18"/>
                <w:lang w:val="en-GB"/>
              </w:rPr>
              <w:t>Error sim. 2</w:t>
            </w:r>
          </w:p>
        </w:tc>
      </w:tr>
      <w:tr w:rsidR="00960C62" w:rsidRPr="001B42E4" w14:paraId="0AD93437" w14:textId="77777777" w:rsidTr="00204E5E">
        <w:tc>
          <w:tcPr>
            <w:tcW w:w="2552" w:type="dxa"/>
            <w:shd w:val="clear" w:color="auto" w:fill="FFFFFF"/>
          </w:tcPr>
          <w:p w14:paraId="4D470179" w14:textId="77777777" w:rsidR="00960C62" w:rsidRPr="001B42E4" w:rsidRDefault="00960C62" w:rsidP="008B5CFB">
            <w:pPr>
              <w:pStyle w:val="CETBodytext"/>
              <w:rPr>
                <w:lang w:val="en-GB"/>
              </w:rPr>
            </w:pPr>
            <w:r w:rsidRPr="001B42E4">
              <w:rPr>
                <w:lang w:val="en-GB"/>
              </w:rPr>
              <w:t>B4 max molar fraction (%)</w:t>
            </w:r>
          </w:p>
        </w:tc>
        <w:tc>
          <w:tcPr>
            <w:tcW w:w="1134" w:type="dxa"/>
            <w:shd w:val="clear" w:color="auto" w:fill="FFFFFF"/>
          </w:tcPr>
          <w:p w14:paraId="38104C82" w14:textId="77777777" w:rsidR="00960C62" w:rsidRPr="001B42E4" w:rsidRDefault="00960C62" w:rsidP="008B5CFB">
            <w:pPr>
              <w:pStyle w:val="CETBodytext"/>
              <w:rPr>
                <w:lang w:val="en-GB"/>
              </w:rPr>
            </w:pPr>
            <w:r w:rsidRPr="001B42E4">
              <w:rPr>
                <w:lang w:val="en-GB"/>
              </w:rPr>
              <w:t>13.75</w:t>
            </w:r>
          </w:p>
        </w:tc>
        <w:tc>
          <w:tcPr>
            <w:tcW w:w="1134" w:type="dxa"/>
            <w:shd w:val="clear" w:color="auto" w:fill="FFFFFF"/>
          </w:tcPr>
          <w:p w14:paraId="6453F0FD" w14:textId="77777777" w:rsidR="00960C62" w:rsidRPr="001B42E4" w:rsidRDefault="00960C62" w:rsidP="008B5CFB">
            <w:pPr>
              <w:pStyle w:val="CETBodytext"/>
              <w:rPr>
                <w:lang w:val="en-GB"/>
              </w:rPr>
            </w:pPr>
            <w:r w:rsidRPr="001B42E4">
              <w:rPr>
                <w:lang w:val="en-GB"/>
              </w:rPr>
              <w:t>13.66</w:t>
            </w:r>
          </w:p>
        </w:tc>
        <w:tc>
          <w:tcPr>
            <w:tcW w:w="1417" w:type="dxa"/>
            <w:shd w:val="clear" w:color="auto" w:fill="FFFFFF"/>
          </w:tcPr>
          <w:p w14:paraId="03510AFB" w14:textId="77777777" w:rsidR="00960C62" w:rsidRPr="001B42E4" w:rsidRDefault="00960C62" w:rsidP="008B5CFB">
            <w:pPr>
              <w:pStyle w:val="CETBodytext"/>
              <w:ind w:right="-1"/>
              <w:rPr>
                <w:rFonts w:cs="Arial"/>
                <w:szCs w:val="18"/>
                <w:lang w:val="en-GB"/>
              </w:rPr>
            </w:pPr>
            <w:r w:rsidRPr="001B42E4">
              <w:rPr>
                <w:rFonts w:cs="Arial"/>
                <w:szCs w:val="18"/>
                <w:lang w:val="en-GB"/>
              </w:rPr>
              <w:t>0.7%</w:t>
            </w:r>
          </w:p>
        </w:tc>
        <w:tc>
          <w:tcPr>
            <w:tcW w:w="1134" w:type="dxa"/>
            <w:shd w:val="clear" w:color="auto" w:fill="FFFFFF"/>
          </w:tcPr>
          <w:p w14:paraId="571EF654" w14:textId="77777777" w:rsidR="00960C62" w:rsidRPr="001B42E4" w:rsidRDefault="00960C62" w:rsidP="008B5CFB">
            <w:pPr>
              <w:pStyle w:val="CETBodytext"/>
              <w:ind w:right="-1"/>
              <w:rPr>
                <w:rFonts w:cs="Arial"/>
                <w:szCs w:val="18"/>
                <w:lang w:val="en-GB"/>
              </w:rPr>
            </w:pPr>
            <w:r w:rsidRPr="001B42E4">
              <w:rPr>
                <w:rFonts w:cs="Arial"/>
                <w:szCs w:val="18"/>
                <w:lang w:val="en-GB"/>
              </w:rPr>
              <w:t>13.87</w:t>
            </w:r>
          </w:p>
        </w:tc>
        <w:tc>
          <w:tcPr>
            <w:tcW w:w="1097" w:type="dxa"/>
            <w:shd w:val="clear" w:color="auto" w:fill="FFFFFF"/>
          </w:tcPr>
          <w:p w14:paraId="59DCE8BB" w14:textId="77777777" w:rsidR="00960C62" w:rsidRPr="001B42E4" w:rsidRDefault="00960C62" w:rsidP="008B5CFB">
            <w:pPr>
              <w:pStyle w:val="CETBodytext"/>
              <w:ind w:right="-1"/>
              <w:rPr>
                <w:rFonts w:cs="Arial"/>
                <w:szCs w:val="18"/>
                <w:lang w:val="en-GB"/>
              </w:rPr>
            </w:pPr>
            <w:r w:rsidRPr="001B42E4">
              <w:rPr>
                <w:rFonts w:cs="Arial"/>
                <w:szCs w:val="18"/>
                <w:lang w:val="en-GB"/>
              </w:rPr>
              <w:t>0.9%</w:t>
            </w:r>
          </w:p>
        </w:tc>
      </w:tr>
      <w:tr w:rsidR="00960C62" w:rsidRPr="001B42E4" w14:paraId="0630ABE3" w14:textId="77777777" w:rsidTr="00204E5E">
        <w:tc>
          <w:tcPr>
            <w:tcW w:w="2552" w:type="dxa"/>
            <w:shd w:val="clear" w:color="auto" w:fill="FFFFFF"/>
          </w:tcPr>
          <w:p w14:paraId="49B4D322" w14:textId="77777777" w:rsidR="00960C62" w:rsidRPr="001B42E4" w:rsidRDefault="00960C62" w:rsidP="008B5CFB">
            <w:pPr>
              <w:pStyle w:val="CETBodytext"/>
              <w:ind w:right="-1"/>
              <w:rPr>
                <w:rFonts w:cs="Arial"/>
                <w:szCs w:val="18"/>
                <w:lang w:val="en-GB"/>
              </w:rPr>
            </w:pPr>
            <w:r w:rsidRPr="001B42E4">
              <w:rPr>
                <w:rFonts w:cs="Arial"/>
                <w:szCs w:val="18"/>
                <w:lang w:val="en-GB"/>
              </w:rPr>
              <w:t xml:space="preserve">C4 max </w:t>
            </w:r>
            <w:r w:rsidRPr="001B42E4">
              <w:rPr>
                <w:lang w:val="en-GB"/>
              </w:rPr>
              <w:t>molar fraction</w:t>
            </w:r>
            <w:r w:rsidRPr="001B42E4">
              <w:rPr>
                <w:rFonts w:cs="Arial"/>
                <w:szCs w:val="18"/>
                <w:lang w:val="en-GB"/>
              </w:rPr>
              <w:t xml:space="preserve"> (%)</w:t>
            </w:r>
          </w:p>
        </w:tc>
        <w:tc>
          <w:tcPr>
            <w:tcW w:w="1134" w:type="dxa"/>
            <w:shd w:val="clear" w:color="auto" w:fill="FFFFFF"/>
          </w:tcPr>
          <w:p w14:paraId="39149F30" w14:textId="77777777" w:rsidR="00960C62" w:rsidRPr="001B42E4" w:rsidRDefault="00960C62" w:rsidP="008B5CFB">
            <w:pPr>
              <w:pStyle w:val="CETBodytext"/>
              <w:ind w:right="-1"/>
              <w:rPr>
                <w:rFonts w:cs="Arial"/>
                <w:szCs w:val="18"/>
                <w:lang w:val="en-GB"/>
              </w:rPr>
            </w:pPr>
            <w:r w:rsidRPr="001B42E4">
              <w:rPr>
                <w:rFonts w:cs="Arial"/>
                <w:szCs w:val="18"/>
                <w:lang w:val="en-GB"/>
              </w:rPr>
              <w:t>13.02</w:t>
            </w:r>
          </w:p>
        </w:tc>
        <w:tc>
          <w:tcPr>
            <w:tcW w:w="1134" w:type="dxa"/>
            <w:shd w:val="clear" w:color="auto" w:fill="FFFFFF"/>
          </w:tcPr>
          <w:p w14:paraId="672BB420" w14:textId="77777777" w:rsidR="00960C62" w:rsidRPr="001B42E4" w:rsidRDefault="00960C62" w:rsidP="008B5CFB">
            <w:pPr>
              <w:pStyle w:val="CETBodytext"/>
              <w:ind w:right="-1"/>
              <w:rPr>
                <w:rFonts w:cs="Arial"/>
                <w:szCs w:val="18"/>
                <w:lang w:val="en-GB"/>
              </w:rPr>
            </w:pPr>
            <w:r w:rsidRPr="001B42E4">
              <w:rPr>
                <w:rFonts w:cs="Arial"/>
                <w:szCs w:val="18"/>
                <w:lang w:val="en-GB"/>
              </w:rPr>
              <w:t>12.79</w:t>
            </w:r>
          </w:p>
        </w:tc>
        <w:tc>
          <w:tcPr>
            <w:tcW w:w="1417" w:type="dxa"/>
            <w:shd w:val="clear" w:color="auto" w:fill="FFFFFF"/>
          </w:tcPr>
          <w:p w14:paraId="12AA189A" w14:textId="77777777" w:rsidR="00960C62" w:rsidRPr="001B42E4" w:rsidRDefault="00960C62" w:rsidP="008B5CFB">
            <w:pPr>
              <w:pStyle w:val="CETBodytext"/>
              <w:ind w:right="-1"/>
              <w:rPr>
                <w:rFonts w:cs="Arial"/>
                <w:szCs w:val="18"/>
                <w:lang w:val="en-GB"/>
              </w:rPr>
            </w:pPr>
            <w:r w:rsidRPr="001B42E4">
              <w:rPr>
                <w:rFonts w:cs="Arial"/>
                <w:szCs w:val="18"/>
                <w:lang w:val="en-GB"/>
              </w:rPr>
              <w:t>1.8%</w:t>
            </w:r>
          </w:p>
        </w:tc>
        <w:tc>
          <w:tcPr>
            <w:tcW w:w="1134" w:type="dxa"/>
            <w:shd w:val="clear" w:color="auto" w:fill="FFFFFF"/>
          </w:tcPr>
          <w:p w14:paraId="227E91C8" w14:textId="77777777" w:rsidR="00960C62" w:rsidRPr="001B42E4" w:rsidRDefault="00960C62" w:rsidP="008B5CFB">
            <w:pPr>
              <w:pStyle w:val="CETBodytext"/>
              <w:ind w:right="-1"/>
              <w:rPr>
                <w:rFonts w:cs="Arial"/>
                <w:szCs w:val="18"/>
                <w:lang w:val="en-GB"/>
              </w:rPr>
            </w:pPr>
            <w:r w:rsidRPr="001B42E4">
              <w:rPr>
                <w:rFonts w:cs="Arial"/>
                <w:szCs w:val="18"/>
                <w:lang w:val="en-GB"/>
              </w:rPr>
              <w:t>12.89</w:t>
            </w:r>
          </w:p>
        </w:tc>
        <w:tc>
          <w:tcPr>
            <w:tcW w:w="1097" w:type="dxa"/>
            <w:shd w:val="clear" w:color="auto" w:fill="FFFFFF"/>
          </w:tcPr>
          <w:p w14:paraId="6CAB6438" w14:textId="77777777" w:rsidR="00960C62" w:rsidRPr="001B42E4" w:rsidRDefault="00960C62" w:rsidP="008B5CFB">
            <w:pPr>
              <w:pStyle w:val="CETBodytext"/>
              <w:ind w:right="-1"/>
              <w:rPr>
                <w:rFonts w:cs="Arial"/>
                <w:szCs w:val="18"/>
                <w:lang w:val="en-GB"/>
              </w:rPr>
            </w:pPr>
            <w:r w:rsidRPr="001B42E4">
              <w:rPr>
                <w:rFonts w:cs="Arial"/>
                <w:szCs w:val="18"/>
                <w:lang w:val="en-GB"/>
              </w:rPr>
              <w:t>1.0%</w:t>
            </w:r>
          </w:p>
        </w:tc>
      </w:tr>
      <w:tr w:rsidR="00960C62" w:rsidRPr="001B42E4" w14:paraId="7FB2DD31" w14:textId="77777777" w:rsidTr="00204E5E">
        <w:tc>
          <w:tcPr>
            <w:tcW w:w="2552" w:type="dxa"/>
            <w:shd w:val="clear" w:color="auto" w:fill="FFFFFF"/>
          </w:tcPr>
          <w:p w14:paraId="143EDA8A" w14:textId="77777777" w:rsidR="00960C62" w:rsidRPr="001B42E4" w:rsidRDefault="00960C62" w:rsidP="008B5CFB">
            <w:pPr>
              <w:pStyle w:val="CETBodytext"/>
              <w:ind w:right="-1"/>
              <w:rPr>
                <w:rFonts w:cs="Arial"/>
                <w:szCs w:val="18"/>
                <w:lang w:val="en-GB"/>
              </w:rPr>
            </w:pPr>
            <w:r w:rsidRPr="001B42E4">
              <w:rPr>
                <w:rFonts w:cs="Arial"/>
                <w:szCs w:val="18"/>
                <w:lang w:val="en-GB"/>
              </w:rPr>
              <w:t xml:space="preserve">B3 max </w:t>
            </w:r>
            <w:r w:rsidRPr="001B42E4">
              <w:rPr>
                <w:lang w:val="en-GB"/>
              </w:rPr>
              <w:t>molar fraction</w:t>
            </w:r>
            <w:r w:rsidRPr="001B42E4">
              <w:rPr>
                <w:rFonts w:cs="Arial"/>
                <w:szCs w:val="18"/>
                <w:lang w:val="en-GB"/>
              </w:rPr>
              <w:t xml:space="preserve"> (%)</w:t>
            </w:r>
          </w:p>
        </w:tc>
        <w:tc>
          <w:tcPr>
            <w:tcW w:w="1134" w:type="dxa"/>
            <w:shd w:val="clear" w:color="auto" w:fill="FFFFFF"/>
          </w:tcPr>
          <w:p w14:paraId="4A52A704" w14:textId="77777777" w:rsidR="00960C62" w:rsidRPr="001B42E4" w:rsidRDefault="00960C62" w:rsidP="008B5CFB">
            <w:pPr>
              <w:pStyle w:val="CETBodytext"/>
              <w:ind w:right="-1"/>
              <w:rPr>
                <w:rFonts w:cs="Arial"/>
                <w:szCs w:val="18"/>
                <w:lang w:val="en-GB"/>
              </w:rPr>
            </w:pPr>
            <w:r w:rsidRPr="001B42E4">
              <w:rPr>
                <w:rFonts w:cs="Arial"/>
                <w:szCs w:val="18"/>
                <w:lang w:val="en-GB"/>
              </w:rPr>
              <w:t>6.97</w:t>
            </w:r>
          </w:p>
        </w:tc>
        <w:tc>
          <w:tcPr>
            <w:tcW w:w="1134" w:type="dxa"/>
            <w:shd w:val="clear" w:color="auto" w:fill="FFFFFF"/>
          </w:tcPr>
          <w:p w14:paraId="5FDE17D9" w14:textId="77777777" w:rsidR="00960C62" w:rsidRPr="001B42E4" w:rsidRDefault="00960C62" w:rsidP="008B5CFB">
            <w:pPr>
              <w:pStyle w:val="CETBodytext"/>
              <w:ind w:right="-1"/>
              <w:rPr>
                <w:rFonts w:cs="Arial"/>
                <w:szCs w:val="18"/>
                <w:lang w:val="en-GB"/>
              </w:rPr>
            </w:pPr>
            <w:r w:rsidRPr="001B42E4">
              <w:rPr>
                <w:rFonts w:cs="Arial"/>
                <w:szCs w:val="18"/>
                <w:lang w:val="en-GB"/>
              </w:rPr>
              <w:t>6.38</w:t>
            </w:r>
          </w:p>
        </w:tc>
        <w:tc>
          <w:tcPr>
            <w:tcW w:w="1417" w:type="dxa"/>
            <w:shd w:val="clear" w:color="auto" w:fill="FFFFFF"/>
          </w:tcPr>
          <w:p w14:paraId="6645C00A" w14:textId="77777777" w:rsidR="00960C62" w:rsidRPr="001B42E4" w:rsidRDefault="00960C62" w:rsidP="008B5CFB">
            <w:pPr>
              <w:pStyle w:val="CETBodytext"/>
              <w:ind w:right="-1"/>
              <w:rPr>
                <w:rFonts w:cs="Arial"/>
                <w:szCs w:val="18"/>
                <w:lang w:val="en-GB"/>
              </w:rPr>
            </w:pPr>
            <w:r w:rsidRPr="001B42E4">
              <w:rPr>
                <w:rFonts w:cs="Arial"/>
                <w:szCs w:val="18"/>
                <w:lang w:val="en-GB"/>
              </w:rPr>
              <w:t>8.5%</w:t>
            </w:r>
          </w:p>
        </w:tc>
        <w:tc>
          <w:tcPr>
            <w:tcW w:w="1134" w:type="dxa"/>
            <w:shd w:val="clear" w:color="auto" w:fill="FFFFFF"/>
          </w:tcPr>
          <w:p w14:paraId="1CE5222A" w14:textId="77777777" w:rsidR="00960C62" w:rsidRPr="001B42E4" w:rsidRDefault="00960C62" w:rsidP="008B5CFB">
            <w:pPr>
              <w:pStyle w:val="CETBodytext"/>
              <w:ind w:right="-1"/>
              <w:rPr>
                <w:rFonts w:cs="Arial"/>
                <w:szCs w:val="18"/>
                <w:lang w:val="en-GB"/>
              </w:rPr>
            </w:pPr>
            <w:r w:rsidRPr="001B42E4">
              <w:rPr>
                <w:rFonts w:cs="Arial"/>
                <w:szCs w:val="18"/>
                <w:lang w:val="en-GB"/>
              </w:rPr>
              <w:t>6.21</w:t>
            </w:r>
          </w:p>
        </w:tc>
        <w:tc>
          <w:tcPr>
            <w:tcW w:w="1097" w:type="dxa"/>
            <w:shd w:val="clear" w:color="auto" w:fill="FFFFFF"/>
          </w:tcPr>
          <w:p w14:paraId="1D5C79A1" w14:textId="77777777" w:rsidR="00960C62" w:rsidRPr="001B42E4" w:rsidRDefault="00960C62" w:rsidP="008B5CFB">
            <w:pPr>
              <w:pStyle w:val="CETBodytext"/>
              <w:ind w:right="-1"/>
              <w:rPr>
                <w:rFonts w:cs="Arial"/>
                <w:szCs w:val="18"/>
                <w:lang w:val="en-GB"/>
              </w:rPr>
            </w:pPr>
            <w:r w:rsidRPr="001B42E4">
              <w:rPr>
                <w:rFonts w:cs="Arial"/>
                <w:szCs w:val="18"/>
                <w:lang w:val="en-GB"/>
              </w:rPr>
              <w:t>10.9%</w:t>
            </w:r>
          </w:p>
        </w:tc>
      </w:tr>
      <w:tr w:rsidR="00960C62" w:rsidRPr="001B42E4" w14:paraId="34A743E8" w14:textId="77777777" w:rsidTr="00204E5E">
        <w:tc>
          <w:tcPr>
            <w:tcW w:w="2552" w:type="dxa"/>
            <w:shd w:val="clear" w:color="auto" w:fill="FFFFFF"/>
          </w:tcPr>
          <w:p w14:paraId="0BDC9A7D" w14:textId="77777777" w:rsidR="00960C62" w:rsidRPr="001B42E4" w:rsidRDefault="00960C62" w:rsidP="008B5CFB">
            <w:pPr>
              <w:pStyle w:val="CETBodytext"/>
              <w:ind w:right="-1"/>
              <w:rPr>
                <w:rFonts w:cs="Arial"/>
                <w:szCs w:val="18"/>
                <w:lang w:val="en-GB"/>
              </w:rPr>
            </w:pPr>
            <w:r w:rsidRPr="001B42E4">
              <w:rPr>
                <w:rFonts w:cs="Arial"/>
                <w:szCs w:val="18"/>
                <w:lang w:val="en-GB"/>
              </w:rPr>
              <w:t xml:space="preserve">B2 max </w:t>
            </w:r>
            <w:r w:rsidRPr="001B42E4">
              <w:rPr>
                <w:lang w:val="en-GB"/>
              </w:rPr>
              <w:t>molar fraction</w:t>
            </w:r>
            <w:r w:rsidRPr="001B42E4">
              <w:rPr>
                <w:rFonts w:cs="Arial"/>
                <w:szCs w:val="18"/>
                <w:lang w:val="en-GB"/>
              </w:rPr>
              <w:t xml:space="preserve"> (%)</w:t>
            </w:r>
          </w:p>
        </w:tc>
        <w:tc>
          <w:tcPr>
            <w:tcW w:w="1134" w:type="dxa"/>
            <w:shd w:val="clear" w:color="auto" w:fill="FFFFFF"/>
          </w:tcPr>
          <w:p w14:paraId="291F604A" w14:textId="77777777" w:rsidR="00960C62" w:rsidRPr="001B42E4" w:rsidRDefault="00960C62" w:rsidP="008B5CFB">
            <w:pPr>
              <w:pStyle w:val="CETBodytext"/>
              <w:ind w:right="-1"/>
              <w:rPr>
                <w:rFonts w:cs="Arial"/>
                <w:szCs w:val="18"/>
                <w:lang w:val="en-GB"/>
              </w:rPr>
            </w:pPr>
            <w:r w:rsidRPr="001B42E4">
              <w:rPr>
                <w:rFonts w:cs="Arial"/>
                <w:szCs w:val="18"/>
                <w:lang w:val="en-GB"/>
              </w:rPr>
              <w:t>6.00</w:t>
            </w:r>
          </w:p>
        </w:tc>
        <w:tc>
          <w:tcPr>
            <w:tcW w:w="1134" w:type="dxa"/>
            <w:shd w:val="clear" w:color="auto" w:fill="FFFFFF"/>
          </w:tcPr>
          <w:p w14:paraId="33BDB72C" w14:textId="77777777" w:rsidR="00960C62" w:rsidRPr="001B42E4" w:rsidRDefault="00960C62" w:rsidP="008B5CFB">
            <w:pPr>
              <w:pStyle w:val="CETBodytext"/>
              <w:ind w:right="-1"/>
              <w:rPr>
                <w:rFonts w:cs="Arial"/>
                <w:szCs w:val="18"/>
                <w:lang w:val="en-GB"/>
              </w:rPr>
            </w:pPr>
            <w:r w:rsidRPr="001B42E4">
              <w:rPr>
                <w:rFonts w:cs="Arial"/>
                <w:szCs w:val="18"/>
                <w:lang w:val="en-GB"/>
              </w:rPr>
              <w:t>5.35</w:t>
            </w:r>
          </w:p>
        </w:tc>
        <w:tc>
          <w:tcPr>
            <w:tcW w:w="1417" w:type="dxa"/>
            <w:shd w:val="clear" w:color="auto" w:fill="FFFFFF"/>
          </w:tcPr>
          <w:p w14:paraId="1028E6FB" w14:textId="77777777" w:rsidR="00960C62" w:rsidRPr="001B42E4" w:rsidRDefault="00960C62" w:rsidP="008B5CFB">
            <w:pPr>
              <w:pStyle w:val="CETBodytext"/>
              <w:ind w:right="-1"/>
              <w:rPr>
                <w:rFonts w:cs="Arial"/>
                <w:szCs w:val="18"/>
                <w:lang w:val="en-GB"/>
              </w:rPr>
            </w:pPr>
            <w:r w:rsidRPr="001B42E4">
              <w:rPr>
                <w:rFonts w:cs="Arial"/>
                <w:szCs w:val="18"/>
                <w:lang w:val="en-GB"/>
              </w:rPr>
              <w:t>10.8%</w:t>
            </w:r>
          </w:p>
        </w:tc>
        <w:tc>
          <w:tcPr>
            <w:tcW w:w="1134" w:type="dxa"/>
            <w:shd w:val="clear" w:color="auto" w:fill="FFFFFF"/>
          </w:tcPr>
          <w:p w14:paraId="0C31F66A" w14:textId="77777777" w:rsidR="00960C62" w:rsidRPr="001B42E4" w:rsidRDefault="00960C62" w:rsidP="008B5CFB">
            <w:pPr>
              <w:pStyle w:val="CETBodytext"/>
              <w:ind w:right="-1"/>
              <w:rPr>
                <w:rFonts w:cs="Arial"/>
                <w:szCs w:val="18"/>
                <w:lang w:val="en-GB"/>
              </w:rPr>
            </w:pPr>
            <w:r w:rsidRPr="001B42E4">
              <w:rPr>
                <w:rFonts w:cs="Arial"/>
                <w:szCs w:val="18"/>
                <w:lang w:val="en-GB"/>
              </w:rPr>
              <w:t>5.13</w:t>
            </w:r>
          </w:p>
        </w:tc>
        <w:tc>
          <w:tcPr>
            <w:tcW w:w="1097" w:type="dxa"/>
            <w:shd w:val="clear" w:color="auto" w:fill="FFFFFF"/>
          </w:tcPr>
          <w:p w14:paraId="73C70211" w14:textId="77777777" w:rsidR="00960C62" w:rsidRPr="001B42E4" w:rsidRDefault="00960C62" w:rsidP="008B5CFB">
            <w:pPr>
              <w:pStyle w:val="CETBodytext"/>
              <w:ind w:right="-1"/>
              <w:rPr>
                <w:rFonts w:cs="Arial"/>
                <w:szCs w:val="18"/>
                <w:lang w:val="en-GB"/>
              </w:rPr>
            </w:pPr>
            <w:r w:rsidRPr="001B42E4">
              <w:rPr>
                <w:rFonts w:cs="Arial"/>
                <w:szCs w:val="18"/>
                <w:lang w:val="en-GB"/>
              </w:rPr>
              <w:t>14.5%</w:t>
            </w:r>
          </w:p>
        </w:tc>
      </w:tr>
      <w:tr w:rsidR="00960C62" w:rsidRPr="001B42E4" w14:paraId="4D051835" w14:textId="77777777" w:rsidTr="00204E5E">
        <w:tc>
          <w:tcPr>
            <w:tcW w:w="2552" w:type="dxa"/>
            <w:shd w:val="clear" w:color="auto" w:fill="FFFFFF"/>
          </w:tcPr>
          <w:p w14:paraId="0FE4ED55" w14:textId="77777777" w:rsidR="00960C62" w:rsidRPr="001B42E4" w:rsidRDefault="00960C62" w:rsidP="008B5CFB">
            <w:pPr>
              <w:pStyle w:val="CETBodytext"/>
              <w:ind w:right="-1"/>
              <w:rPr>
                <w:rFonts w:cs="Arial"/>
                <w:szCs w:val="18"/>
                <w:lang w:val="en-GB"/>
              </w:rPr>
            </w:pPr>
            <w:r w:rsidRPr="001B42E4">
              <w:rPr>
                <w:rFonts w:cs="Arial"/>
                <w:szCs w:val="18"/>
                <w:lang w:val="en-GB"/>
              </w:rPr>
              <w:t xml:space="preserve">B1 max </w:t>
            </w:r>
            <w:r w:rsidRPr="001B42E4">
              <w:rPr>
                <w:lang w:val="en-GB"/>
              </w:rPr>
              <w:t>molar fraction</w:t>
            </w:r>
            <w:r w:rsidRPr="001B42E4">
              <w:rPr>
                <w:rFonts w:cs="Arial"/>
                <w:szCs w:val="18"/>
                <w:lang w:val="en-GB"/>
              </w:rPr>
              <w:t xml:space="preserve"> (%)</w:t>
            </w:r>
          </w:p>
        </w:tc>
        <w:tc>
          <w:tcPr>
            <w:tcW w:w="1134" w:type="dxa"/>
            <w:shd w:val="clear" w:color="auto" w:fill="FFFFFF"/>
          </w:tcPr>
          <w:p w14:paraId="5C718562" w14:textId="77777777" w:rsidR="00960C62" w:rsidRPr="001B42E4" w:rsidRDefault="00960C62" w:rsidP="008B5CFB">
            <w:pPr>
              <w:pStyle w:val="CETBodytext"/>
              <w:ind w:right="-1"/>
              <w:rPr>
                <w:rFonts w:cs="Arial"/>
                <w:szCs w:val="18"/>
                <w:lang w:val="en-GB"/>
              </w:rPr>
            </w:pPr>
            <w:r w:rsidRPr="001B42E4">
              <w:rPr>
                <w:rFonts w:cs="Arial"/>
                <w:szCs w:val="18"/>
                <w:lang w:val="en-GB"/>
              </w:rPr>
              <w:t>5.90</w:t>
            </w:r>
          </w:p>
        </w:tc>
        <w:tc>
          <w:tcPr>
            <w:tcW w:w="1134" w:type="dxa"/>
            <w:shd w:val="clear" w:color="auto" w:fill="FFFFFF"/>
          </w:tcPr>
          <w:p w14:paraId="0A16E097" w14:textId="77777777" w:rsidR="00960C62" w:rsidRPr="001B42E4" w:rsidRDefault="00960C62" w:rsidP="008B5CFB">
            <w:pPr>
              <w:pStyle w:val="CETBodytext"/>
              <w:ind w:right="-1"/>
              <w:rPr>
                <w:rFonts w:cs="Arial"/>
                <w:szCs w:val="18"/>
                <w:lang w:val="en-GB"/>
              </w:rPr>
            </w:pPr>
            <w:r w:rsidRPr="001B42E4">
              <w:rPr>
                <w:rFonts w:cs="Arial"/>
                <w:szCs w:val="18"/>
                <w:lang w:val="en-GB"/>
              </w:rPr>
              <w:t>5.28</w:t>
            </w:r>
          </w:p>
        </w:tc>
        <w:tc>
          <w:tcPr>
            <w:tcW w:w="1417" w:type="dxa"/>
            <w:shd w:val="clear" w:color="auto" w:fill="FFFFFF"/>
          </w:tcPr>
          <w:p w14:paraId="2AB2A81F" w14:textId="77777777" w:rsidR="00960C62" w:rsidRPr="001B42E4" w:rsidRDefault="00960C62" w:rsidP="008B5CFB">
            <w:pPr>
              <w:pStyle w:val="CETBodytext"/>
              <w:ind w:right="-1"/>
              <w:rPr>
                <w:rFonts w:cs="Arial"/>
                <w:szCs w:val="18"/>
                <w:lang w:val="en-GB"/>
              </w:rPr>
            </w:pPr>
            <w:r w:rsidRPr="001B42E4">
              <w:rPr>
                <w:rFonts w:cs="Arial"/>
                <w:szCs w:val="18"/>
                <w:lang w:val="en-GB"/>
              </w:rPr>
              <w:t>10.5%</w:t>
            </w:r>
          </w:p>
        </w:tc>
        <w:tc>
          <w:tcPr>
            <w:tcW w:w="1134" w:type="dxa"/>
            <w:shd w:val="clear" w:color="auto" w:fill="FFFFFF"/>
          </w:tcPr>
          <w:p w14:paraId="22E867A2" w14:textId="77777777" w:rsidR="00960C62" w:rsidRPr="001B42E4" w:rsidRDefault="00960C62" w:rsidP="008B5CFB">
            <w:pPr>
              <w:pStyle w:val="CETBodytext"/>
              <w:ind w:right="-1"/>
              <w:rPr>
                <w:rFonts w:cs="Arial"/>
                <w:szCs w:val="18"/>
                <w:lang w:val="en-GB"/>
              </w:rPr>
            </w:pPr>
            <w:r w:rsidRPr="001B42E4">
              <w:rPr>
                <w:rFonts w:cs="Arial"/>
                <w:szCs w:val="18"/>
                <w:lang w:val="en-GB"/>
              </w:rPr>
              <w:t>4.97</w:t>
            </w:r>
          </w:p>
        </w:tc>
        <w:tc>
          <w:tcPr>
            <w:tcW w:w="1097" w:type="dxa"/>
            <w:shd w:val="clear" w:color="auto" w:fill="FFFFFF"/>
          </w:tcPr>
          <w:p w14:paraId="48DC786F" w14:textId="77777777" w:rsidR="00960C62" w:rsidRPr="001B42E4" w:rsidRDefault="00960C62" w:rsidP="008B5CFB">
            <w:pPr>
              <w:pStyle w:val="CETBodytext"/>
              <w:ind w:right="-1"/>
              <w:rPr>
                <w:rFonts w:cs="Arial"/>
                <w:szCs w:val="18"/>
                <w:lang w:val="en-GB"/>
              </w:rPr>
            </w:pPr>
            <w:r w:rsidRPr="001B42E4">
              <w:rPr>
                <w:rFonts w:cs="Arial"/>
                <w:szCs w:val="18"/>
                <w:lang w:val="en-GB"/>
              </w:rPr>
              <w:t>15.8%</w:t>
            </w:r>
          </w:p>
        </w:tc>
      </w:tr>
      <w:tr w:rsidR="00960C62" w:rsidRPr="001B42E4" w14:paraId="60E244B2" w14:textId="77777777" w:rsidTr="00204E5E">
        <w:tc>
          <w:tcPr>
            <w:tcW w:w="2552" w:type="dxa"/>
            <w:shd w:val="clear" w:color="auto" w:fill="FFFFFF"/>
          </w:tcPr>
          <w:p w14:paraId="577E99F2" w14:textId="77777777" w:rsidR="00960C62" w:rsidRPr="001B42E4" w:rsidRDefault="00960C62" w:rsidP="008B5CFB">
            <w:pPr>
              <w:pStyle w:val="CETBodytext"/>
              <w:ind w:right="-1"/>
              <w:rPr>
                <w:rFonts w:cs="Arial"/>
                <w:szCs w:val="18"/>
                <w:lang w:val="en-GB"/>
              </w:rPr>
            </w:pPr>
            <w:r w:rsidRPr="001B42E4">
              <w:rPr>
                <w:rFonts w:cs="Arial"/>
                <w:szCs w:val="18"/>
                <w:lang w:val="en-GB"/>
              </w:rPr>
              <w:t>Gradient at 73 s (%)</w:t>
            </w:r>
          </w:p>
        </w:tc>
        <w:tc>
          <w:tcPr>
            <w:tcW w:w="1134" w:type="dxa"/>
            <w:shd w:val="clear" w:color="auto" w:fill="FFFFFF"/>
          </w:tcPr>
          <w:p w14:paraId="2EE4B9F3" w14:textId="77777777" w:rsidR="00960C62" w:rsidRPr="001B42E4" w:rsidRDefault="00960C62" w:rsidP="008B5CFB">
            <w:pPr>
              <w:pStyle w:val="CETBodytext"/>
              <w:ind w:right="-1"/>
              <w:rPr>
                <w:rFonts w:cs="Arial"/>
                <w:szCs w:val="18"/>
                <w:lang w:val="en-GB"/>
              </w:rPr>
            </w:pPr>
            <w:r w:rsidRPr="001B42E4">
              <w:rPr>
                <w:rFonts w:cs="Arial"/>
                <w:szCs w:val="18"/>
                <w:lang w:val="en-GB"/>
              </w:rPr>
              <w:t>7.86</w:t>
            </w:r>
          </w:p>
        </w:tc>
        <w:tc>
          <w:tcPr>
            <w:tcW w:w="1134" w:type="dxa"/>
            <w:shd w:val="clear" w:color="auto" w:fill="FFFFFF"/>
          </w:tcPr>
          <w:p w14:paraId="17BE5B5F" w14:textId="77777777" w:rsidR="00960C62" w:rsidRPr="001B42E4" w:rsidRDefault="00960C62" w:rsidP="008B5CFB">
            <w:pPr>
              <w:pStyle w:val="CETBodytext"/>
              <w:ind w:right="-1"/>
              <w:rPr>
                <w:rFonts w:cs="Arial"/>
                <w:szCs w:val="18"/>
                <w:lang w:val="en-GB"/>
              </w:rPr>
            </w:pPr>
            <w:r w:rsidRPr="001B42E4">
              <w:rPr>
                <w:rFonts w:cs="Arial"/>
                <w:szCs w:val="18"/>
                <w:lang w:val="en-GB"/>
              </w:rPr>
              <w:t>7.89</w:t>
            </w:r>
          </w:p>
        </w:tc>
        <w:tc>
          <w:tcPr>
            <w:tcW w:w="1417" w:type="dxa"/>
            <w:shd w:val="clear" w:color="auto" w:fill="FFFFFF"/>
          </w:tcPr>
          <w:p w14:paraId="7CC418E9" w14:textId="77777777" w:rsidR="00960C62" w:rsidRPr="001B42E4" w:rsidRDefault="00960C62" w:rsidP="008B5CFB">
            <w:pPr>
              <w:pStyle w:val="CETBodytext"/>
              <w:ind w:right="-1"/>
              <w:rPr>
                <w:rFonts w:cs="Arial"/>
                <w:szCs w:val="18"/>
                <w:lang w:val="en-GB"/>
              </w:rPr>
            </w:pPr>
            <w:r w:rsidRPr="001B42E4">
              <w:rPr>
                <w:rFonts w:cs="Arial"/>
                <w:szCs w:val="18"/>
                <w:lang w:val="en-GB"/>
              </w:rPr>
              <w:t>0.4%</w:t>
            </w:r>
          </w:p>
        </w:tc>
        <w:tc>
          <w:tcPr>
            <w:tcW w:w="1134" w:type="dxa"/>
            <w:shd w:val="clear" w:color="auto" w:fill="FFFFFF"/>
          </w:tcPr>
          <w:p w14:paraId="09FC94D7" w14:textId="77777777" w:rsidR="00960C62" w:rsidRPr="001B42E4" w:rsidRDefault="00960C62" w:rsidP="008B5CFB">
            <w:pPr>
              <w:pStyle w:val="CETBodytext"/>
              <w:ind w:right="-1"/>
              <w:rPr>
                <w:rFonts w:cs="Arial"/>
                <w:szCs w:val="18"/>
                <w:lang w:val="en-GB"/>
              </w:rPr>
            </w:pPr>
            <w:r w:rsidRPr="001B42E4">
              <w:rPr>
                <w:rFonts w:cs="Arial"/>
                <w:szCs w:val="18"/>
                <w:lang w:val="en-GB"/>
              </w:rPr>
              <w:t>8.61</w:t>
            </w:r>
          </w:p>
        </w:tc>
        <w:tc>
          <w:tcPr>
            <w:tcW w:w="1097" w:type="dxa"/>
            <w:shd w:val="clear" w:color="auto" w:fill="FFFFFF"/>
          </w:tcPr>
          <w:p w14:paraId="39E6A8B0" w14:textId="77777777" w:rsidR="00960C62" w:rsidRPr="001B42E4" w:rsidRDefault="00960C62" w:rsidP="008B5CFB">
            <w:pPr>
              <w:pStyle w:val="CETBodytext"/>
              <w:ind w:right="-1"/>
              <w:rPr>
                <w:rFonts w:cs="Arial"/>
                <w:szCs w:val="18"/>
                <w:lang w:val="en-GB"/>
              </w:rPr>
            </w:pPr>
            <w:r w:rsidRPr="001B42E4">
              <w:rPr>
                <w:rFonts w:cs="Arial"/>
                <w:szCs w:val="18"/>
                <w:lang w:val="en-GB"/>
              </w:rPr>
              <w:t>9.54%</w:t>
            </w:r>
          </w:p>
        </w:tc>
      </w:tr>
      <w:tr w:rsidR="00960C62" w:rsidRPr="001B42E4" w14:paraId="50AF53BB" w14:textId="77777777" w:rsidTr="00204E5E">
        <w:tc>
          <w:tcPr>
            <w:tcW w:w="2552" w:type="dxa"/>
            <w:shd w:val="clear" w:color="auto" w:fill="FFFFFF"/>
          </w:tcPr>
          <w:p w14:paraId="63725BEB" w14:textId="77777777" w:rsidR="00960C62" w:rsidRPr="001B42E4" w:rsidRDefault="00960C62" w:rsidP="008B5CFB">
            <w:pPr>
              <w:pStyle w:val="CETBodytext"/>
              <w:ind w:right="-1"/>
              <w:rPr>
                <w:rFonts w:cs="Arial"/>
                <w:szCs w:val="18"/>
                <w:lang w:val="en-GB"/>
              </w:rPr>
            </w:pPr>
            <w:r w:rsidRPr="001B42E4">
              <w:rPr>
                <w:rFonts w:cs="Arial"/>
                <w:szCs w:val="18"/>
                <w:lang w:val="en-GB"/>
              </w:rPr>
              <w:t>Homogenisation time (s)</w:t>
            </w:r>
          </w:p>
        </w:tc>
        <w:tc>
          <w:tcPr>
            <w:tcW w:w="1134" w:type="dxa"/>
            <w:shd w:val="clear" w:color="auto" w:fill="FFFFFF"/>
          </w:tcPr>
          <w:p w14:paraId="353D3EDB" w14:textId="77777777" w:rsidR="00960C62" w:rsidRPr="001B42E4" w:rsidRDefault="00960C62" w:rsidP="008B5CFB">
            <w:pPr>
              <w:pStyle w:val="CETBodytext"/>
              <w:ind w:right="-1"/>
              <w:rPr>
                <w:rFonts w:cs="Arial"/>
                <w:szCs w:val="18"/>
                <w:lang w:val="en-GB"/>
              </w:rPr>
            </w:pPr>
            <w:r w:rsidRPr="001B42E4">
              <w:rPr>
                <w:rFonts w:cs="Arial"/>
                <w:szCs w:val="18"/>
                <w:lang w:val="en-GB"/>
              </w:rPr>
              <w:t>183</w:t>
            </w:r>
          </w:p>
        </w:tc>
        <w:tc>
          <w:tcPr>
            <w:tcW w:w="1134" w:type="dxa"/>
            <w:shd w:val="clear" w:color="auto" w:fill="FFFFFF"/>
          </w:tcPr>
          <w:p w14:paraId="09A13466" w14:textId="77777777" w:rsidR="00960C62" w:rsidRPr="001B42E4" w:rsidRDefault="00960C62" w:rsidP="008B5CFB">
            <w:pPr>
              <w:pStyle w:val="CETBodytext"/>
              <w:ind w:right="-1"/>
              <w:rPr>
                <w:rFonts w:cs="Arial"/>
                <w:szCs w:val="18"/>
                <w:lang w:val="en-GB"/>
              </w:rPr>
            </w:pPr>
            <w:r w:rsidRPr="001B42E4">
              <w:rPr>
                <w:rFonts w:cs="Arial"/>
                <w:szCs w:val="18"/>
                <w:lang w:val="en-GB"/>
              </w:rPr>
              <w:t>220</w:t>
            </w:r>
          </w:p>
        </w:tc>
        <w:tc>
          <w:tcPr>
            <w:tcW w:w="1417" w:type="dxa"/>
            <w:shd w:val="clear" w:color="auto" w:fill="FFFFFF"/>
          </w:tcPr>
          <w:p w14:paraId="0863E28F" w14:textId="77777777" w:rsidR="00960C62" w:rsidRPr="001B42E4" w:rsidRDefault="00960C62" w:rsidP="008B5CFB">
            <w:pPr>
              <w:pStyle w:val="CETBodytext"/>
              <w:ind w:right="-1"/>
              <w:rPr>
                <w:rFonts w:cs="Arial"/>
                <w:szCs w:val="18"/>
                <w:lang w:val="en-GB"/>
              </w:rPr>
            </w:pPr>
            <w:r w:rsidRPr="001B42E4">
              <w:rPr>
                <w:rFonts w:cs="Arial"/>
                <w:szCs w:val="18"/>
                <w:lang w:val="en-GB"/>
              </w:rPr>
              <w:t>20.2%</w:t>
            </w:r>
          </w:p>
        </w:tc>
        <w:tc>
          <w:tcPr>
            <w:tcW w:w="1134" w:type="dxa"/>
            <w:shd w:val="clear" w:color="auto" w:fill="FFFFFF"/>
          </w:tcPr>
          <w:p w14:paraId="7AF72F95" w14:textId="77777777" w:rsidR="00960C62" w:rsidRPr="001B42E4" w:rsidRDefault="00960C62" w:rsidP="008B5CFB">
            <w:pPr>
              <w:pStyle w:val="CETBodytext"/>
              <w:ind w:right="-1"/>
              <w:rPr>
                <w:rFonts w:cs="Arial"/>
                <w:szCs w:val="18"/>
                <w:lang w:val="en-GB"/>
              </w:rPr>
            </w:pPr>
          </w:p>
        </w:tc>
        <w:tc>
          <w:tcPr>
            <w:tcW w:w="1097" w:type="dxa"/>
            <w:shd w:val="clear" w:color="auto" w:fill="FFFFFF"/>
          </w:tcPr>
          <w:p w14:paraId="77E96AB3" w14:textId="77777777" w:rsidR="00960C62" w:rsidRPr="001B42E4" w:rsidRDefault="00960C62" w:rsidP="008B5CFB">
            <w:pPr>
              <w:pStyle w:val="CETBodytext"/>
              <w:ind w:right="-1"/>
              <w:rPr>
                <w:rFonts w:cs="Arial"/>
                <w:szCs w:val="18"/>
                <w:lang w:val="en-GB"/>
              </w:rPr>
            </w:pPr>
          </w:p>
        </w:tc>
      </w:tr>
    </w:tbl>
    <w:p w14:paraId="5C7D7A4A" w14:textId="77777777" w:rsidR="00960C62" w:rsidRDefault="00960C62" w:rsidP="00960C62">
      <w:pPr>
        <w:pStyle w:val="CETBodytext"/>
      </w:pPr>
    </w:p>
    <w:p w14:paraId="5664DD6E" w14:textId="77777777" w:rsidR="00960C62" w:rsidRDefault="00960C62" w:rsidP="00960C62">
      <w:pPr>
        <w:pStyle w:val="CETBodytext"/>
        <w:rPr>
          <w:lang w:val="en-GB"/>
        </w:rPr>
      </w:pPr>
      <w:r>
        <w:t>The</w:t>
      </w:r>
      <w:r w:rsidRPr="00E30BF8">
        <w:rPr>
          <w:lang w:val="en-GB"/>
        </w:rPr>
        <w:t xml:space="preserve"> effect of the equation of state was also assessed,</w:t>
      </w:r>
      <w:r>
        <w:rPr>
          <w:lang w:val="en-GB"/>
        </w:rPr>
        <w:t xml:space="preserve"> </w:t>
      </w:r>
      <w:r w:rsidRPr="00E30BF8">
        <w:rPr>
          <w:lang w:val="en-GB"/>
        </w:rPr>
        <w:t>conducting a simulation with the Peng-Robinson real gas equation of state</w:t>
      </w:r>
      <w:r>
        <w:rPr>
          <w:lang w:val="en-GB"/>
        </w:rPr>
        <w:t xml:space="preserve"> </w:t>
      </w:r>
      <w:r w:rsidRPr="00E30BF8">
        <w:rPr>
          <w:lang w:val="en-GB"/>
        </w:rPr>
        <w:t>to see if a</w:t>
      </w:r>
      <w:r>
        <w:rPr>
          <w:lang w:val="en-GB"/>
        </w:rPr>
        <w:t xml:space="preserve"> potential</w:t>
      </w:r>
      <w:r w:rsidRPr="00E30BF8">
        <w:rPr>
          <w:lang w:val="en-GB"/>
        </w:rPr>
        <w:t xml:space="preserve"> pressure</w:t>
      </w:r>
      <w:r>
        <w:rPr>
          <w:lang w:val="en-GB"/>
        </w:rPr>
        <w:t xml:space="preserve"> </w:t>
      </w:r>
      <w:r w:rsidRPr="00E30BF8">
        <w:rPr>
          <w:lang w:val="en-GB"/>
        </w:rPr>
        <w:t>increase at the hydrogen inlet could lead to a deviation</w:t>
      </w:r>
      <w:r>
        <w:rPr>
          <w:lang w:val="en-GB"/>
        </w:rPr>
        <w:t xml:space="preserve"> </w:t>
      </w:r>
      <w:r w:rsidRPr="00E30BF8">
        <w:rPr>
          <w:lang w:val="en-GB"/>
        </w:rPr>
        <w:t>from ideality</w:t>
      </w:r>
      <w:r>
        <w:rPr>
          <w:lang w:val="en-GB"/>
        </w:rPr>
        <w:t>, but identical profiles were obtained. Also changing the pressure-velocity coupling algorithm to SIMPLEC and the spatial discretisation scheme for pressure to PRESTO! gave very similar results.</w:t>
      </w:r>
    </w:p>
    <w:p w14:paraId="768FA1A5" w14:textId="77777777" w:rsidR="00960C62" w:rsidRPr="0047603A" w:rsidRDefault="00960C62" w:rsidP="00960C62">
      <w:pPr>
        <w:pStyle w:val="CETHeading1"/>
        <w:rPr>
          <w:lang w:val="en-GB"/>
        </w:rPr>
      </w:pPr>
      <w:r w:rsidRPr="0047603A">
        <w:rPr>
          <w:lang w:val="en-GB"/>
        </w:rPr>
        <w:t>Discussion</w:t>
      </w:r>
    </w:p>
    <w:p w14:paraId="7F392B3A" w14:textId="61E85196" w:rsidR="00960C62" w:rsidRPr="0047603A" w:rsidRDefault="00960C62" w:rsidP="00960C62">
      <w:pPr>
        <w:pStyle w:val="CETBodytext"/>
        <w:rPr>
          <w:lang w:val="en-GB"/>
        </w:rPr>
      </w:pPr>
      <w:r w:rsidRPr="001B42E4">
        <w:rPr>
          <w:lang w:val="en-GB"/>
        </w:rPr>
        <w:t>The simulations conducted for the validation study are in excellent agreement with experimental data, resulting in concentration profiles over time that are slightly lower in value, but with a very similar trend. It should be noticed that the final concentration, once complete homogenisation is achieved, is lower than the experimental one. The final average concentration in the simulations perfectly corresponds to the ratio between the moles of hydrogen introduced into the chamber and the total moles of the air-hydrogen gas mixture. Therefore, an error in the mass balance committed by the solver can be ruled out. Any discrepancy between volumetric fractions reported in the paper and molar fractions calculated in the simulation can also be ruled out at room temperature and atmospheric pressure. The discrepancy could be due to a different quantity of hydrogen actually released, compared to what was declared in the study used for the validation</w:t>
      </w:r>
      <w:r w:rsidR="00204E5E">
        <w:rPr>
          <w:lang w:val="en-GB"/>
        </w:rPr>
        <w:t>,</w:t>
      </w:r>
      <w:r w:rsidRPr="001B42E4">
        <w:rPr>
          <w:lang w:val="en-GB"/>
        </w:rPr>
        <w:t xml:space="preserve"> a smaller amount of air present in the chamber before the release, or imperfect sealing of the chamber, resulting in air leakage. This aspect could have been clarified by knowing the transient pressure profile inside the chamber and comparing it with the expected linear increase. Another explanation could be the reduction of the domain due to the non-negligible volume occupied by the sensor rods. Since they were not included in the simulation geometry, this may have caused a lower value of the final hydrogen concentration. However, it</w:t>
      </w:r>
      <w:r>
        <w:rPr>
          <w:lang w:val="en-GB"/>
        </w:rPr>
        <w:t xml:space="preserve"> is</w:t>
      </w:r>
      <w:r w:rsidRPr="001B42E4">
        <w:rPr>
          <w:lang w:val="en-GB"/>
        </w:rPr>
        <w:t xml:space="preserve"> highly improbable that the rods cause a volume reduction sufficient to cause a difference in the concentration from about 6% to 5.46%. In fact, a set of experimental tests was conducted with obstacles placed inside the chamber and the final concentration reported in the paper was the same as the case without them, even though they occupied 10% of the enclosure volume, as stated by the authors. These</w:t>
      </w:r>
      <w:r>
        <w:rPr>
          <w:lang w:val="en-GB"/>
        </w:rPr>
        <w:t xml:space="preserve"> </w:t>
      </w:r>
      <w:r w:rsidRPr="001B42E4">
        <w:rPr>
          <w:lang w:val="en-GB"/>
        </w:rPr>
        <w:t xml:space="preserve">aspects support the hypothesis of imperfect sealing and consequent air leakage during </w:t>
      </w:r>
      <w:r>
        <w:rPr>
          <w:lang w:val="en-GB"/>
        </w:rPr>
        <w:t xml:space="preserve">the tests, which also explains </w:t>
      </w:r>
      <w:r w:rsidRPr="001B42E4">
        <w:rPr>
          <w:lang w:val="en-GB"/>
        </w:rPr>
        <w:t>why</w:t>
      </w:r>
      <w:r>
        <w:rPr>
          <w:lang w:val="en-GB"/>
        </w:rPr>
        <w:t xml:space="preserve"> </w:t>
      </w:r>
      <w:r w:rsidRPr="001B42E4">
        <w:rPr>
          <w:lang w:val="en-GB"/>
        </w:rPr>
        <w:t>the discrepancy between the experimental data and the simulated curves becomes noticeable only in the later stage of the simulations. Furthermore, given the longer homogeni</w:t>
      </w:r>
      <w:r w:rsidR="00B705E7">
        <w:rPr>
          <w:lang w:val="en-GB"/>
        </w:rPr>
        <w:t>s</w:t>
      </w:r>
      <w:r w:rsidRPr="001B42E4">
        <w:rPr>
          <w:lang w:val="en-GB"/>
        </w:rPr>
        <w:t>ation time, it can also be stated that the model moderately underestimates the diffusion phenomenon. This may be due to the fact that the temperature at which the experiment was conducted was slightly higher than what was assumed. Further tests could be carried out with a higher diffusion coefficient even if, from a numerical perspective, this parameter is significant only for very low release velocities. However, the overall differences are relatively small.</w:t>
      </w:r>
      <w:r>
        <w:rPr>
          <w:lang w:val="en-GB"/>
        </w:rPr>
        <w:t xml:space="preserve"> </w:t>
      </w:r>
      <w:r w:rsidRPr="001B42E4">
        <w:rPr>
          <w:lang w:val="en-GB"/>
        </w:rPr>
        <w:t xml:space="preserve">Thus, it can be stated that the CFD model developed in this work is capable of reproducing with great accuracy experimental data of hydrogen concentration following a laminar release in a confined environment without </w:t>
      </w:r>
      <w:r w:rsidRPr="0047603A">
        <w:rPr>
          <w:lang w:val="en-GB"/>
        </w:rPr>
        <w:t xml:space="preserve">ventilation. </w:t>
      </w:r>
    </w:p>
    <w:p w14:paraId="07636EAE" w14:textId="288EE0CE" w:rsidR="00D3676B" w:rsidRPr="0047603A" w:rsidRDefault="00960C62" w:rsidP="00960C62">
      <w:pPr>
        <w:pStyle w:val="CETBodytext"/>
        <w:rPr>
          <w:lang w:val="en-GB"/>
        </w:rPr>
      </w:pPr>
      <w:r w:rsidRPr="001B42E4">
        <w:rPr>
          <w:lang w:val="en-GB"/>
        </w:rPr>
        <w:t>This study</w:t>
      </w:r>
      <w:r>
        <w:rPr>
          <w:lang w:val="en-GB"/>
        </w:rPr>
        <w:t xml:space="preserve"> </w:t>
      </w:r>
      <w:r w:rsidRPr="001B42E4">
        <w:rPr>
          <w:lang w:val="en-GB"/>
        </w:rPr>
        <w:t>represents the first step in building a model for hydrogen releases capable of replicating a wide range of operating conditions. The long-term goal of this work is to apply this model in the risk analysis of an accidental hydrogen release within a glass manufacturing plant. In such a scenario, the release is likely to originate from a hole in a low-pressure pipeline from which the fuel is generally supplied to the burners</w:t>
      </w:r>
      <w:r>
        <w:rPr>
          <w:lang w:val="en-GB"/>
        </w:rPr>
        <w:t xml:space="preserve">. </w:t>
      </w:r>
      <w:r w:rsidR="00204E5E">
        <w:rPr>
          <w:lang w:val="en-GB"/>
        </w:rPr>
        <w:t>In this application,</w:t>
      </w:r>
      <w:r w:rsidRPr="001B42E4">
        <w:rPr>
          <w:lang w:val="en-GB"/>
        </w:rPr>
        <w:t xml:space="preserve"> a low-velocity hydrogen flow with a constant flow rate can be expected. The next step for this work is to validate experiments conducted in larger domains, in the presence of obstacles and mechanical ventilation, in order to represent all the features of a potential release inside a glass manufacturing </w:t>
      </w:r>
      <w:r w:rsidRPr="0047603A">
        <w:rPr>
          <w:lang w:val="en-GB"/>
        </w:rPr>
        <w:t>facility.</w:t>
      </w:r>
      <w:r w:rsidR="00D3676B">
        <w:rPr>
          <w:lang w:val="en-GB"/>
        </w:rPr>
        <w:t xml:space="preserve"> Furthermore, the model can be used to explore different ventilation rates with the aim </w:t>
      </w:r>
      <w:r w:rsidR="00CF0D37">
        <w:rPr>
          <w:lang w:val="en-GB"/>
        </w:rPr>
        <w:t>of suggesting</w:t>
      </w:r>
      <w:r w:rsidR="00D3676B">
        <w:rPr>
          <w:lang w:val="en-GB"/>
        </w:rPr>
        <w:t xml:space="preserve"> the optimal configuration </w:t>
      </w:r>
      <w:r w:rsidR="00D3676B" w:rsidRPr="00FD76E3">
        <w:t>to prevent the formation of hydrogen explosive atmosphere</w:t>
      </w:r>
      <w:r w:rsidR="00D3676B">
        <w:t>s</w:t>
      </w:r>
      <w:r w:rsidR="00C2753E">
        <w:t>.</w:t>
      </w:r>
      <w:r w:rsidR="00D3676B">
        <w:t xml:space="preserve"> </w:t>
      </w:r>
      <w:r w:rsidR="00D3676B" w:rsidRPr="00FD76E3">
        <w:t>This information contribute</w:t>
      </w:r>
      <w:r w:rsidR="00D3676B">
        <w:t>s</w:t>
      </w:r>
      <w:r w:rsidR="00D3676B" w:rsidRPr="00FD76E3">
        <w:t xml:space="preserve"> to deepen</w:t>
      </w:r>
      <w:r w:rsidR="00CF0D37">
        <w:t>ing</w:t>
      </w:r>
      <w:r w:rsidR="00D3676B" w:rsidRPr="00FD76E3">
        <w:t xml:space="preserve"> the knowledge of </w:t>
      </w:r>
      <w:r w:rsidR="00D3676B" w:rsidRPr="00FD76E3">
        <w:lastRenderedPageBreak/>
        <w:t>hydrogen safety and support</w:t>
      </w:r>
      <w:r w:rsidR="00D3676B">
        <w:t>s</w:t>
      </w:r>
      <w:r w:rsidR="00D3676B" w:rsidRPr="00FD76E3">
        <w:t xml:space="preserve"> the development of adequate safety measures, promoting the </w:t>
      </w:r>
      <w:r w:rsidR="00D3676B">
        <w:t>deployment</w:t>
      </w:r>
      <w:r w:rsidR="00D3676B" w:rsidRPr="00FD76E3">
        <w:t xml:space="preserve"> of hydrogen</w:t>
      </w:r>
      <w:r w:rsidR="00D3676B">
        <w:t xml:space="preserve"> technologies</w:t>
      </w:r>
      <w:r w:rsidR="00D3676B" w:rsidRPr="00FD76E3">
        <w:t xml:space="preserve"> in the glass industry.  </w:t>
      </w:r>
    </w:p>
    <w:p w14:paraId="57566562" w14:textId="77777777" w:rsidR="00960C62" w:rsidRDefault="00960C62" w:rsidP="00960C62">
      <w:pPr>
        <w:pStyle w:val="CETHeading1"/>
        <w:rPr>
          <w:lang w:val="en-GB"/>
        </w:rPr>
      </w:pPr>
      <w:r w:rsidRPr="0047603A">
        <w:rPr>
          <w:lang w:val="en-GB"/>
        </w:rPr>
        <w:t>Conclusions</w:t>
      </w:r>
    </w:p>
    <w:p w14:paraId="287C46F5" w14:textId="0C52F53D" w:rsidR="00960C62" w:rsidRPr="00974E4B" w:rsidRDefault="00960C62" w:rsidP="00960C62">
      <w:pPr>
        <w:pStyle w:val="CETBodytext"/>
        <w:rPr>
          <w:lang w:val="en-GB" w:eastAsia="it-IT"/>
        </w:rPr>
      </w:pPr>
      <w:r w:rsidRPr="001B42E4">
        <w:rPr>
          <w:lang w:val="en-GB" w:eastAsia="it-IT"/>
        </w:rPr>
        <w:t>At present, there is scientific evidence that replacing natural gas with hydrogen in glass furnaces is one of the most effective decarboni</w:t>
      </w:r>
      <w:r w:rsidR="00046AD5">
        <w:rPr>
          <w:lang w:val="en-GB" w:eastAsia="it-IT"/>
        </w:rPr>
        <w:t>s</w:t>
      </w:r>
      <w:r w:rsidRPr="001B42E4">
        <w:rPr>
          <w:lang w:val="en-GB" w:eastAsia="it-IT"/>
        </w:rPr>
        <w:t>ation options</w:t>
      </w:r>
      <w:r>
        <w:rPr>
          <w:lang w:val="en-GB" w:eastAsia="it-IT"/>
        </w:rPr>
        <w:t xml:space="preserve">. </w:t>
      </w:r>
      <w:r w:rsidRPr="001B42E4">
        <w:rPr>
          <w:lang w:val="en-GB" w:eastAsia="it-IT"/>
        </w:rPr>
        <w:t>A review of existing literature on this topic revealed that very few studies have conducted simulations in large industrial environments, and most of these involved high-pressure releases from HFCVs. In this work, a</w:t>
      </w:r>
      <w:r>
        <w:rPr>
          <w:lang w:val="en-GB" w:eastAsia="it-IT"/>
        </w:rPr>
        <w:t xml:space="preserve"> </w:t>
      </w:r>
      <w:r w:rsidRPr="001B42E4">
        <w:rPr>
          <w:lang w:val="en-GB" w:eastAsia="it-IT"/>
        </w:rPr>
        <w:t>CFD model was developed and validate</w:t>
      </w:r>
      <w:r w:rsidR="00CF0D37">
        <w:rPr>
          <w:lang w:val="en-GB" w:eastAsia="it-IT"/>
        </w:rPr>
        <w:t>d</w:t>
      </w:r>
      <w:r w:rsidRPr="001B42E4">
        <w:rPr>
          <w:lang w:val="en-GB" w:eastAsia="it-IT"/>
        </w:rPr>
        <w:t xml:space="preserve"> to simulate a release scenario typical of the glass industry.</w:t>
      </w:r>
      <w:r>
        <w:rPr>
          <w:lang w:val="en-GB" w:eastAsia="it-IT"/>
        </w:rPr>
        <w:t xml:space="preserve"> </w:t>
      </w:r>
      <w:r w:rsidRPr="001B42E4">
        <w:rPr>
          <w:lang w:val="en-GB" w:eastAsia="it-IT"/>
        </w:rPr>
        <w:t xml:space="preserve">The simulation results demonstrated an excellent correspondence with the experimental data, despite a small underestimation (10%) of hydrogen diffusion. </w:t>
      </w:r>
      <w:r w:rsidRPr="00974E4B">
        <w:rPr>
          <w:lang w:val="en-GB" w:eastAsia="it-IT"/>
        </w:rPr>
        <w:t xml:space="preserve">Therefore, </w:t>
      </w:r>
      <w:r w:rsidR="00204E5E">
        <w:rPr>
          <w:lang w:val="en-GB" w:eastAsia="it-IT"/>
        </w:rPr>
        <w:t>the developed model</w:t>
      </w:r>
      <w:r w:rsidRPr="00974E4B">
        <w:rPr>
          <w:lang w:val="en-GB" w:eastAsia="it-IT"/>
        </w:rPr>
        <w:t xml:space="preserve"> is capable of accurately reproducing the transient concentration profile of hydrogen in a confined space following a laminar release</w:t>
      </w:r>
      <w:r w:rsidR="002A465A">
        <w:rPr>
          <w:lang w:val="en-GB" w:eastAsia="it-IT"/>
        </w:rPr>
        <w:t xml:space="preserve"> and can be employed to conduct consequence analyses (e.g., determine the mass of hydrogen within the flammability zone and calculate the overpressure in case of ignition)</w:t>
      </w:r>
      <w:r w:rsidRPr="00974E4B">
        <w:rPr>
          <w:lang w:val="en-GB" w:eastAsia="it-IT"/>
        </w:rPr>
        <w:t>. The</w:t>
      </w:r>
      <w:r>
        <w:rPr>
          <w:lang w:val="en-GB" w:eastAsia="it-IT"/>
        </w:rPr>
        <w:t xml:space="preserve"> </w:t>
      </w:r>
      <w:r w:rsidRPr="00974E4B">
        <w:rPr>
          <w:lang w:val="en-GB" w:eastAsia="it-IT"/>
        </w:rPr>
        <w:t>next steps in developing this model will involve a larger domain, the presence of obstacles, higher release velocities, and mechanical ventilation.</w:t>
      </w:r>
    </w:p>
    <w:p w14:paraId="42BADD20" w14:textId="77777777" w:rsidR="00960C62" w:rsidRPr="0000359C" w:rsidRDefault="00960C62" w:rsidP="00960C62">
      <w:pPr>
        <w:pStyle w:val="ListParagraph"/>
        <w:numPr>
          <w:ilvl w:val="0"/>
          <w:numId w:val="1"/>
        </w:numPr>
        <w:pBdr>
          <w:bottom w:val="single" w:sz="6" w:space="1" w:color="auto"/>
        </w:pBdr>
        <w:tabs>
          <w:tab w:val="clear" w:pos="7100"/>
        </w:tabs>
        <w:spacing w:line="240" w:lineRule="auto"/>
        <w:jc w:val="center"/>
        <w:rPr>
          <w:vanish/>
          <w:sz w:val="16"/>
          <w:szCs w:val="16"/>
          <w:lang w:eastAsia="it-IT"/>
        </w:rPr>
      </w:pPr>
      <w:r w:rsidRPr="0000359C">
        <w:rPr>
          <w:vanish/>
          <w:sz w:val="16"/>
          <w:szCs w:val="16"/>
          <w:lang w:eastAsia="it-IT"/>
        </w:rPr>
        <w:t>Inizio modulo</w:t>
      </w:r>
    </w:p>
    <w:p w14:paraId="15C1F057" w14:textId="77777777" w:rsidR="00960C62" w:rsidRPr="0047603A" w:rsidRDefault="00960C62" w:rsidP="00960C62">
      <w:pPr>
        <w:pStyle w:val="CETBodytext"/>
        <w:rPr>
          <w:lang w:val="en-GB"/>
        </w:rPr>
      </w:pPr>
    </w:p>
    <w:p w14:paraId="4C2DF9AB" w14:textId="77777777" w:rsidR="00960C62" w:rsidRPr="0047603A" w:rsidRDefault="00960C62" w:rsidP="00960C62">
      <w:pPr>
        <w:pStyle w:val="CETReference"/>
      </w:pPr>
      <w:r w:rsidRPr="0047603A">
        <w:t>References</w:t>
      </w:r>
    </w:p>
    <w:p w14:paraId="1ACFFA94" w14:textId="77777777" w:rsidR="00960C62" w:rsidRDefault="00960C62" w:rsidP="00960C62">
      <w:pPr>
        <w:pStyle w:val="CETReferencetext"/>
      </w:pPr>
      <w:r>
        <w:t>Ansys Fluent, 2023, Fluid Simulation Software &lt;</w:t>
      </w:r>
      <w:r w:rsidRPr="00702108">
        <w:t>https://t.ly/2ly6d</w:t>
      </w:r>
      <w:r>
        <w:t>&gt; accessed 01.11.2023.</w:t>
      </w:r>
    </w:p>
    <w:p w14:paraId="37CCB0FF" w14:textId="77777777" w:rsidR="00960C62" w:rsidRPr="008A4B21" w:rsidRDefault="00960C62" w:rsidP="00960C62">
      <w:pPr>
        <w:pStyle w:val="CETReferencetext"/>
        <w:rPr>
          <w:rStyle w:val="fontstyle01"/>
          <w:rFonts w:ascii="Arial" w:hAnsi="Arial"/>
          <w:color w:val="auto"/>
          <w:sz w:val="18"/>
          <w:szCs w:val="20"/>
        </w:rPr>
      </w:pPr>
      <w:r w:rsidRPr="008A4B21">
        <w:t>Bauwens C.</w:t>
      </w:r>
      <w:r>
        <w:t>,</w:t>
      </w:r>
      <w:r w:rsidRPr="008A4B21">
        <w:t xml:space="preserve"> Dorofeev</w:t>
      </w:r>
      <w:r>
        <w:t xml:space="preserve"> S., </w:t>
      </w:r>
      <w:r w:rsidRPr="008A4B21">
        <w:t>2014</w:t>
      </w:r>
      <w:r>
        <w:t>,</w:t>
      </w:r>
      <w:r w:rsidRPr="008A4B21">
        <w:t xml:space="preserve"> CFD modeling and consequence analysis</w:t>
      </w:r>
      <w:r>
        <w:t xml:space="preserve"> </w:t>
      </w:r>
      <w:r w:rsidRPr="008A4B21">
        <w:t>of an accidental hydrogen</w:t>
      </w:r>
      <w:r>
        <w:t xml:space="preserve"> </w:t>
      </w:r>
      <w:r w:rsidRPr="008A4B21">
        <w:t>release in a large scale facility</w:t>
      </w:r>
      <w:r>
        <w:t>,</w:t>
      </w:r>
      <w:r w:rsidRPr="008A4B21">
        <w:t xml:space="preserve"> International</w:t>
      </w:r>
      <w:r>
        <w:t xml:space="preserve"> </w:t>
      </w:r>
      <w:r w:rsidRPr="008A4B21">
        <w:t>Journal of Hydrogen Energy</w:t>
      </w:r>
      <w:r>
        <w:t>,</w:t>
      </w:r>
      <w:r w:rsidRPr="008A4B21">
        <w:t xml:space="preserve"> 39.35, 20447–20454.</w:t>
      </w:r>
    </w:p>
    <w:p w14:paraId="42AEE713" w14:textId="77777777" w:rsidR="00960C62" w:rsidRPr="008B3D68" w:rsidRDefault="00960C62" w:rsidP="00960C62">
      <w:pPr>
        <w:pStyle w:val="CETReferencetext"/>
        <w:rPr>
          <w:rFonts w:cs="Arial"/>
        </w:rPr>
      </w:pPr>
      <w:r w:rsidRPr="008B3D68">
        <w:rPr>
          <w:rStyle w:val="fontstyle01"/>
          <w:rFonts w:ascii="Arial" w:hAnsi="Arial" w:cs="Arial"/>
          <w:color w:val="auto"/>
          <w:sz w:val="18"/>
          <w:szCs w:val="20"/>
        </w:rPr>
        <w:t xml:space="preserve">CINEA, 2022, </w:t>
      </w:r>
      <w:r w:rsidRPr="008B3D68">
        <w:rPr>
          <w:rStyle w:val="fontstyle21"/>
          <w:rFonts w:ascii="Arial" w:hAnsi="Arial" w:cs="Arial"/>
          <w:color w:val="auto"/>
          <w:sz w:val="18"/>
          <w:szCs w:val="20"/>
        </w:rPr>
        <w:t>How</w:t>
      </w:r>
      <w:r w:rsidRPr="008B3D68">
        <w:rPr>
          <w:rStyle w:val="fontstyle21"/>
          <w:rFonts w:ascii="Arial" w:hAnsi="Arial" w:cs="Arial"/>
          <w:color w:val="auto"/>
          <w:sz w:val="18"/>
          <w:szCs w:val="18"/>
        </w:rPr>
        <w:t xml:space="preserve"> </w:t>
      </w:r>
      <w:r w:rsidRPr="008B3D68">
        <w:rPr>
          <w:rStyle w:val="fontstyle31"/>
          <w:rFonts w:ascii="Arial" w:hAnsi="Arial" w:cs="Arial"/>
          <w:sz w:val="18"/>
          <w:szCs w:val="18"/>
        </w:rPr>
        <w:t>LIFE</w:t>
      </w:r>
      <w:r w:rsidRPr="008B3D68">
        <w:rPr>
          <w:rStyle w:val="fontstyle31"/>
          <w:rFonts w:ascii="Arial" w:hAnsi="Arial" w:cs="Arial"/>
        </w:rPr>
        <w:t xml:space="preserve"> </w:t>
      </w:r>
      <w:r w:rsidRPr="008B3D68">
        <w:rPr>
          <w:rStyle w:val="fontstyle21"/>
          <w:rFonts w:ascii="Arial" w:hAnsi="Arial" w:cs="Arial"/>
          <w:color w:val="auto"/>
          <w:sz w:val="18"/>
          <w:szCs w:val="20"/>
        </w:rPr>
        <w:t>is reducing emissions from glass production</w:t>
      </w:r>
      <w:r w:rsidRPr="008B3D68">
        <w:rPr>
          <w:rStyle w:val="fontstyle01"/>
          <w:rFonts w:ascii="Arial" w:hAnsi="Arial" w:cs="Arial"/>
          <w:color w:val="auto"/>
          <w:sz w:val="18"/>
          <w:szCs w:val="20"/>
        </w:rPr>
        <w:t>, European Climate, Infrastructure and Environment Executive Agency &lt;</w:t>
      </w:r>
      <w:r w:rsidRPr="008B3D68">
        <w:rPr>
          <w:rFonts w:cs="Arial"/>
        </w:rPr>
        <w:t>t.ly/vzQEp&gt; accessed 15.09.2023.</w:t>
      </w:r>
    </w:p>
    <w:p w14:paraId="4AE3A5D5" w14:textId="77777777" w:rsidR="00960C62" w:rsidRPr="008B3D68" w:rsidRDefault="00960C62" w:rsidP="00960C62">
      <w:pPr>
        <w:pStyle w:val="CETReferencetext"/>
        <w:rPr>
          <w:rFonts w:cs="Arial"/>
        </w:rPr>
      </w:pPr>
      <w:r w:rsidRPr="008B3D68">
        <w:rPr>
          <w:rStyle w:val="fontstyle01"/>
          <w:rFonts w:ascii="Arial" w:hAnsi="Arial" w:cs="Arial"/>
          <w:color w:val="auto"/>
          <w:sz w:val="18"/>
          <w:szCs w:val="20"/>
        </w:rPr>
        <w:t xml:space="preserve">Ecofys, 2009, </w:t>
      </w:r>
      <w:r w:rsidRPr="008B3D68">
        <w:rPr>
          <w:rFonts w:cs="Arial"/>
        </w:rPr>
        <w:t xml:space="preserve">Methodology for the free allocation of emission allowances in the EU ETS post 2012 </w:t>
      </w:r>
      <w:r w:rsidRPr="008B3D68">
        <w:rPr>
          <w:rStyle w:val="fontstyle01"/>
          <w:rFonts w:ascii="Arial" w:hAnsi="Arial" w:cs="Arial"/>
          <w:color w:val="auto"/>
          <w:sz w:val="18"/>
          <w:szCs w:val="20"/>
        </w:rPr>
        <w:t>&lt;</w:t>
      </w:r>
      <w:r w:rsidRPr="008B3D68">
        <w:rPr>
          <w:rFonts w:cs="Arial"/>
        </w:rPr>
        <w:t>https://t.ly/s7R6s&gt; accessed 15.09.2023.</w:t>
      </w:r>
    </w:p>
    <w:p w14:paraId="1A5DC5BB" w14:textId="77777777" w:rsidR="00960C62" w:rsidRDefault="00960C62" w:rsidP="00960C62">
      <w:pPr>
        <w:pStyle w:val="CETReferencetext"/>
      </w:pPr>
      <w:r>
        <w:rPr>
          <w:rStyle w:val="fontstyle01"/>
          <w:rFonts w:ascii="Arial" w:hAnsi="Arial"/>
          <w:color w:val="auto"/>
          <w:sz w:val="18"/>
          <w:szCs w:val="20"/>
        </w:rPr>
        <w:t>Eurostat</w:t>
      </w:r>
      <w:r w:rsidRPr="0047603A">
        <w:rPr>
          <w:rStyle w:val="fontstyle01"/>
          <w:rFonts w:ascii="Arial" w:hAnsi="Arial"/>
          <w:color w:val="auto"/>
          <w:sz w:val="18"/>
          <w:szCs w:val="20"/>
        </w:rPr>
        <w:t>, 202</w:t>
      </w:r>
      <w:r>
        <w:rPr>
          <w:rStyle w:val="fontstyle01"/>
          <w:rFonts w:ascii="Arial" w:hAnsi="Arial"/>
          <w:color w:val="auto"/>
          <w:sz w:val="18"/>
          <w:szCs w:val="20"/>
        </w:rPr>
        <w:t>3</w:t>
      </w:r>
      <w:r w:rsidRPr="0047603A">
        <w:rPr>
          <w:rStyle w:val="fontstyle01"/>
          <w:rFonts w:ascii="Arial" w:hAnsi="Arial"/>
          <w:color w:val="auto"/>
          <w:sz w:val="18"/>
          <w:szCs w:val="20"/>
        </w:rPr>
        <w:t xml:space="preserve">, </w:t>
      </w:r>
      <w:r w:rsidRPr="004C65C3">
        <w:t>Air emissions accounts for greenhouse gases by NACE</w:t>
      </w:r>
      <w:r>
        <w:t xml:space="preserve"> </w:t>
      </w:r>
      <w:r w:rsidRPr="0047603A">
        <w:rPr>
          <w:rStyle w:val="fontstyle01"/>
          <w:rFonts w:ascii="Arial" w:hAnsi="Arial"/>
          <w:color w:val="auto"/>
          <w:sz w:val="18"/>
          <w:szCs w:val="20"/>
        </w:rPr>
        <w:t>&lt;</w:t>
      </w:r>
      <w:r w:rsidRPr="004C65C3">
        <w:t>https://t.ly/3T5qZ</w:t>
      </w:r>
      <w:r w:rsidRPr="0047603A">
        <w:t>&gt; accessed 15.09.2023.</w:t>
      </w:r>
    </w:p>
    <w:p w14:paraId="1A77593F" w14:textId="77777777" w:rsidR="00960C62" w:rsidRDefault="00960C62" w:rsidP="00960C62">
      <w:pPr>
        <w:pStyle w:val="CETReferencetext"/>
      </w:pPr>
      <w:r w:rsidRPr="006062F7">
        <w:t>Furszyfer Del Rio D. D., Sovacool</w:t>
      </w:r>
      <w:r>
        <w:t xml:space="preserve"> </w:t>
      </w:r>
      <w:r w:rsidRPr="006062F7">
        <w:t>B. K., Foley</w:t>
      </w:r>
      <w:r>
        <w:t xml:space="preserve"> </w:t>
      </w:r>
      <w:r w:rsidRPr="006062F7">
        <w:t>A. M., Griffiths</w:t>
      </w:r>
      <w:r>
        <w:t xml:space="preserve"> </w:t>
      </w:r>
      <w:r w:rsidRPr="006062F7">
        <w:t>S</w:t>
      </w:r>
      <w:r>
        <w:t>.</w:t>
      </w:r>
      <w:r w:rsidRPr="006062F7">
        <w:t>, Bazilian</w:t>
      </w:r>
      <w:r>
        <w:t xml:space="preserve"> M.</w:t>
      </w:r>
      <w:r w:rsidRPr="006062F7">
        <w:t xml:space="preserve">, Kim </w:t>
      </w:r>
      <w:r>
        <w:t xml:space="preserve">J., </w:t>
      </w:r>
      <w:r w:rsidRPr="006062F7">
        <w:t>Rooney</w:t>
      </w:r>
      <w:r>
        <w:t xml:space="preserve"> D.,</w:t>
      </w:r>
      <w:r w:rsidRPr="006062F7">
        <w:t xml:space="preserve"> 2022</w:t>
      </w:r>
      <w:r>
        <w:t>,</w:t>
      </w:r>
      <w:r w:rsidRPr="006062F7">
        <w:t xml:space="preserve"> Decarbonizing the glass industry: A critical</w:t>
      </w:r>
      <w:r>
        <w:t xml:space="preserve"> </w:t>
      </w:r>
      <w:r w:rsidRPr="006062F7">
        <w:t>and systematic review of developments, sociotechnical systems</w:t>
      </w:r>
      <w:r>
        <w:t xml:space="preserve"> </w:t>
      </w:r>
      <w:r w:rsidRPr="006062F7">
        <w:t>and policy</w:t>
      </w:r>
      <w:r>
        <w:t xml:space="preserve"> </w:t>
      </w:r>
      <w:r w:rsidRPr="006062F7">
        <w:t>options</w:t>
      </w:r>
      <w:r>
        <w:t>,</w:t>
      </w:r>
      <w:r w:rsidRPr="006062F7">
        <w:t xml:space="preserve"> Renewable and Sustainable Energy Reviews</w:t>
      </w:r>
      <w:r>
        <w:t>,</w:t>
      </w:r>
      <w:r w:rsidRPr="006062F7">
        <w:t xml:space="preserve"> 155, 111885.</w:t>
      </w:r>
    </w:p>
    <w:p w14:paraId="6FA79635" w14:textId="77777777" w:rsidR="00960C62" w:rsidRDefault="00960C62" w:rsidP="00960C62">
      <w:pPr>
        <w:pStyle w:val="CETReferencetext"/>
      </w:pPr>
      <w:r>
        <w:rPr>
          <w:rStyle w:val="fontstyle01"/>
          <w:rFonts w:ascii="Arial" w:hAnsi="Arial"/>
          <w:color w:val="auto"/>
          <w:sz w:val="18"/>
          <w:szCs w:val="20"/>
        </w:rPr>
        <w:t>H2GLASS</w:t>
      </w:r>
      <w:r w:rsidRPr="0047603A">
        <w:rPr>
          <w:rStyle w:val="fontstyle01"/>
          <w:rFonts w:ascii="Arial" w:hAnsi="Arial"/>
          <w:color w:val="auto"/>
          <w:sz w:val="18"/>
          <w:szCs w:val="20"/>
        </w:rPr>
        <w:t>, 202</w:t>
      </w:r>
      <w:r>
        <w:rPr>
          <w:rStyle w:val="fontstyle01"/>
          <w:rFonts w:ascii="Arial" w:hAnsi="Arial"/>
          <w:color w:val="auto"/>
          <w:sz w:val="18"/>
          <w:szCs w:val="20"/>
        </w:rPr>
        <w:t>3</w:t>
      </w:r>
      <w:r w:rsidRPr="0047603A">
        <w:rPr>
          <w:rStyle w:val="fontstyle01"/>
          <w:rFonts w:ascii="Arial" w:hAnsi="Arial"/>
          <w:color w:val="auto"/>
          <w:sz w:val="18"/>
          <w:szCs w:val="20"/>
        </w:rPr>
        <w:t xml:space="preserve">, </w:t>
      </w:r>
      <w:r>
        <w:rPr>
          <w:rStyle w:val="fontstyle01"/>
          <w:rFonts w:ascii="Arial" w:hAnsi="Arial"/>
          <w:color w:val="auto"/>
          <w:sz w:val="18"/>
          <w:szCs w:val="20"/>
        </w:rPr>
        <w:t>Decarbonising the glass industry with hydrogen technologies</w:t>
      </w:r>
      <w:r w:rsidRPr="0047603A">
        <w:rPr>
          <w:rStyle w:val="fontstyle01"/>
          <w:rFonts w:ascii="Arial" w:hAnsi="Arial"/>
          <w:color w:val="auto"/>
          <w:sz w:val="18"/>
          <w:szCs w:val="20"/>
        </w:rPr>
        <w:t xml:space="preserve"> &lt;</w:t>
      </w:r>
      <w:r w:rsidRPr="00DB2B19">
        <w:t>t.ly/Hq4u7</w:t>
      </w:r>
      <w:r w:rsidRPr="0047603A">
        <w:t>&gt; accessed 15.09.2023.</w:t>
      </w:r>
    </w:p>
    <w:p w14:paraId="0B3A64AC" w14:textId="77777777" w:rsidR="00960C62" w:rsidRPr="008A4B21" w:rsidRDefault="00960C62" w:rsidP="00960C62">
      <w:pPr>
        <w:pStyle w:val="CETReferencetext"/>
      </w:pPr>
      <w:r w:rsidRPr="008A4B21">
        <w:t>Houf W., Evans</w:t>
      </w:r>
      <w:r>
        <w:t xml:space="preserve"> G.</w:t>
      </w:r>
      <w:r w:rsidRPr="008A4B21">
        <w:t>, Ekoto</w:t>
      </w:r>
      <w:r>
        <w:t xml:space="preserve"> I.</w:t>
      </w:r>
      <w:r w:rsidRPr="008A4B21">
        <w:t>, Merilo</w:t>
      </w:r>
      <w:r>
        <w:t xml:space="preserve"> E., </w:t>
      </w:r>
      <w:r w:rsidRPr="008A4B21">
        <w:t>Groethe</w:t>
      </w:r>
      <w:r>
        <w:t xml:space="preserve"> M.,</w:t>
      </w:r>
      <w:r w:rsidRPr="008A4B21">
        <w:t xml:space="preserve"> 2013</w:t>
      </w:r>
      <w:r>
        <w:t>,</w:t>
      </w:r>
      <w:r w:rsidRPr="008A4B21">
        <w:t xml:space="preserve"> Hydrogen fuelcell forklift vehicle releases in</w:t>
      </w:r>
      <w:r>
        <w:t xml:space="preserve"> </w:t>
      </w:r>
      <w:r w:rsidRPr="008A4B21">
        <w:t>enclosed spaces</w:t>
      </w:r>
      <w:r>
        <w:t>,</w:t>
      </w:r>
      <w:r w:rsidRPr="008A4B21">
        <w:t xml:space="preserve"> International Journal</w:t>
      </w:r>
      <w:r>
        <w:t xml:space="preserve"> </w:t>
      </w:r>
      <w:r w:rsidRPr="008A4B21">
        <w:t>of Hydrogen Energy</w:t>
      </w:r>
      <w:r>
        <w:t>,</w:t>
      </w:r>
      <w:r w:rsidRPr="008A4B21">
        <w:t xml:space="preserve"> 38.19, 8179–8189.</w:t>
      </w:r>
    </w:p>
    <w:p w14:paraId="5A34BFDF" w14:textId="77777777" w:rsidR="00960C62" w:rsidRDefault="00960C62" w:rsidP="00960C62">
      <w:pPr>
        <w:pStyle w:val="CETReferencetext"/>
      </w:pPr>
      <w:r w:rsidRPr="008A4B21">
        <w:t xml:space="preserve">Hussein H., Brennan </w:t>
      </w:r>
      <w:r>
        <w:t>S.,</w:t>
      </w:r>
      <w:r w:rsidRPr="008A4B21">
        <w:t xml:space="preserve"> Molkov</w:t>
      </w:r>
      <w:r>
        <w:t xml:space="preserve"> V., </w:t>
      </w:r>
      <w:r w:rsidRPr="008A4B21">
        <w:t>2020</w:t>
      </w:r>
      <w:r>
        <w:t>,</w:t>
      </w:r>
      <w:r w:rsidRPr="008A4B21">
        <w:t xml:space="preserve"> Dispersion of hydrogen release</w:t>
      </w:r>
      <w:r>
        <w:t xml:space="preserve"> </w:t>
      </w:r>
      <w:r w:rsidRPr="008A4B21">
        <w:t>in a naturally ventilated covered car park</w:t>
      </w:r>
      <w:r>
        <w:t>,</w:t>
      </w:r>
      <w:r w:rsidRPr="008A4B21">
        <w:t xml:space="preserve"> International Journal of</w:t>
      </w:r>
      <w:r>
        <w:t xml:space="preserve"> </w:t>
      </w:r>
      <w:r w:rsidRPr="008A4B21">
        <w:t>Hydrogen Energy</w:t>
      </w:r>
      <w:r>
        <w:t>,</w:t>
      </w:r>
      <w:r w:rsidRPr="008A4B21">
        <w:t xml:space="preserve"> 45.43, 23882–23897.</w:t>
      </w:r>
    </w:p>
    <w:p w14:paraId="34B1C05A" w14:textId="77777777" w:rsidR="00960C62" w:rsidRPr="00C152E8" w:rsidRDefault="00960C62" w:rsidP="00960C62">
      <w:pPr>
        <w:pStyle w:val="CETReferencetext"/>
      </w:pPr>
      <w:r w:rsidRPr="00C152E8">
        <w:t>Jatzwauk C.</w:t>
      </w:r>
      <w:r>
        <w:t xml:space="preserve">, </w:t>
      </w:r>
      <w:r w:rsidRPr="00C152E8">
        <w:t>2021</w:t>
      </w:r>
      <w:r>
        <w:t>,</w:t>
      </w:r>
      <w:r w:rsidRPr="00C152E8">
        <w:t xml:space="preserve"> Design and Operation of Glass Furnaces</w:t>
      </w:r>
      <w:r>
        <w:t xml:space="preserve">, Chapter in: </w:t>
      </w:r>
      <w:r w:rsidRPr="00C152E8">
        <w:t>Richet</w:t>
      </w:r>
      <w:r>
        <w:t xml:space="preserve"> P.</w:t>
      </w:r>
      <w:r w:rsidRPr="00C152E8">
        <w:t>,</w:t>
      </w:r>
      <w:r>
        <w:t xml:space="preserve"> </w:t>
      </w:r>
      <w:r w:rsidRPr="00C152E8">
        <w:t>Conradt</w:t>
      </w:r>
      <w:r>
        <w:t xml:space="preserve"> R.</w:t>
      </w:r>
      <w:r w:rsidRPr="00C152E8">
        <w:t xml:space="preserve">, Takada </w:t>
      </w:r>
      <w:r>
        <w:t xml:space="preserve">A. </w:t>
      </w:r>
      <w:r w:rsidRPr="00C152E8">
        <w:t>and Dyon</w:t>
      </w:r>
      <w:r>
        <w:t xml:space="preserve"> J. (Ed.),</w:t>
      </w:r>
      <w:r w:rsidRPr="00C152E8">
        <w:t xml:space="preserve"> Encyclopedia of Glass Science, Technology,</w:t>
      </w:r>
      <w:r>
        <w:t xml:space="preserve"> </w:t>
      </w:r>
      <w:r w:rsidRPr="00C152E8">
        <w:t>History, and Culture</w:t>
      </w:r>
      <w:r>
        <w:t>,</w:t>
      </w:r>
      <w:r w:rsidRPr="00C152E8">
        <w:t xml:space="preserve"> </w:t>
      </w:r>
      <w:r>
        <w:t xml:space="preserve">Vol II, </w:t>
      </w:r>
      <w:r w:rsidRPr="00C152E8">
        <w:t>Wiley</w:t>
      </w:r>
      <w:r>
        <w:t xml:space="preserve">, Hoboken, NJ, USA, </w:t>
      </w:r>
      <w:r w:rsidRPr="00C152E8">
        <w:t>1147–1164</w:t>
      </w:r>
      <w:r>
        <w:t>.</w:t>
      </w:r>
    </w:p>
    <w:p w14:paraId="222D1D94" w14:textId="77777777" w:rsidR="00960C62" w:rsidRDefault="00960C62" w:rsidP="00960C62">
      <w:pPr>
        <w:pStyle w:val="CETReferencetext"/>
        <w:rPr>
          <w:rFonts w:eastAsiaTheme="minorHAnsi"/>
        </w:rPr>
      </w:pPr>
      <w:r w:rsidRPr="008A4B21">
        <w:t>Li Y., Xiao</w:t>
      </w:r>
      <w:r>
        <w:t xml:space="preserve"> J.</w:t>
      </w:r>
      <w:r w:rsidRPr="008A4B21">
        <w:t>, Zhang</w:t>
      </w:r>
      <w:r>
        <w:t xml:space="preserve"> H.</w:t>
      </w:r>
      <w:r w:rsidRPr="008A4B21">
        <w:t>, Breitung</w:t>
      </w:r>
      <w:r>
        <w:t xml:space="preserve"> W.</w:t>
      </w:r>
      <w:r w:rsidRPr="008A4B21">
        <w:t>, Travis</w:t>
      </w:r>
      <w:r>
        <w:t xml:space="preserve"> J.</w:t>
      </w:r>
      <w:r w:rsidRPr="008A4B21">
        <w:t>, Kuznetsov</w:t>
      </w:r>
      <w:r>
        <w:t xml:space="preserve"> M., </w:t>
      </w:r>
      <w:r w:rsidRPr="008A4B21">
        <w:t>Jordan</w:t>
      </w:r>
      <w:r>
        <w:t xml:space="preserve"> T., </w:t>
      </w:r>
      <w:r w:rsidRPr="008A4B21">
        <w:t>2021</w:t>
      </w:r>
      <w:r>
        <w:t xml:space="preserve">, </w:t>
      </w:r>
      <w:r w:rsidRPr="008A4B21">
        <w:t>Numerical analysis of</w:t>
      </w:r>
      <w:r>
        <w:t xml:space="preserve"> </w:t>
      </w:r>
      <w:r w:rsidRPr="008A4B21">
        <w:t>hydrogen release, dispersion and</w:t>
      </w:r>
      <w:r>
        <w:t xml:space="preserve"> </w:t>
      </w:r>
      <w:r w:rsidRPr="008A4B21">
        <w:t>combustion in a tunnel with fuel cell vehicles using all-speed CFD code</w:t>
      </w:r>
      <w:r>
        <w:t xml:space="preserve"> </w:t>
      </w:r>
      <w:r w:rsidRPr="008A4B21">
        <w:t>GASFLOW-MPI</w:t>
      </w:r>
      <w:r>
        <w:t>,</w:t>
      </w:r>
      <w:r w:rsidRPr="008A4B21">
        <w:t xml:space="preserve"> International Journal of Hydrogen Energy</w:t>
      </w:r>
      <w:r>
        <w:t>,</w:t>
      </w:r>
      <w:r w:rsidRPr="008A4B21">
        <w:t xml:space="preserve"> 46.23,</w:t>
      </w:r>
      <w:r>
        <w:t xml:space="preserve"> </w:t>
      </w:r>
      <w:r w:rsidRPr="008A4B21">
        <w:t>12474–12486</w:t>
      </w:r>
      <w:r w:rsidRPr="008A4B21">
        <w:rPr>
          <w:rFonts w:eastAsiaTheme="minorHAnsi"/>
        </w:rPr>
        <w:t>.</w:t>
      </w:r>
    </w:p>
    <w:p w14:paraId="37D48B49" w14:textId="77777777" w:rsidR="00960C62" w:rsidRDefault="00960C62" w:rsidP="00960C62">
      <w:pPr>
        <w:pStyle w:val="CETReferencetext"/>
      </w:pPr>
      <w:r w:rsidRPr="008A4B21">
        <w:t>Lucas M., Skjold</w:t>
      </w:r>
      <w:r>
        <w:t xml:space="preserve"> T.,</w:t>
      </w:r>
      <w:r w:rsidRPr="008A4B21">
        <w:t xml:space="preserve"> Hisken</w:t>
      </w:r>
      <w:r>
        <w:t xml:space="preserve"> H.,</w:t>
      </w:r>
      <w:r w:rsidRPr="008A4B21">
        <w:t xml:space="preserve"> 2020</w:t>
      </w:r>
      <w:r>
        <w:t>,</w:t>
      </w:r>
      <w:r w:rsidRPr="008A4B21">
        <w:t xml:space="preserve"> Computational fluid dynamics</w:t>
      </w:r>
      <w:r>
        <w:t xml:space="preserve"> </w:t>
      </w:r>
      <w:r w:rsidRPr="008A4B21">
        <w:t>simulations of hydrogen releases and vented deflagrations in large enclosures</w:t>
      </w:r>
      <w:r>
        <w:t>,</w:t>
      </w:r>
      <w:r w:rsidRPr="008A4B21">
        <w:t xml:space="preserve"> Journal of Loss Prevention in the Process Industries</w:t>
      </w:r>
      <w:r>
        <w:t>,</w:t>
      </w:r>
      <w:r w:rsidRPr="008A4B21">
        <w:t xml:space="preserve"> 63,</w:t>
      </w:r>
      <w:r>
        <w:t xml:space="preserve"> 1</w:t>
      </w:r>
      <w:r w:rsidRPr="008A4B21">
        <w:t>03999.</w:t>
      </w:r>
    </w:p>
    <w:p w14:paraId="6FF04529" w14:textId="77777777" w:rsidR="00960C62" w:rsidRPr="004C65C3" w:rsidRDefault="00960C62" w:rsidP="00960C62">
      <w:pPr>
        <w:pStyle w:val="CETReferencetext"/>
      </w:pPr>
      <w:r w:rsidRPr="004C65C3">
        <w:t>Pardo</w:t>
      </w:r>
      <w:r w:rsidRPr="004C65C3">
        <w:rPr>
          <w:rFonts w:eastAsiaTheme="minorHAnsi"/>
        </w:rPr>
        <w:t xml:space="preserve"> N.</w:t>
      </w:r>
      <w:r w:rsidRPr="004C65C3">
        <w:t>, Moya</w:t>
      </w:r>
      <w:r w:rsidRPr="004C65C3">
        <w:rPr>
          <w:rFonts w:eastAsiaTheme="minorHAnsi"/>
        </w:rPr>
        <w:t xml:space="preserve"> </w:t>
      </w:r>
      <w:r w:rsidRPr="004C65C3">
        <w:t>J.A., Vatopoulos</w:t>
      </w:r>
      <w:r w:rsidRPr="004C65C3">
        <w:rPr>
          <w:rFonts w:eastAsiaTheme="minorHAnsi"/>
        </w:rPr>
        <w:t xml:space="preserve"> </w:t>
      </w:r>
      <w:r w:rsidRPr="004C65C3">
        <w:t>K.</w:t>
      </w:r>
      <w:r w:rsidRPr="004C65C3">
        <w:rPr>
          <w:rFonts w:eastAsiaTheme="minorHAnsi"/>
        </w:rPr>
        <w:t xml:space="preserve">, 2012, </w:t>
      </w:r>
      <w:r w:rsidRPr="004C65C3">
        <w:t>Prospective Scenarios on Energy</w:t>
      </w:r>
      <w:r>
        <w:t xml:space="preserve"> </w:t>
      </w:r>
      <w:r w:rsidRPr="004C65C3">
        <w:t>Efficiency and CO2 Emissions in</w:t>
      </w:r>
      <w:r>
        <w:t xml:space="preserve"> </w:t>
      </w:r>
      <w:r w:rsidRPr="004C65C3">
        <w:t>the EU</w:t>
      </w:r>
      <w:r>
        <w:t xml:space="preserve"> </w:t>
      </w:r>
      <w:r w:rsidRPr="004C65C3">
        <w:t>Iron &amp; Steel Industry</w:t>
      </w:r>
      <w:r>
        <w:t xml:space="preserve">, </w:t>
      </w:r>
      <w:r w:rsidRPr="004C65C3">
        <w:t>Publications Office of the European Union</w:t>
      </w:r>
      <w:r>
        <w:t>.</w:t>
      </w:r>
    </w:p>
    <w:p w14:paraId="6F9A2755" w14:textId="77777777" w:rsidR="00960C62" w:rsidRPr="008A4B21" w:rsidRDefault="00960C62" w:rsidP="00960C62">
      <w:pPr>
        <w:pStyle w:val="CETReferencetext"/>
      </w:pPr>
      <w:r w:rsidRPr="008A4B21">
        <w:t>Patel P., Baalisampang T., Arzaghi E., Garaniya V., Abbassi R., Salehi F., 2023</w:t>
      </w:r>
      <w:r>
        <w:t>,</w:t>
      </w:r>
      <w:r w:rsidRPr="008A4B21">
        <w:t xml:space="preserve"> Computational analysis</w:t>
      </w:r>
      <w:r>
        <w:t xml:space="preserve"> </w:t>
      </w:r>
      <w:r w:rsidRPr="008A4B21">
        <w:t>of the hydrogen dispersion in semiconfined spaces</w:t>
      </w:r>
      <w:r>
        <w:t xml:space="preserve">, </w:t>
      </w:r>
      <w:r w:rsidRPr="008A4B21">
        <w:t>Process Safety and Environmental Protection</w:t>
      </w:r>
      <w:r>
        <w:t>,</w:t>
      </w:r>
      <w:r w:rsidRPr="008A4B21">
        <w:t xml:space="preserve"> 176,</w:t>
      </w:r>
      <w:r>
        <w:t xml:space="preserve"> </w:t>
      </w:r>
      <w:r w:rsidRPr="008A4B21">
        <w:t>475–488.</w:t>
      </w:r>
    </w:p>
    <w:p w14:paraId="07E3E862" w14:textId="77777777" w:rsidR="00960C62" w:rsidRDefault="00960C62" w:rsidP="00960C62">
      <w:pPr>
        <w:pStyle w:val="CETReferencetext"/>
        <w:spacing w:line="240" w:lineRule="auto"/>
      </w:pPr>
      <w:r w:rsidRPr="0047603A">
        <w:t>Schmitz A., Kamiński J., Maria Scalet B., Soria A., 2011, Energy consumption and CO</w:t>
      </w:r>
      <w:r w:rsidRPr="0047603A">
        <w:rPr>
          <w:vertAlign w:val="subscript"/>
        </w:rPr>
        <w:t>2</w:t>
      </w:r>
      <w:r w:rsidRPr="0047603A">
        <w:t xml:space="preserve"> emissions of the European glass industry, Energy Policy, 39.1, 142–155.</w:t>
      </w:r>
    </w:p>
    <w:p w14:paraId="4D56BEDC" w14:textId="77777777" w:rsidR="00960C62" w:rsidRPr="00787611" w:rsidRDefault="00960C62" w:rsidP="00960C62">
      <w:pPr>
        <w:pStyle w:val="CETReferencetext"/>
      </w:pPr>
      <w:r w:rsidRPr="00787611">
        <w:t>Scott D. S.</w:t>
      </w:r>
      <w:r>
        <w:t>,</w:t>
      </w:r>
      <w:r w:rsidRPr="00787611">
        <w:t xml:space="preserve"> Cox</w:t>
      </w:r>
      <w:r>
        <w:t xml:space="preserve"> K. E.,</w:t>
      </w:r>
      <w:r w:rsidRPr="00787611">
        <w:t xml:space="preserve"> 1960</w:t>
      </w:r>
      <w:r>
        <w:t>,</w:t>
      </w:r>
      <w:r w:rsidRPr="00787611">
        <w:t xml:space="preserve"> Temperature dependence of the binary</w:t>
      </w:r>
      <w:r>
        <w:t xml:space="preserve"> </w:t>
      </w:r>
      <w:r w:rsidRPr="00787611">
        <w:t>diffusion coefficient of gases</w:t>
      </w:r>
      <w:r>
        <w:t>,</w:t>
      </w:r>
      <w:r w:rsidRPr="00787611">
        <w:t xml:space="preserve"> The</w:t>
      </w:r>
      <w:r>
        <w:t xml:space="preserve"> </w:t>
      </w:r>
      <w:r w:rsidRPr="00787611">
        <w:t>Canadian Journal of Chemical</w:t>
      </w:r>
      <w:r>
        <w:t xml:space="preserve"> </w:t>
      </w:r>
      <w:r w:rsidRPr="00787611">
        <w:t>Engineering</w:t>
      </w:r>
      <w:r>
        <w:t>,</w:t>
      </w:r>
      <w:r w:rsidRPr="00787611">
        <w:t xml:space="preserve"> 38.6, 201–205.</w:t>
      </w:r>
    </w:p>
    <w:p w14:paraId="13E4CDCC" w14:textId="77777777" w:rsidR="00960C62" w:rsidRDefault="00960C62" w:rsidP="00960C62">
      <w:pPr>
        <w:pStyle w:val="CETReferencetext"/>
      </w:pPr>
      <w:r w:rsidRPr="00DB2B19">
        <w:t>Yang F., Wang</w:t>
      </w:r>
      <w:r>
        <w:t xml:space="preserve"> T.</w:t>
      </w:r>
      <w:r w:rsidRPr="00DB2B19">
        <w:t>, Deng</w:t>
      </w:r>
      <w:r>
        <w:t xml:space="preserve"> X.</w:t>
      </w:r>
      <w:r w:rsidRPr="00DB2B19">
        <w:t>, Dang</w:t>
      </w:r>
      <w:r>
        <w:t xml:space="preserve"> J.</w:t>
      </w:r>
      <w:r w:rsidRPr="00DB2B19">
        <w:t>, Huang</w:t>
      </w:r>
      <w:r>
        <w:t xml:space="preserve"> Z.</w:t>
      </w:r>
      <w:r w:rsidRPr="00DB2B19">
        <w:t>, Hu</w:t>
      </w:r>
      <w:r>
        <w:t xml:space="preserve"> S.</w:t>
      </w:r>
      <w:r w:rsidRPr="00DB2B19">
        <w:t>, Li</w:t>
      </w:r>
      <w:r>
        <w:t xml:space="preserve"> Y.,</w:t>
      </w:r>
      <w:r w:rsidRPr="00DB2B19">
        <w:t xml:space="preserve"> Ouyang</w:t>
      </w:r>
      <w:r>
        <w:t xml:space="preserve"> M., </w:t>
      </w:r>
      <w:r w:rsidRPr="00DB2B19">
        <w:t>2021</w:t>
      </w:r>
      <w:r>
        <w:t xml:space="preserve">, </w:t>
      </w:r>
      <w:r w:rsidRPr="00DB2B19">
        <w:t>Review on hydrogen safety</w:t>
      </w:r>
      <w:r>
        <w:t xml:space="preserve"> </w:t>
      </w:r>
      <w:r w:rsidRPr="00DB2B19">
        <w:t>issues: Incident statistics, hydrogen</w:t>
      </w:r>
      <w:r>
        <w:t xml:space="preserve"> </w:t>
      </w:r>
      <w:r w:rsidRPr="00DB2B19">
        <w:t>diffusion, and detonation process</w:t>
      </w:r>
      <w:r>
        <w:t>,</w:t>
      </w:r>
      <w:r w:rsidRPr="00DB2B19">
        <w:t xml:space="preserve"> International Journal of Hydrogen</w:t>
      </w:r>
      <w:r>
        <w:t xml:space="preserve"> </w:t>
      </w:r>
      <w:r w:rsidRPr="00DB2B19">
        <w:t>Energy</w:t>
      </w:r>
      <w:r>
        <w:t>,</w:t>
      </w:r>
      <w:r w:rsidRPr="00DB2B19">
        <w:t xml:space="preserve"> 46.61, 31467–31488.</w:t>
      </w:r>
    </w:p>
    <w:p w14:paraId="4BB7D6B6" w14:textId="77777777" w:rsidR="00960C62" w:rsidRDefault="00960C62" w:rsidP="00960C62">
      <w:pPr>
        <w:pStyle w:val="CETReferencetext"/>
      </w:pPr>
      <w:r w:rsidRPr="00DB2B19">
        <w:t>Zhang X., Wang</w:t>
      </w:r>
      <w:r>
        <w:t xml:space="preserve"> Q.</w:t>
      </w:r>
      <w:r w:rsidRPr="00DB2B19">
        <w:t>, Hou</w:t>
      </w:r>
      <w:r>
        <w:t xml:space="preserve"> X.</w:t>
      </w:r>
      <w:r w:rsidRPr="00DB2B19">
        <w:t>, Li</w:t>
      </w:r>
      <w:r>
        <w:t xml:space="preserve"> Y.</w:t>
      </w:r>
      <w:r w:rsidRPr="00DB2B19">
        <w:t>, Miao</w:t>
      </w:r>
      <w:r>
        <w:t xml:space="preserve"> Y.</w:t>
      </w:r>
      <w:r w:rsidRPr="00DB2B19">
        <w:t>, Li</w:t>
      </w:r>
      <w:r>
        <w:t xml:space="preserve"> K., </w:t>
      </w:r>
      <w:r w:rsidRPr="00DB2B19">
        <w:t>Zhang</w:t>
      </w:r>
      <w:r>
        <w:t xml:space="preserve"> L., </w:t>
      </w:r>
      <w:r w:rsidRPr="00DB2B19">
        <w:t>2021</w:t>
      </w:r>
      <w:r>
        <w:t xml:space="preserve">, </w:t>
      </w:r>
      <w:r w:rsidRPr="00DB2B19">
        <w:t>Numerical Analysis of the Hydrogen</w:t>
      </w:r>
      <w:r>
        <w:t xml:space="preserve"> </w:t>
      </w:r>
      <w:r w:rsidRPr="00DB2B19">
        <w:t>Dispersion Behavior in Different</w:t>
      </w:r>
      <w:r>
        <w:t xml:space="preserve"> </w:t>
      </w:r>
      <w:r w:rsidRPr="00DB2B19">
        <w:t>Directions in a Naturally Ventilated Space</w:t>
      </w:r>
      <w:r>
        <w:t>,</w:t>
      </w:r>
      <w:r w:rsidRPr="00DB2B19">
        <w:t xml:space="preserve"> Applied Sciences</w:t>
      </w:r>
      <w:r>
        <w:t>,</w:t>
      </w:r>
      <w:r w:rsidRPr="00DB2B19">
        <w:t xml:space="preserve"> 11.2, 615.</w:t>
      </w:r>
    </w:p>
    <w:p w14:paraId="2C17A0B5" w14:textId="626BB5B8" w:rsidR="00960C62" w:rsidRPr="00287330" w:rsidRDefault="00960C62" w:rsidP="00960C62">
      <w:pPr>
        <w:pStyle w:val="CETBodytext"/>
      </w:pPr>
      <w:r w:rsidRPr="006062F7">
        <w:t>Zier M., Pflugradt</w:t>
      </w:r>
      <w:r>
        <w:t xml:space="preserve"> N.</w:t>
      </w:r>
      <w:r w:rsidRPr="006062F7">
        <w:t>,</w:t>
      </w:r>
      <w:r>
        <w:t xml:space="preserve"> </w:t>
      </w:r>
      <w:r w:rsidRPr="006062F7">
        <w:t>Stenzel</w:t>
      </w:r>
      <w:r>
        <w:t xml:space="preserve"> P.</w:t>
      </w:r>
      <w:r w:rsidRPr="006062F7">
        <w:t>, Kotzur</w:t>
      </w:r>
      <w:r>
        <w:t xml:space="preserve"> L., S</w:t>
      </w:r>
      <w:r w:rsidRPr="006062F7">
        <w:t>tolten</w:t>
      </w:r>
      <w:r>
        <w:t xml:space="preserve"> D., </w:t>
      </w:r>
      <w:r w:rsidRPr="006062F7">
        <w:t>2023</w:t>
      </w:r>
      <w:r>
        <w:t>,</w:t>
      </w:r>
      <w:r w:rsidRPr="006062F7">
        <w:t xml:space="preserve"> Industrial</w:t>
      </w:r>
      <w:r>
        <w:t xml:space="preserve"> </w:t>
      </w:r>
      <w:r w:rsidRPr="006062F7">
        <w:t>decarbonization pathways: The</w:t>
      </w:r>
      <w:r>
        <w:t xml:space="preserve"> </w:t>
      </w:r>
      <w:r w:rsidRPr="006062F7">
        <w:t>example of the German glass industry</w:t>
      </w:r>
      <w:r>
        <w:t xml:space="preserve">, </w:t>
      </w:r>
      <w:r w:rsidRPr="006062F7">
        <w:t>Energy Conversion and Management</w:t>
      </w:r>
      <w:r>
        <w:t xml:space="preserve">, </w:t>
      </w:r>
      <w:r w:rsidRPr="006062F7">
        <w:t>X</w:t>
      </w:r>
      <w:r>
        <w:t>.</w:t>
      </w:r>
      <w:r w:rsidRPr="006062F7">
        <w:t>17, 100336.</w:t>
      </w:r>
    </w:p>
    <w:sectPr w:rsidR="00960C62" w:rsidRPr="00287330" w:rsidSect="008143E2">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2408A" w14:textId="77777777" w:rsidR="008143E2" w:rsidRDefault="008143E2" w:rsidP="004F5E36">
      <w:r>
        <w:separator/>
      </w:r>
    </w:p>
  </w:endnote>
  <w:endnote w:type="continuationSeparator" w:id="0">
    <w:p w14:paraId="77F29079" w14:textId="77777777" w:rsidR="008143E2" w:rsidRDefault="008143E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FRM1200">
    <w:altName w:val="Cambria"/>
    <w:panose1 w:val="00000000000000000000"/>
    <w:charset w:val="00"/>
    <w:family w:val="roman"/>
    <w:notTrueType/>
    <w:pitch w:val="default"/>
  </w:font>
  <w:font w:name="SFTI1200">
    <w:altName w:val="Cambria"/>
    <w:panose1 w:val="00000000000000000000"/>
    <w:charset w:val="00"/>
    <w:family w:val="roman"/>
    <w:notTrueType/>
    <w:pitch w:val="default"/>
  </w:font>
  <w:font w:name="SFCC1200">
    <w:altName w:val="Cambria"/>
    <w:panose1 w:val="00000000000000000000"/>
    <w:charset w:val="00"/>
    <w:family w:val="roman"/>
    <w:notTrueType/>
    <w:pitch w:val="default"/>
  </w:font>
  <w:font w:name="AdvP6960">
    <w:altName w:val="Cambria"/>
    <w:panose1 w:val="00000000000000000000"/>
    <w:charset w:val="4D"/>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08DDC" w14:textId="77777777" w:rsidR="008143E2" w:rsidRDefault="008143E2" w:rsidP="004F5E36">
      <w:r>
        <w:separator/>
      </w:r>
    </w:p>
  </w:footnote>
  <w:footnote w:type="continuationSeparator" w:id="0">
    <w:p w14:paraId="1C67738E" w14:textId="77777777" w:rsidR="008143E2" w:rsidRDefault="008143E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85924003">
    <w:abstractNumId w:val="10"/>
  </w:num>
  <w:num w:numId="2" w16cid:durableId="2122219149">
    <w:abstractNumId w:val="8"/>
  </w:num>
  <w:num w:numId="3" w16cid:durableId="1469320583">
    <w:abstractNumId w:val="3"/>
  </w:num>
  <w:num w:numId="4" w16cid:durableId="1272854626">
    <w:abstractNumId w:val="2"/>
  </w:num>
  <w:num w:numId="5" w16cid:durableId="200363922">
    <w:abstractNumId w:val="1"/>
  </w:num>
  <w:num w:numId="6" w16cid:durableId="830220224">
    <w:abstractNumId w:val="0"/>
  </w:num>
  <w:num w:numId="7" w16cid:durableId="900562060">
    <w:abstractNumId w:val="9"/>
  </w:num>
  <w:num w:numId="8" w16cid:durableId="1636377241">
    <w:abstractNumId w:val="7"/>
  </w:num>
  <w:num w:numId="9" w16cid:durableId="1837190223">
    <w:abstractNumId w:val="6"/>
  </w:num>
  <w:num w:numId="10" w16cid:durableId="2137136180">
    <w:abstractNumId w:val="5"/>
  </w:num>
  <w:num w:numId="11" w16cid:durableId="274486018">
    <w:abstractNumId w:val="4"/>
  </w:num>
  <w:num w:numId="12" w16cid:durableId="426079420">
    <w:abstractNumId w:val="17"/>
  </w:num>
  <w:num w:numId="13" w16cid:durableId="20447732">
    <w:abstractNumId w:val="12"/>
  </w:num>
  <w:num w:numId="14" w16cid:durableId="117377409">
    <w:abstractNumId w:val="18"/>
  </w:num>
  <w:num w:numId="15" w16cid:durableId="1335911761">
    <w:abstractNumId w:val="20"/>
  </w:num>
  <w:num w:numId="16" w16cid:durableId="1955287186">
    <w:abstractNumId w:val="19"/>
  </w:num>
  <w:num w:numId="17" w16cid:durableId="2066753453">
    <w:abstractNumId w:val="11"/>
  </w:num>
  <w:num w:numId="18" w16cid:durableId="510341946">
    <w:abstractNumId w:val="12"/>
    <w:lvlOverride w:ilvl="0">
      <w:startOverride w:val="1"/>
    </w:lvlOverride>
  </w:num>
  <w:num w:numId="19" w16cid:durableId="1840460541">
    <w:abstractNumId w:val="16"/>
  </w:num>
  <w:num w:numId="20" w16cid:durableId="1162158802">
    <w:abstractNumId w:val="15"/>
  </w:num>
  <w:num w:numId="21" w16cid:durableId="940987085">
    <w:abstractNumId w:val="14"/>
  </w:num>
  <w:num w:numId="22" w16cid:durableId="4483977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ECF"/>
    <w:rsid w:val="000117CB"/>
    <w:rsid w:val="0001641B"/>
    <w:rsid w:val="0003148D"/>
    <w:rsid w:val="00031EEC"/>
    <w:rsid w:val="00046AD5"/>
    <w:rsid w:val="00051566"/>
    <w:rsid w:val="000562A9"/>
    <w:rsid w:val="00062A9A"/>
    <w:rsid w:val="00065058"/>
    <w:rsid w:val="00086C39"/>
    <w:rsid w:val="000A03B2"/>
    <w:rsid w:val="000D0268"/>
    <w:rsid w:val="000D34BE"/>
    <w:rsid w:val="000E102F"/>
    <w:rsid w:val="000E36F1"/>
    <w:rsid w:val="000E3A73"/>
    <w:rsid w:val="000E414A"/>
    <w:rsid w:val="000F093C"/>
    <w:rsid w:val="000F46A0"/>
    <w:rsid w:val="000F787B"/>
    <w:rsid w:val="0011230F"/>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84AD6"/>
    <w:rsid w:val="001A4AF7"/>
    <w:rsid w:val="001B0349"/>
    <w:rsid w:val="001B1E93"/>
    <w:rsid w:val="001B65C1"/>
    <w:rsid w:val="001C684B"/>
    <w:rsid w:val="001D0CFB"/>
    <w:rsid w:val="001D21AF"/>
    <w:rsid w:val="001D53FC"/>
    <w:rsid w:val="001D72EA"/>
    <w:rsid w:val="001F42A5"/>
    <w:rsid w:val="001F7B9D"/>
    <w:rsid w:val="00201C93"/>
    <w:rsid w:val="00204E5E"/>
    <w:rsid w:val="002224B4"/>
    <w:rsid w:val="002447EF"/>
    <w:rsid w:val="00251550"/>
    <w:rsid w:val="00263B05"/>
    <w:rsid w:val="00265682"/>
    <w:rsid w:val="0027221A"/>
    <w:rsid w:val="00275B61"/>
    <w:rsid w:val="00280FAF"/>
    <w:rsid w:val="00282656"/>
    <w:rsid w:val="00287330"/>
    <w:rsid w:val="00296B83"/>
    <w:rsid w:val="002A465A"/>
    <w:rsid w:val="002B4015"/>
    <w:rsid w:val="002B78CE"/>
    <w:rsid w:val="002C2FB6"/>
    <w:rsid w:val="002E5FA7"/>
    <w:rsid w:val="002F3309"/>
    <w:rsid w:val="003008CE"/>
    <w:rsid w:val="003009B7"/>
    <w:rsid w:val="00300E56"/>
    <w:rsid w:val="0030152C"/>
    <w:rsid w:val="00302069"/>
    <w:rsid w:val="0030469C"/>
    <w:rsid w:val="003123E0"/>
    <w:rsid w:val="00321CA6"/>
    <w:rsid w:val="00323763"/>
    <w:rsid w:val="00323C5F"/>
    <w:rsid w:val="00327299"/>
    <w:rsid w:val="00334C09"/>
    <w:rsid w:val="00340125"/>
    <w:rsid w:val="003723D4"/>
    <w:rsid w:val="003756F7"/>
    <w:rsid w:val="00381905"/>
    <w:rsid w:val="00384CC8"/>
    <w:rsid w:val="003871FD"/>
    <w:rsid w:val="00390ACB"/>
    <w:rsid w:val="003A1E30"/>
    <w:rsid w:val="003A2829"/>
    <w:rsid w:val="003A7D1C"/>
    <w:rsid w:val="003B304B"/>
    <w:rsid w:val="003B3146"/>
    <w:rsid w:val="003F015E"/>
    <w:rsid w:val="00400414"/>
    <w:rsid w:val="0041446B"/>
    <w:rsid w:val="00432B07"/>
    <w:rsid w:val="0044071E"/>
    <w:rsid w:val="0044329C"/>
    <w:rsid w:val="00453E24"/>
    <w:rsid w:val="00457456"/>
    <w:rsid w:val="004577FE"/>
    <w:rsid w:val="00457B9C"/>
    <w:rsid w:val="0046164A"/>
    <w:rsid w:val="004628D2"/>
    <w:rsid w:val="00462DCD"/>
    <w:rsid w:val="004648AD"/>
    <w:rsid w:val="004703A9"/>
    <w:rsid w:val="00475DE7"/>
    <w:rsid w:val="004760DE"/>
    <w:rsid w:val="004763D7"/>
    <w:rsid w:val="004A004E"/>
    <w:rsid w:val="004A24CF"/>
    <w:rsid w:val="004C2220"/>
    <w:rsid w:val="004C3D1D"/>
    <w:rsid w:val="004C3D84"/>
    <w:rsid w:val="004C7913"/>
    <w:rsid w:val="004E4DD6"/>
    <w:rsid w:val="004F5E36"/>
    <w:rsid w:val="00507B47"/>
    <w:rsid w:val="00507BEF"/>
    <w:rsid w:val="00507CC9"/>
    <w:rsid w:val="005119A5"/>
    <w:rsid w:val="005278B7"/>
    <w:rsid w:val="00532016"/>
    <w:rsid w:val="005346C8"/>
    <w:rsid w:val="00543E7D"/>
    <w:rsid w:val="00547A68"/>
    <w:rsid w:val="005531C9"/>
    <w:rsid w:val="00557E83"/>
    <w:rsid w:val="00570C43"/>
    <w:rsid w:val="005B0656"/>
    <w:rsid w:val="005B092A"/>
    <w:rsid w:val="005B2110"/>
    <w:rsid w:val="005B61E6"/>
    <w:rsid w:val="005C436E"/>
    <w:rsid w:val="005C77E1"/>
    <w:rsid w:val="005D668A"/>
    <w:rsid w:val="005D6A2F"/>
    <w:rsid w:val="005E1A82"/>
    <w:rsid w:val="005E6F33"/>
    <w:rsid w:val="005E794C"/>
    <w:rsid w:val="005F0A28"/>
    <w:rsid w:val="005F0E5E"/>
    <w:rsid w:val="00600535"/>
    <w:rsid w:val="00610CD6"/>
    <w:rsid w:val="00620DEE"/>
    <w:rsid w:val="00621F92"/>
    <w:rsid w:val="0062280A"/>
    <w:rsid w:val="00625639"/>
    <w:rsid w:val="00625F30"/>
    <w:rsid w:val="00631B33"/>
    <w:rsid w:val="0064184D"/>
    <w:rsid w:val="006422CC"/>
    <w:rsid w:val="00660E3E"/>
    <w:rsid w:val="00662E74"/>
    <w:rsid w:val="00680C23"/>
    <w:rsid w:val="00693766"/>
    <w:rsid w:val="006A3281"/>
    <w:rsid w:val="006B4888"/>
    <w:rsid w:val="006B520A"/>
    <w:rsid w:val="006C2E45"/>
    <w:rsid w:val="006C359C"/>
    <w:rsid w:val="006C5579"/>
    <w:rsid w:val="006D6E8B"/>
    <w:rsid w:val="006E737D"/>
    <w:rsid w:val="00713973"/>
    <w:rsid w:val="00720A24"/>
    <w:rsid w:val="00732386"/>
    <w:rsid w:val="0073514D"/>
    <w:rsid w:val="00743E83"/>
    <w:rsid w:val="007447F3"/>
    <w:rsid w:val="0075499F"/>
    <w:rsid w:val="00760341"/>
    <w:rsid w:val="007661C8"/>
    <w:rsid w:val="0077098D"/>
    <w:rsid w:val="007931FA"/>
    <w:rsid w:val="007A4861"/>
    <w:rsid w:val="007A7BBA"/>
    <w:rsid w:val="007B0C50"/>
    <w:rsid w:val="007B48F9"/>
    <w:rsid w:val="007C1A43"/>
    <w:rsid w:val="007D0951"/>
    <w:rsid w:val="0080013E"/>
    <w:rsid w:val="00813288"/>
    <w:rsid w:val="008143E2"/>
    <w:rsid w:val="008168FC"/>
    <w:rsid w:val="00830996"/>
    <w:rsid w:val="008345F1"/>
    <w:rsid w:val="00865B07"/>
    <w:rsid w:val="008667EA"/>
    <w:rsid w:val="0087637F"/>
    <w:rsid w:val="00886D35"/>
    <w:rsid w:val="00892AD5"/>
    <w:rsid w:val="008A1512"/>
    <w:rsid w:val="008B3D68"/>
    <w:rsid w:val="008D32B9"/>
    <w:rsid w:val="008D433B"/>
    <w:rsid w:val="008D4A16"/>
    <w:rsid w:val="008E566E"/>
    <w:rsid w:val="0090161A"/>
    <w:rsid w:val="00901EB6"/>
    <w:rsid w:val="00904C62"/>
    <w:rsid w:val="00922BA8"/>
    <w:rsid w:val="00924DAC"/>
    <w:rsid w:val="00927058"/>
    <w:rsid w:val="009274F6"/>
    <w:rsid w:val="00942750"/>
    <w:rsid w:val="009450CE"/>
    <w:rsid w:val="009459BB"/>
    <w:rsid w:val="00947179"/>
    <w:rsid w:val="0095164B"/>
    <w:rsid w:val="00954090"/>
    <w:rsid w:val="00956673"/>
    <w:rsid w:val="009573E7"/>
    <w:rsid w:val="00960C62"/>
    <w:rsid w:val="00963E05"/>
    <w:rsid w:val="00964A45"/>
    <w:rsid w:val="00967843"/>
    <w:rsid w:val="00967D54"/>
    <w:rsid w:val="00971028"/>
    <w:rsid w:val="0098022E"/>
    <w:rsid w:val="00993B84"/>
    <w:rsid w:val="00996483"/>
    <w:rsid w:val="00996F5A"/>
    <w:rsid w:val="009B041A"/>
    <w:rsid w:val="009C37C3"/>
    <w:rsid w:val="009C7C86"/>
    <w:rsid w:val="009D2FF7"/>
    <w:rsid w:val="009E6A84"/>
    <w:rsid w:val="009E7884"/>
    <w:rsid w:val="009E788A"/>
    <w:rsid w:val="009F0E08"/>
    <w:rsid w:val="009F1339"/>
    <w:rsid w:val="00A1763D"/>
    <w:rsid w:val="00A17CEC"/>
    <w:rsid w:val="00A27EF0"/>
    <w:rsid w:val="00A42361"/>
    <w:rsid w:val="00A50B20"/>
    <w:rsid w:val="00A51390"/>
    <w:rsid w:val="00A60D13"/>
    <w:rsid w:val="00A7223D"/>
    <w:rsid w:val="00A72745"/>
    <w:rsid w:val="00A76EFC"/>
    <w:rsid w:val="00A87D50"/>
    <w:rsid w:val="00A91010"/>
    <w:rsid w:val="00A97F29"/>
    <w:rsid w:val="00AA702E"/>
    <w:rsid w:val="00AA7D26"/>
    <w:rsid w:val="00AB0964"/>
    <w:rsid w:val="00AB1964"/>
    <w:rsid w:val="00AB5011"/>
    <w:rsid w:val="00AC7368"/>
    <w:rsid w:val="00AD16B9"/>
    <w:rsid w:val="00AE377D"/>
    <w:rsid w:val="00AF0EBA"/>
    <w:rsid w:val="00B02C8A"/>
    <w:rsid w:val="00B17FBD"/>
    <w:rsid w:val="00B315A6"/>
    <w:rsid w:val="00B31813"/>
    <w:rsid w:val="00B33365"/>
    <w:rsid w:val="00B46B5C"/>
    <w:rsid w:val="00B57B36"/>
    <w:rsid w:val="00B57E6F"/>
    <w:rsid w:val="00B705E7"/>
    <w:rsid w:val="00B8686D"/>
    <w:rsid w:val="00B93F69"/>
    <w:rsid w:val="00BB1DDC"/>
    <w:rsid w:val="00BC30C9"/>
    <w:rsid w:val="00BD077D"/>
    <w:rsid w:val="00BE3E58"/>
    <w:rsid w:val="00C01616"/>
    <w:rsid w:val="00C0162B"/>
    <w:rsid w:val="00C068ED"/>
    <w:rsid w:val="00C10F8E"/>
    <w:rsid w:val="00C22E0C"/>
    <w:rsid w:val="00C24556"/>
    <w:rsid w:val="00C2753E"/>
    <w:rsid w:val="00C345B1"/>
    <w:rsid w:val="00C40142"/>
    <w:rsid w:val="00C42B73"/>
    <w:rsid w:val="00C52C3C"/>
    <w:rsid w:val="00C5660C"/>
    <w:rsid w:val="00C57182"/>
    <w:rsid w:val="00C57863"/>
    <w:rsid w:val="00C640AF"/>
    <w:rsid w:val="00C655FD"/>
    <w:rsid w:val="00C75407"/>
    <w:rsid w:val="00C870A8"/>
    <w:rsid w:val="00C94434"/>
    <w:rsid w:val="00CA0D75"/>
    <w:rsid w:val="00CA1C95"/>
    <w:rsid w:val="00CA5A9C"/>
    <w:rsid w:val="00CC4C20"/>
    <w:rsid w:val="00CD3517"/>
    <w:rsid w:val="00CD5FE2"/>
    <w:rsid w:val="00CE7C68"/>
    <w:rsid w:val="00CF0D37"/>
    <w:rsid w:val="00D02B4C"/>
    <w:rsid w:val="00D040C4"/>
    <w:rsid w:val="00D20AD1"/>
    <w:rsid w:val="00D249BB"/>
    <w:rsid w:val="00D3676B"/>
    <w:rsid w:val="00D46B7E"/>
    <w:rsid w:val="00D550F1"/>
    <w:rsid w:val="00D57C84"/>
    <w:rsid w:val="00D6057D"/>
    <w:rsid w:val="00D62B26"/>
    <w:rsid w:val="00D71640"/>
    <w:rsid w:val="00D836C5"/>
    <w:rsid w:val="00D84576"/>
    <w:rsid w:val="00DA1399"/>
    <w:rsid w:val="00DA24C6"/>
    <w:rsid w:val="00DA4D7B"/>
    <w:rsid w:val="00DD271C"/>
    <w:rsid w:val="00DE264A"/>
    <w:rsid w:val="00DF5072"/>
    <w:rsid w:val="00DF5139"/>
    <w:rsid w:val="00E02D18"/>
    <w:rsid w:val="00E041E7"/>
    <w:rsid w:val="00E2100D"/>
    <w:rsid w:val="00E23CA1"/>
    <w:rsid w:val="00E25F44"/>
    <w:rsid w:val="00E27DA3"/>
    <w:rsid w:val="00E409A8"/>
    <w:rsid w:val="00E50C12"/>
    <w:rsid w:val="00E65B91"/>
    <w:rsid w:val="00E7209D"/>
    <w:rsid w:val="00E72EAD"/>
    <w:rsid w:val="00E77223"/>
    <w:rsid w:val="00E8528B"/>
    <w:rsid w:val="00E85B94"/>
    <w:rsid w:val="00E978D0"/>
    <w:rsid w:val="00EA4613"/>
    <w:rsid w:val="00EA7F91"/>
    <w:rsid w:val="00EB1523"/>
    <w:rsid w:val="00EB3F7E"/>
    <w:rsid w:val="00EC0E49"/>
    <w:rsid w:val="00EC101F"/>
    <w:rsid w:val="00EC1D9F"/>
    <w:rsid w:val="00EE0131"/>
    <w:rsid w:val="00EE17B0"/>
    <w:rsid w:val="00EF06D9"/>
    <w:rsid w:val="00F01433"/>
    <w:rsid w:val="00F3049E"/>
    <w:rsid w:val="00F30C64"/>
    <w:rsid w:val="00F32BA2"/>
    <w:rsid w:val="00F32CDB"/>
    <w:rsid w:val="00F565FE"/>
    <w:rsid w:val="00F63A70"/>
    <w:rsid w:val="00F63D8C"/>
    <w:rsid w:val="00F7534E"/>
    <w:rsid w:val="00F93EDF"/>
    <w:rsid w:val="00FA1802"/>
    <w:rsid w:val="00FA21D0"/>
    <w:rsid w:val="00FA5F5F"/>
    <w:rsid w:val="00FB546E"/>
    <w:rsid w:val="00FB730C"/>
    <w:rsid w:val="00FB7655"/>
    <w:rsid w:val="00FC2695"/>
    <w:rsid w:val="00FC3E03"/>
    <w:rsid w:val="00FC3FC1"/>
    <w:rsid w:val="00FD48F6"/>
    <w:rsid w:val="00FE2E2F"/>
    <w:rsid w:val="00FE706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fontstyle01">
    <w:name w:val="fontstyle01"/>
    <w:basedOn w:val="DefaultParagraphFont"/>
    <w:rsid w:val="00960C62"/>
    <w:rPr>
      <w:rFonts w:ascii="SFRM1200" w:hAnsi="SFRM1200" w:hint="default"/>
      <w:b w:val="0"/>
      <w:bCs w:val="0"/>
      <w:i w:val="0"/>
      <w:iCs w:val="0"/>
      <w:color w:val="000000"/>
      <w:sz w:val="24"/>
      <w:szCs w:val="24"/>
    </w:rPr>
  </w:style>
  <w:style w:type="character" w:customStyle="1" w:styleId="fontstyle21">
    <w:name w:val="fontstyle21"/>
    <w:basedOn w:val="DefaultParagraphFont"/>
    <w:rsid w:val="00960C62"/>
    <w:rPr>
      <w:rFonts w:ascii="SFTI1200" w:hAnsi="SFTI1200" w:hint="default"/>
      <w:b w:val="0"/>
      <w:bCs w:val="0"/>
      <w:i/>
      <w:iCs/>
      <w:color w:val="000000"/>
      <w:sz w:val="24"/>
      <w:szCs w:val="24"/>
    </w:rPr>
  </w:style>
  <w:style w:type="character" w:customStyle="1" w:styleId="fontstyle31">
    <w:name w:val="fontstyle31"/>
    <w:basedOn w:val="DefaultParagraphFont"/>
    <w:rsid w:val="00960C62"/>
    <w:rPr>
      <w:rFonts w:ascii="SFCC1200" w:hAnsi="SFCC1200" w:hint="default"/>
      <w:b w:val="0"/>
      <w:bCs w:val="0"/>
      <w:i w:val="0"/>
      <w:iCs w:val="0"/>
      <w:color w:val="000000"/>
      <w:sz w:val="24"/>
      <w:szCs w:val="24"/>
    </w:rPr>
  </w:style>
  <w:style w:type="paragraph" w:styleId="Revision">
    <w:name w:val="Revision"/>
    <w:hidden/>
    <w:uiPriority w:val="99"/>
    <w:semiHidden/>
    <w:rsid w:val="002A465A"/>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9FDC1-B7AE-4527-831F-A10CFB690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4068</Words>
  <Characters>22117</Characters>
  <Application>Microsoft Office Word</Application>
  <DocSecurity>0</DocSecurity>
  <Lines>184</Lines>
  <Paragraphs>52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Alice Schiaroli - alice.schiaroli@studio.unibo.it</cp:lastModifiedBy>
  <cp:revision>13</cp:revision>
  <cp:lastPrinted>2015-05-12T18:31:00Z</cp:lastPrinted>
  <dcterms:created xsi:type="dcterms:W3CDTF">2024-02-26T08:50:00Z</dcterms:created>
  <dcterms:modified xsi:type="dcterms:W3CDTF">2024-04-29T10:27:00Z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0431a321ea4f96d0bcd9187f1bf1e4179a07eefc7665e93e183aa959ae04108c</vt:lpwstr>
  </property>
</Properties>
</file>