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1843"/>
      </w:tblGrid>
      <w:tr w:rsidR="000A03B2" w:rsidRPr="00B57B36" w14:paraId="2A131A54" w14:textId="77777777" w:rsidTr="00DE264A">
        <w:trPr>
          <w:trHeight w:val="852"/>
          <w:jc w:val="center"/>
        </w:trPr>
        <w:tc>
          <w:tcPr>
            <w:tcW w:w="6946" w:type="dxa"/>
            <w:vMerge w:val="restart"/>
            <w:tcBorders>
              <w:right w:val="single" w:sz="4" w:space="0" w:color="auto"/>
            </w:tcBorders>
          </w:tcPr>
          <w:p w14:paraId="38C3D2BA" w14:textId="77777777" w:rsidR="000A03B2" w:rsidRPr="00B57B36" w:rsidRDefault="000A03B2" w:rsidP="00DE264A">
            <w:pPr>
              <w:tabs>
                <w:tab w:val="left" w:pos="-108"/>
              </w:tabs>
              <w:ind w:left="-108"/>
              <w:jc w:val="left"/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eastAsia="it-IT"/>
              </w:rPr>
            </w:pPr>
            <w:r w:rsidRPr="00B57B36">
              <w:rPr>
                <w:rFonts w:ascii="AdvP6960" w:hAnsi="AdvP6960" w:cs="AdvP6960"/>
                <w:noProof/>
                <w:color w:val="241F20"/>
                <w:szCs w:val="18"/>
                <w:lang w:val="it-IT" w:eastAsia="it-IT"/>
              </w:rPr>
              <w:drawing>
                <wp:inline distT="0" distB="0" distL="0" distR="0" wp14:anchorId="02B7C3D3" wp14:editId="5EE03112">
                  <wp:extent cx="640080" cy="373380"/>
                  <wp:effectExtent l="0" t="0" r="7620" b="7620"/>
                  <wp:docPr id="5" name="Immagin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e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B36">
              <w:rPr>
                <w:rFonts w:ascii="AdvP6960" w:hAnsi="AdvP6960" w:cs="AdvP6960"/>
                <w:color w:val="241F20"/>
                <w:szCs w:val="18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4"/>
                <w:szCs w:val="24"/>
                <w:lang w:eastAsia="it-IT"/>
              </w:rPr>
              <w:t>CHEMICAL ENGINEERING</w:t>
            </w:r>
            <w:r w:rsidRPr="00B57B36">
              <w:rPr>
                <w:rFonts w:cs="Arial"/>
                <w:b/>
                <w:bCs/>
                <w:i/>
                <w:iCs/>
                <w:color w:val="0033FF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666666"/>
                <w:sz w:val="24"/>
                <w:szCs w:val="24"/>
                <w:lang w:eastAsia="it-IT"/>
              </w:rPr>
              <w:t>TRANSACTIONS</w:t>
            </w:r>
            <w:r w:rsidRPr="00B57B36">
              <w:rPr>
                <w:color w:val="333333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7"/>
                <w:szCs w:val="27"/>
                <w:lang w:eastAsia="it-IT"/>
              </w:rPr>
              <w:br/>
            </w:r>
          </w:p>
          <w:p w14:paraId="4B780582" w14:textId="38BD1662" w:rsidR="000A03B2" w:rsidRPr="00B57B36" w:rsidRDefault="00A76EFC" w:rsidP="00B57E6F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</w:pPr>
            <w:r w:rsidRPr="00B57B36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VOL. </w:t>
            </w:r>
            <w:r w:rsidR="00825DD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xxx</w:t>
            </w:r>
            <w:r w:rsidR="007B48F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,</w:t>
            </w:r>
            <w:r w:rsidR="00FA5F5F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20</w:t>
            </w:r>
            <w:r w:rsidR="00DF5072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2</w:t>
            </w:r>
            <w:r w:rsidR="00825DD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6782132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A publication of</w:t>
            </w:r>
          </w:p>
          <w:p w14:paraId="599E5441" w14:textId="77777777" w:rsidR="000A03B2" w:rsidRPr="00B57B36" w:rsidRDefault="000A03B2" w:rsidP="00CD5FE2">
            <w:pPr>
              <w:jc w:val="right"/>
            </w:pPr>
            <w:r w:rsidRPr="00B57B36">
              <w:rPr>
                <w:noProof/>
                <w:lang w:val="it-IT" w:eastAsia="it-IT"/>
              </w:rPr>
              <w:drawing>
                <wp:inline distT="0" distB="0" distL="0" distR="0" wp14:anchorId="59C75AF4" wp14:editId="4FF92432">
                  <wp:extent cx="670560" cy="358140"/>
                  <wp:effectExtent l="0" t="0" r="0" b="3810"/>
                  <wp:docPr id="6" name="Immagin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B2" w:rsidRPr="00B57B36" w14:paraId="380FA3CD" w14:textId="77777777" w:rsidTr="00DE264A">
        <w:trPr>
          <w:trHeight w:val="567"/>
          <w:jc w:val="center"/>
        </w:trPr>
        <w:tc>
          <w:tcPr>
            <w:tcW w:w="6946" w:type="dxa"/>
            <w:vMerge/>
            <w:tcBorders>
              <w:right w:val="single" w:sz="4" w:space="0" w:color="auto"/>
            </w:tcBorders>
          </w:tcPr>
          <w:p w14:paraId="39E5E4C1" w14:textId="77777777" w:rsidR="000A03B2" w:rsidRPr="00B57B36" w:rsidRDefault="000A03B2" w:rsidP="00CD5FE2">
            <w:pPr>
              <w:tabs>
                <w:tab w:val="left" w:pos="-108"/>
              </w:tabs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858A98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The Italian Association</w:t>
            </w:r>
          </w:p>
          <w:p w14:paraId="7522B1D2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of Chemical Engineering</w:t>
            </w:r>
          </w:p>
          <w:p w14:paraId="4F0CC5DE" w14:textId="47FDB2FC" w:rsidR="000A03B2" w:rsidRPr="000D0268" w:rsidRDefault="000D0268" w:rsidP="00CD5FE2">
            <w:pPr>
              <w:spacing w:line="140" w:lineRule="atLeast"/>
              <w:jc w:val="right"/>
              <w:rPr>
                <w:rFonts w:cs="Arial"/>
                <w:sz w:val="13"/>
                <w:szCs w:val="13"/>
              </w:rPr>
            </w:pPr>
            <w:r w:rsidRPr="000D0268">
              <w:rPr>
                <w:rFonts w:cs="Arial"/>
                <w:sz w:val="13"/>
                <w:szCs w:val="13"/>
              </w:rPr>
              <w:t>Online at www.cetjournal.it</w:t>
            </w:r>
          </w:p>
        </w:tc>
      </w:tr>
      <w:tr w:rsidR="000A03B2" w:rsidRPr="00B57B36" w14:paraId="2D1B7169" w14:textId="77777777" w:rsidTr="00DE264A">
        <w:trPr>
          <w:trHeight w:val="68"/>
          <w:jc w:val="center"/>
        </w:trPr>
        <w:tc>
          <w:tcPr>
            <w:tcW w:w="8789" w:type="dxa"/>
            <w:gridSpan w:val="2"/>
          </w:tcPr>
          <w:p w14:paraId="4B0BB442" w14:textId="4EADF2C2" w:rsidR="00300E56" w:rsidRPr="00825DD9" w:rsidRDefault="00300E56" w:rsidP="00B57E6F">
            <w:pPr>
              <w:ind w:left="-107"/>
              <w:outlineLvl w:val="2"/>
              <w:rPr>
                <w:rFonts w:ascii="Tahoma" w:hAnsi="Tahoma" w:cs="Tahoma"/>
                <w:bCs/>
                <w:color w:val="000000"/>
                <w:sz w:val="14"/>
                <w:szCs w:val="14"/>
                <w:lang w:val="it-IT" w:eastAsia="it-IT"/>
              </w:rPr>
            </w:pPr>
            <w:r w:rsidRPr="00825DD9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>Guest Editors:</w:t>
            </w:r>
            <w:r w:rsidR="00904C62" w:rsidRPr="00825DD9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 xml:space="preserve"> </w:t>
            </w:r>
            <w:r w:rsidR="00B57E6F" w:rsidRPr="00825DD9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 xml:space="preserve">Valerio Cozzani, </w:t>
            </w:r>
            <w:r w:rsidR="001331DF" w:rsidRPr="00825DD9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>Bruno Fabiano</w:t>
            </w:r>
            <w:r w:rsidR="00B57E6F" w:rsidRPr="00825DD9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 xml:space="preserve">, </w:t>
            </w:r>
            <w:proofErr w:type="spellStart"/>
            <w:r w:rsidR="00B57E6F" w:rsidRPr="00825DD9">
              <w:rPr>
                <w:rFonts w:ascii="Tahoma" w:hAnsi="Tahoma" w:cs="Tahoma"/>
                <w:bCs/>
                <w:color w:val="000000"/>
                <w:sz w:val="14"/>
                <w:szCs w:val="14"/>
                <w:lang w:val="it-IT" w:eastAsia="it-IT"/>
              </w:rPr>
              <w:t>Genserik</w:t>
            </w:r>
            <w:proofErr w:type="spellEnd"/>
            <w:r w:rsidR="00B57E6F" w:rsidRPr="00825DD9">
              <w:rPr>
                <w:rFonts w:ascii="Tahoma" w:hAnsi="Tahoma" w:cs="Tahoma"/>
                <w:bCs/>
                <w:color w:val="000000"/>
                <w:sz w:val="14"/>
                <w:szCs w:val="14"/>
                <w:lang w:val="it-IT" w:eastAsia="it-IT"/>
              </w:rPr>
              <w:t xml:space="preserve"> </w:t>
            </w:r>
            <w:proofErr w:type="spellStart"/>
            <w:r w:rsidR="00B57E6F" w:rsidRPr="00825DD9">
              <w:rPr>
                <w:rFonts w:ascii="Tahoma" w:hAnsi="Tahoma" w:cs="Tahoma"/>
                <w:bCs/>
                <w:color w:val="000000"/>
                <w:sz w:val="14"/>
                <w:szCs w:val="14"/>
                <w:lang w:val="it-IT" w:eastAsia="it-IT"/>
              </w:rPr>
              <w:t>Reniers</w:t>
            </w:r>
            <w:proofErr w:type="spellEnd"/>
          </w:p>
          <w:p w14:paraId="1B0F1814" w14:textId="7E8B8C7E" w:rsidR="000A03B2" w:rsidRPr="00B57B36" w:rsidRDefault="00FA5F5F" w:rsidP="00B57E6F">
            <w:pPr>
              <w:tabs>
                <w:tab w:val="left" w:pos="-108"/>
              </w:tabs>
              <w:spacing w:line="140" w:lineRule="atLeast"/>
              <w:ind w:left="-107"/>
              <w:jc w:val="left"/>
            </w:pPr>
            <w:r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Copyright © 20</w:t>
            </w:r>
            <w:r w:rsidR="00DF5072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2</w:t>
            </w:r>
            <w:r w:rsidR="00825DD9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4</w:t>
            </w:r>
            <w:r w:rsidR="00904C62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, AIDIC </w:t>
            </w:r>
            <w:proofErr w:type="spellStart"/>
            <w:r w:rsidR="00904C62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Servizi</w:t>
            </w:r>
            <w:proofErr w:type="spellEnd"/>
            <w:r w:rsidR="00904C62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="00904C62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S.r.l</w:t>
            </w:r>
            <w:proofErr w:type="spellEnd"/>
            <w:r w:rsidR="00904C62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.</w:t>
            </w:r>
            <w:r w:rsidR="00300E56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br/>
            </w:r>
            <w:r w:rsidR="00300E56" w:rsidRPr="00B57B36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eastAsia="it-IT"/>
              </w:rPr>
              <w:t>ISBN</w:t>
            </w:r>
            <w:r w:rsidR="00300E56" w:rsidRPr="00B57B36">
              <w:rPr>
                <w:rFonts w:ascii="Tahoma" w:hAnsi="Tahoma" w:cs="Tahoma"/>
                <w:iCs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825DD9" w:rsidRPr="00825DD9">
              <w:rPr>
                <w:rFonts w:ascii="Tahoma" w:hAnsi="Tahoma" w:cs="Tahoma"/>
                <w:sz w:val="14"/>
                <w:szCs w:val="14"/>
                <w:lang w:eastAsia="it-IT"/>
              </w:rPr>
              <w:t>979-12-81206-11-3</w:t>
            </w:r>
            <w:r w:rsidR="007B48F9" w:rsidRPr="00EF06D9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;</w:t>
            </w:r>
            <w:r w:rsidR="00300E56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r w:rsidR="00300E56" w:rsidRPr="00B57B36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>ISSN</w:t>
            </w:r>
            <w:r w:rsidR="00300E56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2283-9216</w:t>
            </w:r>
          </w:p>
        </w:tc>
      </w:tr>
    </w:tbl>
    <w:p w14:paraId="10DAA130" w14:textId="77777777" w:rsidR="000A03B2" w:rsidRPr="00B57B36" w:rsidRDefault="000A03B2" w:rsidP="000A03B2">
      <w:pPr>
        <w:pStyle w:val="CETAuthors"/>
        <w:sectPr w:rsidR="000A03B2" w:rsidRPr="00B57B36" w:rsidSect="005B56EB">
          <w:type w:val="continuous"/>
          <w:pgSz w:w="11906" w:h="16838" w:code="9"/>
          <w:pgMar w:top="1701" w:right="1418" w:bottom="1701" w:left="1701" w:header="1701" w:footer="0" w:gutter="0"/>
          <w:cols w:space="708"/>
          <w:titlePg/>
          <w:docGrid w:linePitch="360"/>
        </w:sectPr>
      </w:pPr>
    </w:p>
    <w:p w14:paraId="2E667253" w14:textId="52BE3E99" w:rsidR="00E978D0" w:rsidRPr="00665323" w:rsidRDefault="00EA3ADA" w:rsidP="00665323">
      <w:pPr>
        <w:pStyle w:val="CETTitle"/>
      </w:pPr>
      <w:r>
        <w:t>Fire risk evaluation of the internal components of the Li-ion batteries</w:t>
      </w:r>
    </w:p>
    <w:p w14:paraId="0488FED2" w14:textId="3576AE9C" w:rsidR="00B57E6F" w:rsidRPr="00442F7D" w:rsidRDefault="00EA3ADA" w:rsidP="00B57E6F">
      <w:pPr>
        <w:pStyle w:val="CETAuthors"/>
        <w:rPr>
          <w:lang w:val="it-IT"/>
        </w:rPr>
      </w:pPr>
      <w:r w:rsidRPr="00442F7D">
        <w:rPr>
          <w:lang w:val="it-IT"/>
        </w:rPr>
        <w:t>Sofia Ubaldi</w:t>
      </w:r>
      <w:r w:rsidR="001A64EE" w:rsidRPr="00442F7D">
        <w:rPr>
          <w:vertAlign w:val="superscript"/>
          <w:lang w:val="it-IT"/>
        </w:rPr>
        <w:t>a</w:t>
      </w:r>
      <w:r w:rsidRPr="00442F7D">
        <w:rPr>
          <w:lang w:val="it-IT"/>
        </w:rPr>
        <w:t xml:space="preserve">, </w:t>
      </w:r>
      <w:r w:rsidR="001A64EE" w:rsidRPr="00442F7D">
        <w:rPr>
          <w:lang w:val="it-IT"/>
        </w:rPr>
        <w:t>Cinzia Di Bari</w:t>
      </w:r>
      <w:r w:rsidR="001A64EE" w:rsidRPr="00442F7D">
        <w:rPr>
          <w:vertAlign w:val="superscript"/>
          <w:lang w:val="it-IT"/>
        </w:rPr>
        <w:t>b</w:t>
      </w:r>
      <w:r w:rsidR="001A64EE" w:rsidRPr="00442F7D">
        <w:rPr>
          <w:lang w:val="it-IT"/>
        </w:rPr>
        <w:t xml:space="preserve">, </w:t>
      </w:r>
      <w:r w:rsidRPr="00442F7D">
        <w:rPr>
          <w:lang w:val="it-IT"/>
        </w:rPr>
        <w:t>Paola Russo</w:t>
      </w:r>
      <w:r w:rsidR="001A64EE" w:rsidRPr="00442F7D">
        <w:rPr>
          <w:vertAlign w:val="superscript"/>
          <w:lang w:val="it-IT"/>
        </w:rPr>
        <w:t>a,</w:t>
      </w:r>
      <w:r w:rsidR="00B57E6F" w:rsidRPr="00442F7D">
        <w:rPr>
          <w:vertAlign w:val="superscript"/>
          <w:lang w:val="it-IT"/>
        </w:rPr>
        <w:t>*</w:t>
      </w:r>
    </w:p>
    <w:p w14:paraId="6B2D21B3" w14:textId="2F698C97" w:rsidR="00EA3ADA" w:rsidRPr="00442F7D" w:rsidRDefault="001A64EE" w:rsidP="00EA3ADA">
      <w:pPr>
        <w:pStyle w:val="CETAddress"/>
        <w:rPr>
          <w:lang w:val="it-IT"/>
        </w:rPr>
      </w:pPr>
      <w:r w:rsidRPr="00442F7D">
        <w:rPr>
          <w:vertAlign w:val="superscript"/>
          <w:lang w:val="it-IT"/>
        </w:rPr>
        <w:t>a</w:t>
      </w:r>
      <w:r w:rsidR="00EA3ADA" w:rsidRPr="00442F7D">
        <w:rPr>
          <w:lang w:val="it-IT"/>
        </w:rPr>
        <w:t>Dipartimento Ingegneria Chimica Materiali Ambiente, Sapienza Università di Roma, Via Eudossiana 18, Roma, 00185, Italy</w:t>
      </w:r>
    </w:p>
    <w:p w14:paraId="569FA93E" w14:textId="77777777" w:rsidR="009D02BB" w:rsidRPr="00442F7D" w:rsidRDefault="009D02BB" w:rsidP="009D02BB">
      <w:pPr>
        <w:pStyle w:val="CETAddress"/>
        <w:rPr>
          <w:lang w:val="it-IT"/>
        </w:rPr>
      </w:pPr>
      <w:r w:rsidRPr="00442F7D">
        <w:rPr>
          <w:vertAlign w:val="superscript"/>
          <w:lang w:val="it-IT"/>
        </w:rPr>
        <w:t>b</w:t>
      </w:r>
      <w:r w:rsidRPr="00012CB1">
        <w:rPr>
          <w:lang w:val="it-IT"/>
        </w:rPr>
        <w:t>ENEA TERIN-DEC-MOST</w:t>
      </w:r>
      <w:r w:rsidRPr="00442F7D">
        <w:rPr>
          <w:lang w:val="it-IT"/>
        </w:rPr>
        <w:t>, CR Casaccia, Rome, Italy</w:t>
      </w:r>
    </w:p>
    <w:p w14:paraId="73F1267A" w14:textId="3CD595AE" w:rsidR="00B57E6F" w:rsidRPr="00B57B36" w:rsidRDefault="00EA3ADA" w:rsidP="00B57E6F">
      <w:pPr>
        <w:pStyle w:val="CETemail"/>
      </w:pPr>
      <w:r>
        <w:t>paola.russo@uniroma1.it</w:t>
      </w:r>
    </w:p>
    <w:p w14:paraId="726BB7BB" w14:textId="1EFE5F80" w:rsidR="005A07AE" w:rsidRDefault="00E44DFB" w:rsidP="005A07AE">
      <w:pPr>
        <w:pStyle w:val="CETBodytext"/>
        <w:rPr>
          <w:lang w:val="en-GB"/>
        </w:rPr>
      </w:pPr>
      <w:r>
        <w:rPr>
          <w:lang w:val="en-GB"/>
        </w:rPr>
        <w:t>T</w:t>
      </w:r>
      <w:r w:rsidR="005A07AE" w:rsidRPr="005A07AE">
        <w:rPr>
          <w:lang w:val="en-GB"/>
        </w:rPr>
        <w:t>he advantages of Lithium-ion batteries (LIBs)</w:t>
      </w:r>
      <w:r w:rsidR="00123260">
        <w:rPr>
          <w:lang w:val="en-GB"/>
        </w:rPr>
        <w:t xml:space="preserve"> </w:t>
      </w:r>
      <w:r w:rsidR="005A07AE" w:rsidRPr="005A07AE">
        <w:rPr>
          <w:lang w:val="en-GB"/>
        </w:rPr>
        <w:t>are well known</w:t>
      </w:r>
      <w:r w:rsidR="00123260">
        <w:rPr>
          <w:lang w:val="en-GB"/>
        </w:rPr>
        <w:t xml:space="preserve">, anyway the </w:t>
      </w:r>
      <w:r w:rsidR="005A07AE" w:rsidRPr="005A07AE">
        <w:rPr>
          <w:lang w:val="en-GB"/>
        </w:rPr>
        <w:t>LIBs are</w:t>
      </w:r>
      <w:r w:rsidR="00273714">
        <w:rPr>
          <w:lang w:val="en-GB"/>
        </w:rPr>
        <w:t xml:space="preserve"> even</w:t>
      </w:r>
      <w:r w:rsidR="005A07AE" w:rsidRPr="005A07AE">
        <w:rPr>
          <w:lang w:val="en-GB"/>
        </w:rPr>
        <w:t xml:space="preserve"> considered hazardous products. </w:t>
      </w:r>
      <w:r w:rsidR="006D0375">
        <w:rPr>
          <w:lang w:val="en-GB"/>
        </w:rPr>
        <w:t>In fact, o</w:t>
      </w:r>
      <w:r w:rsidR="009D23F6">
        <w:rPr>
          <w:lang w:val="en-GB"/>
        </w:rPr>
        <w:t xml:space="preserve">utside the safety windows the Li-ion cells can undergo to an abuse that leads to the degradation of the internal components with the release of gases, vapour, and solid </w:t>
      </w:r>
      <w:r w:rsidR="00EA5FCE">
        <w:rPr>
          <w:lang w:val="en-GB"/>
        </w:rPr>
        <w:t>products</w:t>
      </w:r>
      <w:r w:rsidR="009D23F6">
        <w:rPr>
          <w:lang w:val="en-GB"/>
        </w:rPr>
        <w:t xml:space="preserve">. The reactivity of the </w:t>
      </w:r>
      <w:r w:rsidR="00EA5FCE">
        <w:rPr>
          <w:lang w:val="en-GB"/>
        </w:rPr>
        <w:t>LIBs</w:t>
      </w:r>
      <w:r w:rsidR="009D23F6">
        <w:rPr>
          <w:lang w:val="en-GB"/>
        </w:rPr>
        <w:t xml:space="preserve"> and the relative products composition is</w:t>
      </w:r>
      <w:r w:rsidR="00EA5FCE">
        <w:rPr>
          <w:lang w:val="en-GB"/>
        </w:rPr>
        <w:t xml:space="preserve"> strictly correlated</w:t>
      </w:r>
      <w:r w:rsidR="009D23F6">
        <w:rPr>
          <w:lang w:val="en-GB"/>
        </w:rPr>
        <w:t xml:space="preserve"> to the chemical composition of the</w:t>
      </w:r>
      <w:r w:rsidR="003B776E">
        <w:rPr>
          <w:lang w:val="en-GB"/>
        </w:rPr>
        <w:t xml:space="preserve"> internal </w:t>
      </w:r>
      <w:r w:rsidR="009D23F6">
        <w:rPr>
          <w:lang w:val="en-GB"/>
        </w:rPr>
        <w:t xml:space="preserve">components. </w:t>
      </w:r>
      <w:r w:rsidR="00A476E0" w:rsidRPr="00A476E0">
        <w:rPr>
          <w:lang w:val="en-GB"/>
        </w:rPr>
        <w:t>Because of a lack of regulation, safety data sheet</w:t>
      </w:r>
      <w:r w:rsidR="00BB5F7B">
        <w:rPr>
          <w:lang w:val="en-GB"/>
        </w:rPr>
        <w:t>s</w:t>
      </w:r>
      <w:r w:rsidR="00A476E0" w:rsidRPr="00A476E0">
        <w:rPr>
          <w:lang w:val="en-GB"/>
        </w:rPr>
        <w:t xml:space="preserve"> (SDS</w:t>
      </w:r>
      <w:r w:rsidR="00BB5F7B">
        <w:rPr>
          <w:lang w:val="en-GB"/>
        </w:rPr>
        <w:t>s</w:t>
      </w:r>
      <w:r w:rsidR="00A476E0" w:rsidRPr="00A476E0">
        <w:rPr>
          <w:lang w:val="en-GB"/>
        </w:rPr>
        <w:t>) of Li-ion cells are not mandatory but, generally</w:t>
      </w:r>
      <w:r w:rsidR="00241E2B">
        <w:rPr>
          <w:lang w:val="en-GB"/>
        </w:rPr>
        <w:t xml:space="preserve"> they</w:t>
      </w:r>
      <w:r w:rsidR="00A476E0" w:rsidRPr="00A476E0">
        <w:rPr>
          <w:lang w:val="en-GB"/>
        </w:rPr>
        <w:t xml:space="preserve"> are available</w:t>
      </w:r>
      <w:r w:rsidR="00A476E0">
        <w:rPr>
          <w:lang w:val="en-GB"/>
        </w:rPr>
        <w:t xml:space="preserve">. </w:t>
      </w:r>
      <w:r w:rsidR="005A07AE" w:rsidRPr="005A07AE">
        <w:rPr>
          <w:lang w:val="en-GB"/>
        </w:rPr>
        <w:t>However, there is a gap between the information reported in the SDS and the internal chemical composition</w:t>
      </w:r>
      <w:r w:rsidR="00A476E0">
        <w:rPr>
          <w:lang w:val="en-GB"/>
        </w:rPr>
        <w:t xml:space="preserve">, and </w:t>
      </w:r>
      <w:r w:rsidR="00241E2B">
        <w:rPr>
          <w:lang w:val="en-GB"/>
        </w:rPr>
        <w:t>usually</w:t>
      </w:r>
      <w:r w:rsidR="00A476E0">
        <w:rPr>
          <w:lang w:val="en-GB"/>
        </w:rPr>
        <w:t xml:space="preserve"> </w:t>
      </w:r>
      <w:r w:rsidR="005A07AE" w:rsidRPr="005A07AE">
        <w:rPr>
          <w:lang w:val="en-GB"/>
        </w:rPr>
        <w:t xml:space="preserve">the </w:t>
      </w:r>
      <w:r w:rsidR="00462FD0">
        <w:rPr>
          <w:lang w:val="en-GB"/>
        </w:rPr>
        <w:t>quantity</w:t>
      </w:r>
      <w:r w:rsidR="005A07AE" w:rsidRPr="005A07AE">
        <w:rPr>
          <w:lang w:val="en-GB"/>
        </w:rPr>
        <w:t xml:space="preserve"> of components </w:t>
      </w:r>
      <w:r w:rsidR="00462FD0">
        <w:rPr>
          <w:lang w:val="en-GB"/>
        </w:rPr>
        <w:t>is</w:t>
      </w:r>
      <w:r w:rsidR="005A07AE" w:rsidRPr="005A07AE">
        <w:rPr>
          <w:lang w:val="en-GB"/>
        </w:rPr>
        <w:t xml:space="preserve"> expressed as</w:t>
      </w:r>
      <w:r w:rsidR="00A476E0">
        <w:rPr>
          <w:lang w:val="en-GB"/>
        </w:rPr>
        <w:t xml:space="preserve"> a range of</w:t>
      </w:r>
      <w:r w:rsidR="005A07AE" w:rsidRPr="005A07AE">
        <w:rPr>
          <w:lang w:val="en-GB"/>
        </w:rPr>
        <w:t xml:space="preserve"> </w:t>
      </w:r>
      <w:r w:rsidR="00916112">
        <w:rPr>
          <w:lang w:val="en-GB"/>
        </w:rPr>
        <w:t>weight</w:t>
      </w:r>
      <w:r w:rsidR="00DC379A">
        <w:rPr>
          <w:lang w:val="en-GB"/>
        </w:rPr>
        <w:t xml:space="preserve"> </w:t>
      </w:r>
      <w:r w:rsidR="005A07AE" w:rsidRPr="005A07AE">
        <w:rPr>
          <w:lang w:val="en-GB"/>
        </w:rPr>
        <w:t>percentage</w:t>
      </w:r>
      <w:r w:rsidR="00DC379A">
        <w:rPr>
          <w:lang w:val="en-GB"/>
        </w:rPr>
        <w:t>s</w:t>
      </w:r>
      <w:r w:rsidR="005A07AE" w:rsidRPr="005A07AE">
        <w:rPr>
          <w:lang w:val="en-GB"/>
        </w:rPr>
        <w:t xml:space="preserve">, and </w:t>
      </w:r>
      <w:r w:rsidR="003B776E">
        <w:rPr>
          <w:lang w:val="en-GB"/>
        </w:rPr>
        <w:t>the chemical composition is</w:t>
      </w:r>
      <w:r w:rsidR="005A07AE" w:rsidRPr="005A07AE">
        <w:rPr>
          <w:lang w:val="en-GB"/>
        </w:rPr>
        <w:t xml:space="preserve"> not well </w:t>
      </w:r>
      <w:r w:rsidR="003B776E">
        <w:rPr>
          <w:lang w:val="en-GB"/>
        </w:rPr>
        <w:t>specif</w:t>
      </w:r>
      <w:r w:rsidR="00462FD0">
        <w:rPr>
          <w:lang w:val="en-GB"/>
        </w:rPr>
        <w:t>ied</w:t>
      </w:r>
      <w:r w:rsidR="005A07AE" w:rsidRPr="005A07AE">
        <w:rPr>
          <w:lang w:val="en-GB"/>
        </w:rPr>
        <w:t xml:space="preserve">. The most common lack </w:t>
      </w:r>
      <w:r w:rsidR="00462FD0">
        <w:rPr>
          <w:lang w:val="en-GB"/>
        </w:rPr>
        <w:t xml:space="preserve">of information </w:t>
      </w:r>
      <w:r w:rsidR="005A07AE" w:rsidRPr="005A07AE">
        <w:rPr>
          <w:lang w:val="en-GB"/>
        </w:rPr>
        <w:t xml:space="preserve">concerns the </w:t>
      </w:r>
      <w:r w:rsidR="009D23F6">
        <w:rPr>
          <w:lang w:val="en-GB"/>
        </w:rPr>
        <w:t>electrolyte</w:t>
      </w:r>
      <w:r w:rsidR="005A07AE" w:rsidRPr="005A07AE">
        <w:rPr>
          <w:lang w:val="en-GB"/>
        </w:rPr>
        <w:t xml:space="preserve">, which is </w:t>
      </w:r>
      <w:r w:rsidR="00462FD0">
        <w:rPr>
          <w:lang w:val="en-GB"/>
        </w:rPr>
        <w:t xml:space="preserve">usually </w:t>
      </w:r>
      <w:r w:rsidR="005A07AE" w:rsidRPr="005A07AE">
        <w:rPr>
          <w:lang w:val="en-GB"/>
        </w:rPr>
        <w:t>defined as</w:t>
      </w:r>
      <w:r w:rsidR="00DC379A">
        <w:rPr>
          <w:lang w:val="en-GB"/>
        </w:rPr>
        <w:t xml:space="preserve"> a</w:t>
      </w:r>
      <w:r w:rsidR="005A07AE" w:rsidRPr="005A07AE">
        <w:rPr>
          <w:lang w:val="en-GB"/>
        </w:rPr>
        <w:t xml:space="preserve"> mixture of organic carbonates</w:t>
      </w:r>
      <w:r w:rsidR="00273714">
        <w:rPr>
          <w:lang w:val="en-GB"/>
        </w:rPr>
        <w:t xml:space="preserve"> </w:t>
      </w:r>
      <w:r w:rsidR="005A07AE" w:rsidRPr="005A07AE">
        <w:rPr>
          <w:lang w:val="en-GB"/>
        </w:rPr>
        <w:t xml:space="preserve">without </w:t>
      </w:r>
      <w:r w:rsidR="003B776E">
        <w:rPr>
          <w:lang w:val="en-GB"/>
        </w:rPr>
        <w:t>reporting</w:t>
      </w:r>
      <w:r w:rsidR="005A07AE" w:rsidRPr="005A07AE">
        <w:rPr>
          <w:lang w:val="en-GB"/>
        </w:rPr>
        <w:t xml:space="preserve"> </w:t>
      </w:r>
      <w:r w:rsidR="00EA5FCE">
        <w:rPr>
          <w:lang w:val="en-GB"/>
        </w:rPr>
        <w:t xml:space="preserve">the </w:t>
      </w:r>
      <w:r w:rsidR="00462FD0">
        <w:rPr>
          <w:lang w:val="en-GB"/>
        </w:rPr>
        <w:t xml:space="preserve">type of </w:t>
      </w:r>
      <w:r w:rsidR="005A07AE" w:rsidRPr="005A07AE">
        <w:rPr>
          <w:lang w:val="en-GB"/>
        </w:rPr>
        <w:t>solvents</w:t>
      </w:r>
      <w:r w:rsidR="00462FD0">
        <w:rPr>
          <w:lang w:val="en-GB"/>
        </w:rPr>
        <w:t xml:space="preserve"> (e.g., </w:t>
      </w:r>
      <w:r w:rsidR="00273714" w:rsidRPr="005A07AE">
        <w:rPr>
          <w:lang w:val="en-GB"/>
        </w:rPr>
        <w:t>dimethyl carbonate, diethyl carbonat</w:t>
      </w:r>
      <w:r w:rsidR="003B776E">
        <w:rPr>
          <w:lang w:val="en-GB"/>
        </w:rPr>
        <w:t>e</w:t>
      </w:r>
      <w:r w:rsidR="00273714" w:rsidRPr="005A07AE">
        <w:rPr>
          <w:lang w:val="en-GB"/>
        </w:rPr>
        <w:t>, and ethylene carbonate</w:t>
      </w:r>
      <w:r w:rsidR="00462FD0">
        <w:rPr>
          <w:lang w:val="en-GB"/>
        </w:rPr>
        <w:t>),</w:t>
      </w:r>
      <w:r w:rsidR="00BB3847">
        <w:rPr>
          <w:lang w:val="en-GB"/>
        </w:rPr>
        <w:t xml:space="preserve"> </w:t>
      </w:r>
      <w:r w:rsidR="00EA5FCE">
        <w:rPr>
          <w:lang w:val="en-GB"/>
        </w:rPr>
        <w:t>the ratio</w:t>
      </w:r>
      <w:r w:rsidR="00462FD0">
        <w:rPr>
          <w:lang w:val="en-GB"/>
        </w:rPr>
        <w:t xml:space="preserve"> between the</w:t>
      </w:r>
      <w:r w:rsidR="00DC379A">
        <w:rPr>
          <w:lang w:val="en-GB"/>
        </w:rPr>
        <w:t>se</w:t>
      </w:r>
      <w:r w:rsidR="00462FD0">
        <w:rPr>
          <w:lang w:val="en-GB"/>
        </w:rPr>
        <w:t xml:space="preserve"> component</w:t>
      </w:r>
      <w:r w:rsidR="00DC379A">
        <w:rPr>
          <w:lang w:val="en-GB"/>
        </w:rPr>
        <w:t>s</w:t>
      </w:r>
      <w:r w:rsidR="00462FD0">
        <w:rPr>
          <w:lang w:val="en-GB"/>
        </w:rPr>
        <w:t>,</w:t>
      </w:r>
      <w:r w:rsidR="00BB3847">
        <w:rPr>
          <w:lang w:val="en-GB"/>
        </w:rPr>
        <w:t xml:space="preserve"> </w:t>
      </w:r>
      <w:r w:rsidR="005A07AE" w:rsidRPr="005A07AE">
        <w:rPr>
          <w:lang w:val="en-GB"/>
        </w:rPr>
        <w:t xml:space="preserve">and </w:t>
      </w:r>
      <w:r w:rsidR="003B776E">
        <w:rPr>
          <w:lang w:val="en-GB"/>
        </w:rPr>
        <w:t>possible</w:t>
      </w:r>
      <w:r w:rsidR="005A07AE" w:rsidRPr="005A07AE">
        <w:rPr>
          <w:lang w:val="en-GB"/>
        </w:rPr>
        <w:t xml:space="preserve"> additives. </w:t>
      </w:r>
      <w:r w:rsidR="003B776E">
        <w:rPr>
          <w:lang w:val="en-GB"/>
        </w:rPr>
        <w:t>T</w:t>
      </w:r>
      <w:r w:rsidR="00EA5FCE">
        <w:rPr>
          <w:lang w:val="en-GB"/>
        </w:rPr>
        <w:t>he</w:t>
      </w:r>
      <w:r w:rsidR="005A07AE" w:rsidRPr="005A07AE">
        <w:rPr>
          <w:lang w:val="en-GB"/>
        </w:rPr>
        <w:t xml:space="preserve"> aim</w:t>
      </w:r>
      <w:r w:rsidR="00EA5FCE">
        <w:rPr>
          <w:lang w:val="en-GB"/>
        </w:rPr>
        <w:t xml:space="preserve"> of</w:t>
      </w:r>
      <w:r w:rsidR="005A07AE" w:rsidRPr="005A07AE">
        <w:rPr>
          <w:lang w:val="en-GB"/>
        </w:rPr>
        <w:t xml:space="preserve"> </w:t>
      </w:r>
      <w:r w:rsidR="00A476E0">
        <w:rPr>
          <w:lang w:val="en-GB"/>
        </w:rPr>
        <w:t>this</w:t>
      </w:r>
      <w:r w:rsidR="005A07AE" w:rsidRPr="005A07AE">
        <w:rPr>
          <w:lang w:val="en-GB"/>
        </w:rPr>
        <w:t xml:space="preserve"> work</w:t>
      </w:r>
      <w:r w:rsidR="00EA5FCE">
        <w:rPr>
          <w:lang w:val="en-GB"/>
        </w:rPr>
        <w:t xml:space="preserve"> </w:t>
      </w:r>
      <w:r w:rsidR="00462FD0">
        <w:rPr>
          <w:lang w:val="en-GB"/>
        </w:rPr>
        <w:t>was</w:t>
      </w:r>
      <w:r w:rsidR="00A476E0">
        <w:rPr>
          <w:lang w:val="en-GB"/>
        </w:rPr>
        <w:t xml:space="preserve"> t</w:t>
      </w:r>
      <w:r w:rsidR="00462FD0">
        <w:rPr>
          <w:lang w:val="en-GB"/>
        </w:rPr>
        <w:t>o</w:t>
      </w:r>
      <w:r w:rsidR="00A476E0">
        <w:rPr>
          <w:lang w:val="en-GB"/>
        </w:rPr>
        <w:t xml:space="preserve"> </w:t>
      </w:r>
      <w:r w:rsidR="00EA5FCE">
        <w:rPr>
          <w:lang w:val="en-GB"/>
        </w:rPr>
        <w:t>characteriz</w:t>
      </w:r>
      <w:r w:rsidR="00462FD0">
        <w:rPr>
          <w:lang w:val="en-GB"/>
        </w:rPr>
        <w:t xml:space="preserve">e </w:t>
      </w:r>
      <w:r w:rsidR="005A07AE" w:rsidRPr="005A07AE">
        <w:rPr>
          <w:lang w:val="en-GB"/>
        </w:rPr>
        <w:t xml:space="preserve">the internal components of various cylindrical 18650 cells available on </w:t>
      </w:r>
      <w:r w:rsidR="00A476E0">
        <w:rPr>
          <w:lang w:val="en-GB"/>
        </w:rPr>
        <w:t xml:space="preserve">the </w:t>
      </w:r>
      <w:r w:rsidR="005A07AE" w:rsidRPr="005A07AE">
        <w:rPr>
          <w:lang w:val="en-GB"/>
        </w:rPr>
        <w:t xml:space="preserve">market, </w:t>
      </w:r>
      <w:r w:rsidR="00BB3847">
        <w:rPr>
          <w:lang w:val="en-GB"/>
        </w:rPr>
        <w:t>i.e.,</w:t>
      </w:r>
      <w:r w:rsidR="005A07AE" w:rsidRPr="005A07AE">
        <w:rPr>
          <w:lang w:val="en-GB"/>
        </w:rPr>
        <w:t xml:space="preserve"> </w:t>
      </w:r>
      <w:r w:rsidR="008A25A9">
        <w:rPr>
          <w:lang w:val="en-GB"/>
        </w:rPr>
        <w:t xml:space="preserve">cell with </w:t>
      </w:r>
      <w:r w:rsidR="005A07AE" w:rsidRPr="005A07AE">
        <w:rPr>
          <w:lang w:val="en-GB"/>
        </w:rPr>
        <w:t>Lithium Nickel Cobalt Aluminium Oxide (NCA)</w:t>
      </w:r>
      <w:r w:rsidR="008A25A9">
        <w:rPr>
          <w:lang w:val="en-GB"/>
        </w:rPr>
        <w:t xml:space="preserve"> as cathode and graphite (C) or </w:t>
      </w:r>
      <w:r w:rsidR="005A07AE" w:rsidRPr="005A07AE">
        <w:rPr>
          <w:lang w:val="en-GB"/>
        </w:rPr>
        <w:t>Lithium Titanate Oxide (LTO)</w:t>
      </w:r>
      <w:r w:rsidR="008A25A9">
        <w:rPr>
          <w:lang w:val="en-GB"/>
        </w:rPr>
        <w:t xml:space="preserve"> as anode</w:t>
      </w:r>
      <w:r w:rsidR="005A07AE" w:rsidRPr="005A07AE">
        <w:rPr>
          <w:lang w:val="en-GB"/>
        </w:rPr>
        <w:t xml:space="preserve">, </w:t>
      </w:r>
      <w:r w:rsidR="002A63DC">
        <w:rPr>
          <w:lang w:val="en-GB"/>
        </w:rPr>
        <w:t>and</w:t>
      </w:r>
      <w:r w:rsidR="008A25A9">
        <w:rPr>
          <w:lang w:val="en-GB"/>
        </w:rPr>
        <w:t xml:space="preserve"> cells with</w:t>
      </w:r>
      <w:r w:rsidR="002A63DC">
        <w:rPr>
          <w:lang w:val="en-GB"/>
        </w:rPr>
        <w:t xml:space="preserve"> </w:t>
      </w:r>
      <w:r w:rsidR="005A07AE" w:rsidRPr="005A07AE">
        <w:rPr>
          <w:lang w:val="en-GB"/>
        </w:rPr>
        <w:t>Lithium Iron Phosphate (LFP)</w:t>
      </w:r>
      <w:r w:rsidR="008A25A9">
        <w:rPr>
          <w:lang w:val="en-GB"/>
        </w:rPr>
        <w:t xml:space="preserve"> as cathode and C as anode</w:t>
      </w:r>
      <w:r w:rsidR="005A07AE" w:rsidRPr="005A07AE">
        <w:rPr>
          <w:lang w:val="en-GB"/>
        </w:rPr>
        <w:t>.</w:t>
      </w:r>
      <w:r w:rsidR="003B776E">
        <w:rPr>
          <w:lang w:val="en-GB"/>
        </w:rPr>
        <w:t xml:space="preserve"> </w:t>
      </w:r>
      <w:r w:rsidR="00A476E0">
        <w:rPr>
          <w:lang w:val="en-GB"/>
        </w:rPr>
        <w:t>For this purpose</w:t>
      </w:r>
      <w:r w:rsidR="003B776E">
        <w:rPr>
          <w:lang w:val="en-GB"/>
        </w:rPr>
        <w:t xml:space="preserve">, </w:t>
      </w:r>
      <w:r w:rsidR="005A07AE" w:rsidRPr="005A07AE">
        <w:rPr>
          <w:lang w:val="en-GB"/>
        </w:rPr>
        <w:t xml:space="preserve">the cells were disassembled in a glovebox filled </w:t>
      </w:r>
      <w:r w:rsidR="00950258">
        <w:rPr>
          <w:lang w:val="en-GB"/>
        </w:rPr>
        <w:t xml:space="preserve">with argon </w:t>
      </w:r>
      <w:r w:rsidR="00950258" w:rsidRPr="005C694C">
        <w:t>(O</w:t>
      </w:r>
      <w:r w:rsidR="00950258" w:rsidRPr="005C694C">
        <w:rPr>
          <w:vertAlign w:val="subscript"/>
        </w:rPr>
        <w:t>2</w:t>
      </w:r>
      <w:r w:rsidR="00950258" w:rsidRPr="005C694C">
        <w:t xml:space="preserve"> and H</w:t>
      </w:r>
      <w:r w:rsidR="00950258" w:rsidRPr="005C694C">
        <w:rPr>
          <w:vertAlign w:val="subscript"/>
        </w:rPr>
        <w:t>2</w:t>
      </w:r>
      <w:r w:rsidR="00950258" w:rsidRPr="005C694C">
        <w:t>O ≤ 0.1 ppm)</w:t>
      </w:r>
      <w:r w:rsidR="00950258">
        <w:t xml:space="preserve"> </w:t>
      </w:r>
      <w:r w:rsidR="003B776E">
        <w:rPr>
          <w:lang w:val="en-GB"/>
        </w:rPr>
        <w:t>and</w:t>
      </w:r>
      <w:r w:rsidR="005A07AE" w:rsidRPr="005A07AE">
        <w:rPr>
          <w:lang w:val="en-GB"/>
        </w:rPr>
        <w:t xml:space="preserve"> </w:t>
      </w:r>
      <w:r w:rsidR="003B776E">
        <w:rPr>
          <w:lang w:val="en-GB"/>
        </w:rPr>
        <w:t>t</w:t>
      </w:r>
      <w:r w:rsidR="005A07AE" w:rsidRPr="005A07AE">
        <w:rPr>
          <w:lang w:val="en-GB"/>
        </w:rPr>
        <w:t>he</w:t>
      </w:r>
      <w:r w:rsidR="00273714">
        <w:rPr>
          <w:lang w:val="en-GB"/>
        </w:rPr>
        <w:t>n the</w:t>
      </w:r>
      <w:r w:rsidR="005A07AE" w:rsidRPr="005A07AE">
        <w:rPr>
          <w:lang w:val="en-GB"/>
        </w:rPr>
        <w:t xml:space="preserve"> different components were analysed </w:t>
      </w:r>
      <w:r w:rsidR="00DC379A">
        <w:rPr>
          <w:lang w:val="en-GB"/>
        </w:rPr>
        <w:t xml:space="preserve">by various techniques </w:t>
      </w:r>
      <w:r w:rsidR="005A07AE" w:rsidRPr="005A07AE">
        <w:rPr>
          <w:lang w:val="en-GB"/>
        </w:rPr>
        <w:t xml:space="preserve">to define </w:t>
      </w:r>
      <w:r w:rsidR="00DC379A">
        <w:rPr>
          <w:lang w:val="en-GB"/>
        </w:rPr>
        <w:t xml:space="preserve">their </w:t>
      </w:r>
      <w:r w:rsidR="005A07AE" w:rsidRPr="005A07AE">
        <w:rPr>
          <w:lang w:val="en-GB"/>
        </w:rPr>
        <w:t xml:space="preserve">chemical </w:t>
      </w:r>
      <w:r w:rsidR="00DC379A">
        <w:rPr>
          <w:lang w:val="en-GB"/>
        </w:rPr>
        <w:t>composition</w:t>
      </w:r>
      <w:r w:rsidR="00273714">
        <w:rPr>
          <w:lang w:val="en-GB"/>
        </w:rPr>
        <w:t>, i.e.,</w:t>
      </w:r>
      <w:r w:rsidR="005A07AE" w:rsidRPr="005A07AE">
        <w:rPr>
          <w:lang w:val="en-GB"/>
        </w:rPr>
        <w:t xml:space="preserve"> </w:t>
      </w:r>
      <w:r w:rsidR="003B776E">
        <w:rPr>
          <w:lang w:val="en-GB"/>
        </w:rPr>
        <w:t xml:space="preserve">metals of the </w:t>
      </w:r>
      <w:r w:rsidR="005A07AE" w:rsidRPr="005A07AE">
        <w:rPr>
          <w:lang w:val="en-GB"/>
        </w:rPr>
        <w:t xml:space="preserve">electrodes by </w:t>
      </w:r>
      <w:r w:rsidR="00054442">
        <w:rPr>
          <w:lang w:val="en-GB"/>
        </w:rPr>
        <w:t>ICP</w:t>
      </w:r>
      <w:r w:rsidR="00273714">
        <w:rPr>
          <w:lang w:val="en-GB"/>
        </w:rPr>
        <w:t>-</w:t>
      </w:r>
      <w:r w:rsidR="00482804">
        <w:rPr>
          <w:lang w:val="en-GB"/>
        </w:rPr>
        <w:t>OE</w:t>
      </w:r>
      <w:r w:rsidR="00DC379A">
        <w:rPr>
          <w:lang w:val="en-GB"/>
        </w:rPr>
        <w:t>S</w:t>
      </w:r>
      <w:r w:rsidR="005A07AE" w:rsidRPr="005A07AE">
        <w:rPr>
          <w:lang w:val="en-GB"/>
        </w:rPr>
        <w:t xml:space="preserve">, the </w:t>
      </w:r>
      <w:r w:rsidR="00273714">
        <w:rPr>
          <w:lang w:val="en-GB"/>
        </w:rPr>
        <w:t>electrolyte</w:t>
      </w:r>
      <w:r w:rsidR="005A07AE" w:rsidRPr="005A07AE">
        <w:rPr>
          <w:lang w:val="en-GB"/>
        </w:rPr>
        <w:t xml:space="preserve"> by </w:t>
      </w:r>
      <w:r w:rsidR="00273714">
        <w:rPr>
          <w:lang w:val="en-GB"/>
        </w:rPr>
        <w:t>G</w:t>
      </w:r>
      <w:r w:rsidR="00941E8E" w:rsidRPr="006C6714">
        <w:rPr>
          <w:lang w:val="en-GB"/>
        </w:rPr>
        <w:t>C-FID</w:t>
      </w:r>
      <w:r w:rsidR="005A07AE" w:rsidRPr="005A07AE">
        <w:rPr>
          <w:lang w:val="en-GB"/>
        </w:rPr>
        <w:t xml:space="preserve"> and SPME-GC-MS, </w:t>
      </w:r>
      <w:r w:rsidR="003B776E">
        <w:rPr>
          <w:lang w:val="en-GB"/>
        </w:rPr>
        <w:t>and</w:t>
      </w:r>
      <w:r w:rsidR="005A07AE" w:rsidRPr="005A07AE">
        <w:rPr>
          <w:lang w:val="en-GB"/>
        </w:rPr>
        <w:t xml:space="preserve"> the separator by </w:t>
      </w:r>
      <w:r w:rsidR="00941E8E" w:rsidRPr="006C6714">
        <w:rPr>
          <w:lang w:val="en-GB"/>
        </w:rPr>
        <w:t>ATR-FT-IR</w:t>
      </w:r>
      <w:r w:rsidR="00941E8E">
        <w:rPr>
          <w:lang w:val="en-GB"/>
        </w:rPr>
        <w:t xml:space="preserve"> and </w:t>
      </w:r>
      <w:r w:rsidR="00941E8E" w:rsidRPr="006C6714">
        <w:rPr>
          <w:lang w:val="en-GB"/>
        </w:rPr>
        <w:t>DSC</w:t>
      </w:r>
      <w:r w:rsidR="005A07AE" w:rsidRPr="005A07AE">
        <w:rPr>
          <w:lang w:val="en-GB"/>
        </w:rPr>
        <w:t>.</w:t>
      </w:r>
      <w:r w:rsidR="00941E8E">
        <w:rPr>
          <w:lang w:val="en-GB"/>
        </w:rPr>
        <w:t xml:space="preserve"> </w:t>
      </w:r>
      <w:r w:rsidR="00CB255D">
        <w:rPr>
          <w:lang w:val="en-GB"/>
        </w:rPr>
        <w:t>The</w:t>
      </w:r>
      <w:r w:rsidR="00462FD0">
        <w:rPr>
          <w:lang w:val="en-GB"/>
        </w:rPr>
        <w:t xml:space="preserve"> identification of those</w:t>
      </w:r>
      <w:r w:rsidR="00CB255D">
        <w:rPr>
          <w:lang w:val="en-GB"/>
        </w:rPr>
        <w:t xml:space="preserve"> compounds </w:t>
      </w:r>
      <w:r w:rsidR="00462FD0">
        <w:rPr>
          <w:lang w:val="en-GB"/>
        </w:rPr>
        <w:t xml:space="preserve">is </w:t>
      </w:r>
      <w:r w:rsidR="00CB255D" w:rsidRPr="005A07AE">
        <w:rPr>
          <w:lang w:val="en-GB"/>
        </w:rPr>
        <w:t>fundamental</w:t>
      </w:r>
      <w:r w:rsidR="00CB255D">
        <w:rPr>
          <w:lang w:val="en-GB"/>
        </w:rPr>
        <w:t xml:space="preserve"> to</w:t>
      </w:r>
      <w:r w:rsidR="00CB255D" w:rsidRPr="005A07AE">
        <w:rPr>
          <w:lang w:val="en-GB"/>
        </w:rPr>
        <w:t xml:space="preserve"> understand </w:t>
      </w:r>
      <w:r w:rsidR="00CB255D">
        <w:rPr>
          <w:lang w:val="en-GB"/>
        </w:rPr>
        <w:t>th</w:t>
      </w:r>
      <w:r w:rsidR="00CB255D" w:rsidRPr="005A07AE">
        <w:rPr>
          <w:lang w:val="en-GB"/>
        </w:rPr>
        <w:t>e reactions occurr</w:t>
      </w:r>
      <w:r w:rsidR="003B776E">
        <w:rPr>
          <w:lang w:val="en-GB"/>
        </w:rPr>
        <w:t>ing</w:t>
      </w:r>
      <w:r w:rsidR="00CB255D" w:rsidRPr="005A07AE">
        <w:rPr>
          <w:lang w:val="en-GB"/>
        </w:rPr>
        <w:t xml:space="preserve"> </w:t>
      </w:r>
      <w:r w:rsidR="003B776E">
        <w:rPr>
          <w:lang w:val="en-GB"/>
        </w:rPr>
        <w:t xml:space="preserve">inside </w:t>
      </w:r>
      <w:r w:rsidR="00CB255D" w:rsidRPr="005A07AE">
        <w:rPr>
          <w:lang w:val="en-GB"/>
        </w:rPr>
        <w:t>the cell</w:t>
      </w:r>
      <w:r w:rsidR="003B776E">
        <w:rPr>
          <w:lang w:val="en-GB"/>
        </w:rPr>
        <w:t>s</w:t>
      </w:r>
      <w:r w:rsidR="00CB255D" w:rsidRPr="005A07AE">
        <w:rPr>
          <w:lang w:val="en-GB"/>
        </w:rPr>
        <w:t xml:space="preserve"> </w:t>
      </w:r>
      <w:r w:rsidR="00CB255D">
        <w:rPr>
          <w:lang w:val="en-GB"/>
        </w:rPr>
        <w:t>and to evaluate the risk</w:t>
      </w:r>
      <w:r w:rsidR="00462FD0">
        <w:rPr>
          <w:lang w:val="en-GB"/>
        </w:rPr>
        <w:t>s</w:t>
      </w:r>
      <w:r w:rsidR="00A476E0">
        <w:rPr>
          <w:lang w:val="en-GB"/>
        </w:rPr>
        <w:t xml:space="preserve"> </w:t>
      </w:r>
      <w:r w:rsidR="00CB255D">
        <w:rPr>
          <w:lang w:val="en-GB"/>
        </w:rPr>
        <w:t>for human health</w:t>
      </w:r>
      <w:r w:rsidR="00462FD0">
        <w:rPr>
          <w:lang w:val="en-GB"/>
        </w:rPr>
        <w:t xml:space="preserve"> and environment</w:t>
      </w:r>
      <w:r w:rsidR="00CB255D">
        <w:rPr>
          <w:lang w:val="en-GB"/>
        </w:rPr>
        <w:t>.</w:t>
      </w:r>
    </w:p>
    <w:p w14:paraId="476B2F2E" w14:textId="77777777" w:rsidR="00600535" w:rsidRPr="00B57B36" w:rsidRDefault="00600535" w:rsidP="00600535">
      <w:pPr>
        <w:pStyle w:val="CETHeading1"/>
        <w:rPr>
          <w:lang w:val="en-GB"/>
        </w:rPr>
      </w:pPr>
      <w:r w:rsidRPr="00B57B36">
        <w:rPr>
          <w:lang w:val="en-GB"/>
        </w:rPr>
        <w:t>Introduction</w:t>
      </w:r>
    </w:p>
    <w:p w14:paraId="45D17A8B" w14:textId="37979297" w:rsidR="005F73F2" w:rsidRDefault="00123260" w:rsidP="006C6714">
      <w:pPr>
        <w:pStyle w:val="CETBodytext"/>
        <w:rPr>
          <w:lang w:val="en-GB"/>
        </w:rPr>
      </w:pPr>
      <w:r w:rsidRPr="005A07AE">
        <w:rPr>
          <w:lang w:val="en-GB"/>
        </w:rPr>
        <w:t xml:space="preserve">The </w:t>
      </w:r>
      <w:r w:rsidR="00134A40">
        <w:rPr>
          <w:lang w:val="en-GB"/>
        </w:rPr>
        <w:t xml:space="preserve">principal </w:t>
      </w:r>
      <w:r w:rsidRPr="005A07AE">
        <w:rPr>
          <w:lang w:val="en-GB"/>
        </w:rPr>
        <w:t xml:space="preserve">advantages of </w:t>
      </w:r>
      <w:r w:rsidR="0081223D" w:rsidRPr="0081223D">
        <w:rPr>
          <w:lang w:val="en-GB"/>
        </w:rPr>
        <w:t xml:space="preserve">Lithium-ion batteries (LIBs) </w:t>
      </w:r>
      <w:r w:rsidR="00134A40">
        <w:rPr>
          <w:lang w:val="en-GB"/>
        </w:rPr>
        <w:t xml:space="preserve">are </w:t>
      </w:r>
      <w:r w:rsidR="00E72DB3">
        <w:rPr>
          <w:lang w:val="en-GB"/>
        </w:rPr>
        <w:t xml:space="preserve">the </w:t>
      </w:r>
      <w:r w:rsidRPr="005A07AE">
        <w:rPr>
          <w:lang w:val="en-GB"/>
        </w:rPr>
        <w:t xml:space="preserve">high power density, high energy density, and high number of cycles. </w:t>
      </w:r>
      <w:r w:rsidR="00134A40">
        <w:rPr>
          <w:lang w:val="en-GB"/>
        </w:rPr>
        <w:t>Anyway, due to the energy content,</w:t>
      </w:r>
      <w:r w:rsidR="009E4660">
        <w:rPr>
          <w:lang w:val="en-GB"/>
        </w:rPr>
        <w:t xml:space="preserve"> </w:t>
      </w:r>
      <w:r w:rsidR="00134A40">
        <w:rPr>
          <w:lang w:val="en-GB"/>
        </w:rPr>
        <w:t>defined by the S</w:t>
      </w:r>
      <w:r w:rsidR="0079041F">
        <w:rPr>
          <w:lang w:val="en-GB"/>
        </w:rPr>
        <w:t>tate of Charge (S</w:t>
      </w:r>
      <w:r w:rsidR="00134A40">
        <w:rPr>
          <w:lang w:val="en-GB"/>
        </w:rPr>
        <w:t>oC</w:t>
      </w:r>
      <w:r w:rsidR="0079041F">
        <w:rPr>
          <w:lang w:val="en-GB"/>
        </w:rPr>
        <w:t>)</w:t>
      </w:r>
      <w:r w:rsidR="00134A40">
        <w:rPr>
          <w:lang w:val="en-GB"/>
        </w:rPr>
        <w:t>, and the internal chemical composition the L</w:t>
      </w:r>
      <w:r w:rsidRPr="005A07AE">
        <w:rPr>
          <w:lang w:val="en-GB"/>
        </w:rPr>
        <w:t xml:space="preserve">IBs are </w:t>
      </w:r>
      <w:r w:rsidR="00134A40">
        <w:rPr>
          <w:lang w:val="en-GB"/>
        </w:rPr>
        <w:t xml:space="preserve">even </w:t>
      </w:r>
      <w:r w:rsidR="00481F49">
        <w:rPr>
          <w:lang w:val="en-GB"/>
        </w:rPr>
        <w:t>classified</w:t>
      </w:r>
      <w:r w:rsidRPr="005A07AE">
        <w:rPr>
          <w:lang w:val="en-GB"/>
        </w:rPr>
        <w:t xml:space="preserve"> </w:t>
      </w:r>
      <w:r w:rsidR="00E72DB3">
        <w:rPr>
          <w:lang w:val="en-GB"/>
        </w:rPr>
        <w:t xml:space="preserve">as </w:t>
      </w:r>
      <w:r w:rsidRPr="005A07AE">
        <w:rPr>
          <w:lang w:val="en-GB"/>
        </w:rPr>
        <w:t>hazardous products</w:t>
      </w:r>
      <w:r w:rsidR="00D77FA9">
        <w:rPr>
          <w:lang w:val="en-GB"/>
        </w:rPr>
        <w:t xml:space="preserve"> (Qiu et al., 2022)</w:t>
      </w:r>
      <w:r w:rsidRPr="005A07AE">
        <w:rPr>
          <w:lang w:val="en-GB"/>
        </w:rPr>
        <w:t>.</w:t>
      </w:r>
      <w:r w:rsidR="00490025">
        <w:rPr>
          <w:lang w:val="en-GB"/>
        </w:rPr>
        <w:t xml:space="preserve"> </w:t>
      </w:r>
      <w:r w:rsidR="00E72DB3" w:rsidRPr="009B7476">
        <w:rPr>
          <w:lang w:val="en-GB"/>
        </w:rPr>
        <w:t>The LIBs are general</w:t>
      </w:r>
      <w:r w:rsidR="00BB5F7B">
        <w:rPr>
          <w:lang w:val="en-GB"/>
        </w:rPr>
        <w:t>ly</w:t>
      </w:r>
      <w:r w:rsidR="00E72DB3" w:rsidRPr="009B7476">
        <w:rPr>
          <w:lang w:val="en-GB"/>
        </w:rPr>
        <w:t xml:space="preserve"> composed by four main components:</w:t>
      </w:r>
      <w:r w:rsidR="00E72DB3">
        <w:rPr>
          <w:lang w:val="en-GB"/>
        </w:rPr>
        <w:t xml:space="preserve"> </w:t>
      </w:r>
      <w:r w:rsidR="00E72DB3" w:rsidRPr="009B7476">
        <w:rPr>
          <w:lang w:val="en-GB"/>
        </w:rPr>
        <w:t>anode, cathode, electrolyte</w:t>
      </w:r>
      <w:r w:rsidR="00481F49">
        <w:rPr>
          <w:lang w:val="en-GB"/>
        </w:rPr>
        <w:t>,</w:t>
      </w:r>
      <w:r w:rsidR="00E72DB3" w:rsidRPr="009B7476">
        <w:rPr>
          <w:lang w:val="en-GB"/>
        </w:rPr>
        <w:t xml:space="preserve"> and separato</w:t>
      </w:r>
      <w:r w:rsidR="00481F49">
        <w:rPr>
          <w:lang w:val="en-GB"/>
        </w:rPr>
        <w:t>r. They are also equipped with s</w:t>
      </w:r>
      <w:r w:rsidR="00523CEF">
        <w:rPr>
          <w:lang w:val="en-GB"/>
        </w:rPr>
        <w:t>afety device</w:t>
      </w:r>
      <w:r w:rsidR="00481F49">
        <w:rPr>
          <w:lang w:val="en-GB"/>
        </w:rPr>
        <w:t>s</w:t>
      </w:r>
      <w:r w:rsidR="00523CEF">
        <w:rPr>
          <w:lang w:val="en-GB"/>
        </w:rPr>
        <w:t>, such as</w:t>
      </w:r>
      <w:r w:rsidR="00523CEF" w:rsidRPr="00523CEF">
        <w:t xml:space="preserve"> </w:t>
      </w:r>
      <w:r w:rsidR="00523CEF">
        <w:t>current interrupt device</w:t>
      </w:r>
      <w:r w:rsidR="0079041F">
        <w:rPr>
          <w:lang w:val="en-GB"/>
        </w:rPr>
        <w:t xml:space="preserve"> and</w:t>
      </w:r>
      <w:r w:rsidR="00523CEF" w:rsidRPr="00523CEF">
        <w:rPr>
          <w:lang w:val="en-GB"/>
        </w:rPr>
        <w:t xml:space="preserve"> top </w:t>
      </w:r>
      <w:r w:rsidR="00523CEF" w:rsidRPr="005A5CB7">
        <w:rPr>
          <w:lang w:val="en-GB"/>
        </w:rPr>
        <w:t>vent</w:t>
      </w:r>
      <w:r w:rsidR="0079041F">
        <w:rPr>
          <w:lang w:val="en-GB"/>
        </w:rPr>
        <w:t xml:space="preserve"> </w:t>
      </w:r>
      <w:r w:rsidR="005A5CB7" w:rsidRPr="005A5CB7">
        <w:rPr>
          <w:lang w:val="en-GB"/>
        </w:rPr>
        <w:t>(Xu et al., 2021)</w:t>
      </w:r>
      <w:r w:rsidR="00523CEF" w:rsidRPr="005A5CB7">
        <w:rPr>
          <w:lang w:val="en-GB"/>
        </w:rPr>
        <w:t>, and</w:t>
      </w:r>
      <w:r w:rsidR="00481F49">
        <w:rPr>
          <w:lang w:val="en-GB"/>
        </w:rPr>
        <w:t xml:space="preserve"> include</w:t>
      </w:r>
      <w:r w:rsidR="00523CEF" w:rsidRPr="005A5CB7">
        <w:rPr>
          <w:lang w:val="en-GB"/>
        </w:rPr>
        <w:t xml:space="preserve"> </w:t>
      </w:r>
      <w:r w:rsidR="009E4660" w:rsidRPr="005A5CB7">
        <w:rPr>
          <w:lang w:val="en-GB"/>
        </w:rPr>
        <w:t xml:space="preserve">electrolyte </w:t>
      </w:r>
      <w:r w:rsidR="00523CEF" w:rsidRPr="005A5CB7">
        <w:rPr>
          <w:lang w:val="en-GB"/>
        </w:rPr>
        <w:t xml:space="preserve">additives, such as flame retardant </w:t>
      </w:r>
      <w:r w:rsidR="009E4660" w:rsidRPr="005A5CB7">
        <w:rPr>
          <w:lang w:val="en-GB"/>
        </w:rPr>
        <w:t>and/</w:t>
      </w:r>
      <w:r w:rsidR="00523CEF" w:rsidRPr="005A5CB7">
        <w:rPr>
          <w:lang w:val="en-GB"/>
        </w:rPr>
        <w:t xml:space="preserve">or stabilizers </w:t>
      </w:r>
      <w:r w:rsidR="007A6857" w:rsidRPr="005A5CB7">
        <w:rPr>
          <w:lang w:val="en-GB"/>
        </w:rPr>
        <w:t>(Xing et al., 2022</w:t>
      </w:r>
      <w:r w:rsidR="00523CEF" w:rsidRPr="005A5CB7">
        <w:rPr>
          <w:lang w:val="en-GB"/>
        </w:rPr>
        <w:t>),</w:t>
      </w:r>
      <w:r w:rsidR="00523CEF">
        <w:rPr>
          <w:lang w:val="en-GB"/>
        </w:rPr>
        <w:t xml:space="preserve"> </w:t>
      </w:r>
      <w:r w:rsidR="00523CEF" w:rsidRPr="009B7476">
        <w:rPr>
          <w:lang w:val="en-GB"/>
        </w:rPr>
        <w:t xml:space="preserve">to enhance the performance and the safety of the </w:t>
      </w:r>
      <w:r w:rsidR="00523CEF">
        <w:rPr>
          <w:lang w:val="en-GB"/>
        </w:rPr>
        <w:t>LIBs.</w:t>
      </w:r>
      <w:r w:rsidR="00FE7F9E">
        <w:rPr>
          <w:lang w:val="en-GB"/>
        </w:rPr>
        <w:t xml:space="preserve"> </w:t>
      </w:r>
      <w:r w:rsidR="00E72DB3">
        <w:rPr>
          <w:lang w:val="en-GB"/>
        </w:rPr>
        <w:t>B</w:t>
      </w:r>
      <w:r w:rsidR="00E72DB3" w:rsidRPr="00E72DB3">
        <w:rPr>
          <w:lang w:val="en-GB"/>
        </w:rPr>
        <w:t xml:space="preserve">oth the cathode and the anode are composed of two layers of active material deposited on </w:t>
      </w:r>
      <w:r w:rsidR="0079041F">
        <w:rPr>
          <w:lang w:val="en-GB"/>
        </w:rPr>
        <w:t xml:space="preserve">the </w:t>
      </w:r>
      <w:r w:rsidR="00425107" w:rsidRPr="00E72DB3">
        <w:rPr>
          <w:lang w:val="en-GB"/>
        </w:rPr>
        <w:t xml:space="preserve">opposite faces </w:t>
      </w:r>
      <w:r w:rsidR="00425107">
        <w:rPr>
          <w:lang w:val="en-GB"/>
        </w:rPr>
        <w:t xml:space="preserve">of a </w:t>
      </w:r>
      <w:r w:rsidR="00E72DB3" w:rsidRPr="00E72DB3">
        <w:rPr>
          <w:lang w:val="en-GB"/>
        </w:rPr>
        <w:t>metal foil acting as a current collector</w:t>
      </w:r>
      <w:r w:rsidR="00481F49">
        <w:rPr>
          <w:lang w:val="en-GB"/>
        </w:rPr>
        <w:t xml:space="preserve"> (made of </w:t>
      </w:r>
      <w:r w:rsidR="00EB64C0">
        <w:rPr>
          <w:lang w:val="en-GB"/>
        </w:rPr>
        <w:t>aluminium (</w:t>
      </w:r>
      <w:r w:rsidR="00481F49">
        <w:rPr>
          <w:lang w:val="en-GB"/>
        </w:rPr>
        <w:t>Al</w:t>
      </w:r>
      <w:r w:rsidR="00EB64C0">
        <w:rPr>
          <w:lang w:val="en-GB"/>
        </w:rPr>
        <w:t>)</w:t>
      </w:r>
      <w:r w:rsidR="00481F49">
        <w:rPr>
          <w:lang w:val="en-GB"/>
        </w:rPr>
        <w:t xml:space="preserve"> for cathode and</w:t>
      </w:r>
      <w:r w:rsidR="00EB64C0">
        <w:rPr>
          <w:lang w:val="en-GB"/>
        </w:rPr>
        <w:t xml:space="preserve"> </w:t>
      </w:r>
      <w:r w:rsidR="00916112">
        <w:rPr>
          <w:lang w:val="en-GB"/>
        </w:rPr>
        <w:t xml:space="preserve">copper </w:t>
      </w:r>
      <w:r w:rsidR="00EB64C0">
        <w:rPr>
          <w:lang w:val="en-GB"/>
        </w:rPr>
        <w:t>(</w:t>
      </w:r>
      <w:r w:rsidR="00481F49">
        <w:rPr>
          <w:lang w:val="en-GB"/>
        </w:rPr>
        <w:t>Cu</w:t>
      </w:r>
      <w:r w:rsidR="00EB64C0">
        <w:rPr>
          <w:lang w:val="en-GB"/>
        </w:rPr>
        <w:t>)</w:t>
      </w:r>
      <w:r w:rsidR="00481F49">
        <w:rPr>
          <w:lang w:val="en-GB"/>
        </w:rPr>
        <w:t xml:space="preserve"> for anode)</w:t>
      </w:r>
      <w:r w:rsidR="00E72DB3" w:rsidRPr="00E72DB3">
        <w:rPr>
          <w:lang w:val="en-GB"/>
        </w:rPr>
        <w:t>. Generally, the cathode is composed of mixed oxides of transition metals</w:t>
      </w:r>
      <w:r w:rsidR="00E72DB3">
        <w:rPr>
          <w:lang w:val="en-GB"/>
        </w:rPr>
        <w:t>, such as</w:t>
      </w:r>
      <w:r w:rsidR="00E72DB3" w:rsidRPr="00E72DB3">
        <w:t xml:space="preserve"> </w:t>
      </w:r>
      <w:r w:rsidR="00E72DB3" w:rsidRPr="00E72DB3">
        <w:rPr>
          <w:lang w:val="en-GB"/>
        </w:rPr>
        <w:t>lithium iron phosphate (LiFePO</w:t>
      </w:r>
      <w:r w:rsidR="00E72DB3" w:rsidRPr="00E72DB3">
        <w:rPr>
          <w:vertAlign w:val="subscript"/>
          <w:lang w:val="en-GB"/>
        </w:rPr>
        <w:t>4</w:t>
      </w:r>
      <w:r w:rsidR="00E72DB3" w:rsidRPr="00E72DB3">
        <w:rPr>
          <w:lang w:val="en-GB"/>
        </w:rPr>
        <w:t xml:space="preserve">, LFP), </w:t>
      </w:r>
      <w:r w:rsidR="00916112" w:rsidRPr="00E72DB3">
        <w:rPr>
          <w:lang w:val="en-GB"/>
        </w:rPr>
        <w:t xml:space="preserve">lithium nickel </w:t>
      </w:r>
      <w:r w:rsidR="00916112">
        <w:rPr>
          <w:lang w:val="en-GB"/>
        </w:rPr>
        <w:t>manganese</w:t>
      </w:r>
      <w:r w:rsidR="00FC4C3F">
        <w:rPr>
          <w:lang w:val="en-GB"/>
        </w:rPr>
        <w:t xml:space="preserve"> cobalt</w:t>
      </w:r>
      <w:r w:rsidR="00916112" w:rsidRPr="00E72DB3">
        <w:rPr>
          <w:lang w:val="en-GB"/>
        </w:rPr>
        <w:t xml:space="preserve"> </w:t>
      </w:r>
      <w:r w:rsidR="00916112" w:rsidRPr="00997A50">
        <w:rPr>
          <w:lang w:val="en-GB"/>
        </w:rPr>
        <w:t>oxide (</w:t>
      </w:r>
      <w:r w:rsidR="00916112" w:rsidRPr="00E71273">
        <w:rPr>
          <w:lang w:val="en-GB"/>
        </w:rPr>
        <w:t>LiNiMn</w:t>
      </w:r>
      <w:r w:rsidR="00FC4C3F" w:rsidRPr="00E71273">
        <w:rPr>
          <w:lang w:val="en-GB"/>
        </w:rPr>
        <w:t>Co</w:t>
      </w:r>
      <w:r w:rsidR="00916112" w:rsidRPr="00E71273">
        <w:rPr>
          <w:lang w:val="en-GB"/>
        </w:rPr>
        <w:t>O</w:t>
      </w:r>
      <w:r w:rsidR="00916112" w:rsidRPr="00E71273">
        <w:rPr>
          <w:vertAlign w:val="subscript"/>
          <w:lang w:val="en-GB"/>
        </w:rPr>
        <w:t>2</w:t>
      </w:r>
      <w:r w:rsidR="00916112" w:rsidRPr="00E71273">
        <w:rPr>
          <w:lang w:val="en-GB"/>
        </w:rPr>
        <w:t>,</w:t>
      </w:r>
      <w:r w:rsidR="00916112" w:rsidRPr="00997A50">
        <w:rPr>
          <w:lang w:val="en-GB"/>
        </w:rPr>
        <w:t xml:space="preserve"> NCM), </w:t>
      </w:r>
      <w:r w:rsidR="00E72DB3" w:rsidRPr="00997A50">
        <w:rPr>
          <w:lang w:val="en-GB"/>
        </w:rPr>
        <w:t>lithium nickel cobalt aluminium oxide (LiNiCoAlO</w:t>
      </w:r>
      <w:r w:rsidR="00E72DB3" w:rsidRPr="00997A50">
        <w:rPr>
          <w:vertAlign w:val="subscript"/>
          <w:lang w:val="en-GB"/>
        </w:rPr>
        <w:t>2</w:t>
      </w:r>
      <w:r w:rsidR="00E72DB3" w:rsidRPr="00997A50">
        <w:rPr>
          <w:lang w:val="en-GB"/>
        </w:rPr>
        <w:t>, NCA),</w:t>
      </w:r>
      <w:r w:rsidR="00425107" w:rsidRPr="00997A50">
        <w:rPr>
          <w:lang w:val="en-GB"/>
        </w:rPr>
        <w:t xml:space="preserve"> or</w:t>
      </w:r>
      <w:r w:rsidR="00E72DB3" w:rsidRPr="00997A50">
        <w:rPr>
          <w:lang w:val="en-GB"/>
        </w:rPr>
        <w:t xml:space="preserve"> lithium cobalt oxide (LiCoO</w:t>
      </w:r>
      <w:r w:rsidR="00E72DB3" w:rsidRPr="00997A50">
        <w:rPr>
          <w:vertAlign w:val="subscript"/>
          <w:lang w:val="en-GB"/>
        </w:rPr>
        <w:t>2</w:t>
      </w:r>
      <w:r w:rsidR="00E72DB3" w:rsidRPr="00997A50">
        <w:rPr>
          <w:lang w:val="en-GB"/>
        </w:rPr>
        <w:t>, LCO</w:t>
      </w:r>
      <w:r w:rsidR="00425107" w:rsidRPr="00997A50">
        <w:rPr>
          <w:lang w:val="en-GB"/>
        </w:rPr>
        <w:t xml:space="preserve">), </w:t>
      </w:r>
      <w:r w:rsidR="00E72DB3" w:rsidRPr="00997A50">
        <w:rPr>
          <w:lang w:val="en-GB"/>
        </w:rPr>
        <w:t xml:space="preserve">deposited on the </w:t>
      </w:r>
      <w:r w:rsidR="00481F49" w:rsidRPr="00997A50">
        <w:rPr>
          <w:lang w:val="en-GB"/>
        </w:rPr>
        <w:t>Al</w:t>
      </w:r>
      <w:r w:rsidR="00E72DB3" w:rsidRPr="00997A50">
        <w:rPr>
          <w:lang w:val="en-GB"/>
        </w:rPr>
        <w:t xml:space="preserve"> current collector while </w:t>
      </w:r>
      <w:r w:rsidR="00425107" w:rsidRPr="00997A50">
        <w:rPr>
          <w:lang w:val="en-GB"/>
        </w:rPr>
        <w:t xml:space="preserve">at </w:t>
      </w:r>
      <w:r w:rsidR="00E72DB3" w:rsidRPr="00997A50">
        <w:rPr>
          <w:lang w:val="en-GB"/>
        </w:rPr>
        <w:t>the anode the active layer material, such as graphite</w:t>
      </w:r>
      <w:r w:rsidR="00481F49" w:rsidRPr="00997A50">
        <w:rPr>
          <w:lang w:val="en-GB"/>
        </w:rPr>
        <w:t xml:space="preserve"> (C)</w:t>
      </w:r>
      <w:r w:rsidR="00E72DB3" w:rsidRPr="00997A50">
        <w:rPr>
          <w:lang w:val="en-GB"/>
        </w:rPr>
        <w:t xml:space="preserve"> </w:t>
      </w:r>
      <w:r w:rsidR="00916112" w:rsidRPr="00997A50">
        <w:rPr>
          <w:lang w:val="en-GB"/>
        </w:rPr>
        <w:t>or</w:t>
      </w:r>
      <w:r w:rsidR="00916112" w:rsidRPr="00E72DB3">
        <w:rPr>
          <w:lang w:val="en-GB"/>
        </w:rPr>
        <w:t xml:space="preserve"> </w:t>
      </w:r>
      <w:r w:rsidR="00E72DB3" w:rsidRPr="00E72DB3">
        <w:rPr>
          <w:lang w:val="en-GB"/>
        </w:rPr>
        <w:t>lithium titanate oxide (Li</w:t>
      </w:r>
      <w:r w:rsidR="00E72DB3" w:rsidRPr="00E72DB3">
        <w:rPr>
          <w:vertAlign w:val="subscript"/>
          <w:lang w:val="en-GB"/>
        </w:rPr>
        <w:t>2</w:t>
      </w:r>
      <w:r w:rsidR="00E72DB3" w:rsidRPr="00E72DB3">
        <w:rPr>
          <w:lang w:val="en-GB"/>
        </w:rPr>
        <w:t>TiO</w:t>
      </w:r>
      <w:r w:rsidR="00E72DB3" w:rsidRPr="00E72DB3">
        <w:rPr>
          <w:vertAlign w:val="subscript"/>
          <w:lang w:val="en-GB"/>
        </w:rPr>
        <w:t>3</w:t>
      </w:r>
      <w:r w:rsidR="00E72DB3" w:rsidRPr="00E72DB3">
        <w:rPr>
          <w:lang w:val="en-GB"/>
        </w:rPr>
        <w:t>, LTO)</w:t>
      </w:r>
      <w:r w:rsidR="00E72DB3">
        <w:rPr>
          <w:lang w:val="en-GB"/>
        </w:rPr>
        <w:t>, is</w:t>
      </w:r>
      <w:r w:rsidR="00E72DB3" w:rsidRPr="00E72DB3">
        <w:rPr>
          <w:lang w:val="en-GB"/>
        </w:rPr>
        <w:t xml:space="preserve"> deposited on the copper current collector.</w:t>
      </w:r>
      <w:r w:rsidR="00E72DB3">
        <w:rPr>
          <w:lang w:val="en-GB"/>
        </w:rPr>
        <w:t xml:space="preserve"> </w:t>
      </w:r>
      <w:r w:rsidR="003B3ADC">
        <w:rPr>
          <w:lang w:val="en-GB"/>
        </w:rPr>
        <w:t>The</w:t>
      </w:r>
      <w:r w:rsidR="003B3ADC" w:rsidRPr="003B3ADC">
        <w:rPr>
          <w:lang w:val="en-GB"/>
        </w:rPr>
        <w:t xml:space="preserve"> function of the separator is dual as it avoids direct contact between the electrodes, which would cause an internal short circuit, allow</w:t>
      </w:r>
      <w:r w:rsidR="00430FD7">
        <w:rPr>
          <w:lang w:val="en-GB"/>
        </w:rPr>
        <w:t>ing</w:t>
      </w:r>
      <w:r w:rsidR="003B3ADC" w:rsidRPr="003B3ADC">
        <w:rPr>
          <w:lang w:val="en-GB"/>
        </w:rPr>
        <w:t xml:space="preserve"> the migration of Li</w:t>
      </w:r>
      <w:r w:rsidR="00425107">
        <w:rPr>
          <w:lang w:val="en-GB"/>
        </w:rPr>
        <w:t>-</w:t>
      </w:r>
      <w:r w:rsidR="003B3ADC" w:rsidRPr="003B3ADC">
        <w:rPr>
          <w:lang w:val="en-GB"/>
        </w:rPr>
        <w:t>ion from the anode to the cathode and vice versa during the use and charging phases</w:t>
      </w:r>
      <w:r w:rsidR="00430FD7">
        <w:rPr>
          <w:lang w:val="en-GB"/>
        </w:rPr>
        <w:t>. I</w:t>
      </w:r>
      <w:r w:rsidR="003B3ADC">
        <w:rPr>
          <w:lang w:val="en-GB"/>
        </w:rPr>
        <w:t xml:space="preserve">t is usually </w:t>
      </w:r>
      <w:r w:rsidR="00E72DB3" w:rsidRPr="00E72DB3">
        <w:rPr>
          <w:lang w:val="en-GB"/>
        </w:rPr>
        <w:t>made of polymeric material, such as polyethylene (PE) and polypropylene (PP)</w:t>
      </w:r>
      <w:r w:rsidR="003B3ADC">
        <w:rPr>
          <w:lang w:val="en-GB"/>
        </w:rPr>
        <w:t>.</w:t>
      </w:r>
      <w:r w:rsidR="00490025">
        <w:rPr>
          <w:lang w:val="en-GB"/>
        </w:rPr>
        <w:t xml:space="preserve"> </w:t>
      </w:r>
      <w:r w:rsidR="00707E18">
        <w:rPr>
          <w:lang w:val="en-GB"/>
        </w:rPr>
        <w:t>Finally, t</w:t>
      </w:r>
      <w:r w:rsidR="009A43E9" w:rsidRPr="009A43E9">
        <w:rPr>
          <w:lang w:val="en-GB"/>
        </w:rPr>
        <w:t>he electrolyte</w:t>
      </w:r>
      <w:r w:rsidR="00430FD7">
        <w:rPr>
          <w:lang w:val="en-GB"/>
        </w:rPr>
        <w:t xml:space="preserve"> </w:t>
      </w:r>
      <w:r w:rsidR="009A43E9" w:rsidRPr="009A43E9">
        <w:rPr>
          <w:lang w:val="en-GB"/>
        </w:rPr>
        <w:t xml:space="preserve">is generally given by various organic carbonates, such as ethylene carbonate (EC), </w:t>
      </w:r>
      <w:r w:rsidR="003B776E" w:rsidRPr="005A07AE">
        <w:rPr>
          <w:lang w:val="en-GB"/>
        </w:rPr>
        <w:t xml:space="preserve">dimethyl carbonate </w:t>
      </w:r>
      <w:r w:rsidR="003B776E" w:rsidRPr="005A07AE">
        <w:rPr>
          <w:lang w:val="en-GB"/>
        </w:rPr>
        <w:lastRenderedPageBreak/>
        <w:t>(DMC)</w:t>
      </w:r>
      <w:r w:rsidR="009A43E9" w:rsidRPr="009A43E9">
        <w:rPr>
          <w:lang w:val="en-GB"/>
        </w:rPr>
        <w:t>,</w:t>
      </w:r>
      <w:r w:rsidR="003B776E">
        <w:rPr>
          <w:lang w:val="en-GB"/>
        </w:rPr>
        <w:t xml:space="preserve"> ethyl</w:t>
      </w:r>
      <w:r w:rsidR="00916112">
        <w:rPr>
          <w:lang w:val="en-GB"/>
        </w:rPr>
        <w:t xml:space="preserve"> </w:t>
      </w:r>
      <w:r w:rsidR="003B776E">
        <w:rPr>
          <w:lang w:val="en-GB"/>
        </w:rPr>
        <w:t>methyl carbonate</w:t>
      </w:r>
      <w:r w:rsidR="009A43E9" w:rsidRPr="009A43E9">
        <w:rPr>
          <w:lang w:val="en-GB"/>
        </w:rPr>
        <w:t xml:space="preserve"> </w:t>
      </w:r>
      <w:r w:rsidR="003B776E">
        <w:rPr>
          <w:lang w:val="en-GB"/>
        </w:rPr>
        <w:t>(</w:t>
      </w:r>
      <w:r w:rsidR="009A43E9" w:rsidRPr="009A43E9">
        <w:rPr>
          <w:lang w:val="en-GB"/>
        </w:rPr>
        <w:t>EMC</w:t>
      </w:r>
      <w:r w:rsidR="003B776E">
        <w:rPr>
          <w:lang w:val="en-GB"/>
        </w:rPr>
        <w:t>)</w:t>
      </w:r>
      <w:r w:rsidR="009A43E9" w:rsidRPr="009A43E9">
        <w:rPr>
          <w:lang w:val="en-GB"/>
        </w:rPr>
        <w:t xml:space="preserve">, </w:t>
      </w:r>
      <w:r w:rsidR="003B776E" w:rsidRPr="005A07AE">
        <w:rPr>
          <w:lang w:val="en-GB"/>
        </w:rPr>
        <w:t>diethyl carbonate (DEC)</w:t>
      </w:r>
      <w:r w:rsidR="003B776E">
        <w:rPr>
          <w:lang w:val="en-GB"/>
        </w:rPr>
        <w:t xml:space="preserve"> </w:t>
      </w:r>
      <w:r w:rsidR="009A43E9" w:rsidRPr="009A43E9">
        <w:rPr>
          <w:lang w:val="en-GB"/>
        </w:rPr>
        <w:t>and propylene carbonate (PC), in which a lithium salt is dissolved, such as lithium hexafluorophosphate (LiPF</w:t>
      </w:r>
      <w:r w:rsidR="009A43E9" w:rsidRPr="009A43E9">
        <w:rPr>
          <w:vertAlign w:val="subscript"/>
          <w:lang w:val="en-GB"/>
        </w:rPr>
        <w:t>6</w:t>
      </w:r>
      <w:r w:rsidR="009A43E9" w:rsidRPr="009A43E9">
        <w:rPr>
          <w:lang w:val="en-GB"/>
        </w:rPr>
        <w:t>)</w:t>
      </w:r>
      <w:r w:rsidR="00E970A7">
        <w:rPr>
          <w:lang w:val="en-GB"/>
        </w:rPr>
        <w:t xml:space="preserve"> or </w:t>
      </w:r>
      <w:r w:rsidR="009A43E9" w:rsidRPr="009A43E9">
        <w:rPr>
          <w:lang w:val="en-GB"/>
        </w:rPr>
        <w:t>tetrafluoroborate (LiBF</w:t>
      </w:r>
      <w:r w:rsidR="009A43E9" w:rsidRPr="009A43E9">
        <w:rPr>
          <w:vertAlign w:val="subscript"/>
          <w:lang w:val="en-GB"/>
        </w:rPr>
        <w:t>4</w:t>
      </w:r>
      <w:r w:rsidR="009A43E9" w:rsidRPr="009A43E9">
        <w:rPr>
          <w:lang w:val="en-GB"/>
        </w:rPr>
        <w:t xml:space="preserve">) </w:t>
      </w:r>
      <w:r w:rsidR="00D77FA9">
        <w:rPr>
          <w:lang w:val="en-GB"/>
        </w:rPr>
        <w:t>(Hess et al., 2015)</w:t>
      </w:r>
      <w:r w:rsidR="00D77FA9" w:rsidRPr="00442748">
        <w:rPr>
          <w:lang w:val="en-GB"/>
        </w:rPr>
        <w:t>.</w:t>
      </w:r>
      <w:r w:rsidR="00E5127C" w:rsidRPr="00E5127C">
        <w:t xml:space="preserve"> </w:t>
      </w:r>
      <w:r w:rsidR="00E5127C" w:rsidRPr="00E5127C">
        <w:rPr>
          <w:lang w:val="en-GB"/>
        </w:rPr>
        <w:t>The electrolyte is a</w:t>
      </w:r>
      <w:r w:rsidR="0000356E">
        <w:rPr>
          <w:lang w:val="en-GB"/>
        </w:rPr>
        <w:t>n</w:t>
      </w:r>
      <w:r w:rsidR="00E5127C" w:rsidRPr="00E5127C">
        <w:rPr>
          <w:lang w:val="en-GB"/>
        </w:rPr>
        <w:t xml:space="preserve"> essential element</w:t>
      </w:r>
      <w:r w:rsidR="00E5127C">
        <w:rPr>
          <w:lang w:val="en-GB"/>
        </w:rPr>
        <w:t>, due to the si</w:t>
      </w:r>
      <w:r w:rsidR="00E5127C" w:rsidRPr="00E5127C">
        <w:rPr>
          <w:lang w:val="en-GB"/>
        </w:rPr>
        <w:t>gnificant impact on the</w:t>
      </w:r>
      <w:r w:rsidR="00E5127C">
        <w:rPr>
          <w:lang w:val="en-GB"/>
        </w:rPr>
        <w:t xml:space="preserve"> </w:t>
      </w:r>
      <w:r w:rsidR="00E5127C" w:rsidRPr="00E5127C">
        <w:rPr>
          <w:lang w:val="en-GB"/>
        </w:rPr>
        <w:t>electrochemical performance</w:t>
      </w:r>
      <w:r w:rsidR="00E5127C">
        <w:rPr>
          <w:lang w:val="en-GB"/>
        </w:rPr>
        <w:t xml:space="preserve">, but even a critical element, due to </w:t>
      </w:r>
      <w:r w:rsidR="00F2462E">
        <w:rPr>
          <w:lang w:val="en-GB"/>
        </w:rPr>
        <w:t>the</w:t>
      </w:r>
      <w:r w:rsidR="00E5127C">
        <w:rPr>
          <w:lang w:val="en-GB"/>
        </w:rPr>
        <w:t xml:space="preserve"> </w:t>
      </w:r>
      <w:r w:rsidR="0000356E">
        <w:rPr>
          <w:lang w:val="en-GB"/>
        </w:rPr>
        <w:t>presence of oxygen</w:t>
      </w:r>
      <w:r w:rsidR="00916112">
        <w:rPr>
          <w:lang w:val="en-GB"/>
        </w:rPr>
        <w:t xml:space="preserve"> and trace of </w:t>
      </w:r>
      <w:r w:rsidR="0000356E">
        <w:rPr>
          <w:lang w:val="en-GB"/>
        </w:rPr>
        <w:t>water,</w:t>
      </w:r>
      <w:r w:rsidR="009E318C">
        <w:rPr>
          <w:lang w:val="en-GB"/>
        </w:rPr>
        <w:t xml:space="preserve"> </w:t>
      </w:r>
      <w:r w:rsidR="0000356E">
        <w:rPr>
          <w:lang w:val="en-GB"/>
        </w:rPr>
        <w:t xml:space="preserve">and </w:t>
      </w:r>
      <w:r w:rsidR="00916112">
        <w:rPr>
          <w:lang w:val="en-GB"/>
        </w:rPr>
        <w:t xml:space="preserve">its </w:t>
      </w:r>
      <w:r w:rsidR="0000356E">
        <w:rPr>
          <w:lang w:val="en-GB"/>
        </w:rPr>
        <w:t xml:space="preserve">flammability </w:t>
      </w:r>
      <w:r w:rsidR="00916112">
        <w:rPr>
          <w:lang w:val="en-GB"/>
        </w:rPr>
        <w:t xml:space="preserve">as </w:t>
      </w:r>
      <w:r w:rsidR="00C77AA9">
        <w:rPr>
          <w:lang w:val="en-GB"/>
        </w:rPr>
        <w:t>demonstrated by</w:t>
      </w:r>
      <w:r w:rsidR="00916112">
        <w:rPr>
          <w:lang w:val="en-GB"/>
        </w:rPr>
        <w:t xml:space="preserve"> </w:t>
      </w:r>
      <w:r w:rsidR="009E318C">
        <w:rPr>
          <w:lang w:val="en-GB"/>
        </w:rPr>
        <w:t>t</w:t>
      </w:r>
      <w:r w:rsidR="00916112">
        <w:rPr>
          <w:lang w:val="en-GB"/>
        </w:rPr>
        <w:t>he</w:t>
      </w:r>
      <w:r w:rsidR="00F2462E" w:rsidRPr="00F2462E">
        <w:t xml:space="preserve"> </w:t>
      </w:r>
      <w:r w:rsidR="00F2462E" w:rsidRPr="00F2462E">
        <w:rPr>
          <w:lang w:val="en-GB"/>
        </w:rPr>
        <w:t>flash</w:t>
      </w:r>
      <w:r w:rsidR="00F2462E">
        <w:rPr>
          <w:lang w:val="en-GB"/>
        </w:rPr>
        <w:t>-</w:t>
      </w:r>
      <w:r w:rsidR="00F2462E" w:rsidRPr="00F2462E">
        <w:rPr>
          <w:lang w:val="en-GB"/>
        </w:rPr>
        <w:t>point close to room temperature for the main carbonates</w:t>
      </w:r>
      <w:r w:rsidR="0070601A">
        <w:rPr>
          <w:lang w:val="en-GB"/>
        </w:rPr>
        <w:t xml:space="preserve"> </w:t>
      </w:r>
      <w:r w:rsidR="009E318C">
        <w:rPr>
          <w:lang w:val="en-GB"/>
        </w:rPr>
        <w:t xml:space="preserve">(i.e., </w:t>
      </w:r>
      <w:r w:rsidR="0070601A">
        <w:rPr>
          <w:lang w:val="en-GB"/>
        </w:rPr>
        <w:t>18 °C for DMC</w:t>
      </w:r>
      <w:r w:rsidR="00F2462E">
        <w:rPr>
          <w:lang w:val="en-GB"/>
        </w:rPr>
        <w:t xml:space="preserve"> and</w:t>
      </w:r>
      <w:r w:rsidR="0070601A">
        <w:rPr>
          <w:lang w:val="en-GB"/>
        </w:rPr>
        <w:t xml:space="preserve"> 25 °C for DEC and EMC</w:t>
      </w:r>
      <w:r w:rsidR="009E318C">
        <w:rPr>
          <w:lang w:val="en-GB"/>
        </w:rPr>
        <w:t>)</w:t>
      </w:r>
      <w:r w:rsidR="00442748">
        <w:rPr>
          <w:lang w:val="en-GB"/>
        </w:rPr>
        <w:t xml:space="preserve"> </w:t>
      </w:r>
      <w:r w:rsidR="005A5CB7">
        <w:rPr>
          <w:lang w:val="en-GB"/>
        </w:rPr>
        <w:t>(Hess et al., 2015)</w:t>
      </w:r>
      <w:r w:rsidR="00442748" w:rsidRPr="00442748">
        <w:rPr>
          <w:lang w:val="en-GB"/>
        </w:rPr>
        <w:t>.</w:t>
      </w:r>
      <w:r w:rsidR="009741C0">
        <w:rPr>
          <w:lang w:val="en-GB"/>
        </w:rPr>
        <w:t xml:space="preserve"> To </w:t>
      </w:r>
      <w:r w:rsidR="009E318C">
        <w:rPr>
          <w:lang w:val="en-GB"/>
        </w:rPr>
        <w:t xml:space="preserve">enhance the performance and the safety of the device </w:t>
      </w:r>
      <w:r w:rsidR="009741C0" w:rsidRPr="005A5CB7">
        <w:rPr>
          <w:lang w:val="en-GB"/>
        </w:rPr>
        <w:t>s</w:t>
      </w:r>
      <w:r w:rsidR="009A43E9" w:rsidRPr="005A5CB7">
        <w:rPr>
          <w:lang w:val="en-GB"/>
        </w:rPr>
        <w:t xml:space="preserve">ome additives </w:t>
      </w:r>
      <w:r w:rsidR="009E318C">
        <w:rPr>
          <w:lang w:val="en-GB"/>
        </w:rPr>
        <w:t>are</w:t>
      </w:r>
      <w:r w:rsidR="009A43E9" w:rsidRPr="005A5CB7">
        <w:rPr>
          <w:lang w:val="en-GB"/>
        </w:rPr>
        <w:t xml:space="preserve"> add</w:t>
      </w:r>
      <w:r w:rsidR="009E318C">
        <w:rPr>
          <w:lang w:val="en-GB"/>
        </w:rPr>
        <w:t>ed</w:t>
      </w:r>
      <w:r w:rsidR="009A43E9" w:rsidRPr="005A5CB7">
        <w:rPr>
          <w:lang w:val="en-GB"/>
        </w:rPr>
        <w:t xml:space="preserve"> </w:t>
      </w:r>
      <w:r w:rsidR="00F2462E" w:rsidRPr="005A5CB7">
        <w:rPr>
          <w:lang w:val="en-GB"/>
        </w:rPr>
        <w:t xml:space="preserve">to electrolyte </w:t>
      </w:r>
      <w:r w:rsidR="00FE43A7">
        <w:rPr>
          <w:lang w:val="en-GB"/>
        </w:rPr>
        <w:t>reducing the flammability and the reactivity of these carbonates, while others as overcharge protection additives</w:t>
      </w:r>
      <w:r w:rsidR="00707E18" w:rsidRPr="005A5CB7">
        <w:rPr>
          <w:lang w:val="en-GB"/>
        </w:rPr>
        <w:t xml:space="preserve"> (</w:t>
      </w:r>
      <w:r w:rsidR="00E822FC">
        <w:rPr>
          <w:lang w:val="en-GB"/>
        </w:rPr>
        <w:t>Ming et al., 2019</w:t>
      </w:r>
      <w:r w:rsidR="00707E18" w:rsidRPr="005A5CB7">
        <w:rPr>
          <w:lang w:val="en-GB"/>
        </w:rPr>
        <w:t>)</w:t>
      </w:r>
      <w:r w:rsidR="009741C0" w:rsidRPr="005A5CB7">
        <w:rPr>
          <w:lang w:val="en-GB"/>
        </w:rPr>
        <w:t>.</w:t>
      </w:r>
      <w:r w:rsidR="00D77FA9">
        <w:rPr>
          <w:lang w:val="en-GB"/>
        </w:rPr>
        <w:t xml:space="preserve"> </w:t>
      </w:r>
      <w:r w:rsidR="00337B26" w:rsidRPr="005A5CB7">
        <w:rPr>
          <w:lang w:val="en-GB"/>
        </w:rPr>
        <w:t xml:space="preserve">The </w:t>
      </w:r>
      <w:r w:rsidR="00FE43A7">
        <w:rPr>
          <w:lang w:val="en-GB"/>
        </w:rPr>
        <w:t xml:space="preserve">added flame-retardant </w:t>
      </w:r>
      <w:r w:rsidR="00337B26" w:rsidRPr="005A5CB7">
        <w:rPr>
          <w:lang w:val="en-GB"/>
        </w:rPr>
        <w:t>compounds are</w:t>
      </w:r>
      <w:r w:rsidR="00FE43A7">
        <w:rPr>
          <w:lang w:val="en-GB"/>
        </w:rPr>
        <w:t xml:space="preserve"> usually</w:t>
      </w:r>
      <w:r w:rsidR="00337B26" w:rsidRPr="005A5CB7">
        <w:rPr>
          <w:lang w:val="en-GB"/>
        </w:rPr>
        <w:t xml:space="preserve"> phosphorus-containing organic compounds, such as</w:t>
      </w:r>
      <w:r w:rsidR="004144B2">
        <w:rPr>
          <w:lang w:val="en-GB"/>
        </w:rPr>
        <w:t xml:space="preserve"> </w:t>
      </w:r>
      <w:r w:rsidR="00337B26" w:rsidRPr="005A5CB7">
        <w:rPr>
          <w:lang w:val="en-GB"/>
        </w:rPr>
        <w:t>(ethoxy)pentafluoro-cyclo-</w:t>
      </w:r>
      <w:proofErr w:type="spellStart"/>
      <w:r w:rsidR="00337B26" w:rsidRPr="005A5CB7">
        <w:rPr>
          <w:lang w:val="en-GB"/>
        </w:rPr>
        <w:t>triphosphazene</w:t>
      </w:r>
      <w:proofErr w:type="spellEnd"/>
      <w:r w:rsidR="00337B26" w:rsidRPr="005A5CB7">
        <w:rPr>
          <w:lang w:val="en-GB"/>
        </w:rPr>
        <w:t xml:space="preserve"> (PFPN). These additives suppress the flammability of the electrolyte by a physical char-forming process and a chemical reaction between the free radicals (Xing et al., 2022). The overcharge protection additives decompose on the cathode layer creating a very thin films that act as protection when the Li-ion cell is overcharging due to the </w:t>
      </w:r>
      <w:r w:rsidR="00317A9F" w:rsidRPr="005A5CB7">
        <w:rPr>
          <w:lang w:val="en-GB"/>
        </w:rPr>
        <w:t>electrochemically reversibility of compounds</w:t>
      </w:r>
      <w:r w:rsidR="004144B2">
        <w:rPr>
          <w:lang w:val="en-GB"/>
        </w:rPr>
        <w:t xml:space="preserve">, such </w:t>
      </w:r>
      <w:r w:rsidR="00317A9F" w:rsidRPr="005A5CB7">
        <w:rPr>
          <w:lang w:val="en-GB"/>
        </w:rPr>
        <w:t>as 2,5-</w:t>
      </w:r>
      <w:r w:rsidR="00C91B4E">
        <w:rPr>
          <w:lang w:val="en-GB"/>
        </w:rPr>
        <w:t>d</w:t>
      </w:r>
      <w:r w:rsidR="00317A9F" w:rsidRPr="005A5CB7">
        <w:rPr>
          <w:lang w:val="en-GB"/>
        </w:rPr>
        <w:t>i-tertbutyl-1,4-dimethoxybenzene (DDB) (Xing et al., 2022).</w:t>
      </w:r>
      <w:r w:rsidR="00490025">
        <w:rPr>
          <w:lang w:val="en-GB"/>
        </w:rPr>
        <w:t xml:space="preserve"> </w:t>
      </w:r>
    </w:p>
    <w:p w14:paraId="6791F8EC" w14:textId="36D867FE" w:rsidR="005F73F2" w:rsidRDefault="00123260" w:rsidP="006C6714">
      <w:pPr>
        <w:pStyle w:val="CETBodytext"/>
        <w:rPr>
          <w:lang w:val="en-GB"/>
        </w:rPr>
      </w:pPr>
      <w:r w:rsidRPr="005A07AE">
        <w:rPr>
          <w:lang w:val="en-GB"/>
        </w:rPr>
        <w:t>However, there is a gap between the information reported in the</w:t>
      </w:r>
      <w:r w:rsidR="00B828A0">
        <w:rPr>
          <w:lang w:val="en-GB"/>
        </w:rPr>
        <w:t xml:space="preserve"> </w:t>
      </w:r>
      <w:r w:rsidR="00B828A0" w:rsidRPr="005A07AE">
        <w:rPr>
          <w:lang w:val="en-GB"/>
        </w:rPr>
        <w:t>safety data sheet</w:t>
      </w:r>
      <w:r w:rsidR="00B828A0">
        <w:rPr>
          <w:lang w:val="en-GB"/>
        </w:rPr>
        <w:t>s</w:t>
      </w:r>
      <w:r w:rsidRPr="005A07AE">
        <w:rPr>
          <w:lang w:val="en-GB"/>
        </w:rPr>
        <w:t xml:space="preserve"> </w:t>
      </w:r>
      <w:r w:rsidR="00B828A0">
        <w:rPr>
          <w:lang w:val="en-GB"/>
        </w:rPr>
        <w:t>(</w:t>
      </w:r>
      <w:r w:rsidRPr="005A07AE">
        <w:rPr>
          <w:lang w:val="en-GB"/>
        </w:rPr>
        <w:t>SDS</w:t>
      </w:r>
      <w:r w:rsidR="00523CEF">
        <w:rPr>
          <w:lang w:val="en-GB"/>
        </w:rPr>
        <w:t>s</w:t>
      </w:r>
      <w:r w:rsidR="00B828A0">
        <w:rPr>
          <w:lang w:val="en-GB"/>
        </w:rPr>
        <w:t>)</w:t>
      </w:r>
      <w:r w:rsidRPr="005A07AE">
        <w:rPr>
          <w:lang w:val="en-GB"/>
        </w:rPr>
        <w:t xml:space="preserve"> of Li-ion cells and the internal chemical composition. In fact, in many available SDSs the quantities of internal components are expressed as a percentage, and some components are not well identified. The most common lack concerns the electrol</w:t>
      </w:r>
      <w:r w:rsidR="00442748">
        <w:rPr>
          <w:lang w:val="en-GB"/>
        </w:rPr>
        <w:t>yte</w:t>
      </w:r>
      <w:r w:rsidRPr="005A07AE">
        <w:rPr>
          <w:lang w:val="en-GB"/>
        </w:rPr>
        <w:t xml:space="preserve">, which is defined as </w:t>
      </w:r>
      <w:r w:rsidR="005F73F2">
        <w:rPr>
          <w:lang w:val="en-GB"/>
        </w:rPr>
        <w:t xml:space="preserve">a </w:t>
      </w:r>
      <w:r w:rsidRPr="005A07AE">
        <w:rPr>
          <w:lang w:val="en-GB"/>
        </w:rPr>
        <w:t xml:space="preserve">mixture of organic carbonates without specifying the solvents used in the mixture and their composition, </w:t>
      </w:r>
      <w:r w:rsidR="005F73F2">
        <w:rPr>
          <w:lang w:val="en-GB"/>
        </w:rPr>
        <w:t xml:space="preserve">or any </w:t>
      </w:r>
      <w:r w:rsidRPr="005A07AE">
        <w:rPr>
          <w:lang w:val="en-GB"/>
        </w:rPr>
        <w:t xml:space="preserve">other additives. </w:t>
      </w:r>
      <w:r w:rsidR="00442748">
        <w:rPr>
          <w:lang w:val="en-GB"/>
        </w:rPr>
        <w:t>In fact</w:t>
      </w:r>
      <w:r w:rsidR="00442748" w:rsidRPr="00EC193C">
        <w:rPr>
          <w:lang w:val="en-GB"/>
        </w:rPr>
        <w:t xml:space="preserve">, </w:t>
      </w:r>
      <w:r w:rsidR="005F73F2">
        <w:rPr>
          <w:lang w:val="en-GB"/>
        </w:rPr>
        <w:t xml:space="preserve">in addition to improve </w:t>
      </w:r>
      <w:r w:rsidR="00442748" w:rsidRPr="00EC193C">
        <w:rPr>
          <w:lang w:val="en-GB"/>
        </w:rPr>
        <w:t>the performance</w:t>
      </w:r>
      <w:r w:rsidR="005F73F2">
        <w:rPr>
          <w:lang w:val="en-GB"/>
        </w:rPr>
        <w:t xml:space="preserve">, safety issues must also be </w:t>
      </w:r>
      <w:r w:rsidR="00442748" w:rsidRPr="00EC193C">
        <w:rPr>
          <w:lang w:val="en-GB"/>
        </w:rPr>
        <w:t xml:space="preserve">considered, such as flammability </w:t>
      </w:r>
      <w:r w:rsidR="005F73F2">
        <w:rPr>
          <w:lang w:val="en-GB"/>
        </w:rPr>
        <w:t>and/</w:t>
      </w:r>
      <w:r w:rsidR="00442748" w:rsidRPr="00EC193C">
        <w:rPr>
          <w:lang w:val="en-GB"/>
        </w:rPr>
        <w:t>or</w:t>
      </w:r>
      <w:r w:rsidR="005F73F2">
        <w:rPr>
          <w:lang w:val="en-GB"/>
        </w:rPr>
        <w:t xml:space="preserve"> the risk to hu</w:t>
      </w:r>
      <w:r w:rsidR="00442748" w:rsidRPr="00EC193C">
        <w:rPr>
          <w:lang w:val="en-GB"/>
        </w:rPr>
        <w:t>man health</w:t>
      </w:r>
      <w:r w:rsidR="00FD5EE3">
        <w:rPr>
          <w:lang w:val="en-GB"/>
        </w:rPr>
        <w:t xml:space="preserve"> and the environment</w:t>
      </w:r>
      <w:r w:rsidR="005F73F2">
        <w:rPr>
          <w:lang w:val="en-GB"/>
        </w:rPr>
        <w:t xml:space="preserve"> when these substances are emitted from the LIB because the thermal runaway is triggered</w:t>
      </w:r>
      <w:r w:rsidR="00442748" w:rsidRPr="009741C0">
        <w:rPr>
          <w:lang w:val="en-GB"/>
        </w:rPr>
        <w:t>.</w:t>
      </w:r>
    </w:p>
    <w:p w14:paraId="7F09D177" w14:textId="73DD8C21" w:rsidR="006C6714" w:rsidRPr="006C6714" w:rsidRDefault="00BE6F16" w:rsidP="006C6714">
      <w:pPr>
        <w:pStyle w:val="CETBodytext"/>
        <w:rPr>
          <w:lang w:val="en-GB"/>
        </w:rPr>
      </w:pPr>
      <w:r>
        <w:rPr>
          <w:lang w:val="en-GB"/>
        </w:rPr>
        <w:t xml:space="preserve">In this framework, this work </w:t>
      </w:r>
      <w:r w:rsidR="006C65C0" w:rsidRPr="006C6714">
        <w:rPr>
          <w:lang w:val="en-GB"/>
        </w:rPr>
        <w:t>aim</w:t>
      </w:r>
      <w:r>
        <w:rPr>
          <w:lang w:val="en-GB"/>
        </w:rPr>
        <w:t>s to</w:t>
      </w:r>
      <w:r w:rsidR="006C65C0" w:rsidRPr="006C6714">
        <w:rPr>
          <w:lang w:val="en-GB"/>
        </w:rPr>
        <w:t xml:space="preserve"> </w:t>
      </w:r>
      <w:r w:rsidR="006C6714">
        <w:rPr>
          <w:lang w:val="en-GB"/>
        </w:rPr>
        <w:t xml:space="preserve">define a procedure to </w:t>
      </w:r>
      <w:r w:rsidR="006C65C0" w:rsidRPr="006C6714">
        <w:rPr>
          <w:lang w:val="en-GB"/>
        </w:rPr>
        <w:t xml:space="preserve">determine and quantify the internal components of </w:t>
      </w:r>
      <w:r w:rsidR="006C6714" w:rsidRPr="006C6714">
        <w:rPr>
          <w:lang w:val="en-GB"/>
        </w:rPr>
        <w:t>Li-ion cells</w:t>
      </w:r>
      <w:r w:rsidR="006C6714">
        <w:rPr>
          <w:lang w:val="en-GB"/>
        </w:rPr>
        <w:t xml:space="preserve"> </w:t>
      </w:r>
      <w:r w:rsidR="006C6714" w:rsidRPr="006C6714">
        <w:rPr>
          <w:lang w:val="en-GB"/>
        </w:rPr>
        <w:t xml:space="preserve">to fill the gap between the SDS information and the </w:t>
      </w:r>
      <w:r>
        <w:rPr>
          <w:lang w:val="en-GB"/>
        </w:rPr>
        <w:t xml:space="preserve">real </w:t>
      </w:r>
      <w:r w:rsidR="006C6714" w:rsidRPr="006C6714">
        <w:rPr>
          <w:lang w:val="en-GB"/>
        </w:rPr>
        <w:t>internal composition</w:t>
      </w:r>
      <w:r>
        <w:rPr>
          <w:lang w:val="en-GB"/>
        </w:rPr>
        <w:t xml:space="preserve"> of cells.</w:t>
      </w:r>
      <w:r w:rsidR="006C6714">
        <w:rPr>
          <w:lang w:val="en-GB"/>
        </w:rPr>
        <w:t xml:space="preserve"> </w:t>
      </w:r>
      <w:r>
        <w:rPr>
          <w:lang w:val="en-GB"/>
        </w:rPr>
        <w:t>To this aim</w:t>
      </w:r>
      <w:r w:rsidR="006C6714">
        <w:rPr>
          <w:lang w:val="en-GB"/>
        </w:rPr>
        <w:t xml:space="preserve"> th</w:t>
      </w:r>
      <w:r>
        <w:rPr>
          <w:lang w:val="en-GB"/>
        </w:rPr>
        <w:t>re</w:t>
      </w:r>
      <w:r w:rsidR="006C6714">
        <w:rPr>
          <w:lang w:val="en-GB"/>
        </w:rPr>
        <w:t xml:space="preserve">e </w:t>
      </w:r>
      <w:r>
        <w:rPr>
          <w:lang w:val="en-GB"/>
        </w:rPr>
        <w:t xml:space="preserve">commercial </w:t>
      </w:r>
      <w:r w:rsidR="006C6714">
        <w:rPr>
          <w:lang w:val="en-GB"/>
        </w:rPr>
        <w:t xml:space="preserve">Li-ion cells </w:t>
      </w:r>
      <w:r>
        <w:rPr>
          <w:lang w:val="en-GB"/>
        </w:rPr>
        <w:t xml:space="preserve">are </w:t>
      </w:r>
      <w:r w:rsidR="006C6714">
        <w:rPr>
          <w:lang w:val="en-GB"/>
        </w:rPr>
        <w:t>considered</w:t>
      </w:r>
      <w:r>
        <w:rPr>
          <w:lang w:val="en-GB"/>
        </w:rPr>
        <w:t xml:space="preserve"> with different composition of anode and cathode (</w:t>
      </w:r>
      <w:r w:rsidR="006C6714" w:rsidRPr="006C6714">
        <w:rPr>
          <w:lang w:val="en-GB"/>
        </w:rPr>
        <w:t xml:space="preserve">i.e., </w:t>
      </w:r>
      <w:r>
        <w:rPr>
          <w:lang w:val="en-GB"/>
        </w:rPr>
        <w:t>C/N</w:t>
      </w:r>
      <w:r w:rsidR="008D2379" w:rsidRPr="005A07AE">
        <w:rPr>
          <w:lang w:val="en-GB"/>
        </w:rPr>
        <w:t>CA, LTO</w:t>
      </w:r>
      <w:r>
        <w:rPr>
          <w:lang w:val="en-GB"/>
        </w:rPr>
        <w:t>/NCA</w:t>
      </w:r>
      <w:r w:rsidR="008D2379" w:rsidRPr="005A07AE">
        <w:rPr>
          <w:lang w:val="en-GB"/>
        </w:rPr>
        <w:t xml:space="preserve">, </w:t>
      </w:r>
      <w:r w:rsidR="008D2379">
        <w:rPr>
          <w:lang w:val="en-GB"/>
        </w:rPr>
        <w:t xml:space="preserve">and </w:t>
      </w:r>
      <w:r>
        <w:rPr>
          <w:lang w:val="en-GB"/>
        </w:rPr>
        <w:t>C/</w:t>
      </w:r>
      <w:r w:rsidR="008D2379" w:rsidRPr="005A07AE">
        <w:rPr>
          <w:lang w:val="en-GB"/>
        </w:rPr>
        <w:t>LFP</w:t>
      </w:r>
      <w:r>
        <w:rPr>
          <w:lang w:val="en-GB"/>
        </w:rPr>
        <w:t>)</w:t>
      </w:r>
      <w:r w:rsidR="006C6714" w:rsidRPr="006C6714">
        <w:rPr>
          <w:lang w:val="en-GB"/>
        </w:rPr>
        <w:t>. To analyse the internal component</w:t>
      </w:r>
      <w:r w:rsidR="00B828A0">
        <w:rPr>
          <w:lang w:val="en-GB"/>
        </w:rPr>
        <w:t>s</w:t>
      </w:r>
      <w:r w:rsidR="006C6714" w:rsidRPr="006C6714">
        <w:rPr>
          <w:lang w:val="en-GB"/>
        </w:rPr>
        <w:t xml:space="preserve"> of the cell is necessary to disassembly it. Due to the flammability of the electrolyte, the cells </w:t>
      </w:r>
      <w:r>
        <w:rPr>
          <w:lang w:val="en-GB"/>
        </w:rPr>
        <w:t>were</w:t>
      </w:r>
      <w:r w:rsidR="006C6714" w:rsidRPr="006C6714">
        <w:rPr>
          <w:lang w:val="en-GB"/>
        </w:rPr>
        <w:t xml:space="preserve"> disassembled in an inert environment, such as a glovebox filled with argon. After separation</w:t>
      </w:r>
      <w:r w:rsidR="008E7A93">
        <w:rPr>
          <w:lang w:val="en-GB"/>
        </w:rPr>
        <w:t>,</w:t>
      </w:r>
      <w:r w:rsidR="006C6714" w:rsidRPr="006C6714">
        <w:rPr>
          <w:lang w:val="en-GB"/>
        </w:rPr>
        <w:t xml:space="preserve"> the electrodes </w:t>
      </w:r>
      <w:r w:rsidR="008E7A93">
        <w:rPr>
          <w:lang w:val="en-GB"/>
        </w:rPr>
        <w:t>have been</w:t>
      </w:r>
      <w:r w:rsidR="008E7A93" w:rsidRPr="006C6714">
        <w:rPr>
          <w:lang w:val="en-GB"/>
        </w:rPr>
        <w:t xml:space="preserve"> </w:t>
      </w:r>
      <w:r w:rsidR="006C6714" w:rsidRPr="006C6714">
        <w:rPr>
          <w:lang w:val="en-GB"/>
        </w:rPr>
        <w:t>analysed by</w:t>
      </w:r>
      <w:r w:rsidR="008D2379">
        <w:rPr>
          <w:lang w:val="en-GB"/>
        </w:rPr>
        <w:t xml:space="preserve"> </w:t>
      </w:r>
      <w:r w:rsidR="00273714" w:rsidRPr="008D2379">
        <w:rPr>
          <w:lang w:val="en-GB"/>
        </w:rPr>
        <w:t>Inductively Coupled Plasma</w:t>
      </w:r>
      <w:r w:rsidR="00273714">
        <w:rPr>
          <w:lang w:val="en-GB"/>
        </w:rPr>
        <w:t xml:space="preserve"> coupled with the O</w:t>
      </w:r>
      <w:r w:rsidR="00273714" w:rsidRPr="00273714">
        <w:rPr>
          <w:lang w:val="en-GB"/>
        </w:rPr>
        <w:t xml:space="preserve">ptical </w:t>
      </w:r>
      <w:r w:rsidR="00273714">
        <w:rPr>
          <w:lang w:val="en-GB"/>
        </w:rPr>
        <w:t>E</w:t>
      </w:r>
      <w:r w:rsidR="00273714" w:rsidRPr="00273714">
        <w:rPr>
          <w:lang w:val="en-GB"/>
        </w:rPr>
        <w:t xml:space="preserve">mission </w:t>
      </w:r>
      <w:r w:rsidR="00273714">
        <w:rPr>
          <w:lang w:val="en-GB"/>
        </w:rPr>
        <w:t>S</w:t>
      </w:r>
      <w:r w:rsidR="00273714" w:rsidRPr="00273714">
        <w:rPr>
          <w:lang w:val="en-GB"/>
        </w:rPr>
        <w:t>pectrometer</w:t>
      </w:r>
      <w:r w:rsidR="00273714">
        <w:rPr>
          <w:lang w:val="en-GB"/>
        </w:rPr>
        <w:t xml:space="preserve"> (</w:t>
      </w:r>
      <w:r w:rsidR="0081223D">
        <w:rPr>
          <w:lang w:val="en-GB"/>
        </w:rPr>
        <w:t>ICP-</w:t>
      </w:r>
      <w:r w:rsidR="00273714">
        <w:rPr>
          <w:lang w:val="en-GB"/>
        </w:rPr>
        <w:t>OES)</w:t>
      </w:r>
      <w:r w:rsidR="006C6714" w:rsidRPr="006C6714">
        <w:rPr>
          <w:lang w:val="en-GB"/>
        </w:rPr>
        <w:t>, the electrolyte was extracted and analysed by</w:t>
      </w:r>
      <w:r w:rsidR="008D2379">
        <w:rPr>
          <w:lang w:val="en-GB"/>
        </w:rPr>
        <w:t xml:space="preserve"> </w:t>
      </w:r>
      <w:r w:rsidR="00273714">
        <w:rPr>
          <w:lang w:val="en-GB"/>
        </w:rPr>
        <w:t>Gas</w:t>
      </w:r>
      <w:r w:rsidR="00B828A0">
        <w:rPr>
          <w:lang w:val="en-GB"/>
        </w:rPr>
        <w:t xml:space="preserve"> </w:t>
      </w:r>
      <w:r w:rsidR="00273714">
        <w:rPr>
          <w:lang w:val="en-GB"/>
        </w:rPr>
        <w:t>Chromatography</w:t>
      </w:r>
      <w:r>
        <w:rPr>
          <w:lang w:val="en-GB"/>
        </w:rPr>
        <w:t xml:space="preserve"> coupled with </w:t>
      </w:r>
      <w:r w:rsidR="00273714" w:rsidRPr="008D2379">
        <w:rPr>
          <w:lang w:val="en-GB"/>
        </w:rPr>
        <w:t>Flame Ionization Detector</w:t>
      </w:r>
      <w:r w:rsidR="00273714">
        <w:rPr>
          <w:lang w:val="en-GB"/>
        </w:rPr>
        <w:t xml:space="preserve"> (</w:t>
      </w:r>
      <w:r w:rsidR="00273714" w:rsidRPr="006C6714">
        <w:rPr>
          <w:lang w:val="en-GB"/>
        </w:rPr>
        <w:t>GC-FID</w:t>
      </w:r>
      <w:r w:rsidR="00273714">
        <w:rPr>
          <w:lang w:val="en-GB"/>
        </w:rPr>
        <w:t>)</w:t>
      </w:r>
      <w:r w:rsidR="00273714" w:rsidRPr="005A07AE">
        <w:rPr>
          <w:lang w:val="en-GB"/>
        </w:rPr>
        <w:t xml:space="preserve"> and </w:t>
      </w:r>
      <w:r w:rsidR="00273714" w:rsidRPr="008D2379">
        <w:rPr>
          <w:lang w:val="en-GB"/>
        </w:rPr>
        <w:t>Solid Phase Microextraction</w:t>
      </w:r>
      <w:r w:rsidR="00273714">
        <w:rPr>
          <w:lang w:val="en-GB"/>
        </w:rPr>
        <w:t>-Gas Chromatography-</w:t>
      </w:r>
      <w:r w:rsidR="00273714" w:rsidRPr="008D2379">
        <w:rPr>
          <w:lang w:val="en-GB"/>
        </w:rPr>
        <w:t>Mass Spectrometry</w:t>
      </w:r>
      <w:r w:rsidR="00273714" w:rsidRPr="006C6714">
        <w:rPr>
          <w:lang w:val="en-GB"/>
        </w:rPr>
        <w:t xml:space="preserve"> </w:t>
      </w:r>
      <w:r w:rsidR="00273714">
        <w:rPr>
          <w:lang w:val="en-GB"/>
        </w:rPr>
        <w:t>(</w:t>
      </w:r>
      <w:r w:rsidR="00273714" w:rsidRPr="005A07AE">
        <w:rPr>
          <w:lang w:val="en-GB"/>
        </w:rPr>
        <w:t>SPME-GC-MS</w:t>
      </w:r>
      <w:r w:rsidR="00273714">
        <w:rPr>
          <w:lang w:val="en-GB"/>
        </w:rPr>
        <w:t>)</w:t>
      </w:r>
      <w:r w:rsidR="006C6714" w:rsidRPr="006C6714">
        <w:rPr>
          <w:lang w:val="en-GB"/>
        </w:rPr>
        <w:t xml:space="preserve">, while the separator was analysed by </w:t>
      </w:r>
      <w:r w:rsidR="00273714" w:rsidRPr="00315191">
        <w:rPr>
          <w:lang w:val="en-GB"/>
        </w:rPr>
        <w:t>Attenuated total reflection Fourier-transform infrared spectroscopy</w:t>
      </w:r>
      <w:r w:rsidR="00273714">
        <w:rPr>
          <w:lang w:val="en-GB"/>
        </w:rPr>
        <w:t xml:space="preserve"> (</w:t>
      </w:r>
      <w:r w:rsidR="00273714" w:rsidRPr="006C6714">
        <w:rPr>
          <w:lang w:val="en-GB"/>
        </w:rPr>
        <w:t>ATR-FT-IR</w:t>
      </w:r>
      <w:r w:rsidR="00273714">
        <w:rPr>
          <w:lang w:val="en-GB"/>
        </w:rPr>
        <w:t xml:space="preserve">) and Differential </w:t>
      </w:r>
      <w:r w:rsidR="00273714" w:rsidRPr="00315191">
        <w:rPr>
          <w:lang w:val="en-GB"/>
        </w:rPr>
        <w:t>Scanning Calorimetry</w:t>
      </w:r>
      <w:r w:rsidR="00273714">
        <w:rPr>
          <w:lang w:val="en-GB"/>
        </w:rPr>
        <w:t xml:space="preserve"> (</w:t>
      </w:r>
      <w:r w:rsidR="00273714" w:rsidRPr="006C6714">
        <w:rPr>
          <w:lang w:val="en-GB"/>
        </w:rPr>
        <w:t>DSC</w:t>
      </w:r>
      <w:r w:rsidR="00273714">
        <w:rPr>
          <w:lang w:val="en-GB"/>
        </w:rPr>
        <w:t>)</w:t>
      </w:r>
      <w:r w:rsidR="006C6714" w:rsidRPr="006C6714">
        <w:rPr>
          <w:lang w:val="en-GB"/>
        </w:rPr>
        <w:t>.</w:t>
      </w:r>
      <w:r w:rsidR="006C6714">
        <w:rPr>
          <w:lang w:val="en-GB"/>
        </w:rPr>
        <w:t xml:space="preserve"> </w:t>
      </w:r>
      <w:r>
        <w:rPr>
          <w:lang w:val="en-GB"/>
        </w:rPr>
        <w:t>The k</w:t>
      </w:r>
      <w:r w:rsidR="006C6714" w:rsidRPr="006C6714">
        <w:rPr>
          <w:lang w:val="en-GB"/>
        </w:rPr>
        <w:t xml:space="preserve">nowledge of the compounds </w:t>
      </w:r>
      <w:r w:rsidR="002F0F4B">
        <w:rPr>
          <w:lang w:val="en-GB"/>
        </w:rPr>
        <w:t xml:space="preserve">and their compositions </w:t>
      </w:r>
      <w:r w:rsidR="006C6714" w:rsidRPr="006C6714">
        <w:rPr>
          <w:lang w:val="en-GB"/>
        </w:rPr>
        <w:t xml:space="preserve">present inside the Li-ion cells is fundamental both to understand the reactions that occurred inside the cell </w:t>
      </w:r>
      <w:r w:rsidR="007C3C36">
        <w:rPr>
          <w:lang w:val="en-GB"/>
        </w:rPr>
        <w:t>leading</w:t>
      </w:r>
      <w:r>
        <w:rPr>
          <w:lang w:val="en-GB"/>
        </w:rPr>
        <w:t xml:space="preserve"> to thermal runaway and t</w:t>
      </w:r>
      <w:r w:rsidR="006C6714" w:rsidRPr="006C6714">
        <w:rPr>
          <w:lang w:val="en-GB"/>
        </w:rPr>
        <w:t xml:space="preserve">o evaluate the risk </w:t>
      </w:r>
      <w:r>
        <w:rPr>
          <w:lang w:val="en-GB"/>
        </w:rPr>
        <w:t>to</w:t>
      </w:r>
      <w:r w:rsidR="006C6714" w:rsidRPr="006C6714">
        <w:rPr>
          <w:lang w:val="en-GB"/>
        </w:rPr>
        <w:t xml:space="preserve"> human health</w:t>
      </w:r>
      <w:r w:rsidR="00FD573A">
        <w:rPr>
          <w:lang w:val="en-GB"/>
        </w:rPr>
        <w:t xml:space="preserve"> and the environment.</w:t>
      </w:r>
    </w:p>
    <w:p w14:paraId="5741900F" w14:textId="39C15A6C" w:rsidR="00453E24" w:rsidRDefault="00EA3ADA" w:rsidP="00453E24">
      <w:pPr>
        <w:pStyle w:val="CETHeading1"/>
      </w:pPr>
      <w:r>
        <w:t>Materials and Methods</w:t>
      </w:r>
    </w:p>
    <w:p w14:paraId="0636B784" w14:textId="7E078B18" w:rsidR="00453E24" w:rsidRDefault="008A545C" w:rsidP="00744401">
      <w:pPr>
        <w:pStyle w:val="CETheadingx"/>
      </w:pPr>
      <w:r>
        <w:t xml:space="preserve">2.1 </w:t>
      </w:r>
      <w:r w:rsidR="00EA3ADA">
        <w:t>Materials</w:t>
      </w:r>
    </w:p>
    <w:p w14:paraId="7C96AE9D" w14:textId="245880BD" w:rsidR="006C65C0" w:rsidRDefault="00170292" w:rsidP="006C65C0">
      <w:pPr>
        <w:pStyle w:val="CETBodytext"/>
      </w:pPr>
      <w:r>
        <w:t>T</w:t>
      </w:r>
      <w:r w:rsidR="006C65C0">
        <w:t>h</w:t>
      </w:r>
      <w:r w:rsidR="001A0CDC">
        <w:t>re</w:t>
      </w:r>
      <w:r w:rsidR="006C65C0">
        <w:t xml:space="preserve">e </w:t>
      </w:r>
      <w:r w:rsidR="006E5932">
        <w:t>Li</w:t>
      </w:r>
      <w:r w:rsidR="006C65C0">
        <w:t xml:space="preserve">-ion </w:t>
      </w:r>
      <w:r w:rsidR="001A0CDC">
        <w:t xml:space="preserve">cylindrical </w:t>
      </w:r>
      <w:r w:rsidR="006C65C0">
        <w:t>cells</w:t>
      </w:r>
      <w:r>
        <w:t xml:space="preserve"> were considered</w:t>
      </w:r>
      <w:r w:rsidR="001A0CDC">
        <w:t>, as</w:t>
      </w:r>
      <w:r w:rsidR="006C65C0">
        <w:t xml:space="preserve"> </w:t>
      </w:r>
      <w:r w:rsidR="006C65C0" w:rsidRPr="00FC48D8">
        <w:t xml:space="preserve">reported in Table 1. </w:t>
      </w:r>
      <w:r w:rsidR="001829AE" w:rsidRPr="001829AE">
        <w:t>Usually</w:t>
      </w:r>
      <w:r w:rsidR="00C30CDD">
        <w:t>,</w:t>
      </w:r>
      <w:r w:rsidR="001829AE" w:rsidRPr="001829AE">
        <w:t xml:space="preserve"> the </w:t>
      </w:r>
      <w:r w:rsidR="001829AE">
        <w:t>L</w:t>
      </w:r>
      <w:r w:rsidR="00900B79">
        <w:t>IBs</w:t>
      </w:r>
      <w:r w:rsidR="001829AE" w:rsidRPr="001829AE">
        <w:t xml:space="preserve"> are </w:t>
      </w:r>
      <w:r w:rsidR="0000356E">
        <w:t>named</w:t>
      </w:r>
      <w:r w:rsidR="001829AE" w:rsidRPr="001829AE">
        <w:t xml:space="preserve"> according to the cathode material</w:t>
      </w:r>
      <w:r w:rsidR="001A0CDC">
        <w:t xml:space="preserve"> (i.e., NCA</w:t>
      </w:r>
      <w:r w:rsidR="001829AE" w:rsidRPr="001829AE">
        <w:t>,</w:t>
      </w:r>
      <w:r>
        <w:t xml:space="preserve"> </w:t>
      </w:r>
      <w:r w:rsidR="001A0CDC">
        <w:t>LFP</w:t>
      </w:r>
      <w:r w:rsidR="001A0CDC">
        <w:rPr>
          <w:lang w:val="en-GB"/>
        </w:rPr>
        <w:t xml:space="preserve">) </w:t>
      </w:r>
      <w:r w:rsidR="001829AE" w:rsidRPr="001829AE">
        <w:t xml:space="preserve">except </w:t>
      </w:r>
      <w:r w:rsidR="001A0CDC">
        <w:t xml:space="preserve">for </w:t>
      </w:r>
      <w:r w:rsidR="001829AE" w:rsidRPr="001829AE">
        <w:t>LTO</w:t>
      </w:r>
      <w:r w:rsidR="001A0CDC">
        <w:rPr>
          <w:lang w:val="en-GB"/>
        </w:rPr>
        <w:t xml:space="preserve"> </w:t>
      </w:r>
      <w:r w:rsidR="001A0CDC">
        <w:t xml:space="preserve">which is referred to the </w:t>
      </w:r>
      <w:r>
        <w:t>anode material</w:t>
      </w:r>
      <w:r w:rsidR="001829AE" w:rsidRPr="001829AE">
        <w:t>.</w:t>
      </w:r>
      <w:r w:rsidR="001829AE">
        <w:t xml:space="preserve"> </w:t>
      </w:r>
      <w:r w:rsidR="001A0CDC">
        <w:t xml:space="preserve">For sake of clarity, in the following the id-code of the </w:t>
      </w:r>
      <w:r w:rsidR="001829AE" w:rsidRPr="001829AE">
        <w:t>cells indicate</w:t>
      </w:r>
      <w:r w:rsidR="00BB5F7B">
        <w:t>s</w:t>
      </w:r>
      <w:r w:rsidR="001829AE" w:rsidRPr="001829AE">
        <w:t xml:space="preserve"> both </w:t>
      </w:r>
      <w:r w:rsidR="001A0CDC">
        <w:t xml:space="preserve">anode and cathode </w:t>
      </w:r>
      <w:r w:rsidR="001829AE" w:rsidRPr="001829AE">
        <w:t>materials, i.e.,</w:t>
      </w:r>
      <w:r w:rsidR="001A0CDC">
        <w:t xml:space="preserve"> the id-code</w:t>
      </w:r>
      <w:r w:rsidR="001829AE" w:rsidRPr="001829AE">
        <w:t xml:space="preserve"> C/NCA indicates a cell with </w:t>
      </w:r>
      <w:r w:rsidR="001A0CDC">
        <w:t>graphite</w:t>
      </w:r>
      <w:r w:rsidR="001829AE" w:rsidRPr="001829AE">
        <w:t xml:space="preserve"> as anode and NCA as cathode.</w:t>
      </w:r>
      <w:r w:rsidR="004A5978">
        <w:t xml:space="preserve"> </w:t>
      </w:r>
      <w:r w:rsidR="004A5978" w:rsidRPr="004A5978">
        <w:t>The cells were charged to the 50</w:t>
      </w:r>
      <w:r w:rsidR="004A5978">
        <w:t xml:space="preserve"> </w:t>
      </w:r>
      <w:r w:rsidR="004A5978" w:rsidRPr="004A5978">
        <w:t>%</w:t>
      </w:r>
      <w:r w:rsidR="004A5978">
        <w:t xml:space="preserve"> SoC</w:t>
      </w:r>
      <w:r w:rsidR="004A5978" w:rsidRPr="004A5978">
        <w:t xml:space="preserve"> respectively, after </w:t>
      </w:r>
      <w:r w:rsidR="002F0F4B">
        <w:t xml:space="preserve">the </w:t>
      </w:r>
      <w:r w:rsidR="004A5978">
        <w:t>solid electrolyte interphase (</w:t>
      </w:r>
      <w:r w:rsidR="004A5978" w:rsidRPr="004A5978">
        <w:t>SEI</w:t>
      </w:r>
      <w:r w:rsidR="004A5978">
        <w:t>)</w:t>
      </w:r>
      <w:r w:rsidR="004A5978" w:rsidRPr="004A5978">
        <w:t xml:space="preserve"> was formed through charge-discharge cycles.</w:t>
      </w:r>
    </w:p>
    <w:p w14:paraId="5630C20D" w14:textId="271A3DE3" w:rsidR="006C65C0" w:rsidRPr="00B57B36" w:rsidRDefault="006C65C0" w:rsidP="006C65C0">
      <w:pPr>
        <w:pStyle w:val="CETTabletitle"/>
      </w:pPr>
      <w:r w:rsidRPr="00B57B36">
        <w:t xml:space="preserve">Table 1: </w:t>
      </w:r>
      <w:r w:rsidR="00DD4EE4">
        <w:t>C</w:t>
      </w:r>
      <w:r w:rsidR="000275A4" w:rsidRPr="000275A4">
        <w:t>ylindrical Li-ion cells and relative technical specification according to the SDS.</w:t>
      </w:r>
    </w:p>
    <w:tbl>
      <w:tblPr>
        <w:tblW w:w="5000" w:type="pct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61"/>
        <w:gridCol w:w="1276"/>
        <w:gridCol w:w="2550"/>
      </w:tblGrid>
      <w:tr w:rsidR="00054FA2" w:rsidRPr="00B57B36" w14:paraId="63647115" w14:textId="77777777" w:rsidTr="00E71273">
        <w:tc>
          <w:tcPr>
            <w:tcW w:w="2823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A97BC23" w14:textId="4AEEE12D" w:rsidR="00054FA2" w:rsidRPr="00B57B36" w:rsidRDefault="00054FA2" w:rsidP="00B64A07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Chemical composition</w:t>
            </w:r>
          </w:p>
        </w:tc>
        <w:tc>
          <w:tcPr>
            <w:tcW w:w="726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A1934D2" w14:textId="6DE141F1" w:rsidR="00054FA2" w:rsidRPr="00B57B36" w:rsidRDefault="00054FA2" w:rsidP="00B64A07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Id-code</w:t>
            </w:r>
          </w:p>
        </w:tc>
        <w:tc>
          <w:tcPr>
            <w:tcW w:w="1451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40C5FA4" w14:textId="75ABA6F8" w:rsidR="00054FA2" w:rsidRPr="00B57B36" w:rsidRDefault="00054FA2" w:rsidP="00B64A07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lang w:val="en-GB"/>
              </w:rPr>
              <w:t>Technical specification</w:t>
            </w:r>
          </w:p>
        </w:tc>
      </w:tr>
      <w:tr w:rsidR="00054FA2" w:rsidRPr="00B57B36" w14:paraId="4BF6A019" w14:textId="77777777" w:rsidTr="00E71273">
        <w:tc>
          <w:tcPr>
            <w:tcW w:w="2823" w:type="pct"/>
            <w:tcBorders>
              <w:top w:val="single" w:sz="6" w:space="0" w:color="008000"/>
              <w:bottom w:val="single" w:sz="4" w:space="0" w:color="auto"/>
            </w:tcBorders>
            <w:shd w:val="clear" w:color="auto" w:fill="FFFFFF"/>
            <w:vAlign w:val="center"/>
          </w:tcPr>
          <w:p w14:paraId="65EA1B9B" w14:textId="77777777" w:rsidR="00054FA2" w:rsidRPr="00B64A07" w:rsidRDefault="00054FA2" w:rsidP="008B29EC">
            <w:pPr>
              <w:pStyle w:val="CETBodytext"/>
              <w:jc w:val="left"/>
              <w:rPr>
                <w:lang w:val="en-GB"/>
              </w:rPr>
            </w:pPr>
            <w:r w:rsidRPr="00B64A07">
              <w:rPr>
                <w:lang w:val="en-GB"/>
              </w:rPr>
              <w:t>Anode: graphite (C)</w:t>
            </w:r>
          </w:p>
          <w:p w14:paraId="50122944" w14:textId="5130E1A8" w:rsidR="00054FA2" w:rsidRPr="00B57B36" w:rsidRDefault="00054FA2" w:rsidP="008B29EC">
            <w:pPr>
              <w:pStyle w:val="CETBodytext"/>
              <w:jc w:val="left"/>
              <w:rPr>
                <w:lang w:val="en-GB"/>
              </w:rPr>
            </w:pPr>
            <w:r w:rsidRPr="00B64A07">
              <w:rPr>
                <w:lang w:val="en-GB"/>
              </w:rPr>
              <w:t>Cathode: Lithium nickel cobalt aluminium oxide (NCA)</w:t>
            </w:r>
          </w:p>
        </w:tc>
        <w:tc>
          <w:tcPr>
            <w:tcW w:w="726" w:type="pct"/>
            <w:tcBorders>
              <w:top w:val="single" w:sz="6" w:space="0" w:color="008000"/>
              <w:bottom w:val="single" w:sz="4" w:space="0" w:color="auto"/>
            </w:tcBorders>
            <w:shd w:val="clear" w:color="auto" w:fill="FFFFFF"/>
            <w:vAlign w:val="center"/>
          </w:tcPr>
          <w:p w14:paraId="63C5EF17" w14:textId="23607D3E" w:rsidR="00054FA2" w:rsidRPr="00B57B36" w:rsidRDefault="003A7C4B" w:rsidP="008B29EC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>C/</w:t>
            </w:r>
            <w:r w:rsidR="00054FA2">
              <w:rPr>
                <w:lang w:val="en-GB"/>
              </w:rPr>
              <w:t>NCA</w:t>
            </w:r>
          </w:p>
        </w:tc>
        <w:tc>
          <w:tcPr>
            <w:tcW w:w="1451" w:type="pct"/>
            <w:tcBorders>
              <w:top w:val="single" w:sz="6" w:space="0" w:color="008000"/>
              <w:bottom w:val="single" w:sz="4" w:space="0" w:color="auto"/>
            </w:tcBorders>
            <w:shd w:val="clear" w:color="auto" w:fill="FFFFFF"/>
          </w:tcPr>
          <w:p w14:paraId="4C09EB3B" w14:textId="7B663AEA" w:rsidR="0037653C" w:rsidRDefault="00054FA2" w:rsidP="0037653C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 xml:space="preserve">Rated capacity: 3200 </w:t>
            </w:r>
            <w:proofErr w:type="spellStart"/>
            <w:r>
              <w:rPr>
                <w:rFonts w:cs="Arial"/>
                <w:szCs w:val="18"/>
                <w:lang w:val="en-GB"/>
              </w:rPr>
              <w:t>mAh</w:t>
            </w:r>
            <w:proofErr w:type="spellEnd"/>
            <w:r w:rsidR="0037653C">
              <w:rPr>
                <w:rFonts w:cs="Arial"/>
                <w:szCs w:val="18"/>
                <w:lang w:val="en-GB"/>
              </w:rPr>
              <w:t xml:space="preserve"> </w:t>
            </w:r>
          </w:p>
          <w:p w14:paraId="3B7239F2" w14:textId="086DA9FE" w:rsidR="00054FA2" w:rsidRPr="00B57B36" w:rsidRDefault="00054FA2" w:rsidP="0037653C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Nominal voltage: 3.6 V</w:t>
            </w:r>
            <w:r w:rsidR="0037653C">
              <w:rPr>
                <w:rFonts w:cs="Arial"/>
                <w:szCs w:val="18"/>
                <w:lang w:val="en-GB"/>
              </w:rPr>
              <w:t xml:space="preserve"> </w:t>
            </w:r>
          </w:p>
        </w:tc>
      </w:tr>
      <w:tr w:rsidR="00054FA2" w:rsidRPr="00B57B36" w14:paraId="48B5905A" w14:textId="77777777" w:rsidTr="00E71273">
        <w:tc>
          <w:tcPr>
            <w:tcW w:w="28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7BD80A" w14:textId="77777777" w:rsidR="00054FA2" w:rsidRPr="00B64A07" w:rsidRDefault="00054FA2" w:rsidP="008B29EC">
            <w:pPr>
              <w:pStyle w:val="CETBodytext"/>
              <w:jc w:val="left"/>
              <w:rPr>
                <w:lang w:val="en-GB"/>
              </w:rPr>
            </w:pPr>
            <w:r w:rsidRPr="00B64A07">
              <w:rPr>
                <w:lang w:val="en-GB"/>
              </w:rPr>
              <w:t>Anode: Lithium titanium oxide (LTO)</w:t>
            </w:r>
          </w:p>
          <w:p w14:paraId="2E93BFAD" w14:textId="0B77F994" w:rsidR="00054FA2" w:rsidRPr="00B57B36" w:rsidRDefault="00054FA2" w:rsidP="008B29EC">
            <w:pPr>
              <w:pStyle w:val="CETBodytext"/>
              <w:jc w:val="left"/>
              <w:rPr>
                <w:lang w:val="en-GB"/>
              </w:rPr>
            </w:pPr>
            <w:r w:rsidRPr="00B64A07">
              <w:rPr>
                <w:lang w:val="en-GB"/>
              </w:rPr>
              <w:t>Cathode: Lithium nickel cobalt aluminium oxide (NCA)</w:t>
            </w: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2D256A" w14:textId="7C5C493C" w:rsidR="00054FA2" w:rsidRPr="00B57B36" w:rsidRDefault="00054FA2" w:rsidP="008B29EC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>LTO</w:t>
            </w:r>
            <w:r w:rsidR="003A7C4B">
              <w:rPr>
                <w:lang w:val="en-GB"/>
              </w:rPr>
              <w:t>/NCA</w:t>
            </w: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A42805" w14:textId="00F58EF7" w:rsidR="00054FA2" w:rsidRDefault="00054FA2" w:rsidP="00B64A07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 xml:space="preserve">Rated capacity: 1300 </w:t>
            </w:r>
            <w:proofErr w:type="spellStart"/>
            <w:r>
              <w:rPr>
                <w:rFonts w:cs="Arial"/>
                <w:szCs w:val="18"/>
                <w:lang w:val="en-GB"/>
              </w:rPr>
              <w:t>mAh</w:t>
            </w:r>
            <w:proofErr w:type="spellEnd"/>
          </w:p>
          <w:p w14:paraId="60013DFB" w14:textId="4B8B6C53" w:rsidR="00054FA2" w:rsidRPr="00B57B36" w:rsidRDefault="00054FA2" w:rsidP="0037653C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Nominal voltage: 2.4 V</w:t>
            </w:r>
          </w:p>
        </w:tc>
      </w:tr>
      <w:tr w:rsidR="00054FA2" w:rsidRPr="00B57B36" w14:paraId="7CCA44E1" w14:textId="77777777" w:rsidTr="00E71273">
        <w:tc>
          <w:tcPr>
            <w:tcW w:w="282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005046" w14:textId="77777777" w:rsidR="00054FA2" w:rsidRPr="00B64A07" w:rsidRDefault="00054FA2" w:rsidP="008B29EC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 w:rsidRPr="00B64A07">
              <w:rPr>
                <w:rFonts w:cs="Arial"/>
                <w:szCs w:val="18"/>
                <w:lang w:val="en-GB"/>
              </w:rPr>
              <w:t>Anode: graphite (C)</w:t>
            </w:r>
          </w:p>
          <w:p w14:paraId="00993B41" w14:textId="2B95D3F1" w:rsidR="00054FA2" w:rsidRPr="00B57B36" w:rsidRDefault="00054FA2" w:rsidP="008B29EC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 w:rsidRPr="00B64A07">
              <w:rPr>
                <w:rFonts w:cs="Arial"/>
                <w:szCs w:val="18"/>
                <w:lang w:val="en-GB"/>
              </w:rPr>
              <w:t>Cathode: Lithium iron phosphate</w:t>
            </w:r>
            <w:r w:rsidR="003A7C4B">
              <w:rPr>
                <w:rFonts w:cs="Arial"/>
                <w:szCs w:val="18"/>
                <w:lang w:val="en-GB"/>
              </w:rPr>
              <w:t xml:space="preserve"> (LFP)</w:t>
            </w:r>
          </w:p>
        </w:tc>
        <w:tc>
          <w:tcPr>
            <w:tcW w:w="72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182DBE5" w14:textId="7288AF36" w:rsidR="00054FA2" w:rsidRPr="00B57B36" w:rsidRDefault="003A7C4B" w:rsidP="008B29EC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C/LFP</w:t>
            </w:r>
          </w:p>
        </w:tc>
        <w:tc>
          <w:tcPr>
            <w:tcW w:w="1451" w:type="pct"/>
            <w:tcBorders>
              <w:top w:val="single" w:sz="4" w:space="0" w:color="auto"/>
            </w:tcBorders>
            <w:shd w:val="clear" w:color="auto" w:fill="FFFFFF"/>
          </w:tcPr>
          <w:p w14:paraId="756F1BC6" w14:textId="48CD00E6" w:rsidR="00054FA2" w:rsidRDefault="00054FA2" w:rsidP="00B64A07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 xml:space="preserve">Rated capacity: 1300 </w:t>
            </w:r>
            <w:proofErr w:type="spellStart"/>
            <w:r>
              <w:rPr>
                <w:rFonts w:cs="Arial"/>
                <w:szCs w:val="18"/>
                <w:lang w:val="en-GB"/>
              </w:rPr>
              <w:t>mAh</w:t>
            </w:r>
            <w:proofErr w:type="spellEnd"/>
          </w:p>
          <w:p w14:paraId="643AAB45" w14:textId="64489D58" w:rsidR="00054FA2" w:rsidRPr="00B57B36" w:rsidRDefault="00054FA2" w:rsidP="0037653C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Nominal voltage: 3.2 V</w:t>
            </w:r>
            <w:r w:rsidR="0037653C">
              <w:rPr>
                <w:rFonts w:cs="Arial"/>
                <w:szCs w:val="18"/>
                <w:lang w:val="en-GB"/>
              </w:rPr>
              <w:t xml:space="preserve"> </w:t>
            </w:r>
          </w:p>
        </w:tc>
      </w:tr>
    </w:tbl>
    <w:p w14:paraId="18BAFA6F" w14:textId="7E898D88" w:rsidR="00453E24" w:rsidRPr="00B57B36" w:rsidRDefault="008A545C" w:rsidP="00744401">
      <w:pPr>
        <w:pStyle w:val="CETheadingx"/>
      </w:pPr>
      <w:r>
        <w:t xml:space="preserve">2.2 </w:t>
      </w:r>
      <w:r w:rsidR="00EA3ADA">
        <w:t>Methods</w:t>
      </w:r>
    </w:p>
    <w:p w14:paraId="4CAEDBCC" w14:textId="035ECF21" w:rsidR="00E650BA" w:rsidRDefault="00E650BA" w:rsidP="00744401">
      <w:pPr>
        <w:pStyle w:val="CETHeadingxx"/>
      </w:pPr>
      <w:r>
        <w:t>2.2.1 Disassembly of the Li-ion cells</w:t>
      </w:r>
    </w:p>
    <w:p w14:paraId="4BC2F417" w14:textId="50C9211E" w:rsidR="006A287F" w:rsidRPr="005C694C" w:rsidRDefault="00E650BA" w:rsidP="006A287F">
      <w:pPr>
        <w:pStyle w:val="CETCaption"/>
        <w:spacing w:line="240" w:lineRule="auto"/>
        <w:rPr>
          <w:i w:val="0"/>
        </w:rPr>
      </w:pPr>
      <w:r w:rsidRPr="005C694C">
        <w:rPr>
          <w:i w:val="0"/>
        </w:rPr>
        <w:t>The Li-ion cells were carefully disassembled in a glove box filled with argon (O</w:t>
      </w:r>
      <w:r w:rsidRPr="005C694C">
        <w:rPr>
          <w:i w:val="0"/>
          <w:vertAlign w:val="subscript"/>
        </w:rPr>
        <w:t>2</w:t>
      </w:r>
      <w:r w:rsidR="008E126E" w:rsidRPr="005C694C">
        <w:rPr>
          <w:i w:val="0"/>
        </w:rPr>
        <w:t xml:space="preserve"> and</w:t>
      </w:r>
      <w:r w:rsidRPr="005C694C">
        <w:rPr>
          <w:i w:val="0"/>
        </w:rPr>
        <w:t xml:space="preserve"> H</w:t>
      </w:r>
      <w:r w:rsidRPr="005C694C">
        <w:rPr>
          <w:i w:val="0"/>
          <w:vertAlign w:val="subscript"/>
        </w:rPr>
        <w:t>2</w:t>
      </w:r>
      <w:r w:rsidRPr="005C694C">
        <w:rPr>
          <w:i w:val="0"/>
        </w:rPr>
        <w:t>O ≤ 0.1 ppm) with the use of an electric Dremel</w:t>
      </w:r>
      <w:r w:rsidRPr="005C694C">
        <w:rPr>
          <w:i w:val="0"/>
          <w:vertAlign w:val="superscript"/>
        </w:rPr>
        <w:t>®</w:t>
      </w:r>
      <w:r w:rsidR="00241E2B" w:rsidRPr="005C694C">
        <w:rPr>
          <w:i w:val="0"/>
        </w:rPr>
        <w:t>, as shown</w:t>
      </w:r>
      <w:r w:rsidRPr="005C694C">
        <w:rPr>
          <w:i w:val="0"/>
        </w:rPr>
        <w:t xml:space="preserve"> in Figure 1</w:t>
      </w:r>
      <w:r w:rsidR="00036066" w:rsidRPr="005C694C">
        <w:rPr>
          <w:i w:val="0"/>
        </w:rPr>
        <w:t>.</w:t>
      </w:r>
      <w:r w:rsidR="002407F6" w:rsidRPr="005C694C">
        <w:rPr>
          <w:i w:val="0"/>
        </w:rPr>
        <w:t xml:space="preserve"> </w:t>
      </w:r>
      <w:r w:rsidR="006A287F" w:rsidRPr="005C694C">
        <w:rPr>
          <w:i w:val="0"/>
        </w:rPr>
        <w:t xml:space="preserve">The disassembly operations were carried out in an inert </w:t>
      </w:r>
      <w:r w:rsidR="006A287F" w:rsidRPr="005C694C">
        <w:rPr>
          <w:i w:val="0"/>
        </w:rPr>
        <w:lastRenderedPageBreak/>
        <w:t xml:space="preserve">atmosphere to avoid the risk of cell ignition, given the high reactivity of the electrolyte with air. </w:t>
      </w:r>
      <w:r w:rsidR="006A287F" w:rsidRPr="006A287F">
        <w:rPr>
          <w:i w:val="0"/>
        </w:rPr>
        <w:t>At the end of the disassembly operation, the internal roll was closed in a 50 m</w:t>
      </w:r>
      <w:r w:rsidR="000B6330">
        <w:rPr>
          <w:i w:val="0"/>
        </w:rPr>
        <w:t>L</w:t>
      </w:r>
      <w:r w:rsidR="006A287F" w:rsidRPr="006A287F">
        <w:rPr>
          <w:i w:val="0"/>
        </w:rPr>
        <w:t xml:space="preserve"> test tube, to avoid the degradation of the materials, then centrifuged to extract the electrolyte and then unrolled to obtain the individual anode, cathode and separator foils</w:t>
      </w:r>
      <w:r w:rsidR="006A287F" w:rsidRPr="005C694C">
        <w:rPr>
          <w:i w:val="0"/>
        </w:rPr>
        <w:t>.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470"/>
        <w:gridCol w:w="504"/>
        <w:gridCol w:w="2499"/>
        <w:gridCol w:w="477"/>
        <w:gridCol w:w="2514"/>
      </w:tblGrid>
      <w:tr w:rsidR="00D53DB8" w14:paraId="2B4DB39C" w14:textId="77777777" w:rsidTr="006A287F">
        <w:tc>
          <w:tcPr>
            <w:tcW w:w="299" w:type="pct"/>
            <w:vAlign w:val="center"/>
          </w:tcPr>
          <w:p w14:paraId="63D70A88" w14:textId="76E8CD68" w:rsidR="00D53DB8" w:rsidRPr="000B0E2F" w:rsidRDefault="00D53DB8" w:rsidP="00D53DB8">
            <w:pPr>
              <w:pStyle w:val="CETBodytext"/>
              <w:jc w:val="center"/>
              <w:rPr>
                <w:sz w:val="14"/>
                <w:szCs w:val="16"/>
              </w:rPr>
            </w:pPr>
            <w:r w:rsidRPr="000B0E2F">
              <w:rPr>
                <w:sz w:val="14"/>
                <w:szCs w:val="16"/>
              </w:rPr>
              <w:t>(a)</w:t>
            </w:r>
          </w:p>
        </w:tc>
        <w:tc>
          <w:tcPr>
            <w:tcW w:w="1372" w:type="pct"/>
            <w:vAlign w:val="center"/>
          </w:tcPr>
          <w:p w14:paraId="28C654C7" w14:textId="2EECFD20" w:rsidR="00D53DB8" w:rsidRPr="000B0E2F" w:rsidRDefault="00D53DB8" w:rsidP="00D53DB8">
            <w:pPr>
              <w:pStyle w:val="CETBodytext"/>
              <w:jc w:val="center"/>
              <w:rPr>
                <w:rFonts w:ascii="Palatino Linotype" w:hAnsi="Palatino Linotype"/>
                <w:noProof/>
                <w:sz w:val="14"/>
                <w:szCs w:val="16"/>
              </w:rPr>
            </w:pPr>
            <w:r w:rsidRPr="000B0E2F">
              <w:rPr>
                <w:rFonts w:ascii="Palatino Linotype" w:hAnsi="Palatino Linotype"/>
                <w:noProof/>
                <w:sz w:val="14"/>
                <w:szCs w:val="16"/>
              </w:rPr>
              <w:drawing>
                <wp:inline distT="0" distB="0" distL="0" distR="0" wp14:anchorId="54B78579" wp14:editId="13E59B2D">
                  <wp:extent cx="1440000" cy="960000"/>
                  <wp:effectExtent l="0" t="0" r="8255" b="0"/>
                  <wp:docPr id="1117988293" name="Immagine 10" descr="Immagine che contiene lavandino, metallo, argento, intern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988293" name="Immagine 10" descr="Immagine che contiene lavandino, metallo, argento, intern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9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pct"/>
            <w:vAlign w:val="center"/>
          </w:tcPr>
          <w:p w14:paraId="321A8578" w14:textId="273AC285" w:rsidR="00D53DB8" w:rsidRPr="000B0E2F" w:rsidRDefault="00D53DB8" w:rsidP="00D53DB8">
            <w:pPr>
              <w:pStyle w:val="CETBodytext"/>
              <w:jc w:val="center"/>
              <w:rPr>
                <w:rFonts w:ascii="Palatino Linotype" w:hAnsi="Palatino Linotype"/>
                <w:noProof/>
                <w:sz w:val="14"/>
                <w:szCs w:val="16"/>
              </w:rPr>
            </w:pPr>
            <w:r w:rsidRPr="000B0E2F">
              <w:rPr>
                <w:sz w:val="14"/>
                <w:szCs w:val="16"/>
              </w:rPr>
              <w:t>(b)</w:t>
            </w:r>
          </w:p>
        </w:tc>
        <w:tc>
          <w:tcPr>
            <w:tcW w:w="1388" w:type="pct"/>
            <w:vAlign w:val="center"/>
          </w:tcPr>
          <w:p w14:paraId="4BBC0003" w14:textId="76C3016C" w:rsidR="00D53DB8" w:rsidRPr="000B0E2F" w:rsidRDefault="00D53DB8" w:rsidP="00D53DB8">
            <w:pPr>
              <w:pStyle w:val="CETBodytext"/>
              <w:jc w:val="center"/>
              <w:rPr>
                <w:sz w:val="14"/>
                <w:szCs w:val="16"/>
              </w:rPr>
            </w:pPr>
            <w:r w:rsidRPr="000B0E2F">
              <w:rPr>
                <w:rFonts w:ascii="Palatino Linotype" w:hAnsi="Palatino Linotype"/>
                <w:noProof/>
                <w:sz w:val="14"/>
                <w:szCs w:val="16"/>
              </w:rPr>
              <w:drawing>
                <wp:inline distT="0" distB="0" distL="0" distR="0" wp14:anchorId="7850A4A6" wp14:editId="1F3FA6DE">
                  <wp:extent cx="1440000" cy="959549"/>
                  <wp:effectExtent l="0" t="0" r="8255" b="0"/>
                  <wp:docPr id="1986556998" name="Immagine 8" descr="Immagine che contiene Ricambio auto, pneumatico, persona, Meccanic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556998" name="Immagine 8" descr="Immagine che contiene Ricambio auto, pneumatico, persona, Meccanic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17" b="20703"/>
                          <a:stretch/>
                        </pic:blipFill>
                        <pic:spPr bwMode="auto">
                          <a:xfrm>
                            <a:off x="0" y="0"/>
                            <a:ext cx="1440000" cy="959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pct"/>
            <w:vAlign w:val="center"/>
          </w:tcPr>
          <w:p w14:paraId="272F8370" w14:textId="67CE1E98" w:rsidR="00D53DB8" w:rsidRPr="000B0E2F" w:rsidRDefault="00D53DB8" w:rsidP="00D53DB8">
            <w:pPr>
              <w:pStyle w:val="CETBodytext"/>
              <w:jc w:val="center"/>
              <w:rPr>
                <w:rFonts w:ascii="Palatino Linotype" w:hAnsi="Palatino Linotype"/>
                <w:noProof/>
                <w:sz w:val="14"/>
                <w:szCs w:val="16"/>
              </w:rPr>
            </w:pPr>
            <w:r w:rsidRPr="000B0E2F">
              <w:rPr>
                <w:sz w:val="14"/>
                <w:szCs w:val="16"/>
              </w:rPr>
              <w:t>(c)</w:t>
            </w:r>
          </w:p>
        </w:tc>
        <w:tc>
          <w:tcPr>
            <w:tcW w:w="1397" w:type="pct"/>
            <w:vAlign w:val="center"/>
          </w:tcPr>
          <w:p w14:paraId="06594F8E" w14:textId="16968315" w:rsidR="00D53DB8" w:rsidRPr="000B0E2F" w:rsidRDefault="00D53DB8" w:rsidP="00D53DB8">
            <w:pPr>
              <w:pStyle w:val="CETBodytext"/>
              <w:jc w:val="center"/>
              <w:rPr>
                <w:sz w:val="14"/>
                <w:szCs w:val="16"/>
              </w:rPr>
            </w:pPr>
            <w:r w:rsidRPr="000B0E2F">
              <w:rPr>
                <w:rFonts w:ascii="Palatino Linotype" w:hAnsi="Palatino Linotype"/>
                <w:noProof/>
                <w:sz w:val="14"/>
                <w:szCs w:val="16"/>
              </w:rPr>
              <w:drawing>
                <wp:inline distT="0" distB="0" distL="0" distR="0" wp14:anchorId="0EC6B318" wp14:editId="2E313184">
                  <wp:extent cx="1440000" cy="960000"/>
                  <wp:effectExtent l="0" t="0" r="8255" b="0"/>
                  <wp:docPr id="1228516352" name="Immagine 9" descr="Immagine che contiene plastica, interno, strumento, forbici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516352" name="Immagine 9" descr="Immagine che contiene plastica, interno, strumento, forbici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9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0B87C9" w14:textId="25BB54A4" w:rsidR="00036066" w:rsidRDefault="00036066" w:rsidP="00450E44">
      <w:pPr>
        <w:pStyle w:val="CETCaption"/>
        <w:spacing w:before="0" w:line="240" w:lineRule="auto"/>
      </w:pPr>
      <w:r w:rsidRPr="00BD077D">
        <w:rPr>
          <w:rStyle w:val="CETCaptionCarattere"/>
          <w:i/>
        </w:rPr>
        <w:t xml:space="preserve">Figure 1: </w:t>
      </w:r>
      <w:r w:rsidR="00DD4EE4">
        <w:rPr>
          <w:rStyle w:val="CETCaptionCarattere"/>
          <w:i/>
        </w:rPr>
        <w:t>D</w:t>
      </w:r>
      <w:r w:rsidRPr="00036066">
        <w:rPr>
          <w:rStyle w:val="CETCaptionCarattere"/>
          <w:i/>
        </w:rPr>
        <w:t>isassembly steps:</w:t>
      </w:r>
      <w:r w:rsidR="00697621">
        <w:rPr>
          <w:rStyle w:val="CETCaptionCarattere"/>
          <w:i/>
        </w:rPr>
        <w:t xml:space="preserve"> </w:t>
      </w:r>
      <w:r w:rsidR="002631B5">
        <w:rPr>
          <w:rStyle w:val="CETCaptionCarattere"/>
          <w:i/>
        </w:rPr>
        <w:t xml:space="preserve">(a) </w:t>
      </w:r>
      <w:r w:rsidRPr="00036066">
        <w:rPr>
          <w:rStyle w:val="CETCaptionCarattere"/>
          <w:i/>
        </w:rPr>
        <w:t>external case incision</w:t>
      </w:r>
      <w:r w:rsidR="002631B5">
        <w:rPr>
          <w:rStyle w:val="CETCaptionCarattere"/>
          <w:i/>
        </w:rPr>
        <w:t xml:space="preserve">; </w:t>
      </w:r>
      <w:r w:rsidRPr="00036066">
        <w:rPr>
          <w:rStyle w:val="CETCaptionCarattere"/>
          <w:i/>
        </w:rPr>
        <w:t>(</w:t>
      </w:r>
      <w:r w:rsidR="002631B5">
        <w:rPr>
          <w:rStyle w:val="CETCaptionCarattere"/>
          <w:i/>
        </w:rPr>
        <w:t>b</w:t>
      </w:r>
      <w:r w:rsidRPr="00036066">
        <w:rPr>
          <w:rStyle w:val="CETCaptionCarattere"/>
          <w:i/>
        </w:rPr>
        <w:t>) outer case</w:t>
      </w:r>
      <w:r w:rsidR="001A4609">
        <w:rPr>
          <w:rStyle w:val="CETCaptionCarattere"/>
          <w:i/>
        </w:rPr>
        <w:t xml:space="preserve"> incision</w:t>
      </w:r>
      <w:r w:rsidR="002631B5">
        <w:rPr>
          <w:rStyle w:val="CETCaptionCarattere"/>
          <w:i/>
        </w:rPr>
        <w:t xml:space="preserve">; </w:t>
      </w:r>
      <w:r w:rsidRPr="00036066">
        <w:rPr>
          <w:rStyle w:val="CETCaptionCarattere"/>
          <w:i/>
        </w:rPr>
        <w:t>(</w:t>
      </w:r>
      <w:r w:rsidR="002631B5">
        <w:rPr>
          <w:rStyle w:val="CETCaptionCarattere"/>
          <w:i/>
        </w:rPr>
        <w:t>c</w:t>
      </w:r>
      <w:r w:rsidRPr="00036066">
        <w:rPr>
          <w:rStyle w:val="CETCaptionCarattere"/>
          <w:i/>
        </w:rPr>
        <w:t>)</w:t>
      </w:r>
      <w:r w:rsidR="002631B5">
        <w:rPr>
          <w:rStyle w:val="CETCaptionCarattere"/>
          <w:i/>
        </w:rPr>
        <w:t xml:space="preserve"> </w:t>
      </w:r>
      <w:r w:rsidRPr="00036066">
        <w:rPr>
          <w:rStyle w:val="CETCaptionCarattere"/>
          <w:i/>
        </w:rPr>
        <w:t>electrode</w:t>
      </w:r>
      <w:r w:rsidR="001A4609">
        <w:rPr>
          <w:rStyle w:val="CETCaptionCarattere"/>
          <w:i/>
        </w:rPr>
        <w:t>s separation</w:t>
      </w:r>
      <w:r w:rsidRPr="00036066">
        <w:rPr>
          <w:rStyle w:val="CETCaptionCarattere"/>
          <w:i/>
        </w:rPr>
        <w:t>.</w:t>
      </w:r>
      <w:r w:rsidRPr="00BD077D">
        <w:t xml:space="preserve"> </w:t>
      </w:r>
    </w:p>
    <w:p w14:paraId="5234D3EF" w14:textId="11564C8C" w:rsidR="00036066" w:rsidRDefault="00036066" w:rsidP="00744401">
      <w:pPr>
        <w:pStyle w:val="CETHeadingxx"/>
      </w:pPr>
      <w:r>
        <w:t>2.2.2 Electrode characterization</w:t>
      </w:r>
    </w:p>
    <w:p w14:paraId="788FCEA1" w14:textId="5F3AC9D9" w:rsidR="005C694C" w:rsidRDefault="00036066" w:rsidP="00036066">
      <w:pPr>
        <w:pStyle w:val="CETBodytext"/>
        <w:rPr>
          <w:lang w:val="en-GB"/>
        </w:rPr>
      </w:pPr>
      <w:r w:rsidRPr="00036066">
        <w:rPr>
          <w:lang w:val="en-GB"/>
        </w:rPr>
        <w:t xml:space="preserve">The </w:t>
      </w:r>
      <w:r w:rsidR="008E126E">
        <w:rPr>
          <w:lang w:val="en-GB"/>
        </w:rPr>
        <w:t xml:space="preserve">separated </w:t>
      </w:r>
      <w:r w:rsidRPr="00036066">
        <w:rPr>
          <w:lang w:val="en-GB"/>
        </w:rPr>
        <w:t>electrode</w:t>
      </w:r>
      <w:r w:rsidR="00C24675">
        <w:rPr>
          <w:lang w:val="en-GB"/>
        </w:rPr>
        <w:t xml:space="preserve"> foils</w:t>
      </w:r>
      <w:r w:rsidRPr="00036066">
        <w:rPr>
          <w:lang w:val="en-GB"/>
        </w:rPr>
        <w:t xml:space="preserve"> were analysed by ICP-OES</w:t>
      </w:r>
      <w:r w:rsidR="004144B2">
        <w:rPr>
          <w:lang w:val="en-GB"/>
        </w:rPr>
        <w:t>.</w:t>
      </w:r>
      <w:r w:rsidR="001221E1">
        <w:rPr>
          <w:lang w:val="en-GB"/>
        </w:rPr>
        <w:t xml:space="preserve"> </w:t>
      </w:r>
      <w:r w:rsidR="004144B2">
        <w:rPr>
          <w:lang w:val="en-GB"/>
        </w:rPr>
        <w:t>This technique is applied to quantify the elemental composition of materials</w:t>
      </w:r>
      <w:r w:rsidR="001221E1">
        <w:rPr>
          <w:lang w:val="en-GB"/>
        </w:rPr>
        <w:t xml:space="preserve">, </w:t>
      </w:r>
      <w:r w:rsidR="001221E1" w:rsidRPr="001221E1">
        <w:rPr>
          <w:lang w:val="en-GB"/>
        </w:rPr>
        <w:t>with exceptions for some light elements or halogens</w:t>
      </w:r>
      <w:r w:rsidR="001221E1">
        <w:rPr>
          <w:lang w:val="en-GB"/>
        </w:rPr>
        <w:t xml:space="preserve">. A </w:t>
      </w:r>
      <w:r w:rsidR="001221E1" w:rsidRPr="001221E1">
        <w:rPr>
          <w:lang w:val="en-GB"/>
        </w:rPr>
        <w:t>mineralization step is performed</w:t>
      </w:r>
      <w:r w:rsidR="001221E1">
        <w:rPr>
          <w:lang w:val="en-GB"/>
        </w:rPr>
        <w:t xml:space="preserve"> </w:t>
      </w:r>
      <w:r w:rsidR="001221E1" w:rsidRPr="001221E1">
        <w:rPr>
          <w:lang w:val="en-GB"/>
        </w:rPr>
        <w:t>involving dissolution in aqua regia</w:t>
      </w:r>
      <w:r w:rsidR="001221E1">
        <w:rPr>
          <w:lang w:val="en-GB"/>
        </w:rPr>
        <w:t xml:space="preserve"> </w:t>
      </w:r>
      <w:r w:rsidR="001221E1" w:rsidRPr="001221E1">
        <w:rPr>
          <w:lang w:val="en-GB"/>
        </w:rPr>
        <w:t>(3:1 v/v HCl:HNO</w:t>
      </w:r>
      <w:r w:rsidR="001221E1" w:rsidRPr="001221E1">
        <w:rPr>
          <w:vertAlign w:val="subscript"/>
          <w:lang w:val="en-GB"/>
        </w:rPr>
        <w:t>3</w:t>
      </w:r>
      <w:r w:rsidR="001221E1">
        <w:rPr>
          <w:lang w:val="en-GB"/>
        </w:rPr>
        <w:t>).</w:t>
      </w:r>
      <w:r w:rsidR="007F06E8">
        <w:rPr>
          <w:lang w:val="en-GB"/>
        </w:rPr>
        <w:t xml:space="preserve"> </w:t>
      </w:r>
    </w:p>
    <w:p w14:paraId="46A0137B" w14:textId="2B592860" w:rsidR="00036066" w:rsidRDefault="00036066" w:rsidP="00036066">
      <w:pPr>
        <w:pStyle w:val="CETBodytext"/>
        <w:rPr>
          <w:lang w:val="en-GB"/>
        </w:rPr>
      </w:pPr>
      <w:r>
        <w:rPr>
          <w:lang w:val="en-GB"/>
        </w:rPr>
        <w:t>Electrodes</w:t>
      </w:r>
      <w:r w:rsidRPr="00036066">
        <w:rPr>
          <w:lang w:val="en-GB"/>
        </w:rPr>
        <w:t xml:space="preserve"> were previously homogenized using a laboratory agate mortar to obtain a fine powder. 0.150 g were weighed and were then placed in </w:t>
      </w:r>
      <w:r w:rsidR="008E126E">
        <w:rPr>
          <w:lang w:val="en-GB"/>
        </w:rPr>
        <w:t>a</w:t>
      </w:r>
      <w:r w:rsidRPr="00036066">
        <w:rPr>
          <w:lang w:val="en-GB"/>
        </w:rPr>
        <w:t xml:space="preserve"> muffle for 8 h at 530 °C. </w:t>
      </w:r>
      <w:r w:rsidR="00171250">
        <w:rPr>
          <w:lang w:val="en-GB"/>
        </w:rPr>
        <w:t>Then</w:t>
      </w:r>
      <w:r w:rsidRPr="00036066">
        <w:rPr>
          <w:lang w:val="en-GB"/>
        </w:rPr>
        <w:t>, 10 m</w:t>
      </w:r>
      <w:r w:rsidR="00171250">
        <w:rPr>
          <w:lang w:val="en-GB"/>
        </w:rPr>
        <w:t>L</w:t>
      </w:r>
      <w:r w:rsidRPr="00036066">
        <w:rPr>
          <w:lang w:val="en-GB"/>
        </w:rPr>
        <w:t xml:space="preserve"> of </w:t>
      </w:r>
      <w:r w:rsidR="00B057E2">
        <w:rPr>
          <w:lang w:val="en-GB"/>
        </w:rPr>
        <w:t xml:space="preserve">reverse </w:t>
      </w:r>
      <w:r w:rsidRPr="00036066">
        <w:rPr>
          <w:lang w:val="en-GB"/>
        </w:rPr>
        <w:t xml:space="preserve">aqua regia (3:1 </w:t>
      </w:r>
      <w:r w:rsidR="00CB126E" w:rsidRPr="00036066">
        <w:rPr>
          <w:lang w:val="en-GB"/>
        </w:rPr>
        <w:t>v/v</w:t>
      </w:r>
      <w:r w:rsidR="00CB126E">
        <w:rPr>
          <w:lang w:val="en-GB"/>
        </w:rPr>
        <w:t xml:space="preserve"> </w:t>
      </w:r>
      <w:r w:rsidRPr="00036066">
        <w:rPr>
          <w:lang w:val="en-GB"/>
        </w:rPr>
        <w:t>HNO</w:t>
      </w:r>
      <w:r w:rsidRPr="00036066">
        <w:rPr>
          <w:vertAlign w:val="subscript"/>
          <w:lang w:val="en-GB"/>
        </w:rPr>
        <w:t>3</w:t>
      </w:r>
      <w:r w:rsidR="0077345B">
        <w:rPr>
          <w:rFonts w:ascii="Segoe UI Emoji" w:eastAsia="Segoe UI Emoji" w:hAnsi="Segoe UI Emoji" w:cs="Segoe UI Emoji"/>
          <w:lang w:val="en-GB"/>
        </w:rPr>
        <w:t>:</w:t>
      </w:r>
      <w:r w:rsidRPr="00036066">
        <w:rPr>
          <w:lang w:val="en-GB"/>
        </w:rPr>
        <w:t xml:space="preserve">HCl) were added to each sample. The digestion was performed at room temperature for 3 h shaking the sample. At the end of digestion, the samples were filtered, using </w:t>
      </w:r>
      <w:r w:rsidR="00702C0D">
        <w:rPr>
          <w:lang w:val="en-GB"/>
        </w:rPr>
        <w:t xml:space="preserve">quantitative filter paper, ashless, </w:t>
      </w:r>
      <w:r w:rsidR="00127780">
        <w:rPr>
          <w:lang w:val="en-GB"/>
        </w:rPr>
        <w:t>G</w:t>
      </w:r>
      <w:r w:rsidR="00702C0D">
        <w:rPr>
          <w:lang w:val="en-GB"/>
        </w:rPr>
        <w:t>rade 42</w:t>
      </w:r>
      <w:r w:rsidR="0020499D">
        <w:rPr>
          <w:lang w:val="en-GB"/>
        </w:rPr>
        <w:t xml:space="preserve">, porosity </w:t>
      </w:r>
      <w:r w:rsidR="00702C0D">
        <w:rPr>
          <w:lang w:val="en-GB"/>
        </w:rPr>
        <w:t xml:space="preserve">2.5 </w:t>
      </w:r>
      <w:r w:rsidR="00702C0D">
        <w:rPr>
          <w:rFonts w:cs="Arial"/>
          <w:lang w:val="en-GB"/>
        </w:rPr>
        <w:t>µ</w:t>
      </w:r>
      <w:r w:rsidR="00702C0D">
        <w:rPr>
          <w:lang w:val="en-GB"/>
        </w:rPr>
        <w:t>m</w:t>
      </w:r>
      <w:r w:rsidR="0020499D">
        <w:rPr>
          <w:lang w:val="en-GB"/>
        </w:rPr>
        <w:t xml:space="preserve"> (</w:t>
      </w:r>
      <w:proofErr w:type="spellStart"/>
      <w:r w:rsidR="00702C0D" w:rsidRPr="00997A50">
        <w:rPr>
          <w:lang w:val="en-GB"/>
        </w:rPr>
        <w:t>Whatman</w:t>
      </w:r>
      <w:r w:rsidR="00127780" w:rsidRPr="00E71273">
        <w:rPr>
          <w:vertAlign w:val="superscript"/>
          <w:lang w:val="en-GB"/>
        </w:rPr>
        <w:t>TM</w:t>
      </w:r>
      <w:proofErr w:type="spellEnd"/>
      <w:r w:rsidR="00702C0D" w:rsidRPr="00997A50">
        <w:rPr>
          <w:lang w:val="en-GB"/>
        </w:rPr>
        <w:t>)</w:t>
      </w:r>
      <w:r w:rsidRPr="00E71273">
        <w:rPr>
          <w:lang w:val="en-GB"/>
        </w:rPr>
        <w:t>,</w:t>
      </w:r>
      <w:r w:rsidRPr="00997A50">
        <w:rPr>
          <w:lang w:val="en-GB"/>
        </w:rPr>
        <w:t xml:space="preserve"> into</w:t>
      </w:r>
      <w:r w:rsidRPr="00036066">
        <w:rPr>
          <w:lang w:val="en-GB"/>
        </w:rPr>
        <w:t xml:space="preserve"> a flask and diluted with ultrapure water up to a final volume of 100 </w:t>
      </w:r>
      <w:proofErr w:type="spellStart"/>
      <w:r w:rsidRPr="00036066">
        <w:rPr>
          <w:lang w:val="en-GB"/>
        </w:rPr>
        <w:t>m</w:t>
      </w:r>
      <w:r w:rsidR="00171250">
        <w:rPr>
          <w:lang w:val="en-GB"/>
        </w:rPr>
        <w:t>L</w:t>
      </w:r>
      <w:r w:rsidRPr="00036066">
        <w:rPr>
          <w:lang w:val="en-GB"/>
        </w:rPr>
        <w:t>.</w:t>
      </w:r>
      <w:proofErr w:type="spellEnd"/>
      <w:r w:rsidRPr="00036066">
        <w:rPr>
          <w:lang w:val="en-GB"/>
        </w:rPr>
        <w:t xml:space="preserve"> Other dilution</w:t>
      </w:r>
      <w:r w:rsidR="00BB5F7B">
        <w:rPr>
          <w:lang w:val="en-GB"/>
        </w:rPr>
        <w:t>s</w:t>
      </w:r>
      <w:r w:rsidRPr="00036066">
        <w:rPr>
          <w:lang w:val="en-GB"/>
        </w:rPr>
        <w:t>, according to the sample</w:t>
      </w:r>
      <w:r w:rsidR="00BB5F7B">
        <w:rPr>
          <w:lang w:val="en-GB"/>
        </w:rPr>
        <w:t>,</w:t>
      </w:r>
      <w:r w:rsidRPr="00036066">
        <w:rPr>
          <w:lang w:val="en-GB"/>
        </w:rPr>
        <w:t xml:space="preserve"> have been carried out. </w:t>
      </w:r>
    </w:p>
    <w:p w14:paraId="1271219F" w14:textId="72F6B6A0" w:rsidR="00036066" w:rsidRDefault="00036066" w:rsidP="00744401">
      <w:pPr>
        <w:pStyle w:val="CETHeadingxx"/>
      </w:pPr>
      <w:r>
        <w:t xml:space="preserve">2.2.3 </w:t>
      </w:r>
      <w:r w:rsidR="002A63DC">
        <w:t>Electrolyte</w:t>
      </w:r>
      <w:r w:rsidRPr="00036066">
        <w:t xml:space="preserve"> characterization</w:t>
      </w:r>
    </w:p>
    <w:p w14:paraId="3A65840B" w14:textId="166EA22D" w:rsidR="00282AD2" w:rsidRDefault="00CE01BE" w:rsidP="00036066">
      <w:pPr>
        <w:pStyle w:val="CETBodytext"/>
      </w:pPr>
      <w:r w:rsidRPr="00CE01BE">
        <w:rPr>
          <w:lang w:val="en-GB"/>
        </w:rPr>
        <w:t xml:space="preserve">The electrolyte was extracted from the cylindrical cells through centrifugation. The entire roll </w:t>
      </w:r>
      <w:r w:rsidR="001F1C9B">
        <w:rPr>
          <w:lang w:val="en-GB"/>
        </w:rPr>
        <w:t>has been</w:t>
      </w:r>
      <w:r w:rsidRPr="00CE01BE">
        <w:rPr>
          <w:lang w:val="en-GB"/>
        </w:rPr>
        <w:t xml:space="preserve"> centrifuged for 30 min at 4200 rpm with a CL10 Centrifuge, </w:t>
      </w:r>
      <w:proofErr w:type="spellStart"/>
      <w:r w:rsidRPr="00CE01BE">
        <w:rPr>
          <w:lang w:val="en-GB"/>
        </w:rPr>
        <w:t>ThermoScientific</w:t>
      </w:r>
      <w:proofErr w:type="spellEnd"/>
      <w:r w:rsidRPr="00CE01BE">
        <w:rPr>
          <w:lang w:val="en-GB"/>
        </w:rPr>
        <w:t xml:space="preserve"> (Horsthemke et al., 2017). The roll was then removed and 50 </w:t>
      </w:r>
      <w:proofErr w:type="spellStart"/>
      <w:r w:rsidRPr="00CE01BE">
        <w:rPr>
          <w:lang w:val="en-GB"/>
        </w:rPr>
        <w:t>μ</w:t>
      </w:r>
      <w:r w:rsidR="00171250">
        <w:rPr>
          <w:lang w:val="en-GB"/>
        </w:rPr>
        <w:t>l</w:t>
      </w:r>
      <w:proofErr w:type="spellEnd"/>
      <w:r w:rsidRPr="00CE01BE">
        <w:rPr>
          <w:lang w:val="en-GB"/>
        </w:rPr>
        <w:t xml:space="preserve"> of the electrolyte were transferred to a 1.5 m</w:t>
      </w:r>
      <w:r w:rsidR="000B6330">
        <w:rPr>
          <w:lang w:val="en-GB"/>
        </w:rPr>
        <w:t>L</w:t>
      </w:r>
      <w:r w:rsidRPr="00CE01BE">
        <w:rPr>
          <w:lang w:val="en-GB"/>
        </w:rPr>
        <w:t xml:space="preserve"> vial and diluted with 950 </w:t>
      </w:r>
      <w:proofErr w:type="spellStart"/>
      <w:r w:rsidRPr="00CE01BE">
        <w:rPr>
          <w:lang w:val="en-GB"/>
        </w:rPr>
        <w:t>μ</w:t>
      </w:r>
      <w:r w:rsidR="00171250">
        <w:rPr>
          <w:lang w:val="en-GB"/>
        </w:rPr>
        <w:t>L</w:t>
      </w:r>
      <w:proofErr w:type="spellEnd"/>
      <w:r w:rsidRPr="00CE01BE">
        <w:rPr>
          <w:lang w:val="en-GB"/>
        </w:rPr>
        <w:t xml:space="preserve"> of dichloromethane</w:t>
      </w:r>
      <w:r w:rsidR="00282AD2">
        <w:rPr>
          <w:lang w:val="en-GB"/>
        </w:rPr>
        <w:t xml:space="preserve"> (DCM)</w:t>
      </w:r>
      <w:r w:rsidRPr="00CE01BE">
        <w:rPr>
          <w:lang w:val="en-GB"/>
        </w:rPr>
        <w:t xml:space="preserve"> for the GC-FID and SPME-GC-MS analysis.</w:t>
      </w:r>
      <w:r w:rsidR="00282AD2" w:rsidRPr="00282AD2">
        <w:t xml:space="preserve"> </w:t>
      </w:r>
    </w:p>
    <w:p w14:paraId="33067C50" w14:textId="088D5553" w:rsidR="001F1C9B" w:rsidRDefault="00036066" w:rsidP="00036066">
      <w:pPr>
        <w:pStyle w:val="CETBodytext"/>
        <w:rPr>
          <w:lang w:val="en-GB"/>
        </w:rPr>
      </w:pPr>
      <w:r>
        <w:rPr>
          <w:lang w:val="en-GB"/>
        </w:rPr>
        <w:t>GC-FID</w:t>
      </w:r>
      <w:r w:rsidR="00FD6B2D">
        <w:rPr>
          <w:lang w:val="en-GB"/>
        </w:rPr>
        <w:t xml:space="preserve"> </w:t>
      </w:r>
      <w:r w:rsidR="002407F6">
        <w:rPr>
          <w:lang w:val="en-GB"/>
        </w:rPr>
        <w:t xml:space="preserve">analysis </w:t>
      </w:r>
      <w:r w:rsidR="00CE01BE">
        <w:rPr>
          <w:lang w:val="en-GB"/>
        </w:rPr>
        <w:t>was</w:t>
      </w:r>
      <w:r w:rsidR="002407F6">
        <w:rPr>
          <w:lang w:val="en-GB"/>
        </w:rPr>
        <w:t xml:space="preserve"> performed with a</w:t>
      </w:r>
      <w:r w:rsidRPr="00036066">
        <w:rPr>
          <w:lang w:val="en-GB"/>
        </w:rPr>
        <w:t xml:space="preserve"> GC-FID (Perkin Elmer) </w:t>
      </w:r>
      <w:r w:rsidR="00CE01BE">
        <w:rPr>
          <w:lang w:val="en-GB"/>
        </w:rPr>
        <w:t xml:space="preserve">equipped </w:t>
      </w:r>
      <w:r w:rsidRPr="00036066">
        <w:rPr>
          <w:lang w:val="en-GB"/>
        </w:rPr>
        <w:t xml:space="preserve">with a </w:t>
      </w:r>
      <w:proofErr w:type="spellStart"/>
      <w:r w:rsidRPr="00036066">
        <w:rPr>
          <w:lang w:val="en-GB"/>
        </w:rPr>
        <w:t>StabilWax</w:t>
      </w:r>
      <w:proofErr w:type="spellEnd"/>
      <w:r w:rsidRPr="00036066">
        <w:rPr>
          <w:lang w:val="en-GB"/>
        </w:rPr>
        <w:t xml:space="preserve">-DA - </w:t>
      </w:r>
      <w:proofErr w:type="spellStart"/>
      <w:r w:rsidRPr="00036066">
        <w:rPr>
          <w:lang w:val="en-GB"/>
        </w:rPr>
        <w:t>Restek</w:t>
      </w:r>
      <w:proofErr w:type="spellEnd"/>
      <w:r w:rsidRPr="00036066">
        <w:rPr>
          <w:lang w:val="en-GB"/>
        </w:rPr>
        <w:t xml:space="preserve"> column (30 m x 0.25 mm </w:t>
      </w:r>
      <w:proofErr w:type="spellStart"/>
      <w:r w:rsidRPr="00036066">
        <w:rPr>
          <w:lang w:val="en-GB"/>
        </w:rPr>
        <w:t>i.d.</w:t>
      </w:r>
      <w:proofErr w:type="spellEnd"/>
      <w:r w:rsidRPr="00036066">
        <w:rPr>
          <w:lang w:val="en-GB"/>
        </w:rPr>
        <w:t xml:space="preserve"> x 0.25 µm). Helium </w:t>
      </w:r>
      <w:r w:rsidR="00171250">
        <w:rPr>
          <w:lang w:val="en-GB"/>
        </w:rPr>
        <w:t>wa</w:t>
      </w:r>
      <w:r w:rsidRPr="00036066">
        <w:rPr>
          <w:lang w:val="en-GB"/>
        </w:rPr>
        <w:t>s used as carrier gas with a flow rate of 1 m</w:t>
      </w:r>
      <w:r w:rsidR="00171250">
        <w:rPr>
          <w:lang w:val="en-GB"/>
        </w:rPr>
        <w:t>L</w:t>
      </w:r>
      <w:r w:rsidRPr="00036066">
        <w:rPr>
          <w:lang w:val="en-GB"/>
        </w:rPr>
        <w:t xml:space="preserve">/min. The injector </w:t>
      </w:r>
      <w:r w:rsidR="00171250">
        <w:rPr>
          <w:lang w:val="en-GB"/>
        </w:rPr>
        <w:t>wa</w:t>
      </w:r>
      <w:r w:rsidRPr="00036066">
        <w:rPr>
          <w:lang w:val="en-GB"/>
        </w:rPr>
        <w:t>s held at 200 °C and 1.0 µ</w:t>
      </w:r>
      <w:r w:rsidR="00171250">
        <w:rPr>
          <w:lang w:val="en-GB"/>
        </w:rPr>
        <w:t>L</w:t>
      </w:r>
      <w:r w:rsidRPr="00036066">
        <w:rPr>
          <w:lang w:val="en-GB"/>
        </w:rPr>
        <w:t xml:space="preserve"> of sample </w:t>
      </w:r>
      <w:r w:rsidR="00171250">
        <w:rPr>
          <w:lang w:val="en-GB"/>
        </w:rPr>
        <w:t>wa</w:t>
      </w:r>
      <w:r w:rsidRPr="00036066">
        <w:rPr>
          <w:lang w:val="en-GB"/>
        </w:rPr>
        <w:t>s injected with a split ratio of 70:1</w:t>
      </w:r>
      <w:r w:rsidR="00240AA8">
        <w:rPr>
          <w:lang w:val="en-GB"/>
        </w:rPr>
        <w:t>, with the following</w:t>
      </w:r>
      <w:r w:rsidRPr="00036066">
        <w:rPr>
          <w:lang w:val="en-GB"/>
        </w:rPr>
        <w:t xml:space="preserve"> temperature</w:t>
      </w:r>
      <w:r w:rsidR="00CE01BE">
        <w:rPr>
          <w:lang w:val="en-GB"/>
        </w:rPr>
        <w:t xml:space="preserve"> programme</w:t>
      </w:r>
      <w:r w:rsidRPr="00036066">
        <w:rPr>
          <w:lang w:val="en-GB"/>
        </w:rPr>
        <w:t>: from 40 °C to 100 °C with a heating rate of 5 °C/min</w:t>
      </w:r>
      <w:r w:rsidR="00CE01BE">
        <w:rPr>
          <w:lang w:val="en-GB"/>
        </w:rPr>
        <w:t xml:space="preserve">, at </w:t>
      </w:r>
      <w:r w:rsidRPr="00036066">
        <w:rPr>
          <w:lang w:val="en-GB"/>
        </w:rPr>
        <w:t>100 °C</w:t>
      </w:r>
      <w:r w:rsidR="00CE01BE">
        <w:rPr>
          <w:lang w:val="en-GB"/>
        </w:rPr>
        <w:t xml:space="preserve"> for</w:t>
      </w:r>
      <w:r w:rsidRPr="00036066">
        <w:rPr>
          <w:lang w:val="en-GB"/>
        </w:rPr>
        <w:t xml:space="preserve"> 2.5 </w:t>
      </w:r>
      <w:r w:rsidRPr="00CE2A4D">
        <w:rPr>
          <w:lang w:val="en-GB"/>
        </w:rPr>
        <w:t>min</w:t>
      </w:r>
      <w:r w:rsidR="00CE01BE">
        <w:rPr>
          <w:lang w:val="en-GB"/>
        </w:rPr>
        <w:t xml:space="preserve"> and then </w:t>
      </w:r>
      <w:r w:rsidRPr="00CE2A4D">
        <w:rPr>
          <w:lang w:val="en-GB"/>
        </w:rPr>
        <w:t xml:space="preserve">up to 200 °C (10 min) with a heating rate of 30 °C/min. The detector </w:t>
      </w:r>
      <w:r w:rsidR="00171250">
        <w:rPr>
          <w:lang w:val="en-GB"/>
        </w:rPr>
        <w:t>wa</w:t>
      </w:r>
      <w:r w:rsidRPr="00CE2A4D">
        <w:rPr>
          <w:lang w:val="en-GB"/>
        </w:rPr>
        <w:t xml:space="preserve">s set to a temperature of 270 °C </w:t>
      </w:r>
      <w:r w:rsidR="00DF19A3" w:rsidRPr="00CE2A4D">
        <w:rPr>
          <w:lang w:val="en-GB"/>
        </w:rPr>
        <w:t>(</w:t>
      </w:r>
      <w:r w:rsidR="00116D2A" w:rsidRPr="00CE2A4D">
        <w:t xml:space="preserve">Horsthemke </w:t>
      </w:r>
      <w:r w:rsidR="00DF19A3" w:rsidRPr="00CE2A4D">
        <w:rPr>
          <w:lang w:val="en-GB"/>
        </w:rPr>
        <w:t>et al.</w:t>
      </w:r>
      <w:r w:rsidR="00116D2A" w:rsidRPr="00CE2A4D">
        <w:rPr>
          <w:lang w:val="en-GB"/>
        </w:rPr>
        <w:t xml:space="preserve"> 2017</w:t>
      </w:r>
      <w:r w:rsidR="00DF19A3" w:rsidRPr="00CE2A4D">
        <w:rPr>
          <w:lang w:val="en-GB"/>
        </w:rPr>
        <w:t>)</w:t>
      </w:r>
      <w:r w:rsidRPr="00CE2A4D">
        <w:rPr>
          <w:lang w:val="en-GB"/>
        </w:rPr>
        <w:t>.</w:t>
      </w:r>
      <w:r w:rsidR="002407F6">
        <w:rPr>
          <w:lang w:val="en-GB"/>
        </w:rPr>
        <w:t xml:space="preserve"> </w:t>
      </w:r>
    </w:p>
    <w:p w14:paraId="47D2515A" w14:textId="318E9F97" w:rsidR="00036066" w:rsidRDefault="002407F6" w:rsidP="00036066">
      <w:pPr>
        <w:pStyle w:val="CETBodytext"/>
        <w:rPr>
          <w:lang w:val="en-GB"/>
        </w:rPr>
      </w:pPr>
      <w:r>
        <w:rPr>
          <w:lang w:val="en-GB"/>
        </w:rPr>
        <w:t xml:space="preserve">SPME was performed by </w:t>
      </w:r>
      <w:r w:rsidR="00CE01BE">
        <w:rPr>
          <w:lang w:val="en-GB"/>
        </w:rPr>
        <w:t>means of a</w:t>
      </w:r>
      <w:r w:rsidR="00036066" w:rsidRPr="00036066">
        <w:rPr>
          <w:lang w:val="en-GB"/>
        </w:rPr>
        <w:t xml:space="preserve"> polyacrylate </w:t>
      </w:r>
      <w:proofErr w:type="spellStart"/>
      <w:r w:rsidR="00036066" w:rsidRPr="00036066">
        <w:rPr>
          <w:lang w:val="en-GB"/>
        </w:rPr>
        <w:t>fiber</w:t>
      </w:r>
      <w:proofErr w:type="spellEnd"/>
      <w:r w:rsidR="00036066" w:rsidRPr="00036066">
        <w:rPr>
          <w:lang w:val="en-GB"/>
        </w:rPr>
        <w:t xml:space="preserve"> (</w:t>
      </w:r>
      <w:proofErr w:type="spellStart"/>
      <w:r w:rsidR="00036066" w:rsidRPr="00036066">
        <w:rPr>
          <w:lang w:val="en-GB"/>
        </w:rPr>
        <w:t>Supelco</w:t>
      </w:r>
      <w:proofErr w:type="spellEnd"/>
      <w:r w:rsidR="00036066" w:rsidRPr="00036066">
        <w:rPr>
          <w:lang w:val="en-GB"/>
        </w:rPr>
        <w:t>)</w:t>
      </w:r>
      <w:r>
        <w:rPr>
          <w:lang w:val="en-GB"/>
        </w:rPr>
        <w:t xml:space="preserve">, </w:t>
      </w:r>
      <w:r w:rsidRPr="002407F6">
        <w:rPr>
          <w:lang w:val="en-GB"/>
        </w:rPr>
        <w:t>previously conditioned</w:t>
      </w:r>
      <w:r>
        <w:rPr>
          <w:lang w:val="en-GB"/>
        </w:rPr>
        <w:t xml:space="preserve"> for</w:t>
      </w:r>
      <w:r w:rsidR="00036066" w:rsidRPr="00036066">
        <w:rPr>
          <w:lang w:val="en-GB"/>
        </w:rPr>
        <w:t xml:space="preserve"> 30 min at 250°C. The vial was stirred for 5 min inside the switched-off oven, then, still under constant stirring, the </w:t>
      </w:r>
      <w:proofErr w:type="spellStart"/>
      <w:r w:rsidR="00036066" w:rsidRPr="00036066">
        <w:rPr>
          <w:lang w:val="en-GB"/>
        </w:rPr>
        <w:t>fiber</w:t>
      </w:r>
      <w:proofErr w:type="spellEnd"/>
      <w:r w:rsidR="00036066" w:rsidRPr="00036066">
        <w:rPr>
          <w:lang w:val="en-GB"/>
        </w:rPr>
        <w:t xml:space="preserve"> was exposed for 1 min in the head space of the </w:t>
      </w:r>
      <w:r w:rsidR="00A00BD1">
        <w:rPr>
          <w:lang w:val="en-GB"/>
        </w:rPr>
        <w:t>vial</w:t>
      </w:r>
      <w:r w:rsidR="00036066" w:rsidRPr="00036066">
        <w:rPr>
          <w:lang w:val="en-GB"/>
        </w:rPr>
        <w:t xml:space="preserve">. The </w:t>
      </w:r>
      <w:proofErr w:type="spellStart"/>
      <w:r w:rsidR="00036066" w:rsidRPr="00036066">
        <w:rPr>
          <w:lang w:val="en-GB"/>
        </w:rPr>
        <w:t>fiber</w:t>
      </w:r>
      <w:proofErr w:type="spellEnd"/>
      <w:r w:rsidR="00036066" w:rsidRPr="00036066">
        <w:rPr>
          <w:lang w:val="en-GB"/>
        </w:rPr>
        <w:t xml:space="preserve"> was desorbed inside the injector for 2 min with a split ratio of 1:25.</w:t>
      </w:r>
      <w:r w:rsidR="00E206BC">
        <w:rPr>
          <w:lang w:val="en-GB"/>
        </w:rPr>
        <w:t xml:space="preserve"> The </w:t>
      </w:r>
      <w:r w:rsidR="00036066" w:rsidRPr="00036066">
        <w:rPr>
          <w:lang w:val="en-GB"/>
        </w:rPr>
        <w:t>analys</w:t>
      </w:r>
      <w:r w:rsidR="0026078E">
        <w:rPr>
          <w:lang w:val="en-GB"/>
        </w:rPr>
        <w:t>es</w:t>
      </w:r>
      <w:r w:rsidR="00A00BD1">
        <w:rPr>
          <w:lang w:val="en-GB"/>
        </w:rPr>
        <w:t xml:space="preserve"> were performed by a G</w:t>
      </w:r>
      <w:r w:rsidR="00036066" w:rsidRPr="00036066">
        <w:rPr>
          <w:lang w:val="en-GB"/>
        </w:rPr>
        <w:t>C-MS (Agilent Technologies) connected to a Flex autosampler and a HP-5MS-Agilent Technologies, Inc.</w:t>
      </w:r>
      <w:r w:rsidR="00C17975">
        <w:rPr>
          <w:lang w:val="en-GB"/>
        </w:rPr>
        <w:t xml:space="preserve"> column</w:t>
      </w:r>
      <w:r w:rsidR="00036066" w:rsidRPr="00036066">
        <w:rPr>
          <w:lang w:val="en-GB"/>
        </w:rPr>
        <w:t xml:space="preserve"> (30 m x 0.25 mm </w:t>
      </w:r>
      <w:proofErr w:type="spellStart"/>
      <w:r w:rsidR="00036066" w:rsidRPr="00036066">
        <w:rPr>
          <w:lang w:val="en-GB"/>
        </w:rPr>
        <w:t>i.d.</w:t>
      </w:r>
      <w:proofErr w:type="spellEnd"/>
      <w:r w:rsidR="00036066" w:rsidRPr="00036066">
        <w:rPr>
          <w:lang w:val="en-GB"/>
        </w:rPr>
        <w:t xml:space="preserve"> x 0.25 µm</w:t>
      </w:r>
      <w:r w:rsidR="00C17975">
        <w:rPr>
          <w:lang w:val="en-GB"/>
        </w:rPr>
        <w:t>)</w:t>
      </w:r>
      <w:r w:rsidR="00036066" w:rsidRPr="00036066">
        <w:rPr>
          <w:lang w:val="en-GB"/>
        </w:rPr>
        <w:t>. He</w:t>
      </w:r>
      <w:r w:rsidR="00C17975">
        <w:rPr>
          <w:lang w:val="en-GB"/>
        </w:rPr>
        <w:t>lium</w:t>
      </w:r>
      <w:r w:rsidR="00036066" w:rsidRPr="00036066">
        <w:rPr>
          <w:lang w:val="en-GB"/>
        </w:rPr>
        <w:t xml:space="preserve"> </w:t>
      </w:r>
      <w:r w:rsidR="00171250">
        <w:rPr>
          <w:lang w:val="en-GB"/>
        </w:rPr>
        <w:t>wa</w:t>
      </w:r>
      <w:r w:rsidR="00036066" w:rsidRPr="00036066">
        <w:rPr>
          <w:lang w:val="en-GB"/>
        </w:rPr>
        <w:t>s used as the carrier gas with a flow rate of 1.6 m</w:t>
      </w:r>
      <w:r w:rsidR="00171250">
        <w:rPr>
          <w:lang w:val="en-GB"/>
        </w:rPr>
        <w:t>L</w:t>
      </w:r>
      <w:r w:rsidR="00036066" w:rsidRPr="00036066">
        <w:rPr>
          <w:lang w:val="en-GB"/>
        </w:rPr>
        <w:t>/min and a purge flow of 3 m</w:t>
      </w:r>
      <w:r w:rsidR="00171250">
        <w:rPr>
          <w:lang w:val="en-GB"/>
        </w:rPr>
        <w:t>L</w:t>
      </w:r>
      <w:r w:rsidR="00036066" w:rsidRPr="00036066">
        <w:rPr>
          <w:lang w:val="en-GB"/>
        </w:rPr>
        <w:t>/min</w:t>
      </w:r>
      <w:r w:rsidR="00E206BC">
        <w:rPr>
          <w:lang w:val="en-GB"/>
        </w:rPr>
        <w:t xml:space="preserve"> with the following </w:t>
      </w:r>
      <w:r w:rsidR="00036066" w:rsidRPr="00036066">
        <w:rPr>
          <w:lang w:val="en-GB"/>
        </w:rPr>
        <w:t>programmed temperature: from 50 °C (2.5 min) up to 300</w:t>
      </w:r>
      <w:r w:rsidR="00840038">
        <w:rPr>
          <w:lang w:val="en-GB"/>
        </w:rPr>
        <w:t xml:space="preserve"> </w:t>
      </w:r>
      <w:r w:rsidR="00036066" w:rsidRPr="00036066">
        <w:rPr>
          <w:lang w:val="en-GB"/>
        </w:rPr>
        <w:t xml:space="preserve">°C with a heating </w:t>
      </w:r>
      <w:r w:rsidR="0026078E">
        <w:rPr>
          <w:lang w:val="en-GB"/>
        </w:rPr>
        <w:t>rate</w:t>
      </w:r>
      <w:r w:rsidR="00036066" w:rsidRPr="00036066">
        <w:rPr>
          <w:lang w:val="en-GB"/>
        </w:rPr>
        <w:t xml:space="preserve"> of 15 °C/min and maintained for 5 min.</w:t>
      </w:r>
      <w:r w:rsidR="00063607">
        <w:rPr>
          <w:lang w:val="en-GB"/>
        </w:rPr>
        <w:t xml:space="preserve"> </w:t>
      </w:r>
      <w:r w:rsidR="00036066" w:rsidRPr="00036066">
        <w:rPr>
          <w:lang w:val="en-GB"/>
        </w:rPr>
        <w:t xml:space="preserve">The </w:t>
      </w:r>
      <w:r w:rsidR="007258E0">
        <w:rPr>
          <w:lang w:val="en-GB"/>
        </w:rPr>
        <w:t>MS</w:t>
      </w:r>
      <w:r w:rsidR="00036066" w:rsidRPr="00036066">
        <w:rPr>
          <w:lang w:val="en-GB"/>
        </w:rPr>
        <w:t xml:space="preserve"> works in </w:t>
      </w:r>
      <w:r w:rsidR="001F1C9B">
        <w:rPr>
          <w:lang w:val="en-GB"/>
        </w:rPr>
        <w:t>EI</w:t>
      </w:r>
      <w:r w:rsidR="00036066" w:rsidRPr="00036066">
        <w:rPr>
          <w:lang w:val="en-GB"/>
        </w:rPr>
        <w:t xml:space="preserve"> mode with </w:t>
      </w:r>
      <w:r w:rsidR="00A00BD1">
        <w:rPr>
          <w:lang w:val="en-GB"/>
        </w:rPr>
        <w:t>the</w:t>
      </w:r>
      <w:r w:rsidR="00036066" w:rsidRPr="00036066">
        <w:rPr>
          <w:lang w:val="en-GB"/>
        </w:rPr>
        <w:t xml:space="preserve"> ion source at 230 °C, interface at 280 °C and filament voltage at 70 eV. The mass spectra were acquired in scan mode, </w:t>
      </w:r>
      <w:r w:rsidR="00E206BC">
        <w:rPr>
          <w:lang w:val="en-GB"/>
        </w:rPr>
        <w:t>in the</w:t>
      </w:r>
      <w:r w:rsidR="00036066" w:rsidRPr="00036066">
        <w:rPr>
          <w:lang w:val="en-GB"/>
        </w:rPr>
        <w:t xml:space="preserve"> range 40</w:t>
      </w:r>
      <w:r w:rsidR="00E206BC">
        <w:rPr>
          <w:lang w:val="en-GB"/>
        </w:rPr>
        <w:t>-</w:t>
      </w:r>
      <w:r w:rsidR="00036066" w:rsidRPr="00036066">
        <w:rPr>
          <w:lang w:val="en-GB"/>
        </w:rPr>
        <w:t xml:space="preserve">350 </w:t>
      </w:r>
      <w:r w:rsidR="00036066" w:rsidRPr="00A00BD1">
        <w:rPr>
          <w:i/>
          <w:iCs/>
          <w:lang w:val="en-GB"/>
        </w:rPr>
        <w:t>m/z</w:t>
      </w:r>
      <w:r w:rsidR="00036066" w:rsidRPr="00036066">
        <w:rPr>
          <w:lang w:val="en-GB"/>
        </w:rPr>
        <w:t>.</w:t>
      </w:r>
      <w:r w:rsidR="00C17975">
        <w:rPr>
          <w:lang w:val="en-GB"/>
        </w:rPr>
        <w:t xml:space="preserve"> M</w:t>
      </w:r>
      <w:r w:rsidR="00036066" w:rsidRPr="00036066">
        <w:rPr>
          <w:lang w:val="en-GB"/>
        </w:rPr>
        <w:t>ass spectra were compared with mass spectra available in the NIST library.</w:t>
      </w:r>
    </w:p>
    <w:p w14:paraId="383413BB" w14:textId="7BAB31D6" w:rsidR="00036066" w:rsidRDefault="00036066" w:rsidP="00744401">
      <w:pPr>
        <w:pStyle w:val="CETHeadingxx"/>
      </w:pPr>
      <w:r>
        <w:t>2.2.4 Separator characterization</w:t>
      </w:r>
    </w:p>
    <w:p w14:paraId="12862D1C" w14:textId="239524BB" w:rsidR="002407F6" w:rsidRDefault="00381081" w:rsidP="002407F6">
      <w:pPr>
        <w:pStyle w:val="CETBodytext"/>
        <w:rPr>
          <w:lang w:val="en-GB"/>
        </w:rPr>
      </w:pPr>
      <w:r w:rsidRPr="00381081">
        <w:rPr>
          <w:lang w:val="en-GB"/>
        </w:rPr>
        <w:t xml:space="preserve">Before characterisation analyses, the separator was washed with </w:t>
      </w:r>
      <w:r>
        <w:rPr>
          <w:lang w:val="en-GB"/>
        </w:rPr>
        <w:t>DCM</w:t>
      </w:r>
      <w:r w:rsidR="007F06E8">
        <w:rPr>
          <w:lang w:val="en-GB"/>
        </w:rPr>
        <w:t xml:space="preserve"> </w:t>
      </w:r>
      <w:r w:rsidRPr="00381081">
        <w:rPr>
          <w:lang w:val="en-GB"/>
        </w:rPr>
        <w:t>to remove any residual electrolyte and/or additives. 5 g of the separator was immersed twice in 5 mL of fresh DCM, and finally the separator was dried to volatilise the residual extractants.</w:t>
      </w:r>
      <w:r w:rsidR="007F06E8">
        <w:rPr>
          <w:lang w:val="en-GB"/>
        </w:rPr>
        <w:t xml:space="preserve"> </w:t>
      </w:r>
      <w:r w:rsidR="00036066" w:rsidRPr="00036066">
        <w:rPr>
          <w:lang w:val="en-GB"/>
        </w:rPr>
        <w:t xml:space="preserve">The separator was analysed by </w:t>
      </w:r>
      <w:r w:rsidR="002407F6">
        <w:rPr>
          <w:lang w:val="en-GB"/>
        </w:rPr>
        <w:t>A</w:t>
      </w:r>
      <w:r w:rsidR="00036066" w:rsidRPr="00036066">
        <w:rPr>
          <w:lang w:val="en-GB"/>
        </w:rPr>
        <w:t>TR-FT-IR</w:t>
      </w:r>
      <w:r>
        <w:rPr>
          <w:lang w:val="en-GB"/>
        </w:rPr>
        <w:t>, using the</w:t>
      </w:r>
      <w:r w:rsidRPr="00036066">
        <w:rPr>
          <w:lang w:val="en-GB"/>
        </w:rPr>
        <w:t xml:space="preserve"> Perkin Elmer Spectrum 3TM FT-IR Spectrometer</w:t>
      </w:r>
      <w:r w:rsidR="002407F6">
        <w:rPr>
          <w:lang w:val="en-GB"/>
        </w:rPr>
        <w:t>, to identify the polymeric composition</w:t>
      </w:r>
      <w:r w:rsidR="00E90717">
        <w:rPr>
          <w:lang w:val="en-GB"/>
        </w:rPr>
        <w:t>.</w:t>
      </w:r>
      <w:r>
        <w:rPr>
          <w:lang w:val="en-GB"/>
        </w:rPr>
        <w:t xml:space="preserve"> </w:t>
      </w:r>
      <w:r w:rsidR="00036066" w:rsidRPr="00036066">
        <w:rPr>
          <w:lang w:val="en-GB"/>
        </w:rPr>
        <w:t>Spectra were acquired using the following parameters: 4 cm</w:t>
      </w:r>
      <w:r w:rsidR="00036066" w:rsidRPr="00036066">
        <w:rPr>
          <w:vertAlign w:val="superscript"/>
          <w:lang w:val="en-GB"/>
        </w:rPr>
        <w:t>-1</w:t>
      </w:r>
      <w:r w:rsidR="00036066" w:rsidRPr="00036066">
        <w:rPr>
          <w:lang w:val="en-GB"/>
        </w:rPr>
        <w:t xml:space="preserve"> as resolution, spectral range between 4000 and 650 cm</w:t>
      </w:r>
      <w:r w:rsidR="00036066" w:rsidRPr="00036066">
        <w:rPr>
          <w:vertAlign w:val="superscript"/>
          <w:lang w:val="en-GB"/>
        </w:rPr>
        <w:t>-1</w:t>
      </w:r>
      <w:r w:rsidR="00036066" w:rsidRPr="00036066">
        <w:rPr>
          <w:lang w:val="en-GB"/>
        </w:rPr>
        <w:t>; 8 scans per spectrum and with</w:t>
      </w:r>
      <w:r w:rsidR="00E90717">
        <w:rPr>
          <w:lang w:val="en-GB"/>
        </w:rPr>
        <w:t xml:space="preserve"> </w:t>
      </w:r>
      <w:r w:rsidR="00EB64C0">
        <w:rPr>
          <w:lang w:val="en-GB"/>
        </w:rPr>
        <w:t>t</w:t>
      </w:r>
      <w:r w:rsidR="00E90717" w:rsidRPr="00E90717">
        <w:rPr>
          <w:lang w:val="en-GB"/>
        </w:rPr>
        <w:t>riglycine sulphate</w:t>
      </w:r>
      <w:r w:rsidR="00036066" w:rsidRPr="00036066">
        <w:rPr>
          <w:lang w:val="en-GB"/>
        </w:rPr>
        <w:t xml:space="preserve"> </w:t>
      </w:r>
      <w:r w:rsidR="00E90717">
        <w:rPr>
          <w:lang w:val="en-GB"/>
        </w:rPr>
        <w:t>(</w:t>
      </w:r>
      <w:r w:rsidR="00036066" w:rsidRPr="00036066">
        <w:rPr>
          <w:lang w:val="en-GB"/>
        </w:rPr>
        <w:t>TGS</w:t>
      </w:r>
      <w:r w:rsidR="00E90717">
        <w:rPr>
          <w:lang w:val="en-GB"/>
        </w:rPr>
        <w:t>)</w:t>
      </w:r>
      <w:r w:rsidR="00036066" w:rsidRPr="00036066">
        <w:rPr>
          <w:lang w:val="en-GB"/>
        </w:rPr>
        <w:t xml:space="preserve"> as detector. Spectra were identified by comparison with spectra available in the Perkin Elmer library.</w:t>
      </w:r>
      <w:r w:rsidR="0026078E">
        <w:rPr>
          <w:lang w:val="en-GB"/>
        </w:rPr>
        <w:t xml:space="preserve"> </w:t>
      </w:r>
      <w:r>
        <w:rPr>
          <w:lang w:val="en-GB"/>
        </w:rPr>
        <w:t xml:space="preserve">Then, </w:t>
      </w:r>
      <w:r w:rsidR="007B7EC6" w:rsidRPr="007B7EC6">
        <w:rPr>
          <w:lang w:val="en-GB"/>
        </w:rPr>
        <w:t>the membrane</w:t>
      </w:r>
      <w:r w:rsidR="007B7EC6">
        <w:rPr>
          <w:lang w:val="en-GB"/>
        </w:rPr>
        <w:t xml:space="preserve"> was analysed</w:t>
      </w:r>
      <w:r w:rsidR="00E90717">
        <w:rPr>
          <w:lang w:val="en-GB"/>
        </w:rPr>
        <w:t xml:space="preserve"> by DSC </w:t>
      </w:r>
      <w:r w:rsidR="00E90717" w:rsidRPr="00050738">
        <w:rPr>
          <w:lang w:val="en-GB"/>
        </w:rPr>
        <w:t xml:space="preserve">to </w:t>
      </w:r>
      <w:r w:rsidR="00E90717">
        <w:rPr>
          <w:lang w:val="en-GB"/>
        </w:rPr>
        <w:t>evaluate</w:t>
      </w:r>
      <w:r w:rsidR="00E90717" w:rsidRPr="00050738">
        <w:rPr>
          <w:lang w:val="en-GB"/>
        </w:rPr>
        <w:t xml:space="preserve"> the </w:t>
      </w:r>
      <w:r w:rsidR="00E90717">
        <w:rPr>
          <w:lang w:val="en-GB"/>
        </w:rPr>
        <w:t>melting temperature and enthalpy</w:t>
      </w:r>
      <w:r w:rsidR="00E90717" w:rsidRPr="00050738">
        <w:t xml:space="preserve"> </w:t>
      </w:r>
      <w:r w:rsidR="00E90717">
        <w:t>(</w:t>
      </w:r>
      <w:r w:rsidR="00E90717" w:rsidRPr="00050738">
        <w:rPr>
          <w:lang w:val="en-GB"/>
        </w:rPr>
        <w:t>ΔH</w:t>
      </w:r>
      <w:r w:rsidR="00E90717">
        <w:rPr>
          <w:lang w:val="en-GB"/>
        </w:rPr>
        <w:t>)</w:t>
      </w:r>
      <w:r w:rsidR="009F6F1D">
        <w:rPr>
          <w:lang w:val="en-GB"/>
        </w:rPr>
        <w:t xml:space="preserve"> of the material</w:t>
      </w:r>
      <w:r w:rsidR="007B7EC6">
        <w:rPr>
          <w:lang w:val="en-GB"/>
        </w:rPr>
        <w:t xml:space="preserve">. </w:t>
      </w:r>
      <w:r w:rsidR="002407F6">
        <w:rPr>
          <w:lang w:val="en-GB"/>
        </w:rPr>
        <w:t>DSC analys</w:t>
      </w:r>
      <w:r w:rsidR="0026078E">
        <w:rPr>
          <w:lang w:val="en-GB"/>
        </w:rPr>
        <w:t>e</w:t>
      </w:r>
      <w:r w:rsidR="002407F6">
        <w:rPr>
          <w:lang w:val="en-GB"/>
        </w:rPr>
        <w:t xml:space="preserve">s were performed on </w:t>
      </w:r>
      <w:r>
        <w:rPr>
          <w:lang w:val="en-GB"/>
        </w:rPr>
        <w:t>3</w:t>
      </w:r>
      <w:r w:rsidR="002407F6" w:rsidRPr="00036066">
        <w:rPr>
          <w:lang w:val="en-GB"/>
        </w:rPr>
        <w:t>.0 mg of separator placed inside the aluminium capsule.</w:t>
      </w:r>
      <w:r w:rsidR="002407F6">
        <w:rPr>
          <w:lang w:val="en-GB"/>
        </w:rPr>
        <w:t xml:space="preserve"> </w:t>
      </w:r>
      <w:r w:rsidR="002407F6" w:rsidRPr="00036066">
        <w:rPr>
          <w:lang w:val="en-GB"/>
        </w:rPr>
        <w:t xml:space="preserve">DSC measurements were performed using a Perkin Elmer DSC </w:t>
      </w:r>
      <w:r w:rsidR="0026078E">
        <w:rPr>
          <w:lang w:val="en-GB"/>
        </w:rPr>
        <w:t>instrument</w:t>
      </w:r>
      <w:r w:rsidR="002407F6" w:rsidRPr="00036066">
        <w:rPr>
          <w:lang w:val="en-GB"/>
        </w:rPr>
        <w:t xml:space="preserve"> (model 8500) in nitrogen flow (40 mL/min) at 5 °C/min heating rate in the temperature range 25-</w:t>
      </w:r>
      <w:r w:rsidR="00E924AC">
        <w:rPr>
          <w:lang w:val="en-GB"/>
        </w:rPr>
        <w:t>20</w:t>
      </w:r>
      <w:r w:rsidR="002407F6" w:rsidRPr="00036066">
        <w:rPr>
          <w:lang w:val="en-GB"/>
        </w:rPr>
        <w:t xml:space="preserve">0 °C. Experimental data were analysed by </w:t>
      </w:r>
      <w:proofErr w:type="spellStart"/>
      <w:r w:rsidR="002407F6" w:rsidRPr="00036066">
        <w:rPr>
          <w:lang w:val="en-GB"/>
        </w:rPr>
        <w:t>Pyris</w:t>
      </w:r>
      <w:proofErr w:type="spellEnd"/>
      <w:r w:rsidR="002407F6" w:rsidRPr="00036066">
        <w:rPr>
          <w:lang w:val="en-GB"/>
        </w:rPr>
        <w:t xml:space="preserve"> software </w:t>
      </w:r>
      <w:r w:rsidR="00F277E6">
        <w:rPr>
          <w:lang w:val="en-GB"/>
        </w:rPr>
        <w:t>(</w:t>
      </w:r>
      <w:r w:rsidR="002407F6" w:rsidRPr="00036066">
        <w:rPr>
          <w:lang w:val="en-GB"/>
        </w:rPr>
        <w:t>PerkinElmer</w:t>
      </w:r>
      <w:r w:rsidR="00F277E6">
        <w:rPr>
          <w:lang w:val="en-GB"/>
        </w:rPr>
        <w:t>)</w:t>
      </w:r>
      <w:r w:rsidR="002407F6" w:rsidRPr="00036066">
        <w:rPr>
          <w:lang w:val="en-GB"/>
        </w:rPr>
        <w:t>.</w:t>
      </w:r>
    </w:p>
    <w:p w14:paraId="0AEAFE0D" w14:textId="671A5BD0" w:rsidR="00E668AA" w:rsidRPr="00B57B36" w:rsidRDefault="00D16981" w:rsidP="00E668AA">
      <w:pPr>
        <w:pStyle w:val="CETHeading1"/>
        <w:rPr>
          <w:lang w:val="en-GB"/>
        </w:rPr>
      </w:pPr>
      <w:r>
        <w:rPr>
          <w:lang w:val="en-GB"/>
        </w:rPr>
        <w:lastRenderedPageBreak/>
        <w:t>Results</w:t>
      </w:r>
    </w:p>
    <w:p w14:paraId="3F7B0346" w14:textId="13E6539E" w:rsidR="0026078E" w:rsidRDefault="0026078E" w:rsidP="00054FA2">
      <w:pPr>
        <w:pStyle w:val="CETBodytext"/>
        <w:spacing w:before="240"/>
        <w:rPr>
          <w:lang w:val="en-GB"/>
        </w:rPr>
      </w:pPr>
      <w:r>
        <w:rPr>
          <w:lang w:val="en-GB"/>
        </w:rPr>
        <w:t>T</w:t>
      </w:r>
      <w:r w:rsidRPr="0026078E">
        <w:rPr>
          <w:lang w:val="en-GB"/>
        </w:rPr>
        <w:t>he inner roll of the cell</w:t>
      </w:r>
      <w:r w:rsidR="009F6F1D">
        <w:rPr>
          <w:lang w:val="en-GB"/>
        </w:rPr>
        <w:t>,</w:t>
      </w:r>
      <w:r w:rsidRPr="0026078E">
        <w:rPr>
          <w:lang w:val="en-GB"/>
        </w:rPr>
        <w:t xml:space="preserve"> after centrifugation to extract the electrolyte, was unrolled to obtain the individual sheets of anode, cathode, and separator. The weight of the single components was measured and the weight percentage (% w/w), was calculated to be compared to the one reported in the SDS. In Table 2 is reported the</w:t>
      </w:r>
      <w:r w:rsidR="003F7334">
        <w:rPr>
          <w:lang w:val="en-GB"/>
        </w:rPr>
        <w:t xml:space="preserve"> </w:t>
      </w:r>
      <w:r w:rsidRPr="0026078E">
        <w:rPr>
          <w:lang w:val="en-GB"/>
        </w:rPr>
        <w:t>weight, expressed in g, of each component, the calculated percentage %</w:t>
      </w:r>
      <w:r w:rsidR="009F6F1D">
        <w:rPr>
          <w:lang w:val="en-GB"/>
        </w:rPr>
        <w:t xml:space="preserve"> </w:t>
      </w:r>
      <w:r w:rsidRPr="0026078E">
        <w:rPr>
          <w:lang w:val="en-GB"/>
        </w:rPr>
        <w:t>w/w, and the composition, expressed in %, reported in the relative</w:t>
      </w:r>
      <w:r w:rsidR="009F6F1D">
        <w:rPr>
          <w:lang w:val="en-GB"/>
        </w:rPr>
        <w:t xml:space="preserve"> </w:t>
      </w:r>
      <w:r w:rsidRPr="0026078E">
        <w:rPr>
          <w:lang w:val="en-GB"/>
        </w:rPr>
        <w:t>SDSs.</w:t>
      </w:r>
    </w:p>
    <w:p w14:paraId="11203EB2" w14:textId="1C54412A" w:rsidR="00ED242D" w:rsidRPr="00B57B36" w:rsidRDefault="00ED242D" w:rsidP="00ED242D">
      <w:pPr>
        <w:pStyle w:val="CETTabletitle"/>
      </w:pPr>
      <w:r w:rsidRPr="00B57B36">
        <w:t xml:space="preserve">Table </w:t>
      </w:r>
      <w:r>
        <w:t>2</w:t>
      </w:r>
      <w:r w:rsidRPr="00B57B36">
        <w:t>:</w:t>
      </w:r>
      <w:r w:rsidR="001E6696">
        <w:t xml:space="preserve"> </w:t>
      </w:r>
      <w:r w:rsidR="009F6F1D">
        <w:t>Internal components w</w:t>
      </w:r>
      <w:r w:rsidR="0026078E">
        <w:t>eight</w:t>
      </w:r>
      <w:r w:rsidR="007B7EC6">
        <w:t xml:space="preserve">, </w:t>
      </w:r>
      <w:r>
        <w:t xml:space="preserve">percentage </w:t>
      </w:r>
      <w:r w:rsidRPr="00ED242D">
        <w:t>and SDS</w:t>
      </w:r>
      <w:r w:rsidR="007B7EC6">
        <w:t xml:space="preserve"> sp</w:t>
      </w:r>
      <w:r w:rsidRPr="00ED242D">
        <w:t>ecification for C/NCA</w:t>
      </w:r>
      <w:r>
        <w:t>, LTO/NCA, and C/LFP</w:t>
      </w:r>
      <w:r w:rsidRPr="00ED242D">
        <w:t>.</w:t>
      </w:r>
    </w:p>
    <w:tbl>
      <w:tblPr>
        <w:tblW w:w="5000" w:type="pct"/>
        <w:tblBorders>
          <w:top w:val="single" w:sz="12" w:space="0" w:color="008000"/>
          <w:bottom w:val="single" w:sz="12" w:space="0" w:color="008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0"/>
        <w:gridCol w:w="706"/>
        <w:gridCol w:w="995"/>
        <w:gridCol w:w="708"/>
        <w:gridCol w:w="703"/>
        <w:gridCol w:w="1141"/>
        <w:gridCol w:w="708"/>
        <w:gridCol w:w="691"/>
        <w:gridCol w:w="1011"/>
        <w:gridCol w:w="564"/>
      </w:tblGrid>
      <w:tr w:rsidR="00A03699" w:rsidRPr="00B57B36" w14:paraId="59E7282E" w14:textId="3DF264A3" w:rsidTr="0000685D">
        <w:tc>
          <w:tcPr>
            <w:tcW w:w="888" w:type="pct"/>
            <w:tcBorders>
              <w:top w:val="single" w:sz="12" w:space="0" w:color="008000"/>
              <w:bottom w:val="single" w:sz="12" w:space="0" w:color="008000"/>
              <w:right w:val="single" w:sz="4" w:space="0" w:color="auto"/>
            </w:tcBorders>
            <w:shd w:val="clear" w:color="auto" w:fill="FFFFFF"/>
          </w:tcPr>
          <w:p w14:paraId="1D11F4AE" w14:textId="2BAED128" w:rsidR="00A03699" w:rsidRPr="00B57B36" w:rsidRDefault="00A03699" w:rsidP="001A6051">
            <w:pPr>
              <w:pStyle w:val="CETBodytext"/>
              <w:jc w:val="left"/>
              <w:rPr>
                <w:lang w:val="en-GB"/>
              </w:rPr>
            </w:pPr>
          </w:p>
        </w:tc>
        <w:tc>
          <w:tcPr>
            <w:tcW w:w="1371" w:type="pct"/>
            <w:gridSpan w:val="3"/>
            <w:tcBorders>
              <w:top w:val="single" w:sz="12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  <w:shd w:val="clear" w:color="auto" w:fill="FFFFFF"/>
          </w:tcPr>
          <w:p w14:paraId="5A0311ED" w14:textId="19B4F811" w:rsidR="00A03699" w:rsidRPr="00B57B36" w:rsidRDefault="00A03699" w:rsidP="00C53A3F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C/NCA</w:t>
            </w:r>
          </w:p>
        </w:tc>
        <w:tc>
          <w:tcPr>
            <w:tcW w:w="1452" w:type="pct"/>
            <w:gridSpan w:val="3"/>
            <w:tcBorders>
              <w:top w:val="single" w:sz="12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  <w:shd w:val="clear" w:color="auto" w:fill="FFFFFF"/>
          </w:tcPr>
          <w:p w14:paraId="42D3A1A4" w14:textId="5A7E40AB" w:rsidR="00A03699" w:rsidRPr="00B57B36" w:rsidRDefault="00A03699" w:rsidP="00C53A3F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LTO/NCA</w:t>
            </w:r>
          </w:p>
        </w:tc>
        <w:tc>
          <w:tcPr>
            <w:tcW w:w="1289" w:type="pct"/>
            <w:gridSpan w:val="3"/>
            <w:tcBorders>
              <w:top w:val="single" w:sz="12" w:space="0" w:color="008000"/>
              <w:left w:val="single" w:sz="4" w:space="0" w:color="auto"/>
              <w:bottom w:val="single" w:sz="12" w:space="0" w:color="008000"/>
            </w:tcBorders>
            <w:shd w:val="clear" w:color="auto" w:fill="FFFFFF"/>
          </w:tcPr>
          <w:p w14:paraId="170BA2A0" w14:textId="22E50ED3" w:rsidR="00A03699" w:rsidRDefault="00A03699" w:rsidP="00C53A3F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C/LFP</w:t>
            </w:r>
          </w:p>
        </w:tc>
      </w:tr>
      <w:tr w:rsidR="000A3CD9" w:rsidRPr="00B57B36" w14:paraId="5EF49887" w14:textId="77777777" w:rsidTr="0000685D">
        <w:tc>
          <w:tcPr>
            <w:tcW w:w="888" w:type="pct"/>
            <w:tcBorders>
              <w:top w:val="single" w:sz="12" w:space="0" w:color="008000"/>
              <w:bottom w:val="nil"/>
              <w:right w:val="single" w:sz="4" w:space="0" w:color="auto"/>
            </w:tcBorders>
            <w:shd w:val="clear" w:color="auto" w:fill="FFFFFF"/>
          </w:tcPr>
          <w:p w14:paraId="7203D50C" w14:textId="77777777" w:rsidR="000A3CD9" w:rsidRDefault="000A3CD9" w:rsidP="001A6051">
            <w:pPr>
              <w:pStyle w:val="CETBodytext"/>
              <w:jc w:val="left"/>
              <w:rPr>
                <w:lang w:val="en-GB"/>
              </w:rPr>
            </w:pPr>
          </w:p>
        </w:tc>
        <w:tc>
          <w:tcPr>
            <w:tcW w:w="402" w:type="pct"/>
            <w:vMerge w:val="restart"/>
            <w:tcBorders>
              <w:top w:val="single" w:sz="12" w:space="0" w:color="008000"/>
              <w:left w:val="single" w:sz="4" w:space="0" w:color="auto"/>
            </w:tcBorders>
            <w:shd w:val="clear" w:color="auto" w:fill="FFFFFF"/>
            <w:vAlign w:val="center"/>
          </w:tcPr>
          <w:p w14:paraId="0C6168AA" w14:textId="0D64AEAB" w:rsidR="000A3CD9" w:rsidRDefault="000A3CD9" w:rsidP="000A3CD9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Weight</w:t>
            </w:r>
          </w:p>
          <w:p w14:paraId="087229EB" w14:textId="255015CF" w:rsidR="000A3CD9" w:rsidRDefault="000A3CD9" w:rsidP="000A3CD9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(g)</w:t>
            </w:r>
          </w:p>
        </w:tc>
        <w:tc>
          <w:tcPr>
            <w:tcW w:w="969" w:type="pct"/>
            <w:gridSpan w:val="2"/>
            <w:tcBorders>
              <w:top w:val="single" w:sz="12" w:space="0" w:color="008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45039" w14:textId="07D207DA" w:rsidR="000A3CD9" w:rsidRDefault="000A3CD9" w:rsidP="0029131D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Composition</w:t>
            </w:r>
          </w:p>
          <w:p w14:paraId="63505E9D" w14:textId="67B13F6C" w:rsidR="000A3CD9" w:rsidRPr="00241E2B" w:rsidRDefault="000A3CD9" w:rsidP="0029131D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(</w:t>
            </w:r>
            <w:r w:rsidRPr="00241E2B">
              <w:rPr>
                <w:lang w:val="en-GB"/>
              </w:rPr>
              <w:t>%</w:t>
            </w:r>
            <w:r>
              <w:rPr>
                <w:lang w:val="en-GB"/>
              </w:rPr>
              <w:t>w/w)</w:t>
            </w:r>
          </w:p>
        </w:tc>
        <w:tc>
          <w:tcPr>
            <w:tcW w:w="400" w:type="pct"/>
            <w:vMerge w:val="restart"/>
            <w:tcBorders>
              <w:top w:val="single" w:sz="12" w:space="0" w:color="008000"/>
              <w:left w:val="single" w:sz="4" w:space="0" w:color="auto"/>
            </w:tcBorders>
            <w:shd w:val="clear" w:color="auto" w:fill="FFFFFF"/>
            <w:vAlign w:val="center"/>
          </w:tcPr>
          <w:p w14:paraId="58AB61BC" w14:textId="53FAEA43" w:rsidR="000A3CD9" w:rsidRDefault="000A3CD9" w:rsidP="000A3CD9">
            <w:pPr>
              <w:pStyle w:val="CETBodytext"/>
              <w:ind w:right="-1"/>
              <w:jc w:val="center"/>
              <w:rPr>
                <w:lang w:val="en-GB"/>
              </w:rPr>
            </w:pPr>
            <w:r w:rsidRPr="00241E2B">
              <w:rPr>
                <w:lang w:val="en-GB"/>
              </w:rPr>
              <w:t>Weight</w:t>
            </w:r>
          </w:p>
          <w:p w14:paraId="7D7DBB82" w14:textId="3B58CC88" w:rsidR="000A3CD9" w:rsidRPr="00241E2B" w:rsidRDefault="000A3CD9" w:rsidP="000A3CD9">
            <w:pPr>
              <w:pStyle w:val="CETBodytext"/>
              <w:ind w:right="-1"/>
              <w:jc w:val="center"/>
              <w:rPr>
                <w:lang w:val="en-GB"/>
              </w:rPr>
            </w:pPr>
            <w:r w:rsidRPr="00241E2B">
              <w:rPr>
                <w:lang w:val="en-GB"/>
              </w:rPr>
              <w:t>(g)</w:t>
            </w:r>
          </w:p>
        </w:tc>
        <w:tc>
          <w:tcPr>
            <w:tcW w:w="1052" w:type="pct"/>
            <w:gridSpan w:val="2"/>
            <w:tcBorders>
              <w:top w:val="single" w:sz="12" w:space="0" w:color="008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20488" w14:textId="77777777" w:rsidR="000A3CD9" w:rsidRDefault="000A3CD9" w:rsidP="005339D8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Composition</w:t>
            </w:r>
          </w:p>
          <w:p w14:paraId="515597D4" w14:textId="635CA115" w:rsidR="000A3CD9" w:rsidRPr="00241E2B" w:rsidRDefault="000A3CD9" w:rsidP="005339D8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lang w:val="en-GB"/>
              </w:rPr>
              <w:t>(</w:t>
            </w:r>
            <w:r w:rsidRPr="00241E2B">
              <w:rPr>
                <w:lang w:val="en-GB"/>
              </w:rPr>
              <w:t>%</w:t>
            </w:r>
            <w:r>
              <w:rPr>
                <w:lang w:val="en-GB"/>
              </w:rPr>
              <w:t>w/w)</w:t>
            </w:r>
          </w:p>
        </w:tc>
        <w:tc>
          <w:tcPr>
            <w:tcW w:w="393" w:type="pct"/>
            <w:vMerge w:val="restart"/>
            <w:tcBorders>
              <w:top w:val="single" w:sz="12" w:space="0" w:color="008000"/>
              <w:left w:val="single" w:sz="4" w:space="0" w:color="auto"/>
            </w:tcBorders>
            <w:shd w:val="clear" w:color="auto" w:fill="FFFFFF"/>
            <w:vAlign w:val="center"/>
          </w:tcPr>
          <w:p w14:paraId="11A855AE" w14:textId="0FB6C057" w:rsidR="000A3CD9" w:rsidRDefault="000A3CD9" w:rsidP="000A3CD9">
            <w:pPr>
              <w:pStyle w:val="CETBodytext"/>
              <w:ind w:right="-1"/>
              <w:jc w:val="center"/>
              <w:rPr>
                <w:lang w:val="en-GB"/>
              </w:rPr>
            </w:pPr>
            <w:r w:rsidRPr="00241E2B">
              <w:rPr>
                <w:lang w:val="en-GB"/>
              </w:rPr>
              <w:t>Weight</w:t>
            </w:r>
          </w:p>
          <w:p w14:paraId="1A174421" w14:textId="42CEC6AB" w:rsidR="000A3CD9" w:rsidRPr="00241E2B" w:rsidRDefault="000A3CD9" w:rsidP="000A3CD9">
            <w:pPr>
              <w:pStyle w:val="CETBodytext"/>
              <w:ind w:right="-1"/>
              <w:jc w:val="center"/>
              <w:rPr>
                <w:lang w:val="en-GB"/>
              </w:rPr>
            </w:pPr>
            <w:r w:rsidRPr="00241E2B">
              <w:rPr>
                <w:lang w:val="en-GB"/>
              </w:rPr>
              <w:t>(g)</w:t>
            </w:r>
          </w:p>
        </w:tc>
        <w:tc>
          <w:tcPr>
            <w:tcW w:w="896" w:type="pct"/>
            <w:gridSpan w:val="2"/>
            <w:tcBorders>
              <w:top w:val="single" w:sz="12" w:space="0" w:color="008000"/>
              <w:bottom w:val="single" w:sz="4" w:space="0" w:color="auto"/>
            </w:tcBorders>
            <w:shd w:val="clear" w:color="auto" w:fill="FFFFFF"/>
          </w:tcPr>
          <w:p w14:paraId="23ED6EDE" w14:textId="77777777" w:rsidR="000A3CD9" w:rsidRDefault="000A3CD9" w:rsidP="005339D8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Composition</w:t>
            </w:r>
          </w:p>
          <w:p w14:paraId="4FC1F584" w14:textId="739C7CFD" w:rsidR="000A3CD9" w:rsidRPr="00241E2B" w:rsidRDefault="000A3CD9" w:rsidP="005339D8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lang w:val="en-GB"/>
              </w:rPr>
              <w:t>(</w:t>
            </w:r>
            <w:r w:rsidRPr="00241E2B">
              <w:rPr>
                <w:lang w:val="en-GB"/>
              </w:rPr>
              <w:t>%</w:t>
            </w:r>
            <w:r>
              <w:rPr>
                <w:lang w:val="en-GB"/>
              </w:rPr>
              <w:t>w/w)</w:t>
            </w:r>
          </w:p>
        </w:tc>
      </w:tr>
      <w:tr w:rsidR="000A3CD9" w:rsidRPr="00B57B36" w14:paraId="4F9A33C0" w14:textId="77777777" w:rsidTr="005339D8">
        <w:tc>
          <w:tcPr>
            <w:tcW w:w="888" w:type="pct"/>
            <w:tcBorders>
              <w:top w:val="nil"/>
              <w:bottom w:val="single" w:sz="6" w:space="0" w:color="008000"/>
              <w:right w:val="single" w:sz="4" w:space="0" w:color="auto"/>
            </w:tcBorders>
            <w:shd w:val="clear" w:color="auto" w:fill="FFFFFF"/>
          </w:tcPr>
          <w:p w14:paraId="4685FE1F" w14:textId="77777777" w:rsidR="000A3CD9" w:rsidRDefault="000A3CD9" w:rsidP="0029131D">
            <w:pPr>
              <w:pStyle w:val="CETBodytext"/>
              <w:jc w:val="left"/>
              <w:rPr>
                <w:lang w:val="en-GB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6" w:space="0" w:color="008000"/>
            </w:tcBorders>
            <w:shd w:val="clear" w:color="auto" w:fill="FFFFFF"/>
          </w:tcPr>
          <w:p w14:paraId="1D72B332" w14:textId="77777777" w:rsidR="000A3CD9" w:rsidRDefault="000A3CD9" w:rsidP="0029131D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566" w:type="pct"/>
            <w:tcBorders>
              <w:top w:val="single" w:sz="4" w:space="0" w:color="auto"/>
              <w:bottom w:val="single" w:sz="6" w:space="0" w:color="008000"/>
            </w:tcBorders>
            <w:shd w:val="clear" w:color="auto" w:fill="FFFFFF"/>
          </w:tcPr>
          <w:p w14:paraId="54514706" w14:textId="78839AD4" w:rsidR="000A3CD9" w:rsidRDefault="000A3CD9" w:rsidP="005339D8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Calculated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FFFFF"/>
          </w:tcPr>
          <w:p w14:paraId="4D1EA46B" w14:textId="195F7CA7" w:rsidR="000A3CD9" w:rsidRPr="00241E2B" w:rsidRDefault="000A3CD9" w:rsidP="0029131D">
            <w:pPr>
              <w:pStyle w:val="CETBodytext"/>
              <w:jc w:val="center"/>
              <w:rPr>
                <w:lang w:val="en-GB"/>
              </w:rPr>
            </w:pPr>
            <w:r w:rsidRPr="00241E2B">
              <w:rPr>
                <w:lang w:val="en-GB"/>
              </w:rPr>
              <w:t>SDS</w:t>
            </w: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6" w:space="0" w:color="008000"/>
            </w:tcBorders>
            <w:shd w:val="clear" w:color="auto" w:fill="FFFFFF"/>
            <w:vAlign w:val="center"/>
          </w:tcPr>
          <w:p w14:paraId="2B9684A6" w14:textId="77777777" w:rsidR="000A3CD9" w:rsidRPr="00241E2B" w:rsidRDefault="000A3CD9" w:rsidP="000A3CD9">
            <w:pPr>
              <w:pStyle w:val="CETBodytext"/>
              <w:ind w:right="-1"/>
              <w:jc w:val="center"/>
              <w:rPr>
                <w:lang w:val="en-GB"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6" w:space="0" w:color="008000"/>
            </w:tcBorders>
            <w:shd w:val="clear" w:color="auto" w:fill="FFFFFF"/>
          </w:tcPr>
          <w:p w14:paraId="486B9DBC" w14:textId="6E0B299C" w:rsidR="000A3CD9" w:rsidRDefault="000A3CD9" w:rsidP="005339D8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Calculated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FFFFF"/>
          </w:tcPr>
          <w:p w14:paraId="638F0F6F" w14:textId="3D482C40" w:rsidR="000A3CD9" w:rsidRPr="00241E2B" w:rsidRDefault="000A3CD9" w:rsidP="005339D8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241E2B">
              <w:rPr>
                <w:lang w:val="en-GB"/>
              </w:rPr>
              <w:t>SDS</w:t>
            </w: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6" w:space="0" w:color="008000"/>
            </w:tcBorders>
            <w:shd w:val="clear" w:color="auto" w:fill="FFFFFF"/>
            <w:vAlign w:val="center"/>
          </w:tcPr>
          <w:p w14:paraId="025002E0" w14:textId="77777777" w:rsidR="000A3CD9" w:rsidRPr="00241E2B" w:rsidRDefault="000A3CD9" w:rsidP="000A3CD9">
            <w:pPr>
              <w:pStyle w:val="CETBodytext"/>
              <w:ind w:right="-1"/>
              <w:jc w:val="center"/>
              <w:rPr>
                <w:lang w:val="en-GB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6" w:space="0" w:color="008000"/>
            </w:tcBorders>
            <w:shd w:val="clear" w:color="auto" w:fill="FFFFFF"/>
          </w:tcPr>
          <w:p w14:paraId="528AEDEB" w14:textId="5ED712FC" w:rsidR="000A3CD9" w:rsidRDefault="000A3CD9" w:rsidP="005339D8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Calculated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6" w:space="0" w:color="008000"/>
            </w:tcBorders>
            <w:shd w:val="clear" w:color="auto" w:fill="FFFFFF"/>
          </w:tcPr>
          <w:p w14:paraId="36D62019" w14:textId="7C002715" w:rsidR="000A3CD9" w:rsidRPr="00241E2B" w:rsidRDefault="000A3CD9" w:rsidP="005339D8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241E2B">
              <w:rPr>
                <w:lang w:val="en-GB"/>
              </w:rPr>
              <w:t>SDS</w:t>
            </w:r>
          </w:p>
        </w:tc>
      </w:tr>
      <w:tr w:rsidR="0029131D" w:rsidRPr="00B57B36" w14:paraId="13FA0BFF" w14:textId="346A8CB2" w:rsidTr="005339D8">
        <w:tc>
          <w:tcPr>
            <w:tcW w:w="888" w:type="pct"/>
            <w:tcBorders>
              <w:right w:val="single" w:sz="4" w:space="0" w:color="auto"/>
            </w:tcBorders>
            <w:shd w:val="clear" w:color="auto" w:fill="FFFFFF"/>
          </w:tcPr>
          <w:p w14:paraId="13FD5FBB" w14:textId="048F381C" w:rsidR="0029131D" w:rsidRPr="00B57B36" w:rsidRDefault="0029131D" w:rsidP="0029131D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>Anode and Cu foil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shd w:val="clear" w:color="auto" w:fill="FFFFFF"/>
          </w:tcPr>
          <w:p w14:paraId="18C2AECF" w14:textId="51E20EEF" w:rsidR="0029131D" w:rsidRDefault="0029131D" w:rsidP="0029131D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13.3551</w:t>
            </w:r>
          </w:p>
        </w:tc>
        <w:tc>
          <w:tcPr>
            <w:tcW w:w="566" w:type="pct"/>
            <w:shd w:val="clear" w:color="auto" w:fill="FFFFFF"/>
          </w:tcPr>
          <w:p w14:paraId="7A4E3570" w14:textId="1EBECCC7" w:rsidR="0029131D" w:rsidRPr="00B57B36" w:rsidRDefault="0029131D" w:rsidP="0029131D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41.5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shd w:val="clear" w:color="auto" w:fill="FFFFFF"/>
          </w:tcPr>
          <w:p w14:paraId="256505D8" w14:textId="1E55E865" w:rsidR="0029131D" w:rsidRPr="00B57B36" w:rsidRDefault="0029131D" w:rsidP="0029131D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31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FF"/>
          </w:tcPr>
          <w:p w14:paraId="246398C8" w14:textId="4C6BA86C" w:rsidR="0029131D" w:rsidRDefault="0029131D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14.3258</w:t>
            </w:r>
          </w:p>
        </w:tc>
        <w:tc>
          <w:tcPr>
            <w:tcW w:w="649" w:type="pct"/>
            <w:shd w:val="clear" w:color="auto" w:fill="FFFFFF"/>
          </w:tcPr>
          <w:p w14:paraId="6638E9AC" w14:textId="5B8F52AD" w:rsidR="0029131D" w:rsidRPr="00B57B36" w:rsidRDefault="0029131D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47.8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shd w:val="clear" w:color="auto" w:fill="FFFFFF"/>
          </w:tcPr>
          <w:p w14:paraId="2F9E088F" w14:textId="7015CDDF" w:rsidR="0029131D" w:rsidRPr="00B57B36" w:rsidRDefault="0029131D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proofErr w:type="spellStart"/>
            <w:r>
              <w:rPr>
                <w:rFonts w:cs="Arial"/>
                <w:szCs w:val="18"/>
                <w:lang w:val="en-GB"/>
              </w:rPr>
              <w:t>n.a.</w:t>
            </w:r>
            <w:proofErr w:type="spellEnd"/>
          </w:p>
        </w:tc>
        <w:tc>
          <w:tcPr>
            <w:tcW w:w="393" w:type="pct"/>
            <w:tcBorders>
              <w:left w:val="single" w:sz="4" w:space="0" w:color="auto"/>
            </w:tcBorders>
            <w:shd w:val="clear" w:color="auto" w:fill="FFFFFF"/>
          </w:tcPr>
          <w:p w14:paraId="76E52039" w14:textId="2D82D4FF" w:rsidR="0029131D" w:rsidRDefault="0029131D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11.4546</w:t>
            </w:r>
          </w:p>
        </w:tc>
        <w:tc>
          <w:tcPr>
            <w:tcW w:w="575" w:type="pct"/>
            <w:shd w:val="clear" w:color="auto" w:fill="FFFFFF"/>
          </w:tcPr>
          <w:p w14:paraId="5CBB2EAA" w14:textId="099D6981" w:rsidR="0029131D" w:rsidRPr="00B57B36" w:rsidRDefault="0029131D" w:rsidP="005339D8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41.2</w:t>
            </w:r>
          </w:p>
        </w:tc>
        <w:tc>
          <w:tcPr>
            <w:tcW w:w="321" w:type="pct"/>
            <w:shd w:val="clear" w:color="auto" w:fill="FFFFFF"/>
          </w:tcPr>
          <w:p w14:paraId="76A467D2" w14:textId="3069B8A0" w:rsidR="0029131D" w:rsidRPr="00B57B36" w:rsidRDefault="0029131D" w:rsidP="005339D8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35</w:t>
            </w:r>
          </w:p>
        </w:tc>
      </w:tr>
      <w:tr w:rsidR="0029131D" w:rsidRPr="00B57B36" w14:paraId="156B9D56" w14:textId="1C2FD75B" w:rsidTr="005339D8">
        <w:tc>
          <w:tcPr>
            <w:tcW w:w="888" w:type="pct"/>
            <w:tcBorders>
              <w:right w:val="single" w:sz="4" w:space="0" w:color="auto"/>
            </w:tcBorders>
            <w:shd w:val="clear" w:color="auto" w:fill="FFFFFF"/>
          </w:tcPr>
          <w:p w14:paraId="7AAB001D" w14:textId="6C1FEBC3" w:rsidR="0029131D" w:rsidRPr="00B57B36" w:rsidRDefault="0029131D" w:rsidP="0029131D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Cathode and Al foil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shd w:val="clear" w:color="auto" w:fill="FFFFFF"/>
          </w:tcPr>
          <w:p w14:paraId="76EAFA86" w14:textId="06068D5C" w:rsidR="0029131D" w:rsidRDefault="0029131D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17.4816</w:t>
            </w:r>
          </w:p>
        </w:tc>
        <w:tc>
          <w:tcPr>
            <w:tcW w:w="566" w:type="pct"/>
            <w:shd w:val="clear" w:color="auto" w:fill="FFFFFF"/>
          </w:tcPr>
          <w:p w14:paraId="0D304782" w14:textId="7FB8FDBB" w:rsidR="0029131D" w:rsidRPr="00B57B36" w:rsidRDefault="0029131D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54.5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shd w:val="clear" w:color="auto" w:fill="FFFFFF"/>
          </w:tcPr>
          <w:p w14:paraId="1033FA28" w14:textId="117C42D6" w:rsidR="0029131D" w:rsidRPr="00B57B36" w:rsidRDefault="0029131D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54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FF"/>
          </w:tcPr>
          <w:p w14:paraId="52D7C341" w14:textId="1AE218FF" w:rsidR="0029131D" w:rsidRDefault="0029131D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13.2016</w:t>
            </w:r>
          </w:p>
        </w:tc>
        <w:tc>
          <w:tcPr>
            <w:tcW w:w="649" w:type="pct"/>
            <w:shd w:val="clear" w:color="auto" w:fill="FFFFFF"/>
          </w:tcPr>
          <w:p w14:paraId="568EB988" w14:textId="1BE8F3A5" w:rsidR="0029131D" w:rsidRPr="00B57B36" w:rsidRDefault="0029131D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44.0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shd w:val="clear" w:color="auto" w:fill="FFFFFF"/>
          </w:tcPr>
          <w:p w14:paraId="35107F4A" w14:textId="449A7102" w:rsidR="0029131D" w:rsidRPr="00B57B36" w:rsidRDefault="0029131D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proofErr w:type="spellStart"/>
            <w:r>
              <w:rPr>
                <w:rFonts w:cs="Arial"/>
                <w:szCs w:val="18"/>
                <w:lang w:val="en-GB"/>
              </w:rPr>
              <w:t>n.a.</w:t>
            </w:r>
            <w:proofErr w:type="spellEnd"/>
          </w:p>
        </w:tc>
        <w:tc>
          <w:tcPr>
            <w:tcW w:w="393" w:type="pct"/>
            <w:tcBorders>
              <w:left w:val="single" w:sz="4" w:space="0" w:color="auto"/>
            </w:tcBorders>
            <w:shd w:val="clear" w:color="auto" w:fill="FFFFFF"/>
          </w:tcPr>
          <w:p w14:paraId="0704FE65" w14:textId="24A7DCA7" w:rsidR="0029131D" w:rsidRDefault="0029131D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14.1625</w:t>
            </w:r>
          </w:p>
        </w:tc>
        <w:tc>
          <w:tcPr>
            <w:tcW w:w="575" w:type="pct"/>
            <w:shd w:val="clear" w:color="auto" w:fill="FFFFFF"/>
          </w:tcPr>
          <w:p w14:paraId="54EFFA8C" w14:textId="4F122AE9" w:rsidR="0029131D" w:rsidRPr="00B57B36" w:rsidRDefault="0029131D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51.0</w:t>
            </w:r>
          </w:p>
        </w:tc>
        <w:tc>
          <w:tcPr>
            <w:tcW w:w="321" w:type="pct"/>
            <w:shd w:val="clear" w:color="auto" w:fill="FFFFFF"/>
          </w:tcPr>
          <w:p w14:paraId="72657F78" w14:textId="6A4CE534" w:rsidR="0029131D" w:rsidRPr="00B57B36" w:rsidRDefault="0029131D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45</w:t>
            </w:r>
          </w:p>
        </w:tc>
      </w:tr>
      <w:tr w:rsidR="0029131D" w:rsidRPr="00B57B36" w14:paraId="6A6692CB" w14:textId="77777777" w:rsidTr="005339D8">
        <w:tc>
          <w:tcPr>
            <w:tcW w:w="888" w:type="pct"/>
            <w:tcBorders>
              <w:right w:val="single" w:sz="4" w:space="0" w:color="auto"/>
            </w:tcBorders>
            <w:shd w:val="clear" w:color="auto" w:fill="FFFFFF"/>
          </w:tcPr>
          <w:p w14:paraId="620BEC4B" w14:textId="72EF4781" w:rsidR="0029131D" w:rsidRDefault="0029131D" w:rsidP="0029131D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Separator foil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shd w:val="clear" w:color="auto" w:fill="FFFFFF"/>
          </w:tcPr>
          <w:p w14:paraId="3AC5E5AE" w14:textId="15A4408E" w:rsidR="0029131D" w:rsidRDefault="0029131D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1.3198</w:t>
            </w:r>
          </w:p>
        </w:tc>
        <w:tc>
          <w:tcPr>
            <w:tcW w:w="566" w:type="pct"/>
            <w:shd w:val="clear" w:color="auto" w:fill="FFFFFF"/>
          </w:tcPr>
          <w:p w14:paraId="7E74DDCC" w14:textId="2F99CFCE" w:rsidR="0029131D" w:rsidRPr="00B57B36" w:rsidRDefault="0029131D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4.1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shd w:val="clear" w:color="auto" w:fill="FFFFFF"/>
          </w:tcPr>
          <w:p w14:paraId="646DD22B" w14:textId="1436A294" w:rsidR="0029131D" w:rsidRPr="00B57B36" w:rsidRDefault="0029131D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3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FF"/>
          </w:tcPr>
          <w:p w14:paraId="1EAF1A3D" w14:textId="671A9D9A" w:rsidR="0029131D" w:rsidRDefault="0029131D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2.3796</w:t>
            </w:r>
          </w:p>
        </w:tc>
        <w:tc>
          <w:tcPr>
            <w:tcW w:w="649" w:type="pct"/>
            <w:shd w:val="clear" w:color="auto" w:fill="FFFFFF"/>
          </w:tcPr>
          <w:p w14:paraId="6424AD96" w14:textId="3A6A64F0" w:rsidR="0029131D" w:rsidRPr="00B57B36" w:rsidRDefault="0029131D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7.9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shd w:val="clear" w:color="auto" w:fill="FFFFFF"/>
          </w:tcPr>
          <w:p w14:paraId="6E2437E5" w14:textId="571282BD" w:rsidR="0029131D" w:rsidRPr="00B57B36" w:rsidRDefault="0029131D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proofErr w:type="spellStart"/>
            <w:r>
              <w:rPr>
                <w:rFonts w:cs="Arial"/>
                <w:szCs w:val="18"/>
                <w:lang w:val="en-GB"/>
              </w:rPr>
              <w:t>n.a.</w:t>
            </w:r>
            <w:proofErr w:type="spellEnd"/>
          </w:p>
        </w:tc>
        <w:tc>
          <w:tcPr>
            <w:tcW w:w="393" w:type="pct"/>
            <w:tcBorders>
              <w:left w:val="single" w:sz="4" w:space="0" w:color="auto"/>
            </w:tcBorders>
            <w:shd w:val="clear" w:color="auto" w:fill="FFFFFF"/>
          </w:tcPr>
          <w:p w14:paraId="4B5F840B" w14:textId="78BF67E5" w:rsidR="0029131D" w:rsidRDefault="0029131D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2.1098</w:t>
            </w:r>
          </w:p>
        </w:tc>
        <w:tc>
          <w:tcPr>
            <w:tcW w:w="575" w:type="pct"/>
            <w:shd w:val="clear" w:color="auto" w:fill="FFFFFF"/>
          </w:tcPr>
          <w:p w14:paraId="7E813550" w14:textId="65A022AF" w:rsidR="0029131D" w:rsidRPr="00B57B36" w:rsidRDefault="0029131D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7.6</w:t>
            </w:r>
          </w:p>
        </w:tc>
        <w:tc>
          <w:tcPr>
            <w:tcW w:w="321" w:type="pct"/>
            <w:shd w:val="clear" w:color="auto" w:fill="FFFFFF"/>
          </w:tcPr>
          <w:p w14:paraId="3DE73845" w14:textId="25C659C5" w:rsidR="0029131D" w:rsidRPr="00B57B36" w:rsidRDefault="0029131D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proofErr w:type="spellStart"/>
            <w:r>
              <w:rPr>
                <w:rFonts w:cs="Arial"/>
                <w:szCs w:val="18"/>
                <w:lang w:val="en-GB"/>
              </w:rPr>
              <w:t>n.a.</w:t>
            </w:r>
            <w:proofErr w:type="spellEnd"/>
          </w:p>
        </w:tc>
      </w:tr>
      <w:tr w:rsidR="000A3CD9" w:rsidRPr="00B57B36" w14:paraId="39B40836" w14:textId="3AD80E63" w:rsidTr="005339D8">
        <w:tc>
          <w:tcPr>
            <w:tcW w:w="888" w:type="pct"/>
            <w:tcBorders>
              <w:bottom w:val="nil"/>
              <w:right w:val="single" w:sz="4" w:space="0" w:color="auto"/>
            </w:tcBorders>
            <w:shd w:val="clear" w:color="auto" w:fill="FFFFFF"/>
          </w:tcPr>
          <w:p w14:paraId="594FAFA4" w14:textId="7C04FF11" w:rsidR="0029131D" w:rsidRDefault="0029131D" w:rsidP="0029131D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Electrolyte</w:t>
            </w:r>
          </w:p>
        </w:tc>
        <w:tc>
          <w:tcPr>
            <w:tcW w:w="402" w:type="pct"/>
            <w:tcBorders>
              <w:left w:val="single" w:sz="4" w:space="0" w:color="auto"/>
              <w:bottom w:val="nil"/>
            </w:tcBorders>
            <w:shd w:val="clear" w:color="auto" w:fill="FFFFFF"/>
          </w:tcPr>
          <w:p w14:paraId="5B4B3974" w14:textId="0D93D99C" w:rsidR="0029131D" w:rsidRDefault="0029131D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0.0614</w:t>
            </w:r>
          </w:p>
        </w:tc>
        <w:tc>
          <w:tcPr>
            <w:tcW w:w="566" w:type="pct"/>
            <w:tcBorders>
              <w:bottom w:val="nil"/>
            </w:tcBorders>
            <w:shd w:val="clear" w:color="auto" w:fill="FFFFFF"/>
          </w:tcPr>
          <w:p w14:paraId="6112176B" w14:textId="550927DD" w:rsidR="0029131D" w:rsidRPr="00B57B36" w:rsidRDefault="0029131D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0.19</w:t>
            </w:r>
          </w:p>
        </w:tc>
        <w:tc>
          <w:tcPr>
            <w:tcW w:w="403" w:type="pct"/>
            <w:tcBorders>
              <w:bottom w:val="nil"/>
              <w:right w:val="single" w:sz="4" w:space="0" w:color="auto"/>
            </w:tcBorders>
            <w:shd w:val="clear" w:color="auto" w:fill="FFFFFF"/>
          </w:tcPr>
          <w:p w14:paraId="0E1952D8" w14:textId="7E08DF35" w:rsidR="0029131D" w:rsidRPr="00B57B36" w:rsidRDefault="0029131D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12</w:t>
            </w:r>
          </w:p>
        </w:tc>
        <w:tc>
          <w:tcPr>
            <w:tcW w:w="400" w:type="pct"/>
            <w:tcBorders>
              <w:left w:val="single" w:sz="4" w:space="0" w:color="auto"/>
              <w:bottom w:val="nil"/>
            </w:tcBorders>
            <w:shd w:val="clear" w:color="auto" w:fill="FFFFFF"/>
          </w:tcPr>
          <w:p w14:paraId="774C3A1D" w14:textId="70924F16" w:rsidR="0029131D" w:rsidRDefault="0029131D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0.0836</w:t>
            </w:r>
          </w:p>
        </w:tc>
        <w:tc>
          <w:tcPr>
            <w:tcW w:w="649" w:type="pct"/>
            <w:tcBorders>
              <w:bottom w:val="nil"/>
            </w:tcBorders>
            <w:shd w:val="clear" w:color="auto" w:fill="FFFFFF"/>
          </w:tcPr>
          <w:p w14:paraId="7C8BDC51" w14:textId="3E8E61D7" w:rsidR="0029131D" w:rsidRPr="00B57B36" w:rsidRDefault="0029131D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0.28</w:t>
            </w:r>
          </w:p>
        </w:tc>
        <w:tc>
          <w:tcPr>
            <w:tcW w:w="403" w:type="pct"/>
            <w:tcBorders>
              <w:bottom w:val="nil"/>
              <w:right w:val="single" w:sz="4" w:space="0" w:color="auto"/>
            </w:tcBorders>
            <w:shd w:val="clear" w:color="auto" w:fill="FFFFFF"/>
          </w:tcPr>
          <w:p w14:paraId="1C9003F1" w14:textId="6BF49209" w:rsidR="0029131D" w:rsidRPr="00B57B36" w:rsidRDefault="0029131D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proofErr w:type="spellStart"/>
            <w:r>
              <w:rPr>
                <w:rFonts w:cs="Arial"/>
                <w:szCs w:val="18"/>
                <w:lang w:val="en-GB"/>
              </w:rPr>
              <w:t>n.a.</w:t>
            </w:r>
            <w:proofErr w:type="spellEnd"/>
          </w:p>
        </w:tc>
        <w:tc>
          <w:tcPr>
            <w:tcW w:w="393" w:type="pct"/>
            <w:tcBorders>
              <w:left w:val="single" w:sz="4" w:space="0" w:color="auto"/>
              <w:bottom w:val="nil"/>
            </w:tcBorders>
            <w:shd w:val="clear" w:color="auto" w:fill="FFFFFF"/>
          </w:tcPr>
          <w:p w14:paraId="42AFA215" w14:textId="5C61D232" w:rsidR="0029131D" w:rsidRDefault="0029131D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0.0427</w:t>
            </w:r>
          </w:p>
        </w:tc>
        <w:tc>
          <w:tcPr>
            <w:tcW w:w="575" w:type="pct"/>
            <w:tcBorders>
              <w:bottom w:val="nil"/>
            </w:tcBorders>
            <w:shd w:val="clear" w:color="auto" w:fill="FFFFFF"/>
          </w:tcPr>
          <w:p w14:paraId="5BF3F969" w14:textId="2A596620" w:rsidR="0029131D" w:rsidRPr="00B57B36" w:rsidRDefault="0029131D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0.15</w:t>
            </w:r>
          </w:p>
        </w:tc>
        <w:tc>
          <w:tcPr>
            <w:tcW w:w="321" w:type="pct"/>
            <w:tcBorders>
              <w:bottom w:val="nil"/>
            </w:tcBorders>
            <w:shd w:val="clear" w:color="auto" w:fill="FFFFFF"/>
          </w:tcPr>
          <w:p w14:paraId="0DACC61B" w14:textId="357839CB" w:rsidR="0029131D" w:rsidRPr="00B57B36" w:rsidRDefault="0029131D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10</w:t>
            </w:r>
          </w:p>
        </w:tc>
      </w:tr>
      <w:tr w:rsidR="000A3CD9" w:rsidRPr="00B57B36" w14:paraId="0D7D84D9" w14:textId="77777777" w:rsidTr="005339D8">
        <w:tc>
          <w:tcPr>
            <w:tcW w:w="888" w:type="pct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14:paraId="1459B8E9" w14:textId="6ED43C01" w:rsidR="0029131D" w:rsidRDefault="0029131D" w:rsidP="0029131D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External case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14:paraId="51177BD0" w14:textId="681FA822" w:rsidR="0029131D" w:rsidRDefault="0029131D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8.3795</w:t>
            </w:r>
          </w:p>
        </w:tc>
        <w:tc>
          <w:tcPr>
            <w:tcW w:w="566" w:type="pct"/>
            <w:tcBorders>
              <w:top w:val="nil"/>
              <w:bottom w:val="nil"/>
            </w:tcBorders>
            <w:shd w:val="clear" w:color="auto" w:fill="FFFFFF"/>
          </w:tcPr>
          <w:p w14:paraId="0CF5CB1C" w14:textId="2DD0F9FA" w:rsidR="0029131D" w:rsidRDefault="0029131D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-</w:t>
            </w:r>
          </w:p>
        </w:tc>
        <w:tc>
          <w:tcPr>
            <w:tcW w:w="403" w:type="pct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14:paraId="4C7D9DE7" w14:textId="58CC8B91" w:rsidR="0029131D" w:rsidRDefault="0029131D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proofErr w:type="spellStart"/>
            <w:r>
              <w:rPr>
                <w:rFonts w:cs="Arial"/>
                <w:szCs w:val="18"/>
                <w:lang w:val="en-GB"/>
              </w:rPr>
              <w:t>n.a.</w:t>
            </w:r>
            <w:proofErr w:type="spellEnd"/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14:paraId="371E3547" w14:textId="786D155C" w:rsidR="0029131D" w:rsidRDefault="0029131D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5.6879</w:t>
            </w:r>
          </w:p>
        </w:tc>
        <w:tc>
          <w:tcPr>
            <w:tcW w:w="649" w:type="pct"/>
            <w:tcBorders>
              <w:top w:val="nil"/>
              <w:bottom w:val="nil"/>
            </w:tcBorders>
            <w:shd w:val="clear" w:color="auto" w:fill="FFFFFF"/>
          </w:tcPr>
          <w:p w14:paraId="0A1F919F" w14:textId="0BD963A9" w:rsidR="0029131D" w:rsidRDefault="0029131D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-</w:t>
            </w:r>
          </w:p>
        </w:tc>
        <w:tc>
          <w:tcPr>
            <w:tcW w:w="403" w:type="pct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14:paraId="7822270C" w14:textId="6556E82E" w:rsidR="0029131D" w:rsidRDefault="0029131D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proofErr w:type="spellStart"/>
            <w:r>
              <w:rPr>
                <w:rFonts w:cs="Arial"/>
                <w:szCs w:val="18"/>
                <w:lang w:val="en-GB"/>
              </w:rPr>
              <w:t>n.a.</w:t>
            </w:r>
            <w:proofErr w:type="spellEnd"/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14:paraId="324059AD" w14:textId="7B9D08B3" w:rsidR="0029131D" w:rsidRDefault="0029131D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5.1458</w:t>
            </w:r>
          </w:p>
        </w:tc>
        <w:tc>
          <w:tcPr>
            <w:tcW w:w="575" w:type="pct"/>
            <w:tcBorders>
              <w:top w:val="nil"/>
              <w:bottom w:val="nil"/>
            </w:tcBorders>
            <w:shd w:val="clear" w:color="auto" w:fill="FFFFFF"/>
          </w:tcPr>
          <w:p w14:paraId="5140F098" w14:textId="1E5FE0FD" w:rsidR="0029131D" w:rsidRDefault="0029131D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-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FFFFFF"/>
          </w:tcPr>
          <w:p w14:paraId="435ACD29" w14:textId="10FE33FE" w:rsidR="0029131D" w:rsidRDefault="0029131D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proofErr w:type="spellStart"/>
            <w:r>
              <w:rPr>
                <w:rFonts w:cs="Arial"/>
                <w:szCs w:val="18"/>
                <w:lang w:val="en-GB"/>
              </w:rPr>
              <w:t>n.a.</w:t>
            </w:r>
            <w:proofErr w:type="spellEnd"/>
          </w:p>
        </w:tc>
      </w:tr>
      <w:tr w:rsidR="0029131D" w:rsidRPr="00B57B36" w14:paraId="6A7DEE95" w14:textId="77777777" w:rsidTr="005339D8">
        <w:tc>
          <w:tcPr>
            <w:tcW w:w="888" w:type="pct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14:paraId="485B2CDA" w14:textId="79ECD780" w:rsidR="0029131D" w:rsidRPr="0000685D" w:rsidRDefault="0029131D" w:rsidP="0029131D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 w:rsidRPr="0000685D">
              <w:rPr>
                <w:rFonts w:cs="Arial"/>
                <w:szCs w:val="18"/>
                <w:lang w:val="en-GB"/>
              </w:rPr>
              <w:t>Sum</w:t>
            </w:r>
            <w:r w:rsidR="00FD4165" w:rsidRPr="0000685D">
              <w:rPr>
                <w:rFonts w:cs="Arial"/>
                <w:szCs w:val="18"/>
                <w:lang w:val="en-GB"/>
              </w:rPr>
              <w:t xml:space="preserve"> of components 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14:paraId="6CD472F2" w14:textId="3842CD42" w:rsidR="0029131D" w:rsidRPr="00E71273" w:rsidRDefault="0029131D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E71273">
              <w:rPr>
                <w:rFonts w:cs="Arial"/>
                <w:szCs w:val="18"/>
                <w:lang w:val="en-GB"/>
              </w:rPr>
              <w:t>40.5974</w:t>
            </w:r>
          </w:p>
        </w:tc>
        <w:tc>
          <w:tcPr>
            <w:tcW w:w="566" w:type="pct"/>
            <w:tcBorders>
              <w:top w:val="nil"/>
              <w:bottom w:val="nil"/>
            </w:tcBorders>
            <w:shd w:val="clear" w:color="auto" w:fill="FFFFFF"/>
          </w:tcPr>
          <w:p w14:paraId="2D4AA042" w14:textId="5CD8CBED" w:rsidR="0029131D" w:rsidRPr="00E71273" w:rsidRDefault="0029131D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E71273">
              <w:rPr>
                <w:rFonts w:cs="Arial"/>
                <w:szCs w:val="18"/>
                <w:lang w:val="en-GB"/>
              </w:rPr>
              <w:t>-</w:t>
            </w:r>
          </w:p>
        </w:tc>
        <w:tc>
          <w:tcPr>
            <w:tcW w:w="403" w:type="pct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14:paraId="22F2BE7F" w14:textId="4156BF98" w:rsidR="0029131D" w:rsidRPr="00E71273" w:rsidRDefault="0029131D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E71273">
              <w:rPr>
                <w:rFonts w:cs="Arial"/>
                <w:szCs w:val="18"/>
                <w:lang w:val="en-GB"/>
              </w:rPr>
              <w:t>-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14:paraId="5582E2A8" w14:textId="7B118A62" w:rsidR="0029131D" w:rsidRPr="00E71273" w:rsidRDefault="0029131D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E71273">
              <w:rPr>
                <w:rFonts w:cs="Arial"/>
                <w:szCs w:val="18"/>
                <w:lang w:val="en-GB"/>
              </w:rPr>
              <w:t>35.6785</w:t>
            </w:r>
          </w:p>
        </w:tc>
        <w:tc>
          <w:tcPr>
            <w:tcW w:w="649" w:type="pct"/>
            <w:tcBorders>
              <w:top w:val="nil"/>
              <w:bottom w:val="nil"/>
            </w:tcBorders>
            <w:shd w:val="clear" w:color="auto" w:fill="FFFFFF"/>
          </w:tcPr>
          <w:p w14:paraId="193E1CAD" w14:textId="646ECA29" w:rsidR="0029131D" w:rsidRPr="00E71273" w:rsidRDefault="0029131D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E71273">
              <w:rPr>
                <w:rFonts w:cs="Arial"/>
                <w:szCs w:val="18"/>
                <w:lang w:val="en-GB"/>
              </w:rPr>
              <w:t>-</w:t>
            </w:r>
          </w:p>
        </w:tc>
        <w:tc>
          <w:tcPr>
            <w:tcW w:w="403" w:type="pct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14:paraId="7EDEE3EC" w14:textId="208AC524" w:rsidR="0029131D" w:rsidRPr="00E71273" w:rsidRDefault="0029131D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E71273">
              <w:rPr>
                <w:rFonts w:cs="Arial"/>
                <w:szCs w:val="18"/>
                <w:lang w:val="en-GB"/>
              </w:rPr>
              <w:t>-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14:paraId="47DAD516" w14:textId="3FD006A6" w:rsidR="0029131D" w:rsidRPr="000A3CD9" w:rsidRDefault="0029131D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E71273">
              <w:rPr>
                <w:rFonts w:cs="Arial"/>
                <w:szCs w:val="18"/>
                <w:lang w:val="en-GB"/>
              </w:rPr>
              <w:t>32.9154</w:t>
            </w:r>
          </w:p>
        </w:tc>
        <w:tc>
          <w:tcPr>
            <w:tcW w:w="575" w:type="pct"/>
            <w:tcBorders>
              <w:top w:val="nil"/>
              <w:bottom w:val="nil"/>
            </w:tcBorders>
            <w:shd w:val="clear" w:color="auto" w:fill="FFFFFF"/>
          </w:tcPr>
          <w:p w14:paraId="312D8CAD" w14:textId="505D9A41" w:rsidR="0029131D" w:rsidRPr="000A3CD9" w:rsidRDefault="0029131D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0A3CD9">
              <w:rPr>
                <w:rFonts w:cs="Arial"/>
                <w:szCs w:val="18"/>
                <w:lang w:val="en-GB"/>
              </w:rPr>
              <w:t>-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FFFFFF"/>
          </w:tcPr>
          <w:p w14:paraId="3B7AA0F7" w14:textId="56F484BD" w:rsidR="0029131D" w:rsidRPr="000A3CD9" w:rsidRDefault="0029131D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0A3CD9">
              <w:rPr>
                <w:rFonts w:cs="Arial"/>
                <w:szCs w:val="18"/>
                <w:lang w:val="en-GB"/>
              </w:rPr>
              <w:t>-</w:t>
            </w:r>
          </w:p>
        </w:tc>
      </w:tr>
      <w:tr w:rsidR="000A3CD9" w:rsidRPr="00B57B36" w14:paraId="16983063" w14:textId="77777777" w:rsidTr="005339D8">
        <w:tc>
          <w:tcPr>
            <w:tcW w:w="888" w:type="pct"/>
            <w:tcBorders>
              <w:top w:val="nil"/>
              <w:bottom w:val="single" w:sz="12" w:space="0" w:color="008000"/>
              <w:right w:val="single" w:sz="4" w:space="0" w:color="auto"/>
            </w:tcBorders>
            <w:shd w:val="clear" w:color="auto" w:fill="FFFFFF"/>
          </w:tcPr>
          <w:p w14:paraId="70D9865C" w14:textId="00E50F7D" w:rsidR="0029131D" w:rsidRPr="00E71273" w:rsidRDefault="00FD4165" w:rsidP="0029131D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Whole c</w:t>
            </w:r>
            <w:r w:rsidR="00365B60">
              <w:rPr>
                <w:rFonts w:cs="Arial"/>
                <w:szCs w:val="18"/>
                <w:lang w:val="en-GB"/>
              </w:rPr>
              <w:t xml:space="preserve">ell 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12" w:space="0" w:color="008000"/>
            </w:tcBorders>
            <w:shd w:val="clear" w:color="auto" w:fill="FFFFFF"/>
          </w:tcPr>
          <w:p w14:paraId="640462F1" w14:textId="0F15F198" w:rsidR="0029131D" w:rsidRPr="00E71273" w:rsidRDefault="0029131D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0A3CD9">
              <w:rPr>
                <w:rFonts w:cs="Arial"/>
                <w:szCs w:val="18"/>
                <w:lang w:val="en-GB"/>
              </w:rPr>
              <w:t>45.7384</w:t>
            </w:r>
          </w:p>
        </w:tc>
        <w:tc>
          <w:tcPr>
            <w:tcW w:w="566" w:type="pct"/>
            <w:tcBorders>
              <w:top w:val="nil"/>
              <w:bottom w:val="single" w:sz="12" w:space="0" w:color="008000"/>
            </w:tcBorders>
            <w:shd w:val="clear" w:color="auto" w:fill="FFFFFF"/>
          </w:tcPr>
          <w:p w14:paraId="1754AA92" w14:textId="400EC7B5" w:rsidR="0029131D" w:rsidRPr="00E71273" w:rsidRDefault="0029131D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E71273">
              <w:rPr>
                <w:rFonts w:cs="Arial"/>
                <w:szCs w:val="18"/>
                <w:lang w:val="en-GB"/>
              </w:rPr>
              <w:t>-</w:t>
            </w:r>
          </w:p>
        </w:tc>
        <w:tc>
          <w:tcPr>
            <w:tcW w:w="403" w:type="pct"/>
            <w:tcBorders>
              <w:top w:val="nil"/>
              <w:bottom w:val="single" w:sz="12" w:space="0" w:color="008000"/>
              <w:right w:val="single" w:sz="4" w:space="0" w:color="auto"/>
            </w:tcBorders>
            <w:shd w:val="clear" w:color="auto" w:fill="FFFFFF"/>
          </w:tcPr>
          <w:p w14:paraId="26204F8C" w14:textId="118C766A" w:rsidR="0029131D" w:rsidRPr="00E71273" w:rsidRDefault="000A3CD9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E71273">
              <w:rPr>
                <w:rFonts w:cs="Arial"/>
                <w:szCs w:val="18"/>
                <w:lang w:val="en-GB"/>
              </w:rPr>
              <w:t>-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12" w:space="0" w:color="008000"/>
            </w:tcBorders>
            <w:shd w:val="clear" w:color="auto" w:fill="FFFFFF"/>
          </w:tcPr>
          <w:p w14:paraId="409883A7" w14:textId="54600CB7" w:rsidR="0029131D" w:rsidRPr="00E71273" w:rsidRDefault="0029131D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0A3CD9">
              <w:rPr>
                <w:rFonts w:cs="Arial"/>
                <w:szCs w:val="18"/>
                <w:lang w:val="en-GB"/>
              </w:rPr>
              <w:t>40.2677</w:t>
            </w:r>
          </w:p>
        </w:tc>
        <w:tc>
          <w:tcPr>
            <w:tcW w:w="649" w:type="pct"/>
            <w:tcBorders>
              <w:top w:val="nil"/>
              <w:bottom w:val="single" w:sz="12" w:space="0" w:color="008000"/>
            </w:tcBorders>
            <w:shd w:val="clear" w:color="auto" w:fill="FFFFFF"/>
          </w:tcPr>
          <w:p w14:paraId="35FF76AF" w14:textId="40DA0FE6" w:rsidR="0029131D" w:rsidRPr="00E71273" w:rsidRDefault="0029131D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E71273">
              <w:rPr>
                <w:rFonts w:cs="Arial"/>
                <w:szCs w:val="18"/>
                <w:lang w:val="en-GB"/>
              </w:rPr>
              <w:t>-</w:t>
            </w:r>
          </w:p>
        </w:tc>
        <w:tc>
          <w:tcPr>
            <w:tcW w:w="403" w:type="pct"/>
            <w:tcBorders>
              <w:top w:val="nil"/>
              <w:bottom w:val="single" w:sz="12" w:space="0" w:color="008000"/>
              <w:right w:val="single" w:sz="4" w:space="0" w:color="auto"/>
            </w:tcBorders>
            <w:shd w:val="clear" w:color="auto" w:fill="FFFFFF"/>
          </w:tcPr>
          <w:p w14:paraId="2478E953" w14:textId="2D95B397" w:rsidR="0029131D" w:rsidRPr="00E71273" w:rsidRDefault="000A3CD9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E71273">
              <w:rPr>
                <w:rFonts w:cs="Arial"/>
                <w:szCs w:val="18"/>
                <w:lang w:val="en-GB"/>
              </w:rPr>
              <w:t>-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12" w:space="0" w:color="008000"/>
            </w:tcBorders>
            <w:shd w:val="clear" w:color="auto" w:fill="FFFFFF"/>
          </w:tcPr>
          <w:p w14:paraId="4D9BCF25" w14:textId="33A77582" w:rsidR="0029131D" w:rsidRPr="00E71273" w:rsidRDefault="0029131D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0A3CD9">
              <w:rPr>
                <w:rFonts w:cs="Arial"/>
                <w:szCs w:val="18"/>
                <w:lang w:val="en-GB"/>
              </w:rPr>
              <w:t>35.5858</w:t>
            </w:r>
          </w:p>
        </w:tc>
        <w:tc>
          <w:tcPr>
            <w:tcW w:w="575" w:type="pct"/>
            <w:tcBorders>
              <w:top w:val="nil"/>
              <w:bottom w:val="single" w:sz="12" w:space="0" w:color="008000"/>
            </w:tcBorders>
            <w:shd w:val="clear" w:color="auto" w:fill="FFFFFF"/>
          </w:tcPr>
          <w:p w14:paraId="6D66AEE8" w14:textId="718B3126" w:rsidR="0029131D" w:rsidRPr="000A3CD9" w:rsidRDefault="0029131D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0A3CD9">
              <w:rPr>
                <w:rFonts w:cs="Arial"/>
                <w:szCs w:val="18"/>
                <w:lang w:val="en-GB"/>
              </w:rPr>
              <w:t>-</w:t>
            </w:r>
          </w:p>
        </w:tc>
        <w:tc>
          <w:tcPr>
            <w:tcW w:w="321" w:type="pct"/>
            <w:tcBorders>
              <w:top w:val="nil"/>
              <w:bottom w:val="single" w:sz="12" w:space="0" w:color="008000"/>
            </w:tcBorders>
            <w:shd w:val="clear" w:color="auto" w:fill="FFFFFF"/>
          </w:tcPr>
          <w:p w14:paraId="1750ECC6" w14:textId="1437B253" w:rsidR="0029131D" w:rsidRPr="000A3CD9" w:rsidRDefault="000A3CD9" w:rsidP="0029131D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0A3CD9">
              <w:rPr>
                <w:rFonts w:cs="Arial"/>
                <w:szCs w:val="18"/>
                <w:lang w:val="en-GB"/>
              </w:rPr>
              <w:t>-</w:t>
            </w:r>
          </w:p>
        </w:tc>
      </w:tr>
    </w:tbl>
    <w:p w14:paraId="1A9492CD" w14:textId="0A56ABDE" w:rsidR="00F957CA" w:rsidRDefault="00ED242D" w:rsidP="005339D8">
      <w:pPr>
        <w:pStyle w:val="CETBodytext"/>
        <w:spacing w:after="240"/>
        <w:jc w:val="center"/>
        <w:rPr>
          <w:lang w:val="en-GB"/>
        </w:rPr>
      </w:pPr>
      <w:proofErr w:type="spellStart"/>
      <w:r>
        <w:rPr>
          <w:lang w:val="en-GB"/>
        </w:rPr>
        <w:t>n.a.</w:t>
      </w:r>
      <w:proofErr w:type="spellEnd"/>
      <w:r>
        <w:rPr>
          <w:lang w:val="en-GB"/>
        </w:rPr>
        <w:t>: not a</w:t>
      </w:r>
      <w:r w:rsidR="008C15F4">
        <w:rPr>
          <w:lang w:val="en-GB"/>
        </w:rPr>
        <w:t>vailable in the SDS</w:t>
      </w:r>
      <w:r>
        <w:rPr>
          <w:lang w:val="en-GB"/>
        </w:rPr>
        <w:t>.</w:t>
      </w:r>
    </w:p>
    <w:p w14:paraId="0F90BC58" w14:textId="094290E3" w:rsidR="007F5A79" w:rsidRDefault="00ED242D" w:rsidP="00E668AA">
      <w:pPr>
        <w:pStyle w:val="CETBodytext"/>
        <w:rPr>
          <w:lang w:val="en-GB"/>
        </w:rPr>
      </w:pPr>
      <w:r w:rsidRPr="00B228D1">
        <w:rPr>
          <w:lang w:val="en-GB"/>
        </w:rPr>
        <w:t xml:space="preserve">There is a </w:t>
      </w:r>
      <w:r w:rsidR="00FD4165">
        <w:rPr>
          <w:lang w:val="en-GB"/>
        </w:rPr>
        <w:t>difference</w:t>
      </w:r>
      <w:r w:rsidRPr="00B228D1">
        <w:rPr>
          <w:lang w:val="en-GB"/>
        </w:rPr>
        <w:t xml:space="preserve"> between the weight of th</w:t>
      </w:r>
      <w:r w:rsidRPr="00FC48D8">
        <w:rPr>
          <w:lang w:val="en-GB"/>
        </w:rPr>
        <w:t xml:space="preserve">e </w:t>
      </w:r>
      <w:r w:rsidR="00240BBC">
        <w:rPr>
          <w:lang w:val="en-GB"/>
        </w:rPr>
        <w:t>whole</w:t>
      </w:r>
      <w:r w:rsidR="00240BBC" w:rsidRPr="00FC48D8">
        <w:rPr>
          <w:lang w:val="en-GB"/>
        </w:rPr>
        <w:t xml:space="preserve"> </w:t>
      </w:r>
      <w:r w:rsidRPr="0029131D">
        <w:rPr>
          <w:lang w:val="en-GB"/>
        </w:rPr>
        <w:t>cell</w:t>
      </w:r>
      <w:r w:rsidR="00D43A7D" w:rsidRPr="0029131D">
        <w:rPr>
          <w:lang w:val="en-GB"/>
        </w:rPr>
        <w:t xml:space="preserve"> </w:t>
      </w:r>
      <w:r w:rsidR="00240BBC">
        <w:rPr>
          <w:lang w:val="en-GB"/>
        </w:rPr>
        <w:t>(Table 2)</w:t>
      </w:r>
      <w:r w:rsidRPr="0029131D">
        <w:rPr>
          <w:lang w:val="en-GB"/>
        </w:rPr>
        <w:t xml:space="preserve"> and the weight obtained </w:t>
      </w:r>
      <w:r w:rsidR="00240BBC">
        <w:rPr>
          <w:lang w:val="en-GB"/>
        </w:rPr>
        <w:t xml:space="preserve">by </w:t>
      </w:r>
      <w:r w:rsidR="00FD4165">
        <w:rPr>
          <w:lang w:val="en-GB"/>
        </w:rPr>
        <w:t>adding</w:t>
      </w:r>
      <w:r w:rsidRPr="0029131D">
        <w:rPr>
          <w:lang w:val="en-GB"/>
        </w:rPr>
        <w:t xml:space="preserve"> the individual components</w:t>
      </w:r>
      <w:r w:rsidR="00240BBC">
        <w:rPr>
          <w:lang w:val="en-GB"/>
        </w:rPr>
        <w:t xml:space="preserve"> (</w:t>
      </w:r>
      <w:r w:rsidR="001F65E2">
        <w:rPr>
          <w:lang w:val="en-GB"/>
        </w:rPr>
        <w:t xml:space="preserve">Sum </w:t>
      </w:r>
      <w:r w:rsidR="00FD4165">
        <w:rPr>
          <w:lang w:val="en-GB"/>
        </w:rPr>
        <w:t xml:space="preserve">of components </w:t>
      </w:r>
      <w:r w:rsidR="001F65E2">
        <w:rPr>
          <w:lang w:val="en-GB"/>
        </w:rPr>
        <w:t>in</w:t>
      </w:r>
      <w:r w:rsidR="00240BBC">
        <w:rPr>
          <w:lang w:val="en-GB"/>
        </w:rPr>
        <w:t xml:space="preserve"> Table 2)</w:t>
      </w:r>
      <w:r w:rsidR="00B228D1" w:rsidRPr="0029131D">
        <w:rPr>
          <w:lang w:val="en-GB"/>
        </w:rPr>
        <w:t xml:space="preserve">, </w:t>
      </w:r>
      <w:r w:rsidR="00240BBC">
        <w:rPr>
          <w:lang w:val="en-GB"/>
        </w:rPr>
        <w:t>which is</w:t>
      </w:r>
      <w:r w:rsidR="00B80542" w:rsidRPr="00E71273">
        <w:rPr>
          <w:lang w:val="en-GB"/>
        </w:rPr>
        <w:t xml:space="preserve"> 5</w:t>
      </w:r>
      <w:r w:rsidR="00B228D1" w:rsidRPr="00E71273">
        <w:rPr>
          <w:lang w:val="en-GB"/>
        </w:rPr>
        <w:t>.1410 g for C/NCA, 4.5892 g for LTO/NCA, and 2.6704 for C/LFP</w:t>
      </w:r>
      <w:r w:rsidRPr="0029131D">
        <w:rPr>
          <w:lang w:val="en-GB"/>
        </w:rPr>
        <w:t>.</w:t>
      </w:r>
      <w:r w:rsidRPr="00B228D1">
        <w:rPr>
          <w:lang w:val="en-GB"/>
        </w:rPr>
        <w:t xml:space="preserve"> </w:t>
      </w:r>
      <w:r w:rsidR="007F5A79" w:rsidRPr="007F5A79">
        <w:rPr>
          <w:lang w:val="en-GB"/>
        </w:rPr>
        <w:t>This difference appears to be due to the electrolyte, for which the calculated composition is lower than that reported in the SDS; in fact, both the electrodes and the separator remain impregnated with electrolyte after the cell is disassembled.</w:t>
      </w:r>
    </w:p>
    <w:p w14:paraId="67793D3E" w14:textId="3533924F" w:rsidR="002B6DDF" w:rsidRDefault="00E72DB3" w:rsidP="00744401">
      <w:pPr>
        <w:pStyle w:val="CETheadingx"/>
      </w:pPr>
      <w:r>
        <w:t xml:space="preserve">3.1 </w:t>
      </w:r>
      <w:r w:rsidR="002B6DDF">
        <w:t xml:space="preserve">Electrode </w:t>
      </w:r>
      <w:r w:rsidR="008A545C">
        <w:t>characterization</w:t>
      </w:r>
    </w:p>
    <w:p w14:paraId="2DE5188C" w14:textId="52AB1B05" w:rsidR="00241E2B" w:rsidRDefault="00BE04BC" w:rsidP="00E668AA">
      <w:pPr>
        <w:pStyle w:val="CETBodytext"/>
        <w:rPr>
          <w:lang w:val="en-GB"/>
        </w:rPr>
      </w:pPr>
      <w:r>
        <w:rPr>
          <w:lang w:val="en-GB"/>
        </w:rPr>
        <w:t xml:space="preserve">The </w:t>
      </w:r>
      <w:r w:rsidR="00DD4EE4">
        <w:rPr>
          <w:lang w:val="en-GB"/>
        </w:rPr>
        <w:t>element</w:t>
      </w:r>
      <w:r w:rsidRPr="007B4623">
        <w:rPr>
          <w:lang w:val="en-GB"/>
        </w:rPr>
        <w:t xml:space="preserve"> </w:t>
      </w:r>
      <w:r w:rsidR="00836952">
        <w:rPr>
          <w:lang w:val="en-GB"/>
        </w:rPr>
        <w:t>of</w:t>
      </w:r>
      <w:r w:rsidRPr="007B4623">
        <w:rPr>
          <w:lang w:val="en-GB"/>
        </w:rPr>
        <w:t xml:space="preserve"> the </w:t>
      </w:r>
      <w:r w:rsidR="00B228D1" w:rsidRPr="002B6DDF">
        <w:rPr>
          <w:lang w:val="en-GB"/>
        </w:rPr>
        <w:t xml:space="preserve">electrodes were </w:t>
      </w:r>
      <w:r w:rsidR="00DE0315">
        <w:rPr>
          <w:lang w:val="en-GB"/>
        </w:rPr>
        <w:t>identified</w:t>
      </w:r>
      <w:r w:rsidR="00B228D1" w:rsidRPr="002B6DDF">
        <w:rPr>
          <w:lang w:val="en-GB"/>
        </w:rPr>
        <w:t xml:space="preserve"> by </w:t>
      </w:r>
      <w:r w:rsidR="002B6DDF">
        <w:rPr>
          <w:lang w:val="en-GB"/>
        </w:rPr>
        <w:t xml:space="preserve">ICP-OES </w:t>
      </w:r>
      <w:r w:rsidR="00B228D1" w:rsidRPr="002B6DDF">
        <w:rPr>
          <w:lang w:val="en-GB"/>
        </w:rPr>
        <w:t>analysis</w:t>
      </w:r>
      <w:r w:rsidR="002B6DDF">
        <w:rPr>
          <w:lang w:val="en-GB"/>
        </w:rPr>
        <w:t xml:space="preserve">. </w:t>
      </w:r>
      <w:r w:rsidR="007B4623" w:rsidRPr="007B4623">
        <w:rPr>
          <w:lang w:val="en-GB"/>
        </w:rPr>
        <w:t>Th</w:t>
      </w:r>
      <w:r w:rsidR="007B4623">
        <w:rPr>
          <w:lang w:val="en-GB"/>
        </w:rPr>
        <w:t>e</w:t>
      </w:r>
      <w:r>
        <w:rPr>
          <w:lang w:val="en-GB"/>
        </w:rPr>
        <w:t xml:space="preserve"> quantities </w:t>
      </w:r>
      <w:r w:rsidR="007B4623" w:rsidRPr="007B4623">
        <w:rPr>
          <w:lang w:val="en-GB"/>
        </w:rPr>
        <w:t xml:space="preserve">expressed in g of each </w:t>
      </w:r>
      <w:r w:rsidR="00DE0315">
        <w:rPr>
          <w:lang w:val="en-GB"/>
        </w:rPr>
        <w:t>electrode</w:t>
      </w:r>
      <w:r w:rsidR="007B4623">
        <w:rPr>
          <w:lang w:val="en-GB"/>
        </w:rPr>
        <w:t xml:space="preserve"> of </w:t>
      </w:r>
      <w:r w:rsidR="007B4623" w:rsidRPr="007B4623">
        <w:rPr>
          <w:lang w:val="en-GB"/>
        </w:rPr>
        <w:t>C/NCA, LTO/NCA</w:t>
      </w:r>
      <w:r w:rsidR="007B4623">
        <w:rPr>
          <w:lang w:val="en-GB"/>
        </w:rPr>
        <w:t xml:space="preserve">, and </w:t>
      </w:r>
      <w:r w:rsidR="007B4623" w:rsidRPr="007B4623">
        <w:rPr>
          <w:lang w:val="en-GB"/>
        </w:rPr>
        <w:t xml:space="preserve">C/LFP </w:t>
      </w:r>
      <w:r w:rsidR="007B4623">
        <w:rPr>
          <w:lang w:val="en-GB"/>
        </w:rPr>
        <w:t xml:space="preserve">cells </w:t>
      </w:r>
      <w:r w:rsidR="007B4623" w:rsidRPr="007B4623">
        <w:rPr>
          <w:lang w:val="en-GB"/>
        </w:rPr>
        <w:t>a</w:t>
      </w:r>
      <w:r w:rsidR="007B4623">
        <w:rPr>
          <w:lang w:val="en-GB"/>
        </w:rPr>
        <w:t>re</w:t>
      </w:r>
      <w:r w:rsidR="007B4623" w:rsidRPr="007B4623">
        <w:rPr>
          <w:lang w:val="en-GB"/>
        </w:rPr>
        <w:t xml:space="preserve"> </w:t>
      </w:r>
      <w:r w:rsidR="007B4623" w:rsidRPr="00FC48D8">
        <w:rPr>
          <w:lang w:val="en-GB"/>
        </w:rPr>
        <w:t>reported in Table 3.</w:t>
      </w:r>
      <w:r w:rsidR="004A6F69">
        <w:rPr>
          <w:lang w:val="en-GB"/>
        </w:rPr>
        <w:t xml:space="preserve"> </w:t>
      </w:r>
    </w:p>
    <w:p w14:paraId="5D7D9883" w14:textId="11C6144F" w:rsidR="00CA3E3D" w:rsidRPr="00B57B36" w:rsidRDefault="00CA3E3D" w:rsidP="00CA3E3D">
      <w:pPr>
        <w:pStyle w:val="CETTabletitle"/>
      </w:pPr>
      <w:r w:rsidRPr="00B57B36">
        <w:t xml:space="preserve">Table </w:t>
      </w:r>
      <w:r>
        <w:t>3</w:t>
      </w:r>
      <w:r w:rsidRPr="00B57B36">
        <w:t xml:space="preserve">: </w:t>
      </w:r>
      <w:r w:rsidR="00DD4EE4">
        <w:t>Elements</w:t>
      </w:r>
      <w:r>
        <w:t xml:space="preserve"> (g) in the electrodes of</w:t>
      </w:r>
      <w:r w:rsidR="006B38B5">
        <w:t xml:space="preserve"> </w:t>
      </w:r>
      <w:r w:rsidR="001D6CBD">
        <w:t>C/NCA</w:t>
      </w:r>
      <w:r>
        <w:t>, LTO/NCA, and C/LFP by ICP-OES.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01"/>
        <w:gridCol w:w="787"/>
        <w:gridCol w:w="787"/>
        <w:gridCol w:w="788"/>
        <w:gridCol w:w="787"/>
        <w:gridCol w:w="787"/>
        <w:gridCol w:w="788"/>
        <w:gridCol w:w="787"/>
        <w:gridCol w:w="787"/>
        <w:gridCol w:w="788"/>
      </w:tblGrid>
      <w:tr w:rsidR="00CA3E3D" w:rsidRPr="00B57B36" w14:paraId="7C2F2530" w14:textId="15448403" w:rsidTr="00E71273">
        <w:tc>
          <w:tcPr>
            <w:tcW w:w="1701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650B7DA" w14:textId="5BFD09C0" w:rsidR="00CA3E3D" w:rsidRPr="00B57B36" w:rsidRDefault="00CA3E3D" w:rsidP="007921D8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Electrode</w:t>
            </w:r>
            <w:r w:rsidRPr="00B57B36">
              <w:rPr>
                <w:lang w:val="en-GB"/>
              </w:rPr>
              <w:t xml:space="preserve"> </w:t>
            </w:r>
          </w:p>
        </w:tc>
        <w:tc>
          <w:tcPr>
            <w:tcW w:w="787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51A9ED00" w14:textId="6BF9609A" w:rsidR="00CA3E3D" w:rsidRPr="00B57B36" w:rsidRDefault="00CA3E3D" w:rsidP="007921D8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Al (g)</w:t>
            </w:r>
          </w:p>
        </w:tc>
        <w:tc>
          <w:tcPr>
            <w:tcW w:w="787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EF60BC9" w14:textId="1C635F66" w:rsidR="00CA3E3D" w:rsidRPr="00B57B36" w:rsidRDefault="00CA3E3D" w:rsidP="007921D8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Co (g)</w:t>
            </w:r>
          </w:p>
        </w:tc>
        <w:tc>
          <w:tcPr>
            <w:tcW w:w="788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402F28B6" w14:textId="0D15B9B1" w:rsidR="00CA3E3D" w:rsidRPr="00B57B36" w:rsidRDefault="00CA3E3D" w:rsidP="007921D8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Cu</w:t>
            </w:r>
            <w:r w:rsidR="003F7334">
              <w:rPr>
                <w:rFonts w:cs="Arial"/>
                <w:szCs w:val="18"/>
                <w:lang w:val="en-GB"/>
              </w:rPr>
              <w:t xml:space="preserve"> </w:t>
            </w:r>
            <w:r>
              <w:rPr>
                <w:rFonts w:cs="Arial"/>
                <w:szCs w:val="18"/>
                <w:lang w:val="en-GB"/>
              </w:rPr>
              <w:t>(g)</w:t>
            </w:r>
          </w:p>
        </w:tc>
        <w:tc>
          <w:tcPr>
            <w:tcW w:w="787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C39B059" w14:textId="0E1B89D9" w:rsidR="00CA3E3D" w:rsidRPr="00B57B36" w:rsidRDefault="00CA3E3D" w:rsidP="007921D8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Fe (g)</w:t>
            </w:r>
          </w:p>
        </w:tc>
        <w:tc>
          <w:tcPr>
            <w:tcW w:w="787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EBD5831" w14:textId="5CDC7DD4" w:rsidR="00CA3E3D" w:rsidRPr="00B57B36" w:rsidRDefault="00CA3E3D" w:rsidP="007921D8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Li (g)</w:t>
            </w:r>
          </w:p>
        </w:tc>
        <w:tc>
          <w:tcPr>
            <w:tcW w:w="788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5E53E6D9" w14:textId="73198350" w:rsidR="00CA3E3D" w:rsidRPr="00B57B36" w:rsidRDefault="00CA3E3D" w:rsidP="007921D8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Mn (g)</w:t>
            </w:r>
          </w:p>
        </w:tc>
        <w:tc>
          <w:tcPr>
            <w:tcW w:w="787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5912CD0B" w14:textId="6648B6AA" w:rsidR="00CA3E3D" w:rsidRPr="00B57B36" w:rsidRDefault="00CA3E3D" w:rsidP="007921D8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Ni (g)</w:t>
            </w:r>
          </w:p>
        </w:tc>
        <w:tc>
          <w:tcPr>
            <w:tcW w:w="787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48EFE350" w14:textId="1D6E7930" w:rsidR="00CA3E3D" w:rsidRDefault="00CA3E3D" w:rsidP="007921D8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P (g)</w:t>
            </w:r>
          </w:p>
        </w:tc>
        <w:tc>
          <w:tcPr>
            <w:tcW w:w="788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0891F5D" w14:textId="2E12D287" w:rsidR="00CA3E3D" w:rsidRDefault="00CA3E3D" w:rsidP="007921D8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Ti (g)</w:t>
            </w:r>
          </w:p>
        </w:tc>
      </w:tr>
      <w:tr w:rsidR="00CA3E3D" w:rsidRPr="00B57B36" w14:paraId="2B489413" w14:textId="2784F613" w:rsidTr="00E71273">
        <w:tc>
          <w:tcPr>
            <w:tcW w:w="1701" w:type="dxa"/>
            <w:shd w:val="clear" w:color="auto" w:fill="FFFFFF"/>
          </w:tcPr>
          <w:p w14:paraId="37B2A124" w14:textId="2D6E7963" w:rsidR="00CA3E3D" w:rsidRPr="00B57B36" w:rsidRDefault="00CA3E3D" w:rsidP="00CA3E3D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C/NCA Anode</w:t>
            </w:r>
          </w:p>
        </w:tc>
        <w:tc>
          <w:tcPr>
            <w:tcW w:w="787" w:type="dxa"/>
            <w:shd w:val="clear" w:color="auto" w:fill="FFFFFF"/>
          </w:tcPr>
          <w:p w14:paraId="5ADCC1E9" w14:textId="5F02016D" w:rsidR="00CA3E3D" w:rsidRPr="00B57B36" w:rsidRDefault="00CA3E3D" w:rsidP="00CA3E3D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n.d.</w:t>
            </w:r>
          </w:p>
        </w:tc>
        <w:tc>
          <w:tcPr>
            <w:tcW w:w="787" w:type="dxa"/>
            <w:shd w:val="clear" w:color="auto" w:fill="FFFFFF"/>
          </w:tcPr>
          <w:p w14:paraId="6207EDB2" w14:textId="1006519E" w:rsidR="00CA3E3D" w:rsidRPr="00B57B36" w:rsidRDefault="00CA3E3D" w:rsidP="00CA3E3D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n.d.</w:t>
            </w:r>
          </w:p>
        </w:tc>
        <w:tc>
          <w:tcPr>
            <w:tcW w:w="788" w:type="dxa"/>
            <w:shd w:val="clear" w:color="auto" w:fill="FFFFFF"/>
          </w:tcPr>
          <w:p w14:paraId="6536AEA3" w14:textId="5A26316C" w:rsidR="00CA3E3D" w:rsidRPr="00B57B36" w:rsidRDefault="00CA3E3D" w:rsidP="00CA3E3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5.53</w:t>
            </w:r>
          </w:p>
        </w:tc>
        <w:tc>
          <w:tcPr>
            <w:tcW w:w="787" w:type="dxa"/>
            <w:shd w:val="clear" w:color="auto" w:fill="FFFFFF"/>
          </w:tcPr>
          <w:p w14:paraId="7DD68F68" w14:textId="689DB527" w:rsidR="00CA3E3D" w:rsidRPr="00B57B36" w:rsidRDefault="00CA3E3D" w:rsidP="00CA3E3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n.d.</w:t>
            </w:r>
          </w:p>
        </w:tc>
        <w:tc>
          <w:tcPr>
            <w:tcW w:w="787" w:type="dxa"/>
            <w:shd w:val="clear" w:color="auto" w:fill="FFFFFF"/>
          </w:tcPr>
          <w:p w14:paraId="706143ED" w14:textId="1533C467" w:rsidR="00CA3E3D" w:rsidRPr="00B57B36" w:rsidRDefault="00CA3E3D" w:rsidP="00CA3E3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0.21</w:t>
            </w:r>
          </w:p>
        </w:tc>
        <w:tc>
          <w:tcPr>
            <w:tcW w:w="788" w:type="dxa"/>
            <w:shd w:val="clear" w:color="auto" w:fill="FFFFFF"/>
          </w:tcPr>
          <w:p w14:paraId="526886F7" w14:textId="0B650FAE" w:rsidR="00CA3E3D" w:rsidRPr="00B57B36" w:rsidRDefault="00CA3E3D" w:rsidP="00CA3E3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n.d.</w:t>
            </w:r>
          </w:p>
        </w:tc>
        <w:tc>
          <w:tcPr>
            <w:tcW w:w="787" w:type="dxa"/>
            <w:shd w:val="clear" w:color="auto" w:fill="FFFFFF"/>
          </w:tcPr>
          <w:p w14:paraId="5CF37E0E" w14:textId="512875A4" w:rsidR="00CA3E3D" w:rsidRPr="00B57B36" w:rsidRDefault="00CA3E3D" w:rsidP="00CA3E3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n.d.</w:t>
            </w:r>
          </w:p>
        </w:tc>
        <w:tc>
          <w:tcPr>
            <w:tcW w:w="787" w:type="dxa"/>
            <w:shd w:val="clear" w:color="auto" w:fill="FFFFFF"/>
          </w:tcPr>
          <w:p w14:paraId="5E8D6CBA" w14:textId="01C8F8E4" w:rsidR="00CA3E3D" w:rsidRPr="00B57B36" w:rsidRDefault="00CA3E3D" w:rsidP="00CA3E3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n.d.</w:t>
            </w:r>
          </w:p>
        </w:tc>
        <w:tc>
          <w:tcPr>
            <w:tcW w:w="788" w:type="dxa"/>
            <w:shd w:val="clear" w:color="auto" w:fill="FFFFFF"/>
          </w:tcPr>
          <w:p w14:paraId="32E0EEBA" w14:textId="5AFA6D1B" w:rsidR="00CA3E3D" w:rsidRPr="00B57B36" w:rsidRDefault="00CA3E3D" w:rsidP="00CA3E3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462E8F">
              <w:rPr>
                <w:rFonts w:cs="Arial"/>
                <w:szCs w:val="18"/>
                <w:lang w:val="en-GB"/>
              </w:rPr>
              <w:t>n.d.</w:t>
            </w:r>
          </w:p>
        </w:tc>
      </w:tr>
      <w:tr w:rsidR="00CA3E3D" w:rsidRPr="00B57B36" w14:paraId="4086829F" w14:textId="7A3320E8" w:rsidTr="00E71273">
        <w:tc>
          <w:tcPr>
            <w:tcW w:w="1701" w:type="dxa"/>
            <w:shd w:val="clear" w:color="auto" w:fill="FFFFFF"/>
          </w:tcPr>
          <w:p w14:paraId="1A656A28" w14:textId="5F8FAFC2" w:rsidR="00CA3E3D" w:rsidRPr="00B57B36" w:rsidRDefault="00CA3E3D" w:rsidP="00CA3E3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C/NCA Cathode</w:t>
            </w:r>
          </w:p>
        </w:tc>
        <w:tc>
          <w:tcPr>
            <w:tcW w:w="787" w:type="dxa"/>
            <w:shd w:val="clear" w:color="auto" w:fill="FFFFFF"/>
          </w:tcPr>
          <w:p w14:paraId="3FA63E6C" w14:textId="3A432400" w:rsidR="00CA3E3D" w:rsidRPr="00B57B36" w:rsidRDefault="00CA3E3D" w:rsidP="00CA3E3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4.73</w:t>
            </w:r>
          </w:p>
        </w:tc>
        <w:tc>
          <w:tcPr>
            <w:tcW w:w="787" w:type="dxa"/>
            <w:shd w:val="clear" w:color="auto" w:fill="FFFFFF"/>
          </w:tcPr>
          <w:p w14:paraId="67B5906C" w14:textId="11D312E1" w:rsidR="00CA3E3D" w:rsidRPr="00B57B36" w:rsidRDefault="00CA3E3D" w:rsidP="00CA3E3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1.58</w:t>
            </w:r>
          </w:p>
        </w:tc>
        <w:tc>
          <w:tcPr>
            <w:tcW w:w="788" w:type="dxa"/>
            <w:shd w:val="clear" w:color="auto" w:fill="FFFFFF"/>
          </w:tcPr>
          <w:p w14:paraId="3B725B3F" w14:textId="44CE8545" w:rsidR="00CA3E3D" w:rsidRPr="00B57B36" w:rsidRDefault="00CA3E3D" w:rsidP="00CA3E3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n.d.</w:t>
            </w:r>
          </w:p>
        </w:tc>
        <w:tc>
          <w:tcPr>
            <w:tcW w:w="787" w:type="dxa"/>
            <w:shd w:val="clear" w:color="auto" w:fill="FFFFFF"/>
          </w:tcPr>
          <w:p w14:paraId="2D235BD3" w14:textId="2BB3F8D6" w:rsidR="00CA3E3D" w:rsidRPr="00B57B36" w:rsidRDefault="00CA3E3D" w:rsidP="00CA3E3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n.d.</w:t>
            </w:r>
          </w:p>
        </w:tc>
        <w:tc>
          <w:tcPr>
            <w:tcW w:w="787" w:type="dxa"/>
            <w:shd w:val="clear" w:color="auto" w:fill="FFFFFF"/>
          </w:tcPr>
          <w:p w14:paraId="368F7172" w14:textId="3FF5118A" w:rsidR="00CA3E3D" w:rsidRPr="00B57B36" w:rsidRDefault="00CA3E3D" w:rsidP="00CA3E3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0.30</w:t>
            </w:r>
          </w:p>
        </w:tc>
        <w:tc>
          <w:tcPr>
            <w:tcW w:w="788" w:type="dxa"/>
            <w:shd w:val="clear" w:color="auto" w:fill="FFFFFF"/>
          </w:tcPr>
          <w:p w14:paraId="3C3B2FA4" w14:textId="585CAF83" w:rsidR="00CA3E3D" w:rsidRPr="00B57B36" w:rsidRDefault="00957073" w:rsidP="00CA3E3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 xml:space="preserve">&lt; </w:t>
            </w:r>
            <w:r w:rsidR="00CA3E3D">
              <w:rPr>
                <w:rFonts w:cs="Arial"/>
                <w:szCs w:val="18"/>
                <w:lang w:val="en-GB"/>
              </w:rPr>
              <w:t>LOD</w:t>
            </w:r>
          </w:p>
        </w:tc>
        <w:tc>
          <w:tcPr>
            <w:tcW w:w="787" w:type="dxa"/>
            <w:shd w:val="clear" w:color="auto" w:fill="FFFFFF"/>
          </w:tcPr>
          <w:p w14:paraId="6C3665CE" w14:textId="6485D261" w:rsidR="00CA3E3D" w:rsidRPr="00B57B36" w:rsidRDefault="00CA3E3D" w:rsidP="00CA3E3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4.73</w:t>
            </w:r>
          </w:p>
        </w:tc>
        <w:tc>
          <w:tcPr>
            <w:tcW w:w="787" w:type="dxa"/>
            <w:shd w:val="clear" w:color="auto" w:fill="FFFFFF"/>
          </w:tcPr>
          <w:p w14:paraId="409632A0" w14:textId="75DBB9A2" w:rsidR="00CA3E3D" w:rsidRPr="00B57B36" w:rsidRDefault="00CA3E3D" w:rsidP="00CA3E3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566770">
              <w:rPr>
                <w:rFonts w:cs="Arial"/>
                <w:szCs w:val="18"/>
                <w:lang w:val="en-GB"/>
              </w:rPr>
              <w:t>n.d.</w:t>
            </w:r>
          </w:p>
        </w:tc>
        <w:tc>
          <w:tcPr>
            <w:tcW w:w="788" w:type="dxa"/>
            <w:shd w:val="clear" w:color="auto" w:fill="FFFFFF"/>
          </w:tcPr>
          <w:p w14:paraId="168269D8" w14:textId="5438791A" w:rsidR="00CA3E3D" w:rsidRPr="00B57B36" w:rsidRDefault="00CA3E3D" w:rsidP="00CA3E3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462E8F">
              <w:rPr>
                <w:rFonts w:cs="Arial"/>
                <w:szCs w:val="18"/>
                <w:lang w:val="en-GB"/>
              </w:rPr>
              <w:t>n.d.</w:t>
            </w:r>
          </w:p>
        </w:tc>
      </w:tr>
      <w:tr w:rsidR="00CA3E3D" w:rsidRPr="00B57B36" w14:paraId="285E884B" w14:textId="24234196" w:rsidTr="00E71273">
        <w:tc>
          <w:tcPr>
            <w:tcW w:w="1701" w:type="dxa"/>
            <w:shd w:val="clear" w:color="auto" w:fill="FFFFFF"/>
          </w:tcPr>
          <w:p w14:paraId="7121F3E2" w14:textId="1BAECDFE" w:rsidR="00CA3E3D" w:rsidRPr="00B57B36" w:rsidRDefault="00CA3E3D" w:rsidP="00CA3E3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LTO/NCA Anode</w:t>
            </w:r>
          </w:p>
        </w:tc>
        <w:tc>
          <w:tcPr>
            <w:tcW w:w="787" w:type="dxa"/>
            <w:shd w:val="clear" w:color="auto" w:fill="FFFFFF"/>
          </w:tcPr>
          <w:p w14:paraId="3E960695" w14:textId="577C7C73" w:rsidR="00CA3E3D" w:rsidRPr="00B57B36" w:rsidRDefault="00CA3E3D" w:rsidP="00CA3E3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n.d.</w:t>
            </w:r>
          </w:p>
        </w:tc>
        <w:tc>
          <w:tcPr>
            <w:tcW w:w="787" w:type="dxa"/>
            <w:shd w:val="clear" w:color="auto" w:fill="FFFFFF"/>
          </w:tcPr>
          <w:p w14:paraId="1C87681C" w14:textId="7A08B8C9" w:rsidR="00CA3E3D" w:rsidRPr="00B57B36" w:rsidRDefault="00CA3E3D" w:rsidP="00CA3E3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n.d.</w:t>
            </w:r>
          </w:p>
        </w:tc>
        <w:tc>
          <w:tcPr>
            <w:tcW w:w="788" w:type="dxa"/>
            <w:shd w:val="clear" w:color="auto" w:fill="FFFFFF"/>
          </w:tcPr>
          <w:p w14:paraId="11B1B5D1" w14:textId="40797F83" w:rsidR="00CA3E3D" w:rsidRPr="00B57B36" w:rsidRDefault="00CA3E3D" w:rsidP="00CA3E3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3.22</w:t>
            </w:r>
          </w:p>
        </w:tc>
        <w:tc>
          <w:tcPr>
            <w:tcW w:w="787" w:type="dxa"/>
            <w:shd w:val="clear" w:color="auto" w:fill="FFFFFF"/>
          </w:tcPr>
          <w:p w14:paraId="6998DCE1" w14:textId="7997832F" w:rsidR="00CA3E3D" w:rsidRPr="00B57B36" w:rsidRDefault="00CA3E3D" w:rsidP="00CA3E3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n.d.</w:t>
            </w:r>
          </w:p>
        </w:tc>
        <w:tc>
          <w:tcPr>
            <w:tcW w:w="787" w:type="dxa"/>
            <w:shd w:val="clear" w:color="auto" w:fill="FFFFFF"/>
          </w:tcPr>
          <w:p w14:paraId="7115CB73" w14:textId="5B027690" w:rsidR="00CA3E3D" w:rsidRPr="00B57B36" w:rsidRDefault="00CA3E3D" w:rsidP="00CA3E3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3.63</w:t>
            </w:r>
          </w:p>
        </w:tc>
        <w:tc>
          <w:tcPr>
            <w:tcW w:w="788" w:type="dxa"/>
            <w:shd w:val="clear" w:color="auto" w:fill="FFFFFF"/>
          </w:tcPr>
          <w:p w14:paraId="149B08B3" w14:textId="0933EDF4" w:rsidR="00CA3E3D" w:rsidRPr="00B57B36" w:rsidRDefault="00CA3E3D" w:rsidP="00CA3E3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n.d.</w:t>
            </w:r>
          </w:p>
        </w:tc>
        <w:tc>
          <w:tcPr>
            <w:tcW w:w="787" w:type="dxa"/>
            <w:shd w:val="clear" w:color="auto" w:fill="FFFFFF"/>
          </w:tcPr>
          <w:p w14:paraId="7630CF08" w14:textId="0077EB98" w:rsidR="00CA3E3D" w:rsidRPr="00B57B36" w:rsidRDefault="00CA3E3D" w:rsidP="00CA3E3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n.d.</w:t>
            </w:r>
          </w:p>
        </w:tc>
        <w:tc>
          <w:tcPr>
            <w:tcW w:w="787" w:type="dxa"/>
            <w:shd w:val="clear" w:color="auto" w:fill="FFFFFF"/>
          </w:tcPr>
          <w:p w14:paraId="53435ADA" w14:textId="096D6AC0" w:rsidR="00CA3E3D" w:rsidRPr="00B57B36" w:rsidRDefault="00CA3E3D" w:rsidP="00CA3E3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566770">
              <w:rPr>
                <w:rFonts w:cs="Arial"/>
                <w:szCs w:val="18"/>
                <w:lang w:val="en-GB"/>
              </w:rPr>
              <w:t>n.d.</w:t>
            </w:r>
          </w:p>
        </w:tc>
        <w:tc>
          <w:tcPr>
            <w:tcW w:w="788" w:type="dxa"/>
            <w:shd w:val="clear" w:color="auto" w:fill="FFFFFF"/>
          </w:tcPr>
          <w:p w14:paraId="7797E138" w14:textId="6AAA3CEA" w:rsidR="00CA3E3D" w:rsidRPr="00B57B36" w:rsidRDefault="00CA3E3D" w:rsidP="00CA3E3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4.77</w:t>
            </w:r>
          </w:p>
        </w:tc>
      </w:tr>
      <w:tr w:rsidR="00CA3E3D" w:rsidRPr="00B57B36" w14:paraId="7C7A7785" w14:textId="77777777" w:rsidTr="00E71273">
        <w:tc>
          <w:tcPr>
            <w:tcW w:w="1701" w:type="dxa"/>
            <w:shd w:val="clear" w:color="auto" w:fill="FFFFFF"/>
          </w:tcPr>
          <w:p w14:paraId="50B1AE30" w14:textId="0148306B" w:rsidR="00CA3E3D" w:rsidRDefault="00CA3E3D" w:rsidP="00CA3E3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LTO/NCA Cathode</w:t>
            </w:r>
          </w:p>
        </w:tc>
        <w:tc>
          <w:tcPr>
            <w:tcW w:w="787" w:type="dxa"/>
            <w:shd w:val="clear" w:color="auto" w:fill="FFFFFF"/>
          </w:tcPr>
          <w:p w14:paraId="4B7446D2" w14:textId="4EBEE6A9" w:rsidR="00CA3E3D" w:rsidRDefault="00CA3E3D" w:rsidP="00CA3E3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5.33</w:t>
            </w:r>
          </w:p>
        </w:tc>
        <w:tc>
          <w:tcPr>
            <w:tcW w:w="787" w:type="dxa"/>
            <w:shd w:val="clear" w:color="auto" w:fill="FFFFFF"/>
          </w:tcPr>
          <w:p w14:paraId="46CDC8E5" w14:textId="2DF4B0D7" w:rsidR="00CA3E3D" w:rsidRPr="00B57B36" w:rsidRDefault="00CA3E3D" w:rsidP="00CA3E3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1.37</w:t>
            </w:r>
          </w:p>
        </w:tc>
        <w:tc>
          <w:tcPr>
            <w:tcW w:w="788" w:type="dxa"/>
            <w:shd w:val="clear" w:color="auto" w:fill="FFFFFF"/>
          </w:tcPr>
          <w:p w14:paraId="5FA0D487" w14:textId="61D49A5D" w:rsidR="00CA3E3D" w:rsidRPr="00B57B36" w:rsidRDefault="00CA3E3D" w:rsidP="00CA3E3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n.d.</w:t>
            </w:r>
          </w:p>
        </w:tc>
        <w:tc>
          <w:tcPr>
            <w:tcW w:w="787" w:type="dxa"/>
            <w:shd w:val="clear" w:color="auto" w:fill="FFFFFF"/>
          </w:tcPr>
          <w:p w14:paraId="380628FE" w14:textId="10443F4C" w:rsidR="00CA3E3D" w:rsidRPr="00B57B36" w:rsidRDefault="00CA3E3D" w:rsidP="00CA3E3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n.d.</w:t>
            </w:r>
          </w:p>
        </w:tc>
        <w:tc>
          <w:tcPr>
            <w:tcW w:w="787" w:type="dxa"/>
            <w:shd w:val="clear" w:color="auto" w:fill="FFFFFF"/>
          </w:tcPr>
          <w:p w14:paraId="5F5F6BF7" w14:textId="0800E924" w:rsidR="00CA3E3D" w:rsidRPr="00B57B36" w:rsidRDefault="00CA3E3D" w:rsidP="00CA3E3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0.28</w:t>
            </w:r>
          </w:p>
        </w:tc>
        <w:tc>
          <w:tcPr>
            <w:tcW w:w="788" w:type="dxa"/>
            <w:shd w:val="clear" w:color="auto" w:fill="FFFFFF"/>
          </w:tcPr>
          <w:p w14:paraId="6ABDDECF" w14:textId="3C7B226C" w:rsidR="00CA3E3D" w:rsidRPr="00B57B36" w:rsidRDefault="00CA3E3D" w:rsidP="00CA3E3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0.05</w:t>
            </w:r>
          </w:p>
        </w:tc>
        <w:tc>
          <w:tcPr>
            <w:tcW w:w="787" w:type="dxa"/>
            <w:shd w:val="clear" w:color="auto" w:fill="FFFFFF"/>
          </w:tcPr>
          <w:p w14:paraId="1119A39D" w14:textId="233E3F7E" w:rsidR="00CA3E3D" w:rsidRPr="00B57B36" w:rsidRDefault="00CA3E3D" w:rsidP="00CA3E3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5.61</w:t>
            </w:r>
          </w:p>
        </w:tc>
        <w:tc>
          <w:tcPr>
            <w:tcW w:w="787" w:type="dxa"/>
            <w:shd w:val="clear" w:color="auto" w:fill="FFFFFF"/>
          </w:tcPr>
          <w:p w14:paraId="1FA66D8B" w14:textId="45A4F4A2" w:rsidR="00CA3E3D" w:rsidRPr="00B57B36" w:rsidRDefault="00CA3E3D" w:rsidP="00CA3E3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566770">
              <w:rPr>
                <w:rFonts w:cs="Arial"/>
                <w:szCs w:val="18"/>
                <w:lang w:val="en-GB"/>
              </w:rPr>
              <w:t>n.d.</w:t>
            </w:r>
          </w:p>
        </w:tc>
        <w:tc>
          <w:tcPr>
            <w:tcW w:w="788" w:type="dxa"/>
            <w:shd w:val="clear" w:color="auto" w:fill="FFFFFF"/>
          </w:tcPr>
          <w:p w14:paraId="4EC5271E" w14:textId="2A2732F8" w:rsidR="00CA3E3D" w:rsidRPr="00B57B36" w:rsidRDefault="00CA3E3D" w:rsidP="00CA3E3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495EFE">
              <w:rPr>
                <w:rFonts w:cs="Arial"/>
                <w:szCs w:val="18"/>
                <w:lang w:val="en-GB"/>
              </w:rPr>
              <w:t>n.d.</w:t>
            </w:r>
          </w:p>
        </w:tc>
      </w:tr>
      <w:tr w:rsidR="00CA3E3D" w:rsidRPr="00B57B36" w14:paraId="3CEDFBBC" w14:textId="77777777" w:rsidTr="00E71273">
        <w:tc>
          <w:tcPr>
            <w:tcW w:w="1701" w:type="dxa"/>
            <w:shd w:val="clear" w:color="auto" w:fill="FFFFFF"/>
          </w:tcPr>
          <w:p w14:paraId="3268C3D7" w14:textId="10DF4074" w:rsidR="00CA3E3D" w:rsidRDefault="00CA3E3D" w:rsidP="00CA3E3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C/LFP Anode</w:t>
            </w:r>
          </w:p>
        </w:tc>
        <w:tc>
          <w:tcPr>
            <w:tcW w:w="787" w:type="dxa"/>
            <w:shd w:val="clear" w:color="auto" w:fill="FFFFFF"/>
          </w:tcPr>
          <w:p w14:paraId="782DE113" w14:textId="085618CB" w:rsidR="00CA3E3D" w:rsidRDefault="00CA3E3D" w:rsidP="00CA3E3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n.d.</w:t>
            </w:r>
          </w:p>
        </w:tc>
        <w:tc>
          <w:tcPr>
            <w:tcW w:w="787" w:type="dxa"/>
            <w:shd w:val="clear" w:color="auto" w:fill="FFFFFF"/>
          </w:tcPr>
          <w:p w14:paraId="13208B2B" w14:textId="6519719F" w:rsidR="00CA3E3D" w:rsidRPr="00B57B36" w:rsidRDefault="00CA3E3D" w:rsidP="00CA3E3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n.d.</w:t>
            </w:r>
          </w:p>
        </w:tc>
        <w:tc>
          <w:tcPr>
            <w:tcW w:w="788" w:type="dxa"/>
            <w:shd w:val="clear" w:color="auto" w:fill="FFFFFF"/>
          </w:tcPr>
          <w:p w14:paraId="6287AE6F" w14:textId="2AEDF531" w:rsidR="00CA3E3D" w:rsidRPr="00B57B36" w:rsidRDefault="00CA3E3D" w:rsidP="00CA3E3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8.47</w:t>
            </w:r>
          </w:p>
        </w:tc>
        <w:tc>
          <w:tcPr>
            <w:tcW w:w="787" w:type="dxa"/>
            <w:shd w:val="clear" w:color="auto" w:fill="FFFFFF"/>
          </w:tcPr>
          <w:p w14:paraId="0A3BD2E9" w14:textId="13C768D1" w:rsidR="00CA3E3D" w:rsidRPr="00B57B36" w:rsidRDefault="00CA3E3D" w:rsidP="00CA3E3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n.d.</w:t>
            </w:r>
          </w:p>
        </w:tc>
        <w:tc>
          <w:tcPr>
            <w:tcW w:w="787" w:type="dxa"/>
            <w:shd w:val="clear" w:color="auto" w:fill="FFFFFF"/>
          </w:tcPr>
          <w:p w14:paraId="3416EE6A" w14:textId="75829825" w:rsidR="00CA3E3D" w:rsidRPr="00B57B36" w:rsidRDefault="00CA3E3D" w:rsidP="00CA3E3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0.25</w:t>
            </w:r>
          </w:p>
        </w:tc>
        <w:tc>
          <w:tcPr>
            <w:tcW w:w="788" w:type="dxa"/>
            <w:shd w:val="clear" w:color="auto" w:fill="FFFFFF"/>
          </w:tcPr>
          <w:p w14:paraId="6EC53411" w14:textId="708AE904" w:rsidR="00CA3E3D" w:rsidRPr="00B57B36" w:rsidRDefault="00CA3E3D" w:rsidP="00CA3E3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n.d.</w:t>
            </w:r>
          </w:p>
        </w:tc>
        <w:tc>
          <w:tcPr>
            <w:tcW w:w="787" w:type="dxa"/>
            <w:shd w:val="clear" w:color="auto" w:fill="FFFFFF"/>
          </w:tcPr>
          <w:p w14:paraId="1E6B6F08" w14:textId="7C62A78F" w:rsidR="00CA3E3D" w:rsidRPr="00B57B36" w:rsidRDefault="00CA3E3D" w:rsidP="00CA3E3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n.d.</w:t>
            </w:r>
          </w:p>
        </w:tc>
        <w:tc>
          <w:tcPr>
            <w:tcW w:w="787" w:type="dxa"/>
            <w:shd w:val="clear" w:color="auto" w:fill="FFFFFF"/>
          </w:tcPr>
          <w:p w14:paraId="1A8F4D51" w14:textId="6449BD1F" w:rsidR="00CA3E3D" w:rsidRPr="00B57B36" w:rsidRDefault="00CA3E3D" w:rsidP="00CA3E3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566770">
              <w:rPr>
                <w:rFonts w:cs="Arial"/>
                <w:szCs w:val="18"/>
                <w:lang w:val="en-GB"/>
              </w:rPr>
              <w:t>n.d.</w:t>
            </w:r>
          </w:p>
        </w:tc>
        <w:tc>
          <w:tcPr>
            <w:tcW w:w="788" w:type="dxa"/>
            <w:shd w:val="clear" w:color="auto" w:fill="FFFFFF"/>
          </w:tcPr>
          <w:p w14:paraId="0695D3E0" w14:textId="3CDB0F10" w:rsidR="00CA3E3D" w:rsidRPr="00B57B36" w:rsidRDefault="00CA3E3D" w:rsidP="00CA3E3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495EFE">
              <w:rPr>
                <w:rFonts w:cs="Arial"/>
                <w:szCs w:val="18"/>
                <w:lang w:val="en-GB"/>
              </w:rPr>
              <w:t>n.d.</w:t>
            </w:r>
          </w:p>
        </w:tc>
      </w:tr>
      <w:tr w:rsidR="00CA3E3D" w:rsidRPr="00B57B36" w14:paraId="1B277DDA" w14:textId="18A8175C" w:rsidTr="00E71273">
        <w:tc>
          <w:tcPr>
            <w:tcW w:w="1701" w:type="dxa"/>
            <w:shd w:val="clear" w:color="auto" w:fill="FFFFFF"/>
          </w:tcPr>
          <w:p w14:paraId="76AC878C" w14:textId="6D3E4F62" w:rsidR="00CA3E3D" w:rsidRDefault="00CA3E3D" w:rsidP="00CA3E3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C/LFP Cathode</w:t>
            </w:r>
          </w:p>
        </w:tc>
        <w:tc>
          <w:tcPr>
            <w:tcW w:w="787" w:type="dxa"/>
            <w:shd w:val="clear" w:color="auto" w:fill="FFFFFF"/>
          </w:tcPr>
          <w:p w14:paraId="53D90C48" w14:textId="7B453805" w:rsidR="00CA3E3D" w:rsidRPr="00B57B36" w:rsidRDefault="00CA3E3D" w:rsidP="00CA3E3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4.27</w:t>
            </w:r>
          </w:p>
        </w:tc>
        <w:tc>
          <w:tcPr>
            <w:tcW w:w="787" w:type="dxa"/>
            <w:shd w:val="clear" w:color="auto" w:fill="FFFFFF"/>
          </w:tcPr>
          <w:p w14:paraId="48B8FAE6" w14:textId="7EF1C4DD" w:rsidR="00CA3E3D" w:rsidRPr="00B57B36" w:rsidRDefault="00CA3E3D" w:rsidP="00CA3E3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n.d.</w:t>
            </w:r>
          </w:p>
        </w:tc>
        <w:tc>
          <w:tcPr>
            <w:tcW w:w="788" w:type="dxa"/>
            <w:shd w:val="clear" w:color="auto" w:fill="FFFFFF"/>
          </w:tcPr>
          <w:p w14:paraId="7B7E3419" w14:textId="002A5E77" w:rsidR="00CA3E3D" w:rsidRPr="00B57B36" w:rsidRDefault="00CA3E3D" w:rsidP="00CA3E3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n.d.</w:t>
            </w:r>
          </w:p>
        </w:tc>
        <w:tc>
          <w:tcPr>
            <w:tcW w:w="787" w:type="dxa"/>
            <w:shd w:val="clear" w:color="auto" w:fill="FFFFFF"/>
          </w:tcPr>
          <w:p w14:paraId="33A1AE86" w14:textId="2B555231" w:rsidR="00CA3E3D" w:rsidRPr="00B57B36" w:rsidRDefault="00CA3E3D" w:rsidP="00CA3E3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3.04</w:t>
            </w:r>
          </w:p>
        </w:tc>
        <w:tc>
          <w:tcPr>
            <w:tcW w:w="787" w:type="dxa"/>
            <w:shd w:val="clear" w:color="auto" w:fill="FFFFFF"/>
          </w:tcPr>
          <w:p w14:paraId="5CB125DE" w14:textId="6529CC48" w:rsidR="00CA3E3D" w:rsidRPr="00B57B36" w:rsidRDefault="00CA3E3D" w:rsidP="00CA3E3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0.09</w:t>
            </w:r>
          </w:p>
        </w:tc>
        <w:tc>
          <w:tcPr>
            <w:tcW w:w="788" w:type="dxa"/>
            <w:shd w:val="clear" w:color="auto" w:fill="FFFFFF"/>
          </w:tcPr>
          <w:p w14:paraId="130691AA" w14:textId="442F1EB3" w:rsidR="00CA3E3D" w:rsidRPr="00B57B36" w:rsidRDefault="00CA3E3D" w:rsidP="00CA3E3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n.d.</w:t>
            </w:r>
          </w:p>
        </w:tc>
        <w:tc>
          <w:tcPr>
            <w:tcW w:w="787" w:type="dxa"/>
            <w:shd w:val="clear" w:color="auto" w:fill="FFFFFF"/>
          </w:tcPr>
          <w:p w14:paraId="7E0EDC54" w14:textId="400BE63A" w:rsidR="00CA3E3D" w:rsidRPr="00B57B36" w:rsidRDefault="00CA3E3D" w:rsidP="00CA3E3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n.d.</w:t>
            </w:r>
          </w:p>
        </w:tc>
        <w:tc>
          <w:tcPr>
            <w:tcW w:w="787" w:type="dxa"/>
            <w:shd w:val="clear" w:color="auto" w:fill="FFFFFF"/>
          </w:tcPr>
          <w:p w14:paraId="7F3B3CD0" w14:textId="17DC21F0" w:rsidR="00CA3E3D" w:rsidRPr="00B57B36" w:rsidRDefault="00CA3E3D" w:rsidP="00CA3E3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0.44</w:t>
            </w:r>
          </w:p>
        </w:tc>
        <w:tc>
          <w:tcPr>
            <w:tcW w:w="788" w:type="dxa"/>
            <w:shd w:val="clear" w:color="auto" w:fill="FFFFFF"/>
          </w:tcPr>
          <w:p w14:paraId="0394DB33" w14:textId="3ADDB0C7" w:rsidR="00CA3E3D" w:rsidRPr="00B57B36" w:rsidRDefault="00CA3E3D" w:rsidP="00CA3E3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495EFE">
              <w:rPr>
                <w:rFonts w:cs="Arial"/>
                <w:szCs w:val="18"/>
                <w:lang w:val="en-GB"/>
              </w:rPr>
              <w:t>n.d.</w:t>
            </w:r>
          </w:p>
        </w:tc>
      </w:tr>
    </w:tbl>
    <w:p w14:paraId="1FFCC8A8" w14:textId="0485FD2E" w:rsidR="00B228D1" w:rsidRDefault="00CA3E3D" w:rsidP="00CA3E3D">
      <w:pPr>
        <w:pStyle w:val="CETBodytext"/>
        <w:spacing w:after="240"/>
        <w:jc w:val="center"/>
        <w:rPr>
          <w:lang w:val="en-GB"/>
        </w:rPr>
      </w:pPr>
      <w:r>
        <w:rPr>
          <w:lang w:val="en-GB"/>
        </w:rPr>
        <w:t>n.d.: not detected; LOD: limit of detection.</w:t>
      </w:r>
    </w:p>
    <w:p w14:paraId="384CC2CB" w14:textId="1D19CDD9" w:rsidR="008652EE" w:rsidRDefault="003D087A" w:rsidP="003D087A">
      <w:pPr>
        <w:pStyle w:val="CETBodytext"/>
        <w:rPr>
          <w:lang w:val="en-GB"/>
        </w:rPr>
      </w:pPr>
      <w:r>
        <w:rPr>
          <w:lang w:val="en-GB"/>
        </w:rPr>
        <w:t>T</w:t>
      </w:r>
      <w:r w:rsidRPr="00CA3E3D">
        <w:rPr>
          <w:lang w:val="en-GB"/>
        </w:rPr>
        <w:t xml:space="preserve">he analyses confirm </w:t>
      </w:r>
      <w:r w:rsidRPr="008652EE">
        <w:rPr>
          <w:lang w:val="en-GB"/>
        </w:rPr>
        <w:t>the chemical composition expected, as reported in Table 1.</w:t>
      </w:r>
      <w:r w:rsidR="008652EE" w:rsidRPr="008652EE">
        <w:t xml:space="preserve"> </w:t>
      </w:r>
      <w:r w:rsidR="008652EE">
        <w:t>S</w:t>
      </w:r>
      <w:proofErr w:type="spellStart"/>
      <w:r w:rsidR="008652EE" w:rsidRPr="008652EE">
        <w:rPr>
          <w:lang w:val="en-GB"/>
        </w:rPr>
        <w:t>pecifically</w:t>
      </w:r>
      <w:proofErr w:type="spellEnd"/>
      <w:r w:rsidR="008652EE" w:rsidRPr="008652EE">
        <w:rPr>
          <w:lang w:val="en-GB"/>
        </w:rPr>
        <w:t xml:space="preserve">, the chemical compositions found are: </w:t>
      </w:r>
      <w:r w:rsidR="008652EE">
        <w:rPr>
          <w:lang w:val="en-GB"/>
        </w:rPr>
        <w:t>(Li</w:t>
      </w:r>
      <w:r w:rsidR="008652EE" w:rsidRPr="008652EE">
        <w:rPr>
          <w:vertAlign w:val="subscript"/>
          <w:lang w:val="en-GB"/>
        </w:rPr>
        <w:t>0.99</w:t>
      </w:r>
      <w:r w:rsidR="008652EE">
        <w:rPr>
          <w:lang w:val="en-GB"/>
        </w:rPr>
        <w:t>Ni</w:t>
      </w:r>
      <w:r w:rsidR="008652EE" w:rsidRPr="008652EE">
        <w:rPr>
          <w:vertAlign w:val="subscript"/>
          <w:lang w:val="en-GB"/>
        </w:rPr>
        <w:t>0.71</w:t>
      </w:r>
      <w:r w:rsidR="00F5080F">
        <w:rPr>
          <w:lang w:val="en-GB"/>
        </w:rPr>
        <w:t>Co</w:t>
      </w:r>
      <w:r w:rsidR="00F5080F" w:rsidRPr="008652EE">
        <w:rPr>
          <w:vertAlign w:val="subscript"/>
          <w:lang w:val="en-GB"/>
        </w:rPr>
        <w:t>0.15</w:t>
      </w:r>
      <w:r w:rsidR="00F5080F" w:rsidRPr="00F5080F">
        <w:rPr>
          <w:lang w:val="en-GB"/>
        </w:rPr>
        <w:t xml:space="preserve"> </w:t>
      </w:r>
      <w:r w:rsidR="00F5080F">
        <w:rPr>
          <w:lang w:val="en-GB"/>
        </w:rPr>
        <w:t>Al</w:t>
      </w:r>
      <w:r w:rsidR="00F5080F" w:rsidRPr="008652EE">
        <w:rPr>
          <w:vertAlign w:val="subscript"/>
          <w:lang w:val="en-GB"/>
        </w:rPr>
        <w:t>0.15</w:t>
      </w:r>
      <w:r w:rsidR="008652EE">
        <w:rPr>
          <w:lang w:val="en-GB"/>
        </w:rPr>
        <w:t>)O</w:t>
      </w:r>
      <w:r w:rsidR="008652EE" w:rsidRPr="008652EE">
        <w:rPr>
          <w:vertAlign w:val="subscript"/>
          <w:lang w:val="en-GB"/>
        </w:rPr>
        <w:t>2</w:t>
      </w:r>
      <w:r w:rsidR="008652EE">
        <w:rPr>
          <w:lang w:val="en-GB"/>
        </w:rPr>
        <w:t xml:space="preserve"> </w:t>
      </w:r>
      <w:r w:rsidR="008652EE" w:rsidRPr="008652EE">
        <w:rPr>
          <w:lang w:val="en-GB"/>
        </w:rPr>
        <w:t>for NCA</w:t>
      </w:r>
      <w:r w:rsidR="008652EE">
        <w:rPr>
          <w:lang w:val="en-GB"/>
        </w:rPr>
        <w:t>, Li</w:t>
      </w:r>
      <w:r w:rsidR="008652EE" w:rsidRPr="008652EE">
        <w:rPr>
          <w:vertAlign w:val="subscript"/>
          <w:lang w:val="en-GB"/>
        </w:rPr>
        <w:t>4</w:t>
      </w:r>
      <w:r w:rsidR="008652EE">
        <w:rPr>
          <w:lang w:val="en-GB"/>
        </w:rPr>
        <w:t>Ti</w:t>
      </w:r>
      <w:r w:rsidR="008652EE" w:rsidRPr="008652EE">
        <w:rPr>
          <w:vertAlign w:val="subscript"/>
          <w:lang w:val="en-GB"/>
        </w:rPr>
        <w:t>5</w:t>
      </w:r>
      <w:r w:rsidR="008652EE">
        <w:rPr>
          <w:lang w:val="en-GB"/>
        </w:rPr>
        <w:t>O</w:t>
      </w:r>
      <w:r w:rsidR="008652EE" w:rsidRPr="008652EE">
        <w:rPr>
          <w:vertAlign w:val="subscript"/>
          <w:lang w:val="en-GB"/>
        </w:rPr>
        <w:t xml:space="preserve">12 </w:t>
      </w:r>
      <w:r w:rsidR="008652EE">
        <w:rPr>
          <w:lang w:val="en-GB"/>
        </w:rPr>
        <w:t>for LTO, and LiFePO</w:t>
      </w:r>
      <w:r w:rsidR="008652EE" w:rsidRPr="008652EE">
        <w:rPr>
          <w:vertAlign w:val="subscript"/>
          <w:lang w:val="en-GB"/>
        </w:rPr>
        <w:t>4</w:t>
      </w:r>
      <w:r w:rsidR="008652EE">
        <w:rPr>
          <w:lang w:val="en-GB"/>
        </w:rPr>
        <w:t xml:space="preserve"> for LFP. </w:t>
      </w:r>
    </w:p>
    <w:p w14:paraId="06572F28" w14:textId="51F7E983" w:rsidR="003D087A" w:rsidRDefault="003D087A" w:rsidP="003D087A">
      <w:pPr>
        <w:pStyle w:val="CETBodytext"/>
        <w:rPr>
          <w:lang w:val="en-GB"/>
        </w:rPr>
      </w:pPr>
      <w:r w:rsidRPr="008652EE">
        <w:rPr>
          <w:lang w:val="en-GB"/>
        </w:rPr>
        <w:t>The co-presence of Li both in anode and cathode material is due to the state of charge of the cell (SoC=50 %), with a part of the Li intercalated in the anode material, and a part in the cathode material (Mao et al., 2019). About the cathode, where the Mn is present the amount obtained is very low, as for LTO/NCA cathode, or under the LOD of the instrument.</w:t>
      </w:r>
    </w:p>
    <w:p w14:paraId="2010DF26" w14:textId="1680AB1B" w:rsidR="002B6DDF" w:rsidRDefault="00E72DB3" w:rsidP="00744401">
      <w:pPr>
        <w:pStyle w:val="CETheadingx"/>
      </w:pPr>
      <w:r>
        <w:t xml:space="preserve">3.2 </w:t>
      </w:r>
      <w:r w:rsidR="002B6DDF">
        <w:t>Electroly</w:t>
      </w:r>
      <w:r w:rsidR="00EC193C">
        <w:t>te</w:t>
      </w:r>
      <w:r w:rsidR="002B6DDF">
        <w:t xml:space="preserve"> </w:t>
      </w:r>
      <w:r w:rsidR="008A545C">
        <w:t>characterization</w:t>
      </w:r>
    </w:p>
    <w:p w14:paraId="4153FC8C" w14:textId="35981C73" w:rsidR="006E5932" w:rsidRDefault="00823607" w:rsidP="006E5932">
      <w:pPr>
        <w:pStyle w:val="CETBodytext"/>
        <w:spacing w:after="240"/>
        <w:rPr>
          <w:lang w:val="en-GB"/>
        </w:rPr>
      </w:pPr>
      <w:r>
        <w:rPr>
          <w:lang w:val="en-GB"/>
        </w:rPr>
        <w:t>T</w:t>
      </w:r>
      <w:r w:rsidRPr="00823607">
        <w:rPr>
          <w:lang w:val="en-GB"/>
        </w:rPr>
        <w:t xml:space="preserve">he electrolyte has been </w:t>
      </w:r>
      <w:r w:rsidR="00EC193C" w:rsidRPr="00823607">
        <w:rPr>
          <w:lang w:val="en-GB"/>
        </w:rPr>
        <w:t>analysed</w:t>
      </w:r>
      <w:r w:rsidRPr="00823607">
        <w:rPr>
          <w:lang w:val="en-GB"/>
        </w:rPr>
        <w:t xml:space="preserve"> </w:t>
      </w:r>
      <w:r w:rsidR="001D6CBD">
        <w:rPr>
          <w:lang w:val="en-GB"/>
        </w:rPr>
        <w:t xml:space="preserve">to quantify both </w:t>
      </w:r>
      <w:r w:rsidRPr="00823607">
        <w:rPr>
          <w:lang w:val="en-GB"/>
        </w:rPr>
        <w:t>the organic carbonates</w:t>
      </w:r>
      <w:r w:rsidR="001D6CBD">
        <w:rPr>
          <w:lang w:val="en-GB"/>
        </w:rPr>
        <w:t xml:space="preserve"> (</w:t>
      </w:r>
      <w:r w:rsidR="001D6CBD" w:rsidRPr="00823607">
        <w:rPr>
          <w:lang w:val="en-GB"/>
        </w:rPr>
        <w:t>by GC</w:t>
      </w:r>
      <w:r w:rsidR="001D6CBD">
        <w:rPr>
          <w:lang w:val="en-GB"/>
        </w:rPr>
        <w:t>-FID)</w:t>
      </w:r>
      <w:r w:rsidRPr="00823607">
        <w:rPr>
          <w:lang w:val="en-GB"/>
        </w:rPr>
        <w:t xml:space="preserve"> and </w:t>
      </w:r>
      <w:r w:rsidR="00F5080F">
        <w:rPr>
          <w:lang w:val="en-GB"/>
        </w:rPr>
        <w:t>eventual</w:t>
      </w:r>
      <w:r w:rsidR="00EC193C" w:rsidRPr="00EC193C">
        <w:rPr>
          <w:lang w:val="en-GB"/>
        </w:rPr>
        <w:t xml:space="preserve"> additives compounds</w:t>
      </w:r>
      <w:r w:rsidR="001D6CBD">
        <w:rPr>
          <w:lang w:val="en-GB"/>
        </w:rPr>
        <w:t xml:space="preserve"> (by SPME-GC-MS)</w:t>
      </w:r>
      <w:r w:rsidR="00EC193C">
        <w:rPr>
          <w:lang w:val="en-GB"/>
        </w:rPr>
        <w:t>.</w:t>
      </w:r>
      <w:r w:rsidR="006F0F95">
        <w:rPr>
          <w:lang w:val="en-GB"/>
        </w:rPr>
        <w:t xml:space="preserve"> T</w:t>
      </w:r>
      <w:r w:rsidR="00CF3D8A" w:rsidRPr="00CF3D8A">
        <w:rPr>
          <w:lang w:val="en-GB"/>
        </w:rPr>
        <w:t xml:space="preserve">he electrolyte </w:t>
      </w:r>
      <w:r w:rsidR="00CF3D8A">
        <w:rPr>
          <w:lang w:val="en-GB"/>
        </w:rPr>
        <w:t xml:space="preserve">of the three cells </w:t>
      </w:r>
      <w:r w:rsidR="00F5080F">
        <w:rPr>
          <w:lang w:val="en-GB"/>
        </w:rPr>
        <w:t>was found to be</w:t>
      </w:r>
      <w:r w:rsidR="00CF3D8A" w:rsidRPr="00CF3D8A">
        <w:rPr>
          <w:lang w:val="en-GB"/>
        </w:rPr>
        <w:t xml:space="preserve"> composed by a mixture of DMC:DEC:EC in a different ratio. </w:t>
      </w:r>
      <w:r w:rsidR="00CF3D8A">
        <w:rPr>
          <w:lang w:val="en-GB"/>
        </w:rPr>
        <w:t>T</w:t>
      </w:r>
      <w:r w:rsidR="00CF3D8A" w:rsidRPr="00CF3D8A">
        <w:rPr>
          <w:lang w:val="en-GB"/>
        </w:rPr>
        <w:t xml:space="preserve">he predominant carbonate in </w:t>
      </w:r>
      <w:r w:rsidR="001D6CBD">
        <w:rPr>
          <w:lang w:val="en-GB"/>
        </w:rPr>
        <w:t>C/NCA</w:t>
      </w:r>
      <w:r w:rsidR="003D087A">
        <w:rPr>
          <w:lang w:val="en-GB"/>
        </w:rPr>
        <w:t xml:space="preserve"> cell</w:t>
      </w:r>
      <w:r w:rsidR="00CF3D8A" w:rsidRPr="00CF3D8A">
        <w:rPr>
          <w:lang w:val="en-GB"/>
        </w:rPr>
        <w:t xml:space="preserve"> is DMC</w:t>
      </w:r>
      <w:r w:rsidR="00CF3D8A">
        <w:rPr>
          <w:lang w:val="en-GB"/>
        </w:rPr>
        <w:t xml:space="preserve"> (DMC:DEC:EC ratio 2:1:1)</w:t>
      </w:r>
      <w:r w:rsidR="00CF3D8A" w:rsidRPr="00CF3D8A">
        <w:rPr>
          <w:lang w:val="en-GB"/>
        </w:rPr>
        <w:t xml:space="preserve">, in </w:t>
      </w:r>
      <w:r w:rsidR="001D6CBD">
        <w:rPr>
          <w:lang w:val="en-GB"/>
        </w:rPr>
        <w:t>C/LFP</w:t>
      </w:r>
      <w:r w:rsidR="00CF3D8A" w:rsidRPr="00CF3D8A">
        <w:rPr>
          <w:lang w:val="en-GB"/>
        </w:rPr>
        <w:t xml:space="preserve"> </w:t>
      </w:r>
      <w:r w:rsidR="003D087A">
        <w:rPr>
          <w:lang w:val="en-GB"/>
        </w:rPr>
        <w:t xml:space="preserve">cell is </w:t>
      </w:r>
      <w:r w:rsidR="00CF3D8A" w:rsidRPr="00CF3D8A">
        <w:rPr>
          <w:lang w:val="en-GB"/>
        </w:rPr>
        <w:t>DEC</w:t>
      </w:r>
      <w:r w:rsidR="00CF3D8A">
        <w:rPr>
          <w:lang w:val="en-GB"/>
        </w:rPr>
        <w:t xml:space="preserve"> (DMC:DEC:EC ratio 1.5:2:1)</w:t>
      </w:r>
      <w:r w:rsidR="00CF3D8A" w:rsidRPr="00CF3D8A">
        <w:rPr>
          <w:lang w:val="en-GB"/>
        </w:rPr>
        <w:t>, while in</w:t>
      </w:r>
      <w:r w:rsidR="006B38B5">
        <w:rPr>
          <w:lang w:val="en-GB"/>
        </w:rPr>
        <w:t xml:space="preserve"> </w:t>
      </w:r>
      <w:r w:rsidR="001D6CBD">
        <w:rPr>
          <w:lang w:val="en-GB"/>
        </w:rPr>
        <w:t>LTO/NCA</w:t>
      </w:r>
      <w:r w:rsidR="003D087A">
        <w:rPr>
          <w:lang w:val="en-GB"/>
        </w:rPr>
        <w:t xml:space="preserve"> cell</w:t>
      </w:r>
      <w:r w:rsidR="00CF3D8A" w:rsidRPr="00CF3D8A">
        <w:rPr>
          <w:lang w:val="en-GB"/>
        </w:rPr>
        <w:t xml:space="preserve"> DEC and EC are in the same ratio</w:t>
      </w:r>
      <w:r w:rsidR="00CF3D8A">
        <w:rPr>
          <w:lang w:val="en-GB"/>
        </w:rPr>
        <w:t xml:space="preserve"> (DMC:DEC:EC ratio 1:1.5:1.5)</w:t>
      </w:r>
      <w:r w:rsidR="00CF3D8A" w:rsidRPr="00CF3D8A">
        <w:rPr>
          <w:lang w:val="en-GB"/>
        </w:rPr>
        <w:t xml:space="preserve">. The ratio </w:t>
      </w:r>
      <w:r w:rsidR="006E5932">
        <w:rPr>
          <w:lang w:val="en-GB"/>
        </w:rPr>
        <w:t>is</w:t>
      </w:r>
      <w:r w:rsidR="00CF3D8A" w:rsidRPr="00CF3D8A">
        <w:rPr>
          <w:lang w:val="en-GB"/>
        </w:rPr>
        <w:t xml:space="preserve"> calculated considering only the organic carbonates in the </w:t>
      </w:r>
      <w:r w:rsidR="00CF3D8A" w:rsidRPr="00CF3D8A">
        <w:rPr>
          <w:lang w:val="en-GB"/>
        </w:rPr>
        <w:lastRenderedPageBreak/>
        <w:t xml:space="preserve">electrolyte, </w:t>
      </w:r>
      <w:r w:rsidR="003D087A">
        <w:rPr>
          <w:lang w:val="en-GB"/>
        </w:rPr>
        <w:t>but</w:t>
      </w:r>
      <w:r w:rsidR="00625F58">
        <w:rPr>
          <w:lang w:val="en-GB"/>
        </w:rPr>
        <w:t xml:space="preserve"> </w:t>
      </w:r>
      <w:r w:rsidR="003D087A">
        <w:rPr>
          <w:lang w:val="en-GB"/>
        </w:rPr>
        <w:t>t</w:t>
      </w:r>
      <w:r w:rsidR="006E5932">
        <w:rPr>
          <w:lang w:val="en-GB"/>
        </w:rPr>
        <w:t xml:space="preserve">he SPME-GC-MS analysis </w:t>
      </w:r>
      <w:r w:rsidR="003D087A">
        <w:rPr>
          <w:lang w:val="en-GB"/>
        </w:rPr>
        <w:t xml:space="preserve">revealed </w:t>
      </w:r>
      <w:r w:rsidR="006E5932">
        <w:rPr>
          <w:lang w:val="en-GB"/>
        </w:rPr>
        <w:t>t</w:t>
      </w:r>
      <w:r w:rsidR="00CF3D8A">
        <w:rPr>
          <w:lang w:val="en-GB"/>
        </w:rPr>
        <w:t xml:space="preserve">hree </w:t>
      </w:r>
      <w:r w:rsidR="00CF3D8A" w:rsidRPr="00EC193C">
        <w:rPr>
          <w:lang w:val="en-GB"/>
        </w:rPr>
        <w:t>additives</w:t>
      </w:r>
      <w:r w:rsidR="003D087A">
        <w:rPr>
          <w:lang w:val="en-GB"/>
        </w:rPr>
        <w:t>:</w:t>
      </w:r>
      <w:r w:rsidR="00625F58">
        <w:rPr>
          <w:lang w:val="en-GB"/>
        </w:rPr>
        <w:t xml:space="preserve"> u</w:t>
      </w:r>
      <w:r w:rsidR="00625F58" w:rsidRPr="00CF3D8A">
        <w:rPr>
          <w:lang w:val="en-GB"/>
        </w:rPr>
        <w:t>rea, N,N-dimethyl</w:t>
      </w:r>
      <w:r w:rsidR="00625F58">
        <w:rPr>
          <w:lang w:val="en-GB"/>
        </w:rPr>
        <w:t>,</w:t>
      </w:r>
      <w:r w:rsidR="00625F58" w:rsidRPr="00CF3D8A">
        <w:t xml:space="preserve"> </w:t>
      </w:r>
      <w:r w:rsidR="00625F58">
        <w:t>d</w:t>
      </w:r>
      <w:proofErr w:type="spellStart"/>
      <w:r w:rsidR="00625F58" w:rsidRPr="00CF3D8A">
        <w:rPr>
          <w:lang w:val="en-GB"/>
        </w:rPr>
        <w:t>imethyl</w:t>
      </w:r>
      <w:proofErr w:type="spellEnd"/>
      <w:r w:rsidR="00625F58">
        <w:rPr>
          <w:lang w:val="en-GB"/>
        </w:rPr>
        <w:t xml:space="preserve"> </w:t>
      </w:r>
      <w:proofErr w:type="spellStart"/>
      <w:r w:rsidR="00625F58" w:rsidRPr="00CF3D8A">
        <w:rPr>
          <w:lang w:val="en-GB"/>
        </w:rPr>
        <w:t>diglycol</w:t>
      </w:r>
      <w:proofErr w:type="spellEnd"/>
      <w:r w:rsidR="00625F58" w:rsidRPr="00CF3D8A">
        <w:rPr>
          <w:lang w:val="en-GB"/>
        </w:rPr>
        <w:t xml:space="preserve"> carbonate</w:t>
      </w:r>
      <w:r w:rsidR="00625F58">
        <w:rPr>
          <w:lang w:val="en-GB"/>
        </w:rPr>
        <w:t>, and t</w:t>
      </w:r>
      <w:r w:rsidR="00625F58" w:rsidRPr="00CF3D8A">
        <w:rPr>
          <w:lang w:val="en-GB"/>
        </w:rPr>
        <w:t>etrahydrofura</w:t>
      </w:r>
      <w:r w:rsidR="003D087A">
        <w:rPr>
          <w:lang w:val="en-GB"/>
        </w:rPr>
        <w:t>n</w:t>
      </w:r>
      <w:r w:rsidR="00CF3D8A">
        <w:rPr>
          <w:lang w:val="en-GB"/>
        </w:rPr>
        <w:t xml:space="preserve">. </w:t>
      </w:r>
      <w:r w:rsidR="006E5932">
        <w:rPr>
          <w:lang w:val="en-GB"/>
        </w:rPr>
        <w:t>The</w:t>
      </w:r>
      <w:r w:rsidR="004B10EE">
        <w:rPr>
          <w:lang w:val="en-GB"/>
        </w:rPr>
        <w:t xml:space="preserve"> </w:t>
      </w:r>
      <w:r w:rsidR="006E5932">
        <w:rPr>
          <w:lang w:val="en-GB"/>
        </w:rPr>
        <w:t xml:space="preserve">composition of the </w:t>
      </w:r>
      <w:r w:rsidR="001D6CBD">
        <w:rPr>
          <w:lang w:val="en-GB"/>
        </w:rPr>
        <w:t xml:space="preserve">three </w:t>
      </w:r>
      <w:r w:rsidR="006E5932">
        <w:rPr>
          <w:lang w:val="en-GB"/>
        </w:rPr>
        <w:t>electrolyte</w:t>
      </w:r>
      <w:r w:rsidR="006F0F95">
        <w:rPr>
          <w:lang w:val="en-GB"/>
        </w:rPr>
        <w:t>s</w:t>
      </w:r>
      <w:r w:rsidR="006E5932">
        <w:rPr>
          <w:lang w:val="en-GB"/>
        </w:rPr>
        <w:t xml:space="preserve"> </w:t>
      </w:r>
      <w:r w:rsidR="00C56551">
        <w:rPr>
          <w:lang w:val="en-GB"/>
        </w:rPr>
        <w:t>is</w:t>
      </w:r>
      <w:r w:rsidR="006E5932">
        <w:rPr>
          <w:lang w:val="en-GB"/>
        </w:rPr>
        <w:t xml:space="preserve"> shown in </w:t>
      </w:r>
      <w:r w:rsidR="006E5932" w:rsidRPr="00054942">
        <w:rPr>
          <w:lang w:val="en-GB"/>
        </w:rPr>
        <w:t>Figure 2.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"/>
        <w:gridCol w:w="2595"/>
        <w:gridCol w:w="387"/>
        <w:gridCol w:w="2742"/>
        <w:gridCol w:w="396"/>
        <w:gridCol w:w="2496"/>
      </w:tblGrid>
      <w:tr w:rsidR="00104918" w14:paraId="1C7683A6" w14:textId="77777777" w:rsidTr="008A7D29">
        <w:tc>
          <w:tcPr>
            <w:tcW w:w="215" w:type="pct"/>
            <w:vAlign w:val="center"/>
          </w:tcPr>
          <w:p w14:paraId="4FBBBDE0" w14:textId="45CC2A29" w:rsidR="00B3077D" w:rsidRPr="000B0E2F" w:rsidRDefault="00B3077D" w:rsidP="00B3077D">
            <w:pPr>
              <w:pStyle w:val="CETBodytext"/>
              <w:ind w:right="-1"/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0B0E2F">
              <w:rPr>
                <w:rFonts w:cs="Arial"/>
                <w:sz w:val="14"/>
                <w:szCs w:val="14"/>
                <w:lang w:val="en-GB"/>
              </w:rPr>
              <w:t>(a)</w:t>
            </w:r>
          </w:p>
        </w:tc>
        <w:tc>
          <w:tcPr>
            <w:tcW w:w="1441" w:type="pct"/>
            <w:vAlign w:val="center"/>
          </w:tcPr>
          <w:p w14:paraId="10E69AAA" w14:textId="1AE34EE2" w:rsidR="00B3077D" w:rsidRPr="00097822" w:rsidRDefault="00DE2A82" w:rsidP="00B3077D">
            <w:pPr>
              <w:pStyle w:val="CETBodytext"/>
              <w:ind w:right="-1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DE2A82">
              <w:rPr>
                <w:rFonts w:cs="Arial"/>
                <w:noProof/>
                <w:sz w:val="14"/>
                <w:szCs w:val="14"/>
                <w:lang w:val="en-GB"/>
              </w:rPr>
              <w:drawing>
                <wp:inline distT="0" distB="0" distL="0" distR="0" wp14:anchorId="1D55F7EA" wp14:editId="3B9AA23C">
                  <wp:extent cx="1424987" cy="1404000"/>
                  <wp:effectExtent l="0" t="0" r="3810" b="5715"/>
                  <wp:docPr id="104860052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600529" name=""/>
                          <pic:cNvPicPr/>
                        </pic:nvPicPr>
                        <pic:blipFill rotWithShape="1">
                          <a:blip r:embed="rId13"/>
                          <a:srcRect l="11994" t="2713" r="6522" b="1563"/>
                          <a:stretch/>
                        </pic:blipFill>
                        <pic:spPr bwMode="auto">
                          <a:xfrm>
                            <a:off x="0" y="0"/>
                            <a:ext cx="1424987" cy="14040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" w:type="pct"/>
            <w:vAlign w:val="center"/>
          </w:tcPr>
          <w:p w14:paraId="758BD3F6" w14:textId="153F3A53" w:rsidR="00B3077D" w:rsidRPr="00097822" w:rsidRDefault="00B3077D" w:rsidP="00B3077D">
            <w:pPr>
              <w:pStyle w:val="CETBodytext"/>
              <w:ind w:right="-1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0B0E2F">
              <w:rPr>
                <w:rFonts w:cs="Arial"/>
                <w:sz w:val="14"/>
                <w:szCs w:val="14"/>
                <w:lang w:val="en-GB"/>
              </w:rPr>
              <w:t>(b)</w:t>
            </w:r>
          </w:p>
        </w:tc>
        <w:tc>
          <w:tcPr>
            <w:tcW w:w="1523" w:type="pct"/>
            <w:vAlign w:val="center"/>
          </w:tcPr>
          <w:p w14:paraId="7070127D" w14:textId="0419B2EB" w:rsidR="00B3077D" w:rsidRPr="000B0E2F" w:rsidRDefault="005569C6" w:rsidP="00B3077D">
            <w:pPr>
              <w:pStyle w:val="CETBodytext"/>
              <w:ind w:right="-1"/>
              <w:jc w:val="center"/>
              <w:rPr>
                <w:rFonts w:cs="Arial"/>
                <w:sz w:val="14"/>
                <w:szCs w:val="14"/>
                <w:lang w:val="en-GB"/>
              </w:rPr>
            </w:pPr>
            <w:r>
              <w:rPr>
                <w:rFonts w:cs="Arial"/>
                <w:noProof/>
                <w:sz w:val="14"/>
                <w:szCs w:val="14"/>
                <w:lang w:val="en-GB"/>
              </w:rPr>
              <w:drawing>
                <wp:inline distT="0" distB="0" distL="0" distR="0" wp14:anchorId="2F91CE57" wp14:editId="440F0DAC">
                  <wp:extent cx="1428123" cy="1404000"/>
                  <wp:effectExtent l="0" t="0" r="635" b="5715"/>
                  <wp:docPr id="122741470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31" r="1810"/>
                          <a:stretch/>
                        </pic:blipFill>
                        <pic:spPr bwMode="auto">
                          <a:xfrm>
                            <a:off x="0" y="0"/>
                            <a:ext cx="1428123" cy="140400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" w:type="pct"/>
            <w:vAlign w:val="center"/>
          </w:tcPr>
          <w:p w14:paraId="025FD9D5" w14:textId="770F1760" w:rsidR="00B3077D" w:rsidRPr="00097822" w:rsidRDefault="00B3077D" w:rsidP="00B3077D">
            <w:pPr>
              <w:pStyle w:val="CETBodytext"/>
              <w:ind w:right="-1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0B0E2F">
              <w:rPr>
                <w:rFonts w:cs="Arial"/>
                <w:sz w:val="14"/>
                <w:szCs w:val="14"/>
                <w:lang w:val="en-GB"/>
              </w:rPr>
              <w:t>(c)</w:t>
            </w:r>
          </w:p>
        </w:tc>
        <w:tc>
          <w:tcPr>
            <w:tcW w:w="1386" w:type="pct"/>
            <w:vAlign w:val="center"/>
          </w:tcPr>
          <w:p w14:paraId="168236A1" w14:textId="43ACC381" w:rsidR="00B3077D" w:rsidRPr="000B0E2F" w:rsidRDefault="00104918" w:rsidP="00B3077D">
            <w:pPr>
              <w:pStyle w:val="CETBodytext"/>
              <w:ind w:right="-1"/>
              <w:jc w:val="center"/>
              <w:rPr>
                <w:rFonts w:cs="Arial"/>
                <w:sz w:val="14"/>
                <w:szCs w:val="14"/>
                <w:lang w:val="en-GB"/>
              </w:rPr>
            </w:pPr>
            <w:r>
              <w:rPr>
                <w:rFonts w:cs="Arial"/>
                <w:noProof/>
                <w:sz w:val="14"/>
                <w:szCs w:val="14"/>
                <w:lang w:val="en-GB"/>
              </w:rPr>
              <w:drawing>
                <wp:inline distT="0" distB="0" distL="0" distR="0" wp14:anchorId="270407D9" wp14:editId="4C930630">
                  <wp:extent cx="1444448" cy="1404000"/>
                  <wp:effectExtent l="0" t="0" r="3810" b="5715"/>
                  <wp:docPr id="175395993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7" r="1614" b="1615"/>
                          <a:stretch/>
                        </pic:blipFill>
                        <pic:spPr bwMode="auto">
                          <a:xfrm>
                            <a:off x="0" y="0"/>
                            <a:ext cx="1444448" cy="140400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77D" w14:paraId="242A0102" w14:textId="77777777" w:rsidTr="008A7D29">
        <w:tc>
          <w:tcPr>
            <w:tcW w:w="5000" w:type="pct"/>
            <w:gridSpan w:val="6"/>
            <w:vAlign w:val="center"/>
          </w:tcPr>
          <w:p w14:paraId="09A543E3" w14:textId="32345EF3" w:rsidR="00B3077D" w:rsidRPr="000B0E2F" w:rsidRDefault="00B3077D" w:rsidP="00B3077D">
            <w:pPr>
              <w:pStyle w:val="CETBodytext"/>
              <w:ind w:right="-1"/>
              <w:jc w:val="center"/>
              <w:rPr>
                <w:rFonts w:ascii="Palatino Linotype" w:hAnsi="Palatino Linotype"/>
                <w:noProof/>
                <w:sz w:val="14"/>
                <w:szCs w:val="14"/>
              </w:rPr>
            </w:pPr>
            <w:r w:rsidRPr="00097822">
              <w:rPr>
                <w:rFonts w:ascii="Palatino Linotype" w:hAnsi="Palatino Linotype"/>
                <w:noProof/>
                <w:sz w:val="14"/>
                <w:szCs w:val="14"/>
              </w:rPr>
              <w:drawing>
                <wp:inline distT="0" distB="0" distL="0" distR="0" wp14:anchorId="0FC9F244" wp14:editId="515FE362">
                  <wp:extent cx="4785775" cy="167655"/>
                  <wp:effectExtent l="0" t="0" r="0" b="3810"/>
                  <wp:docPr id="188336640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366406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5775" cy="16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0C9369" w14:textId="12C90C6B" w:rsidR="006E5932" w:rsidRPr="00BD077D" w:rsidRDefault="006E5932" w:rsidP="00450E44">
      <w:pPr>
        <w:pStyle w:val="CETCaption"/>
        <w:spacing w:before="0"/>
      </w:pPr>
      <w:r w:rsidRPr="00BD077D">
        <w:rPr>
          <w:rStyle w:val="CETCaptionCarattere"/>
          <w:i/>
        </w:rPr>
        <w:t xml:space="preserve">Figure </w:t>
      </w:r>
      <w:r>
        <w:rPr>
          <w:rStyle w:val="CETCaptionCarattere"/>
          <w:i/>
        </w:rPr>
        <w:t>2</w:t>
      </w:r>
      <w:r w:rsidRPr="00BD077D">
        <w:rPr>
          <w:rStyle w:val="CETCaptionCarattere"/>
          <w:i/>
        </w:rPr>
        <w:t xml:space="preserve">: </w:t>
      </w:r>
      <w:r w:rsidR="003D087A">
        <w:rPr>
          <w:rStyle w:val="CETCaptionCarattere"/>
          <w:i/>
        </w:rPr>
        <w:t>E</w:t>
      </w:r>
      <w:r>
        <w:rPr>
          <w:rStyle w:val="CETCaptionCarattere"/>
          <w:i/>
        </w:rPr>
        <w:t xml:space="preserve">lectrolyte composition </w:t>
      </w:r>
      <w:r w:rsidR="00F5080F">
        <w:rPr>
          <w:rStyle w:val="CETCaptionCarattere"/>
          <w:i/>
        </w:rPr>
        <w:t xml:space="preserve">(% w/w) </w:t>
      </w:r>
      <w:r>
        <w:rPr>
          <w:rStyle w:val="CETCaptionCarattere"/>
          <w:i/>
        </w:rPr>
        <w:t>for</w:t>
      </w:r>
      <w:r w:rsidR="003D087A">
        <w:rPr>
          <w:rStyle w:val="CETCaptionCarattere"/>
          <w:i/>
        </w:rPr>
        <w:t xml:space="preserve"> each cell</w:t>
      </w:r>
      <w:r>
        <w:rPr>
          <w:rStyle w:val="CETCaptionCarattere"/>
          <w:i/>
        </w:rPr>
        <w:t>:</w:t>
      </w:r>
      <w:r w:rsidRPr="00036066">
        <w:rPr>
          <w:rStyle w:val="CETCaptionCarattere"/>
          <w:i/>
        </w:rPr>
        <w:t xml:space="preserve"> </w:t>
      </w:r>
      <w:r w:rsidR="00F04A56">
        <w:rPr>
          <w:rStyle w:val="CETCaptionCarattere"/>
          <w:i/>
        </w:rPr>
        <w:t xml:space="preserve">(a) </w:t>
      </w:r>
      <w:r>
        <w:rPr>
          <w:rStyle w:val="CETCaptionCarattere"/>
          <w:i/>
        </w:rPr>
        <w:t>C/NCA</w:t>
      </w:r>
      <w:r w:rsidR="00F04A56">
        <w:rPr>
          <w:rStyle w:val="CETCaptionCarattere"/>
          <w:i/>
        </w:rPr>
        <w:t>; (b)</w:t>
      </w:r>
      <w:r w:rsidRPr="00036066">
        <w:rPr>
          <w:rStyle w:val="CETCaptionCarattere"/>
          <w:i/>
        </w:rPr>
        <w:t xml:space="preserve"> </w:t>
      </w:r>
      <w:r>
        <w:rPr>
          <w:rStyle w:val="CETCaptionCarattere"/>
          <w:i/>
        </w:rPr>
        <w:t>LTO/NCA</w:t>
      </w:r>
      <w:r w:rsidRPr="00036066">
        <w:rPr>
          <w:rStyle w:val="CETCaptionCarattere"/>
          <w:i/>
        </w:rPr>
        <w:t>;</w:t>
      </w:r>
      <w:r w:rsidR="00F04A56">
        <w:rPr>
          <w:rStyle w:val="CETCaptionCarattere"/>
          <w:i/>
        </w:rPr>
        <w:t xml:space="preserve"> (c)</w:t>
      </w:r>
      <w:r w:rsidRPr="00036066">
        <w:rPr>
          <w:rStyle w:val="CETCaptionCarattere"/>
          <w:i/>
        </w:rPr>
        <w:t xml:space="preserve"> </w:t>
      </w:r>
      <w:r>
        <w:rPr>
          <w:rStyle w:val="CETCaptionCarattere"/>
          <w:i/>
        </w:rPr>
        <w:t>C/LFP.</w:t>
      </w:r>
      <w:r w:rsidRPr="00BD077D">
        <w:t xml:space="preserve"> </w:t>
      </w:r>
    </w:p>
    <w:p w14:paraId="4AEE0FB1" w14:textId="252FB347" w:rsidR="004C25FF" w:rsidRDefault="006E5932" w:rsidP="00B01451">
      <w:pPr>
        <w:pStyle w:val="CETBodytext"/>
        <w:rPr>
          <w:lang w:val="en-GB"/>
        </w:rPr>
      </w:pPr>
      <w:r w:rsidRPr="00054942">
        <w:rPr>
          <w:lang w:val="en-GB"/>
        </w:rPr>
        <w:t>From Figure 2 it</w:t>
      </w:r>
      <w:r w:rsidRPr="006E5932">
        <w:rPr>
          <w:lang w:val="en-GB"/>
        </w:rPr>
        <w:t xml:space="preserve"> is possible to observe that </w:t>
      </w:r>
      <w:r w:rsidR="004E46E4">
        <w:rPr>
          <w:lang w:val="en-GB"/>
        </w:rPr>
        <w:t>most of</w:t>
      </w:r>
      <w:r w:rsidR="00C71424">
        <w:rPr>
          <w:lang w:val="en-GB"/>
        </w:rPr>
        <w:t xml:space="preserve"> </w:t>
      </w:r>
      <w:r w:rsidRPr="006E5932">
        <w:rPr>
          <w:lang w:val="en-GB"/>
        </w:rPr>
        <w:t>the electrolyte is given by the organic carbonates</w:t>
      </w:r>
      <w:r w:rsidR="003363B3">
        <w:rPr>
          <w:lang w:val="en-GB"/>
        </w:rPr>
        <w:t xml:space="preserve"> ( in the range </w:t>
      </w:r>
      <w:r w:rsidR="00C71424">
        <w:rPr>
          <w:lang w:val="en-GB"/>
        </w:rPr>
        <w:t>77</w:t>
      </w:r>
      <w:r w:rsidR="003363B3">
        <w:rPr>
          <w:lang w:val="en-GB"/>
        </w:rPr>
        <w:t>-</w:t>
      </w:r>
      <w:r w:rsidR="00C71424">
        <w:rPr>
          <w:lang w:val="en-GB"/>
        </w:rPr>
        <w:t xml:space="preserve"> 81 %</w:t>
      </w:r>
      <w:r w:rsidR="00F5080F">
        <w:rPr>
          <w:lang w:val="en-GB"/>
        </w:rPr>
        <w:t>w/w</w:t>
      </w:r>
      <w:r w:rsidR="003363B3">
        <w:rPr>
          <w:lang w:val="en-GB"/>
        </w:rPr>
        <w:t xml:space="preserve">), </w:t>
      </w:r>
      <w:r w:rsidR="004E46E4">
        <w:rPr>
          <w:lang w:val="en-GB"/>
        </w:rPr>
        <w:t xml:space="preserve">while additives have </w:t>
      </w:r>
      <w:r w:rsidR="00C71424">
        <w:rPr>
          <w:lang w:val="en-GB"/>
        </w:rPr>
        <w:t>a percentage between 19 and 21 %</w:t>
      </w:r>
      <w:r w:rsidR="003363B3">
        <w:rPr>
          <w:lang w:val="en-GB"/>
        </w:rPr>
        <w:t>w/</w:t>
      </w:r>
      <w:r w:rsidR="003363B3" w:rsidRPr="003363B3">
        <w:rPr>
          <w:lang w:val="en-GB"/>
        </w:rPr>
        <w:t>w</w:t>
      </w:r>
      <w:r w:rsidRPr="006E5932">
        <w:rPr>
          <w:lang w:val="en-GB"/>
        </w:rPr>
        <w:t>.</w:t>
      </w:r>
      <w:r>
        <w:rPr>
          <w:lang w:val="en-GB"/>
        </w:rPr>
        <w:t xml:space="preserve"> </w:t>
      </w:r>
      <w:r w:rsidR="00EC193C" w:rsidRPr="00EC193C">
        <w:rPr>
          <w:lang w:val="en-GB"/>
        </w:rPr>
        <w:t xml:space="preserve">These </w:t>
      </w:r>
      <w:r>
        <w:rPr>
          <w:lang w:val="en-GB"/>
        </w:rPr>
        <w:t>additives</w:t>
      </w:r>
      <w:r w:rsidR="00EF4CDB">
        <w:rPr>
          <w:lang w:val="en-GB"/>
        </w:rPr>
        <w:t xml:space="preserve"> were </w:t>
      </w:r>
      <w:r w:rsidR="004E46E4">
        <w:rPr>
          <w:lang w:val="en-GB"/>
        </w:rPr>
        <w:t xml:space="preserve">probably </w:t>
      </w:r>
      <w:r w:rsidR="00EF4CDB">
        <w:rPr>
          <w:lang w:val="en-GB"/>
        </w:rPr>
        <w:t xml:space="preserve">added </w:t>
      </w:r>
      <w:r w:rsidR="00EF4CDB" w:rsidRPr="00EC193C">
        <w:rPr>
          <w:lang w:val="en-GB"/>
        </w:rPr>
        <w:t>to increase the safety of the internal components enhancing the performance of the device</w:t>
      </w:r>
      <w:r w:rsidR="004E46E4">
        <w:rPr>
          <w:lang w:val="en-GB"/>
        </w:rPr>
        <w:t>,</w:t>
      </w:r>
      <w:r w:rsidR="00EC193C" w:rsidRPr="00EC193C">
        <w:rPr>
          <w:lang w:val="en-GB"/>
        </w:rPr>
        <w:t xml:space="preserve"> </w:t>
      </w:r>
      <w:r w:rsidR="00EF4CDB">
        <w:rPr>
          <w:lang w:val="en-GB"/>
        </w:rPr>
        <w:t xml:space="preserve">but </w:t>
      </w:r>
      <w:r w:rsidR="004E46E4">
        <w:rPr>
          <w:lang w:val="en-GB"/>
        </w:rPr>
        <w:t xml:space="preserve">they </w:t>
      </w:r>
      <w:r w:rsidR="00EC193C" w:rsidRPr="00EC193C">
        <w:rPr>
          <w:lang w:val="en-GB"/>
        </w:rPr>
        <w:t>are not reported in</w:t>
      </w:r>
      <w:r w:rsidR="004E46E4">
        <w:rPr>
          <w:lang w:val="en-GB"/>
        </w:rPr>
        <w:t xml:space="preserve"> the</w:t>
      </w:r>
      <w:r w:rsidR="00EC193C" w:rsidRPr="00EC193C">
        <w:rPr>
          <w:lang w:val="en-GB"/>
        </w:rPr>
        <w:t xml:space="preserve"> SDS</w:t>
      </w:r>
      <w:r w:rsidR="001D6CBD">
        <w:rPr>
          <w:lang w:val="en-GB"/>
        </w:rPr>
        <w:t>s</w:t>
      </w:r>
      <w:r w:rsidR="00EC193C" w:rsidRPr="00EC193C">
        <w:rPr>
          <w:lang w:val="en-GB"/>
        </w:rPr>
        <w:t>.</w:t>
      </w:r>
      <w:r w:rsidR="00EF4CDB">
        <w:rPr>
          <w:lang w:val="en-GB"/>
        </w:rPr>
        <w:t xml:space="preserve"> </w:t>
      </w:r>
      <w:r w:rsidR="004E46E4">
        <w:rPr>
          <w:lang w:val="en-GB"/>
        </w:rPr>
        <w:t>Generally u</w:t>
      </w:r>
      <w:r w:rsidR="00EC193C" w:rsidRPr="00EC193C">
        <w:rPr>
          <w:lang w:val="en-GB"/>
        </w:rPr>
        <w:t>rea additive</w:t>
      </w:r>
      <w:r w:rsidR="004E46E4">
        <w:rPr>
          <w:lang w:val="en-GB"/>
        </w:rPr>
        <w:t>s</w:t>
      </w:r>
      <w:r w:rsidR="00EC193C" w:rsidRPr="00EC193C">
        <w:rPr>
          <w:lang w:val="en-GB"/>
        </w:rPr>
        <w:t>, such as urea, N,N-dimethyl, stabilize the Li-ion electrodes increas</w:t>
      </w:r>
      <w:r w:rsidR="004E46E4">
        <w:rPr>
          <w:lang w:val="en-GB"/>
        </w:rPr>
        <w:t>ing</w:t>
      </w:r>
      <w:r w:rsidR="00EC193C" w:rsidRPr="00EC193C">
        <w:rPr>
          <w:lang w:val="en-GB"/>
        </w:rPr>
        <w:t xml:space="preserve"> the electrochemical performance of the cells </w:t>
      </w:r>
      <w:r w:rsidR="00DF19A3">
        <w:rPr>
          <w:lang w:val="en-GB"/>
        </w:rPr>
        <w:t>(Kim et al., 2020)</w:t>
      </w:r>
      <w:r w:rsidR="00EC193C" w:rsidRPr="00EC193C">
        <w:rPr>
          <w:lang w:val="en-GB"/>
        </w:rPr>
        <w:t xml:space="preserve">. The dimethyl </w:t>
      </w:r>
      <w:proofErr w:type="spellStart"/>
      <w:r w:rsidR="00EC193C" w:rsidRPr="00EC193C">
        <w:rPr>
          <w:lang w:val="en-GB"/>
        </w:rPr>
        <w:t>diglycol</w:t>
      </w:r>
      <w:proofErr w:type="spellEnd"/>
      <w:r w:rsidR="00EC193C" w:rsidRPr="00EC193C">
        <w:rPr>
          <w:lang w:val="en-GB"/>
        </w:rPr>
        <w:t xml:space="preserve"> carbonate is added to the electrolyte to obtain a higher conductivity and a higher lithium cycling efficiency.</w:t>
      </w:r>
      <w:r w:rsidR="00C71424">
        <w:rPr>
          <w:lang w:val="en-GB"/>
        </w:rPr>
        <w:t xml:space="preserve"> Th</w:t>
      </w:r>
      <w:r w:rsidR="00EC193C" w:rsidRPr="00EC193C">
        <w:rPr>
          <w:lang w:val="en-GB"/>
        </w:rPr>
        <w:t xml:space="preserve">e tetrahydrofuran is added to the electrolyte </w:t>
      </w:r>
      <w:r w:rsidR="00DF19A3">
        <w:rPr>
          <w:lang w:val="en-GB"/>
        </w:rPr>
        <w:t>(La Monaca et al., 2018)</w:t>
      </w:r>
      <w:r w:rsidR="00EC193C" w:rsidRPr="00EC193C">
        <w:rPr>
          <w:lang w:val="en-GB"/>
        </w:rPr>
        <w:t xml:space="preserve"> to decrease the electrolyt</w:t>
      </w:r>
      <w:r w:rsidR="003662E4">
        <w:rPr>
          <w:lang w:val="en-GB"/>
        </w:rPr>
        <w:t>e</w:t>
      </w:r>
      <w:r w:rsidR="00EC193C" w:rsidRPr="00EC193C">
        <w:rPr>
          <w:lang w:val="en-GB"/>
        </w:rPr>
        <w:t xml:space="preserve"> decomposition stabilizing the organic SEI constituents </w:t>
      </w:r>
      <w:r w:rsidR="00DF19A3">
        <w:rPr>
          <w:lang w:val="en-GB"/>
        </w:rPr>
        <w:t>(Paul-Orecchio et al., 2022)</w:t>
      </w:r>
      <w:r w:rsidR="00EC193C" w:rsidRPr="00EC193C">
        <w:rPr>
          <w:lang w:val="en-GB"/>
        </w:rPr>
        <w:t>.</w:t>
      </w:r>
      <w:r w:rsidR="00B01451" w:rsidRPr="00B01451">
        <w:rPr>
          <w:lang w:val="en-GB"/>
        </w:rPr>
        <w:t xml:space="preserve"> </w:t>
      </w:r>
      <w:r w:rsidR="00C003D4" w:rsidRPr="00C003D4">
        <w:rPr>
          <w:lang w:val="en-GB"/>
        </w:rPr>
        <w:t>The SDS of these chemicals reveals</w:t>
      </w:r>
      <w:r w:rsidR="00C003D4">
        <w:rPr>
          <w:lang w:val="en-GB"/>
        </w:rPr>
        <w:t>, as reported in Table 4,</w:t>
      </w:r>
      <w:r w:rsidR="00C003D4" w:rsidRPr="00C003D4">
        <w:rPr>
          <w:lang w:val="en-GB"/>
        </w:rPr>
        <w:t xml:space="preserve"> that some of the additives, particularly tetrahydrofuran, raise safety concerns. The </w:t>
      </w:r>
      <w:r w:rsidR="003363B3">
        <w:rPr>
          <w:lang w:val="en-GB"/>
        </w:rPr>
        <w:t xml:space="preserve">normal </w:t>
      </w:r>
      <w:r w:rsidR="00C003D4" w:rsidRPr="00C003D4">
        <w:rPr>
          <w:lang w:val="en-GB"/>
        </w:rPr>
        <w:t xml:space="preserve">boiling point of tetrahydrofuran is 65 °C, which might lead to evaporation and an increase in internal pressure </w:t>
      </w:r>
      <w:r w:rsidR="003363B3">
        <w:rPr>
          <w:lang w:val="en-GB"/>
        </w:rPr>
        <w:t>of</w:t>
      </w:r>
      <w:r w:rsidR="00C003D4" w:rsidRPr="00C003D4">
        <w:rPr>
          <w:lang w:val="en-GB"/>
        </w:rPr>
        <w:t xml:space="preserve"> the cell</w:t>
      </w:r>
      <w:r w:rsidR="003363B3">
        <w:rPr>
          <w:lang w:val="en-GB"/>
        </w:rPr>
        <w:t xml:space="preserve"> during an abuse</w:t>
      </w:r>
      <w:r w:rsidR="00C003D4" w:rsidRPr="00C003D4">
        <w:rPr>
          <w:lang w:val="en-GB"/>
        </w:rPr>
        <w:t>. Due to the compounds' flammability (</w:t>
      </w:r>
      <w:r w:rsidR="003363B3">
        <w:rPr>
          <w:lang w:val="en-GB"/>
        </w:rPr>
        <w:t xml:space="preserve">according to the hazard statements </w:t>
      </w:r>
      <w:r w:rsidR="00C003D4" w:rsidRPr="00C003D4">
        <w:rPr>
          <w:lang w:val="en-GB"/>
        </w:rPr>
        <w:t xml:space="preserve">H225: highly flammable liquid and vapor) and health hazards (H302: harmful if swallowed, H319: causes serious eye irritation, H335: may cause respiratory irritation), the release of this compound may </w:t>
      </w:r>
      <w:r w:rsidR="003363B3">
        <w:rPr>
          <w:lang w:val="en-GB"/>
        </w:rPr>
        <w:t xml:space="preserve">have </w:t>
      </w:r>
      <w:r w:rsidR="00DE2A82" w:rsidRPr="00DE2A82">
        <w:rPr>
          <w:lang w:val="en-GB"/>
        </w:rPr>
        <w:t>an impact on the flammability and toxicity of the electrolyte</w:t>
      </w:r>
      <w:r w:rsidR="00DE2A82">
        <w:rPr>
          <w:lang w:val="en-GB"/>
        </w:rPr>
        <w:t>.</w:t>
      </w:r>
    </w:p>
    <w:p w14:paraId="217FE220" w14:textId="2788431E" w:rsidR="004C25FF" w:rsidRPr="00B57B36" w:rsidRDefault="004C25FF" w:rsidP="004C25FF">
      <w:pPr>
        <w:pStyle w:val="CETTabletitle"/>
      </w:pPr>
      <w:r w:rsidRPr="00B57B36">
        <w:t xml:space="preserve">Table </w:t>
      </w:r>
      <w:r>
        <w:t>4</w:t>
      </w:r>
      <w:r w:rsidRPr="00B57B36">
        <w:t>:</w:t>
      </w:r>
      <w:r w:rsidR="005E2520" w:rsidRPr="005E2520">
        <w:t xml:space="preserve"> </w:t>
      </w:r>
      <w:r w:rsidR="00D63617">
        <w:t>B</w:t>
      </w:r>
      <w:r w:rsidR="005E2520" w:rsidRPr="005E2520">
        <w:t>oiling temperature (°C), hazard pictogra</w:t>
      </w:r>
      <w:r w:rsidR="000245E7">
        <w:t>m</w:t>
      </w:r>
      <w:r w:rsidR="005E2520" w:rsidRPr="005E2520">
        <w:t>, and hazard statements of the Li-ion cells additives</w:t>
      </w:r>
      <w:r w:rsidR="005E2520">
        <w:t>.</w:t>
      </w:r>
    </w:p>
    <w:tbl>
      <w:tblPr>
        <w:tblW w:w="8789" w:type="dxa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0"/>
        <w:gridCol w:w="992"/>
        <w:gridCol w:w="2268"/>
        <w:gridCol w:w="3119"/>
      </w:tblGrid>
      <w:tr w:rsidR="004C25FF" w:rsidRPr="00B57B36" w14:paraId="666A70DA" w14:textId="77777777" w:rsidTr="005C374B">
        <w:tc>
          <w:tcPr>
            <w:tcW w:w="241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4212B4AD" w14:textId="31457F19" w:rsidR="004C25FF" w:rsidRPr="00B57B36" w:rsidRDefault="004C25FF" w:rsidP="0018729B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Additive</w:t>
            </w:r>
            <w:r w:rsidRPr="00B57B36">
              <w:rPr>
                <w:lang w:val="en-GB"/>
              </w:rPr>
              <w:t xml:space="preserve"> </w:t>
            </w:r>
            <w:r w:rsidR="005E2520">
              <w:rPr>
                <w:lang w:val="en-GB"/>
              </w:rPr>
              <w:t>Compounds</w:t>
            </w:r>
          </w:p>
        </w:tc>
        <w:tc>
          <w:tcPr>
            <w:tcW w:w="992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2AA1C86" w14:textId="3076A3D0" w:rsidR="004C25FF" w:rsidRPr="00B57B36" w:rsidRDefault="004C25FF" w:rsidP="0018729B">
            <w:pPr>
              <w:pStyle w:val="CETBodytext"/>
              <w:rPr>
                <w:lang w:val="en-GB"/>
              </w:rPr>
            </w:pPr>
            <w:proofErr w:type="spellStart"/>
            <w:r>
              <w:rPr>
                <w:lang w:val="en-GB"/>
              </w:rPr>
              <w:t>T</w:t>
            </w:r>
            <w:r w:rsidRPr="005E2520">
              <w:rPr>
                <w:vertAlign w:val="subscript"/>
                <w:lang w:val="en-GB"/>
              </w:rPr>
              <w:t>boiling</w:t>
            </w:r>
            <w:proofErr w:type="spellEnd"/>
            <w:r>
              <w:rPr>
                <w:lang w:val="en-GB"/>
              </w:rPr>
              <w:t xml:space="preserve"> (°C)</w:t>
            </w:r>
          </w:p>
        </w:tc>
        <w:tc>
          <w:tcPr>
            <w:tcW w:w="2268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3152C0E" w14:textId="75CD820D" w:rsidR="004C25FF" w:rsidRPr="00B57B36" w:rsidRDefault="005E2520" w:rsidP="0018729B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Hazard pictogram</w:t>
            </w:r>
            <w:r w:rsidR="00E35788">
              <w:rPr>
                <w:lang w:val="en-GB"/>
              </w:rPr>
              <w:t xml:space="preserve"> (GHS)</w:t>
            </w:r>
          </w:p>
        </w:tc>
        <w:tc>
          <w:tcPr>
            <w:tcW w:w="3119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4E47D3BA" w14:textId="313D3B96" w:rsidR="004C25FF" w:rsidRPr="00B57B36" w:rsidRDefault="005E2520" w:rsidP="0018729B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Hazard statements</w:t>
            </w:r>
            <w:r w:rsidR="00E35788">
              <w:rPr>
                <w:rFonts w:cs="Arial"/>
                <w:szCs w:val="18"/>
                <w:lang w:val="en-GB"/>
              </w:rPr>
              <w:t xml:space="preserve"> (H)</w:t>
            </w:r>
          </w:p>
        </w:tc>
      </w:tr>
      <w:tr w:rsidR="004C25FF" w:rsidRPr="00B57B36" w14:paraId="2D1115CA" w14:textId="77777777" w:rsidTr="005C374B">
        <w:tc>
          <w:tcPr>
            <w:tcW w:w="2410" w:type="dxa"/>
            <w:shd w:val="clear" w:color="auto" w:fill="FFFFFF"/>
          </w:tcPr>
          <w:p w14:paraId="14299EB1" w14:textId="6CAA39C1" w:rsidR="004C25FF" w:rsidRDefault="004C25FF" w:rsidP="0018729B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Pr="00B01451">
              <w:rPr>
                <w:lang w:val="en-GB"/>
              </w:rPr>
              <w:t xml:space="preserve">imethyl </w:t>
            </w:r>
            <w:proofErr w:type="spellStart"/>
            <w:r w:rsidRPr="00B01451">
              <w:rPr>
                <w:lang w:val="en-GB"/>
              </w:rPr>
              <w:t>diglycol</w:t>
            </w:r>
            <w:proofErr w:type="spellEnd"/>
            <w:r w:rsidRPr="00B01451">
              <w:rPr>
                <w:lang w:val="en-GB"/>
              </w:rPr>
              <w:t xml:space="preserve"> carbonate</w:t>
            </w:r>
          </w:p>
        </w:tc>
        <w:tc>
          <w:tcPr>
            <w:tcW w:w="992" w:type="dxa"/>
            <w:shd w:val="clear" w:color="auto" w:fill="FFFFFF"/>
          </w:tcPr>
          <w:p w14:paraId="1BB9B2BC" w14:textId="7E765F17" w:rsidR="004C25FF" w:rsidRDefault="00241E2B" w:rsidP="0018729B">
            <w:pPr>
              <w:pStyle w:val="CETBodytext"/>
              <w:rPr>
                <w:lang w:val="en-GB"/>
              </w:rPr>
            </w:pPr>
            <w:proofErr w:type="spellStart"/>
            <w:r>
              <w:rPr>
                <w:lang w:val="en-GB"/>
              </w:rPr>
              <w:t>n.a.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3E0AA63F" w14:textId="0FA760DA" w:rsidR="004C25FF" w:rsidRDefault="005E2520" w:rsidP="0018729B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GHS07</w:t>
            </w:r>
          </w:p>
        </w:tc>
        <w:tc>
          <w:tcPr>
            <w:tcW w:w="3119" w:type="dxa"/>
            <w:shd w:val="clear" w:color="auto" w:fill="FFFFFF"/>
          </w:tcPr>
          <w:p w14:paraId="39989175" w14:textId="7272C196" w:rsidR="005E2520" w:rsidRDefault="005E2520" w:rsidP="005E2520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H315; H319; H335</w:t>
            </w:r>
          </w:p>
        </w:tc>
      </w:tr>
      <w:tr w:rsidR="004C25FF" w:rsidRPr="00B57B36" w14:paraId="5B8963D7" w14:textId="77777777" w:rsidTr="005C374B">
        <w:tc>
          <w:tcPr>
            <w:tcW w:w="2410" w:type="dxa"/>
            <w:shd w:val="clear" w:color="auto" w:fill="FFFFFF"/>
          </w:tcPr>
          <w:p w14:paraId="303A5273" w14:textId="688F8372" w:rsidR="004C25FF" w:rsidRPr="00B57B36" w:rsidRDefault="004C25FF" w:rsidP="004C25FF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lang w:val="en-GB"/>
              </w:rPr>
              <w:t>T</w:t>
            </w:r>
            <w:r w:rsidRPr="00B01451">
              <w:rPr>
                <w:lang w:val="en-GB"/>
              </w:rPr>
              <w:t>etrahydrofuran</w:t>
            </w:r>
          </w:p>
        </w:tc>
        <w:tc>
          <w:tcPr>
            <w:tcW w:w="992" w:type="dxa"/>
            <w:shd w:val="clear" w:color="auto" w:fill="FFFFFF"/>
          </w:tcPr>
          <w:p w14:paraId="4879D055" w14:textId="64B29623" w:rsidR="004C25FF" w:rsidRPr="00B57B36" w:rsidRDefault="004C25FF" w:rsidP="004C25FF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lang w:val="en-GB"/>
              </w:rPr>
              <w:t>65</w:t>
            </w:r>
          </w:p>
        </w:tc>
        <w:tc>
          <w:tcPr>
            <w:tcW w:w="2268" w:type="dxa"/>
            <w:shd w:val="clear" w:color="auto" w:fill="FFFFFF"/>
          </w:tcPr>
          <w:p w14:paraId="043A1C75" w14:textId="035E5FBC" w:rsidR="004C25FF" w:rsidRPr="00B57B36" w:rsidRDefault="005E2520" w:rsidP="004C25FF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GHS02; GHS</w:t>
            </w:r>
            <w:r w:rsidR="003363B3">
              <w:rPr>
                <w:rFonts w:cs="Arial"/>
                <w:szCs w:val="18"/>
                <w:lang w:val="en-GB"/>
              </w:rPr>
              <w:t>0</w:t>
            </w:r>
            <w:r>
              <w:rPr>
                <w:rFonts w:cs="Arial"/>
                <w:szCs w:val="18"/>
                <w:lang w:val="en-GB"/>
              </w:rPr>
              <w:t>7; GHS08</w:t>
            </w:r>
          </w:p>
        </w:tc>
        <w:tc>
          <w:tcPr>
            <w:tcW w:w="3119" w:type="dxa"/>
            <w:shd w:val="clear" w:color="auto" w:fill="FFFFFF"/>
          </w:tcPr>
          <w:p w14:paraId="4462643C" w14:textId="4734070A" w:rsidR="004C25FF" w:rsidRPr="00B57B36" w:rsidRDefault="005E2520" w:rsidP="004C25FF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H225; H302; H319; H335; H336; H351</w:t>
            </w:r>
          </w:p>
        </w:tc>
      </w:tr>
      <w:tr w:rsidR="004C25FF" w:rsidRPr="00B57B36" w14:paraId="2C7C9C56" w14:textId="77777777" w:rsidTr="005C374B">
        <w:tc>
          <w:tcPr>
            <w:tcW w:w="2410" w:type="dxa"/>
            <w:shd w:val="clear" w:color="auto" w:fill="FFFFFF"/>
          </w:tcPr>
          <w:p w14:paraId="315B9978" w14:textId="0DC75961" w:rsidR="004C25FF" w:rsidRDefault="004C25FF" w:rsidP="0018729B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lang w:val="en-GB"/>
              </w:rPr>
              <w:t>U</w:t>
            </w:r>
            <w:r w:rsidRPr="00EC193C">
              <w:rPr>
                <w:lang w:val="en-GB"/>
              </w:rPr>
              <w:t>rea, N,N-dimethyl</w:t>
            </w:r>
          </w:p>
        </w:tc>
        <w:tc>
          <w:tcPr>
            <w:tcW w:w="992" w:type="dxa"/>
            <w:shd w:val="clear" w:color="auto" w:fill="FFFFFF"/>
          </w:tcPr>
          <w:p w14:paraId="221B5E5F" w14:textId="1F8CE210" w:rsidR="004C25FF" w:rsidRPr="00B57B36" w:rsidRDefault="004C25FF" w:rsidP="0018729B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268 - 270</w:t>
            </w:r>
          </w:p>
        </w:tc>
        <w:tc>
          <w:tcPr>
            <w:tcW w:w="2268" w:type="dxa"/>
            <w:shd w:val="clear" w:color="auto" w:fill="FFFFFF"/>
          </w:tcPr>
          <w:p w14:paraId="0F002AD2" w14:textId="6621CDB6" w:rsidR="004C25FF" w:rsidRPr="00B57B36" w:rsidRDefault="004C25FF" w:rsidP="0018729B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  <w:tc>
          <w:tcPr>
            <w:tcW w:w="3119" w:type="dxa"/>
            <w:shd w:val="clear" w:color="auto" w:fill="FFFFFF"/>
          </w:tcPr>
          <w:p w14:paraId="147778A2" w14:textId="7854A926" w:rsidR="004C25FF" w:rsidRPr="00B57B36" w:rsidRDefault="005E2520" w:rsidP="0018729B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H303</w:t>
            </w:r>
          </w:p>
        </w:tc>
      </w:tr>
    </w:tbl>
    <w:p w14:paraId="19436ABE" w14:textId="39C84BA9" w:rsidR="004C25FF" w:rsidRDefault="004C25FF" w:rsidP="004C25FF">
      <w:pPr>
        <w:pStyle w:val="CETBodytext"/>
        <w:spacing w:after="240"/>
        <w:jc w:val="center"/>
        <w:rPr>
          <w:lang w:val="en-GB"/>
        </w:rPr>
      </w:pPr>
      <w:proofErr w:type="spellStart"/>
      <w:r>
        <w:rPr>
          <w:lang w:val="en-GB"/>
        </w:rPr>
        <w:t>n.a.</w:t>
      </w:r>
      <w:proofErr w:type="spellEnd"/>
      <w:r>
        <w:rPr>
          <w:lang w:val="en-GB"/>
        </w:rPr>
        <w:t>: not available.</w:t>
      </w:r>
    </w:p>
    <w:p w14:paraId="36C3446B" w14:textId="6130EC72" w:rsidR="002B6DDF" w:rsidRDefault="00E72DB3" w:rsidP="00744401">
      <w:pPr>
        <w:pStyle w:val="CETheadingx"/>
      </w:pPr>
      <w:r>
        <w:t xml:space="preserve">3.3 </w:t>
      </w:r>
      <w:r w:rsidR="002B6DDF">
        <w:t xml:space="preserve">Separator </w:t>
      </w:r>
      <w:r w:rsidR="008A545C">
        <w:t>characterization</w:t>
      </w:r>
    </w:p>
    <w:p w14:paraId="798E682A" w14:textId="0EDE4966" w:rsidR="00C003D4" w:rsidRDefault="00050738" w:rsidP="001D6CBD">
      <w:pPr>
        <w:pStyle w:val="CETCaption"/>
        <w:spacing w:before="0"/>
        <w:rPr>
          <w:i w:val="0"/>
        </w:rPr>
      </w:pPr>
      <w:r w:rsidRPr="003662E4">
        <w:rPr>
          <w:i w:val="0"/>
        </w:rPr>
        <w:t xml:space="preserve">The separator foils of the </w:t>
      </w:r>
      <w:r w:rsidR="000D409C">
        <w:rPr>
          <w:i w:val="0"/>
        </w:rPr>
        <w:t xml:space="preserve">three </w:t>
      </w:r>
      <w:r w:rsidRPr="003662E4">
        <w:rPr>
          <w:i w:val="0"/>
        </w:rPr>
        <w:t>cell</w:t>
      </w:r>
      <w:r w:rsidR="004A305E" w:rsidRPr="003662E4">
        <w:rPr>
          <w:i w:val="0"/>
        </w:rPr>
        <w:t>s</w:t>
      </w:r>
      <w:r w:rsidR="00305028" w:rsidRPr="003662E4">
        <w:rPr>
          <w:i w:val="0"/>
        </w:rPr>
        <w:t xml:space="preserve"> are analysed </w:t>
      </w:r>
      <w:r w:rsidR="000D409C">
        <w:rPr>
          <w:i w:val="0"/>
        </w:rPr>
        <w:t xml:space="preserve">both </w:t>
      </w:r>
      <w:r w:rsidR="00305028" w:rsidRPr="003662E4">
        <w:rPr>
          <w:i w:val="0"/>
        </w:rPr>
        <w:t xml:space="preserve">by </w:t>
      </w:r>
      <w:r w:rsidRPr="003662E4">
        <w:rPr>
          <w:i w:val="0"/>
        </w:rPr>
        <w:t xml:space="preserve">ATR-FT-IR </w:t>
      </w:r>
      <w:r w:rsidR="003662E4">
        <w:rPr>
          <w:i w:val="0"/>
        </w:rPr>
        <w:t>and by DSC</w:t>
      </w:r>
      <w:r w:rsidR="00EA1883" w:rsidRPr="003662E4">
        <w:rPr>
          <w:i w:val="0"/>
        </w:rPr>
        <w:t>, as shown in Figure 3</w:t>
      </w:r>
      <w:r w:rsidR="002407F6" w:rsidRPr="003662E4">
        <w:rPr>
          <w:i w:val="0"/>
        </w:rPr>
        <w:t>.</w:t>
      </w:r>
      <w:r w:rsidR="00C003D4">
        <w:rPr>
          <w:i w:val="0"/>
        </w:rPr>
        <w:t xml:space="preserve"> </w:t>
      </w:r>
    </w:p>
    <w:p w14:paraId="5B2570CC" w14:textId="6611F668" w:rsidR="00702569" w:rsidRPr="00BE48B4" w:rsidRDefault="00926234" w:rsidP="001A64EE">
      <w:pPr>
        <w:pStyle w:val="CETCaption"/>
        <w:spacing w:before="0" w:after="0"/>
        <w:rPr>
          <w:rStyle w:val="CETCaptionCarattere"/>
          <w:i/>
        </w:rPr>
      </w:pPr>
      <w:r>
        <w:rPr>
          <w:rStyle w:val="CETCaptionCarattere"/>
          <w:i/>
          <w:noProof/>
        </w:rPr>
        <w:drawing>
          <wp:inline distT="0" distB="0" distL="0" distR="0" wp14:anchorId="3A3F3671" wp14:editId="05E12F06">
            <wp:extent cx="4182110" cy="1816735"/>
            <wp:effectExtent l="0" t="0" r="8890" b="0"/>
            <wp:docPr id="23640189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0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929937" w14:textId="67510D28" w:rsidR="001A64EE" w:rsidRDefault="001A64EE" w:rsidP="008C3224">
      <w:pPr>
        <w:pStyle w:val="CETCaption"/>
        <w:spacing w:before="0"/>
      </w:pPr>
      <w:r w:rsidRPr="00E71273">
        <w:rPr>
          <w:rStyle w:val="CETCaptionCarattere"/>
          <w:i/>
        </w:rPr>
        <w:t xml:space="preserve">Figure 3: </w:t>
      </w:r>
      <w:r w:rsidR="00E97ECB" w:rsidRPr="00E71273">
        <w:rPr>
          <w:rStyle w:val="CETCaptionCarattere"/>
          <w:i/>
        </w:rPr>
        <w:t>T</w:t>
      </w:r>
      <w:r w:rsidRPr="00E71273">
        <w:rPr>
          <w:rStyle w:val="CETCaptionCarattere"/>
          <w:i/>
        </w:rPr>
        <w:t>hermograms of the separator for: (green line) C/NCA; (</w:t>
      </w:r>
      <w:r w:rsidR="00D969AA" w:rsidRPr="00E71273">
        <w:rPr>
          <w:rStyle w:val="CETCaptionCarattere"/>
          <w:i/>
        </w:rPr>
        <w:t>red</w:t>
      </w:r>
      <w:r w:rsidRPr="00E71273">
        <w:rPr>
          <w:rStyle w:val="CETCaptionCarattere"/>
          <w:i/>
        </w:rPr>
        <w:t xml:space="preserve"> line) LTO/NCA; (</w:t>
      </w:r>
      <w:r w:rsidR="00D969AA" w:rsidRPr="00E71273">
        <w:rPr>
          <w:rStyle w:val="CETCaptionCarattere"/>
          <w:i/>
        </w:rPr>
        <w:t>black</w:t>
      </w:r>
      <w:r w:rsidRPr="00E71273">
        <w:rPr>
          <w:rStyle w:val="CETCaptionCarattere"/>
          <w:i/>
        </w:rPr>
        <w:t xml:space="preserve"> line) C/LFP.</w:t>
      </w:r>
      <w:r w:rsidRPr="00BD077D">
        <w:t xml:space="preserve"> </w:t>
      </w:r>
    </w:p>
    <w:p w14:paraId="190E8718" w14:textId="03CB4103" w:rsidR="006A0198" w:rsidRDefault="006A0198" w:rsidP="00E17FA9">
      <w:pPr>
        <w:pStyle w:val="CETCaption"/>
        <w:spacing w:before="0"/>
        <w:rPr>
          <w:i w:val="0"/>
        </w:rPr>
      </w:pPr>
      <w:r w:rsidRPr="006A0198">
        <w:rPr>
          <w:i w:val="0"/>
        </w:rPr>
        <w:lastRenderedPageBreak/>
        <w:t xml:space="preserve">The ATR-FTIR analysis identified the LTO/NCA and C/LFP separators as PP, while in the case of C/NCA it was identified as </w:t>
      </w:r>
      <w:r>
        <w:rPr>
          <w:i w:val="0"/>
        </w:rPr>
        <w:t>h</w:t>
      </w:r>
      <w:r w:rsidRPr="006A0198">
        <w:rPr>
          <w:i w:val="0"/>
        </w:rPr>
        <w:t xml:space="preserve">igh </w:t>
      </w:r>
      <w:r>
        <w:rPr>
          <w:i w:val="0"/>
        </w:rPr>
        <w:t>d</w:t>
      </w:r>
      <w:r w:rsidRPr="006A0198">
        <w:rPr>
          <w:i w:val="0"/>
        </w:rPr>
        <w:t>ensity PE (HDPE)</w:t>
      </w:r>
      <w:r>
        <w:rPr>
          <w:i w:val="0"/>
        </w:rPr>
        <w:t xml:space="preserve"> (</w:t>
      </w:r>
      <w:r w:rsidR="000E4DD9" w:rsidRPr="000E4DD9">
        <w:rPr>
          <w:i w:val="0"/>
        </w:rPr>
        <w:t>Signoret</w:t>
      </w:r>
      <w:r w:rsidR="000E4DD9">
        <w:rPr>
          <w:i w:val="0"/>
        </w:rPr>
        <w:t xml:space="preserve"> et al., 2019</w:t>
      </w:r>
      <w:r>
        <w:rPr>
          <w:i w:val="0"/>
        </w:rPr>
        <w:t>)</w:t>
      </w:r>
      <w:r w:rsidRPr="006A0198">
        <w:rPr>
          <w:i w:val="0"/>
        </w:rPr>
        <w:t xml:space="preserve">. The results are also confirmed by the thermograms, Figure 3, where three endothermic peaks are observed at 140 ± 1 °C with a ΔH of 81 ± 27 J/g (C/NCA). The temperature is close to the melting temperatures of 135 °C for HDPE. The other two thermograms show an endothermic peak at 168 ± 0.1 °C with a ΔH of 41 ± 5 J/g (LTO/NCA) and at 168 ± 0.4 °C with a ΔH of 27 ± 1 J/g (C/LFP), both close to the melting </w:t>
      </w:r>
      <w:r w:rsidR="00890B40">
        <w:rPr>
          <w:i w:val="0"/>
        </w:rPr>
        <w:t>temperature</w:t>
      </w:r>
      <w:r w:rsidRPr="006A0198">
        <w:rPr>
          <w:i w:val="0"/>
        </w:rPr>
        <w:t xml:space="preserve"> of PP, </w:t>
      </w:r>
      <w:r>
        <w:rPr>
          <w:i w:val="0"/>
        </w:rPr>
        <w:t xml:space="preserve">around </w:t>
      </w:r>
      <w:r w:rsidRPr="006A0198">
        <w:rPr>
          <w:i w:val="0"/>
        </w:rPr>
        <w:t>16</w:t>
      </w:r>
      <w:r>
        <w:rPr>
          <w:i w:val="0"/>
        </w:rPr>
        <w:t>5</w:t>
      </w:r>
      <w:r w:rsidRPr="006A0198">
        <w:rPr>
          <w:i w:val="0"/>
        </w:rPr>
        <w:t xml:space="preserve"> °C.</w:t>
      </w:r>
    </w:p>
    <w:p w14:paraId="68D26B83" w14:textId="5183D541" w:rsidR="00600535" w:rsidRPr="00B57B36" w:rsidRDefault="00600535" w:rsidP="00600535">
      <w:pPr>
        <w:pStyle w:val="CETHeading1"/>
        <w:rPr>
          <w:lang w:val="en-GB"/>
        </w:rPr>
      </w:pPr>
      <w:r w:rsidRPr="00B57B36">
        <w:rPr>
          <w:lang w:val="en-GB"/>
        </w:rPr>
        <w:t>Conclusions</w:t>
      </w:r>
    </w:p>
    <w:p w14:paraId="19EC7F50" w14:textId="56D195D8" w:rsidR="002B6DDF" w:rsidRDefault="002B6DDF" w:rsidP="00600535">
      <w:pPr>
        <w:pStyle w:val="CETBodytext"/>
        <w:rPr>
          <w:lang w:val="en-GB"/>
        </w:rPr>
      </w:pPr>
      <w:r w:rsidRPr="002B6DDF">
        <w:rPr>
          <w:lang w:val="en-GB"/>
        </w:rPr>
        <w:t>The characterization of th</w:t>
      </w:r>
      <w:r w:rsidR="00B01451">
        <w:rPr>
          <w:lang w:val="en-GB"/>
        </w:rPr>
        <w:t xml:space="preserve">ree cylindrical </w:t>
      </w:r>
      <w:r w:rsidR="00CB3A50">
        <w:rPr>
          <w:lang w:val="en-GB"/>
        </w:rPr>
        <w:t xml:space="preserve">Li-ion </w:t>
      </w:r>
      <w:r w:rsidR="00B01451">
        <w:rPr>
          <w:lang w:val="en-GB"/>
        </w:rPr>
        <w:t xml:space="preserve">cells, </w:t>
      </w:r>
      <w:r w:rsidR="00B37347">
        <w:rPr>
          <w:lang w:val="en-GB"/>
        </w:rPr>
        <w:t>C/NCA, LTO/NCA, and C/LFP</w:t>
      </w:r>
      <w:r w:rsidR="00B01451">
        <w:rPr>
          <w:lang w:val="en-GB"/>
        </w:rPr>
        <w:t>, available on</w:t>
      </w:r>
      <w:r w:rsidR="003A1386">
        <w:rPr>
          <w:lang w:val="en-GB"/>
        </w:rPr>
        <w:t xml:space="preserve"> the</w:t>
      </w:r>
      <w:r w:rsidR="00B01451">
        <w:rPr>
          <w:lang w:val="en-GB"/>
        </w:rPr>
        <w:t xml:space="preserve"> market </w:t>
      </w:r>
      <w:r w:rsidRPr="002B6DDF">
        <w:rPr>
          <w:lang w:val="en-GB"/>
        </w:rPr>
        <w:t xml:space="preserve">was </w:t>
      </w:r>
      <w:r w:rsidR="003A1386">
        <w:rPr>
          <w:lang w:val="en-GB"/>
        </w:rPr>
        <w:t>performed</w:t>
      </w:r>
      <w:r w:rsidRPr="002B6DDF">
        <w:rPr>
          <w:lang w:val="en-GB"/>
        </w:rPr>
        <w:t xml:space="preserve"> to </w:t>
      </w:r>
      <w:r w:rsidR="00134A40">
        <w:rPr>
          <w:lang w:val="en-GB"/>
        </w:rPr>
        <w:t xml:space="preserve">fill the gap between the SDS information and the </w:t>
      </w:r>
      <w:r w:rsidR="003A1386">
        <w:rPr>
          <w:lang w:val="en-GB"/>
        </w:rPr>
        <w:t xml:space="preserve">real </w:t>
      </w:r>
      <w:r w:rsidR="00134A40">
        <w:rPr>
          <w:lang w:val="en-GB"/>
        </w:rPr>
        <w:t xml:space="preserve">chemical composition of the different components, </w:t>
      </w:r>
      <w:r w:rsidR="003F7334">
        <w:rPr>
          <w:lang w:val="en-GB"/>
        </w:rPr>
        <w:t>i.e.,</w:t>
      </w:r>
      <w:r w:rsidR="00134A40">
        <w:rPr>
          <w:lang w:val="en-GB"/>
        </w:rPr>
        <w:t xml:space="preserve"> electrodes, electrolyte and separato</w:t>
      </w:r>
      <w:r w:rsidR="00E42A36">
        <w:rPr>
          <w:lang w:val="en-GB"/>
        </w:rPr>
        <w:t>r</w:t>
      </w:r>
      <w:r w:rsidR="003A1386">
        <w:rPr>
          <w:lang w:val="en-GB"/>
        </w:rPr>
        <w:t xml:space="preserve"> in the cell</w:t>
      </w:r>
      <w:r w:rsidR="00134A40">
        <w:rPr>
          <w:lang w:val="en-GB"/>
        </w:rPr>
        <w:t>. The ICP</w:t>
      </w:r>
      <w:r w:rsidR="00E42A36">
        <w:rPr>
          <w:lang w:val="en-GB"/>
        </w:rPr>
        <w:t>-OES</w:t>
      </w:r>
      <w:r w:rsidR="00134A40">
        <w:rPr>
          <w:lang w:val="en-GB"/>
        </w:rPr>
        <w:t xml:space="preserve"> analys</w:t>
      </w:r>
      <w:r w:rsidR="00442F7D">
        <w:rPr>
          <w:lang w:val="en-GB"/>
        </w:rPr>
        <w:t>i</w:t>
      </w:r>
      <w:r w:rsidR="00134A40">
        <w:rPr>
          <w:lang w:val="en-GB"/>
        </w:rPr>
        <w:t>s confirm</w:t>
      </w:r>
      <w:r w:rsidR="00442F7D">
        <w:rPr>
          <w:lang w:val="en-GB"/>
        </w:rPr>
        <w:t>s</w:t>
      </w:r>
      <w:r w:rsidR="00134A40">
        <w:rPr>
          <w:lang w:val="en-GB"/>
        </w:rPr>
        <w:t xml:space="preserve"> the </w:t>
      </w:r>
      <w:r w:rsidR="00E42A36">
        <w:rPr>
          <w:lang w:val="en-GB"/>
        </w:rPr>
        <w:t>metal</w:t>
      </w:r>
      <w:r w:rsidR="00134A40">
        <w:rPr>
          <w:lang w:val="en-GB"/>
        </w:rPr>
        <w:t xml:space="preserve"> composition of the </w:t>
      </w:r>
      <w:r w:rsidR="002F2831">
        <w:rPr>
          <w:lang w:val="en-GB"/>
        </w:rPr>
        <w:t>electrodes</w:t>
      </w:r>
      <w:r w:rsidR="00442F7D">
        <w:rPr>
          <w:lang w:val="en-GB"/>
        </w:rPr>
        <w:t>,</w:t>
      </w:r>
      <w:r w:rsidR="002F2831">
        <w:rPr>
          <w:lang w:val="en-GB"/>
        </w:rPr>
        <w:t xml:space="preserve"> while t</w:t>
      </w:r>
      <w:r w:rsidR="003F7334" w:rsidRPr="003F7334">
        <w:rPr>
          <w:lang w:val="en-GB"/>
        </w:rPr>
        <w:t xml:space="preserve">he chemical composition of the separators and their thermal stability </w:t>
      </w:r>
      <w:r w:rsidR="00442F7D">
        <w:rPr>
          <w:lang w:val="en-GB"/>
        </w:rPr>
        <w:t>have been</w:t>
      </w:r>
      <w:r w:rsidR="00442F7D" w:rsidRPr="003F7334">
        <w:rPr>
          <w:lang w:val="en-GB"/>
        </w:rPr>
        <w:t xml:space="preserve"> </w:t>
      </w:r>
      <w:r w:rsidR="003F7334" w:rsidRPr="003F7334">
        <w:rPr>
          <w:lang w:val="en-GB"/>
        </w:rPr>
        <w:t>evaluated by DSC analysis</w:t>
      </w:r>
      <w:r w:rsidR="00E42A36">
        <w:rPr>
          <w:lang w:val="en-GB"/>
        </w:rPr>
        <w:t xml:space="preserve">. </w:t>
      </w:r>
      <w:r w:rsidRPr="002B6DDF">
        <w:rPr>
          <w:lang w:val="en-GB"/>
        </w:rPr>
        <w:t xml:space="preserve">The most interesting </w:t>
      </w:r>
      <w:r w:rsidR="00442F7D">
        <w:rPr>
          <w:lang w:val="en-GB"/>
        </w:rPr>
        <w:t>finding</w:t>
      </w:r>
      <w:r w:rsidR="00442F7D" w:rsidRPr="002B6DDF">
        <w:rPr>
          <w:lang w:val="en-GB"/>
        </w:rPr>
        <w:t xml:space="preserve"> regard</w:t>
      </w:r>
      <w:r w:rsidR="00442F7D">
        <w:rPr>
          <w:lang w:val="en-GB"/>
        </w:rPr>
        <w:t>s</w:t>
      </w:r>
      <w:r w:rsidR="00442F7D" w:rsidRPr="002B6DDF">
        <w:rPr>
          <w:lang w:val="en-GB"/>
        </w:rPr>
        <w:t xml:space="preserve"> </w:t>
      </w:r>
      <w:r w:rsidRPr="002B6DDF">
        <w:rPr>
          <w:lang w:val="en-GB"/>
        </w:rPr>
        <w:t>the electrolyte</w:t>
      </w:r>
      <w:r w:rsidR="00442F7D">
        <w:rPr>
          <w:lang w:val="en-GB"/>
        </w:rPr>
        <w:t>:</w:t>
      </w:r>
      <w:r w:rsidRPr="002B6DDF">
        <w:rPr>
          <w:lang w:val="en-GB"/>
        </w:rPr>
        <w:t xml:space="preserve"> in fact</w:t>
      </w:r>
      <w:r w:rsidR="00E42A36">
        <w:rPr>
          <w:lang w:val="en-GB"/>
        </w:rPr>
        <w:t>,</w:t>
      </w:r>
      <w:r w:rsidRPr="002B6DDF">
        <w:rPr>
          <w:lang w:val="en-GB"/>
        </w:rPr>
        <w:t xml:space="preserve"> </w:t>
      </w:r>
      <w:r w:rsidR="00E42A36">
        <w:rPr>
          <w:lang w:val="en-GB"/>
        </w:rPr>
        <w:t>combining the GC-FID and SPME-GC-MS results</w:t>
      </w:r>
      <w:r w:rsidR="00442F7D">
        <w:rPr>
          <w:lang w:val="en-GB"/>
        </w:rPr>
        <w:t>, it</w:t>
      </w:r>
      <w:r w:rsidR="00E42A36">
        <w:rPr>
          <w:lang w:val="en-GB"/>
        </w:rPr>
        <w:t xml:space="preserve"> </w:t>
      </w:r>
      <w:r w:rsidRPr="002B6DDF">
        <w:rPr>
          <w:lang w:val="en-GB"/>
        </w:rPr>
        <w:t xml:space="preserve">was possible </w:t>
      </w:r>
      <w:r w:rsidR="00E42A36">
        <w:rPr>
          <w:lang w:val="en-GB"/>
        </w:rPr>
        <w:t xml:space="preserve">to identify the </w:t>
      </w:r>
      <w:r w:rsidR="00442F7D">
        <w:rPr>
          <w:lang w:val="en-GB"/>
        </w:rPr>
        <w:t xml:space="preserve">total </w:t>
      </w:r>
      <w:r w:rsidR="00E42A36">
        <w:rPr>
          <w:lang w:val="en-GB"/>
        </w:rPr>
        <w:t>composition of the electrolyte, not just the organic carbonate with the relative ratio</w:t>
      </w:r>
      <w:r w:rsidRPr="002B6DDF">
        <w:rPr>
          <w:lang w:val="en-GB"/>
        </w:rPr>
        <w:t xml:space="preserve">, i.e., DMC, DEC, and EC, </w:t>
      </w:r>
      <w:r w:rsidR="00E42A36">
        <w:rPr>
          <w:lang w:val="en-GB"/>
        </w:rPr>
        <w:t xml:space="preserve">but even the </w:t>
      </w:r>
      <w:r w:rsidRPr="002B6DDF">
        <w:rPr>
          <w:lang w:val="en-GB"/>
        </w:rPr>
        <w:t>additives</w:t>
      </w:r>
      <w:r w:rsidR="003A1386">
        <w:rPr>
          <w:lang w:val="en-GB"/>
        </w:rPr>
        <w:t xml:space="preserve">, </w:t>
      </w:r>
      <w:r w:rsidR="00442F7D">
        <w:rPr>
          <w:lang w:val="en-GB"/>
        </w:rPr>
        <w:t>like</w:t>
      </w:r>
      <w:r w:rsidR="003A1386">
        <w:rPr>
          <w:lang w:val="en-GB"/>
        </w:rPr>
        <w:t xml:space="preserve"> tetrahydrofuran,</w:t>
      </w:r>
      <w:r w:rsidRPr="002B6DDF">
        <w:rPr>
          <w:lang w:val="en-GB"/>
        </w:rPr>
        <w:t xml:space="preserve"> added to the electrolyte to enhance the performance</w:t>
      </w:r>
      <w:r w:rsidR="003A1386">
        <w:rPr>
          <w:lang w:val="en-GB"/>
        </w:rPr>
        <w:t xml:space="preserve"> of the cells and in some cases to ensure their safety.</w:t>
      </w:r>
      <w:r w:rsidR="00F75910">
        <w:rPr>
          <w:lang w:val="en-GB"/>
        </w:rPr>
        <w:t xml:space="preserve"> T</w:t>
      </w:r>
      <w:r w:rsidR="00F75910" w:rsidRPr="00F75910">
        <w:rPr>
          <w:lang w:val="en-GB"/>
        </w:rPr>
        <w:t xml:space="preserve">he </w:t>
      </w:r>
      <w:r w:rsidR="00F75910">
        <w:rPr>
          <w:lang w:val="en-GB"/>
        </w:rPr>
        <w:t xml:space="preserve">analytical </w:t>
      </w:r>
      <w:r w:rsidR="00F75910" w:rsidRPr="00F75910">
        <w:rPr>
          <w:lang w:val="en-GB"/>
        </w:rPr>
        <w:t xml:space="preserve">methods proposed can be used for other types of </w:t>
      </w:r>
      <w:r w:rsidR="00F75910">
        <w:rPr>
          <w:lang w:val="en-GB"/>
        </w:rPr>
        <w:t>LIBs</w:t>
      </w:r>
      <w:r w:rsidR="00F75910" w:rsidRPr="00F75910">
        <w:rPr>
          <w:lang w:val="en-GB"/>
        </w:rPr>
        <w:t xml:space="preserve">. </w:t>
      </w:r>
      <w:r w:rsidR="00F75910">
        <w:rPr>
          <w:lang w:val="en-GB"/>
        </w:rPr>
        <w:t>In particular, i</w:t>
      </w:r>
      <w:r w:rsidR="00F75910" w:rsidRPr="00F75910">
        <w:rPr>
          <w:lang w:val="en-GB"/>
        </w:rPr>
        <w:t xml:space="preserve">t is important to </w:t>
      </w:r>
      <w:r w:rsidR="00442F7D">
        <w:rPr>
          <w:lang w:val="en-GB"/>
        </w:rPr>
        <w:t>identify</w:t>
      </w:r>
      <w:r w:rsidR="00442F7D" w:rsidRPr="00F75910">
        <w:rPr>
          <w:lang w:val="en-GB"/>
        </w:rPr>
        <w:t xml:space="preserve"> </w:t>
      </w:r>
      <w:r w:rsidR="00F75910" w:rsidRPr="00F75910">
        <w:rPr>
          <w:lang w:val="en-GB"/>
        </w:rPr>
        <w:t xml:space="preserve">electrolyte </w:t>
      </w:r>
      <w:r w:rsidR="00442F7D">
        <w:rPr>
          <w:lang w:val="en-GB"/>
        </w:rPr>
        <w:t xml:space="preserve">chemical </w:t>
      </w:r>
      <w:r w:rsidR="00F75910" w:rsidRPr="00F75910">
        <w:rPr>
          <w:lang w:val="en-GB"/>
        </w:rPr>
        <w:t>composition and the additives because</w:t>
      </w:r>
      <w:r w:rsidR="00442F7D">
        <w:rPr>
          <w:lang w:val="en-GB"/>
        </w:rPr>
        <w:t>,</w:t>
      </w:r>
      <w:r w:rsidR="00F75910" w:rsidRPr="00F75910">
        <w:rPr>
          <w:lang w:val="en-GB"/>
        </w:rPr>
        <w:t xml:space="preserve"> in case of release</w:t>
      </w:r>
      <w:r w:rsidR="00442F7D">
        <w:rPr>
          <w:lang w:val="en-GB"/>
        </w:rPr>
        <w:t>, they</w:t>
      </w:r>
      <w:r w:rsidR="00F75910" w:rsidRPr="00F75910">
        <w:rPr>
          <w:lang w:val="en-GB"/>
        </w:rPr>
        <w:t xml:space="preserve"> </w:t>
      </w:r>
      <w:r w:rsidR="00442F7D">
        <w:rPr>
          <w:lang w:val="en-GB"/>
        </w:rPr>
        <w:t>might</w:t>
      </w:r>
      <w:r w:rsidR="00442F7D" w:rsidRPr="00F75910">
        <w:rPr>
          <w:lang w:val="en-GB"/>
        </w:rPr>
        <w:t xml:space="preserve"> </w:t>
      </w:r>
      <w:r w:rsidR="00F75910" w:rsidRPr="00F75910">
        <w:rPr>
          <w:lang w:val="en-GB"/>
        </w:rPr>
        <w:t>have consequences on human health and environment.</w:t>
      </w:r>
    </w:p>
    <w:p w14:paraId="459D05E6" w14:textId="77777777" w:rsidR="00600535" w:rsidRPr="00B57B36" w:rsidRDefault="00600535" w:rsidP="00600535">
      <w:pPr>
        <w:pStyle w:val="CETAcknowledgementstitle"/>
      </w:pPr>
      <w:r w:rsidRPr="00B57B36">
        <w:t>Acknowledgments</w:t>
      </w:r>
    </w:p>
    <w:p w14:paraId="33F8138F" w14:textId="5117121C" w:rsidR="00600535" w:rsidRDefault="006D5759" w:rsidP="00600535">
      <w:pPr>
        <w:pStyle w:val="CETBodytext"/>
        <w:rPr>
          <w:lang w:val="en-GB"/>
        </w:rPr>
      </w:pPr>
      <w:r w:rsidRPr="004B10EE">
        <w:rPr>
          <w:lang w:val="en-GB"/>
        </w:rPr>
        <w:t xml:space="preserve">This study was carried out within the </w:t>
      </w:r>
      <w:r w:rsidRPr="00BA01FC">
        <w:rPr>
          <w:lang w:val="en-GB"/>
        </w:rPr>
        <w:t>SAF€RA 2022 joint call for proposals in the year 2022 for the project entitled "Safety evaluation of nanomaterials in Novel EES materials and LIBs (Nano-</w:t>
      </w:r>
      <w:proofErr w:type="spellStart"/>
      <w:r w:rsidRPr="00BA01FC">
        <w:rPr>
          <w:lang w:val="en-GB"/>
        </w:rPr>
        <w:t>SaNE</w:t>
      </w:r>
      <w:proofErr w:type="spellEnd"/>
      <w:r w:rsidRPr="00BA01FC">
        <w:rPr>
          <w:lang w:val="en-GB"/>
        </w:rPr>
        <w:t>)"</w:t>
      </w:r>
      <w:r>
        <w:rPr>
          <w:lang w:val="en-GB"/>
        </w:rPr>
        <w:t xml:space="preserve"> and </w:t>
      </w:r>
      <w:r w:rsidR="004B10EE" w:rsidRPr="004B10EE">
        <w:rPr>
          <w:lang w:val="en-GB"/>
        </w:rPr>
        <w:t xml:space="preserve">MOST – Sustainable Mobility </w:t>
      </w:r>
      <w:proofErr w:type="spellStart"/>
      <w:r w:rsidR="004B10EE" w:rsidRPr="004B10EE">
        <w:rPr>
          <w:lang w:val="en-GB"/>
        </w:rPr>
        <w:t>Center</w:t>
      </w:r>
      <w:proofErr w:type="spellEnd"/>
      <w:r w:rsidR="004B10EE" w:rsidRPr="004B10EE">
        <w:rPr>
          <w:lang w:val="en-GB"/>
        </w:rPr>
        <w:t xml:space="preserve"> and received funding from the European Union Next-GenerationEU (PIANO NAZIONALE DI RIPRESA E RESILIENZA (PNRR) – MISSIONE 4 COMPONENTE 2, INVESTIMENTO 1.4 – D.D. 1033 17/06/2022, CN00000023). This manuscript reflects only the authors’ views and opinions, neither the European Union nor the European Commission can be considered responsible for them.</w:t>
      </w:r>
    </w:p>
    <w:p w14:paraId="4F1327F8" w14:textId="77777777" w:rsidR="00600535" w:rsidRPr="00B57B36" w:rsidRDefault="00600535" w:rsidP="00600535">
      <w:pPr>
        <w:pStyle w:val="CETReference"/>
      </w:pPr>
      <w:r w:rsidRPr="00B57B36">
        <w:t>References</w:t>
      </w:r>
    </w:p>
    <w:p w14:paraId="534DBB84" w14:textId="3B75B2BE" w:rsidR="005A5CB7" w:rsidRDefault="005A5CB7" w:rsidP="00116D2A">
      <w:pPr>
        <w:pStyle w:val="CETReferencetext"/>
      </w:pPr>
      <w:r w:rsidRPr="005A5CB7">
        <w:t>Hess</w:t>
      </w:r>
      <w:r>
        <w:t xml:space="preserve"> </w:t>
      </w:r>
      <w:r w:rsidRPr="005A5CB7">
        <w:t>S.,</w:t>
      </w:r>
      <w:r>
        <w:t xml:space="preserve"> </w:t>
      </w:r>
      <w:r w:rsidRPr="005A5CB7">
        <w:t>Wohlfahrt-Mehrens</w:t>
      </w:r>
      <w:r>
        <w:t xml:space="preserve"> </w:t>
      </w:r>
      <w:r w:rsidRPr="005A5CB7">
        <w:t>M.,</w:t>
      </w:r>
      <w:r>
        <w:t xml:space="preserve"> </w:t>
      </w:r>
      <w:r w:rsidRPr="005A5CB7">
        <w:t>Wachtler</w:t>
      </w:r>
      <w:r>
        <w:t xml:space="preserve"> </w:t>
      </w:r>
      <w:r w:rsidRPr="005A5CB7">
        <w:t>M.,</w:t>
      </w:r>
      <w:r>
        <w:t xml:space="preserve"> 2015, </w:t>
      </w:r>
      <w:r w:rsidRPr="005A5CB7">
        <w:t>Flammability of Li-Ion Battery Electrolytes: Flash Point and Self-Extinguishing Time Measurements</w:t>
      </w:r>
      <w:r>
        <w:t>,</w:t>
      </w:r>
      <w:r w:rsidRPr="005A5CB7">
        <w:t xml:space="preserve"> J. </w:t>
      </w:r>
      <w:proofErr w:type="spellStart"/>
      <w:r w:rsidRPr="005A5CB7">
        <w:t>Electrochem</w:t>
      </w:r>
      <w:proofErr w:type="spellEnd"/>
      <w:r w:rsidRPr="005A5CB7">
        <w:t>. Soc., 162, 2,</w:t>
      </w:r>
      <w:r>
        <w:t xml:space="preserve"> </w:t>
      </w:r>
      <w:r w:rsidRPr="005A5CB7">
        <w:t>A3084–A3097</w:t>
      </w:r>
      <w:r>
        <w:t>.</w:t>
      </w:r>
    </w:p>
    <w:p w14:paraId="0D3EEB40" w14:textId="152E8AD1" w:rsidR="00116D2A" w:rsidRDefault="00116D2A" w:rsidP="00116D2A">
      <w:pPr>
        <w:pStyle w:val="CETReferencetext"/>
      </w:pPr>
      <w:r>
        <w:t xml:space="preserve">Horsthemke F., </w:t>
      </w:r>
      <w:r w:rsidR="00C85B94">
        <w:t>Friesen A.</w:t>
      </w:r>
      <w:r>
        <w:t>,</w:t>
      </w:r>
      <w:r w:rsidR="00C85B94">
        <w:t xml:space="preserve"> </w:t>
      </w:r>
      <w:proofErr w:type="spellStart"/>
      <w:r w:rsidR="00C85B94">
        <w:t>M</w:t>
      </w:r>
      <w:r w:rsidR="00C85B94">
        <w:rPr>
          <w:rFonts w:cs="Arial"/>
        </w:rPr>
        <w:t>ö</w:t>
      </w:r>
      <w:r w:rsidR="00C85B94">
        <w:t>nnighoff</w:t>
      </w:r>
      <w:proofErr w:type="spellEnd"/>
      <w:r w:rsidR="00C85B94">
        <w:t xml:space="preserve"> X., </w:t>
      </w:r>
      <w:proofErr w:type="spellStart"/>
      <w:r w:rsidR="00C85B94">
        <w:t>Stenxel</w:t>
      </w:r>
      <w:proofErr w:type="spellEnd"/>
      <w:r w:rsidR="00C85B94">
        <w:t xml:space="preserve"> Y.P., </w:t>
      </w:r>
      <w:proofErr w:type="spellStart"/>
      <w:r w:rsidR="00C85B94">
        <w:t>Gr</w:t>
      </w:r>
      <w:r w:rsidR="00C85B94">
        <w:rPr>
          <w:rFonts w:cs="Arial"/>
        </w:rPr>
        <w:t>ü</w:t>
      </w:r>
      <w:r w:rsidR="00C85B94">
        <w:t>tzke</w:t>
      </w:r>
      <w:proofErr w:type="spellEnd"/>
      <w:r w:rsidR="00C85B94">
        <w:t xml:space="preserve"> M., Andersson J.T., Winter M., Nowak S.,</w:t>
      </w:r>
      <w:r>
        <w:t xml:space="preserve"> 2017, Fast screening method to characterize lithium ion battery electrolytes by means of solid phase microextraction–gas chromatography–mass spectrometry,” RSC Adv., 7, 74, 46989–46998. </w:t>
      </w:r>
    </w:p>
    <w:p w14:paraId="132100A2" w14:textId="372446AE" w:rsidR="00116D2A" w:rsidRDefault="00116D2A" w:rsidP="00116D2A">
      <w:pPr>
        <w:pStyle w:val="CETReferencetext"/>
      </w:pPr>
      <w:r>
        <w:t xml:space="preserve">Kim H.-S., Verma R., Kim J., Park C.-J., 2020, Effect of Urea as Electrolyte Additive for Stabilization of Lithium Metal Electrodes, ACS Sustainable Chem. Eng., 8, 30, 11123–11132. </w:t>
      </w:r>
    </w:p>
    <w:p w14:paraId="3FC30FAF" w14:textId="763BC6D5" w:rsidR="000056FA" w:rsidRPr="00442F7D" w:rsidRDefault="000056FA" w:rsidP="000056FA">
      <w:pPr>
        <w:pStyle w:val="CETReferencetext"/>
        <w:rPr>
          <w:lang w:val="it-IT"/>
        </w:rPr>
      </w:pPr>
      <w:r w:rsidRPr="00442F7D">
        <w:rPr>
          <w:lang w:val="it-IT"/>
        </w:rPr>
        <w:t xml:space="preserve">La Monaca A., </w:t>
      </w:r>
      <w:r w:rsidR="009E7C2F" w:rsidRPr="00442F7D">
        <w:rPr>
          <w:lang w:val="it-IT"/>
        </w:rPr>
        <w:t xml:space="preserve">De Giorgio F., Soavi F., Arbizzani C., Tarquini G., Di Carli M., </w:t>
      </w:r>
      <w:proofErr w:type="spellStart"/>
      <w:r w:rsidR="009E7C2F" w:rsidRPr="00442F7D">
        <w:rPr>
          <w:lang w:val="it-IT"/>
        </w:rPr>
        <w:t>Prosini</w:t>
      </w:r>
      <w:proofErr w:type="spellEnd"/>
      <w:r w:rsidR="009E7C2F" w:rsidRPr="00442F7D">
        <w:rPr>
          <w:lang w:val="it-IT"/>
        </w:rPr>
        <w:t xml:space="preserve"> P.P, </w:t>
      </w:r>
      <w:r w:rsidRPr="00442F7D">
        <w:rPr>
          <w:lang w:val="it-IT"/>
        </w:rPr>
        <w:t>2018, 1,3</w:t>
      </w:r>
      <w:r w:rsidRPr="00442F7D">
        <w:rPr>
          <w:rFonts w:ascii="Cambria Math" w:hAnsi="Cambria Math" w:cs="Cambria Math"/>
          <w:lang w:val="it-IT"/>
        </w:rPr>
        <w:t>‐</w:t>
      </w:r>
      <w:r w:rsidRPr="00442F7D">
        <w:rPr>
          <w:lang w:val="it-IT"/>
        </w:rPr>
        <w:t xml:space="preserve">Dioxolane: A Strategy to </w:t>
      </w:r>
      <w:proofErr w:type="spellStart"/>
      <w:r w:rsidRPr="00442F7D">
        <w:rPr>
          <w:lang w:val="it-IT"/>
        </w:rPr>
        <w:t>Improve</w:t>
      </w:r>
      <w:proofErr w:type="spellEnd"/>
      <w:r w:rsidRPr="00442F7D">
        <w:rPr>
          <w:lang w:val="it-IT"/>
        </w:rPr>
        <w:t xml:space="preserve"> </w:t>
      </w:r>
      <w:proofErr w:type="spellStart"/>
      <w:r w:rsidRPr="00442F7D">
        <w:rPr>
          <w:lang w:val="it-IT"/>
        </w:rPr>
        <w:t>Electrode</w:t>
      </w:r>
      <w:proofErr w:type="spellEnd"/>
      <w:r w:rsidRPr="00442F7D">
        <w:rPr>
          <w:lang w:val="it-IT"/>
        </w:rPr>
        <w:t xml:space="preserve"> </w:t>
      </w:r>
      <w:proofErr w:type="spellStart"/>
      <w:r w:rsidRPr="00442F7D">
        <w:rPr>
          <w:lang w:val="it-IT"/>
        </w:rPr>
        <w:t>Interfaces</w:t>
      </w:r>
      <w:proofErr w:type="spellEnd"/>
      <w:r w:rsidRPr="00442F7D">
        <w:rPr>
          <w:lang w:val="it-IT"/>
        </w:rPr>
        <w:t xml:space="preserve"> in </w:t>
      </w:r>
      <w:proofErr w:type="spellStart"/>
      <w:r w:rsidRPr="00442F7D">
        <w:rPr>
          <w:lang w:val="it-IT"/>
        </w:rPr>
        <w:t>Lithium</w:t>
      </w:r>
      <w:proofErr w:type="spellEnd"/>
      <w:r w:rsidRPr="00442F7D">
        <w:rPr>
          <w:lang w:val="it-IT"/>
        </w:rPr>
        <w:t xml:space="preserve"> Ion and </w:t>
      </w:r>
      <w:proofErr w:type="spellStart"/>
      <w:r w:rsidRPr="00442F7D">
        <w:rPr>
          <w:lang w:val="it-IT"/>
        </w:rPr>
        <w:t>Lithium</w:t>
      </w:r>
      <w:r w:rsidRPr="00442F7D">
        <w:rPr>
          <w:rFonts w:ascii="Cambria Math" w:hAnsi="Cambria Math" w:cs="Cambria Math"/>
          <w:lang w:val="it-IT"/>
        </w:rPr>
        <w:t>‐</w:t>
      </w:r>
      <w:r w:rsidRPr="00442F7D">
        <w:rPr>
          <w:lang w:val="it-IT"/>
        </w:rPr>
        <w:t>Sulfur</w:t>
      </w:r>
      <w:proofErr w:type="spellEnd"/>
      <w:r w:rsidRPr="00442F7D">
        <w:rPr>
          <w:lang w:val="it-IT"/>
        </w:rPr>
        <w:t xml:space="preserve"> </w:t>
      </w:r>
      <w:proofErr w:type="spellStart"/>
      <w:r w:rsidRPr="00442F7D">
        <w:rPr>
          <w:lang w:val="it-IT"/>
        </w:rPr>
        <w:t>Batteries</w:t>
      </w:r>
      <w:proofErr w:type="spellEnd"/>
      <w:r w:rsidRPr="00442F7D">
        <w:rPr>
          <w:lang w:val="it-IT"/>
        </w:rPr>
        <w:t xml:space="preserve">, </w:t>
      </w:r>
      <w:proofErr w:type="spellStart"/>
      <w:r w:rsidRPr="00442F7D">
        <w:rPr>
          <w:lang w:val="it-IT"/>
        </w:rPr>
        <w:t>ChemElectroChem</w:t>
      </w:r>
      <w:proofErr w:type="spellEnd"/>
      <w:r w:rsidRPr="00442F7D">
        <w:rPr>
          <w:lang w:val="it-IT"/>
        </w:rPr>
        <w:t>, 5, 9, 1272</w:t>
      </w:r>
      <w:r w:rsidRPr="00442F7D">
        <w:rPr>
          <w:rFonts w:cs="Arial"/>
          <w:lang w:val="it-IT"/>
        </w:rPr>
        <w:t>–</w:t>
      </w:r>
      <w:r w:rsidRPr="00442F7D">
        <w:rPr>
          <w:lang w:val="it-IT"/>
        </w:rPr>
        <w:t>1278.</w:t>
      </w:r>
    </w:p>
    <w:p w14:paraId="50F20C93" w14:textId="270EB7CA" w:rsidR="00116D2A" w:rsidRDefault="00116D2A" w:rsidP="000056FA">
      <w:pPr>
        <w:pStyle w:val="CETReferencetext"/>
      </w:pPr>
      <w:r w:rsidRPr="00DF19A3">
        <w:t>Mao</w:t>
      </w:r>
      <w:r w:rsidRPr="00116D2A">
        <w:t xml:space="preserve"> </w:t>
      </w:r>
      <w:r w:rsidRPr="00DF19A3">
        <w:t>N., Wang</w:t>
      </w:r>
      <w:r>
        <w:t xml:space="preserve"> </w:t>
      </w:r>
      <w:r w:rsidRPr="00DF19A3">
        <w:t>Z.-R., Chung</w:t>
      </w:r>
      <w:r>
        <w:t xml:space="preserve"> </w:t>
      </w:r>
      <w:r w:rsidRPr="00DF19A3">
        <w:t>Y.-H., Shu</w:t>
      </w:r>
      <w:r>
        <w:t xml:space="preserve"> </w:t>
      </w:r>
      <w:r w:rsidRPr="00DF19A3">
        <w:t xml:space="preserve">C.-M., </w:t>
      </w:r>
      <w:r>
        <w:t xml:space="preserve">2019, </w:t>
      </w:r>
      <w:r w:rsidRPr="00DF19A3">
        <w:t xml:space="preserve">Overcharge cycling effect on the thermal </w:t>
      </w:r>
      <w:proofErr w:type="spellStart"/>
      <w:r w:rsidRPr="00DF19A3">
        <w:t>behavior</w:t>
      </w:r>
      <w:proofErr w:type="spellEnd"/>
      <w:r w:rsidRPr="00DF19A3">
        <w:t>, structure, and material of lithium-ion batteries, Applied Thermal Engineering, 163, 114147</w:t>
      </w:r>
      <w:r>
        <w:t>.</w:t>
      </w:r>
    </w:p>
    <w:p w14:paraId="4C37F2E9" w14:textId="6CDBD9D5" w:rsidR="000056FA" w:rsidRDefault="000056FA" w:rsidP="000056FA">
      <w:pPr>
        <w:pStyle w:val="CETReferencetext"/>
      </w:pPr>
      <w:r w:rsidRPr="000056FA">
        <w:t>Ming</w:t>
      </w:r>
      <w:r>
        <w:t xml:space="preserve"> J.,</w:t>
      </w:r>
      <w:r w:rsidRPr="000056FA">
        <w:t xml:space="preserve"> </w:t>
      </w:r>
      <w:r w:rsidR="00143088">
        <w:t>Cao Z., Wu Y., Wahyudi W., Wang W., Guo X., Cavallo L., Hwang J.-Y., Shamim A., Li L.-J., Sun Y.-K., Alshareef H.N.</w:t>
      </w:r>
      <w:r w:rsidRPr="000056FA">
        <w:t>,</w:t>
      </w:r>
      <w:r>
        <w:t xml:space="preserve"> 2019, </w:t>
      </w:r>
      <w:r w:rsidRPr="000056FA">
        <w:t>New Insight on the Role of Electrolyte Additives in Rechargeable Lithium Ion Batteries</w:t>
      </w:r>
      <w:r>
        <w:t xml:space="preserve">, </w:t>
      </w:r>
      <w:r w:rsidRPr="000056FA">
        <w:t>ACS Energy Lett., 4, 11, 2613–2622.</w:t>
      </w:r>
      <w:r w:rsidRPr="000056FA">
        <w:tab/>
      </w:r>
    </w:p>
    <w:p w14:paraId="2155E5FC" w14:textId="1DB9CECE" w:rsidR="000056FA" w:rsidRDefault="000056FA" w:rsidP="000056FA">
      <w:pPr>
        <w:pStyle w:val="CETReferencetext"/>
      </w:pPr>
      <w:r w:rsidRPr="000056FA">
        <w:t>Paul-Orecchio</w:t>
      </w:r>
      <w:r>
        <w:t xml:space="preserve"> </w:t>
      </w:r>
      <w:r w:rsidRPr="000056FA">
        <w:t>A. G., Weeks</w:t>
      </w:r>
      <w:r>
        <w:t xml:space="preserve"> </w:t>
      </w:r>
      <w:r w:rsidRPr="000056FA">
        <w:t xml:space="preserve">J. A., </w:t>
      </w:r>
      <w:proofErr w:type="spellStart"/>
      <w:r w:rsidRPr="000056FA">
        <w:t>Dolocan</w:t>
      </w:r>
      <w:proofErr w:type="spellEnd"/>
      <w:r>
        <w:t xml:space="preserve"> </w:t>
      </w:r>
      <w:r w:rsidRPr="000056FA">
        <w:t>A., Mullins</w:t>
      </w:r>
      <w:r w:rsidR="00116D2A">
        <w:t xml:space="preserve"> </w:t>
      </w:r>
      <w:r w:rsidR="00116D2A" w:rsidRPr="000056FA">
        <w:t>C. B.</w:t>
      </w:r>
      <w:r w:rsidRPr="000056FA">
        <w:t>,</w:t>
      </w:r>
      <w:r w:rsidR="00116D2A">
        <w:t xml:space="preserve"> 2022,</w:t>
      </w:r>
      <w:r w:rsidRPr="000056FA">
        <w:t xml:space="preserve"> High-Stability Lithium Metal Batteries Enabled by a Tetrahydrofuran-Based Electrolyte Mixture, ACS Appl. Energy Mater., </w:t>
      </w:r>
      <w:r w:rsidR="00116D2A">
        <w:t>5</w:t>
      </w:r>
      <w:r w:rsidRPr="000056FA">
        <w:t>, 8, 9437–9446</w:t>
      </w:r>
      <w:r w:rsidR="00116D2A">
        <w:t>.</w:t>
      </w:r>
    </w:p>
    <w:p w14:paraId="30295E2A" w14:textId="79821BB3" w:rsidR="00D77FA9" w:rsidRDefault="00D77FA9" w:rsidP="000056FA">
      <w:pPr>
        <w:pStyle w:val="CETReferencetext"/>
      </w:pPr>
      <w:r w:rsidRPr="00D77FA9">
        <w:t>Qiu</w:t>
      </w:r>
      <w:r>
        <w:t xml:space="preserve"> </w:t>
      </w:r>
      <w:r w:rsidRPr="00D77FA9">
        <w:t>Y.</w:t>
      </w:r>
      <w:r>
        <w:t>,</w:t>
      </w:r>
      <w:r w:rsidRPr="00D77FA9">
        <w:t xml:space="preserve"> Jiang</w:t>
      </w:r>
      <w:r>
        <w:t xml:space="preserve"> </w:t>
      </w:r>
      <w:r w:rsidRPr="00D77FA9">
        <w:t>F.,</w:t>
      </w:r>
      <w:r>
        <w:t xml:space="preserve"> 2022,</w:t>
      </w:r>
      <w:r w:rsidRPr="00D77FA9">
        <w:t xml:space="preserve"> A review on passive and active strategies of enhancing the safety of lithium-ion batteries, International Journal of Heat and Mass Transfer,</w:t>
      </w:r>
      <w:r>
        <w:t xml:space="preserve"> </w:t>
      </w:r>
      <w:r w:rsidRPr="00D77FA9">
        <w:t>184,</w:t>
      </w:r>
      <w:r>
        <w:t xml:space="preserve"> </w:t>
      </w:r>
      <w:r w:rsidRPr="00D77FA9">
        <w:t>122288</w:t>
      </w:r>
      <w:r>
        <w:t>.</w:t>
      </w:r>
    </w:p>
    <w:p w14:paraId="687721FF" w14:textId="72C3431C" w:rsidR="000E4DD9" w:rsidRDefault="000E4DD9" w:rsidP="000E4DD9">
      <w:pPr>
        <w:pStyle w:val="CETReferencetext"/>
      </w:pPr>
      <w:r>
        <w:t xml:space="preserve">Signoret C., Caro-Bretelle A.-S., Lopez-Cuesta J.-M., </w:t>
      </w:r>
      <w:proofErr w:type="spellStart"/>
      <w:r w:rsidR="007E2F61">
        <w:t>I</w:t>
      </w:r>
      <w:r>
        <w:t>enny</w:t>
      </w:r>
      <w:proofErr w:type="spellEnd"/>
      <w:r>
        <w:t xml:space="preserve"> P., Perrin D., 2019, MIR spectral characterization of plastic to enable discrimination in an industrial recycling context: II. Specific case of polyolefins, Waste Management, 98, 160-172.</w:t>
      </w:r>
    </w:p>
    <w:p w14:paraId="393D7302" w14:textId="563B377E" w:rsidR="000056FA" w:rsidRDefault="000056FA" w:rsidP="000056FA">
      <w:pPr>
        <w:pStyle w:val="CETReferencetext"/>
      </w:pPr>
      <w:r w:rsidRPr="000056FA">
        <w:t>Xing</w:t>
      </w:r>
      <w:r w:rsidR="00116D2A">
        <w:t xml:space="preserve"> </w:t>
      </w:r>
      <w:r w:rsidR="00116D2A" w:rsidRPr="000056FA">
        <w:t>J.</w:t>
      </w:r>
      <w:r w:rsidRPr="000056FA">
        <w:t>,</w:t>
      </w:r>
      <w:r w:rsidR="00A6733C">
        <w:t xml:space="preserve"> </w:t>
      </w:r>
      <w:proofErr w:type="spellStart"/>
      <w:r w:rsidRPr="000056FA">
        <w:t>Bliznakov</w:t>
      </w:r>
      <w:proofErr w:type="spellEnd"/>
      <w:r w:rsidR="00116D2A">
        <w:t xml:space="preserve"> </w:t>
      </w:r>
      <w:r w:rsidR="00116D2A" w:rsidRPr="000056FA">
        <w:t>S.</w:t>
      </w:r>
      <w:r w:rsidRPr="000056FA">
        <w:t>, Bonville</w:t>
      </w:r>
      <w:r w:rsidR="00116D2A">
        <w:t xml:space="preserve"> </w:t>
      </w:r>
      <w:r w:rsidR="00116D2A" w:rsidRPr="000056FA">
        <w:t>L.</w:t>
      </w:r>
      <w:r w:rsidRPr="000056FA">
        <w:t xml:space="preserve">, </w:t>
      </w:r>
      <w:proofErr w:type="spellStart"/>
      <w:r w:rsidRPr="000056FA">
        <w:t>Oljaca</w:t>
      </w:r>
      <w:proofErr w:type="spellEnd"/>
      <w:r w:rsidR="00116D2A">
        <w:t xml:space="preserve"> </w:t>
      </w:r>
      <w:r w:rsidR="00116D2A" w:rsidRPr="000056FA">
        <w:t>M.</w:t>
      </w:r>
      <w:r w:rsidRPr="000056FA">
        <w:t>, Maric</w:t>
      </w:r>
      <w:r w:rsidR="00116D2A">
        <w:t xml:space="preserve"> </w:t>
      </w:r>
      <w:r w:rsidR="00116D2A" w:rsidRPr="000056FA">
        <w:t>R</w:t>
      </w:r>
      <w:r w:rsidR="00116D2A">
        <w:t>.</w:t>
      </w:r>
      <w:r w:rsidRPr="000056FA">
        <w:t>,</w:t>
      </w:r>
      <w:r w:rsidR="00116D2A">
        <w:t xml:space="preserve"> 2022, </w:t>
      </w:r>
      <w:r w:rsidRPr="000056FA">
        <w:t xml:space="preserve">A Review of Nonaqueous Electrolytes, Binders, and Separators for Lithium-Ion Batteries </w:t>
      </w:r>
      <w:proofErr w:type="spellStart"/>
      <w:r w:rsidRPr="000056FA">
        <w:t>Electrochem</w:t>
      </w:r>
      <w:proofErr w:type="spellEnd"/>
      <w:r w:rsidRPr="000056FA">
        <w:t>. Energy Rev., 5, 4,</w:t>
      </w:r>
      <w:r w:rsidR="00116D2A">
        <w:t xml:space="preserve"> </w:t>
      </w:r>
      <w:r w:rsidRPr="000056FA">
        <w:t>14.</w:t>
      </w:r>
    </w:p>
    <w:p w14:paraId="1B6E806D" w14:textId="5E971262" w:rsidR="00A8117A" w:rsidRDefault="00E148CA" w:rsidP="00E148CA">
      <w:pPr>
        <w:pStyle w:val="CETReferencetext"/>
      </w:pPr>
      <w:r w:rsidRPr="00E148CA">
        <w:t>Xu</w:t>
      </w:r>
      <w:r>
        <w:t xml:space="preserve"> </w:t>
      </w:r>
      <w:r w:rsidRPr="00E148CA">
        <w:t>B., Kong</w:t>
      </w:r>
      <w:r>
        <w:t xml:space="preserve"> </w:t>
      </w:r>
      <w:r w:rsidRPr="00E148CA">
        <w:t>L., Wen</w:t>
      </w:r>
      <w:r>
        <w:t xml:space="preserve"> </w:t>
      </w:r>
      <w:r w:rsidRPr="00E148CA">
        <w:t>G., Pecht</w:t>
      </w:r>
      <w:r>
        <w:t xml:space="preserve"> </w:t>
      </w:r>
      <w:r w:rsidRPr="00E148CA">
        <w:t>M. G.,</w:t>
      </w:r>
      <w:r>
        <w:t xml:space="preserve"> 2021, </w:t>
      </w:r>
      <w:r w:rsidRPr="00E148CA">
        <w:t>Protection Devices in Commercial 18650 Lithium-Ion Batteries, IEEE Access, 9, 66687–66695</w:t>
      </w:r>
      <w:r>
        <w:t>.</w:t>
      </w:r>
    </w:p>
    <w:p w14:paraId="60D357E4" w14:textId="37E051F8" w:rsidR="001E3C8A" w:rsidRDefault="001E3C8A" w:rsidP="00E148CA">
      <w:pPr>
        <w:pStyle w:val="CETReferencetext"/>
      </w:pPr>
      <w:r w:rsidRPr="001E3C8A">
        <w:t>Zhang</w:t>
      </w:r>
      <w:r>
        <w:t xml:space="preserve"> </w:t>
      </w:r>
      <w:r w:rsidRPr="001E3C8A">
        <w:t>R.</w:t>
      </w:r>
      <w:r>
        <w:t>,</w:t>
      </w:r>
      <w:r w:rsidRPr="001E3C8A">
        <w:t xml:space="preserve"> </w:t>
      </w:r>
      <w:r w:rsidR="00143088">
        <w:t>Xia B., Li B., Cao L., Lai Y., Zheng W., Wang H., Wang W.</w:t>
      </w:r>
      <w:r w:rsidRPr="001E3C8A">
        <w:t>,</w:t>
      </w:r>
      <w:r>
        <w:t xml:space="preserve"> 2018.</w:t>
      </w:r>
      <w:r w:rsidRPr="001E3C8A">
        <w:t xml:space="preserve"> State of the Art of Lithium-Ion Battery SOC Estimation for Electrical Vehicles, Energies, 11, 7, 1820</w:t>
      </w:r>
      <w:r>
        <w:t>.</w:t>
      </w:r>
    </w:p>
    <w:sectPr w:rsidR="001E3C8A" w:rsidSect="005B56EB"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230E0" w14:textId="77777777" w:rsidR="00D01F8F" w:rsidRDefault="00D01F8F" w:rsidP="004F5E36">
      <w:r>
        <w:separator/>
      </w:r>
    </w:p>
  </w:endnote>
  <w:endnote w:type="continuationSeparator" w:id="0">
    <w:p w14:paraId="76EFAD31" w14:textId="77777777" w:rsidR="00D01F8F" w:rsidRDefault="00D01F8F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P6960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19A5B" w14:textId="77777777" w:rsidR="00D01F8F" w:rsidRDefault="00D01F8F" w:rsidP="004F5E36">
      <w:r>
        <w:separator/>
      </w:r>
    </w:p>
  </w:footnote>
  <w:footnote w:type="continuationSeparator" w:id="0">
    <w:p w14:paraId="47F8C3F0" w14:textId="77777777" w:rsidR="00D01F8F" w:rsidRDefault="00D01F8F" w:rsidP="004F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38217E"/>
    <w:multiLevelType w:val="multilevel"/>
    <w:tmpl w:val="F17228D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30B7370"/>
    <w:multiLevelType w:val="hybridMultilevel"/>
    <w:tmpl w:val="12E2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E0394"/>
    <w:multiLevelType w:val="hybridMultilevel"/>
    <w:tmpl w:val="806658E2"/>
    <w:lvl w:ilvl="0" w:tplc="14B0F7A8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329B9"/>
    <w:multiLevelType w:val="hybridMultilevel"/>
    <w:tmpl w:val="A2E6C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100E8"/>
    <w:multiLevelType w:val="hybridMultilevel"/>
    <w:tmpl w:val="6F34C07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87BA7"/>
    <w:multiLevelType w:val="hybridMultilevel"/>
    <w:tmpl w:val="1F6A8AD4"/>
    <w:lvl w:ilvl="0" w:tplc="14B0F7A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17387"/>
    <w:multiLevelType w:val="hybridMultilevel"/>
    <w:tmpl w:val="C2AE185A"/>
    <w:lvl w:ilvl="0" w:tplc="14090011">
      <w:start w:val="1"/>
      <w:numFmt w:val="decimal"/>
      <w:lvlText w:val="%1)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5266D"/>
    <w:multiLevelType w:val="hybridMultilevel"/>
    <w:tmpl w:val="F5BE3C4A"/>
    <w:lvl w:ilvl="0" w:tplc="9FC4D28C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305860">
    <w:abstractNumId w:val="10"/>
  </w:num>
  <w:num w:numId="2" w16cid:durableId="1939479859">
    <w:abstractNumId w:val="8"/>
  </w:num>
  <w:num w:numId="3" w16cid:durableId="976295760">
    <w:abstractNumId w:val="3"/>
  </w:num>
  <w:num w:numId="4" w16cid:durableId="23678545">
    <w:abstractNumId w:val="2"/>
  </w:num>
  <w:num w:numId="5" w16cid:durableId="1901554720">
    <w:abstractNumId w:val="1"/>
  </w:num>
  <w:num w:numId="6" w16cid:durableId="1979601308">
    <w:abstractNumId w:val="0"/>
  </w:num>
  <w:num w:numId="7" w16cid:durableId="1215388478">
    <w:abstractNumId w:val="9"/>
  </w:num>
  <w:num w:numId="8" w16cid:durableId="759717833">
    <w:abstractNumId w:val="7"/>
  </w:num>
  <w:num w:numId="9" w16cid:durableId="815683955">
    <w:abstractNumId w:val="6"/>
  </w:num>
  <w:num w:numId="10" w16cid:durableId="1066416165">
    <w:abstractNumId w:val="5"/>
  </w:num>
  <w:num w:numId="11" w16cid:durableId="438722583">
    <w:abstractNumId w:val="4"/>
  </w:num>
  <w:num w:numId="12" w16cid:durableId="733702629">
    <w:abstractNumId w:val="17"/>
  </w:num>
  <w:num w:numId="13" w16cid:durableId="1573659240">
    <w:abstractNumId w:val="12"/>
  </w:num>
  <w:num w:numId="14" w16cid:durableId="2092192635">
    <w:abstractNumId w:val="18"/>
  </w:num>
  <w:num w:numId="15" w16cid:durableId="1115637783">
    <w:abstractNumId w:val="20"/>
  </w:num>
  <w:num w:numId="16" w16cid:durableId="635987207">
    <w:abstractNumId w:val="19"/>
  </w:num>
  <w:num w:numId="17" w16cid:durableId="1476411020">
    <w:abstractNumId w:val="11"/>
  </w:num>
  <w:num w:numId="18" w16cid:durableId="2106877164">
    <w:abstractNumId w:val="12"/>
    <w:lvlOverride w:ilvl="0">
      <w:startOverride w:val="1"/>
    </w:lvlOverride>
  </w:num>
  <w:num w:numId="19" w16cid:durableId="1650403514">
    <w:abstractNumId w:val="16"/>
  </w:num>
  <w:num w:numId="20" w16cid:durableId="536504040">
    <w:abstractNumId w:val="15"/>
  </w:num>
  <w:num w:numId="21" w16cid:durableId="518815501">
    <w:abstractNumId w:val="14"/>
  </w:num>
  <w:num w:numId="22" w16cid:durableId="2995308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autoFormatOverride/>
  <w:styleLockTheme/>
  <w:styleLockQFSet/>
  <w:defaultTabStop w:val="708"/>
  <w:hyphenationZone w:val="283"/>
  <w:clickAndTypeStyle w:val="CETBodytext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0NzezsDA3M7MwMTJW0lEKTi0uzszPAymwrAUAugS3IywAAAA="/>
  </w:docVars>
  <w:rsids>
    <w:rsidRoot w:val="000E414A"/>
    <w:rsid w:val="000027C0"/>
    <w:rsid w:val="0000356E"/>
    <w:rsid w:val="000052FB"/>
    <w:rsid w:val="000056FA"/>
    <w:rsid w:val="0000685D"/>
    <w:rsid w:val="000117CB"/>
    <w:rsid w:val="00015127"/>
    <w:rsid w:val="000245E7"/>
    <w:rsid w:val="000275A4"/>
    <w:rsid w:val="0003148D"/>
    <w:rsid w:val="00031EEC"/>
    <w:rsid w:val="00032805"/>
    <w:rsid w:val="00036066"/>
    <w:rsid w:val="00050738"/>
    <w:rsid w:val="00051566"/>
    <w:rsid w:val="00054442"/>
    <w:rsid w:val="00054942"/>
    <w:rsid w:val="00054FA2"/>
    <w:rsid w:val="00062A9A"/>
    <w:rsid w:val="00063607"/>
    <w:rsid w:val="00065058"/>
    <w:rsid w:val="00066346"/>
    <w:rsid w:val="00086C39"/>
    <w:rsid w:val="00095E92"/>
    <w:rsid w:val="00097323"/>
    <w:rsid w:val="00097822"/>
    <w:rsid w:val="000A03B2"/>
    <w:rsid w:val="000A3CD9"/>
    <w:rsid w:val="000B0E2F"/>
    <w:rsid w:val="000B6330"/>
    <w:rsid w:val="000C3FB4"/>
    <w:rsid w:val="000D0268"/>
    <w:rsid w:val="000D20A4"/>
    <w:rsid w:val="000D34BE"/>
    <w:rsid w:val="000D409C"/>
    <w:rsid w:val="000E102F"/>
    <w:rsid w:val="000E36F1"/>
    <w:rsid w:val="000E3A73"/>
    <w:rsid w:val="000E414A"/>
    <w:rsid w:val="000E4DD9"/>
    <w:rsid w:val="000F093C"/>
    <w:rsid w:val="000F16ED"/>
    <w:rsid w:val="000F787B"/>
    <w:rsid w:val="000F7CDD"/>
    <w:rsid w:val="00101560"/>
    <w:rsid w:val="00104578"/>
    <w:rsid w:val="00104918"/>
    <w:rsid w:val="00106B28"/>
    <w:rsid w:val="00116D2A"/>
    <w:rsid w:val="00117408"/>
    <w:rsid w:val="00117C00"/>
    <w:rsid w:val="0012091F"/>
    <w:rsid w:val="00121531"/>
    <w:rsid w:val="001221E1"/>
    <w:rsid w:val="00123260"/>
    <w:rsid w:val="0012513D"/>
    <w:rsid w:val="00126BC2"/>
    <w:rsid w:val="00127780"/>
    <w:rsid w:val="001308B6"/>
    <w:rsid w:val="0013121F"/>
    <w:rsid w:val="00131FE6"/>
    <w:rsid w:val="0013263F"/>
    <w:rsid w:val="001331DF"/>
    <w:rsid w:val="00134A40"/>
    <w:rsid w:val="00134DE4"/>
    <w:rsid w:val="0014034D"/>
    <w:rsid w:val="00143088"/>
    <w:rsid w:val="00144D16"/>
    <w:rsid w:val="00147FF8"/>
    <w:rsid w:val="00150E59"/>
    <w:rsid w:val="00152DE3"/>
    <w:rsid w:val="00156367"/>
    <w:rsid w:val="00164CF9"/>
    <w:rsid w:val="001667A6"/>
    <w:rsid w:val="00170292"/>
    <w:rsid w:val="00171250"/>
    <w:rsid w:val="001725F3"/>
    <w:rsid w:val="001829AE"/>
    <w:rsid w:val="00184AD6"/>
    <w:rsid w:val="0019071D"/>
    <w:rsid w:val="0019657C"/>
    <w:rsid w:val="001A0CDC"/>
    <w:rsid w:val="001A2AF6"/>
    <w:rsid w:val="001A4609"/>
    <w:rsid w:val="001A4AF7"/>
    <w:rsid w:val="001A5B84"/>
    <w:rsid w:val="001A6051"/>
    <w:rsid w:val="001A64EE"/>
    <w:rsid w:val="001B0349"/>
    <w:rsid w:val="001B1E93"/>
    <w:rsid w:val="001B2A4B"/>
    <w:rsid w:val="001B65C1"/>
    <w:rsid w:val="001C26D7"/>
    <w:rsid w:val="001C623D"/>
    <w:rsid w:val="001C684B"/>
    <w:rsid w:val="001D0CFB"/>
    <w:rsid w:val="001D14CD"/>
    <w:rsid w:val="001D1B82"/>
    <w:rsid w:val="001D53FC"/>
    <w:rsid w:val="001D6CBD"/>
    <w:rsid w:val="001E268F"/>
    <w:rsid w:val="001E28D5"/>
    <w:rsid w:val="001E3C8A"/>
    <w:rsid w:val="001E6696"/>
    <w:rsid w:val="001F1C9B"/>
    <w:rsid w:val="001F42A5"/>
    <w:rsid w:val="001F65E2"/>
    <w:rsid w:val="001F7B9D"/>
    <w:rsid w:val="00201C93"/>
    <w:rsid w:val="002025EE"/>
    <w:rsid w:val="0020499D"/>
    <w:rsid w:val="00217442"/>
    <w:rsid w:val="002224B4"/>
    <w:rsid w:val="00234074"/>
    <w:rsid w:val="002407F6"/>
    <w:rsid w:val="00240AA8"/>
    <w:rsid w:val="00240BBC"/>
    <w:rsid w:val="00241E2B"/>
    <w:rsid w:val="002447EF"/>
    <w:rsid w:val="00251550"/>
    <w:rsid w:val="0025736C"/>
    <w:rsid w:val="0026078E"/>
    <w:rsid w:val="002631B5"/>
    <w:rsid w:val="00263B05"/>
    <w:rsid w:val="0027221A"/>
    <w:rsid w:val="00273714"/>
    <w:rsid w:val="00273D85"/>
    <w:rsid w:val="00275B61"/>
    <w:rsid w:val="00275EB4"/>
    <w:rsid w:val="002804FF"/>
    <w:rsid w:val="00280FAF"/>
    <w:rsid w:val="00282656"/>
    <w:rsid w:val="00282AD2"/>
    <w:rsid w:val="002837B8"/>
    <w:rsid w:val="0029131D"/>
    <w:rsid w:val="00293830"/>
    <w:rsid w:val="00296429"/>
    <w:rsid w:val="00296B83"/>
    <w:rsid w:val="00296CFB"/>
    <w:rsid w:val="002A63DC"/>
    <w:rsid w:val="002A7E18"/>
    <w:rsid w:val="002B170B"/>
    <w:rsid w:val="002B3456"/>
    <w:rsid w:val="002B4015"/>
    <w:rsid w:val="002B4A1A"/>
    <w:rsid w:val="002B5C65"/>
    <w:rsid w:val="002B6DDF"/>
    <w:rsid w:val="002B77FD"/>
    <w:rsid w:val="002B78CE"/>
    <w:rsid w:val="002C2FB6"/>
    <w:rsid w:val="002E01E6"/>
    <w:rsid w:val="002E12AE"/>
    <w:rsid w:val="002E1822"/>
    <w:rsid w:val="002E5FA7"/>
    <w:rsid w:val="002E70DF"/>
    <w:rsid w:val="002F0F4B"/>
    <w:rsid w:val="002F2831"/>
    <w:rsid w:val="002F3309"/>
    <w:rsid w:val="003008CE"/>
    <w:rsid w:val="003009B7"/>
    <w:rsid w:val="00300E56"/>
    <w:rsid w:val="0030469C"/>
    <w:rsid w:val="00305028"/>
    <w:rsid w:val="00315191"/>
    <w:rsid w:val="00315E41"/>
    <w:rsid w:val="00316816"/>
    <w:rsid w:val="00317A9F"/>
    <w:rsid w:val="00321CA6"/>
    <w:rsid w:val="00323763"/>
    <w:rsid w:val="00326501"/>
    <w:rsid w:val="00334C09"/>
    <w:rsid w:val="003363B3"/>
    <w:rsid w:val="00337B26"/>
    <w:rsid w:val="00340A30"/>
    <w:rsid w:val="003435B1"/>
    <w:rsid w:val="00357E42"/>
    <w:rsid w:val="00361F9F"/>
    <w:rsid w:val="00365B60"/>
    <w:rsid w:val="003662E4"/>
    <w:rsid w:val="003723D4"/>
    <w:rsid w:val="00373DE8"/>
    <w:rsid w:val="0037653C"/>
    <w:rsid w:val="00377805"/>
    <w:rsid w:val="00381081"/>
    <w:rsid w:val="00381905"/>
    <w:rsid w:val="00384CC8"/>
    <w:rsid w:val="003871FD"/>
    <w:rsid w:val="00392ADC"/>
    <w:rsid w:val="00397D6B"/>
    <w:rsid w:val="003A1386"/>
    <w:rsid w:val="003A1E30"/>
    <w:rsid w:val="003A2829"/>
    <w:rsid w:val="003A7AEC"/>
    <w:rsid w:val="003A7C4B"/>
    <w:rsid w:val="003A7D1C"/>
    <w:rsid w:val="003B092F"/>
    <w:rsid w:val="003B304B"/>
    <w:rsid w:val="003B3146"/>
    <w:rsid w:val="003B3ADC"/>
    <w:rsid w:val="003B5B4B"/>
    <w:rsid w:val="003B776E"/>
    <w:rsid w:val="003C120E"/>
    <w:rsid w:val="003D087A"/>
    <w:rsid w:val="003D4E66"/>
    <w:rsid w:val="003E74C6"/>
    <w:rsid w:val="003F015E"/>
    <w:rsid w:val="003F7334"/>
    <w:rsid w:val="00400414"/>
    <w:rsid w:val="00406639"/>
    <w:rsid w:val="0041446B"/>
    <w:rsid w:val="004144B2"/>
    <w:rsid w:val="00415B48"/>
    <w:rsid w:val="004169BC"/>
    <w:rsid w:val="00425107"/>
    <w:rsid w:val="004254C2"/>
    <w:rsid w:val="00430FD7"/>
    <w:rsid w:val="00433ABF"/>
    <w:rsid w:val="00441815"/>
    <w:rsid w:val="00442748"/>
    <w:rsid w:val="00442F7D"/>
    <w:rsid w:val="0044329C"/>
    <w:rsid w:val="004432F7"/>
    <w:rsid w:val="00450E44"/>
    <w:rsid w:val="00453629"/>
    <w:rsid w:val="00453E24"/>
    <w:rsid w:val="00457456"/>
    <w:rsid w:val="004577FE"/>
    <w:rsid w:val="00457B9C"/>
    <w:rsid w:val="0046164A"/>
    <w:rsid w:val="004628D2"/>
    <w:rsid w:val="00462DCD"/>
    <w:rsid w:val="00462FD0"/>
    <w:rsid w:val="004648AD"/>
    <w:rsid w:val="004703A9"/>
    <w:rsid w:val="004760DE"/>
    <w:rsid w:val="004763D7"/>
    <w:rsid w:val="00481F49"/>
    <w:rsid w:val="00482804"/>
    <w:rsid w:val="00485A97"/>
    <w:rsid w:val="00490025"/>
    <w:rsid w:val="004A004E"/>
    <w:rsid w:val="004A24CF"/>
    <w:rsid w:val="004A305E"/>
    <w:rsid w:val="004A5978"/>
    <w:rsid w:val="004A6F69"/>
    <w:rsid w:val="004B10EE"/>
    <w:rsid w:val="004B46E5"/>
    <w:rsid w:val="004C18CC"/>
    <w:rsid w:val="004C25FF"/>
    <w:rsid w:val="004C3D1D"/>
    <w:rsid w:val="004C7913"/>
    <w:rsid w:val="004D3EED"/>
    <w:rsid w:val="004D7590"/>
    <w:rsid w:val="004E28F4"/>
    <w:rsid w:val="004E46E4"/>
    <w:rsid w:val="004E4DD6"/>
    <w:rsid w:val="004F56DE"/>
    <w:rsid w:val="004F5E36"/>
    <w:rsid w:val="004F63A1"/>
    <w:rsid w:val="005021F6"/>
    <w:rsid w:val="00507B47"/>
    <w:rsid w:val="00507BEF"/>
    <w:rsid w:val="00507CC9"/>
    <w:rsid w:val="0051088E"/>
    <w:rsid w:val="005109B4"/>
    <w:rsid w:val="005119A5"/>
    <w:rsid w:val="00514ABE"/>
    <w:rsid w:val="00515D20"/>
    <w:rsid w:val="00521741"/>
    <w:rsid w:val="00523CEF"/>
    <w:rsid w:val="005278B7"/>
    <w:rsid w:val="00532016"/>
    <w:rsid w:val="005339D8"/>
    <w:rsid w:val="005346C8"/>
    <w:rsid w:val="00543E7D"/>
    <w:rsid w:val="00544D85"/>
    <w:rsid w:val="00547A68"/>
    <w:rsid w:val="005531C9"/>
    <w:rsid w:val="005569C6"/>
    <w:rsid w:val="00570C43"/>
    <w:rsid w:val="00580FFC"/>
    <w:rsid w:val="00581FE4"/>
    <w:rsid w:val="00584FEE"/>
    <w:rsid w:val="005A07AE"/>
    <w:rsid w:val="005A5CB7"/>
    <w:rsid w:val="005B12AD"/>
    <w:rsid w:val="005B2110"/>
    <w:rsid w:val="005B35D5"/>
    <w:rsid w:val="005B4EC4"/>
    <w:rsid w:val="005B56EB"/>
    <w:rsid w:val="005B61E6"/>
    <w:rsid w:val="005C374B"/>
    <w:rsid w:val="005C694C"/>
    <w:rsid w:val="005C77E1"/>
    <w:rsid w:val="005D38CB"/>
    <w:rsid w:val="005D668A"/>
    <w:rsid w:val="005D6A2F"/>
    <w:rsid w:val="005E1A82"/>
    <w:rsid w:val="005E2520"/>
    <w:rsid w:val="005E459E"/>
    <w:rsid w:val="005E794C"/>
    <w:rsid w:val="005F0A28"/>
    <w:rsid w:val="005F0E5E"/>
    <w:rsid w:val="005F4661"/>
    <w:rsid w:val="005F73F2"/>
    <w:rsid w:val="00600535"/>
    <w:rsid w:val="00610CD6"/>
    <w:rsid w:val="00620DEE"/>
    <w:rsid w:val="00621F92"/>
    <w:rsid w:val="0062280A"/>
    <w:rsid w:val="00625639"/>
    <w:rsid w:val="00625F58"/>
    <w:rsid w:val="00631B33"/>
    <w:rsid w:val="006353EF"/>
    <w:rsid w:val="0063677E"/>
    <w:rsid w:val="00640C51"/>
    <w:rsid w:val="0064184D"/>
    <w:rsid w:val="006422CC"/>
    <w:rsid w:val="00660E3E"/>
    <w:rsid w:val="00662E74"/>
    <w:rsid w:val="00665323"/>
    <w:rsid w:val="006671CD"/>
    <w:rsid w:val="00680C23"/>
    <w:rsid w:val="00683A58"/>
    <w:rsid w:val="00687476"/>
    <w:rsid w:val="006924A7"/>
    <w:rsid w:val="00693766"/>
    <w:rsid w:val="00697621"/>
    <w:rsid w:val="006A0198"/>
    <w:rsid w:val="006A287F"/>
    <w:rsid w:val="006A3281"/>
    <w:rsid w:val="006A6AA6"/>
    <w:rsid w:val="006B38B5"/>
    <w:rsid w:val="006B4888"/>
    <w:rsid w:val="006B5B67"/>
    <w:rsid w:val="006B61B6"/>
    <w:rsid w:val="006C08AA"/>
    <w:rsid w:val="006C2E45"/>
    <w:rsid w:val="006C359C"/>
    <w:rsid w:val="006C45D0"/>
    <w:rsid w:val="006C5579"/>
    <w:rsid w:val="006C65C0"/>
    <w:rsid w:val="006C6714"/>
    <w:rsid w:val="006D0375"/>
    <w:rsid w:val="006D47DA"/>
    <w:rsid w:val="006D5759"/>
    <w:rsid w:val="006D68D1"/>
    <w:rsid w:val="006D6E8B"/>
    <w:rsid w:val="006E30EE"/>
    <w:rsid w:val="006E5932"/>
    <w:rsid w:val="006E737D"/>
    <w:rsid w:val="006F0F95"/>
    <w:rsid w:val="006F2BF0"/>
    <w:rsid w:val="006F6DDA"/>
    <w:rsid w:val="00702569"/>
    <w:rsid w:val="00702C0D"/>
    <w:rsid w:val="00705437"/>
    <w:rsid w:val="0070601A"/>
    <w:rsid w:val="00707E18"/>
    <w:rsid w:val="00713973"/>
    <w:rsid w:val="00715F27"/>
    <w:rsid w:val="0072070C"/>
    <w:rsid w:val="00720A24"/>
    <w:rsid w:val="007258E0"/>
    <w:rsid w:val="00732386"/>
    <w:rsid w:val="0073514D"/>
    <w:rsid w:val="0074121A"/>
    <w:rsid w:val="00742B21"/>
    <w:rsid w:val="00744401"/>
    <w:rsid w:val="007447F3"/>
    <w:rsid w:val="00744D84"/>
    <w:rsid w:val="0075499F"/>
    <w:rsid w:val="00756908"/>
    <w:rsid w:val="00761473"/>
    <w:rsid w:val="007661C8"/>
    <w:rsid w:val="0077098D"/>
    <w:rsid w:val="0077345B"/>
    <w:rsid w:val="00785F2E"/>
    <w:rsid w:val="0079041F"/>
    <w:rsid w:val="0079241F"/>
    <w:rsid w:val="007931FA"/>
    <w:rsid w:val="00797F91"/>
    <w:rsid w:val="007A4861"/>
    <w:rsid w:val="007A6857"/>
    <w:rsid w:val="007A7BBA"/>
    <w:rsid w:val="007B0C50"/>
    <w:rsid w:val="007B4623"/>
    <w:rsid w:val="007B48F9"/>
    <w:rsid w:val="007B7EC6"/>
    <w:rsid w:val="007C1A43"/>
    <w:rsid w:val="007C3C36"/>
    <w:rsid w:val="007D4D07"/>
    <w:rsid w:val="007E2F61"/>
    <w:rsid w:val="007F06E8"/>
    <w:rsid w:val="007F508A"/>
    <w:rsid w:val="007F5A79"/>
    <w:rsid w:val="0080013E"/>
    <w:rsid w:val="008104A0"/>
    <w:rsid w:val="0081223D"/>
    <w:rsid w:val="00813288"/>
    <w:rsid w:val="008135D2"/>
    <w:rsid w:val="0081575A"/>
    <w:rsid w:val="008168FC"/>
    <w:rsid w:val="00817A96"/>
    <w:rsid w:val="00823607"/>
    <w:rsid w:val="00825DD9"/>
    <w:rsid w:val="00830996"/>
    <w:rsid w:val="008345F1"/>
    <w:rsid w:val="00836952"/>
    <w:rsid w:val="00840038"/>
    <w:rsid w:val="008578B9"/>
    <w:rsid w:val="00861B38"/>
    <w:rsid w:val="0086318C"/>
    <w:rsid w:val="008652EE"/>
    <w:rsid w:val="00865B07"/>
    <w:rsid w:val="008667EA"/>
    <w:rsid w:val="00874B82"/>
    <w:rsid w:val="0087637F"/>
    <w:rsid w:val="00876AF5"/>
    <w:rsid w:val="00880A43"/>
    <w:rsid w:val="00880B81"/>
    <w:rsid w:val="00884863"/>
    <w:rsid w:val="00890B40"/>
    <w:rsid w:val="00892AD5"/>
    <w:rsid w:val="00897521"/>
    <w:rsid w:val="008A1512"/>
    <w:rsid w:val="008A25A9"/>
    <w:rsid w:val="008A3453"/>
    <w:rsid w:val="008A48DF"/>
    <w:rsid w:val="008A545C"/>
    <w:rsid w:val="008A7D29"/>
    <w:rsid w:val="008B29EC"/>
    <w:rsid w:val="008B76B3"/>
    <w:rsid w:val="008B78EA"/>
    <w:rsid w:val="008C15F4"/>
    <w:rsid w:val="008C3224"/>
    <w:rsid w:val="008D185F"/>
    <w:rsid w:val="008D2379"/>
    <w:rsid w:val="008D32B9"/>
    <w:rsid w:val="008D433B"/>
    <w:rsid w:val="008E126E"/>
    <w:rsid w:val="008E566E"/>
    <w:rsid w:val="008E7A93"/>
    <w:rsid w:val="008F0996"/>
    <w:rsid w:val="008F1A33"/>
    <w:rsid w:val="008F21E2"/>
    <w:rsid w:val="00900B79"/>
    <w:rsid w:val="0090161A"/>
    <w:rsid w:val="00901EB6"/>
    <w:rsid w:val="00902238"/>
    <w:rsid w:val="00903EBB"/>
    <w:rsid w:val="00904C62"/>
    <w:rsid w:val="00905DED"/>
    <w:rsid w:val="009070A0"/>
    <w:rsid w:val="00913F95"/>
    <w:rsid w:val="00916112"/>
    <w:rsid w:val="009167A5"/>
    <w:rsid w:val="00922BA8"/>
    <w:rsid w:val="00924DAC"/>
    <w:rsid w:val="00926234"/>
    <w:rsid w:val="00927058"/>
    <w:rsid w:val="00941E8E"/>
    <w:rsid w:val="00942750"/>
    <w:rsid w:val="009450CE"/>
    <w:rsid w:val="00947179"/>
    <w:rsid w:val="00950258"/>
    <w:rsid w:val="0095164B"/>
    <w:rsid w:val="00954090"/>
    <w:rsid w:val="00957073"/>
    <w:rsid w:val="009573E7"/>
    <w:rsid w:val="00961E65"/>
    <w:rsid w:val="00963089"/>
    <w:rsid w:val="00963E05"/>
    <w:rsid w:val="00967843"/>
    <w:rsid w:val="00967D54"/>
    <w:rsid w:val="00971028"/>
    <w:rsid w:val="00971891"/>
    <w:rsid w:val="009741C0"/>
    <w:rsid w:val="009850FD"/>
    <w:rsid w:val="00986018"/>
    <w:rsid w:val="00993B84"/>
    <w:rsid w:val="00995E69"/>
    <w:rsid w:val="00996483"/>
    <w:rsid w:val="00996F5A"/>
    <w:rsid w:val="00997A50"/>
    <w:rsid w:val="009A2BD7"/>
    <w:rsid w:val="009A3626"/>
    <w:rsid w:val="009A3DD2"/>
    <w:rsid w:val="009A43E9"/>
    <w:rsid w:val="009B041A"/>
    <w:rsid w:val="009B7476"/>
    <w:rsid w:val="009C37C3"/>
    <w:rsid w:val="009C3F8F"/>
    <w:rsid w:val="009C7C86"/>
    <w:rsid w:val="009D02AB"/>
    <w:rsid w:val="009D02BB"/>
    <w:rsid w:val="009D0CA6"/>
    <w:rsid w:val="009D23F6"/>
    <w:rsid w:val="009D2FF7"/>
    <w:rsid w:val="009E263E"/>
    <w:rsid w:val="009E318C"/>
    <w:rsid w:val="009E4660"/>
    <w:rsid w:val="009E7884"/>
    <w:rsid w:val="009E788A"/>
    <w:rsid w:val="009E7C2F"/>
    <w:rsid w:val="009F0E08"/>
    <w:rsid w:val="009F5DF2"/>
    <w:rsid w:val="009F6B6D"/>
    <w:rsid w:val="009F6F1D"/>
    <w:rsid w:val="00A0005D"/>
    <w:rsid w:val="00A00BD1"/>
    <w:rsid w:val="00A03699"/>
    <w:rsid w:val="00A1763D"/>
    <w:rsid w:val="00A17CEC"/>
    <w:rsid w:val="00A27EF0"/>
    <w:rsid w:val="00A34485"/>
    <w:rsid w:val="00A42361"/>
    <w:rsid w:val="00A476E0"/>
    <w:rsid w:val="00A50B20"/>
    <w:rsid w:val="00A51390"/>
    <w:rsid w:val="00A573A0"/>
    <w:rsid w:val="00A57C34"/>
    <w:rsid w:val="00A60D13"/>
    <w:rsid w:val="00A60D53"/>
    <w:rsid w:val="00A6716C"/>
    <w:rsid w:val="00A6733C"/>
    <w:rsid w:val="00A70603"/>
    <w:rsid w:val="00A72745"/>
    <w:rsid w:val="00A75B3E"/>
    <w:rsid w:val="00A76EFC"/>
    <w:rsid w:val="00A8117A"/>
    <w:rsid w:val="00A91010"/>
    <w:rsid w:val="00A91476"/>
    <w:rsid w:val="00A93E18"/>
    <w:rsid w:val="00A97F29"/>
    <w:rsid w:val="00AA115B"/>
    <w:rsid w:val="00AA1D6F"/>
    <w:rsid w:val="00AA702E"/>
    <w:rsid w:val="00AB0964"/>
    <w:rsid w:val="00AB1C02"/>
    <w:rsid w:val="00AB5011"/>
    <w:rsid w:val="00AC5A08"/>
    <w:rsid w:val="00AC7368"/>
    <w:rsid w:val="00AD16B9"/>
    <w:rsid w:val="00AD304C"/>
    <w:rsid w:val="00AE377D"/>
    <w:rsid w:val="00AF0EBA"/>
    <w:rsid w:val="00B01451"/>
    <w:rsid w:val="00B02C8A"/>
    <w:rsid w:val="00B057E2"/>
    <w:rsid w:val="00B17FBD"/>
    <w:rsid w:val="00B228D1"/>
    <w:rsid w:val="00B26A69"/>
    <w:rsid w:val="00B3077D"/>
    <w:rsid w:val="00B315A6"/>
    <w:rsid w:val="00B31813"/>
    <w:rsid w:val="00B33365"/>
    <w:rsid w:val="00B37347"/>
    <w:rsid w:val="00B50DCA"/>
    <w:rsid w:val="00B57B36"/>
    <w:rsid w:val="00B57E6F"/>
    <w:rsid w:val="00B607DD"/>
    <w:rsid w:val="00B64A07"/>
    <w:rsid w:val="00B70330"/>
    <w:rsid w:val="00B72296"/>
    <w:rsid w:val="00B80542"/>
    <w:rsid w:val="00B828A0"/>
    <w:rsid w:val="00B84245"/>
    <w:rsid w:val="00B8686D"/>
    <w:rsid w:val="00B93F69"/>
    <w:rsid w:val="00BA5511"/>
    <w:rsid w:val="00BA736B"/>
    <w:rsid w:val="00BB014D"/>
    <w:rsid w:val="00BB0F8E"/>
    <w:rsid w:val="00BB1DDC"/>
    <w:rsid w:val="00BB3847"/>
    <w:rsid w:val="00BB5297"/>
    <w:rsid w:val="00BB5F7B"/>
    <w:rsid w:val="00BC30C9"/>
    <w:rsid w:val="00BD077D"/>
    <w:rsid w:val="00BD4D4B"/>
    <w:rsid w:val="00BE04BC"/>
    <w:rsid w:val="00BE3E58"/>
    <w:rsid w:val="00BE48B4"/>
    <w:rsid w:val="00BE6F16"/>
    <w:rsid w:val="00BF3706"/>
    <w:rsid w:val="00C003D4"/>
    <w:rsid w:val="00C01616"/>
    <w:rsid w:val="00C0162B"/>
    <w:rsid w:val="00C068ED"/>
    <w:rsid w:val="00C17975"/>
    <w:rsid w:val="00C208A1"/>
    <w:rsid w:val="00C21407"/>
    <w:rsid w:val="00C22E0C"/>
    <w:rsid w:val="00C24675"/>
    <w:rsid w:val="00C27A21"/>
    <w:rsid w:val="00C30CDD"/>
    <w:rsid w:val="00C345B1"/>
    <w:rsid w:val="00C37133"/>
    <w:rsid w:val="00C40142"/>
    <w:rsid w:val="00C52C3C"/>
    <w:rsid w:val="00C53A3F"/>
    <w:rsid w:val="00C53F4C"/>
    <w:rsid w:val="00C56551"/>
    <w:rsid w:val="00C57182"/>
    <w:rsid w:val="00C57863"/>
    <w:rsid w:val="00C655FD"/>
    <w:rsid w:val="00C71424"/>
    <w:rsid w:val="00C75407"/>
    <w:rsid w:val="00C76178"/>
    <w:rsid w:val="00C77AA9"/>
    <w:rsid w:val="00C85B94"/>
    <w:rsid w:val="00C870A8"/>
    <w:rsid w:val="00C875A0"/>
    <w:rsid w:val="00C91B4E"/>
    <w:rsid w:val="00C94434"/>
    <w:rsid w:val="00CA0D75"/>
    <w:rsid w:val="00CA1C95"/>
    <w:rsid w:val="00CA2004"/>
    <w:rsid w:val="00CA39EE"/>
    <w:rsid w:val="00CA3E3D"/>
    <w:rsid w:val="00CA4967"/>
    <w:rsid w:val="00CA5A9C"/>
    <w:rsid w:val="00CB126E"/>
    <w:rsid w:val="00CB255D"/>
    <w:rsid w:val="00CB2898"/>
    <w:rsid w:val="00CB3A50"/>
    <w:rsid w:val="00CC4C20"/>
    <w:rsid w:val="00CD3517"/>
    <w:rsid w:val="00CD5FE2"/>
    <w:rsid w:val="00CE01BE"/>
    <w:rsid w:val="00CE2A4D"/>
    <w:rsid w:val="00CE6EF6"/>
    <w:rsid w:val="00CE7C68"/>
    <w:rsid w:val="00CF3D8A"/>
    <w:rsid w:val="00CF6E40"/>
    <w:rsid w:val="00D01F8F"/>
    <w:rsid w:val="00D02B4C"/>
    <w:rsid w:val="00D040C4"/>
    <w:rsid w:val="00D16981"/>
    <w:rsid w:val="00D207F3"/>
    <w:rsid w:val="00D43A7D"/>
    <w:rsid w:val="00D46B7E"/>
    <w:rsid w:val="00D50DF8"/>
    <w:rsid w:val="00D53DB8"/>
    <w:rsid w:val="00D55ABC"/>
    <w:rsid w:val="00D57C84"/>
    <w:rsid w:val="00D6057D"/>
    <w:rsid w:val="00D63617"/>
    <w:rsid w:val="00D7238B"/>
    <w:rsid w:val="00D75DF8"/>
    <w:rsid w:val="00D77FA9"/>
    <w:rsid w:val="00D81CB3"/>
    <w:rsid w:val="00D836C5"/>
    <w:rsid w:val="00D84576"/>
    <w:rsid w:val="00D969AA"/>
    <w:rsid w:val="00DA1399"/>
    <w:rsid w:val="00DA24C6"/>
    <w:rsid w:val="00DA4D7B"/>
    <w:rsid w:val="00DA4DA5"/>
    <w:rsid w:val="00DB2F48"/>
    <w:rsid w:val="00DB7A46"/>
    <w:rsid w:val="00DC195D"/>
    <w:rsid w:val="00DC379A"/>
    <w:rsid w:val="00DD4EE4"/>
    <w:rsid w:val="00DE0315"/>
    <w:rsid w:val="00DE264A"/>
    <w:rsid w:val="00DE2A82"/>
    <w:rsid w:val="00DF19A3"/>
    <w:rsid w:val="00DF4402"/>
    <w:rsid w:val="00DF5072"/>
    <w:rsid w:val="00DF625D"/>
    <w:rsid w:val="00E02D18"/>
    <w:rsid w:val="00E041E7"/>
    <w:rsid w:val="00E063AB"/>
    <w:rsid w:val="00E07070"/>
    <w:rsid w:val="00E148CA"/>
    <w:rsid w:val="00E17FA9"/>
    <w:rsid w:val="00E206BC"/>
    <w:rsid w:val="00E23CA1"/>
    <w:rsid w:val="00E27E21"/>
    <w:rsid w:val="00E333E0"/>
    <w:rsid w:val="00E35788"/>
    <w:rsid w:val="00E409A8"/>
    <w:rsid w:val="00E42A36"/>
    <w:rsid w:val="00E44DFB"/>
    <w:rsid w:val="00E50C12"/>
    <w:rsid w:val="00E5127C"/>
    <w:rsid w:val="00E558C5"/>
    <w:rsid w:val="00E650BA"/>
    <w:rsid w:val="00E65B91"/>
    <w:rsid w:val="00E668AA"/>
    <w:rsid w:val="00E71273"/>
    <w:rsid w:val="00E71349"/>
    <w:rsid w:val="00E7209D"/>
    <w:rsid w:val="00E7282A"/>
    <w:rsid w:val="00E72DB3"/>
    <w:rsid w:val="00E72EAD"/>
    <w:rsid w:val="00E7704C"/>
    <w:rsid w:val="00E77223"/>
    <w:rsid w:val="00E822FC"/>
    <w:rsid w:val="00E8528B"/>
    <w:rsid w:val="00E85B94"/>
    <w:rsid w:val="00E87E06"/>
    <w:rsid w:val="00E90717"/>
    <w:rsid w:val="00E924AC"/>
    <w:rsid w:val="00E930EC"/>
    <w:rsid w:val="00E970A7"/>
    <w:rsid w:val="00E978D0"/>
    <w:rsid w:val="00E97ECB"/>
    <w:rsid w:val="00EA1883"/>
    <w:rsid w:val="00EA3ADA"/>
    <w:rsid w:val="00EA4613"/>
    <w:rsid w:val="00EA5FCE"/>
    <w:rsid w:val="00EA7F91"/>
    <w:rsid w:val="00EB1523"/>
    <w:rsid w:val="00EB64C0"/>
    <w:rsid w:val="00EC0E49"/>
    <w:rsid w:val="00EC101F"/>
    <w:rsid w:val="00EC193C"/>
    <w:rsid w:val="00EC1D9F"/>
    <w:rsid w:val="00EC3B36"/>
    <w:rsid w:val="00ED242D"/>
    <w:rsid w:val="00ED5A46"/>
    <w:rsid w:val="00EE0131"/>
    <w:rsid w:val="00EE17B0"/>
    <w:rsid w:val="00EF06D9"/>
    <w:rsid w:val="00EF4CDB"/>
    <w:rsid w:val="00F04A56"/>
    <w:rsid w:val="00F1260A"/>
    <w:rsid w:val="00F21960"/>
    <w:rsid w:val="00F2462E"/>
    <w:rsid w:val="00F277E6"/>
    <w:rsid w:val="00F30C64"/>
    <w:rsid w:val="00F32BA2"/>
    <w:rsid w:val="00F32CDB"/>
    <w:rsid w:val="00F360C8"/>
    <w:rsid w:val="00F400B9"/>
    <w:rsid w:val="00F5080F"/>
    <w:rsid w:val="00F565FE"/>
    <w:rsid w:val="00F619B6"/>
    <w:rsid w:val="00F63A70"/>
    <w:rsid w:val="00F67631"/>
    <w:rsid w:val="00F7157E"/>
    <w:rsid w:val="00F73581"/>
    <w:rsid w:val="00F7534E"/>
    <w:rsid w:val="00F75910"/>
    <w:rsid w:val="00F83C94"/>
    <w:rsid w:val="00F871FC"/>
    <w:rsid w:val="00F924F7"/>
    <w:rsid w:val="00F957CA"/>
    <w:rsid w:val="00FA21D0"/>
    <w:rsid w:val="00FA5BCB"/>
    <w:rsid w:val="00FA5F53"/>
    <w:rsid w:val="00FA5F5F"/>
    <w:rsid w:val="00FA6812"/>
    <w:rsid w:val="00FB415B"/>
    <w:rsid w:val="00FB730C"/>
    <w:rsid w:val="00FC2695"/>
    <w:rsid w:val="00FC3E03"/>
    <w:rsid w:val="00FC3FC1"/>
    <w:rsid w:val="00FC48D8"/>
    <w:rsid w:val="00FC4C3F"/>
    <w:rsid w:val="00FD0CE5"/>
    <w:rsid w:val="00FD4165"/>
    <w:rsid w:val="00FD573A"/>
    <w:rsid w:val="00FD5EE3"/>
    <w:rsid w:val="00FD6B2D"/>
    <w:rsid w:val="00FE43A7"/>
    <w:rsid w:val="00FE7F9E"/>
    <w:rsid w:val="00FF4164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E0CC22"/>
  <w14:defaultImageDpi w14:val="330"/>
  <w15:docId w15:val="{DE5B9DFA-7F9F-497B-A0F7-CB1436FA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744401"/>
    <w:pPr>
      <w:keepNext/>
      <w:suppressAutoHyphens/>
      <w:spacing w:before="120" w:after="120" w:line="240" w:lineRule="auto"/>
      <w:jc w:val="both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F7534E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744401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F7534E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4577FE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CETReferencetext"/>
    <w:uiPriority w:val="37"/>
    <w:unhideWhenUsed/>
    <w:rsid w:val="00631B33"/>
    <w:pPr>
      <w:tabs>
        <w:tab w:val="left" w:pos="384"/>
      </w:tabs>
      <w:spacing w:line="240" w:lineRule="auto"/>
      <w:ind w:left="384" w:hanging="384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unhideWhenUs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B57B36"/>
    <w:pPr>
      <w:numPr>
        <w:numId w:val="15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Carpredefinitoparagrafo"/>
    <w:rsid w:val="00904C62"/>
  </w:style>
  <w:style w:type="paragraph" w:customStyle="1" w:styleId="CETListbullets">
    <w:name w:val="CET List bullets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0F787B"/>
  </w:style>
  <w:style w:type="character" w:customStyle="1" w:styleId="CETHeadingxxChar">
    <w:name w:val="CET Headingxx Char"/>
    <w:basedOn w:val="CETheadingxCarattere"/>
    <w:link w:val="CETHeadingxx"/>
    <w:rsid w:val="000F787B"/>
    <w:rPr>
      <w:rFonts w:ascii="Arial" w:eastAsia="Times New Roman" w:hAnsi="Arial" w:cs="Times New Roman"/>
      <w:b/>
      <w:sz w:val="18"/>
      <w:szCs w:val="20"/>
      <w:lang w:val="en-US"/>
    </w:rPr>
  </w:style>
  <w:style w:type="paragraph" w:styleId="Paragrafoelenco">
    <w:name w:val="List Paragraph"/>
    <w:basedOn w:val="Normale"/>
    <w:uiPriority w:val="34"/>
    <w:rsid w:val="00280FAF"/>
    <w:pPr>
      <w:ind w:left="720"/>
      <w:contextualSpacing/>
    </w:pPr>
  </w:style>
  <w:style w:type="paragraph" w:styleId="Revisione">
    <w:name w:val="Revision"/>
    <w:hidden/>
    <w:uiPriority w:val="99"/>
    <w:semiHidden/>
    <w:rsid w:val="00442F7D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00F71-191D-47BC-A8C1-3D0E84510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3669</Words>
  <Characters>20917</Characters>
  <Application>Microsoft Office Word</Application>
  <DocSecurity>0</DocSecurity>
  <Lines>174</Lines>
  <Paragraphs>49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24537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Sofia Ubaldi</cp:lastModifiedBy>
  <cp:revision>74</cp:revision>
  <cp:lastPrinted>2015-05-12T18:31:00Z</cp:lastPrinted>
  <dcterms:created xsi:type="dcterms:W3CDTF">2024-05-02T15:07:00Z</dcterms:created>
  <dcterms:modified xsi:type="dcterms:W3CDTF">2024-07-02T11:08:00Z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zotero-version="6.0.30"&gt;&lt;session id="UGDY7ijQ"/&gt;&lt;style id="http://www.zotero.org/styles/ieee" locale="en-US" hasBibliography="1" bibliographyStyleHasBeenSet="1"/&gt;&lt;prefs&gt;&lt;pref name="fieldType" value="Field"/&gt;&lt;pref name="storeReferenc</vt:lpwstr>
  </property>
  <property fmtid="{D5CDD505-2E9C-101B-9397-08002B2CF9AE}" pid="3" name="ZOTERO_PREF_2">
    <vt:lpwstr>es" value="true"/&gt;&lt;/prefs&gt;&lt;/data&gt;</vt:lpwstr>
  </property>
</Properties>
</file>