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6C4900">
          <w:type w:val="continuous"/>
          <w:pgSz w:w="11906" w:h="16838" w:code="9"/>
          <w:pgMar w:top="1701" w:right="1418" w:bottom="1701" w:left="1701" w:header="1701" w:footer="0" w:gutter="0"/>
          <w:cols w:space="708"/>
          <w:titlePg/>
          <w:docGrid w:linePitch="360"/>
        </w:sectPr>
      </w:pPr>
    </w:p>
    <w:p w14:paraId="2E667253" w14:textId="460A099C" w:rsidR="00E978D0" w:rsidRPr="00665323" w:rsidRDefault="00375063" w:rsidP="00665323">
      <w:pPr>
        <w:pStyle w:val="CETTitle"/>
      </w:pPr>
      <w:r w:rsidRPr="00375063">
        <w:t xml:space="preserve">Critical </w:t>
      </w:r>
      <w:r w:rsidR="00050697" w:rsidRPr="00375063">
        <w:t xml:space="preserve">Cybersecurity Scenarios </w:t>
      </w:r>
      <w:r w:rsidR="00050697">
        <w:t>i</w:t>
      </w:r>
      <w:r w:rsidR="00050697" w:rsidRPr="00375063">
        <w:t>n Drinking Water Treatment Plants</w:t>
      </w:r>
    </w:p>
    <w:p w14:paraId="0488FED2" w14:textId="0A97E15F" w:rsidR="00B57E6F" w:rsidRPr="00050697" w:rsidRDefault="00050697" w:rsidP="00B57E6F">
      <w:pPr>
        <w:pStyle w:val="CETAuthors"/>
        <w:rPr>
          <w:lang w:val="it-IT"/>
        </w:rPr>
      </w:pPr>
      <w:r w:rsidRPr="00050697">
        <w:rPr>
          <w:lang w:val="it-IT"/>
        </w:rPr>
        <w:t>Matteo Iaiani</w:t>
      </w:r>
      <w:r w:rsidR="00B57E6F" w:rsidRPr="00050697">
        <w:rPr>
          <w:vertAlign w:val="superscript"/>
          <w:lang w:val="it-IT"/>
        </w:rPr>
        <w:t>a</w:t>
      </w:r>
      <w:r w:rsidR="00E4566E">
        <w:rPr>
          <w:vertAlign w:val="superscript"/>
          <w:lang w:val="it-IT"/>
        </w:rPr>
        <w:t>,*</w:t>
      </w:r>
      <w:r w:rsidR="00B57E6F" w:rsidRPr="00050697">
        <w:rPr>
          <w:lang w:val="it-IT"/>
        </w:rPr>
        <w:t xml:space="preserve">, </w:t>
      </w:r>
      <w:r w:rsidRPr="00050697">
        <w:rPr>
          <w:lang w:val="it-IT"/>
        </w:rPr>
        <w:t>Alessandro Tugnoli</w:t>
      </w:r>
      <w:r w:rsidR="000275F2" w:rsidRPr="00050697">
        <w:rPr>
          <w:vertAlign w:val="superscript"/>
          <w:lang w:val="it-IT"/>
        </w:rPr>
        <w:t>a</w:t>
      </w:r>
      <w:r w:rsidRPr="00050697">
        <w:rPr>
          <w:lang w:val="it-IT"/>
        </w:rPr>
        <w:t>, V</w:t>
      </w:r>
      <w:r>
        <w:rPr>
          <w:lang w:val="it-IT"/>
        </w:rPr>
        <w:t>alerio Cozzani</w:t>
      </w:r>
      <w:r w:rsidR="000275F2" w:rsidRPr="00050697">
        <w:rPr>
          <w:vertAlign w:val="superscript"/>
          <w:lang w:val="it-IT"/>
        </w:rPr>
        <w:t>a</w:t>
      </w:r>
    </w:p>
    <w:p w14:paraId="162FAEDB" w14:textId="22AF6E87" w:rsidR="004E0C69" w:rsidRDefault="00B57E6F" w:rsidP="004E0C69">
      <w:pPr>
        <w:pStyle w:val="CETAddress"/>
      </w:pPr>
      <w:r w:rsidRPr="00B57B36">
        <w:rPr>
          <w:vertAlign w:val="superscript"/>
        </w:rPr>
        <w:t>a</w:t>
      </w:r>
      <w:r w:rsidR="004E0C69" w:rsidRPr="004E0C69">
        <w:t>LISES – Department of Civil, Chemical, Environmental, and Materials Engineering, Alma Mater Studiorum – University of Bologna, via Terracini n.28, 40131 Bologna (Italy)</w:t>
      </w:r>
    </w:p>
    <w:p w14:paraId="73F1267A" w14:textId="7FADADBC" w:rsidR="00B57E6F" w:rsidRPr="00B57B36" w:rsidRDefault="00E4566E" w:rsidP="004E0C69">
      <w:pPr>
        <w:pStyle w:val="CETAddress"/>
      </w:pPr>
      <w:r>
        <w:t>*</w:t>
      </w:r>
      <w:r w:rsidR="009A3C81">
        <w:t>matteo.iaiani@unibo.it</w:t>
      </w:r>
    </w:p>
    <w:p w14:paraId="2E26CF57" w14:textId="77777777" w:rsidR="004E0C69" w:rsidRDefault="004E0C69" w:rsidP="00600535">
      <w:pPr>
        <w:pStyle w:val="CETBodytext"/>
        <w:rPr>
          <w:lang w:val="en-GB"/>
        </w:rPr>
      </w:pPr>
    </w:p>
    <w:p w14:paraId="1ACB9B68" w14:textId="77777777" w:rsidR="004E0C69" w:rsidRDefault="004E0C69" w:rsidP="00600535">
      <w:pPr>
        <w:pStyle w:val="CETBodytext"/>
        <w:rPr>
          <w:lang w:val="en-GB"/>
        </w:rPr>
      </w:pPr>
    </w:p>
    <w:p w14:paraId="37A61FCE" w14:textId="2BD2A414" w:rsidR="00DA24C6" w:rsidRDefault="00C57E0A" w:rsidP="00C57E0A">
      <w:pPr>
        <w:pStyle w:val="CETListbullets"/>
        <w:ind w:left="0" w:firstLine="0"/>
      </w:pPr>
      <w:bookmarkStart w:id="0" w:name="_Hlk495475023"/>
      <w:r w:rsidRPr="00C57E0A">
        <w:t xml:space="preserve">The increasing interconnectivity with external networks and the higher reliance on digital systems make </w:t>
      </w:r>
      <w:r w:rsidR="004E6A76">
        <w:t>chemical and process industries</w:t>
      </w:r>
      <w:r w:rsidRPr="00C57E0A">
        <w:t>, including</w:t>
      </w:r>
      <w:r w:rsidR="00913E20">
        <w:t xml:space="preserve"> waste and drinking</w:t>
      </w:r>
      <w:r w:rsidRPr="00C57E0A">
        <w:t xml:space="preserve"> water treatment plants, more vulnerable to cyber-attacks.</w:t>
      </w:r>
      <w:r w:rsidR="00917B64">
        <w:t xml:space="preserve"> </w:t>
      </w:r>
      <w:r w:rsidR="00910339">
        <w:t>Historical evidence shows that t</w:t>
      </w:r>
      <w:r w:rsidRPr="00C57E0A">
        <w:t>hese attacks have the potential to cause events with severe consequences on property, people, and the surrounding environment</w:t>
      </w:r>
      <w:r w:rsidR="002213C8">
        <w:t xml:space="preserve">, posing a </w:t>
      </w:r>
      <w:r w:rsidR="00A15C8B">
        <w:t>serious</w:t>
      </w:r>
      <w:r w:rsidR="002213C8">
        <w:t xml:space="preserve"> threat</w:t>
      </w:r>
      <w:r w:rsidRPr="00C57E0A">
        <w:t xml:space="preserve">. </w:t>
      </w:r>
      <w:r w:rsidR="00AF7E3A">
        <w:t xml:space="preserve">While the </w:t>
      </w:r>
      <w:r w:rsidR="001226F9">
        <w:t xml:space="preserve">risks deriving from the malicious manipulation of the Basic Process Control System (BPCS) and the Safety Instrumented System (SIS) </w:t>
      </w:r>
      <w:r w:rsidR="00917B64">
        <w:t>in</w:t>
      </w:r>
      <w:r w:rsidR="008D1A79">
        <w:t xml:space="preserve"> che</w:t>
      </w:r>
      <w:r w:rsidR="00910339">
        <w:t xml:space="preserve">mical and </w:t>
      </w:r>
      <w:proofErr w:type="spellStart"/>
      <w:r w:rsidR="00910339">
        <w:t>Oil&amp;Gas</w:t>
      </w:r>
      <w:proofErr w:type="spellEnd"/>
      <w:r w:rsidR="00910339">
        <w:t xml:space="preserve"> </w:t>
      </w:r>
      <w:r w:rsidR="002213C8">
        <w:t>facilities have</w:t>
      </w:r>
      <w:r w:rsidR="001226F9">
        <w:t xml:space="preserve"> been systematically analysed </w:t>
      </w:r>
      <w:r w:rsidR="00181069">
        <w:t xml:space="preserve">in the available literature, including </w:t>
      </w:r>
      <w:r w:rsidR="001226F9">
        <w:t xml:space="preserve">previous works of the Authors, </w:t>
      </w:r>
      <w:r w:rsidR="00180C45">
        <w:t>the</w:t>
      </w:r>
      <w:r w:rsidR="00181069">
        <w:t xml:space="preserve"> analysis</w:t>
      </w:r>
      <w:r w:rsidR="00BC5897">
        <w:t xml:space="preserve"> of the</w:t>
      </w:r>
      <w:r w:rsidR="00180C45">
        <w:t xml:space="preserve"> consequences of cyber-attacks to drinking water treatment plants ha</w:t>
      </w:r>
      <w:r w:rsidR="00BC5897">
        <w:t>s</w:t>
      </w:r>
      <w:r w:rsidR="00180C45">
        <w:t xml:space="preserve"> </w:t>
      </w:r>
      <w:r w:rsidR="00917B64">
        <w:t>not</w:t>
      </w:r>
      <w:r w:rsidR="00180C45">
        <w:t xml:space="preserve"> been conducted </w:t>
      </w:r>
      <w:r w:rsidR="00917B64">
        <w:t>to date.</w:t>
      </w:r>
      <w:r w:rsidR="00910339">
        <w:t xml:space="preserve"> </w:t>
      </w:r>
      <w:r w:rsidR="00BB732C">
        <w:t>To fill this gap</w:t>
      </w:r>
      <w:r w:rsidR="00181069">
        <w:t>,</w:t>
      </w:r>
      <w:r w:rsidR="00424E5E">
        <w:t xml:space="preserve"> in</w:t>
      </w:r>
      <w:r w:rsidR="00181069">
        <w:t xml:space="preserve"> </w:t>
      </w:r>
      <w:r w:rsidR="00E01119">
        <w:t>the present</w:t>
      </w:r>
      <w:r w:rsidR="00181069">
        <w:t xml:space="preserve"> study</w:t>
      </w:r>
      <w:r w:rsidR="008760F2">
        <w:t xml:space="preserve"> the methodology POROS 2.0 </w:t>
      </w:r>
      <w:r w:rsidR="001B2859">
        <w:t>(</w:t>
      </w:r>
      <w:r w:rsidR="001B2859" w:rsidRPr="000F6A0C">
        <w:t xml:space="preserve">Process Operability Analysis of Remote manipulations through the </w:t>
      </w:r>
      <w:proofErr w:type="spellStart"/>
      <w:r w:rsidR="001B2859" w:rsidRPr="000F6A0C">
        <w:t>cOntrol</w:t>
      </w:r>
      <w:proofErr w:type="spellEnd"/>
      <w:r w:rsidR="001B2859" w:rsidRPr="000F6A0C">
        <w:t xml:space="preserve"> System</w:t>
      </w:r>
      <w:r w:rsidR="001B2859">
        <w:t xml:space="preserve">) </w:t>
      </w:r>
      <w:r w:rsidR="008760F2">
        <w:t xml:space="preserve">developed by the Authors </w:t>
      </w:r>
      <w:r w:rsidR="00424E5E">
        <w:t xml:space="preserve">was applied </w:t>
      </w:r>
      <w:r w:rsidR="008760F2">
        <w:t>to a drinking water treatment plant</w:t>
      </w:r>
      <w:r w:rsidR="00EC27F9">
        <w:t xml:space="preserve">, </w:t>
      </w:r>
      <w:bookmarkEnd w:id="0"/>
      <w:r w:rsidR="00A67DBB">
        <w:t xml:space="preserve">providing </w:t>
      </w:r>
      <w:r w:rsidR="00911254">
        <w:t xml:space="preserve">valuable insights on </w:t>
      </w:r>
      <w:r w:rsidR="00802BF9">
        <w:t xml:space="preserve">possible critical scenarios </w:t>
      </w:r>
      <w:r w:rsidR="00C4596D">
        <w:t xml:space="preserve">originated by cyber-attacks in these </w:t>
      </w:r>
      <w:r w:rsidR="00382D40">
        <w:t>facilities.</w:t>
      </w:r>
    </w:p>
    <w:p w14:paraId="476B2F2E" w14:textId="77777777" w:rsidR="00600535" w:rsidRPr="00B57B36" w:rsidRDefault="00600535" w:rsidP="00600535">
      <w:pPr>
        <w:pStyle w:val="CETHeading1"/>
        <w:rPr>
          <w:lang w:val="en-GB"/>
        </w:rPr>
      </w:pPr>
      <w:r w:rsidRPr="00B57B36">
        <w:rPr>
          <w:lang w:val="en-GB"/>
        </w:rPr>
        <w:t>Introduction</w:t>
      </w:r>
    </w:p>
    <w:p w14:paraId="0EA2067C" w14:textId="101E27E1" w:rsidR="00E91453" w:rsidRPr="00E91453" w:rsidRDefault="00E91453" w:rsidP="00E91453">
      <w:pPr>
        <w:pStyle w:val="CETBodytext"/>
        <w:rPr>
          <w:lang w:val="en-GB"/>
        </w:rPr>
      </w:pPr>
      <w:r w:rsidRPr="00E91453">
        <w:rPr>
          <w:lang w:val="en-GB"/>
        </w:rPr>
        <w:t>In recent years, the field of industrial cybersecurity has gained increasing attention due to the growing digitization and connectivity of critical infrastructure facilities, including chemical, process, and water treatment plants, which play a pivotal role in ensuring the safety and well-being of society, and as such, they are entrusted with the responsibility of managing complex processes and systems</w:t>
      </w:r>
      <w:r w:rsidR="007B4912">
        <w:rPr>
          <w:lang w:val="en-GB"/>
        </w:rPr>
        <w:t xml:space="preserve"> </w:t>
      </w:r>
      <w:sdt>
        <w:sdtPr>
          <w:rPr>
            <w:color w:val="000000"/>
            <w:lang w:val="en-GB"/>
          </w:rPr>
          <w:tag w:val="MENDELEY_CITATION_v3_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"/>
          <w:id w:val="238064961"/>
          <w:placeholder>
            <w:docPart w:val="DefaultPlaceholder_-1854013440"/>
          </w:placeholder>
        </w:sdtPr>
        <w:sdtEndPr/>
        <w:sdtContent>
          <w:r w:rsidR="00DB5A6F" w:rsidRPr="00DB5A6F">
            <w:rPr>
              <w:color w:val="000000"/>
              <w:lang w:val="en-GB"/>
            </w:rPr>
            <w:t>(CCPS, 2022)</w:t>
          </w:r>
        </w:sdtContent>
      </w:sdt>
      <w:r w:rsidRPr="00E91453">
        <w:rPr>
          <w:lang w:val="en-GB"/>
        </w:rPr>
        <w:t>. The integration of digital technologies and the adoption of Industrial Internet of Things (</w:t>
      </w:r>
      <w:proofErr w:type="spellStart"/>
      <w:r w:rsidRPr="00E91453">
        <w:rPr>
          <w:lang w:val="en-GB"/>
        </w:rPr>
        <w:t>IIoT</w:t>
      </w:r>
      <w:proofErr w:type="spellEnd"/>
      <w:r w:rsidRPr="00E91453">
        <w:rPr>
          <w:lang w:val="en-GB"/>
        </w:rPr>
        <w:t>) devices have streamlined operations, improved efficiency, and provided better control over these processes. However, this increased reliance on digitalization has inadvertently exposed these plants to a plethora of cybersecurity threats</w:t>
      </w:r>
      <w:r w:rsidR="00A8129D">
        <w:rPr>
          <w:lang w:val="en-GB"/>
        </w:rPr>
        <w:t xml:space="preserve"> </w:t>
      </w:r>
      <w:sdt>
        <w:sdtPr>
          <w:rPr>
            <w:color w:val="000000"/>
            <w:lang w:val="en-GB"/>
          </w:rPr>
          <w:tag w:val="MENDELEY_CITATION_v3_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"/>
          <w:id w:val="-1241484413"/>
          <w:placeholder>
            <w:docPart w:val="DefaultPlaceholder_-1854013440"/>
          </w:placeholder>
        </w:sdtPr>
        <w:sdtEndPr/>
        <w:sdtContent>
          <w:r w:rsidR="00DB5A6F" w:rsidRPr="00DB5A6F">
            <w:rPr>
              <w:color w:val="000000"/>
              <w:lang w:val="en-GB"/>
            </w:rPr>
            <w:t>(Iaiani et al., 2020)</w:t>
          </w:r>
        </w:sdtContent>
      </w:sdt>
      <w:r w:rsidRPr="00E91453">
        <w:rPr>
          <w:lang w:val="en-GB"/>
        </w:rPr>
        <w:t>.</w:t>
      </w:r>
      <w:r w:rsidR="00CC3059">
        <w:rPr>
          <w:lang w:val="en-GB"/>
        </w:rPr>
        <w:t xml:space="preserve"> </w:t>
      </w:r>
      <w:r w:rsidR="009D6228">
        <w:rPr>
          <w:lang w:val="en-GB"/>
        </w:rPr>
        <w:t xml:space="preserve">The cyber-induced explosion of the BTC pipeline </w:t>
      </w:r>
      <w:r w:rsidR="00827406">
        <w:rPr>
          <w:lang w:val="en-GB"/>
        </w:rPr>
        <w:t xml:space="preserve">in Turkey </w:t>
      </w:r>
      <w:r w:rsidR="009D6228">
        <w:rPr>
          <w:lang w:val="en-GB"/>
        </w:rPr>
        <w:t xml:space="preserve">in 2008 and the </w:t>
      </w:r>
      <w:r w:rsidR="00624A3C">
        <w:rPr>
          <w:lang w:val="en-GB"/>
        </w:rPr>
        <w:t xml:space="preserve">ransomware attack </w:t>
      </w:r>
      <w:r w:rsidR="00EE3A3C">
        <w:rPr>
          <w:lang w:val="en-GB"/>
        </w:rPr>
        <w:t>on Colonial Pipeline in USA in 2021 are noteworthy examples</w:t>
      </w:r>
      <w:r w:rsidR="00827406">
        <w:rPr>
          <w:lang w:val="en-GB"/>
        </w:rPr>
        <w:t xml:space="preserve"> </w:t>
      </w:r>
      <w:sdt>
        <w:sdtPr>
          <w:rPr>
            <w:color w:val="000000"/>
            <w:lang w:val="en-GB"/>
          </w:rPr>
          <w:tag w:val="MENDELEY_CITATION_v3_eyJjaXRhdGlvbklEIjoiTUVOREVMRVlfQ0lUQVRJT05fMTU5MDdhNmEtMTUyNy00OGFkLTg3MjItYTNiZWNkYzA0YzNkIiwicHJvcGVydGllcyI6eyJub3RlSW5kZXgiOjB9LCJpc0VkaXRlZCI6ZmFsc2UsIm1hbnVhbE92ZXJyaWRlIjp7ImlzTWFudWFsbHlPdmVycmlkZGVuIjpmYWxzZSwiY2l0ZXByb2NUZXh0IjoiKElhaWFuaSBldCBhbC4sIDIwMjNiKSIsIm1hbnVhbE92ZXJyaWRlVGV4dCI6IiJ9LCJjaXRhdGlvbkl0ZW1zIjpbey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X1dfQ=="/>
          <w:id w:val="1270736877"/>
          <w:placeholder>
            <w:docPart w:val="11A5FA98BAFA43B49C2946A78459DA83"/>
          </w:placeholder>
        </w:sdtPr>
        <w:sdtEndPr/>
        <w:sdtContent>
          <w:r w:rsidR="00377913" w:rsidRPr="00DB5A6F">
            <w:rPr>
              <w:color w:val="000000"/>
              <w:lang w:val="en-GB"/>
            </w:rPr>
            <w:t>(Iaiani et al., 2023b)</w:t>
          </w:r>
        </w:sdtContent>
      </w:sdt>
      <w:r w:rsidR="00377913">
        <w:rPr>
          <w:color w:val="000000"/>
          <w:lang w:val="en-GB"/>
        </w:rPr>
        <w:t>.</w:t>
      </w:r>
      <w:r w:rsidR="00EE3A3C">
        <w:rPr>
          <w:lang w:val="en-GB"/>
        </w:rPr>
        <w:t xml:space="preserve"> </w:t>
      </w:r>
      <w:r w:rsidR="00CC3059">
        <w:rPr>
          <w:lang w:val="en-GB"/>
        </w:rPr>
        <w:t xml:space="preserve"> </w:t>
      </w:r>
    </w:p>
    <w:p w14:paraId="326226DE" w14:textId="1B75064E" w:rsidR="00E91453" w:rsidRPr="00E91453" w:rsidRDefault="00E91453" w:rsidP="00E91453">
      <w:pPr>
        <w:pStyle w:val="CETBodytext"/>
        <w:rPr>
          <w:lang w:val="en-GB"/>
        </w:rPr>
      </w:pPr>
      <w:r w:rsidRPr="00E91453">
        <w:rPr>
          <w:lang w:val="en-GB"/>
        </w:rPr>
        <w:t xml:space="preserve">In this panorama, the ISA/IEC 62443 series of standards provide a systematic and practical approach to </w:t>
      </w:r>
      <w:r w:rsidR="00BD7D71">
        <w:rPr>
          <w:lang w:val="en-GB"/>
        </w:rPr>
        <w:t xml:space="preserve">evaluate </w:t>
      </w:r>
      <w:r w:rsidRPr="00E91453">
        <w:rPr>
          <w:lang w:val="en-GB"/>
        </w:rPr>
        <w:t xml:space="preserve">the actual level of cyber risk </w:t>
      </w:r>
      <w:r w:rsidR="00BD7D71">
        <w:rPr>
          <w:lang w:val="en-GB"/>
        </w:rPr>
        <w:t>and to implement</w:t>
      </w:r>
      <w:r w:rsidRPr="00E91453">
        <w:rPr>
          <w:lang w:val="en-GB"/>
        </w:rPr>
        <w:t xml:space="preserve"> proper cybersecurity countermeasures </w:t>
      </w:r>
      <w:r w:rsidR="00BD7D71">
        <w:rPr>
          <w:lang w:val="en-GB"/>
        </w:rPr>
        <w:t>in industrial critical infrastructures</w:t>
      </w:r>
      <w:r w:rsidRPr="00E91453">
        <w:rPr>
          <w:lang w:val="en-GB"/>
        </w:rPr>
        <w:t>. This requires the identification of all the impacts that can result from deliberate malicious attacks to the BPCS (Basic Process Control System) and SIS (Safety Instrumented System), including those on the physical plant (process equipment, storage equipment, interconnections),</w:t>
      </w:r>
      <w:r w:rsidR="004A4140">
        <w:rPr>
          <w:lang w:val="en-GB"/>
        </w:rPr>
        <w:t xml:space="preserve"> </w:t>
      </w:r>
      <w:r w:rsidRPr="00E91453">
        <w:rPr>
          <w:lang w:val="en-GB"/>
        </w:rPr>
        <w:t xml:space="preserve">the evaluation of their consequences, and of their likelihood. However, neither specific methods nor guidelines are provided </w:t>
      </w:r>
      <w:r w:rsidR="00307AEC">
        <w:rPr>
          <w:lang w:val="en-GB"/>
        </w:rPr>
        <w:t xml:space="preserve">in the standards </w:t>
      </w:r>
      <w:r w:rsidRPr="00E91453">
        <w:rPr>
          <w:lang w:val="en-GB"/>
        </w:rPr>
        <w:t xml:space="preserve">to conduct the proposed approach. Similarly, also the classical methodologies dedicated to process plant Security Vulnerability/Risk Assessment (SVA/SRA) such as the VAM-CF, the CCPS SVA, the API RP 780 SRA, and </w:t>
      </w:r>
      <w:proofErr w:type="gramStart"/>
      <w:r w:rsidRPr="00E91453">
        <w:rPr>
          <w:lang w:val="en-GB"/>
        </w:rPr>
        <w:t>the majority of</w:t>
      </w:r>
      <w:proofErr w:type="gramEnd"/>
      <w:r w:rsidRPr="00E91453">
        <w:rPr>
          <w:lang w:val="en-GB"/>
        </w:rPr>
        <w:t xml:space="preserve"> academic contributions, lack in reproducibility in application or do not assess the actual link between manipulations, consequences, and likelihood</w:t>
      </w:r>
      <w:r w:rsidR="00CD69C1">
        <w:rPr>
          <w:lang w:val="en-GB"/>
        </w:rPr>
        <w:t xml:space="preserve"> </w:t>
      </w:r>
      <w:sdt>
        <w:sdtPr>
          <w:rPr>
            <w:lang w:val="en-GB"/>
          </w:rPr>
          <w:tag w:val="MENDELEY_CITATION_v3_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"/>
          <w:id w:val="1265497368"/>
          <w:placeholder>
            <w:docPart w:val="DefaultPlaceholder_-1854013440"/>
          </w:placeholder>
        </w:sdtPr>
        <w:sdtEndPr/>
        <w:sdtContent>
          <w:r w:rsidR="00DB5A6F">
            <w:t>(Bajpai &amp; Gupta, 2018)</w:t>
          </w:r>
        </w:sdtContent>
      </w:sdt>
      <w:r w:rsidRPr="00E91453">
        <w:rPr>
          <w:lang w:val="en-GB"/>
        </w:rPr>
        <w:t>.</w:t>
      </w:r>
    </w:p>
    <w:p w14:paraId="7A79D94D" w14:textId="0A393C08" w:rsidR="00E91453" w:rsidRPr="00E91453" w:rsidRDefault="00E91453" w:rsidP="00E91453">
      <w:pPr>
        <w:pStyle w:val="CETBodytext"/>
        <w:rPr>
          <w:lang w:val="en-GB"/>
        </w:rPr>
      </w:pPr>
      <w:r w:rsidRPr="00E91453">
        <w:rPr>
          <w:lang w:val="en-GB"/>
        </w:rPr>
        <w:t>While there are studies in the literature (including previous works of the Authors) focused on the analysis of the possible scenarios that can be triggered by the deliberate manipulation of the BPCS and the SIS in plants where large quantities of dangerous substances are processed and/or stored</w:t>
      </w:r>
      <w:r w:rsidR="00572EEB">
        <w:rPr>
          <w:lang w:val="en-GB"/>
        </w:rPr>
        <w:t xml:space="preserve"> </w:t>
      </w:r>
      <w:sdt>
        <w:sdtPr>
          <w:rPr>
            <w:color w:val="000000"/>
            <w:lang w:val="en-GB"/>
          </w:rPr>
          <w:tag w:val="MENDELEY_CITATION_v3_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"/>
          <w:id w:val="1803270059"/>
          <w:placeholder>
            <w:docPart w:val="DefaultPlaceholder_-1854013440"/>
          </w:placeholder>
        </w:sdtPr>
        <w:sdtEndPr/>
        <w:sdtContent>
          <w:r w:rsidR="00DB5A6F" w:rsidRPr="00DB5A6F">
            <w:rPr>
              <w:color w:val="000000"/>
              <w:lang w:val="en-GB"/>
            </w:rPr>
            <w:t>(</w:t>
          </w:r>
          <w:proofErr w:type="spellStart"/>
          <w:r w:rsidR="00DB5A6F" w:rsidRPr="00DB5A6F">
            <w:rPr>
              <w:color w:val="000000"/>
              <w:lang w:val="en-GB"/>
            </w:rPr>
            <w:t>Cherdantseva</w:t>
          </w:r>
          <w:proofErr w:type="spellEnd"/>
          <w:r w:rsidR="00DB5A6F" w:rsidRPr="00DB5A6F">
            <w:rPr>
              <w:color w:val="000000"/>
              <w:lang w:val="en-GB"/>
            </w:rPr>
            <w:t xml:space="preserve"> et al., 2016)</w:t>
          </w:r>
        </w:sdtContent>
      </w:sdt>
      <w:r w:rsidRPr="00E91453">
        <w:rPr>
          <w:lang w:val="en-GB"/>
        </w:rPr>
        <w:t xml:space="preserve">, there are no works with scope on drinking water treatment plants. However, cyber-attacks to this type of </w:t>
      </w:r>
      <w:r w:rsidRPr="00E91453">
        <w:rPr>
          <w:lang w:val="en-GB"/>
        </w:rPr>
        <w:lastRenderedPageBreak/>
        <w:t xml:space="preserve">industrial infrastructures are deemed to be able to generate events with severe consequences on the population and company reputation due to their important role within society. </w:t>
      </w:r>
    </w:p>
    <w:p w14:paraId="64A1E133" w14:textId="7897DA66" w:rsidR="007931FA" w:rsidRPr="006E66E9" w:rsidRDefault="00E91453" w:rsidP="00E91453">
      <w:pPr>
        <w:pStyle w:val="CETBodytext"/>
        <w:rPr>
          <w:lang w:val="en-GB"/>
        </w:rPr>
      </w:pPr>
      <w:r w:rsidRPr="00E91453">
        <w:rPr>
          <w:lang w:val="en-GB"/>
        </w:rPr>
        <w:t xml:space="preserve">In this context, the present study is aimed at the identification of critical cybersecurity scenarios in drinking water treatment plants by the application of the cyber-risk identification methodology POROS 2.0 (Process Operability analysis of Remote manipulations through the </w:t>
      </w:r>
      <w:proofErr w:type="spellStart"/>
      <w:r w:rsidRPr="00E91453">
        <w:rPr>
          <w:lang w:val="en-GB"/>
        </w:rPr>
        <w:t>cOntrol</w:t>
      </w:r>
      <w:proofErr w:type="spellEnd"/>
      <w:r w:rsidRPr="00E91453">
        <w:rPr>
          <w:lang w:val="en-GB"/>
        </w:rPr>
        <w:t xml:space="preserve"> System) developed by the Authors in a previous study</w:t>
      </w:r>
      <w:r w:rsidR="005E584D">
        <w:rPr>
          <w:lang w:val="en-GB"/>
        </w:rPr>
        <w:t xml:space="preserve"> </w:t>
      </w:r>
      <w:sdt>
        <w:sdtPr>
          <w:rPr>
            <w:color w:val="000000"/>
            <w:lang w:val="en-GB"/>
          </w:rPr>
          <w:tag w:val="MENDELEY_CITATION_v3_eyJjaXRhdGlvbklEIjoiTUVOREVMRVlfQ0lUQVRJT05fMTU5MDdhNmEtMTUyNy00OGFkLTg3MjItYTNiZWNkYzA0YzNkIiwicHJvcGVydGllcyI6eyJub3RlSW5kZXgiOjB9LCJpc0VkaXRlZCI6ZmFsc2UsIm1hbnVhbE92ZXJyaWRlIjp7ImlzTWFudWFsbHlPdmVycmlkZGVuIjpmYWxzZSwiY2l0ZXByb2NUZXh0IjoiKElhaWFuaSBldCBhbC4sIDIwMjNiKSIsIm1hbnVhbE92ZXJyaWRlVGV4dCI6IiJ9LCJjaXRhdGlvbkl0ZW1zIjpbey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X1dfQ=="/>
          <w:id w:val="-487789913"/>
          <w:placeholder>
            <w:docPart w:val="DefaultPlaceholder_-1854013440"/>
          </w:placeholder>
        </w:sdtPr>
        <w:sdtEndPr/>
        <w:sdtContent>
          <w:r w:rsidR="00DB5A6F" w:rsidRPr="00DB5A6F">
            <w:rPr>
              <w:color w:val="000000"/>
              <w:lang w:val="en-GB"/>
            </w:rPr>
            <w:t>(Iaiani et al., 2023b)</w:t>
          </w:r>
        </w:sdtContent>
      </w:sdt>
      <w:r w:rsidRPr="00E91453">
        <w:rPr>
          <w:lang w:val="en-GB"/>
        </w:rPr>
        <w:t>. The results support application of cybersecurity risk assessment in the context of SVA/SRA methodologies and ISA/IEC 62443 series of standards in drinking water treatment plants.</w:t>
      </w:r>
    </w:p>
    <w:p w14:paraId="5741900F" w14:textId="2DB63CD3" w:rsidR="00453E24" w:rsidRDefault="00D749DD" w:rsidP="00453E24">
      <w:pPr>
        <w:pStyle w:val="CETHeading1"/>
      </w:pPr>
      <w:r>
        <w:t>POROS 2.0 methodology</w:t>
      </w:r>
    </w:p>
    <w:p w14:paraId="4BC39701" w14:textId="05E88B0B" w:rsidR="00FC51B9" w:rsidRDefault="00E245DA" w:rsidP="00395B1A">
      <w:pPr>
        <w:rPr>
          <w:lang w:val="en-US"/>
        </w:rPr>
      </w:pPr>
      <w:r w:rsidRPr="001140B8">
        <w:rPr>
          <w:lang w:val="en-US"/>
        </w:rPr>
        <w:t xml:space="preserve">POROS 2.0 is a rigorous </w:t>
      </w:r>
      <w:r w:rsidR="00F32451" w:rsidRPr="001140B8">
        <w:rPr>
          <w:lang w:val="en-US"/>
        </w:rPr>
        <w:t xml:space="preserve">8-step procedure (see flowchart in Figure 1) </w:t>
      </w:r>
      <w:r w:rsidR="00A76F24" w:rsidRPr="001140B8">
        <w:rPr>
          <w:lang w:val="en-US"/>
        </w:rPr>
        <w:t>which provides the following outputs:</w:t>
      </w:r>
      <w:r w:rsidR="001140B8">
        <w:rPr>
          <w:lang w:val="en-US"/>
        </w:rPr>
        <w:t xml:space="preserve"> 1) l</w:t>
      </w:r>
      <w:r w:rsidR="006374A9" w:rsidRPr="001140B8">
        <w:rPr>
          <w:lang w:val="en-US"/>
        </w:rPr>
        <w:t xml:space="preserve">ist of security events (SE, such as loss of containment, </w:t>
      </w:r>
      <w:r w:rsidR="00040C1B">
        <w:rPr>
          <w:lang w:val="en-US"/>
        </w:rPr>
        <w:t xml:space="preserve">production </w:t>
      </w:r>
      <w:r w:rsidR="006374A9" w:rsidRPr="001140B8">
        <w:rPr>
          <w:lang w:val="en-US"/>
        </w:rPr>
        <w:t>outage, etc.) on the physical process system that can be caused by manipulation of BPCS and SIS;</w:t>
      </w:r>
      <w:r w:rsidR="00040C1B">
        <w:rPr>
          <w:lang w:val="en-US"/>
        </w:rPr>
        <w:t xml:space="preserve"> 2) s</w:t>
      </w:r>
      <w:r w:rsidR="006374A9" w:rsidRPr="006374A9">
        <w:rPr>
          <w:lang w:val="en-US"/>
        </w:rPr>
        <w:t xml:space="preserve">everity vector associated with each SE </w:t>
      </w:r>
      <w:r w:rsidR="001814A7">
        <w:rPr>
          <w:lang w:val="en-US"/>
        </w:rPr>
        <w:t xml:space="preserve">associated to damage to people, asset, environment, and reputation; </w:t>
      </w:r>
      <w:r w:rsidR="00711DFF">
        <w:rPr>
          <w:lang w:val="en-US"/>
        </w:rPr>
        <w:t xml:space="preserve">3) </w:t>
      </w:r>
      <w:r w:rsidR="006D4A9E">
        <w:rPr>
          <w:lang w:val="en-US"/>
        </w:rPr>
        <w:t>s</w:t>
      </w:r>
      <w:r w:rsidR="006374A9" w:rsidRPr="006374A9">
        <w:rPr>
          <w:lang w:val="en-US"/>
        </w:rPr>
        <w:t>ets of BPCS and SIS components that need to be manipulated in order to trigger each SE, how they shall be manipulated, and the physical consequences on remotely manipulable components (RMC) in the physical process system;</w:t>
      </w:r>
      <w:r w:rsidR="006D4A9E">
        <w:rPr>
          <w:lang w:val="en-US"/>
        </w:rPr>
        <w:t xml:space="preserve"> 4) l</w:t>
      </w:r>
      <w:r w:rsidR="006374A9" w:rsidRPr="006374A9">
        <w:rPr>
          <w:lang w:val="en-US"/>
        </w:rPr>
        <w:t xml:space="preserve">ist of the </w:t>
      </w:r>
      <w:r w:rsidR="006374A9" w:rsidRPr="001A3D1B">
        <w:rPr>
          <w:lang w:val="en-US"/>
        </w:rPr>
        <w:t>Active/Procedural safeguards (APS) in place, that may prevent/mitigate the attack;</w:t>
      </w:r>
      <w:r w:rsidR="006D4A9E" w:rsidRPr="001A3D1B">
        <w:rPr>
          <w:lang w:val="en-US"/>
        </w:rPr>
        <w:t xml:space="preserve"> </w:t>
      </w:r>
      <w:r w:rsidR="00395B1A" w:rsidRPr="001A3D1B">
        <w:rPr>
          <w:lang w:val="en-US"/>
        </w:rPr>
        <w:t>5) l</w:t>
      </w:r>
      <w:r w:rsidR="006374A9" w:rsidRPr="001A3D1B">
        <w:rPr>
          <w:lang w:val="en-US"/>
        </w:rPr>
        <w:t>ist of the Inherent/Passive safeguards (IPS) in place that may prevent/mitigate the attack;</w:t>
      </w:r>
      <w:r w:rsidR="00395B1A" w:rsidRPr="001A3D1B">
        <w:rPr>
          <w:lang w:val="en-US"/>
        </w:rPr>
        <w:t xml:space="preserve"> 6) c</w:t>
      </w:r>
      <w:r w:rsidR="006374A9" w:rsidRPr="001A3D1B">
        <w:rPr>
          <w:lang w:val="en-US"/>
        </w:rPr>
        <w:t>redibility score of each attack, based on required plant knowledge level and cyber complexity of the manipulations required to carry it out.</w:t>
      </w:r>
      <w:r w:rsidR="00946C5B">
        <w:rPr>
          <w:lang w:val="en-US"/>
        </w:rPr>
        <w:t xml:space="preserve"> In the following, each step is briefly detailed: the reader is referred to </w:t>
      </w:r>
      <w:sdt>
        <w:sdtPr>
          <w:rPr>
            <w:color w:val="000000"/>
            <w:lang w:val="en-US"/>
          </w:rPr>
          <w:tag w:val="MENDELEY_CITATION_v3_eyJjaXRhdGlvbklEIjoiTUVOREVMRVlfQ0lUQVRJT05fMzI2YTI1ODgtNDM4Ni00Y2NhLTliOWYtMTFiNWJhM2M2ZDgyIiwicHJvcGVydGllcyI6eyJub3RlSW5kZXgiOjAsIm1vZGUiOiJjb21wb3NpdGUifSwiaXNFZGl0ZWQiOmZhbHNlLCJtYW51YWxPdmVycmlkZSI6eyJpc01hbnVhbGx5T3ZlcnJpZGRlbiI6ZmFsc2UsImNpdGVwcm9jVGV4dCI6IklhaWFuaSBldCBhbC4gKDIwMjNiKSIsIm1hbnVhbE92ZXJyaWRlVGV4dCI6IiJ9LCJjaXRhdGlvbkl0ZW1zIjpbeyJkaXNwbGF5QXMiOiJjb21wb3NpdGUiLCJsYWJlbCI6InBhZ2UiLC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Swic3VwcHJlc3MtYXV0aG9yIjpmYWxzZSwiY29tcG9zaXRlIjp0cnVlLCJhdXRob3Itb25seSI6ZmFsc2V9XX0="/>
          <w:id w:val="1680925744"/>
          <w:placeholder>
            <w:docPart w:val="DefaultPlaceholder_-1854013440"/>
          </w:placeholder>
        </w:sdtPr>
        <w:sdtEndPr/>
        <w:sdtContent>
          <w:r w:rsidR="00DB5A6F" w:rsidRPr="00DB5A6F">
            <w:rPr>
              <w:color w:val="000000"/>
              <w:lang w:val="en-US"/>
            </w:rPr>
            <w:t>Iaiani et al. (2023b)</w:t>
          </w:r>
        </w:sdtContent>
      </w:sdt>
      <w:r w:rsidR="0021739C">
        <w:rPr>
          <w:color w:val="000000"/>
          <w:lang w:val="en-US"/>
        </w:rPr>
        <w:t xml:space="preserve"> </w:t>
      </w:r>
      <w:r w:rsidR="00946C5B">
        <w:rPr>
          <w:lang w:val="en-US"/>
        </w:rPr>
        <w:t xml:space="preserve">where guiding tables are provided in support of each step. </w:t>
      </w:r>
    </w:p>
    <w:p w14:paraId="60E3B42B" w14:textId="77777777" w:rsidR="003E7123" w:rsidRDefault="003E7123" w:rsidP="003E7123">
      <w:pPr>
        <w:pStyle w:val="CETBodytext"/>
      </w:pPr>
      <w:r w:rsidRPr="00A521A2">
        <w:rPr>
          <w:noProof/>
        </w:rPr>
        <w:drawing>
          <wp:inline distT="0" distB="0" distL="0" distR="0" wp14:anchorId="4D084456" wp14:editId="5132689D">
            <wp:extent cx="5579745" cy="4011930"/>
            <wp:effectExtent l="0" t="0" r="1905" b="7620"/>
            <wp:docPr id="49235112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4011930"/>
                    </a:xfrm>
                    <a:prstGeom prst="rect">
                      <a:avLst/>
                    </a:prstGeom>
                    <a:noFill/>
                    <a:ln>
                      <a:noFill/>
                    </a:ln>
                  </pic:spPr>
                </pic:pic>
              </a:graphicData>
            </a:graphic>
          </wp:inline>
        </w:drawing>
      </w:r>
    </w:p>
    <w:p w14:paraId="1A83CAD0" w14:textId="08234706" w:rsidR="003E7123" w:rsidRPr="00BD077D" w:rsidRDefault="003E7123" w:rsidP="003E7123">
      <w:pPr>
        <w:pStyle w:val="CETCaption"/>
      </w:pPr>
      <w:r w:rsidRPr="00BD077D">
        <w:rPr>
          <w:rStyle w:val="CETCaptionCarattere"/>
          <w:i/>
        </w:rPr>
        <w:t xml:space="preserve">Figure 1: </w:t>
      </w:r>
      <w:r>
        <w:rPr>
          <w:rStyle w:val="CETCaptionCarattere"/>
          <w:i/>
        </w:rPr>
        <w:t xml:space="preserve">Flowchart of POROS 2.0 methodology (adapted from </w:t>
      </w:r>
      <w:sdt>
        <w:sdtPr>
          <w:rPr>
            <w:rStyle w:val="CETCaptionCarattere"/>
            <w:iCs/>
            <w:color w:val="000000"/>
          </w:rPr>
          <w:tag w:val="MENDELEY_CITATION_v3_eyJjaXRhdGlvbklEIjoiTUVOREVMRVlfQ0lUQVRJT05fM2FlZTI0YTYtNTM4ZC00Y2U4LTljZjEtMDhjOTE2Yzg5MGE5IiwicHJvcGVydGllcyI6eyJub3RlSW5kZXgiOjAsIm1vZGUiOiJjb21wb3NpdGUifSwiaXNFZGl0ZWQiOmZhbHNlLCJtYW51YWxPdmVycmlkZSI6eyJpc01hbnVhbGx5T3ZlcnJpZGRlbiI6ZmFsc2UsImNpdGVwcm9jVGV4dCI6IklhaWFuaSBldCBhbC4gKDIwMjNiKSIsIm1hbnVhbE92ZXJyaWRlVGV4dCI6IiJ9LCJjaXRhdGlvbkl0ZW1zIjpbeyJkaXNwbGF5QXMiOiJjb21wb3NpdGUiLCJsYWJlbCI6InBhZ2UiLC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Swic3VwcHJlc3MtYXV0aG9yIjpmYWxzZSwiY29tcG9zaXRlIjp0cnVlLCJhdXRob3Itb25seSI6ZmFsc2V9XX0="/>
          <w:id w:val="-899976208"/>
          <w:placeholder>
            <w:docPart w:val="3EA2A8D637F44C8C8810A634D0F6861D"/>
          </w:placeholder>
        </w:sdtPr>
        <w:sdtEndPr>
          <w:rPr>
            <w:rStyle w:val="CETCaptionCarattere"/>
          </w:rPr>
        </w:sdtEndPr>
        <w:sdtContent>
          <w:r w:rsidR="00DB5A6F" w:rsidRPr="00DB5A6F">
            <w:rPr>
              <w:rStyle w:val="CETCaptionCarattere"/>
              <w:iCs/>
              <w:color w:val="000000"/>
            </w:rPr>
            <w:t>Iaiani et al. (2023b)</w:t>
          </w:r>
        </w:sdtContent>
      </w:sdt>
      <w:r w:rsidRPr="00743E46">
        <w:rPr>
          <w:rStyle w:val="CETCaptionCarattere"/>
          <w:i/>
          <w:iCs/>
          <w:color w:val="000000"/>
        </w:rPr>
        <w:t>)</w:t>
      </w:r>
      <w:r w:rsidRPr="00BD077D">
        <w:t xml:space="preserve"> </w:t>
      </w:r>
    </w:p>
    <w:p w14:paraId="22C58591" w14:textId="77777777" w:rsidR="003E7123" w:rsidRDefault="00FD28F8" w:rsidP="00D26E46">
      <w:pPr>
        <w:pStyle w:val="Paragrafoelenco"/>
        <w:ind w:left="0"/>
        <w:rPr>
          <w:lang w:val="en-US"/>
        </w:rPr>
      </w:pPr>
      <w:r w:rsidRPr="001A3D1B">
        <w:rPr>
          <w:lang w:val="en-US"/>
        </w:rPr>
        <w:t>In Step 1 of POROS 2.0 the scope of the analysis is defined</w:t>
      </w:r>
      <w:r w:rsidR="00D2530F">
        <w:rPr>
          <w:lang w:val="en-US"/>
        </w:rPr>
        <w:t xml:space="preserve"> (o</w:t>
      </w:r>
      <w:r w:rsidRPr="001A3D1B">
        <w:rPr>
          <w:lang w:val="en-US"/>
        </w:rPr>
        <w:t xml:space="preserve">n major accident scenarios only or </w:t>
      </w:r>
      <w:proofErr w:type="gramStart"/>
      <w:r w:rsidRPr="001A3D1B">
        <w:rPr>
          <w:lang w:val="en-US"/>
        </w:rPr>
        <w:t>including also</w:t>
      </w:r>
      <w:proofErr w:type="gramEnd"/>
      <w:r w:rsidRPr="001A3D1B">
        <w:rPr>
          <w:lang w:val="en-US"/>
        </w:rPr>
        <w:t xml:space="preserve"> operability issues</w:t>
      </w:r>
      <w:r w:rsidR="00D2530F">
        <w:rPr>
          <w:lang w:val="en-US"/>
        </w:rPr>
        <w:t>)</w:t>
      </w:r>
      <w:r w:rsidRPr="001A3D1B">
        <w:rPr>
          <w:lang w:val="en-US"/>
        </w:rPr>
        <w:t>. The possibility of adopting cut-off criteria to focus the analysis on a limited number of cybersecurity scenarios of concern shall be defined at this step</w:t>
      </w:r>
      <w:r w:rsidR="00620CB1">
        <w:rPr>
          <w:lang w:val="en-US"/>
        </w:rPr>
        <w:t xml:space="preserve"> (e.g., worst-case scenarios, or most credible scenarios)</w:t>
      </w:r>
      <w:r w:rsidRPr="001A3D1B">
        <w:rPr>
          <w:lang w:val="en-US"/>
        </w:rPr>
        <w:t>. Once the scope is defined, the</w:t>
      </w:r>
      <w:r w:rsidRPr="00FD28F8">
        <w:rPr>
          <w:lang w:val="en-US"/>
        </w:rPr>
        <w:t xml:space="preserve"> input information is collected</w:t>
      </w:r>
      <w:r w:rsidR="00DC5FCE">
        <w:rPr>
          <w:lang w:val="en-US"/>
        </w:rPr>
        <w:t xml:space="preserve"> (e.g., </w:t>
      </w:r>
      <w:r w:rsidRPr="00FD28F8">
        <w:rPr>
          <w:lang w:val="en-US"/>
        </w:rPr>
        <w:t xml:space="preserve">PFD, P&amp;ID, </w:t>
      </w:r>
      <w:r w:rsidR="00862582">
        <w:rPr>
          <w:lang w:val="en-US"/>
        </w:rPr>
        <w:t xml:space="preserve">equipment </w:t>
      </w:r>
      <w:r w:rsidRPr="00FD28F8">
        <w:rPr>
          <w:lang w:val="en-US"/>
        </w:rPr>
        <w:t xml:space="preserve">operating and design conditions, </w:t>
      </w:r>
      <w:r w:rsidR="00862582">
        <w:rPr>
          <w:lang w:val="en-US"/>
        </w:rPr>
        <w:t>BPCS and SIS logics)</w:t>
      </w:r>
      <w:r w:rsidRPr="00FD28F8">
        <w:rPr>
          <w:lang w:val="en-US"/>
        </w:rPr>
        <w:t>.</w:t>
      </w:r>
      <w:r w:rsidR="003E7123">
        <w:rPr>
          <w:lang w:val="en-US"/>
        </w:rPr>
        <w:t xml:space="preserve"> </w:t>
      </w:r>
    </w:p>
    <w:p w14:paraId="75BDC187" w14:textId="650C4525" w:rsidR="00D26E46" w:rsidRDefault="00FD28F8" w:rsidP="00D26E46">
      <w:pPr>
        <w:pStyle w:val="Paragrafoelenco"/>
        <w:ind w:left="0"/>
        <w:rPr>
          <w:lang w:val="en-US"/>
        </w:rPr>
      </w:pPr>
      <w:r w:rsidRPr="00FD28F8">
        <w:rPr>
          <w:lang w:val="en-US"/>
        </w:rPr>
        <w:t xml:space="preserve">In Step 2 of POROS 2.0 the plant is divided into nodes (ND). Only nodes where hazardous materials are </w:t>
      </w:r>
      <w:r w:rsidR="00C853CF">
        <w:rPr>
          <w:lang w:val="en-US"/>
        </w:rPr>
        <w:t>handled</w:t>
      </w:r>
      <w:r w:rsidRPr="00FD28F8">
        <w:rPr>
          <w:lang w:val="en-US"/>
        </w:rPr>
        <w:t xml:space="preserve"> are of concern in case the scope of the analysis is limited to major accident scenarios, otherwise also the utility nodes are </w:t>
      </w:r>
      <w:r w:rsidR="00D26E46">
        <w:rPr>
          <w:lang w:val="en-US"/>
        </w:rPr>
        <w:t>considered</w:t>
      </w:r>
      <w:r w:rsidRPr="00FD28F8">
        <w:rPr>
          <w:lang w:val="en-US"/>
        </w:rPr>
        <w:t xml:space="preserve">. </w:t>
      </w:r>
    </w:p>
    <w:p w14:paraId="7E6E1C4F" w14:textId="2E19FBF3" w:rsidR="00DC1E93" w:rsidRDefault="00FD28F8" w:rsidP="00D26E46">
      <w:pPr>
        <w:pStyle w:val="Paragrafoelenco"/>
        <w:ind w:left="0"/>
      </w:pPr>
      <w:r w:rsidRPr="00FD28F8">
        <w:rPr>
          <w:color w:val="000000"/>
          <w:lang w:val="en-US"/>
        </w:rPr>
        <w:lastRenderedPageBreak/>
        <w:t xml:space="preserve">In step 3 of </w:t>
      </w:r>
      <w:r w:rsidRPr="00FD28F8">
        <w:rPr>
          <w:lang w:val="en-US"/>
        </w:rPr>
        <w:t xml:space="preserve">POROS 2.0 </w:t>
      </w:r>
      <w:r w:rsidRPr="00451E27">
        <w:t>the compatible security events (SE) are identified</w:t>
      </w:r>
      <w:r>
        <w:t xml:space="preserve"> for each selected ND</w:t>
      </w:r>
      <w:r w:rsidRPr="00451E27">
        <w:t>.</w:t>
      </w:r>
      <w:r>
        <w:t xml:space="preserve"> </w:t>
      </w:r>
      <w:r w:rsidRPr="00451E27">
        <w:t>A SE is</w:t>
      </w:r>
      <w:r>
        <w:t xml:space="preserve"> intended as</w:t>
      </w:r>
      <w:r w:rsidRPr="00451E27">
        <w:t xml:space="preserve"> an undesired event that affects the operability and/or the physical integrity of the </w:t>
      </w:r>
      <w:r>
        <w:t>physical process system under assessment</w:t>
      </w:r>
      <w:r w:rsidR="00DC1E93">
        <w:t xml:space="preserve"> and they shall be selected according to the scope of the analysis</w:t>
      </w:r>
      <w:r w:rsidR="00865451">
        <w:t xml:space="preserve"> (e.g., loss of containment in c</w:t>
      </w:r>
      <w:r w:rsidR="008D3904">
        <w:t xml:space="preserve">ase of scope on major events, also production outages in case of </w:t>
      </w:r>
      <w:r w:rsidR="00650A96">
        <w:t>scope on operability).</w:t>
      </w:r>
      <w:r w:rsidR="00E42BF4">
        <w:t xml:space="preserve"> </w:t>
      </w:r>
      <w:r w:rsidR="00B71D2A">
        <w:t xml:space="preserve">The reader is referred to the reference </w:t>
      </w:r>
      <w:r w:rsidR="001D4236">
        <w:t>source</w:t>
      </w:r>
      <w:r w:rsidR="00B71D2A">
        <w:t xml:space="preserve"> of </w:t>
      </w:r>
      <w:r w:rsidR="001D4236">
        <w:t xml:space="preserve">the methodology </w:t>
      </w:r>
      <w:sdt>
        <w:sdtPr>
          <w:rPr>
            <w:color w:val="000000"/>
          </w:rPr>
          <w:tag w:val="MENDELEY_CITATION_v3_eyJjaXRhdGlvbklEIjoiTUVOREVMRVlfQ0lUQVRJT05fMTU5MDdhNmEtMTUyNy00OGFkLTg3MjItYTNiZWNkYzA0YzNkIiwicHJvcGVydGllcyI6eyJub3RlSW5kZXgiOjB9LCJpc0VkaXRlZCI6ZmFsc2UsIm1hbnVhbE92ZXJyaWRlIjp7ImlzTWFudWFsbHlPdmVycmlkZGVuIjpmYWxzZSwiY2l0ZXByb2NUZXh0IjoiKElhaWFuaSBldCBhbC4sIDIwMjNiKSIsIm1hbnVhbE92ZXJyaWRlVGV4dCI6IiJ9LCJjaXRhdGlvbkl0ZW1zIjpbey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X1dfQ=="/>
          <w:id w:val="766510944"/>
          <w:placeholder>
            <w:docPart w:val="19C23B789D814FF1ABF70801454CB8DE"/>
          </w:placeholder>
        </w:sdtPr>
        <w:sdtEndPr/>
        <w:sdtContent>
          <w:r w:rsidR="001D4236" w:rsidRPr="00DB5A6F">
            <w:rPr>
              <w:color w:val="000000"/>
            </w:rPr>
            <w:t>(Iaiani et al., 2023b)</w:t>
          </w:r>
        </w:sdtContent>
      </w:sdt>
      <w:r w:rsidR="001D4236">
        <w:rPr>
          <w:color w:val="000000"/>
        </w:rPr>
        <w:t xml:space="preserve"> </w:t>
      </w:r>
      <w:r w:rsidR="007804E8">
        <w:rPr>
          <w:color w:val="000000"/>
        </w:rPr>
        <w:t xml:space="preserve">where a list of possible SEs is provided (from major accident scenarios to </w:t>
      </w:r>
      <w:r w:rsidR="000D6180">
        <w:rPr>
          <w:color w:val="000000"/>
        </w:rPr>
        <w:t xml:space="preserve">scenarios </w:t>
      </w:r>
      <w:r w:rsidR="00402B86">
        <w:rPr>
          <w:color w:val="000000"/>
        </w:rPr>
        <w:t>leading to production outage such as “product out of specification”</w:t>
      </w:r>
      <w:r w:rsidR="00470441">
        <w:rPr>
          <w:color w:val="000000"/>
        </w:rPr>
        <w:t xml:space="preserve"> or “activation of ESD/PSD/LSD logic”</w:t>
      </w:r>
      <w:r w:rsidR="005A17EE">
        <w:rPr>
          <w:color w:val="000000"/>
        </w:rPr>
        <w:t>)</w:t>
      </w:r>
      <w:r w:rsidR="0009187D">
        <w:rPr>
          <w:color w:val="000000"/>
        </w:rPr>
        <w:t>.</w:t>
      </w:r>
    </w:p>
    <w:p w14:paraId="5A0F0306" w14:textId="34B850C9" w:rsidR="00FD28F8" w:rsidRPr="00FD28F8" w:rsidRDefault="00FD28F8" w:rsidP="00ED3DB8">
      <w:pPr>
        <w:rPr>
          <w:color w:val="000000"/>
        </w:rPr>
      </w:pPr>
      <w:r w:rsidRPr="00114D09">
        <w:rPr>
          <w:color w:val="000000"/>
          <w:lang w:val="en-US"/>
        </w:rPr>
        <w:t xml:space="preserve">In Step 4 of </w:t>
      </w:r>
      <w:r w:rsidRPr="00114D09">
        <w:rPr>
          <w:lang w:val="en-US"/>
        </w:rPr>
        <w:t>POROS 2.0 the propagation between NDs of the physical effects of manipulations is investigated and the scenarios relevant for security risk assessment are selected. This step</w:t>
      </w:r>
      <w:r w:rsidR="008019C4" w:rsidRPr="00114D09">
        <w:rPr>
          <w:lang w:val="en-US"/>
        </w:rPr>
        <w:t xml:space="preserve"> </w:t>
      </w:r>
      <w:r w:rsidRPr="00114D09">
        <w:rPr>
          <w:lang w:val="en-US"/>
        </w:rPr>
        <w:t>allows to analyze the interdependencies between nodes (</w:t>
      </w:r>
      <w:r w:rsidR="008019C4" w:rsidRPr="00114D09">
        <w:rPr>
          <w:lang w:val="en-US"/>
        </w:rPr>
        <w:t xml:space="preserve">as in </w:t>
      </w:r>
      <w:proofErr w:type="spellStart"/>
      <w:r w:rsidR="008019C4" w:rsidRPr="00114D09">
        <w:rPr>
          <w:lang w:val="en-US"/>
        </w:rPr>
        <w:t>HazOp</w:t>
      </w:r>
      <w:proofErr w:type="spellEnd"/>
      <w:r w:rsidR="008019C4" w:rsidRPr="00114D09">
        <w:rPr>
          <w:lang w:val="en-US"/>
        </w:rPr>
        <w:t xml:space="preserve"> application</w:t>
      </w:r>
      <w:sdt>
        <w:sdtPr>
          <w:rPr>
            <w:color w:val="000000"/>
            <w:lang w:val="en-US"/>
          </w:rPr>
          <w:tag w:val="MENDELEY_CITATION_v3_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"/>
          <w:id w:val="-905683964"/>
          <w:placeholder>
            <w:docPart w:val="6A3501E96B2F45C2BFAA9A611DC17DC0"/>
          </w:placeholder>
        </w:sdtPr>
        <w:sdtEndPr/>
        <w:sdtContent>
          <w:r w:rsidR="00DB5A6F" w:rsidRPr="00114D09">
            <w:rPr>
              <w:color w:val="000000"/>
              <w:lang w:val="en-US"/>
            </w:rPr>
            <w:t>)</w:t>
          </w:r>
        </w:sdtContent>
      </w:sdt>
      <w:r w:rsidRPr="00114D09">
        <w:rPr>
          <w:lang w:val="en-US"/>
        </w:rPr>
        <w:t xml:space="preserve">, enabling to catch potential escalation of the consequences of the actions carried out by an attacker in a node. The relevant scenarios are defined in terms of the triplet node - security event - mechanism of action (ND-SE-MA). To guide the systematic application, this step has been divided in 4 sub-steps (steps 4.1 - 4.3), which shall be carried out for each </w:t>
      </w:r>
      <w:r w:rsidR="00105248" w:rsidRPr="00114D09">
        <w:rPr>
          <w:lang w:val="en-US"/>
        </w:rPr>
        <w:t>ND</w:t>
      </w:r>
      <w:r w:rsidRPr="00114D09">
        <w:rPr>
          <w:lang w:val="en-US"/>
        </w:rPr>
        <w:t xml:space="preserve">. </w:t>
      </w:r>
      <w:r w:rsidR="00105248" w:rsidRPr="00114D09">
        <w:rPr>
          <w:lang w:val="en-US"/>
        </w:rPr>
        <w:t>Step</w:t>
      </w:r>
      <w:r w:rsidRPr="00114D09">
        <w:rPr>
          <w:lang w:val="en-US"/>
        </w:rPr>
        <w:t xml:space="preserve"> 4.1 consists in the identification of the categories of mechanisms of action (CMA) for each SE associated to the ND under assessment. CMAs are general mechanisms</w:t>
      </w:r>
      <w:r w:rsidR="00D95368" w:rsidRPr="00114D09">
        <w:rPr>
          <w:lang w:val="en-US"/>
        </w:rPr>
        <w:t xml:space="preserve"> </w:t>
      </w:r>
      <w:r w:rsidRPr="00114D09">
        <w:rPr>
          <w:lang w:val="en-US"/>
        </w:rPr>
        <w:t xml:space="preserve">that can initiate a </w:t>
      </w:r>
      <w:r w:rsidR="00D95368" w:rsidRPr="00114D09">
        <w:rPr>
          <w:lang w:val="en-US"/>
        </w:rPr>
        <w:t>SE</w:t>
      </w:r>
      <w:r w:rsidR="00204EFD" w:rsidRPr="00114D09">
        <w:rPr>
          <w:lang w:val="en-US"/>
        </w:rPr>
        <w:t xml:space="preserve"> (e.g., </w:t>
      </w:r>
      <w:r w:rsidRPr="00114D09">
        <w:rPr>
          <w:color w:val="000000"/>
        </w:rPr>
        <w:t>“damage of the construction material of the containment system” is a possible generic CMA that initiates a LOC</w:t>
      </w:r>
      <w:r w:rsidR="0065451E" w:rsidRPr="00114D09">
        <w:rPr>
          <w:color w:val="000000"/>
        </w:rPr>
        <w:t>). Step</w:t>
      </w:r>
      <w:r w:rsidRPr="00114D09">
        <w:rPr>
          <w:color w:val="000000"/>
        </w:rPr>
        <w:t xml:space="preserve"> 4.2 consists in the identification of the specific mechanisms of action (MA) through which each CMA can be obtained in the plant analysed and the ND where such MA shall be carried out. MAs are specific mechanisms (based on the features of the plant analysed) that can initiate a </w:t>
      </w:r>
      <w:r w:rsidR="0065451E" w:rsidRPr="00114D09">
        <w:rPr>
          <w:color w:val="000000"/>
        </w:rPr>
        <w:t xml:space="preserve">SE (e.g., </w:t>
      </w:r>
      <w:r w:rsidRPr="00114D09">
        <w:rPr>
          <w:color w:val="000000"/>
        </w:rPr>
        <w:t>“inducing high pressure in the separator” is a possible MA which can be grouped into the CMA mentioned above initiating a LOC</w:t>
      </w:r>
      <w:r w:rsidR="00E07122" w:rsidRPr="00114D09">
        <w:rPr>
          <w:color w:val="000000"/>
        </w:rPr>
        <w:t>)</w:t>
      </w:r>
      <w:r w:rsidRPr="00114D09">
        <w:rPr>
          <w:color w:val="000000"/>
        </w:rPr>
        <w:t xml:space="preserve">. </w:t>
      </w:r>
      <w:r w:rsidR="007D48DC" w:rsidRPr="00114D09">
        <w:rPr>
          <w:color w:val="000000"/>
        </w:rPr>
        <w:t>It's crucial to emphasize that</w:t>
      </w:r>
      <w:r w:rsidR="007F15E9" w:rsidRPr="00114D09">
        <w:rPr>
          <w:color w:val="000000"/>
        </w:rPr>
        <w:t xml:space="preserve"> to obtain </w:t>
      </w:r>
      <w:r w:rsidR="007D48DC" w:rsidRPr="00114D09">
        <w:rPr>
          <w:color w:val="000000"/>
        </w:rPr>
        <w:t>a CMA, it might be necessary to perform MAs in nodes other than the one being evaluated</w:t>
      </w:r>
      <w:r w:rsidR="00114D09" w:rsidRPr="00114D09">
        <w:rPr>
          <w:color w:val="000000"/>
        </w:rPr>
        <w:t xml:space="preserve"> (e.g., more flowrate in a node causes high level in an</w:t>
      </w:r>
      <w:r w:rsidR="00114D09">
        <w:rPr>
          <w:color w:val="000000"/>
        </w:rPr>
        <w:t xml:space="preserve"> </w:t>
      </w:r>
      <w:r w:rsidR="00114D09" w:rsidRPr="00114D09">
        <w:rPr>
          <w:color w:val="000000"/>
        </w:rPr>
        <w:t>equipment unit in a nearby node)</w:t>
      </w:r>
      <w:r w:rsidR="007F15E9">
        <w:rPr>
          <w:color w:val="000000"/>
        </w:rPr>
        <w:t>: i</w:t>
      </w:r>
      <w:r w:rsidR="007D48DC" w:rsidRPr="007D48DC">
        <w:rPr>
          <w:color w:val="000000"/>
        </w:rPr>
        <w:t xml:space="preserve">n such situations, information is transferred from one node to another in a manner akin to how deviations spread through various nodes in a conventional </w:t>
      </w:r>
      <w:proofErr w:type="spellStart"/>
      <w:r w:rsidR="007D48DC" w:rsidRPr="007D48DC">
        <w:rPr>
          <w:color w:val="000000"/>
        </w:rPr>
        <w:t>HazOp</w:t>
      </w:r>
      <w:proofErr w:type="spellEnd"/>
      <w:r w:rsidR="007D48DC" w:rsidRPr="007D48DC">
        <w:rPr>
          <w:color w:val="000000"/>
        </w:rPr>
        <w:t xml:space="preserve"> analysis</w:t>
      </w:r>
      <w:r w:rsidR="00BA32F1">
        <w:rPr>
          <w:color w:val="000000"/>
        </w:rPr>
        <w:t xml:space="preserve">, highlighting </w:t>
      </w:r>
      <w:r w:rsidR="00114D09">
        <w:rPr>
          <w:color w:val="000000"/>
        </w:rPr>
        <w:t>interdependencies between nodes</w:t>
      </w:r>
      <w:r w:rsidR="00ED3DB8">
        <w:rPr>
          <w:color w:val="000000"/>
        </w:rPr>
        <w:t xml:space="preserve">. </w:t>
      </w:r>
      <w:r w:rsidR="00E07122">
        <w:rPr>
          <w:color w:val="000000"/>
        </w:rPr>
        <w:t>S</w:t>
      </w:r>
      <w:r w:rsidRPr="00FD28F8">
        <w:rPr>
          <w:color w:val="000000"/>
        </w:rPr>
        <w:t>tep 4.3 consists in the assessment of the severity vector associated with each</w:t>
      </w:r>
      <w:r w:rsidR="006D6D49">
        <w:rPr>
          <w:color w:val="000000"/>
        </w:rPr>
        <w:t xml:space="preserve"> identified</w:t>
      </w:r>
      <w:r w:rsidRPr="00FD28F8">
        <w:rPr>
          <w:color w:val="000000"/>
        </w:rPr>
        <w:t xml:space="preserve"> triplet </w:t>
      </w:r>
      <w:proofErr w:type="spellStart"/>
      <w:r w:rsidRPr="00FD28F8">
        <w:rPr>
          <w:color w:val="000000"/>
        </w:rPr>
        <w:t>ND</w:t>
      </w:r>
      <w:r w:rsidRPr="00FD28F8">
        <w:rPr>
          <w:color w:val="000000"/>
          <w:vertAlign w:val="subscript"/>
        </w:rPr>
        <w:t>i</w:t>
      </w:r>
      <w:proofErr w:type="spellEnd"/>
      <w:r w:rsidRPr="00FD28F8">
        <w:rPr>
          <w:color w:val="000000"/>
        </w:rPr>
        <w:t>-SE</w:t>
      </w:r>
      <w:r w:rsidRPr="00FD28F8">
        <w:rPr>
          <w:color w:val="000000"/>
          <w:vertAlign w:val="subscript"/>
        </w:rPr>
        <w:t>j</w:t>
      </w:r>
      <w:r w:rsidRPr="00FD28F8">
        <w:rPr>
          <w:color w:val="000000"/>
        </w:rPr>
        <w:t>-</w:t>
      </w:r>
      <w:proofErr w:type="spellStart"/>
      <w:r w:rsidRPr="00FD28F8">
        <w:rPr>
          <w:color w:val="000000"/>
        </w:rPr>
        <w:t>MA</w:t>
      </w:r>
      <w:r w:rsidRPr="00FD28F8">
        <w:rPr>
          <w:color w:val="000000"/>
          <w:vertAlign w:val="subscript"/>
        </w:rPr>
        <w:t>k</w:t>
      </w:r>
      <w:proofErr w:type="spellEnd"/>
      <w:r w:rsidRPr="00FD28F8">
        <w:rPr>
          <w:color w:val="000000"/>
        </w:rPr>
        <w:t xml:space="preserve"> in the node under assessment. The severity vector evaluates the impact of the SE</w:t>
      </w:r>
      <w:r w:rsidRPr="00FD28F8">
        <w:rPr>
          <w:color w:val="000000"/>
          <w:vertAlign w:val="subscript"/>
        </w:rPr>
        <w:t xml:space="preserve">j </w:t>
      </w:r>
      <w:r w:rsidRPr="00FD28F8">
        <w:rPr>
          <w:color w:val="000000"/>
        </w:rPr>
        <w:t xml:space="preserve">initiated by </w:t>
      </w:r>
      <w:proofErr w:type="spellStart"/>
      <w:r w:rsidRPr="00FD28F8">
        <w:rPr>
          <w:color w:val="000000"/>
        </w:rPr>
        <w:t>MA</w:t>
      </w:r>
      <w:r w:rsidRPr="00FD28F8">
        <w:rPr>
          <w:color w:val="000000"/>
          <w:vertAlign w:val="subscript"/>
        </w:rPr>
        <w:t>k</w:t>
      </w:r>
      <w:proofErr w:type="spellEnd"/>
      <w:r w:rsidRPr="00FD28F8">
        <w:rPr>
          <w:color w:val="000000"/>
        </w:rPr>
        <w:t xml:space="preserve"> in </w:t>
      </w:r>
      <w:proofErr w:type="spellStart"/>
      <w:r w:rsidRPr="00FD28F8">
        <w:rPr>
          <w:color w:val="000000"/>
        </w:rPr>
        <w:t>ND</w:t>
      </w:r>
      <w:r w:rsidRPr="00FD28F8">
        <w:rPr>
          <w:color w:val="000000"/>
          <w:vertAlign w:val="subscript"/>
        </w:rPr>
        <w:t>i</w:t>
      </w:r>
      <w:proofErr w:type="spellEnd"/>
      <w:r w:rsidRPr="00FD28F8">
        <w:rPr>
          <w:color w:val="000000"/>
        </w:rPr>
        <w:t xml:space="preserve"> using four severity levels</w:t>
      </w:r>
      <w:r w:rsidR="00304DFD">
        <w:rPr>
          <w:color w:val="000000"/>
        </w:rPr>
        <w:t>, i.e.,</w:t>
      </w:r>
      <w:r w:rsidRPr="00FD28F8">
        <w:rPr>
          <w:color w:val="000000"/>
        </w:rPr>
        <w:t xml:space="preserve"> minor (1), medium (2), major (3), and extensive (4)</w:t>
      </w:r>
      <w:r w:rsidR="00304DFD">
        <w:rPr>
          <w:color w:val="000000"/>
        </w:rPr>
        <w:t xml:space="preserve">, and four targets, i.e., people, </w:t>
      </w:r>
      <w:r w:rsidR="00400B6E">
        <w:rPr>
          <w:color w:val="000000"/>
        </w:rPr>
        <w:t>assets, environment, and reputation</w:t>
      </w:r>
      <w:r w:rsidRPr="00FD28F8">
        <w:rPr>
          <w:color w:val="000000"/>
        </w:rPr>
        <w:t xml:space="preserve">. </w:t>
      </w:r>
      <w:r w:rsidRPr="00FD28F8">
        <w:rPr>
          <w:color w:val="000000"/>
          <w:lang w:val="en-US"/>
        </w:rPr>
        <w:t xml:space="preserve">It is important to underline that the severity vector for each triplet ND-SE-MA shall be estimated considering the effect that such SE initiated through such MA has in the entire plant, not only in the </w:t>
      </w:r>
      <w:r w:rsidR="004E65D0">
        <w:rPr>
          <w:color w:val="000000"/>
          <w:lang w:val="en-US"/>
        </w:rPr>
        <w:t>ND</w:t>
      </w:r>
      <w:r w:rsidRPr="00FD28F8">
        <w:rPr>
          <w:color w:val="000000"/>
          <w:lang w:val="en-US"/>
        </w:rPr>
        <w:t xml:space="preserve"> where it occurs. </w:t>
      </w:r>
      <w:r w:rsidR="00400B6E" w:rsidRPr="004E65D0">
        <w:rPr>
          <w:color w:val="000000"/>
          <w:lang w:val="en-US"/>
        </w:rPr>
        <w:t xml:space="preserve">Step </w:t>
      </w:r>
      <w:r w:rsidRPr="004E65D0">
        <w:rPr>
          <w:color w:val="000000"/>
        </w:rPr>
        <w:t>4.3 provides also for the selection of the relevant triplets ND-SE-MA. A straightforward cut-off criterium that prioritizes SEs with the most severe impact (i.e., a severity level of 3 or higher for at least one target) is suggested</w:t>
      </w:r>
      <w:r w:rsidR="008E5E39">
        <w:rPr>
          <w:color w:val="000000"/>
        </w:rPr>
        <w:t>; however</w:t>
      </w:r>
      <w:r w:rsidRPr="004E65D0">
        <w:rPr>
          <w:color w:val="000000"/>
        </w:rPr>
        <w:t>, alternative cut-off criteria may be appropriate</w:t>
      </w:r>
      <w:r w:rsidR="004E65D0" w:rsidRPr="004E65D0">
        <w:rPr>
          <w:color w:val="000000"/>
        </w:rPr>
        <w:t>.</w:t>
      </w:r>
    </w:p>
    <w:p w14:paraId="0CF3D526" w14:textId="7D2181DE" w:rsidR="00FD28F8" w:rsidRPr="00FD28F8" w:rsidRDefault="00FD28F8" w:rsidP="00D7186A">
      <w:pPr>
        <w:pStyle w:val="Paragrafoelenco"/>
        <w:ind w:left="0"/>
        <w:rPr>
          <w:color w:val="000000"/>
        </w:rPr>
      </w:pPr>
      <w:r w:rsidRPr="00FD28F8">
        <w:rPr>
          <w:color w:val="000000"/>
        </w:rPr>
        <w:t xml:space="preserve">The following steps are then limited in the scope </w:t>
      </w:r>
      <w:r w:rsidR="00D7186A">
        <w:rPr>
          <w:color w:val="000000"/>
        </w:rPr>
        <w:t xml:space="preserve">of the selected </w:t>
      </w:r>
      <w:r w:rsidR="002B545D">
        <w:rPr>
          <w:color w:val="000000"/>
        </w:rPr>
        <w:t xml:space="preserve">relevant </w:t>
      </w:r>
      <w:r w:rsidR="00D7186A">
        <w:rPr>
          <w:color w:val="000000"/>
        </w:rPr>
        <w:t>triplets ND-SE-MA</w:t>
      </w:r>
      <w:r w:rsidRPr="00FD28F8">
        <w:rPr>
          <w:color w:val="000000"/>
        </w:rPr>
        <w:t>.</w:t>
      </w:r>
    </w:p>
    <w:p w14:paraId="2A882A87" w14:textId="6759106A" w:rsidR="00AB2879" w:rsidRDefault="00FD28F8" w:rsidP="00AB2879">
      <w:pPr>
        <w:pStyle w:val="Paragrafoelenco"/>
        <w:ind w:left="0"/>
        <w:rPr>
          <w:lang w:val="en-US"/>
        </w:rPr>
      </w:pPr>
      <w:r w:rsidRPr="00FD28F8">
        <w:rPr>
          <w:color w:val="000000"/>
        </w:rPr>
        <w:t xml:space="preserve">In Step 5 </w:t>
      </w:r>
      <w:r w:rsidRPr="00FD28F8">
        <w:rPr>
          <w:color w:val="000000"/>
          <w:lang w:val="en-US"/>
        </w:rPr>
        <w:t xml:space="preserve">of </w:t>
      </w:r>
      <w:r w:rsidRPr="00FD28F8">
        <w:rPr>
          <w:lang w:val="en-US"/>
        </w:rPr>
        <w:t>POROS 2.0</w:t>
      </w:r>
      <w:r w:rsidRPr="00FD28F8">
        <w:rPr>
          <w:color w:val="000000"/>
        </w:rPr>
        <w:t xml:space="preserve">, the remotely manipulable components (RMC) located in the </w:t>
      </w:r>
      <w:r w:rsidR="002B545D">
        <w:rPr>
          <w:color w:val="000000"/>
        </w:rPr>
        <w:t>relevant select NDs</w:t>
      </w:r>
      <w:r w:rsidRPr="00FD28F8">
        <w:rPr>
          <w:color w:val="000000"/>
        </w:rPr>
        <w:t xml:space="preserve"> and their manipulative elements (ME) are identified and characterized. RMCs are the physical </w:t>
      </w:r>
      <w:r w:rsidRPr="00CC4E00">
        <w:t>objects in the plant whose operation is regulated by the BPCS and the SIS (e.g., automatic control and shutoff valves, pumps, compressors, etc.</w:t>
      </w:r>
      <w:r w:rsidR="00726398">
        <w:t>, and thus every component which is not manual</w:t>
      </w:r>
      <w:r w:rsidRPr="00CC4E00">
        <w:t>), while MEs are the elements of the BPCS and the SIS that regulate</w:t>
      </w:r>
      <w:r w:rsidR="000516FA">
        <w:t xml:space="preserve"> behaviour of</w:t>
      </w:r>
      <w:r w:rsidRPr="00CC4E00">
        <w:t xml:space="preserve"> RMCs (e.g., </w:t>
      </w:r>
      <w:r w:rsidRPr="00FD28F8">
        <w:rPr>
          <w:rFonts w:cstheme="minorHAnsi"/>
        </w:rPr>
        <w:t>PID and PLC controllers and their logics</w:t>
      </w:r>
      <w:r w:rsidR="000516FA">
        <w:rPr>
          <w:rFonts w:cstheme="minorHAnsi"/>
        </w:rPr>
        <w:t xml:space="preserve"> which act on e.g. on valves</w:t>
      </w:r>
      <w:r w:rsidRPr="00FD28F8">
        <w:rPr>
          <w:rFonts w:cstheme="minorHAnsi"/>
        </w:rPr>
        <w:t>)</w:t>
      </w:r>
      <w:r w:rsidRPr="00CC4E00">
        <w:t>.</w:t>
      </w:r>
      <w:r w:rsidR="002B545D">
        <w:t xml:space="preserve"> </w:t>
      </w:r>
      <w:r w:rsidRPr="00FD28F8">
        <w:rPr>
          <w:color w:val="000000"/>
        </w:rPr>
        <w:t xml:space="preserve">Characterization of MEs consists in the </w:t>
      </w:r>
      <w:r w:rsidR="00A7565F">
        <w:rPr>
          <w:color w:val="000000"/>
        </w:rPr>
        <w:t>definition</w:t>
      </w:r>
      <w:r w:rsidRPr="00FD28F8">
        <w:rPr>
          <w:color w:val="000000"/>
        </w:rPr>
        <w:t xml:space="preserve"> of </w:t>
      </w:r>
      <w:r w:rsidRPr="00FD28F8">
        <w:rPr>
          <w:lang w:val="en-US"/>
        </w:rPr>
        <w:t xml:space="preserve">the remote manipulations (RMs) that an attacker can carry out on them </w:t>
      </w:r>
      <w:r w:rsidR="002B545D">
        <w:rPr>
          <w:lang w:val="en-US"/>
        </w:rPr>
        <w:t>(e.g., setpoint change</w:t>
      </w:r>
      <w:r w:rsidR="00230BE8">
        <w:rPr>
          <w:lang w:val="en-US"/>
        </w:rPr>
        <w:t xml:space="preserve"> on a PID controller</w:t>
      </w:r>
      <w:r w:rsidR="002B545D">
        <w:rPr>
          <w:lang w:val="en-US"/>
        </w:rPr>
        <w:t>)</w:t>
      </w:r>
      <w:r w:rsidRPr="00FD28F8">
        <w:rPr>
          <w:lang w:val="en-US"/>
        </w:rPr>
        <w:t xml:space="preserve">. Analogously, characterization of RMCs consists in the </w:t>
      </w:r>
      <w:r w:rsidR="00195E04">
        <w:rPr>
          <w:lang w:val="en-US"/>
        </w:rPr>
        <w:t>definition</w:t>
      </w:r>
      <w:r w:rsidRPr="00FD28F8">
        <w:rPr>
          <w:lang w:val="en-US"/>
        </w:rPr>
        <w:t xml:space="preserve"> of the physical changes that occur on them </w:t>
      </w:r>
      <w:proofErr w:type="gramStart"/>
      <w:r w:rsidRPr="00FD28F8">
        <w:rPr>
          <w:lang w:val="en-US"/>
        </w:rPr>
        <w:t>as a consequence of</w:t>
      </w:r>
      <w:proofErr w:type="gramEnd"/>
      <w:r w:rsidRPr="00FD28F8">
        <w:rPr>
          <w:lang w:val="en-US"/>
        </w:rPr>
        <w:t xml:space="preserve"> RMs on the ME by which the RMCs are regulated, named local consequences (L</w:t>
      </w:r>
      <w:r w:rsidR="00AB2879">
        <w:rPr>
          <w:lang w:val="en-US"/>
        </w:rPr>
        <w:t xml:space="preserve">C, e.g., </w:t>
      </w:r>
      <w:r w:rsidR="0013590B" w:rsidRPr="0013590B">
        <w:rPr>
          <w:lang w:val="en-US"/>
        </w:rPr>
        <w:t xml:space="preserve">the closing of a valve as a consequence of changing the set point of the controller acting on </w:t>
      </w:r>
      <w:r w:rsidR="002636E9">
        <w:rPr>
          <w:lang w:val="en-US"/>
        </w:rPr>
        <w:t>the valve</w:t>
      </w:r>
      <w:r w:rsidR="00AB2879">
        <w:rPr>
          <w:lang w:val="en-US"/>
        </w:rPr>
        <w:t>).</w:t>
      </w:r>
    </w:p>
    <w:p w14:paraId="399781A1" w14:textId="5D7EC215" w:rsidR="00FD28F8" w:rsidRPr="00FD28F8" w:rsidRDefault="00FD28F8" w:rsidP="00AB2879">
      <w:pPr>
        <w:pStyle w:val="Paragrafoelenco"/>
        <w:ind w:left="0"/>
        <w:rPr>
          <w:lang w:val="en-US"/>
        </w:rPr>
      </w:pPr>
      <w:r>
        <w:t xml:space="preserve">In Step 6 </w:t>
      </w:r>
      <w:r w:rsidRPr="00FD28F8">
        <w:rPr>
          <w:color w:val="000000"/>
        </w:rPr>
        <w:t>of</w:t>
      </w:r>
      <w:r w:rsidRPr="00FD28F8">
        <w:rPr>
          <w:color w:val="000000"/>
          <w:lang w:val="en-US"/>
        </w:rPr>
        <w:t xml:space="preserve"> </w:t>
      </w:r>
      <w:r w:rsidRPr="00FD28F8">
        <w:rPr>
          <w:lang w:val="en-US"/>
        </w:rPr>
        <w:t xml:space="preserve">POROS 2.0 the combinations (CM) of local consequences on the RMCs located in the ND that are required to perform the MA are identified. </w:t>
      </w:r>
    </w:p>
    <w:p w14:paraId="22FE9D25" w14:textId="3BF43D8A" w:rsidR="00FD28F8" w:rsidRPr="00FD28F8" w:rsidRDefault="00FD28F8" w:rsidP="00EB68CE">
      <w:pPr>
        <w:pStyle w:val="Paragrafoelenco"/>
        <w:ind w:left="0"/>
        <w:rPr>
          <w:lang w:val="en-US"/>
        </w:rPr>
      </w:pPr>
      <w:r w:rsidRPr="00FD28F8">
        <w:rPr>
          <w:lang w:val="en-US"/>
        </w:rPr>
        <w:t xml:space="preserve">In Step 7 </w:t>
      </w:r>
      <w:r w:rsidRPr="00FD28F8">
        <w:rPr>
          <w:color w:val="000000"/>
        </w:rPr>
        <w:t>of</w:t>
      </w:r>
      <w:r w:rsidRPr="00FD28F8">
        <w:rPr>
          <w:color w:val="000000"/>
          <w:lang w:val="en-US"/>
        </w:rPr>
        <w:t xml:space="preserve"> </w:t>
      </w:r>
      <w:r w:rsidRPr="00FD28F8">
        <w:rPr>
          <w:lang w:val="en-US"/>
        </w:rPr>
        <w:t>POROS 2.0 the Active/Procedural safeguards (APS</w:t>
      </w:r>
      <w:r w:rsidR="00CB5633">
        <w:rPr>
          <w:lang w:val="en-US"/>
        </w:rPr>
        <w:t xml:space="preserve">, e.g., </w:t>
      </w:r>
      <w:r w:rsidR="00EB68CE">
        <w:rPr>
          <w:lang w:val="en-US"/>
        </w:rPr>
        <w:t>ESD/PSD/LSD logics</w:t>
      </w:r>
      <w:r w:rsidRPr="00FD28F8">
        <w:rPr>
          <w:lang w:val="en-US"/>
        </w:rPr>
        <w:t>) and the Inherent/Passive safeguards (IPS</w:t>
      </w:r>
      <w:r w:rsidR="00EB68CE">
        <w:rPr>
          <w:lang w:val="en-US"/>
        </w:rPr>
        <w:t>, e.g., pressure safety valves</w:t>
      </w:r>
      <w:r w:rsidRPr="00FD28F8">
        <w:rPr>
          <w:lang w:val="en-US"/>
        </w:rPr>
        <w:t>) that can be effective in contrasting the MA are identified. Therefore, the manipulations required by the CM and the deactivation of the APSs contrasting the MA to which the CM refers, constitute a “CM+APS attack action” for the triplet ND-SE-MA</w:t>
      </w:r>
      <w:r w:rsidR="00DF7DD9">
        <w:rPr>
          <w:lang w:val="en-US"/>
        </w:rPr>
        <w:t xml:space="preserve"> considered</w:t>
      </w:r>
      <w:r w:rsidRPr="00FD28F8">
        <w:rPr>
          <w:lang w:val="en-US"/>
        </w:rPr>
        <w:t xml:space="preserve">. The CM+APS attack action thus results to be the complete set of all the actions that an attacker </w:t>
      </w:r>
      <w:proofErr w:type="gramStart"/>
      <w:r w:rsidRPr="00FD28F8">
        <w:rPr>
          <w:lang w:val="en-US"/>
        </w:rPr>
        <w:t>has to</w:t>
      </w:r>
      <w:proofErr w:type="gramEnd"/>
      <w:r w:rsidRPr="00FD28F8">
        <w:rPr>
          <w:lang w:val="en-US"/>
        </w:rPr>
        <w:t xml:space="preserve"> carry out in order to trigger a specific security event in a node through a specific mechanism of action.</w:t>
      </w:r>
    </w:p>
    <w:p w14:paraId="43C2D215" w14:textId="41A4247E" w:rsidR="00DD6D40" w:rsidRDefault="00FD28F8" w:rsidP="00DF7DD9">
      <w:pPr>
        <w:pStyle w:val="Paragrafoelenco"/>
        <w:ind w:left="0"/>
      </w:pPr>
      <w:r w:rsidRPr="00FD28F8">
        <w:rPr>
          <w:lang w:val="en-US"/>
        </w:rPr>
        <w:t xml:space="preserve">In Step 8 </w:t>
      </w:r>
      <w:r w:rsidRPr="00FD28F8">
        <w:rPr>
          <w:color w:val="000000"/>
        </w:rPr>
        <w:t>of</w:t>
      </w:r>
      <w:r w:rsidRPr="00FD28F8">
        <w:rPr>
          <w:color w:val="000000"/>
          <w:lang w:val="en-US"/>
        </w:rPr>
        <w:t xml:space="preserve"> </w:t>
      </w:r>
      <w:r w:rsidRPr="00FD28F8">
        <w:rPr>
          <w:lang w:val="en-US"/>
        </w:rPr>
        <w:t xml:space="preserve">POROS 2.0 the credibility score of each CM+APS attack action associated to the triplet ND-SE-MA under assessment is evaluated. </w:t>
      </w:r>
      <w:r>
        <w:t>The score is</w:t>
      </w:r>
      <w:r w:rsidRPr="000F6A0C">
        <w:t xml:space="preserve"> estimated combining </w:t>
      </w:r>
      <w:r>
        <w:t xml:space="preserve">in a matrix </w:t>
      </w:r>
      <w:r w:rsidRPr="000F6A0C">
        <w:t>a score on two dimensions: the “plant knowledge level” required by the attacker and the “cyber complexity” of the CM+APS attack action.</w:t>
      </w:r>
      <w:r>
        <w:t xml:space="preserve"> </w:t>
      </w:r>
      <w:r w:rsidRPr="00C7078F">
        <w:t>The "plant knowledge level" refers to the level of technical knowledge on the plant under assessment or on similar plants that is required by an attacker to carry out a specific CM+APS attack</w:t>
      </w:r>
      <w:r>
        <w:t xml:space="preserve"> action</w:t>
      </w:r>
      <w:r w:rsidR="00101063">
        <w:t>, while t</w:t>
      </w:r>
      <w:r w:rsidRPr="00C7078F">
        <w:t>he "cyber-complexity" of a CM+APS attack refers to how complex the attack is in terms of the number of RMCs</w:t>
      </w:r>
      <w:r w:rsidR="00DD6D40">
        <w:t xml:space="preserve"> that need to be manipulated</w:t>
      </w:r>
      <w:r w:rsidRPr="00C7078F">
        <w:t xml:space="preserve">, the number of zones that need to be accessed in the OT system, and whether a </w:t>
      </w:r>
      <w:r w:rsidRPr="00C7078F">
        <w:lastRenderedPageBreak/>
        <w:t xml:space="preserve">specific sequence and timing is required. </w:t>
      </w:r>
      <w:r w:rsidR="00DD6D40">
        <w:t xml:space="preserve">The ranks considered for both </w:t>
      </w:r>
      <w:r w:rsidR="00BF7ADB">
        <w:t>“plant knowledge level” and “cyber complexity”</w:t>
      </w:r>
      <w:r w:rsidR="00C075F8">
        <w:t xml:space="preserve"> and the</w:t>
      </w:r>
      <w:r w:rsidR="003B379F">
        <w:t>ir rationale</w:t>
      </w:r>
      <w:r w:rsidR="00BF7ADB">
        <w:t xml:space="preserve"> are </w:t>
      </w:r>
      <w:r w:rsidR="00111535">
        <w:t xml:space="preserve">proposed by the Authors and </w:t>
      </w:r>
      <w:r w:rsidR="00BF7ADB">
        <w:t xml:space="preserve">provided in </w:t>
      </w:r>
      <w:sdt>
        <w:sdtPr>
          <w:rPr>
            <w:color w:val="000000"/>
          </w:rPr>
          <w:tag w:val="MENDELEY_CITATION_v3_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"/>
          <w:id w:val="2136364004"/>
          <w:placeholder>
            <w:docPart w:val="DefaultPlaceholder_-1854013440"/>
          </w:placeholder>
        </w:sdtPr>
        <w:sdtEndPr/>
        <w:sdtContent>
          <w:r w:rsidR="00DB5A6F" w:rsidRPr="00DB5A6F">
            <w:rPr>
              <w:color w:val="000000"/>
            </w:rPr>
            <w:t>Iaiani et al. (2023a)</w:t>
          </w:r>
        </w:sdtContent>
      </w:sdt>
      <w:r w:rsidR="00563D04">
        <w:rPr>
          <w:color w:val="000000"/>
        </w:rPr>
        <w:t>.</w:t>
      </w:r>
    </w:p>
    <w:p w14:paraId="677EBFF0" w14:textId="3672E346" w:rsidR="00600535" w:rsidRPr="00B57B36" w:rsidRDefault="00D749DD" w:rsidP="00600535">
      <w:pPr>
        <w:pStyle w:val="CETHeading1"/>
        <w:tabs>
          <w:tab w:val="clear" w:pos="360"/>
          <w:tab w:val="right" w:pos="7100"/>
        </w:tabs>
        <w:jc w:val="both"/>
        <w:rPr>
          <w:lang w:val="en-GB"/>
        </w:rPr>
      </w:pPr>
      <w:r>
        <w:rPr>
          <w:lang w:val="en-GB"/>
        </w:rPr>
        <w:t>Case study</w:t>
      </w:r>
    </w:p>
    <w:p w14:paraId="04963A06" w14:textId="67C64CD6" w:rsidR="00600535" w:rsidRDefault="00D749DD" w:rsidP="00FA5F5F">
      <w:pPr>
        <w:pStyle w:val="CETheadingx"/>
      </w:pPr>
      <w:r>
        <w:t>Description</w:t>
      </w:r>
    </w:p>
    <w:p w14:paraId="38CED5B6" w14:textId="33875269" w:rsidR="00394E91" w:rsidRDefault="00ED573E" w:rsidP="00ED573E">
      <w:pPr>
        <w:pStyle w:val="CETBodytext"/>
      </w:pPr>
      <w:r>
        <w:t xml:space="preserve">The water treatment plant </w:t>
      </w:r>
      <w:r w:rsidR="00A95567">
        <w:t xml:space="preserve">considered in the case study </w:t>
      </w:r>
      <w:r>
        <w:t xml:space="preserve">aims to convert wastewater into a primary service </w:t>
      </w:r>
      <w:r w:rsidR="00A95567">
        <w:t xml:space="preserve">(drinking water) </w:t>
      </w:r>
      <w:r>
        <w:t>through a multi-step process</w:t>
      </w:r>
      <w:r w:rsidR="00BC7835">
        <w:t>: the block diagram of main process and utility systems is shown in Figure 2</w:t>
      </w:r>
      <w:r>
        <w:t xml:space="preserve">. Raw water is initially stored in specific wells and then pumped using submersible pumps </w:t>
      </w:r>
      <w:r w:rsidR="00AF42B2">
        <w:t>to a</w:t>
      </w:r>
      <w:r>
        <w:t xml:space="preserve"> two parallel filtration lines, each equipped with sand and anthracite filters, as well as granular activated carbon (GAC) filters. Pre-treatment steps include pre-oxidation with sodium hypochlorite</w:t>
      </w:r>
      <w:r w:rsidR="00324918">
        <w:t xml:space="preserve"> (</w:t>
      </w:r>
      <w:proofErr w:type="spellStart"/>
      <w:r w:rsidR="00D92BEA">
        <w:t>NaClO</w:t>
      </w:r>
      <w:proofErr w:type="spellEnd"/>
      <w:r w:rsidR="00D92BEA">
        <w:t>)</w:t>
      </w:r>
      <w:r>
        <w:t xml:space="preserve"> to minimize bacterial growth and pH adjustment with carbon dioxide </w:t>
      </w:r>
      <w:r w:rsidR="00324918">
        <w:t>(CO</w:t>
      </w:r>
      <w:r w:rsidR="00324918" w:rsidRPr="00D92BEA">
        <w:rPr>
          <w:vertAlign w:val="subscript"/>
        </w:rPr>
        <w:t>2</w:t>
      </w:r>
      <w:r w:rsidR="00324918">
        <w:t xml:space="preserve">) </w:t>
      </w:r>
      <w:r>
        <w:t>to enhance coagulant precipitation and reduce dissolved aluminum and iron</w:t>
      </w:r>
      <w:r w:rsidR="00FD4214">
        <w:t>, while c</w:t>
      </w:r>
      <w:r>
        <w:t xml:space="preserve">oagulation is achieved using </w:t>
      </w:r>
      <w:r w:rsidR="000D2282" w:rsidRPr="000D2282">
        <w:t>aluminum polychloride</w:t>
      </w:r>
      <w:r w:rsidR="00D92BEA">
        <w:t xml:space="preserve"> (AlCl</w:t>
      </w:r>
      <w:r w:rsidR="00D92BEA" w:rsidRPr="00D92BEA">
        <w:rPr>
          <w:vertAlign w:val="subscript"/>
        </w:rPr>
        <w:t>3</w:t>
      </w:r>
      <w:r w:rsidR="00D92BEA">
        <w:t>)</w:t>
      </w:r>
      <w:r w:rsidR="00FD4214">
        <w:t>.</w:t>
      </w:r>
      <w:r w:rsidR="00743B62">
        <w:t xml:space="preserve"> F</w:t>
      </w:r>
      <w:r>
        <w:t>iltration through sand and anthracite filters</w:t>
      </w:r>
      <w:r w:rsidR="0093669B">
        <w:t xml:space="preserve"> is performed</w:t>
      </w:r>
      <w:r>
        <w:t xml:space="preserve"> to remove solid particles and contaminants</w:t>
      </w:r>
      <w:r w:rsidR="0093669B">
        <w:t xml:space="preserve"> in the water</w:t>
      </w:r>
      <w:r w:rsidR="00F7003E">
        <w:t>, while g</w:t>
      </w:r>
      <w:r>
        <w:t xml:space="preserve">ranular activated carbon filters further remove organic substances, chlorine, and other unwanted compounds. Both filter systems undergo periodic </w:t>
      </w:r>
      <w:r w:rsidR="00F7003E">
        <w:t>cleaning</w:t>
      </w:r>
      <w:r>
        <w:t xml:space="preserve"> with water and air. The treated water is stored in two tanks, with a portion allocated for collecting </w:t>
      </w:r>
      <w:r w:rsidR="007E303B">
        <w:t>cleaning</w:t>
      </w:r>
      <w:r>
        <w:t xml:space="preserve"> water. Finally, sodium hypochlorite </w:t>
      </w:r>
      <w:r w:rsidR="007E303B">
        <w:t>(</w:t>
      </w:r>
      <w:proofErr w:type="spellStart"/>
      <w:r w:rsidR="007E303B">
        <w:t>NaClO</w:t>
      </w:r>
      <w:proofErr w:type="spellEnd"/>
      <w:r w:rsidR="007E303B">
        <w:t xml:space="preserve">) </w:t>
      </w:r>
      <w:r>
        <w:t>is dosed to prevent bacterial growth in the distribution network.</w:t>
      </w:r>
    </w:p>
    <w:p w14:paraId="7B8B197D" w14:textId="77777777" w:rsidR="00ED573E" w:rsidRPr="00394E91" w:rsidRDefault="00ED573E" w:rsidP="00ED573E">
      <w:pPr>
        <w:pStyle w:val="CETBodytext"/>
      </w:pPr>
    </w:p>
    <w:p w14:paraId="2E562C00" w14:textId="7ABE8B83" w:rsidR="004577FE" w:rsidRDefault="0011566E" w:rsidP="00625134">
      <w:pPr>
        <w:pStyle w:val="CETListbullets"/>
        <w:ind w:left="0" w:firstLine="0"/>
        <w:jc w:val="center"/>
      </w:pPr>
      <w:r w:rsidRPr="0011566E">
        <w:rPr>
          <w:noProof/>
        </w:rPr>
        <w:drawing>
          <wp:inline distT="0" distB="0" distL="0" distR="0" wp14:anchorId="07B4BFA3" wp14:editId="101B19EE">
            <wp:extent cx="4810760" cy="2299335"/>
            <wp:effectExtent l="0" t="0" r="8890" b="0"/>
            <wp:docPr id="24839698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760" cy="2299335"/>
                    </a:xfrm>
                    <a:prstGeom prst="rect">
                      <a:avLst/>
                    </a:prstGeom>
                    <a:noFill/>
                    <a:ln>
                      <a:noFill/>
                    </a:ln>
                  </pic:spPr>
                </pic:pic>
              </a:graphicData>
            </a:graphic>
          </wp:inline>
        </w:drawing>
      </w:r>
    </w:p>
    <w:p w14:paraId="28CC53B0" w14:textId="55ADA09E" w:rsidR="00DF75BA" w:rsidRPr="00BD077D" w:rsidRDefault="00DF75BA" w:rsidP="00DF75BA">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sidR="00625134">
        <w:rPr>
          <w:rStyle w:val="CETCaptionCarattere"/>
          <w:i/>
        </w:rPr>
        <w:t>Block diagram of the drinking water treatment plant</w:t>
      </w:r>
      <w:r w:rsidR="001D4EFE">
        <w:rPr>
          <w:rStyle w:val="CETCaptionCarattere"/>
          <w:i/>
        </w:rPr>
        <w:t xml:space="preserve"> (</w:t>
      </w:r>
      <w:r w:rsidR="00394E91">
        <w:rPr>
          <w:rStyle w:val="CETCaptionCarattere"/>
          <w:i/>
        </w:rPr>
        <w:t>grey-</w:t>
      </w:r>
      <w:r w:rsidR="001D4EFE">
        <w:rPr>
          <w:rStyle w:val="CETCaptionCarattere"/>
          <w:i/>
        </w:rPr>
        <w:t xml:space="preserve">shaded </w:t>
      </w:r>
      <w:r w:rsidR="00394E91">
        <w:rPr>
          <w:rStyle w:val="CETCaptionCarattere"/>
          <w:i/>
        </w:rPr>
        <w:t>blocks refer to utilities).</w:t>
      </w:r>
    </w:p>
    <w:p w14:paraId="1F96CA21" w14:textId="581F7A5E" w:rsidR="00600535" w:rsidRDefault="00D749DD" w:rsidP="00FA5F5F">
      <w:pPr>
        <w:pStyle w:val="CETheadingx"/>
      </w:pPr>
      <w:r>
        <w:t>Results</w:t>
      </w:r>
      <w:r w:rsidR="00BF6758">
        <w:t xml:space="preserve"> and discussion</w:t>
      </w:r>
    </w:p>
    <w:p w14:paraId="2EB7FC4E" w14:textId="366567F3" w:rsidR="008E7AF0" w:rsidRDefault="00FD1425" w:rsidP="008E7AF0">
      <w:pPr>
        <w:pStyle w:val="CETBodytext"/>
      </w:pPr>
      <w:r>
        <w:t xml:space="preserve">The scope of </w:t>
      </w:r>
      <w:r w:rsidR="000C73A0">
        <w:t>analysis was set</w:t>
      </w:r>
      <w:r w:rsidR="00D67245">
        <w:t xml:space="preserve"> to also include </w:t>
      </w:r>
      <w:r w:rsidR="000B66EB">
        <w:t xml:space="preserve">operability aspects given the absence of hazardous materials </w:t>
      </w:r>
      <w:r w:rsidR="00773759">
        <w:t xml:space="preserve">processed or stored in the plant analyzed (Step 1). </w:t>
      </w:r>
      <w:r w:rsidR="00845A8A">
        <w:t>Each block</w:t>
      </w:r>
      <w:r w:rsidR="002A54F1">
        <w:t xml:space="preserve"> shown in Figure 2</w:t>
      </w:r>
      <w:r w:rsidR="00776D6F">
        <w:t xml:space="preserve">, including utilities, was considered as a node in the analysis (Step 2). </w:t>
      </w:r>
      <w:r w:rsidR="004C73C4">
        <w:t xml:space="preserve">In the following, </w:t>
      </w:r>
      <w:r w:rsidR="00885952">
        <w:t xml:space="preserve">only the results obtained for node ND16, the one corresponding to the </w:t>
      </w:r>
      <w:r w:rsidR="000623C1">
        <w:t xml:space="preserve">“Treated water distribution system" are presented for the sake of </w:t>
      </w:r>
      <w:r w:rsidR="00DB19F9">
        <w:t>conciseness</w:t>
      </w:r>
      <w:r w:rsidR="00BF1880">
        <w:t xml:space="preserve"> as POROS 2.0 application to </w:t>
      </w:r>
      <w:r w:rsidR="002A54F1">
        <w:t xml:space="preserve">such </w:t>
      </w:r>
      <w:proofErr w:type="gramStart"/>
      <w:r w:rsidR="002A54F1">
        <w:t>a number of</w:t>
      </w:r>
      <w:proofErr w:type="gramEnd"/>
      <w:r w:rsidR="002A54F1">
        <w:t xml:space="preserve"> nodes </w:t>
      </w:r>
      <w:r w:rsidR="00DC7508">
        <w:t>provide</w:t>
      </w:r>
      <w:r w:rsidR="00181863">
        <w:t>s a large amount of output data.</w:t>
      </w:r>
      <w:r w:rsidR="006B7FE8">
        <w:t xml:space="preserve"> The main results </w:t>
      </w:r>
      <w:r w:rsidR="00EC6E0B">
        <w:t>for ND16 are reported in Table 1.</w:t>
      </w:r>
      <w:r w:rsidR="00DC3594">
        <w:t xml:space="preserve"> A simplified P&amp;ID of the node is reported in Figure 3.</w:t>
      </w:r>
    </w:p>
    <w:p w14:paraId="393BC5B8" w14:textId="2F6B504E" w:rsidR="001E54A4" w:rsidRDefault="00FB60B7" w:rsidP="008E7AF0">
      <w:pPr>
        <w:pStyle w:val="CETBodytext"/>
      </w:pPr>
      <w:r>
        <w:t>“</w:t>
      </w:r>
      <w:r w:rsidR="00EC6E0B">
        <w:t>Cl</w:t>
      </w:r>
      <w:r w:rsidR="00EC6E0B" w:rsidRPr="00A11B53">
        <w:rPr>
          <w:vertAlign w:val="subscript"/>
        </w:rPr>
        <w:t>2</w:t>
      </w:r>
      <w:r w:rsidR="00EC6E0B">
        <w:t xml:space="preserve"> concentration out of specification” (SE01</w:t>
      </w:r>
      <w:r w:rsidR="00832E7B">
        <w:t xml:space="preserve">A), “Turbidity out of specification” (SE01B), </w:t>
      </w:r>
      <w:r w:rsidR="00125800">
        <w:t>“Stop of distribution pumps</w:t>
      </w:r>
      <w:r w:rsidR="00EC04D5">
        <w:t xml:space="preserve"> causing production outage</w:t>
      </w:r>
      <w:r w:rsidR="00125800">
        <w:t>” (SE02), and “Damage of distribution pumps</w:t>
      </w:r>
      <w:r w:rsidR="00EC04D5">
        <w:t xml:space="preserve"> causing production outage” (SE05) were the security events considered applicable to this ND</w:t>
      </w:r>
      <w:r w:rsidR="00555698">
        <w:t xml:space="preserve"> (Step 3). </w:t>
      </w:r>
      <w:r w:rsidR="001D51C1">
        <w:t xml:space="preserve">They derive from a guiding list provided in </w:t>
      </w:r>
      <w:r w:rsidR="009C68D1">
        <w:t>the reference source of the methodology</w:t>
      </w:r>
      <w:r w:rsidR="00B43B1B">
        <w:t xml:space="preserve"> </w:t>
      </w:r>
      <w:sdt>
        <w:sdtPr>
          <w:rPr>
            <w:color w:val="000000"/>
            <w:lang w:val="en-GB"/>
          </w:rPr>
          <w:tag w:val="MENDELEY_CITATION_v3_eyJjaXRhdGlvbklEIjoiTUVOREVMRVlfQ0lUQVRJT05fMTU5MDdhNmEtMTUyNy00OGFkLTg3MjItYTNiZWNkYzA0YzNkIiwicHJvcGVydGllcyI6eyJub3RlSW5kZXgiOjB9LCJpc0VkaXRlZCI6ZmFsc2UsIm1hbnVhbE92ZXJyaWRlIjp7ImlzTWFudWFsbHlPdmVycmlkZGVuIjpmYWxzZSwiY2l0ZXByb2NUZXh0IjoiKElhaWFuaSBldCBhbC4sIDIwMjNiKSIsIm1hbnVhbE92ZXJyaWRlVGV4dCI6IiJ9LCJjaXRhdGlvbkl0ZW1zIjpbey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X1dfQ=="/>
          <w:id w:val="-886100464"/>
          <w:placeholder>
            <w:docPart w:val="F976823D92A844D69B8FF550015A7408"/>
          </w:placeholder>
        </w:sdtPr>
        <w:sdtEndPr/>
        <w:sdtContent>
          <w:r w:rsidR="00920B80" w:rsidRPr="00DB5A6F">
            <w:rPr>
              <w:color w:val="000000"/>
              <w:lang w:val="en-GB"/>
            </w:rPr>
            <w:t>(Iaiani et al., 2023b)</w:t>
          </w:r>
        </w:sdtContent>
      </w:sdt>
      <w:r w:rsidR="009C68D1">
        <w:t>, tailored for th</w:t>
      </w:r>
      <w:r w:rsidR="00FC2EAE">
        <w:t>is specific case.</w:t>
      </w:r>
    </w:p>
    <w:p w14:paraId="0D2790D1" w14:textId="645D9133" w:rsidR="00A1074B" w:rsidRDefault="00A1074B" w:rsidP="008E7AF0">
      <w:pPr>
        <w:pStyle w:val="CETBodytext"/>
        <w:rPr>
          <w:rFonts w:cs="Arial"/>
          <w:szCs w:val="18"/>
          <w:lang w:val="en-GB"/>
        </w:rPr>
      </w:pPr>
      <w:r>
        <w:t xml:space="preserve">The triplets ND-SE-MA </w:t>
      </w:r>
      <w:r w:rsidR="008971D4">
        <w:t xml:space="preserve">which </w:t>
      </w:r>
      <w:r w:rsidR="008E10B5">
        <w:t xml:space="preserve">a </w:t>
      </w:r>
      <w:r w:rsidR="005C25A9">
        <w:t xml:space="preserve">severity level of 2 for at least one target </w:t>
      </w:r>
      <w:r w:rsidR="00232895">
        <w:t xml:space="preserve">(cut-off criterium adopted) </w:t>
      </w:r>
      <w:r w:rsidR="0077250B">
        <w:t xml:space="preserve">were selected, all reported in Table 1. </w:t>
      </w:r>
      <w:r w:rsidR="00A25702">
        <w:t xml:space="preserve">What is worth </w:t>
      </w:r>
      <w:r w:rsidR="003E341B">
        <w:t xml:space="preserve">noting is that </w:t>
      </w:r>
      <w:r w:rsidR="00E740FC">
        <w:t xml:space="preserve">the mechanisms of action to generate SE01A and </w:t>
      </w:r>
      <w:r w:rsidR="00E44A0D">
        <w:t xml:space="preserve">SE01B require manipulations of </w:t>
      </w:r>
      <w:r w:rsidR="00FA03BC">
        <w:t xml:space="preserve">components which belong to other nodes different from ND16 (propagation of the effect of manipulations </w:t>
      </w:r>
      <w:r w:rsidR="00FF0AC0">
        <w:t xml:space="preserve">between nodes), specifically </w:t>
      </w:r>
      <w:r w:rsidR="00A9729E">
        <w:t xml:space="preserve">ND03 </w:t>
      </w:r>
      <w:r w:rsidR="00A9729E">
        <w:rPr>
          <w:rFonts w:cs="Arial"/>
          <w:szCs w:val="18"/>
          <w:lang w:val="en-GB"/>
        </w:rPr>
        <w:t>“</w:t>
      </w:r>
      <w:proofErr w:type="spellStart"/>
      <w:r w:rsidR="00A9729E">
        <w:rPr>
          <w:rFonts w:cs="Arial"/>
          <w:szCs w:val="18"/>
          <w:lang w:val="en-GB"/>
        </w:rPr>
        <w:t>NaClO</w:t>
      </w:r>
      <w:proofErr w:type="spellEnd"/>
      <w:r w:rsidR="00A9729E">
        <w:rPr>
          <w:rFonts w:cs="Arial"/>
          <w:szCs w:val="18"/>
          <w:lang w:val="en-GB"/>
        </w:rPr>
        <w:t xml:space="preserve"> injection system” and ND04 “AlCl</w:t>
      </w:r>
      <w:r w:rsidR="00A9729E" w:rsidRPr="006B544F">
        <w:rPr>
          <w:rFonts w:cs="Arial"/>
          <w:szCs w:val="18"/>
          <w:vertAlign w:val="subscript"/>
          <w:lang w:val="en-GB"/>
        </w:rPr>
        <w:t>3</w:t>
      </w:r>
      <w:r w:rsidR="00A9729E">
        <w:rPr>
          <w:rFonts w:cs="Arial"/>
          <w:szCs w:val="18"/>
          <w:lang w:val="en-GB"/>
        </w:rPr>
        <w:t xml:space="preserve"> injection system” respectively. </w:t>
      </w:r>
      <w:r w:rsidR="00494A0B">
        <w:rPr>
          <w:rFonts w:cs="Arial"/>
          <w:szCs w:val="18"/>
          <w:lang w:val="en-GB"/>
        </w:rPr>
        <w:t xml:space="preserve">On the contrary only manipulation of elements in ND16 are required to </w:t>
      </w:r>
      <w:r w:rsidR="00845134">
        <w:rPr>
          <w:rFonts w:cs="Arial"/>
          <w:szCs w:val="18"/>
          <w:lang w:val="en-GB"/>
        </w:rPr>
        <w:t xml:space="preserve">generate SE02 and SE05. </w:t>
      </w:r>
      <w:proofErr w:type="gramStart"/>
      <w:r w:rsidR="00845134">
        <w:rPr>
          <w:rFonts w:cs="Arial"/>
          <w:szCs w:val="18"/>
          <w:lang w:val="en-GB"/>
        </w:rPr>
        <w:t>In particular</w:t>
      </w:r>
      <w:r w:rsidR="005C7833">
        <w:rPr>
          <w:rFonts w:cs="Arial"/>
          <w:szCs w:val="18"/>
          <w:lang w:val="en-GB"/>
        </w:rPr>
        <w:t>, SE05</w:t>
      </w:r>
      <w:proofErr w:type="gramEnd"/>
      <w:r w:rsidR="005C7833">
        <w:rPr>
          <w:rFonts w:cs="Arial"/>
          <w:szCs w:val="18"/>
          <w:lang w:val="en-GB"/>
        </w:rPr>
        <w:t xml:space="preserve"> can be obtained in two ways: by damaging </w:t>
      </w:r>
      <w:r w:rsidR="009B4E1F">
        <w:rPr>
          <w:rFonts w:cs="Arial"/>
          <w:szCs w:val="18"/>
          <w:lang w:val="en-GB"/>
        </w:rPr>
        <w:t xml:space="preserve">the motor driver of the pumps or by exceeding operative limits. </w:t>
      </w:r>
      <w:r w:rsidR="00196434">
        <w:rPr>
          <w:rFonts w:cs="Arial"/>
          <w:szCs w:val="18"/>
          <w:lang w:val="en-GB"/>
        </w:rPr>
        <w:t xml:space="preserve">Severity vectors </w:t>
      </w:r>
      <w:r w:rsidR="000C5C19">
        <w:rPr>
          <w:rFonts w:cs="Arial"/>
          <w:szCs w:val="18"/>
          <w:lang w:val="en-GB"/>
        </w:rPr>
        <w:t>were</w:t>
      </w:r>
      <w:r w:rsidR="00196434">
        <w:rPr>
          <w:rFonts w:cs="Arial"/>
          <w:szCs w:val="18"/>
          <w:lang w:val="en-GB"/>
        </w:rPr>
        <w:t xml:space="preserve"> </w:t>
      </w:r>
      <w:r w:rsidR="00CF197B">
        <w:rPr>
          <w:rFonts w:cs="Arial"/>
          <w:szCs w:val="18"/>
          <w:lang w:val="en-GB"/>
        </w:rPr>
        <w:t xml:space="preserve">estimated </w:t>
      </w:r>
      <w:r w:rsidR="00CC5102">
        <w:rPr>
          <w:rFonts w:cs="Arial"/>
          <w:szCs w:val="18"/>
          <w:lang w:val="en-GB"/>
        </w:rPr>
        <w:t xml:space="preserve">using the rank criteria reported in </w:t>
      </w:r>
      <w:r w:rsidR="00893779">
        <w:rPr>
          <w:rFonts w:cs="Arial"/>
          <w:szCs w:val="18"/>
          <w:lang w:val="en-GB"/>
        </w:rPr>
        <w:t xml:space="preserve">the reference source of the methodology: while SE01A/B </w:t>
      </w:r>
      <w:r w:rsidR="009F3415">
        <w:rPr>
          <w:rFonts w:cs="Arial"/>
          <w:szCs w:val="18"/>
          <w:lang w:val="en-GB"/>
        </w:rPr>
        <w:t xml:space="preserve">are deemed to generate only damages to reputation, SE02 and SE05 cause severe economic losses due to production outage </w:t>
      </w:r>
      <w:r w:rsidR="00922B0F">
        <w:rPr>
          <w:rFonts w:cs="Arial"/>
          <w:szCs w:val="18"/>
          <w:lang w:val="en-GB"/>
        </w:rPr>
        <w:t xml:space="preserve">combined or not with repair </w:t>
      </w:r>
      <w:r w:rsidR="002E3263">
        <w:rPr>
          <w:rFonts w:cs="Arial"/>
          <w:szCs w:val="18"/>
          <w:lang w:val="en-GB"/>
        </w:rPr>
        <w:t>and/or replacement of the pumps.</w:t>
      </w:r>
    </w:p>
    <w:p w14:paraId="245E9DAC" w14:textId="4489BA38" w:rsidR="00BA7630" w:rsidRDefault="00C3595E" w:rsidP="008E7AF0">
      <w:pPr>
        <w:pStyle w:val="CETBodytext"/>
      </w:pPr>
      <w:r>
        <w:rPr>
          <w:noProof/>
        </w:rPr>
        <w:lastRenderedPageBreak/>
        <mc:AlternateContent>
          <mc:Choice Requires="wps">
            <w:drawing>
              <wp:anchor distT="0" distB="0" distL="114300" distR="114300" simplePos="0" relativeHeight="251659264" behindDoc="0" locked="0" layoutInCell="1" allowOverlap="1" wp14:anchorId="424FC9FD" wp14:editId="774F89AC">
                <wp:simplePos x="0" y="0"/>
                <wp:positionH relativeFrom="column">
                  <wp:posOffset>8255</wp:posOffset>
                </wp:positionH>
                <wp:positionV relativeFrom="paragraph">
                  <wp:posOffset>2858135</wp:posOffset>
                </wp:positionV>
                <wp:extent cx="5579745" cy="635"/>
                <wp:effectExtent l="0" t="0" r="1905" b="7620"/>
                <wp:wrapSquare wrapText="bothSides"/>
                <wp:docPr id="207966011" name="Casella di testo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2F1603FE" w14:textId="169BC62B" w:rsidR="00FF6D76" w:rsidRPr="00FF6D76" w:rsidRDefault="00FF6D76" w:rsidP="00FF6D76">
                            <w:pPr>
                              <w:pStyle w:val="CETCaption"/>
                              <w:spacing w:before="0"/>
                            </w:pPr>
                            <w:r>
                              <w:t xml:space="preserve">Figure 3: Simplified P&amp;ID of node ND16 “Treated water distribution system”.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4FC9FD" id="_x0000_t202" coordsize="21600,21600" o:spt="202" path="m,l,21600r21600,l21600,xe">
                <v:stroke joinstyle="miter"/>
                <v:path gradientshapeok="t" o:connecttype="rect"/>
              </v:shapetype>
              <v:shape id="Casella di testo 1" o:spid="_x0000_s1026" type="#_x0000_t202" style="position:absolute;left:0;text-align:left;margin-left:.65pt;margin-top:225.05pt;width:439.3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" stroked="f">
                <v:textbox style="mso-fit-shape-to-text:t" inset="0,0,0,0">
                  <w:txbxContent>
                    <w:p w14:paraId="2F1603FE" w14:textId="169BC62B" w:rsidR="00FF6D76" w:rsidRPr="00FF6D76" w:rsidRDefault="00FF6D76" w:rsidP="00FF6D76">
                      <w:pPr>
                        <w:pStyle w:val="CETCaption"/>
                        <w:spacing w:before="0"/>
                      </w:pPr>
                      <w:r>
                        <w:t xml:space="preserve">Figure 3: Simplified P&amp;ID of node ND16 “Treated water distribution system”. </w:t>
                      </w:r>
                    </w:p>
                  </w:txbxContent>
                </v:textbox>
                <w10:wrap type="square"/>
              </v:shape>
            </w:pict>
          </mc:Fallback>
        </mc:AlternateContent>
      </w:r>
      <w:r w:rsidR="00E70010">
        <w:t>The distribution pumps P</w:t>
      </w:r>
      <w:r w:rsidR="00AC167A">
        <w:t xml:space="preserve">-01/02/03/04/05/06 are the </w:t>
      </w:r>
      <w:r w:rsidR="00F71569">
        <w:t>remotely manipulable components (RMC) allocated in ND16</w:t>
      </w:r>
      <w:r w:rsidR="00BA7630">
        <w:t xml:space="preserve">, while pumps PV-01/02 </w:t>
      </w:r>
      <w:r w:rsidR="00225C2E">
        <w:t xml:space="preserve">and PV-03/04 are </w:t>
      </w:r>
      <w:r w:rsidR="004F3B80">
        <w:t xml:space="preserve">the ones allocated in </w:t>
      </w:r>
      <w:r w:rsidR="009F027D">
        <w:t xml:space="preserve">ND03 and ND04 respectively (Step 5): all these </w:t>
      </w:r>
      <w:r w:rsidR="004C76C1">
        <w:t xml:space="preserve">machines are </w:t>
      </w:r>
      <w:r w:rsidR="00A629E8">
        <w:t xml:space="preserve">driven by electric motors (the manipulative elements, ME). The fourth column of </w:t>
      </w:r>
      <w:r w:rsidR="00CC74DE">
        <w:t xml:space="preserve">Table 1 reports </w:t>
      </w:r>
      <w:r w:rsidR="00A018B6">
        <w:t xml:space="preserve">the </w:t>
      </w:r>
      <w:r w:rsidR="00EA0380">
        <w:t xml:space="preserve">local consequences (LC) that </w:t>
      </w:r>
      <w:r w:rsidR="00E7282F">
        <w:t xml:space="preserve">are required </w:t>
      </w:r>
      <w:r w:rsidR="00DD5D51">
        <w:t>in the RMCs</w:t>
      </w:r>
      <w:r w:rsidR="00EA0380">
        <w:t xml:space="preserve"> </w:t>
      </w:r>
      <w:r w:rsidR="006E29BE">
        <w:t xml:space="preserve">to </w:t>
      </w:r>
      <w:r w:rsidR="001B4AD9">
        <w:t xml:space="preserve">carry out each MA </w:t>
      </w:r>
      <w:r w:rsidR="00727FB5">
        <w:t xml:space="preserve">which overall form the set of combinations (CM) for each </w:t>
      </w:r>
      <w:r w:rsidR="00471B6D">
        <w:t>ND-SE-MA triplet</w:t>
      </w:r>
      <w:r w:rsidR="001615DB">
        <w:t xml:space="preserve"> (Step 6)</w:t>
      </w:r>
      <w:r w:rsidR="00471B6D">
        <w:t xml:space="preserve">. </w:t>
      </w:r>
      <w:r w:rsidR="007738C7">
        <w:t xml:space="preserve">As example, </w:t>
      </w:r>
      <w:r w:rsidR="009B6C71">
        <w:t>start/stop cycles of the</w:t>
      </w:r>
      <w:r w:rsidR="00DC3FE0">
        <w:t xml:space="preserve"> electric motors</w:t>
      </w:r>
      <w:r w:rsidR="00D55579">
        <w:t xml:space="preserve"> and increased rotational speed </w:t>
      </w:r>
      <w:r w:rsidR="00F675B0">
        <w:t xml:space="preserve">of the pumps </w:t>
      </w:r>
      <w:r w:rsidR="00FF02CF">
        <w:t>P-01</w:t>
      </w:r>
      <w:r w:rsidR="00805F4E">
        <w:t xml:space="preserve"> to P-06 are the LCs required to induce them to damage</w:t>
      </w:r>
      <w:r w:rsidR="002B4392">
        <w:t xml:space="preserve"> and thus stopping operations for a prolonged period of time</w:t>
      </w:r>
      <w:r w:rsidR="0026753C">
        <w:t xml:space="preserve"> (</w:t>
      </w:r>
      <w:r w:rsidR="001615DB">
        <w:t>ND16-SE05-MA16.4)</w:t>
      </w:r>
      <w:r w:rsidR="0026753C">
        <w:t xml:space="preserve">, causing </w:t>
      </w:r>
      <w:r w:rsidR="002B4392">
        <w:t>huge economic losses</w:t>
      </w:r>
      <w:r w:rsidR="00405758">
        <w:t xml:space="preserve"> suffered by the company owning the plant</w:t>
      </w:r>
      <w:r w:rsidR="00B60DD2">
        <w:t>, along with reputation damages due to the regional</w:t>
      </w:r>
      <w:r w:rsidR="00C70A82">
        <w:t>/national</w:t>
      </w:r>
      <w:r w:rsidR="00B60DD2">
        <w:t xml:space="preserve"> </w:t>
      </w:r>
      <w:r w:rsidR="00C70A82">
        <w:t>media coverage of the event</w:t>
      </w:r>
      <w:r w:rsidR="00405758">
        <w:t>.</w:t>
      </w:r>
      <w:r w:rsidR="00AA5705">
        <w:t xml:space="preserve"> </w:t>
      </w:r>
    </w:p>
    <w:p w14:paraId="3D675A18" w14:textId="758FE782" w:rsidR="00BA7630" w:rsidRDefault="009D69F4" w:rsidP="008E7AF0">
      <w:pPr>
        <w:pStyle w:val="CETBodytext"/>
      </w:pPr>
      <w:r>
        <w:t xml:space="preserve">The pressure indicators PIT06/07/08 present downstream the pumps in the P&amp;ID </w:t>
      </w:r>
      <w:r w:rsidR="00E57940">
        <w:t xml:space="preserve">shown in Figure 3 </w:t>
      </w:r>
      <w:r w:rsidR="00016B12">
        <w:t>inform</w:t>
      </w:r>
      <w:r w:rsidR="005B3426">
        <w:t xml:space="preserve"> </w:t>
      </w:r>
      <w:r w:rsidR="00463CFF">
        <w:t xml:space="preserve">operators in the control room of </w:t>
      </w:r>
      <w:r w:rsidR="00C20612">
        <w:t>possible problems in the distribution lines</w:t>
      </w:r>
      <w:r w:rsidR="00C303D1">
        <w:t xml:space="preserve">: </w:t>
      </w:r>
      <w:r w:rsidR="00BE37A2">
        <w:t>therefore,</w:t>
      </w:r>
      <w:r w:rsidR="005E79EF">
        <w:t xml:space="preserve"> they are procedural safeguards (APSs) contrasting </w:t>
      </w:r>
      <w:r w:rsidR="00BE37A2">
        <w:t xml:space="preserve">both </w:t>
      </w:r>
      <w:r w:rsidR="00BC642F">
        <w:t>triplets ND16-SE</w:t>
      </w:r>
      <w:r w:rsidR="00BE37A2">
        <w:t>02-MA16.3 and ND16-SE05-MA16.4 (Step 7). Similarly</w:t>
      </w:r>
      <w:r w:rsidR="001D250A">
        <w:t xml:space="preserve">, </w:t>
      </w:r>
      <w:r w:rsidR="00831BC8">
        <w:t>indicators of Cl</w:t>
      </w:r>
      <w:r w:rsidR="00831BC8" w:rsidRPr="00831BC8">
        <w:rPr>
          <w:vertAlign w:val="subscript"/>
        </w:rPr>
        <w:t>2</w:t>
      </w:r>
      <w:r w:rsidR="00831BC8">
        <w:t xml:space="preserve"> concentration and of turbidity located upstream the pumps </w:t>
      </w:r>
      <w:r w:rsidR="00904C2B">
        <w:t>initiate responses by operators contrasting</w:t>
      </w:r>
      <w:r w:rsidR="00831BC8">
        <w:t xml:space="preserve"> </w:t>
      </w:r>
      <w:r w:rsidR="00257074">
        <w:t>ND16-SE01A-MA16.1 and ND16-SE01B-MA16.2 respectively.</w:t>
      </w:r>
      <w:r w:rsidR="00D40A2E">
        <w:t xml:space="preserve"> </w:t>
      </w:r>
      <w:r w:rsidR="00843270">
        <w:t>After application of Step 7</w:t>
      </w:r>
      <w:r w:rsidR="00D40A2E">
        <w:t>, the CM+APS attack action</w:t>
      </w:r>
      <w:r w:rsidR="00084614">
        <w:t>s are defined</w:t>
      </w:r>
      <w:r w:rsidR="009152E8">
        <w:t xml:space="preserve">, which include all the manipulations (on RMCs and on APSs) that are required to </w:t>
      </w:r>
      <w:r w:rsidR="00B436B4">
        <w:t xml:space="preserve">generate the corresponding SEs. </w:t>
      </w:r>
      <w:r w:rsidR="00BE37A2">
        <w:t>No inherent/passive safeguards (IPSs)</w:t>
      </w:r>
      <w:r w:rsidR="00744A00">
        <w:t xml:space="preserve"> are present in ND16 to contrast the selected </w:t>
      </w:r>
      <w:r w:rsidR="009B2B67">
        <w:t>scenarios</w:t>
      </w:r>
      <w:r w:rsidR="00E91067">
        <w:t xml:space="preserve">: </w:t>
      </w:r>
      <w:r w:rsidR="00E91067" w:rsidRPr="00E91067">
        <w:t xml:space="preserve">even if present, they cannot be manipulated by attackers and therefore are not part of the set of manipulations </w:t>
      </w:r>
      <w:r w:rsidR="00E44044">
        <w:t>required</w:t>
      </w:r>
      <w:r w:rsidR="00E91067">
        <w:t>.</w:t>
      </w:r>
    </w:p>
    <w:p w14:paraId="1F0890D9" w14:textId="0F888BBE" w:rsidR="00257074" w:rsidRPr="009665BE" w:rsidRDefault="00D40A2E" w:rsidP="008E7AF0">
      <w:pPr>
        <w:pStyle w:val="CETBodytext"/>
        <w:rPr>
          <w:color w:val="000000"/>
        </w:rPr>
      </w:pPr>
      <w:r>
        <w:t>Last column of Table 1 reports the credibility score obtained for each CM</w:t>
      </w:r>
      <w:r w:rsidR="00E172DE">
        <w:t xml:space="preserve">+APS attack action </w:t>
      </w:r>
      <w:r w:rsidR="00902E73">
        <w:t xml:space="preserve">based on plant knowledge level required and cyber complexity of the set of manipulations. </w:t>
      </w:r>
      <w:r w:rsidR="003A71C7">
        <w:t xml:space="preserve">As it can be observed, </w:t>
      </w:r>
      <w:r w:rsidR="00F7263C">
        <w:t>the final scores evidence high credibility of the identified CM+APS attack actions</w:t>
      </w:r>
      <w:r w:rsidR="00AC19A7">
        <w:t xml:space="preserve"> (score </w:t>
      </w:r>
      <w:r w:rsidR="00AC19A7">
        <w:rPr>
          <w:rFonts w:cs="Arial"/>
        </w:rPr>
        <w:t>≥</w:t>
      </w:r>
      <w:r w:rsidR="00AC19A7">
        <w:t xml:space="preserve"> 4 means credible, </w:t>
      </w:r>
      <w:r w:rsidR="00BA226D">
        <w:t xml:space="preserve">if </w:t>
      </w:r>
      <w:r w:rsidR="00BA226D">
        <w:rPr>
          <w:rFonts w:cs="Arial"/>
        </w:rPr>
        <w:t>≥</w:t>
      </w:r>
      <w:r w:rsidR="00BA226D">
        <w:t xml:space="preserve"> 8 means highly credible according to </w:t>
      </w:r>
      <w:sdt>
        <w:sdtPr>
          <w:rPr>
            <w:color w:val="000000"/>
          </w:rPr>
          <w:tag w:val="MENDELEY_CITATION_v3_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"/>
          <w:id w:val="-431054682"/>
          <w:placeholder>
            <w:docPart w:val="DefaultPlaceholder_-1854013440"/>
          </w:placeholder>
        </w:sdtPr>
        <w:sdtEndPr/>
        <w:sdtContent>
          <w:r w:rsidR="00DB5A6F" w:rsidRPr="00DB5A6F">
            <w:rPr>
              <w:color w:val="000000"/>
            </w:rPr>
            <w:t>Iaiani et al. (2023a)</w:t>
          </w:r>
        </w:sdtContent>
      </w:sdt>
      <w:r w:rsidR="008A7DD5">
        <w:rPr>
          <w:color w:val="000000"/>
        </w:rPr>
        <w:t>)</w:t>
      </w:r>
      <w:r w:rsidR="00E30664">
        <w:rPr>
          <w:color w:val="000000"/>
        </w:rPr>
        <w:t>.</w:t>
      </w:r>
      <w:r w:rsidR="00DB5A6F">
        <w:rPr>
          <w:color w:val="000000"/>
        </w:rPr>
        <w:t xml:space="preserve"> This is </w:t>
      </w:r>
      <w:proofErr w:type="gramStart"/>
      <w:r w:rsidR="00DB5A6F">
        <w:rPr>
          <w:color w:val="000000"/>
        </w:rPr>
        <w:t>due to the fact that</w:t>
      </w:r>
      <w:proofErr w:type="gramEnd"/>
      <w:r w:rsidR="00DB5A6F">
        <w:rPr>
          <w:color w:val="000000"/>
        </w:rPr>
        <w:t xml:space="preserve"> </w:t>
      </w:r>
      <w:r w:rsidR="005819C1">
        <w:rPr>
          <w:color w:val="000000"/>
        </w:rPr>
        <w:t>a single zone is present in the network system (i.e., the BPCS)</w:t>
      </w:r>
      <w:r w:rsidR="00513D69">
        <w:rPr>
          <w:color w:val="000000"/>
        </w:rPr>
        <w:t xml:space="preserve"> and that the plant has not specific characteristics </w:t>
      </w:r>
      <w:r w:rsidR="00110CE0">
        <w:rPr>
          <w:color w:val="000000"/>
        </w:rPr>
        <w:t xml:space="preserve">with respect to common </w:t>
      </w:r>
      <w:r w:rsidR="00DF6D13">
        <w:rPr>
          <w:color w:val="000000"/>
        </w:rPr>
        <w:t>drinking water treatment plants</w:t>
      </w:r>
      <w:r w:rsidR="003F47EE">
        <w:rPr>
          <w:color w:val="000000"/>
        </w:rPr>
        <w:t xml:space="preserve"> (complete technical knowledge of the plant not required by the attacker). </w:t>
      </w:r>
      <w:r w:rsidR="00CB77D6">
        <w:rPr>
          <w:color w:val="000000"/>
        </w:rPr>
        <w:t>However, CM+APS attack actions corresponding to ND</w:t>
      </w:r>
      <w:r w:rsidR="0043181A">
        <w:rPr>
          <w:color w:val="000000"/>
        </w:rPr>
        <w:t xml:space="preserve">16-SE02-MA16.3 and ND16-SE05-MA16.4 </w:t>
      </w:r>
      <w:r w:rsidR="002A294D">
        <w:rPr>
          <w:color w:val="000000"/>
        </w:rPr>
        <w:t>are more credible than the others as manipulation of only components belonging to ND16 are required.</w:t>
      </w:r>
    </w:p>
    <w:p w14:paraId="6A5167CF" w14:textId="0862775C" w:rsidR="00600535" w:rsidRPr="009259CD" w:rsidRDefault="0066300F" w:rsidP="009665BE">
      <w:pPr>
        <w:pStyle w:val="CETCaption"/>
        <w:spacing w:after="0"/>
      </w:pPr>
      <w:r>
        <w:rPr>
          <w:noProof/>
        </w:rPr>
        <w:drawing>
          <wp:anchor distT="0" distB="0" distL="114300" distR="114300" simplePos="0" relativeHeight="251657216" behindDoc="0" locked="0" layoutInCell="1" allowOverlap="1" wp14:anchorId="61BDE498" wp14:editId="2EAF7437">
            <wp:simplePos x="1079500" y="4692650"/>
            <wp:positionH relativeFrom="margin">
              <wp:align>center</wp:align>
            </wp:positionH>
            <wp:positionV relativeFrom="margin">
              <wp:align>top</wp:align>
            </wp:positionV>
            <wp:extent cx="5579745" cy="2900045"/>
            <wp:effectExtent l="0" t="0" r="1905" b="0"/>
            <wp:wrapSquare wrapText="bothSides"/>
            <wp:docPr id="668851003" name="Immagine 14" descr="Immagine che contiene testo, diagramma, Pian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1003" name="Immagine 14" descr="Immagine che contiene testo, diagramma, Piano, Carattere&#10;&#10;Descrizione generata automaticamente"/>
                    <pic:cNvPicPr/>
                  </pic:nvPicPr>
                  <pic:blipFill>
                    <a:blip r:embed="rId12"/>
                    <a:stretch>
                      <a:fillRect/>
                    </a:stretch>
                  </pic:blipFill>
                  <pic:spPr>
                    <a:xfrm>
                      <a:off x="0" y="0"/>
                      <a:ext cx="5579745" cy="2900045"/>
                    </a:xfrm>
                    <a:prstGeom prst="rect">
                      <a:avLst/>
                    </a:prstGeom>
                  </pic:spPr>
                </pic:pic>
              </a:graphicData>
            </a:graphic>
          </wp:anchor>
        </w:drawing>
      </w:r>
      <w:r w:rsidR="00600535" w:rsidRPr="009259CD">
        <w:t xml:space="preserve">Table 1: </w:t>
      </w:r>
      <w:r w:rsidR="003745D3">
        <w:t>Description of</w:t>
      </w:r>
      <w:r w:rsidR="00AA2B6C">
        <w:t xml:space="preserve"> the CM+APS attack actions for</w:t>
      </w:r>
      <w:r w:rsidR="003745D3">
        <w:t xml:space="preserve"> the</w:t>
      </w:r>
      <w:r w:rsidR="00D33EE3">
        <w:t xml:space="preserve"> </w:t>
      </w:r>
      <w:r w:rsidR="00D33EE3" w:rsidRPr="009259CD">
        <w:t>ND-SE-MA</w:t>
      </w:r>
      <w:r w:rsidR="003745D3">
        <w:t xml:space="preserve"> t</w:t>
      </w:r>
      <w:r w:rsidR="00A0151C" w:rsidRPr="009259CD">
        <w:t xml:space="preserve">riplets </w:t>
      </w:r>
      <w:r w:rsidR="009259CD" w:rsidRPr="009259CD">
        <w:t>select</w:t>
      </w:r>
      <w:r w:rsidR="009259CD">
        <w:t>ed for</w:t>
      </w:r>
      <w:r w:rsidR="00D33EE3">
        <w:t xml:space="preserve"> </w:t>
      </w:r>
      <w:r w:rsidR="009259CD">
        <w:t>ND16</w:t>
      </w:r>
      <w:r w:rsidR="00284FC5">
        <w:t xml:space="preserve">. </w:t>
      </w:r>
      <w:r w:rsidR="00624524">
        <w:t xml:space="preserve">EC: Economic loss; RE: reputation damage; PE: People damage; </w:t>
      </w:r>
      <w:r w:rsidR="001D063B">
        <w:t xml:space="preserve">EV: Environmental damage; </w:t>
      </w:r>
      <w:r w:rsidR="004D0899">
        <w:t xml:space="preserve">PKL: Plant Knowledge Level; </w:t>
      </w:r>
      <w:proofErr w:type="spellStart"/>
      <w:r w:rsidR="004D0899">
        <w:t>CyC</w:t>
      </w:r>
      <w:proofErr w:type="spellEnd"/>
      <w:r w:rsidR="004D0899">
        <w:t>: Cyber Complexity.</w:t>
      </w:r>
    </w:p>
    <w:tbl>
      <w:tblPr>
        <w:tblW w:w="0" w:type="auto"/>
        <w:tblBorders>
          <w:top w:val="single" w:sz="12" w:space="0" w:color="008000"/>
          <w:bottom w:val="single" w:sz="12" w:space="0" w:color="008000"/>
        </w:tblBorders>
        <w:shd w:val="clear" w:color="auto" w:fill="FFFFFF"/>
        <w:tblLayout w:type="fixed"/>
        <w:tblCellMar>
          <w:top w:w="28" w:type="dxa"/>
          <w:left w:w="57" w:type="dxa"/>
          <w:bottom w:w="28" w:type="dxa"/>
          <w:right w:w="57" w:type="dxa"/>
        </w:tblCellMar>
        <w:tblLook w:val="00A0" w:firstRow="1" w:lastRow="0" w:firstColumn="1" w:lastColumn="0" w:noHBand="0" w:noVBand="0"/>
      </w:tblPr>
      <w:tblGrid>
        <w:gridCol w:w="908"/>
        <w:gridCol w:w="2268"/>
        <w:gridCol w:w="709"/>
        <w:gridCol w:w="1701"/>
        <w:gridCol w:w="859"/>
        <w:gridCol w:w="842"/>
        <w:gridCol w:w="1406"/>
      </w:tblGrid>
      <w:tr w:rsidR="00ED2577" w:rsidRPr="00B57B36" w14:paraId="4B29AA51" w14:textId="24A38A24" w:rsidTr="00EE0762">
        <w:tc>
          <w:tcPr>
            <w:tcW w:w="908" w:type="dxa"/>
            <w:tcBorders>
              <w:top w:val="single" w:sz="12" w:space="0" w:color="008000"/>
              <w:bottom w:val="single" w:sz="6" w:space="0" w:color="008000"/>
            </w:tcBorders>
            <w:shd w:val="clear" w:color="auto" w:fill="FFFFFF"/>
          </w:tcPr>
          <w:p w14:paraId="500859EC" w14:textId="2E8AFB64" w:rsidR="003E3305" w:rsidRPr="00B57B36" w:rsidRDefault="003E3305" w:rsidP="00507B47">
            <w:pPr>
              <w:pStyle w:val="CETBodytext"/>
              <w:rPr>
                <w:lang w:val="en-GB"/>
              </w:rPr>
            </w:pPr>
            <w:r>
              <w:rPr>
                <w:lang w:val="en-GB"/>
              </w:rPr>
              <w:t>Triplet</w:t>
            </w:r>
            <w:r w:rsidRPr="00B57B36">
              <w:rPr>
                <w:lang w:val="en-GB"/>
              </w:rPr>
              <w:t xml:space="preserve"> </w:t>
            </w:r>
          </w:p>
        </w:tc>
        <w:tc>
          <w:tcPr>
            <w:tcW w:w="2268" w:type="dxa"/>
            <w:tcBorders>
              <w:top w:val="single" w:sz="12" w:space="0" w:color="008000"/>
              <w:bottom w:val="single" w:sz="6" w:space="0" w:color="008000"/>
            </w:tcBorders>
            <w:shd w:val="clear" w:color="auto" w:fill="FFFFFF"/>
          </w:tcPr>
          <w:p w14:paraId="6B6E97E3" w14:textId="7F177A04" w:rsidR="003E3305" w:rsidRPr="00B57B36" w:rsidRDefault="003E3305" w:rsidP="00507B47">
            <w:pPr>
              <w:pStyle w:val="CETBodytext"/>
              <w:rPr>
                <w:lang w:val="en-GB"/>
              </w:rPr>
            </w:pPr>
            <w:r>
              <w:rPr>
                <w:lang w:val="en-GB"/>
              </w:rPr>
              <w:t>Description</w:t>
            </w:r>
          </w:p>
        </w:tc>
        <w:tc>
          <w:tcPr>
            <w:tcW w:w="709" w:type="dxa"/>
            <w:tcBorders>
              <w:top w:val="single" w:sz="12" w:space="0" w:color="008000"/>
              <w:bottom w:val="single" w:sz="6" w:space="0" w:color="008000"/>
            </w:tcBorders>
            <w:shd w:val="clear" w:color="auto" w:fill="FFFFFF"/>
          </w:tcPr>
          <w:p w14:paraId="0CC5C18D" w14:textId="2E81A73D" w:rsidR="003E3305" w:rsidRPr="00B57B36" w:rsidRDefault="0000011F" w:rsidP="00DD4617">
            <w:pPr>
              <w:pStyle w:val="CETBodytext"/>
              <w:jc w:val="left"/>
              <w:rPr>
                <w:lang w:val="en-GB"/>
              </w:rPr>
            </w:pPr>
            <w:r>
              <w:rPr>
                <w:lang w:val="en-GB"/>
              </w:rPr>
              <w:t>CM</w:t>
            </w:r>
            <w:r w:rsidR="00DD4617">
              <w:rPr>
                <w:lang w:val="en-GB"/>
              </w:rPr>
              <w:t xml:space="preserve"> </w:t>
            </w:r>
            <w:r>
              <w:rPr>
                <w:lang w:val="en-GB"/>
              </w:rPr>
              <w:t>+</w:t>
            </w:r>
            <w:r w:rsidR="00DD4617">
              <w:rPr>
                <w:lang w:val="en-GB"/>
              </w:rPr>
              <w:t xml:space="preserve"> </w:t>
            </w:r>
            <w:r>
              <w:rPr>
                <w:lang w:val="en-GB"/>
              </w:rPr>
              <w:t xml:space="preserve">APS </w:t>
            </w:r>
            <w:r w:rsidR="003E3305">
              <w:rPr>
                <w:lang w:val="en-GB"/>
              </w:rPr>
              <w:t>code</w:t>
            </w:r>
          </w:p>
        </w:tc>
        <w:tc>
          <w:tcPr>
            <w:tcW w:w="1701" w:type="dxa"/>
            <w:tcBorders>
              <w:top w:val="single" w:sz="12" w:space="0" w:color="008000"/>
              <w:bottom w:val="single" w:sz="6" w:space="0" w:color="008000"/>
            </w:tcBorders>
            <w:shd w:val="clear" w:color="auto" w:fill="FFFFFF"/>
          </w:tcPr>
          <w:p w14:paraId="1720C0E2" w14:textId="37A05000" w:rsidR="00936907" w:rsidRDefault="00936907" w:rsidP="00936907">
            <w:pPr>
              <w:pStyle w:val="CETBodytext"/>
              <w:ind w:right="-1"/>
              <w:jc w:val="left"/>
              <w:rPr>
                <w:rFonts w:cs="Arial"/>
                <w:szCs w:val="18"/>
                <w:lang w:val="en-GB"/>
              </w:rPr>
            </w:pPr>
            <w:r>
              <w:rPr>
                <w:rFonts w:cs="Arial"/>
                <w:szCs w:val="18"/>
                <w:lang w:val="en-GB"/>
              </w:rPr>
              <w:t xml:space="preserve">Manipulated </w:t>
            </w:r>
            <w:r w:rsidR="003E3305">
              <w:rPr>
                <w:rFonts w:cs="Arial"/>
                <w:szCs w:val="18"/>
                <w:lang w:val="en-GB"/>
              </w:rPr>
              <w:t xml:space="preserve">RMCs </w:t>
            </w:r>
          </w:p>
          <w:p w14:paraId="199EE8DC" w14:textId="5E944A62" w:rsidR="003E3305" w:rsidRPr="00B57B36" w:rsidRDefault="003E3305" w:rsidP="00936907">
            <w:pPr>
              <w:pStyle w:val="CETBodytext"/>
              <w:ind w:right="-1"/>
              <w:jc w:val="left"/>
              <w:rPr>
                <w:rFonts w:cs="Arial"/>
                <w:szCs w:val="18"/>
                <w:lang w:val="en-GB"/>
              </w:rPr>
            </w:pPr>
            <w:r>
              <w:rPr>
                <w:rFonts w:cs="Arial"/>
                <w:szCs w:val="18"/>
                <w:lang w:val="en-GB"/>
              </w:rPr>
              <w:t>and LCs</w:t>
            </w:r>
          </w:p>
        </w:tc>
        <w:tc>
          <w:tcPr>
            <w:tcW w:w="859" w:type="dxa"/>
            <w:tcBorders>
              <w:top w:val="single" w:sz="12" w:space="0" w:color="008000"/>
              <w:bottom w:val="single" w:sz="6" w:space="0" w:color="008000"/>
            </w:tcBorders>
            <w:shd w:val="clear" w:color="auto" w:fill="FFFFFF"/>
          </w:tcPr>
          <w:p w14:paraId="16947789" w14:textId="7414E026" w:rsidR="003E3305" w:rsidRDefault="003E3305" w:rsidP="00507B47">
            <w:pPr>
              <w:pStyle w:val="CETBodytext"/>
              <w:ind w:right="-1"/>
              <w:rPr>
                <w:rFonts w:cs="Arial"/>
                <w:szCs w:val="18"/>
                <w:lang w:val="en-GB"/>
              </w:rPr>
            </w:pPr>
            <w:r>
              <w:rPr>
                <w:rFonts w:cs="Arial"/>
                <w:szCs w:val="18"/>
                <w:lang w:val="en-GB"/>
              </w:rPr>
              <w:t>Effective APSs</w:t>
            </w:r>
          </w:p>
        </w:tc>
        <w:tc>
          <w:tcPr>
            <w:tcW w:w="842" w:type="dxa"/>
            <w:tcBorders>
              <w:top w:val="single" w:sz="12" w:space="0" w:color="008000"/>
              <w:bottom w:val="single" w:sz="6" w:space="0" w:color="008000"/>
            </w:tcBorders>
            <w:shd w:val="clear" w:color="auto" w:fill="FFFFFF"/>
          </w:tcPr>
          <w:p w14:paraId="005800F7" w14:textId="2FBBA7CA" w:rsidR="003E3305" w:rsidRPr="00B57B36" w:rsidRDefault="003E3305" w:rsidP="00507B47">
            <w:pPr>
              <w:pStyle w:val="CETBodytext"/>
              <w:ind w:right="-1"/>
              <w:rPr>
                <w:rFonts w:cs="Arial"/>
                <w:szCs w:val="18"/>
                <w:lang w:val="en-GB"/>
              </w:rPr>
            </w:pPr>
            <w:r>
              <w:rPr>
                <w:rFonts w:cs="Arial"/>
                <w:szCs w:val="18"/>
                <w:lang w:val="en-GB"/>
              </w:rPr>
              <w:t>Severity vector</w:t>
            </w:r>
            <w:r w:rsidR="00E5535F">
              <w:rPr>
                <w:rFonts w:cs="Arial"/>
                <w:szCs w:val="18"/>
                <w:lang w:val="en-GB"/>
              </w:rPr>
              <w:t xml:space="preserve"> [</w:t>
            </w:r>
            <w:proofErr w:type="gramStart"/>
            <w:r w:rsidR="00E5535F">
              <w:rPr>
                <w:rFonts w:cs="Arial"/>
                <w:szCs w:val="18"/>
                <w:lang w:val="en-GB"/>
              </w:rPr>
              <w:t>EC,</w:t>
            </w:r>
            <w:r w:rsidR="00ED2577">
              <w:rPr>
                <w:rFonts w:cs="Arial"/>
                <w:szCs w:val="18"/>
                <w:lang w:val="en-GB"/>
              </w:rPr>
              <w:t>RE</w:t>
            </w:r>
            <w:proofErr w:type="gramEnd"/>
            <w:r w:rsidR="00ED2577">
              <w:rPr>
                <w:rFonts w:cs="Arial"/>
                <w:szCs w:val="18"/>
                <w:lang w:val="en-GB"/>
              </w:rPr>
              <w:t>,PE,EV]</w:t>
            </w:r>
          </w:p>
        </w:tc>
        <w:tc>
          <w:tcPr>
            <w:tcW w:w="1406" w:type="dxa"/>
            <w:tcBorders>
              <w:top w:val="single" w:sz="12" w:space="0" w:color="008000"/>
              <w:bottom w:val="single" w:sz="6" w:space="0" w:color="008000"/>
            </w:tcBorders>
            <w:shd w:val="clear" w:color="auto" w:fill="FFFFFF"/>
          </w:tcPr>
          <w:p w14:paraId="30F75E4C" w14:textId="1893CEED" w:rsidR="003E3305" w:rsidRPr="00B57B36" w:rsidRDefault="003E3305" w:rsidP="00507B47">
            <w:pPr>
              <w:pStyle w:val="CETBodytext"/>
              <w:ind w:right="-1"/>
              <w:rPr>
                <w:rFonts w:cs="Arial"/>
                <w:szCs w:val="18"/>
                <w:lang w:val="en-GB"/>
              </w:rPr>
            </w:pPr>
            <w:r>
              <w:rPr>
                <w:rFonts w:cs="Arial"/>
                <w:szCs w:val="18"/>
                <w:lang w:val="en-GB"/>
              </w:rPr>
              <w:t>Credibility score</w:t>
            </w:r>
          </w:p>
        </w:tc>
      </w:tr>
      <w:tr w:rsidR="00ED2577" w:rsidRPr="00B57B36" w14:paraId="18FA68DB" w14:textId="00FBC119" w:rsidTr="00EE0762">
        <w:tc>
          <w:tcPr>
            <w:tcW w:w="908" w:type="dxa"/>
            <w:shd w:val="clear" w:color="auto" w:fill="FFFFFF"/>
          </w:tcPr>
          <w:p w14:paraId="1877D42D" w14:textId="33B670FB" w:rsidR="003E3305" w:rsidRPr="00B57B36" w:rsidRDefault="00F2419D" w:rsidP="004D229E">
            <w:pPr>
              <w:pStyle w:val="CETBodytext"/>
              <w:jc w:val="left"/>
              <w:rPr>
                <w:lang w:val="en-GB"/>
              </w:rPr>
            </w:pPr>
            <w:r>
              <w:rPr>
                <w:lang w:val="en-GB"/>
              </w:rPr>
              <w:t>ND16-SE01A-</w:t>
            </w:r>
            <w:r>
              <w:rPr>
                <w:lang w:val="en-GB"/>
              </w:rPr>
              <w:lastRenderedPageBreak/>
              <w:t>MA16.1</w:t>
            </w:r>
          </w:p>
        </w:tc>
        <w:tc>
          <w:tcPr>
            <w:tcW w:w="2268" w:type="dxa"/>
            <w:shd w:val="clear" w:color="auto" w:fill="FFFFFF"/>
          </w:tcPr>
          <w:p w14:paraId="48136FAE" w14:textId="04618F7E" w:rsidR="003E3305" w:rsidRPr="00B57B36" w:rsidRDefault="00895652" w:rsidP="004D229E">
            <w:pPr>
              <w:pStyle w:val="CETBodytext"/>
              <w:jc w:val="left"/>
              <w:rPr>
                <w:lang w:val="en-GB"/>
              </w:rPr>
            </w:pPr>
            <w:r>
              <w:rPr>
                <w:lang w:val="en-GB"/>
              </w:rPr>
              <w:lastRenderedPageBreak/>
              <w:t xml:space="preserve">Make </w:t>
            </w:r>
            <w:r w:rsidR="004D229E">
              <w:rPr>
                <w:lang w:val="en-GB"/>
              </w:rPr>
              <w:t>Cl</w:t>
            </w:r>
            <w:r w:rsidR="004D229E" w:rsidRPr="00582AF6">
              <w:rPr>
                <w:vertAlign w:val="subscript"/>
                <w:lang w:val="en-GB"/>
              </w:rPr>
              <w:t xml:space="preserve">2 </w:t>
            </w:r>
            <w:r w:rsidR="004D229E">
              <w:rPr>
                <w:lang w:val="en-GB"/>
              </w:rPr>
              <w:t>concentration out of spec</w:t>
            </w:r>
            <w:r w:rsidR="001A6D88">
              <w:rPr>
                <w:lang w:val="en-GB"/>
              </w:rPr>
              <w:t>.</w:t>
            </w:r>
            <w:r w:rsidR="00FA7CD9">
              <w:rPr>
                <w:lang w:val="en-GB"/>
              </w:rPr>
              <w:t xml:space="preserve"> </w:t>
            </w:r>
            <w:r w:rsidR="00EE0762">
              <w:rPr>
                <w:lang w:val="en-GB"/>
              </w:rPr>
              <w:t xml:space="preserve">by manipulation of </w:t>
            </w:r>
            <w:r w:rsidR="00EE0762">
              <w:rPr>
                <w:lang w:val="en-GB"/>
              </w:rPr>
              <w:lastRenderedPageBreak/>
              <w:t xml:space="preserve">ND03 </w:t>
            </w:r>
            <w:r w:rsidR="00EE0762">
              <w:rPr>
                <w:rFonts w:cs="Arial"/>
                <w:szCs w:val="18"/>
                <w:lang w:val="en-GB"/>
              </w:rPr>
              <w:t>“</w:t>
            </w:r>
            <w:proofErr w:type="spellStart"/>
            <w:r w:rsidR="00EE0762">
              <w:rPr>
                <w:rFonts w:cs="Arial"/>
                <w:szCs w:val="18"/>
                <w:lang w:val="en-GB"/>
              </w:rPr>
              <w:t>NaClO</w:t>
            </w:r>
            <w:proofErr w:type="spellEnd"/>
            <w:r w:rsidR="00EE0762">
              <w:rPr>
                <w:rFonts w:cs="Arial"/>
                <w:szCs w:val="18"/>
                <w:lang w:val="en-GB"/>
              </w:rPr>
              <w:t xml:space="preserve"> injection system”</w:t>
            </w:r>
          </w:p>
        </w:tc>
        <w:tc>
          <w:tcPr>
            <w:tcW w:w="709" w:type="dxa"/>
            <w:shd w:val="clear" w:color="auto" w:fill="FFFFFF"/>
          </w:tcPr>
          <w:p w14:paraId="2CB03BEE" w14:textId="01884A7C" w:rsidR="003E3305" w:rsidRPr="00B57B36" w:rsidRDefault="00E11FFE" w:rsidP="004D229E">
            <w:pPr>
              <w:pStyle w:val="CETBodytext"/>
              <w:jc w:val="left"/>
              <w:rPr>
                <w:lang w:val="en-GB"/>
              </w:rPr>
            </w:pPr>
            <w:r>
              <w:rPr>
                <w:lang w:val="en-GB"/>
              </w:rPr>
              <w:lastRenderedPageBreak/>
              <w:t>16.1.1</w:t>
            </w:r>
          </w:p>
        </w:tc>
        <w:tc>
          <w:tcPr>
            <w:tcW w:w="1701" w:type="dxa"/>
            <w:shd w:val="clear" w:color="auto" w:fill="FFFFFF"/>
          </w:tcPr>
          <w:p w14:paraId="7FF7EB81" w14:textId="2DCA9091" w:rsidR="00EA2620" w:rsidRPr="00B57B36" w:rsidRDefault="00060C12" w:rsidP="004D229E">
            <w:pPr>
              <w:pStyle w:val="CETBodytext"/>
              <w:ind w:right="-1"/>
              <w:jc w:val="left"/>
              <w:rPr>
                <w:rFonts w:cs="Arial"/>
                <w:szCs w:val="18"/>
                <w:lang w:val="en-GB"/>
              </w:rPr>
            </w:pPr>
            <w:r>
              <w:rPr>
                <w:rFonts w:cs="Arial"/>
                <w:szCs w:val="18"/>
                <w:lang w:val="en-GB"/>
              </w:rPr>
              <w:t>Pumps PV-01/02</w:t>
            </w:r>
            <w:r w:rsidR="00EA2620">
              <w:rPr>
                <w:rFonts w:cs="Arial"/>
                <w:szCs w:val="18"/>
                <w:lang w:val="en-GB"/>
              </w:rPr>
              <w:t xml:space="preserve"> (</w:t>
            </w:r>
            <w:r w:rsidR="00104C07">
              <w:rPr>
                <w:rFonts w:cs="Arial"/>
                <w:szCs w:val="18"/>
                <w:lang w:val="en-GB"/>
              </w:rPr>
              <w:t xml:space="preserve">increased </w:t>
            </w:r>
            <w:r w:rsidR="00104C07">
              <w:rPr>
                <w:rFonts w:cs="Arial"/>
                <w:szCs w:val="18"/>
                <w:lang w:val="en-GB"/>
              </w:rPr>
              <w:lastRenderedPageBreak/>
              <w:t>rotational speed</w:t>
            </w:r>
            <w:r w:rsidR="00936907">
              <w:rPr>
                <w:rFonts w:cs="Arial"/>
                <w:szCs w:val="18"/>
                <w:lang w:val="en-GB"/>
              </w:rPr>
              <w:t>) in ND</w:t>
            </w:r>
            <w:r w:rsidR="00121DC8">
              <w:rPr>
                <w:rFonts w:cs="Arial"/>
                <w:szCs w:val="18"/>
                <w:lang w:val="en-GB"/>
              </w:rPr>
              <w:t>0</w:t>
            </w:r>
            <w:r w:rsidR="00936907">
              <w:rPr>
                <w:rFonts w:cs="Arial"/>
                <w:szCs w:val="18"/>
                <w:lang w:val="en-GB"/>
              </w:rPr>
              <w:t xml:space="preserve">3 </w:t>
            </w:r>
          </w:p>
        </w:tc>
        <w:tc>
          <w:tcPr>
            <w:tcW w:w="859" w:type="dxa"/>
            <w:shd w:val="clear" w:color="auto" w:fill="FFFFFF"/>
          </w:tcPr>
          <w:p w14:paraId="7C743F9F" w14:textId="2D167F75" w:rsidR="003E3305" w:rsidRPr="00B57B36" w:rsidRDefault="00EB46C8" w:rsidP="004D229E">
            <w:pPr>
              <w:pStyle w:val="CETBodytext"/>
              <w:ind w:right="-1"/>
              <w:jc w:val="left"/>
              <w:rPr>
                <w:rFonts w:cs="Arial"/>
                <w:szCs w:val="18"/>
                <w:lang w:val="en-GB"/>
              </w:rPr>
            </w:pPr>
            <w:r>
              <w:rPr>
                <w:rFonts w:cs="Arial"/>
                <w:szCs w:val="18"/>
                <w:lang w:val="en-GB"/>
              </w:rPr>
              <w:lastRenderedPageBreak/>
              <w:t>Cl</w:t>
            </w:r>
            <w:r w:rsidR="008E61E6" w:rsidRPr="008E61E6">
              <w:rPr>
                <w:rFonts w:cs="Arial"/>
                <w:szCs w:val="18"/>
                <w:vertAlign w:val="subscript"/>
                <w:lang w:val="en-GB"/>
              </w:rPr>
              <w:t>2</w:t>
            </w:r>
            <w:r w:rsidR="008E61E6">
              <w:rPr>
                <w:rFonts w:cs="Arial"/>
                <w:szCs w:val="18"/>
                <w:lang w:val="en-GB"/>
              </w:rPr>
              <w:t xml:space="preserve"> AIT-02</w:t>
            </w:r>
          </w:p>
        </w:tc>
        <w:tc>
          <w:tcPr>
            <w:tcW w:w="842" w:type="dxa"/>
            <w:shd w:val="clear" w:color="auto" w:fill="FFFFFF"/>
          </w:tcPr>
          <w:p w14:paraId="6512B018" w14:textId="57E68C1D" w:rsidR="003E3305" w:rsidRPr="00B57B36" w:rsidRDefault="007F46CD" w:rsidP="004D229E">
            <w:pPr>
              <w:pStyle w:val="CETBodytext"/>
              <w:ind w:right="-1"/>
              <w:jc w:val="left"/>
              <w:rPr>
                <w:rFonts w:cs="Arial"/>
                <w:szCs w:val="18"/>
                <w:lang w:val="en-GB"/>
              </w:rPr>
            </w:pPr>
            <w:r w:rsidRPr="007F46CD">
              <w:rPr>
                <w:rFonts w:cs="Arial"/>
                <w:szCs w:val="18"/>
                <w:lang w:val="en-GB"/>
              </w:rPr>
              <w:t>[1,3,1,1]</w:t>
            </w:r>
          </w:p>
        </w:tc>
        <w:tc>
          <w:tcPr>
            <w:tcW w:w="1406" w:type="dxa"/>
            <w:shd w:val="clear" w:color="auto" w:fill="FFFFFF"/>
          </w:tcPr>
          <w:p w14:paraId="552B89A3" w14:textId="59B844BE" w:rsidR="003E3305" w:rsidRPr="00B57B36" w:rsidRDefault="009A34A9" w:rsidP="004D229E">
            <w:pPr>
              <w:pStyle w:val="CETBodytext"/>
              <w:ind w:right="-1"/>
              <w:jc w:val="left"/>
              <w:rPr>
                <w:rFonts w:cs="Arial"/>
                <w:szCs w:val="18"/>
                <w:lang w:val="en-GB"/>
              </w:rPr>
            </w:pPr>
            <w:r>
              <w:rPr>
                <w:rFonts w:cs="Arial"/>
                <w:szCs w:val="18"/>
                <w:lang w:val="en-GB"/>
              </w:rPr>
              <w:t>6</w:t>
            </w:r>
            <w:r w:rsidR="000452EB">
              <w:rPr>
                <w:rFonts w:cs="Arial"/>
                <w:szCs w:val="18"/>
                <w:lang w:val="en-GB"/>
              </w:rPr>
              <w:t xml:space="preserve"> (</w:t>
            </w:r>
            <w:r w:rsidR="004C7C0A">
              <w:rPr>
                <w:rFonts w:cs="Arial"/>
                <w:szCs w:val="18"/>
                <w:lang w:val="en-GB"/>
              </w:rPr>
              <w:t xml:space="preserve">medium PKL; </w:t>
            </w:r>
            <w:r w:rsidR="00C95770">
              <w:rPr>
                <w:rFonts w:cs="Arial"/>
                <w:szCs w:val="18"/>
                <w:lang w:val="en-GB"/>
              </w:rPr>
              <w:t>low</w:t>
            </w:r>
            <w:r w:rsidR="004C7C0A">
              <w:rPr>
                <w:rFonts w:cs="Arial"/>
                <w:szCs w:val="18"/>
                <w:lang w:val="en-GB"/>
              </w:rPr>
              <w:t xml:space="preserve"> </w:t>
            </w:r>
            <w:proofErr w:type="spellStart"/>
            <w:r w:rsidR="004C7C0A">
              <w:rPr>
                <w:rFonts w:cs="Arial"/>
                <w:szCs w:val="18"/>
                <w:lang w:val="en-GB"/>
              </w:rPr>
              <w:t>C</w:t>
            </w:r>
            <w:r w:rsidR="004D0899">
              <w:rPr>
                <w:rFonts w:cs="Arial"/>
                <w:szCs w:val="18"/>
                <w:lang w:val="en-GB"/>
              </w:rPr>
              <w:t>y</w:t>
            </w:r>
            <w:r w:rsidR="004C7C0A">
              <w:rPr>
                <w:rFonts w:cs="Arial"/>
                <w:szCs w:val="18"/>
                <w:lang w:val="en-GB"/>
              </w:rPr>
              <w:t>C</w:t>
            </w:r>
            <w:proofErr w:type="spellEnd"/>
            <w:r w:rsidR="004C7C0A">
              <w:rPr>
                <w:rFonts w:cs="Arial"/>
                <w:szCs w:val="18"/>
                <w:lang w:val="en-GB"/>
              </w:rPr>
              <w:t>)</w:t>
            </w:r>
          </w:p>
        </w:tc>
      </w:tr>
      <w:tr w:rsidR="00ED2577" w:rsidRPr="00B57B36" w14:paraId="1777C522" w14:textId="0C36CD98" w:rsidTr="00EE0762">
        <w:tc>
          <w:tcPr>
            <w:tcW w:w="908" w:type="dxa"/>
            <w:shd w:val="clear" w:color="auto" w:fill="FFFFFF"/>
          </w:tcPr>
          <w:p w14:paraId="59954EC2" w14:textId="504BC6FB" w:rsidR="003E3305" w:rsidRPr="00B57B36" w:rsidRDefault="006303BA" w:rsidP="004D229E">
            <w:pPr>
              <w:pStyle w:val="CETBodytext"/>
              <w:ind w:right="-1"/>
              <w:jc w:val="left"/>
              <w:rPr>
                <w:rFonts w:cs="Arial"/>
                <w:szCs w:val="18"/>
                <w:lang w:val="en-GB"/>
              </w:rPr>
            </w:pPr>
            <w:r>
              <w:rPr>
                <w:lang w:val="en-GB"/>
              </w:rPr>
              <w:lastRenderedPageBreak/>
              <w:t>ND16-SE01B-MA16.2</w:t>
            </w:r>
          </w:p>
        </w:tc>
        <w:tc>
          <w:tcPr>
            <w:tcW w:w="2268" w:type="dxa"/>
            <w:shd w:val="clear" w:color="auto" w:fill="FFFFFF"/>
          </w:tcPr>
          <w:p w14:paraId="4FFB40F7" w14:textId="045C0374" w:rsidR="003E3305" w:rsidRPr="00B57B36" w:rsidRDefault="001F6F48" w:rsidP="004D229E">
            <w:pPr>
              <w:pStyle w:val="CETBodytext"/>
              <w:ind w:right="-1"/>
              <w:jc w:val="left"/>
              <w:rPr>
                <w:rFonts w:cs="Arial"/>
                <w:szCs w:val="18"/>
                <w:lang w:val="en-GB"/>
              </w:rPr>
            </w:pPr>
            <w:r>
              <w:rPr>
                <w:rFonts w:cs="Arial"/>
                <w:szCs w:val="18"/>
                <w:lang w:val="en-GB"/>
              </w:rPr>
              <w:t>Make t</w:t>
            </w:r>
            <w:r w:rsidR="001A6D88">
              <w:rPr>
                <w:rFonts w:cs="Arial"/>
                <w:szCs w:val="18"/>
                <w:lang w:val="en-GB"/>
              </w:rPr>
              <w:t>urbidity out of spec.</w:t>
            </w:r>
            <w:r w:rsidR="00EE0762">
              <w:rPr>
                <w:rFonts w:cs="Arial"/>
                <w:szCs w:val="18"/>
                <w:lang w:val="en-GB"/>
              </w:rPr>
              <w:t xml:space="preserve"> by manipulation of ND04 “AlCl</w:t>
            </w:r>
            <w:r w:rsidR="00EE0762" w:rsidRPr="006B544F">
              <w:rPr>
                <w:rFonts w:cs="Arial"/>
                <w:szCs w:val="18"/>
                <w:vertAlign w:val="subscript"/>
                <w:lang w:val="en-GB"/>
              </w:rPr>
              <w:t>3</w:t>
            </w:r>
            <w:r w:rsidR="00EE0762">
              <w:rPr>
                <w:rFonts w:cs="Arial"/>
                <w:szCs w:val="18"/>
                <w:lang w:val="en-GB"/>
              </w:rPr>
              <w:t xml:space="preserve"> injection system”.</w:t>
            </w:r>
          </w:p>
        </w:tc>
        <w:tc>
          <w:tcPr>
            <w:tcW w:w="709" w:type="dxa"/>
            <w:shd w:val="clear" w:color="auto" w:fill="FFFFFF"/>
          </w:tcPr>
          <w:p w14:paraId="74F8316C" w14:textId="4ABEA030" w:rsidR="003E3305" w:rsidRPr="00B57B36" w:rsidRDefault="006303BA" w:rsidP="004D229E">
            <w:pPr>
              <w:pStyle w:val="CETBodytext"/>
              <w:ind w:right="-1"/>
              <w:jc w:val="left"/>
              <w:rPr>
                <w:rFonts w:cs="Arial"/>
                <w:szCs w:val="18"/>
                <w:lang w:val="en-GB"/>
              </w:rPr>
            </w:pPr>
            <w:r>
              <w:rPr>
                <w:rFonts w:cs="Arial"/>
                <w:szCs w:val="18"/>
                <w:lang w:val="en-GB"/>
              </w:rPr>
              <w:t>16.2.1</w:t>
            </w:r>
          </w:p>
        </w:tc>
        <w:tc>
          <w:tcPr>
            <w:tcW w:w="1701" w:type="dxa"/>
            <w:shd w:val="clear" w:color="auto" w:fill="FFFFFF"/>
          </w:tcPr>
          <w:p w14:paraId="708CF970" w14:textId="4F18E291" w:rsidR="003E3305" w:rsidRPr="00B57B36" w:rsidRDefault="00845FA6" w:rsidP="004D229E">
            <w:pPr>
              <w:pStyle w:val="CETBodytext"/>
              <w:ind w:right="-1"/>
              <w:jc w:val="left"/>
              <w:rPr>
                <w:rFonts w:cs="Arial"/>
                <w:szCs w:val="18"/>
                <w:lang w:val="en-GB"/>
              </w:rPr>
            </w:pPr>
            <w:r>
              <w:rPr>
                <w:rFonts w:cs="Arial"/>
                <w:szCs w:val="18"/>
                <w:lang w:val="en-GB"/>
              </w:rPr>
              <w:t>Pumps PV-03/0</w:t>
            </w:r>
            <w:r w:rsidR="006A30B3">
              <w:rPr>
                <w:rFonts w:cs="Arial"/>
                <w:szCs w:val="18"/>
                <w:lang w:val="en-GB"/>
              </w:rPr>
              <w:t>4</w:t>
            </w:r>
            <w:r>
              <w:rPr>
                <w:rFonts w:cs="Arial"/>
                <w:szCs w:val="18"/>
                <w:lang w:val="en-GB"/>
              </w:rPr>
              <w:t xml:space="preserve"> (increased rotational speed) in ND0</w:t>
            </w:r>
            <w:r w:rsidR="006A30B3">
              <w:rPr>
                <w:rFonts w:cs="Arial"/>
                <w:szCs w:val="18"/>
                <w:lang w:val="en-GB"/>
              </w:rPr>
              <w:t>4</w:t>
            </w:r>
            <w:r>
              <w:rPr>
                <w:rFonts w:cs="Arial"/>
                <w:szCs w:val="18"/>
                <w:lang w:val="en-GB"/>
              </w:rPr>
              <w:t xml:space="preserve"> </w:t>
            </w:r>
          </w:p>
        </w:tc>
        <w:tc>
          <w:tcPr>
            <w:tcW w:w="859" w:type="dxa"/>
            <w:shd w:val="clear" w:color="auto" w:fill="FFFFFF"/>
          </w:tcPr>
          <w:p w14:paraId="7331A68B" w14:textId="170B5C56" w:rsidR="003E3305" w:rsidRPr="00B57B36" w:rsidRDefault="001A6D88" w:rsidP="004D229E">
            <w:pPr>
              <w:pStyle w:val="CETBodytext"/>
              <w:ind w:right="-1"/>
              <w:jc w:val="left"/>
              <w:rPr>
                <w:rFonts w:cs="Arial"/>
                <w:szCs w:val="18"/>
                <w:lang w:val="en-GB"/>
              </w:rPr>
            </w:pPr>
            <w:r>
              <w:rPr>
                <w:rFonts w:cs="Arial"/>
                <w:szCs w:val="18"/>
                <w:lang w:val="en-GB"/>
              </w:rPr>
              <w:t>N</w:t>
            </w:r>
            <w:r w:rsidR="00845FA6">
              <w:rPr>
                <w:rFonts w:cs="Arial"/>
                <w:szCs w:val="18"/>
                <w:lang w:val="en-GB"/>
              </w:rPr>
              <w:t>tu AIT-04</w:t>
            </w:r>
          </w:p>
        </w:tc>
        <w:tc>
          <w:tcPr>
            <w:tcW w:w="842" w:type="dxa"/>
            <w:shd w:val="clear" w:color="auto" w:fill="FFFFFF"/>
          </w:tcPr>
          <w:p w14:paraId="6B4A2B9B" w14:textId="40AF74D1" w:rsidR="003E3305" w:rsidRPr="00B57B36" w:rsidRDefault="00881003" w:rsidP="004D229E">
            <w:pPr>
              <w:pStyle w:val="CETBodytext"/>
              <w:ind w:right="-1"/>
              <w:jc w:val="left"/>
              <w:rPr>
                <w:rFonts w:cs="Arial"/>
                <w:szCs w:val="18"/>
                <w:lang w:val="en-GB"/>
              </w:rPr>
            </w:pPr>
            <w:r w:rsidRPr="00881003">
              <w:rPr>
                <w:rFonts w:cs="Arial"/>
                <w:szCs w:val="18"/>
                <w:lang w:val="en-GB"/>
              </w:rPr>
              <w:t>[1,3,1,1]</w:t>
            </w:r>
          </w:p>
        </w:tc>
        <w:tc>
          <w:tcPr>
            <w:tcW w:w="1406" w:type="dxa"/>
            <w:shd w:val="clear" w:color="auto" w:fill="FFFFFF"/>
          </w:tcPr>
          <w:p w14:paraId="2D79F592" w14:textId="559CA2AB" w:rsidR="003E3305" w:rsidRPr="00B57B36" w:rsidRDefault="009A34A9" w:rsidP="004D229E">
            <w:pPr>
              <w:pStyle w:val="CETBodytext"/>
              <w:ind w:right="-1"/>
              <w:jc w:val="left"/>
              <w:rPr>
                <w:rFonts w:cs="Arial"/>
                <w:szCs w:val="18"/>
                <w:lang w:val="en-GB"/>
              </w:rPr>
            </w:pPr>
            <w:r>
              <w:rPr>
                <w:rFonts w:cs="Arial"/>
                <w:szCs w:val="18"/>
                <w:lang w:val="en-GB"/>
              </w:rPr>
              <w:t>6</w:t>
            </w:r>
            <w:r w:rsidR="00CC7CBA">
              <w:rPr>
                <w:rFonts w:cs="Arial"/>
                <w:szCs w:val="18"/>
                <w:lang w:val="en-GB"/>
              </w:rPr>
              <w:t xml:space="preserve"> (medium PKL; </w:t>
            </w:r>
            <w:r w:rsidR="00C95770">
              <w:rPr>
                <w:rFonts w:cs="Arial"/>
                <w:szCs w:val="18"/>
                <w:lang w:val="en-GB"/>
              </w:rPr>
              <w:t>low</w:t>
            </w:r>
            <w:r w:rsidR="00CC7CBA">
              <w:rPr>
                <w:rFonts w:cs="Arial"/>
                <w:szCs w:val="18"/>
                <w:lang w:val="en-GB"/>
              </w:rPr>
              <w:t xml:space="preserve"> </w:t>
            </w:r>
            <w:proofErr w:type="spellStart"/>
            <w:r w:rsidR="00CC7CBA">
              <w:rPr>
                <w:rFonts w:cs="Arial"/>
                <w:szCs w:val="18"/>
                <w:lang w:val="en-GB"/>
              </w:rPr>
              <w:t>C</w:t>
            </w:r>
            <w:r w:rsidR="004D0899">
              <w:rPr>
                <w:rFonts w:cs="Arial"/>
                <w:szCs w:val="18"/>
                <w:lang w:val="en-GB"/>
              </w:rPr>
              <w:t>y</w:t>
            </w:r>
            <w:r w:rsidR="00CC7CBA">
              <w:rPr>
                <w:rFonts w:cs="Arial"/>
                <w:szCs w:val="18"/>
                <w:lang w:val="en-GB"/>
              </w:rPr>
              <w:t>C</w:t>
            </w:r>
            <w:proofErr w:type="spellEnd"/>
            <w:r w:rsidR="00CC7CBA">
              <w:rPr>
                <w:rFonts w:cs="Arial"/>
                <w:szCs w:val="18"/>
                <w:lang w:val="en-GB"/>
              </w:rPr>
              <w:t>)</w:t>
            </w:r>
          </w:p>
        </w:tc>
      </w:tr>
      <w:tr w:rsidR="00EE0762" w:rsidRPr="00B57B36" w14:paraId="36F752A5" w14:textId="77777777" w:rsidTr="00EE0762">
        <w:tc>
          <w:tcPr>
            <w:tcW w:w="908" w:type="dxa"/>
            <w:shd w:val="clear" w:color="auto" w:fill="FFFFFF"/>
          </w:tcPr>
          <w:p w14:paraId="45EC7733" w14:textId="0A859EF3" w:rsidR="00461B58" w:rsidRDefault="00461B58" w:rsidP="004D229E">
            <w:pPr>
              <w:pStyle w:val="CETBodytext"/>
              <w:ind w:right="-1"/>
              <w:jc w:val="left"/>
              <w:rPr>
                <w:lang w:val="en-GB"/>
              </w:rPr>
            </w:pPr>
            <w:r>
              <w:rPr>
                <w:lang w:val="en-GB"/>
              </w:rPr>
              <w:t>ND16-SE0</w:t>
            </w:r>
            <w:r w:rsidR="00F8119B">
              <w:rPr>
                <w:lang w:val="en-GB"/>
              </w:rPr>
              <w:t>2</w:t>
            </w:r>
            <w:r>
              <w:rPr>
                <w:lang w:val="en-GB"/>
              </w:rPr>
              <w:t>-MA16.</w:t>
            </w:r>
            <w:r w:rsidR="005D3D6D">
              <w:rPr>
                <w:lang w:val="en-GB"/>
              </w:rPr>
              <w:t>3</w:t>
            </w:r>
          </w:p>
        </w:tc>
        <w:tc>
          <w:tcPr>
            <w:tcW w:w="2268" w:type="dxa"/>
            <w:shd w:val="clear" w:color="auto" w:fill="FFFFFF"/>
          </w:tcPr>
          <w:p w14:paraId="1BA5C13D" w14:textId="463DA618" w:rsidR="00461B58" w:rsidRDefault="00D62B8F" w:rsidP="004D229E">
            <w:pPr>
              <w:pStyle w:val="CETBodytext"/>
              <w:ind w:right="-1"/>
              <w:jc w:val="left"/>
              <w:rPr>
                <w:rFonts w:cs="Arial"/>
                <w:szCs w:val="18"/>
                <w:lang w:val="en-GB"/>
              </w:rPr>
            </w:pPr>
            <w:r>
              <w:rPr>
                <w:rFonts w:cs="Arial"/>
                <w:szCs w:val="18"/>
                <w:lang w:val="en-GB"/>
              </w:rPr>
              <w:t xml:space="preserve">Production outage by </w:t>
            </w:r>
            <w:r w:rsidR="00F4492C">
              <w:rPr>
                <w:rFonts w:cs="Arial"/>
                <w:szCs w:val="18"/>
                <w:lang w:val="en-GB"/>
              </w:rPr>
              <w:t>stopping pumps</w:t>
            </w:r>
            <w:r w:rsidR="00FA7CD9">
              <w:rPr>
                <w:rFonts w:cs="Arial"/>
                <w:szCs w:val="18"/>
                <w:lang w:val="en-GB"/>
              </w:rPr>
              <w:t xml:space="preserve"> </w:t>
            </w:r>
            <w:r w:rsidR="00EE0762">
              <w:rPr>
                <w:rFonts w:cs="Arial"/>
                <w:szCs w:val="18"/>
                <w:lang w:val="en-GB"/>
              </w:rPr>
              <w:t>in ND16</w:t>
            </w:r>
          </w:p>
        </w:tc>
        <w:tc>
          <w:tcPr>
            <w:tcW w:w="709" w:type="dxa"/>
            <w:shd w:val="clear" w:color="auto" w:fill="FFFFFF"/>
          </w:tcPr>
          <w:p w14:paraId="40F2EF3E" w14:textId="523B1C97" w:rsidR="00461B58" w:rsidRDefault="005D3D6D" w:rsidP="004D229E">
            <w:pPr>
              <w:pStyle w:val="CETBodytext"/>
              <w:ind w:right="-1"/>
              <w:jc w:val="left"/>
              <w:rPr>
                <w:rFonts w:cs="Arial"/>
                <w:szCs w:val="18"/>
                <w:lang w:val="en-GB"/>
              </w:rPr>
            </w:pPr>
            <w:r>
              <w:rPr>
                <w:rFonts w:cs="Arial"/>
                <w:szCs w:val="18"/>
                <w:lang w:val="en-GB"/>
              </w:rPr>
              <w:t>16.3.1</w:t>
            </w:r>
          </w:p>
        </w:tc>
        <w:tc>
          <w:tcPr>
            <w:tcW w:w="1701" w:type="dxa"/>
            <w:shd w:val="clear" w:color="auto" w:fill="FFFFFF"/>
          </w:tcPr>
          <w:p w14:paraId="42D0EC33" w14:textId="645277F7" w:rsidR="00461B58" w:rsidRDefault="000813FC" w:rsidP="004D229E">
            <w:pPr>
              <w:pStyle w:val="CETBodytext"/>
              <w:ind w:right="-1"/>
              <w:jc w:val="left"/>
              <w:rPr>
                <w:rFonts w:cs="Arial"/>
                <w:szCs w:val="18"/>
                <w:lang w:val="en-GB"/>
              </w:rPr>
            </w:pPr>
            <w:r>
              <w:rPr>
                <w:rFonts w:cs="Arial"/>
                <w:szCs w:val="18"/>
                <w:lang w:val="en-GB"/>
              </w:rPr>
              <w:t>Pumps P-</w:t>
            </w:r>
            <w:r w:rsidR="004F4BFE">
              <w:rPr>
                <w:rFonts w:cs="Arial"/>
                <w:szCs w:val="18"/>
                <w:lang w:val="en-GB"/>
              </w:rPr>
              <w:t>01/02/03/04/05/06 (</w:t>
            </w:r>
            <w:r w:rsidR="00143E28">
              <w:rPr>
                <w:rFonts w:cs="Arial"/>
                <w:szCs w:val="18"/>
                <w:lang w:val="en-GB"/>
              </w:rPr>
              <w:t>stop of electric motor)</w:t>
            </w:r>
          </w:p>
        </w:tc>
        <w:tc>
          <w:tcPr>
            <w:tcW w:w="859" w:type="dxa"/>
            <w:shd w:val="clear" w:color="auto" w:fill="FFFFFF"/>
          </w:tcPr>
          <w:p w14:paraId="64022FBA" w14:textId="31B369DB" w:rsidR="00461B58" w:rsidRDefault="006C4471" w:rsidP="004D229E">
            <w:pPr>
              <w:pStyle w:val="CETBodytext"/>
              <w:ind w:right="-1"/>
              <w:jc w:val="left"/>
              <w:rPr>
                <w:rFonts w:cs="Arial"/>
                <w:szCs w:val="18"/>
                <w:lang w:val="en-GB"/>
              </w:rPr>
            </w:pPr>
            <w:r>
              <w:rPr>
                <w:rFonts w:cs="Arial"/>
                <w:szCs w:val="18"/>
                <w:lang w:val="en-GB"/>
              </w:rPr>
              <w:t>PIT-06/07/08</w:t>
            </w:r>
          </w:p>
        </w:tc>
        <w:tc>
          <w:tcPr>
            <w:tcW w:w="842" w:type="dxa"/>
            <w:shd w:val="clear" w:color="auto" w:fill="FFFFFF"/>
          </w:tcPr>
          <w:p w14:paraId="42EDCC2F" w14:textId="54943044" w:rsidR="00461B58" w:rsidRPr="00B57B36" w:rsidRDefault="00894945" w:rsidP="004D229E">
            <w:pPr>
              <w:pStyle w:val="CETBodytext"/>
              <w:ind w:right="-1"/>
              <w:jc w:val="left"/>
              <w:rPr>
                <w:rFonts w:cs="Arial"/>
                <w:szCs w:val="18"/>
                <w:lang w:val="en-GB"/>
              </w:rPr>
            </w:pPr>
            <w:r w:rsidRPr="00894945">
              <w:rPr>
                <w:rFonts w:cs="Arial"/>
                <w:szCs w:val="18"/>
                <w:lang w:val="en-GB"/>
              </w:rPr>
              <w:t>[</w:t>
            </w:r>
            <w:r w:rsidR="00F57269">
              <w:rPr>
                <w:rFonts w:cs="Arial"/>
                <w:szCs w:val="18"/>
                <w:lang w:val="en-GB"/>
              </w:rPr>
              <w:t>2</w:t>
            </w:r>
            <w:r w:rsidRPr="00894945">
              <w:rPr>
                <w:rFonts w:cs="Arial"/>
                <w:szCs w:val="18"/>
                <w:lang w:val="en-GB"/>
              </w:rPr>
              <w:t>,1,1,1]</w:t>
            </w:r>
          </w:p>
        </w:tc>
        <w:tc>
          <w:tcPr>
            <w:tcW w:w="1406" w:type="dxa"/>
            <w:shd w:val="clear" w:color="auto" w:fill="FFFFFF"/>
          </w:tcPr>
          <w:p w14:paraId="37BF0A35" w14:textId="6102CEF8" w:rsidR="00461B58" w:rsidRDefault="009A34A9" w:rsidP="004D229E">
            <w:pPr>
              <w:pStyle w:val="CETBodytext"/>
              <w:ind w:right="-1"/>
              <w:jc w:val="left"/>
              <w:rPr>
                <w:rFonts w:cs="Arial"/>
                <w:szCs w:val="18"/>
                <w:lang w:val="en-GB"/>
              </w:rPr>
            </w:pPr>
            <w:r>
              <w:rPr>
                <w:rFonts w:cs="Arial"/>
                <w:szCs w:val="18"/>
                <w:lang w:val="en-GB"/>
              </w:rPr>
              <w:t>12</w:t>
            </w:r>
            <w:r w:rsidR="00CC7CBA">
              <w:rPr>
                <w:rFonts w:cs="Arial"/>
                <w:szCs w:val="18"/>
                <w:lang w:val="en-GB"/>
              </w:rPr>
              <w:t xml:space="preserve"> (low PKL; </w:t>
            </w:r>
            <w:r w:rsidR="00C95770">
              <w:rPr>
                <w:rFonts w:cs="Arial"/>
                <w:szCs w:val="18"/>
                <w:lang w:val="en-GB"/>
              </w:rPr>
              <w:t>low</w:t>
            </w:r>
            <w:r w:rsidR="00CC7CBA">
              <w:rPr>
                <w:rFonts w:cs="Arial"/>
                <w:szCs w:val="18"/>
                <w:lang w:val="en-GB"/>
              </w:rPr>
              <w:t xml:space="preserve"> </w:t>
            </w:r>
            <w:proofErr w:type="spellStart"/>
            <w:r w:rsidR="00CC7CBA">
              <w:rPr>
                <w:rFonts w:cs="Arial"/>
                <w:szCs w:val="18"/>
                <w:lang w:val="en-GB"/>
              </w:rPr>
              <w:t>C</w:t>
            </w:r>
            <w:r w:rsidR="004D0899">
              <w:rPr>
                <w:rFonts w:cs="Arial"/>
                <w:szCs w:val="18"/>
                <w:lang w:val="en-GB"/>
              </w:rPr>
              <w:t>y</w:t>
            </w:r>
            <w:r w:rsidR="00CC7CBA">
              <w:rPr>
                <w:rFonts w:cs="Arial"/>
                <w:szCs w:val="18"/>
                <w:lang w:val="en-GB"/>
              </w:rPr>
              <w:t>C</w:t>
            </w:r>
            <w:proofErr w:type="spellEnd"/>
            <w:r w:rsidR="00CC7CBA">
              <w:rPr>
                <w:rFonts w:cs="Arial"/>
                <w:szCs w:val="18"/>
                <w:lang w:val="en-GB"/>
              </w:rPr>
              <w:t>)</w:t>
            </w:r>
          </w:p>
        </w:tc>
      </w:tr>
      <w:tr w:rsidR="00EE0762" w:rsidRPr="00B57B36" w14:paraId="6ECFC19B" w14:textId="77777777" w:rsidTr="00EE0762">
        <w:tc>
          <w:tcPr>
            <w:tcW w:w="908" w:type="dxa"/>
            <w:shd w:val="clear" w:color="auto" w:fill="FFFFFF"/>
          </w:tcPr>
          <w:p w14:paraId="64F37989" w14:textId="35240FAE" w:rsidR="00F4492C" w:rsidRDefault="005D3D6D" w:rsidP="004D229E">
            <w:pPr>
              <w:pStyle w:val="CETBodytext"/>
              <w:ind w:right="-1"/>
              <w:jc w:val="left"/>
              <w:rPr>
                <w:lang w:val="en-GB"/>
              </w:rPr>
            </w:pPr>
            <w:r>
              <w:rPr>
                <w:lang w:val="en-GB"/>
              </w:rPr>
              <w:t>ND16-SE05-MA16.4</w:t>
            </w:r>
          </w:p>
        </w:tc>
        <w:tc>
          <w:tcPr>
            <w:tcW w:w="2268" w:type="dxa"/>
            <w:shd w:val="clear" w:color="auto" w:fill="FFFFFF"/>
          </w:tcPr>
          <w:p w14:paraId="6B8A71BB" w14:textId="4F8B4671" w:rsidR="00F4492C" w:rsidRDefault="00F4492C" w:rsidP="004D229E">
            <w:pPr>
              <w:pStyle w:val="CETBodytext"/>
              <w:ind w:right="-1"/>
              <w:jc w:val="left"/>
              <w:rPr>
                <w:rFonts w:cs="Arial"/>
                <w:szCs w:val="18"/>
                <w:lang w:val="en-GB"/>
              </w:rPr>
            </w:pPr>
            <w:r>
              <w:rPr>
                <w:rFonts w:cs="Arial"/>
                <w:szCs w:val="18"/>
                <w:lang w:val="en-GB"/>
              </w:rPr>
              <w:t>Production outage by damaging pumps</w:t>
            </w:r>
            <w:r w:rsidR="00EE1CC7">
              <w:rPr>
                <w:rFonts w:cs="Arial"/>
                <w:szCs w:val="18"/>
                <w:lang w:val="en-GB"/>
              </w:rPr>
              <w:t xml:space="preserve"> </w:t>
            </w:r>
            <w:r w:rsidR="00EE0762">
              <w:rPr>
                <w:rFonts w:cs="Arial"/>
                <w:szCs w:val="18"/>
                <w:lang w:val="en-GB"/>
              </w:rPr>
              <w:t xml:space="preserve">in ND16 </w:t>
            </w:r>
            <w:r w:rsidR="00EE1CC7">
              <w:rPr>
                <w:rFonts w:cs="Arial"/>
                <w:szCs w:val="18"/>
                <w:lang w:val="en-GB"/>
              </w:rPr>
              <w:t>(</w:t>
            </w:r>
            <w:r w:rsidR="00A70221">
              <w:rPr>
                <w:rFonts w:cs="Arial"/>
                <w:szCs w:val="18"/>
                <w:lang w:val="en-GB"/>
              </w:rPr>
              <w:t>driver failure</w:t>
            </w:r>
            <w:r w:rsidR="007268CC">
              <w:rPr>
                <w:rFonts w:cs="Arial"/>
                <w:szCs w:val="18"/>
                <w:lang w:val="en-GB"/>
              </w:rPr>
              <w:t>)</w:t>
            </w:r>
          </w:p>
        </w:tc>
        <w:tc>
          <w:tcPr>
            <w:tcW w:w="709" w:type="dxa"/>
            <w:shd w:val="clear" w:color="auto" w:fill="FFFFFF"/>
          </w:tcPr>
          <w:p w14:paraId="393A0187" w14:textId="31C40AF1" w:rsidR="00F4492C" w:rsidRDefault="00D96732" w:rsidP="004D229E">
            <w:pPr>
              <w:pStyle w:val="CETBodytext"/>
              <w:ind w:right="-1"/>
              <w:jc w:val="left"/>
              <w:rPr>
                <w:rFonts w:cs="Arial"/>
                <w:szCs w:val="18"/>
                <w:lang w:val="en-GB"/>
              </w:rPr>
            </w:pPr>
            <w:r>
              <w:rPr>
                <w:rFonts w:cs="Arial"/>
                <w:szCs w:val="18"/>
                <w:lang w:val="en-GB"/>
              </w:rPr>
              <w:t>16.4.1</w:t>
            </w:r>
          </w:p>
        </w:tc>
        <w:tc>
          <w:tcPr>
            <w:tcW w:w="1701" w:type="dxa"/>
            <w:shd w:val="clear" w:color="auto" w:fill="FFFFFF"/>
          </w:tcPr>
          <w:p w14:paraId="015975C8" w14:textId="179F3637" w:rsidR="00F4492C" w:rsidRDefault="00B45593" w:rsidP="004D229E">
            <w:pPr>
              <w:pStyle w:val="CETBodytext"/>
              <w:ind w:right="-1"/>
              <w:jc w:val="left"/>
              <w:rPr>
                <w:rFonts w:cs="Arial"/>
                <w:szCs w:val="18"/>
                <w:lang w:val="en-GB"/>
              </w:rPr>
            </w:pPr>
            <w:r>
              <w:rPr>
                <w:rFonts w:cs="Arial"/>
                <w:szCs w:val="18"/>
                <w:lang w:val="en-GB"/>
              </w:rPr>
              <w:t>Pumps P-01/02/03/04/05/06 (start/stop cycles)</w:t>
            </w:r>
          </w:p>
        </w:tc>
        <w:tc>
          <w:tcPr>
            <w:tcW w:w="859" w:type="dxa"/>
            <w:shd w:val="clear" w:color="auto" w:fill="FFFFFF"/>
          </w:tcPr>
          <w:p w14:paraId="6008360C" w14:textId="53DE5097" w:rsidR="00F4492C" w:rsidRDefault="009174B8" w:rsidP="004D229E">
            <w:pPr>
              <w:pStyle w:val="CETBodytext"/>
              <w:ind w:right="-1"/>
              <w:jc w:val="left"/>
              <w:rPr>
                <w:rFonts w:cs="Arial"/>
                <w:szCs w:val="18"/>
                <w:lang w:val="en-GB"/>
              </w:rPr>
            </w:pPr>
            <w:r>
              <w:rPr>
                <w:rFonts w:cs="Arial"/>
                <w:szCs w:val="18"/>
                <w:lang w:val="en-GB"/>
              </w:rPr>
              <w:t>PIT-06/07/08</w:t>
            </w:r>
          </w:p>
        </w:tc>
        <w:tc>
          <w:tcPr>
            <w:tcW w:w="842" w:type="dxa"/>
            <w:shd w:val="clear" w:color="auto" w:fill="FFFFFF"/>
          </w:tcPr>
          <w:p w14:paraId="360E53A3" w14:textId="486EF91C" w:rsidR="00F4492C" w:rsidRPr="00B57B36" w:rsidRDefault="00963608" w:rsidP="004D229E">
            <w:pPr>
              <w:pStyle w:val="CETBodytext"/>
              <w:ind w:right="-1"/>
              <w:jc w:val="left"/>
              <w:rPr>
                <w:rFonts w:cs="Arial"/>
                <w:szCs w:val="18"/>
                <w:lang w:val="en-GB"/>
              </w:rPr>
            </w:pPr>
            <w:r w:rsidRPr="00963608">
              <w:rPr>
                <w:rFonts w:cs="Arial"/>
                <w:szCs w:val="18"/>
                <w:lang w:val="en-GB"/>
              </w:rPr>
              <w:t>[</w:t>
            </w:r>
            <w:r w:rsidR="006556AD">
              <w:rPr>
                <w:rFonts w:cs="Arial"/>
                <w:szCs w:val="18"/>
                <w:lang w:val="en-GB"/>
              </w:rPr>
              <w:t>3</w:t>
            </w:r>
            <w:r w:rsidRPr="00963608">
              <w:rPr>
                <w:rFonts w:cs="Arial"/>
                <w:szCs w:val="18"/>
                <w:lang w:val="en-GB"/>
              </w:rPr>
              <w:t>,</w:t>
            </w:r>
            <w:r w:rsidR="00E43D05">
              <w:rPr>
                <w:rFonts w:cs="Arial"/>
                <w:szCs w:val="18"/>
                <w:lang w:val="en-GB"/>
              </w:rPr>
              <w:t>2</w:t>
            </w:r>
            <w:r w:rsidRPr="00963608">
              <w:rPr>
                <w:rFonts w:cs="Arial"/>
                <w:szCs w:val="18"/>
                <w:lang w:val="en-GB"/>
              </w:rPr>
              <w:t>,1,1]</w:t>
            </w:r>
          </w:p>
        </w:tc>
        <w:tc>
          <w:tcPr>
            <w:tcW w:w="1406" w:type="dxa"/>
            <w:shd w:val="clear" w:color="auto" w:fill="FFFFFF"/>
          </w:tcPr>
          <w:p w14:paraId="5EAB5B05" w14:textId="5105CDCD" w:rsidR="00F4492C" w:rsidRDefault="00CB4199" w:rsidP="004D229E">
            <w:pPr>
              <w:pStyle w:val="CETBodytext"/>
              <w:ind w:right="-1"/>
              <w:jc w:val="left"/>
              <w:rPr>
                <w:rFonts w:cs="Arial"/>
                <w:szCs w:val="18"/>
                <w:lang w:val="en-GB"/>
              </w:rPr>
            </w:pPr>
            <w:r>
              <w:rPr>
                <w:rFonts w:cs="Arial"/>
                <w:szCs w:val="18"/>
                <w:lang w:val="en-GB"/>
              </w:rPr>
              <w:t>12</w:t>
            </w:r>
            <w:r w:rsidR="00CC7CBA">
              <w:rPr>
                <w:rFonts w:cs="Arial"/>
                <w:szCs w:val="18"/>
                <w:lang w:val="en-GB"/>
              </w:rPr>
              <w:t xml:space="preserve"> (</w:t>
            </w:r>
            <w:r w:rsidR="00A94E89">
              <w:rPr>
                <w:rFonts w:cs="Arial"/>
                <w:szCs w:val="18"/>
                <w:lang w:val="en-GB"/>
              </w:rPr>
              <w:t>low</w:t>
            </w:r>
            <w:r w:rsidR="00CC7CBA">
              <w:rPr>
                <w:rFonts w:cs="Arial"/>
                <w:szCs w:val="18"/>
                <w:lang w:val="en-GB"/>
              </w:rPr>
              <w:t xml:space="preserve"> PKL; </w:t>
            </w:r>
            <w:r w:rsidR="00C30CB7">
              <w:rPr>
                <w:rFonts w:cs="Arial"/>
                <w:szCs w:val="18"/>
                <w:lang w:val="en-GB"/>
              </w:rPr>
              <w:t>low</w:t>
            </w:r>
            <w:r w:rsidR="00CC7CBA">
              <w:rPr>
                <w:rFonts w:cs="Arial"/>
                <w:szCs w:val="18"/>
                <w:lang w:val="en-GB"/>
              </w:rPr>
              <w:t xml:space="preserve"> </w:t>
            </w:r>
            <w:proofErr w:type="spellStart"/>
            <w:r w:rsidR="00CC7CBA">
              <w:rPr>
                <w:rFonts w:cs="Arial"/>
                <w:szCs w:val="18"/>
                <w:lang w:val="en-GB"/>
              </w:rPr>
              <w:t>C</w:t>
            </w:r>
            <w:r w:rsidR="004D0899">
              <w:rPr>
                <w:rFonts w:cs="Arial"/>
                <w:szCs w:val="18"/>
                <w:lang w:val="en-GB"/>
              </w:rPr>
              <w:t>y</w:t>
            </w:r>
            <w:r w:rsidR="00CC7CBA">
              <w:rPr>
                <w:rFonts w:cs="Arial"/>
                <w:szCs w:val="18"/>
                <w:lang w:val="en-GB"/>
              </w:rPr>
              <w:t>C</w:t>
            </w:r>
            <w:proofErr w:type="spellEnd"/>
            <w:r w:rsidR="00CC7CBA">
              <w:rPr>
                <w:rFonts w:cs="Arial"/>
                <w:szCs w:val="18"/>
                <w:lang w:val="en-GB"/>
              </w:rPr>
              <w:t>)</w:t>
            </w:r>
          </w:p>
        </w:tc>
      </w:tr>
      <w:tr w:rsidR="00EE0762" w:rsidRPr="00B57B36" w14:paraId="1C838EA7" w14:textId="77777777" w:rsidTr="00EE0762">
        <w:tc>
          <w:tcPr>
            <w:tcW w:w="908" w:type="dxa"/>
            <w:shd w:val="clear" w:color="auto" w:fill="FFFFFF"/>
          </w:tcPr>
          <w:p w14:paraId="12DC9466" w14:textId="7CDF2929" w:rsidR="00CC7CBA" w:rsidRDefault="00BC642F" w:rsidP="00CC7CBA">
            <w:pPr>
              <w:pStyle w:val="CETBodytext"/>
              <w:ind w:right="-1"/>
              <w:jc w:val="left"/>
              <w:rPr>
                <w:lang w:val="en-GB"/>
              </w:rPr>
            </w:pPr>
            <w:r>
              <w:rPr>
                <w:lang w:val="en-GB"/>
              </w:rPr>
              <w:t xml:space="preserve"> </w:t>
            </w:r>
          </w:p>
        </w:tc>
        <w:tc>
          <w:tcPr>
            <w:tcW w:w="2268" w:type="dxa"/>
            <w:shd w:val="clear" w:color="auto" w:fill="FFFFFF"/>
          </w:tcPr>
          <w:p w14:paraId="3335BD29" w14:textId="1AB0D06C" w:rsidR="00CC7CBA" w:rsidRDefault="00CC7CBA" w:rsidP="00CC7CBA">
            <w:pPr>
              <w:pStyle w:val="CETBodytext"/>
              <w:ind w:right="-1"/>
              <w:jc w:val="left"/>
              <w:rPr>
                <w:rFonts w:cs="Arial"/>
                <w:szCs w:val="18"/>
                <w:lang w:val="en-GB"/>
              </w:rPr>
            </w:pPr>
            <w:r>
              <w:rPr>
                <w:rFonts w:cs="Arial"/>
                <w:szCs w:val="18"/>
                <w:lang w:val="en-GB"/>
              </w:rPr>
              <w:t xml:space="preserve">Production outage by damaging pumps </w:t>
            </w:r>
            <w:r w:rsidR="00EE0762">
              <w:rPr>
                <w:rFonts w:cs="Arial"/>
                <w:szCs w:val="18"/>
                <w:lang w:val="en-GB"/>
              </w:rPr>
              <w:t xml:space="preserve">in ND16 </w:t>
            </w:r>
            <w:r>
              <w:rPr>
                <w:rFonts w:cs="Arial"/>
                <w:szCs w:val="18"/>
                <w:lang w:val="en-GB"/>
              </w:rPr>
              <w:t>(exceeding operative limits)</w:t>
            </w:r>
          </w:p>
        </w:tc>
        <w:tc>
          <w:tcPr>
            <w:tcW w:w="709" w:type="dxa"/>
            <w:shd w:val="clear" w:color="auto" w:fill="FFFFFF"/>
          </w:tcPr>
          <w:p w14:paraId="2FA698E6" w14:textId="531352A1" w:rsidR="00CC7CBA" w:rsidRDefault="00CC7CBA" w:rsidP="00CC7CBA">
            <w:pPr>
              <w:pStyle w:val="CETBodytext"/>
              <w:ind w:right="-1"/>
              <w:jc w:val="left"/>
              <w:rPr>
                <w:rFonts w:cs="Arial"/>
                <w:szCs w:val="18"/>
                <w:lang w:val="en-GB"/>
              </w:rPr>
            </w:pPr>
            <w:r>
              <w:rPr>
                <w:rFonts w:cs="Arial"/>
                <w:szCs w:val="18"/>
                <w:lang w:val="en-GB"/>
              </w:rPr>
              <w:t>16.4.2</w:t>
            </w:r>
          </w:p>
        </w:tc>
        <w:tc>
          <w:tcPr>
            <w:tcW w:w="1701" w:type="dxa"/>
            <w:shd w:val="clear" w:color="auto" w:fill="FFFFFF"/>
          </w:tcPr>
          <w:p w14:paraId="25448294" w14:textId="57818654" w:rsidR="00CC7CBA" w:rsidRDefault="00CC7CBA" w:rsidP="00CC7CBA">
            <w:pPr>
              <w:pStyle w:val="CETBodytext"/>
              <w:ind w:right="-1"/>
              <w:jc w:val="left"/>
              <w:rPr>
                <w:rFonts w:cs="Arial"/>
                <w:szCs w:val="18"/>
                <w:lang w:val="en-GB"/>
              </w:rPr>
            </w:pPr>
            <w:r>
              <w:rPr>
                <w:rFonts w:cs="Arial"/>
                <w:szCs w:val="18"/>
                <w:lang w:val="en-GB"/>
              </w:rPr>
              <w:t>Pumps P-01/02/03/04/05/06 (increased rotational speed)</w:t>
            </w:r>
          </w:p>
        </w:tc>
        <w:tc>
          <w:tcPr>
            <w:tcW w:w="859" w:type="dxa"/>
            <w:shd w:val="clear" w:color="auto" w:fill="FFFFFF"/>
          </w:tcPr>
          <w:p w14:paraId="50522522" w14:textId="70E7FBDF" w:rsidR="00CC7CBA" w:rsidRDefault="00CC7CBA" w:rsidP="00CC7CBA">
            <w:pPr>
              <w:pStyle w:val="CETBodytext"/>
              <w:ind w:right="-1"/>
              <w:jc w:val="left"/>
              <w:rPr>
                <w:rFonts w:cs="Arial"/>
                <w:szCs w:val="18"/>
                <w:lang w:val="en-GB"/>
              </w:rPr>
            </w:pPr>
            <w:r>
              <w:rPr>
                <w:rFonts w:cs="Arial"/>
                <w:szCs w:val="18"/>
                <w:lang w:val="en-GB"/>
              </w:rPr>
              <w:t>PIT-06/07/08</w:t>
            </w:r>
          </w:p>
        </w:tc>
        <w:tc>
          <w:tcPr>
            <w:tcW w:w="842" w:type="dxa"/>
            <w:shd w:val="clear" w:color="auto" w:fill="FFFFFF"/>
          </w:tcPr>
          <w:p w14:paraId="7A675A1F" w14:textId="0CE8D729" w:rsidR="00CC7CBA" w:rsidRPr="00B57B36" w:rsidRDefault="00CC7CBA" w:rsidP="00CC7CBA">
            <w:pPr>
              <w:pStyle w:val="CETBodytext"/>
              <w:ind w:right="-1"/>
              <w:jc w:val="left"/>
              <w:rPr>
                <w:rFonts w:cs="Arial"/>
                <w:szCs w:val="18"/>
                <w:lang w:val="en-GB"/>
              </w:rPr>
            </w:pPr>
            <w:r w:rsidRPr="00894945">
              <w:rPr>
                <w:rFonts w:cs="Arial"/>
                <w:szCs w:val="18"/>
                <w:lang w:val="en-GB"/>
              </w:rPr>
              <w:t>[</w:t>
            </w:r>
            <w:r>
              <w:rPr>
                <w:rFonts w:cs="Arial"/>
                <w:szCs w:val="18"/>
                <w:lang w:val="en-GB"/>
              </w:rPr>
              <w:t>3</w:t>
            </w:r>
            <w:r w:rsidRPr="00894945">
              <w:rPr>
                <w:rFonts w:cs="Arial"/>
                <w:szCs w:val="18"/>
                <w:lang w:val="en-GB"/>
              </w:rPr>
              <w:t>,</w:t>
            </w:r>
            <w:r>
              <w:rPr>
                <w:rFonts w:cs="Arial"/>
                <w:szCs w:val="18"/>
                <w:lang w:val="en-GB"/>
              </w:rPr>
              <w:t>2</w:t>
            </w:r>
            <w:r w:rsidRPr="00894945">
              <w:rPr>
                <w:rFonts w:cs="Arial"/>
                <w:szCs w:val="18"/>
                <w:lang w:val="en-GB"/>
              </w:rPr>
              <w:t>,1,1]</w:t>
            </w:r>
          </w:p>
        </w:tc>
        <w:tc>
          <w:tcPr>
            <w:tcW w:w="1406" w:type="dxa"/>
            <w:shd w:val="clear" w:color="auto" w:fill="FFFFFF"/>
          </w:tcPr>
          <w:p w14:paraId="69F9501E" w14:textId="261ED3E7" w:rsidR="00CC7CBA" w:rsidRDefault="00CB4199" w:rsidP="00CC7CBA">
            <w:pPr>
              <w:pStyle w:val="CETBodytext"/>
              <w:ind w:right="-1"/>
              <w:jc w:val="left"/>
              <w:rPr>
                <w:rFonts w:cs="Arial"/>
                <w:szCs w:val="18"/>
                <w:lang w:val="en-GB"/>
              </w:rPr>
            </w:pPr>
            <w:r>
              <w:rPr>
                <w:rFonts w:cs="Arial"/>
                <w:szCs w:val="18"/>
                <w:lang w:val="en-GB"/>
              </w:rPr>
              <w:t xml:space="preserve">12 </w:t>
            </w:r>
            <w:r w:rsidR="00CC7CBA">
              <w:rPr>
                <w:rFonts w:cs="Arial"/>
                <w:szCs w:val="18"/>
                <w:lang w:val="en-GB"/>
              </w:rPr>
              <w:t>(</w:t>
            </w:r>
            <w:r w:rsidR="00A94E89">
              <w:rPr>
                <w:rFonts w:cs="Arial"/>
                <w:szCs w:val="18"/>
                <w:lang w:val="en-GB"/>
              </w:rPr>
              <w:t>low</w:t>
            </w:r>
            <w:r w:rsidR="00CC7CBA">
              <w:rPr>
                <w:rFonts w:cs="Arial"/>
                <w:szCs w:val="18"/>
                <w:lang w:val="en-GB"/>
              </w:rPr>
              <w:t xml:space="preserve"> PKL; </w:t>
            </w:r>
            <w:r w:rsidR="00C30CB7">
              <w:rPr>
                <w:rFonts w:cs="Arial"/>
                <w:szCs w:val="18"/>
                <w:lang w:val="en-GB"/>
              </w:rPr>
              <w:t>low</w:t>
            </w:r>
            <w:r w:rsidR="00CC7CBA">
              <w:rPr>
                <w:rFonts w:cs="Arial"/>
                <w:szCs w:val="18"/>
                <w:lang w:val="en-GB"/>
              </w:rPr>
              <w:t xml:space="preserve"> </w:t>
            </w:r>
            <w:proofErr w:type="spellStart"/>
            <w:r w:rsidR="00CC7CBA">
              <w:rPr>
                <w:rFonts w:cs="Arial"/>
                <w:szCs w:val="18"/>
                <w:lang w:val="en-GB"/>
              </w:rPr>
              <w:t>C</w:t>
            </w:r>
            <w:r w:rsidR="004D0899">
              <w:rPr>
                <w:rFonts w:cs="Arial"/>
                <w:szCs w:val="18"/>
                <w:lang w:val="en-GB"/>
              </w:rPr>
              <w:t>y</w:t>
            </w:r>
            <w:r w:rsidR="00CC7CBA">
              <w:rPr>
                <w:rFonts w:cs="Arial"/>
                <w:szCs w:val="18"/>
                <w:lang w:val="en-GB"/>
              </w:rPr>
              <w:t>C</w:t>
            </w:r>
            <w:proofErr w:type="spellEnd"/>
            <w:r w:rsidR="00CC7CBA">
              <w:rPr>
                <w:rFonts w:cs="Arial"/>
                <w:szCs w:val="18"/>
                <w:lang w:val="en-GB"/>
              </w:rPr>
              <w:t>)</w:t>
            </w:r>
          </w:p>
        </w:tc>
      </w:tr>
    </w:tbl>
    <w:p w14:paraId="68D26B83" w14:textId="77777777" w:rsidR="00600535" w:rsidRPr="00B57B36" w:rsidRDefault="00600535" w:rsidP="00600535">
      <w:pPr>
        <w:pStyle w:val="CETHeading1"/>
        <w:rPr>
          <w:lang w:val="en-GB"/>
        </w:rPr>
      </w:pPr>
      <w:r w:rsidRPr="00B57B36">
        <w:rPr>
          <w:lang w:val="en-GB"/>
        </w:rPr>
        <w:t>Conclusions</w:t>
      </w:r>
    </w:p>
    <w:p w14:paraId="215D2D90" w14:textId="58B3D341" w:rsidR="00E46F09" w:rsidRDefault="00A36EA6" w:rsidP="00600535">
      <w:pPr>
        <w:pStyle w:val="CETBodytext"/>
        <w:rPr>
          <w:lang w:val="en-GB"/>
        </w:rPr>
      </w:pPr>
      <w:r>
        <w:rPr>
          <w:lang w:val="en-GB"/>
        </w:rPr>
        <w:t xml:space="preserve">The present study focuses on investigating the effects of cyber-attacks on </w:t>
      </w:r>
      <w:r w:rsidR="00210EA1">
        <w:rPr>
          <w:lang w:val="en-GB"/>
        </w:rPr>
        <w:t>a</w:t>
      </w:r>
      <w:r w:rsidR="00E44C0B">
        <w:rPr>
          <w:lang w:val="en-GB"/>
        </w:rPr>
        <w:t xml:space="preserve"> drinking water treatment plant using the POROS 2.0 methodology</w:t>
      </w:r>
      <w:r w:rsidR="006D59B3">
        <w:rPr>
          <w:lang w:val="en-GB"/>
        </w:rPr>
        <w:t xml:space="preserve"> developed by the Authors</w:t>
      </w:r>
      <w:r w:rsidR="00E44C0B">
        <w:rPr>
          <w:lang w:val="en-GB"/>
        </w:rPr>
        <w:t xml:space="preserve">. </w:t>
      </w:r>
      <w:r w:rsidR="00246C54">
        <w:rPr>
          <w:lang w:val="en-GB"/>
        </w:rPr>
        <w:t xml:space="preserve">Application to the node </w:t>
      </w:r>
      <w:r w:rsidR="009A4F1F">
        <w:rPr>
          <w:lang w:val="en-GB"/>
        </w:rPr>
        <w:t xml:space="preserve">corresponding to the </w:t>
      </w:r>
      <w:r w:rsidR="00F447BA">
        <w:rPr>
          <w:lang w:val="en-GB"/>
        </w:rPr>
        <w:t xml:space="preserve">final </w:t>
      </w:r>
      <w:r w:rsidR="006D6552">
        <w:rPr>
          <w:lang w:val="en-GB"/>
        </w:rPr>
        <w:t>distribution of treated water</w:t>
      </w:r>
      <w:r w:rsidR="00D92128">
        <w:rPr>
          <w:lang w:val="en-GB"/>
        </w:rPr>
        <w:t xml:space="preserve"> to users</w:t>
      </w:r>
      <w:r w:rsidR="009A4F1F">
        <w:rPr>
          <w:lang w:val="en-GB"/>
        </w:rPr>
        <w:t xml:space="preserve"> revealed the possibility of generating high-severe scenarios</w:t>
      </w:r>
      <w:r w:rsidR="00173E64">
        <w:rPr>
          <w:lang w:val="en-GB"/>
        </w:rPr>
        <w:t xml:space="preserve">, </w:t>
      </w:r>
      <w:r w:rsidR="00084E84">
        <w:rPr>
          <w:lang w:val="en-GB"/>
        </w:rPr>
        <w:t xml:space="preserve">especially in terms of production outage (by damaging vital components such as </w:t>
      </w:r>
      <w:r w:rsidR="005134C1">
        <w:rPr>
          <w:lang w:val="en-GB"/>
        </w:rPr>
        <w:t xml:space="preserve">the distribution pumps) and </w:t>
      </w:r>
      <w:r w:rsidR="00C12CB1">
        <w:rPr>
          <w:lang w:val="en-GB"/>
        </w:rPr>
        <w:t xml:space="preserve">of </w:t>
      </w:r>
      <w:r w:rsidR="00F87D8E">
        <w:rPr>
          <w:lang w:val="en-GB"/>
        </w:rPr>
        <w:t xml:space="preserve">damage to reputation (by </w:t>
      </w:r>
      <w:r w:rsidR="00B91D36">
        <w:rPr>
          <w:lang w:val="en-GB"/>
        </w:rPr>
        <w:t>supplying users with</w:t>
      </w:r>
      <w:r w:rsidR="00F87D8E">
        <w:rPr>
          <w:lang w:val="en-GB"/>
        </w:rPr>
        <w:t xml:space="preserve"> water out of specification)</w:t>
      </w:r>
      <w:r w:rsidR="005127D9">
        <w:rPr>
          <w:lang w:val="en-GB"/>
        </w:rPr>
        <w:t>: in the latter case, i</w:t>
      </w:r>
      <w:r w:rsidR="00934FB4">
        <w:rPr>
          <w:lang w:val="en-GB"/>
        </w:rPr>
        <w:t xml:space="preserve">mplementation of automated </w:t>
      </w:r>
      <w:r w:rsidR="000A5A44">
        <w:rPr>
          <w:lang w:val="en-GB"/>
        </w:rPr>
        <w:t xml:space="preserve">safety systems to stop production </w:t>
      </w:r>
      <w:r w:rsidR="005127D9">
        <w:rPr>
          <w:lang w:val="en-GB"/>
        </w:rPr>
        <w:t>is highly recommended.</w:t>
      </w:r>
      <w:r w:rsidR="00A74BEC">
        <w:rPr>
          <w:lang w:val="en-GB"/>
        </w:rPr>
        <w:t xml:space="preserve"> </w:t>
      </w:r>
      <w:r w:rsidR="00E94E60">
        <w:rPr>
          <w:lang w:val="en-GB"/>
        </w:rPr>
        <w:t xml:space="preserve">The study also investigated the credibility of the </w:t>
      </w:r>
      <w:r w:rsidR="00E71D9C">
        <w:rPr>
          <w:lang w:val="en-GB"/>
        </w:rPr>
        <w:t xml:space="preserve">identified </w:t>
      </w:r>
      <w:r w:rsidR="00E94E60">
        <w:rPr>
          <w:lang w:val="en-GB"/>
        </w:rPr>
        <w:t>scenario</w:t>
      </w:r>
      <w:r w:rsidR="00E71D9C">
        <w:rPr>
          <w:lang w:val="en-GB"/>
        </w:rPr>
        <w:t>s</w:t>
      </w:r>
      <w:r w:rsidR="007F387E">
        <w:rPr>
          <w:lang w:val="en-GB"/>
        </w:rPr>
        <w:t xml:space="preserve"> (function of attacker required plant knowl</w:t>
      </w:r>
      <w:r w:rsidR="00A74BEC">
        <w:rPr>
          <w:lang w:val="en-GB"/>
        </w:rPr>
        <w:t>edge and cyber-complexity of manipulations)</w:t>
      </w:r>
      <w:r w:rsidR="00E94E60">
        <w:rPr>
          <w:lang w:val="en-GB"/>
        </w:rPr>
        <w:t xml:space="preserve">, proving that </w:t>
      </w:r>
      <w:r w:rsidR="00D8062B">
        <w:rPr>
          <w:lang w:val="en-GB"/>
        </w:rPr>
        <w:t>the</w:t>
      </w:r>
      <w:r w:rsidR="00E94E60">
        <w:rPr>
          <w:lang w:val="en-GB"/>
        </w:rPr>
        <w:t xml:space="preserve"> attacks can be carried out even with </w:t>
      </w:r>
      <w:r w:rsidR="00D71411">
        <w:rPr>
          <w:lang w:val="en-GB"/>
        </w:rPr>
        <w:t>scarce</w:t>
      </w:r>
      <w:r w:rsidR="006021A7">
        <w:rPr>
          <w:lang w:val="en-GB"/>
        </w:rPr>
        <w:t xml:space="preserve"> technical</w:t>
      </w:r>
      <w:r w:rsidR="00D71411">
        <w:rPr>
          <w:lang w:val="en-GB"/>
        </w:rPr>
        <w:t xml:space="preserve"> </w:t>
      </w:r>
      <w:r w:rsidR="008F77EF">
        <w:rPr>
          <w:lang w:val="en-GB"/>
        </w:rPr>
        <w:t xml:space="preserve">information </w:t>
      </w:r>
      <w:r w:rsidR="00BA034F">
        <w:rPr>
          <w:lang w:val="en-GB"/>
        </w:rPr>
        <w:t>available on the attacked system</w:t>
      </w:r>
      <w:r w:rsidR="00E71D9C">
        <w:rPr>
          <w:lang w:val="en-GB"/>
        </w:rPr>
        <w:t>,</w:t>
      </w:r>
      <w:r w:rsidR="002139E8">
        <w:rPr>
          <w:lang w:val="en-GB"/>
        </w:rPr>
        <w:t xml:space="preserve"> </w:t>
      </w:r>
      <w:r w:rsidR="000F47D7">
        <w:rPr>
          <w:lang w:val="en-GB"/>
        </w:rPr>
        <w:t xml:space="preserve">and that not always </w:t>
      </w:r>
      <w:r w:rsidR="00596A02">
        <w:rPr>
          <w:lang w:val="en-GB"/>
        </w:rPr>
        <w:t>complex patterns</w:t>
      </w:r>
      <w:r w:rsidR="000F47D7">
        <w:rPr>
          <w:lang w:val="en-GB"/>
        </w:rPr>
        <w:t xml:space="preserve"> are required</w:t>
      </w:r>
      <w:r w:rsidR="00B46E85">
        <w:rPr>
          <w:lang w:val="en-GB"/>
        </w:rPr>
        <w:t>, resulting thus very credible events.</w:t>
      </w:r>
    </w:p>
    <w:p w14:paraId="14299E47" w14:textId="28C5C9E5" w:rsidR="00D749DD" w:rsidRPr="006123D3" w:rsidRDefault="00F90A81" w:rsidP="006123D3">
      <w:pPr>
        <w:pStyle w:val="CETBodytext"/>
      </w:pPr>
      <w:r>
        <w:rPr>
          <w:lang w:val="en-GB"/>
        </w:rPr>
        <w:t>Overall,</w:t>
      </w:r>
      <w:r w:rsidR="00E46F09">
        <w:rPr>
          <w:lang w:val="en-GB"/>
        </w:rPr>
        <w:t xml:space="preserve"> the </w:t>
      </w:r>
      <w:r w:rsidR="001C4365">
        <w:rPr>
          <w:lang w:val="en-GB"/>
        </w:rPr>
        <w:t xml:space="preserve">results </w:t>
      </w:r>
      <w:r w:rsidR="00E40534">
        <w:rPr>
          <w:lang w:val="en-GB"/>
        </w:rPr>
        <w:t xml:space="preserve">can be used to support cybersecurity risk assessment </w:t>
      </w:r>
      <w:r w:rsidR="00316D7E">
        <w:rPr>
          <w:lang w:val="en-GB"/>
        </w:rPr>
        <w:t xml:space="preserve">for drinking water treatment plants (e.g., ISA/IEC 62443 workflow) </w:t>
      </w:r>
      <w:r>
        <w:rPr>
          <w:lang w:val="en-GB"/>
        </w:rPr>
        <w:t xml:space="preserve">and </w:t>
      </w:r>
      <w:r w:rsidR="001C4365" w:rsidRPr="001C4365">
        <w:rPr>
          <w:lang w:val="en-GB"/>
        </w:rPr>
        <w:t xml:space="preserve">emphasize the need for robust cybersecurity strategies to </w:t>
      </w:r>
      <w:r w:rsidR="001C4365">
        <w:rPr>
          <w:lang w:val="en-GB"/>
        </w:rPr>
        <w:t xml:space="preserve">prevent and </w:t>
      </w:r>
      <w:r w:rsidR="001C4365" w:rsidRPr="001C4365">
        <w:rPr>
          <w:lang w:val="en-GB"/>
        </w:rPr>
        <w:t xml:space="preserve">mitigate risks </w:t>
      </w:r>
      <w:r w:rsidR="001C4365">
        <w:rPr>
          <w:lang w:val="en-GB"/>
        </w:rPr>
        <w:t xml:space="preserve">even in </w:t>
      </w:r>
      <w:r w:rsidR="00006E5D">
        <w:rPr>
          <w:lang w:val="en-GB"/>
        </w:rPr>
        <w:t xml:space="preserve">these </w:t>
      </w:r>
      <w:r w:rsidR="001C4365">
        <w:rPr>
          <w:lang w:val="en-GB"/>
        </w:rPr>
        <w:t>plant</w:t>
      </w:r>
      <w:r w:rsidR="00634B91">
        <w:rPr>
          <w:lang w:val="en-GB"/>
        </w:rPr>
        <w:t>s</w:t>
      </w:r>
      <w:r w:rsidR="001C4365">
        <w:rPr>
          <w:lang w:val="en-GB"/>
        </w:rPr>
        <w:t xml:space="preserve"> where </w:t>
      </w:r>
      <w:r w:rsidR="00634B91">
        <w:rPr>
          <w:lang w:val="en-GB"/>
        </w:rPr>
        <w:t>hazardous substances are not handled.</w:t>
      </w:r>
      <w:r w:rsidR="009925E3">
        <w:rPr>
          <w:lang w:val="en-GB"/>
        </w:rPr>
        <w:t xml:space="preserve"> Future developments involve application of POROS 2.0 methodology</w:t>
      </w:r>
      <w:r w:rsidR="00634B91">
        <w:rPr>
          <w:lang w:val="en-GB"/>
        </w:rPr>
        <w:t xml:space="preserve"> </w:t>
      </w:r>
      <w:r w:rsidR="00C915F6" w:rsidRPr="00C915F6">
        <w:rPr>
          <w:lang w:val="en-GB"/>
        </w:rPr>
        <w:t xml:space="preserve">to </w:t>
      </w:r>
      <w:proofErr w:type="spellStart"/>
      <w:r w:rsidR="00C915F6" w:rsidRPr="00C915F6">
        <w:rPr>
          <w:lang w:val="en-GB"/>
        </w:rPr>
        <w:t>food</w:t>
      </w:r>
      <w:r w:rsidR="00FC3535">
        <w:rPr>
          <w:lang w:val="en-GB"/>
        </w:rPr>
        <w:t>&amp;beverage</w:t>
      </w:r>
      <w:proofErr w:type="spellEnd"/>
      <w:r w:rsidR="00C915F6" w:rsidRPr="00C915F6">
        <w:rPr>
          <w:lang w:val="en-GB"/>
        </w:rPr>
        <w:t xml:space="preserve"> </w:t>
      </w:r>
      <w:r w:rsidR="006123D3">
        <w:rPr>
          <w:lang w:val="en-GB"/>
        </w:rPr>
        <w:t>industries</w:t>
      </w:r>
      <w:r w:rsidR="00C915F6" w:rsidRPr="00C915F6">
        <w:rPr>
          <w:lang w:val="en-GB"/>
        </w:rPr>
        <w:t xml:space="preserve"> and the development of a quantitative model for estimating cyber risk</w:t>
      </w:r>
      <w:r w:rsidR="008A4249">
        <w:rPr>
          <w:lang w:val="en-GB"/>
        </w:rPr>
        <w:t xml:space="preserve">, taking as inputs the scenarios identified with </w:t>
      </w:r>
      <w:r w:rsidR="008F799B">
        <w:rPr>
          <w:lang w:val="en-GB"/>
        </w:rPr>
        <w:t>POROS 2.0.</w:t>
      </w:r>
    </w:p>
    <w:p w14:paraId="459D05E6" w14:textId="1BA9CA16" w:rsidR="00600535" w:rsidRPr="00B57B36" w:rsidRDefault="00600535" w:rsidP="00D749DD">
      <w:pPr>
        <w:pStyle w:val="CETAcknowledgementstitle"/>
      </w:pPr>
      <w:r w:rsidRPr="00B57B36">
        <w:t>Acknowledgments</w:t>
      </w:r>
    </w:p>
    <w:p w14:paraId="33F8138F" w14:textId="2783AF8E" w:rsidR="00600535" w:rsidRPr="00B57B36" w:rsidRDefault="0087418D" w:rsidP="00600535">
      <w:pPr>
        <w:pStyle w:val="CETBodytext"/>
        <w:rPr>
          <w:lang w:val="en-GB"/>
        </w:rPr>
      </w:pPr>
      <w:r w:rsidRPr="004A6D0E">
        <w:rPr>
          <w:shd w:val="clear" w:color="auto" w:fill="FFFFFF"/>
        </w:rPr>
        <w:t>This</w:t>
      </w:r>
      <w:r>
        <w:rPr>
          <w:shd w:val="clear" w:color="auto" w:fill="FFFFFF"/>
        </w:rPr>
        <w:t xml:space="preserve"> </w:t>
      </w:r>
      <w:r w:rsidRPr="004A6D0E">
        <w:rPr>
          <w:shd w:val="clear" w:color="auto" w:fill="FFFFFF"/>
        </w:rPr>
        <w:t>work was supported by project SERICS (PE00000014) under</w:t>
      </w:r>
      <w:r>
        <w:rPr>
          <w:shd w:val="clear" w:color="auto" w:fill="FFFFFF"/>
        </w:rPr>
        <w:t xml:space="preserve"> </w:t>
      </w:r>
      <w:r w:rsidRPr="004A6D0E">
        <w:rPr>
          <w:shd w:val="clear" w:color="auto" w:fill="FFFFFF"/>
        </w:rPr>
        <w:t>the MUR National Recovery and Resilience Plan funded by the European</w:t>
      </w:r>
      <w:r>
        <w:rPr>
          <w:shd w:val="clear" w:color="auto" w:fill="FFFFFF"/>
        </w:rPr>
        <w:t xml:space="preserve"> </w:t>
      </w:r>
      <w:r w:rsidRPr="004A6D0E">
        <w:rPr>
          <w:shd w:val="clear" w:color="auto" w:fill="FFFFFF"/>
        </w:rPr>
        <w:t xml:space="preserve">Union </w:t>
      </w:r>
      <w:r>
        <w:rPr>
          <w:shd w:val="clear" w:color="auto" w:fill="FFFFFF"/>
        </w:rPr>
        <w:t>–</w:t>
      </w:r>
      <w:r w:rsidRPr="004A6D0E">
        <w:rPr>
          <w:shd w:val="clear" w:color="auto" w:fill="FFFFFF"/>
        </w:rPr>
        <w:t xml:space="preserve"> </w:t>
      </w:r>
      <w:proofErr w:type="spellStart"/>
      <w:r w:rsidRPr="004A6D0E">
        <w:rPr>
          <w:shd w:val="clear" w:color="auto" w:fill="FFFFFF"/>
        </w:rPr>
        <w:t>NextGenerationEU</w:t>
      </w:r>
      <w:proofErr w:type="spellEnd"/>
      <w:r>
        <w:rPr>
          <w:lang w:val="en-GB"/>
        </w:rPr>
        <w:t>.</w:t>
      </w:r>
    </w:p>
    <w:p w14:paraId="4F1327F8" w14:textId="77777777" w:rsidR="00600535" w:rsidRPr="00B57B36" w:rsidRDefault="00600535" w:rsidP="00600535">
      <w:pPr>
        <w:pStyle w:val="CETReference"/>
      </w:pPr>
      <w:r w:rsidRPr="00B57B36">
        <w:t>References</w:t>
      </w:r>
    </w:p>
    <w:p w14:paraId="1871B02B" w14:textId="3DFCD5E2" w:rsidR="00BF45A1" w:rsidRPr="003A6479" w:rsidRDefault="00BF45A1" w:rsidP="003A6479">
      <w:pPr>
        <w:pStyle w:val="CETReferencetext"/>
      </w:pPr>
      <w:r w:rsidRPr="003A6479">
        <w:t>Bajpai S.</w:t>
      </w:r>
      <w:r w:rsidR="001D063B">
        <w:t xml:space="preserve"> and</w:t>
      </w:r>
      <w:r w:rsidRPr="003A6479">
        <w:t xml:space="preserve"> Gupta J. P., 2018, Security risk assessment: Some techniques, Chapter In: G Reniers, N </w:t>
      </w:r>
      <w:proofErr w:type="spellStart"/>
      <w:r w:rsidRPr="003A6479">
        <w:t>Khakzad</w:t>
      </w:r>
      <w:proofErr w:type="spellEnd"/>
      <w:r w:rsidRPr="003A6479">
        <w:t>, &amp; P Van Gelder (Eds.), Security risk assessment in the chemical and process industry, Vol 1, De Gruyter, Berlin, Germany, 75-92.</w:t>
      </w:r>
    </w:p>
    <w:p w14:paraId="5C8031DE" w14:textId="77777777" w:rsidR="00BF45A1" w:rsidRPr="003A6479" w:rsidRDefault="00BF45A1" w:rsidP="003A6479">
      <w:pPr>
        <w:pStyle w:val="CETReferencetext"/>
      </w:pPr>
      <w:proofErr w:type="spellStart"/>
      <w:r w:rsidRPr="003A6479">
        <w:t>Center</w:t>
      </w:r>
      <w:proofErr w:type="spellEnd"/>
      <w:r w:rsidRPr="003A6479">
        <w:t xml:space="preserve"> for Chemical Process Safety (CCPS), 2022, Managing Cybersecurity in the Process Industries - A Risk-based Approach, Wiley, New York, USA.</w:t>
      </w:r>
    </w:p>
    <w:p w14:paraId="3D060018" w14:textId="77777777" w:rsidR="00BF45A1" w:rsidRPr="003A6479" w:rsidRDefault="00BF45A1" w:rsidP="003A6479">
      <w:pPr>
        <w:pStyle w:val="CETReferencetext"/>
      </w:pPr>
      <w:proofErr w:type="spellStart"/>
      <w:r w:rsidRPr="003A6479">
        <w:t>Cherdantseva</w:t>
      </w:r>
      <w:proofErr w:type="spellEnd"/>
      <w:r w:rsidRPr="003A6479">
        <w:t xml:space="preserve"> Y., Burnap P., Blyth A., Eden P., Jones K., Soulsby H., Stoddart K., 2016, A review of cyber security risk assessment methods for SCADA systems, Computers &amp; Security, 56, 1–27.</w:t>
      </w:r>
    </w:p>
    <w:p w14:paraId="2A3E6885" w14:textId="77777777" w:rsidR="00BF45A1" w:rsidRPr="003A6479" w:rsidRDefault="00BF45A1" w:rsidP="003A6479">
      <w:pPr>
        <w:pStyle w:val="CETReferencetext"/>
      </w:pPr>
      <w:r w:rsidRPr="003A6479">
        <w:t>Iaiani M., Tugnoli A., Casson Moreno V., Cozzani V., 2020, Analysis of Past Cybersecurity-Related Incidents in the Process Industry and the Like, Chemical Engineering Transactions, 82, 163–168.</w:t>
      </w:r>
    </w:p>
    <w:p w14:paraId="373C7AF4" w14:textId="77777777" w:rsidR="00BF45A1" w:rsidRPr="003A6479" w:rsidRDefault="00BF45A1" w:rsidP="003A6479">
      <w:pPr>
        <w:pStyle w:val="CETReferencetext"/>
      </w:pPr>
      <w:r w:rsidRPr="003A6479">
        <w:t xml:space="preserve">Iaiani M., Tugnoli A., Cozzani V., 2023a, Identification of cyber-risks for the control and safety instrumented systems: a synergic framework for the process industry, Process Safety and Environmental Protection, 172, 69–82. </w:t>
      </w:r>
    </w:p>
    <w:p w14:paraId="2645A4CE" w14:textId="77777777" w:rsidR="00BF45A1" w:rsidRPr="003A6479" w:rsidRDefault="00BF45A1" w:rsidP="003A6479">
      <w:pPr>
        <w:pStyle w:val="CETReferencetext"/>
      </w:pPr>
      <w:r w:rsidRPr="003A6479">
        <w:t xml:space="preserve">Iaiani M., Tugnoli A., Cozzani V., 2023b, Process hazard and operability analysis of BPCS and SIS malicious manipulations by POROS 2.0, Process Safety and Environmental Protection, 176, 226–237. </w:t>
      </w:r>
    </w:p>
    <w:p w14:paraId="35DE23F2" w14:textId="50BFDA22" w:rsidR="00FF6D76" w:rsidRDefault="00BF45A1" w:rsidP="00FF6D76">
      <w:pPr>
        <w:pStyle w:val="CETReferencetext"/>
      </w:pPr>
      <w:r w:rsidRPr="003A6479">
        <w:t>International Electrotechnical Commission (IEC), 2016, IEC 61882: Hazard and operability studies (HAZOP studies) - Application guide.</w:t>
      </w:r>
    </w:p>
    <w:sectPr w:rsidR="00FF6D76" w:rsidSect="0004356C">
      <w:type w:val="continuous"/>
      <w:pgSz w:w="11906" w:h="16838" w:code="9"/>
      <w:pgMar w:top="1701" w:right="1418" w:bottom="1560"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502D9" w14:textId="77777777" w:rsidR="006C4900" w:rsidRDefault="006C4900" w:rsidP="004F5E36">
      <w:r>
        <w:separator/>
      </w:r>
    </w:p>
  </w:endnote>
  <w:endnote w:type="continuationSeparator" w:id="0">
    <w:p w14:paraId="7F913C53" w14:textId="77777777" w:rsidR="006C4900" w:rsidRDefault="006C4900" w:rsidP="004F5E36">
      <w:r>
        <w:continuationSeparator/>
      </w:r>
    </w:p>
  </w:endnote>
  <w:endnote w:type="continuationNotice" w:id="1">
    <w:p w14:paraId="61CA8F87" w14:textId="77777777" w:rsidR="006C4900" w:rsidRDefault="006C49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E4BDC" w14:textId="77777777" w:rsidR="006C4900" w:rsidRDefault="006C4900" w:rsidP="004F5E36">
      <w:r>
        <w:separator/>
      </w:r>
    </w:p>
  </w:footnote>
  <w:footnote w:type="continuationSeparator" w:id="0">
    <w:p w14:paraId="604BA170" w14:textId="77777777" w:rsidR="006C4900" w:rsidRDefault="006C4900" w:rsidP="004F5E36">
      <w:r>
        <w:continuationSeparator/>
      </w:r>
    </w:p>
  </w:footnote>
  <w:footnote w:type="continuationNotice" w:id="1">
    <w:p w14:paraId="6D099A60" w14:textId="77777777" w:rsidR="006C4900" w:rsidRDefault="006C490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7"/>
  </w:num>
  <w:num w:numId="13" w16cid:durableId="1573659240">
    <w:abstractNumId w:val="12"/>
  </w:num>
  <w:num w:numId="14" w16cid:durableId="2092192635">
    <w:abstractNumId w:val="18"/>
  </w:num>
  <w:num w:numId="15" w16cid:durableId="1115637783">
    <w:abstractNumId w:val="20"/>
  </w:num>
  <w:num w:numId="16" w16cid:durableId="635987207">
    <w:abstractNumId w:val="19"/>
  </w:num>
  <w:num w:numId="17" w16cid:durableId="1476411020">
    <w:abstractNumId w:val="11"/>
  </w:num>
  <w:num w:numId="18" w16cid:durableId="2106877164">
    <w:abstractNumId w:val="12"/>
    <w:lvlOverride w:ilvl="0">
      <w:startOverride w:val="1"/>
    </w:lvlOverride>
  </w:num>
  <w:num w:numId="19" w16cid:durableId="1650403514">
    <w:abstractNumId w:val="16"/>
  </w:num>
  <w:num w:numId="20" w16cid:durableId="536504040">
    <w:abstractNumId w:val="15"/>
  </w:num>
  <w:num w:numId="21" w16cid:durableId="518815501">
    <w:abstractNumId w:val="14"/>
  </w:num>
  <w:num w:numId="22" w16cid:durableId="2995308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11F"/>
    <w:rsid w:val="000027C0"/>
    <w:rsid w:val="000052FB"/>
    <w:rsid w:val="00005975"/>
    <w:rsid w:val="00006E5D"/>
    <w:rsid w:val="000117CB"/>
    <w:rsid w:val="00016B12"/>
    <w:rsid w:val="00016FBD"/>
    <w:rsid w:val="000275F2"/>
    <w:rsid w:val="0003148D"/>
    <w:rsid w:val="00031EEC"/>
    <w:rsid w:val="00040C1B"/>
    <w:rsid w:val="0004356C"/>
    <w:rsid w:val="000452EB"/>
    <w:rsid w:val="00050697"/>
    <w:rsid w:val="00051566"/>
    <w:rsid w:val="000516FA"/>
    <w:rsid w:val="00054724"/>
    <w:rsid w:val="00060C12"/>
    <w:rsid w:val="000623C1"/>
    <w:rsid w:val="00062A9A"/>
    <w:rsid w:val="00065058"/>
    <w:rsid w:val="000813FC"/>
    <w:rsid w:val="00084614"/>
    <w:rsid w:val="00084E84"/>
    <w:rsid w:val="00086C39"/>
    <w:rsid w:val="0009187D"/>
    <w:rsid w:val="000A03B2"/>
    <w:rsid w:val="000A5A44"/>
    <w:rsid w:val="000B66EB"/>
    <w:rsid w:val="000C1B84"/>
    <w:rsid w:val="000C5C19"/>
    <w:rsid w:val="000C73A0"/>
    <w:rsid w:val="000D0268"/>
    <w:rsid w:val="000D13B4"/>
    <w:rsid w:val="000D2282"/>
    <w:rsid w:val="000D34BE"/>
    <w:rsid w:val="000D6180"/>
    <w:rsid w:val="000E102F"/>
    <w:rsid w:val="000E36F1"/>
    <w:rsid w:val="000E3A73"/>
    <w:rsid w:val="000E414A"/>
    <w:rsid w:val="000F093C"/>
    <w:rsid w:val="000F1DF3"/>
    <w:rsid w:val="000F47D7"/>
    <w:rsid w:val="000F4BB0"/>
    <w:rsid w:val="000F787B"/>
    <w:rsid w:val="00101063"/>
    <w:rsid w:val="00104C07"/>
    <w:rsid w:val="00105248"/>
    <w:rsid w:val="00106B28"/>
    <w:rsid w:val="00110114"/>
    <w:rsid w:val="00110CE0"/>
    <w:rsid w:val="00111535"/>
    <w:rsid w:val="001140B8"/>
    <w:rsid w:val="00114D09"/>
    <w:rsid w:val="0011566E"/>
    <w:rsid w:val="00115EE6"/>
    <w:rsid w:val="0012091F"/>
    <w:rsid w:val="001211B9"/>
    <w:rsid w:val="00121DC8"/>
    <w:rsid w:val="001226F9"/>
    <w:rsid w:val="00125800"/>
    <w:rsid w:val="00126BC2"/>
    <w:rsid w:val="001308B6"/>
    <w:rsid w:val="0013121F"/>
    <w:rsid w:val="00131FE6"/>
    <w:rsid w:val="0013263F"/>
    <w:rsid w:val="001331DF"/>
    <w:rsid w:val="00134DE4"/>
    <w:rsid w:val="00134F0D"/>
    <w:rsid w:val="0013590B"/>
    <w:rsid w:val="0014034D"/>
    <w:rsid w:val="00143E28"/>
    <w:rsid w:val="00144D16"/>
    <w:rsid w:val="00150E59"/>
    <w:rsid w:val="00152DE3"/>
    <w:rsid w:val="001615DB"/>
    <w:rsid w:val="00161BC9"/>
    <w:rsid w:val="00163666"/>
    <w:rsid w:val="00164CF9"/>
    <w:rsid w:val="001667A6"/>
    <w:rsid w:val="00173E64"/>
    <w:rsid w:val="00180C45"/>
    <w:rsid w:val="00181069"/>
    <w:rsid w:val="001814A7"/>
    <w:rsid w:val="00181863"/>
    <w:rsid w:val="00184AD6"/>
    <w:rsid w:val="00195E04"/>
    <w:rsid w:val="00196434"/>
    <w:rsid w:val="001A3D1B"/>
    <w:rsid w:val="001A4AF7"/>
    <w:rsid w:val="001A6D88"/>
    <w:rsid w:val="001B0349"/>
    <w:rsid w:val="001B1E93"/>
    <w:rsid w:val="001B2859"/>
    <w:rsid w:val="001B4AD9"/>
    <w:rsid w:val="001B65C1"/>
    <w:rsid w:val="001C4365"/>
    <w:rsid w:val="001C684B"/>
    <w:rsid w:val="001D063B"/>
    <w:rsid w:val="001D0CFB"/>
    <w:rsid w:val="001D250A"/>
    <w:rsid w:val="001D4236"/>
    <w:rsid w:val="001D4EFE"/>
    <w:rsid w:val="001D51C1"/>
    <w:rsid w:val="001D53FC"/>
    <w:rsid w:val="001E1B86"/>
    <w:rsid w:val="001E54A4"/>
    <w:rsid w:val="001F42A5"/>
    <w:rsid w:val="001F6F48"/>
    <w:rsid w:val="001F7B9D"/>
    <w:rsid w:val="00201C93"/>
    <w:rsid w:val="00204EFD"/>
    <w:rsid w:val="00210EA1"/>
    <w:rsid w:val="002139E8"/>
    <w:rsid w:val="0021739C"/>
    <w:rsid w:val="002213C8"/>
    <w:rsid w:val="002224B4"/>
    <w:rsid w:val="00225C2E"/>
    <w:rsid w:val="0022621F"/>
    <w:rsid w:val="00230BE8"/>
    <w:rsid w:val="00232895"/>
    <w:rsid w:val="002367C4"/>
    <w:rsid w:val="002447EF"/>
    <w:rsid w:val="00246C54"/>
    <w:rsid w:val="00247C98"/>
    <w:rsid w:val="00251550"/>
    <w:rsid w:val="002519EB"/>
    <w:rsid w:val="00257074"/>
    <w:rsid w:val="002636E9"/>
    <w:rsid w:val="00263B05"/>
    <w:rsid w:val="0026753C"/>
    <w:rsid w:val="0027221A"/>
    <w:rsid w:val="00275B61"/>
    <w:rsid w:val="00280FAF"/>
    <w:rsid w:val="00282656"/>
    <w:rsid w:val="00284FC5"/>
    <w:rsid w:val="002939C4"/>
    <w:rsid w:val="00296B83"/>
    <w:rsid w:val="002A10BE"/>
    <w:rsid w:val="002A11A0"/>
    <w:rsid w:val="002A294D"/>
    <w:rsid w:val="002A54F1"/>
    <w:rsid w:val="002B4015"/>
    <w:rsid w:val="002B4392"/>
    <w:rsid w:val="002B545D"/>
    <w:rsid w:val="002B78CE"/>
    <w:rsid w:val="002C2FB6"/>
    <w:rsid w:val="002E3263"/>
    <w:rsid w:val="002E5FA7"/>
    <w:rsid w:val="002E6E98"/>
    <w:rsid w:val="002F3309"/>
    <w:rsid w:val="003008CE"/>
    <w:rsid w:val="003009B7"/>
    <w:rsid w:val="00300E56"/>
    <w:rsid w:val="0030469C"/>
    <w:rsid w:val="00304DFD"/>
    <w:rsid w:val="00307AAD"/>
    <w:rsid w:val="00307AEC"/>
    <w:rsid w:val="00316D7E"/>
    <w:rsid w:val="00321CA6"/>
    <w:rsid w:val="00323763"/>
    <w:rsid w:val="00323843"/>
    <w:rsid w:val="00324918"/>
    <w:rsid w:val="00334C09"/>
    <w:rsid w:val="0034275D"/>
    <w:rsid w:val="00360B0F"/>
    <w:rsid w:val="003652A4"/>
    <w:rsid w:val="003723D4"/>
    <w:rsid w:val="00373FAE"/>
    <w:rsid w:val="003745D3"/>
    <w:rsid w:val="00375063"/>
    <w:rsid w:val="00377913"/>
    <w:rsid w:val="00381905"/>
    <w:rsid w:val="00382D40"/>
    <w:rsid w:val="00384CC8"/>
    <w:rsid w:val="003859DB"/>
    <w:rsid w:val="003871FD"/>
    <w:rsid w:val="00393736"/>
    <w:rsid w:val="00394E91"/>
    <w:rsid w:val="00395B1A"/>
    <w:rsid w:val="003A1E30"/>
    <w:rsid w:val="003A2829"/>
    <w:rsid w:val="003A6479"/>
    <w:rsid w:val="003A71C7"/>
    <w:rsid w:val="003A7D1C"/>
    <w:rsid w:val="003B304B"/>
    <w:rsid w:val="003B3146"/>
    <w:rsid w:val="003B379F"/>
    <w:rsid w:val="003B4A22"/>
    <w:rsid w:val="003D41F1"/>
    <w:rsid w:val="003E3305"/>
    <w:rsid w:val="003E341B"/>
    <w:rsid w:val="003E7123"/>
    <w:rsid w:val="003F015E"/>
    <w:rsid w:val="003F2A08"/>
    <w:rsid w:val="003F47EE"/>
    <w:rsid w:val="00400414"/>
    <w:rsid w:val="00400B6E"/>
    <w:rsid w:val="00402B86"/>
    <w:rsid w:val="00403CCB"/>
    <w:rsid w:val="00405758"/>
    <w:rsid w:val="00407ADE"/>
    <w:rsid w:val="0041446B"/>
    <w:rsid w:val="00424E5E"/>
    <w:rsid w:val="0043181A"/>
    <w:rsid w:val="0044329C"/>
    <w:rsid w:val="00453E24"/>
    <w:rsid w:val="00457456"/>
    <w:rsid w:val="004577FE"/>
    <w:rsid w:val="00457B9C"/>
    <w:rsid w:val="0046164A"/>
    <w:rsid w:val="00461B58"/>
    <w:rsid w:val="004628D2"/>
    <w:rsid w:val="00462AF9"/>
    <w:rsid w:val="00462DCD"/>
    <w:rsid w:val="00463CFF"/>
    <w:rsid w:val="004648AD"/>
    <w:rsid w:val="004703A9"/>
    <w:rsid w:val="00470441"/>
    <w:rsid w:val="00471B6D"/>
    <w:rsid w:val="00474F4A"/>
    <w:rsid w:val="004760DE"/>
    <w:rsid w:val="004763D7"/>
    <w:rsid w:val="0049094C"/>
    <w:rsid w:val="00494A0B"/>
    <w:rsid w:val="004A004E"/>
    <w:rsid w:val="004A24CF"/>
    <w:rsid w:val="004A39E8"/>
    <w:rsid w:val="004A4140"/>
    <w:rsid w:val="004C3D1D"/>
    <w:rsid w:val="004C73C4"/>
    <w:rsid w:val="004C76C1"/>
    <w:rsid w:val="004C7913"/>
    <w:rsid w:val="004C7C0A"/>
    <w:rsid w:val="004D0899"/>
    <w:rsid w:val="004D229E"/>
    <w:rsid w:val="004E0C69"/>
    <w:rsid w:val="004E4DD6"/>
    <w:rsid w:val="004E65D0"/>
    <w:rsid w:val="004E6A76"/>
    <w:rsid w:val="004F3B80"/>
    <w:rsid w:val="004F4BFE"/>
    <w:rsid w:val="004F5E36"/>
    <w:rsid w:val="005026BF"/>
    <w:rsid w:val="00507B47"/>
    <w:rsid w:val="00507BEF"/>
    <w:rsid w:val="00507CC9"/>
    <w:rsid w:val="005119A5"/>
    <w:rsid w:val="005127D9"/>
    <w:rsid w:val="005134C1"/>
    <w:rsid w:val="00513D69"/>
    <w:rsid w:val="00515085"/>
    <w:rsid w:val="005278B7"/>
    <w:rsid w:val="00532016"/>
    <w:rsid w:val="005346C8"/>
    <w:rsid w:val="00543E7D"/>
    <w:rsid w:val="00547A68"/>
    <w:rsid w:val="005531C9"/>
    <w:rsid w:val="00555698"/>
    <w:rsid w:val="00563D04"/>
    <w:rsid w:val="00570C43"/>
    <w:rsid w:val="00572EEB"/>
    <w:rsid w:val="005819C1"/>
    <w:rsid w:val="00582AF6"/>
    <w:rsid w:val="00596A02"/>
    <w:rsid w:val="005A17EE"/>
    <w:rsid w:val="005A1E2C"/>
    <w:rsid w:val="005B2110"/>
    <w:rsid w:val="005B3426"/>
    <w:rsid w:val="005B61E6"/>
    <w:rsid w:val="005C25A9"/>
    <w:rsid w:val="005C77E1"/>
    <w:rsid w:val="005C7833"/>
    <w:rsid w:val="005D3D6D"/>
    <w:rsid w:val="005D668A"/>
    <w:rsid w:val="005D6A2F"/>
    <w:rsid w:val="005E1A82"/>
    <w:rsid w:val="005E584D"/>
    <w:rsid w:val="005E794C"/>
    <w:rsid w:val="005E79EF"/>
    <w:rsid w:val="005F0A28"/>
    <w:rsid w:val="005F0E5E"/>
    <w:rsid w:val="005F285D"/>
    <w:rsid w:val="005F4661"/>
    <w:rsid w:val="005F74FA"/>
    <w:rsid w:val="00600535"/>
    <w:rsid w:val="006021A7"/>
    <w:rsid w:val="00610CD6"/>
    <w:rsid w:val="006123D3"/>
    <w:rsid w:val="00620CB1"/>
    <w:rsid w:val="00620DEE"/>
    <w:rsid w:val="00621F92"/>
    <w:rsid w:val="0062280A"/>
    <w:rsid w:val="00624524"/>
    <w:rsid w:val="00624A3C"/>
    <w:rsid w:val="00625134"/>
    <w:rsid w:val="00625639"/>
    <w:rsid w:val="006303BA"/>
    <w:rsid w:val="00631752"/>
    <w:rsid w:val="00631B33"/>
    <w:rsid w:val="00634B91"/>
    <w:rsid w:val="006374A9"/>
    <w:rsid w:val="0064184D"/>
    <w:rsid w:val="006422CC"/>
    <w:rsid w:val="00650A96"/>
    <w:rsid w:val="0065451E"/>
    <w:rsid w:val="006556AD"/>
    <w:rsid w:val="00660E3E"/>
    <w:rsid w:val="00662E74"/>
    <w:rsid w:val="0066300F"/>
    <w:rsid w:val="00665323"/>
    <w:rsid w:val="00666D40"/>
    <w:rsid w:val="00680C23"/>
    <w:rsid w:val="00687417"/>
    <w:rsid w:val="00693766"/>
    <w:rsid w:val="006A30B3"/>
    <w:rsid w:val="006A3281"/>
    <w:rsid w:val="006B037B"/>
    <w:rsid w:val="006B4888"/>
    <w:rsid w:val="006B544F"/>
    <w:rsid w:val="006B7FE8"/>
    <w:rsid w:val="006C2E45"/>
    <w:rsid w:val="006C359C"/>
    <w:rsid w:val="006C4471"/>
    <w:rsid w:val="006C4900"/>
    <w:rsid w:val="006C5579"/>
    <w:rsid w:val="006D05C1"/>
    <w:rsid w:val="006D4A9E"/>
    <w:rsid w:val="006D59B3"/>
    <w:rsid w:val="006D6552"/>
    <w:rsid w:val="006D6D49"/>
    <w:rsid w:val="006D6E8B"/>
    <w:rsid w:val="006E29BE"/>
    <w:rsid w:val="006E66E9"/>
    <w:rsid w:val="006E737D"/>
    <w:rsid w:val="0070406C"/>
    <w:rsid w:val="00711DFF"/>
    <w:rsid w:val="00713973"/>
    <w:rsid w:val="00720A24"/>
    <w:rsid w:val="00720E26"/>
    <w:rsid w:val="00724094"/>
    <w:rsid w:val="007242EE"/>
    <w:rsid w:val="00726398"/>
    <w:rsid w:val="007268CC"/>
    <w:rsid w:val="00727FB5"/>
    <w:rsid w:val="00732386"/>
    <w:rsid w:val="00734F89"/>
    <w:rsid w:val="0073514D"/>
    <w:rsid w:val="00735456"/>
    <w:rsid w:val="0073581E"/>
    <w:rsid w:val="00743B62"/>
    <w:rsid w:val="00743E46"/>
    <w:rsid w:val="007447F3"/>
    <w:rsid w:val="00744A00"/>
    <w:rsid w:val="0075499F"/>
    <w:rsid w:val="007661C8"/>
    <w:rsid w:val="0077098D"/>
    <w:rsid w:val="0077250B"/>
    <w:rsid w:val="00773759"/>
    <w:rsid w:val="007738C7"/>
    <w:rsid w:val="00776D6F"/>
    <w:rsid w:val="007804E8"/>
    <w:rsid w:val="007931FA"/>
    <w:rsid w:val="007A4861"/>
    <w:rsid w:val="007A7BBA"/>
    <w:rsid w:val="007B0C50"/>
    <w:rsid w:val="007B48F9"/>
    <w:rsid w:val="007B4912"/>
    <w:rsid w:val="007C1A43"/>
    <w:rsid w:val="007D27CE"/>
    <w:rsid w:val="007D48DC"/>
    <w:rsid w:val="007E303B"/>
    <w:rsid w:val="007F15E9"/>
    <w:rsid w:val="007F387E"/>
    <w:rsid w:val="007F46CD"/>
    <w:rsid w:val="0080013E"/>
    <w:rsid w:val="008019C4"/>
    <w:rsid w:val="00802BF9"/>
    <w:rsid w:val="00805F4E"/>
    <w:rsid w:val="0080656C"/>
    <w:rsid w:val="00813288"/>
    <w:rsid w:val="008168FC"/>
    <w:rsid w:val="00825B50"/>
    <w:rsid w:val="00825DD9"/>
    <w:rsid w:val="00827406"/>
    <w:rsid w:val="00830996"/>
    <w:rsid w:val="00831BC8"/>
    <w:rsid w:val="00832E7B"/>
    <w:rsid w:val="008345F1"/>
    <w:rsid w:val="00843270"/>
    <w:rsid w:val="00845134"/>
    <w:rsid w:val="00845A8A"/>
    <w:rsid w:val="00845FA6"/>
    <w:rsid w:val="00860CDE"/>
    <w:rsid w:val="00862582"/>
    <w:rsid w:val="00865451"/>
    <w:rsid w:val="00865B07"/>
    <w:rsid w:val="008667EA"/>
    <w:rsid w:val="0087418D"/>
    <w:rsid w:val="008760F2"/>
    <w:rsid w:val="0087612E"/>
    <w:rsid w:val="0087637F"/>
    <w:rsid w:val="00881003"/>
    <w:rsid w:val="00885952"/>
    <w:rsid w:val="00892AD5"/>
    <w:rsid w:val="00893779"/>
    <w:rsid w:val="008942B3"/>
    <w:rsid w:val="00894945"/>
    <w:rsid w:val="00895652"/>
    <w:rsid w:val="008971D4"/>
    <w:rsid w:val="008A1512"/>
    <w:rsid w:val="008A4249"/>
    <w:rsid w:val="008A4A2C"/>
    <w:rsid w:val="008A7DD5"/>
    <w:rsid w:val="008B1C8B"/>
    <w:rsid w:val="008B6B2E"/>
    <w:rsid w:val="008D1A79"/>
    <w:rsid w:val="008D32B9"/>
    <w:rsid w:val="008D3904"/>
    <w:rsid w:val="008D433B"/>
    <w:rsid w:val="008E10B5"/>
    <w:rsid w:val="008E566E"/>
    <w:rsid w:val="008E5E39"/>
    <w:rsid w:val="008E61E6"/>
    <w:rsid w:val="008E7AF0"/>
    <w:rsid w:val="008F77EF"/>
    <w:rsid w:val="008F799B"/>
    <w:rsid w:val="0090161A"/>
    <w:rsid w:val="00901EB6"/>
    <w:rsid w:val="009025E7"/>
    <w:rsid w:val="00902E73"/>
    <w:rsid w:val="00904C2B"/>
    <w:rsid w:val="00904C62"/>
    <w:rsid w:val="00906E48"/>
    <w:rsid w:val="00910339"/>
    <w:rsid w:val="00911254"/>
    <w:rsid w:val="00913E20"/>
    <w:rsid w:val="009152E8"/>
    <w:rsid w:val="00916869"/>
    <w:rsid w:val="009174B8"/>
    <w:rsid w:val="00917761"/>
    <w:rsid w:val="00917B64"/>
    <w:rsid w:val="00920B80"/>
    <w:rsid w:val="00922B0F"/>
    <w:rsid w:val="00922BA8"/>
    <w:rsid w:val="00924DAC"/>
    <w:rsid w:val="009259CD"/>
    <w:rsid w:val="00927058"/>
    <w:rsid w:val="00934FB4"/>
    <w:rsid w:val="00935964"/>
    <w:rsid w:val="0093669B"/>
    <w:rsid w:val="00936907"/>
    <w:rsid w:val="00942750"/>
    <w:rsid w:val="009450CE"/>
    <w:rsid w:val="00946C5B"/>
    <w:rsid w:val="00947179"/>
    <w:rsid w:val="0095164B"/>
    <w:rsid w:val="00954090"/>
    <w:rsid w:val="009573E7"/>
    <w:rsid w:val="00963608"/>
    <w:rsid w:val="00963E05"/>
    <w:rsid w:val="009665BE"/>
    <w:rsid w:val="00967843"/>
    <w:rsid w:val="00967D54"/>
    <w:rsid w:val="00971028"/>
    <w:rsid w:val="00981E7D"/>
    <w:rsid w:val="0098605C"/>
    <w:rsid w:val="009925E3"/>
    <w:rsid w:val="00993B84"/>
    <w:rsid w:val="00996483"/>
    <w:rsid w:val="00996F5A"/>
    <w:rsid w:val="009A34A9"/>
    <w:rsid w:val="009A3C81"/>
    <w:rsid w:val="009A4F1F"/>
    <w:rsid w:val="009B041A"/>
    <w:rsid w:val="009B2B67"/>
    <w:rsid w:val="009B4E1F"/>
    <w:rsid w:val="009B6527"/>
    <w:rsid w:val="009B6C71"/>
    <w:rsid w:val="009C37C3"/>
    <w:rsid w:val="009C68D1"/>
    <w:rsid w:val="009C7C86"/>
    <w:rsid w:val="009D2FF7"/>
    <w:rsid w:val="009D6228"/>
    <w:rsid w:val="009D69F4"/>
    <w:rsid w:val="009E7884"/>
    <w:rsid w:val="009E788A"/>
    <w:rsid w:val="009F027D"/>
    <w:rsid w:val="009F0E08"/>
    <w:rsid w:val="009F3415"/>
    <w:rsid w:val="00A0151C"/>
    <w:rsid w:val="00A018B6"/>
    <w:rsid w:val="00A1074B"/>
    <w:rsid w:val="00A10C69"/>
    <w:rsid w:val="00A11B53"/>
    <w:rsid w:val="00A1496F"/>
    <w:rsid w:val="00A15C8B"/>
    <w:rsid w:val="00A1763D"/>
    <w:rsid w:val="00A17CEC"/>
    <w:rsid w:val="00A25702"/>
    <w:rsid w:val="00A27EF0"/>
    <w:rsid w:val="00A36EA6"/>
    <w:rsid w:val="00A4061E"/>
    <w:rsid w:val="00A42361"/>
    <w:rsid w:val="00A50B20"/>
    <w:rsid w:val="00A51390"/>
    <w:rsid w:val="00A521A2"/>
    <w:rsid w:val="00A60D13"/>
    <w:rsid w:val="00A629E8"/>
    <w:rsid w:val="00A67DBB"/>
    <w:rsid w:val="00A70221"/>
    <w:rsid w:val="00A72745"/>
    <w:rsid w:val="00A74BEC"/>
    <w:rsid w:val="00A7565F"/>
    <w:rsid w:val="00A76EFC"/>
    <w:rsid w:val="00A76F24"/>
    <w:rsid w:val="00A8129D"/>
    <w:rsid w:val="00A91010"/>
    <w:rsid w:val="00A94E89"/>
    <w:rsid w:val="00A95567"/>
    <w:rsid w:val="00A962BA"/>
    <w:rsid w:val="00A9729E"/>
    <w:rsid w:val="00A97F29"/>
    <w:rsid w:val="00AA2B6C"/>
    <w:rsid w:val="00AA5705"/>
    <w:rsid w:val="00AA702E"/>
    <w:rsid w:val="00AB0964"/>
    <w:rsid w:val="00AB1F6B"/>
    <w:rsid w:val="00AB2879"/>
    <w:rsid w:val="00AB3175"/>
    <w:rsid w:val="00AB3440"/>
    <w:rsid w:val="00AB5011"/>
    <w:rsid w:val="00AC167A"/>
    <w:rsid w:val="00AC19A7"/>
    <w:rsid w:val="00AC7368"/>
    <w:rsid w:val="00AD16B9"/>
    <w:rsid w:val="00AE377D"/>
    <w:rsid w:val="00AF0EBA"/>
    <w:rsid w:val="00AF1F00"/>
    <w:rsid w:val="00AF42B2"/>
    <w:rsid w:val="00AF7E3A"/>
    <w:rsid w:val="00B02C8A"/>
    <w:rsid w:val="00B12501"/>
    <w:rsid w:val="00B17FBD"/>
    <w:rsid w:val="00B315A6"/>
    <w:rsid w:val="00B31813"/>
    <w:rsid w:val="00B33365"/>
    <w:rsid w:val="00B436B4"/>
    <w:rsid w:val="00B43B1B"/>
    <w:rsid w:val="00B45593"/>
    <w:rsid w:val="00B46E85"/>
    <w:rsid w:val="00B57B36"/>
    <w:rsid w:val="00B57E6F"/>
    <w:rsid w:val="00B60DD2"/>
    <w:rsid w:val="00B61DCD"/>
    <w:rsid w:val="00B71D2A"/>
    <w:rsid w:val="00B8686D"/>
    <w:rsid w:val="00B91D36"/>
    <w:rsid w:val="00B93F69"/>
    <w:rsid w:val="00BA034F"/>
    <w:rsid w:val="00BA226D"/>
    <w:rsid w:val="00BA32F1"/>
    <w:rsid w:val="00BA6177"/>
    <w:rsid w:val="00BA7630"/>
    <w:rsid w:val="00BB1DDC"/>
    <w:rsid w:val="00BB732C"/>
    <w:rsid w:val="00BC30C9"/>
    <w:rsid w:val="00BC509E"/>
    <w:rsid w:val="00BC5897"/>
    <w:rsid w:val="00BC642F"/>
    <w:rsid w:val="00BC7835"/>
    <w:rsid w:val="00BD077D"/>
    <w:rsid w:val="00BD7CC4"/>
    <w:rsid w:val="00BD7D71"/>
    <w:rsid w:val="00BE37A2"/>
    <w:rsid w:val="00BE3E58"/>
    <w:rsid w:val="00BF1880"/>
    <w:rsid w:val="00BF45A1"/>
    <w:rsid w:val="00BF6758"/>
    <w:rsid w:val="00BF7ADB"/>
    <w:rsid w:val="00C01616"/>
    <w:rsid w:val="00C0162B"/>
    <w:rsid w:val="00C068ED"/>
    <w:rsid w:val="00C075F8"/>
    <w:rsid w:val="00C1242D"/>
    <w:rsid w:val="00C12CB1"/>
    <w:rsid w:val="00C20612"/>
    <w:rsid w:val="00C21DB3"/>
    <w:rsid w:val="00C22E0C"/>
    <w:rsid w:val="00C26011"/>
    <w:rsid w:val="00C303D1"/>
    <w:rsid w:val="00C30CB7"/>
    <w:rsid w:val="00C332A6"/>
    <w:rsid w:val="00C345B1"/>
    <w:rsid w:val="00C3595E"/>
    <w:rsid w:val="00C40142"/>
    <w:rsid w:val="00C4596D"/>
    <w:rsid w:val="00C50F00"/>
    <w:rsid w:val="00C52C3C"/>
    <w:rsid w:val="00C57182"/>
    <w:rsid w:val="00C57863"/>
    <w:rsid w:val="00C57E0A"/>
    <w:rsid w:val="00C655FD"/>
    <w:rsid w:val="00C70A82"/>
    <w:rsid w:val="00C75407"/>
    <w:rsid w:val="00C853CF"/>
    <w:rsid w:val="00C870A8"/>
    <w:rsid w:val="00C915F6"/>
    <w:rsid w:val="00C94434"/>
    <w:rsid w:val="00C95770"/>
    <w:rsid w:val="00CA0D75"/>
    <w:rsid w:val="00CA1C95"/>
    <w:rsid w:val="00CA5A9C"/>
    <w:rsid w:val="00CB4199"/>
    <w:rsid w:val="00CB5633"/>
    <w:rsid w:val="00CB77D6"/>
    <w:rsid w:val="00CC3059"/>
    <w:rsid w:val="00CC4C20"/>
    <w:rsid w:val="00CC5102"/>
    <w:rsid w:val="00CC74DE"/>
    <w:rsid w:val="00CC7CBA"/>
    <w:rsid w:val="00CD3517"/>
    <w:rsid w:val="00CD5FE2"/>
    <w:rsid w:val="00CD69C1"/>
    <w:rsid w:val="00CE2C25"/>
    <w:rsid w:val="00CE698D"/>
    <w:rsid w:val="00CE7C68"/>
    <w:rsid w:val="00CF197B"/>
    <w:rsid w:val="00CF6F66"/>
    <w:rsid w:val="00D02B4C"/>
    <w:rsid w:val="00D040C4"/>
    <w:rsid w:val="00D04DCC"/>
    <w:rsid w:val="00D21A10"/>
    <w:rsid w:val="00D2530F"/>
    <w:rsid w:val="00D26E46"/>
    <w:rsid w:val="00D33EE3"/>
    <w:rsid w:val="00D364FD"/>
    <w:rsid w:val="00D37B05"/>
    <w:rsid w:val="00D40A2E"/>
    <w:rsid w:val="00D446EF"/>
    <w:rsid w:val="00D46B7E"/>
    <w:rsid w:val="00D532A6"/>
    <w:rsid w:val="00D55579"/>
    <w:rsid w:val="00D57C84"/>
    <w:rsid w:val="00D6057D"/>
    <w:rsid w:val="00D62B8F"/>
    <w:rsid w:val="00D62DD1"/>
    <w:rsid w:val="00D67245"/>
    <w:rsid w:val="00D71411"/>
    <w:rsid w:val="00D7186A"/>
    <w:rsid w:val="00D749DD"/>
    <w:rsid w:val="00D8062B"/>
    <w:rsid w:val="00D836C5"/>
    <w:rsid w:val="00D84576"/>
    <w:rsid w:val="00D85256"/>
    <w:rsid w:val="00D92128"/>
    <w:rsid w:val="00D92BEA"/>
    <w:rsid w:val="00D95368"/>
    <w:rsid w:val="00D9602A"/>
    <w:rsid w:val="00D96732"/>
    <w:rsid w:val="00DA1399"/>
    <w:rsid w:val="00DA24C6"/>
    <w:rsid w:val="00DA4D7B"/>
    <w:rsid w:val="00DB19F9"/>
    <w:rsid w:val="00DB5A6F"/>
    <w:rsid w:val="00DC1E93"/>
    <w:rsid w:val="00DC3594"/>
    <w:rsid w:val="00DC3FE0"/>
    <w:rsid w:val="00DC5FCE"/>
    <w:rsid w:val="00DC7508"/>
    <w:rsid w:val="00DD22F1"/>
    <w:rsid w:val="00DD4617"/>
    <w:rsid w:val="00DD5D51"/>
    <w:rsid w:val="00DD6D40"/>
    <w:rsid w:val="00DE264A"/>
    <w:rsid w:val="00DF0D9C"/>
    <w:rsid w:val="00DF5072"/>
    <w:rsid w:val="00DF6D13"/>
    <w:rsid w:val="00DF75BA"/>
    <w:rsid w:val="00DF7DD9"/>
    <w:rsid w:val="00E01119"/>
    <w:rsid w:val="00E02D18"/>
    <w:rsid w:val="00E041E7"/>
    <w:rsid w:val="00E07122"/>
    <w:rsid w:val="00E11FFE"/>
    <w:rsid w:val="00E172DE"/>
    <w:rsid w:val="00E23CA1"/>
    <w:rsid w:val="00E245DA"/>
    <w:rsid w:val="00E30664"/>
    <w:rsid w:val="00E40534"/>
    <w:rsid w:val="00E409A8"/>
    <w:rsid w:val="00E42BF4"/>
    <w:rsid w:val="00E43D05"/>
    <w:rsid w:val="00E44044"/>
    <w:rsid w:val="00E44A0D"/>
    <w:rsid w:val="00E44C0B"/>
    <w:rsid w:val="00E452E2"/>
    <w:rsid w:val="00E4566E"/>
    <w:rsid w:val="00E46F09"/>
    <w:rsid w:val="00E50C12"/>
    <w:rsid w:val="00E5535F"/>
    <w:rsid w:val="00E57940"/>
    <w:rsid w:val="00E65B91"/>
    <w:rsid w:val="00E70010"/>
    <w:rsid w:val="00E71D9C"/>
    <w:rsid w:val="00E7209D"/>
    <w:rsid w:val="00E7282F"/>
    <w:rsid w:val="00E72EAD"/>
    <w:rsid w:val="00E740FC"/>
    <w:rsid w:val="00E77223"/>
    <w:rsid w:val="00E8528B"/>
    <w:rsid w:val="00E85B94"/>
    <w:rsid w:val="00E91067"/>
    <w:rsid w:val="00E91453"/>
    <w:rsid w:val="00E94E60"/>
    <w:rsid w:val="00E9759A"/>
    <w:rsid w:val="00E978D0"/>
    <w:rsid w:val="00EA0380"/>
    <w:rsid w:val="00EA2620"/>
    <w:rsid w:val="00EA2680"/>
    <w:rsid w:val="00EA4613"/>
    <w:rsid w:val="00EA7F91"/>
    <w:rsid w:val="00EB1523"/>
    <w:rsid w:val="00EB46C8"/>
    <w:rsid w:val="00EB68CE"/>
    <w:rsid w:val="00EC04D5"/>
    <w:rsid w:val="00EC0E49"/>
    <w:rsid w:val="00EC101F"/>
    <w:rsid w:val="00EC1D9F"/>
    <w:rsid w:val="00EC27F9"/>
    <w:rsid w:val="00EC6E0B"/>
    <w:rsid w:val="00ED2577"/>
    <w:rsid w:val="00ED3DB8"/>
    <w:rsid w:val="00ED573E"/>
    <w:rsid w:val="00EE0131"/>
    <w:rsid w:val="00EE0762"/>
    <w:rsid w:val="00EE17B0"/>
    <w:rsid w:val="00EE1CC7"/>
    <w:rsid w:val="00EE3A3C"/>
    <w:rsid w:val="00EF06D9"/>
    <w:rsid w:val="00F2419D"/>
    <w:rsid w:val="00F2588D"/>
    <w:rsid w:val="00F30C64"/>
    <w:rsid w:val="00F32451"/>
    <w:rsid w:val="00F32BA2"/>
    <w:rsid w:val="00F32CDB"/>
    <w:rsid w:val="00F446D6"/>
    <w:rsid w:val="00F447BA"/>
    <w:rsid w:val="00F4492C"/>
    <w:rsid w:val="00F469D9"/>
    <w:rsid w:val="00F51F40"/>
    <w:rsid w:val="00F565FE"/>
    <w:rsid w:val="00F57269"/>
    <w:rsid w:val="00F63A70"/>
    <w:rsid w:val="00F675B0"/>
    <w:rsid w:val="00F7003E"/>
    <w:rsid w:val="00F71569"/>
    <w:rsid w:val="00F7263C"/>
    <w:rsid w:val="00F7534E"/>
    <w:rsid w:val="00F8119B"/>
    <w:rsid w:val="00F87D8E"/>
    <w:rsid w:val="00F90A81"/>
    <w:rsid w:val="00FA03BC"/>
    <w:rsid w:val="00FA107E"/>
    <w:rsid w:val="00FA21D0"/>
    <w:rsid w:val="00FA5F5F"/>
    <w:rsid w:val="00FA7772"/>
    <w:rsid w:val="00FA7CD9"/>
    <w:rsid w:val="00FB60B7"/>
    <w:rsid w:val="00FB730C"/>
    <w:rsid w:val="00FC2695"/>
    <w:rsid w:val="00FC2EAE"/>
    <w:rsid w:val="00FC3535"/>
    <w:rsid w:val="00FC3E03"/>
    <w:rsid w:val="00FC3FC1"/>
    <w:rsid w:val="00FC51B9"/>
    <w:rsid w:val="00FD0428"/>
    <w:rsid w:val="00FD1425"/>
    <w:rsid w:val="00FD28F8"/>
    <w:rsid w:val="00FD4214"/>
    <w:rsid w:val="00FE5DC8"/>
    <w:rsid w:val="00FF02CF"/>
    <w:rsid w:val="00FF0AC0"/>
    <w:rsid w:val="00FF6D7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407ADE"/>
    <w:rPr>
      <w:color w:val="666666"/>
    </w:rPr>
  </w:style>
  <w:style w:type="paragraph" w:customStyle="1" w:styleId="FigTab">
    <w:name w:val="Fig&amp;Tab"/>
    <w:basedOn w:val="Nessunaspaziatura"/>
    <w:link w:val="FigTabCarattere"/>
    <w:rsid w:val="00FD28F8"/>
    <w:pPr>
      <w:tabs>
        <w:tab w:val="clear" w:pos="7100"/>
      </w:tabs>
      <w:jc w:val="left"/>
    </w:pPr>
    <w:rPr>
      <w:rFonts w:asciiTheme="minorHAnsi" w:eastAsia="SimSun" w:hAnsiTheme="minorHAnsi" w:cstheme="minorBidi"/>
      <w:i/>
      <w:color w:val="002060"/>
      <w:sz w:val="20"/>
      <w:szCs w:val="22"/>
      <w:lang w:val="it-IT"/>
    </w:rPr>
  </w:style>
  <w:style w:type="character" w:customStyle="1" w:styleId="FigTabCarattere">
    <w:name w:val="Fig&amp;Tab Carattere"/>
    <w:basedOn w:val="Carpredefinitoparagrafo"/>
    <w:link w:val="FigTab"/>
    <w:rsid w:val="00FD28F8"/>
    <w:rPr>
      <w:rFonts w:eastAsia="SimSun"/>
      <w:i/>
      <w:color w:val="002060"/>
      <w:sz w:val="20"/>
    </w:rPr>
  </w:style>
  <w:style w:type="paragraph" w:styleId="Nessunaspaziatura">
    <w:name w:val="No Spacing"/>
    <w:uiPriority w:val="1"/>
    <w:qFormat/>
    <w:rsid w:val="00FD28F8"/>
    <w:pPr>
      <w:tabs>
        <w:tab w:val="right" w:pos="7100"/>
      </w:tabs>
      <w:spacing w:after="0" w:line="240" w:lineRule="auto"/>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9916">
      <w:bodyDiv w:val="1"/>
      <w:marLeft w:val="0"/>
      <w:marRight w:val="0"/>
      <w:marTop w:val="0"/>
      <w:marBottom w:val="0"/>
      <w:divBdr>
        <w:top w:val="none" w:sz="0" w:space="0" w:color="auto"/>
        <w:left w:val="none" w:sz="0" w:space="0" w:color="auto"/>
        <w:bottom w:val="none" w:sz="0" w:space="0" w:color="auto"/>
        <w:right w:val="none" w:sz="0" w:space="0" w:color="auto"/>
      </w:divBdr>
      <w:divsChild>
        <w:div w:id="912739076">
          <w:marLeft w:val="480"/>
          <w:marRight w:val="0"/>
          <w:marTop w:val="0"/>
          <w:marBottom w:val="0"/>
          <w:divBdr>
            <w:top w:val="none" w:sz="0" w:space="0" w:color="auto"/>
            <w:left w:val="none" w:sz="0" w:space="0" w:color="auto"/>
            <w:bottom w:val="none" w:sz="0" w:space="0" w:color="auto"/>
            <w:right w:val="none" w:sz="0" w:space="0" w:color="auto"/>
          </w:divBdr>
        </w:div>
        <w:div w:id="2022196908">
          <w:marLeft w:val="480"/>
          <w:marRight w:val="0"/>
          <w:marTop w:val="0"/>
          <w:marBottom w:val="0"/>
          <w:divBdr>
            <w:top w:val="none" w:sz="0" w:space="0" w:color="auto"/>
            <w:left w:val="none" w:sz="0" w:space="0" w:color="auto"/>
            <w:bottom w:val="none" w:sz="0" w:space="0" w:color="auto"/>
            <w:right w:val="none" w:sz="0" w:space="0" w:color="auto"/>
          </w:divBdr>
        </w:div>
        <w:div w:id="1171987076">
          <w:marLeft w:val="480"/>
          <w:marRight w:val="0"/>
          <w:marTop w:val="0"/>
          <w:marBottom w:val="0"/>
          <w:divBdr>
            <w:top w:val="none" w:sz="0" w:space="0" w:color="auto"/>
            <w:left w:val="none" w:sz="0" w:space="0" w:color="auto"/>
            <w:bottom w:val="none" w:sz="0" w:space="0" w:color="auto"/>
            <w:right w:val="none" w:sz="0" w:space="0" w:color="auto"/>
          </w:divBdr>
        </w:div>
        <w:div w:id="1315908865">
          <w:marLeft w:val="480"/>
          <w:marRight w:val="0"/>
          <w:marTop w:val="0"/>
          <w:marBottom w:val="0"/>
          <w:divBdr>
            <w:top w:val="none" w:sz="0" w:space="0" w:color="auto"/>
            <w:left w:val="none" w:sz="0" w:space="0" w:color="auto"/>
            <w:bottom w:val="none" w:sz="0" w:space="0" w:color="auto"/>
            <w:right w:val="none" w:sz="0" w:space="0" w:color="auto"/>
          </w:divBdr>
        </w:div>
        <w:div w:id="336271607">
          <w:marLeft w:val="480"/>
          <w:marRight w:val="0"/>
          <w:marTop w:val="0"/>
          <w:marBottom w:val="0"/>
          <w:divBdr>
            <w:top w:val="none" w:sz="0" w:space="0" w:color="auto"/>
            <w:left w:val="none" w:sz="0" w:space="0" w:color="auto"/>
            <w:bottom w:val="none" w:sz="0" w:space="0" w:color="auto"/>
            <w:right w:val="none" w:sz="0" w:space="0" w:color="auto"/>
          </w:divBdr>
        </w:div>
        <w:div w:id="1336953114">
          <w:marLeft w:val="480"/>
          <w:marRight w:val="0"/>
          <w:marTop w:val="0"/>
          <w:marBottom w:val="0"/>
          <w:divBdr>
            <w:top w:val="none" w:sz="0" w:space="0" w:color="auto"/>
            <w:left w:val="none" w:sz="0" w:space="0" w:color="auto"/>
            <w:bottom w:val="none" w:sz="0" w:space="0" w:color="auto"/>
            <w:right w:val="none" w:sz="0" w:space="0" w:color="auto"/>
          </w:divBdr>
        </w:div>
        <w:div w:id="446435435">
          <w:marLeft w:val="480"/>
          <w:marRight w:val="0"/>
          <w:marTop w:val="0"/>
          <w:marBottom w:val="0"/>
          <w:divBdr>
            <w:top w:val="none" w:sz="0" w:space="0" w:color="auto"/>
            <w:left w:val="none" w:sz="0" w:space="0" w:color="auto"/>
            <w:bottom w:val="none" w:sz="0" w:space="0" w:color="auto"/>
            <w:right w:val="none" w:sz="0" w:space="0" w:color="auto"/>
          </w:divBdr>
        </w:div>
        <w:div w:id="1653409131">
          <w:marLeft w:val="480"/>
          <w:marRight w:val="0"/>
          <w:marTop w:val="0"/>
          <w:marBottom w:val="0"/>
          <w:divBdr>
            <w:top w:val="none" w:sz="0" w:space="0" w:color="auto"/>
            <w:left w:val="none" w:sz="0" w:space="0" w:color="auto"/>
            <w:bottom w:val="none" w:sz="0" w:space="0" w:color="auto"/>
            <w:right w:val="none" w:sz="0" w:space="0" w:color="auto"/>
          </w:divBdr>
        </w:div>
        <w:div w:id="1474441519">
          <w:marLeft w:val="480"/>
          <w:marRight w:val="0"/>
          <w:marTop w:val="0"/>
          <w:marBottom w:val="0"/>
          <w:divBdr>
            <w:top w:val="none" w:sz="0" w:space="0" w:color="auto"/>
            <w:left w:val="none" w:sz="0" w:space="0" w:color="auto"/>
            <w:bottom w:val="none" w:sz="0" w:space="0" w:color="auto"/>
            <w:right w:val="none" w:sz="0" w:space="0" w:color="auto"/>
          </w:divBdr>
        </w:div>
      </w:divsChild>
    </w:div>
    <w:div w:id="47652043">
      <w:bodyDiv w:val="1"/>
      <w:marLeft w:val="0"/>
      <w:marRight w:val="0"/>
      <w:marTop w:val="0"/>
      <w:marBottom w:val="0"/>
      <w:divBdr>
        <w:top w:val="none" w:sz="0" w:space="0" w:color="auto"/>
        <w:left w:val="none" w:sz="0" w:space="0" w:color="auto"/>
        <w:bottom w:val="none" w:sz="0" w:space="0" w:color="auto"/>
        <w:right w:val="none" w:sz="0" w:space="0" w:color="auto"/>
      </w:divBdr>
      <w:divsChild>
        <w:div w:id="81219369">
          <w:marLeft w:val="480"/>
          <w:marRight w:val="0"/>
          <w:marTop w:val="0"/>
          <w:marBottom w:val="0"/>
          <w:divBdr>
            <w:top w:val="none" w:sz="0" w:space="0" w:color="auto"/>
            <w:left w:val="none" w:sz="0" w:space="0" w:color="auto"/>
            <w:bottom w:val="none" w:sz="0" w:space="0" w:color="auto"/>
            <w:right w:val="none" w:sz="0" w:space="0" w:color="auto"/>
          </w:divBdr>
        </w:div>
        <w:div w:id="2072003059">
          <w:marLeft w:val="480"/>
          <w:marRight w:val="0"/>
          <w:marTop w:val="0"/>
          <w:marBottom w:val="0"/>
          <w:divBdr>
            <w:top w:val="none" w:sz="0" w:space="0" w:color="auto"/>
            <w:left w:val="none" w:sz="0" w:space="0" w:color="auto"/>
            <w:bottom w:val="none" w:sz="0" w:space="0" w:color="auto"/>
            <w:right w:val="none" w:sz="0" w:space="0" w:color="auto"/>
          </w:divBdr>
        </w:div>
        <w:div w:id="740562876">
          <w:marLeft w:val="480"/>
          <w:marRight w:val="0"/>
          <w:marTop w:val="0"/>
          <w:marBottom w:val="0"/>
          <w:divBdr>
            <w:top w:val="none" w:sz="0" w:space="0" w:color="auto"/>
            <w:left w:val="none" w:sz="0" w:space="0" w:color="auto"/>
            <w:bottom w:val="none" w:sz="0" w:space="0" w:color="auto"/>
            <w:right w:val="none" w:sz="0" w:space="0" w:color="auto"/>
          </w:divBdr>
        </w:div>
        <w:div w:id="686058980">
          <w:marLeft w:val="480"/>
          <w:marRight w:val="0"/>
          <w:marTop w:val="0"/>
          <w:marBottom w:val="0"/>
          <w:divBdr>
            <w:top w:val="none" w:sz="0" w:space="0" w:color="auto"/>
            <w:left w:val="none" w:sz="0" w:space="0" w:color="auto"/>
            <w:bottom w:val="none" w:sz="0" w:space="0" w:color="auto"/>
            <w:right w:val="none" w:sz="0" w:space="0" w:color="auto"/>
          </w:divBdr>
        </w:div>
        <w:div w:id="1836605825">
          <w:marLeft w:val="480"/>
          <w:marRight w:val="0"/>
          <w:marTop w:val="0"/>
          <w:marBottom w:val="0"/>
          <w:divBdr>
            <w:top w:val="none" w:sz="0" w:space="0" w:color="auto"/>
            <w:left w:val="none" w:sz="0" w:space="0" w:color="auto"/>
            <w:bottom w:val="none" w:sz="0" w:space="0" w:color="auto"/>
            <w:right w:val="none" w:sz="0" w:space="0" w:color="auto"/>
          </w:divBdr>
        </w:div>
        <w:div w:id="610284591">
          <w:marLeft w:val="480"/>
          <w:marRight w:val="0"/>
          <w:marTop w:val="0"/>
          <w:marBottom w:val="0"/>
          <w:divBdr>
            <w:top w:val="none" w:sz="0" w:space="0" w:color="auto"/>
            <w:left w:val="none" w:sz="0" w:space="0" w:color="auto"/>
            <w:bottom w:val="none" w:sz="0" w:space="0" w:color="auto"/>
            <w:right w:val="none" w:sz="0" w:space="0" w:color="auto"/>
          </w:divBdr>
        </w:div>
        <w:div w:id="232476534">
          <w:marLeft w:val="480"/>
          <w:marRight w:val="0"/>
          <w:marTop w:val="0"/>
          <w:marBottom w:val="0"/>
          <w:divBdr>
            <w:top w:val="none" w:sz="0" w:space="0" w:color="auto"/>
            <w:left w:val="none" w:sz="0" w:space="0" w:color="auto"/>
            <w:bottom w:val="none" w:sz="0" w:space="0" w:color="auto"/>
            <w:right w:val="none" w:sz="0" w:space="0" w:color="auto"/>
          </w:divBdr>
        </w:div>
      </w:divsChild>
    </w:div>
    <w:div w:id="278530676">
      <w:bodyDiv w:val="1"/>
      <w:marLeft w:val="0"/>
      <w:marRight w:val="0"/>
      <w:marTop w:val="0"/>
      <w:marBottom w:val="0"/>
      <w:divBdr>
        <w:top w:val="none" w:sz="0" w:space="0" w:color="auto"/>
        <w:left w:val="none" w:sz="0" w:space="0" w:color="auto"/>
        <w:bottom w:val="none" w:sz="0" w:space="0" w:color="auto"/>
        <w:right w:val="none" w:sz="0" w:space="0" w:color="auto"/>
      </w:divBdr>
      <w:divsChild>
        <w:div w:id="1480001300">
          <w:marLeft w:val="480"/>
          <w:marRight w:val="0"/>
          <w:marTop w:val="0"/>
          <w:marBottom w:val="0"/>
          <w:divBdr>
            <w:top w:val="none" w:sz="0" w:space="0" w:color="auto"/>
            <w:left w:val="none" w:sz="0" w:space="0" w:color="auto"/>
            <w:bottom w:val="none" w:sz="0" w:space="0" w:color="auto"/>
            <w:right w:val="none" w:sz="0" w:space="0" w:color="auto"/>
          </w:divBdr>
        </w:div>
      </w:divsChild>
    </w:div>
    <w:div w:id="320694207">
      <w:bodyDiv w:val="1"/>
      <w:marLeft w:val="0"/>
      <w:marRight w:val="0"/>
      <w:marTop w:val="0"/>
      <w:marBottom w:val="0"/>
      <w:divBdr>
        <w:top w:val="none" w:sz="0" w:space="0" w:color="auto"/>
        <w:left w:val="none" w:sz="0" w:space="0" w:color="auto"/>
        <w:bottom w:val="none" w:sz="0" w:space="0" w:color="auto"/>
        <w:right w:val="none" w:sz="0" w:space="0" w:color="auto"/>
      </w:divBdr>
      <w:divsChild>
        <w:div w:id="43606506">
          <w:marLeft w:val="480"/>
          <w:marRight w:val="0"/>
          <w:marTop w:val="0"/>
          <w:marBottom w:val="0"/>
          <w:divBdr>
            <w:top w:val="none" w:sz="0" w:space="0" w:color="auto"/>
            <w:left w:val="none" w:sz="0" w:space="0" w:color="auto"/>
            <w:bottom w:val="none" w:sz="0" w:space="0" w:color="auto"/>
            <w:right w:val="none" w:sz="0" w:space="0" w:color="auto"/>
          </w:divBdr>
        </w:div>
        <w:div w:id="1776318955">
          <w:marLeft w:val="480"/>
          <w:marRight w:val="0"/>
          <w:marTop w:val="0"/>
          <w:marBottom w:val="0"/>
          <w:divBdr>
            <w:top w:val="none" w:sz="0" w:space="0" w:color="auto"/>
            <w:left w:val="none" w:sz="0" w:space="0" w:color="auto"/>
            <w:bottom w:val="none" w:sz="0" w:space="0" w:color="auto"/>
            <w:right w:val="none" w:sz="0" w:space="0" w:color="auto"/>
          </w:divBdr>
        </w:div>
        <w:div w:id="1212965219">
          <w:marLeft w:val="480"/>
          <w:marRight w:val="0"/>
          <w:marTop w:val="0"/>
          <w:marBottom w:val="0"/>
          <w:divBdr>
            <w:top w:val="none" w:sz="0" w:space="0" w:color="auto"/>
            <w:left w:val="none" w:sz="0" w:space="0" w:color="auto"/>
            <w:bottom w:val="none" w:sz="0" w:space="0" w:color="auto"/>
            <w:right w:val="none" w:sz="0" w:space="0" w:color="auto"/>
          </w:divBdr>
        </w:div>
        <w:div w:id="835075434">
          <w:marLeft w:val="480"/>
          <w:marRight w:val="0"/>
          <w:marTop w:val="0"/>
          <w:marBottom w:val="0"/>
          <w:divBdr>
            <w:top w:val="none" w:sz="0" w:space="0" w:color="auto"/>
            <w:left w:val="none" w:sz="0" w:space="0" w:color="auto"/>
            <w:bottom w:val="none" w:sz="0" w:space="0" w:color="auto"/>
            <w:right w:val="none" w:sz="0" w:space="0" w:color="auto"/>
          </w:divBdr>
        </w:div>
        <w:div w:id="786043788">
          <w:marLeft w:val="480"/>
          <w:marRight w:val="0"/>
          <w:marTop w:val="0"/>
          <w:marBottom w:val="0"/>
          <w:divBdr>
            <w:top w:val="none" w:sz="0" w:space="0" w:color="auto"/>
            <w:left w:val="none" w:sz="0" w:space="0" w:color="auto"/>
            <w:bottom w:val="none" w:sz="0" w:space="0" w:color="auto"/>
            <w:right w:val="none" w:sz="0" w:space="0" w:color="auto"/>
          </w:divBdr>
        </w:div>
        <w:div w:id="2032215880">
          <w:marLeft w:val="480"/>
          <w:marRight w:val="0"/>
          <w:marTop w:val="0"/>
          <w:marBottom w:val="0"/>
          <w:divBdr>
            <w:top w:val="none" w:sz="0" w:space="0" w:color="auto"/>
            <w:left w:val="none" w:sz="0" w:space="0" w:color="auto"/>
            <w:bottom w:val="none" w:sz="0" w:space="0" w:color="auto"/>
            <w:right w:val="none" w:sz="0" w:space="0" w:color="auto"/>
          </w:divBdr>
        </w:div>
      </w:divsChild>
    </w:div>
    <w:div w:id="358043062">
      <w:bodyDiv w:val="1"/>
      <w:marLeft w:val="0"/>
      <w:marRight w:val="0"/>
      <w:marTop w:val="0"/>
      <w:marBottom w:val="0"/>
      <w:divBdr>
        <w:top w:val="none" w:sz="0" w:space="0" w:color="auto"/>
        <w:left w:val="none" w:sz="0" w:space="0" w:color="auto"/>
        <w:bottom w:val="none" w:sz="0" w:space="0" w:color="auto"/>
        <w:right w:val="none" w:sz="0" w:space="0" w:color="auto"/>
      </w:divBdr>
    </w:div>
    <w:div w:id="370957801">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7">
          <w:marLeft w:val="480"/>
          <w:marRight w:val="0"/>
          <w:marTop w:val="0"/>
          <w:marBottom w:val="0"/>
          <w:divBdr>
            <w:top w:val="none" w:sz="0" w:space="0" w:color="auto"/>
            <w:left w:val="none" w:sz="0" w:space="0" w:color="auto"/>
            <w:bottom w:val="none" w:sz="0" w:space="0" w:color="auto"/>
            <w:right w:val="none" w:sz="0" w:space="0" w:color="auto"/>
          </w:divBdr>
        </w:div>
        <w:div w:id="296491623">
          <w:marLeft w:val="480"/>
          <w:marRight w:val="0"/>
          <w:marTop w:val="0"/>
          <w:marBottom w:val="0"/>
          <w:divBdr>
            <w:top w:val="none" w:sz="0" w:space="0" w:color="auto"/>
            <w:left w:val="none" w:sz="0" w:space="0" w:color="auto"/>
            <w:bottom w:val="none" w:sz="0" w:space="0" w:color="auto"/>
            <w:right w:val="none" w:sz="0" w:space="0" w:color="auto"/>
          </w:divBdr>
        </w:div>
        <w:div w:id="2020885498">
          <w:marLeft w:val="480"/>
          <w:marRight w:val="0"/>
          <w:marTop w:val="0"/>
          <w:marBottom w:val="0"/>
          <w:divBdr>
            <w:top w:val="none" w:sz="0" w:space="0" w:color="auto"/>
            <w:left w:val="none" w:sz="0" w:space="0" w:color="auto"/>
            <w:bottom w:val="none" w:sz="0" w:space="0" w:color="auto"/>
            <w:right w:val="none" w:sz="0" w:space="0" w:color="auto"/>
          </w:divBdr>
        </w:div>
        <w:div w:id="2052919261">
          <w:marLeft w:val="480"/>
          <w:marRight w:val="0"/>
          <w:marTop w:val="0"/>
          <w:marBottom w:val="0"/>
          <w:divBdr>
            <w:top w:val="none" w:sz="0" w:space="0" w:color="auto"/>
            <w:left w:val="none" w:sz="0" w:space="0" w:color="auto"/>
            <w:bottom w:val="none" w:sz="0" w:space="0" w:color="auto"/>
            <w:right w:val="none" w:sz="0" w:space="0" w:color="auto"/>
          </w:divBdr>
        </w:div>
        <w:div w:id="460730059">
          <w:marLeft w:val="480"/>
          <w:marRight w:val="0"/>
          <w:marTop w:val="0"/>
          <w:marBottom w:val="0"/>
          <w:divBdr>
            <w:top w:val="none" w:sz="0" w:space="0" w:color="auto"/>
            <w:left w:val="none" w:sz="0" w:space="0" w:color="auto"/>
            <w:bottom w:val="none" w:sz="0" w:space="0" w:color="auto"/>
            <w:right w:val="none" w:sz="0" w:space="0" w:color="auto"/>
          </w:divBdr>
        </w:div>
        <w:div w:id="973946364">
          <w:marLeft w:val="480"/>
          <w:marRight w:val="0"/>
          <w:marTop w:val="0"/>
          <w:marBottom w:val="0"/>
          <w:divBdr>
            <w:top w:val="none" w:sz="0" w:space="0" w:color="auto"/>
            <w:left w:val="none" w:sz="0" w:space="0" w:color="auto"/>
            <w:bottom w:val="none" w:sz="0" w:space="0" w:color="auto"/>
            <w:right w:val="none" w:sz="0" w:space="0" w:color="auto"/>
          </w:divBdr>
        </w:div>
      </w:divsChild>
    </w:div>
    <w:div w:id="371924775">
      <w:bodyDiv w:val="1"/>
      <w:marLeft w:val="0"/>
      <w:marRight w:val="0"/>
      <w:marTop w:val="0"/>
      <w:marBottom w:val="0"/>
      <w:divBdr>
        <w:top w:val="none" w:sz="0" w:space="0" w:color="auto"/>
        <w:left w:val="none" w:sz="0" w:space="0" w:color="auto"/>
        <w:bottom w:val="none" w:sz="0" w:space="0" w:color="auto"/>
        <w:right w:val="none" w:sz="0" w:space="0" w:color="auto"/>
      </w:divBdr>
      <w:divsChild>
        <w:div w:id="1454058708">
          <w:marLeft w:val="480"/>
          <w:marRight w:val="0"/>
          <w:marTop w:val="0"/>
          <w:marBottom w:val="0"/>
          <w:divBdr>
            <w:top w:val="none" w:sz="0" w:space="0" w:color="auto"/>
            <w:left w:val="none" w:sz="0" w:space="0" w:color="auto"/>
            <w:bottom w:val="none" w:sz="0" w:space="0" w:color="auto"/>
            <w:right w:val="none" w:sz="0" w:space="0" w:color="auto"/>
          </w:divBdr>
        </w:div>
        <w:div w:id="1158499644">
          <w:marLeft w:val="480"/>
          <w:marRight w:val="0"/>
          <w:marTop w:val="0"/>
          <w:marBottom w:val="0"/>
          <w:divBdr>
            <w:top w:val="none" w:sz="0" w:space="0" w:color="auto"/>
            <w:left w:val="none" w:sz="0" w:space="0" w:color="auto"/>
            <w:bottom w:val="none" w:sz="0" w:space="0" w:color="auto"/>
            <w:right w:val="none" w:sz="0" w:space="0" w:color="auto"/>
          </w:divBdr>
        </w:div>
        <w:div w:id="516237783">
          <w:marLeft w:val="480"/>
          <w:marRight w:val="0"/>
          <w:marTop w:val="0"/>
          <w:marBottom w:val="0"/>
          <w:divBdr>
            <w:top w:val="none" w:sz="0" w:space="0" w:color="auto"/>
            <w:left w:val="none" w:sz="0" w:space="0" w:color="auto"/>
            <w:bottom w:val="none" w:sz="0" w:space="0" w:color="auto"/>
            <w:right w:val="none" w:sz="0" w:space="0" w:color="auto"/>
          </w:divBdr>
        </w:div>
        <w:div w:id="578949956">
          <w:marLeft w:val="480"/>
          <w:marRight w:val="0"/>
          <w:marTop w:val="0"/>
          <w:marBottom w:val="0"/>
          <w:divBdr>
            <w:top w:val="none" w:sz="0" w:space="0" w:color="auto"/>
            <w:left w:val="none" w:sz="0" w:space="0" w:color="auto"/>
            <w:bottom w:val="none" w:sz="0" w:space="0" w:color="auto"/>
            <w:right w:val="none" w:sz="0" w:space="0" w:color="auto"/>
          </w:divBdr>
        </w:div>
      </w:divsChild>
    </w:div>
    <w:div w:id="376977702">
      <w:bodyDiv w:val="1"/>
      <w:marLeft w:val="0"/>
      <w:marRight w:val="0"/>
      <w:marTop w:val="0"/>
      <w:marBottom w:val="0"/>
      <w:divBdr>
        <w:top w:val="none" w:sz="0" w:space="0" w:color="auto"/>
        <w:left w:val="none" w:sz="0" w:space="0" w:color="auto"/>
        <w:bottom w:val="none" w:sz="0" w:space="0" w:color="auto"/>
        <w:right w:val="none" w:sz="0" w:space="0" w:color="auto"/>
      </w:divBdr>
      <w:divsChild>
        <w:div w:id="531766391">
          <w:marLeft w:val="480"/>
          <w:marRight w:val="0"/>
          <w:marTop w:val="0"/>
          <w:marBottom w:val="0"/>
          <w:divBdr>
            <w:top w:val="none" w:sz="0" w:space="0" w:color="auto"/>
            <w:left w:val="none" w:sz="0" w:space="0" w:color="auto"/>
            <w:bottom w:val="none" w:sz="0" w:space="0" w:color="auto"/>
            <w:right w:val="none" w:sz="0" w:space="0" w:color="auto"/>
          </w:divBdr>
        </w:div>
      </w:divsChild>
    </w:div>
    <w:div w:id="444155150">
      <w:bodyDiv w:val="1"/>
      <w:marLeft w:val="0"/>
      <w:marRight w:val="0"/>
      <w:marTop w:val="0"/>
      <w:marBottom w:val="0"/>
      <w:divBdr>
        <w:top w:val="none" w:sz="0" w:space="0" w:color="auto"/>
        <w:left w:val="none" w:sz="0" w:space="0" w:color="auto"/>
        <w:bottom w:val="none" w:sz="0" w:space="0" w:color="auto"/>
        <w:right w:val="none" w:sz="0" w:space="0" w:color="auto"/>
      </w:divBdr>
    </w:div>
    <w:div w:id="596061943">
      <w:bodyDiv w:val="1"/>
      <w:marLeft w:val="0"/>
      <w:marRight w:val="0"/>
      <w:marTop w:val="0"/>
      <w:marBottom w:val="0"/>
      <w:divBdr>
        <w:top w:val="none" w:sz="0" w:space="0" w:color="auto"/>
        <w:left w:val="none" w:sz="0" w:space="0" w:color="auto"/>
        <w:bottom w:val="none" w:sz="0" w:space="0" w:color="auto"/>
        <w:right w:val="none" w:sz="0" w:space="0" w:color="auto"/>
      </w:divBdr>
      <w:divsChild>
        <w:div w:id="713507895">
          <w:marLeft w:val="480"/>
          <w:marRight w:val="0"/>
          <w:marTop w:val="0"/>
          <w:marBottom w:val="0"/>
          <w:divBdr>
            <w:top w:val="none" w:sz="0" w:space="0" w:color="auto"/>
            <w:left w:val="none" w:sz="0" w:space="0" w:color="auto"/>
            <w:bottom w:val="none" w:sz="0" w:space="0" w:color="auto"/>
            <w:right w:val="none" w:sz="0" w:space="0" w:color="auto"/>
          </w:divBdr>
        </w:div>
        <w:div w:id="363792409">
          <w:marLeft w:val="480"/>
          <w:marRight w:val="0"/>
          <w:marTop w:val="0"/>
          <w:marBottom w:val="0"/>
          <w:divBdr>
            <w:top w:val="none" w:sz="0" w:space="0" w:color="auto"/>
            <w:left w:val="none" w:sz="0" w:space="0" w:color="auto"/>
            <w:bottom w:val="none" w:sz="0" w:space="0" w:color="auto"/>
            <w:right w:val="none" w:sz="0" w:space="0" w:color="auto"/>
          </w:divBdr>
        </w:div>
      </w:divsChild>
    </w:div>
    <w:div w:id="609968162">
      <w:bodyDiv w:val="1"/>
      <w:marLeft w:val="0"/>
      <w:marRight w:val="0"/>
      <w:marTop w:val="0"/>
      <w:marBottom w:val="0"/>
      <w:divBdr>
        <w:top w:val="none" w:sz="0" w:space="0" w:color="auto"/>
        <w:left w:val="none" w:sz="0" w:space="0" w:color="auto"/>
        <w:bottom w:val="none" w:sz="0" w:space="0" w:color="auto"/>
        <w:right w:val="none" w:sz="0" w:space="0" w:color="auto"/>
      </w:divBdr>
      <w:divsChild>
        <w:div w:id="1004893822">
          <w:marLeft w:val="480"/>
          <w:marRight w:val="0"/>
          <w:marTop w:val="0"/>
          <w:marBottom w:val="0"/>
          <w:divBdr>
            <w:top w:val="none" w:sz="0" w:space="0" w:color="auto"/>
            <w:left w:val="none" w:sz="0" w:space="0" w:color="auto"/>
            <w:bottom w:val="none" w:sz="0" w:space="0" w:color="auto"/>
            <w:right w:val="none" w:sz="0" w:space="0" w:color="auto"/>
          </w:divBdr>
        </w:div>
        <w:div w:id="1689408836">
          <w:marLeft w:val="480"/>
          <w:marRight w:val="0"/>
          <w:marTop w:val="0"/>
          <w:marBottom w:val="0"/>
          <w:divBdr>
            <w:top w:val="none" w:sz="0" w:space="0" w:color="auto"/>
            <w:left w:val="none" w:sz="0" w:space="0" w:color="auto"/>
            <w:bottom w:val="none" w:sz="0" w:space="0" w:color="auto"/>
            <w:right w:val="none" w:sz="0" w:space="0" w:color="auto"/>
          </w:divBdr>
        </w:div>
        <w:div w:id="1029917425">
          <w:marLeft w:val="480"/>
          <w:marRight w:val="0"/>
          <w:marTop w:val="0"/>
          <w:marBottom w:val="0"/>
          <w:divBdr>
            <w:top w:val="none" w:sz="0" w:space="0" w:color="auto"/>
            <w:left w:val="none" w:sz="0" w:space="0" w:color="auto"/>
            <w:bottom w:val="none" w:sz="0" w:space="0" w:color="auto"/>
            <w:right w:val="none" w:sz="0" w:space="0" w:color="auto"/>
          </w:divBdr>
        </w:div>
        <w:div w:id="606304999">
          <w:marLeft w:val="480"/>
          <w:marRight w:val="0"/>
          <w:marTop w:val="0"/>
          <w:marBottom w:val="0"/>
          <w:divBdr>
            <w:top w:val="none" w:sz="0" w:space="0" w:color="auto"/>
            <w:left w:val="none" w:sz="0" w:space="0" w:color="auto"/>
            <w:bottom w:val="none" w:sz="0" w:space="0" w:color="auto"/>
            <w:right w:val="none" w:sz="0" w:space="0" w:color="auto"/>
          </w:divBdr>
        </w:div>
        <w:div w:id="661663181">
          <w:marLeft w:val="480"/>
          <w:marRight w:val="0"/>
          <w:marTop w:val="0"/>
          <w:marBottom w:val="0"/>
          <w:divBdr>
            <w:top w:val="none" w:sz="0" w:space="0" w:color="auto"/>
            <w:left w:val="none" w:sz="0" w:space="0" w:color="auto"/>
            <w:bottom w:val="none" w:sz="0" w:space="0" w:color="auto"/>
            <w:right w:val="none" w:sz="0" w:space="0" w:color="auto"/>
          </w:divBdr>
        </w:div>
      </w:divsChild>
    </w:div>
    <w:div w:id="614285733">
      <w:bodyDiv w:val="1"/>
      <w:marLeft w:val="0"/>
      <w:marRight w:val="0"/>
      <w:marTop w:val="0"/>
      <w:marBottom w:val="0"/>
      <w:divBdr>
        <w:top w:val="none" w:sz="0" w:space="0" w:color="auto"/>
        <w:left w:val="none" w:sz="0" w:space="0" w:color="auto"/>
        <w:bottom w:val="none" w:sz="0" w:space="0" w:color="auto"/>
        <w:right w:val="none" w:sz="0" w:space="0" w:color="auto"/>
      </w:divBdr>
      <w:divsChild>
        <w:div w:id="845822891">
          <w:marLeft w:val="480"/>
          <w:marRight w:val="0"/>
          <w:marTop w:val="0"/>
          <w:marBottom w:val="0"/>
          <w:divBdr>
            <w:top w:val="none" w:sz="0" w:space="0" w:color="auto"/>
            <w:left w:val="none" w:sz="0" w:space="0" w:color="auto"/>
            <w:bottom w:val="none" w:sz="0" w:space="0" w:color="auto"/>
            <w:right w:val="none" w:sz="0" w:space="0" w:color="auto"/>
          </w:divBdr>
        </w:div>
        <w:div w:id="960528302">
          <w:marLeft w:val="480"/>
          <w:marRight w:val="0"/>
          <w:marTop w:val="0"/>
          <w:marBottom w:val="0"/>
          <w:divBdr>
            <w:top w:val="none" w:sz="0" w:space="0" w:color="auto"/>
            <w:left w:val="none" w:sz="0" w:space="0" w:color="auto"/>
            <w:bottom w:val="none" w:sz="0" w:space="0" w:color="auto"/>
            <w:right w:val="none" w:sz="0" w:space="0" w:color="auto"/>
          </w:divBdr>
        </w:div>
        <w:div w:id="1636250245">
          <w:marLeft w:val="480"/>
          <w:marRight w:val="0"/>
          <w:marTop w:val="0"/>
          <w:marBottom w:val="0"/>
          <w:divBdr>
            <w:top w:val="none" w:sz="0" w:space="0" w:color="auto"/>
            <w:left w:val="none" w:sz="0" w:space="0" w:color="auto"/>
            <w:bottom w:val="none" w:sz="0" w:space="0" w:color="auto"/>
            <w:right w:val="none" w:sz="0" w:space="0" w:color="auto"/>
          </w:divBdr>
        </w:div>
        <w:div w:id="961349779">
          <w:marLeft w:val="480"/>
          <w:marRight w:val="0"/>
          <w:marTop w:val="0"/>
          <w:marBottom w:val="0"/>
          <w:divBdr>
            <w:top w:val="none" w:sz="0" w:space="0" w:color="auto"/>
            <w:left w:val="none" w:sz="0" w:space="0" w:color="auto"/>
            <w:bottom w:val="none" w:sz="0" w:space="0" w:color="auto"/>
            <w:right w:val="none" w:sz="0" w:space="0" w:color="auto"/>
          </w:divBdr>
        </w:div>
        <w:div w:id="83111926">
          <w:marLeft w:val="480"/>
          <w:marRight w:val="0"/>
          <w:marTop w:val="0"/>
          <w:marBottom w:val="0"/>
          <w:divBdr>
            <w:top w:val="none" w:sz="0" w:space="0" w:color="auto"/>
            <w:left w:val="none" w:sz="0" w:space="0" w:color="auto"/>
            <w:bottom w:val="none" w:sz="0" w:space="0" w:color="auto"/>
            <w:right w:val="none" w:sz="0" w:space="0" w:color="auto"/>
          </w:divBdr>
        </w:div>
        <w:div w:id="164058492">
          <w:marLeft w:val="480"/>
          <w:marRight w:val="0"/>
          <w:marTop w:val="0"/>
          <w:marBottom w:val="0"/>
          <w:divBdr>
            <w:top w:val="none" w:sz="0" w:space="0" w:color="auto"/>
            <w:left w:val="none" w:sz="0" w:space="0" w:color="auto"/>
            <w:bottom w:val="none" w:sz="0" w:space="0" w:color="auto"/>
            <w:right w:val="none" w:sz="0" w:space="0" w:color="auto"/>
          </w:divBdr>
        </w:div>
        <w:div w:id="656802820">
          <w:marLeft w:val="480"/>
          <w:marRight w:val="0"/>
          <w:marTop w:val="0"/>
          <w:marBottom w:val="0"/>
          <w:divBdr>
            <w:top w:val="none" w:sz="0" w:space="0" w:color="auto"/>
            <w:left w:val="none" w:sz="0" w:space="0" w:color="auto"/>
            <w:bottom w:val="none" w:sz="0" w:space="0" w:color="auto"/>
            <w:right w:val="none" w:sz="0" w:space="0" w:color="auto"/>
          </w:divBdr>
        </w:div>
        <w:div w:id="162936930">
          <w:marLeft w:val="480"/>
          <w:marRight w:val="0"/>
          <w:marTop w:val="0"/>
          <w:marBottom w:val="0"/>
          <w:divBdr>
            <w:top w:val="none" w:sz="0" w:space="0" w:color="auto"/>
            <w:left w:val="none" w:sz="0" w:space="0" w:color="auto"/>
            <w:bottom w:val="none" w:sz="0" w:space="0" w:color="auto"/>
            <w:right w:val="none" w:sz="0" w:space="0" w:color="auto"/>
          </w:divBdr>
        </w:div>
        <w:div w:id="542403212">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2846">
      <w:bodyDiv w:val="1"/>
      <w:marLeft w:val="0"/>
      <w:marRight w:val="0"/>
      <w:marTop w:val="0"/>
      <w:marBottom w:val="0"/>
      <w:divBdr>
        <w:top w:val="none" w:sz="0" w:space="0" w:color="auto"/>
        <w:left w:val="none" w:sz="0" w:space="0" w:color="auto"/>
        <w:bottom w:val="none" w:sz="0" w:space="0" w:color="auto"/>
        <w:right w:val="none" w:sz="0" w:space="0" w:color="auto"/>
      </w:divBdr>
      <w:divsChild>
        <w:div w:id="2067950989">
          <w:marLeft w:val="480"/>
          <w:marRight w:val="0"/>
          <w:marTop w:val="0"/>
          <w:marBottom w:val="0"/>
          <w:divBdr>
            <w:top w:val="none" w:sz="0" w:space="0" w:color="auto"/>
            <w:left w:val="none" w:sz="0" w:space="0" w:color="auto"/>
            <w:bottom w:val="none" w:sz="0" w:space="0" w:color="auto"/>
            <w:right w:val="none" w:sz="0" w:space="0" w:color="auto"/>
          </w:divBdr>
        </w:div>
        <w:div w:id="1352535952">
          <w:marLeft w:val="480"/>
          <w:marRight w:val="0"/>
          <w:marTop w:val="0"/>
          <w:marBottom w:val="0"/>
          <w:divBdr>
            <w:top w:val="none" w:sz="0" w:space="0" w:color="auto"/>
            <w:left w:val="none" w:sz="0" w:space="0" w:color="auto"/>
            <w:bottom w:val="none" w:sz="0" w:space="0" w:color="auto"/>
            <w:right w:val="none" w:sz="0" w:space="0" w:color="auto"/>
          </w:divBdr>
        </w:div>
        <w:div w:id="428505273">
          <w:marLeft w:val="480"/>
          <w:marRight w:val="0"/>
          <w:marTop w:val="0"/>
          <w:marBottom w:val="0"/>
          <w:divBdr>
            <w:top w:val="none" w:sz="0" w:space="0" w:color="auto"/>
            <w:left w:val="none" w:sz="0" w:space="0" w:color="auto"/>
            <w:bottom w:val="none" w:sz="0" w:space="0" w:color="auto"/>
            <w:right w:val="none" w:sz="0" w:space="0" w:color="auto"/>
          </w:divBdr>
        </w:div>
        <w:div w:id="194731903">
          <w:marLeft w:val="480"/>
          <w:marRight w:val="0"/>
          <w:marTop w:val="0"/>
          <w:marBottom w:val="0"/>
          <w:divBdr>
            <w:top w:val="none" w:sz="0" w:space="0" w:color="auto"/>
            <w:left w:val="none" w:sz="0" w:space="0" w:color="auto"/>
            <w:bottom w:val="none" w:sz="0" w:space="0" w:color="auto"/>
            <w:right w:val="none" w:sz="0" w:space="0" w:color="auto"/>
          </w:divBdr>
        </w:div>
        <w:div w:id="721096873">
          <w:marLeft w:val="480"/>
          <w:marRight w:val="0"/>
          <w:marTop w:val="0"/>
          <w:marBottom w:val="0"/>
          <w:divBdr>
            <w:top w:val="none" w:sz="0" w:space="0" w:color="auto"/>
            <w:left w:val="none" w:sz="0" w:space="0" w:color="auto"/>
            <w:bottom w:val="none" w:sz="0" w:space="0" w:color="auto"/>
            <w:right w:val="none" w:sz="0" w:space="0" w:color="auto"/>
          </w:divBdr>
        </w:div>
        <w:div w:id="682585107">
          <w:marLeft w:val="480"/>
          <w:marRight w:val="0"/>
          <w:marTop w:val="0"/>
          <w:marBottom w:val="0"/>
          <w:divBdr>
            <w:top w:val="none" w:sz="0" w:space="0" w:color="auto"/>
            <w:left w:val="none" w:sz="0" w:space="0" w:color="auto"/>
            <w:bottom w:val="none" w:sz="0" w:space="0" w:color="auto"/>
            <w:right w:val="none" w:sz="0" w:space="0" w:color="auto"/>
          </w:divBdr>
        </w:div>
        <w:div w:id="1327442171">
          <w:marLeft w:val="480"/>
          <w:marRight w:val="0"/>
          <w:marTop w:val="0"/>
          <w:marBottom w:val="0"/>
          <w:divBdr>
            <w:top w:val="none" w:sz="0" w:space="0" w:color="auto"/>
            <w:left w:val="none" w:sz="0" w:space="0" w:color="auto"/>
            <w:bottom w:val="none" w:sz="0" w:space="0" w:color="auto"/>
            <w:right w:val="none" w:sz="0" w:space="0" w:color="auto"/>
          </w:divBdr>
        </w:div>
      </w:divsChild>
    </w:div>
    <w:div w:id="860436036">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646613">
      <w:bodyDiv w:val="1"/>
      <w:marLeft w:val="0"/>
      <w:marRight w:val="0"/>
      <w:marTop w:val="0"/>
      <w:marBottom w:val="0"/>
      <w:divBdr>
        <w:top w:val="none" w:sz="0" w:space="0" w:color="auto"/>
        <w:left w:val="none" w:sz="0" w:space="0" w:color="auto"/>
        <w:bottom w:val="none" w:sz="0" w:space="0" w:color="auto"/>
        <w:right w:val="none" w:sz="0" w:space="0" w:color="auto"/>
      </w:divBdr>
      <w:divsChild>
        <w:div w:id="837384836">
          <w:marLeft w:val="0"/>
          <w:marRight w:val="0"/>
          <w:marTop w:val="0"/>
          <w:marBottom w:val="0"/>
          <w:divBdr>
            <w:top w:val="none" w:sz="0" w:space="0" w:color="auto"/>
            <w:left w:val="none" w:sz="0" w:space="0" w:color="auto"/>
            <w:bottom w:val="none" w:sz="0" w:space="0" w:color="auto"/>
            <w:right w:val="none" w:sz="0" w:space="0" w:color="auto"/>
          </w:divBdr>
        </w:div>
      </w:divsChild>
    </w:div>
    <w:div w:id="877624122">
      <w:bodyDiv w:val="1"/>
      <w:marLeft w:val="0"/>
      <w:marRight w:val="0"/>
      <w:marTop w:val="0"/>
      <w:marBottom w:val="0"/>
      <w:divBdr>
        <w:top w:val="none" w:sz="0" w:space="0" w:color="auto"/>
        <w:left w:val="none" w:sz="0" w:space="0" w:color="auto"/>
        <w:bottom w:val="none" w:sz="0" w:space="0" w:color="auto"/>
        <w:right w:val="none" w:sz="0" w:space="0" w:color="auto"/>
      </w:divBdr>
      <w:divsChild>
        <w:div w:id="16467855">
          <w:marLeft w:val="480"/>
          <w:marRight w:val="0"/>
          <w:marTop w:val="0"/>
          <w:marBottom w:val="0"/>
          <w:divBdr>
            <w:top w:val="none" w:sz="0" w:space="0" w:color="auto"/>
            <w:left w:val="none" w:sz="0" w:space="0" w:color="auto"/>
            <w:bottom w:val="none" w:sz="0" w:space="0" w:color="auto"/>
            <w:right w:val="none" w:sz="0" w:space="0" w:color="auto"/>
          </w:divBdr>
        </w:div>
        <w:div w:id="1761246941">
          <w:marLeft w:val="480"/>
          <w:marRight w:val="0"/>
          <w:marTop w:val="0"/>
          <w:marBottom w:val="0"/>
          <w:divBdr>
            <w:top w:val="none" w:sz="0" w:space="0" w:color="auto"/>
            <w:left w:val="none" w:sz="0" w:space="0" w:color="auto"/>
            <w:bottom w:val="none" w:sz="0" w:space="0" w:color="auto"/>
            <w:right w:val="none" w:sz="0" w:space="0" w:color="auto"/>
          </w:divBdr>
        </w:div>
        <w:div w:id="567036973">
          <w:marLeft w:val="480"/>
          <w:marRight w:val="0"/>
          <w:marTop w:val="0"/>
          <w:marBottom w:val="0"/>
          <w:divBdr>
            <w:top w:val="none" w:sz="0" w:space="0" w:color="auto"/>
            <w:left w:val="none" w:sz="0" w:space="0" w:color="auto"/>
            <w:bottom w:val="none" w:sz="0" w:space="0" w:color="auto"/>
            <w:right w:val="none" w:sz="0" w:space="0" w:color="auto"/>
          </w:divBdr>
        </w:div>
        <w:div w:id="1955014539">
          <w:marLeft w:val="480"/>
          <w:marRight w:val="0"/>
          <w:marTop w:val="0"/>
          <w:marBottom w:val="0"/>
          <w:divBdr>
            <w:top w:val="none" w:sz="0" w:space="0" w:color="auto"/>
            <w:left w:val="none" w:sz="0" w:space="0" w:color="auto"/>
            <w:bottom w:val="none" w:sz="0" w:space="0" w:color="auto"/>
            <w:right w:val="none" w:sz="0" w:space="0" w:color="auto"/>
          </w:divBdr>
        </w:div>
        <w:div w:id="181554416">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98">
      <w:bodyDiv w:val="1"/>
      <w:marLeft w:val="0"/>
      <w:marRight w:val="0"/>
      <w:marTop w:val="0"/>
      <w:marBottom w:val="0"/>
      <w:divBdr>
        <w:top w:val="none" w:sz="0" w:space="0" w:color="auto"/>
        <w:left w:val="none" w:sz="0" w:space="0" w:color="auto"/>
        <w:bottom w:val="none" w:sz="0" w:space="0" w:color="auto"/>
        <w:right w:val="none" w:sz="0" w:space="0" w:color="auto"/>
      </w:divBdr>
      <w:divsChild>
        <w:div w:id="1834182385">
          <w:marLeft w:val="480"/>
          <w:marRight w:val="0"/>
          <w:marTop w:val="0"/>
          <w:marBottom w:val="0"/>
          <w:divBdr>
            <w:top w:val="none" w:sz="0" w:space="0" w:color="auto"/>
            <w:left w:val="none" w:sz="0" w:space="0" w:color="auto"/>
            <w:bottom w:val="none" w:sz="0" w:space="0" w:color="auto"/>
            <w:right w:val="none" w:sz="0" w:space="0" w:color="auto"/>
          </w:divBdr>
        </w:div>
        <w:div w:id="1198926535">
          <w:marLeft w:val="480"/>
          <w:marRight w:val="0"/>
          <w:marTop w:val="0"/>
          <w:marBottom w:val="0"/>
          <w:divBdr>
            <w:top w:val="none" w:sz="0" w:space="0" w:color="auto"/>
            <w:left w:val="none" w:sz="0" w:space="0" w:color="auto"/>
            <w:bottom w:val="none" w:sz="0" w:space="0" w:color="auto"/>
            <w:right w:val="none" w:sz="0" w:space="0" w:color="auto"/>
          </w:divBdr>
        </w:div>
        <w:div w:id="414866499">
          <w:marLeft w:val="480"/>
          <w:marRight w:val="0"/>
          <w:marTop w:val="0"/>
          <w:marBottom w:val="0"/>
          <w:divBdr>
            <w:top w:val="none" w:sz="0" w:space="0" w:color="auto"/>
            <w:left w:val="none" w:sz="0" w:space="0" w:color="auto"/>
            <w:bottom w:val="none" w:sz="0" w:space="0" w:color="auto"/>
            <w:right w:val="none" w:sz="0" w:space="0" w:color="auto"/>
          </w:divBdr>
        </w:div>
        <w:div w:id="615018415">
          <w:marLeft w:val="480"/>
          <w:marRight w:val="0"/>
          <w:marTop w:val="0"/>
          <w:marBottom w:val="0"/>
          <w:divBdr>
            <w:top w:val="none" w:sz="0" w:space="0" w:color="auto"/>
            <w:left w:val="none" w:sz="0" w:space="0" w:color="auto"/>
            <w:bottom w:val="none" w:sz="0" w:space="0" w:color="auto"/>
            <w:right w:val="none" w:sz="0" w:space="0" w:color="auto"/>
          </w:divBdr>
        </w:div>
        <w:div w:id="743337238">
          <w:marLeft w:val="480"/>
          <w:marRight w:val="0"/>
          <w:marTop w:val="0"/>
          <w:marBottom w:val="0"/>
          <w:divBdr>
            <w:top w:val="none" w:sz="0" w:space="0" w:color="auto"/>
            <w:left w:val="none" w:sz="0" w:space="0" w:color="auto"/>
            <w:bottom w:val="none" w:sz="0" w:space="0" w:color="auto"/>
            <w:right w:val="none" w:sz="0" w:space="0" w:color="auto"/>
          </w:divBdr>
        </w:div>
        <w:div w:id="2099670023">
          <w:marLeft w:val="480"/>
          <w:marRight w:val="0"/>
          <w:marTop w:val="0"/>
          <w:marBottom w:val="0"/>
          <w:divBdr>
            <w:top w:val="none" w:sz="0" w:space="0" w:color="auto"/>
            <w:left w:val="none" w:sz="0" w:space="0" w:color="auto"/>
            <w:bottom w:val="none" w:sz="0" w:space="0" w:color="auto"/>
            <w:right w:val="none" w:sz="0" w:space="0" w:color="auto"/>
          </w:divBdr>
        </w:div>
        <w:div w:id="1679311061">
          <w:marLeft w:val="480"/>
          <w:marRight w:val="0"/>
          <w:marTop w:val="0"/>
          <w:marBottom w:val="0"/>
          <w:divBdr>
            <w:top w:val="none" w:sz="0" w:space="0" w:color="auto"/>
            <w:left w:val="none" w:sz="0" w:space="0" w:color="auto"/>
            <w:bottom w:val="none" w:sz="0" w:space="0" w:color="auto"/>
            <w:right w:val="none" w:sz="0" w:space="0" w:color="auto"/>
          </w:divBdr>
        </w:div>
      </w:divsChild>
    </w:div>
    <w:div w:id="1026255317">
      <w:bodyDiv w:val="1"/>
      <w:marLeft w:val="0"/>
      <w:marRight w:val="0"/>
      <w:marTop w:val="0"/>
      <w:marBottom w:val="0"/>
      <w:divBdr>
        <w:top w:val="none" w:sz="0" w:space="0" w:color="auto"/>
        <w:left w:val="none" w:sz="0" w:space="0" w:color="auto"/>
        <w:bottom w:val="none" w:sz="0" w:space="0" w:color="auto"/>
        <w:right w:val="none" w:sz="0" w:space="0" w:color="auto"/>
      </w:divBdr>
    </w:div>
    <w:div w:id="1099717731">
      <w:bodyDiv w:val="1"/>
      <w:marLeft w:val="0"/>
      <w:marRight w:val="0"/>
      <w:marTop w:val="0"/>
      <w:marBottom w:val="0"/>
      <w:divBdr>
        <w:top w:val="none" w:sz="0" w:space="0" w:color="auto"/>
        <w:left w:val="none" w:sz="0" w:space="0" w:color="auto"/>
        <w:bottom w:val="none" w:sz="0" w:space="0" w:color="auto"/>
        <w:right w:val="none" w:sz="0" w:space="0" w:color="auto"/>
      </w:divBdr>
      <w:divsChild>
        <w:div w:id="1477530545">
          <w:marLeft w:val="480"/>
          <w:marRight w:val="0"/>
          <w:marTop w:val="0"/>
          <w:marBottom w:val="0"/>
          <w:divBdr>
            <w:top w:val="none" w:sz="0" w:space="0" w:color="auto"/>
            <w:left w:val="none" w:sz="0" w:space="0" w:color="auto"/>
            <w:bottom w:val="none" w:sz="0" w:space="0" w:color="auto"/>
            <w:right w:val="none" w:sz="0" w:space="0" w:color="auto"/>
          </w:divBdr>
        </w:div>
        <w:div w:id="1284311546">
          <w:marLeft w:val="480"/>
          <w:marRight w:val="0"/>
          <w:marTop w:val="0"/>
          <w:marBottom w:val="0"/>
          <w:divBdr>
            <w:top w:val="none" w:sz="0" w:space="0" w:color="auto"/>
            <w:left w:val="none" w:sz="0" w:space="0" w:color="auto"/>
            <w:bottom w:val="none" w:sz="0" w:space="0" w:color="auto"/>
            <w:right w:val="none" w:sz="0" w:space="0" w:color="auto"/>
          </w:divBdr>
        </w:div>
        <w:div w:id="1011296107">
          <w:marLeft w:val="480"/>
          <w:marRight w:val="0"/>
          <w:marTop w:val="0"/>
          <w:marBottom w:val="0"/>
          <w:divBdr>
            <w:top w:val="none" w:sz="0" w:space="0" w:color="auto"/>
            <w:left w:val="none" w:sz="0" w:space="0" w:color="auto"/>
            <w:bottom w:val="none" w:sz="0" w:space="0" w:color="auto"/>
            <w:right w:val="none" w:sz="0" w:space="0" w:color="auto"/>
          </w:divBdr>
        </w:div>
        <w:div w:id="1342317621">
          <w:marLeft w:val="480"/>
          <w:marRight w:val="0"/>
          <w:marTop w:val="0"/>
          <w:marBottom w:val="0"/>
          <w:divBdr>
            <w:top w:val="none" w:sz="0" w:space="0" w:color="auto"/>
            <w:left w:val="none" w:sz="0" w:space="0" w:color="auto"/>
            <w:bottom w:val="none" w:sz="0" w:space="0" w:color="auto"/>
            <w:right w:val="none" w:sz="0" w:space="0" w:color="auto"/>
          </w:divBdr>
        </w:div>
        <w:div w:id="324629554">
          <w:marLeft w:val="480"/>
          <w:marRight w:val="0"/>
          <w:marTop w:val="0"/>
          <w:marBottom w:val="0"/>
          <w:divBdr>
            <w:top w:val="none" w:sz="0" w:space="0" w:color="auto"/>
            <w:left w:val="none" w:sz="0" w:space="0" w:color="auto"/>
            <w:bottom w:val="none" w:sz="0" w:space="0" w:color="auto"/>
            <w:right w:val="none" w:sz="0" w:space="0" w:color="auto"/>
          </w:divBdr>
        </w:div>
      </w:divsChild>
    </w:div>
    <w:div w:id="1154565223">
      <w:bodyDiv w:val="1"/>
      <w:marLeft w:val="0"/>
      <w:marRight w:val="0"/>
      <w:marTop w:val="0"/>
      <w:marBottom w:val="0"/>
      <w:divBdr>
        <w:top w:val="none" w:sz="0" w:space="0" w:color="auto"/>
        <w:left w:val="none" w:sz="0" w:space="0" w:color="auto"/>
        <w:bottom w:val="none" w:sz="0" w:space="0" w:color="auto"/>
        <w:right w:val="none" w:sz="0" w:space="0" w:color="auto"/>
      </w:divBdr>
      <w:divsChild>
        <w:div w:id="1942376459">
          <w:marLeft w:val="480"/>
          <w:marRight w:val="0"/>
          <w:marTop w:val="0"/>
          <w:marBottom w:val="0"/>
          <w:divBdr>
            <w:top w:val="none" w:sz="0" w:space="0" w:color="auto"/>
            <w:left w:val="none" w:sz="0" w:space="0" w:color="auto"/>
            <w:bottom w:val="none" w:sz="0" w:space="0" w:color="auto"/>
            <w:right w:val="none" w:sz="0" w:space="0" w:color="auto"/>
          </w:divBdr>
        </w:div>
        <w:div w:id="1235629712">
          <w:marLeft w:val="480"/>
          <w:marRight w:val="0"/>
          <w:marTop w:val="0"/>
          <w:marBottom w:val="0"/>
          <w:divBdr>
            <w:top w:val="none" w:sz="0" w:space="0" w:color="auto"/>
            <w:left w:val="none" w:sz="0" w:space="0" w:color="auto"/>
            <w:bottom w:val="none" w:sz="0" w:space="0" w:color="auto"/>
            <w:right w:val="none" w:sz="0" w:space="0" w:color="auto"/>
          </w:divBdr>
        </w:div>
        <w:div w:id="1432509240">
          <w:marLeft w:val="480"/>
          <w:marRight w:val="0"/>
          <w:marTop w:val="0"/>
          <w:marBottom w:val="0"/>
          <w:divBdr>
            <w:top w:val="none" w:sz="0" w:space="0" w:color="auto"/>
            <w:left w:val="none" w:sz="0" w:space="0" w:color="auto"/>
            <w:bottom w:val="none" w:sz="0" w:space="0" w:color="auto"/>
            <w:right w:val="none" w:sz="0" w:space="0" w:color="auto"/>
          </w:divBdr>
        </w:div>
        <w:div w:id="83428504">
          <w:marLeft w:val="480"/>
          <w:marRight w:val="0"/>
          <w:marTop w:val="0"/>
          <w:marBottom w:val="0"/>
          <w:divBdr>
            <w:top w:val="none" w:sz="0" w:space="0" w:color="auto"/>
            <w:left w:val="none" w:sz="0" w:space="0" w:color="auto"/>
            <w:bottom w:val="none" w:sz="0" w:space="0" w:color="auto"/>
            <w:right w:val="none" w:sz="0" w:space="0" w:color="auto"/>
          </w:divBdr>
        </w:div>
      </w:divsChild>
    </w:div>
    <w:div w:id="1177768030">
      <w:bodyDiv w:val="1"/>
      <w:marLeft w:val="0"/>
      <w:marRight w:val="0"/>
      <w:marTop w:val="0"/>
      <w:marBottom w:val="0"/>
      <w:divBdr>
        <w:top w:val="none" w:sz="0" w:space="0" w:color="auto"/>
        <w:left w:val="none" w:sz="0" w:space="0" w:color="auto"/>
        <w:bottom w:val="none" w:sz="0" w:space="0" w:color="auto"/>
        <w:right w:val="none" w:sz="0" w:space="0" w:color="auto"/>
      </w:divBdr>
    </w:div>
    <w:div w:id="1233269545">
      <w:bodyDiv w:val="1"/>
      <w:marLeft w:val="0"/>
      <w:marRight w:val="0"/>
      <w:marTop w:val="0"/>
      <w:marBottom w:val="0"/>
      <w:divBdr>
        <w:top w:val="none" w:sz="0" w:space="0" w:color="auto"/>
        <w:left w:val="none" w:sz="0" w:space="0" w:color="auto"/>
        <w:bottom w:val="none" w:sz="0" w:space="0" w:color="auto"/>
        <w:right w:val="none" w:sz="0" w:space="0" w:color="auto"/>
      </w:divBdr>
      <w:divsChild>
        <w:div w:id="1565220885">
          <w:marLeft w:val="480"/>
          <w:marRight w:val="0"/>
          <w:marTop w:val="0"/>
          <w:marBottom w:val="0"/>
          <w:divBdr>
            <w:top w:val="none" w:sz="0" w:space="0" w:color="auto"/>
            <w:left w:val="none" w:sz="0" w:space="0" w:color="auto"/>
            <w:bottom w:val="none" w:sz="0" w:space="0" w:color="auto"/>
            <w:right w:val="none" w:sz="0" w:space="0" w:color="auto"/>
          </w:divBdr>
        </w:div>
        <w:div w:id="781657170">
          <w:marLeft w:val="480"/>
          <w:marRight w:val="0"/>
          <w:marTop w:val="0"/>
          <w:marBottom w:val="0"/>
          <w:divBdr>
            <w:top w:val="none" w:sz="0" w:space="0" w:color="auto"/>
            <w:left w:val="none" w:sz="0" w:space="0" w:color="auto"/>
            <w:bottom w:val="none" w:sz="0" w:space="0" w:color="auto"/>
            <w:right w:val="none" w:sz="0" w:space="0" w:color="auto"/>
          </w:divBdr>
        </w:div>
        <w:div w:id="1995403353">
          <w:marLeft w:val="480"/>
          <w:marRight w:val="0"/>
          <w:marTop w:val="0"/>
          <w:marBottom w:val="0"/>
          <w:divBdr>
            <w:top w:val="none" w:sz="0" w:space="0" w:color="auto"/>
            <w:left w:val="none" w:sz="0" w:space="0" w:color="auto"/>
            <w:bottom w:val="none" w:sz="0" w:space="0" w:color="auto"/>
            <w:right w:val="none" w:sz="0" w:space="0" w:color="auto"/>
          </w:divBdr>
        </w:div>
        <w:div w:id="1070151340">
          <w:marLeft w:val="480"/>
          <w:marRight w:val="0"/>
          <w:marTop w:val="0"/>
          <w:marBottom w:val="0"/>
          <w:divBdr>
            <w:top w:val="none" w:sz="0" w:space="0" w:color="auto"/>
            <w:left w:val="none" w:sz="0" w:space="0" w:color="auto"/>
            <w:bottom w:val="none" w:sz="0" w:space="0" w:color="auto"/>
            <w:right w:val="none" w:sz="0" w:space="0" w:color="auto"/>
          </w:divBdr>
        </w:div>
        <w:div w:id="178665422">
          <w:marLeft w:val="480"/>
          <w:marRight w:val="0"/>
          <w:marTop w:val="0"/>
          <w:marBottom w:val="0"/>
          <w:divBdr>
            <w:top w:val="none" w:sz="0" w:space="0" w:color="auto"/>
            <w:left w:val="none" w:sz="0" w:space="0" w:color="auto"/>
            <w:bottom w:val="none" w:sz="0" w:space="0" w:color="auto"/>
            <w:right w:val="none" w:sz="0" w:space="0" w:color="auto"/>
          </w:divBdr>
        </w:div>
        <w:div w:id="33122194">
          <w:marLeft w:val="480"/>
          <w:marRight w:val="0"/>
          <w:marTop w:val="0"/>
          <w:marBottom w:val="0"/>
          <w:divBdr>
            <w:top w:val="none" w:sz="0" w:space="0" w:color="auto"/>
            <w:left w:val="none" w:sz="0" w:space="0" w:color="auto"/>
            <w:bottom w:val="none" w:sz="0" w:space="0" w:color="auto"/>
            <w:right w:val="none" w:sz="0" w:space="0" w:color="auto"/>
          </w:divBdr>
        </w:div>
        <w:div w:id="1894269298">
          <w:marLeft w:val="480"/>
          <w:marRight w:val="0"/>
          <w:marTop w:val="0"/>
          <w:marBottom w:val="0"/>
          <w:divBdr>
            <w:top w:val="none" w:sz="0" w:space="0" w:color="auto"/>
            <w:left w:val="none" w:sz="0" w:space="0" w:color="auto"/>
            <w:bottom w:val="none" w:sz="0" w:space="0" w:color="auto"/>
            <w:right w:val="none" w:sz="0" w:space="0" w:color="auto"/>
          </w:divBdr>
        </w:div>
      </w:divsChild>
    </w:div>
    <w:div w:id="1234779273">
      <w:bodyDiv w:val="1"/>
      <w:marLeft w:val="0"/>
      <w:marRight w:val="0"/>
      <w:marTop w:val="0"/>
      <w:marBottom w:val="0"/>
      <w:divBdr>
        <w:top w:val="none" w:sz="0" w:space="0" w:color="auto"/>
        <w:left w:val="none" w:sz="0" w:space="0" w:color="auto"/>
        <w:bottom w:val="none" w:sz="0" w:space="0" w:color="auto"/>
        <w:right w:val="none" w:sz="0" w:space="0" w:color="auto"/>
      </w:divBdr>
      <w:divsChild>
        <w:div w:id="739248868">
          <w:marLeft w:val="480"/>
          <w:marRight w:val="0"/>
          <w:marTop w:val="0"/>
          <w:marBottom w:val="0"/>
          <w:divBdr>
            <w:top w:val="none" w:sz="0" w:space="0" w:color="auto"/>
            <w:left w:val="none" w:sz="0" w:space="0" w:color="auto"/>
            <w:bottom w:val="none" w:sz="0" w:space="0" w:color="auto"/>
            <w:right w:val="none" w:sz="0" w:space="0" w:color="auto"/>
          </w:divBdr>
        </w:div>
        <w:div w:id="1349527610">
          <w:marLeft w:val="480"/>
          <w:marRight w:val="0"/>
          <w:marTop w:val="0"/>
          <w:marBottom w:val="0"/>
          <w:divBdr>
            <w:top w:val="none" w:sz="0" w:space="0" w:color="auto"/>
            <w:left w:val="none" w:sz="0" w:space="0" w:color="auto"/>
            <w:bottom w:val="none" w:sz="0" w:space="0" w:color="auto"/>
            <w:right w:val="none" w:sz="0" w:space="0" w:color="auto"/>
          </w:divBdr>
        </w:div>
        <w:div w:id="976452353">
          <w:marLeft w:val="480"/>
          <w:marRight w:val="0"/>
          <w:marTop w:val="0"/>
          <w:marBottom w:val="0"/>
          <w:divBdr>
            <w:top w:val="none" w:sz="0" w:space="0" w:color="auto"/>
            <w:left w:val="none" w:sz="0" w:space="0" w:color="auto"/>
            <w:bottom w:val="none" w:sz="0" w:space="0" w:color="auto"/>
            <w:right w:val="none" w:sz="0" w:space="0" w:color="auto"/>
          </w:divBdr>
        </w:div>
        <w:div w:id="111097607">
          <w:marLeft w:val="480"/>
          <w:marRight w:val="0"/>
          <w:marTop w:val="0"/>
          <w:marBottom w:val="0"/>
          <w:divBdr>
            <w:top w:val="none" w:sz="0" w:space="0" w:color="auto"/>
            <w:left w:val="none" w:sz="0" w:space="0" w:color="auto"/>
            <w:bottom w:val="none" w:sz="0" w:space="0" w:color="auto"/>
            <w:right w:val="none" w:sz="0" w:space="0" w:color="auto"/>
          </w:divBdr>
        </w:div>
        <w:div w:id="596519311">
          <w:marLeft w:val="480"/>
          <w:marRight w:val="0"/>
          <w:marTop w:val="0"/>
          <w:marBottom w:val="0"/>
          <w:divBdr>
            <w:top w:val="none" w:sz="0" w:space="0" w:color="auto"/>
            <w:left w:val="none" w:sz="0" w:space="0" w:color="auto"/>
            <w:bottom w:val="none" w:sz="0" w:space="0" w:color="auto"/>
            <w:right w:val="none" w:sz="0" w:space="0" w:color="auto"/>
          </w:divBdr>
        </w:div>
        <w:div w:id="1798256702">
          <w:marLeft w:val="480"/>
          <w:marRight w:val="0"/>
          <w:marTop w:val="0"/>
          <w:marBottom w:val="0"/>
          <w:divBdr>
            <w:top w:val="none" w:sz="0" w:space="0" w:color="auto"/>
            <w:left w:val="none" w:sz="0" w:space="0" w:color="auto"/>
            <w:bottom w:val="none" w:sz="0" w:space="0" w:color="auto"/>
            <w:right w:val="none" w:sz="0" w:space="0" w:color="auto"/>
          </w:divBdr>
        </w:div>
        <w:div w:id="1117070137">
          <w:marLeft w:val="480"/>
          <w:marRight w:val="0"/>
          <w:marTop w:val="0"/>
          <w:marBottom w:val="0"/>
          <w:divBdr>
            <w:top w:val="none" w:sz="0" w:space="0" w:color="auto"/>
            <w:left w:val="none" w:sz="0" w:space="0" w:color="auto"/>
            <w:bottom w:val="none" w:sz="0" w:space="0" w:color="auto"/>
            <w:right w:val="none" w:sz="0" w:space="0" w:color="auto"/>
          </w:divBdr>
        </w:div>
        <w:div w:id="1089929785">
          <w:marLeft w:val="480"/>
          <w:marRight w:val="0"/>
          <w:marTop w:val="0"/>
          <w:marBottom w:val="0"/>
          <w:divBdr>
            <w:top w:val="none" w:sz="0" w:space="0" w:color="auto"/>
            <w:left w:val="none" w:sz="0" w:space="0" w:color="auto"/>
            <w:bottom w:val="none" w:sz="0" w:space="0" w:color="auto"/>
            <w:right w:val="none" w:sz="0" w:space="0" w:color="auto"/>
          </w:divBdr>
        </w:div>
        <w:div w:id="1107777060">
          <w:marLeft w:val="480"/>
          <w:marRight w:val="0"/>
          <w:marTop w:val="0"/>
          <w:marBottom w:val="0"/>
          <w:divBdr>
            <w:top w:val="none" w:sz="0" w:space="0" w:color="auto"/>
            <w:left w:val="none" w:sz="0" w:space="0" w:color="auto"/>
            <w:bottom w:val="none" w:sz="0" w:space="0" w:color="auto"/>
            <w:right w:val="none" w:sz="0" w:space="0" w:color="auto"/>
          </w:divBdr>
        </w:div>
      </w:divsChild>
    </w:div>
    <w:div w:id="1290018381">
      <w:bodyDiv w:val="1"/>
      <w:marLeft w:val="0"/>
      <w:marRight w:val="0"/>
      <w:marTop w:val="0"/>
      <w:marBottom w:val="0"/>
      <w:divBdr>
        <w:top w:val="none" w:sz="0" w:space="0" w:color="auto"/>
        <w:left w:val="none" w:sz="0" w:space="0" w:color="auto"/>
        <w:bottom w:val="none" w:sz="0" w:space="0" w:color="auto"/>
        <w:right w:val="none" w:sz="0" w:space="0" w:color="auto"/>
      </w:divBdr>
    </w:div>
    <w:div w:id="1298024451">
      <w:bodyDiv w:val="1"/>
      <w:marLeft w:val="0"/>
      <w:marRight w:val="0"/>
      <w:marTop w:val="0"/>
      <w:marBottom w:val="0"/>
      <w:divBdr>
        <w:top w:val="none" w:sz="0" w:space="0" w:color="auto"/>
        <w:left w:val="none" w:sz="0" w:space="0" w:color="auto"/>
        <w:bottom w:val="none" w:sz="0" w:space="0" w:color="auto"/>
        <w:right w:val="none" w:sz="0" w:space="0" w:color="auto"/>
      </w:divBdr>
    </w:div>
    <w:div w:id="1331643335">
      <w:bodyDiv w:val="1"/>
      <w:marLeft w:val="0"/>
      <w:marRight w:val="0"/>
      <w:marTop w:val="0"/>
      <w:marBottom w:val="0"/>
      <w:divBdr>
        <w:top w:val="none" w:sz="0" w:space="0" w:color="auto"/>
        <w:left w:val="none" w:sz="0" w:space="0" w:color="auto"/>
        <w:bottom w:val="none" w:sz="0" w:space="0" w:color="auto"/>
        <w:right w:val="none" w:sz="0" w:space="0" w:color="auto"/>
      </w:divBdr>
    </w:div>
    <w:div w:id="1382825875">
      <w:bodyDiv w:val="1"/>
      <w:marLeft w:val="0"/>
      <w:marRight w:val="0"/>
      <w:marTop w:val="0"/>
      <w:marBottom w:val="0"/>
      <w:divBdr>
        <w:top w:val="none" w:sz="0" w:space="0" w:color="auto"/>
        <w:left w:val="none" w:sz="0" w:space="0" w:color="auto"/>
        <w:bottom w:val="none" w:sz="0" w:space="0" w:color="auto"/>
        <w:right w:val="none" w:sz="0" w:space="0" w:color="auto"/>
      </w:divBdr>
    </w:div>
    <w:div w:id="1410733059">
      <w:bodyDiv w:val="1"/>
      <w:marLeft w:val="0"/>
      <w:marRight w:val="0"/>
      <w:marTop w:val="0"/>
      <w:marBottom w:val="0"/>
      <w:divBdr>
        <w:top w:val="none" w:sz="0" w:space="0" w:color="auto"/>
        <w:left w:val="none" w:sz="0" w:space="0" w:color="auto"/>
        <w:bottom w:val="none" w:sz="0" w:space="0" w:color="auto"/>
        <w:right w:val="none" w:sz="0" w:space="0" w:color="auto"/>
      </w:divBdr>
      <w:divsChild>
        <w:div w:id="704256516">
          <w:marLeft w:val="480"/>
          <w:marRight w:val="0"/>
          <w:marTop w:val="0"/>
          <w:marBottom w:val="0"/>
          <w:divBdr>
            <w:top w:val="none" w:sz="0" w:space="0" w:color="auto"/>
            <w:left w:val="none" w:sz="0" w:space="0" w:color="auto"/>
            <w:bottom w:val="none" w:sz="0" w:space="0" w:color="auto"/>
            <w:right w:val="none" w:sz="0" w:space="0" w:color="auto"/>
          </w:divBdr>
        </w:div>
        <w:div w:id="151720172">
          <w:marLeft w:val="480"/>
          <w:marRight w:val="0"/>
          <w:marTop w:val="0"/>
          <w:marBottom w:val="0"/>
          <w:divBdr>
            <w:top w:val="none" w:sz="0" w:space="0" w:color="auto"/>
            <w:left w:val="none" w:sz="0" w:space="0" w:color="auto"/>
            <w:bottom w:val="none" w:sz="0" w:space="0" w:color="auto"/>
            <w:right w:val="none" w:sz="0" w:space="0" w:color="auto"/>
          </w:divBdr>
        </w:div>
        <w:div w:id="1111894496">
          <w:marLeft w:val="480"/>
          <w:marRight w:val="0"/>
          <w:marTop w:val="0"/>
          <w:marBottom w:val="0"/>
          <w:divBdr>
            <w:top w:val="none" w:sz="0" w:space="0" w:color="auto"/>
            <w:left w:val="none" w:sz="0" w:space="0" w:color="auto"/>
            <w:bottom w:val="none" w:sz="0" w:space="0" w:color="auto"/>
            <w:right w:val="none" w:sz="0" w:space="0" w:color="auto"/>
          </w:divBdr>
        </w:div>
        <w:div w:id="160123856">
          <w:marLeft w:val="480"/>
          <w:marRight w:val="0"/>
          <w:marTop w:val="0"/>
          <w:marBottom w:val="0"/>
          <w:divBdr>
            <w:top w:val="none" w:sz="0" w:space="0" w:color="auto"/>
            <w:left w:val="none" w:sz="0" w:space="0" w:color="auto"/>
            <w:bottom w:val="none" w:sz="0" w:space="0" w:color="auto"/>
            <w:right w:val="none" w:sz="0" w:space="0" w:color="auto"/>
          </w:divBdr>
        </w:div>
        <w:div w:id="335303068">
          <w:marLeft w:val="480"/>
          <w:marRight w:val="0"/>
          <w:marTop w:val="0"/>
          <w:marBottom w:val="0"/>
          <w:divBdr>
            <w:top w:val="none" w:sz="0" w:space="0" w:color="auto"/>
            <w:left w:val="none" w:sz="0" w:space="0" w:color="auto"/>
            <w:bottom w:val="none" w:sz="0" w:space="0" w:color="auto"/>
            <w:right w:val="none" w:sz="0" w:space="0" w:color="auto"/>
          </w:divBdr>
        </w:div>
        <w:div w:id="18549692">
          <w:marLeft w:val="480"/>
          <w:marRight w:val="0"/>
          <w:marTop w:val="0"/>
          <w:marBottom w:val="0"/>
          <w:divBdr>
            <w:top w:val="none" w:sz="0" w:space="0" w:color="auto"/>
            <w:left w:val="none" w:sz="0" w:space="0" w:color="auto"/>
            <w:bottom w:val="none" w:sz="0" w:space="0" w:color="auto"/>
            <w:right w:val="none" w:sz="0" w:space="0" w:color="auto"/>
          </w:divBdr>
        </w:div>
        <w:div w:id="1080951560">
          <w:marLeft w:val="480"/>
          <w:marRight w:val="0"/>
          <w:marTop w:val="0"/>
          <w:marBottom w:val="0"/>
          <w:divBdr>
            <w:top w:val="none" w:sz="0" w:space="0" w:color="auto"/>
            <w:left w:val="none" w:sz="0" w:space="0" w:color="auto"/>
            <w:bottom w:val="none" w:sz="0" w:space="0" w:color="auto"/>
            <w:right w:val="none" w:sz="0" w:space="0" w:color="auto"/>
          </w:divBdr>
        </w:div>
      </w:divsChild>
    </w:div>
    <w:div w:id="1415396944">
      <w:bodyDiv w:val="1"/>
      <w:marLeft w:val="0"/>
      <w:marRight w:val="0"/>
      <w:marTop w:val="0"/>
      <w:marBottom w:val="0"/>
      <w:divBdr>
        <w:top w:val="none" w:sz="0" w:space="0" w:color="auto"/>
        <w:left w:val="none" w:sz="0" w:space="0" w:color="auto"/>
        <w:bottom w:val="none" w:sz="0" w:space="0" w:color="auto"/>
        <w:right w:val="none" w:sz="0" w:space="0" w:color="auto"/>
      </w:divBdr>
    </w:div>
    <w:div w:id="142090936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64">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3424264">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1580887">
      <w:bodyDiv w:val="1"/>
      <w:marLeft w:val="0"/>
      <w:marRight w:val="0"/>
      <w:marTop w:val="0"/>
      <w:marBottom w:val="0"/>
      <w:divBdr>
        <w:top w:val="none" w:sz="0" w:space="0" w:color="auto"/>
        <w:left w:val="none" w:sz="0" w:space="0" w:color="auto"/>
        <w:bottom w:val="none" w:sz="0" w:space="0" w:color="auto"/>
        <w:right w:val="none" w:sz="0" w:space="0" w:color="auto"/>
      </w:divBdr>
      <w:divsChild>
        <w:div w:id="3943660">
          <w:marLeft w:val="480"/>
          <w:marRight w:val="0"/>
          <w:marTop w:val="0"/>
          <w:marBottom w:val="0"/>
          <w:divBdr>
            <w:top w:val="none" w:sz="0" w:space="0" w:color="auto"/>
            <w:left w:val="none" w:sz="0" w:space="0" w:color="auto"/>
            <w:bottom w:val="none" w:sz="0" w:space="0" w:color="auto"/>
            <w:right w:val="none" w:sz="0" w:space="0" w:color="auto"/>
          </w:divBdr>
        </w:div>
        <w:div w:id="2047102451">
          <w:marLeft w:val="480"/>
          <w:marRight w:val="0"/>
          <w:marTop w:val="0"/>
          <w:marBottom w:val="0"/>
          <w:divBdr>
            <w:top w:val="none" w:sz="0" w:space="0" w:color="auto"/>
            <w:left w:val="none" w:sz="0" w:space="0" w:color="auto"/>
            <w:bottom w:val="none" w:sz="0" w:space="0" w:color="auto"/>
            <w:right w:val="none" w:sz="0" w:space="0" w:color="auto"/>
          </w:divBdr>
        </w:div>
        <w:div w:id="2020888726">
          <w:marLeft w:val="480"/>
          <w:marRight w:val="0"/>
          <w:marTop w:val="0"/>
          <w:marBottom w:val="0"/>
          <w:divBdr>
            <w:top w:val="none" w:sz="0" w:space="0" w:color="auto"/>
            <w:left w:val="none" w:sz="0" w:space="0" w:color="auto"/>
            <w:bottom w:val="none" w:sz="0" w:space="0" w:color="auto"/>
            <w:right w:val="none" w:sz="0" w:space="0" w:color="auto"/>
          </w:divBdr>
        </w:div>
        <w:div w:id="525367363">
          <w:marLeft w:val="480"/>
          <w:marRight w:val="0"/>
          <w:marTop w:val="0"/>
          <w:marBottom w:val="0"/>
          <w:divBdr>
            <w:top w:val="none" w:sz="0" w:space="0" w:color="auto"/>
            <w:left w:val="none" w:sz="0" w:space="0" w:color="auto"/>
            <w:bottom w:val="none" w:sz="0" w:space="0" w:color="auto"/>
            <w:right w:val="none" w:sz="0" w:space="0" w:color="auto"/>
          </w:divBdr>
        </w:div>
      </w:divsChild>
    </w:div>
    <w:div w:id="1532693592">
      <w:bodyDiv w:val="1"/>
      <w:marLeft w:val="0"/>
      <w:marRight w:val="0"/>
      <w:marTop w:val="0"/>
      <w:marBottom w:val="0"/>
      <w:divBdr>
        <w:top w:val="none" w:sz="0" w:space="0" w:color="auto"/>
        <w:left w:val="none" w:sz="0" w:space="0" w:color="auto"/>
        <w:bottom w:val="none" w:sz="0" w:space="0" w:color="auto"/>
        <w:right w:val="none" w:sz="0" w:space="0" w:color="auto"/>
      </w:divBdr>
      <w:divsChild>
        <w:div w:id="1492217138">
          <w:marLeft w:val="480"/>
          <w:marRight w:val="0"/>
          <w:marTop w:val="0"/>
          <w:marBottom w:val="0"/>
          <w:divBdr>
            <w:top w:val="none" w:sz="0" w:space="0" w:color="auto"/>
            <w:left w:val="none" w:sz="0" w:space="0" w:color="auto"/>
            <w:bottom w:val="none" w:sz="0" w:space="0" w:color="auto"/>
            <w:right w:val="none" w:sz="0" w:space="0" w:color="auto"/>
          </w:divBdr>
        </w:div>
        <w:div w:id="1368022785">
          <w:marLeft w:val="480"/>
          <w:marRight w:val="0"/>
          <w:marTop w:val="0"/>
          <w:marBottom w:val="0"/>
          <w:divBdr>
            <w:top w:val="none" w:sz="0" w:space="0" w:color="auto"/>
            <w:left w:val="none" w:sz="0" w:space="0" w:color="auto"/>
            <w:bottom w:val="none" w:sz="0" w:space="0" w:color="auto"/>
            <w:right w:val="none" w:sz="0" w:space="0" w:color="auto"/>
          </w:divBdr>
        </w:div>
        <w:div w:id="1241402263">
          <w:marLeft w:val="480"/>
          <w:marRight w:val="0"/>
          <w:marTop w:val="0"/>
          <w:marBottom w:val="0"/>
          <w:divBdr>
            <w:top w:val="none" w:sz="0" w:space="0" w:color="auto"/>
            <w:left w:val="none" w:sz="0" w:space="0" w:color="auto"/>
            <w:bottom w:val="none" w:sz="0" w:space="0" w:color="auto"/>
            <w:right w:val="none" w:sz="0" w:space="0" w:color="auto"/>
          </w:divBdr>
        </w:div>
        <w:div w:id="101072682">
          <w:marLeft w:val="480"/>
          <w:marRight w:val="0"/>
          <w:marTop w:val="0"/>
          <w:marBottom w:val="0"/>
          <w:divBdr>
            <w:top w:val="none" w:sz="0" w:space="0" w:color="auto"/>
            <w:left w:val="none" w:sz="0" w:space="0" w:color="auto"/>
            <w:bottom w:val="none" w:sz="0" w:space="0" w:color="auto"/>
            <w:right w:val="none" w:sz="0" w:space="0" w:color="auto"/>
          </w:divBdr>
        </w:div>
        <w:div w:id="1286765494">
          <w:marLeft w:val="480"/>
          <w:marRight w:val="0"/>
          <w:marTop w:val="0"/>
          <w:marBottom w:val="0"/>
          <w:divBdr>
            <w:top w:val="none" w:sz="0" w:space="0" w:color="auto"/>
            <w:left w:val="none" w:sz="0" w:space="0" w:color="auto"/>
            <w:bottom w:val="none" w:sz="0" w:space="0" w:color="auto"/>
            <w:right w:val="none" w:sz="0" w:space="0" w:color="auto"/>
          </w:divBdr>
        </w:div>
        <w:div w:id="413014797">
          <w:marLeft w:val="480"/>
          <w:marRight w:val="0"/>
          <w:marTop w:val="0"/>
          <w:marBottom w:val="0"/>
          <w:divBdr>
            <w:top w:val="none" w:sz="0" w:space="0" w:color="auto"/>
            <w:left w:val="none" w:sz="0" w:space="0" w:color="auto"/>
            <w:bottom w:val="none" w:sz="0" w:space="0" w:color="auto"/>
            <w:right w:val="none" w:sz="0" w:space="0" w:color="auto"/>
          </w:divBdr>
        </w:div>
      </w:divsChild>
    </w:div>
    <w:div w:id="1538738251">
      <w:bodyDiv w:val="1"/>
      <w:marLeft w:val="0"/>
      <w:marRight w:val="0"/>
      <w:marTop w:val="0"/>
      <w:marBottom w:val="0"/>
      <w:divBdr>
        <w:top w:val="none" w:sz="0" w:space="0" w:color="auto"/>
        <w:left w:val="none" w:sz="0" w:space="0" w:color="auto"/>
        <w:bottom w:val="none" w:sz="0" w:space="0" w:color="auto"/>
        <w:right w:val="none" w:sz="0" w:space="0" w:color="auto"/>
      </w:divBdr>
      <w:divsChild>
        <w:div w:id="1775590369">
          <w:marLeft w:val="480"/>
          <w:marRight w:val="0"/>
          <w:marTop w:val="0"/>
          <w:marBottom w:val="0"/>
          <w:divBdr>
            <w:top w:val="none" w:sz="0" w:space="0" w:color="auto"/>
            <w:left w:val="none" w:sz="0" w:space="0" w:color="auto"/>
            <w:bottom w:val="none" w:sz="0" w:space="0" w:color="auto"/>
            <w:right w:val="none" w:sz="0" w:space="0" w:color="auto"/>
          </w:divBdr>
        </w:div>
        <w:div w:id="1799102427">
          <w:marLeft w:val="480"/>
          <w:marRight w:val="0"/>
          <w:marTop w:val="0"/>
          <w:marBottom w:val="0"/>
          <w:divBdr>
            <w:top w:val="none" w:sz="0" w:space="0" w:color="auto"/>
            <w:left w:val="none" w:sz="0" w:space="0" w:color="auto"/>
            <w:bottom w:val="none" w:sz="0" w:space="0" w:color="auto"/>
            <w:right w:val="none" w:sz="0" w:space="0" w:color="auto"/>
          </w:divBdr>
        </w:div>
        <w:div w:id="706216682">
          <w:marLeft w:val="480"/>
          <w:marRight w:val="0"/>
          <w:marTop w:val="0"/>
          <w:marBottom w:val="0"/>
          <w:divBdr>
            <w:top w:val="none" w:sz="0" w:space="0" w:color="auto"/>
            <w:left w:val="none" w:sz="0" w:space="0" w:color="auto"/>
            <w:bottom w:val="none" w:sz="0" w:space="0" w:color="auto"/>
            <w:right w:val="none" w:sz="0" w:space="0" w:color="auto"/>
          </w:divBdr>
        </w:div>
        <w:div w:id="1150363464">
          <w:marLeft w:val="480"/>
          <w:marRight w:val="0"/>
          <w:marTop w:val="0"/>
          <w:marBottom w:val="0"/>
          <w:divBdr>
            <w:top w:val="none" w:sz="0" w:space="0" w:color="auto"/>
            <w:left w:val="none" w:sz="0" w:space="0" w:color="auto"/>
            <w:bottom w:val="none" w:sz="0" w:space="0" w:color="auto"/>
            <w:right w:val="none" w:sz="0" w:space="0" w:color="auto"/>
          </w:divBdr>
        </w:div>
        <w:div w:id="89785100">
          <w:marLeft w:val="480"/>
          <w:marRight w:val="0"/>
          <w:marTop w:val="0"/>
          <w:marBottom w:val="0"/>
          <w:divBdr>
            <w:top w:val="none" w:sz="0" w:space="0" w:color="auto"/>
            <w:left w:val="none" w:sz="0" w:space="0" w:color="auto"/>
            <w:bottom w:val="none" w:sz="0" w:space="0" w:color="auto"/>
            <w:right w:val="none" w:sz="0" w:space="0" w:color="auto"/>
          </w:divBdr>
        </w:div>
      </w:divsChild>
    </w:div>
    <w:div w:id="1539969220">
      <w:bodyDiv w:val="1"/>
      <w:marLeft w:val="0"/>
      <w:marRight w:val="0"/>
      <w:marTop w:val="0"/>
      <w:marBottom w:val="0"/>
      <w:divBdr>
        <w:top w:val="none" w:sz="0" w:space="0" w:color="auto"/>
        <w:left w:val="none" w:sz="0" w:space="0" w:color="auto"/>
        <w:bottom w:val="none" w:sz="0" w:space="0" w:color="auto"/>
        <w:right w:val="none" w:sz="0" w:space="0" w:color="auto"/>
      </w:divBdr>
      <w:divsChild>
        <w:div w:id="998575898">
          <w:marLeft w:val="480"/>
          <w:marRight w:val="0"/>
          <w:marTop w:val="0"/>
          <w:marBottom w:val="0"/>
          <w:divBdr>
            <w:top w:val="none" w:sz="0" w:space="0" w:color="auto"/>
            <w:left w:val="none" w:sz="0" w:space="0" w:color="auto"/>
            <w:bottom w:val="none" w:sz="0" w:space="0" w:color="auto"/>
            <w:right w:val="none" w:sz="0" w:space="0" w:color="auto"/>
          </w:divBdr>
        </w:div>
        <w:div w:id="1521047445">
          <w:marLeft w:val="480"/>
          <w:marRight w:val="0"/>
          <w:marTop w:val="0"/>
          <w:marBottom w:val="0"/>
          <w:divBdr>
            <w:top w:val="none" w:sz="0" w:space="0" w:color="auto"/>
            <w:left w:val="none" w:sz="0" w:space="0" w:color="auto"/>
            <w:bottom w:val="none" w:sz="0" w:space="0" w:color="auto"/>
            <w:right w:val="none" w:sz="0" w:space="0" w:color="auto"/>
          </w:divBdr>
        </w:div>
        <w:div w:id="579679895">
          <w:marLeft w:val="480"/>
          <w:marRight w:val="0"/>
          <w:marTop w:val="0"/>
          <w:marBottom w:val="0"/>
          <w:divBdr>
            <w:top w:val="none" w:sz="0" w:space="0" w:color="auto"/>
            <w:left w:val="none" w:sz="0" w:space="0" w:color="auto"/>
            <w:bottom w:val="none" w:sz="0" w:space="0" w:color="auto"/>
            <w:right w:val="none" w:sz="0" w:space="0" w:color="auto"/>
          </w:divBdr>
        </w:div>
      </w:divsChild>
    </w:div>
    <w:div w:id="1637225090">
      <w:bodyDiv w:val="1"/>
      <w:marLeft w:val="0"/>
      <w:marRight w:val="0"/>
      <w:marTop w:val="0"/>
      <w:marBottom w:val="0"/>
      <w:divBdr>
        <w:top w:val="none" w:sz="0" w:space="0" w:color="auto"/>
        <w:left w:val="none" w:sz="0" w:space="0" w:color="auto"/>
        <w:bottom w:val="none" w:sz="0" w:space="0" w:color="auto"/>
        <w:right w:val="none" w:sz="0" w:space="0" w:color="auto"/>
      </w:divBdr>
    </w:div>
    <w:div w:id="1647315244">
      <w:bodyDiv w:val="1"/>
      <w:marLeft w:val="0"/>
      <w:marRight w:val="0"/>
      <w:marTop w:val="0"/>
      <w:marBottom w:val="0"/>
      <w:divBdr>
        <w:top w:val="none" w:sz="0" w:space="0" w:color="auto"/>
        <w:left w:val="none" w:sz="0" w:space="0" w:color="auto"/>
        <w:bottom w:val="none" w:sz="0" w:space="0" w:color="auto"/>
        <w:right w:val="none" w:sz="0" w:space="0" w:color="auto"/>
      </w:divBdr>
      <w:divsChild>
        <w:div w:id="626276432">
          <w:marLeft w:val="480"/>
          <w:marRight w:val="0"/>
          <w:marTop w:val="0"/>
          <w:marBottom w:val="0"/>
          <w:divBdr>
            <w:top w:val="none" w:sz="0" w:space="0" w:color="auto"/>
            <w:left w:val="none" w:sz="0" w:space="0" w:color="auto"/>
            <w:bottom w:val="none" w:sz="0" w:space="0" w:color="auto"/>
            <w:right w:val="none" w:sz="0" w:space="0" w:color="auto"/>
          </w:divBdr>
        </w:div>
        <w:div w:id="2050910490">
          <w:marLeft w:val="480"/>
          <w:marRight w:val="0"/>
          <w:marTop w:val="0"/>
          <w:marBottom w:val="0"/>
          <w:divBdr>
            <w:top w:val="none" w:sz="0" w:space="0" w:color="auto"/>
            <w:left w:val="none" w:sz="0" w:space="0" w:color="auto"/>
            <w:bottom w:val="none" w:sz="0" w:space="0" w:color="auto"/>
            <w:right w:val="none" w:sz="0" w:space="0" w:color="auto"/>
          </w:divBdr>
        </w:div>
        <w:div w:id="792362257">
          <w:marLeft w:val="480"/>
          <w:marRight w:val="0"/>
          <w:marTop w:val="0"/>
          <w:marBottom w:val="0"/>
          <w:divBdr>
            <w:top w:val="none" w:sz="0" w:space="0" w:color="auto"/>
            <w:left w:val="none" w:sz="0" w:space="0" w:color="auto"/>
            <w:bottom w:val="none" w:sz="0" w:space="0" w:color="auto"/>
            <w:right w:val="none" w:sz="0" w:space="0" w:color="auto"/>
          </w:divBdr>
        </w:div>
        <w:div w:id="794258366">
          <w:marLeft w:val="480"/>
          <w:marRight w:val="0"/>
          <w:marTop w:val="0"/>
          <w:marBottom w:val="0"/>
          <w:divBdr>
            <w:top w:val="none" w:sz="0" w:space="0" w:color="auto"/>
            <w:left w:val="none" w:sz="0" w:space="0" w:color="auto"/>
            <w:bottom w:val="none" w:sz="0" w:space="0" w:color="auto"/>
            <w:right w:val="none" w:sz="0" w:space="0" w:color="auto"/>
          </w:divBdr>
        </w:div>
        <w:div w:id="83693909">
          <w:marLeft w:val="480"/>
          <w:marRight w:val="0"/>
          <w:marTop w:val="0"/>
          <w:marBottom w:val="0"/>
          <w:divBdr>
            <w:top w:val="none" w:sz="0" w:space="0" w:color="auto"/>
            <w:left w:val="none" w:sz="0" w:space="0" w:color="auto"/>
            <w:bottom w:val="none" w:sz="0" w:space="0" w:color="auto"/>
            <w:right w:val="none" w:sz="0" w:space="0" w:color="auto"/>
          </w:divBdr>
        </w:div>
        <w:div w:id="67844990">
          <w:marLeft w:val="480"/>
          <w:marRight w:val="0"/>
          <w:marTop w:val="0"/>
          <w:marBottom w:val="0"/>
          <w:divBdr>
            <w:top w:val="none" w:sz="0" w:space="0" w:color="auto"/>
            <w:left w:val="none" w:sz="0" w:space="0" w:color="auto"/>
            <w:bottom w:val="none" w:sz="0" w:space="0" w:color="auto"/>
            <w:right w:val="none" w:sz="0" w:space="0" w:color="auto"/>
          </w:divBdr>
        </w:div>
      </w:divsChild>
    </w:div>
    <w:div w:id="168265748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6349">
      <w:bodyDiv w:val="1"/>
      <w:marLeft w:val="0"/>
      <w:marRight w:val="0"/>
      <w:marTop w:val="0"/>
      <w:marBottom w:val="0"/>
      <w:divBdr>
        <w:top w:val="none" w:sz="0" w:space="0" w:color="auto"/>
        <w:left w:val="none" w:sz="0" w:space="0" w:color="auto"/>
        <w:bottom w:val="none" w:sz="0" w:space="0" w:color="auto"/>
        <w:right w:val="none" w:sz="0" w:space="0" w:color="auto"/>
      </w:divBdr>
      <w:divsChild>
        <w:div w:id="350759902">
          <w:marLeft w:val="480"/>
          <w:marRight w:val="0"/>
          <w:marTop w:val="0"/>
          <w:marBottom w:val="0"/>
          <w:divBdr>
            <w:top w:val="none" w:sz="0" w:space="0" w:color="auto"/>
            <w:left w:val="none" w:sz="0" w:space="0" w:color="auto"/>
            <w:bottom w:val="none" w:sz="0" w:space="0" w:color="auto"/>
            <w:right w:val="none" w:sz="0" w:space="0" w:color="auto"/>
          </w:divBdr>
        </w:div>
        <w:div w:id="1724869907">
          <w:marLeft w:val="480"/>
          <w:marRight w:val="0"/>
          <w:marTop w:val="0"/>
          <w:marBottom w:val="0"/>
          <w:divBdr>
            <w:top w:val="none" w:sz="0" w:space="0" w:color="auto"/>
            <w:left w:val="none" w:sz="0" w:space="0" w:color="auto"/>
            <w:bottom w:val="none" w:sz="0" w:space="0" w:color="auto"/>
            <w:right w:val="none" w:sz="0" w:space="0" w:color="auto"/>
          </w:divBdr>
        </w:div>
        <w:div w:id="763457012">
          <w:marLeft w:val="480"/>
          <w:marRight w:val="0"/>
          <w:marTop w:val="0"/>
          <w:marBottom w:val="0"/>
          <w:divBdr>
            <w:top w:val="none" w:sz="0" w:space="0" w:color="auto"/>
            <w:left w:val="none" w:sz="0" w:space="0" w:color="auto"/>
            <w:bottom w:val="none" w:sz="0" w:space="0" w:color="auto"/>
            <w:right w:val="none" w:sz="0" w:space="0" w:color="auto"/>
          </w:divBdr>
        </w:div>
        <w:div w:id="1701324055">
          <w:marLeft w:val="480"/>
          <w:marRight w:val="0"/>
          <w:marTop w:val="0"/>
          <w:marBottom w:val="0"/>
          <w:divBdr>
            <w:top w:val="none" w:sz="0" w:space="0" w:color="auto"/>
            <w:left w:val="none" w:sz="0" w:space="0" w:color="auto"/>
            <w:bottom w:val="none" w:sz="0" w:space="0" w:color="auto"/>
            <w:right w:val="none" w:sz="0" w:space="0" w:color="auto"/>
          </w:divBdr>
        </w:div>
        <w:div w:id="1800028735">
          <w:marLeft w:val="480"/>
          <w:marRight w:val="0"/>
          <w:marTop w:val="0"/>
          <w:marBottom w:val="0"/>
          <w:divBdr>
            <w:top w:val="none" w:sz="0" w:space="0" w:color="auto"/>
            <w:left w:val="none" w:sz="0" w:space="0" w:color="auto"/>
            <w:bottom w:val="none" w:sz="0" w:space="0" w:color="auto"/>
            <w:right w:val="none" w:sz="0" w:space="0" w:color="auto"/>
          </w:divBdr>
        </w:div>
        <w:div w:id="125585333">
          <w:marLeft w:val="480"/>
          <w:marRight w:val="0"/>
          <w:marTop w:val="0"/>
          <w:marBottom w:val="0"/>
          <w:divBdr>
            <w:top w:val="none" w:sz="0" w:space="0" w:color="auto"/>
            <w:left w:val="none" w:sz="0" w:space="0" w:color="auto"/>
            <w:bottom w:val="none" w:sz="0" w:space="0" w:color="auto"/>
            <w:right w:val="none" w:sz="0" w:space="0" w:color="auto"/>
          </w:divBdr>
        </w:div>
        <w:div w:id="2117017261">
          <w:marLeft w:val="480"/>
          <w:marRight w:val="0"/>
          <w:marTop w:val="0"/>
          <w:marBottom w:val="0"/>
          <w:divBdr>
            <w:top w:val="none" w:sz="0" w:space="0" w:color="auto"/>
            <w:left w:val="none" w:sz="0" w:space="0" w:color="auto"/>
            <w:bottom w:val="none" w:sz="0" w:space="0" w:color="auto"/>
            <w:right w:val="none" w:sz="0" w:space="0" w:color="auto"/>
          </w:divBdr>
        </w:div>
      </w:divsChild>
    </w:div>
    <w:div w:id="1697265372">
      <w:bodyDiv w:val="1"/>
      <w:marLeft w:val="0"/>
      <w:marRight w:val="0"/>
      <w:marTop w:val="0"/>
      <w:marBottom w:val="0"/>
      <w:divBdr>
        <w:top w:val="none" w:sz="0" w:space="0" w:color="auto"/>
        <w:left w:val="none" w:sz="0" w:space="0" w:color="auto"/>
        <w:bottom w:val="none" w:sz="0" w:space="0" w:color="auto"/>
        <w:right w:val="none" w:sz="0" w:space="0" w:color="auto"/>
      </w:divBdr>
      <w:divsChild>
        <w:div w:id="640115845">
          <w:marLeft w:val="480"/>
          <w:marRight w:val="0"/>
          <w:marTop w:val="0"/>
          <w:marBottom w:val="0"/>
          <w:divBdr>
            <w:top w:val="none" w:sz="0" w:space="0" w:color="auto"/>
            <w:left w:val="none" w:sz="0" w:space="0" w:color="auto"/>
            <w:bottom w:val="none" w:sz="0" w:space="0" w:color="auto"/>
            <w:right w:val="none" w:sz="0" w:space="0" w:color="auto"/>
          </w:divBdr>
        </w:div>
        <w:div w:id="1985772976">
          <w:marLeft w:val="480"/>
          <w:marRight w:val="0"/>
          <w:marTop w:val="0"/>
          <w:marBottom w:val="0"/>
          <w:divBdr>
            <w:top w:val="none" w:sz="0" w:space="0" w:color="auto"/>
            <w:left w:val="none" w:sz="0" w:space="0" w:color="auto"/>
            <w:bottom w:val="none" w:sz="0" w:space="0" w:color="auto"/>
            <w:right w:val="none" w:sz="0" w:space="0" w:color="auto"/>
          </w:divBdr>
        </w:div>
      </w:divsChild>
    </w:div>
    <w:div w:id="1724407987">
      <w:bodyDiv w:val="1"/>
      <w:marLeft w:val="0"/>
      <w:marRight w:val="0"/>
      <w:marTop w:val="0"/>
      <w:marBottom w:val="0"/>
      <w:divBdr>
        <w:top w:val="none" w:sz="0" w:space="0" w:color="auto"/>
        <w:left w:val="none" w:sz="0" w:space="0" w:color="auto"/>
        <w:bottom w:val="none" w:sz="0" w:space="0" w:color="auto"/>
        <w:right w:val="none" w:sz="0" w:space="0" w:color="auto"/>
      </w:divBdr>
      <w:divsChild>
        <w:div w:id="1771468739">
          <w:marLeft w:val="480"/>
          <w:marRight w:val="0"/>
          <w:marTop w:val="0"/>
          <w:marBottom w:val="0"/>
          <w:divBdr>
            <w:top w:val="none" w:sz="0" w:space="0" w:color="auto"/>
            <w:left w:val="none" w:sz="0" w:space="0" w:color="auto"/>
            <w:bottom w:val="none" w:sz="0" w:space="0" w:color="auto"/>
            <w:right w:val="none" w:sz="0" w:space="0" w:color="auto"/>
          </w:divBdr>
        </w:div>
        <w:div w:id="833956169">
          <w:marLeft w:val="480"/>
          <w:marRight w:val="0"/>
          <w:marTop w:val="0"/>
          <w:marBottom w:val="0"/>
          <w:divBdr>
            <w:top w:val="none" w:sz="0" w:space="0" w:color="auto"/>
            <w:left w:val="none" w:sz="0" w:space="0" w:color="auto"/>
            <w:bottom w:val="none" w:sz="0" w:space="0" w:color="auto"/>
            <w:right w:val="none" w:sz="0" w:space="0" w:color="auto"/>
          </w:divBdr>
        </w:div>
        <w:div w:id="1927569389">
          <w:marLeft w:val="480"/>
          <w:marRight w:val="0"/>
          <w:marTop w:val="0"/>
          <w:marBottom w:val="0"/>
          <w:divBdr>
            <w:top w:val="none" w:sz="0" w:space="0" w:color="auto"/>
            <w:left w:val="none" w:sz="0" w:space="0" w:color="auto"/>
            <w:bottom w:val="none" w:sz="0" w:space="0" w:color="auto"/>
            <w:right w:val="none" w:sz="0" w:space="0" w:color="auto"/>
          </w:divBdr>
        </w:div>
        <w:div w:id="627588508">
          <w:marLeft w:val="480"/>
          <w:marRight w:val="0"/>
          <w:marTop w:val="0"/>
          <w:marBottom w:val="0"/>
          <w:divBdr>
            <w:top w:val="none" w:sz="0" w:space="0" w:color="auto"/>
            <w:left w:val="none" w:sz="0" w:space="0" w:color="auto"/>
            <w:bottom w:val="none" w:sz="0" w:space="0" w:color="auto"/>
            <w:right w:val="none" w:sz="0" w:space="0" w:color="auto"/>
          </w:divBdr>
        </w:div>
        <w:div w:id="862591147">
          <w:marLeft w:val="480"/>
          <w:marRight w:val="0"/>
          <w:marTop w:val="0"/>
          <w:marBottom w:val="0"/>
          <w:divBdr>
            <w:top w:val="none" w:sz="0" w:space="0" w:color="auto"/>
            <w:left w:val="none" w:sz="0" w:space="0" w:color="auto"/>
            <w:bottom w:val="none" w:sz="0" w:space="0" w:color="auto"/>
            <w:right w:val="none" w:sz="0" w:space="0" w:color="auto"/>
          </w:divBdr>
        </w:div>
        <w:div w:id="1603874782">
          <w:marLeft w:val="480"/>
          <w:marRight w:val="0"/>
          <w:marTop w:val="0"/>
          <w:marBottom w:val="0"/>
          <w:divBdr>
            <w:top w:val="none" w:sz="0" w:space="0" w:color="auto"/>
            <w:left w:val="none" w:sz="0" w:space="0" w:color="auto"/>
            <w:bottom w:val="none" w:sz="0" w:space="0" w:color="auto"/>
            <w:right w:val="none" w:sz="0" w:space="0" w:color="auto"/>
          </w:divBdr>
        </w:div>
        <w:div w:id="1889024161">
          <w:marLeft w:val="480"/>
          <w:marRight w:val="0"/>
          <w:marTop w:val="0"/>
          <w:marBottom w:val="0"/>
          <w:divBdr>
            <w:top w:val="none" w:sz="0" w:space="0" w:color="auto"/>
            <w:left w:val="none" w:sz="0" w:space="0" w:color="auto"/>
            <w:bottom w:val="none" w:sz="0" w:space="0" w:color="auto"/>
            <w:right w:val="none" w:sz="0" w:space="0" w:color="auto"/>
          </w:divBdr>
        </w:div>
        <w:div w:id="294681384">
          <w:marLeft w:val="480"/>
          <w:marRight w:val="0"/>
          <w:marTop w:val="0"/>
          <w:marBottom w:val="0"/>
          <w:divBdr>
            <w:top w:val="none" w:sz="0" w:space="0" w:color="auto"/>
            <w:left w:val="none" w:sz="0" w:space="0" w:color="auto"/>
            <w:bottom w:val="none" w:sz="0" w:space="0" w:color="auto"/>
            <w:right w:val="none" w:sz="0" w:space="0" w:color="auto"/>
          </w:divBdr>
        </w:div>
        <w:div w:id="1269855867">
          <w:marLeft w:val="480"/>
          <w:marRight w:val="0"/>
          <w:marTop w:val="0"/>
          <w:marBottom w:val="0"/>
          <w:divBdr>
            <w:top w:val="none" w:sz="0" w:space="0" w:color="auto"/>
            <w:left w:val="none" w:sz="0" w:space="0" w:color="auto"/>
            <w:bottom w:val="none" w:sz="0" w:space="0" w:color="auto"/>
            <w:right w:val="none" w:sz="0" w:space="0" w:color="auto"/>
          </w:divBdr>
        </w:div>
      </w:divsChild>
    </w:div>
    <w:div w:id="1886604327">
      <w:bodyDiv w:val="1"/>
      <w:marLeft w:val="0"/>
      <w:marRight w:val="0"/>
      <w:marTop w:val="0"/>
      <w:marBottom w:val="0"/>
      <w:divBdr>
        <w:top w:val="none" w:sz="0" w:space="0" w:color="auto"/>
        <w:left w:val="none" w:sz="0" w:space="0" w:color="auto"/>
        <w:bottom w:val="none" w:sz="0" w:space="0" w:color="auto"/>
        <w:right w:val="none" w:sz="0" w:space="0" w:color="auto"/>
      </w:divBdr>
    </w:div>
    <w:div w:id="1904943402">
      <w:bodyDiv w:val="1"/>
      <w:marLeft w:val="0"/>
      <w:marRight w:val="0"/>
      <w:marTop w:val="0"/>
      <w:marBottom w:val="0"/>
      <w:divBdr>
        <w:top w:val="none" w:sz="0" w:space="0" w:color="auto"/>
        <w:left w:val="none" w:sz="0" w:space="0" w:color="auto"/>
        <w:bottom w:val="none" w:sz="0" w:space="0" w:color="auto"/>
        <w:right w:val="none" w:sz="0" w:space="0" w:color="auto"/>
      </w:divBdr>
      <w:divsChild>
        <w:div w:id="1276642063">
          <w:marLeft w:val="480"/>
          <w:marRight w:val="0"/>
          <w:marTop w:val="0"/>
          <w:marBottom w:val="0"/>
          <w:divBdr>
            <w:top w:val="none" w:sz="0" w:space="0" w:color="auto"/>
            <w:left w:val="none" w:sz="0" w:space="0" w:color="auto"/>
            <w:bottom w:val="none" w:sz="0" w:space="0" w:color="auto"/>
            <w:right w:val="none" w:sz="0" w:space="0" w:color="auto"/>
          </w:divBdr>
        </w:div>
        <w:div w:id="1560170392">
          <w:marLeft w:val="480"/>
          <w:marRight w:val="0"/>
          <w:marTop w:val="0"/>
          <w:marBottom w:val="0"/>
          <w:divBdr>
            <w:top w:val="none" w:sz="0" w:space="0" w:color="auto"/>
            <w:left w:val="none" w:sz="0" w:space="0" w:color="auto"/>
            <w:bottom w:val="none" w:sz="0" w:space="0" w:color="auto"/>
            <w:right w:val="none" w:sz="0" w:space="0" w:color="auto"/>
          </w:divBdr>
        </w:div>
        <w:div w:id="634605794">
          <w:marLeft w:val="480"/>
          <w:marRight w:val="0"/>
          <w:marTop w:val="0"/>
          <w:marBottom w:val="0"/>
          <w:divBdr>
            <w:top w:val="none" w:sz="0" w:space="0" w:color="auto"/>
            <w:left w:val="none" w:sz="0" w:space="0" w:color="auto"/>
            <w:bottom w:val="none" w:sz="0" w:space="0" w:color="auto"/>
            <w:right w:val="none" w:sz="0" w:space="0" w:color="auto"/>
          </w:divBdr>
        </w:div>
        <w:div w:id="396131204">
          <w:marLeft w:val="480"/>
          <w:marRight w:val="0"/>
          <w:marTop w:val="0"/>
          <w:marBottom w:val="0"/>
          <w:divBdr>
            <w:top w:val="none" w:sz="0" w:space="0" w:color="auto"/>
            <w:left w:val="none" w:sz="0" w:space="0" w:color="auto"/>
            <w:bottom w:val="none" w:sz="0" w:space="0" w:color="auto"/>
            <w:right w:val="none" w:sz="0" w:space="0" w:color="auto"/>
          </w:divBdr>
        </w:div>
        <w:div w:id="333461998">
          <w:marLeft w:val="480"/>
          <w:marRight w:val="0"/>
          <w:marTop w:val="0"/>
          <w:marBottom w:val="0"/>
          <w:divBdr>
            <w:top w:val="none" w:sz="0" w:space="0" w:color="auto"/>
            <w:left w:val="none" w:sz="0" w:space="0" w:color="auto"/>
            <w:bottom w:val="none" w:sz="0" w:space="0" w:color="auto"/>
            <w:right w:val="none" w:sz="0" w:space="0" w:color="auto"/>
          </w:divBdr>
        </w:div>
        <w:div w:id="1977559798">
          <w:marLeft w:val="480"/>
          <w:marRight w:val="0"/>
          <w:marTop w:val="0"/>
          <w:marBottom w:val="0"/>
          <w:divBdr>
            <w:top w:val="none" w:sz="0" w:space="0" w:color="auto"/>
            <w:left w:val="none" w:sz="0" w:space="0" w:color="auto"/>
            <w:bottom w:val="none" w:sz="0" w:space="0" w:color="auto"/>
            <w:right w:val="none" w:sz="0" w:space="0" w:color="auto"/>
          </w:divBdr>
        </w:div>
        <w:div w:id="565145964">
          <w:marLeft w:val="480"/>
          <w:marRight w:val="0"/>
          <w:marTop w:val="0"/>
          <w:marBottom w:val="0"/>
          <w:divBdr>
            <w:top w:val="none" w:sz="0" w:space="0" w:color="auto"/>
            <w:left w:val="none" w:sz="0" w:space="0" w:color="auto"/>
            <w:bottom w:val="none" w:sz="0" w:space="0" w:color="auto"/>
            <w:right w:val="none" w:sz="0" w:space="0" w:color="auto"/>
          </w:divBdr>
        </w:div>
      </w:divsChild>
    </w:div>
    <w:div w:id="1922520469">
      <w:bodyDiv w:val="1"/>
      <w:marLeft w:val="0"/>
      <w:marRight w:val="0"/>
      <w:marTop w:val="0"/>
      <w:marBottom w:val="0"/>
      <w:divBdr>
        <w:top w:val="none" w:sz="0" w:space="0" w:color="auto"/>
        <w:left w:val="none" w:sz="0" w:space="0" w:color="auto"/>
        <w:bottom w:val="none" w:sz="0" w:space="0" w:color="auto"/>
        <w:right w:val="none" w:sz="0" w:space="0" w:color="auto"/>
      </w:divBdr>
    </w:div>
    <w:div w:id="1927420940">
      <w:bodyDiv w:val="1"/>
      <w:marLeft w:val="0"/>
      <w:marRight w:val="0"/>
      <w:marTop w:val="0"/>
      <w:marBottom w:val="0"/>
      <w:divBdr>
        <w:top w:val="none" w:sz="0" w:space="0" w:color="auto"/>
        <w:left w:val="none" w:sz="0" w:space="0" w:color="auto"/>
        <w:bottom w:val="none" w:sz="0" w:space="0" w:color="auto"/>
        <w:right w:val="none" w:sz="0" w:space="0" w:color="auto"/>
      </w:divBdr>
    </w:div>
    <w:div w:id="1929844853">
      <w:bodyDiv w:val="1"/>
      <w:marLeft w:val="0"/>
      <w:marRight w:val="0"/>
      <w:marTop w:val="0"/>
      <w:marBottom w:val="0"/>
      <w:divBdr>
        <w:top w:val="none" w:sz="0" w:space="0" w:color="auto"/>
        <w:left w:val="none" w:sz="0" w:space="0" w:color="auto"/>
        <w:bottom w:val="none" w:sz="0" w:space="0" w:color="auto"/>
        <w:right w:val="none" w:sz="0" w:space="0" w:color="auto"/>
      </w:divBdr>
    </w:div>
    <w:div w:id="1929925229">
      <w:bodyDiv w:val="1"/>
      <w:marLeft w:val="0"/>
      <w:marRight w:val="0"/>
      <w:marTop w:val="0"/>
      <w:marBottom w:val="0"/>
      <w:divBdr>
        <w:top w:val="none" w:sz="0" w:space="0" w:color="auto"/>
        <w:left w:val="none" w:sz="0" w:space="0" w:color="auto"/>
        <w:bottom w:val="none" w:sz="0" w:space="0" w:color="auto"/>
        <w:right w:val="none" w:sz="0" w:space="0" w:color="auto"/>
      </w:divBdr>
      <w:divsChild>
        <w:div w:id="372850265">
          <w:marLeft w:val="480"/>
          <w:marRight w:val="0"/>
          <w:marTop w:val="0"/>
          <w:marBottom w:val="0"/>
          <w:divBdr>
            <w:top w:val="none" w:sz="0" w:space="0" w:color="auto"/>
            <w:left w:val="none" w:sz="0" w:space="0" w:color="auto"/>
            <w:bottom w:val="none" w:sz="0" w:space="0" w:color="auto"/>
            <w:right w:val="none" w:sz="0" w:space="0" w:color="auto"/>
          </w:divBdr>
        </w:div>
        <w:div w:id="1958757214">
          <w:marLeft w:val="480"/>
          <w:marRight w:val="0"/>
          <w:marTop w:val="0"/>
          <w:marBottom w:val="0"/>
          <w:divBdr>
            <w:top w:val="none" w:sz="0" w:space="0" w:color="auto"/>
            <w:left w:val="none" w:sz="0" w:space="0" w:color="auto"/>
            <w:bottom w:val="none" w:sz="0" w:space="0" w:color="auto"/>
            <w:right w:val="none" w:sz="0" w:space="0" w:color="auto"/>
          </w:divBdr>
        </w:div>
        <w:div w:id="455298790">
          <w:marLeft w:val="480"/>
          <w:marRight w:val="0"/>
          <w:marTop w:val="0"/>
          <w:marBottom w:val="0"/>
          <w:divBdr>
            <w:top w:val="none" w:sz="0" w:space="0" w:color="auto"/>
            <w:left w:val="none" w:sz="0" w:space="0" w:color="auto"/>
            <w:bottom w:val="none" w:sz="0" w:space="0" w:color="auto"/>
            <w:right w:val="none" w:sz="0" w:space="0" w:color="auto"/>
          </w:divBdr>
        </w:div>
      </w:divsChild>
    </w:div>
    <w:div w:id="1978607304">
      <w:bodyDiv w:val="1"/>
      <w:marLeft w:val="0"/>
      <w:marRight w:val="0"/>
      <w:marTop w:val="0"/>
      <w:marBottom w:val="0"/>
      <w:divBdr>
        <w:top w:val="none" w:sz="0" w:space="0" w:color="auto"/>
        <w:left w:val="none" w:sz="0" w:space="0" w:color="auto"/>
        <w:bottom w:val="none" w:sz="0" w:space="0" w:color="auto"/>
        <w:right w:val="none" w:sz="0" w:space="0" w:color="auto"/>
      </w:divBdr>
      <w:divsChild>
        <w:div w:id="1640720393">
          <w:marLeft w:val="480"/>
          <w:marRight w:val="0"/>
          <w:marTop w:val="0"/>
          <w:marBottom w:val="0"/>
          <w:divBdr>
            <w:top w:val="none" w:sz="0" w:space="0" w:color="auto"/>
            <w:left w:val="none" w:sz="0" w:space="0" w:color="auto"/>
            <w:bottom w:val="none" w:sz="0" w:space="0" w:color="auto"/>
            <w:right w:val="none" w:sz="0" w:space="0" w:color="auto"/>
          </w:divBdr>
        </w:div>
        <w:div w:id="1521966455">
          <w:marLeft w:val="480"/>
          <w:marRight w:val="0"/>
          <w:marTop w:val="0"/>
          <w:marBottom w:val="0"/>
          <w:divBdr>
            <w:top w:val="none" w:sz="0" w:space="0" w:color="auto"/>
            <w:left w:val="none" w:sz="0" w:space="0" w:color="auto"/>
            <w:bottom w:val="none" w:sz="0" w:space="0" w:color="auto"/>
            <w:right w:val="none" w:sz="0" w:space="0" w:color="auto"/>
          </w:divBdr>
        </w:div>
        <w:div w:id="1219437200">
          <w:marLeft w:val="480"/>
          <w:marRight w:val="0"/>
          <w:marTop w:val="0"/>
          <w:marBottom w:val="0"/>
          <w:divBdr>
            <w:top w:val="none" w:sz="0" w:space="0" w:color="auto"/>
            <w:left w:val="none" w:sz="0" w:space="0" w:color="auto"/>
            <w:bottom w:val="none" w:sz="0" w:space="0" w:color="auto"/>
            <w:right w:val="none" w:sz="0" w:space="0" w:color="auto"/>
          </w:divBdr>
        </w:div>
        <w:div w:id="1938706210">
          <w:marLeft w:val="480"/>
          <w:marRight w:val="0"/>
          <w:marTop w:val="0"/>
          <w:marBottom w:val="0"/>
          <w:divBdr>
            <w:top w:val="none" w:sz="0" w:space="0" w:color="auto"/>
            <w:left w:val="none" w:sz="0" w:space="0" w:color="auto"/>
            <w:bottom w:val="none" w:sz="0" w:space="0" w:color="auto"/>
            <w:right w:val="none" w:sz="0" w:space="0" w:color="auto"/>
          </w:divBdr>
        </w:div>
        <w:div w:id="1739017983">
          <w:marLeft w:val="480"/>
          <w:marRight w:val="0"/>
          <w:marTop w:val="0"/>
          <w:marBottom w:val="0"/>
          <w:divBdr>
            <w:top w:val="none" w:sz="0" w:space="0" w:color="auto"/>
            <w:left w:val="none" w:sz="0" w:space="0" w:color="auto"/>
            <w:bottom w:val="none" w:sz="0" w:space="0" w:color="auto"/>
            <w:right w:val="none" w:sz="0" w:space="0" w:color="auto"/>
          </w:divBdr>
        </w:div>
        <w:div w:id="545146619">
          <w:marLeft w:val="480"/>
          <w:marRight w:val="0"/>
          <w:marTop w:val="0"/>
          <w:marBottom w:val="0"/>
          <w:divBdr>
            <w:top w:val="none" w:sz="0" w:space="0" w:color="auto"/>
            <w:left w:val="none" w:sz="0" w:space="0" w:color="auto"/>
            <w:bottom w:val="none" w:sz="0" w:space="0" w:color="auto"/>
            <w:right w:val="none" w:sz="0" w:space="0" w:color="auto"/>
          </w:divBdr>
        </w:div>
        <w:div w:id="802043824">
          <w:marLeft w:val="480"/>
          <w:marRight w:val="0"/>
          <w:marTop w:val="0"/>
          <w:marBottom w:val="0"/>
          <w:divBdr>
            <w:top w:val="none" w:sz="0" w:space="0" w:color="auto"/>
            <w:left w:val="none" w:sz="0" w:space="0" w:color="auto"/>
            <w:bottom w:val="none" w:sz="0" w:space="0" w:color="auto"/>
            <w:right w:val="none" w:sz="0" w:space="0" w:color="auto"/>
          </w:divBdr>
        </w:div>
      </w:divsChild>
    </w:div>
    <w:div w:id="2010016525">
      <w:bodyDiv w:val="1"/>
      <w:marLeft w:val="0"/>
      <w:marRight w:val="0"/>
      <w:marTop w:val="0"/>
      <w:marBottom w:val="0"/>
      <w:divBdr>
        <w:top w:val="none" w:sz="0" w:space="0" w:color="auto"/>
        <w:left w:val="none" w:sz="0" w:space="0" w:color="auto"/>
        <w:bottom w:val="none" w:sz="0" w:space="0" w:color="auto"/>
        <w:right w:val="none" w:sz="0" w:space="0" w:color="auto"/>
      </w:divBdr>
    </w:div>
    <w:div w:id="2029139481">
      <w:bodyDiv w:val="1"/>
      <w:marLeft w:val="0"/>
      <w:marRight w:val="0"/>
      <w:marTop w:val="0"/>
      <w:marBottom w:val="0"/>
      <w:divBdr>
        <w:top w:val="none" w:sz="0" w:space="0" w:color="auto"/>
        <w:left w:val="none" w:sz="0" w:space="0" w:color="auto"/>
        <w:bottom w:val="none" w:sz="0" w:space="0" w:color="auto"/>
        <w:right w:val="none" w:sz="0" w:space="0" w:color="auto"/>
      </w:divBdr>
    </w:div>
    <w:div w:id="2050645262">
      <w:bodyDiv w:val="1"/>
      <w:marLeft w:val="0"/>
      <w:marRight w:val="0"/>
      <w:marTop w:val="0"/>
      <w:marBottom w:val="0"/>
      <w:divBdr>
        <w:top w:val="none" w:sz="0" w:space="0" w:color="auto"/>
        <w:left w:val="none" w:sz="0" w:space="0" w:color="auto"/>
        <w:bottom w:val="none" w:sz="0" w:space="0" w:color="auto"/>
        <w:right w:val="none" w:sz="0" w:space="0" w:color="auto"/>
      </w:divBdr>
    </w:div>
    <w:div w:id="2082826481">
      <w:bodyDiv w:val="1"/>
      <w:marLeft w:val="0"/>
      <w:marRight w:val="0"/>
      <w:marTop w:val="0"/>
      <w:marBottom w:val="0"/>
      <w:divBdr>
        <w:top w:val="none" w:sz="0" w:space="0" w:color="auto"/>
        <w:left w:val="none" w:sz="0" w:space="0" w:color="auto"/>
        <w:bottom w:val="none" w:sz="0" w:space="0" w:color="auto"/>
        <w:right w:val="none" w:sz="0" w:space="0" w:color="auto"/>
      </w:divBdr>
      <w:divsChild>
        <w:div w:id="1736776810">
          <w:marLeft w:val="480"/>
          <w:marRight w:val="0"/>
          <w:marTop w:val="0"/>
          <w:marBottom w:val="0"/>
          <w:divBdr>
            <w:top w:val="none" w:sz="0" w:space="0" w:color="auto"/>
            <w:left w:val="none" w:sz="0" w:space="0" w:color="auto"/>
            <w:bottom w:val="none" w:sz="0" w:space="0" w:color="auto"/>
            <w:right w:val="none" w:sz="0" w:space="0" w:color="auto"/>
          </w:divBdr>
        </w:div>
        <w:div w:id="836768935">
          <w:marLeft w:val="480"/>
          <w:marRight w:val="0"/>
          <w:marTop w:val="0"/>
          <w:marBottom w:val="0"/>
          <w:divBdr>
            <w:top w:val="none" w:sz="0" w:space="0" w:color="auto"/>
            <w:left w:val="none" w:sz="0" w:space="0" w:color="auto"/>
            <w:bottom w:val="none" w:sz="0" w:space="0" w:color="auto"/>
            <w:right w:val="none" w:sz="0" w:space="0" w:color="auto"/>
          </w:divBdr>
        </w:div>
        <w:div w:id="1219973208">
          <w:marLeft w:val="480"/>
          <w:marRight w:val="0"/>
          <w:marTop w:val="0"/>
          <w:marBottom w:val="0"/>
          <w:divBdr>
            <w:top w:val="none" w:sz="0" w:space="0" w:color="auto"/>
            <w:left w:val="none" w:sz="0" w:space="0" w:color="auto"/>
            <w:bottom w:val="none" w:sz="0" w:space="0" w:color="auto"/>
            <w:right w:val="none" w:sz="0" w:space="0" w:color="auto"/>
          </w:divBdr>
        </w:div>
        <w:div w:id="1463844618">
          <w:marLeft w:val="480"/>
          <w:marRight w:val="0"/>
          <w:marTop w:val="0"/>
          <w:marBottom w:val="0"/>
          <w:divBdr>
            <w:top w:val="none" w:sz="0" w:space="0" w:color="auto"/>
            <w:left w:val="none" w:sz="0" w:space="0" w:color="auto"/>
            <w:bottom w:val="none" w:sz="0" w:space="0" w:color="auto"/>
            <w:right w:val="none" w:sz="0" w:space="0" w:color="auto"/>
          </w:divBdr>
        </w:div>
        <w:div w:id="1652949652">
          <w:marLeft w:val="480"/>
          <w:marRight w:val="0"/>
          <w:marTop w:val="0"/>
          <w:marBottom w:val="0"/>
          <w:divBdr>
            <w:top w:val="none" w:sz="0" w:space="0" w:color="auto"/>
            <w:left w:val="none" w:sz="0" w:space="0" w:color="auto"/>
            <w:bottom w:val="none" w:sz="0" w:space="0" w:color="auto"/>
            <w:right w:val="none" w:sz="0" w:space="0" w:color="auto"/>
          </w:divBdr>
        </w:div>
        <w:div w:id="11033904">
          <w:marLeft w:val="480"/>
          <w:marRight w:val="0"/>
          <w:marTop w:val="0"/>
          <w:marBottom w:val="0"/>
          <w:divBdr>
            <w:top w:val="none" w:sz="0" w:space="0" w:color="auto"/>
            <w:left w:val="none" w:sz="0" w:space="0" w:color="auto"/>
            <w:bottom w:val="none" w:sz="0" w:space="0" w:color="auto"/>
            <w:right w:val="none" w:sz="0" w:space="0" w:color="auto"/>
          </w:divBdr>
        </w:div>
        <w:div w:id="369309529">
          <w:marLeft w:val="480"/>
          <w:marRight w:val="0"/>
          <w:marTop w:val="0"/>
          <w:marBottom w:val="0"/>
          <w:divBdr>
            <w:top w:val="none" w:sz="0" w:space="0" w:color="auto"/>
            <w:left w:val="none" w:sz="0" w:space="0" w:color="auto"/>
            <w:bottom w:val="none" w:sz="0" w:space="0" w:color="auto"/>
            <w:right w:val="none" w:sz="0" w:space="0" w:color="auto"/>
          </w:divBdr>
        </w:div>
      </w:divsChild>
    </w:div>
    <w:div w:id="2110923683">
      <w:bodyDiv w:val="1"/>
      <w:marLeft w:val="0"/>
      <w:marRight w:val="0"/>
      <w:marTop w:val="0"/>
      <w:marBottom w:val="0"/>
      <w:divBdr>
        <w:top w:val="none" w:sz="0" w:space="0" w:color="auto"/>
        <w:left w:val="none" w:sz="0" w:space="0" w:color="auto"/>
        <w:bottom w:val="none" w:sz="0" w:space="0" w:color="auto"/>
        <w:right w:val="none" w:sz="0" w:space="0" w:color="auto"/>
      </w:divBdr>
      <w:divsChild>
        <w:div w:id="1853299159">
          <w:marLeft w:val="480"/>
          <w:marRight w:val="0"/>
          <w:marTop w:val="0"/>
          <w:marBottom w:val="0"/>
          <w:divBdr>
            <w:top w:val="none" w:sz="0" w:space="0" w:color="auto"/>
            <w:left w:val="none" w:sz="0" w:space="0" w:color="auto"/>
            <w:bottom w:val="none" w:sz="0" w:space="0" w:color="auto"/>
            <w:right w:val="none" w:sz="0" w:space="0" w:color="auto"/>
          </w:divBdr>
        </w:div>
        <w:div w:id="1820802412">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94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e"/>
          <w:gallery w:val="placeholder"/>
        </w:category>
        <w:types>
          <w:type w:val="bbPlcHdr"/>
        </w:types>
        <w:behaviors>
          <w:behavior w:val="content"/>
        </w:behaviors>
        <w:guid w:val="{9A2F10A8-B74F-4F03-8F28-4F30A80C776C}"/>
      </w:docPartPr>
      <w:docPartBody>
        <w:p w:rsidR="00B451CF" w:rsidRDefault="000722BD">
          <w:r w:rsidRPr="00FE01FA">
            <w:rPr>
              <w:rStyle w:val="Testosegnaposto"/>
            </w:rPr>
            <w:t>Fare clic o toccare qui per immettere il testo.</w:t>
          </w:r>
        </w:p>
      </w:docPartBody>
    </w:docPart>
    <w:docPart>
      <w:docPartPr>
        <w:name w:val="6A3501E96B2F45C2BFAA9A611DC17DC0"/>
        <w:category>
          <w:name w:val="Generale"/>
          <w:gallery w:val="placeholder"/>
        </w:category>
        <w:types>
          <w:type w:val="bbPlcHdr"/>
        </w:types>
        <w:behaviors>
          <w:behavior w:val="content"/>
        </w:behaviors>
        <w:guid w:val="{F80943B1-087F-4FD1-BD27-6F281D0AE75B}"/>
      </w:docPartPr>
      <w:docPartBody>
        <w:p w:rsidR="00B451CF" w:rsidRDefault="000722BD" w:rsidP="000722BD">
          <w:pPr>
            <w:pStyle w:val="6A3501E96B2F45C2BFAA9A611DC17DC0"/>
          </w:pPr>
          <w:r w:rsidRPr="00E17F8E">
            <w:rPr>
              <w:rStyle w:val="Testosegnaposto"/>
            </w:rPr>
            <w:t>Fare clic o toccare qui per immettere il testo.</w:t>
          </w:r>
        </w:p>
      </w:docPartBody>
    </w:docPart>
    <w:docPart>
      <w:docPartPr>
        <w:name w:val="3EA2A8D637F44C8C8810A634D0F6861D"/>
        <w:category>
          <w:name w:val="Generale"/>
          <w:gallery w:val="placeholder"/>
        </w:category>
        <w:types>
          <w:type w:val="bbPlcHdr"/>
        </w:types>
        <w:behaviors>
          <w:behavior w:val="content"/>
        </w:behaviors>
        <w:guid w:val="{FF5A1744-C1DF-4265-A337-9D9166C6A5F0}"/>
      </w:docPartPr>
      <w:docPartBody>
        <w:p w:rsidR="00B451CF" w:rsidRDefault="000722BD" w:rsidP="000722BD">
          <w:pPr>
            <w:pStyle w:val="3EA2A8D637F44C8C8810A634D0F6861D"/>
          </w:pPr>
          <w:r w:rsidRPr="00FE01FA">
            <w:rPr>
              <w:rStyle w:val="Testosegnaposto"/>
            </w:rPr>
            <w:t>Fare clic o toccare qui per immettere il testo.</w:t>
          </w:r>
        </w:p>
      </w:docPartBody>
    </w:docPart>
    <w:docPart>
      <w:docPartPr>
        <w:name w:val="11A5FA98BAFA43B49C2946A78459DA83"/>
        <w:category>
          <w:name w:val="Generale"/>
          <w:gallery w:val="placeholder"/>
        </w:category>
        <w:types>
          <w:type w:val="bbPlcHdr"/>
        </w:types>
        <w:behaviors>
          <w:behavior w:val="content"/>
        </w:behaviors>
        <w:guid w:val="{0F4CECC8-5EA1-4CCD-B8F3-52C46046097E}"/>
      </w:docPartPr>
      <w:docPartBody>
        <w:p w:rsidR="00B451CF" w:rsidRDefault="00B451CF" w:rsidP="00B451CF">
          <w:pPr>
            <w:pStyle w:val="11A5FA98BAFA43B49C2946A78459DA83"/>
          </w:pPr>
          <w:r w:rsidRPr="00FE01FA">
            <w:rPr>
              <w:rStyle w:val="Testosegnaposto"/>
            </w:rPr>
            <w:t>Fare clic o toccare qui per immettere il testo.</w:t>
          </w:r>
        </w:p>
      </w:docPartBody>
    </w:docPart>
    <w:docPart>
      <w:docPartPr>
        <w:name w:val="F976823D92A844D69B8FF550015A7408"/>
        <w:category>
          <w:name w:val="Generale"/>
          <w:gallery w:val="placeholder"/>
        </w:category>
        <w:types>
          <w:type w:val="bbPlcHdr"/>
        </w:types>
        <w:behaviors>
          <w:behavior w:val="content"/>
        </w:behaviors>
        <w:guid w:val="{D3EDAC7D-67EA-4629-9D07-9D2915D31332}"/>
      </w:docPartPr>
      <w:docPartBody>
        <w:p w:rsidR="00B451CF" w:rsidRDefault="00B451CF" w:rsidP="00B451CF">
          <w:pPr>
            <w:pStyle w:val="F976823D92A844D69B8FF550015A7408"/>
          </w:pPr>
          <w:r w:rsidRPr="00FE01FA">
            <w:rPr>
              <w:rStyle w:val="Testosegnaposto"/>
            </w:rPr>
            <w:t>Fare clic o toccare qui per immettere il testo.</w:t>
          </w:r>
        </w:p>
      </w:docPartBody>
    </w:docPart>
    <w:docPart>
      <w:docPartPr>
        <w:name w:val="19C23B789D814FF1ABF70801454CB8DE"/>
        <w:category>
          <w:name w:val="Generale"/>
          <w:gallery w:val="placeholder"/>
        </w:category>
        <w:types>
          <w:type w:val="bbPlcHdr"/>
        </w:types>
        <w:behaviors>
          <w:behavior w:val="content"/>
        </w:behaviors>
        <w:guid w:val="{5FB506A0-812B-46F2-BAF5-C481F6EA2F4C}"/>
      </w:docPartPr>
      <w:docPartBody>
        <w:p w:rsidR="00B451CF" w:rsidRDefault="00B451CF" w:rsidP="00B451CF">
          <w:pPr>
            <w:pStyle w:val="19C23B789D814FF1ABF70801454CB8DE"/>
          </w:pPr>
          <w:r w:rsidRPr="00FE01FA">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BD"/>
    <w:rsid w:val="000722BD"/>
    <w:rsid w:val="00B418C6"/>
    <w:rsid w:val="00B451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451CF"/>
    <w:rPr>
      <w:color w:val="808080"/>
    </w:rPr>
  </w:style>
  <w:style w:type="paragraph" w:customStyle="1" w:styleId="11A5FA98BAFA43B49C2946A78459DA83">
    <w:name w:val="11A5FA98BAFA43B49C2946A78459DA83"/>
    <w:rsid w:val="00B451CF"/>
    <w:pPr>
      <w:spacing w:line="278" w:lineRule="auto"/>
    </w:pPr>
    <w:rPr>
      <w:sz w:val="24"/>
      <w:szCs w:val="24"/>
    </w:rPr>
  </w:style>
  <w:style w:type="paragraph" w:customStyle="1" w:styleId="6A3501E96B2F45C2BFAA9A611DC17DC0">
    <w:name w:val="6A3501E96B2F45C2BFAA9A611DC17DC0"/>
    <w:rsid w:val="000722BD"/>
  </w:style>
  <w:style w:type="paragraph" w:customStyle="1" w:styleId="3EA2A8D637F44C8C8810A634D0F6861D">
    <w:name w:val="3EA2A8D637F44C8C8810A634D0F6861D"/>
    <w:rsid w:val="000722BD"/>
  </w:style>
  <w:style w:type="paragraph" w:customStyle="1" w:styleId="F976823D92A844D69B8FF550015A7408">
    <w:name w:val="F976823D92A844D69B8FF550015A7408"/>
    <w:rsid w:val="00B451CF"/>
    <w:pPr>
      <w:spacing w:line="278" w:lineRule="auto"/>
    </w:pPr>
    <w:rPr>
      <w:sz w:val="24"/>
      <w:szCs w:val="24"/>
    </w:rPr>
  </w:style>
  <w:style w:type="paragraph" w:customStyle="1" w:styleId="19C23B789D814FF1ABF70801454CB8DE">
    <w:name w:val="19C23B789D814FF1ABF70801454CB8DE"/>
    <w:rsid w:val="00B451C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5C100C-D468-4C85-9B22-FC3F7342941B}">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ffdd5f93-9927-4a3a-9171-bbc881032f7a&quot;,&quot;properties&quot;:{&quot;noteIndex&quot;:0},&quot;isEdited&quot;:false,&quot;manualOverride&quot;:{&quot;isManuallyOverridden&quot;:true,&quot;citeprocText&quot;:&quot;(Center for Chemical Process Safety (CCPS), 2022)&quot;,&quot;manualOverrideText&quot;:&quot;(CCPS, 2022)&quot;},&quot;citationTag&quot;:&quot;MENDELEY_CITATION_v3_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&quot;,&quot;citationItems&quot;:[{&quot;id&quot;:&quot;6a414a8d-e13b-32f3-aaa4-819f6500b786&quot;,&quot;itemData&quot;:{&quot;type&quot;:&quot;book&quot;,&quot;id&quot;:&quot;6a414a8d-e13b-32f3-aaa4-819f6500b786&quot;,&quot;title&quot;:&quot;Managing Cybersecurity in the Process Industries - A Risk-based Approach&quot;,&quot;author&quot;:[{&quot;family&quot;:&quot;Center for Chemical Process Safety (CCPS)&quot;,&quot;given&quot;:&quot;&quot;,&quot;parse-names&quot;:false,&quot;dropping-particle&quot;:&quot;&quot;,&quot;non-dropping-particle&quot;:&quot;&quot;}],&quot;ISBN&quot;:&quot;9781119861782&quot;,&quot;issued&quot;:{&quot;date-parts&quot;:[[2022]]},&quot;publisher&quot;:&quot;Wiley&quot;,&quot;container-title-short&quot;:&quot;&quot;},&quot;isTemporary&quot;:false}]},{&quot;citationID&quot;:&quot;MENDELEY_CITATION_ec513cb4-e6b6-4fdb-894f-848e2a410e29&quot;,&quot;properties&quot;:{&quot;noteIndex&quot;:0},&quot;isEdited&quot;:false,&quot;manualOverride&quot;:{&quot;isManuallyOverridden&quot;:false,&quot;citeprocText&quot;:&quot;(Iaiani et al., 2020)&quot;,&quot;manualOverrideText&quot;:&quot;&quot;},&quot;citationTag&quot;:&quot;MENDELEY_CITATION_v3_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&quot;,&quot;citationItems&quot;:[{&quot;id&quot;:&quot;1a11a575-7f1f-3a00-82c8-7001cc39fb51&quot;,&quot;itemData&quot;:{&quot;type&quot;:&quot;article-journal&quot;,&quot;id&quot;:&quot;1a11a575-7f1f-3a00-82c8-7001cc39fb51&quot;,&quot;title&quot;:&quot;Analysis of Past Cybersecurity-Related Incidents in the Process Industry and the Like&quot;,&quot;author&quot;:[{&quot;family&quot;:&quot;Iaiani&quot;,&quot;given&quot;:&quot;M.&quot;,&quot;parse-names&quot;:false,&quot;dropping-particle&quot;:&quot;&quot;,&quot;non-dropping-particle&quot;:&quot;&quot;},{&quot;family&quot;:&quot;Tugnoli&quot;,&quot;given&quot;:&quot;A.&quot;,&quot;parse-names&quot;:false,&quot;dropping-particle&quot;:&quot;&quot;,&quot;non-dropping-particle&quot;:&quot;&quot;},{&quot;family&quot;:&quot;Casson Moreno&quot;,&quot;given&quot;:&quot;V.&quot;,&quot;parse-names&quot;:false,&quot;dropping-particle&quot;:&quot;&quot;,&quot;non-dropping-particle&quot;:&quot;&quot;},{&quot;family&quot;:&quot;Cozzani&quot;,&quot;given&quot;:&quot;V.&quot;,&quot;parse-names&quot;:false,&quot;dropping-particle&quot;:&quot;&quot;,&quot;non-dropping-particle&quot;:&quot;&quot;}],&quot;container-title&quot;:&quot;Chemical Engineering Transactions&quot;,&quot;container-title-short&quot;:&quot;Chem Eng Trans&quot;,&quot;DOI&quot;:&quot;10.3303/CET2082028&quot;,&quot;issued&quot;:{&quot;date-parts&quot;:[[2020]]},&quot;page&quot;:&quot;163-168&quot;,&quot;volume&quot;:&quot;82&quot;},&quot;isTemporary&quot;:false}]},{&quot;citationID&quot;:&quot;MENDELEY_CITATION_5555c46e-d756-4c31-864b-2b069c5a9022&quot;,&quot;properties&quot;:{&quot;noteIndex&quot;:0},&quot;isEdited&quot;:false,&quot;manualOverride&quot;:{&quot;isManuallyOverridden&quot;:false,&quot;citeprocText&quot;:&quot;(Bajpai &amp;#38; Gupta, 2018)&quot;,&quot;manualOverrideText&quot;:&quot;&quot;},&quot;citationTag&quot;:&quot;MENDELEY_CITATION_v3_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&quot;,&quot;citationItems&quot;:[{&quot;id&quot;:&quot;3b8d0d6c-ec4e-3f8b-94bd-017311e9912d&quot;,&quot;itemData&quot;:{&quot;type&quot;:&quot;chapter&quot;,&quot;id&quot;:&quot;3b8d0d6c-ec4e-3f8b-94bd-017311e9912d&quot;,&quot;title&quot;:&quot;Security risk assessment: Some techniques&quot;,&quot;author&quot;:[{&quot;family&quot;:&quot;Bajpai&quot;,&quot;given&quot;:&quot;S.&quot;,&quot;parse-names&quot;:false,&quot;dropping-particle&quot;:&quot;&quot;,&quot;non-dropping-particle&quot;:&quot;&quot;},{&quot;family&quot;:&quot;Gupta&quot;,&quot;given&quot;:&quot;J.P.&quot;,&quot;parse-names&quot;:false,&quot;dropping-particle&quot;:&quot;&quot;,&quot;non-dropping-particle&quot;:&quot;&quot;}],&quot;container-title&quot;:&quot;Security risk assessment in the chemical and process industry&quot;,&quot;chapter-number&quot;:&quot;4&quot;,&quot;editor&quot;:[{&quot;family&quot;:&quot;Reniers&quot;,&quot;given&quot;:&quot;G.&quot;,&quot;parse-names&quot;:false,&quot;dropping-particle&quot;:&quot;&quot;,&quot;non-dropping-particle&quot;:&quot;&quot;},{&quot;family&quot;:&quot;Khakzad&quot;,&quot;given&quot;:&quot;N.&quot;,&quot;parse-names&quot;:false,&quot;dropping-particle&quot;:&quot;&quot;,&quot;non-dropping-particle&quot;:&quot;&quot;},{&quot;family&quot;:&quot;Gelder&quot;,&quot;given&quot;:&quot;P.&quot;,&quot;parse-names&quot;:false,&quot;dropping-particle&quot;:&quot;&quot;,&quot;non-dropping-particle&quot;:&quot;Van&quot;}],&quot;issued&quot;:{&quot;date-parts&quot;:[[2018]]},&quot;publisher&quot;:&quot;De Gruyter&quot;,&quot;container-title-short&quot;:&quot;&quot;},&quot;isTemporary&quot;:false}]},{&quot;citationID&quot;:&quot;MENDELEY_CITATION_86e9279a-bf24-4f9f-998d-f520e25818e5&quot;,&quot;properties&quot;:{&quot;noteIndex&quot;:0},&quot;isEdited&quot;:false,&quot;manualOverride&quot;:{&quot;isManuallyOverridden&quot;:false,&quot;citeprocText&quot;:&quot;(Cherdantseva et al., 2016)&quot;,&quot;manualOverrideText&quot;:&quot;&quot;},&quot;citationTag&quot;:&quot;MENDELEY_CITATION_v3_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&quot;,&quot;citationItems&quot;:[{&quot;id&quot;:&quot;01ba3395-760d-3e3c-8145-a8b9e7f72f6c&quot;,&quot;itemData&quot;:{&quot;type&quot;:&quot;article-journal&quot;,&quot;id&quot;:&quot;01ba3395-760d-3e3c-8145-a8b9e7f72f6c&quot;,&quot;title&quot;:&quot;A review of cyber security risk assessment methods for SCADA systems&quot;,&quot;author&quot;:[{&quot;family&quot;:&quot;Cherdantseva&quot;,&quot;given&quot;:&quot;Yulia&quot;,&quot;parse-names&quot;:false,&quot;dropping-particle&quot;:&quot;&quot;,&quot;non-dropping-particle&quot;:&quot;&quot;},{&quot;family&quot;:&quot;Burnap&quot;,&quot;given&quot;:&quot;Pete&quot;,&quot;parse-names&quot;:false,&quot;dropping-particle&quot;:&quot;&quot;,&quot;non-dropping-particle&quot;:&quot;&quot;},{&quot;family&quot;:&quot;Blyth&quot;,&quot;given&quot;:&quot;Andrew&quot;,&quot;parse-names&quot;:false,&quot;dropping-particle&quot;:&quot;&quot;,&quot;non-dropping-particle&quot;:&quot;&quot;},{&quot;family&quot;:&quot;Eden&quot;,&quot;given&quot;:&quot;Peter&quot;,&quot;parse-names&quot;:false,&quot;dropping-particle&quot;:&quot;&quot;,&quot;non-dropping-particle&quot;:&quot;&quot;},{&quot;family&quot;:&quot;Jones&quot;,&quot;given&quot;:&quot;Kevin&quot;,&quot;parse-names&quot;:false,&quot;dropping-particle&quot;:&quot;&quot;,&quot;non-dropping-particle&quot;:&quot;&quot;},{&quot;family&quot;:&quot;Soulsby&quot;,&quot;given&quot;:&quot;Hugh&quot;,&quot;parse-names&quot;:false,&quot;dropping-particle&quot;:&quot;&quot;,&quot;non-dropping-particle&quot;:&quot;&quot;},{&quot;family&quot;:&quot;Stoddart&quot;,&quot;given&quot;:&quot;Kristan&quot;,&quot;parse-names&quot;:false,&quot;dropping-particle&quot;:&quot;&quot;,&quot;non-dropping-particle&quot;:&quot;&quot;}],&quot;container-title&quot;:&quot;Computers &amp; Security&quot;,&quot;container-title-short&quot;:&quot;Comput Secur&quot;,&quot;DOI&quot;:&quot;10.1016/j.cose.2015.09.009&quot;,&quot;ISSN&quot;:&quot;01674048&quot;,&quot;URL&quot;:&quot;https://linkinghub.elsevier.com/retrieve/pii/S0167404815001388&quot;,&quot;issued&quot;:{&quot;date-parts&quot;:[[2016,2]]},&quot;page&quot;:&quot;1-27&quot;,&quot;abstract&quot;:&quot;This paper reviews the state of the art in cyber security risk assessment of Supervisory Control and Data Acquisition (SCADA) systems. We select and in-detail examine twenty-four risk assessment methods developed for or applied in the context of a SCADA system. We describe the essence of the methods and then analyse them in terms of aim; application domain; the stages of risk management addressed; key risk management concepts covered; impact measurement; sources of probabilistic data; evaluation and tool support. Based on the analysis, we suggest an intuitive scheme for the categorisation of cyber security risk assessment methods for SCADA systems. We also outline five research challenges facing the domain and point out the approaches that might be taken.&quot;,&quot;volume&quot;:&quot;56&quot;},&quot;isTemporary&quot;:false}]},{&quot;citationID&quot;:&quot;MENDELEY_CITATION_15907a6a-1527-48ad-8722-a3becdc04c3d&quot;,&quot;properties&quot;:{&quot;noteIndex&quot;:0},&quot;isEdited&quot;:false,&quot;manualOverride&quot;:{&quot;isManuallyOverridden&quot;:false,&quot;citeprocText&quot;:&quot;(Iaiani et al., 2023b)&quot;,&quot;manualOverrideText&quot;:&quot;&quot;},&quot;citationTag&quot;:&quot;MENDELEY_CITATION_v3_eyJjaXRhdGlvbklEIjoiTUVOREVMRVlfQ0lUQVRJT05fMTU5MDdhNmEtMTUyNy00OGFkLTg3MjItYTNiZWNkYzA0YzNkIiwicHJvcGVydGllcyI6eyJub3RlSW5kZXgiOjB9LCJpc0VkaXRlZCI6ZmFsc2UsIm1hbnVhbE92ZXJyaWRlIjp7ImlzTWFudWFsbHlPdmVycmlkZGVuIjpmYWxzZSwiY2l0ZXByb2NUZXh0IjoiKElhaWFuaSBldCBhbC4sIDIwMjNiKSIsIm1hbnVhbE92ZXJyaWRlVGV4dCI6IiJ9LCJjaXRhdGlvbkl0ZW1zIjpbey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X1dfQ==&quot;,&quot;citationItems&quot;:[{&quot;id&quot;:&quot;a1aac176-6a08-30e9-a3ca-85a7f7b1dc06&quot;,&quot;itemData&quot;:{&quot;type&quot;:&quot;article-journal&quot;,&quot;id&quot;:&quot;a1aac176-6a08-30e9-a3ca-85a7f7b1dc06&quot;,&quot;title&quot;:&quot;Process hazard and operability analysis of BPCS and SIS malicious manipulations by POROS 2.0&quot;,&quot;author&quot;:[{&quot;family&quot;:&quot;Iaiani&quot;,&quot;given&quot;:&quot;M.&quot;,&quot;parse-names&quot;:false,&quot;dropping-particle&quot;:&quot;&quot;,&quot;non-dropping-particle&quot;:&quot;&quot;},{&quot;family&quot;:&quot;Tugnoli&quot;,&quot;given&quot;:&quot;A.&quot;,&quot;parse-names&quot;:false,&quot;dropping-particle&quot;:&quot;&quot;,&quot;non-dropping-particle&quot;:&quot;&quot;},{&quot;family&quot;:&quot;Cozzani&quot;,&quot;given&quot;:&quot;V.&quot;,&quot;parse-names&quot;:false,&quot;dropping-particle&quot;:&quot;&quot;,&quot;non-dropping-particle&quot;:&quot;&quot;}],&quot;container-title&quot;:&quot;Process Safety and Environmental Protection&quot;,&quot;DOI&quot;:&quot;10.1016/j.psep.2023.06.024&quot;,&quot;ISSN&quot;:&quot;09575820&quot;,&quot;URL&quot;:&quot;https://linkinghub.elsevier.com/retrieve/pii/S0957582023005049&quot;,&quot;issued&quot;:{&quot;date-parts&quot;:[[2023,6]]},&quot;page&quot;:&quot;226-237&quot;,&quot;volume&quot;:&quot;176&quot;,&quot;container-title-short&quot;:&quot;&quot;},&quot;isTemporary&quot;:false}]},{&quot;citationID&quot;:&quot;MENDELEY_CITATION_326a2588-4386-4cca-9b9f-11b5ba3c6d82&quot;,&quot;properties&quot;:{&quot;noteIndex&quot;:0,&quot;mode&quot;:&quot;composite&quot;},&quot;isEdited&quot;:false,&quot;manualOverride&quot;:{&quot;isManuallyOverridden&quot;:false,&quot;citeprocText&quot;:&quot;Iaiani et al. (2023b)&quot;,&quot;manualOverrideText&quot;:&quot;&quot;},&quot;citationTag&quot;:&quot;MENDELEY_CITATION_v3_eyJjaXRhdGlvbklEIjoiTUVOREVMRVlfQ0lUQVRJT05fMzI2YTI1ODgtNDM4Ni00Y2NhLTliOWYtMTFiNWJhM2M2ZDgyIiwicHJvcGVydGllcyI6eyJub3RlSW5kZXgiOjAsIm1vZGUiOiJjb21wb3NpdGUifSwiaXNFZGl0ZWQiOmZhbHNlLCJtYW51YWxPdmVycmlkZSI6eyJpc01hbnVhbGx5T3ZlcnJpZGRlbiI6ZmFsc2UsImNpdGVwcm9jVGV4dCI6IklhaWFuaSBldCBhbC4gKDIwMjNiKSIsIm1hbnVhbE92ZXJyaWRlVGV4dCI6IiJ9LCJjaXRhdGlvbkl0ZW1zIjpbeyJkaXNwbGF5QXMiOiJjb21wb3NpdGUiLCJsYWJlbCI6InBhZ2UiLC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Swic3VwcHJlc3MtYXV0aG9yIjpmYWxzZSwiY29tcG9zaXRlIjp0cnVlLCJhdXRob3Itb25seSI6ZmFsc2V9XX0=&quot;,&quot;citationItems&quot;:[{&quot;displayAs&quot;:&quot;composite&quot;,&quot;label&quot;:&quot;page&quot;,&quot;id&quot;:&quot;a1aac176-6a08-30e9-a3ca-85a7f7b1dc06&quot;,&quot;itemData&quot;:{&quot;type&quot;:&quot;article-journal&quot;,&quot;id&quot;:&quot;a1aac176-6a08-30e9-a3ca-85a7f7b1dc06&quot;,&quot;title&quot;:&quot;Process hazard and operability analysis of BPCS and SIS malicious manipulations by POROS 2.0&quot;,&quot;author&quot;:[{&quot;family&quot;:&quot;Iaiani&quot;,&quot;given&quot;:&quot;M.&quot;,&quot;parse-names&quot;:false,&quot;dropping-particle&quot;:&quot;&quot;,&quot;non-dropping-particle&quot;:&quot;&quot;},{&quot;family&quot;:&quot;Tugnoli&quot;,&quot;given&quot;:&quot;A.&quot;,&quot;parse-names&quot;:false,&quot;dropping-particle&quot;:&quot;&quot;,&quot;non-dropping-particle&quot;:&quot;&quot;},{&quot;family&quot;:&quot;Cozzani&quot;,&quot;given&quot;:&quot;V.&quot;,&quot;parse-names&quot;:false,&quot;dropping-particle&quot;:&quot;&quot;,&quot;non-dropping-particle&quot;:&quot;&quot;}],&quot;container-title&quot;:&quot;Process Safety and Environmental Protection&quot;,&quot;DOI&quot;:&quot;10.1016/j.psep.2023.06.024&quot;,&quot;ISSN&quot;:&quot;09575820&quot;,&quot;URL&quot;:&quot;https://linkinghub.elsevier.com/retrieve/pii/S0957582023005049&quot;,&quot;issued&quot;:{&quot;date-parts&quot;:[[2023,6]]},&quot;page&quot;:&quot;226-237&quot;,&quot;volume&quot;:&quot;176&quot;,&quot;container-title-short&quot;:&quot;&quot;},&quot;isTemporary&quot;:false,&quot;suppress-author&quot;:false,&quot;composite&quot;:true,&quot;author-only&quot;:false}]},{&quot;citationID&quot;:&quot;MENDELEY_CITATION_3aee24a6-538d-4ce8-9cf1-08c916c890a9&quot;,&quot;properties&quot;:{&quot;noteIndex&quot;:0,&quot;mode&quot;:&quot;composite&quot;},&quot;isEdited&quot;:false,&quot;manualOverride&quot;:{&quot;isManuallyOverridden&quot;:false,&quot;citeprocText&quot;:&quot;Iaiani et al. (2023b)&quot;,&quot;manualOverrideText&quot;:&quot;&quot;},&quot;citationTag&quot;:&quot;MENDELEY_CITATION_v3_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&quot;,&quot;citationItems&quot;:[{&quot;displayAs&quot;:&quot;composite&quot;,&quot;label&quot;:&quot;page&quot;,&quot;id&quot;:&quot;a1aac176-6a08-30e9-a3ca-85a7f7b1dc06&quot;,&quot;itemData&quot;:{&quot;type&quot;:&quot;article-journal&quot;,&quot;id&quot;:&quot;a1aac176-6a08-30e9-a3ca-85a7f7b1dc06&quot;,&quot;title&quot;:&quot;Process hazard and operability analysis of BPCS and SIS malicious manipulations by POROS 2.0&quot;,&quot;author&quot;:[{&quot;family&quot;:&quot;Iaiani&quot;,&quot;given&quot;:&quot;M.&quot;,&quot;parse-names&quot;:false,&quot;dropping-particle&quot;:&quot;&quot;,&quot;non-dropping-particle&quot;:&quot;&quot;},{&quot;family&quot;:&quot;Tugnoli&quot;,&quot;given&quot;:&quot;A.&quot;,&quot;parse-names&quot;:false,&quot;dropping-particle&quot;:&quot;&quot;,&quot;non-dropping-particle&quot;:&quot;&quot;},{&quot;family&quot;:&quot;Cozzani&quot;,&quot;given&quot;:&quot;V.&quot;,&quot;parse-names&quot;:false,&quot;dropping-particle&quot;:&quot;&quot;,&quot;non-dropping-particle&quot;:&quot;&quot;}],&quot;container-title&quot;:&quot;Process Safety and Environmental Protection&quot;,&quot;DOI&quot;:&quot;10.1016/j.psep.2023.06.024&quot;,&quot;ISSN&quot;:&quot;09575820&quot;,&quot;URL&quot;:&quot;https://linkinghub.elsevier.com/retrieve/pii/S0957582023005049&quot;,&quot;issued&quot;:{&quot;date-parts&quot;:[[2023,6]]},&quot;page&quot;:&quot;226-237&quot;,&quot;volume&quot;:&quot;176&quot;,&quot;container-title-short&quot;:&quot;&quot;},&quot;isTemporary&quot;:false,&quot;suppress-author&quot;:false,&quot;composite&quot;:true,&quot;author-only&quot;:false}]},{&quot;citationID&quot;:&quot;MENDELEY_CITATION_df15d540-acb2-4a88-9b85-6b7e3e8b64c1&quot;,&quot;properties&quot;:{&quot;noteIndex&quot;:0},&quot;isEdited&quot;:false,&quot;manualOverride&quot;:{&quot;isManuallyOverridden&quot;:true,&quot;citeprocText&quot;:&quot;(International Electrotechnical Commission (IEC), 2016)&quot;,&quot;manualOverrideText&quot;:&quot;)&quot;},&quot;citationTag&quot;:&quot;MENDELEY_CITATION_v3_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&quot;,&quot;citationItems&quot;:[{&quot;id&quot;:&quot;ad34d62f-259a-3739-854f-74abfe5d921e&quot;,&quot;itemData&quot;:{&quot;type&quot;:&quot;article-journal&quot;,&quot;id&quot;:&quot;ad34d62f-259a-3739-854f-74abfe5d921e&quot;,&quot;title&quot;:&quot;IEC 61882: Hazard and operability studies (HAZOP studies) - Application guide&quot;,&quot;author&quot;:[{&quot;family&quot;:&quot;International Electrotechnical Commission (IEC)&quot;,&quot;given&quot;:&quot;&quot;,&quot;parse-names&quot;:false,&quot;dropping-particle&quot;:&quot;&quot;,&quot;non-dropping-particle&quot;:&quot;&quot;}],&quot;ISBN&quot;:&quot;21882:2001&quot;,&quot;issued&quot;:{&quot;date-parts&quot;:[[2016]]},&quot;abstract&quot;:&quot;The purpose of this standard is to describe the principles and procedures of Hazard andOperability (HAZOP) Studies. HAZOP is a structured and systematic technique for examininga defined system, with the objective of: · identifying potential hazards in the system. The hazards involved may include both thoseessentially relevant only to the immediate area of the system and those with a much wider sphere of influence, e.g. some environmental hazards; · identifying potential operability problems with the system and in particular identifyingcauses of operational disturbances and production deviations likely to lead to non-conforming products.An important benefit of HAZOP studies is that the resulting knowledge, obtained by identifyingpotential hazards and operability problems in a structured and systematic manner, is of greatassistance in determining appropriate remedial measures.A characteristic feature of a HAZOP study is the ”examination session” during which a multi-disciplinary team under the guidance of a study leader systematically examines all relevantparts of a design or system. It identifies deviations from the system design intent utilizing acore set of guide words. The technique aims to stimulate the imagination of participants in asystematic way to identify hazards and operability problems. HAZOP should be seen as anenhancement to sound design using experience-based approaches such as codes of practicerather than a substitute for such approaches.There are many different tools and techniques available for the identification of potentialhazards and operability problems, ranging from Checklists, Fault Modes and Effects Analysis(FMEA), Fault Tree Analysis (FTA) to HAZOP. Some techniques, such as Checklists andWhat-If/analysis, can be used early in the system life cycle when little information is available,or in later phases if a less detailed analysis is needed. HAZOP studies require more detailsregarding the systems under consideration, but produce more comprehensive information onhazards and errors in the system design&quot;,&quot;container-title-short&quot;:&quot;&quot;},&quot;isTemporary&quot;:false}]},{&quot;citationID&quot;:&quot;MENDELEY_CITATION_4ed7b164-8968-4637-82a5-5aceec3faafa&quot;,&quot;properties&quot;:{&quot;noteIndex&quot;:0,&quot;mode&quot;:&quot;composite&quot;},&quot;isEdited&quot;:false,&quot;manualOverride&quot;:{&quot;isManuallyOverridden&quot;:false,&quot;citeprocText&quot;:&quot;Iaiani et al. (2023a)&quot;,&quot;manualOverrideText&quot;:&quot;&quot;},&quot;citationTag&quot;:&quot;MENDELEY_CITATION_v3_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&quot;,&quot;citationItems&quot;:[{&quot;displayAs&quot;:&quot;composite&quot;,&quot;label&quot;:&quot;page&quot;,&quot;id&quot;:&quot;94dbfd9c-891b-374c-b82c-dbd187c8d279&quot;,&quot;itemData&quot;:{&quot;type&quot;:&quot;article-journal&quot;,&quot;id&quot;:&quot;94dbfd9c-891b-374c-b82c-dbd187c8d279&quot;,&quot;title&quot;:&quot;Identification of cyber-risks for the control and safety instrumented systems: a synergic framework for the process industry&quot;,&quot;author&quot;:[{&quot;family&quot;:&quot;Iaiani&quot;,&quot;given&quot;:&quot;M.&quot;,&quot;parse-names&quot;:false,&quot;dropping-particle&quot;:&quot;&quot;,&quot;non-dropping-particle&quot;:&quot;&quot;},{&quot;family&quot;:&quot;Tugnoli&quot;,&quot;given&quot;:&quot;A.&quot;,&quot;parse-names&quot;:false,&quot;dropping-particle&quot;:&quot;&quot;,&quot;non-dropping-particle&quot;:&quot;&quot;},{&quot;family&quot;:&quot;Cozzani&quot;,&quot;given&quot;:&quot;V.&quot;,&quot;parse-names&quot;:false,&quot;dropping-particle&quot;:&quot;&quot;,&quot;non-dropping-particle&quot;:&quot;&quot;}],&quot;container-title&quot;:&quot;Process Safety and Environmental Protection&quot;,&quot;DOI&quot;:&quot;10.1016/j.psep.2023.01.078&quot;,&quot;ISSN&quot;:&quot;09575820&quot;,&quot;URL&quot;:&quot;https://linkinghub.elsevier.com/retrieve/pii/S0957582023000885&quot;,&quot;issued&quot;:{&quot;date-parts&quot;:[[2023,2]]},&quot;page&quot;:&quot;69-82&quot;,&quot;volume&quot;:&quot;172&quot;,&quot;container-title-short&quot;:&quot;&quot;},&quot;isTemporary&quot;:false,&quot;suppress-author&quot;:false,&quot;composite&quot;:true,&quot;author-only&quot;:false}]},{&quot;citationID&quot;:&quot;MENDELEY_CITATION_ac256f2d-b0f4-439b-b2c5-0c9bad3905d7&quot;,&quot;properties&quot;:{&quot;noteIndex&quot;:0,&quot;mode&quot;:&quot;composite&quot;},&quot;isEdited&quot;:false,&quot;manualOverride&quot;:{&quot;isManuallyOverridden&quot;:false,&quot;citeprocText&quot;:&quot;Iaiani et al. (2023a)&quot;,&quot;manualOverrideText&quot;:&quot;&quot;},&quot;citationItems&quot;:[{&quot;displayAs&quot;:&quot;composite&quot;,&quot;label&quot;:&quot;page&quot;,&quot;id&quot;:&quot;94dbfd9c-891b-374c-b82c-dbd187c8d279&quot;,&quot;itemData&quot;:{&quot;type&quot;:&quot;article-journal&quot;,&quot;id&quot;:&quot;94dbfd9c-891b-374c-b82c-dbd187c8d279&quot;,&quot;title&quot;:&quot;Identification of cyber-risks for the control and safety instrumented systems: a synergic framework for the process industry&quot;,&quot;author&quot;:[{&quot;family&quot;:&quot;Iaiani&quot;,&quot;given&quot;:&quot;M.&quot;,&quot;parse-names&quot;:false,&quot;dropping-particle&quot;:&quot;&quot;,&quot;non-dropping-particle&quot;:&quot;&quot;},{&quot;family&quot;:&quot;Tugnoli&quot;,&quot;given&quot;:&quot;A.&quot;,&quot;parse-names&quot;:false,&quot;dropping-particle&quot;:&quot;&quot;,&quot;non-dropping-particle&quot;:&quot;&quot;},{&quot;family&quot;:&quot;Cozzani&quot;,&quot;given&quot;:&quot;V.&quot;,&quot;parse-names&quot;:false,&quot;dropping-particle&quot;:&quot;&quot;,&quot;non-dropping-particle&quot;:&quot;&quot;}],&quot;container-title&quot;:&quot;Process Safety and Environmental Protection&quot;,&quot;DOI&quot;:&quot;10.1016/j.psep.2023.01.078&quot;,&quot;ISSN&quot;:&quot;09575820&quot;,&quot;URL&quot;:&quot;https://linkinghub.elsevier.com/retrieve/pii/S0957582023000885&quot;,&quot;issued&quot;:{&quot;date-parts&quot;:[[2023,2]]},&quot;page&quot;:&quot;69-82&quot;,&quot;volume&quot;:&quot;172&quot;,&quot;container-title-short&quot;:&quot;&quot;},&quot;isTemporary&quot;:false,&quot;suppress-author&quot;:false,&quot;composite&quot;:true,&quot;author-only&quot;:false}],&quot;citationTag&quot;:&quot;MENDELEY_CITATION_v3_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6828</TotalTime>
  <Pages>6</Pages>
  <Words>3507</Words>
  <Characters>19995</Characters>
  <Application>Microsoft Office Word</Application>
  <DocSecurity>0</DocSecurity>
  <Lines>166</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Matteo Iaiani</cp:lastModifiedBy>
  <cp:revision>542</cp:revision>
  <cp:lastPrinted>2015-05-12T18:31:00Z</cp:lastPrinted>
  <dcterms:created xsi:type="dcterms:W3CDTF">2017-11-20T08:58:00Z</dcterms:created>
  <dcterms:modified xsi:type="dcterms:W3CDTF">2024-04-08T08:48:00Z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