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l-PL" w:eastAsia="pl-PL"/>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l-PL" w:eastAsia="pl-PL"/>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4441484" w:rsidR="00E978D0" w:rsidRPr="00F87E92" w:rsidRDefault="00447BB7" w:rsidP="00665323">
      <w:pPr>
        <w:pStyle w:val="CETTitle"/>
        <w:rPr>
          <w:color w:val="FF0000"/>
        </w:rPr>
      </w:pPr>
      <w:r w:rsidRPr="00F87E92">
        <w:rPr>
          <w:color w:val="FF0000"/>
        </w:rPr>
        <w:t xml:space="preserve">Identification of </w:t>
      </w:r>
      <w:r w:rsidR="00F87E92" w:rsidRPr="00F87E92">
        <w:rPr>
          <w:color w:val="FF0000"/>
        </w:rPr>
        <w:t>S</w:t>
      </w:r>
      <w:r w:rsidRPr="00F87E92">
        <w:rPr>
          <w:color w:val="FF0000"/>
        </w:rPr>
        <w:t xml:space="preserve">ubstances </w:t>
      </w:r>
      <w:r w:rsidR="00F87E92" w:rsidRPr="00F87E92">
        <w:rPr>
          <w:color w:val="FF0000"/>
        </w:rPr>
        <w:t>E</w:t>
      </w:r>
      <w:r w:rsidRPr="00F87E92">
        <w:rPr>
          <w:color w:val="FF0000"/>
        </w:rPr>
        <w:t xml:space="preserve">mitted </w:t>
      </w:r>
      <w:r w:rsidR="00F87E92" w:rsidRPr="00F87E92">
        <w:rPr>
          <w:color w:val="FF0000"/>
        </w:rPr>
        <w:t>D</w:t>
      </w:r>
      <w:r w:rsidRPr="00F87E92">
        <w:rPr>
          <w:color w:val="FF0000"/>
        </w:rPr>
        <w:t xml:space="preserve">uring </w:t>
      </w:r>
      <w:r w:rsidR="00F87E92" w:rsidRPr="00F87E92">
        <w:rPr>
          <w:color w:val="FF0000"/>
        </w:rPr>
        <w:t>C</w:t>
      </w:r>
      <w:r w:rsidRPr="00F87E92">
        <w:rPr>
          <w:color w:val="FF0000"/>
        </w:rPr>
        <w:t xml:space="preserve">ombustion and </w:t>
      </w:r>
      <w:r w:rsidR="00F87E92" w:rsidRPr="00F87E92">
        <w:rPr>
          <w:color w:val="FF0000"/>
        </w:rPr>
        <w:t>T</w:t>
      </w:r>
      <w:r w:rsidRPr="00F87E92">
        <w:rPr>
          <w:color w:val="FF0000"/>
        </w:rPr>
        <w:t xml:space="preserve">hermal </w:t>
      </w:r>
      <w:r w:rsidR="00F87E92" w:rsidRPr="00F87E92">
        <w:rPr>
          <w:color w:val="FF0000"/>
        </w:rPr>
        <w:t>D</w:t>
      </w:r>
      <w:r w:rsidRPr="00F87E92">
        <w:rPr>
          <w:color w:val="FF0000"/>
        </w:rPr>
        <w:t xml:space="preserve">ecomposition of </w:t>
      </w:r>
      <w:r w:rsidR="00F87E92" w:rsidRPr="00F87E92">
        <w:rPr>
          <w:color w:val="FF0000"/>
        </w:rPr>
        <w:t>W</w:t>
      </w:r>
      <w:r w:rsidRPr="00F87E92">
        <w:rPr>
          <w:color w:val="FF0000"/>
        </w:rPr>
        <w:t>ood-</w:t>
      </w:r>
      <w:r w:rsidR="00F87E92" w:rsidRPr="00F87E92">
        <w:rPr>
          <w:color w:val="FF0000"/>
        </w:rPr>
        <w:t>B</w:t>
      </w:r>
      <w:r w:rsidRPr="00F87E92">
        <w:rPr>
          <w:color w:val="FF0000"/>
        </w:rPr>
        <w:t xml:space="preserve">ased </w:t>
      </w:r>
      <w:r w:rsidR="00F87E92" w:rsidRPr="00F87E92">
        <w:rPr>
          <w:color w:val="FF0000"/>
        </w:rPr>
        <w:t>M</w:t>
      </w:r>
      <w:r w:rsidRPr="00F87E92">
        <w:rPr>
          <w:color w:val="FF0000"/>
        </w:rPr>
        <w:t>aterials</w:t>
      </w:r>
    </w:p>
    <w:p w14:paraId="0488FED2" w14:textId="454F75FE" w:rsidR="00B57E6F" w:rsidRPr="00363A44" w:rsidRDefault="00447BB7" w:rsidP="00B57E6F">
      <w:pPr>
        <w:pStyle w:val="CETAuthors"/>
        <w:rPr>
          <w:lang w:val="pl-PL"/>
        </w:rPr>
      </w:pPr>
      <w:r w:rsidRPr="00363A44">
        <w:rPr>
          <w:lang w:val="pl-PL"/>
        </w:rPr>
        <w:t>Kamila Mizera</w:t>
      </w:r>
      <w:r w:rsidRPr="00363A44">
        <w:rPr>
          <w:vertAlign w:val="superscript"/>
          <w:lang w:val="pl-PL"/>
        </w:rPr>
        <w:t>*</w:t>
      </w:r>
      <w:r w:rsidR="00B57E6F" w:rsidRPr="00363A44">
        <w:rPr>
          <w:lang w:val="pl-PL"/>
        </w:rPr>
        <w:t xml:space="preserve">, </w:t>
      </w:r>
      <w:r w:rsidRPr="00363A44">
        <w:rPr>
          <w:lang w:val="pl-PL"/>
        </w:rPr>
        <w:t>Monika Borucka, Jan Przybysz, Agnieszka Gajek</w:t>
      </w:r>
    </w:p>
    <w:p w14:paraId="3D72B0B0" w14:textId="0F8F0533" w:rsidR="00B57E6F" w:rsidRPr="00B57B36" w:rsidRDefault="00447BB7" w:rsidP="00B57E6F">
      <w:pPr>
        <w:pStyle w:val="CETAddress"/>
      </w:pPr>
      <w:r w:rsidRPr="00447BB7">
        <w:t>Central Institute for</w:t>
      </w:r>
      <w:r>
        <w:rPr>
          <w:vertAlign w:val="superscript"/>
        </w:rPr>
        <w:t xml:space="preserve"> </w:t>
      </w:r>
      <w:r>
        <w:t>Labour Protection – National Research Institute, Czerniakowska 16, 00-701 Warsaw, Poland</w:t>
      </w:r>
    </w:p>
    <w:p w14:paraId="73F1267A" w14:textId="789068C3" w:rsidR="00B57E6F" w:rsidRPr="00B57B36" w:rsidRDefault="00B57E6F" w:rsidP="00B57E6F">
      <w:pPr>
        <w:pStyle w:val="CETemail"/>
      </w:pPr>
      <w:r>
        <w:t xml:space="preserve"> </w:t>
      </w:r>
      <w:r w:rsidR="00447BB7">
        <w:t>kamila.mizera@ciop.pl</w:t>
      </w:r>
    </w:p>
    <w:p w14:paraId="6797A828" w14:textId="7BB4534F" w:rsidR="00A16C58" w:rsidRDefault="00C2507E" w:rsidP="00A16C58">
      <w:pPr>
        <w:pStyle w:val="CETBodytext"/>
        <w:rPr>
          <w:lang w:val="en-GB"/>
        </w:rPr>
      </w:pPr>
      <w:r w:rsidRPr="00C2507E">
        <w:t xml:space="preserve">In this study, the thermal decomposition and combustion products </w:t>
      </w:r>
      <w:r w:rsidRPr="00C2507E">
        <w:rPr>
          <w:lang w:val="en-GB"/>
        </w:rPr>
        <w:t>of wood-based board and pellets</w:t>
      </w:r>
      <w:r w:rsidR="00DF50FE">
        <w:rPr>
          <w:lang w:val="en-GB"/>
        </w:rPr>
        <w:t xml:space="preserve"> </w:t>
      </w:r>
      <w:r w:rsidR="00DF50FE" w:rsidRPr="00DF50FE">
        <w:rPr>
          <w:color w:val="FF0000"/>
          <w:lang w:val="en-GB"/>
        </w:rPr>
        <w:t>were studied</w:t>
      </w:r>
      <w:r w:rsidRPr="00DF50FE">
        <w:rPr>
          <w:color w:val="FF0000"/>
          <w:lang w:val="en-GB"/>
        </w:rPr>
        <w:t xml:space="preserve">. </w:t>
      </w:r>
      <w:r w:rsidRPr="00C2507E">
        <w:rPr>
          <w:lang w:val="en-GB"/>
        </w:rPr>
        <w:t>Flammability parameters were determined using a cone calorimeter, and substances formed during the thermal decomposition and combustion of the materials studied were identified using a tube furnace (Purser furnace) and gas chromatography-mass</w:t>
      </w:r>
      <w:r w:rsidR="007028C4">
        <w:rPr>
          <w:lang w:val="en-GB"/>
        </w:rPr>
        <w:t xml:space="preserve"> </w:t>
      </w:r>
      <w:r w:rsidR="007028C4" w:rsidRPr="007028C4">
        <w:rPr>
          <w:color w:val="FF0000"/>
          <w:lang w:val="en-GB"/>
        </w:rPr>
        <w:t>spectrometer</w:t>
      </w:r>
      <w:r w:rsidRPr="00C2507E">
        <w:rPr>
          <w:lang w:val="en-GB"/>
        </w:rPr>
        <w:t xml:space="preserve"> (GC-MS). It was observed that under well-ventilated conditions, complete combustion occurs without the release of hazardous substances. However, during flameless combustion, the resulting smoke contains a variety of substances that pose a threat to human health and life.</w:t>
      </w:r>
    </w:p>
    <w:p w14:paraId="476B2F2E" w14:textId="77777777" w:rsidR="00600535" w:rsidRPr="00B57B36" w:rsidRDefault="00600535" w:rsidP="00600535">
      <w:pPr>
        <w:pStyle w:val="CETHeading1"/>
        <w:rPr>
          <w:lang w:val="en-GB"/>
        </w:rPr>
      </w:pPr>
      <w:r w:rsidRPr="00B57B36">
        <w:rPr>
          <w:lang w:val="en-GB"/>
        </w:rPr>
        <w:t>Introduction</w:t>
      </w:r>
    </w:p>
    <w:p w14:paraId="71A1A0D5" w14:textId="77777777" w:rsidR="007D46C8" w:rsidRPr="007D46C8" w:rsidRDefault="007D46C8" w:rsidP="007D46C8">
      <w:pPr>
        <w:pStyle w:val="CETBodytext"/>
        <w:rPr>
          <w:lang w:val="en-GB"/>
        </w:rPr>
      </w:pPr>
      <w:r w:rsidRPr="007D46C8">
        <w:rPr>
          <w:lang w:val="en-GB"/>
        </w:rPr>
        <w:t>The most common cause of death in fires is the effect on the human body of toxic gases present in the smoke that is generated. The main gaseous products most often leading to death are carbon monoxide and hydrogen cyanide. However, in addition to those mentioned, other suffocating or irritant gases are also included.</w:t>
      </w:r>
    </w:p>
    <w:p w14:paraId="00622105" w14:textId="42DB1EC3" w:rsidR="007D46C8" w:rsidRDefault="007D46C8" w:rsidP="007D46C8">
      <w:pPr>
        <w:pStyle w:val="CETBodytext"/>
        <w:rPr>
          <w:lang w:val="en-GB"/>
        </w:rPr>
      </w:pPr>
      <w:r w:rsidRPr="007D46C8">
        <w:rPr>
          <w:lang w:val="en-GB"/>
        </w:rPr>
        <w:t>The behavior of a material during combustion and the amount of toxic products formed depends most on its composition, temperature and oxygen concentration. The development of a fire has been classified and divided into several types, from smoldering combustion and early, well-ventilated flames to fully deve</w:t>
      </w:r>
      <w:r w:rsidR="00F3632A">
        <w:rPr>
          <w:lang w:val="en-GB"/>
        </w:rPr>
        <w:t>loped unventilated flames (</w:t>
      </w:r>
      <w:r w:rsidR="00B81904">
        <w:rPr>
          <w:lang w:val="en-GB"/>
        </w:rPr>
        <w:t>Bu and</w:t>
      </w:r>
      <w:r w:rsidR="00B81904" w:rsidRPr="00B81904">
        <w:rPr>
          <w:lang w:val="en-GB"/>
        </w:rPr>
        <w:t xml:space="preserve"> Gharajeh</w:t>
      </w:r>
      <w:r w:rsidR="00B44705">
        <w:rPr>
          <w:lang w:val="en-GB"/>
        </w:rPr>
        <w:t>,</w:t>
      </w:r>
      <w:r w:rsidR="00B81904">
        <w:rPr>
          <w:lang w:val="en-GB"/>
        </w:rPr>
        <w:t xml:space="preserve"> 2019</w:t>
      </w:r>
      <w:r w:rsidR="00F3632A">
        <w:rPr>
          <w:lang w:val="en-GB"/>
        </w:rPr>
        <w:t>)</w:t>
      </w:r>
      <w:r w:rsidRPr="007D46C8">
        <w:rPr>
          <w:lang w:val="en-GB"/>
        </w:rPr>
        <w:t>. During the development of a fire, it is important to ventilate the environment in which the fire has occurred. In confined spaces, such as buildings or means of transportation, fire conditions quickly change from well-ventilated to unventilated. These fires are larger, and at the same time produce larger amounts of toxic products harmful to humans.</w:t>
      </w:r>
    </w:p>
    <w:p w14:paraId="7799C0FF" w14:textId="4B115539" w:rsidR="00285821" w:rsidRDefault="007D46C8" w:rsidP="00285821">
      <w:pPr>
        <w:pStyle w:val="CETBodytext"/>
        <w:rPr>
          <w:lang w:val="en-GB"/>
        </w:rPr>
      </w:pPr>
      <w:r w:rsidRPr="007D46C8">
        <w:rPr>
          <w:lang w:val="en-GB"/>
        </w:rPr>
        <w:t>The use in the construction industry of products based on wood and wood-based plastics, i.e. wood-based materials that are obtained by fusing or gluing together natural or previously improved wood, results in a number of wastes. These wastes can be characterized by different properties due to their origin, purpose and the use of additives in the form of resins (urea-formaldehyde, melamine-formaldehyde, phenol-formaldehyde), adhesives, paraffin, varnishes, ven</w:t>
      </w:r>
      <w:r w:rsidR="00B44705">
        <w:rPr>
          <w:lang w:val="en-GB"/>
        </w:rPr>
        <w:t>eers, films, etc. (Wasilewski, 2019)</w:t>
      </w:r>
      <w:r w:rsidRPr="007D46C8">
        <w:rPr>
          <w:lang w:val="en-GB"/>
        </w:rPr>
        <w:t>. Post-consumer wood and wood plastic wastes have good fuel properties, so they can be a source of energy. Sawdust and shavings obtained at industrial plants are used to produce wood pellets, which are used for heating in central heating boilers, in single-family homes and dist</w:t>
      </w:r>
      <w:r w:rsidR="00630787">
        <w:rPr>
          <w:lang w:val="en-GB"/>
        </w:rPr>
        <w:t>rict heating plants, and more (</w:t>
      </w:r>
      <w:r w:rsidR="00630787" w:rsidRPr="00630787">
        <w:rPr>
          <w:lang w:val="en-GB"/>
        </w:rPr>
        <w:t>Kajda-Szcześniak, 2013</w:t>
      </w:r>
      <w:r w:rsidR="00630787">
        <w:rPr>
          <w:lang w:val="en-GB"/>
        </w:rPr>
        <w:t>)</w:t>
      </w:r>
      <w:r w:rsidRPr="007D46C8">
        <w:rPr>
          <w:lang w:val="en-GB"/>
        </w:rPr>
        <w:t>. Knowledge about the harmfulness of burning waste wood-based panels and the resulting pellets is still insufficient. Due to the presence of about 10</w:t>
      </w:r>
      <w:r w:rsidR="001735E9">
        <w:rPr>
          <w:lang w:val="en-GB"/>
        </w:rPr>
        <w:t xml:space="preserve"> </w:t>
      </w:r>
      <w:r w:rsidRPr="007D46C8">
        <w:rPr>
          <w:lang w:val="en-GB"/>
        </w:rPr>
        <w:t>% formaldehyde-urea, melamine or phenolic resins and their mixtures in wood-based panels, the waste also contains the mentioned compounds. As a result, CO</w:t>
      </w:r>
      <w:r w:rsidRPr="007D46C8">
        <w:rPr>
          <w:vertAlign w:val="subscript"/>
          <w:lang w:val="en-GB"/>
        </w:rPr>
        <w:t>2</w:t>
      </w:r>
      <w:r w:rsidRPr="007D46C8">
        <w:rPr>
          <w:lang w:val="en-GB"/>
        </w:rPr>
        <w:t>, SO</w:t>
      </w:r>
      <w:r w:rsidRPr="007D46C8">
        <w:rPr>
          <w:vertAlign w:val="subscript"/>
          <w:lang w:val="en-GB"/>
        </w:rPr>
        <w:t>2</w:t>
      </w:r>
      <w:r w:rsidRPr="007D46C8">
        <w:rPr>
          <w:lang w:val="en-GB"/>
        </w:rPr>
        <w:t xml:space="preserve"> or NO</w:t>
      </w:r>
      <w:r w:rsidRPr="007D46C8">
        <w:rPr>
          <w:vertAlign w:val="subscript"/>
          <w:lang w:val="en-GB"/>
        </w:rPr>
        <w:t>2</w:t>
      </w:r>
      <w:r w:rsidRPr="007D46C8">
        <w:rPr>
          <w:lang w:val="en-GB"/>
        </w:rPr>
        <w:t xml:space="preserve"> compounds are emitted in the pellets made from these wastes when they are burned. </w:t>
      </w:r>
      <w:r w:rsidR="00A45F50" w:rsidRPr="00A45F50">
        <w:rPr>
          <w:color w:val="FF0000"/>
          <w:lang w:val="en-GB"/>
        </w:rPr>
        <w:t>Lack of awareness causes people to choose cheaper, low-energy substitutes such as straw, sunflower or MDF pellets. It is illegal to use furniture to heat your home. Furniture boards are a waste product that has to be thermally recycled. This can only be done in special incinerators, as their combustion releases volatile organic compounds, polycyclic aromatic hydrocarbons, dioxins and formaldehyde</w:t>
      </w:r>
      <w:r w:rsidR="00A136A8">
        <w:rPr>
          <w:color w:val="FF0000"/>
          <w:lang w:val="en-GB"/>
        </w:rPr>
        <w:t>.</w:t>
      </w:r>
    </w:p>
    <w:p w14:paraId="23F86FEF" w14:textId="03CC8550" w:rsidR="00600535" w:rsidRPr="00285821" w:rsidRDefault="00285821" w:rsidP="00285821">
      <w:pPr>
        <w:pStyle w:val="CETBodytext"/>
        <w:rPr>
          <w:lang w:val="en-GB"/>
        </w:rPr>
      </w:pPr>
      <w:r w:rsidRPr="00285821">
        <w:rPr>
          <w:lang w:val="en-GB"/>
        </w:rPr>
        <w:lastRenderedPageBreak/>
        <w:t>This raises the need for detailed studies of the toxicity of the products of combustion of individual materials and building products that are commonly used in architecture and construction.</w:t>
      </w:r>
      <w:r>
        <w:rPr>
          <w:lang w:val="en-GB"/>
        </w:rPr>
        <w:t xml:space="preserve"> </w:t>
      </w:r>
      <w:r w:rsidRPr="00285821">
        <w:rPr>
          <w:lang w:val="en-GB"/>
        </w:rPr>
        <w:t>The problem of toxicity of building materials and products used in interior architecture and building installations is constantly increasing.</w:t>
      </w:r>
    </w:p>
    <w:p w14:paraId="1EE6607A" w14:textId="7DE21862" w:rsidR="00A154B1" w:rsidRDefault="00EA4C60" w:rsidP="007D46C8">
      <w:pPr>
        <w:pStyle w:val="CETBodytext"/>
        <w:rPr>
          <w:lang w:val="en-GB"/>
        </w:rPr>
      </w:pPr>
      <w:r w:rsidRPr="00EA4C60">
        <w:rPr>
          <w:lang w:val="en-GB"/>
        </w:rPr>
        <w:t xml:space="preserve">Therefore, there is a need for detailed research into the toxicity of the combustion products of wood-based materials and to raise </w:t>
      </w:r>
      <w:r w:rsidRPr="007028C4">
        <w:t>awareness</w:t>
      </w:r>
      <w:r w:rsidRPr="00EA4C60">
        <w:rPr>
          <w:lang w:val="en-GB"/>
        </w:rPr>
        <w:t xml:space="preserve"> among people of the dangers involved.</w:t>
      </w:r>
    </w:p>
    <w:p w14:paraId="65CE542C" w14:textId="79FBBA46" w:rsidR="006F2976" w:rsidRPr="006F2976" w:rsidRDefault="006F2976" w:rsidP="006F2976">
      <w:pPr>
        <w:pStyle w:val="CETBodytext"/>
        <w:rPr>
          <w:color w:val="FF0000"/>
          <w:lang w:val="en-GB"/>
        </w:rPr>
      </w:pPr>
      <w:r w:rsidRPr="006F2976">
        <w:rPr>
          <w:color w:val="FF0000"/>
          <w:lang w:val="en-GB"/>
        </w:rPr>
        <w:t>In this work, the study of volatile and semi-volatile organic compounds emitted during thermal degradation and combustion of pellet and wood-based panel. The steady state tube furnace has been used specifically to generate toxic products from real fires under different conditions. The released species have been sampling using solid phase microextraction technique (SPME) and identified using gas chromatography with mass selective detector (GC-MS). Measurements made by the cone calorimeter were used to determine the parameters associated with the rate of heat release from selected plant protection products. The determined parameters facilitated drawing conclusions on the size of the fire, its growth rate and consequently, the quantity and quality of the smoke emission.</w:t>
      </w:r>
    </w:p>
    <w:p w14:paraId="5741900F" w14:textId="11302F9D" w:rsidR="00453E24" w:rsidRDefault="00381190" w:rsidP="00453E24">
      <w:pPr>
        <w:pStyle w:val="CETHeading1"/>
      </w:pPr>
      <w:r>
        <w:t>Experimental</w:t>
      </w:r>
    </w:p>
    <w:p w14:paraId="309129FA" w14:textId="0C132F6A" w:rsidR="00381190" w:rsidRPr="006C75B2" w:rsidRDefault="00F023BB" w:rsidP="006C75B2">
      <w:pPr>
        <w:pStyle w:val="CETheadingx"/>
      </w:pPr>
      <w:r>
        <w:t xml:space="preserve">2.1 </w:t>
      </w:r>
      <w:r w:rsidR="00381190" w:rsidRPr="006C75B2">
        <w:t>Materials</w:t>
      </w:r>
    </w:p>
    <w:p w14:paraId="09406386" w14:textId="4F262BFF" w:rsidR="00453E24" w:rsidRDefault="00356067" w:rsidP="00453E24">
      <w:pPr>
        <w:pStyle w:val="CETBodytext"/>
      </w:pPr>
      <w:r w:rsidRPr="00356067">
        <w:t>In the research presented here, a wood-based panel made of triple-pressed flake wood chips arranged at different angles to each other and bonded together with resin was used.</w:t>
      </w:r>
      <w:r>
        <w:t xml:space="preserve"> </w:t>
      </w:r>
      <w:r w:rsidRPr="00356067">
        <w:t>The second material was a pellet made from sawdust of coniferous and deciduous trees, characterized, according to the manufacturer, by a low ash content and a high calorific value.</w:t>
      </w:r>
    </w:p>
    <w:p w14:paraId="56B8E8B6" w14:textId="28A776B1" w:rsidR="00381190" w:rsidRDefault="00F023BB" w:rsidP="006C75B2">
      <w:pPr>
        <w:pStyle w:val="CETheadingx"/>
      </w:pPr>
      <w:r>
        <w:t xml:space="preserve">2.2 </w:t>
      </w:r>
      <w:r w:rsidR="00381190" w:rsidRPr="00381190">
        <w:t>Measurements</w:t>
      </w:r>
    </w:p>
    <w:p w14:paraId="35C6BC0A" w14:textId="5AF923E1" w:rsidR="006C75B2" w:rsidRDefault="003A72E9" w:rsidP="00381190">
      <w:pPr>
        <w:pStyle w:val="CETBodytext"/>
      </w:pPr>
      <w:r w:rsidRPr="003A72E9">
        <w:t>Measurements using a cone calorimeter from Fire Testing Technology Ltd. were carried out in accordance with ISO 5660. Samples placed horizontally against the cone heat sink were subjected to a thermal radiation flux of 35 kW/m2. Samples of the test materials, measuring 100 x 100 mm and approximately 18 mm thick, were prepared by wrapping the edges of the samples with alumin</w:t>
      </w:r>
      <w:r w:rsidR="003A2499">
        <w:t>i</w:t>
      </w:r>
      <w:r w:rsidRPr="003A72E9">
        <w:t>um foil of the appropriate thickness and covering the underside with a ceramic blanket. The combustion reaction was initiated by ignition using a spark igniter. At least three measurements were taken for each material.</w:t>
      </w:r>
    </w:p>
    <w:p w14:paraId="088F62AA" w14:textId="3F92857B" w:rsidR="0015759B" w:rsidRDefault="0015759B" w:rsidP="00381190">
      <w:pPr>
        <w:pStyle w:val="CETBodytext"/>
      </w:pPr>
      <w:r w:rsidRPr="0015759B">
        <w:t xml:space="preserve">To study the formation of the gaseous burning products a state tube furnace method (Purser furnace) (Fig. </w:t>
      </w:r>
      <w:r>
        <w:t>1</w:t>
      </w:r>
      <w:r w:rsidRPr="0015759B">
        <w:t>), simulating fire conditions was used, in conformity wi</w:t>
      </w:r>
      <w:r>
        <w:t>th ISO/TS 19700:2007. Samples (15</w:t>
      </w:r>
      <w:r w:rsidRPr="0015759B">
        <w:t xml:space="preserve"> g) of the tested materials were placed in a quartz </w:t>
      </w:r>
      <w:r w:rsidR="009B0715" w:rsidRPr="009B0715">
        <w:rPr>
          <w:color w:val="FF0000"/>
        </w:rPr>
        <w:t>form</w:t>
      </w:r>
      <w:r w:rsidRPr="009B0715">
        <w:rPr>
          <w:color w:val="FF0000"/>
        </w:rPr>
        <w:t xml:space="preserve"> </w:t>
      </w:r>
      <w:r w:rsidRPr="0015759B">
        <w:t>and put into the pre-heated furnace at 25 °C. Then the samples were heated to 900 °C with the air flow of 2 L/min (poor ventilation) and 10 L/mi</w:t>
      </w:r>
      <w:r w:rsidR="00673849">
        <w:t>n (well-ventilated conditions).</w:t>
      </w:r>
    </w:p>
    <w:p w14:paraId="47656EDF" w14:textId="195B305D" w:rsidR="00E70439" w:rsidRDefault="00E70439" w:rsidP="00381190">
      <w:pPr>
        <w:pStyle w:val="CETBodytext"/>
      </w:pPr>
    </w:p>
    <w:p w14:paraId="5A5B20F9" w14:textId="4797E373" w:rsidR="00E70439" w:rsidRDefault="00F95C5E" w:rsidP="00E70439">
      <w:pPr>
        <w:pStyle w:val="CETBodytext"/>
        <w:jc w:val="center"/>
      </w:pPr>
      <w:r>
        <w:rPr>
          <w:noProof/>
        </w:rPr>
        <w:drawing>
          <wp:inline distT="0" distB="0" distL="0" distR="0" wp14:anchorId="77B502BA" wp14:editId="2C67F6B1">
            <wp:extent cx="4397628" cy="2076450"/>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041" cy="2093171"/>
                    </a:xfrm>
                    <a:prstGeom prst="rect">
                      <a:avLst/>
                    </a:prstGeom>
                    <a:noFill/>
                    <a:ln>
                      <a:noFill/>
                    </a:ln>
                  </pic:spPr>
                </pic:pic>
              </a:graphicData>
            </a:graphic>
          </wp:inline>
        </w:drawing>
      </w:r>
    </w:p>
    <w:p w14:paraId="48A968A8" w14:textId="4F252058" w:rsidR="00E70439" w:rsidRPr="000024BA" w:rsidRDefault="00E70439" w:rsidP="000024BA">
      <w:pPr>
        <w:pStyle w:val="CETBodytext"/>
        <w:rPr>
          <w:i/>
          <w:iCs/>
        </w:rPr>
      </w:pPr>
      <w:r w:rsidRPr="000024BA">
        <w:rPr>
          <w:i/>
          <w:iCs/>
        </w:rPr>
        <w:t>Fig</w:t>
      </w:r>
      <w:r w:rsidR="000024BA" w:rsidRPr="000024BA">
        <w:rPr>
          <w:i/>
          <w:iCs/>
        </w:rPr>
        <w:t xml:space="preserve">ure </w:t>
      </w:r>
      <w:r w:rsidRPr="000024BA">
        <w:rPr>
          <w:i/>
          <w:iCs/>
        </w:rPr>
        <w:t>1</w:t>
      </w:r>
      <w:r w:rsidR="000024BA" w:rsidRPr="000024BA">
        <w:rPr>
          <w:i/>
          <w:iCs/>
        </w:rPr>
        <w:t>:</w:t>
      </w:r>
      <w:r w:rsidRPr="000024BA">
        <w:rPr>
          <w:i/>
          <w:iCs/>
        </w:rPr>
        <w:t xml:space="preserve"> Diagram of the structure of the tube furnace (Purser furnace) with the gas </w:t>
      </w:r>
      <w:r w:rsidR="00F95C5E" w:rsidRPr="00F95C5E">
        <w:rPr>
          <w:i/>
          <w:iCs/>
          <w:color w:val="FF0000"/>
        </w:rPr>
        <w:t>chromatograph</w:t>
      </w:r>
      <w:r w:rsidRPr="000024BA">
        <w:rPr>
          <w:i/>
          <w:iCs/>
        </w:rPr>
        <w:t xml:space="preserve"> (own study)</w:t>
      </w:r>
    </w:p>
    <w:p w14:paraId="06E1D579" w14:textId="77777777" w:rsidR="00E70439" w:rsidRDefault="00E70439" w:rsidP="00381190">
      <w:pPr>
        <w:pStyle w:val="CETBodytext"/>
      </w:pPr>
    </w:p>
    <w:p w14:paraId="3238F12B" w14:textId="6F1624F8" w:rsidR="00673849" w:rsidRPr="00673849" w:rsidRDefault="00673849" w:rsidP="00673849">
      <w:pPr>
        <w:pStyle w:val="CETBodytext"/>
      </w:pPr>
      <w:r w:rsidRPr="00673849">
        <w:t xml:space="preserve">The test run was only valid if the original airflow rates were correct, </w:t>
      </w:r>
      <w:r w:rsidRPr="00923A53">
        <w:t>according to the ISO standard</w:t>
      </w:r>
      <w:r w:rsidRPr="00673849">
        <w:t>, and the selected steady-state conditions were maintained for at least 5 minutes during the test</w:t>
      </w:r>
      <w:r>
        <w:t xml:space="preserve"> (Table1)</w:t>
      </w:r>
      <w:r w:rsidRPr="00673849">
        <w:t>. If ignition occurred during a run without combustion or did not occur during a run with combustion, the furnace temperature was raised or lowered in 25°C increments until the required behavior was achieved.</w:t>
      </w:r>
    </w:p>
    <w:p w14:paraId="67F4C717" w14:textId="77777777" w:rsidR="00381190" w:rsidRPr="00B57B36" w:rsidRDefault="00381190" w:rsidP="00381190">
      <w:pPr>
        <w:pStyle w:val="CETTabletitle"/>
      </w:pPr>
      <w:r w:rsidRPr="00B57B36">
        <w:lastRenderedPageBreak/>
        <w:t xml:space="preserve">Table 1: </w:t>
      </w:r>
      <w:r w:rsidRPr="00C236F4">
        <w:t>Conditions used during measurements carried out with the Purser furnace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455"/>
        <w:gridCol w:w="1701"/>
        <w:gridCol w:w="1559"/>
        <w:gridCol w:w="1522"/>
      </w:tblGrid>
      <w:tr w:rsidR="00381190" w:rsidRPr="00B57B36" w14:paraId="420B7C0A" w14:textId="77777777" w:rsidTr="00ED65B0">
        <w:tc>
          <w:tcPr>
            <w:tcW w:w="3582" w:type="dxa"/>
            <w:gridSpan w:val="2"/>
            <w:tcBorders>
              <w:top w:val="single" w:sz="12" w:space="0" w:color="008000"/>
              <w:bottom w:val="single" w:sz="6" w:space="0" w:color="008000"/>
            </w:tcBorders>
            <w:shd w:val="clear" w:color="auto" w:fill="FFFFFF"/>
          </w:tcPr>
          <w:p w14:paraId="3486AB34" w14:textId="2F375926" w:rsidR="00381190" w:rsidRPr="007C04F2" w:rsidRDefault="003B165B" w:rsidP="00ED65B0">
            <w:pPr>
              <w:pStyle w:val="CETBodytext"/>
              <w:jc w:val="center"/>
              <w:rPr>
                <w:lang w:val="en-GB"/>
              </w:rPr>
            </w:pPr>
            <w:r>
              <w:rPr>
                <w:lang w:val="en-GB"/>
              </w:rPr>
              <w:t>P</w:t>
            </w:r>
            <w:r w:rsidR="00381190" w:rsidRPr="007C04F2">
              <w:rPr>
                <w:lang w:val="en-GB"/>
              </w:rPr>
              <w:t>hase of fire</w:t>
            </w:r>
          </w:p>
        </w:tc>
        <w:tc>
          <w:tcPr>
            <w:tcW w:w="1701" w:type="dxa"/>
            <w:tcBorders>
              <w:top w:val="single" w:sz="12" w:space="0" w:color="008000"/>
              <w:bottom w:val="single" w:sz="6" w:space="0" w:color="008000"/>
            </w:tcBorders>
            <w:shd w:val="clear" w:color="auto" w:fill="FFFFFF"/>
          </w:tcPr>
          <w:p w14:paraId="2D62A84F" w14:textId="77777777" w:rsidR="00381190" w:rsidRPr="00B57B36" w:rsidRDefault="00381190" w:rsidP="00ED65B0">
            <w:pPr>
              <w:pStyle w:val="CETBodytext"/>
              <w:jc w:val="center"/>
              <w:rPr>
                <w:lang w:val="en-GB"/>
              </w:rPr>
            </w:pPr>
            <w:r w:rsidRPr="007C04F2">
              <w:rPr>
                <w:lang w:val="en-GB"/>
              </w:rPr>
              <w:t>Purser furnace temperatur</w:t>
            </w:r>
            <w:r>
              <w:rPr>
                <w:lang w:val="en-GB"/>
              </w:rPr>
              <w:t xml:space="preserve">e, </w:t>
            </w:r>
            <w:r>
              <w:rPr>
                <w:lang w:val="en-GB"/>
              </w:rPr>
              <w:sym w:font="Symbol" w:char="F0B0"/>
            </w:r>
            <w:r>
              <w:rPr>
                <w:lang w:val="en-GB"/>
              </w:rPr>
              <w:t>C</w:t>
            </w:r>
          </w:p>
        </w:tc>
        <w:tc>
          <w:tcPr>
            <w:tcW w:w="1559" w:type="dxa"/>
            <w:tcBorders>
              <w:top w:val="single" w:sz="12" w:space="0" w:color="008000"/>
              <w:bottom w:val="single" w:sz="6" w:space="0" w:color="008000"/>
            </w:tcBorders>
            <w:shd w:val="clear" w:color="auto" w:fill="FFFFFF"/>
          </w:tcPr>
          <w:p w14:paraId="3CDF9DF0" w14:textId="77777777" w:rsidR="00381190" w:rsidRPr="00B57B36" w:rsidRDefault="00381190" w:rsidP="00ED65B0">
            <w:pPr>
              <w:pStyle w:val="CETBodytext"/>
              <w:jc w:val="center"/>
              <w:rPr>
                <w:lang w:val="en-GB"/>
              </w:rPr>
            </w:pPr>
            <w:r w:rsidRPr="000E3179">
              <w:rPr>
                <w:lang w:val="en-GB"/>
              </w:rPr>
              <w:t>Basic air flow rate</w:t>
            </w:r>
            <w:r>
              <w:rPr>
                <w:lang w:val="en-GB"/>
              </w:rPr>
              <w:t>, L/min</w:t>
            </w:r>
          </w:p>
        </w:tc>
        <w:tc>
          <w:tcPr>
            <w:tcW w:w="1522" w:type="dxa"/>
            <w:tcBorders>
              <w:top w:val="single" w:sz="12" w:space="0" w:color="008000"/>
              <w:bottom w:val="single" w:sz="6" w:space="0" w:color="008000"/>
            </w:tcBorders>
            <w:shd w:val="clear" w:color="auto" w:fill="FFFFFF"/>
          </w:tcPr>
          <w:p w14:paraId="69BAE5B7" w14:textId="77777777" w:rsidR="00381190" w:rsidRPr="00B57B36" w:rsidRDefault="00381190" w:rsidP="00ED65B0">
            <w:pPr>
              <w:pStyle w:val="CETBodytext"/>
              <w:ind w:right="-1"/>
              <w:jc w:val="center"/>
              <w:rPr>
                <w:rFonts w:cs="Arial"/>
                <w:szCs w:val="18"/>
                <w:lang w:val="en-GB"/>
              </w:rPr>
            </w:pPr>
            <w:r w:rsidRPr="000E3179">
              <w:rPr>
                <w:rFonts w:cs="Arial"/>
                <w:szCs w:val="18"/>
                <w:lang w:val="en-GB"/>
              </w:rPr>
              <w:t>Total air flow rate</w:t>
            </w:r>
            <w:r>
              <w:rPr>
                <w:rFonts w:cs="Arial"/>
                <w:szCs w:val="18"/>
                <w:lang w:val="en-GB"/>
              </w:rPr>
              <w:t>, L/min</w:t>
            </w:r>
          </w:p>
        </w:tc>
      </w:tr>
      <w:tr w:rsidR="00381190" w:rsidRPr="00B57B36" w14:paraId="7DE002DF" w14:textId="77777777" w:rsidTr="00ED65B0">
        <w:tc>
          <w:tcPr>
            <w:tcW w:w="2127" w:type="dxa"/>
            <w:shd w:val="clear" w:color="auto" w:fill="FFFFFF"/>
          </w:tcPr>
          <w:p w14:paraId="4DA26E50" w14:textId="5E0CDA5D" w:rsidR="00381190" w:rsidRPr="00B57B36" w:rsidRDefault="003B165B" w:rsidP="00ED65B0">
            <w:pPr>
              <w:pStyle w:val="CETBodytext"/>
              <w:numPr>
                <w:ilvl w:val="0"/>
                <w:numId w:val="23"/>
              </w:numPr>
              <w:rPr>
                <w:lang w:val="en-GB"/>
              </w:rPr>
            </w:pPr>
            <w:r>
              <w:rPr>
                <w:lang w:val="en-GB"/>
              </w:rPr>
              <w:t>Non-flaming</w:t>
            </w:r>
          </w:p>
        </w:tc>
        <w:tc>
          <w:tcPr>
            <w:tcW w:w="1455" w:type="dxa"/>
            <w:shd w:val="clear" w:color="auto" w:fill="FFFFFF"/>
          </w:tcPr>
          <w:p w14:paraId="6B6ED55E" w14:textId="27CD5AB8" w:rsidR="00381190" w:rsidRDefault="00381190" w:rsidP="00ED65B0">
            <w:pPr>
              <w:pStyle w:val="CETBodytext"/>
              <w:jc w:val="center"/>
              <w:rPr>
                <w:lang w:val="en-GB"/>
              </w:rPr>
            </w:pPr>
            <w:r w:rsidRPr="00C236F4">
              <w:rPr>
                <w:lang w:val="en-GB"/>
              </w:rPr>
              <w:t xml:space="preserve">1b. </w:t>
            </w:r>
            <w:r w:rsidR="003B165B" w:rsidRPr="003B165B">
              <w:rPr>
                <w:lang w:val="en-GB"/>
              </w:rPr>
              <w:t>Oxidative pyrolysis from externally applied radiation</w:t>
            </w:r>
          </w:p>
        </w:tc>
        <w:tc>
          <w:tcPr>
            <w:tcW w:w="1701" w:type="dxa"/>
            <w:shd w:val="clear" w:color="auto" w:fill="FFFFFF"/>
          </w:tcPr>
          <w:p w14:paraId="15FC5CFB" w14:textId="77777777" w:rsidR="00381190" w:rsidRPr="00B57B36" w:rsidRDefault="00381190" w:rsidP="00ED65B0">
            <w:pPr>
              <w:pStyle w:val="CETBodytext"/>
              <w:jc w:val="center"/>
              <w:rPr>
                <w:lang w:val="en-GB"/>
              </w:rPr>
            </w:pPr>
            <w:r>
              <w:rPr>
                <w:lang w:val="en-GB"/>
              </w:rPr>
              <w:t>350</w:t>
            </w:r>
          </w:p>
        </w:tc>
        <w:tc>
          <w:tcPr>
            <w:tcW w:w="1559" w:type="dxa"/>
            <w:shd w:val="clear" w:color="auto" w:fill="FFFFFF"/>
          </w:tcPr>
          <w:p w14:paraId="0D87B6F8" w14:textId="77777777" w:rsidR="00381190" w:rsidRPr="00B57B36" w:rsidRDefault="00381190" w:rsidP="00ED65B0">
            <w:pPr>
              <w:pStyle w:val="CETBodytext"/>
              <w:jc w:val="center"/>
              <w:rPr>
                <w:lang w:val="en-GB"/>
              </w:rPr>
            </w:pPr>
            <w:r>
              <w:rPr>
                <w:lang w:val="en-GB"/>
              </w:rPr>
              <w:t>2</w:t>
            </w:r>
          </w:p>
        </w:tc>
        <w:tc>
          <w:tcPr>
            <w:tcW w:w="1522" w:type="dxa"/>
            <w:shd w:val="clear" w:color="auto" w:fill="FFFFFF"/>
          </w:tcPr>
          <w:p w14:paraId="2A82FAE6" w14:textId="77777777" w:rsidR="00381190" w:rsidRPr="00B57B36" w:rsidRDefault="00381190" w:rsidP="00ED65B0">
            <w:pPr>
              <w:pStyle w:val="CETBodytext"/>
              <w:ind w:right="-1"/>
              <w:jc w:val="center"/>
              <w:rPr>
                <w:rFonts w:cs="Arial"/>
                <w:szCs w:val="18"/>
                <w:lang w:val="en-GB"/>
              </w:rPr>
            </w:pPr>
            <w:r>
              <w:rPr>
                <w:rFonts w:cs="Arial"/>
                <w:szCs w:val="18"/>
                <w:lang w:val="en-GB"/>
              </w:rPr>
              <w:t>50</w:t>
            </w:r>
          </w:p>
        </w:tc>
      </w:tr>
      <w:tr w:rsidR="00381190" w:rsidRPr="00B57B36" w14:paraId="7623781C" w14:textId="77777777" w:rsidTr="00ED65B0">
        <w:tc>
          <w:tcPr>
            <w:tcW w:w="3582" w:type="dxa"/>
            <w:gridSpan w:val="2"/>
            <w:shd w:val="clear" w:color="auto" w:fill="FFFFFF"/>
          </w:tcPr>
          <w:p w14:paraId="15DB237E" w14:textId="1931E238" w:rsidR="00381190" w:rsidRDefault="003B165B" w:rsidP="003B165B">
            <w:pPr>
              <w:pStyle w:val="CETBodytext"/>
              <w:numPr>
                <w:ilvl w:val="0"/>
                <w:numId w:val="23"/>
              </w:numPr>
              <w:rPr>
                <w:lang w:val="en-GB"/>
              </w:rPr>
            </w:pPr>
            <w:r w:rsidRPr="003B165B">
              <w:rPr>
                <w:lang w:val="en-GB"/>
              </w:rPr>
              <w:t>Well-ventilated flaming (representing a flaming, developing fire)</w:t>
            </w:r>
          </w:p>
        </w:tc>
        <w:tc>
          <w:tcPr>
            <w:tcW w:w="1701" w:type="dxa"/>
            <w:shd w:val="clear" w:color="auto" w:fill="FFFFFF"/>
          </w:tcPr>
          <w:p w14:paraId="12ED63A1" w14:textId="77777777" w:rsidR="00381190" w:rsidRPr="00B57B36" w:rsidRDefault="00381190" w:rsidP="00ED65B0">
            <w:pPr>
              <w:pStyle w:val="CETBodytext"/>
              <w:jc w:val="center"/>
              <w:rPr>
                <w:lang w:val="en-GB"/>
              </w:rPr>
            </w:pPr>
            <w:r>
              <w:rPr>
                <w:lang w:val="en-GB"/>
              </w:rPr>
              <w:t>650</w:t>
            </w:r>
          </w:p>
        </w:tc>
        <w:tc>
          <w:tcPr>
            <w:tcW w:w="1559" w:type="dxa"/>
            <w:shd w:val="clear" w:color="auto" w:fill="FFFFFF"/>
          </w:tcPr>
          <w:p w14:paraId="3813DC93" w14:textId="77777777" w:rsidR="00381190" w:rsidRPr="00B57B36" w:rsidRDefault="00381190" w:rsidP="00ED65B0">
            <w:pPr>
              <w:pStyle w:val="CETBodytext"/>
              <w:jc w:val="center"/>
              <w:rPr>
                <w:lang w:val="en-GB"/>
              </w:rPr>
            </w:pPr>
            <w:r>
              <w:rPr>
                <w:lang w:val="en-GB"/>
              </w:rPr>
              <w:t>10</w:t>
            </w:r>
          </w:p>
        </w:tc>
        <w:tc>
          <w:tcPr>
            <w:tcW w:w="1522" w:type="dxa"/>
            <w:shd w:val="clear" w:color="auto" w:fill="FFFFFF"/>
          </w:tcPr>
          <w:p w14:paraId="6D01B902" w14:textId="77777777" w:rsidR="00381190" w:rsidRPr="00B57B36" w:rsidRDefault="00381190" w:rsidP="00ED65B0">
            <w:pPr>
              <w:pStyle w:val="CETBodytext"/>
              <w:ind w:right="-1"/>
              <w:jc w:val="center"/>
              <w:rPr>
                <w:rFonts w:cs="Arial"/>
                <w:szCs w:val="18"/>
                <w:lang w:val="en-GB"/>
              </w:rPr>
            </w:pPr>
            <w:r>
              <w:rPr>
                <w:rFonts w:cs="Arial"/>
                <w:szCs w:val="18"/>
                <w:lang w:val="en-GB"/>
              </w:rPr>
              <w:t>50</w:t>
            </w:r>
          </w:p>
        </w:tc>
      </w:tr>
    </w:tbl>
    <w:p w14:paraId="791C616A" w14:textId="77777777" w:rsidR="008B232B" w:rsidRDefault="008B232B" w:rsidP="00453E24">
      <w:pPr>
        <w:pStyle w:val="CETBodytext"/>
      </w:pPr>
    </w:p>
    <w:p w14:paraId="27119ACC" w14:textId="086AB263" w:rsidR="002D3A13" w:rsidRDefault="008B232B" w:rsidP="002D3A13">
      <w:pPr>
        <w:pStyle w:val="CETBodytext"/>
      </w:pPr>
      <w:r w:rsidRPr="008B232B">
        <w:t>Volatile and semi-volatile compounds released during thermal degradation and combustion of selected materials were analyzed using a gas chromatograph (GC 7890 A from Agilent Technologies, Hanover, USA) with a mass spectrometer (MSD 5975 from Agilent Technologies, Hanover, USA).</w:t>
      </w:r>
      <w:r w:rsidR="00EC72CF">
        <w:t xml:space="preserve"> </w:t>
      </w:r>
      <w:r w:rsidR="00EC72CF" w:rsidRPr="00EC72CF">
        <w:t xml:space="preserve">In order to achieve the desired results, solid-phase microextraction (SPME) was used as a technique to combine sampling and concentrating analyses, as well as introducing them into the chromatographic system </w:t>
      </w:r>
      <w:r w:rsidR="00243496">
        <w:t>(Borucka et al., 2023</w:t>
      </w:r>
      <w:r w:rsidR="00243496" w:rsidRPr="00243496">
        <w:t>)</w:t>
      </w:r>
      <w:r w:rsidR="00EC72CF" w:rsidRPr="00243496">
        <w:t>.</w:t>
      </w:r>
      <w:r w:rsidR="00EC72CF">
        <w:t xml:space="preserve"> </w:t>
      </w:r>
      <w:r w:rsidR="00EC72CF" w:rsidRPr="00EC72CF">
        <w:t xml:space="preserve">A sample of the substance was taken from the mixing chamber by inserting SPME into </w:t>
      </w:r>
      <w:r w:rsidR="00EC72CF" w:rsidRPr="006F3595">
        <w:t xml:space="preserve">the sampling ports using a </w:t>
      </w:r>
      <w:r w:rsidR="006F3595" w:rsidRPr="006F3595">
        <w:t>divinylbenzene/carboxen/polydimethylsiloxane f</w:t>
      </w:r>
      <w:r w:rsidR="00EC72CF" w:rsidRPr="006F3595">
        <w:t>iber</w:t>
      </w:r>
      <w:r w:rsidR="006F3595" w:rsidRPr="006F3595">
        <w:t xml:space="preserve"> </w:t>
      </w:r>
      <w:r w:rsidR="00333FDB" w:rsidRPr="006F3595">
        <w:t>(DVB/CAR/PDMS)</w:t>
      </w:r>
      <w:r w:rsidR="00EC72CF" w:rsidRPr="006F3595">
        <w:t xml:space="preserve"> (</w:t>
      </w:r>
      <w:r w:rsidR="00EC72CF" w:rsidRPr="00EC72CF">
        <w:t>Supelco, Bellefonte, USA).</w:t>
      </w:r>
      <w:r w:rsidR="002D3A13">
        <w:t xml:space="preserve"> Before use, the fibers were conditioned in the injection port, according to the manufacturer's instructions. After the SPME syringe was inserted into the mixing chamber, the gaseous thermal decomposition products were sorbed onto the SPME fiber. After collection (5 min), the SPME fiber was removed from the chamber and immediately desorbed in the GC injector for analysis.</w:t>
      </w:r>
    </w:p>
    <w:p w14:paraId="696C5913" w14:textId="245F0B59" w:rsidR="002D3A13" w:rsidRPr="002D3A13" w:rsidRDefault="002D3A13" w:rsidP="002D3A13">
      <w:pPr>
        <w:pStyle w:val="CETBodytext"/>
        <w:rPr>
          <w:highlight w:val="yellow"/>
        </w:rPr>
      </w:pPr>
      <w:r>
        <w:t>Chromatographic separation was achieved on an HP-</w:t>
      </w:r>
      <w:r w:rsidRPr="00E76D6E">
        <w:t>5MS fused silica capillary column (30 m × 0.25 mm × 0.25 μm layer thickness) using helium as carrier gas at a rate of 1 ml/min.</w:t>
      </w:r>
      <w:r w:rsidR="000E277A">
        <w:t xml:space="preserve"> </w:t>
      </w:r>
      <w:r w:rsidR="000E277A" w:rsidRPr="000E277A">
        <w:t>The method of conducting the measurement involved 3 steps. The oven temperature was maintained at 35 °C for 3 minutes, then increased by 6 °C/min to 90 °C and maintained for 4 minutes. In the next stage, the temperature was increased by 8 °C/min to 200 °C and maintained for 4 minutes. Finally, the temperature was increased at 12 °C/min to 250 °C and held for 7 min</w:t>
      </w:r>
      <w:r w:rsidR="000E277A">
        <w:t>utes</w:t>
      </w:r>
      <w:r w:rsidR="000E277A" w:rsidRPr="000E277A">
        <w:t>.</w:t>
      </w:r>
      <w:r w:rsidR="000E277A">
        <w:t xml:space="preserve"> </w:t>
      </w:r>
      <w:r w:rsidRPr="000E277A">
        <w:t>The GC injector port had a temperature of 250 °C. The MSD was operated by electronic shock (70 eV) in scan mode (25-450 m/z).</w:t>
      </w:r>
    </w:p>
    <w:p w14:paraId="2F27BE9E" w14:textId="377603B3" w:rsidR="00EC72CF" w:rsidRDefault="002D3A13" w:rsidP="00453E24">
      <w:pPr>
        <w:pStyle w:val="CETBodytext"/>
      </w:pPr>
      <w:r w:rsidRPr="00E76D6E">
        <w:t xml:space="preserve">Chromatographic peaks were identified by comparing the mass ion of each peak with the NIST MS library. Only compounds with </w:t>
      </w:r>
      <w:r w:rsidR="00A10B74" w:rsidRPr="00E76D6E">
        <w:t>a probability higher than 60</w:t>
      </w:r>
      <w:r w:rsidRPr="00E76D6E">
        <w:t>% were included based on the NIST library.</w:t>
      </w:r>
    </w:p>
    <w:p w14:paraId="00A64CB7" w14:textId="496CE5B3" w:rsidR="00BE1A69" w:rsidRPr="00B57B36" w:rsidRDefault="00BE1A69" w:rsidP="00BE1A69">
      <w:pPr>
        <w:pStyle w:val="CETHeading1"/>
        <w:rPr>
          <w:lang w:val="en-GB"/>
        </w:rPr>
      </w:pPr>
      <w:r>
        <w:rPr>
          <w:lang w:val="en-GB"/>
        </w:rPr>
        <w:t>Results and discussion</w:t>
      </w:r>
    </w:p>
    <w:p w14:paraId="634EB565" w14:textId="0014E3E9" w:rsidR="00F023BB" w:rsidRPr="00F023BB" w:rsidRDefault="00F023BB" w:rsidP="008E66AE">
      <w:pPr>
        <w:pStyle w:val="CETTabletitle"/>
        <w:keepNext w:val="0"/>
        <w:jc w:val="both"/>
        <w:rPr>
          <w:b/>
          <w:bCs/>
          <w:i w:val="0"/>
          <w:iCs/>
        </w:rPr>
      </w:pPr>
      <w:r w:rsidRPr="00F023BB">
        <w:rPr>
          <w:b/>
          <w:bCs/>
          <w:i w:val="0"/>
          <w:iCs/>
        </w:rPr>
        <w:t xml:space="preserve">3.1 </w:t>
      </w:r>
      <w:r w:rsidR="003A3058">
        <w:rPr>
          <w:b/>
          <w:bCs/>
          <w:i w:val="0"/>
          <w:iCs/>
        </w:rPr>
        <w:t>Fire behaviour</w:t>
      </w:r>
    </w:p>
    <w:p w14:paraId="17FA29D8" w14:textId="3B811D52" w:rsidR="006238FC" w:rsidRDefault="00F023BB" w:rsidP="00F023BB">
      <w:pPr>
        <w:pStyle w:val="CETTabletitle"/>
        <w:keepNext w:val="0"/>
        <w:spacing w:before="120"/>
        <w:jc w:val="both"/>
        <w:rPr>
          <w:i w:val="0"/>
          <w:iCs/>
        </w:rPr>
      </w:pPr>
      <w:r w:rsidRPr="00F023BB">
        <w:rPr>
          <w:i w:val="0"/>
          <w:iCs/>
        </w:rPr>
        <w:t>Table 1 summarises the results obtained during combustion on the cone calorimeter, such as the maximum heat release rate peak (pHRR) and the time to obtain this peak (t-pHRR), the total smoke released (TSR) and the total heat released (THR).</w:t>
      </w:r>
    </w:p>
    <w:p w14:paraId="57D67251" w14:textId="69CF0B8E" w:rsidR="006238FC" w:rsidRDefault="006238FC" w:rsidP="006238FC">
      <w:pPr>
        <w:pStyle w:val="CETTabletitle"/>
      </w:pPr>
      <w:r w:rsidRPr="00B57B36">
        <w:t xml:space="preserve">Table </w:t>
      </w:r>
      <w:r>
        <w:t>2</w:t>
      </w:r>
      <w:r w:rsidRPr="00B57B36">
        <w:t xml:space="preserve">: </w:t>
      </w:r>
      <w:r w:rsidR="00DF223B" w:rsidRPr="00DF223B">
        <w:t xml:space="preserve">Comparison of calorimetric parameters of the </w:t>
      </w:r>
      <w:r w:rsidR="00DF223B">
        <w:t>testing materials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1"/>
        <w:gridCol w:w="1791"/>
        <w:gridCol w:w="1701"/>
        <w:gridCol w:w="1701"/>
        <w:gridCol w:w="1559"/>
      </w:tblGrid>
      <w:tr w:rsidR="00996691" w:rsidRPr="00B57B36" w14:paraId="4015F31D" w14:textId="77777777" w:rsidTr="00F9781F">
        <w:tc>
          <w:tcPr>
            <w:tcW w:w="1791" w:type="dxa"/>
            <w:tcBorders>
              <w:top w:val="single" w:sz="12" w:space="0" w:color="008000"/>
              <w:bottom w:val="single" w:sz="6" w:space="0" w:color="008000"/>
            </w:tcBorders>
            <w:shd w:val="clear" w:color="auto" w:fill="FFFFFF"/>
          </w:tcPr>
          <w:p w14:paraId="642EF727" w14:textId="5D43C7FB" w:rsidR="00996691" w:rsidRPr="007C04F2" w:rsidRDefault="00996691" w:rsidP="00996691">
            <w:pPr>
              <w:pStyle w:val="CETBodytext"/>
              <w:jc w:val="center"/>
              <w:rPr>
                <w:lang w:val="en-GB"/>
              </w:rPr>
            </w:pPr>
            <w:r>
              <w:rPr>
                <w:lang w:val="en-GB"/>
              </w:rPr>
              <w:t>Material</w:t>
            </w:r>
          </w:p>
        </w:tc>
        <w:tc>
          <w:tcPr>
            <w:tcW w:w="1791" w:type="dxa"/>
            <w:tcBorders>
              <w:top w:val="single" w:sz="12" w:space="0" w:color="008000"/>
              <w:bottom w:val="single" w:sz="6" w:space="0" w:color="008000"/>
            </w:tcBorders>
            <w:shd w:val="clear" w:color="auto" w:fill="FFFFFF"/>
          </w:tcPr>
          <w:p w14:paraId="0E76E13E" w14:textId="77A61069" w:rsidR="00996691" w:rsidRPr="007C04F2" w:rsidRDefault="00996691" w:rsidP="00996691">
            <w:pPr>
              <w:pStyle w:val="CETBodytext"/>
              <w:jc w:val="center"/>
              <w:rPr>
                <w:lang w:val="en-GB"/>
              </w:rPr>
            </w:pPr>
            <w:r>
              <w:rPr>
                <w:lang w:val="en-GB"/>
              </w:rPr>
              <w:t>pHRR, kW/m</w:t>
            </w:r>
            <w:r w:rsidRPr="00996691">
              <w:rPr>
                <w:vertAlign w:val="superscript"/>
                <w:lang w:val="en-GB"/>
              </w:rPr>
              <w:t>2</w:t>
            </w:r>
          </w:p>
        </w:tc>
        <w:tc>
          <w:tcPr>
            <w:tcW w:w="1701" w:type="dxa"/>
            <w:tcBorders>
              <w:top w:val="single" w:sz="12" w:space="0" w:color="008000"/>
              <w:bottom w:val="single" w:sz="6" w:space="0" w:color="008000"/>
            </w:tcBorders>
            <w:shd w:val="clear" w:color="auto" w:fill="FFFFFF"/>
          </w:tcPr>
          <w:p w14:paraId="42FA2CB9" w14:textId="16E81345" w:rsidR="00996691" w:rsidRDefault="007361A8" w:rsidP="00996691">
            <w:pPr>
              <w:pStyle w:val="CETBodytext"/>
              <w:jc w:val="center"/>
              <w:rPr>
                <w:lang w:val="en-GB"/>
              </w:rPr>
            </w:pPr>
            <w:r>
              <w:rPr>
                <w:lang w:val="en-GB"/>
              </w:rPr>
              <w:t xml:space="preserve">t-pHRR, </w:t>
            </w:r>
            <w:r w:rsidR="00C54BB5">
              <w:rPr>
                <w:lang w:val="en-GB"/>
              </w:rPr>
              <w:t>s</w:t>
            </w:r>
          </w:p>
        </w:tc>
        <w:tc>
          <w:tcPr>
            <w:tcW w:w="1701" w:type="dxa"/>
            <w:tcBorders>
              <w:top w:val="single" w:sz="12" w:space="0" w:color="008000"/>
              <w:bottom w:val="single" w:sz="6" w:space="0" w:color="008000"/>
            </w:tcBorders>
            <w:shd w:val="clear" w:color="auto" w:fill="FFFFFF"/>
          </w:tcPr>
          <w:p w14:paraId="01ABB89B" w14:textId="0537A679" w:rsidR="00996691" w:rsidRPr="00B57B36" w:rsidRDefault="00996691" w:rsidP="00996691">
            <w:pPr>
              <w:pStyle w:val="CETBodytext"/>
              <w:jc w:val="center"/>
              <w:rPr>
                <w:lang w:val="en-GB"/>
              </w:rPr>
            </w:pPr>
            <w:r>
              <w:rPr>
                <w:lang w:val="en-GB"/>
              </w:rPr>
              <w:t>TSR, m</w:t>
            </w:r>
            <w:r w:rsidRPr="00996691">
              <w:rPr>
                <w:vertAlign w:val="superscript"/>
                <w:lang w:val="en-GB"/>
              </w:rPr>
              <w:t>2</w:t>
            </w:r>
            <w:r>
              <w:rPr>
                <w:lang w:val="en-GB"/>
              </w:rPr>
              <w:t>/m</w:t>
            </w:r>
            <w:r w:rsidRPr="00996691">
              <w:rPr>
                <w:vertAlign w:val="superscript"/>
                <w:lang w:val="en-GB"/>
              </w:rPr>
              <w:t>2</w:t>
            </w:r>
          </w:p>
        </w:tc>
        <w:tc>
          <w:tcPr>
            <w:tcW w:w="1559" w:type="dxa"/>
            <w:tcBorders>
              <w:top w:val="single" w:sz="12" w:space="0" w:color="008000"/>
              <w:bottom w:val="single" w:sz="6" w:space="0" w:color="008000"/>
            </w:tcBorders>
            <w:shd w:val="clear" w:color="auto" w:fill="FFFFFF"/>
          </w:tcPr>
          <w:p w14:paraId="33D5C4D0" w14:textId="0CB4CABC" w:rsidR="00996691" w:rsidRPr="00B57B36" w:rsidRDefault="00996691" w:rsidP="00996691">
            <w:pPr>
              <w:pStyle w:val="CETBodytext"/>
              <w:jc w:val="center"/>
              <w:rPr>
                <w:lang w:val="en-GB"/>
              </w:rPr>
            </w:pPr>
            <w:r>
              <w:rPr>
                <w:lang w:val="en-GB"/>
              </w:rPr>
              <w:t>THR, MJ/m</w:t>
            </w:r>
            <w:r w:rsidRPr="00996691">
              <w:rPr>
                <w:vertAlign w:val="superscript"/>
                <w:lang w:val="en-GB"/>
              </w:rPr>
              <w:t>2</w:t>
            </w:r>
          </w:p>
        </w:tc>
      </w:tr>
      <w:tr w:rsidR="00996691" w:rsidRPr="00B57B36" w14:paraId="5D6983E1" w14:textId="77777777" w:rsidTr="00F9781F">
        <w:tc>
          <w:tcPr>
            <w:tcW w:w="1791" w:type="dxa"/>
            <w:shd w:val="clear" w:color="auto" w:fill="FFFFFF"/>
          </w:tcPr>
          <w:p w14:paraId="251C8630" w14:textId="7461D4A5" w:rsidR="00996691" w:rsidRPr="00B57B36" w:rsidRDefault="00996691" w:rsidP="00996691">
            <w:pPr>
              <w:pStyle w:val="CETBodytext"/>
              <w:jc w:val="center"/>
              <w:rPr>
                <w:lang w:val="en-GB"/>
              </w:rPr>
            </w:pPr>
            <w:r>
              <w:rPr>
                <w:lang w:val="en-GB"/>
              </w:rPr>
              <w:t>Pellet</w:t>
            </w:r>
          </w:p>
        </w:tc>
        <w:tc>
          <w:tcPr>
            <w:tcW w:w="1791" w:type="dxa"/>
            <w:shd w:val="clear" w:color="auto" w:fill="FFFFFF"/>
          </w:tcPr>
          <w:p w14:paraId="5254B36E" w14:textId="7F11C676" w:rsidR="00996691" w:rsidRDefault="00996691" w:rsidP="00996691">
            <w:pPr>
              <w:pStyle w:val="CETBodytext"/>
              <w:jc w:val="center"/>
              <w:rPr>
                <w:lang w:val="en-GB"/>
              </w:rPr>
            </w:pPr>
            <w:r w:rsidRPr="00996691">
              <w:rPr>
                <w:lang w:val="en-GB"/>
              </w:rPr>
              <w:t>242 (9)</w:t>
            </w:r>
          </w:p>
        </w:tc>
        <w:tc>
          <w:tcPr>
            <w:tcW w:w="1701" w:type="dxa"/>
            <w:shd w:val="clear" w:color="auto" w:fill="FFFFFF"/>
          </w:tcPr>
          <w:p w14:paraId="1D4F9C79" w14:textId="38D57AD8" w:rsidR="00996691" w:rsidRPr="00B57B36" w:rsidRDefault="00996691" w:rsidP="00996691">
            <w:pPr>
              <w:pStyle w:val="CETBodytext"/>
              <w:jc w:val="center"/>
              <w:rPr>
                <w:lang w:val="en-GB"/>
              </w:rPr>
            </w:pPr>
            <w:r w:rsidRPr="00996691">
              <w:rPr>
                <w:lang w:val="en-GB"/>
              </w:rPr>
              <w:t>485 (0)</w:t>
            </w:r>
          </w:p>
        </w:tc>
        <w:tc>
          <w:tcPr>
            <w:tcW w:w="1701" w:type="dxa"/>
            <w:shd w:val="clear" w:color="auto" w:fill="FFFFFF"/>
          </w:tcPr>
          <w:p w14:paraId="1674748E" w14:textId="7755B4AD" w:rsidR="00996691" w:rsidRPr="00B57B36" w:rsidRDefault="00996691" w:rsidP="00996691">
            <w:pPr>
              <w:pStyle w:val="CETBodytext"/>
              <w:jc w:val="center"/>
              <w:rPr>
                <w:lang w:val="en-GB"/>
              </w:rPr>
            </w:pPr>
            <w:r w:rsidRPr="00996691">
              <w:rPr>
                <w:lang w:val="en-GB"/>
              </w:rPr>
              <w:t>1834 (2)</w:t>
            </w:r>
          </w:p>
        </w:tc>
        <w:tc>
          <w:tcPr>
            <w:tcW w:w="1559" w:type="dxa"/>
            <w:shd w:val="clear" w:color="auto" w:fill="FFFFFF"/>
          </w:tcPr>
          <w:p w14:paraId="0CA82D27" w14:textId="6C288497" w:rsidR="00996691" w:rsidRPr="00B57B36" w:rsidRDefault="00996691" w:rsidP="00996691">
            <w:pPr>
              <w:pStyle w:val="CETBodytext"/>
              <w:jc w:val="center"/>
              <w:rPr>
                <w:lang w:val="en-GB"/>
              </w:rPr>
            </w:pPr>
            <w:r w:rsidRPr="00996691">
              <w:rPr>
                <w:lang w:val="en-GB"/>
              </w:rPr>
              <w:t>115 (2)</w:t>
            </w:r>
          </w:p>
        </w:tc>
      </w:tr>
      <w:tr w:rsidR="00996691" w:rsidRPr="00B57B36" w14:paraId="7CD3A742" w14:textId="77777777" w:rsidTr="00F9781F">
        <w:tc>
          <w:tcPr>
            <w:tcW w:w="1791" w:type="dxa"/>
            <w:shd w:val="clear" w:color="auto" w:fill="FFFFFF"/>
          </w:tcPr>
          <w:p w14:paraId="1CB92B3A" w14:textId="2B8320AD" w:rsidR="00996691" w:rsidRDefault="00996691" w:rsidP="00996691">
            <w:pPr>
              <w:pStyle w:val="CETBodytext"/>
              <w:jc w:val="center"/>
              <w:rPr>
                <w:lang w:val="en-GB"/>
              </w:rPr>
            </w:pPr>
            <w:r>
              <w:rPr>
                <w:lang w:val="en-GB"/>
              </w:rPr>
              <w:t>Wood-based panel</w:t>
            </w:r>
          </w:p>
        </w:tc>
        <w:tc>
          <w:tcPr>
            <w:tcW w:w="1791" w:type="dxa"/>
            <w:shd w:val="clear" w:color="auto" w:fill="FFFFFF"/>
          </w:tcPr>
          <w:p w14:paraId="33F53D09" w14:textId="27AF9000" w:rsidR="00996691" w:rsidRDefault="00996691" w:rsidP="00996691">
            <w:pPr>
              <w:pStyle w:val="CETBodytext"/>
              <w:jc w:val="center"/>
              <w:rPr>
                <w:lang w:val="en-GB"/>
              </w:rPr>
            </w:pPr>
            <w:r>
              <w:rPr>
                <w:lang w:val="en-GB"/>
              </w:rPr>
              <w:t>244 (17)</w:t>
            </w:r>
          </w:p>
        </w:tc>
        <w:tc>
          <w:tcPr>
            <w:tcW w:w="1701" w:type="dxa"/>
            <w:shd w:val="clear" w:color="auto" w:fill="FFFFFF"/>
          </w:tcPr>
          <w:p w14:paraId="36153713" w14:textId="24A54D21" w:rsidR="00996691" w:rsidRPr="00B57B36" w:rsidRDefault="00996691" w:rsidP="00996691">
            <w:pPr>
              <w:pStyle w:val="CETBodytext"/>
              <w:jc w:val="center"/>
              <w:rPr>
                <w:lang w:val="en-GB"/>
              </w:rPr>
            </w:pPr>
            <w:r>
              <w:rPr>
                <w:lang w:val="en-GB"/>
              </w:rPr>
              <w:t>85 (0)</w:t>
            </w:r>
          </w:p>
        </w:tc>
        <w:tc>
          <w:tcPr>
            <w:tcW w:w="1701" w:type="dxa"/>
            <w:shd w:val="clear" w:color="auto" w:fill="FFFFFF"/>
          </w:tcPr>
          <w:p w14:paraId="62334421" w14:textId="4851BFE5" w:rsidR="00996691" w:rsidRPr="00B57B36" w:rsidRDefault="00996691" w:rsidP="00996691">
            <w:pPr>
              <w:pStyle w:val="CETBodytext"/>
              <w:jc w:val="center"/>
              <w:rPr>
                <w:lang w:val="en-GB"/>
              </w:rPr>
            </w:pPr>
            <w:r w:rsidRPr="00996691">
              <w:rPr>
                <w:lang w:val="en-GB"/>
              </w:rPr>
              <w:t>1542 (15)</w:t>
            </w:r>
          </w:p>
        </w:tc>
        <w:tc>
          <w:tcPr>
            <w:tcW w:w="1559" w:type="dxa"/>
            <w:shd w:val="clear" w:color="auto" w:fill="FFFFFF"/>
          </w:tcPr>
          <w:p w14:paraId="63C9993A" w14:textId="672D4A40" w:rsidR="00996691" w:rsidRPr="00B57B36" w:rsidRDefault="00996691" w:rsidP="00996691">
            <w:pPr>
              <w:pStyle w:val="CETBodytext"/>
              <w:jc w:val="center"/>
              <w:rPr>
                <w:lang w:val="en-GB"/>
              </w:rPr>
            </w:pPr>
            <w:r w:rsidRPr="00996691">
              <w:rPr>
                <w:lang w:val="en-GB"/>
              </w:rPr>
              <w:t>165 (27)</w:t>
            </w:r>
          </w:p>
        </w:tc>
      </w:tr>
    </w:tbl>
    <w:p w14:paraId="0BAD5F27" w14:textId="1EC02B42" w:rsidR="00F023BB" w:rsidRDefault="00043A0C" w:rsidP="00996691">
      <w:pPr>
        <w:pStyle w:val="CETTabletitle"/>
        <w:keepNext w:val="0"/>
        <w:jc w:val="both"/>
        <w:rPr>
          <w:i w:val="0"/>
          <w:iCs/>
        </w:rPr>
      </w:pPr>
      <w:r w:rsidRPr="00043A0C">
        <w:rPr>
          <w:i w:val="0"/>
          <w:iCs/>
        </w:rPr>
        <w:t>A key parameter in assessing the flammability of materials is the maximum heat release rate HRR.</w:t>
      </w:r>
      <w:r>
        <w:rPr>
          <w:i w:val="0"/>
          <w:iCs/>
        </w:rPr>
        <w:t xml:space="preserve"> </w:t>
      </w:r>
      <w:r w:rsidR="00153EA7">
        <w:rPr>
          <w:i w:val="0"/>
          <w:iCs/>
        </w:rPr>
        <w:t>The value of this parameter is similar for both materials.</w:t>
      </w:r>
      <w:r w:rsidR="00F31A98">
        <w:rPr>
          <w:i w:val="0"/>
          <w:iCs/>
        </w:rPr>
        <w:t xml:space="preserve"> </w:t>
      </w:r>
      <w:r w:rsidR="003A3058" w:rsidRPr="003A3058">
        <w:rPr>
          <w:i w:val="0"/>
          <w:iCs/>
        </w:rPr>
        <w:t>The time to maximum heat release rate was significantly higher for pellets.</w:t>
      </w:r>
      <w:r w:rsidR="003A3058">
        <w:rPr>
          <w:i w:val="0"/>
          <w:iCs/>
        </w:rPr>
        <w:t xml:space="preserve"> </w:t>
      </w:r>
      <w:r w:rsidR="003A3058" w:rsidRPr="003A3058">
        <w:rPr>
          <w:i w:val="0"/>
          <w:iCs/>
        </w:rPr>
        <w:t>The amount of heat and smoke released was similar for both materials.</w:t>
      </w:r>
    </w:p>
    <w:p w14:paraId="681B5DC4" w14:textId="350717E8" w:rsidR="003A3058" w:rsidRPr="00F023BB" w:rsidRDefault="003A3058" w:rsidP="003A3058">
      <w:pPr>
        <w:pStyle w:val="CETTabletitle"/>
        <w:keepNext w:val="0"/>
        <w:jc w:val="both"/>
        <w:rPr>
          <w:b/>
          <w:bCs/>
          <w:i w:val="0"/>
          <w:iCs/>
        </w:rPr>
      </w:pPr>
      <w:r w:rsidRPr="00F023BB">
        <w:rPr>
          <w:b/>
          <w:bCs/>
          <w:i w:val="0"/>
          <w:iCs/>
        </w:rPr>
        <w:t>3.</w:t>
      </w:r>
      <w:r>
        <w:rPr>
          <w:b/>
          <w:bCs/>
          <w:i w:val="0"/>
          <w:iCs/>
        </w:rPr>
        <w:t>2</w:t>
      </w:r>
      <w:r w:rsidRPr="00F023BB">
        <w:rPr>
          <w:b/>
          <w:bCs/>
          <w:i w:val="0"/>
          <w:iCs/>
        </w:rPr>
        <w:t xml:space="preserve"> </w:t>
      </w:r>
      <w:r w:rsidRPr="003A3058">
        <w:rPr>
          <w:b/>
          <w:bCs/>
          <w:i w:val="0"/>
          <w:iCs/>
        </w:rPr>
        <w:t>Analysis of fire effluent</w:t>
      </w:r>
    </w:p>
    <w:p w14:paraId="2FA30E4B" w14:textId="19B4E3A2" w:rsidR="00CF4E80" w:rsidRPr="00CF4E80" w:rsidRDefault="008E66AE" w:rsidP="003A3058">
      <w:pPr>
        <w:pStyle w:val="CETTabletitle"/>
        <w:keepNext w:val="0"/>
        <w:spacing w:before="120"/>
        <w:jc w:val="both"/>
        <w:rPr>
          <w:i w:val="0"/>
          <w:iCs/>
        </w:rPr>
      </w:pPr>
      <w:r w:rsidRPr="008E66AE">
        <w:rPr>
          <w:i w:val="0"/>
          <w:iCs/>
        </w:rPr>
        <w:t xml:space="preserve">The main products identified in the fire gases released during the ~5-min steady-state periods are summarised in Table </w:t>
      </w:r>
      <w:r w:rsidR="006238FC">
        <w:rPr>
          <w:i w:val="0"/>
          <w:iCs/>
        </w:rPr>
        <w:t>3</w:t>
      </w:r>
      <w:r w:rsidRPr="008E66AE">
        <w:rPr>
          <w:i w:val="0"/>
          <w:iCs/>
        </w:rPr>
        <w:t>. More than 3</w:t>
      </w:r>
      <w:r w:rsidR="005E6AEF">
        <w:rPr>
          <w:i w:val="0"/>
          <w:iCs/>
        </w:rPr>
        <w:t>6</w:t>
      </w:r>
      <w:r w:rsidRPr="008E66AE">
        <w:rPr>
          <w:i w:val="0"/>
          <w:iCs/>
        </w:rPr>
        <w:t xml:space="preserve"> semi-volatile compounds were identified in the fire gases released during the combustion and thermal degradation of the materials tested. The highest number was detected during pyrolysis (phase 1b - Table </w:t>
      </w:r>
      <w:r w:rsidR="00812AF1">
        <w:rPr>
          <w:i w:val="0"/>
          <w:iCs/>
        </w:rPr>
        <w:t>1</w:t>
      </w:r>
      <w:r w:rsidRPr="008E66AE">
        <w:rPr>
          <w:i w:val="0"/>
          <w:iCs/>
        </w:rPr>
        <w:t>).</w:t>
      </w:r>
    </w:p>
    <w:p w14:paraId="08A1609E" w14:textId="1D7AACD5" w:rsidR="008B437A" w:rsidRPr="00B57B36" w:rsidRDefault="008B437A" w:rsidP="008B437A">
      <w:pPr>
        <w:pStyle w:val="CETTabletitle"/>
      </w:pPr>
      <w:r w:rsidRPr="00B57B36">
        <w:lastRenderedPageBreak/>
        <w:t xml:space="preserve">Table </w:t>
      </w:r>
      <w:r w:rsidR="006238FC">
        <w:t>3</w:t>
      </w:r>
      <w:r w:rsidRPr="00B57B36">
        <w:t xml:space="preserve">: </w:t>
      </w:r>
      <w:r w:rsidR="006A4949" w:rsidRPr="006A4949">
        <w:t>List of products identified in fire effluents released during ~5 min steady-state periods during different fire stages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28"/>
        <w:gridCol w:w="1275"/>
        <w:gridCol w:w="993"/>
        <w:gridCol w:w="850"/>
        <w:gridCol w:w="992"/>
        <w:gridCol w:w="849"/>
      </w:tblGrid>
      <w:tr w:rsidR="004645FC" w:rsidRPr="00B57B36" w14:paraId="0B9185FC" w14:textId="560D6B00" w:rsidTr="00CD52F7">
        <w:trPr>
          <w:tblHeader/>
        </w:trPr>
        <w:tc>
          <w:tcPr>
            <w:tcW w:w="3828" w:type="dxa"/>
            <w:vMerge w:val="restart"/>
            <w:tcBorders>
              <w:top w:val="single" w:sz="12" w:space="0" w:color="008000"/>
            </w:tcBorders>
            <w:shd w:val="clear" w:color="auto" w:fill="FFFFFF"/>
          </w:tcPr>
          <w:p w14:paraId="0237DEF4" w14:textId="77777777" w:rsidR="004645FC" w:rsidRDefault="004645FC" w:rsidP="00DA5C20">
            <w:pPr>
              <w:pStyle w:val="CETBodytext"/>
              <w:jc w:val="center"/>
              <w:rPr>
                <w:lang w:val="en-GB"/>
              </w:rPr>
            </w:pPr>
          </w:p>
          <w:p w14:paraId="67EEE668" w14:textId="3F55A84B" w:rsidR="004645FC" w:rsidRPr="00B57B36" w:rsidRDefault="0087229F" w:rsidP="00DA5C20">
            <w:pPr>
              <w:pStyle w:val="CETBodytext"/>
              <w:jc w:val="center"/>
              <w:rPr>
                <w:lang w:val="en-GB"/>
              </w:rPr>
            </w:pPr>
            <w:r>
              <w:rPr>
                <w:lang w:val="en-GB"/>
              </w:rPr>
              <w:t>Detected</w:t>
            </w:r>
            <w:r w:rsidR="004645FC" w:rsidRPr="008B437A">
              <w:rPr>
                <w:lang w:val="en-GB"/>
              </w:rPr>
              <w:t xml:space="preserve"> product</w:t>
            </w:r>
            <w:r w:rsidR="003837A7">
              <w:rPr>
                <w:lang w:val="en-GB"/>
              </w:rPr>
              <w:t>s</w:t>
            </w:r>
          </w:p>
        </w:tc>
        <w:tc>
          <w:tcPr>
            <w:tcW w:w="1275" w:type="dxa"/>
            <w:vMerge w:val="restart"/>
            <w:tcBorders>
              <w:top w:val="single" w:sz="12" w:space="0" w:color="008000"/>
            </w:tcBorders>
            <w:shd w:val="clear" w:color="auto" w:fill="FFFFFF"/>
          </w:tcPr>
          <w:p w14:paraId="6C7E9F4D" w14:textId="77777777" w:rsidR="004645FC" w:rsidRDefault="004645FC" w:rsidP="00DA5C20">
            <w:pPr>
              <w:pStyle w:val="CETBodytext"/>
              <w:jc w:val="center"/>
              <w:rPr>
                <w:lang w:val="en-GB"/>
              </w:rPr>
            </w:pPr>
          </w:p>
          <w:p w14:paraId="08275902" w14:textId="3470F548" w:rsidR="004645FC" w:rsidRPr="000E3179" w:rsidRDefault="004645FC" w:rsidP="00DA5C20">
            <w:pPr>
              <w:pStyle w:val="CETBodytext"/>
              <w:jc w:val="center"/>
              <w:rPr>
                <w:lang w:val="en-GB"/>
              </w:rPr>
            </w:pPr>
            <w:r w:rsidRPr="005B1129">
              <w:rPr>
                <w:lang w:val="en-GB"/>
              </w:rPr>
              <w:t>CAS No.</w:t>
            </w:r>
          </w:p>
        </w:tc>
        <w:tc>
          <w:tcPr>
            <w:tcW w:w="3684" w:type="dxa"/>
            <w:gridSpan w:val="4"/>
            <w:tcBorders>
              <w:top w:val="single" w:sz="12" w:space="0" w:color="008000"/>
              <w:bottom w:val="single" w:sz="6" w:space="0" w:color="008000"/>
              <w:right w:val="nil"/>
            </w:tcBorders>
            <w:shd w:val="clear" w:color="auto" w:fill="FFFFFF"/>
          </w:tcPr>
          <w:p w14:paraId="5BCEC1AE" w14:textId="1BC14B63" w:rsidR="004645FC" w:rsidRDefault="004645FC" w:rsidP="00DA5C20">
            <w:pPr>
              <w:pStyle w:val="CETBodytext"/>
              <w:ind w:right="-1"/>
              <w:jc w:val="center"/>
              <w:rPr>
                <w:rFonts w:cs="Arial"/>
                <w:szCs w:val="18"/>
                <w:lang w:val="en-GB"/>
              </w:rPr>
            </w:pPr>
            <w:r>
              <w:rPr>
                <w:rFonts w:cs="Arial"/>
                <w:szCs w:val="18"/>
                <w:lang w:val="en-GB"/>
              </w:rPr>
              <w:t>Amounts, %</w:t>
            </w:r>
          </w:p>
        </w:tc>
      </w:tr>
      <w:tr w:rsidR="004645FC" w:rsidRPr="00B57B36" w14:paraId="3F420BF7" w14:textId="25E92986" w:rsidTr="00CD52F7">
        <w:trPr>
          <w:tblHeader/>
        </w:trPr>
        <w:tc>
          <w:tcPr>
            <w:tcW w:w="3828" w:type="dxa"/>
            <w:vMerge/>
            <w:tcBorders>
              <w:bottom w:val="single" w:sz="6" w:space="0" w:color="008000"/>
            </w:tcBorders>
            <w:shd w:val="clear" w:color="auto" w:fill="FFFFFF"/>
          </w:tcPr>
          <w:p w14:paraId="70381CA1" w14:textId="77777777" w:rsidR="004645FC" w:rsidRPr="008B437A" w:rsidRDefault="004645FC" w:rsidP="00DA5C20">
            <w:pPr>
              <w:pStyle w:val="CETBodytext"/>
              <w:jc w:val="center"/>
              <w:rPr>
                <w:lang w:val="en-GB"/>
              </w:rPr>
            </w:pPr>
          </w:p>
        </w:tc>
        <w:tc>
          <w:tcPr>
            <w:tcW w:w="1275" w:type="dxa"/>
            <w:vMerge/>
            <w:tcBorders>
              <w:bottom w:val="single" w:sz="6" w:space="0" w:color="008000"/>
            </w:tcBorders>
            <w:shd w:val="clear" w:color="auto" w:fill="FFFFFF"/>
          </w:tcPr>
          <w:p w14:paraId="33AF3C5B" w14:textId="77777777" w:rsidR="004645FC" w:rsidRPr="005B1129" w:rsidRDefault="004645FC" w:rsidP="00DA5C20">
            <w:pPr>
              <w:pStyle w:val="CETBodytext"/>
              <w:jc w:val="center"/>
              <w:rPr>
                <w:lang w:val="en-GB"/>
              </w:rPr>
            </w:pPr>
          </w:p>
        </w:tc>
        <w:tc>
          <w:tcPr>
            <w:tcW w:w="1843" w:type="dxa"/>
            <w:gridSpan w:val="2"/>
            <w:tcBorders>
              <w:top w:val="single" w:sz="12" w:space="0" w:color="008000"/>
              <w:bottom w:val="single" w:sz="6" w:space="0" w:color="008000"/>
            </w:tcBorders>
            <w:shd w:val="clear" w:color="auto" w:fill="FFFFFF"/>
          </w:tcPr>
          <w:p w14:paraId="1B32248E" w14:textId="1705BC2C" w:rsidR="004645FC" w:rsidRDefault="00710D4B" w:rsidP="00DA5C20">
            <w:pPr>
              <w:pStyle w:val="CETBodytext"/>
              <w:ind w:right="-1"/>
              <w:jc w:val="center"/>
              <w:rPr>
                <w:rFonts w:cs="Arial"/>
                <w:szCs w:val="18"/>
                <w:lang w:val="en-GB"/>
              </w:rPr>
            </w:pPr>
            <w:r>
              <w:rPr>
                <w:lang w:val="en-GB"/>
              </w:rPr>
              <w:t>P</w:t>
            </w:r>
            <w:r w:rsidR="004645FC">
              <w:rPr>
                <w:lang w:val="en-GB"/>
              </w:rPr>
              <w:t>ellet</w:t>
            </w:r>
          </w:p>
        </w:tc>
        <w:tc>
          <w:tcPr>
            <w:tcW w:w="1841" w:type="dxa"/>
            <w:gridSpan w:val="2"/>
            <w:tcBorders>
              <w:top w:val="single" w:sz="12" w:space="0" w:color="008000"/>
              <w:bottom w:val="single" w:sz="6" w:space="0" w:color="008000"/>
              <w:right w:val="nil"/>
            </w:tcBorders>
            <w:shd w:val="clear" w:color="auto" w:fill="FFFFFF"/>
          </w:tcPr>
          <w:p w14:paraId="7CEAB013" w14:textId="374A1142" w:rsidR="004645FC" w:rsidRDefault="004645FC" w:rsidP="00DA5C20">
            <w:pPr>
              <w:pStyle w:val="CETBodytext"/>
              <w:ind w:right="-1"/>
              <w:jc w:val="center"/>
              <w:rPr>
                <w:rFonts w:cs="Arial"/>
                <w:szCs w:val="18"/>
                <w:lang w:val="en-GB"/>
              </w:rPr>
            </w:pPr>
            <w:r>
              <w:rPr>
                <w:rFonts w:cs="Arial"/>
                <w:szCs w:val="18"/>
                <w:lang w:val="en-GB"/>
              </w:rPr>
              <w:t>Wood-based panel</w:t>
            </w:r>
          </w:p>
        </w:tc>
      </w:tr>
      <w:tr w:rsidR="004645FC" w:rsidRPr="00B57B36" w14:paraId="164A6E59" w14:textId="5271C429" w:rsidTr="00CD52F7">
        <w:trPr>
          <w:tblHeader/>
        </w:trPr>
        <w:tc>
          <w:tcPr>
            <w:tcW w:w="3828" w:type="dxa"/>
            <w:vMerge/>
            <w:tcBorders>
              <w:bottom w:val="single" w:sz="6" w:space="0" w:color="008000"/>
            </w:tcBorders>
            <w:shd w:val="clear" w:color="auto" w:fill="FFFFFF"/>
          </w:tcPr>
          <w:p w14:paraId="497E8DCB" w14:textId="77777777" w:rsidR="004645FC" w:rsidRPr="008B437A" w:rsidRDefault="004645FC" w:rsidP="004645FC">
            <w:pPr>
              <w:pStyle w:val="CETBodytext"/>
              <w:jc w:val="center"/>
              <w:rPr>
                <w:lang w:val="en-GB"/>
              </w:rPr>
            </w:pPr>
          </w:p>
        </w:tc>
        <w:tc>
          <w:tcPr>
            <w:tcW w:w="1275" w:type="dxa"/>
            <w:vMerge/>
            <w:tcBorders>
              <w:bottom w:val="single" w:sz="6" w:space="0" w:color="008000"/>
            </w:tcBorders>
            <w:shd w:val="clear" w:color="auto" w:fill="FFFFFF"/>
          </w:tcPr>
          <w:p w14:paraId="17127479" w14:textId="77777777" w:rsidR="004645FC" w:rsidRPr="005B1129" w:rsidRDefault="004645FC" w:rsidP="004645FC">
            <w:pPr>
              <w:pStyle w:val="CETBodytext"/>
              <w:jc w:val="center"/>
              <w:rPr>
                <w:lang w:val="en-GB"/>
              </w:rPr>
            </w:pPr>
          </w:p>
        </w:tc>
        <w:tc>
          <w:tcPr>
            <w:tcW w:w="993" w:type="dxa"/>
            <w:tcBorders>
              <w:top w:val="single" w:sz="12" w:space="0" w:color="008000"/>
              <w:bottom w:val="single" w:sz="6" w:space="0" w:color="008000"/>
            </w:tcBorders>
            <w:shd w:val="clear" w:color="auto" w:fill="FFFFFF"/>
          </w:tcPr>
          <w:p w14:paraId="3A0B03A0" w14:textId="380B15B4" w:rsidR="004645FC" w:rsidRPr="00B57B36" w:rsidRDefault="004645FC" w:rsidP="004645FC">
            <w:pPr>
              <w:pStyle w:val="CETBodytext"/>
              <w:jc w:val="center"/>
              <w:rPr>
                <w:lang w:val="en-GB"/>
              </w:rPr>
            </w:pPr>
            <w:r>
              <w:rPr>
                <w:lang w:val="en-GB"/>
              </w:rPr>
              <w:t xml:space="preserve">350 </w:t>
            </w:r>
            <w:r>
              <w:rPr>
                <w:lang w:val="en-GB"/>
              </w:rPr>
              <w:sym w:font="Symbol" w:char="F0B0"/>
            </w:r>
            <w:r>
              <w:rPr>
                <w:lang w:val="en-GB"/>
              </w:rPr>
              <w:t>C</w:t>
            </w:r>
          </w:p>
        </w:tc>
        <w:tc>
          <w:tcPr>
            <w:tcW w:w="850" w:type="dxa"/>
            <w:tcBorders>
              <w:top w:val="single" w:sz="12" w:space="0" w:color="008000"/>
              <w:bottom w:val="single" w:sz="6" w:space="0" w:color="008000"/>
              <w:right w:val="nil"/>
            </w:tcBorders>
            <w:shd w:val="clear" w:color="auto" w:fill="FFFFFF"/>
          </w:tcPr>
          <w:p w14:paraId="5396D768" w14:textId="4B0EFFD0" w:rsidR="004645FC" w:rsidRPr="00B57B36" w:rsidRDefault="004645FC" w:rsidP="004645FC">
            <w:pPr>
              <w:pStyle w:val="CETBodytext"/>
              <w:ind w:right="-1"/>
              <w:jc w:val="center"/>
              <w:rPr>
                <w:rFonts w:cs="Arial"/>
                <w:szCs w:val="18"/>
                <w:lang w:val="en-GB"/>
              </w:rPr>
            </w:pPr>
            <w:r>
              <w:rPr>
                <w:rFonts w:cs="Arial"/>
                <w:szCs w:val="18"/>
                <w:lang w:val="en-GB"/>
              </w:rPr>
              <w:t xml:space="preserve">650 </w:t>
            </w:r>
            <w:r>
              <w:rPr>
                <w:lang w:val="en-GB"/>
              </w:rPr>
              <w:sym w:font="Symbol" w:char="F0B0"/>
            </w:r>
            <w:r>
              <w:rPr>
                <w:lang w:val="en-GB"/>
              </w:rPr>
              <w:t>C</w:t>
            </w:r>
          </w:p>
        </w:tc>
        <w:tc>
          <w:tcPr>
            <w:tcW w:w="992" w:type="dxa"/>
            <w:tcBorders>
              <w:top w:val="single" w:sz="12" w:space="0" w:color="008000"/>
              <w:bottom w:val="single" w:sz="6" w:space="0" w:color="008000"/>
              <w:right w:val="nil"/>
            </w:tcBorders>
            <w:shd w:val="clear" w:color="auto" w:fill="FFFFFF"/>
          </w:tcPr>
          <w:p w14:paraId="615F30D4" w14:textId="11AE0E75" w:rsidR="004645FC" w:rsidRDefault="004645FC" w:rsidP="004645FC">
            <w:pPr>
              <w:pStyle w:val="CETBodytext"/>
              <w:ind w:right="-1"/>
              <w:jc w:val="center"/>
              <w:rPr>
                <w:rFonts w:cs="Arial"/>
                <w:szCs w:val="18"/>
                <w:lang w:val="en-GB"/>
              </w:rPr>
            </w:pPr>
            <w:r>
              <w:rPr>
                <w:lang w:val="en-GB"/>
              </w:rPr>
              <w:t xml:space="preserve">350 </w:t>
            </w:r>
            <w:r>
              <w:rPr>
                <w:lang w:val="en-GB"/>
              </w:rPr>
              <w:sym w:font="Symbol" w:char="F0B0"/>
            </w:r>
            <w:r>
              <w:rPr>
                <w:lang w:val="en-GB"/>
              </w:rPr>
              <w:t>C</w:t>
            </w:r>
          </w:p>
        </w:tc>
        <w:tc>
          <w:tcPr>
            <w:tcW w:w="849" w:type="dxa"/>
            <w:tcBorders>
              <w:top w:val="single" w:sz="12" w:space="0" w:color="008000"/>
              <w:bottom w:val="single" w:sz="6" w:space="0" w:color="008000"/>
              <w:right w:val="nil"/>
            </w:tcBorders>
            <w:shd w:val="clear" w:color="auto" w:fill="FFFFFF"/>
          </w:tcPr>
          <w:p w14:paraId="717F2B17" w14:textId="5D6D60F7" w:rsidR="004645FC" w:rsidRDefault="004645FC" w:rsidP="004645FC">
            <w:pPr>
              <w:pStyle w:val="CETBodytext"/>
              <w:ind w:right="-1"/>
              <w:jc w:val="center"/>
              <w:rPr>
                <w:rFonts w:cs="Arial"/>
                <w:szCs w:val="18"/>
                <w:lang w:val="en-GB"/>
              </w:rPr>
            </w:pPr>
            <w:r>
              <w:rPr>
                <w:rFonts w:cs="Arial"/>
                <w:szCs w:val="18"/>
                <w:lang w:val="en-GB"/>
              </w:rPr>
              <w:t xml:space="preserve">650 </w:t>
            </w:r>
            <w:r>
              <w:rPr>
                <w:lang w:val="en-GB"/>
              </w:rPr>
              <w:sym w:font="Symbol" w:char="F0B0"/>
            </w:r>
            <w:r>
              <w:rPr>
                <w:lang w:val="en-GB"/>
              </w:rPr>
              <w:t>C</w:t>
            </w:r>
          </w:p>
        </w:tc>
      </w:tr>
      <w:tr w:rsidR="00710D4B" w:rsidRPr="00B57B36" w14:paraId="13C25C6D" w14:textId="36A4F529" w:rsidTr="00C55AB5">
        <w:tc>
          <w:tcPr>
            <w:tcW w:w="3828" w:type="dxa"/>
            <w:shd w:val="clear" w:color="auto" w:fill="FFFFFF"/>
          </w:tcPr>
          <w:p w14:paraId="74B70FC7" w14:textId="714304A8" w:rsidR="00710D4B" w:rsidRPr="006E627D" w:rsidRDefault="00710D4B" w:rsidP="00710D4B">
            <w:pPr>
              <w:pStyle w:val="CETBodytext"/>
              <w:jc w:val="left"/>
              <w:rPr>
                <w:b/>
                <w:bCs/>
                <w:lang w:val="en-GB"/>
              </w:rPr>
            </w:pPr>
            <w:r w:rsidRPr="006E627D">
              <w:rPr>
                <w:b/>
                <w:bCs/>
                <w:lang w:val="en-GB"/>
              </w:rPr>
              <w:t>COx, NOx</w:t>
            </w:r>
          </w:p>
        </w:tc>
        <w:tc>
          <w:tcPr>
            <w:tcW w:w="1275" w:type="dxa"/>
            <w:shd w:val="clear" w:color="auto" w:fill="FFFFFF"/>
          </w:tcPr>
          <w:p w14:paraId="38CD5D76" w14:textId="1B35C1DD" w:rsidR="00710D4B" w:rsidRPr="00B57B36" w:rsidRDefault="00710D4B" w:rsidP="00710D4B">
            <w:pPr>
              <w:pStyle w:val="CETBodytext"/>
              <w:jc w:val="center"/>
              <w:rPr>
                <w:lang w:val="en-GB"/>
              </w:rPr>
            </w:pPr>
            <w:r>
              <w:rPr>
                <w:lang w:val="en-GB"/>
              </w:rPr>
              <w:t>-</w:t>
            </w:r>
          </w:p>
        </w:tc>
        <w:tc>
          <w:tcPr>
            <w:tcW w:w="993" w:type="dxa"/>
            <w:shd w:val="clear" w:color="auto" w:fill="FFFFFF"/>
          </w:tcPr>
          <w:p w14:paraId="2DE53A8F" w14:textId="1473A064" w:rsidR="00710D4B" w:rsidRPr="00B57B36" w:rsidRDefault="00710D4B" w:rsidP="00710D4B">
            <w:pPr>
              <w:pStyle w:val="CETBodytext"/>
              <w:jc w:val="center"/>
              <w:rPr>
                <w:lang w:val="en-GB"/>
              </w:rPr>
            </w:pPr>
            <w:r>
              <w:rPr>
                <w:lang w:val="en-GB"/>
              </w:rPr>
              <w:t>6,19</w:t>
            </w:r>
          </w:p>
        </w:tc>
        <w:tc>
          <w:tcPr>
            <w:tcW w:w="850" w:type="dxa"/>
            <w:shd w:val="clear" w:color="auto" w:fill="FFFFFF"/>
          </w:tcPr>
          <w:p w14:paraId="4E043DC4" w14:textId="6825138A" w:rsidR="00710D4B" w:rsidRPr="00B57B36" w:rsidRDefault="00710D4B" w:rsidP="00710D4B">
            <w:pPr>
              <w:pStyle w:val="CETBodytext"/>
              <w:ind w:right="-1"/>
              <w:jc w:val="center"/>
              <w:rPr>
                <w:rFonts w:cs="Arial"/>
                <w:szCs w:val="18"/>
                <w:lang w:val="en-GB"/>
              </w:rPr>
            </w:pPr>
            <w:r>
              <w:rPr>
                <w:rFonts w:cs="Arial"/>
                <w:szCs w:val="18"/>
                <w:lang w:val="en-GB"/>
              </w:rPr>
              <w:t>100,00</w:t>
            </w:r>
          </w:p>
        </w:tc>
        <w:tc>
          <w:tcPr>
            <w:tcW w:w="992" w:type="dxa"/>
            <w:shd w:val="clear" w:color="auto" w:fill="FFFFFF"/>
          </w:tcPr>
          <w:p w14:paraId="27763CFE" w14:textId="0BAEFC89" w:rsidR="00710D4B" w:rsidRDefault="00710D4B" w:rsidP="00710D4B">
            <w:pPr>
              <w:pStyle w:val="CETBodytext"/>
              <w:ind w:right="-1"/>
              <w:jc w:val="center"/>
              <w:rPr>
                <w:rFonts w:cs="Arial"/>
                <w:szCs w:val="18"/>
                <w:lang w:val="en-GB"/>
              </w:rPr>
            </w:pPr>
            <w:r>
              <w:rPr>
                <w:lang w:val="en-GB"/>
              </w:rPr>
              <w:t>5,35</w:t>
            </w:r>
          </w:p>
        </w:tc>
        <w:tc>
          <w:tcPr>
            <w:tcW w:w="849" w:type="dxa"/>
            <w:shd w:val="clear" w:color="auto" w:fill="FFFFFF"/>
          </w:tcPr>
          <w:p w14:paraId="715DFDA2" w14:textId="531AD8A1" w:rsidR="00710D4B" w:rsidRDefault="00710D4B" w:rsidP="00710D4B">
            <w:pPr>
              <w:pStyle w:val="CETBodytext"/>
              <w:ind w:right="-1"/>
              <w:jc w:val="center"/>
              <w:rPr>
                <w:rFonts w:cs="Arial"/>
                <w:szCs w:val="18"/>
                <w:lang w:val="en-GB"/>
              </w:rPr>
            </w:pPr>
            <w:r>
              <w:rPr>
                <w:rFonts w:cs="Arial"/>
                <w:szCs w:val="18"/>
                <w:lang w:val="en-GB"/>
              </w:rPr>
              <w:t>91,45</w:t>
            </w:r>
          </w:p>
        </w:tc>
      </w:tr>
      <w:tr w:rsidR="00710D4B" w:rsidRPr="00B57B36" w14:paraId="20D53335" w14:textId="3DD82497" w:rsidTr="00C55AB5">
        <w:tc>
          <w:tcPr>
            <w:tcW w:w="3828" w:type="dxa"/>
            <w:shd w:val="clear" w:color="auto" w:fill="FFFFFF"/>
          </w:tcPr>
          <w:p w14:paraId="6A69A0B5" w14:textId="493C7971" w:rsidR="00710D4B" w:rsidRPr="006E627D" w:rsidRDefault="00710D4B" w:rsidP="00710D4B">
            <w:pPr>
              <w:pStyle w:val="CETBodytext"/>
              <w:jc w:val="left"/>
              <w:rPr>
                <w:b/>
                <w:bCs/>
                <w:lang w:val="en-GB"/>
              </w:rPr>
            </w:pPr>
            <w:r w:rsidRPr="006E627D">
              <w:rPr>
                <w:b/>
                <w:bCs/>
                <w:lang w:val="en-GB"/>
              </w:rPr>
              <w:t>Oxalic acid</w:t>
            </w:r>
          </w:p>
        </w:tc>
        <w:tc>
          <w:tcPr>
            <w:tcW w:w="1275" w:type="dxa"/>
            <w:shd w:val="clear" w:color="auto" w:fill="FFFFFF"/>
          </w:tcPr>
          <w:p w14:paraId="17FFF6CC" w14:textId="35ABA0A7" w:rsidR="00710D4B" w:rsidRPr="00B57B36" w:rsidRDefault="00710D4B" w:rsidP="00710D4B">
            <w:pPr>
              <w:pStyle w:val="CETBodytext"/>
              <w:jc w:val="center"/>
              <w:rPr>
                <w:lang w:val="en-GB"/>
              </w:rPr>
            </w:pPr>
            <w:r w:rsidRPr="00FA2D32">
              <w:rPr>
                <w:lang w:val="en-GB"/>
              </w:rPr>
              <w:t>144-62-7</w:t>
            </w:r>
          </w:p>
        </w:tc>
        <w:tc>
          <w:tcPr>
            <w:tcW w:w="993" w:type="dxa"/>
            <w:shd w:val="clear" w:color="auto" w:fill="FFFFFF"/>
          </w:tcPr>
          <w:p w14:paraId="71473E9B" w14:textId="54DD5BD2" w:rsidR="00710D4B" w:rsidRPr="00B57B36" w:rsidRDefault="00710D4B" w:rsidP="00710D4B">
            <w:pPr>
              <w:pStyle w:val="CETBodytext"/>
              <w:jc w:val="center"/>
              <w:rPr>
                <w:lang w:val="en-GB"/>
              </w:rPr>
            </w:pPr>
            <w:r>
              <w:rPr>
                <w:lang w:val="en-GB"/>
              </w:rPr>
              <w:t>2,55</w:t>
            </w:r>
          </w:p>
        </w:tc>
        <w:tc>
          <w:tcPr>
            <w:tcW w:w="850" w:type="dxa"/>
            <w:shd w:val="clear" w:color="auto" w:fill="FFFFFF"/>
          </w:tcPr>
          <w:p w14:paraId="5539AE01" w14:textId="4258C572"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4481567" w14:textId="77777777" w:rsidR="00710D4B" w:rsidRPr="00B57B36" w:rsidRDefault="00710D4B" w:rsidP="00710D4B">
            <w:pPr>
              <w:pStyle w:val="CETBodytext"/>
              <w:ind w:right="-1"/>
              <w:jc w:val="center"/>
              <w:rPr>
                <w:rFonts w:cs="Arial"/>
                <w:szCs w:val="18"/>
                <w:lang w:val="en-GB"/>
              </w:rPr>
            </w:pPr>
          </w:p>
        </w:tc>
        <w:tc>
          <w:tcPr>
            <w:tcW w:w="849" w:type="dxa"/>
            <w:shd w:val="clear" w:color="auto" w:fill="FFFFFF"/>
          </w:tcPr>
          <w:p w14:paraId="28008EB2" w14:textId="77777777" w:rsidR="00710D4B" w:rsidRPr="00B57B36" w:rsidRDefault="00710D4B" w:rsidP="00710D4B">
            <w:pPr>
              <w:pStyle w:val="CETBodytext"/>
              <w:ind w:right="-1"/>
              <w:jc w:val="center"/>
              <w:rPr>
                <w:rFonts w:cs="Arial"/>
                <w:szCs w:val="18"/>
                <w:lang w:val="en-GB"/>
              </w:rPr>
            </w:pPr>
          </w:p>
        </w:tc>
      </w:tr>
      <w:tr w:rsidR="00710D4B" w:rsidRPr="00B57B36" w14:paraId="237C1BFC" w14:textId="77777777" w:rsidTr="00C55AB5">
        <w:tc>
          <w:tcPr>
            <w:tcW w:w="3828" w:type="dxa"/>
            <w:shd w:val="clear" w:color="auto" w:fill="FFFFFF"/>
          </w:tcPr>
          <w:p w14:paraId="5B893293" w14:textId="461EFB59" w:rsidR="00710D4B" w:rsidRPr="006E627D" w:rsidRDefault="00C55AB5" w:rsidP="00710D4B">
            <w:pPr>
              <w:pStyle w:val="CETBodytext"/>
              <w:jc w:val="left"/>
              <w:rPr>
                <w:b/>
                <w:bCs/>
                <w:lang w:val="en-GB"/>
              </w:rPr>
            </w:pPr>
            <w:r w:rsidRPr="006E627D">
              <w:rPr>
                <w:b/>
                <w:bCs/>
                <w:lang w:val="en-GB"/>
              </w:rPr>
              <w:t>2-</w:t>
            </w:r>
            <w:r>
              <w:rPr>
                <w:b/>
                <w:bCs/>
                <w:lang w:val="en-GB"/>
              </w:rPr>
              <w:t>H</w:t>
            </w:r>
            <w:r w:rsidRPr="006E627D">
              <w:rPr>
                <w:b/>
                <w:bCs/>
                <w:lang w:val="en-GB"/>
              </w:rPr>
              <w:t>ydroxy-</w:t>
            </w:r>
            <w:r>
              <w:rPr>
                <w:b/>
                <w:bCs/>
                <w:lang w:val="en-GB"/>
              </w:rPr>
              <w:t>P</w:t>
            </w:r>
            <w:r w:rsidR="00710D4B" w:rsidRPr="006E627D">
              <w:rPr>
                <w:b/>
                <w:bCs/>
                <w:lang w:val="en-GB"/>
              </w:rPr>
              <w:t xml:space="preserve">ropanamide </w:t>
            </w:r>
          </w:p>
        </w:tc>
        <w:tc>
          <w:tcPr>
            <w:tcW w:w="1275" w:type="dxa"/>
            <w:shd w:val="clear" w:color="auto" w:fill="FFFFFF"/>
          </w:tcPr>
          <w:p w14:paraId="39661ECC" w14:textId="672D7265" w:rsidR="00710D4B" w:rsidRPr="00FA2D32" w:rsidRDefault="00710D4B" w:rsidP="00710D4B">
            <w:pPr>
              <w:pStyle w:val="CETBodytext"/>
              <w:jc w:val="center"/>
              <w:rPr>
                <w:lang w:val="en-GB"/>
              </w:rPr>
            </w:pPr>
            <w:r>
              <w:rPr>
                <w:lang w:val="en-GB"/>
              </w:rPr>
              <w:t>2043-43-8</w:t>
            </w:r>
          </w:p>
        </w:tc>
        <w:tc>
          <w:tcPr>
            <w:tcW w:w="993" w:type="dxa"/>
            <w:shd w:val="clear" w:color="auto" w:fill="FFFFFF"/>
          </w:tcPr>
          <w:p w14:paraId="1DB85972" w14:textId="00BA0FC6" w:rsidR="00710D4B" w:rsidRDefault="00710D4B" w:rsidP="00710D4B">
            <w:pPr>
              <w:pStyle w:val="CETBodytext"/>
              <w:jc w:val="center"/>
              <w:rPr>
                <w:lang w:val="en-GB"/>
              </w:rPr>
            </w:pPr>
          </w:p>
        </w:tc>
        <w:tc>
          <w:tcPr>
            <w:tcW w:w="850" w:type="dxa"/>
            <w:shd w:val="clear" w:color="auto" w:fill="FFFFFF"/>
          </w:tcPr>
          <w:p w14:paraId="444C1C04"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36DBA8BC" w14:textId="7CFBD5B3" w:rsidR="00710D4B" w:rsidRPr="00B57B36" w:rsidRDefault="00710D4B" w:rsidP="00710D4B">
            <w:pPr>
              <w:pStyle w:val="CETBodytext"/>
              <w:ind w:right="-1"/>
              <w:jc w:val="center"/>
              <w:rPr>
                <w:rFonts w:cs="Arial"/>
                <w:szCs w:val="18"/>
                <w:lang w:val="en-GB"/>
              </w:rPr>
            </w:pPr>
            <w:r>
              <w:rPr>
                <w:lang w:val="en-GB"/>
              </w:rPr>
              <w:t>2,03</w:t>
            </w:r>
          </w:p>
        </w:tc>
        <w:tc>
          <w:tcPr>
            <w:tcW w:w="849" w:type="dxa"/>
            <w:shd w:val="clear" w:color="auto" w:fill="FFFFFF"/>
          </w:tcPr>
          <w:p w14:paraId="23E501A0" w14:textId="77777777" w:rsidR="00710D4B" w:rsidRPr="00B57B36" w:rsidRDefault="00710D4B" w:rsidP="00710D4B">
            <w:pPr>
              <w:pStyle w:val="CETBodytext"/>
              <w:ind w:right="-1"/>
              <w:jc w:val="center"/>
              <w:rPr>
                <w:rFonts w:cs="Arial"/>
                <w:szCs w:val="18"/>
                <w:lang w:val="en-GB"/>
              </w:rPr>
            </w:pPr>
          </w:p>
        </w:tc>
      </w:tr>
      <w:tr w:rsidR="00710D4B" w:rsidRPr="00B57B36" w14:paraId="6B459823" w14:textId="386F1456" w:rsidTr="00C55AB5">
        <w:tc>
          <w:tcPr>
            <w:tcW w:w="3828" w:type="dxa"/>
            <w:shd w:val="clear" w:color="auto" w:fill="FFFFFF"/>
          </w:tcPr>
          <w:p w14:paraId="27CF6501" w14:textId="2D9D6B03" w:rsidR="00710D4B" w:rsidRPr="006E627D" w:rsidRDefault="00C55AB5" w:rsidP="00710D4B">
            <w:pPr>
              <w:pStyle w:val="CETBodytext"/>
              <w:jc w:val="left"/>
              <w:rPr>
                <w:b/>
                <w:bCs/>
                <w:lang w:val="en-GB"/>
              </w:rPr>
            </w:pPr>
            <w:r>
              <w:rPr>
                <w:b/>
                <w:bCs/>
                <w:lang w:val="en-GB"/>
              </w:rPr>
              <w:t>H</w:t>
            </w:r>
            <w:r w:rsidRPr="006E627D">
              <w:rPr>
                <w:b/>
                <w:bCs/>
                <w:lang w:val="en-GB"/>
              </w:rPr>
              <w:t>ydroxy-</w:t>
            </w:r>
            <w:r>
              <w:rPr>
                <w:b/>
                <w:bCs/>
                <w:lang w:val="en-GB"/>
              </w:rPr>
              <w:t>A</w:t>
            </w:r>
            <w:r w:rsidR="00710D4B" w:rsidRPr="006E627D">
              <w:rPr>
                <w:b/>
                <w:bCs/>
                <w:lang w:val="en-GB"/>
              </w:rPr>
              <w:t xml:space="preserve">cetaldehyde </w:t>
            </w:r>
          </w:p>
        </w:tc>
        <w:tc>
          <w:tcPr>
            <w:tcW w:w="1275" w:type="dxa"/>
            <w:shd w:val="clear" w:color="auto" w:fill="FFFFFF"/>
          </w:tcPr>
          <w:p w14:paraId="5A62A1C4" w14:textId="1054C695" w:rsidR="00710D4B" w:rsidRPr="00B57B36" w:rsidRDefault="00710D4B" w:rsidP="00710D4B">
            <w:pPr>
              <w:pStyle w:val="CETBodytext"/>
              <w:jc w:val="center"/>
              <w:rPr>
                <w:lang w:val="en-GB"/>
              </w:rPr>
            </w:pPr>
            <w:r w:rsidRPr="00FA2D32">
              <w:rPr>
                <w:lang w:val="en-GB"/>
              </w:rPr>
              <w:t>141-46-8</w:t>
            </w:r>
          </w:p>
        </w:tc>
        <w:tc>
          <w:tcPr>
            <w:tcW w:w="993" w:type="dxa"/>
            <w:shd w:val="clear" w:color="auto" w:fill="FFFFFF"/>
          </w:tcPr>
          <w:p w14:paraId="14E4C435" w14:textId="27B57BEC" w:rsidR="00710D4B" w:rsidRPr="00B57B36" w:rsidRDefault="00710D4B" w:rsidP="00710D4B">
            <w:pPr>
              <w:pStyle w:val="CETBodytext"/>
              <w:jc w:val="center"/>
              <w:rPr>
                <w:lang w:val="en-GB"/>
              </w:rPr>
            </w:pPr>
            <w:r>
              <w:rPr>
                <w:lang w:val="en-GB"/>
              </w:rPr>
              <w:t>1,34</w:t>
            </w:r>
          </w:p>
        </w:tc>
        <w:tc>
          <w:tcPr>
            <w:tcW w:w="850" w:type="dxa"/>
            <w:shd w:val="clear" w:color="auto" w:fill="FFFFFF"/>
          </w:tcPr>
          <w:p w14:paraId="2747DD3A"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703C7D7B" w14:textId="600D3424" w:rsidR="00710D4B" w:rsidRPr="00B57B36" w:rsidRDefault="00710D4B" w:rsidP="00710D4B">
            <w:pPr>
              <w:pStyle w:val="CETBodytext"/>
              <w:ind w:right="-1"/>
              <w:jc w:val="center"/>
              <w:rPr>
                <w:rFonts w:cs="Arial"/>
                <w:szCs w:val="18"/>
                <w:lang w:val="en-GB"/>
              </w:rPr>
            </w:pPr>
            <w:r>
              <w:rPr>
                <w:lang w:val="en-GB"/>
              </w:rPr>
              <w:t>1,05</w:t>
            </w:r>
          </w:p>
        </w:tc>
        <w:tc>
          <w:tcPr>
            <w:tcW w:w="849" w:type="dxa"/>
            <w:shd w:val="clear" w:color="auto" w:fill="FFFFFF"/>
          </w:tcPr>
          <w:p w14:paraId="186C00A2" w14:textId="77777777" w:rsidR="00710D4B" w:rsidRPr="00B57B36" w:rsidRDefault="00710D4B" w:rsidP="00710D4B">
            <w:pPr>
              <w:pStyle w:val="CETBodytext"/>
              <w:ind w:right="-1"/>
              <w:jc w:val="center"/>
              <w:rPr>
                <w:rFonts w:cs="Arial"/>
                <w:szCs w:val="18"/>
                <w:lang w:val="en-GB"/>
              </w:rPr>
            </w:pPr>
          </w:p>
        </w:tc>
      </w:tr>
      <w:tr w:rsidR="00710D4B" w:rsidRPr="00B57B36" w14:paraId="719AB595" w14:textId="02611515" w:rsidTr="00C55AB5">
        <w:tc>
          <w:tcPr>
            <w:tcW w:w="3828" w:type="dxa"/>
            <w:shd w:val="clear" w:color="auto" w:fill="FFFFFF"/>
          </w:tcPr>
          <w:p w14:paraId="50A65E06" w14:textId="52D2B13C" w:rsidR="00710D4B" w:rsidRPr="006E627D" w:rsidRDefault="00710D4B" w:rsidP="00710D4B">
            <w:pPr>
              <w:pStyle w:val="CETBodytext"/>
              <w:jc w:val="left"/>
              <w:rPr>
                <w:b/>
                <w:bCs/>
                <w:lang w:val="en-GB"/>
              </w:rPr>
            </w:pPr>
            <w:r w:rsidRPr="006E627D">
              <w:rPr>
                <w:b/>
                <w:bCs/>
                <w:lang w:val="en-GB"/>
              </w:rPr>
              <w:t>Acetic acid</w:t>
            </w:r>
          </w:p>
        </w:tc>
        <w:tc>
          <w:tcPr>
            <w:tcW w:w="1275" w:type="dxa"/>
            <w:shd w:val="clear" w:color="auto" w:fill="FFFFFF"/>
          </w:tcPr>
          <w:p w14:paraId="1971DA68" w14:textId="494B85BC" w:rsidR="00710D4B" w:rsidRPr="00B57B36" w:rsidRDefault="00710D4B" w:rsidP="00710D4B">
            <w:pPr>
              <w:pStyle w:val="CETBodytext"/>
              <w:jc w:val="center"/>
              <w:rPr>
                <w:lang w:val="en-GB"/>
              </w:rPr>
            </w:pPr>
            <w:r w:rsidRPr="00FA2D32">
              <w:rPr>
                <w:lang w:val="en-GB"/>
              </w:rPr>
              <w:t>64-19-7</w:t>
            </w:r>
          </w:p>
        </w:tc>
        <w:tc>
          <w:tcPr>
            <w:tcW w:w="993" w:type="dxa"/>
            <w:shd w:val="clear" w:color="auto" w:fill="FFFFFF"/>
          </w:tcPr>
          <w:p w14:paraId="3FD49389" w14:textId="7A660436" w:rsidR="00710D4B" w:rsidRPr="00B57B36" w:rsidRDefault="00710D4B" w:rsidP="00710D4B">
            <w:pPr>
              <w:pStyle w:val="CETBodytext"/>
              <w:jc w:val="center"/>
              <w:rPr>
                <w:lang w:val="en-GB"/>
              </w:rPr>
            </w:pPr>
            <w:r>
              <w:rPr>
                <w:lang w:val="en-GB"/>
              </w:rPr>
              <w:t>3,02</w:t>
            </w:r>
          </w:p>
        </w:tc>
        <w:tc>
          <w:tcPr>
            <w:tcW w:w="850" w:type="dxa"/>
            <w:shd w:val="clear" w:color="auto" w:fill="FFFFFF"/>
          </w:tcPr>
          <w:p w14:paraId="592CBABF"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2AAF3179" w14:textId="7596278F" w:rsidR="00710D4B" w:rsidRPr="00B57B36" w:rsidRDefault="00710D4B" w:rsidP="00710D4B">
            <w:pPr>
              <w:pStyle w:val="CETBodytext"/>
              <w:ind w:right="-1"/>
              <w:jc w:val="center"/>
              <w:rPr>
                <w:rFonts w:cs="Arial"/>
                <w:szCs w:val="18"/>
                <w:lang w:val="en-GB"/>
              </w:rPr>
            </w:pPr>
            <w:r>
              <w:rPr>
                <w:lang w:val="en-GB"/>
              </w:rPr>
              <w:t>2,77</w:t>
            </w:r>
          </w:p>
        </w:tc>
        <w:tc>
          <w:tcPr>
            <w:tcW w:w="849" w:type="dxa"/>
            <w:shd w:val="clear" w:color="auto" w:fill="FFFFFF"/>
          </w:tcPr>
          <w:p w14:paraId="61726C04" w14:textId="77777777" w:rsidR="00710D4B" w:rsidRPr="00B57B36" w:rsidRDefault="00710D4B" w:rsidP="00710D4B">
            <w:pPr>
              <w:pStyle w:val="CETBodytext"/>
              <w:ind w:right="-1"/>
              <w:jc w:val="center"/>
              <w:rPr>
                <w:rFonts w:cs="Arial"/>
                <w:szCs w:val="18"/>
                <w:lang w:val="en-GB"/>
              </w:rPr>
            </w:pPr>
          </w:p>
        </w:tc>
      </w:tr>
      <w:tr w:rsidR="00710D4B" w:rsidRPr="00B57B36" w14:paraId="49209742" w14:textId="7DA6C7CB" w:rsidTr="00C55AB5">
        <w:tc>
          <w:tcPr>
            <w:tcW w:w="3828" w:type="dxa"/>
            <w:shd w:val="clear" w:color="auto" w:fill="FFFFFF"/>
          </w:tcPr>
          <w:p w14:paraId="7067DF6B" w14:textId="0B1F183A" w:rsidR="00710D4B" w:rsidRPr="00242880" w:rsidRDefault="00C55AB5" w:rsidP="00710D4B">
            <w:pPr>
              <w:pStyle w:val="CETBodytext"/>
              <w:jc w:val="left"/>
              <w:rPr>
                <w:lang w:val="en-GB"/>
              </w:rPr>
            </w:pPr>
            <w:r w:rsidRPr="00242880">
              <w:rPr>
                <w:lang w:val="en-GB"/>
              </w:rPr>
              <w:t>1-</w:t>
            </w:r>
            <w:r w:rsidR="00614968">
              <w:rPr>
                <w:lang w:val="en-GB"/>
              </w:rPr>
              <w:t>H</w:t>
            </w:r>
            <w:r w:rsidRPr="00242880">
              <w:rPr>
                <w:lang w:val="en-GB"/>
              </w:rPr>
              <w:t>ydroxy-</w:t>
            </w:r>
            <w:r w:rsidR="00710D4B" w:rsidRPr="00242880">
              <w:rPr>
                <w:lang w:val="en-GB"/>
              </w:rPr>
              <w:t xml:space="preserve">2-Propanone </w:t>
            </w:r>
          </w:p>
        </w:tc>
        <w:tc>
          <w:tcPr>
            <w:tcW w:w="1275" w:type="dxa"/>
            <w:shd w:val="clear" w:color="auto" w:fill="FFFFFF"/>
          </w:tcPr>
          <w:p w14:paraId="5BF2F91D" w14:textId="2165692B" w:rsidR="00710D4B" w:rsidRPr="00B57B36" w:rsidRDefault="00710D4B" w:rsidP="00710D4B">
            <w:pPr>
              <w:pStyle w:val="CETBodytext"/>
              <w:jc w:val="center"/>
              <w:rPr>
                <w:lang w:val="en-GB"/>
              </w:rPr>
            </w:pPr>
            <w:r w:rsidRPr="00FA2D32">
              <w:rPr>
                <w:lang w:val="en-GB"/>
              </w:rPr>
              <w:t>116-09-6</w:t>
            </w:r>
          </w:p>
        </w:tc>
        <w:tc>
          <w:tcPr>
            <w:tcW w:w="993" w:type="dxa"/>
            <w:shd w:val="clear" w:color="auto" w:fill="FFFFFF"/>
          </w:tcPr>
          <w:p w14:paraId="134BC772" w14:textId="4C291AA8" w:rsidR="00710D4B" w:rsidRPr="00B57B36" w:rsidRDefault="00710D4B" w:rsidP="00710D4B">
            <w:pPr>
              <w:pStyle w:val="CETBodytext"/>
              <w:jc w:val="center"/>
              <w:rPr>
                <w:lang w:val="en-GB"/>
              </w:rPr>
            </w:pPr>
            <w:r>
              <w:rPr>
                <w:lang w:val="en-GB"/>
              </w:rPr>
              <w:t>0,67</w:t>
            </w:r>
          </w:p>
        </w:tc>
        <w:tc>
          <w:tcPr>
            <w:tcW w:w="850" w:type="dxa"/>
            <w:shd w:val="clear" w:color="auto" w:fill="FFFFFF"/>
          </w:tcPr>
          <w:p w14:paraId="5D2F2832"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74DF9484" w14:textId="1C789B07" w:rsidR="00710D4B" w:rsidRPr="00B57B36" w:rsidRDefault="00710D4B" w:rsidP="00710D4B">
            <w:pPr>
              <w:pStyle w:val="CETBodytext"/>
              <w:ind w:right="-1"/>
              <w:jc w:val="center"/>
              <w:rPr>
                <w:rFonts w:cs="Arial"/>
                <w:szCs w:val="18"/>
                <w:lang w:val="en-GB"/>
              </w:rPr>
            </w:pPr>
            <w:r>
              <w:rPr>
                <w:lang w:val="en-GB"/>
              </w:rPr>
              <w:t>0,49</w:t>
            </w:r>
          </w:p>
        </w:tc>
        <w:tc>
          <w:tcPr>
            <w:tcW w:w="849" w:type="dxa"/>
            <w:shd w:val="clear" w:color="auto" w:fill="FFFFFF"/>
          </w:tcPr>
          <w:p w14:paraId="024BAEA3" w14:textId="77777777" w:rsidR="00710D4B" w:rsidRPr="00B57B36" w:rsidRDefault="00710D4B" w:rsidP="00710D4B">
            <w:pPr>
              <w:pStyle w:val="CETBodytext"/>
              <w:ind w:right="-1"/>
              <w:jc w:val="center"/>
              <w:rPr>
                <w:rFonts w:cs="Arial"/>
                <w:szCs w:val="18"/>
                <w:lang w:val="en-GB"/>
              </w:rPr>
            </w:pPr>
          </w:p>
        </w:tc>
      </w:tr>
      <w:tr w:rsidR="00710D4B" w:rsidRPr="00B57B36" w14:paraId="1FADFB0C" w14:textId="77777777" w:rsidTr="00C55AB5">
        <w:tc>
          <w:tcPr>
            <w:tcW w:w="3828" w:type="dxa"/>
            <w:shd w:val="clear" w:color="auto" w:fill="FFFFFF"/>
          </w:tcPr>
          <w:p w14:paraId="2B53ACCF" w14:textId="32D0BBB2" w:rsidR="00710D4B" w:rsidRPr="00242880" w:rsidRDefault="00710D4B" w:rsidP="00710D4B">
            <w:pPr>
              <w:pStyle w:val="CETBodytext"/>
              <w:jc w:val="left"/>
              <w:rPr>
                <w:lang w:val="en-GB"/>
              </w:rPr>
            </w:pPr>
            <w:r w:rsidRPr="00D73A41">
              <w:rPr>
                <w:lang w:val="en-GB"/>
              </w:rPr>
              <w:t>2-Propenoic acid</w:t>
            </w:r>
          </w:p>
        </w:tc>
        <w:tc>
          <w:tcPr>
            <w:tcW w:w="1275" w:type="dxa"/>
            <w:shd w:val="clear" w:color="auto" w:fill="FFFFFF"/>
          </w:tcPr>
          <w:p w14:paraId="44195C03" w14:textId="0CBD64B9" w:rsidR="00710D4B" w:rsidRPr="00FA2D32" w:rsidRDefault="00710D4B" w:rsidP="00710D4B">
            <w:pPr>
              <w:pStyle w:val="CETBodytext"/>
              <w:jc w:val="center"/>
              <w:rPr>
                <w:lang w:val="en-GB"/>
              </w:rPr>
            </w:pPr>
            <w:r>
              <w:rPr>
                <w:lang w:val="en-GB"/>
              </w:rPr>
              <w:t>79-10-7</w:t>
            </w:r>
          </w:p>
        </w:tc>
        <w:tc>
          <w:tcPr>
            <w:tcW w:w="993" w:type="dxa"/>
            <w:shd w:val="clear" w:color="auto" w:fill="FFFFFF"/>
          </w:tcPr>
          <w:p w14:paraId="1BEBBEA0" w14:textId="75B9BBBD" w:rsidR="00710D4B" w:rsidRDefault="00710D4B" w:rsidP="00710D4B">
            <w:pPr>
              <w:pStyle w:val="CETBodytext"/>
              <w:jc w:val="center"/>
              <w:rPr>
                <w:lang w:val="en-GB"/>
              </w:rPr>
            </w:pPr>
          </w:p>
        </w:tc>
        <w:tc>
          <w:tcPr>
            <w:tcW w:w="850" w:type="dxa"/>
            <w:shd w:val="clear" w:color="auto" w:fill="FFFFFF"/>
          </w:tcPr>
          <w:p w14:paraId="3DFCCA4E"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25E9E56F" w14:textId="71643F2A" w:rsidR="00710D4B" w:rsidRPr="00B57B36" w:rsidRDefault="00710D4B" w:rsidP="00710D4B">
            <w:pPr>
              <w:pStyle w:val="CETBodytext"/>
              <w:ind w:right="-1"/>
              <w:jc w:val="center"/>
              <w:rPr>
                <w:rFonts w:cs="Arial"/>
                <w:szCs w:val="18"/>
                <w:lang w:val="en-GB"/>
              </w:rPr>
            </w:pPr>
            <w:r>
              <w:rPr>
                <w:lang w:val="en-GB"/>
              </w:rPr>
              <w:t>0,23</w:t>
            </w:r>
          </w:p>
        </w:tc>
        <w:tc>
          <w:tcPr>
            <w:tcW w:w="849" w:type="dxa"/>
            <w:shd w:val="clear" w:color="auto" w:fill="FFFFFF"/>
          </w:tcPr>
          <w:p w14:paraId="191397A9" w14:textId="77777777" w:rsidR="00710D4B" w:rsidRPr="00B57B36" w:rsidRDefault="00710D4B" w:rsidP="00710D4B">
            <w:pPr>
              <w:pStyle w:val="CETBodytext"/>
              <w:ind w:right="-1"/>
              <w:jc w:val="center"/>
              <w:rPr>
                <w:rFonts w:cs="Arial"/>
                <w:szCs w:val="18"/>
                <w:lang w:val="en-GB"/>
              </w:rPr>
            </w:pPr>
          </w:p>
        </w:tc>
      </w:tr>
      <w:tr w:rsidR="00710D4B" w:rsidRPr="00B57B36" w14:paraId="68F8207D" w14:textId="2C77484E" w:rsidTr="00C55AB5">
        <w:tc>
          <w:tcPr>
            <w:tcW w:w="3828" w:type="dxa"/>
            <w:shd w:val="clear" w:color="auto" w:fill="FFFFFF"/>
          </w:tcPr>
          <w:p w14:paraId="71D6A5BE" w14:textId="4AD04A63" w:rsidR="00710D4B" w:rsidRPr="00242880" w:rsidRDefault="00710D4B" w:rsidP="00710D4B">
            <w:pPr>
              <w:pStyle w:val="CETBodytext"/>
              <w:jc w:val="left"/>
              <w:rPr>
                <w:lang w:val="en-GB"/>
              </w:rPr>
            </w:pPr>
            <w:r w:rsidRPr="00242880">
              <w:rPr>
                <w:lang w:val="en-GB"/>
              </w:rPr>
              <w:t>Succindialdehyde</w:t>
            </w:r>
          </w:p>
        </w:tc>
        <w:tc>
          <w:tcPr>
            <w:tcW w:w="1275" w:type="dxa"/>
            <w:shd w:val="clear" w:color="auto" w:fill="FFFFFF"/>
          </w:tcPr>
          <w:p w14:paraId="52A17191" w14:textId="4C65C63B" w:rsidR="00710D4B" w:rsidRPr="00B57B36" w:rsidRDefault="00710D4B" w:rsidP="00710D4B">
            <w:pPr>
              <w:pStyle w:val="CETBodytext"/>
              <w:jc w:val="center"/>
              <w:rPr>
                <w:lang w:val="en-GB"/>
              </w:rPr>
            </w:pPr>
            <w:r w:rsidRPr="00FA2D32">
              <w:rPr>
                <w:lang w:val="en-GB"/>
              </w:rPr>
              <w:t>638-37-9</w:t>
            </w:r>
          </w:p>
        </w:tc>
        <w:tc>
          <w:tcPr>
            <w:tcW w:w="993" w:type="dxa"/>
            <w:shd w:val="clear" w:color="auto" w:fill="FFFFFF"/>
          </w:tcPr>
          <w:p w14:paraId="168EB825" w14:textId="52B3B98D" w:rsidR="00710D4B" w:rsidRPr="00B57B36" w:rsidRDefault="00710D4B" w:rsidP="00710D4B">
            <w:pPr>
              <w:pStyle w:val="CETBodytext"/>
              <w:jc w:val="center"/>
              <w:rPr>
                <w:lang w:val="en-GB"/>
              </w:rPr>
            </w:pPr>
            <w:r>
              <w:rPr>
                <w:lang w:val="en-GB"/>
              </w:rPr>
              <w:t>0,60</w:t>
            </w:r>
          </w:p>
        </w:tc>
        <w:tc>
          <w:tcPr>
            <w:tcW w:w="850" w:type="dxa"/>
            <w:shd w:val="clear" w:color="auto" w:fill="FFFFFF"/>
          </w:tcPr>
          <w:p w14:paraId="7C3B2F91"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27AD7DE" w14:textId="6E2DF922" w:rsidR="00710D4B" w:rsidRPr="00B57B36" w:rsidRDefault="00710D4B" w:rsidP="00710D4B">
            <w:pPr>
              <w:pStyle w:val="CETBodytext"/>
              <w:ind w:right="-1"/>
              <w:jc w:val="center"/>
              <w:rPr>
                <w:rFonts w:cs="Arial"/>
                <w:szCs w:val="18"/>
                <w:lang w:val="en-GB"/>
              </w:rPr>
            </w:pPr>
            <w:r>
              <w:rPr>
                <w:lang w:val="en-GB"/>
              </w:rPr>
              <w:t>0,45</w:t>
            </w:r>
          </w:p>
        </w:tc>
        <w:tc>
          <w:tcPr>
            <w:tcW w:w="849" w:type="dxa"/>
            <w:shd w:val="clear" w:color="auto" w:fill="FFFFFF"/>
          </w:tcPr>
          <w:p w14:paraId="771DAECD" w14:textId="77777777" w:rsidR="00710D4B" w:rsidRPr="00B57B36" w:rsidRDefault="00710D4B" w:rsidP="00710D4B">
            <w:pPr>
              <w:pStyle w:val="CETBodytext"/>
              <w:ind w:right="-1"/>
              <w:jc w:val="center"/>
              <w:rPr>
                <w:rFonts w:cs="Arial"/>
                <w:szCs w:val="18"/>
                <w:lang w:val="en-GB"/>
              </w:rPr>
            </w:pPr>
          </w:p>
        </w:tc>
      </w:tr>
      <w:tr w:rsidR="00710D4B" w:rsidRPr="00B57B36" w14:paraId="554E1E0F" w14:textId="48C7F6D8" w:rsidTr="00C55AB5">
        <w:tc>
          <w:tcPr>
            <w:tcW w:w="3828" w:type="dxa"/>
            <w:shd w:val="clear" w:color="auto" w:fill="FFFFFF"/>
          </w:tcPr>
          <w:p w14:paraId="11ACB4A0" w14:textId="42F11D25" w:rsidR="00710D4B" w:rsidRPr="00242880" w:rsidRDefault="00C55AB5" w:rsidP="00710D4B">
            <w:pPr>
              <w:pStyle w:val="CETBodytext"/>
              <w:jc w:val="left"/>
              <w:rPr>
                <w:lang w:val="en-GB"/>
              </w:rPr>
            </w:pPr>
            <w:r w:rsidRPr="00242880">
              <w:rPr>
                <w:lang w:val="en-GB"/>
              </w:rPr>
              <w:t>2-</w:t>
            </w:r>
            <w:r w:rsidR="00614968">
              <w:rPr>
                <w:lang w:val="en-GB"/>
              </w:rPr>
              <w:t>O</w:t>
            </w:r>
            <w:r w:rsidRPr="00242880">
              <w:rPr>
                <w:lang w:val="en-GB"/>
              </w:rPr>
              <w:t>xo-methyl ester</w:t>
            </w:r>
            <w:r>
              <w:rPr>
                <w:lang w:val="en-GB"/>
              </w:rPr>
              <w:t>-</w:t>
            </w:r>
            <w:r w:rsidR="00710D4B" w:rsidRPr="00242880">
              <w:rPr>
                <w:lang w:val="en-GB"/>
              </w:rPr>
              <w:t xml:space="preserve">Propanoic acid </w:t>
            </w:r>
          </w:p>
        </w:tc>
        <w:tc>
          <w:tcPr>
            <w:tcW w:w="1275" w:type="dxa"/>
            <w:shd w:val="clear" w:color="auto" w:fill="FFFFFF"/>
          </w:tcPr>
          <w:p w14:paraId="299A1F8A" w14:textId="11881810" w:rsidR="00710D4B" w:rsidRPr="00B57B36" w:rsidRDefault="00710D4B" w:rsidP="00710D4B">
            <w:pPr>
              <w:pStyle w:val="CETBodytext"/>
              <w:jc w:val="center"/>
              <w:rPr>
                <w:lang w:val="en-GB"/>
              </w:rPr>
            </w:pPr>
            <w:r w:rsidRPr="00FA2D32">
              <w:rPr>
                <w:lang w:val="en-GB"/>
              </w:rPr>
              <w:t>600-22-6</w:t>
            </w:r>
          </w:p>
        </w:tc>
        <w:tc>
          <w:tcPr>
            <w:tcW w:w="993" w:type="dxa"/>
            <w:shd w:val="clear" w:color="auto" w:fill="FFFFFF"/>
          </w:tcPr>
          <w:p w14:paraId="18B8BA91" w14:textId="290CD481" w:rsidR="00710D4B" w:rsidRPr="00B57B36" w:rsidRDefault="00710D4B" w:rsidP="00710D4B">
            <w:pPr>
              <w:pStyle w:val="CETBodytext"/>
              <w:jc w:val="center"/>
              <w:rPr>
                <w:lang w:val="en-GB"/>
              </w:rPr>
            </w:pPr>
            <w:r>
              <w:rPr>
                <w:lang w:val="en-GB"/>
              </w:rPr>
              <w:t>0,73</w:t>
            </w:r>
          </w:p>
        </w:tc>
        <w:tc>
          <w:tcPr>
            <w:tcW w:w="850" w:type="dxa"/>
            <w:shd w:val="clear" w:color="auto" w:fill="FFFFFF"/>
          </w:tcPr>
          <w:p w14:paraId="01DA0075"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9412A1D" w14:textId="74BB83F6" w:rsidR="00710D4B" w:rsidRPr="00B57B36" w:rsidRDefault="00710D4B" w:rsidP="00710D4B">
            <w:pPr>
              <w:pStyle w:val="CETBodytext"/>
              <w:ind w:right="-1"/>
              <w:jc w:val="center"/>
              <w:rPr>
                <w:rFonts w:cs="Arial"/>
                <w:szCs w:val="18"/>
                <w:lang w:val="en-GB"/>
              </w:rPr>
            </w:pPr>
            <w:r>
              <w:rPr>
                <w:lang w:val="en-GB"/>
              </w:rPr>
              <w:t>0,52</w:t>
            </w:r>
          </w:p>
        </w:tc>
        <w:tc>
          <w:tcPr>
            <w:tcW w:w="849" w:type="dxa"/>
            <w:shd w:val="clear" w:color="auto" w:fill="FFFFFF"/>
          </w:tcPr>
          <w:p w14:paraId="3A55866C" w14:textId="77777777" w:rsidR="00710D4B" w:rsidRPr="00B57B36" w:rsidRDefault="00710D4B" w:rsidP="00710D4B">
            <w:pPr>
              <w:pStyle w:val="CETBodytext"/>
              <w:ind w:right="-1"/>
              <w:jc w:val="center"/>
              <w:rPr>
                <w:rFonts w:cs="Arial"/>
                <w:szCs w:val="18"/>
                <w:lang w:val="en-GB"/>
              </w:rPr>
            </w:pPr>
          </w:p>
        </w:tc>
      </w:tr>
      <w:tr w:rsidR="00710D4B" w:rsidRPr="00B57B36" w14:paraId="3EF94A87" w14:textId="7E12C1C9" w:rsidTr="00C55AB5">
        <w:tc>
          <w:tcPr>
            <w:tcW w:w="3828" w:type="dxa"/>
            <w:shd w:val="clear" w:color="auto" w:fill="FFFFFF"/>
          </w:tcPr>
          <w:p w14:paraId="367CED84" w14:textId="60D8C291" w:rsidR="00710D4B" w:rsidRPr="006E627D" w:rsidRDefault="00710D4B" w:rsidP="00710D4B">
            <w:pPr>
              <w:pStyle w:val="CETBodytext"/>
              <w:jc w:val="left"/>
              <w:rPr>
                <w:b/>
                <w:bCs/>
                <w:lang w:val="en-GB"/>
              </w:rPr>
            </w:pPr>
            <w:r w:rsidRPr="006E627D">
              <w:rPr>
                <w:b/>
                <w:bCs/>
                <w:lang w:val="en-GB"/>
              </w:rPr>
              <w:t>Furfural</w:t>
            </w:r>
          </w:p>
        </w:tc>
        <w:tc>
          <w:tcPr>
            <w:tcW w:w="1275" w:type="dxa"/>
            <w:shd w:val="clear" w:color="auto" w:fill="FFFFFF"/>
          </w:tcPr>
          <w:p w14:paraId="71B0B385" w14:textId="73F2EFEE" w:rsidR="00710D4B" w:rsidRPr="00B57B36" w:rsidRDefault="00710D4B" w:rsidP="00710D4B">
            <w:pPr>
              <w:pStyle w:val="CETBodytext"/>
              <w:jc w:val="center"/>
              <w:rPr>
                <w:lang w:val="en-GB"/>
              </w:rPr>
            </w:pPr>
            <w:r w:rsidRPr="00FA2D32">
              <w:rPr>
                <w:lang w:val="en-GB"/>
              </w:rPr>
              <w:t>98-01-1</w:t>
            </w:r>
          </w:p>
        </w:tc>
        <w:tc>
          <w:tcPr>
            <w:tcW w:w="993" w:type="dxa"/>
            <w:shd w:val="clear" w:color="auto" w:fill="FFFFFF"/>
          </w:tcPr>
          <w:p w14:paraId="22E3FBF7" w14:textId="183EE131" w:rsidR="00710D4B" w:rsidRPr="00B57B36" w:rsidRDefault="00710D4B" w:rsidP="00710D4B">
            <w:pPr>
              <w:pStyle w:val="CETBodytext"/>
              <w:jc w:val="center"/>
              <w:rPr>
                <w:lang w:val="en-GB"/>
              </w:rPr>
            </w:pPr>
            <w:r>
              <w:rPr>
                <w:lang w:val="en-GB"/>
              </w:rPr>
              <w:t>3,11</w:t>
            </w:r>
          </w:p>
        </w:tc>
        <w:tc>
          <w:tcPr>
            <w:tcW w:w="850" w:type="dxa"/>
            <w:shd w:val="clear" w:color="auto" w:fill="FFFFFF"/>
          </w:tcPr>
          <w:p w14:paraId="1F45F5F2"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8AC821A" w14:textId="58C262E3" w:rsidR="00710D4B" w:rsidRPr="00B57B36" w:rsidRDefault="00710D4B" w:rsidP="00710D4B">
            <w:pPr>
              <w:pStyle w:val="CETBodytext"/>
              <w:ind w:right="-1"/>
              <w:jc w:val="center"/>
              <w:rPr>
                <w:rFonts w:cs="Arial"/>
                <w:szCs w:val="18"/>
                <w:lang w:val="en-GB"/>
              </w:rPr>
            </w:pPr>
            <w:r>
              <w:rPr>
                <w:lang w:val="en-GB"/>
              </w:rPr>
              <w:t>2,18</w:t>
            </w:r>
          </w:p>
        </w:tc>
        <w:tc>
          <w:tcPr>
            <w:tcW w:w="849" w:type="dxa"/>
            <w:shd w:val="clear" w:color="auto" w:fill="FFFFFF"/>
          </w:tcPr>
          <w:p w14:paraId="30A13315" w14:textId="77777777" w:rsidR="00710D4B" w:rsidRPr="00B57B36" w:rsidRDefault="00710D4B" w:rsidP="00710D4B">
            <w:pPr>
              <w:pStyle w:val="CETBodytext"/>
              <w:ind w:right="-1"/>
              <w:jc w:val="center"/>
              <w:rPr>
                <w:rFonts w:cs="Arial"/>
                <w:szCs w:val="18"/>
                <w:lang w:val="en-GB"/>
              </w:rPr>
            </w:pPr>
          </w:p>
        </w:tc>
      </w:tr>
      <w:tr w:rsidR="00710D4B" w:rsidRPr="00B57B36" w14:paraId="1939D657" w14:textId="3331783C" w:rsidTr="00C55AB5">
        <w:tc>
          <w:tcPr>
            <w:tcW w:w="3828" w:type="dxa"/>
            <w:shd w:val="clear" w:color="auto" w:fill="FFFFFF"/>
          </w:tcPr>
          <w:p w14:paraId="382F8467" w14:textId="54BD7D97" w:rsidR="00710D4B" w:rsidRPr="006E627D" w:rsidRDefault="00710D4B" w:rsidP="00710D4B">
            <w:pPr>
              <w:pStyle w:val="CETBodytext"/>
              <w:jc w:val="left"/>
              <w:rPr>
                <w:b/>
                <w:bCs/>
                <w:lang w:val="en-GB"/>
              </w:rPr>
            </w:pPr>
            <w:r w:rsidRPr="006E627D">
              <w:rPr>
                <w:b/>
                <w:bCs/>
                <w:lang w:val="en-GB"/>
              </w:rPr>
              <w:t>2-Furanmethanol</w:t>
            </w:r>
          </w:p>
        </w:tc>
        <w:tc>
          <w:tcPr>
            <w:tcW w:w="1275" w:type="dxa"/>
            <w:shd w:val="clear" w:color="auto" w:fill="FFFFFF"/>
          </w:tcPr>
          <w:p w14:paraId="11F735B2" w14:textId="4DB0EF5F" w:rsidR="00710D4B" w:rsidRPr="00B57B36" w:rsidRDefault="00710D4B" w:rsidP="00710D4B">
            <w:pPr>
              <w:pStyle w:val="CETBodytext"/>
              <w:jc w:val="center"/>
              <w:rPr>
                <w:lang w:val="en-GB"/>
              </w:rPr>
            </w:pPr>
            <w:r w:rsidRPr="00FA2D32">
              <w:rPr>
                <w:lang w:val="en-GB"/>
              </w:rPr>
              <w:t>98-00-0</w:t>
            </w:r>
          </w:p>
        </w:tc>
        <w:tc>
          <w:tcPr>
            <w:tcW w:w="993" w:type="dxa"/>
            <w:shd w:val="clear" w:color="auto" w:fill="FFFFFF"/>
          </w:tcPr>
          <w:p w14:paraId="53D3972C" w14:textId="754DCDA6" w:rsidR="00710D4B" w:rsidRPr="00B57B36" w:rsidRDefault="00710D4B" w:rsidP="00710D4B">
            <w:pPr>
              <w:pStyle w:val="CETBodytext"/>
              <w:jc w:val="center"/>
              <w:rPr>
                <w:lang w:val="en-GB"/>
              </w:rPr>
            </w:pPr>
            <w:r>
              <w:rPr>
                <w:lang w:val="en-GB"/>
              </w:rPr>
              <w:t>2,73</w:t>
            </w:r>
          </w:p>
        </w:tc>
        <w:tc>
          <w:tcPr>
            <w:tcW w:w="850" w:type="dxa"/>
            <w:shd w:val="clear" w:color="auto" w:fill="FFFFFF"/>
          </w:tcPr>
          <w:p w14:paraId="775B64F2"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249766D8" w14:textId="3458754F" w:rsidR="00710D4B" w:rsidRPr="00B57B36" w:rsidRDefault="00710D4B" w:rsidP="00710D4B">
            <w:pPr>
              <w:pStyle w:val="CETBodytext"/>
              <w:ind w:right="-1"/>
              <w:jc w:val="center"/>
              <w:rPr>
                <w:rFonts w:cs="Arial"/>
                <w:szCs w:val="18"/>
                <w:lang w:val="en-GB"/>
              </w:rPr>
            </w:pPr>
            <w:r>
              <w:rPr>
                <w:lang w:val="en-GB"/>
              </w:rPr>
              <w:t>1,73</w:t>
            </w:r>
          </w:p>
        </w:tc>
        <w:tc>
          <w:tcPr>
            <w:tcW w:w="849" w:type="dxa"/>
            <w:shd w:val="clear" w:color="auto" w:fill="FFFFFF"/>
          </w:tcPr>
          <w:p w14:paraId="0BDE53D7" w14:textId="77777777" w:rsidR="00710D4B" w:rsidRPr="00B57B36" w:rsidRDefault="00710D4B" w:rsidP="00710D4B">
            <w:pPr>
              <w:pStyle w:val="CETBodytext"/>
              <w:ind w:right="-1"/>
              <w:jc w:val="center"/>
              <w:rPr>
                <w:rFonts w:cs="Arial"/>
                <w:szCs w:val="18"/>
                <w:lang w:val="en-GB"/>
              </w:rPr>
            </w:pPr>
          </w:p>
        </w:tc>
      </w:tr>
      <w:tr w:rsidR="00710D4B" w:rsidRPr="00B57B36" w14:paraId="5D8F9C78" w14:textId="6B4321DD" w:rsidTr="00C55AB5">
        <w:tc>
          <w:tcPr>
            <w:tcW w:w="3828" w:type="dxa"/>
            <w:shd w:val="clear" w:color="auto" w:fill="FFFFFF"/>
          </w:tcPr>
          <w:p w14:paraId="4C217527" w14:textId="36F7F77F" w:rsidR="00710D4B" w:rsidRPr="00242880" w:rsidRDefault="00C55AB5" w:rsidP="00710D4B">
            <w:pPr>
              <w:pStyle w:val="CETBodytext"/>
              <w:jc w:val="left"/>
              <w:rPr>
                <w:lang w:val="en-GB"/>
              </w:rPr>
            </w:pPr>
            <w:r w:rsidRPr="00242880">
              <w:rPr>
                <w:lang w:val="en-GB"/>
              </w:rPr>
              <w:t>1-(</w:t>
            </w:r>
            <w:r w:rsidR="00614968">
              <w:rPr>
                <w:lang w:val="en-GB"/>
              </w:rPr>
              <w:t>A</w:t>
            </w:r>
            <w:r w:rsidRPr="00242880">
              <w:rPr>
                <w:lang w:val="en-GB"/>
              </w:rPr>
              <w:t>cetyloxy)-</w:t>
            </w:r>
            <w:r w:rsidR="00710D4B" w:rsidRPr="00242880">
              <w:rPr>
                <w:lang w:val="en-GB"/>
              </w:rPr>
              <w:t xml:space="preserve">2-Propanone </w:t>
            </w:r>
          </w:p>
        </w:tc>
        <w:tc>
          <w:tcPr>
            <w:tcW w:w="1275" w:type="dxa"/>
            <w:shd w:val="clear" w:color="auto" w:fill="FFFFFF"/>
          </w:tcPr>
          <w:p w14:paraId="3A982645" w14:textId="64859849" w:rsidR="00710D4B" w:rsidRPr="00B57B36" w:rsidRDefault="00710D4B" w:rsidP="00710D4B">
            <w:pPr>
              <w:pStyle w:val="CETBodytext"/>
              <w:jc w:val="center"/>
              <w:rPr>
                <w:lang w:val="en-GB"/>
              </w:rPr>
            </w:pPr>
            <w:r w:rsidRPr="00FA2D32">
              <w:rPr>
                <w:lang w:val="en-GB"/>
              </w:rPr>
              <w:t>592-20-1</w:t>
            </w:r>
          </w:p>
        </w:tc>
        <w:tc>
          <w:tcPr>
            <w:tcW w:w="993" w:type="dxa"/>
            <w:shd w:val="clear" w:color="auto" w:fill="FFFFFF"/>
          </w:tcPr>
          <w:p w14:paraId="7A00FB61" w14:textId="17EC0BAB" w:rsidR="00710D4B" w:rsidRPr="00B57B36" w:rsidRDefault="00710D4B" w:rsidP="00710D4B">
            <w:pPr>
              <w:pStyle w:val="CETBodytext"/>
              <w:jc w:val="center"/>
              <w:rPr>
                <w:lang w:val="en-GB"/>
              </w:rPr>
            </w:pPr>
            <w:r>
              <w:rPr>
                <w:lang w:val="en-GB"/>
              </w:rPr>
              <w:t>0,37</w:t>
            </w:r>
          </w:p>
        </w:tc>
        <w:tc>
          <w:tcPr>
            <w:tcW w:w="850" w:type="dxa"/>
            <w:shd w:val="clear" w:color="auto" w:fill="FFFFFF"/>
          </w:tcPr>
          <w:p w14:paraId="12B8C209"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462F397E" w14:textId="40991F2E" w:rsidR="00710D4B" w:rsidRPr="00B57B36" w:rsidRDefault="00710D4B" w:rsidP="00710D4B">
            <w:pPr>
              <w:pStyle w:val="CETBodytext"/>
              <w:ind w:right="-1"/>
              <w:jc w:val="center"/>
              <w:rPr>
                <w:rFonts w:cs="Arial"/>
                <w:szCs w:val="18"/>
                <w:lang w:val="en-GB"/>
              </w:rPr>
            </w:pPr>
            <w:r>
              <w:rPr>
                <w:lang w:val="en-GB"/>
              </w:rPr>
              <w:t>0,25</w:t>
            </w:r>
          </w:p>
        </w:tc>
        <w:tc>
          <w:tcPr>
            <w:tcW w:w="849" w:type="dxa"/>
            <w:shd w:val="clear" w:color="auto" w:fill="FFFFFF"/>
          </w:tcPr>
          <w:p w14:paraId="0977156C" w14:textId="77777777" w:rsidR="00710D4B" w:rsidRPr="00B57B36" w:rsidRDefault="00710D4B" w:rsidP="00710D4B">
            <w:pPr>
              <w:pStyle w:val="CETBodytext"/>
              <w:ind w:right="-1"/>
              <w:jc w:val="center"/>
              <w:rPr>
                <w:rFonts w:cs="Arial"/>
                <w:szCs w:val="18"/>
                <w:lang w:val="en-GB"/>
              </w:rPr>
            </w:pPr>
          </w:p>
        </w:tc>
      </w:tr>
      <w:tr w:rsidR="00710D4B" w:rsidRPr="00B57B36" w14:paraId="568358D6" w14:textId="387D86B5" w:rsidTr="00C55AB5">
        <w:tc>
          <w:tcPr>
            <w:tcW w:w="3828" w:type="dxa"/>
            <w:shd w:val="clear" w:color="auto" w:fill="FFFFFF"/>
          </w:tcPr>
          <w:p w14:paraId="0AC029F6" w14:textId="5518FD0C" w:rsidR="00710D4B" w:rsidRPr="00242880" w:rsidRDefault="00710D4B" w:rsidP="00710D4B">
            <w:pPr>
              <w:pStyle w:val="CETBodytext"/>
              <w:jc w:val="left"/>
              <w:rPr>
                <w:lang w:val="en-GB"/>
              </w:rPr>
            </w:pPr>
            <w:r w:rsidRPr="00242880">
              <w:rPr>
                <w:lang w:val="en-GB"/>
              </w:rPr>
              <w:t>4-Cyclopentene-1,3-dione</w:t>
            </w:r>
          </w:p>
        </w:tc>
        <w:tc>
          <w:tcPr>
            <w:tcW w:w="1275" w:type="dxa"/>
            <w:shd w:val="clear" w:color="auto" w:fill="FFFFFF"/>
          </w:tcPr>
          <w:p w14:paraId="09168B20" w14:textId="6218E6E5" w:rsidR="00710D4B" w:rsidRPr="00B57B36" w:rsidRDefault="00710D4B" w:rsidP="00710D4B">
            <w:pPr>
              <w:pStyle w:val="CETBodytext"/>
              <w:jc w:val="center"/>
              <w:rPr>
                <w:lang w:val="en-GB"/>
              </w:rPr>
            </w:pPr>
            <w:r w:rsidRPr="00FA2D32">
              <w:rPr>
                <w:lang w:val="en-GB"/>
              </w:rPr>
              <w:t>930-60-9</w:t>
            </w:r>
          </w:p>
        </w:tc>
        <w:tc>
          <w:tcPr>
            <w:tcW w:w="993" w:type="dxa"/>
            <w:shd w:val="clear" w:color="auto" w:fill="FFFFFF"/>
          </w:tcPr>
          <w:p w14:paraId="40E40C6A" w14:textId="31D09710" w:rsidR="00710D4B" w:rsidRPr="00B57B36" w:rsidRDefault="00710D4B" w:rsidP="00710D4B">
            <w:pPr>
              <w:pStyle w:val="CETBodytext"/>
              <w:jc w:val="center"/>
              <w:rPr>
                <w:lang w:val="en-GB"/>
              </w:rPr>
            </w:pPr>
            <w:r>
              <w:rPr>
                <w:lang w:val="en-GB"/>
              </w:rPr>
              <w:t>0,16</w:t>
            </w:r>
          </w:p>
        </w:tc>
        <w:tc>
          <w:tcPr>
            <w:tcW w:w="850" w:type="dxa"/>
            <w:shd w:val="clear" w:color="auto" w:fill="FFFFFF"/>
          </w:tcPr>
          <w:p w14:paraId="07BD046B"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2917B9E9" w14:textId="4D4E0C7D" w:rsidR="00710D4B" w:rsidRPr="00B57B36" w:rsidRDefault="00710D4B" w:rsidP="00710D4B">
            <w:pPr>
              <w:pStyle w:val="CETBodytext"/>
              <w:ind w:right="-1"/>
              <w:jc w:val="center"/>
              <w:rPr>
                <w:rFonts w:cs="Arial"/>
                <w:szCs w:val="18"/>
                <w:lang w:val="en-GB"/>
              </w:rPr>
            </w:pPr>
            <w:r>
              <w:rPr>
                <w:lang w:val="en-GB"/>
              </w:rPr>
              <w:t>0,12</w:t>
            </w:r>
          </w:p>
        </w:tc>
        <w:tc>
          <w:tcPr>
            <w:tcW w:w="849" w:type="dxa"/>
            <w:shd w:val="clear" w:color="auto" w:fill="FFFFFF"/>
          </w:tcPr>
          <w:p w14:paraId="42A5A99E" w14:textId="77777777" w:rsidR="00710D4B" w:rsidRPr="00B57B36" w:rsidRDefault="00710D4B" w:rsidP="00710D4B">
            <w:pPr>
              <w:pStyle w:val="CETBodytext"/>
              <w:ind w:right="-1"/>
              <w:jc w:val="center"/>
              <w:rPr>
                <w:rFonts w:cs="Arial"/>
                <w:szCs w:val="18"/>
                <w:lang w:val="en-GB"/>
              </w:rPr>
            </w:pPr>
          </w:p>
        </w:tc>
      </w:tr>
      <w:tr w:rsidR="00710D4B" w:rsidRPr="00B57B36" w14:paraId="2D031AFE" w14:textId="6868E066" w:rsidTr="00C55AB5">
        <w:tc>
          <w:tcPr>
            <w:tcW w:w="3828" w:type="dxa"/>
            <w:shd w:val="clear" w:color="auto" w:fill="FFFFFF"/>
          </w:tcPr>
          <w:p w14:paraId="04FADC91" w14:textId="7B613B76" w:rsidR="00710D4B" w:rsidRPr="006E627D" w:rsidRDefault="00710D4B" w:rsidP="00710D4B">
            <w:pPr>
              <w:pStyle w:val="CETBodytext"/>
              <w:jc w:val="left"/>
              <w:rPr>
                <w:b/>
                <w:bCs/>
                <w:lang w:val="en-GB"/>
              </w:rPr>
            </w:pPr>
            <w:r w:rsidRPr="006E627D">
              <w:rPr>
                <w:b/>
                <w:bCs/>
                <w:lang w:val="en-GB"/>
              </w:rPr>
              <w:t>2(5H)-Furanone</w:t>
            </w:r>
          </w:p>
        </w:tc>
        <w:tc>
          <w:tcPr>
            <w:tcW w:w="1275" w:type="dxa"/>
            <w:shd w:val="clear" w:color="auto" w:fill="FFFFFF"/>
          </w:tcPr>
          <w:p w14:paraId="26EC4DA4" w14:textId="1C3F24F3" w:rsidR="00710D4B" w:rsidRPr="00B57B36" w:rsidRDefault="00710D4B" w:rsidP="00710D4B">
            <w:pPr>
              <w:pStyle w:val="CETBodytext"/>
              <w:jc w:val="center"/>
              <w:rPr>
                <w:lang w:val="en-GB"/>
              </w:rPr>
            </w:pPr>
            <w:r w:rsidRPr="00FA2D32">
              <w:rPr>
                <w:lang w:val="en-GB"/>
              </w:rPr>
              <w:t>497-23-4</w:t>
            </w:r>
          </w:p>
        </w:tc>
        <w:tc>
          <w:tcPr>
            <w:tcW w:w="993" w:type="dxa"/>
            <w:shd w:val="clear" w:color="auto" w:fill="FFFFFF"/>
          </w:tcPr>
          <w:p w14:paraId="526B5170" w14:textId="34F0842A" w:rsidR="00710D4B" w:rsidRPr="00B57B36" w:rsidRDefault="00710D4B" w:rsidP="00710D4B">
            <w:pPr>
              <w:pStyle w:val="CETBodytext"/>
              <w:jc w:val="center"/>
              <w:rPr>
                <w:lang w:val="en-GB"/>
              </w:rPr>
            </w:pPr>
            <w:r>
              <w:rPr>
                <w:lang w:val="en-GB"/>
              </w:rPr>
              <w:t>1,60</w:t>
            </w:r>
          </w:p>
        </w:tc>
        <w:tc>
          <w:tcPr>
            <w:tcW w:w="850" w:type="dxa"/>
            <w:shd w:val="clear" w:color="auto" w:fill="FFFFFF"/>
          </w:tcPr>
          <w:p w14:paraId="7A200CC0"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5C9C6BB2" w14:textId="4641FD03" w:rsidR="00710D4B" w:rsidRPr="00B57B36" w:rsidRDefault="00710D4B" w:rsidP="00710D4B">
            <w:pPr>
              <w:pStyle w:val="CETBodytext"/>
              <w:ind w:right="-1"/>
              <w:jc w:val="center"/>
              <w:rPr>
                <w:rFonts w:cs="Arial"/>
                <w:szCs w:val="18"/>
                <w:lang w:val="en-GB"/>
              </w:rPr>
            </w:pPr>
            <w:r>
              <w:rPr>
                <w:lang w:val="en-GB"/>
              </w:rPr>
              <w:t>1,33</w:t>
            </w:r>
          </w:p>
        </w:tc>
        <w:tc>
          <w:tcPr>
            <w:tcW w:w="849" w:type="dxa"/>
            <w:shd w:val="clear" w:color="auto" w:fill="FFFFFF"/>
          </w:tcPr>
          <w:p w14:paraId="1A758645" w14:textId="77777777" w:rsidR="00710D4B" w:rsidRPr="00B57B36" w:rsidRDefault="00710D4B" w:rsidP="00710D4B">
            <w:pPr>
              <w:pStyle w:val="CETBodytext"/>
              <w:ind w:right="-1"/>
              <w:jc w:val="center"/>
              <w:rPr>
                <w:rFonts w:cs="Arial"/>
                <w:szCs w:val="18"/>
                <w:lang w:val="en-GB"/>
              </w:rPr>
            </w:pPr>
          </w:p>
        </w:tc>
      </w:tr>
      <w:tr w:rsidR="00710D4B" w:rsidRPr="00B57B36" w14:paraId="0CC91811" w14:textId="77777777" w:rsidTr="00C55AB5">
        <w:tc>
          <w:tcPr>
            <w:tcW w:w="3828" w:type="dxa"/>
            <w:shd w:val="clear" w:color="auto" w:fill="FFFFFF"/>
          </w:tcPr>
          <w:p w14:paraId="034BE8BA" w14:textId="6043D4E2" w:rsidR="00710D4B" w:rsidRPr="006E627D" w:rsidRDefault="00710D4B" w:rsidP="00710D4B">
            <w:pPr>
              <w:pStyle w:val="CETBodytext"/>
              <w:jc w:val="left"/>
              <w:rPr>
                <w:b/>
                <w:bCs/>
                <w:lang w:val="en-GB"/>
              </w:rPr>
            </w:pPr>
            <w:r w:rsidRPr="006E627D">
              <w:rPr>
                <w:b/>
                <w:bCs/>
                <w:lang w:val="en-GB"/>
              </w:rPr>
              <w:t>p-Benzoquinone</w:t>
            </w:r>
          </w:p>
        </w:tc>
        <w:tc>
          <w:tcPr>
            <w:tcW w:w="1275" w:type="dxa"/>
            <w:shd w:val="clear" w:color="auto" w:fill="FFFFFF"/>
          </w:tcPr>
          <w:p w14:paraId="122BCE89" w14:textId="254AD45F" w:rsidR="00710D4B" w:rsidRPr="00FA2D32" w:rsidRDefault="00710D4B" w:rsidP="00710D4B">
            <w:pPr>
              <w:pStyle w:val="CETBodytext"/>
              <w:jc w:val="center"/>
              <w:rPr>
                <w:lang w:val="en-GB"/>
              </w:rPr>
            </w:pPr>
            <w:r w:rsidRPr="00A13A61">
              <w:rPr>
                <w:lang w:val="en-GB"/>
              </w:rPr>
              <w:t>106-51-4</w:t>
            </w:r>
          </w:p>
        </w:tc>
        <w:tc>
          <w:tcPr>
            <w:tcW w:w="993" w:type="dxa"/>
            <w:shd w:val="clear" w:color="auto" w:fill="FFFFFF"/>
          </w:tcPr>
          <w:p w14:paraId="359F22A2" w14:textId="77777777" w:rsidR="00710D4B" w:rsidRDefault="00710D4B" w:rsidP="00710D4B">
            <w:pPr>
              <w:pStyle w:val="CETBodytext"/>
              <w:jc w:val="center"/>
              <w:rPr>
                <w:lang w:val="en-GB"/>
              </w:rPr>
            </w:pPr>
          </w:p>
        </w:tc>
        <w:tc>
          <w:tcPr>
            <w:tcW w:w="850" w:type="dxa"/>
            <w:shd w:val="clear" w:color="auto" w:fill="FFFFFF"/>
          </w:tcPr>
          <w:p w14:paraId="3500688F" w14:textId="25F521C1"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BB80944" w14:textId="77777777" w:rsidR="00710D4B" w:rsidRPr="00B57B36" w:rsidRDefault="00710D4B" w:rsidP="00710D4B">
            <w:pPr>
              <w:pStyle w:val="CETBodytext"/>
              <w:ind w:right="-1"/>
              <w:jc w:val="center"/>
              <w:rPr>
                <w:rFonts w:cs="Arial"/>
                <w:szCs w:val="18"/>
                <w:lang w:val="en-GB"/>
              </w:rPr>
            </w:pPr>
          </w:p>
        </w:tc>
        <w:tc>
          <w:tcPr>
            <w:tcW w:w="849" w:type="dxa"/>
            <w:shd w:val="clear" w:color="auto" w:fill="FFFFFF"/>
          </w:tcPr>
          <w:p w14:paraId="0E48754F" w14:textId="481CC0A1" w:rsidR="00710D4B" w:rsidRPr="00B57B36" w:rsidRDefault="00710D4B" w:rsidP="00710D4B">
            <w:pPr>
              <w:pStyle w:val="CETBodytext"/>
              <w:ind w:right="-1"/>
              <w:jc w:val="center"/>
              <w:rPr>
                <w:rFonts w:cs="Arial"/>
                <w:szCs w:val="18"/>
                <w:lang w:val="en-GB"/>
              </w:rPr>
            </w:pPr>
            <w:r>
              <w:rPr>
                <w:rFonts w:cs="Arial"/>
                <w:szCs w:val="18"/>
                <w:lang w:val="en-GB"/>
              </w:rPr>
              <w:t>1,62</w:t>
            </w:r>
          </w:p>
        </w:tc>
      </w:tr>
      <w:tr w:rsidR="00710D4B" w:rsidRPr="00B57B36" w14:paraId="5B1C27C6" w14:textId="29ACB70C" w:rsidTr="00C55AB5">
        <w:tc>
          <w:tcPr>
            <w:tcW w:w="3828" w:type="dxa"/>
            <w:shd w:val="clear" w:color="auto" w:fill="FFFFFF"/>
          </w:tcPr>
          <w:p w14:paraId="31D64367" w14:textId="34F6ABF5" w:rsidR="00710D4B" w:rsidRPr="006E627D" w:rsidRDefault="00C55AB5" w:rsidP="00710D4B">
            <w:pPr>
              <w:pStyle w:val="CETBodytext"/>
              <w:jc w:val="left"/>
              <w:rPr>
                <w:b/>
                <w:bCs/>
                <w:lang w:val="en-GB"/>
              </w:rPr>
            </w:pPr>
            <w:r w:rsidRPr="006E627D">
              <w:rPr>
                <w:b/>
                <w:bCs/>
                <w:lang w:val="en-GB"/>
              </w:rPr>
              <w:t>2-</w:t>
            </w:r>
            <w:r w:rsidR="00E02FD8">
              <w:rPr>
                <w:b/>
                <w:bCs/>
                <w:lang w:val="en-GB"/>
              </w:rPr>
              <w:t>H</w:t>
            </w:r>
            <w:r w:rsidRPr="006E627D">
              <w:rPr>
                <w:b/>
                <w:bCs/>
                <w:lang w:val="en-GB"/>
              </w:rPr>
              <w:t>ydroxy-</w:t>
            </w:r>
            <w:r w:rsidR="00710D4B" w:rsidRPr="006E627D">
              <w:rPr>
                <w:b/>
                <w:bCs/>
                <w:lang w:val="en-GB"/>
              </w:rPr>
              <w:t>2-Cyclopenten-1-one</w:t>
            </w:r>
          </w:p>
        </w:tc>
        <w:tc>
          <w:tcPr>
            <w:tcW w:w="1275" w:type="dxa"/>
            <w:shd w:val="clear" w:color="auto" w:fill="FFFFFF"/>
          </w:tcPr>
          <w:p w14:paraId="03E48CA1" w14:textId="18F42817" w:rsidR="00710D4B" w:rsidRPr="00B57B36" w:rsidRDefault="00710D4B" w:rsidP="00710D4B">
            <w:pPr>
              <w:pStyle w:val="CETBodytext"/>
              <w:jc w:val="center"/>
              <w:rPr>
                <w:lang w:val="en-GB"/>
              </w:rPr>
            </w:pPr>
            <w:r w:rsidRPr="00FA2D32">
              <w:rPr>
                <w:lang w:val="en-GB"/>
              </w:rPr>
              <w:t>10493-98-8</w:t>
            </w:r>
          </w:p>
        </w:tc>
        <w:tc>
          <w:tcPr>
            <w:tcW w:w="993" w:type="dxa"/>
            <w:shd w:val="clear" w:color="auto" w:fill="FFFFFF"/>
          </w:tcPr>
          <w:p w14:paraId="71F3B787" w14:textId="19D6A307" w:rsidR="00710D4B" w:rsidRPr="00B57B36" w:rsidRDefault="00710D4B" w:rsidP="00710D4B">
            <w:pPr>
              <w:pStyle w:val="CETBodytext"/>
              <w:jc w:val="center"/>
              <w:rPr>
                <w:lang w:val="en-GB"/>
              </w:rPr>
            </w:pPr>
            <w:r>
              <w:rPr>
                <w:lang w:val="en-GB"/>
              </w:rPr>
              <w:t>1,77</w:t>
            </w:r>
          </w:p>
        </w:tc>
        <w:tc>
          <w:tcPr>
            <w:tcW w:w="850" w:type="dxa"/>
            <w:shd w:val="clear" w:color="auto" w:fill="FFFFFF"/>
          </w:tcPr>
          <w:p w14:paraId="2DD4BB58"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205BFCB" w14:textId="6BCF435E" w:rsidR="00710D4B" w:rsidRPr="00B57B36" w:rsidRDefault="00710D4B" w:rsidP="00710D4B">
            <w:pPr>
              <w:pStyle w:val="CETBodytext"/>
              <w:ind w:right="-1"/>
              <w:jc w:val="center"/>
              <w:rPr>
                <w:rFonts w:cs="Arial"/>
                <w:szCs w:val="18"/>
                <w:lang w:val="en-GB"/>
              </w:rPr>
            </w:pPr>
            <w:r>
              <w:rPr>
                <w:lang w:val="en-GB"/>
              </w:rPr>
              <w:t>1,37</w:t>
            </w:r>
          </w:p>
        </w:tc>
        <w:tc>
          <w:tcPr>
            <w:tcW w:w="849" w:type="dxa"/>
            <w:shd w:val="clear" w:color="auto" w:fill="FFFFFF"/>
          </w:tcPr>
          <w:p w14:paraId="61F700C1" w14:textId="77777777" w:rsidR="00710D4B" w:rsidRPr="00B57B36" w:rsidRDefault="00710D4B" w:rsidP="00710D4B">
            <w:pPr>
              <w:pStyle w:val="CETBodytext"/>
              <w:ind w:right="-1"/>
              <w:jc w:val="center"/>
              <w:rPr>
                <w:rFonts w:cs="Arial"/>
                <w:szCs w:val="18"/>
                <w:lang w:val="en-GB"/>
              </w:rPr>
            </w:pPr>
          </w:p>
        </w:tc>
      </w:tr>
      <w:tr w:rsidR="00710D4B" w:rsidRPr="00B57B36" w14:paraId="4AADC2E1" w14:textId="5BE4CB32" w:rsidTr="00C55AB5">
        <w:tc>
          <w:tcPr>
            <w:tcW w:w="3828" w:type="dxa"/>
            <w:shd w:val="clear" w:color="auto" w:fill="FFFFFF"/>
          </w:tcPr>
          <w:p w14:paraId="33ECD36E" w14:textId="762FABF2" w:rsidR="00710D4B" w:rsidRPr="00242880" w:rsidRDefault="00C55AB5" w:rsidP="00710D4B">
            <w:pPr>
              <w:pStyle w:val="CETBodytext"/>
              <w:jc w:val="left"/>
              <w:rPr>
                <w:lang w:val="en-GB"/>
              </w:rPr>
            </w:pPr>
            <w:r>
              <w:rPr>
                <w:lang w:val="en-GB"/>
              </w:rPr>
              <w:t>D</w:t>
            </w:r>
            <w:r w:rsidRPr="00242880">
              <w:rPr>
                <w:lang w:val="en-GB"/>
              </w:rPr>
              <w:t>ihydro-3-methylene-</w:t>
            </w:r>
            <w:r w:rsidR="00710D4B" w:rsidRPr="00242880">
              <w:rPr>
                <w:lang w:val="en-GB"/>
              </w:rPr>
              <w:t xml:space="preserve">2,5-Furandione </w:t>
            </w:r>
          </w:p>
        </w:tc>
        <w:tc>
          <w:tcPr>
            <w:tcW w:w="1275" w:type="dxa"/>
            <w:shd w:val="clear" w:color="auto" w:fill="FFFFFF"/>
          </w:tcPr>
          <w:p w14:paraId="1F77F29D" w14:textId="115B0F4E" w:rsidR="00710D4B" w:rsidRPr="00B57B36" w:rsidRDefault="00710D4B" w:rsidP="00710D4B">
            <w:pPr>
              <w:pStyle w:val="CETBodytext"/>
              <w:jc w:val="center"/>
              <w:rPr>
                <w:lang w:val="en-GB"/>
              </w:rPr>
            </w:pPr>
            <w:r>
              <w:rPr>
                <w:lang w:val="en-GB"/>
              </w:rPr>
              <w:t>2170-08-3</w:t>
            </w:r>
          </w:p>
        </w:tc>
        <w:tc>
          <w:tcPr>
            <w:tcW w:w="993" w:type="dxa"/>
            <w:shd w:val="clear" w:color="auto" w:fill="FFFFFF"/>
          </w:tcPr>
          <w:p w14:paraId="57A327BB" w14:textId="4484E410" w:rsidR="00710D4B" w:rsidRPr="00B57B36" w:rsidRDefault="00710D4B" w:rsidP="00710D4B">
            <w:pPr>
              <w:pStyle w:val="CETBodytext"/>
              <w:jc w:val="center"/>
              <w:rPr>
                <w:lang w:val="en-GB"/>
              </w:rPr>
            </w:pPr>
            <w:r>
              <w:rPr>
                <w:lang w:val="en-GB"/>
              </w:rPr>
              <w:t>0,47</w:t>
            </w:r>
          </w:p>
        </w:tc>
        <w:tc>
          <w:tcPr>
            <w:tcW w:w="850" w:type="dxa"/>
            <w:shd w:val="clear" w:color="auto" w:fill="FFFFFF"/>
          </w:tcPr>
          <w:p w14:paraId="293821B4"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F98E663" w14:textId="09584E56" w:rsidR="00710D4B" w:rsidRPr="00B57B36" w:rsidRDefault="00710D4B" w:rsidP="00710D4B">
            <w:pPr>
              <w:pStyle w:val="CETBodytext"/>
              <w:ind w:right="-1"/>
              <w:jc w:val="center"/>
              <w:rPr>
                <w:rFonts w:cs="Arial"/>
                <w:szCs w:val="18"/>
                <w:lang w:val="en-GB"/>
              </w:rPr>
            </w:pPr>
            <w:r>
              <w:rPr>
                <w:lang w:val="en-GB"/>
              </w:rPr>
              <w:t>0,29</w:t>
            </w:r>
          </w:p>
        </w:tc>
        <w:tc>
          <w:tcPr>
            <w:tcW w:w="849" w:type="dxa"/>
            <w:shd w:val="clear" w:color="auto" w:fill="FFFFFF"/>
          </w:tcPr>
          <w:p w14:paraId="73542A42" w14:textId="77777777" w:rsidR="00710D4B" w:rsidRPr="00B57B36" w:rsidRDefault="00710D4B" w:rsidP="00710D4B">
            <w:pPr>
              <w:pStyle w:val="CETBodytext"/>
              <w:ind w:right="-1"/>
              <w:jc w:val="center"/>
              <w:rPr>
                <w:rFonts w:cs="Arial"/>
                <w:szCs w:val="18"/>
                <w:lang w:val="en-GB"/>
              </w:rPr>
            </w:pPr>
          </w:p>
        </w:tc>
      </w:tr>
      <w:tr w:rsidR="00710D4B" w:rsidRPr="00B57B36" w14:paraId="6C91B318" w14:textId="7EE611CB" w:rsidTr="00C55AB5">
        <w:tc>
          <w:tcPr>
            <w:tcW w:w="3828" w:type="dxa"/>
            <w:shd w:val="clear" w:color="auto" w:fill="FFFFFF"/>
          </w:tcPr>
          <w:p w14:paraId="2679721C" w14:textId="6E4AD380" w:rsidR="00710D4B" w:rsidRPr="00242880" w:rsidRDefault="00710D4B" w:rsidP="00710D4B">
            <w:pPr>
              <w:pStyle w:val="CETBodytext"/>
              <w:jc w:val="left"/>
              <w:rPr>
                <w:lang w:val="en-GB"/>
              </w:rPr>
            </w:pPr>
            <w:r w:rsidRPr="00242880">
              <w:rPr>
                <w:lang w:val="en-GB"/>
              </w:rPr>
              <w:t>Benzaldehyde</w:t>
            </w:r>
          </w:p>
        </w:tc>
        <w:tc>
          <w:tcPr>
            <w:tcW w:w="1275" w:type="dxa"/>
            <w:shd w:val="clear" w:color="auto" w:fill="FFFFFF"/>
          </w:tcPr>
          <w:p w14:paraId="1C1B6CA6" w14:textId="0F59166A" w:rsidR="00710D4B" w:rsidRPr="00B57B36" w:rsidRDefault="00710D4B" w:rsidP="00710D4B">
            <w:pPr>
              <w:pStyle w:val="CETBodytext"/>
              <w:jc w:val="center"/>
              <w:rPr>
                <w:lang w:val="en-GB"/>
              </w:rPr>
            </w:pPr>
            <w:r>
              <w:rPr>
                <w:lang w:val="en-GB"/>
              </w:rPr>
              <w:t>100-52-7</w:t>
            </w:r>
          </w:p>
        </w:tc>
        <w:tc>
          <w:tcPr>
            <w:tcW w:w="993" w:type="dxa"/>
            <w:shd w:val="clear" w:color="auto" w:fill="FFFFFF"/>
          </w:tcPr>
          <w:p w14:paraId="6323D2ED" w14:textId="548B33D1" w:rsidR="00710D4B" w:rsidRPr="00B57B36" w:rsidRDefault="00710D4B" w:rsidP="00710D4B">
            <w:pPr>
              <w:pStyle w:val="CETBodytext"/>
              <w:jc w:val="center"/>
              <w:rPr>
                <w:lang w:val="en-GB"/>
              </w:rPr>
            </w:pPr>
            <w:r>
              <w:rPr>
                <w:lang w:val="en-GB"/>
              </w:rPr>
              <w:t>0,51</w:t>
            </w:r>
          </w:p>
        </w:tc>
        <w:tc>
          <w:tcPr>
            <w:tcW w:w="850" w:type="dxa"/>
            <w:shd w:val="clear" w:color="auto" w:fill="FFFFFF"/>
          </w:tcPr>
          <w:p w14:paraId="705FB7E5"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55159E4F" w14:textId="1BC1DCFC" w:rsidR="00710D4B" w:rsidRPr="00B57B36" w:rsidRDefault="00710D4B" w:rsidP="00710D4B">
            <w:pPr>
              <w:pStyle w:val="CETBodytext"/>
              <w:ind w:right="-1"/>
              <w:jc w:val="center"/>
              <w:rPr>
                <w:rFonts w:cs="Arial"/>
                <w:szCs w:val="18"/>
                <w:lang w:val="en-GB"/>
              </w:rPr>
            </w:pPr>
            <w:r>
              <w:rPr>
                <w:lang w:val="en-GB"/>
              </w:rPr>
              <w:t>0,47</w:t>
            </w:r>
          </w:p>
        </w:tc>
        <w:tc>
          <w:tcPr>
            <w:tcW w:w="849" w:type="dxa"/>
            <w:shd w:val="clear" w:color="auto" w:fill="FFFFFF"/>
          </w:tcPr>
          <w:p w14:paraId="5B45A7A2" w14:textId="77777777" w:rsidR="00710D4B" w:rsidRPr="00B57B36" w:rsidRDefault="00710D4B" w:rsidP="00710D4B">
            <w:pPr>
              <w:pStyle w:val="CETBodytext"/>
              <w:ind w:right="-1"/>
              <w:jc w:val="center"/>
              <w:rPr>
                <w:rFonts w:cs="Arial"/>
                <w:szCs w:val="18"/>
                <w:lang w:val="en-GB"/>
              </w:rPr>
            </w:pPr>
          </w:p>
        </w:tc>
      </w:tr>
      <w:tr w:rsidR="00710D4B" w:rsidRPr="00B57B36" w14:paraId="26C35284" w14:textId="1A3CDAAE" w:rsidTr="00C55AB5">
        <w:tc>
          <w:tcPr>
            <w:tcW w:w="3828" w:type="dxa"/>
            <w:shd w:val="clear" w:color="auto" w:fill="FFFFFF"/>
          </w:tcPr>
          <w:p w14:paraId="1012C7E1" w14:textId="1DE449DE" w:rsidR="00710D4B" w:rsidRPr="00242880" w:rsidRDefault="00C55AB5" w:rsidP="00710D4B">
            <w:pPr>
              <w:pStyle w:val="CETBodytext"/>
              <w:jc w:val="left"/>
              <w:rPr>
                <w:lang w:val="en-GB"/>
              </w:rPr>
            </w:pPr>
            <w:r w:rsidRPr="006E627D">
              <w:rPr>
                <w:b/>
                <w:bCs/>
                <w:lang w:val="en-GB"/>
              </w:rPr>
              <w:t>5-</w:t>
            </w:r>
            <w:r w:rsidR="00E02FD8">
              <w:rPr>
                <w:b/>
                <w:bCs/>
                <w:lang w:val="en-GB"/>
              </w:rPr>
              <w:t>M</w:t>
            </w:r>
            <w:r w:rsidRPr="006E627D">
              <w:rPr>
                <w:b/>
                <w:bCs/>
                <w:lang w:val="en-GB"/>
              </w:rPr>
              <w:t>ethyl</w:t>
            </w:r>
            <w:r w:rsidRPr="00242880">
              <w:rPr>
                <w:lang w:val="en-GB"/>
              </w:rPr>
              <w:t>-</w:t>
            </w:r>
            <w:r w:rsidR="00710D4B" w:rsidRPr="006E627D">
              <w:rPr>
                <w:b/>
                <w:bCs/>
                <w:lang w:val="en-GB"/>
              </w:rPr>
              <w:t xml:space="preserve">2-Furancarboxaldehyde </w:t>
            </w:r>
          </w:p>
        </w:tc>
        <w:tc>
          <w:tcPr>
            <w:tcW w:w="1275" w:type="dxa"/>
            <w:shd w:val="clear" w:color="auto" w:fill="FFFFFF"/>
          </w:tcPr>
          <w:p w14:paraId="3B8AAAD3" w14:textId="7FA5F515" w:rsidR="00710D4B" w:rsidRPr="00B57B36" w:rsidRDefault="00710D4B" w:rsidP="00710D4B">
            <w:pPr>
              <w:pStyle w:val="CETBodytext"/>
              <w:jc w:val="center"/>
              <w:rPr>
                <w:lang w:val="en-GB"/>
              </w:rPr>
            </w:pPr>
            <w:r>
              <w:rPr>
                <w:lang w:val="en-GB"/>
              </w:rPr>
              <w:t>620-02-0</w:t>
            </w:r>
          </w:p>
        </w:tc>
        <w:tc>
          <w:tcPr>
            <w:tcW w:w="993" w:type="dxa"/>
            <w:shd w:val="clear" w:color="auto" w:fill="FFFFFF"/>
          </w:tcPr>
          <w:p w14:paraId="51C8414F" w14:textId="3CD814D2" w:rsidR="00710D4B" w:rsidRPr="00B57B36" w:rsidRDefault="00710D4B" w:rsidP="00710D4B">
            <w:pPr>
              <w:pStyle w:val="CETBodytext"/>
              <w:jc w:val="center"/>
              <w:rPr>
                <w:lang w:val="en-GB"/>
              </w:rPr>
            </w:pPr>
            <w:r>
              <w:rPr>
                <w:lang w:val="en-GB"/>
              </w:rPr>
              <w:t>2,48</w:t>
            </w:r>
          </w:p>
        </w:tc>
        <w:tc>
          <w:tcPr>
            <w:tcW w:w="850" w:type="dxa"/>
            <w:shd w:val="clear" w:color="auto" w:fill="FFFFFF"/>
          </w:tcPr>
          <w:p w14:paraId="0A7E59AE"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43A1B4C0" w14:textId="77477BAC" w:rsidR="00710D4B" w:rsidRPr="00B57B36" w:rsidRDefault="00710D4B" w:rsidP="00710D4B">
            <w:pPr>
              <w:pStyle w:val="CETBodytext"/>
              <w:ind w:right="-1"/>
              <w:jc w:val="center"/>
              <w:rPr>
                <w:rFonts w:cs="Arial"/>
                <w:szCs w:val="18"/>
                <w:lang w:val="en-GB"/>
              </w:rPr>
            </w:pPr>
            <w:r>
              <w:rPr>
                <w:lang w:val="en-GB"/>
              </w:rPr>
              <w:t>1,30</w:t>
            </w:r>
          </w:p>
        </w:tc>
        <w:tc>
          <w:tcPr>
            <w:tcW w:w="849" w:type="dxa"/>
            <w:shd w:val="clear" w:color="auto" w:fill="FFFFFF"/>
          </w:tcPr>
          <w:p w14:paraId="2B9DFD1C" w14:textId="77777777" w:rsidR="00710D4B" w:rsidRPr="00B57B36" w:rsidRDefault="00710D4B" w:rsidP="00710D4B">
            <w:pPr>
              <w:pStyle w:val="CETBodytext"/>
              <w:ind w:right="-1"/>
              <w:jc w:val="center"/>
              <w:rPr>
                <w:rFonts w:cs="Arial"/>
                <w:szCs w:val="18"/>
                <w:lang w:val="en-GB"/>
              </w:rPr>
            </w:pPr>
          </w:p>
        </w:tc>
      </w:tr>
      <w:tr w:rsidR="00710D4B" w:rsidRPr="00B57B36" w14:paraId="7C8C2953" w14:textId="6703E1FA" w:rsidTr="00C55AB5">
        <w:tc>
          <w:tcPr>
            <w:tcW w:w="3828" w:type="dxa"/>
            <w:shd w:val="clear" w:color="auto" w:fill="FFFFFF"/>
          </w:tcPr>
          <w:p w14:paraId="6C889A60" w14:textId="59F2934D" w:rsidR="00710D4B" w:rsidRPr="00242880" w:rsidRDefault="00C55AB5" w:rsidP="00710D4B">
            <w:pPr>
              <w:pStyle w:val="CETBodytext"/>
              <w:jc w:val="left"/>
              <w:rPr>
                <w:lang w:val="en-GB"/>
              </w:rPr>
            </w:pPr>
            <w:r w:rsidRPr="00242880">
              <w:rPr>
                <w:lang w:val="en-GB"/>
              </w:rPr>
              <w:t>1-(</w:t>
            </w:r>
            <w:r w:rsidR="00614968">
              <w:rPr>
                <w:lang w:val="en-GB"/>
              </w:rPr>
              <w:t>A</w:t>
            </w:r>
            <w:r w:rsidRPr="00242880">
              <w:rPr>
                <w:lang w:val="en-GB"/>
              </w:rPr>
              <w:t>cetyloxy)-</w:t>
            </w:r>
            <w:r w:rsidR="00710D4B" w:rsidRPr="00242880">
              <w:rPr>
                <w:lang w:val="en-GB"/>
              </w:rPr>
              <w:t xml:space="preserve">2-Butanone </w:t>
            </w:r>
          </w:p>
        </w:tc>
        <w:tc>
          <w:tcPr>
            <w:tcW w:w="1275" w:type="dxa"/>
            <w:shd w:val="clear" w:color="auto" w:fill="FFFFFF"/>
          </w:tcPr>
          <w:p w14:paraId="4F9757C6" w14:textId="66ED594C" w:rsidR="00710D4B" w:rsidRPr="00B57B36" w:rsidRDefault="00710D4B" w:rsidP="00710D4B">
            <w:pPr>
              <w:pStyle w:val="CETBodytext"/>
              <w:jc w:val="center"/>
              <w:rPr>
                <w:lang w:val="en-GB"/>
              </w:rPr>
            </w:pPr>
            <w:r>
              <w:rPr>
                <w:lang w:val="en-GB"/>
              </w:rPr>
              <w:t>1575-57-1</w:t>
            </w:r>
          </w:p>
        </w:tc>
        <w:tc>
          <w:tcPr>
            <w:tcW w:w="993" w:type="dxa"/>
            <w:shd w:val="clear" w:color="auto" w:fill="FFFFFF"/>
          </w:tcPr>
          <w:p w14:paraId="7C0F2D5A" w14:textId="00DB5D29" w:rsidR="00710D4B" w:rsidRPr="00B57B36" w:rsidRDefault="00710D4B" w:rsidP="00710D4B">
            <w:pPr>
              <w:pStyle w:val="CETBodytext"/>
              <w:jc w:val="center"/>
              <w:rPr>
                <w:lang w:val="en-GB"/>
              </w:rPr>
            </w:pPr>
            <w:r>
              <w:rPr>
                <w:lang w:val="en-GB"/>
              </w:rPr>
              <w:t>0,74</w:t>
            </w:r>
          </w:p>
        </w:tc>
        <w:tc>
          <w:tcPr>
            <w:tcW w:w="850" w:type="dxa"/>
            <w:shd w:val="clear" w:color="auto" w:fill="FFFFFF"/>
          </w:tcPr>
          <w:p w14:paraId="6D4BE182"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71686A7D" w14:textId="0C60644F" w:rsidR="00710D4B" w:rsidRPr="00B57B36" w:rsidRDefault="00710D4B" w:rsidP="00710D4B">
            <w:pPr>
              <w:pStyle w:val="CETBodytext"/>
              <w:ind w:right="-1"/>
              <w:jc w:val="center"/>
              <w:rPr>
                <w:rFonts w:cs="Arial"/>
                <w:szCs w:val="18"/>
                <w:lang w:val="en-GB"/>
              </w:rPr>
            </w:pPr>
            <w:r>
              <w:rPr>
                <w:lang w:val="en-GB"/>
              </w:rPr>
              <w:t>0,36</w:t>
            </w:r>
          </w:p>
        </w:tc>
        <w:tc>
          <w:tcPr>
            <w:tcW w:w="849" w:type="dxa"/>
            <w:shd w:val="clear" w:color="auto" w:fill="FFFFFF"/>
          </w:tcPr>
          <w:p w14:paraId="1B01269D" w14:textId="77777777" w:rsidR="00710D4B" w:rsidRPr="00B57B36" w:rsidRDefault="00710D4B" w:rsidP="00710D4B">
            <w:pPr>
              <w:pStyle w:val="CETBodytext"/>
              <w:ind w:right="-1"/>
              <w:jc w:val="center"/>
              <w:rPr>
                <w:rFonts w:cs="Arial"/>
                <w:szCs w:val="18"/>
                <w:lang w:val="en-GB"/>
              </w:rPr>
            </w:pPr>
          </w:p>
        </w:tc>
      </w:tr>
      <w:tr w:rsidR="00710D4B" w:rsidRPr="00B57B36" w14:paraId="4DF79C9E" w14:textId="16331301" w:rsidTr="00C55AB5">
        <w:tc>
          <w:tcPr>
            <w:tcW w:w="3828" w:type="dxa"/>
            <w:shd w:val="clear" w:color="auto" w:fill="FFFFFF"/>
          </w:tcPr>
          <w:p w14:paraId="01C15F1C" w14:textId="7106382F" w:rsidR="00710D4B" w:rsidRPr="00242880" w:rsidRDefault="00710D4B" w:rsidP="00710D4B">
            <w:pPr>
              <w:pStyle w:val="CETBodytext"/>
              <w:jc w:val="left"/>
              <w:rPr>
                <w:lang w:val="en-GB"/>
              </w:rPr>
            </w:pPr>
            <w:r w:rsidRPr="00242880">
              <w:rPr>
                <w:lang w:val="en-GB"/>
              </w:rPr>
              <w:t>Phenol</w:t>
            </w:r>
          </w:p>
        </w:tc>
        <w:tc>
          <w:tcPr>
            <w:tcW w:w="1275" w:type="dxa"/>
            <w:shd w:val="clear" w:color="auto" w:fill="FFFFFF"/>
          </w:tcPr>
          <w:p w14:paraId="726A596F" w14:textId="3DD3800E" w:rsidR="00710D4B" w:rsidRPr="00B57B36" w:rsidRDefault="00710D4B" w:rsidP="00710D4B">
            <w:pPr>
              <w:pStyle w:val="CETBodytext"/>
              <w:jc w:val="center"/>
              <w:rPr>
                <w:lang w:val="en-GB"/>
              </w:rPr>
            </w:pPr>
            <w:r>
              <w:rPr>
                <w:lang w:val="en-GB"/>
              </w:rPr>
              <w:t>108-95-2</w:t>
            </w:r>
          </w:p>
        </w:tc>
        <w:tc>
          <w:tcPr>
            <w:tcW w:w="993" w:type="dxa"/>
            <w:shd w:val="clear" w:color="auto" w:fill="FFFFFF"/>
          </w:tcPr>
          <w:p w14:paraId="74F5F43B" w14:textId="278C1932" w:rsidR="00710D4B" w:rsidRPr="00B57B36" w:rsidRDefault="00710D4B" w:rsidP="00710D4B">
            <w:pPr>
              <w:pStyle w:val="CETBodytext"/>
              <w:jc w:val="center"/>
              <w:rPr>
                <w:lang w:val="en-GB"/>
              </w:rPr>
            </w:pPr>
            <w:r>
              <w:rPr>
                <w:lang w:val="en-GB"/>
              </w:rPr>
              <w:t>0,37</w:t>
            </w:r>
          </w:p>
        </w:tc>
        <w:tc>
          <w:tcPr>
            <w:tcW w:w="850" w:type="dxa"/>
            <w:shd w:val="clear" w:color="auto" w:fill="FFFFFF"/>
          </w:tcPr>
          <w:p w14:paraId="1AA76469" w14:textId="2396FE0F"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5E1B7649" w14:textId="68F4D0B0" w:rsidR="00710D4B" w:rsidRPr="00B57B36" w:rsidRDefault="00710D4B" w:rsidP="00710D4B">
            <w:pPr>
              <w:pStyle w:val="CETBodytext"/>
              <w:ind w:right="-1"/>
              <w:jc w:val="center"/>
              <w:rPr>
                <w:rFonts w:cs="Arial"/>
                <w:szCs w:val="18"/>
                <w:lang w:val="en-GB"/>
              </w:rPr>
            </w:pPr>
            <w:r>
              <w:rPr>
                <w:lang w:val="en-GB"/>
              </w:rPr>
              <w:t>0,48</w:t>
            </w:r>
          </w:p>
        </w:tc>
        <w:tc>
          <w:tcPr>
            <w:tcW w:w="849" w:type="dxa"/>
            <w:shd w:val="clear" w:color="auto" w:fill="FFFFFF"/>
          </w:tcPr>
          <w:p w14:paraId="406CC928" w14:textId="77777777" w:rsidR="00710D4B" w:rsidRPr="00B57B36" w:rsidRDefault="00710D4B" w:rsidP="00710D4B">
            <w:pPr>
              <w:pStyle w:val="CETBodytext"/>
              <w:ind w:right="-1"/>
              <w:jc w:val="center"/>
              <w:rPr>
                <w:rFonts w:cs="Arial"/>
                <w:szCs w:val="18"/>
                <w:lang w:val="en-GB"/>
              </w:rPr>
            </w:pPr>
          </w:p>
        </w:tc>
      </w:tr>
      <w:tr w:rsidR="00710D4B" w:rsidRPr="00B57B36" w14:paraId="0A1E3A1C" w14:textId="286DDB6D" w:rsidTr="00C55AB5">
        <w:tc>
          <w:tcPr>
            <w:tcW w:w="3828" w:type="dxa"/>
            <w:shd w:val="clear" w:color="auto" w:fill="FFFFFF"/>
          </w:tcPr>
          <w:p w14:paraId="2890562F" w14:textId="694932F2" w:rsidR="00710D4B" w:rsidRPr="006E627D" w:rsidRDefault="00710D4B" w:rsidP="00710D4B">
            <w:pPr>
              <w:pStyle w:val="CETBodytext"/>
              <w:jc w:val="left"/>
              <w:rPr>
                <w:b/>
                <w:bCs/>
                <w:lang w:val="en-GB"/>
              </w:rPr>
            </w:pPr>
            <w:r w:rsidRPr="006E627D">
              <w:rPr>
                <w:b/>
                <w:bCs/>
                <w:lang w:val="en-GB"/>
              </w:rPr>
              <w:t>Hexanoic acid</w:t>
            </w:r>
          </w:p>
        </w:tc>
        <w:tc>
          <w:tcPr>
            <w:tcW w:w="1275" w:type="dxa"/>
            <w:shd w:val="clear" w:color="auto" w:fill="FFFFFF"/>
          </w:tcPr>
          <w:p w14:paraId="444706D1" w14:textId="52D204B9" w:rsidR="00710D4B" w:rsidRPr="00B57B36" w:rsidRDefault="00710D4B" w:rsidP="00710D4B">
            <w:pPr>
              <w:pStyle w:val="CETBodytext"/>
              <w:jc w:val="center"/>
              <w:rPr>
                <w:lang w:val="en-GB"/>
              </w:rPr>
            </w:pPr>
            <w:r>
              <w:rPr>
                <w:lang w:val="en-GB"/>
              </w:rPr>
              <w:t>142-62-1</w:t>
            </w:r>
          </w:p>
        </w:tc>
        <w:tc>
          <w:tcPr>
            <w:tcW w:w="993" w:type="dxa"/>
            <w:shd w:val="clear" w:color="auto" w:fill="FFFFFF"/>
          </w:tcPr>
          <w:p w14:paraId="73DD4D2D" w14:textId="4CEDC01F" w:rsidR="00710D4B" w:rsidRPr="00B57B36" w:rsidRDefault="00710D4B" w:rsidP="00710D4B">
            <w:pPr>
              <w:pStyle w:val="CETBodytext"/>
              <w:jc w:val="center"/>
              <w:rPr>
                <w:lang w:val="en-GB"/>
              </w:rPr>
            </w:pPr>
            <w:r>
              <w:rPr>
                <w:lang w:val="en-GB"/>
              </w:rPr>
              <w:t>1,24</w:t>
            </w:r>
          </w:p>
        </w:tc>
        <w:tc>
          <w:tcPr>
            <w:tcW w:w="850" w:type="dxa"/>
            <w:shd w:val="clear" w:color="auto" w:fill="FFFFFF"/>
          </w:tcPr>
          <w:p w14:paraId="0BE69B9B"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32E94F3C" w14:textId="77777777" w:rsidR="00710D4B" w:rsidRPr="00B57B36" w:rsidRDefault="00710D4B" w:rsidP="00710D4B">
            <w:pPr>
              <w:pStyle w:val="CETBodytext"/>
              <w:ind w:right="-1"/>
              <w:jc w:val="center"/>
              <w:rPr>
                <w:rFonts w:cs="Arial"/>
                <w:szCs w:val="18"/>
                <w:lang w:val="en-GB"/>
              </w:rPr>
            </w:pPr>
          </w:p>
        </w:tc>
        <w:tc>
          <w:tcPr>
            <w:tcW w:w="849" w:type="dxa"/>
            <w:shd w:val="clear" w:color="auto" w:fill="FFFFFF"/>
          </w:tcPr>
          <w:p w14:paraId="19879A8C" w14:textId="77777777" w:rsidR="00710D4B" w:rsidRPr="00B57B36" w:rsidRDefault="00710D4B" w:rsidP="00710D4B">
            <w:pPr>
              <w:pStyle w:val="CETBodytext"/>
              <w:ind w:right="-1"/>
              <w:jc w:val="center"/>
              <w:rPr>
                <w:rFonts w:cs="Arial"/>
                <w:szCs w:val="18"/>
                <w:lang w:val="en-GB"/>
              </w:rPr>
            </w:pPr>
          </w:p>
        </w:tc>
      </w:tr>
      <w:tr w:rsidR="00710D4B" w:rsidRPr="00B57B36" w14:paraId="524703F5" w14:textId="77777777" w:rsidTr="00C55AB5">
        <w:tc>
          <w:tcPr>
            <w:tcW w:w="3828" w:type="dxa"/>
            <w:shd w:val="clear" w:color="auto" w:fill="FFFFFF"/>
          </w:tcPr>
          <w:p w14:paraId="41972FCE" w14:textId="1B32CAE4" w:rsidR="00710D4B" w:rsidRPr="006E627D" w:rsidRDefault="00C55AB5" w:rsidP="00710D4B">
            <w:pPr>
              <w:pStyle w:val="CETBodytext"/>
              <w:jc w:val="left"/>
              <w:rPr>
                <w:b/>
                <w:bCs/>
                <w:lang w:val="en-GB"/>
              </w:rPr>
            </w:pPr>
            <w:r w:rsidRPr="006E627D">
              <w:rPr>
                <w:b/>
                <w:bCs/>
                <w:lang w:val="en-GB"/>
              </w:rPr>
              <w:t>3-</w:t>
            </w:r>
            <w:r w:rsidR="00E02FD8">
              <w:rPr>
                <w:b/>
                <w:bCs/>
                <w:lang w:val="en-GB"/>
              </w:rPr>
              <w:t>M</w:t>
            </w:r>
            <w:r w:rsidRPr="006E627D">
              <w:rPr>
                <w:b/>
                <w:bCs/>
                <w:lang w:val="en-GB"/>
              </w:rPr>
              <w:t>ethyl-</w:t>
            </w:r>
            <w:r w:rsidR="00710D4B" w:rsidRPr="006E627D">
              <w:rPr>
                <w:b/>
                <w:bCs/>
                <w:lang w:val="en-GB"/>
              </w:rPr>
              <w:t xml:space="preserve">1,2-Cyclopentanedione </w:t>
            </w:r>
          </w:p>
        </w:tc>
        <w:tc>
          <w:tcPr>
            <w:tcW w:w="1275" w:type="dxa"/>
            <w:shd w:val="clear" w:color="auto" w:fill="FFFFFF"/>
          </w:tcPr>
          <w:p w14:paraId="6011DBDC" w14:textId="6EB97290" w:rsidR="00710D4B" w:rsidRDefault="00710D4B" w:rsidP="00710D4B">
            <w:pPr>
              <w:pStyle w:val="CETBodytext"/>
              <w:jc w:val="center"/>
              <w:rPr>
                <w:lang w:val="en-GB"/>
              </w:rPr>
            </w:pPr>
            <w:r>
              <w:rPr>
                <w:lang w:val="en-GB"/>
              </w:rPr>
              <w:t>765-70-8</w:t>
            </w:r>
          </w:p>
        </w:tc>
        <w:tc>
          <w:tcPr>
            <w:tcW w:w="993" w:type="dxa"/>
            <w:shd w:val="clear" w:color="auto" w:fill="FFFFFF"/>
          </w:tcPr>
          <w:p w14:paraId="282C6196" w14:textId="71E68048" w:rsidR="00710D4B" w:rsidRDefault="00710D4B" w:rsidP="00710D4B">
            <w:pPr>
              <w:pStyle w:val="CETBodytext"/>
              <w:jc w:val="center"/>
              <w:rPr>
                <w:lang w:val="en-GB"/>
              </w:rPr>
            </w:pPr>
          </w:p>
        </w:tc>
        <w:tc>
          <w:tcPr>
            <w:tcW w:w="850" w:type="dxa"/>
            <w:shd w:val="clear" w:color="auto" w:fill="FFFFFF"/>
          </w:tcPr>
          <w:p w14:paraId="49A88917"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1A009C6" w14:textId="32D4426B" w:rsidR="00710D4B" w:rsidRPr="00B57B36" w:rsidRDefault="00710D4B" w:rsidP="00710D4B">
            <w:pPr>
              <w:pStyle w:val="CETBodytext"/>
              <w:ind w:right="-1"/>
              <w:jc w:val="center"/>
              <w:rPr>
                <w:rFonts w:cs="Arial"/>
                <w:szCs w:val="18"/>
                <w:lang w:val="en-GB"/>
              </w:rPr>
            </w:pPr>
            <w:r>
              <w:rPr>
                <w:lang w:val="en-GB"/>
              </w:rPr>
              <w:t>2,07</w:t>
            </w:r>
          </w:p>
        </w:tc>
        <w:tc>
          <w:tcPr>
            <w:tcW w:w="849" w:type="dxa"/>
            <w:shd w:val="clear" w:color="auto" w:fill="FFFFFF"/>
          </w:tcPr>
          <w:p w14:paraId="53A3E9A3" w14:textId="77777777" w:rsidR="00710D4B" w:rsidRPr="00B57B36" w:rsidRDefault="00710D4B" w:rsidP="00710D4B">
            <w:pPr>
              <w:pStyle w:val="CETBodytext"/>
              <w:ind w:right="-1"/>
              <w:jc w:val="center"/>
              <w:rPr>
                <w:rFonts w:cs="Arial"/>
                <w:szCs w:val="18"/>
                <w:lang w:val="en-GB"/>
              </w:rPr>
            </w:pPr>
          </w:p>
        </w:tc>
      </w:tr>
      <w:tr w:rsidR="00710D4B" w:rsidRPr="00B57B36" w14:paraId="2567738F" w14:textId="0240BE4F" w:rsidTr="00C55AB5">
        <w:tc>
          <w:tcPr>
            <w:tcW w:w="3828" w:type="dxa"/>
            <w:shd w:val="clear" w:color="auto" w:fill="FFFFFF"/>
          </w:tcPr>
          <w:p w14:paraId="5D6BE8F9" w14:textId="002ACD2B" w:rsidR="00710D4B" w:rsidRPr="00242880" w:rsidRDefault="00710D4B" w:rsidP="00710D4B">
            <w:pPr>
              <w:pStyle w:val="CETBodytext"/>
              <w:jc w:val="left"/>
              <w:rPr>
                <w:lang w:val="en-GB"/>
              </w:rPr>
            </w:pPr>
            <w:r w:rsidRPr="00242880">
              <w:rPr>
                <w:lang w:val="en-GB"/>
              </w:rPr>
              <w:t>2,5-Furandicarboxaldehyde</w:t>
            </w:r>
          </w:p>
        </w:tc>
        <w:tc>
          <w:tcPr>
            <w:tcW w:w="1275" w:type="dxa"/>
            <w:shd w:val="clear" w:color="auto" w:fill="FFFFFF"/>
          </w:tcPr>
          <w:p w14:paraId="0FD56E67" w14:textId="585AEAD0" w:rsidR="00710D4B" w:rsidRPr="00B57B36" w:rsidRDefault="00710D4B" w:rsidP="00710D4B">
            <w:pPr>
              <w:pStyle w:val="CETBodytext"/>
              <w:jc w:val="center"/>
              <w:rPr>
                <w:lang w:val="en-GB"/>
              </w:rPr>
            </w:pPr>
            <w:r>
              <w:rPr>
                <w:lang w:val="en-GB"/>
              </w:rPr>
              <w:t>823-82-5</w:t>
            </w:r>
          </w:p>
        </w:tc>
        <w:tc>
          <w:tcPr>
            <w:tcW w:w="993" w:type="dxa"/>
            <w:shd w:val="clear" w:color="auto" w:fill="FFFFFF"/>
          </w:tcPr>
          <w:p w14:paraId="09F92603" w14:textId="0171D755" w:rsidR="00710D4B" w:rsidRPr="00B57B36" w:rsidRDefault="00710D4B" w:rsidP="00710D4B">
            <w:pPr>
              <w:pStyle w:val="CETBodytext"/>
              <w:jc w:val="center"/>
              <w:rPr>
                <w:lang w:val="en-GB"/>
              </w:rPr>
            </w:pPr>
            <w:r>
              <w:rPr>
                <w:lang w:val="en-GB"/>
              </w:rPr>
              <w:t>0,96</w:t>
            </w:r>
          </w:p>
        </w:tc>
        <w:tc>
          <w:tcPr>
            <w:tcW w:w="850" w:type="dxa"/>
            <w:shd w:val="clear" w:color="auto" w:fill="FFFFFF"/>
          </w:tcPr>
          <w:p w14:paraId="3633E43B"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58FF06B5" w14:textId="77777777" w:rsidR="00710D4B" w:rsidRPr="00B57B36" w:rsidRDefault="00710D4B" w:rsidP="00710D4B">
            <w:pPr>
              <w:pStyle w:val="CETBodytext"/>
              <w:ind w:right="-1"/>
              <w:jc w:val="center"/>
              <w:rPr>
                <w:rFonts w:cs="Arial"/>
                <w:szCs w:val="18"/>
                <w:lang w:val="en-GB"/>
              </w:rPr>
            </w:pPr>
          </w:p>
        </w:tc>
        <w:tc>
          <w:tcPr>
            <w:tcW w:w="849" w:type="dxa"/>
            <w:shd w:val="clear" w:color="auto" w:fill="FFFFFF"/>
          </w:tcPr>
          <w:p w14:paraId="08D1A130" w14:textId="77777777" w:rsidR="00710D4B" w:rsidRPr="00B57B36" w:rsidRDefault="00710D4B" w:rsidP="00710D4B">
            <w:pPr>
              <w:pStyle w:val="CETBodytext"/>
              <w:ind w:right="-1"/>
              <w:jc w:val="center"/>
              <w:rPr>
                <w:rFonts w:cs="Arial"/>
                <w:szCs w:val="18"/>
                <w:lang w:val="en-GB"/>
              </w:rPr>
            </w:pPr>
          </w:p>
        </w:tc>
      </w:tr>
      <w:tr w:rsidR="00710D4B" w:rsidRPr="00B57B36" w14:paraId="7F03C134" w14:textId="6D2162AA" w:rsidTr="00C55AB5">
        <w:tc>
          <w:tcPr>
            <w:tcW w:w="3828" w:type="dxa"/>
            <w:shd w:val="clear" w:color="auto" w:fill="FFFFFF"/>
          </w:tcPr>
          <w:p w14:paraId="067E6706" w14:textId="254794AA" w:rsidR="00710D4B" w:rsidRPr="006E627D" w:rsidRDefault="00C55AB5" w:rsidP="00710D4B">
            <w:pPr>
              <w:pStyle w:val="CETBodytext"/>
              <w:jc w:val="left"/>
              <w:rPr>
                <w:b/>
                <w:bCs/>
                <w:lang w:val="en-GB"/>
              </w:rPr>
            </w:pPr>
            <w:r w:rsidRPr="006E627D">
              <w:rPr>
                <w:b/>
                <w:bCs/>
                <w:lang w:val="en-GB"/>
              </w:rPr>
              <w:t>2-</w:t>
            </w:r>
            <w:r w:rsidR="00E02FD8">
              <w:rPr>
                <w:b/>
                <w:bCs/>
                <w:lang w:val="en-GB"/>
              </w:rPr>
              <w:t>M</w:t>
            </w:r>
            <w:r w:rsidRPr="006E627D">
              <w:rPr>
                <w:b/>
                <w:bCs/>
                <w:lang w:val="en-GB"/>
              </w:rPr>
              <w:t>ethoxy-</w:t>
            </w:r>
            <w:r w:rsidR="00710D4B" w:rsidRPr="006E627D">
              <w:rPr>
                <w:b/>
                <w:bCs/>
                <w:lang w:val="en-GB"/>
              </w:rPr>
              <w:t xml:space="preserve">Phenol </w:t>
            </w:r>
          </w:p>
        </w:tc>
        <w:tc>
          <w:tcPr>
            <w:tcW w:w="1275" w:type="dxa"/>
            <w:shd w:val="clear" w:color="auto" w:fill="FFFFFF"/>
          </w:tcPr>
          <w:p w14:paraId="3A4317FD" w14:textId="56564BDF" w:rsidR="00710D4B" w:rsidRPr="00B57B36" w:rsidRDefault="00710D4B" w:rsidP="00710D4B">
            <w:pPr>
              <w:pStyle w:val="CETBodytext"/>
              <w:jc w:val="center"/>
              <w:rPr>
                <w:lang w:val="en-GB"/>
              </w:rPr>
            </w:pPr>
            <w:r>
              <w:rPr>
                <w:lang w:val="en-GB"/>
              </w:rPr>
              <w:t>90-05-1</w:t>
            </w:r>
          </w:p>
        </w:tc>
        <w:tc>
          <w:tcPr>
            <w:tcW w:w="993" w:type="dxa"/>
            <w:shd w:val="clear" w:color="auto" w:fill="FFFFFF"/>
          </w:tcPr>
          <w:p w14:paraId="3AFC1156" w14:textId="61BDA692" w:rsidR="00710D4B" w:rsidRPr="00B57B36" w:rsidRDefault="00710D4B" w:rsidP="00710D4B">
            <w:pPr>
              <w:pStyle w:val="CETBodytext"/>
              <w:jc w:val="center"/>
              <w:rPr>
                <w:lang w:val="en-GB"/>
              </w:rPr>
            </w:pPr>
            <w:r>
              <w:rPr>
                <w:lang w:val="en-GB"/>
              </w:rPr>
              <w:t>7,54</w:t>
            </w:r>
          </w:p>
        </w:tc>
        <w:tc>
          <w:tcPr>
            <w:tcW w:w="850" w:type="dxa"/>
            <w:shd w:val="clear" w:color="auto" w:fill="FFFFFF"/>
          </w:tcPr>
          <w:p w14:paraId="7331F492"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08432FAA" w14:textId="212EC2E4" w:rsidR="00710D4B" w:rsidRPr="00B57B36" w:rsidRDefault="00710D4B" w:rsidP="00710D4B">
            <w:pPr>
              <w:pStyle w:val="CETBodytext"/>
              <w:ind w:right="-1"/>
              <w:jc w:val="center"/>
              <w:rPr>
                <w:rFonts w:cs="Arial"/>
                <w:szCs w:val="18"/>
                <w:lang w:val="en-GB"/>
              </w:rPr>
            </w:pPr>
            <w:r>
              <w:rPr>
                <w:lang w:val="en-GB"/>
              </w:rPr>
              <w:t>5,85</w:t>
            </w:r>
          </w:p>
        </w:tc>
        <w:tc>
          <w:tcPr>
            <w:tcW w:w="849" w:type="dxa"/>
            <w:shd w:val="clear" w:color="auto" w:fill="FFFFFF"/>
          </w:tcPr>
          <w:p w14:paraId="34D2F562" w14:textId="77777777" w:rsidR="00710D4B" w:rsidRPr="00B57B36" w:rsidRDefault="00710D4B" w:rsidP="00710D4B">
            <w:pPr>
              <w:pStyle w:val="CETBodytext"/>
              <w:ind w:right="-1"/>
              <w:jc w:val="center"/>
              <w:rPr>
                <w:rFonts w:cs="Arial"/>
                <w:szCs w:val="18"/>
                <w:lang w:val="en-GB"/>
              </w:rPr>
            </w:pPr>
          </w:p>
        </w:tc>
      </w:tr>
      <w:tr w:rsidR="00710D4B" w:rsidRPr="00B57B36" w14:paraId="4BF4FD41" w14:textId="1C1C6EDF" w:rsidTr="00C55AB5">
        <w:tc>
          <w:tcPr>
            <w:tcW w:w="3828" w:type="dxa"/>
            <w:shd w:val="clear" w:color="auto" w:fill="FFFFFF"/>
          </w:tcPr>
          <w:p w14:paraId="6D3F64AA" w14:textId="1D29CAE1" w:rsidR="00710D4B" w:rsidRPr="006E627D" w:rsidRDefault="00710D4B" w:rsidP="00710D4B">
            <w:pPr>
              <w:pStyle w:val="CETBodytext"/>
              <w:jc w:val="left"/>
              <w:rPr>
                <w:b/>
                <w:bCs/>
                <w:lang w:val="en-GB"/>
              </w:rPr>
            </w:pPr>
            <w:r w:rsidRPr="006E627D">
              <w:rPr>
                <w:b/>
                <w:bCs/>
                <w:lang w:val="en-GB"/>
              </w:rPr>
              <w:t>Maltol</w:t>
            </w:r>
          </w:p>
        </w:tc>
        <w:tc>
          <w:tcPr>
            <w:tcW w:w="1275" w:type="dxa"/>
            <w:shd w:val="clear" w:color="auto" w:fill="FFFFFF"/>
          </w:tcPr>
          <w:p w14:paraId="3405B29D" w14:textId="00B7E293" w:rsidR="00710D4B" w:rsidRPr="00B57B36" w:rsidRDefault="00710D4B" w:rsidP="00710D4B">
            <w:pPr>
              <w:pStyle w:val="CETBodytext"/>
              <w:jc w:val="center"/>
              <w:rPr>
                <w:lang w:val="en-GB"/>
              </w:rPr>
            </w:pPr>
            <w:r>
              <w:rPr>
                <w:lang w:val="en-GB"/>
              </w:rPr>
              <w:t>118-71-8</w:t>
            </w:r>
          </w:p>
        </w:tc>
        <w:tc>
          <w:tcPr>
            <w:tcW w:w="993" w:type="dxa"/>
            <w:shd w:val="clear" w:color="auto" w:fill="FFFFFF"/>
          </w:tcPr>
          <w:p w14:paraId="59A1F764" w14:textId="33E43350" w:rsidR="00710D4B" w:rsidRPr="00B57B36" w:rsidRDefault="00710D4B" w:rsidP="00710D4B">
            <w:pPr>
              <w:pStyle w:val="CETBodytext"/>
              <w:jc w:val="center"/>
              <w:rPr>
                <w:lang w:val="en-GB"/>
              </w:rPr>
            </w:pPr>
            <w:r>
              <w:rPr>
                <w:lang w:val="en-GB"/>
              </w:rPr>
              <w:t>1,17</w:t>
            </w:r>
          </w:p>
        </w:tc>
        <w:tc>
          <w:tcPr>
            <w:tcW w:w="850" w:type="dxa"/>
            <w:shd w:val="clear" w:color="auto" w:fill="FFFFFF"/>
          </w:tcPr>
          <w:p w14:paraId="359CA6AC"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48B93F1E" w14:textId="27722E88" w:rsidR="00710D4B" w:rsidRPr="00B57B36" w:rsidRDefault="00710D4B" w:rsidP="00710D4B">
            <w:pPr>
              <w:pStyle w:val="CETBodytext"/>
              <w:ind w:right="-1"/>
              <w:jc w:val="center"/>
              <w:rPr>
                <w:rFonts w:cs="Arial"/>
                <w:szCs w:val="18"/>
                <w:lang w:val="en-GB"/>
              </w:rPr>
            </w:pPr>
            <w:r>
              <w:rPr>
                <w:lang w:val="en-GB"/>
              </w:rPr>
              <w:t>0,97</w:t>
            </w:r>
          </w:p>
        </w:tc>
        <w:tc>
          <w:tcPr>
            <w:tcW w:w="849" w:type="dxa"/>
            <w:shd w:val="clear" w:color="auto" w:fill="FFFFFF"/>
          </w:tcPr>
          <w:p w14:paraId="09D61251" w14:textId="77777777" w:rsidR="00710D4B" w:rsidRPr="00B57B36" w:rsidRDefault="00710D4B" w:rsidP="00710D4B">
            <w:pPr>
              <w:pStyle w:val="CETBodytext"/>
              <w:ind w:right="-1"/>
              <w:jc w:val="center"/>
              <w:rPr>
                <w:rFonts w:cs="Arial"/>
                <w:szCs w:val="18"/>
                <w:lang w:val="en-GB"/>
              </w:rPr>
            </w:pPr>
          </w:p>
        </w:tc>
      </w:tr>
      <w:tr w:rsidR="00710D4B" w:rsidRPr="00B57B36" w14:paraId="4BF166B5" w14:textId="748974D4" w:rsidTr="00C55AB5">
        <w:tc>
          <w:tcPr>
            <w:tcW w:w="3828" w:type="dxa"/>
            <w:shd w:val="clear" w:color="auto" w:fill="FFFFFF"/>
          </w:tcPr>
          <w:p w14:paraId="7FCD5729" w14:textId="4A09E004" w:rsidR="00710D4B" w:rsidRPr="00242880" w:rsidRDefault="00C55AB5" w:rsidP="00710D4B">
            <w:pPr>
              <w:pStyle w:val="CETBodytext"/>
              <w:jc w:val="left"/>
              <w:rPr>
                <w:lang w:val="en-GB"/>
              </w:rPr>
            </w:pPr>
            <w:r w:rsidRPr="00242880">
              <w:rPr>
                <w:lang w:val="en-GB"/>
              </w:rPr>
              <w:t>3-</w:t>
            </w:r>
            <w:r w:rsidR="00614968">
              <w:rPr>
                <w:lang w:val="en-GB"/>
              </w:rPr>
              <w:t>E</w:t>
            </w:r>
            <w:r w:rsidRPr="00242880">
              <w:rPr>
                <w:lang w:val="en-GB"/>
              </w:rPr>
              <w:t>thyl-2-hydroxy-</w:t>
            </w:r>
            <w:r w:rsidR="00710D4B" w:rsidRPr="00242880">
              <w:rPr>
                <w:lang w:val="en-GB"/>
              </w:rPr>
              <w:t xml:space="preserve">2-Cyclopenten-1-one </w:t>
            </w:r>
          </w:p>
        </w:tc>
        <w:tc>
          <w:tcPr>
            <w:tcW w:w="1275" w:type="dxa"/>
            <w:shd w:val="clear" w:color="auto" w:fill="FFFFFF"/>
          </w:tcPr>
          <w:p w14:paraId="0395CEC9" w14:textId="75B7D435" w:rsidR="00710D4B" w:rsidRPr="00B57B36" w:rsidRDefault="00710D4B" w:rsidP="00710D4B">
            <w:pPr>
              <w:pStyle w:val="CETBodytext"/>
              <w:jc w:val="center"/>
              <w:rPr>
                <w:lang w:val="en-GB"/>
              </w:rPr>
            </w:pPr>
            <w:r>
              <w:rPr>
                <w:lang w:val="en-GB"/>
              </w:rPr>
              <w:t>21835-01-8</w:t>
            </w:r>
          </w:p>
        </w:tc>
        <w:tc>
          <w:tcPr>
            <w:tcW w:w="993" w:type="dxa"/>
            <w:shd w:val="clear" w:color="auto" w:fill="FFFFFF"/>
          </w:tcPr>
          <w:p w14:paraId="252AB77C" w14:textId="0E0F95C5" w:rsidR="00710D4B" w:rsidRPr="00B57B36" w:rsidRDefault="00710D4B" w:rsidP="00710D4B">
            <w:pPr>
              <w:pStyle w:val="CETBodytext"/>
              <w:jc w:val="center"/>
              <w:rPr>
                <w:lang w:val="en-GB"/>
              </w:rPr>
            </w:pPr>
            <w:r>
              <w:rPr>
                <w:lang w:val="en-GB"/>
              </w:rPr>
              <w:t>0,28</w:t>
            </w:r>
          </w:p>
        </w:tc>
        <w:tc>
          <w:tcPr>
            <w:tcW w:w="850" w:type="dxa"/>
            <w:shd w:val="clear" w:color="auto" w:fill="FFFFFF"/>
          </w:tcPr>
          <w:p w14:paraId="72CDC7F1"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167743C" w14:textId="626FDF7C" w:rsidR="00710D4B" w:rsidRPr="00B57B36" w:rsidRDefault="00710D4B" w:rsidP="00710D4B">
            <w:pPr>
              <w:pStyle w:val="CETBodytext"/>
              <w:ind w:right="-1"/>
              <w:jc w:val="center"/>
              <w:rPr>
                <w:rFonts w:cs="Arial"/>
                <w:szCs w:val="18"/>
                <w:lang w:val="en-GB"/>
              </w:rPr>
            </w:pPr>
            <w:r>
              <w:rPr>
                <w:lang w:val="en-GB"/>
              </w:rPr>
              <w:t>0,34</w:t>
            </w:r>
          </w:p>
        </w:tc>
        <w:tc>
          <w:tcPr>
            <w:tcW w:w="849" w:type="dxa"/>
            <w:shd w:val="clear" w:color="auto" w:fill="FFFFFF"/>
          </w:tcPr>
          <w:p w14:paraId="5853ED30" w14:textId="77777777" w:rsidR="00710D4B" w:rsidRPr="00B57B36" w:rsidRDefault="00710D4B" w:rsidP="00710D4B">
            <w:pPr>
              <w:pStyle w:val="CETBodytext"/>
              <w:ind w:right="-1"/>
              <w:jc w:val="center"/>
              <w:rPr>
                <w:rFonts w:cs="Arial"/>
                <w:szCs w:val="18"/>
                <w:lang w:val="en-GB"/>
              </w:rPr>
            </w:pPr>
          </w:p>
        </w:tc>
      </w:tr>
      <w:tr w:rsidR="00710D4B" w:rsidRPr="00B57B36" w14:paraId="6533C1D0" w14:textId="26BF342A" w:rsidTr="00C55AB5">
        <w:tc>
          <w:tcPr>
            <w:tcW w:w="3828" w:type="dxa"/>
            <w:shd w:val="clear" w:color="auto" w:fill="FFFFFF"/>
          </w:tcPr>
          <w:p w14:paraId="1B908734" w14:textId="67E8DCB4" w:rsidR="00710D4B" w:rsidRPr="006E627D" w:rsidRDefault="00710D4B" w:rsidP="00710D4B">
            <w:pPr>
              <w:pStyle w:val="CETBodytext"/>
              <w:jc w:val="left"/>
              <w:rPr>
                <w:b/>
                <w:bCs/>
                <w:lang w:val="en-GB"/>
              </w:rPr>
            </w:pPr>
            <w:r w:rsidRPr="006E627D">
              <w:rPr>
                <w:b/>
                <w:bCs/>
                <w:lang w:val="en-GB"/>
              </w:rPr>
              <w:t>Creosol</w:t>
            </w:r>
          </w:p>
        </w:tc>
        <w:tc>
          <w:tcPr>
            <w:tcW w:w="1275" w:type="dxa"/>
            <w:shd w:val="clear" w:color="auto" w:fill="FFFFFF"/>
          </w:tcPr>
          <w:p w14:paraId="129FA578" w14:textId="14A730CC" w:rsidR="00710D4B" w:rsidRPr="00B57B36" w:rsidRDefault="00710D4B" w:rsidP="00710D4B">
            <w:pPr>
              <w:pStyle w:val="CETBodytext"/>
              <w:jc w:val="center"/>
              <w:rPr>
                <w:lang w:val="en-GB"/>
              </w:rPr>
            </w:pPr>
            <w:r>
              <w:rPr>
                <w:lang w:val="en-GB"/>
              </w:rPr>
              <w:t>93-51-6</w:t>
            </w:r>
          </w:p>
        </w:tc>
        <w:tc>
          <w:tcPr>
            <w:tcW w:w="993" w:type="dxa"/>
            <w:shd w:val="clear" w:color="auto" w:fill="FFFFFF"/>
          </w:tcPr>
          <w:p w14:paraId="119B9C54" w14:textId="03D4E9ED" w:rsidR="00710D4B" w:rsidRPr="00B57B36" w:rsidRDefault="00710D4B" w:rsidP="00710D4B">
            <w:pPr>
              <w:pStyle w:val="CETBodytext"/>
              <w:jc w:val="center"/>
              <w:rPr>
                <w:lang w:val="en-GB"/>
              </w:rPr>
            </w:pPr>
            <w:r>
              <w:rPr>
                <w:lang w:val="en-GB"/>
              </w:rPr>
              <w:t>11,57</w:t>
            </w:r>
          </w:p>
        </w:tc>
        <w:tc>
          <w:tcPr>
            <w:tcW w:w="850" w:type="dxa"/>
            <w:shd w:val="clear" w:color="auto" w:fill="FFFFFF"/>
          </w:tcPr>
          <w:p w14:paraId="19C8EAAE"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B1DDCE0" w14:textId="78DD8E35" w:rsidR="00710D4B" w:rsidRPr="00B57B36" w:rsidRDefault="00710D4B" w:rsidP="00710D4B">
            <w:pPr>
              <w:pStyle w:val="CETBodytext"/>
              <w:ind w:right="-1"/>
              <w:jc w:val="center"/>
              <w:rPr>
                <w:rFonts w:cs="Arial"/>
                <w:szCs w:val="18"/>
                <w:lang w:val="en-GB"/>
              </w:rPr>
            </w:pPr>
            <w:r>
              <w:rPr>
                <w:lang w:val="en-GB"/>
              </w:rPr>
              <w:t>10,19</w:t>
            </w:r>
          </w:p>
        </w:tc>
        <w:tc>
          <w:tcPr>
            <w:tcW w:w="849" w:type="dxa"/>
            <w:shd w:val="clear" w:color="auto" w:fill="FFFFFF"/>
          </w:tcPr>
          <w:p w14:paraId="1040EE0D" w14:textId="77777777" w:rsidR="00710D4B" w:rsidRPr="00B57B36" w:rsidRDefault="00710D4B" w:rsidP="00710D4B">
            <w:pPr>
              <w:pStyle w:val="CETBodytext"/>
              <w:ind w:right="-1"/>
              <w:jc w:val="center"/>
              <w:rPr>
                <w:rFonts w:cs="Arial"/>
                <w:szCs w:val="18"/>
                <w:lang w:val="en-GB"/>
              </w:rPr>
            </w:pPr>
          </w:p>
        </w:tc>
      </w:tr>
      <w:tr w:rsidR="00710D4B" w:rsidRPr="00B57B36" w14:paraId="6A3C9069" w14:textId="77777777" w:rsidTr="00C55AB5">
        <w:tc>
          <w:tcPr>
            <w:tcW w:w="3828" w:type="dxa"/>
            <w:shd w:val="clear" w:color="auto" w:fill="FFFFFF"/>
          </w:tcPr>
          <w:p w14:paraId="1B9266C1" w14:textId="50C64218" w:rsidR="00710D4B" w:rsidRPr="006E627D" w:rsidRDefault="00710D4B" w:rsidP="00710D4B">
            <w:pPr>
              <w:pStyle w:val="CETBodytext"/>
              <w:jc w:val="left"/>
              <w:rPr>
                <w:b/>
                <w:bCs/>
                <w:lang w:val="en-GB"/>
              </w:rPr>
            </w:pPr>
            <w:r w:rsidRPr="006E627D">
              <w:rPr>
                <w:b/>
                <w:bCs/>
                <w:lang w:val="en-GB"/>
              </w:rPr>
              <w:t>Catechol</w:t>
            </w:r>
          </w:p>
        </w:tc>
        <w:tc>
          <w:tcPr>
            <w:tcW w:w="1275" w:type="dxa"/>
            <w:shd w:val="clear" w:color="auto" w:fill="FFFFFF"/>
          </w:tcPr>
          <w:p w14:paraId="5A7CB5E8" w14:textId="60E26BCF" w:rsidR="00710D4B" w:rsidRDefault="00710D4B" w:rsidP="00710D4B">
            <w:pPr>
              <w:pStyle w:val="CETBodytext"/>
              <w:jc w:val="center"/>
              <w:rPr>
                <w:lang w:val="en-GB"/>
              </w:rPr>
            </w:pPr>
            <w:r>
              <w:rPr>
                <w:lang w:val="en-GB"/>
              </w:rPr>
              <w:t>120-80-9</w:t>
            </w:r>
          </w:p>
        </w:tc>
        <w:tc>
          <w:tcPr>
            <w:tcW w:w="993" w:type="dxa"/>
            <w:shd w:val="clear" w:color="auto" w:fill="FFFFFF"/>
          </w:tcPr>
          <w:p w14:paraId="7D5B5D2B" w14:textId="348F1C1D" w:rsidR="00710D4B" w:rsidRDefault="00710D4B" w:rsidP="00710D4B">
            <w:pPr>
              <w:pStyle w:val="CETBodytext"/>
              <w:jc w:val="center"/>
              <w:rPr>
                <w:lang w:val="en-GB"/>
              </w:rPr>
            </w:pPr>
          </w:p>
        </w:tc>
        <w:tc>
          <w:tcPr>
            <w:tcW w:w="850" w:type="dxa"/>
            <w:shd w:val="clear" w:color="auto" w:fill="FFFFFF"/>
          </w:tcPr>
          <w:p w14:paraId="35123D4C" w14:textId="745D2631"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17C65E0F" w14:textId="49EC0B6E" w:rsidR="00710D4B" w:rsidRPr="00B57B36" w:rsidRDefault="00710D4B" w:rsidP="00710D4B">
            <w:pPr>
              <w:pStyle w:val="CETBodytext"/>
              <w:ind w:right="-1"/>
              <w:jc w:val="center"/>
              <w:rPr>
                <w:rFonts w:cs="Arial"/>
                <w:szCs w:val="18"/>
                <w:lang w:val="en-GB"/>
              </w:rPr>
            </w:pPr>
            <w:r>
              <w:rPr>
                <w:lang w:val="en-GB"/>
              </w:rPr>
              <w:t>0,82</w:t>
            </w:r>
          </w:p>
        </w:tc>
        <w:tc>
          <w:tcPr>
            <w:tcW w:w="849" w:type="dxa"/>
            <w:shd w:val="clear" w:color="auto" w:fill="FFFFFF"/>
          </w:tcPr>
          <w:p w14:paraId="301329EF" w14:textId="7F7F5D43" w:rsidR="00710D4B" w:rsidRPr="00B57B36" w:rsidRDefault="00710D4B" w:rsidP="00710D4B">
            <w:pPr>
              <w:pStyle w:val="CETBodytext"/>
              <w:ind w:right="-1"/>
              <w:jc w:val="center"/>
              <w:rPr>
                <w:rFonts w:cs="Arial"/>
                <w:szCs w:val="18"/>
                <w:lang w:val="en-GB"/>
              </w:rPr>
            </w:pPr>
            <w:r>
              <w:rPr>
                <w:rFonts w:cs="Arial"/>
                <w:szCs w:val="18"/>
                <w:lang w:val="en-GB"/>
              </w:rPr>
              <w:t>1,56</w:t>
            </w:r>
          </w:p>
        </w:tc>
      </w:tr>
      <w:tr w:rsidR="00710D4B" w:rsidRPr="00B57B36" w14:paraId="4CA7380F" w14:textId="25F92471" w:rsidTr="00C55AB5">
        <w:tc>
          <w:tcPr>
            <w:tcW w:w="3828" w:type="dxa"/>
            <w:shd w:val="clear" w:color="auto" w:fill="FFFFFF"/>
          </w:tcPr>
          <w:p w14:paraId="3786D8F0" w14:textId="7CD0F28E" w:rsidR="00710D4B" w:rsidRPr="006E627D" w:rsidRDefault="00710D4B" w:rsidP="00710D4B">
            <w:pPr>
              <w:pStyle w:val="CETBodytext"/>
              <w:jc w:val="left"/>
              <w:rPr>
                <w:b/>
                <w:bCs/>
                <w:lang w:val="en-GB"/>
              </w:rPr>
            </w:pPr>
            <w:r w:rsidRPr="006E627D">
              <w:rPr>
                <w:b/>
                <w:bCs/>
                <w:lang w:val="en-GB"/>
              </w:rPr>
              <w:t>5-Hydroxymethylfurfural</w:t>
            </w:r>
          </w:p>
        </w:tc>
        <w:tc>
          <w:tcPr>
            <w:tcW w:w="1275" w:type="dxa"/>
            <w:shd w:val="clear" w:color="auto" w:fill="FFFFFF"/>
          </w:tcPr>
          <w:p w14:paraId="4B3D4415" w14:textId="2B1B797D" w:rsidR="00710D4B" w:rsidRPr="00B57B36" w:rsidRDefault="00710D4B" w:rsidP="00710D4B">
            <w:pPr>
              <w:pStyle w:val="CETBodytext"/>
              <w:jc w:val="center"/>
              <w:rPr>
                <w:lang w:val="en-GB"/>
              </w:rPr>
            </w:pPr>
            <w:r>
              <w:rPr>
                <w:lang w:val="en-GB"/>
              </w:rPr>
              <w:t>67-47-0</w:t>
            </w:r>
          </w:p>
        </w:tc>
        <w:tc>
          <w:tcPr>
            <w:tcW w:w="993" w:type="dxa"/>
            <w:shd w:val="clear" w:color="auto" w:fill="FFFFFF"/>
          </w:tcPr>
          <w:p w14:paraId="0869ABC1" w14:textId="0FF8A1A0" w:rsidR="00710D4B" w:rsidRPr="00B57B36" w:rsidRDefault="00710D4B" w:rsidP="00710D4B">
            <w:pPr>
              <w:pStyle w:val="CETBodytext"/>
              <w:jc w:val="center"/>
              <w:rPr>
                <w:lang w:val="en-GB"/>
              </w:rPr>
            </w:pPr>
            <w:r>
              <w:rPr>
                <w:lang w:val="en-GB"/>
              </w:rPr>
              <w:t>1,21</w:t>
            </w:r>
          </w:p>
        </w:tc>
        <w:tc>
          <w:tcPr>
            <w:tcW w:w="850" w:type="dxa"/>
            <w:shd w:val="clear" w:color="auto" w:fill="FFFFFF"/>
          </w:tcPr>
          <w:p w14:paraId="58EEC196"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54873AA2" w14:textId="3D66CB83" w:rsidR="00710D4B" w:rsidRPr="00B57B36" w:rsidRDefault="00710D4B" w:rsidP="00710D4B">
            <w:pPr>
              <w:pStyle w:val="CETBodytext"/>
              <w:ind w:right="-1"/>
              <w:jc w:val="center"/>
              <w:rPr>
                <w:rFonts w:cs="Arial"/>
                <w:szCs w:val="18"/>
                <w:lang w:val="en-GB"/>
              </w:rPr>
            </w:pPr>
            <w:r>
              <w:rPr>
                <w:lang w:val="en-GB"/>
              </w:rPr>
              <w:t>1,36</w:t>
            </w:r>
          </w:p>
        </w:tc>
        <w:tc>
          <w:tcPr>
            <w:tcW w:w="849" w:type="dxa"/>
            <w:shd w:val="clear" w:color="auto" w:fill="FFFFFF"/>
          </w:tcPr>
          <w:p w14:paraId="61F7D3F9" w14:textId="77777777" w:rsidR="00710D4B" w:rsidRPr="00B57B36" w:rsidRDefault="00710D4B" w:rsidP="00710D4B">
            <w:pPr>
              <w:pStyle w:val="CETBodytext"/>
              <w:ind w:right="-1"/>
              <w:jc w:val="center"/>
              <w:rPr>
                <w:rFonts w:cs="Arial"/>
                <w:szCs w:val="18"/>
                <w:lang w:val="en-GB"/>
              </w:rPr>
            </w:pPr>
          </w:p>
        </w:tc>
      </w:tr>
      <w:tr w:rsidR="00710D4B" w:rsidRPr="00B57B36" w14:paraId="24304949" w14:textId="7B8BD7E3" w:rsidTr="00C55AB5">
        <w:tc>
          <w:tcPr>
            <w:tcW w:w="3828" w:type="dxa"/>
            <w:shd w:val="clear" w:color="auto" w:fill="FFFFFF"/>
          </w:tcPr>
          <w:p w14:paraId="5F7164AF" w14:textId="7D9D5B0B" w:rsidR="00710D4B" w:rsidRPr="006E627D" w:rsidRDefault="00C55AB5" w:rsidP="00710D4B">
            <w:pPr>
              <w:pStyle w:val="CETBodytext"/>
              <w:jc w:val="left"/>
              <w:rPr>
                <w:b/>
                <w:bCs/>
                <w:lang w:val="en-GB"/>
              </w:rPr>
            </w:pPr>
            <w:r w:rsidRPr="006E627D">
              <w:rPr>
                <w:b/>
                <w:bCs/>
                <w:lang w:val="en-GB"/>
              </w:rPr>
              <w:t>4-</w:t>
            </w:r>
            <w:r w:rsidR="00E02FD8">
              <w:rPr>
                <w:b/>
                <w:bCs/>
                <w:lang w:val="en-GB"/>
              </w:rPr>
              <w:t>E</w:t>
            </w:r>
            <w:r w:rsidRPr="006E627D">
              <w:rPr>
                <w:b/>
                <w:bCs/>
                <w:lang w:val="en-GB"/>
              </w:rPr>
              <w:t>thyl-2-methoxy-</w:t>
            </w:r>
            <w:r w:rsidR="00710D4B" w:rsidRPr="006E627D">
              <w:rPr>
                <w:b/>
                <w:bCs/>
                <w:lang w:val="en-GB"/>
              </w:rPr>
              <w:t>Pheno</w:t>
            </w:r>
            <w:r w:rsidR="00BB4A07">
              <w:rPr>
                <w:b/>
                <w:bCs/>
                <w:lang w:val="en-GB"/>
              </w:rPr>
              <w:t>l</w:t>
            </w:r>
            <w:r w:rsidR="00710D4B" w:rsidRPr="006E627D">
              <w:rPr>
                <w:b/>
                <w:bCs/>
                <w:lang w:val="en-GB"/>
              </w:rPr>
              <w:t xml:space="preserve"> </w:t>
            </w:r>
          </w:p>
        </w:tc>
        <w:tc>
          <w:tcPr>
            <w:tcW w:w="1275" w:type="dxa"/>
            <w:shd w:val="clear" w:color="auto" w:fill="FFFFFF"/>
          </w:tcPr>
          <w:p w14:paraId="1C306A44" w14:textId="2A43B1F5" w:rsidR="00710D4B" w:rsidRPr="00B57B36" w:rsidRDefault="00710D4B" w:rsidP="00710D4B">
            <w:pPr>
              <w:pStyle w:val="CETBodytext"/>
              <w:jc w:val="center"/>
              <w:rPr>
                <w:lang w:val="en-GB"/>
              </w:rPr>
            </w:pPr>
            <w:r>
              <w:rPr>
                <w:lang w:val="en-GB"/>
              </w:rPr>
              <w:t>2785-89-9</w:t>
            </w:r>
          </w:p>
        </w:tc>
        <w:tc>
          <w:tcPr>
            <w:tcW w:w="993" w:type="dxa"/>
            <w:shd w:val="clear" w:color="auto" w:fill="FFFFFF"/>
          </w:tcPr>
          <w:p w14:paraId="086965BC" w14:textId="591E34EC" w:rsidR="00710D4B" w:rsidRPr="00B57B36" w:rsidRDefault="00710D4B" w:rsidP="00710D4B">
            <w:pPr>
              <w:pStyle w:val="CETBodytext"/>
              <w:jc w:val="center"/>
              <w:rPr>
                <w:lang w:val="en-GB"/>
              </w:rPr>
            </w:pPr>
            <w:r>
              <w:rPr>
                <w:lang w:val="en-GB"/>
              </w:rPr>
              <w:t>4,32</w:t>
            </w:r>
          </w:p>
        </w:tc>
        <w:tc>
          <w:tcPr>
            <w:tcW w:w="850" w:type="dxa"/>
            <w:shd w:val="clear" w:color="auto" w:fill="FFFFFF"/>
          </w:tcPr>
          <w:p w14:paraId="4E708528"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7379AC72" w14:textId="2B9A3676" w:rsidR="00710D4B" w:rsidRPr="00B57B36" w:rsidRDefault="00710D4B" w:rsidP="00710D4B">
            <w:pPr>
              <w:pStyle w:val="CETBodytext"/>
              <w:ind w:right="-1"/>
              <w:jc w:val="center"/>
              <w:rPr>
                <w:rFonts w:cs="Arial"/>
                <w:szCs w:val="18"/>
                <w:lang w:val="en-GB"/>
              </w:rPr>
            </w:pPr>
            <w:r>
              <w:rPr>
                <w:lang w:val="en-GB"/>
              </w:rPr>
              <w:t>4,33</w:t>
            </w:r>
          </w:p>
        </w:tc>
        <w:tc>
          <w:tcPr>
            <w:tcW w:w="849" w:type="dxa"/>
            <w:shd w:val="clear" w:color="auto" w:fill="FFFFFF"/>
          </w:tcPr>
          <w:p w14:paraId="3EE616E7" w14:textId="77777777" w:rsidR="00710D4B" w:rsidRPr="00B57B36" w:rsidRDefault="00710D4B" w:rsidP="00710D4B">
            <w:pPr>
              <w:pStyle w:val="CETBodytext"/>
              <w:ind w:right="-1"/>
              <w:jc w:val="center"/>
              <w:rPr>
                <w:rFonts w:cs="Arial"/>
                <w:szCs w:val="18"/>
                <w:lang w:val="en-GB"/>
              </w:rPr>
            </w:pPr>
          </w:p>
        </w:tc>
      </w:tr>
      <w:tr w:rsidR="00710D4B" w:rsidRPr="00B57B36" w14:paraId="65BC6305" w14:textId="1C096414" w:rsidTr="00C55AB5">
        <w:tc>
          <w:tcPr>
            <w:tcW w:w="3828" w:type="dxa"/>
            <w:shd w:val="clear" w:color="auto" w:fill="FFFFFF"/>
          </w:tcPr>
          <w:p w14:paraId="720A8289" w14:textId="35F291D1" w:rsidR="00710D4B" w:rsidRPr="00242880" w:rsidRDefault="00710D4B" w:rsidP="00710D4B">
            <w:pPr>
              <w:pStyle w:val="CETBodytext"/>
              <w:jc w:val="left"/>
              <w:rPr>
                <w:lang w:val="en-GB"/>
              </w:rPr>
            </w:pPr>
            <w:r w:rsidRPr="00242880">
              <w:rPr>
                <w:lang w:val="en-GB"/>
              </w:rPr>
              <w:t>5-Acetoxymethyl-2-furaldehyde</w:t>
            </w:r>
          </w:p>
        </w:tc>
        <w:tc>
          <w:tcPr>
            <w:tcW w:w="1275" w:type="dxa"/>
            <w:shd w:val="clear" w:color="auto" w:fill="FFFFFF"/>
          </w:tcPr>
          <w:p w14:paraId="183EC0ED" w14:textId="21CDD602" w:rsidR="00710D4B" w:rsidRPr="00B57B36" w:rsidRDefault="00710D4B" w:rsidP="00710D4B">
            <w:pPr>
              <w:pStyle w:val="CETBodytext"/>
              <w:jc w:val="center"/>
              <w:rPr>
                <w:lang w:val="en-GB"/>
              </w:rPr>
            </w:pPr>
            <w:r>
              <w:rPr>
                <w:lang w:val="en-GB"/>
              </w:rPr>
              <w:t>10551-58-3</w:t>
            </w:r>
          </w:p>
        </w:tc>
        <w:tc>
          <w:tcPr>
            <w:tcW w:w="993" w:type="dxa"/>
            <w:shd w:val="clear" w:color="auto" w:fill="FFFFFF"/>
          </w:tcPr>
          <w:p w14:paraId="3A7C0104" w14:textId="4E867833" w:rsidR="00710D4B" w:rsidRPr="00B57B36" w:rsidRDefault="00710D4B" w:rsidP="00710D4B">
            <w:pPr>
              <w:pStyle w:val="CETBodytext"/>
              <w:jc w:val="center"/>
              <w:rPr>
                <w:lang w:val="en-GB"/>
              </w:rPr>
            </w:pPr>
            <w:r>
              <w:rPr>
                <w:lang w:val="en-GB"/>
              </w:rPr>
              <w:t>0,33</w:t>
            </w:r>
          </w:p>
        </w:tc>
        <w:tc>
          <w:tcPr>
            <w:tcW w:w="850" w:type="dxa"/>
            <w:shd w:val="clear" w:color="auto" w:fill="FFFFFF"/>
          </w:tcPr>
          <w:p w14:paraId="423FC3C8"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3CEB20A2" w14:textId="5628067C" w:rsidR="00710D4B" w:rsidRPr="00B57B36" w:rsidRDefault="00710D4B" w:rsidP="00710D4B">
            <w:pPr>
              <w:pStyle w:val="CETBodytext"/>
              <w:ind w:right="-1"/>
              <w:jc w:val="center"/>
              <w:rPr>
                <w:rFonts w:cs="Arial"/>
                <w:szCs w:val="18"/>
                <w:lang w:val="en-GB"/>
              </w:rPr>
            </w:pPr>
            <w:r>
              <w:rPr>
                <w:lang w:val="en-GB"/>
              </w:rPr>
              <w:t>0,42</w:t>
            </w:r>
          </w:p>
        </w:tc>
        <w:tc>
          <w:tcPr>
            <w:tcW w:w="849" w:type="dxa"/>
            <w:shd w:val="clear" w:color="auto" w:fill="FFFFFF"/>
          </w:tcPr>
          <w:p w14:paraId="2F5103AC" w14:textId="77777777" w:rsidR="00710D4B" w:rsidRPr="00B57B36" w:rsidRDefault="00710D4B" w:rsidP="00710D4B">
            <w:pPr>
              <w:pStyle w:val="CETBodytext"/>
              <w:ind w:right="-1"/>
              <w:jc w:val="center"/>
              <w:rPr>
                <w:rFonts w:cs="Arial"/>
                <w:szCs w:val="18"/>
                <w:lang w:val="en-GB"/>
              </w:rPr>
            </w:pPr>
          </w:p>
        </w:tc>
      </w:tr>
      <w:tr w:rsidR="00710D4B" w:rsidRPr="00B57B36" w14:paraId="1375CE83" w14:textId="52069DFF" w:rsidTr="00C55AB5">
        <w:tc>
          <w:tcPr>
            <w:tcW w:w="3828" w:type="dxa"/>
            <w:shd w:val="clear" w:color="auto" w:fill="FFFFFF"/>
          </w:tcPr>
          <w:p w14:paraId="4263EB49" w14:textId="02DF5D1F" w:rsidR="00710D4B" w:rsidRPr="006E627D" w:rsidRDefault="00710D4B" w:rsidP="00710D4B">
            <w:pPr>
              <w:pStyle w:val="CETBodytext"/>
              <w:jc w:val="left"/>
              <w:rPr>
                <w:b/>
                <w:bCs/>
                <w:lang w:val="en-GB"/>
              </w:rPr>
            </w:pPr>
            <w:r w:rsidRPr="006E627D">
              <w:rPr>
                <w:b/>
                <w:bCs/>
                <w:lang w:val="en-GB"/>
              </w:rPr>
              <w:t>2-Methoxy-4-vinylphenol</w:t>
            </w:r>
          </w:p>
        </w:tc>
        <w:tc>
          <w:tcPr>
            <w:tcW w:w="1275" w:type="dxa"/>
            <w:shd w:val="clear" w:color="auto" w:fill="FFFFFF"/>
          </w:tcPr>
          <w:p w14:paraId="0E46398C" w14:textId="4491C6AE" w:rsidR="00710D4B" w:rsidRPr="00B57B36" w:rsidRDefault="00710D4B" w:rsidP="00710D4B">
            <w:pPr>
              <w:pStyle w:val="CETBodytext"/>
              <w:jc w:val="center"/>
              <w:rPr>
                <w:lang w:val="en-GB"/>
              </w:rPr>
            </w:pPr>
            <w:r>
              <w:rPr>
                <w:lang w:val="en-GB"/>
              </w:rPr>
              <w:t>7786-61-0</w:t>
            </w:r>
          </w:p>
        </w:tc>
        <w:tc>
          <w:tcPr>
            <w:tcW w:w="993" w:type="dxa"/>
            <w:shd w:val="clear" w:color="auto" w:fill="FFFFFF"/>
          </w:tcPr>
          <w:p w14:paraId="371A6429" w14:textId="46D23D8A" w:rsidR="00710D4B" w:rsidRPr="00B57B36" w:rsidRDefault="00710D4B" w:rsidP="00710D4B">
            <w:pPr>
              <w:pStyle w:val="CETBodytext"/>
              <w:jc w:val="center"/>
              <w:rPr>
                <w:lang w:val="en-GB"/>
              </w:rPr>
            </w:pPr>
            <w:r>
              <w:rPr>
                <w:lang w:val="en-GB"/>
              </w:rPr>
              <w:t>3,95</w:t>
            </w:r>
          </w:p>
        </w:tc>
        <w:tc>
          <w:tcPr>
            <w:tcW w:w="850" w:type="dxa"/>
            <w:shd w:val="clear" w:color="auto" w:fill="FFFFFF"/>
          </w:tcPr>
          <w:p w14:paraId="0A814A7F" w14:textId="77777777"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4604B372" w14:textId="588DB709" w:rsidR="00710D4B" w:rsidRPr="00B57B36" w:rsidRDefault="00710D4B" w:rsidP="00710D4B">
            <w:pPr>
              <w:pStyle w:val="CETBodytext"/>
              <w:ind w:right="-1"/>
              <w:jc w:val="center"/>
              <w:rPr>
                <w:rFonts w:cs="Arial"/>
                <w:szCs w:val="18"/>
                <w:lang w:val="en-GB"/>
              </w:rPr>
            </w:pPr>
            <w:r>
              <w:rPr>
                <w:lang w:val="en-GB"/>
              </w:rPr>
              <w:t>5,37</w:t>
            </w:r>
          </w:p>
        </w:tc>
        <w:tc>
          <w:tcPr>
            <w:tcW w:w="849" w:type="dxa"/>
            <w:shd w:val="clear" w:color="auto" w:fill="FFFFFF"/>
          </w:tcPr>
          <w:p w14:paraId="62E82889" w14:textId="77777777" w:rsidR="00710D4B" w:rsidRPr="00B57B36" w:rsidRDefault="00710D4B" w:rsidP="00710D4B">
            <w:pPr>
              <w:pStyle w:val="CETBodytext"/>
              <w:ind w:right="-1"/>
              <w:jc w:val="center"/>
              <w:rPr>
                <w:rFonts w:cs="Arial"/>
                <w:szCs w:val="18"/>
                <w:lang w:val="en-GB"/>
              </w:rPr>
            </w:pPr>
          </w:p>
        </w:tc>
      </w:tr>
      <w:tr w:rsidR="00710D4B" w:rsidRPr="00B57B36" w14:paraId="4C9A6B58" w14:textId="77777777" w:rsidTr="00C55AB5">
        <w:tc>
          <w:tcPr>
            <w:tcW w:w="3828" w:type="dxa"/>
            <w:shd w:val="clear" w:color="auto" w:fill="FFFFFF"/>
          </w:tcPr>
          <w:p w14:paraId="405EFC71" w14:textId="18BAA804" w:rsidR="00710D4B" w:rsidRPr="006E627D" w:rsidRDefault="00C55AB5" w:rsidP="00710D4B">
            <w:pPr>
              <w:pStyle w:val="CETBodytext"/>
              <w:jc w:val="left"/>
              <w:rPr>
                <w:b/>
                <w:bCs/>
                <w:lang w:val="en-GB"/>
              </w:rPr>
            </w:pPr>
            <w:r w:rsidRPr="00226751">
              <w:rPr>
                <w:lang w:val="en-GB"/>
              </w:rPr>
              <w:t>2,6-</w:t>
            </w:r>
            <w:r w:rsidR="00614968">
              <w:rPr>
                <w:lang w:val="en-GB"/>
              </w:rPr>
              <w:t>D</w:t>
            </w:r>
            <w:r w:rsidRPr="00226751">
              <w:rPr>
                <w:lang w:val="en-GB"/>
              </w:rPr>
              <w:t>imethoxy-</w:t>
            </w:r>
            <w:r w:rsidR="00710D4B" w:rsidRPr="00226751">
              <w:rPr>
                <w:lang w:val="en-GB"/>
              </w:rPr>
              <w:t xml:space="preserve">Phenol </w:t>
            </w:r>
          </w:p>
        </w:tc>
        <w:tc>
          <w:tcPr>
            <w:tcW w:w="1275" w:type="dxa"/>
            <w:shd w:val="clear" w:color="auto" w:fill="FFFFFF"/>
          </w:tcPr>
          <w:p w14:paraId="170740A9" w14:textId="451B44BD" w:rsidR="00710D4B" w:rsidRDefault="00710D4B" w:rsidP="00710D4B">
            <w:pPr>
              <w:pStyle w:val="CETBodytext"/>
              <w:jc w:val="center"/>
              <w:rPr>
                <w:lang w:val="en-GB"/>
              </w:rPr>
            </w:pPr>
            <w:r w:rsidRPr="00226751">
              <w:rPr>
                <w:lang w:val="en-GB"/>
              </w:rPr>
              <w:t>91-10-1</w:t>
            </w:r>
          </w:p>
        </w:tc>
        <w:tc>
          <w:tcPr>
            <w:tcW w:w="993" w:type="dxa"/>
            <w:shd w:val="clear" w:color="auto" w:fill="FFFFFF"/>
          </w:tcPr>
          <w:p w14:paraId="0C48636C" w14:textId="22377A4C" w:rsidR="00710D4B" w:rsidRDefault="00710D4B" w:rsidP="00710D4B">
            <w:pPr>
              <w:pStyle w:val="CETBodytext"/>
              <w:jc w:val="center"/>
              <w:rPr>
                <w:lang w:val="en-GB"/>
              </w:rPr>
            </w:pPr>
          </w:p>
        </w:tc>
        <w:tc>
          <w:tcPr>
            <w:tcW w:w="850" w:type="dxa"/>
            <w:shd w:val="clear" w:color="auto" w:fill="FFFFFF"/>
          </w:tcPr>
          <w:p w14:paraId="501AD969" w14:textId="238B06C3"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31136D4F" w14:textId="455B8722" w:rsidR="00710D4B" w:rsidRPr="00B57B36" w:rsidRDefault="00710D4B" w:rsidP="00710D4B">
            <w:pPr>
              <w:pStyle w:val="CETBodytext"/>
              <w:ind w:right="-1"/>
              <w:jc w:val="center"/>
              <w:rPr>
                <w:rFonts w:cs="Arial"/>
                <w:szCs w:val="18"/>
                <w:lang w:val="en-GB"/>
              </w:rPr>
            </w:pPr>
            <w:r>
              <w:rPr>
                <w:lang w:val="en-GB"/>
              </w:rPr>
              <w:t>0,89</w:t>
            </w:r>
          </w:p>
        </w:tc>
        <w:tc>
          <w:tcPr>
            <w:tcW w:w="849" w:type="dxa"/>
            <w:shd w:val="clear" w:color="auto" w:fill="FFFFFF"/>
          </w:tcPr>
          <w:p w14:paraId="51553335" w14:textId="77777777" w:rsidR="00710D4B" w:rsidRPr="00B57B36" w:rsidRDefault="00710D4B" w:rsidP="00710D4B">
            <w:pPr>
              <w:pStyle w:val="CETBodytext"/>
              <w:ind w:right="-1"/>
              <w:jc w:val="center"/>
              <w:rPr>
                <w:rFonts w:cs="Arial"/>
                <w:szCs w:val="18"/>
                <w:lang w:val="en-GB"/>
              </w:rPr>
            </w:pPr>
          </w:p>
        </w:tc>
      </w:tr>
      <w:tr w:rsidR="00710D4B" w:rsidRPr="00B57B36" w14:paraId="487667A6" w14:textId="7F67F4FE" w:rsidTr="00C55AB5">
        <w:tc>
          <w:tcPr>
            <w:tcW w:w="3828" w:type="dxa"/>
            <w:shd w:val="clear" w:color="auto" w:fill="FFFFFF"/>
          </w:tcPr>
          <w:p w14:paraId="01F78481" w14:textId="4BCC4E09" w:rsidR="00710D4B" w:rsidRPr="00B57B36" w:rsidRDefault="00C55AB5" w:rsidP="00710D4B">
            <w:pPr>
              <w:pStyle w:val="CETBodytext"/>
              <w:jc w:val="left"/>
              <w:rPr>
                <w:lang w:val="en-GB"/>
              </w:rPr>
            </w:pPr>
            <w:r w:rsidRPr="00CA2E04">
              <w:rPr>
                <w:lang w:val="en-GB"/>
              </w:rPr>
              <w:t>2-</w:t>
            </w:r>
            <w:r w:rsidR="00614968">
              <w:rPr>
                <w:lang w:val="en-GB"/>
              </w:rPr>
              <w:t>M</w:t>
            </w:r>
            <w:r w:rsidRPr="00CA2E04">
              <w:rPr>
                <w:lang w:val="en-GB"/>
              </w:rPr>
              <w:t>ethoxy-4-propyl-</w:t>
            </w:r>
            <w:r w:rsidR="00710D4B" w:rsidRPr="00CA2E04">
              <w:rPr>
                <w:lang w:val="en-GB"/>
              </w:rPr>
              <w:t xml:space="preserve">Phenol </w:t>
            </w:r>
          </w:p>
        </w:tc>
        <w:tc>
          <w:tcPr>
            <w:tcW w:w="1275" w:type="dxa"/>
            <w:shd w:val="clear" w:color="auto" w:fill="FFFFFF"/>
          </w:tcPr>
          <w:p w14:paraId="0FA2EFE7" w14:textId="4C0E51C4" w:rsidR="00710D4B" w:rsidRPr="00B57B36" w:rsidRDefault="00710D4B" w:rsidP="00710D4B">
            <w:pPr>
              <w:pStyle w:val="CETBodytext"/>
              <w:jc w:val="center"/>
              <w:rPr>
                <w:lang w:val="en-GB"/>
              </w:rPr>
            </w:pPr>
            <w:r>
              <w:rPr>
                <w:lang w:val="en-GB"/>
              </w:rPr>
              <w:t>2785-87-7</w:t>
            </w:r>
          </w:p>
        </w:tc>
        <w:tc>
          <w:tcPr>
            <w:tcW w:w="993" w:type="dxa"/>
            <w:shd w:val="clear" w:color="auto" w:fill="FFFFFF"/>
          </w:tcPr>
          <w:p w14:paraId="78DA3CBF" w14:textId="4E6055F9" w:rsidR="00710D4B" w:rsidRPr="00B57B36" w:rsidRDefault="00710D4B" w:rsidP="00710D4B">
            <w:pPr>
              <w:pStyle w:val="CETBodytext"/>
              <w:jc w:val="center"/>
              <w:rPr>
                <w:lang w:val="en-GB"/>
              </w:rPr>
            </w:pPr>
            <w:r>
              <w:rPr>
                <w:lang w:val="en-GB"/>
              </w:rPr>
              <w:t>0,88</w:t>
            </w:r>
          </w:p>
        </w:tc>
        <w:tc>
          <w:tcPr>
            <w:tcW w:w="850" w:type="dxa"/>
            <w:shd w:val="clear" w:color="auto" w:fill="FFFFFF"/>
          </w:tcPr>
          <w:p w14:paraId="67595555" w14:textId="53330F48"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6983E27" w14:textId="05BD3D18" w:rsidR="00710D4B" w:rsidRPr="00B57B36" w:rsidRDefault="00710D4B" w:rsidP="00710D4B">
            <w:pPr>
              <w:pStyle w:val="CETBodytext"/>
              <w:ind w:right="-1"/>
              <w:jc w:val="center"/>
              <w:rPr>
                <w:rFonts w:cs="Arial"/>
                <w:szCs w:val="18"/>
                <w:lang w:val="en-GB"/>
              </w:rPr>
            </w:pPr>
            <w:r>
              <w:rPr>
                <w:lang w:val="en-GB"/>
              </w:rPr>
              <w:t>0,97</w:t>
            </w:r>
          </w:p>
        </w:tc>
        <w:tc>
          <w:tcPr>
            <w:tcW w:w="849" w:type="dxa"/>
            <w:shd w:val="clear" w:color="auto" w:fill="FFFFFF"/>
          </w:tcPr>
          <w:p w14:paraId="522EC3AF" w14:textId="77777777" w:rsidR="00710D4B" w:rsidRPr="00B57B36" w:rsidRDefault="00710D4B" w:rsidP="00710D4B">
            <w:pPr>
              <w:pStyle w:val="CETBodytext"/>
              <w:ind w:right="-1"/>
              <w:jc w:val="center"/>
              <w:rPr>
                <w:rFonts w:cs="Arial"/>
                <w:szCs w:val="18"/>
                <w:lang w:val="en-GB"/>
              </w:rPr>
            </w:pPr>
          </w:p>
        </w:tc>
      </w:tr>
      <w:tr w:rsidR="00710D4B" w:rsidRPr="00B57B36" w14:paraId="10336CE2" w14:textId="671603E3" w:rsidTr="00C55AB5">
        <w:tc>
          <w:tcPr>
            <w:tcW w:w="3828" w:type="dxa"/>
            <w:shd w:val="clear" w:color="auto" w:fill="FFFFFF"/>
          </w:tcPr>
          <w:p w14:paraId="718E7283" w14:textId="77DA8C07" w:rsidR="00710D4B" w:rsidRPr="00B57B36" w:rsidRDefault="00C55AB5" w:rsidP="00710D4B">
            <w:pPr>
              <w:pStyle w:val="CETBodytext"/>
              <w:jc w:val="left"/>
              <w:rPr>
                <w:lang w:val="en-GB"/>
              </w:rPr>
            </w:pPr>
            <w:r w:rsidRPr="00CA2E04">
              <w:rPr>
                <w:lang w:val="en-GB"/>
              </w:rPr>
              <w:t>1-(4-hydroxy-3-methoxyphenyl)-</w:t>
            </w:r>
            <w:r w:rsidR="00710D4B" w:rsidRPr="00CA2E04">
              <w:rPr>
                <w:lang w:val="en-GB"/>
              </w:rPr>
              <w:t xml:space="preserve">2-Propanone </w:t>
            </w:r>
          </w:p>
        </w:tc>
        <w:tc>
          <w:tcPr>
            <w:tcW w:w="1275" w:type="dxa"/>
            <w:shd w:val="clear" w:color="auto" w:fill="FFFFFF"/>
          </w:tcPr>
          <w:p w14:paraId="00CBF851" w14:textId="18A2CD70" w:rsidR="00710D4B" w:rsidRPr="00B57B36" w:rsidRDefault="00710D4B" w:rsidP="00710D4B">
            <w:pPr>
              <w:pStyle w:val="CETBodytext"/>
              <w:jc w:val="center"/>
              <w:rPr>
                <w:lang w:val="en-GB"/>
              </w:rPr>
            </w:pPr>
            <w:r>
              <w:rPr>
                <w:lang w:val="en-GB"/>
              </w:rPr>
              <w:t>2503-46-0</w:t>
            </w:r>
          </w:p>
        </w:tc>
        <w:tc>
          <w:tcPr>
            <w:tcW w:w="993" w:type="dxa"/>
            <w:shd w:val="clear" w:color="auto" w:fill="FFFFFF"/>
          </w:tcPr>
          <w:p w14:paraId="2C01DE1E" w14:textId="49344EE6" w:rsidR="00710D4B" w:rsidRPr="00B57B36" w:rsidRDefault="00710D4B" w:rsidP="00710D4B">
            <w:pPr>
              <w:pStyle w:val="CETBodytext"/>
              <w:jc w:val="center"/>
              <w:rPr>
                <w:lang w:val="en-GB"/>
              </w:rPr>
            </w:pPr>
            <w:r>
              <w:rPr>
                <w:lang w:val="en-GB"/>
              </w:rPr>
              <w:t>0,20</w:t>
            </w:r>
          </w:p>
        </w:tc>
        <w:tc>
          <w:tcPr>
            <w:tcW w:w="850" w:type="dxa"/>
            <w:shd w:val="clear" w:color="auto" w:fill="FFFFFF"/>
          </w:tcPr>
          <w:p w14:paraId="5EB3028F" w14:textId="68DE1BCA" w:rsidR="00710D4B" w:rsidRPr="00B57B36" w:rsidRDefault="00710D4B" w:rsidP="00710D4B">
            <w:pPr>
              <w:pStyle w:val="CETBodytext"/>
              <w:ind w:right="-1"/>
              <w:jc w:val="center"/>
              <w:rPr>
                <w:rFonts w:cs="Arial"/>
                <w:szCs w:val="18"/>
                <w:lang w:val="en-GB"/>
              </w:rPr>
            </w:pPr>
          </w:p>
        </w:tc>
        <w:tc>
          <w:tcPr>
            <w:tcW w:w="992" w:type="dxa"/>
            <w:shd w:val="clear" w:color="auto" w:fill="FFFFFF"/>
          </w:tcPr>
          <w:p w14:paraId="6EFC7A97" w14:textId="47DD8108" w:rsidR="00710D4B" w:rsidRPr="00B57B36" w:rsidRDefault="00710D4B" w:rsidP="00710D4B">
            <w:pPr>
              <w:pStyle w:val="CETBodytext"/>
              <w:ind w:right="-1"/>
              <w:jc w:val="center"/>
              <w:rPr>
                <w:rFonts w:cs="Arial"/>
                <w:szCs w:val="18"/>
                <w:lang w:val="en-GB"/>
              </w:rPr>
            </w:pPr>
            <w:r>
              <w:rPr>
                <w:lang w:val="en-GB"/>
              </w:rPr>
              <w:t>0,34</w:t>
            </w:r>
          </w:p>
        </w:tc>
        <w:tc>
          <w:tcPr>
            <w:tcW w:w="849" w:type="dxa"/>
            <w:shd w:val="clear" w:color="auto" w:fill="FFFFFF"/>
          </w:tcPr>
          <w:p w14:paraId="52A00A35" w14:textId="3BFED5DB" w:rsidR="00710D4B" w:rsidRPr="00B57B36" w:rsidRDefault="00710D4B" w:rsidP="00710D4B">
            <w:pPr>
              <w:pStyle w:val="CETBodytext"/>
              <w:ind w:right="-1"/>
              <w:jc w:val="center"/>
              <w:rPr>
                <w:rFonts w:cs="Arial"/>
                <w:szCs w:val="18"/>
                <w:lang w:val="en-GB"/>
              </w:rPr>
            </w:pPr>
            <w:r>
              <w:rPr>
                <w:rFonts w:cs="Arial"/>
                <w:szCs w:val="18"/>
                <w:lang w:val="en-GB"/>
              </w:rPr>
              <w:t>0,61</w:t>
            </w:r>
          </w:p>
        </w:tc>
      </w:tr>
    </w:tbl>
    <w:p w14:paraId="4B2C09F9" w14:textId="7FE55192" w:rsidR="003023FB" w:rsidRPr="00E26313" w:rsidRDefault="00FE2CB3" w:rsidP="00FE2CB3">
      <w:pPr>
        <w:pStyle w:val="CETTabletitle"/>
        <w:keepNext w:val="0"/>
        <w:spacing w:before="40"/>
        <w:rPr>
          <w:i w:val="0"/>
          <w:iCs/>
        </w:rPr>
      </w:pPr>
      <w:r>
        <w:rPr>
          <w:i w:val="0"/>
          <w:iCs/>
        </w:rPr>
        <w:t>*</w:t>
      </w:r>
      <w:r w:rsidRPr="00FE2CB3">
        <w:rPr>
          <w:i w:val="0"/>
          <w:iCs/>
        </w:rPr>
        <w:t xml:space="preserve"> products in excess of </w:t>
      </w:r>
      <w:r w:rsidR="009E2CA7">
        <w:rPr>
          <w:i w:val="0"/>
          <w:iCs/>
        </w:rPr>
        <w:t>1</w:t>
      </w:r>
      <w:r w:rsidRPr="00FE2CB3">
        <w:rPr>
          <w:i w:val="0"/>
          <w:iCs/>
        </w:rPr>
        <w:t xml:space="preserve"> % have been highlighted in bold</w:t>
      </w:r>
    </w:p>
    <w:p w14:paraId="6B539178" w14:textId="000092EC" w:rsidR="00C76519" w:rsidRDefault="00C76519" w:rsidP="00C76519">
      <w:pPr>
        <w:pStyle w:val="CETBodytext"/>
      </w:pPr>
    </w:p>
    <w:p w14:paraId="780A8F78" w14:textId="438372DB" w:rsidR="00D71B8A" w:rsidRDefault="008A5BEB" w:rsidP="008A5BEB">
      <w:pPr>
        <w:pStyle w:val="CETBodytext"/>
      </w:pPr>
      <w:r w:rsidRPr="008A5BEB">
        <w:t xml:space="preserve">The products formed during the pyrolysis and combustion of the materials tested are associated with the decomposition of wood. </w:t>
      </w:r>
      <w:r w:rsidR="005E29C7" w:rsidRPr="005E29C7">
        <w:t>During decomposition of the materials at 350 °C, the main substances present in the emitted gases and fumes were creosol, 2-methoxyphenol, 4-ethyl-2-methoxyphenol and 2-methoxy-4-vinylphenol. Creosol is a phenolic aromatic compound that is a component of wood creosote. Creosote is a component of wood tar, a product of the dry distillation of wood</w:t>
      </w:r>
      <w:r w:rsidR="00BC7E68">
        <w:t xml:space="preserve"> (Zhang et al., 2023)</w:t>
      </w:r>
      <w:r w:rsidR="005E29C7" w:rsidRPr="005E29C7">
        <w:t xml:space="preserve">. Among other things, it is emitted from chimney flue gases when burning insufficiently dried wood. Maltol vapour was also present in the emitted gases. This substance occurs naturally in nature - it can be found, among other things, in the bark and needles of pine trees </w:t>
      </w:r>
      <w:r w:rsidR="005E29C7">
        <w:t>(Cai et al., 2023).</w:t>
      </w:r>
      <w:r>
        <w:t xml:space="preserve"> </w:t>
      </w:r>
      <w:r w:rsidR="00D71B8A" w:rsidRPr="00D71B8A">
        <w:t>Cresol is an eye and skin irritant.</w:t>
      </w:r>
    </w:p>
    <w:p w14:paraId="7038E8B8" w14:textId="4E6F4C0B" w:rsidR="005E29C7" w:rsidRDefault="002B17AF" w:rsidP="008A5BEB">
      <w:pPr>
        <w:pStyle w:val="CETBodytext"/>
        <w:rPr>
          <w:bCs/>
        </w:rPr>
      </w:pPr>
      <w:r w:rsidRPr="002B17AF">
        <w:rPr>
          <w:bCs/>
        </w:rPr>
        <w:t>Oxalic and acetic acid, furfural and 2-furanomethanol and other compounds were present in slightly lower proportions. Furfural is a biomass-derived compound obtained by hydrolysis and dehydration of xylan in lignocellulose, which contains an aldehyde group in its molecule and a conjugated double bond system in the furan rin</w:t>
      </w:r>
      <w:r>
        <w:rPr>
          <w:bCs/>
        </w:rPr>
        <w:t>g (Sun et al., 2024)</w:t>
      </w:r>
      <w:r w:rsidRPr="002B17AF">
        <w:rPr>
          <w:bCs/>
        </w:rPr>
        <w:t>.</w:t>
      </w:r>
      <w:r w:rsidR="00E15218">
        <w:rPr>
          <w:bCs/>
        </w:rPr>
        <w:t xml:space="preserve"> </w:t>
      </w:r>
      <w:r w:rsidR="00D71B8A" w:rsidRPr="00D71B8A">
        <w:t xml:space="preserve">Furfural is a toxic and irritant substance. It has a toxic effect on the respiratory tract and is an irritant to the eyes and respiratory tract. </w:t>
      </w:r>
      <w:r w:rsidR="00E15218" w:rsidRPr="00E15218">
        <w:rPr>
          <w:bCs/>
        </w:rPr>
        <w:t>A number of phenolic compounds and substances from the group of polycyclic aromatic hydrocarbons were also detected in the mixtures of emitted gases and fumes.</w:t>
      </w:r>
      <w:r w:rsidR="008A6242">
        <w:rPr>
          <w:bCs/>
        </w:rPr>
        <w:t xml:space="preserve"> </w:t>
      </w:r>
      <w:r w:rsidR="008A6242" w:rsidRPr="008A6242">
        <w:rPr>
          <w:bCs/>
        </w:rPr>
        <w:lastRenderedPageBreak/>
        <w:t xml:space="preserve">Phenolic compounds, </w:t>
      </w:r>
      <w:r w:rsidR="007028C4" w:rsidRPr="007028C4">
        <w:rPr>
          <w:bCs/>
          <w:color w:val="FF0000"/>
        </w:rPr>
        <w:t>are</w:t>
      </w:r>
      <w:r w:rsidR="008A6242" w:rsidRPr="007028C4">
        <w:rPr>
          <w:bCs/>
          <w:color w:val="FF0000"/>
        </w:rPr>
        <w:t xml:space="preserve"> a harmful substance</w:t>
      </w:r>
      <w:r w:rsidR="007028C4" w:rsidRPr="007028C4">
        <w:rPr>
          <w:bCs/>
          <w:color w:val="FF0000"/>
        </w:rPr>
        <w:t>s</w:t>
      </w:r>
      <w:r w:rsidR="008A6242" w:rsidRPr="008A6242">
        <w:rPr>
          <w:bCs/>
        </w:rPr>
        <w:t>, and has the toxic effect on aquatic life, causing long-lasting effects</w:t>
      </w:r>
      <w:r w:rsidR="006C4B24">
        <w:rPr>
          <w:bCs/>
        </w:rPr>
        <w:t xml:space="preserve"> (Borucka and Celiński, 2019)</w:t>
      </w:r>
      <w:r w:rsidR="008A6242" w:rsidRPr="008A6242">
        <w:rPr>
          <w:bCs/>
        </w:rPr>
        <w:t>.</w:t>
      </w:r>
    </w:p>
    <w:p w14:paraId="1C73CC7E" w14:textId="71EACC21" w:rsidR="00F5220B" w:rsidRDefault="00F5220B" w:rsidP="008A5BEB">
      <w:pPr>
        <w:pStyle w:val="CETBodytext"/>
        <w:rPr>
          <w:bCs/>
        </w:rPr>
      </w:pPr>
      <w:r w:rsidRPr="00F5220B">
        <w:rPr>
          <w:bCs/>
        </w:rPr>
        <w:t>In the pyrolysis of the wood-based panel, the appearance of 2-hydroxy-propanamide, 2-propenoic acid, 3-methyl-1,2-cyclopentanedione, catechol and 2,6-dimethoxy-phenol was observed. In contrast, only the pellet identified the presence of hexanoic acid.</w:t>
      </w:r>
    </w:p>
    <w:p w14:paraId="6F99E913" w14:textId="77777777" w:rsidR="00DA6B7A" w:rsidRDefault="00E15218" w:rsidP="00DA6B7A">
      <w:pPr>
        <w:pStyle w:val="CETBodytext"/>
      </w:pPr>
      <w:r w:rsidRPr="00E15218">
        <w:t>In the case of full combustion, the number of products identified was much lower. In the case of pellets, no products other than carbon and nitrogen oxides were identified. In contrast, in the case of wood-based panel, p-benzoquinone, catechol and 1-(4-hydroxy-3-methoxyphenyl)-2-</w:t>
      </w:r>
      <w:r>
        <w:t>p</w:t>
      </w:r>
      <w:r w:rsidRPr="00E15218">
        <w:t>ropanone were detected.</w:t>
      </w:r>
      <w:r>
        <w:t xml:space="preserve"> These compounds can cause irritation to the respiratory system and eyes, and can also lead to skin lesions. In addition, p-benzoquinone is highly toxic to the aquatic environment. Catechol, on the other hand, can cause genetic deformities and lead to cancer.</w:t>
      </w:r>
    </w:p>
    <w:p w14:paraId="30C6FBB2" w14:textId="50628BCC" w:rsidR="005E29C7" w:rsidRDefault="000024BA" w:rsidP="00DA6B7A">
      <w:pPr>
        <w:pStyle w:val="CETBodytext"/>
      </w:pPr>
      <w:r w:rsidRPr="000024BA">
        <w:t xml:space="preserve">The examples of gas chromatography data of the gas samples released during thermal decomposition of selected materials are shown in Figure </w:t>
      </w:r>
      <w:r>
        <w:t>2</w:t>
      </w:r>
      <w:r w:rsidRPr="000024BA">
        <w:t>.</w:t>
      </w:r>
    </w:p>
    <w:p w14:paraId="088A134E" w14:textId="4AD5AE8A" w:rsidR="00600535" w:rsidRPr="00F87E92" w:rsidRDefault="00D84EEF" w:rsidP="00BD077D">
      <w:pPr>
        <w:pStyle w:val="CETCaption"/>
        <w:rPr>
          <w:i w:val="0"/>
          <w:iCs/>
        </w:rPr>
      </w:pPr>
      <w:r>
        <w:rPr>
          <w:i w:val="0"/>
          <w:iCs/>
        </w:rPr>
        <w:t>a)</w:t>
      </w:r>
      <w:r w:rsidR="00F87E92">
        <w:rPr>
          <w:noProof/>
        </w:rPr>
        <w:drawing>
          <wp:inline distT="0" distB="0" distL="0" distR="0" wp14:anchorId="43D5B676" wp14:editId="3B99EB19">
            <wp:extent cx="5418258" cy="234188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827" cy="2348177"/>
                    </a:xfrm>
                    <a:prstGeom prst="rect">
                      <a:avLst/>
                    </a:prstGeom>
                    <a:noFill/>
                    <a:ln>
                      <a:noFill/>
                    </a:ln>
                  </pic:spPr>
                </pic:pic>
              </a:graphicData>
            </a:graphic>
          </wp:inline>
        </w:drawing>
      </w:r>
    </w:p>
    <w:p w14:paraId="0A7F79BD" w14:textId="03E03173" w:rsidR="00D84EEF" w:rsidRPr="00F87E92" w:rsidRDefault="00D84EEF" w:rsidP="00BD077D">
      <w:pPr>
        <w:pStyle w:val="CETCaption"/>
        <w:rPr>
          <w:i w:val="0"/>
          <w:iCs/>
        </w:rPr>
      </w:pPr>
      <w:r>
        <w:rPr>
          <w:i w:val="0"/>
          <w:iCs/>
        </w:rPr>
        <w:t>b)</w:t>
      </w:r>
      <w:r w:rsidR="00F87E92">
        <w:rPr>
          <w:noProof/>
        </w:rPr>
        <w:drawing>
          <wp:inline distT="0" distB="0" distL="0" distR="0" wp14:anchorId="18617755" wp14:editId="5AFF0142">
            <wp:extent cx="5400675" cy="25703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1352" cy="2580186"/>
                    </a:xfrm>
                    <a:prstGeom prst="rect">
                      <a:avLst/>
                    </a:prstGeom>
                    <a:noFill/>
                    <a:ln>
                      <a:noFill/>
                    </a:ln>
                  </pic:spPr>
                </pic:pic>
              </a:graphicData>
            </a:graphic>
          </wp:inline>
        </w:drawing>
      </w:r>
    </w:p>
    <w:p w14:paraId="68D26B83" w14:textId="2A728AD5" w:rsidR="00600535" w:rsidRPr="00B57B36" w:rsidRDefault="00600535" w:rsidP="00D84EEF">
      <w:pPr>
        <w:pStyle w:val="CETCaption"/>
      </w:pPr>
      <w:r w:rsidRPr="00BD077D">
        <w:rPr>
          <w:rStyle w:val="CETCaptionCarattere"/>
          <w:i/>
        </w:rPr>
        <w:t xml:space="preserve">Figure </w:t>
      </w:r>
      <w:r w:rsidR="000024BA">
        <w:rPr>
          <w:rStyle w:val="CETCaptionCarattere"/>
          <w:i/>
        </w:rPr>
        <w:t>2</w:t>
      </w:r>
      <w:r w:rsidRPr="00BD077D">
        <w:rPr>
          <w:rStyle w:val="CETCaptionCarattere"/>
          <w:i/>
        </w:rPr>
        <w:t xml:space="preserve">: </w:t>
      </w:r>
      <w:r w:rsidR="00D84EEF" w:rsidRPr="00D84EEF">
        <w:rPr>
          <w:rStyle w:val="CETCaptionCarattere"/>
          <w:i/>
        </w:rPr>
        <w:t>Total ion chromatograms from GC–MS analysis of fire effluents obtained during thermal degradation</w:t>
      </w:r>
      <w:r w:rsidR="00D84EEF">
        <w:rPr>
          <w:rStyle w:val="CETCaptionCarattere"/>
          <w:i/>
        </w:rPr>
        <w:t xml:space="preserve"> </w:t>
      </w:r>
      <w:r w:rsidR="00D84EEF" w:rsidRPr="00D84EEF">
        <w:rPr>
          <w:rStyle w:val="CETCaptionCarattere"/>
          <w:i/>
        </w:rPr>
        <w:t>of a)</w:t>
      </w:r>
      <w:r w:rsidR="00D84EEF">
        <w:rPr>
          <w:rStyle w:val="CETCaptionCarattere"/>
          <w:i/>
        </w:rPr>
        <w:t xml:space="preserve"> pellet and b) wood-based panel. </w:t>
      </w:r>
    </w:p>
    <w:p w14:paraId="4F2C544A" w14:textId="04587727" w:rsidR="00D65AE3" w:rsidRPr="00B57B36" w:rsidRDefault="00D65AE3" w:rsidP="00D65AE3">
      <w:pPr>
        <w:pStyle w:val="CETHeading1"/>
        <w:rPr>
          <w:lang w:val="en-GB"/>
        </w:rPr>
      </w:pPr>
      <w:r>
        <w:rPr>
          <w:lang w:val="en-GB"/>
        </w:rPr>
        <w:t>Conclusions</w:t>
      </w:r>
    </w:p>
    <w:p w14:paraId="7CBFAACB" w14:textId="108C19BA" w:rsidR="00130A3D" w:rsidRDefault="00BD3EFE" w:rsidP="003858B8">
      <w:pPr>
        <w:pStyle w:val="CETBodytext"/>
        <w:rPr>
          <w:lang w:val="en-GB"/>
        </w:rPr>
      </w:pPr>
      <w:r w:rsidRPr="00BD3EFE">
        <w:rPr>
          <w:lang w:val="en-GB"/>
        </w:rPr>
        <w:t xml:space="preserve">Any combustion, whether intentional (space heating) or accidental (fire), leads to the formation of smoke. The danger this poses is due to the presence of a number of dangerous products resulting from the thermal decomposition and combustion of the material. The use of contaminated pellets as fuel, even worse in a boiler </w:t>
      </w:r>
      <w:r w:rsidRPr="00BD3EFE">
        <w:rPr>
          <w:lang w:val="en-GB"/>
        </w:rPr>
        <w:lastRenderedPageBreak/>
        <w:t xml:space="preserve">which is beginning to rust and is not </w:t>
      </w:r>
      <w:r w:rsidR="00AE4ABE" w:rsidRPr="00AE4ABE">
        <w:rPr>
          <w:color w:val="FF0000"/>
          <w:lang w:val="en-GB"/>
        </w:rPr>
        <w:t xml:space="preserve">regularly </w:t>
      </w:r>
      <w:r w:rsidRPr="00AE4ABE">
        <w:rPr>
          <w:color w:val="FF0000"/>
          <w:lang w:val="en-GB"/>
        </w:rPr>
        <w:t xml:space="preserve">cleaned </w:t>
      </w:r>
      <w:r w:rsidR="00AE4ABE" w:rsidRPr="00AE4ABE">
        <w:rPr>
          <w:color w:val="FF0000"/>
          <w:lang w:val="en-GB"/>
        </w:rPr>
        <w:t>of residual dust</w:t>
      </w:r>
      <w:r w:rsidRPr="00BD3EFE">
        <w:rPr>
          <w:lang w:val="en-GB"/>
        </w:rPr>
        <w:t xml:space="preserve">, can lead to poisoning by chemicals which can enter the room with the smoke. </w:t>
      </w:r>
      <w:r w:rsidR="003858B8" w:rsidRPr="003858B8">
        <w:rPr>
          <w:lang w:val="en-GB"/>
        </w:rPr>
        <w:t xml:space="preserve">The study revealed what substances are produced during pyrolytic conditions that can occur when a furnace malfunctions and becomes clogged. </w:t>
      </w:r>
      <w:r w:rsidR="00130A3D" w:rsidRPr="00130A3D">
        <w:rPr>
          <w:color w:val="FF0000"/>
          <w:lang w:val="en-GB"/>
        </w:rPr>
        <w:t>On the other hand, under well-ventilated conditions, when full combustion takes place (650</w:t>
      </w:r>
      <w:r w:rsidR="00130A3D">
        <w:rPr>
          <w:color w:val="FF0000"/>
          <w:lang w:val="en-GB"/>
        </w:rPr>
        <w:t xml:space="preserve"> </w:t>
      </w:r>
      <w:r w:rsidR="00130A3D">
        <w:rPr>
          <w:color w:val="FF0000"/>
          <w:lang w:val="en-GB"/>
        </w:rPr>
        <w:sym w:font="Symbol" w:char="F0B0"/>
      </w:r>
      <w:r w:rsidR="00130A3D" w:rsidRPr="00130A3D">
        <w:rPr>
          <w:color w:val="FF0000"/>
          <w:lang w:val="en-GB"/>
        </w:rPr>
        <w:t>C and an airflow of 10</w:t>
      </w:r>
      <w:r w:rsidR="00130A3D">
        <w:rPr>
          <w:color w:val="FF0000"/>
          <w:lang w:val="en-GB"/>
        </w:rPr>
        <w:t xml:space="preserve"> </w:t>
      </w:r>
      <w:r w:rsidR="00130A3D" w:rsidRPr="00130A3D">
        <w:rPr>
          <w:color w:val="FF0000"/>
          <w:lang w:val="en-GB"/>
        </w:rPr>
        <w:t xml:space="preserve">L/min), the amount of the indicated substances is much lower for the slab. Thus, the most favourable conditions are those in which full combustion takes place, i.e. with good ventilation, in a clean </w:t>
      </w:r>
      <w:r w:rsidR="000C548F">
        <w:rPr>
          <w:color w:val="FF0000"/>
          <w:lang w:val="en-GB"/>
        </w:rPr>
        <w:t>fireplace</w:t>
      </w:r>
      <w:r w:rsidR="00130A3D" w:rsidRPr="00130A3D">
        <w:rPr>
          <w:color w:val="FF0000"/>
          <w:lang w:val="en-GB"/>
        </w:rPr>
        <w:t xml:space="preserve">. </w:t>
      </w:r>
    </w:p>
    <w:p w14:paraId="52DAFDE0" w14:textId="3CA0B800" w:rsidR="001D0CFB" w:rsidRDefault="00BD3EFE" w:rsidP="003858B8">
      <w:pPr>
        <w:pStyle w:val="CETBodytext"/>
        <w:rPr>
          <w:lang w:val="en-GB"/>
        </w:rPr>
      </w:pPr>
      <w:r w:rsidRPr="00BD3EFE">
        <w:rPr>
          <w:lang w:val="en-GB"/>
        </w:rPr>
        <w:t>In addition, it is important to be aware that the smoke passes up the chimney into the air we breathe. This is why it is important to raise awareness among pellet producers and the people who use them, as well as firefighters and others involved in rescue operations.</w:t>
      </w:r>
    </w:p>
    <w:p w14:paraId="459D05E6" w14:textId="72FF5401" w:rsidR="00600535" w:rsidRPr="00B57B36" w:rsidRDefault="00600535" w:rsidP="00600535">
      <w:pPr>
        <w:pStyle w:val="CETAcknowledgementstitle"/>
      </w:pPr>
      <w:r w:rsidRPr="00B57B36">
        <w:t>Acknowledgments</w:t>
      </w:r>
    </w:p>
    <w:p w14:paraId="37E57E96" w14:textId="552458C9" w:rsidR="00D611AB" w:rsidRPr="00D611AB" w:rsidRDefault="00D611AB" w:rsidP="00D611AB">
      <w:pPr>
        <w:pStyle w:val="CETBodytext"/>
        <w:rPr>
          <w:lang w:val="en-GB"/>
        </w:rPr>
      </w:pPr>
      <w:r w:rsidRPr="00D611AB">
        <w:rPr>
          <w:lang w:val="en-GB"/>
        </w:rPr>
        <w:t xml:space="preserve">This paper was created on the basis of results of a research task carried out within the scope of the 6th stage of the National Programme “Governmental Programme for Improvement of Safety and Working Conditions”, funded by state services of the Ministry of Family, Labour and Social Policy (under the name of the Ministry of Family and Social Policy prior to December 12th, 2023). </w:t>
      </w:r>
    </w:p>
    <w:p w14:paraId="085243EB" w14:textId="3AEAC29C" w:rsidR="00D611AB" w:rsidRPr="00D611AB" w:rsidRDefault="00D611AB" w:rsidP="00D611AB">
      <w:pPr>
        <w:pStyle w:val="CETBodytext"/>
        <w:rPr>
          <w:lang w:val="en-GB"/>
        </w:rPr>
      </w:pPr>
      <w:r w:rsidRPr="00D611AB">
        <w:rPr>
          <w:lang w:val="en-GB"/>
        </w:rPr>
        <w:t xml:space="preserve">task no. </w:t>
      </w:r>
      <w:r>
        <w:rPr>
          <w:lang w:val="en-GB"/>
        </w:rPr>
        <w:t>3.ZS.08</w:t>
      </w:r>
      <w:r w:rsidR="00D22EC8">
        <w:rPr>
          <w:lang w:val="en-GB"/>
        </w:rPr>
        <w:t xml:space="preserve"> </w:t>
      </w:r>
      <w:r w:rsidRPr="00D611AB">
        <w:rPr>
          <w:lang w:val="en-GB"/>
        </w:rPr>
        <w:t>entitled “</w:t>
      </w:r>
      <w:r w:rsidR="00DD0B1E" w:rsidRPr="00DD0B1E">
        <w:rPr>
          <w:lang w:val="en-GB"/>
        </w:rPr>
        <w:t>Analysis of pollutant emissions to the air during combustion of wood-based panels and the resulting pellets</w:t>
      </w:r>
      <w:r w:rsidRPr="00D611AB">
        <w:rPr>
          <w:lang w:val="en-GB"/>
        </w:rPr>
        <w:t>”.</w:t>
      </w:r>
    </w:p>
    <w:p w14:paraId="33F8138F" w14:textId="57043974" w:rsidR="00600535" w:rsidRPr="00B57B36" w:rsidRDefault="00D611AB" w:rsidP="00D611AB">
      <w:pPr>
        <w:pStyle w:val="CETBodytext"/>
        <w:rPr>
          <w:lang w:val="en-GB"/>
        </w:rPr>
      </w:pPr>
      <w:r w:rsidRPr="00D611AB">
        <w:rPr>
          <w:lang w:val="en-GB"/>
        </w:rPr>
        <w:t>The Central Institute for Labour Protection – National Research Institute is the Programme’s main co-ordinator.</w:t>
      </w:r>
    </w:p>
    <w:p w14:paraId="4F1327F8" w14:textId="77777777" w:rsidR="00600535" w:rsidRPr="00B57B36" w:rsidRDefault="00600535" w:rsidP="00600535">
      <w:pPr>
        <w:pStyle w:val="CETReference"/>
      </w:pPr>
      <w:r w:rsidRPr="00B57B36">
        <w:t>References</w:t>
      </w:r>
    </w:p>
    <w:p w14:paraId="242228BC" w14:textId="05EC1BB3" w:rsidR="006C4B24" w:rsidRDefault="006C4B24" w:rsidP="006C4B24">
      <w:pPr>
        <w:pStyle w:val="CETReferencetext"/>
      </w:pPr>
      <w:r>
        <w:t>Borucka M., Celiński M., 20019, Thermal Degradation and Combustion Behavior of Antifungal Pesticides: Triadimenol and Tebuconazol, Chemical Engineering Transactions, 77, 139-144.</w:t>
      </w:r>
    </w:p>
    <w:p w14:paraId="62096EA3" w14:textId="63BB5113" w:rsidR="00243496" w:rsidRPr="00243496" w:rsidRDefault="00243496" w:rsidP="00243496">
      <w:pPr>
        <w:pStyle w:val="CETReferencetext"/>
      </w:pPr>
      <w:r w:rsidRPr="00243496">
        <w:t>Borucka M., Mizera K., Przybysz J., Kozikowski P., Gajek A., 2023, Analysis of Flammability and Smoke Emission of Plastic Materials Used in Construction and Transport</w:t>
      </w:r>
      <w:r>
        <w:t xml:space="preserve">, Materials, </w:t>
      </w:r>
      <w:r w:rsidRPr="00243496">
        <w:t>16(6), 2444</w:t>
      </w:r>
      <w:r>
        <w:t>.</w:t>
      </w:r>
    </w:p>
    <w:p w14:paraId="19C4FC68" w14:textId="08B99443" w:rsidR="004628D2" w:rsidRDefault="00B81904" w:rsidP="002C0555">
      <w:pPr>
        <w:pStyle w:val="CETReferencetext"/>
      </w:pPr>
      <w:r>
        <w:t>Bu F.</w:t>
      </w:r>
      <w:r w:rsidRPr="00B81904">
        <w:t xml:space="preserve">, Gharajeh M.S., </w:t>
      </w:r>
      <w:r>
        <w:t xml:space="preserve">2019, </w:t>
      </w:r>
      <w:r w:rsidRPr="00B81904">
        <w:t>Intelligent and vision-based fire detection systems: A survey, Imag</w:t>
      </w:r>
      <w:r>
        <w:t xml:space="preserve">e and Vision Computing, 91, </w:t>
      </w:r>
      <w:r w:rsidRPr="00B81904">
        <w:t>103803</w:t>
      </w:r>
      <w:r>
        <w:t>.</w:t>
      </w:r>
    </w:p>
    <w:p w14:paraId="5279838A" w14:textId="0FBF7D6F" w:rsidR="005E29C7" w:rsidRDefault="005E29C7" w:rsidP="005E29C7">
      <w:pPr>
        <w:pStyle w:val="CETReferencetext"/>
      </w:pPr>
      <w:r>
        <w:t>Cai Z., Guo H., Zhou Q., Zhao Sh., Ding L., 2023, Simultaneous determination of maltol and maltol glucuronide in human plasma and urine by HPLC–MS/MS: Application in clinical study in patients with iron deficiency, Journal of Chromatography B, 1225, 123760.</w:t>
      </w:r>
    </w:p>
    <w:p w14:paraId="7A6BB598" w14:textId="54833FDD" w:rsidR="00725146" w:rsidRPr="00DF50FE" w:rsidRDefault="00630787" w:rsidP="00725146">
      <w:pPr>
        <w:pStyle w:val="CETReferencetext"/>
        <w:rPr>
          <w:lang w:val="en-US"/>
        </w:rPr>
      </w:pPr>
      <w:r w:rsidRPr="00DF50FE">
        <w:rPr>
          <w:lang w:val="en-US"/>
        </w:rPr>
        <w:t xml:space="preserve">Kajda-Szcześniak K., 2013, </w:t>
      </w:r>
      <w:r w:rsidR="001F3DAA" w:rsidRPr="00DF50FE">
        <w:rPr>
          <w:lang w:val="en-US"/>
        </w:rPr>
        <w:t>Evaluation of the basic properties of the wood waste and wood based wastes</w:t>
      </w:r>
      <w:r w:rsidRPr="00DF50FE">
        <w:rPr>
          <w:lang w:val="en-US"/>
        </w:rPr>
        <w:t>, Waste Management and Environmental Protection, 15, 1-10.</w:t>
      </w:r>
    </w:p>
    <w:p w14:paraId="4A35DEDF" w14:textId="3EE5E437" w:rsidR="002B17AF" w:rsidRPr="00DF50FE" w:rsidRDefault="002B17AF" w:rsidP="00725146">
      <w:pPr>
        <w:pStyle w:val="CETReferencetext"/>
        <w:rPr>
          <w:lang w:val="en-US"/>
        </w:rPr>
      </w:pPr>
      <w:r w:rsidRPr="00DF50FE">
        <w:rPr>
          <w:lang w:val="en-US"/>
        </w:rPr>
        <w:t>Sun X., Wang F., Zhang W., Zhao K., Liu X., 2024, Research advances on the catalytic conversion of biomass-derived furfural into pentanediols, Catalysis Communications, 106864, https://doi.org/10.1016/j.catcom.2024.106864.</w:t>
      </w:r>
    </w:p>
    <w:p w14:paraId="1C09B4FF" w14:textId="38BE5CCE" w:rsidR="00725146" w:rsidRDefault="00725146" w:rsidP="00725146">
      <w:pPr>
        <w:pStyle w:val="CETReferencetext"/>
      </w:pPr>
      <w:r w:rsidRPr="00B44705">
        <w:t>Wasielewski</w:t>
      </w:r>
      <w:r>
        <w:t xml:space="preserve"> R.</w:t>
      </w:r>
      <w:r w:rsidRPr="00B44705">
        <w:t xml:space="preserve">, </w:t>
      </w:r>
      <w:r>
        <w:t>2019,</w:t>
      </w:r>
      <w:r w:rsidR="007D054F">
        <w:t xml:space="preserve"> </w:t>
      </w:r>
      <w:r w:rsidR="007D054F" w:rsidRPr="007D054F">
        <w:t>The use of engineered wood wastes for energy production</w:t>
      </w:r>
      <w:r w:rsidR="007D054F">
        <w:t>,</w:t>
      </w:r>
      <w:r w:rsidR="007D054F" w:rsidRPr="007D054F">
        <w:t xml:space="preserve"> </w:t>
      </w:r>
      <w:r w:rsidRPr="00B44705">
        <w:t>Archives of Waste Management a</w:t>
      </w:r>
      <w:r>
        <w:t>nd Environmental Protection</w:t>
      </w:r>
      <w:r w:rsidRPr="00B44705">
        <w:t>, 21, 1-18.</w:t>
      </w:r>
    </w:p>
    <w:p w14:paraId="79FB238C" w14:textId="47878E64" w:rsidR="00BC7E68" w:rsidRDefault="00BC7E68" w:rsidP="00BC7E68">
      <w:pPr>
        <w:pStyle w:val="CETReferencetext"/>
      </w:pPr>
      <w:r>
        <w:t>Zhang Z., Wang L., Zhou X., 2023, Study on adsorption behaviors of different cresols: First-principles calculation, Journal of Molecular Liquids, 390, 123120.</w:t>
      </w:r>
    </w:p>
    <w:p w14:paraId="4F5BC015" w14:textId="23654763" w:rsidR="00630787" w:rsidRPr="00DF50FE" w:rsidRDefault="00630787" w:rsidP="002C0555">
      <w:pPr>
        <w:pStyle w:val="CETReferencetext"/>
        <w:rPr>
          <w:lang w:val="en-US"/>
        </w:rPr>
      </w:pPr>
    </w:p>
    <w:sectPr w:rsidR="00630787" w:rsidRPr="00DF50F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6E70" w14:textId="77777777" w:rsidR="00AF23E3" w:rsidRDefault="00AF23E3" w:rsidP="004F5E36">
      <w:r>
        <w:separator/>
      </w:r>
    </w:p>
  </w:endnote>
  <w:endnote w:type="continuationSeparator" w:id="0">
    <w:p w14:paraId="7EC4724A" w14:textId="77777777" w:rsidR="00AF23E3" w:rsidRDefault="00AF23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C013" w14:textId="77777777" w:rsidR="00AF23E3" w:rsidRDefault="00AF23E3" w:rsidP="004F5E36">
      <w:r>
        <w:separator/>
      </w:r>
    </w:p>
  </w:footnote>
  <w:footnote w:type="continuationSeparator" w:id="0">
    <w:p w14:paraId="0B24FE29" w14:textId="77777777" w:rsidR="00AF23E3" w:rsidRDefault="00AF23E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A10434E"/>
    <w:multiLevelType w:val="hybridMultilevel"/>
    <w:tmpl w:val="1ACC4E6A"/>
    <w:lvl w:ilvl="0" w:tplc="04150001">
      <w:start w:val="65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6C3519"/>
    <w:multiLevelType w:val="hybridMultilevel"/>
    <w:tmpl w:val="2AC04D1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9EA5B31"/>
    <w:multiLevelType w:val="hybridMultilevel"/>
    <w:tmpl w:val="2AC04D1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C335C0"/>
    <w:multiLevelType w:val="hybridMultilevel"/>
    <w:tmpl w:val="2AC04D1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4"/>
  </w:num>
  <w:num w:numId="16">
    <w:abstractNumId w:val="23"/>
  </w:num>
  <w:num w:numId="17">
    <w:abstractNumId w:val="12"/>
  </w:num>
  <w:num w:numId="18">
    <w:abstractNumId w:val="13"/>
    <w:lvlOverride w:ilvl="0">
      <w:startOverride w:val="1"/>
    </w:lvlOverride>
  </w:num>
  <w:num w:numId="19">
    <w:abstractNumId w:val="19"/>
  </w:num>
  <w:num w:numId="20">
    <w:abstractNumId w:val="18"/>
  </w:num>
  <w:num w:numId="21">
    <w:abstractNumId w:val="15"/>
  </w:num>
  <w:num w:numId="22">
    <w:abstractNumId w:val="14"/>
  </w:num>
  <w:num w:numId="23">
    <w:abstractNumId w:val="16"/>
  </w:num>
  <w:num w:numId="24">
    <w:abstractNumId w:val="17"/>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4BA"/>
    <w:rsid w:val="000027C0"/>
    <w:rsid w:val="000052FB"/>
    <w:rsid w:val="000117CB"/>
    <w:rsid w:val="00026C12"/>
    <w:rsid w:val="0003148D"/>
    <w:rsid w:val="00031EEC"/>
    <w:rsid w:val="00043A0C"/>
    <w:rsid w:val="00051566"/>
    <w:rsid w:val="00062A9A"/>
    <w:rsid w:val="00065058"/>
    <w:rsid w:val="00086C39"/>
    <w:rsid w:val="000A03B2"/>
    <w:rsid w:val="000C548F"/>
    <w:rsid w:val="000D0268"/>
    <w:rsid w:val="000D34BE"/>
    <w:rsid w:val="000E102F"/>
    <w:rsid w:val="000E277A"/>
    <w:rsid w:val="000E3179"/>
    <w:rsid w:val="000E36F1"/>
    <w:rsid w:val="000E3A73"/>
    <w:rsid w:val="000E414A"/>
    <w:rsid w:val="000F093C"/>
    <w:rsid w:val="000F25CB"/>
    <w:rsid w:val="000F787B"/>
    <w:rsid w:val="00106B28"/>
    <w:rsid w:val="00110A97"/>
    <w:rsid w:val="0012091F"/>
    <w:rsid w:val="00126BC2"/>
    <w:rsid w:val="001308B6"/>
    <w:rsid w:val="00130A3D"/>
    <w:rsid w:val="0013121F"/>
    <w:rsid w:val="00131FE6"/>
    <w:rsid w:val="0013263F"/>
    <w:rsid w:val="001331DF"/>
    <w:rsid w:val="00134DE4"/>
    <w:rsid w:val="0014034D"/>
    <w:rsid w:val="00144D16"/>
    <w:rsid w:val="00150E59"/>
    <w:rsid w:val="00152DE3"/>
    <w:rsid w:val="00153EA7"/>
    <w:rsid w:val="0015759B"/>
    <w:rsid w:val="00164CF9"/>
    <w:rsid w:val="001667A6"/>
    <w:rsid w:val="001735E9"/>
    <w:rsid w:val="00184AD6"/>
    <w:rsid w:val="00194502"/>
    <w:rsid w:val="001A4AF7"/>
    <w:rsid w:val="001B0349"/>
    <w:rsid w:val="001B1E93"/>
    <w:rsid w:val="001B65C1"/>
    <w:rsid w:val="001C684B"/>
    <w:rsid w:val="001C7B62"/>
    <w:rsid w:val="001D0CFB"/>
    <w:rsid w:val="001D53FC"/>
    <w:rsid w:val="001E6018"/>
    <w:rsid w:val="001F3DAA"/>
    <w:rsid w:val="001F42A5"/>
    <w:rsid w:val="001F7B9D"/>
    <w:rsid w:val="00201C93"/>
    <w:rsid w:val="00204965"/>
    <w:rsid w:val="002224B4"/>
    <w:rsid w:val="00226751"/>
    <w:rsid w:val="00237C8F"/>
    <w:rsid w:val="00242880"/>
    <w:rsid w:val="00243496"/>
    <w:rsid w:val="002447EF"/>
    <w:rsid w:val="00251550"/>
    <w:rsid w:val="00263B05"/>
    <w:rsid w:val="0027221A"/>
    <w:rsid w:val="00275B61"/>
    <w:rsid w:val="00280FAF"/>
    <w:rsid w:val="00282656"/>
    <w:rsid w:val="00285821"/>
    <w:rsid w:val="002940CE"/>
    <w:rsid w:val="00296B83"/>
    <w:rsid w:val="002B17AF"/>
    <w:rsid w:val="002B4015"/>
    <w:rsid w:val="002B78CE"/>
    <w:rsid w:val="002C0555"/>
    <w:rsid w:val="002C2FB6"/>
    <w:rsid w:val="002D3A13"/>
    <w:rsid w:val="002E5FA7"/>
    <w:rsid w:val="002F3309"/>
    <w:rsid w:val="003008CE"/>
    <w:rsid w:val="003009B7"/>
    <w:rsid w:val="00300E56"/>
    <w:rsid w:val="003023FB"/>
    <w:rsid w:val="0030469C"/>
    <w:rsid w:val="00321CA6"/>
    <w:rsid w:val="00323763"/>
    <w:rsid w:val="003322A4"/>
    <w:rsid w:val="00333FDB"/>
    <w:rsid w:val="00334C09"/>
    <w:rsid w:val="0035229E"/>
    <w:rsid w:val="00356067"/>
    <w:rsid w:val="00363A44"/>
    <w:rsid w:val="003664FC"/>
    <w:rsid w:val="003700D6"/>
    <w:rsid w:val="003723D4"/>
    <w:rsid w:val="00381190"/>
    <w:rsid w:val="00381905"/>
    <w:rsid w:val="003837A7"/>
    <w:rsid w:val="00384CC8"/>
    <w:rsid w:val="003858B8"/>
    <w:rsid w:val="003871FD"/>
    <w:rsid w:val="00394B69"/>
    <w:rsid w:val="003A1E30"/>
    <w:rsid w:val="003A2499"/>
    <w:rsid w:val="003A2829"/>
    <w:rsid w:val="003A3058"/>
    <w:rsid w:val="003A72E9"/>
    <w:rsid w:val="003A7D1C"/>
    <w:rsid w:val="003B165B"/>
    <w:rsid w:val="003B304B"/>
    <w:rsid w:val="003B3146"/>
    <w:rsid w:val="003E2B00"/>
    <w:rsid w:val="003F015E"/>
    <w:rsid w:val="003F479A"/>
    <w:rsid w:val="00400414"/>
    <w:rsid w:val="0041446B"/>
    <w:rsid w:val="00434B41"/>
    <w:rsid w:val="0044329C"/>
    <w:rsid w:val="00447BB7"/>
    <w:rsid w:val="00453E24"/>
    <w:rsid w:val="00457456"/>
    <w:rsid w:val="004577FE"/>
    <w:rsid w:val="00457B9C"/>
    <w:rsid w:val="0046164A"/>
    <w:rsid w:val="004628D2"/>
    <w:rsid w:val="00462DCD"/>
    <w:rsid w:val="004645FC"/>
    <w:rsid w:val="004648AD"/>
    <w:rsid w:val="004703A9"/>
    <w:rsid w:val="004760DE"/>
    <w:rsid w:val="004763D7"/>
    <w:rsid w:val="004945F4"/>
    <w:rsid w:val="004A004E"/>
    <w:rsid w:val="004A24CF"/>
    <w:rsid w:val="004C3D1D"/>
    <w:rsid w:val="004C7913"/>
    <w:rsid w:val="004E4BE8"/>
    <w:rsid w:val="004E4DD6"/>
    <w:rsid w:val="004F5E36"/>
    <w:rsid w:val="00507B47"/>
    <w:rsid w:val="00507BEF"/>
    <w:rsid w:val="00507CC9"/>
    <w:rsid w:val="005119A5"/>
    <w:rsid w:val="005278B7"/>
    <w:rsid w:val="00532016"/>
    <w:rsid w:val="005346C8"/>
    <w:rsid w:val="00540888"/>
    <w:rsid w:val="00543E7D"/>
    <w:rsid w:val="00547A68"/>
    <w:rsid w:val="005531C9"/>
    <w:rsid w:val="00570C43"/>
    <w:rsid w:val="00590311"/>
    <w:rsid w:val="00595129"/>
    <w:rsid w:val="005A363F"/>
    <w:rsid w:val="005B1129"/>
    <w:rsid w:val="005B2110"/>
    <w:rsid w:val="005B573D"/>
    <w:rsid w:val="005B61E6"/>
    <w:rsid w:val="005C77E1"/>
    <w:rsid w:val="005D668A"/>
    <w:rsid w:val="005D6A2F"/>
    <w:rsid w:val="005E1A82"/>
    <w:rsid w:val="005E1CB8"/>
    <w:rsid w:val="005E29C7"/>
    <w:rsid w:val="005E6AEF"/>
    <w:rsid w:val="005E794C"/>
    <w:rsid w:val="005F0A28"/>
    <w:rsid w:val="005F0E5E"/>
    <w:rsid w:val="005F4661"/>
    <w:rsid w:val="00600535"/>
    <w:rsid w:val="00610CD6"/>
    <w:rsid w:val="00613C50"/>
    <w:rsid w:val="00614968"/>
    <w:rsid w:val="00620DEE"/>
    <w:rsid w:val="00621F92"/>
    <w:rsid w:val="0062280A"/>
    <w:rsid w:val="006238FC"/>
    <w:rsid w:val="00625639"/>
    <w:rsid w:val="00630787"/>
    <w:rsid w:val="00631B33"/>
    <w:rsid w:val="0064184D"/>
    <w:rsid w:val="006422CC"/>
    <w:rsid w:val="00660E3E"/>
    <w:rsid w:val="00662E74"/>
    <w:rsid w:val="00663890"/>
    <w:rsid w:val="00665323"/>
    <w:rsid w:val="00673849"/>
    <w:rsid w:val="00680C23"/>
    <w:rsid w:val="00693766"/>
    <w:rsid w:val="006A3281"/>
    <w:rsid w:val="006A4949"/>
    <w:rsid w:val="006B44EA"/>
    <w:rsid w:val="006B4888"/>
    <w:rsid w:val="006C2E45"/>
    <w:rsid w:val="006C316E"/>
    <w:rsid w:val="006C359C"/>
    <w:rsid w:val="006C4B24"/>
    <w:rsid w:val="006C5579"/>
    <w:rsid w:val="006C5DC1"/>
    <w:rsid w:val="006C75B2"/>
    <w:rsid w:val="006D6E8B"/>
    <w:rsid w:val="006E627D"/>
    <w:rsid w:val="006E737D"/>
    <w:rsid w:val="006F2976"/>
    <w:rsid w:val="006F3595"/>
    <w:rsid w:val="007028C4"/>
    <w:rsid w:val="00710D4B"/>
    <w:rsid w:val="00713973"/>
    <w:rsid w:val="00720A24"/>
    <w:rsid w:val="00725146"/>
    <w:rsid w:val="00726AF5"/>
    <w:rsid w:val="00732386"/>
    <w:rsid w:val="0073514D"/>
    <w:rsid w:val="007361A8"/>
    <w:rsid w:val="007379E4"/>
    <w:rsid w:val="007447F3"/>
    <w:rsid w:val="0075499F"/>
    <w:rsid w:val="007661C8"/>
    <w:rsid w:val="0077098D"/>
    <w:rsid w:val="0077633D"/>
    <w:rsid w:val="00777409"/>
    <w:rsid w:val="00783A0B"/>
    <w:rsid w:val="007931FA"/>
    <w:rsid w:val="007A4861"/>
    <w:rsid w:val="007A7BBA"/>
    <w:rsid w:val="007B04A1"/>
    <w:rsid w:val="007B0C50"/>
    <w:rsid w:val="007B48F9"/>
    <w:rsid w:val="007C04F2"/>
    <w:rsid w:val="007C1A43"/>
    <w:rsid w:val="007D054F"/>
    <w:rsid w:val="007D46C8"/>
    <w:rsid w:val="0080013E"/>
    <w:rsid w:val="00812AF1"/>
    <w:rsid w:val="00813288"/>
    <w:rsid w:val="008168FC"/>
    <w:rsid w:val="00824904"/>
    <w:rsid w:val="00825DD9"/>
    <w:rsid w:val="0082722B"/>
    <w:rsid w:val="00830996"/>
    <w:rsid w:val="008345F1"/>
    <w:rsid w:val="00865AAA"/>
    <w:rsid w:val="00865B07"/>
    <w:rsid w:val="008667EA"/>
    <w:rsid w:val="0087229F"/>
    <w:rsid w:val="0087637F"/>
    <w:rsid w:val="00892AD5"/>
    <w:rsid w:val="008965B5"/>
    <w:rsid w:val="008A1512"/>
    <w:rsid w:val="008A5BEB"/>
    <w:rsid w:val="008A6242"/>
    <w:rsid w:val="008B232B"/>
    <w:rsid w:val="008B437A"/>
    <w:rsid w:val="008B5174"/>
    <w:rsid w:val="008D32B9"/>
    <w:rsid w:val="008D433B"/>
    <w:rsid w:val="008E566E"/>
    <w:rsid w:val="008E66AE"/>
    <w:rsid w:val="008F3766"/>
    <w:rsid w:val="0090161A"/>
    <w:rsid w:val="00901EB6"/>
    <w:rsid w:val="00904C62"/>
    <w:rsid w:val="00922BA8"/>
    <w:rsid w:val="00923A53"/>
    <w:rsid w:val="00924DAC"/>
    <w:rsid w:val="00927058"/>
    <w:rsid w:val="00942750"/>
    <w:rsid w:val="009450CE"/>
    <w:rsid w:val="00947179"/>
    <w:rsid w:val="0095164B"/>
    <w:rsid w:val="00954090"/>
    <w:rsid w:val="009573E7"/>
    <w:rsid w:val="00963E05"/>
    <w:rsid w:val="00967843"/>
    <w:rsid w:val="00967B23"/>
    <w:rsid w:val="00967D54"/>
    <w:rsid w:val="00971028"/>
    <w:rsid w:val="0097175E"/>
    <w:rsid w:val="00984A49"/>
    <w:rsid w:val="00993B84"/>
    <w:rsid w:val="00993D15"/>
    <w:rsid w:val="00996483"/>
    <w:rsid w:val="00996691"/>
    <w:rsid w:val="00996F5A"/>
    <w:rsid w:val="009A65B1"/>
    <w:rsid w:val="009B041A"/>
    <w:rsid w:val="009B0715"/>
    <w:rsid w:val="009C37C3"/>
    <w:rsid w:val="009C7C86"/>
    <w:rsid w:val="009D2FF7"/>
    <w:rsid w:val="009E2CA7"/>
    <w:rsid w:val="009E7884"/>
    <w:rsid w:val="009E788A"/>
    <w:rsid w:val="009F0E08"/>
    <w:rsid w:val="00A10B74"/>
    <w:rsid w:val="00A136A8"/>
    <w:rsid w:val="00A13A61"/>
    <w:rsid w:val="00A154B1"/>
    <w:rsid w:val="00A16C58"/>
    <w:rsid w:val="00A1763D"/>
    <w:rsid w:val="00A17CEC"/>
    <w:rsid w:val="00A27EF0"/>
    <w:rsid w:val="00A35AE6"/>
    <w:rsid w:val="00A42361"/>
    <w:rsid w:val="00A45F50"/>
    <w:rsid w:val="00A50B20"/>
    <w:rsid w:val="00A51390"/>
    <w:rsid w:val="00A60D13"/>
    <w:rsid w:val="00A72745"/>
    <w:rsid w:val="00A76EFC"/>
    <w:rsid w:val="00A91010"/>
    <w:rsid w:val="00A97F29"/>
    <w:rsid w:val="00AA702E"/>
    <w:rsid w:val="00AB0964"/>
    <w:rsid w:val="00AB462A"/>
    <w:rsid w:val="00AB5011"/>
    <w:rsid w:val="00AB6BCA"/>
    <w:rsid w:val="00AC01BD"/>
    <w:rsid w:val="00AC7368"/>
    <w:rsid w:val="00AD16B9"/>
    <w:rsid w:val="00AD6404"/>
    <w:rsid w:val="00AE377D"/>
    <w:rsid w:val="00AE4ABE"/>
    <w:rsid w:val="00AF0EBA"/>
    <w:rsid w:val="00AF23E3"/>
    <w:rsid w:val="00AF6531"/>
    <w:rsid w:val="00B02C8A"/>
    <w:rsid w:val="00B11A9B"/>
    <w:rsid w:val="00B17FBD"/>
    <w:rsid w:val="00B315A6"/>
    <w:rsid w:val="00B31813"/>
    <w:rsid w:val="00B33365"/>
    <w:rsid w:val="00B435C7"/>
    <w:rsid w:val="00B44705"/>
    <w:rsid w:val="00B57B36"/>
    <w:rsid w:val="00B57E6F"/>
    <w:rsid w:val="00B66D40"/>
    <w:rsid w:val="00B8018D"/>
    <w:rsid w:val="00B81904"/>
    <w:rsid w:val="00B8686D"/>
    <w:rsid w:val="00B93F69"/>
    <w:rsid w:val="00BB1DDC"/>
    <w:rsid w:val="00BB4A07"/>
    <w:rsid w:val="00BC30C9"/>
    <w:rsid w:val="00BC7E68"/>
    <w:rsid w:val="00BD077D"/>
    <w:rsid w:val="00BD1A78"/>
    <w:rsid w:val="00BD3EFE"/>
    <w:rsid w:val="00BD63A7"/>
    <w:rsid w:val="00BE1A69"/>
    <w:rsid w:val="00BE3E58"/>
    <w:rsid w:val="00C01616"/>
    <w:rsid w:val="00C0162B"/>
    <w:rsid w:val="00C068ED"/>
    <w:rsid w:val="00C22E0C"/>
    <w:rsid w:val="00C236F4"/>
    <w:rsid w:val="00C2507E"/>
    <w:rsid w:val="00C345B1"/>
    <w:rsid w:val="00C40142"/>
    <w:rsid w:val="00C52C3C"/>
    <w:rsid w:val="00C54BB5"/>
    <w:rsid w:val="00C55AB5"/>
    <w:rsid w:val="00C57182"/>
    <w:rsid w:val="00C57863"/>
    <w:rsid w:val="00C655FD"/>
    <w:rsid w:val="00C66E63"/>
    <w:rsid w:val="00C71C8C"/>
    <w:rsid w:val="00C721D5"/>
    <w:rsid w:val="00C72701"/>
    <w:rsid w:val="00C75407"/>
    <w:rsid w:val="00C75F88"/>
    <w:rsid w:val="00C76519"/>
    <w:rsid w:val="00C870A8"/>
    <w:rsid w:val="00C90A29"/>
    <w:rsid w:val="00C94434"/>
    <w:rsid w:val="00CA0D75"/>
    <w:rsid w:val="00CA1333"/>
    <w:rsid w:val="00CA1C95"/>
    <w:rsid w:val="00CA2E04"/>
    <w:rsid w:val="00CA5A9C"/>
    <w:rsid w:val="00CB1F79"/>
    <w:rsid w:val="00CB4EC5"/>
    <w:rsid w:val="00CB6DBB"/>
    <w:rsid w:val="00CC4C20"/>
    <w:rsid w:val="00CD3517"/>
    <w:rsid w:val="00CD52F7"/>
    <w:rsid w:val="00CD5FE2"/>
    <w:rsid w:val="00CE7C68"/>
    <w:rsid w:val="00CF4E80"/>
    <w:rsid w:val="00D02B4C"/>
    <w:rsid w:val="00D040C4"/>
    <w:rsid w:val="00D22EC8"/>
    <w:rsid w:val="00D24E81"/>
    <w:rsid w:val="00D46B7E"/>
    <w:rsid w:val="00D57C84"/>
    <w:rsid w:val="00D6057D"/>
    <w:rsid w:val="00D611AB"/>
    <w:rsid w:val="00D65AE3"/>
    <w:rsid w:val="00D71B8A"/>
    <w:rsid w:val="00D73A41"/>
    <w:rsid w:val="00D836C5"/>
    <w:rsid w:val="00D84576"/>
    <w:rsid w:val="00D84EEF"/>
    <w:rsid w:val="00DA1399"/>
    <w:rsid w:val="00DA24C6"/>
    <w:rsid w:val="00DA4D7B"/>
    <w:rsid w:val="00DA6B7A"/>
    <w:rsid w:val="00DC7C78"/>
    <w:rsid w:val="00DD0B1E"/>
    <w:rsid w:val="00DE264A"/>
    <w:rsid w:val="00DF223B"/>
    <w:rsid w:val="00DF5072"/>
    <w:rsid w:val="00DF50FE"/>
    <w:rsid w:val="00E02D18"/>
    <w:rsid w:val="00E02FD8"/>
    <w:rsid w:val="00E041E7"/>
    <w:rsid w:val="00E05B9C"/>
    <w:rsid w:val="00E15218"/>
    <w:rsid w:val="00E23CA1"/>
    <w:rsid w:val="00E26313"/>
    <w:rsid w:val="00E35963"/>
    <w:rsid w:val="00E409A8"/>
    <w:rsid w:val="00E50C12"/>
    <w:rsid w:val="00E616A7"/>
    <w:rsid w:val="00E65B91"/>
    <w:rsid w:val="00E70439"/>
    <w:rsid w:val="00E7209D"/>
    <w:rsid w:val="00E72EAD"/>
    <w:rsid w:val="00E76D6E"/>
    <w:rsid w:val="00E770F3"/>
    <w:rsid w:val="00E77223"/>
    <w:rsid w:val="00E8528B"/>
    <w:rsid w:val="00E85B94"/>
    <w:rsid w:val="00E978D0"/>
    <w:rsid w:val="00EA4613"/>
    <w:rsid w:val="00EA4C60"/>
    <w:rsid w:val="00EA7F91"/>
    <w:rsid w:val="00EB1523"/>
    <w:rsid w:val="00EB5BBE"/>
    <w:rsid w:val="00EC0E49"/>
    <w:rsid w:val="00EC101F"/>
    <w:rsid w:val="00EC1D9F"/>
    <w:rsid w:val="00EC72CF"/>
    <w:rsid w:val="00EE0131"/>
    <w:rsid w:val="00EE17B0"/>
    <w:rsid w:val="00EF06D9"/>
    <w:rsid w:val="00F023BB"/>
    <w:rsid w:val="00F30C64"/>
    <w:rsid w:val="00F31A98"/>
    <w:rsid w:val="00F32BA2"/>
    <w:rsid w:val="00F32CDB"/>
    <w:rsid w:val="00F35051"/>
    <w:rsid w:val="00F3632A"/>
    <w:rsid w:val="00F5220B"/>
    <w:rsid w:val="00F565FE"/>
    <w:rsid w:val="00F63A70"/>
    <w:rsid w:val="00F7534E"/>
    <w:rsid w:val="00F87E92"/>
    <w:rsid w:val="00F95C5E"/>
    <w:rsid w:val="00FA21D0"/>
    <w:rsid w:val="00FA2D32"/>
    <w:rsid w:val="00FA5F5F"/>
    <w:rsid w:val="00FB730C"/>
    <w:rsid w:val="00FC19A9"/>
    <w:rsid w:val="00FC2695"/>
    <w:rsid w:val="00FC3E03"/>
    <w:rsid w:val="00FC3FC1"/>
    <w:rsid w:val="00FD6946"/>
    <w:rsid w:val="00FE1FAF"/>
    <w:rsid w:val="00FE2CB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C75B2"/>
    <w:p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C75B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iPriority w:val="99"/>
    <w:semiHidden/>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kapitzlist">
    <w:name w:val="List Paragraph"/>
    <w:basedOn w:val="Normalny"/>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99272-96C8-417D-960B-26C9F749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6</Pages>
  <Words>2646</Words>
  <Characters>15880</Characters>
  <Application>Microsoft Office Word</Application>
  <DocSecurity>0</DocSecurity>
  <Lines>132</Lines>
  <Paragraphs>36</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kamiz</cp:lastModifiedBy>
  <cp:revision>202</cp:revision>
  <cp:lastPrinted>2024-02-14T08:55:00Z</cp:lastPrinted>
  <dcterms:created xsi:type="dcterms:W3CDTF">2024-02-10T11:47:00Z</dcterms:created>
  <dcterms:modified xsi:type="dcterms:W3CDTF">2024-09-10T11:34:00Z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