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AC4D84">
          <w:type w:val="continuous"/>
          <w:pgSz w:w="11906" w:h="16838" w:code="9"/>
          <w:pgMar w:top="1701" w:right="1418" w:bottom="1701" w:left="1701" w:header="1701" w:footer="0" w:gutter="0"/>
          <w:cols w:space="708"/>
          <w:titlePg/>
          <w:docGrid w:linePitch="360"/>
        </w:sectPr>
      </w:pPr>
    </w:p>
    <w:p w14:paraId="2E667253" w14:textId="1510C1C1" w:rsidR="00E978D0" w:rsidRPr="00665323" w:rsidRDefault="00793A7A" w:rsidP="00665323">
      <w:pPr>
        <w:pStyle w:val="CETTitle"/>
      </w:pPr>
      <w:r>
        <w:t xml:space="preserve">Application </w:t>
      </w:r>
      <w:r w:rsidR="009128E8">
        <w:t xml:space="preserve">of Quantitative Risk Assessment to </w:t>
      </w:r>
      <w:r w:rsidR="007A4E42">
        <w:t xml:space="preserve">        </w:t>
      </w:r>
      <w:r w:rsidR="009128E8">
        <w:t>Hydrogen Transport Plants</w:t>
      </w:r>
      <w:r w:rsidR="00600535" w:rsidRPr="00665323">
        <w:t xml:space="preserve"> </w:t>
      </w:r>
    </w:p>
    <w:p w14:paraId="0488FED2" w14:textId="61E54464" w:rsidR="00B57E6F" w:rsidRPr="0002069B" w:rsidRDefault="009128E8" w:rsidP="00B57E6F">
      <w:pPr>
        <w:pStyle w:val="CETAuthors"/>
        <w:rPr>
          <w:lang w:val="it-IT"/>
        </w:rPr>
      </w:pPr>
      <w:r w:rsidRPr="0002069B">
        <w:rPr>
          <w:lang w:val="it-IT"/>
        </w:rPr>
        <w:t>Giacomo Battisti</w:t>
      </w:r>
      <w:r w:rsidR="0002069B" w:rsidRPr="0002069B">
        <w:rPr>
          <w:vertAlign w:val="superscript"/>
          <w:lang w:val="it-IT"/>
        </w:rPr>
        <w:t>b</w:t>
      </w:r>
      <w:r w:rsidR="00B57E6F" w:rsidRPr="0002069B">
        <w:rPr>
          <w:lang w:val="it-IT"/>
        </w:rPr>
        <w:t>,</w:t>
      </w:r>
      <w:r w:rsidRPr="0002069B">
        <w:rPr>
          <w:lang w:val="it-IT"/>
        </w:rPr>
        <w:t xml:space="preserve"> Annamaria Di Padova</w:t>
      </w:r>
      <w:r w:rsidR="0002069B" w:rsidRPr="0002069B">
        <w:rPr>
          <w:vertAlign w:val="superscript"/>
          <w:lang w:val="it-IT"/>
        </w:rPr>
        <w:t>b</w:t>
      </w:r>
      <w:r w:rsidR="00B57E6F" w:rsidRPr="0002069B">
        <w:rPr>
          <w:lang w:val="it-IT"/>
        </w:rPr>
        <w:t>,</w:t>
      </w:r>
      <w:r w:rsidR="008D54D4" w:rsidRPr="0002069B">
        <w:rPr>
          <w:lang w:val="it-IT"/>
        </w:rPr>
        <w:t xml:space="preserve"> Roberta Miglionico</w:t>
      </w:r>
      <w:r w:rsidR="0002069B" w:rsidRPr="0002069B">
        <w:rPr>
          <w:vertAlign w:val="superscript"/>
          <w:lang w:val="it-IT"/>
        </w:rPr>
        <w:t>b</w:t>
      </w:r>
      <w:r w:rsidR="00B57E6F" w:rsidRPr="0002069B">
        <w:rPr>
          <w:lang w:val="it-IT"/>
        </w:rPr>
        <w:t xml:space="preserve"> </w:t>
      </w:r>
      <w:r w:rsidR="008D54D4" w:rsidRPr="0002069B">
        <w:rPr>
          <w:lang w:val="it-IT"/>
        </w:rPr>
        <w:t>, Fabrizio Tallone</w:t>
      </w:r>
      <w:r w:rsidR="0002069B" w:rsidRPr="0002069B">
        <w:rPr>
          <w:vertAlign w:val="superscript"/>
          <w:lang w:val="it-IT"/>
        </w:rPr>
        <w:t>b</w:t>
      </w:r>
      <w:r w:rsidR="0002069B" w:rsidRPr="0002069B">
        <w:rPr>
          <w:lang w:val="it-IT"/>
        </w:rPr>
        <w:t>, Valerio Cozzani</w:t>
      </w:r>
      <w:r w:rsidR="0002069B" w:rsidRPr="0002069B">
        <w:rPr>
          <w:vertAlign w:val="superscript"/>
          <w:lang w:val="it-IT"/>
        </w:rPr>
        <w:t>a</w:t>
      </w:r>
      <w:r w:rsidR="00EE26EB">
        <w:rPr>
          <w:vertAlign w:val="superscript"/>
          <w:lang w:val="it-IT"/>
        </w:rPr>
        <w:t>,*</w:t>
      </w:r>
    </w:p>
    <w:p w14:paraId="6B2D21B3" w14:textId="7243DF75" w:rsidR="00B57E6F" w:rsidRPr="00B57B36" w:rsidRDefault="00B57E6F" w:rsidP="00B57E6F">
      <w:pPr>
        <w:pStyle w:val="CETAddress"/>
      </w:pPr>
      <w:r w:rsidRPr="00B57B36">
        <w:rPr>
          <w:vertAlign w:val="superscript"/>
        </w:rPr>
        <w:t>a</w:t>
      </w:r>
      <w:r w:rsidR="0081657A">
        <w:t>LISES- Laboratory of Industial Safety and Environmental Sustainability</w:t>
      </w:r>
      <w:r w:rsidR="002E229C">
        <w:t>, DICAM, University of Bologna, via Terracini 28,</w:t>
      </w:r>
      <w:r w:rsidR="00A47EAF">
        <w:t xml:space="preserve"> 40131 Bologna, </w:t>
      </w:r>
    </w:p>
    <w:p w14:paraId="3D72B0B0" w14:textId="6FE3DC4E" w:rsidR="00B57E6F" w:rsidRPr="00B57B36" w:rsidRDefault="00B57E6F" w:rsidP="00B57E6F">
      <w:pPr>
        <w:pStyle w:val="CETAddress"/>
      </w:pPr>
      <w:r w:rsidRPr="00B57B36">
        <w:rPr>
          <w:vertAlign w:val="superscript"/>
        </w:rPr>
        <w:t>b</w:t>
      </w:r>
      <w:r w:rsidR="00A47EAF">
        <w:t>Saipem</w:t>
      </w:r>
      <w:r w:rsidR="00B84B6B">
        <w:t>, Loss Prevention and Environment Department, Energy Carriers</w:t>
      </w:r>
      <w:r w:rsidR="00C933F0">
        <w:t>, via Toniolo 1, 61032 Fano, Italy</w:t>
      </w:r>
      <w:r w:rsidRPr="00B57B36">
        <w:t xml:space="preserve"> </w:t>
      </w:r>
    </w:p>
    <w:p w14:paraId="73F1267A" w14:textId="565D5EAE" w:rsidR="00B57E6F" w:rsidRPr="0058678F" w:rsidRDefault="0058678F" w:rsidP="00B57E6F">
      <w:pPr>
        <w:pStyle w:val="CETemail"/>
      </w:pPr>
      <w:r>
        <w:t>Valerio.Cozzani@unibo.it</w:t>
      </w:r>
    </w:p>
    <w:p w14:paraId="72F09D49" w14:textId="1157F35F" w:rsidR="00A71EAE" w:rsidRPr="0016665B" w:rsidRDefault="00A71EAE" w:rsidP="00415E9A">
      <w:pPr>
        <w:spacing w:line="259" w:lineRule="auto"/>
        <w:rPr>
          <w:rFonts w:cs="Arial"/>
          <w:szCs w:val="18"/>
          <w:lang w:val="en-US"/>
        </w:rPr>
      </w:pPr>
      <w:r w:rsidRPr="002C6183">
        <w:rPr>
          <w:rFonts w:cs="Arial"/>
          <w:szCs w:val="18"/>
          <w:lang w:val="en-US"/>
        </w:rPr>
        <w:t>The scientific community agrees in the need to limit the anthropic emissions of greenhouse gases into the atmosphere in order to mitigate the causes of climate change that has occurred in recent years. In order to fulfill this objective an extended decarbonization</w:t>
      </w:r>
      <w:r w:rsidR="00933479">
        <w:rPr>
          <w:rFonts w:cs="Arial"/>
          <w:szCs w:val="18"/>
          <w:lang w:val="en-US"/>
        </w:rPr>
        <w:t xml:space="preserve"> of</w:t>
      </w:r>
      <w:r w:rsidRPr="002C6183">
        <w:rPr>
          <w:rFonts w:cs="Arial"/>
          <w:szCs w:val="18"/>
          <w:lang w:val="en-US"/>
        </w:rPr>
        <w:t xml:space="preserve"> industrial processes and an energy transition towards zero carbon emission sources are needed. Hydrogen currently represents one of the most promising solutions to achieve these goals, since it can be produced with low-emission technical solutions and may be used to produce mechanical or electric energy without the production of CO</w:t>
      </w:r>
      <w:r w:rsidRPr="002C6183">
        <w:rPr>
          <w:rFonts w:cs="Arial"/>
          <w:szCs w:val="18"/>
          <w:vertAlign w:val="subscript"/>
          <w:lang w:val="en-US"/>
        </w:rPr>
        <w:t>2</w:t>
      </w:r>
      <w:r w:rsidRPr="002C6183">
        <w:rPr>
          <w:rFonts w:cs="Arial"/>
          <w:szCs w:val="18"/>
          <w:lang w:val="en-US"/>
        </w:rPr>
        <w:t xml:space="preserve">. In the perspective of using hydrogen as an energy carrier, future plans to ensure its large-scale distribution concern the possibility to convert the currently existing natural gas grid infrastructures to the transport of hydrogen. However, there is currently a lack of technical regulations, codes and standards to ensure a safe design and operation of these infrastructures in case of their </w:t>
      </w:r>
      <w:r w:rsidR="00265C0F" w:rsidRPr="002C6183">
        <w:rPr>
          <w:rFonts w:cs="Arial"/>
          <w:szCs w:val="18"/>
          <w:lang w:val="en-US"/>
        </w:rPr>
        <w:t>hydroge</w:t>
      </w:r>
      <w:r w:rsidR="00265C0F">
        <w:rPr>
          <w:rFonts w:cs="Arial"/>
          <w:szCs w:val="18"/>
          <w:lang w:val="en-US"/>
        </w:rPr>
        <w:t>n</w:t>
      </w:r>
      <w:r w:rsidR="00265C0F" w:rsidRPr="002C6183">
        <w:rPr>
          <w:rFonts w:cs="Arial"/>
          <w:szCs w:val="18"/>
          <w:lang w:val="en-US"/>
        </w:rPr>
        <w:t xml:space="preserve"> </w:t>
      </w:r>
      <w:r w:rsidRPr="002C6183">
        <w:rPr>
          <w:rFonts w:cs="Arial"/>
          <w:szCs w:val="18"/>
          <w:lang w:val="en-US"/>
        </w:rPr>
        <w:t>conversion</w:t>
      </w:r>
      <w:r w:rsidRPr="00CC5E6E">
        <w:rPr>
          <w:rFonts w:cs="Arial"/>
          <w:szCs w:val="18"/>
          <w:lang w:val="en-US"/>
        </w:rPr>
        <w:t xml:space="preserve">. For this reason, quantitative risk assessment (QRA) may represent an important </w:t>
      </w:r>
      <w:r w:rsidR="00793592" w:rsidRPr="00CC5E6E">
        <w:rPr>
          <w:rFonts w:cs="Arial"/>
          <w:szCs w:val="18"/>
          <w:lang w:val="en-US"/>
        </w:rPr>
        <w:t xml:space="preserve">tool </w:t>
      </w:r>
      <w:r w:rsidR="00793592">
        <w:rPr>
          <w:rFonts w:cs="Arial"/>
          <w:szCs w:val="18"/>
          <w:lang w:val="en-US"/>
        </w:rPr>
        <w:t>to</w:t>
      </w:r>
      <w:r w:rsidR="00B106A4">
        <w:rPr>
          <w:rFonts w:cs="Arial"/>
          <w:szCs w:val="18"/>
          <w:lang w:val="en-US"/>
        </w:rPr>
        <w:t xml:space="preserve"> </w:t>
      </w:r>
      <w:r w:rsidR="0074512E">
        <w:rPr>
          <w:rFonts w:cs="Arial"/>
          <w:szCs w:val="18"/>
          <w:lang w:val="en-US"/>
        </w:rPr>
        <w:t xml:space="preserve">evaluate </w:t>
      </w:r>
      <w:r w:rsidR="0074512E" w:rsidRPr="00CC5E6E">
        <w:rPr>
          <w:rFonts w:cs="Arial"/>
          <w:szCs w:val="18"/>
          <w:lang w:val="en-US"/>
        </w:rPr>
        <w:t>safety</w:t>
      </w:r>
      <w:r w:rsidR="00C14214">
        <w:rPr>
          <w:rFonts w:cs="Arial"/>
          <w:szCs w:val="18"/>
          <w:lang w:val="en-US"/>
        </w:rPr>
        <w:t xml:space="preserve"> of </w:t>
      </w:r>
      <w:r w:rsidR="00C14214" w:rsidRPr="00CC5E6E">
        <w:rPr>
          <w:rFonts w:cs="Arial"/>
          <w:szCs w:val="18"/>
          <w:lang w:val="en-US"/>
        </w:rPr>
        <w:t>hydrogen plant</w:t>
      </w:r>
      <w:r w:rsidRPr="00CC5E6E">
        <w:rPr>
          <w:rFonts w:cs="Arial"/>
          <w:szCs w:val="18"/>
          <w:lang w:val="en-US"/>
        </w:rPr>
        <w:t xml:space="preserve"> and </w:t>
      </w:r>
      <w:r w:rsidR="00D92580">
        <w:rPr>
          <w:rFonts w:cs="Arial"/>
          <w:szCs w:val="18"/>
          <w:lang w:val="en-US"/>
        </w:rPr>
        <w:t xml:space="preserve">to investigate if </w:t>
      </w:r>
      <w:r w:rsidRPr="00CC5E6E">
        <w:rPr>
          <w:rFonts w:cs="Arial"/>
          <w:szCs w:val="18"/>
          <w:lang w:val="en-US"/>
        </w:rPr>
        <w:t>conversion to hydrogen of existing energy infrastructure</w:t>
      </w:r>
      <w:r w:rsidR="006937FF" w:rsidRPr="00CC5E6E">
        <w:rPr>
          <w:rFonts w:cs="Arial"/>
          <w:szCs w:val="18"/>
          <w:lang w:val="en-US"/>
        </w:rPr>
        <w:t>s</w:t>
      </w:r>
      <w:r w:rsidR="009629FA">
        <w:rPr>
          <w:rFonts w:cs="Arial"/>
          <w:szCs w:val="18"/>
          <w:lang w:val="en-US"/>
        </w:rPr>
        <w:t xml:space="preserve"> could be considered </w:t>
      </w:r>
      <w:r w:rsidR="00320026">
        <w:rPr>
          <w:rFonts w:cs="Arial"/>
          <w:szCs w:val="18"/>
          <w:lang w:val="en-US"/>
        </w:rPr>
        <w:t xml:space="preserve">sufficiently </w:t>
      </w:r>
      <w:r w:rsidR="009629FA">
        <w:rPr>
          <w:rFonts w:cs="Arial"/>
          <w:szCs w:val="18"/>
          <w:lang w:val="en-US"/>
        </w:rPr>
        <w:t>safe</w:t>
      </w:r>
      <w:r w:rsidRPr="002C6183">
        <w:rPr>
          <w:rFonts w:cs="Arial"/>
          <w:szCs w:val="18"/>
          <w:lang w:val="en-US"/>
        </w:rPr>
        <w:t>.</w:t>
      </w:r>
      <w:r w:rsidR="00A12896">
        <w:rPr>
          <w:rFonts w:cs="Arial"/>
          <w:szCs w:val="18"/>
          <w:lang w:val="en-US"/>
        </w:rPr>
        <w:t xml:space="preserve"> </w:t>
      </w:r>
      <w:r w:rsidR="00703312">
        <w:rPr>
          <w:rFonts w:cs="Arial"/>
          <w:szCs w:val="18"/>
          <w:lang w:val="en-US"/>
        </w:rPr>
        <w:t>Therefore,</w:t>
      </w:r>
      <w:r w:rsidR="00EE5F14">
        <w:rPr>
          <w:rFonts w:cs="Arial"/>
          <w:szCs w:val="18"/>
          <w:lang w:val="en-US"/>
        </w:rPr>
        <w:t xml:space="preserve"> in this </w:t>
      </w:r>
      <w:r w:rsidR="00793592">
        <w:rPr>
          <w:rFonts w:cs="Arial"/>
          <w:szCs w:val="18"/>
          <w:lang w:val="en-US"/>
        </w:rPr>
        <w:t>paper</w:t>
      </w:r>
      <w:r w:rsidR="007A4E42">
        <w:rPr>
          <w:rFonts w:cs="Arial"/>
          <w:szCs w:val="18"/>
          <w:lang w:val="en-US"/>
        </w:rPr>
        <w:t>,</w:t>
      </w:r>
      <w:r w:rsidR="00793592">
        <w:rPr>
          <w:rFonts w:cs="Arial"/>
          <w:szCs w:val="18"/>
          <w:lang w:val="en-US"/>
        </w:rPr>
        <w:t xml:space="preserve"> critical</w:t>
      </w:r>
      <w:r w:rsidR="00360F2E">
        <w:rPr>
          <w:rFonts w:cs="Arial"/>
          <w:szCs w:val="18"/>
          <w:lang w:val="en-US"/>
        </w:rPr>
        <w:t xml:space="preserve"> issues and peculiarit</w:t>
      </w:r>
      <w:r w:rsidR="007A4E42">
        <w:rPr>
          <w:rFonts w:cs="Arial"/>
          <w:szCs w:val="18"/>
          <w:lang w:val="en-US"/>
        </w:rPr>
        <w:t>ies</w:t>
      </w:r>
      <w:r w:rsidR="00360F2E">
        <w:rPr>
          <w:rFonts w:cs="Arial"/>
          <w:szCs w:val="18"/>
          <w:lang w:val="en-US"/>
        </w:rPr>
        <w:t xml:space="preserve"> related to hydrogen in the application of the QRA</w:t>
      </w:r>
      <w:r w:rsidR="00320026">
        <w:rPr>
          <w:rFonts w:cs="Arial"/>
          <w:szCs w:val="18"/>
          <w:lang w:val="en-US"/>
        </w:rPr>
        <w:t xml:space="preserve"> are </w:t>
      </w:r>
      <w:r w:rsidR="009D49C1">
        <w:rPr>
          <w:rFonts w:cs="Arial"/>
          <w:szCs w:val="18"/>
          <w:lang w:val="en-US"/>
        </w:rPr>
        <w:t>examined</w:t>
      </w:r>
      <w:r w:rsidR="00364984">
        <w:rPr>
          <w:rFonts w:cs="Arial"/>
          <w:szCs w:val="18"/>
          <w:lang w:val="en-US"/>
        </w:rPr>
        <w:t>.</w:t>
      </w:r>
      <w:r w:rsidR="00A71E16">
        <w:rPr>
          <w:rFonts w:cs="Arial"/>
          <w:szCs w:val="18"/>
          <w:lang w:val="en-US"/>
        </w:rPr>
        <w:t xml:space="preserve"> </w:t>
      </w:r>
      <w:r w:rsidR="00820725">
        <w:rPr>
          <w:rFonts w:cs="Arial"/>
          <w:szCs w:val="18"/>
          <w:lang w:val="en-US"/>
        </w:rPr>
        <w:t>Furthermore,</w:t>
      </w:r>
      <w:r w:rsidR="00A71E16">
        <w:rPr>
          <w:rFonts w:cs="Arial"/>
          <w:szCs w:val="18"/>
          <w:lang w:val="en-US"/>
        </w:rPr>
        <w:t xml:space="preserve"> </w:t>
      </w:r>
      <w:r w:rsidR="005467E9">
        <w:rPr>
          <w:rFonts w:cs="Arial"/>
          <w:szCs w:val="18"/>
          <w:lang w:val="en-US"/>
        </w:rPr>
        <w:t xml:space="preserve">a case study was </w:t>
      </w:r>
      <w:r w:rsidR="00793592">
        <w:rPr>
          <w:rFonts w:cs="Arial"/>
          <w:szCs w:val="18"/>
          <w:lang w:val="en-US"/>
        </w:rPr>
        <w:t>developed to</w:t>
      </w:r>
      <w:r w:rsidR="00664BD1">
        <w:rPr>
          <w:rFonts w:cs="Arial"/>
          <w:szCs w:val="18"/>
          <w:lang w:val="en-US"/>
        </w:rPr>
        <w:t xml:space="preserve"> assess </w:t>
      </w:r>
      <w:r w:rsidR="00EF3A4D" w:rsidRPr="0016665B">
        <w:rPr>
          <w:rFonts w:cs="Arial"/>
          <w:szCs w:val="18"/>
          <w:lang w:val="en-US"/>
        </w:rPr>
        <w:t>the risk profile obtained</w:t>
      </w:r>
      <w:r w:rsidR="00664BD1">
        <w:rPr>
          <w:rFonts w:cs="Arial"/>
          <w:szCs w:val="18"/>
          <w:lang w:val="en-US"/>
        </w:rPr>
        <w:t xml:space="preserve"> </w:t>
      </w:r>
      <w:r w:rsidR="00364984" w:rsidRPr="0016665B">
        <w:rPr>
          <w:rFonts w:cs="Arial"/>
          <w:szCs w:val="18"/>
          <w:lang w:val="en-US"/>
        </w:rPr>
        <w:t>considering</w:t>
      </w:r>
      <w:r w:rsidR="00B8178C" w:rsidRPr="0016665B">
        <w:rPr>
          <w:rFonts w:cs="Arial"/>
          <w:szCs w:val="18"/>
          <w:lang w:val="en-US"/>
        </w:rPr>
        <w:t xml:space="preserve"> an</w:t>
      </w:r>
      <w:r w:rsidR="00364984" w:rsidRPr="0016665B">
        <w:rPr>
          <w:rFonts w:cs="Arial"/>
          <w:szCs w:val="18"/>
          <w:lang w:val="en-US"/>
        </w:rPr>
        <w:t xml:space="preserve"> accidental release from a typical transport plant facility</w:t>
      </w:r>
      <w:r w:rsidR="00864D01">
        <w:rPr>
          <w:rFonts w:cs="Arial"/>
          <w:szCs w:val="18"/>
          <w:lang w:val="en-US"/>
        </w:rPr>
        <w:t xml:space="preserve">. </w:t>
      </w:r>
      <w:r w:rsidR="007A4E42">
        <w:rPr>
          <w:rFonts w:cs="Arial"/>
          <w:szCs w:val="18"/>
          <w:lang w:val="en-US"/>
        </w:rPr>
        <w:t>Sensitivity analysis of results to d</w:t>
      </w:r>
      <w:r w:rsidR="00B7729B" w:rsidRPr="0016665B">
        <w:rPr>
          <w:rFonts w:cs="Arial"/>
          <w:szCs w:val="18"/>
          <w:lang w:val="en-US"/>
        </w:rPr>
        <w:t xml:space="preserve">ifferent </w:t>
      </w:r>
      <w:r w:rsidR="00E34D3E" w:rsidRPr="0016665B">
        <w:rPr>
          <w:rFonts w:cs="Arial"/>
          <w:szCs w:val="18"/>
          <w:lang w:val="en-US"/>
        </w:rPr>
        <w:t>modeling parameters</w:t>
      </w:r>
      <w:r w:rsidR="00364984" w:rsidRPr="0016665B">
        <w:rPr>
          <w:rFonts w:cs="Arial"/>
          <w:szCs w:val="18"/>
          <w:lang w:val="en-US"/>
        </w:rPr>
        <w:t xml:space="preserve"> and</w:t>
      </w:r>
      <w:r w:rsidR="00F309C4" w:rsidRPr="0016665B">
        <w:rPr>
          <w:rFonts w:cs="Arial"/>
          <w:szCs w:val="18"/>
          <w:lang w:val="en-US"/>
        </w:rPr>
        <w:t xml:space="preserve"> benchmarking </w:t>
      </w:r>
      <w:r w:rsidR="007A4E42">
        <w:rPr>
          <w:rFonts w:cs="Arial"/>
          <w:szCs w:val="18"/>
          <w:lang w:val="en-US"/>
        </w:rPr>
        <w:t xml:space="preserve">with </w:t>
      </w:r>
      <w:r w:rsidR="005601E6" w:rsidRPr="0016665B">
        <w:rPr>
          <w:rFonts w:cs="Arial"/>
          <w:szCs w:val="18"/>
          <w:lang w:val="en-US"/>
        </w:rPr>
        <w:t>those obtained</w:t>
      </w:r>
      <w:r w:rsidR="006816C6" w:rsidRPr="0016665B">
        <w:rPr>
          <w:rFonts w:cs="Arial"/>
          <w:szCs w:val="18"/>
          <w:lang w:val="en-US"/>
        </w:rPr>
        <w:t xml:space="preserve"> for </w:t>
      </w:r>
      <w:r w:rsidR="007A4E42">
        <w:rPr>
          <w:rFonts w:cs="Arial"/>
          <w:szCs w:val="18"/>
          <w:lang w:val="en-US"/>
        </w:rPr>
        <w:t>natural gas</w:t>
      </w:r>
      <w:r w:rsidR="005467E9" w:rsidRPr="0016665B">
        <w:rPr>
          <w:rFonts w:cs="Arial"/>
          <w:szCs w:val="18"/>
          <w:lang w:val="en-US"/>
        </w:rPr>
        <w:t xml:space="preserve"> </w:t>
      </w:r>
      <w:r w:rsidR="00385D96">
        <w:rPr>
          <w:rFonts w:cs="Arial"/>
          <w:szCs w:val="18"/>
          <w:lang w:val="en-US"/>
        </w:rPr>
        <w:t>have been</w:t>
      </w:r>
      <w:r w:rsidR="007A4E42">
        <w:rPr>
          <w:rFonts w:cs="Arial"/>
          <w:szCs w:val="18"/>
          <w:lang w:val="en-US"/>
        </w:rPr>
        <w:t xml:space="preserve"> carried out,</w:t>
      </w:r>
      <w:r w:rsidR="00385D96">
        <w:rPr>
          <w:rFonts w:cs="Arial"/>
          <w:szCs w:val="18"/>
          <w:lang w:val="en-US"/>
        </w:rPr>
        <w:t xml:space="preserve"> </w:t>
      </w:r>
      <w:r w:rsidR="006816C6" w:rsidRPr="0016665B">
        <w:rPr>
          <w:rFonts w:cs="Arial"/>
          <w:szCs w:val="18"/>
          <w:lang w:val="en-US"/>
        </w:rPr>
        <w:t xml:space="preserve">in order to highlight the potential safety concerns in case of </w:t>
      </w:r>
      <w:r w:rsidR="00385D96">
        <w:rPr>
          <w:rFonts w:cs="Arial"/>
          <w:szCs w:val="18"/>
          <w:lang w:val="en-US"/>
        </w:rPr>
        <w:t xml:space="preserve">hydrogen </w:t>
      </w:r>
      <w:r w:rsidR="006816C6" w:rsidRPr="0016665B">
        <w:rPr>
          <w:rFonts w:cs="Arial"/>
          <w:szCs w:val="18"/>
          <w:lang w:val="en-US"/>
        </w:rPr>
        <w:t xml:space="preserve">conversion of </w:t>
      </w:r>
      <w:r w:rsidR="00385D96">
        <w:rPr>
          <w:rFonts w:cs="Arial"/>
          <w:szCs w:val="18"/>
          <w:lang w:val="en-US"/>
        </w:rPr>
        <w:t xml:space="preserve">existing </w:t>
      </w:r>
      <w:r w:rsidR="006816C6" w:rsidRPr="0016665B">
        <w:rPr>
          <w:rFonts w:cs="Arial"/>
          <w:szCs w:val="18"/>
          <w:lang w:val="en-US"/>
        </w:rPr>
        <w:t>natural gas grid</w:t>
      </w:r>
      <w:r w:rsidR="00213A20">
        <w:rPr>
          <w:rFonts w:cs="Arial"/>
          <w:szCs w:val="18"/>
          <w:lang w:val="en-US"/>
        </w:rPr>
        <w:t xml:space="preserve"> infrastructures</w:t>
      </w:r>
      <w:r w:rsidR="006816C6" w:rsidRPr="0016665B">
        <w:rPr>
          <w:rFonts w:cs="Arial"/>
          <w:szCs w:val="18"/>
          <w:lang w:val="en-US"/>
        </w:rPr>
        <w:t>.</w:t>
      </w:r>
    </w:p>
    <w:p w14:paraId="61A9B77A" w14:textId="4911265A" w:rsidR="00600535" w:rsidRPr="0016665B" w:rsidRDefault="00600535" w:rsidP="00954880">
      <w:pPr>
        <w:pStyle w:val="CETHeading1"/>
        <w:rPr>
          <w:lang w:val="en-GB"/>
        </w:rPr>
      </w:pPr>
      <w:r w:rsidRPr="0016665B">
        <w:rPr>
          <w:lang w:val="en-GB"/>
        </w:rPr>
        <w:t>Introduction</w:t>
      </w:r>
    </w:p>
    <w:p w14:paraId="0743F4C2" w14:textId="6490C91C" w:rsidR="002448C4" w:rsidRPr="00A960E2" w:rsidRDefault="000455AC" w:rsidP="00364984">
      <w:pPr>
        <w:pStyle w:val="Paragrafoelenco"/>
        <w:spacing w:line="259" w:lineRule="auto"/>
        <w:ind w:left="0"/>
        <w:rPr>
          <w:rFonts w:cs="Arial"/>
          <w:szCs w:val="18"/>
          <w:lang w:val="en-US"/>
        </w:rPr>
      </w:pPr>
      <w:r w:rsidRPr="000455AC">
        <w:rPr>
          <w:rFonts w:cs="Arial"/>
          <w:szCs w:val="18"/>
          <w:lang w:val="en-US"/>
        </w:rPr>
        <w:t>Quantitative risk assessment is a methodology that allows a formal and systematic evaluation of the frequencies and consequences of accident</w:t>
      </w:r>
      <w:r w:rsidR="0060029A">
        <w:rPr>
          <w:rFonts w:cs="Arial"/>
          <w:szCs w:val="18"/>
          <w:lang w:val="en-US"/>
        </w:rPr>
        <w:t>al</w:t>
      </w:r>
      <w:r w:rsidRPr="000455AC">
        <w:rPr>
          <w:rFonts w:cs="Arial"/>
          <w:szCs w:val="18"/>
          <w:lang w:val="en-US"/>
        </w:rPr>
        <w:t xml:space="preserve"> scenarios that can occur in a plant, expressing the results in terms of risk for different possible categories of</w:t>
      </w:r>
      <w:r w:rsidR="007A4E42">
        <w:rPr>
          <w:rFonts w:cs="Arial"/>
          <w:szCs w:val="18"/>
          <w:lang w:val="en-US"/>
        </w:rPr>
        <w:t xml:space="preserve"> receptors</w:t>
      </w:r>
      <w:r w:rsidRPr="000455AC">
        <w:rPr>
          <w:rFonts w:cs="Arial"/>
          <w:szCs w:val="18"/>
          <w:lang w:val="en-US"/>
        </w:rPr>
        <w:t xml:space="preserve"> (</w:t>
      </w:r>
      <w:r w:rsidR="007A4E42">
        <w:rPr>
          <w:rFonts w:cs="Arial"/>
          <w:szCs w:val="18"/>
          <w:lang w:val="en-US"/>
        </w:rPr>
        <w:t>humans</w:t>
      </w:r>
      <w:r w:rsidRPr="000455AC">
        <w:rPr>
          <w:rFonts w:cs="Arial"/>
          <w:szCs w:val="18"/>
          <w:lang w:val="en-US"/>
        </w:rPr>
        <w:t>, environment, society). Although the application of the QRA is a well-established practice for the risk assessment of plants handling flammable gases, in case of hydrogen its application presents uncertainties related to the lack of specific data</w:t>
      </w:r>
      <w:r w:rsidR="002448C4">
        <w:rPr>
          <w:rFonts w:cs="Arial"/>
          <w:szCs w:val="18"/>
          <w:lang w:val="en-US"/>
        </w:rPr>
        <w:t>base</w:t>
      </w:r>
      <w:r w:rsidR="007A4E42">
        <w:rPr>
          <w:rFonts w:cs="Arial"/>
          <w:szCs w:val="18"/>
          <w:lang w:val="en-US"/>
        </w:rPr>
        <w:t>s</w:t>
      </w:r>
      <w:r w:rsidR="00950A9F">
        <w:rPr>
          <w:rFonts w:cs="Arial"/>
          <w:szCs w:val="18"/>
          <w:lang w:val="en-US"/>
        </w:rPr>
        <w:t xml:space="preserve"> (HySafe, 2022)</w:t>
      </w:r>
      <w:r w:rsidRPr="000455AC">
        <w:rPr>
          <w:rFonts w:cs="Arial"/>
          <w:szCs w:val="18"/>
          <w:lang w:val="en-US"/>
        </w:rPr>
        <w:t>. In</w:t>
      </w:r>
      <w:r w:rsidR="00933479">
        <w:rPr>
          <w:rFonts w:cs="Arial"/>
          <w:szCs w:val="18"/>
          <w:lang w:val="en-US"/>
        </w:rPr>
        <w:t xml:space="preserve"> fact</w:t>
      </w:r>
      <w:r w:rsidRPr="000455AC">
        <w:rPr>
          <w:rFonts w:cs="Arial"/>
          <w:szCs w:val="18"/>
          <w:lang w:val="en-US"/>
        </w:rPr>
        <w:t xml:space="preserve">, the parameters required to estimate the </w:t>
      </w:r>
      <w:r w:rsidR="007A4E42">
        <w:rPr>
          <w:rFonts w:cs="Arial"/>
          <w:szCs w:val="18"/>
          <w:lang w:val="en-US"/>
        </w:rPr>
        <w:t xml:space="preserve">failure </w:t>
      </w:r>
      <w:r w:rsidR="00D07960">
        <w:rPr>
          <w:rFonts w:cs="Arial"/>
          <w:szCs w:val="18"/>
          <w:lang w:val="en-US"/>
        </w:rPr>
        <w:t xml:space="preserve">frequencies and the </w:t>
      </w:r>
      <w:r w:rsidR="007A4E42">
        <w:rPr>
          <w:rFonts w:cs="Arial"/>
          <w:szCs w:val="18"/>
          <w:lang w:val="en-US"/>
        </w:rPr>
        <w:t xml:space="preserve">models for </w:t>
      </w:r>
      <w:r w:rsidR="00352FE2">
        <w:rPr>
          <w:rFonts w:cs="Arial"/>
          <w:szCs w:val="18"/>
          <w:lang w:val="en-US"/>
        </w:rPr>
        <w:t xml:space="preserve">consequence evaluation </w:t>
      </w:r>
      <w:r w:rsidRPr="000455AC">
        <w:rPr>
          <w:rFonts w:cs="Arial"/>
          <w:szCs w:val="18"/>
          <w:lang w:val="en-US"/>
        </w:rPr>
        <w:t xml:space="preserve">have been developed </w:t>
      </w:r>
      <w:r w:rsidR="00E375E9" w:rsidRPr="000455AC">
        <w:rPr>
          <w:rFonts w:cs="Arial"/>
          <w:szCs w:val="18"/>
          <w:lang w:val="en-US"/>
        </w:rPr>
        <w:t>based on</w:t>
      </w:r>
      <w:r w:rsidRPr="000455AC">
        <w:rPr>
          <w:rFonts w:cs="Arial"/>
          <w:szCs w:val="18"/>
          <w:lang w:val="en-US"/>
        </w:rPr>
        <w:t xml:space="preserve"> experimental evidence and past accidents that have involved Oil</w:t>
      </w:r>
      <w:r w:rsidR="00A444A6">
        <w:rPr>
          <w:rFonts w:cs="Arial"/>
          <w:szCs w:val="18"/>
          <w:lang w:val="en-US"/>
        </w:rPr>
        <w:t xml:space="preserve"> </w:t>
      </w:r>
      <w:r w:rsidRPr="000455AC">
        <w:rPr>
          <w:rFonts w:cs="Arial"/>
          <w:szCs w:val="18"/>
          <w:lang w:val="en-US"/>
        </w:rPr>
        <w:t>&amp;</w:t>
      </w:r>
      <w:r w:rsidR="00A444A6">
        <w:rPr>
          <w:rFonts w:cs="Arial"/>
          <w:szCs w:val="18"/>
          <w:lang w:val="en-US"/>
        </w:rPr>
        <w:t xml:space="preserve"> </w:t>
      </w:r>
      <w:r w:rsidRPr="000455AC">
        <w:rPr>
          <w:rFonts w:cs="Arial"/>
          <w:szCs w:val="18"/>
          <w:lang w:val="en-US"/>
        </w:rPr>
        <w:t>Gas installations.</w:t>
      </w:r>
    </w:p>
    <w:p w14:paraId="05D3BE37" w14:textId="37920033" w:rsidR="001529A9" w:rsidRPr="005009CE" w:rsidRDefault="00CB3A31" w:rsidP="00364984">
      <w:pPr>
        <w:pStyle w:val="Paragrafoelenco"/>
        <w:spacing w:line="259" w:lineRule="auto"/>
        <w:ind w:left="0"/>
        <w:rPr>
          <w:rFonts w:eastAsiaTheme="minorHAnsi" w:cs="Arial"/>
          <w:szCs w:val="18"/>
          <w:lang w:val="en-US"/>
        </w:rPr>
      </w:pPr>
      <w:r w:rsidRPr="00E57AE8">
        <w:rPr>
          <w:rFonts w:eastAsiaTheme="minorHAnsi" w:cs="Arial"/>
          <w:szCs w:val="18"/>
          <w:lang w:val="en-US"/>
        </w:rPr>
        <w:t xml:space="preserve">The chemical properties of hydrogen differ significantly from those of hydrocarbons, especially </w:t>
      </w:r>
      <w:r w:rsidR="00E57AE8">
        <w:rPr>
          <w:rFonts w:eastAsiaTheme="minorHAnsi" w:cs="Arial"/>
          <w:szCs w:val="18"/>
          <w:lang w:val="en-US"/>
        </w:rPr>
        <w:t xml:space="preserve">with respect to flammability and reactivity, and </w:t>
      </w:r>
      <w:r w:rsidRPr="00E57AE8">
        <w:rPr>
          <w:rFonts w:eastAsiaTheme="minorHAnsi" w:cs="Arial"/>
          <w:szCs w:val="18"/>
          <w:lang w:val="en-US"/>
        </w:rPr>
        <w:t>in how they affect</w:t>
      </w:r>
      <w:r w:rsidRPr="00EA5401">
        <w:rPr>
          <w:rFonts w:eastAsiaTheme="minorHAnsi" w:cs="Arial"/>
          <w:szCs w:val="18"/>
          <w:lang w:val="en-US"/>
        </w:rPr>
        <w:t xml:space="preserve"> the brittleness of steels. This makes the data and models that are used for the QRA unreliable and </w:t>
      </w:r>
      <w:r w:rsidR="00577274" w:rsidRPr="00566A7C">
        <w:rPr>
          <w:rFonts w:eastAsiaTheme="minorHAnsi" w:cs="Arial"/>
          <w:szCs w:val="18"/>
          <w:lang w:val="en-US"/>
        </w:rPr>
        <w:t>questionable.</w:t>
      </w:r>
      <w:r w:rsidR="00577274" w:rsidRPr="00CB5DF8">
        <w:rPr>
          <w:rFonts w:cs="Arial"/>
          <w:szCs w:val="18"/>
          <w:lang w:val="en-US"/>
        </w:rPr>
        <w:t xml:space="preserve"> Therefore</w:t>
      </w:r>
      <w:r w:rsidR="004A5EDE" w:rsidRPr="00CB5DF8">
        <w:rPr>
          <w:rFonts w:cs="Arial"/>
          <w:szCs w:val="18"/>
          <w:lang w:val="en-US"/>
        </w:rPr>
        <w:t>,</w:t>
      </w:r>
      <w:r w:rsidR="00925DE3" w:rsidRPr="00CB5DF8">
        <w:rPr>
          <w:rFonts w:cs="Arial"/>
          <w:szCs w:val="18"/>
          <w:lang w:val="en-US"/>
        </w:rPr>
        <w:t xml:space="preserve"> </w:t>
      </w:r>
      <w:r w:rsidR="00601263" w:rsidRPr="00CB5DF8">
        <w:rPr>
          <w:rFonts w:cs="Arial"/>
          <w:szCs w:val="18"/>
          <w:lang w:val="en-US"/>
        </w:rPr>
        <w:t>this paper</w:t>
      </w:r>
      <w:r w:rsidR="004A5EDE" w:rsidRPr="00CB5DF8">
        <w:rPr>
          <w:rFonts w:cs="Arial"/>
          <w:szCs w:val="18"/>
          <w:lang w:val="en-US"/>
        </w:rPr>
        <w:t xml:space="preserve"> </w:t>
      </w:r>
      <w:r w:rsidR="00CB5DF8" w:rsidRPr="00CB5DF8">
        <w:rPr>
          <w:rFonts w:cs="Arial"/>
          <w:szCs w:val="18"/>
          <w:lang w:val="en-US"/>
        </w:rPr>
        <w:t>analyze</w:t>
      </w:r>
      <w:r w:rsidR="00FA1295">
        <w:rPr>
          <w:rFonts w:cs="Arial"/>
          <w:szCs w:val="18"/>
          <w:lang w:val="en-US"/>
        </w:rPr>
        <w:t>s</w:t>
      </w:r>
      <w:r w:rsidR="009D3FCF" w:rsidRPr="00CB5DF8">
        <w:rPr>
          <w:rFonts w:cs="Arial"/>
          <w:szCs w:val="18"/>
          <w:lang w:val="en-US"/>
        </w:rPr>
        <w:t xml:space="preserve"> </w:t>
      </w:r>
      <w:r w:rsidR="00393064" w:rsidRPr="00CB5DF8">
        <w:rPr>
          <w:rFonts w:cs="Arial"/>
          <w:szCs w:val="18"/>
          <w:lang w:val="en-US"/>
        </w:rPr>
        <w:t xml:space="preserve">all the </w:t>
      </w:r>
      <w:r w:rsidR="00F61338">
        <w:rPr>
          <w:rFonts w:cs="Arial"/>
          <w:szCs w:val="18"/>
          <w:lang w:val="en-US"/>
        </w:rPr>
        <w:t>uncertainties</w:t>
      </w:r>
      <w:r w:rsidR="00F61338" w:rsidRPr="00CB5DF8">
        <w:rPr>
          <w:rFonts w:cs="Arial"/>
          <w:szCs w:val="18"/>
          <w:lang w:val="en-US"/>
        </w:rPr>
        <w:t xml:space="preserve"> </w:t>
      </w:r>
      <w:r w:rsidR="00393064" w:rsidRPr="00CB5DF8">
        <w:rPr>
          <w:rFonts w:cs="Arial"/>
          <w:szCs w:val="18"/>
          <w:lang w:val="en-US"/>
        </w:rPr>
        <w:t>related to</w:t>
      </w:r>
      <w:r w:rsidR="00125E37" w:rsidRPr="00CB5DF8">
        <w:rPr>
          <w:rFonts w:cs="Arial"/>
          <w:szCs w:val="18"/>
          <w:lang w:val="en-US"/>
        </w:rPr>
        <w:t xml:space="preserve"> </w:t>
      </w:r>
      <w:r w:rsidR="00393064" w:rsidRPr="00CB5DF8">
        <w:rPr>
          <w:rFonts w:cs="Arial"/>
          <w:szCs w:val="18"/>
          <w:lang w:val="en-US"/>
        </w:rPr>
        <w:t>hydrogen</w:t>
      </w:r>
      <w:r w:rsidR="00C40EC3">
        <w:rPr>
          <w:rFonts w:cs="Arial"/>
          <w:szCs w:val="18"/>
          <w:lang w:val="en-US"/>
        </w:rPr>
        <w:t xml:space="preserve"> for the conduction of</w:t>
      </w:r>
      <w:r w:rsidR="005763D7" w:rsidRPr="00CB5DF8">
        <w:rPr>
          <w:rFonts w:cs="Arial"/>
          <w:szCs w:val="18"/>
          <w:lang w:val="en-US"/>
        </w:rPr>
        <w:t xml:space="preserve"> the</w:t>
      </w:r>
      <w:r w:rsidR="0056477D">
        <w:rPr>
          <w:rFonts w:cs="Arial"/>
          <w:szCs w:val="18"/>
          <w:lang w:val="en-US"/>
        </w:rPr>
        <w:t xml:space="preserve"> </w:t>
      </w:r>
      <w:r w:rsidR="005763D7" w:rsidRPr="00CB5DF8">
        <w:rPr>
          <w:rFonts w:cs="Arial"/>
          <w:szCs w:val="18"/>
          <w:lang w:val="en-US"/>
        </w:rPr>
        <w:t>risk assessment</w:t>
      </w:r>
      <w:r w:rsidR="009409A9">
        <w:rPr>
          <w:rFonts w:cs="Arial"/>
          <w:szCs w:val="18"/>
          <w:lang w:val="en-US"/>
        </w:rPr>
        <w:t>, from</w:t>
      </w:r>
      <w:r w:rsidR="00BE20C3">
        <w:rPr>
          <w:rFonts w:cs="Arial"/>
          <w:szCs w:val="18"/>
          <w:lang w:val="en-US"/>
        </w:rPr>
        <w:t xml:space="preserve"> the hazard identification</w:t>
      </w:r>
      <w:r w:rsidR="00C8489F">
        <w:rPr>
          <w:rFonts w:cs="Arial"/>
          <w:szCs w:val="18"/>
          <w:lang w:val="en-US"/>
        </w:rPr>
        <w:t xml:space="preserve"> </w:t>
      </w:r>
      <w:r w:rsidR="00C8489F" w:rsidRPr="002C6183">
        <w:rPr>
          <w:rFonts w:cs="Arial"/>
          <w:szCs w:val="18"/>
          <w:lang w:val="en-US"/>
        </w:rPr>
        <w:t xml:space="preserve">up to the </w:t>
      </w:r>
      <w:r w:rsidR="00A524C7">
        <w:rPr>
          <w:rFonts w:cs="Arial"/>
          <w:szCs w:val="18"/>
          <w:lang w:val="en-US"/>
        </w:rPr>
        <w:t xml:space="preserve">consequence </w:t>
      </w:r>
      <w:r w:rsidR="00AA40BF" w:rsidRPr="002C6183">
        <w:rPr>
          <w:rFonts w:cs="Arial"/>
          <w:szCs w:val="18"/>
          <w:lang w:val="en-US"/>
        </w:rPr>
        <w:t>model</w:t>
      </w:r>
      <w:r w:rsidR="00AA40BF">
        <w:rPr>
          <w:rFonts w:cs="Arial"/>
          <w:szCs w:val="18"/>
          <w:lang w:val="en-US"/>
        </w:rPr>
        <w:t>ing</w:t>
      </w:r>
      <w:r w:rsidR="00E57AE8">
        <w:rPr>
          <w:rFonts w:cs="Arial"/>
          <w:szCs w:val="18"/>
          <w:lang w:val="en-US"/>
        </w:rPr>
        <w:t>,</w:t>
      </w:r>
      <w:r w:rsidR="00AA40BF" w:rsidRPr="002C6183">
        <w:rPr>
          <w:rFonts w:cs="Arial"/>
          <w:szCs w:val="18"/>
          <w:lang w:val="en-US"/>
        </w:rPr>
        <w:t xml:space="preserve"> </w:t>
      </w:r>
      <w:r w:rsidR="00AA40BF">
        <w:rPr>
          <w:rFonts w:cs="Arial"/>
          <w:szCs w:val="18"/>
          <w:lang w:val="en-US"/>
        </w:rPr>
        <w:t>and</w:t>
      </w:r>
      <w:r w:rsidR="005763D7" w:rsidRPr="00CB5DF8">
        <w:rPr>
          <w:rFonts w:cs="Arial"/>
          <w:szCs w:val="18"/>
          <w:lang w:val="en-US"/>
        </w:rPr>
        <w:t xml:space="preserve"> </w:t>
      </w:r>
      <w:r w:rsidR="00CB5DF8" w:rsidRPr="00CB5DF8">
        <w:rPr>
          <w:rFonts w:cs="Arial"/>
          <w:szCs w:val="18"/>
          <w:lang w:val="en-US"/>
        </w:rPr>
        <w:t>present</w:t>
      </w:r>
      <w:r w:rsidR="00445623">
        <w:rPr>
          <w:rFonts w:cs="Arial"/>
          <w:szCs w:val="18"/>
          <w:lang w:val="en-US"/>
        </w:rPr>
        <w:t>s</w:t>
      </w:r>
      <w:r w:rsidR="00CB5DF8" w:rsidRPr="00CB5DF8">
        <w:rPr>
          <w:rFonts w:cs="Arial"/>
          <w:szCs w:val="18"/>
          <w:lang w:val="en-US"/>
        </w:rPr>
        <w:t xml:space="preserve"> possible solutions</w:t>
      </w:r>
      <w:r w:rsidR="003B719A">
        <w:rPr>
          <w:rFonts w:cs="Arial"/>
          <w:szCs w:val="18"/>
          <w:lang w:val="en-US"/>
        </w:rPr>
        <w:t xml:space="preserve"> applied </w:t>
      </w:r>
      <w:r w:rsidR="00E57AE8">
        <w:rPr>
          <w:rFonts w:cs="Arial"/>
          <w:szCs w:val="18"/>
          <w:lang w:val="en-US"/>
        </w:rPr>
        <w:t>to a</w:t>
      </w:r>
      <w:r w:rsidR="003B719A">
        <w:rPr>
          <w:rFonts w:cs="Arial"/>
          <w:szCs w:val="18"/>
          <w:lang w:val="en-US"/>
        </w:rPr>
        <w:t xml:space="preserve"> case study</w:t>
      </w:r>
      <w:r w:rsidR="00CB5DF8">
        <w:rPr>
          <w:rFonts w:cs="Arial"/>
          <w:szCs w:val="18"/>
          <w:lang w:val="en-US"/>
        </w:rPr>
        <w:t xml:space="preserve"> </w:t>
      </w:r>
      <w:r w:rsidR="00CB5DF8" w:rsidRPr="00CB5DF8">
        <w:rPr>
          <w:rFonts w:cs="Arial"/>
          <w:szCs w:val="18"/>
          <w:lang w:val="en-US"/>
        </w:rPr>
        <w:t xml:space="preserve">in order to </w:t>
      </w:r>
      <w:r w:rsidR="00E57AE8">
        <w:rPr>
          <w:rFonts w:cs="Arial"/>
          <w:szCs w:val="18"/>
          <w:lang w:val="en-US"/>
        </w:rPr>
        <w:t xml:space="preserve">understand the gaps and </w:t>
      </w:r>
      <w:r w:rsidR="00CB5DF8" w:rsidRPr="00CB5DF8">
        <w:rPr>
          <w:rFonts w:cs="Arial"/>
          <w:szCs w:val="18"/>
          <w:lang w:val="en-US"/>
        </w:rPr>
        <w:t xml:space="preserve">define a way forward for the application of QRA </w:t>
      </w:r>
      <w:r w:rsidR="00E57AE8">
        <w:rPr>
          <w:rFonts w:cs="Arial"/>
          <w:szCs w:val="18"/>
          <w:lang w:val="en-US"/>
        </w:rPr>
        <w:t>to</w:t>
      </w:r>
      <w:r w:rsidR="00CB5DF8" w:rsidRPr="00CB5DF8">
        <w:rPr>
          <w:rFonts w:cs="Arial"/>
          <w:szCs w:val="18"/>
          <w:lang w:val="en-US"/>
        </w:rPr>
        <w:t xml:space="preserve"> hydrogen technologies</w:t>
      </w:r>
      <w:r w:rsidR="00364984">
        <w:rPr>
          <w:rFonts w:cs="Arial"/>
          <w:szCs w:val="18"/>
          <w:lang w:val="en-US"/>
        </w:rPr>
        <w:t>.</w:t>
      </w:r>
    </w:p>
    <w:p w14:paraId="0636B784" w14:textId="7D6B60C8" w:rsidR="00453E24" w:rsidRDefault="00954880" w:rsidP="006D5328">
      <w:pPr>
        <w:pStyle w:val="CETHeading1"/>
        <w:tabs>
          <w:tab w:val="num" w:pos="360"/>
        </w:tabs>
      </w:pPr>
      <w:r>
        <w:lastRenderedPageBreak/>
        <w:t>Quantitative Risk Assessment methodology</w:t>
      </w:r>
    </w:p>
    <w:p w14:paraId="392B09D0" w14:textId="5CB4AA63" w:rsidR="004E449F" w:rsidRDefault="00364984" w:rsidP="00364984">
      <w:pPr>
        <w:pStyle w:val="CETBodytext"/>
      </w:pPr>
      <w:r>
        <w:t>Figure 1</w:t>
      </w:r>
      <w:r w:rsidR="00A90939">
        <w:t xml:space="preserve"> </w:t>
      </w:r>
      <w:r w:rsidR="00FD68E0">
        <w:t>show</w:t>
      </w:r>
      <w:r w:rsidR="0075339F">
        <w:t>s</w:t>
      </w:r>
      <w:r w:rsidR="003C187E">
        <w:t xml:space="preserve"> a </w:t>
      </w:r>
      <w:r w:rsidR="003F151A">
        <w:t xml:space="preserve">flowchart of </w:t>
      </w:r>
      <w:r w:rsidR="00E403F7">
        <w:t>the</w:t>
      </w:r>
      <w:r w:rsidR="00992242">
        <w:t xml:space="preserve"> quantitative risk assessment</w:t>
      </w:r>
      <w:r w:rsidR="00E403F7">
        <w:t xml:space="preserve"> methodology</w:t>
      </w:r>
      <w:r w:rsidR="00E57AE8">
        <w:t>,</w:t>
      </w:r>
      <w:r w:rsidR="00E403F7">
        <w:t xml:space="preserve"> </w:t>
      </w:r>
      <w:r w:rsidR="000D0469">
        <w:t>divided in</w:t>
      </w:r>
      <w:r w:rsidR="00770B92">
        <w:t>to</w:t>
      </w:r>
      <w:r w:rsidR="000D0469">
        <w:t xml:space="preserve"> its main steps</w:t>
      </w:r>
      <w:r w:rsidR="00F2114C">
        <w:t>.</w:t>
      </w:r>
      <w:r w:rsidR="00A1286B">
        <w:t xml:space="preserve"> </w:t>
      </w:r>
      <w:r w:rsidR="00F2114C">
        <w:t>F</w:t>
      </w:r>
      <w:r w:rsidR="004A3736">
        <w:t xml:space="preserve">or each </w:t>
      </w:r>
      <w:r w:rsidR="00F2114C">
        <w:t>step</w:t>
      </w:r>
      <w:r w:rsidR="004A3736">
        <w:t xml:space="preserve">, the critical issues </w:t>
      </w:r>
      <w:r w:rsidR="00E57AE8">
        <w:t>concerning</w:t>
      </w:r>
      <w:r w:rsidR="004A3736">
        <w:t xml:space="preserve"> the application</w:t>
      </w:r>
      <w:r w:rsidR="00286BCC">
        <w:t xml:space="preserve"> of the methodology</w:t>
      </w:r>
      <w:r w:rsidR="00E57AE8">
        <w:t xml:space="preserve"> to</w:t>
      </w:r>
      <w:r w:rsidR="004A3736">
        <w:t xml:space="preserve"> hydrogen systems</w:t>
      </w:r>
      <w:r w:rsidR="00E21C3F">
        <w:t>, if present,</w:t>
      </w:r>
      <w:r w:rsidR="00F2114C" w:rsidRPr="00F2114C">
        <w:t xml:space="preserve"> </w:t>
      </w:r>
      <w:r w:rsidR="00F2114C">
        <w:t>are highlighted</w:t>
      </w:r>
      <w:r w:rsidR="004A3736">
        <w:t>.</w:t>
      </w:r>
      <w:r w:rsidR="001E1F5D">
        <w:t xml:space="preserve"> As it can be seen from</w:t>
      </w:r>
      <w:r w:rsidR="009345E6">
        <w:t xml:space="preserve"> F</w:t>
      </w:r>
      <w:r w:rsidR="001E1F5D">
        <w:t>igure</w:t>
      </w:r>
      <w:r w:rsidR="009345E6">
        <w:t xml:space="preserve"> 1</w:t>
      </w:r>
      <w:r w:rsidR="00F82AFD">
        <w:t>, several steps</w:t>
      </w:r>
      <w:r w:rsidR="0062368E">
        <w:t xml:space="preserve"> </w:t>
      </w:r>
      <w:r w:rsidR="00E43D1C">
        <w:t>show</w:t>
      </w:r>
      <w:r w:rsidR="0062368E">
        <w:t xml:space="preserve"> criticalit</w:t>
      </w:r>
      <w:r w:rsidR="00B32DC7">
        <w:t>ies</w:t>
      </w:r>
      <w:r w:rsidR="0062368E">
        <w:t xml:space="preserve"> in the case of the application </w:t>
      </w:r>
      <w:r w:rsidR="00B96623">
        <w:t>to</w:t>
      </w:r>
      <w:r w:rsidR="0062368E">
        <w:t xml:space="preserve"> hydrogen. First of all</w:t>
      </w:r>
      <w:r w:rsidR="00182FC4">
        <w:t>,</w:t>
      </w:r>
      <w:r w:rsidR="0062368E">
        <w:t xml:space="preserve"> concerning </w:t>
      </w:r>
      <w:r w:rsidR="00182FC4">
        <w:t>the hazard identification and the evaluat</w:t>
      </w:r>
      <w:r w:rsidR="00E43D1C">
        <w:t>ion of the release frequencies</w:t>
      </w:r>
      <w:r w:rsidR="0068142F">
        <w:t>, the main issue raised by the hydrogen is related to the embrittlement phenomen</w:t>
      </w:r>
      <w:r w:rsidR="002B73E8">
        <w:t>on</w:t>
      </w:r>
      <w:r w:rsidR="00E57AE8">
        <w:t>. I</w:t>
      </w:r>
      <w:r w:rsidR="00D9077A">
        <w:t xml:space="preserve">n </w:t>
      </w:r>
      <w:r w:rsidR="005A1699">
        <w:t>fact,</w:t>
      </w:r>
      <w:r w:rsidR="00D9077A">
        <w:t xml:space="preserve"> </w:t>
      </w:r>
      <w:r w:rsidR="003A52D7">
        <w:t xml:space="preserve">it has </w:t>
      </w:r>
      <w:r w:rsidR="003A52D7" w:rsidRPr="00454541">
        <w:t>been widely demonstrated that</w:t>
      </w:r>
      <w:r w:rsidR="00852A07" w:rsidRPr="00454541">
        <w:t xml:space="preserve"> steels suffer serious deterioration </w:t>
      </w:r>
      <w:r w:rsidR="000B55D4" w:rsidRPr="00454541">
        <w:t>of their mechanical properties after a long</w:t>
      </w:r>
      <w:r w:rsidR="000B55D4">
        <w:t xml:space="preserve"> exposure to hydrogen</w:t>
      </w:r>
      <w:r w:rsidR="00D37A0E">
        <w:t xml:space="preserve"> </w:t>
      </w:r>
      <w:r w:rsidR="001014FF">
        <w:t>(Louthan, 2008)</w:t>
      </w:r>
      <w:r w:rsidR="00454541">
        <w:t>,</w:t>
      </w:r>
      <w:r w:rsidR="00D34643">
        <w:t xml:space="preserve"> </w:t>
      </w:r>
      <w:r w:rsidR="00B32DC7">
        <w:t>resulting in</w:t>
      </w:r>
      <w:r w:rsidR="00C51F48">
        <w:t xml:space="preserve"> a reduction</w:t>
      </w:r>
      <w:r w:rsidR="00B8157B">
        <w:t xml:space="preserve"> of their fracture toughness and in </w:t>
      </w:r>
      <w:r w:rsidR="00DD0C70">
        <w:t>an enhancement of</w:t>
      </w:r>
      <w:r w:rsidR="006D5547">
        <w:t xml:space="preserve"> the phenomena</w:t>
      </w:r>
      <w:r w:rsidR="00352E98">
        <w:t xml:space="preserve"> </w:t>
      </w:r>
      <w:r w:rsidR="00C51F48">
        <w:t>related to the</w:t>
      </w:r>
      <w:r w:rsidR="00352E98">
        <w:t xml:space="preserve"> generation and </w:t>
      </w:r>
      <w:r w:rsidR="00C51F48">
        <w:t xml:space="preserve">the </w:t>
      </w:r>
      <w:r w:rsidR="00352E98">
        <w:t>propagation o</w:t>
      </w:r>
      <w:r w:rsidR="00857089">
        <w:t>f microstructural defects</w:t>
      </w:r>
      <w:r w:rsidR="00352E98">
        <w:t xml:space="preserve"> (Hydrogen assisted cracking)</w:t>
      </w:r>
      <w:r w:rsidR="00857089">
        <w:t xml:space="preserve"> (Laureys et al</w:t>
      </w:r>
      <w:r w:rsidR="004C3DEA">
        <w:t>.</w:t>
      </w:r>
      <w:r w:rsidR="00857089">
        <w:t>, 2022)</w:t>
      </w:r>
      <w:r w:rsidR="00352E98">
        <w:t>.</w:t>
      </w:r>
      <w:r w:rsidR="00303884">
        <w:t xml:space="preserve"> </w:t>
      </w:r>
      <w:r w:rsidR="00966F8C">
        <w:t xml:space="preserve">Given </w:t>
      </w:r>
      <w:r w:rsidR="00F130EB">
        <w:t>these peculiarities</w:t>
      </w:r>
      <w:r w:rsidR="00456D58">
        <w:t>, the release frequencies</w:t>
      </w:r>
      <w:r w:rsidR="00985517">
        <w:t xml:space="preserve"> available</w:t>
      </w:r>
      <w:r w:rsidR="00456D58">
        <w:t xml:space="preserve"> in the main databases</w:t>
      </w:r>
      <w:r w:rsidR="00A31142">
        <w:t>, obtained</w:t>
      </w:r>
      <w:r w:rsidR="005E7F0A">
        <w:t xml:space="preserve"> entirely</w:t>
      </w:r>
      <w:r w:rsidR="00A31142">
        <w:t xml:space="preserve"> from statistical studies</w:t>
      </w:r>
      <w:r w:rsidR="005C11D8">
        <w:t xml:space="preserve"> on past accidents involv</w:t>
      </w:r>
      <w:r w:rsidR="00076F68">
        <w:t>ing</w:t>
      </w:r>
      <w:r w:rsidR="005C11D8">
        <w:t xml:space="preserve"> hydrocarbon</w:t>
      </w:r>
      <w:r w:rsidR="00454541">
        <w:t xml:space="preserve"> processing</w:t>
      </w:r>
      <w:r w:rsidR="005C11D8">
        <w:t xml:space="preserve"> plants</w:t>
      </w:r>
      <w:r w:rsidR="00A31142">
        <w:t>,</w:t>
      </w:r>
      <w:r w:rsidR="00C91CC1">
        <w:t xml:space="preserve"> may not be representative </w:t>
      </w:r>
      <w:r w:rsidR="00244291">
        <w:t>for</w:t>
      </w:r>
      <w:r w:rsidR="00C91CC1">
        <w:t xml:space="preserve"> </w:t>
      </w:r>
      <w:r w:rsidR="00C35DA6">
        <w:t xml:space="preserve">piping </w:t>
      </w:r>
      <w:r w:rsidR="00C91CC1">
        <w:t xml:space="preserve">and </w:t>
      </w:r>
      <w:r w:rsidR="00C35DA6">
        <w:t>equipment</w:t>
      </w:r>
      <w:r w:rsidR="00C91CC1">
        <w:t xml:space="preserve"> </w:t>
      </w:r>
      <w:r w:rsidR="00DD6FF3">
        <w:t>handling</w:t>
      </w:r>
      <w:r w:rsidR="00C91CC1">
        <w:t xml:space="preserve"> hydroge</w:t>
      </w:r>
      <w:r w:rsidR="005A508C">
        <w:t>n</w:t>
      </w:r>
      <w:r w:rsidR="00B3586B">
        <w:t>.</w:t>
      </w:r>
      <w:r w:rsidR="005A508C">
        <w:t xml:space="preserve"> </w:t>
      </w:r>
      <w:r w:rsidR="00B3586B">
        <w:t>H</w:t>
      </w:r>
      <w:r w:rsidR="009249B1">
        <w:t>owever,</w:t>
      </w:r>
      <w:r w:rsidR="005A508C">
        <w:t xml:space="preserve"> </w:t>
      </w:r>
      <w:r w:rsidR="009249B1">
        <w:t>currently</w:t>
      </w:r>
      <w:r w:rsidR="005A508C">
        <w:t xml:space="preserve"> </w:t>
      </w:r>
      <w:r w:rsidR="00DD4AF7">
        <w:t>no specific data</w:t>
      </w:r>
      <w:r w:rsidR="00B3586B">
        <w:t>base</w:t>
      </w:r>
      <w:r w:rsidR="00DD4AF7">
        <w:t xml:space="preserve"> </w:t>
      </w:r>
      <w:r w:rsidR="000A7D18">
        <w:t xml:space="preserve">for </w:t>
      </w:r>
      <w:r w:rsidR="00454541">
        <w:t xml:space="preserve">failure frequencies of </w:t>
      </w:r>
      <w:r w:rsidR="000A7D18">
        <w:t xml:space="preserve">hydrogen </w:t>
      </w:r>
      <w:r w:rsidR="00454541">
        <w:t>processing components is available</w:t>
      </w:r>
      <w:r w:rsidR="00C35DA6">
        <w:t>.</w:t>
      </w:r>
      <w:r w:rsidR="00E903ED">
        <w:t xml:space="preserve"> The second </w:t>
      </w:r>
      <w:r w:rsidR="00E07ED1">
        <w:t>critical issue concern</w:t>
      </w:r>
      <w:r w:rsidR="00C3785F">
        <w:t>s</w:t>
      </w:r>
      <w:r w:rsidR="00E07ED1">
        <w:t xml:space="preserve"> </w:t>
      </w:r>
      <w:r w:rsidR="00C11F41">
        <w:t>the frequency evaluation of the accident scenarios</w:t>
      </w:r>
      <w:r w:rsidR="006F1A79">
        <w:t>,</w:t>
      </w:r>
      <w:r w:rsidR="00C60622">
        <w:t xml:space="preserve"> which</w:t>
      </w:r>
      <w:r w:rsidR="0059422D">
        <w:t xml:space="preserve">, as per the release </w:t>
      </w:r>
      <w:r w:rsidR="001072B6">
        <w:t>frequencies,</w:t>
      </w:r>
      <w:r w:rsidR="00C60622">
        <w:t xml:space="preserve"> is</w:t>
      </w:r>
      <w:r w:rsidR="006F1A79">
        <w:t xml:space="preserve"> carried out </w:t>
      </w:r>
      <w:r w:rsidR="00454541">
        <w:t>using</w:t>
      </w:r>
      <w:r w:rsidR="006F1A79">
        <w:t xml:space="preserve"> ignition probabilit</w:t>
      </w:r>
      <w:r w:rsidR="00347DF7">
        <w:t>ie</w:t>
      </w:r>
      <w:r w:rsidR="00747B3D">
        <w:t>s</w:t>
      </w:r>
      <w:r w:rsidR="00F017C1">
        <w:t xml:space="preserve"> </w:t>
      </w:r>
      <w:r w:rsidR="0082629E">
        <w:t>de</w:t>
      </w:r>
      <w:r w:rsidR="00234DDF">
        <w:t>rived</w:t>
      </w:r>
      <w:r w:rsidR="0082629E">
        <w:t xml:space="preserve"> </w:t>
      </w:r>
      <w:r w:rsidR="00BD71AC">
        <w:t xml:space="preserve">from </w:t>
      </w:r>
      <w:r w:rsidR="00A25A97">
        <w:t xml:space="preserve">hydrocarbon </w:t>
      </w:r>
      <w:r w:rsidR="00747B3D">
        <w:t>data</w:t>
      </w:r>
      <w:r w:rsidR="00084F40">
        <w:t xml:space="preserve"> and </w:t>
      </w:r>
      <w:r w:rsidR="00661FE0">
        <w:t>not</w:t>
      </w:r>
      <w:r w:rsidR="00C3785F">
        <w:t xml:space="preserve"> </w:t>
      </w:r>
      <w:r w:rsidR="00454541">
        <w:t xml:space="preserve">conservative in the case of </w:t>
      </w:r>
      <w:r w:rsidR="001F4922">
        <w:t>h</w:t>
      </w:r>
      <w:r w:rsidR="0026758F">
        <w:t>ydrogen</w:t>
      </w:r>
      <w:r w:rsidR="00454541">
        <w:t>,</w:t>
      </w:r>
      <w:r w:rsidR="005D1A93">
        <w:t xml:space="preserve"> due to </w:t>
      </w:r>
      <w:r w:rsidR="00C42343">
        <w:t xml:space="preserve">its higher </w:t>
      </w:r>
      <w:r w:rsidR="00705686">
        <w:t xml:space="preserve">reactivity compared to </w:t>
      </w:r>
      <w:r w:rsidR="00454541">
        <w:t xml:space="preserve">that of </w:t>
      </w:r>
      <w:r w:rsidR="00705686">
        <w:t>hydrocarbons</w:t>
      </w:r>
      <w:r w:rsidR="00AE74E8">
        <w:t xml:space="preserve">. </w:t>
      </w:r>
      <w:r w:rsidR="00AE2724">
        <w:t>Relevance should be given to hydrogen</w:t>
      </w:r>
      <w:r w:rsidR="00B844BA">
        <w:t xml:space="preserve"> </w:t>
      </w:r>
      <w:r w:rsidR="00D82199">
        <w:t>flammability and</w:t>
      </w:r>
      <w:r w:rsidR="00454541">
        <w:t>, in</w:t>
      </w:r>
      <w:r w:rsidR="00D82199">
        <w:t xml:space="preserve"> particular</w:t>
      </w:r>
      <w:r w:rsidR="00454541">
        <w:t>,</w:t>
      </w:r>
      <w:r w:rsidR="00D82199">
        <w:t xml:space="preserve"> </w:t>
      </w:r>
      <w:r w:rsidR="00AE2724">
        <w:t xml:space="preserve">to the </w:t>
      </w:r>
      <w:r w:rsidR="00D82199">
        <w:t xml:space="preserve">low value of </w:t>
      </w:r>
      <w:r w:rsidR="00454541">
        <w:t xml:space="preserve">the </w:t>
      </w:r>
      <w:r w:rsidR="00D82199">
        <w:t>minimum ignition energy</w:t>
      </w:r>
      <w:r w:rsidR="00E94F42">
        <w:t>,</w:t>
      </w:r>
      <w:r w:rsidR="00EA701E">
        <w:t xml:space="preserve"> </w:t>
      </w:r>
      <w:r w:rsidR="00454541">
        <w:t>with</w:t>
      </w:r>
      <w:r w:rsidR="00EA701E">
        <w:t xml:space="preserve"> respect to those of</w:t>
      </w:r>
      <w:r w:rsidR="00906F99">
        <w:t xml:space="preserve"> </w:t>
      </w:r>
      <w:r w:rsidR="00DF5A26">
        <w:t>hydrocarbons</w:t>
      </w:r>
      <w:r w:rsidR="00E94F42">
        <w:t>,</w:t>
      </w:r>
      <w:r w:rsidR="00DF5A26">
        <w:t xml:space="preserve"> </w:t>
      </w:r>
      <w:r w:rsidR="00DD3784">
        <w:t xml:space="preserve">which is approximately </w:t>
      </w:r>
      <w:r w:rsidR="00DF5A26">
        <w:t xml:space="preserve">of 0.02 mJ </w:t>
      </w:r>
      <w:r w:rsidR="00DF5A26" w:rsidRPr="00ED2A29">
        <w:t>(</w:t>
      </w:r>
      <w:r w:rsidR="008B2F15" w:rsidRPr="00ED2A29">
        <w:t>Hao et al.,2022).</w:t>
      </w:r>
      <w:r w:rsidR="00D82199" w:rsidRPr="00ED2A29">
        <w:t xml:space="preserve"> </w:t>
      </w:r>
      <w:r w:rsidR="003E13E3" w:rsidRPr="003E13E3">
        <w:t>In</w:t>
      </w:r>
      <w:r w:rsidR="003E13E3">
        <w:t xml:space="preserve"> </w:t>
      </w:r>
      <w:r w:rsidR="00454541">
        <w:t xml:space="preserve">the </w:t>
      </w:r>
      <w:r w:rsidR="003E13E3">
        <w:t>literature</w:t>
      </w:r>
      <w:r w:rsidR="00454541">
        <w:t>,</w:t>
      </w:r>
      <w:r w:rsidR="003E13E3">
        <w:t xml:space="preserve"> specific data for hydrogen ignition probabilities </w:t>
      </w:r>
      <w:r w:rsidR="006A2437">
        <w:t xml:space="preserve">are still limited and provided </w:t>
      </w:r>
      <w:r w:rsidR="00454541">
        <w:t xml:space="preserve">only </w:t>
      </w:r>
      <w:r w:rsidR="006A2437">
        <w:t>for small release</w:t>
      </w:r>
      <w:r w:rsidR="00CA13A4">
        <w:t xml:space="preserve"> flow</w:t>
      </w:r>
      <w:r w:rsidR="006A2437">
        <w:t xml:space="preserve"> </w:t>
      </w:r>
      <w:r w:rsidR="00286D6C">
        <w:t>rate</w:t>
      </w:r>
      <w:r w:rsidR="004B47BF">
        <w:t>s</w:t>
      </w:r>
      <w:r w:rsidR="00286D6C">
        <w:t xml:space="preserve"> which may not be representative</w:t>
      </w:r>
      <w:r w:rsidR="00750197">
        <w:t xml:space="preserve"> of the releases that could occur</w:t>
      </w:r>
      <w:r w:rsidR="00CB3A31">
        <w:t xml:space="preserve"> during a loss of containment </w:t>
      </w:r>
      <w:r w:rsidR="00750197">
        <w:t xml:space="preserve">in an industrial </w:t>
      </w:r>
      <w:r w:rsidR="00454541">
        <w:t>facility</w:t>
      </w:r>
      <w:r w:rsidR="00AA1DCE">
        <w:t>.</w:t>
      </w:r>
      <w:r w:rsidR="008A19CE">
        <w:t xml:space="preserve"> </w:t>
      </w:r>
      <w:r w:rsidR="00292BEC" w:rsidRPr="00EA5401">
        <w:rPr>
          <w:rFonts w:eastAsiaTheme="minorHAnsi" w:cs="Arial"/>
          <w:szCs w:val="18"/>
        </w:rPr>
        <w:t xml:space="preserve">Finally, </w:t>
      </w:r>
      <w:r w:rsidR="004661BF">
        <w:rPr>
          <w:rFonts w:eastAsiaTheme="minorHAnsi" w:cs="Arial"/>
          <w:szCs w:val="18"/>
        </w:rPr>
        <w:t>with respect to</w:t>
      </w:r>
      <w:r w:rsidR="00292BEC" w:rsidRPr="00EA5401">
        <w:rPr>
          <w:rFonts w:eastAsiaTheme="minorHAnsi" w:cs="Arial"/>
          <w:szCs w:val="18"/>
        </w:rPr>
        <w:t xml:space="preserve"> the impact assessment of the accident scenarios, </w:t>
      </w:r>
      <w:r w:rsidR="00292BEC" w:rsidRPr="004661BF">
        <w:rPr>
          <w:rFonts w:eastAsiaTheme="minorHAnsi" w:cs="Arial"/>
          <w:szCs w:val="18"/>
        </w:rPr>
        <w:t xml:space="preserve">the main challenge posed by hydrogen is related to the Explosions modeling. In fact, </w:t>
      </w:r>
      <w:r w:rsidR="004661BF">
        <w:rPr>
          <w:rFonts w:eastAsiaTheme="minorHAnsi" w:cs="Arial"/>
          <w:szCs w:val="18"/>
        </w:rPr>
        <w:t xml:space="preserve">due to the high reactivity of </w:t>
      </w:r>
      <w:r w:rsidR="00292BEC" w:rsidRPr="004661BF">
        <w:rPr>
          <w:rFonts w:eastAsiaTheme="minorHAnsi" w:cs="Arial"/>
          <w:szCs w:val="18"/>
        </w:rPr>
        <w:t xml:space="preserve">hydrogen, </w:t>
      </w:r>
      <w:r w:rsidR="00292BEC" w:rsidRPr="00EA5401">
        <w:rPr>
          <w:rFonts w:eastAsiaTheme="minorHAnsi" w:cs="Arial"/>
          <w:szCs w:val="18"/>
        </w:rPr>
        <w:t xml:space="preserve">there are </w:t>
      </w:r>
      <w:r w:rsidR="004661BF">
        <w:rPr>
          <w:rFonts w:eastAsiaTheme="minorHAnsi" w:cs="Arial"/>
          <w:szCs w:val="18"/>
        </w:rPr>
        <w:t xml:space="preserve">concerns </w:t>
      </w:r>
      <w:r w:rsidR="00292BEC" w:rsidRPr="00EA5401">
        <w:rPr>
          <w:rFonts w:eastAsiaTheme="minorHAnsi" w:cs="Arial"/>
          <w:szCs w:val="18"/>
        </w:rPr>
        <w:t>about the potential to have se</w:t>
      </w:r>
      <w:r w:rsidR="00292BEC" w:rsidRPr="00D615EE">
        <w:rPr>
          <w:rFonts w:eastAsiaTheme="minorHAnsi" w:cs="Arial"/>
          <w:szCs w:val="18"/>
        </w:rPr>
        <w:t>vere</w:t>
      </w:r>
      <w:r w:rsidR="00292BEC" w:rsidRPr="00EA5401">
        <w:rPr>
          <w:rFonts w:eastAsiaTheme="minorHAnsi" w:cs="Arial"/>
          <w:szCs w:val="18"/>
        </w:rPr>
        <w:t xml:space="preserve"> deflagrations and even </w:t>
      </w:r>
      <w:r w:rsidR="00292BEC" w:rsidRPr="00D615EE">
        <w:rPr>
          <w:rFonts w:eastAsiaTheme="minorHAnsi" w:cs="Arial"/>
          <w:szCs w:val="18"/>
        </w:rPr>
        <w:t>transition</w:t>
      </w:r>
      <w:r w:rsidR="004661BF">
        <w:rPr>
          <w:rFonts w:eastAsiaTheme="minorHAnsi" w:cs="Arial"/>
          <w:szCs w:val="18"/>
        </w:rPr>
        <w:t>s</w:t>
      </w:r>
      <w:r w:rsidR="00292BEC" w:rsidRPr="00EA5401">
        <w:rPr>
          <w:rFonts w:eastAsiaTheme="minorHAnsi" w:cs="Arial"/>
          <w:szCs w:val="18"/>
        </w:rPr>
        <w:t xml:space="preserve"> from deflagration to detonation (DDT) in </w:t>
      </w:r>
      <w:r w:rsidR="004661BF">
        <w:rPr>
          <w:rFonts w:eastAsiaTheme="minorHAnsi" w:cs="Arial"/>
          <w:szCs w:val="18"/>
        </w:rPr>
        <w:t xml:space="preserve">the </w:t>
      </w:r>
      <w:r w:rsidR="00292BEC" w:rsidRPr="00EA5401">
        <w:rPr>
          <w:rFonts w:eastAsiaTheme="minorHAnsi" w:cs="Arial"/>
          <w:szCs w:val="18"/>
        </w:rPr>
        <w:t xml:space="preserve">case of low confinement and </w:t>
      </w:r>
      <w:r w:rsidR="00432FC7" w:rsidRPr="00432FC7">
        <w:rPr>
          <w:rFonts w:eastAsiaTheme="minorHAnsi" w:cs="Arial"/>
          <w:szCs w:val="18"/>
        </w:rPr>
        <w:t>congestion.</w:t>
      </w:r>
      <w:r w:rsidR="00432FC7">
        <w:t xml:space="preserve"> </w:t>
      </w:r>
      <w:r w:rsidR="004661BF">
        <w:t xml:space="preserve">Currently, specific integral models </w:t>
      </w:r>
      <w:r w:rsidR="008A19CE">
        <w:t xml:space="preserve">for hydrogen </w:t>
      </w:r>
      <w:r w:rsidR="0089789D">
        <w:t>E</w:t>
      </w:r>
      <w:r w:rsidR="00661FE0">
        <w:t>xplosions</w:t>
      </w:r>
      <w:r w:rsidR="004661BF">
        <w:t xml:space="preserve"> are not available in validated software tools. T</w:t>
      </w:r>
      <w:r w:rsidR="00661FE0">
        <w:t>herefore</w:t>
      </w:r>
      <w:r w:rsidR="004661BF">
        <w:t>, unless specific CFD codes are used,</w:t>
      </w:r>
      <w:r w:rsidR="008A19CE">
        <w:t xml:space="preserve"> the</w:t>
      </w:r>
      <w:r w:rsidR="004661BF">
        <w:t xml:space="preserve"> modelling of the</w:t>
      </w:r>
      <w:r w:rsidR="008A19CE">
        <w:t xml:space="preserve">se scenarios </w:t>
      </w:r>
      <w:r w:rsidR="004661BF">
        <w:t xml:space="preserve">is still carried out </w:t>
      </w:r>
      <w:r w:rsidR="0015346A">
        <w:t>using conventional</w:t>
      </w:r>
      <w:r w:rsidR="004661BF">
        <w:t xml:space="preserve"> generic </w:t>
      </w:r>
      <w:r w:rsidR="008A19CE">
        <w:t>models (Multi-energy</w:t>
      </w:r>
      <w:r w:rsidR="00037912">
        <w:t xml:space="preserve"> and</w:t>
      </w:r>
      <w:r w:rsidR="00147553">
        <w:t xml:space="preserve"> </w:t>
      </w:r>
      <w:r w:rsidR="0043756E">
        <w:t>Baker</w:t>
      </w:r>
      <w:r w:rsidR="003F3852">
        <w:t>-</w:t>
      </w:r>
      <w:r w:rsidR="0043756E">
        <w:t>Stre</w:t>
      </w:r>
      <w:r w:rsidR="003F3852">
        <w:t>hl</w:t>
      </w:r>
      <w:r w:rsidR="0043756E">
        <w:t>ow</w:t>
      </w:r>
      <w:r w:rsidR="003F3852">
        <w:t>-</w:t>
      </w:r>
      <w:r w:rsidR="0043756E">
        <w:t>Tang</w:t>
      </w:r>
      <w:r w:rsidR="00147553">
        <w:t xml:space="preserve"> (BST)</w:t>
      </w:r>
      <w:r w:rsidR="008A19CE">
        <w:t>)</w:t>
      </w:r>
      <w:r w:rsidR="004E449F">
        <w:t xml:space="preserve">, even if there is evidence </w:t>
      </w:r>
      <w:r w:rsidR="0015346A">
        <w:t>concerning</w:t>
      </w:r>
      <w:r w:rsidR="004E449F">
        <w:t xml:space="preserve"> the </w:t>
      </w:r>
      <w:r w:rsidR="008A19CE">
        <w:t xml:space="preserve">poor accuracy </w:t>
      </w:r>
      <w:r w:rsidR="004E449F">
        <w:t xml:space="preserve">of the results with </w:t>
      </w:r>
      <w:r w:rsidR="008A19CE">
        <w:t xml:space="preserve">respect to the experimental </w:t>
      </w:r>
      <w:r w:rsidR="00906F99">
        <w:t>data</w:t>
      </w:r>
      <w:r w:rsidR="008A19CE">
        <w:t xml:space="preserve"> available</w:t>
      </w:r>
      <w:r w:rsidR="00CD56DF">
        <w:t xml:space="preserve"> (Mélani et al., 2008)</w:t>
      </w:r>
      <w:r w:rsidR="008A19CE">
        <w:t>.</w:t>
      </w:r>
    </w:p>
    <w:p w14:paraId="6D99ADE7" w14:textId="49677128" w:rsidR="004E449F" w:rsidRDefault="00E1163D" w:rsidP="00364984">
      <w:pPr>
        <w:pStyle w:val="CETBodytext"/>
      </w:pPr>
      <w:r>
        <w:t>The simul</w:t>
      </w:r>
      <w:r w:rsidR="00857877">
        <w:t xml:space="preserve">ation of </w:t>
      </w:r>
      <w:r w:rsidR="00C36FB3">
        <w:t>F</w:t>
      </w:r>
      <w:r w:rsidR="00857877">
        <w:t>ire scenarios is less problematic</w:t>
      </w:r>
      <w:r w:rsidR="004E449F">
        <w:t>. I</w:t>
      </w:r>
      <w:r w:rsidR="00857877">
        <w:t>n fact, a specific model</w:t>
      </w:r>
      <w:r w:rsidR="00284A0D">
        <w:t xml:space="preserve"> (Miller Model)</w:t>
      </w:r>
      <w:r w:rsidR="00857877">
        <w:t xml:space="preserve"> has been developed</w:t>
      </w:r>
      <w:r w:rsidR="004807E3">
        <w:t xml:space="preserve"> for hydrogen </w:t>
      </w:r>
      <w:r w:rsidR="0089789D">
        <w:t>J</w:t>
      </w:r>
      <w:r w:rsidR="004807E3">
        <w:t xml:space="preserve">et </w:t>
      </w:r>
      <w:r w:rsidR="0089789D">
        <w:t>F</w:t>
      </w:r>
      <w:r w:rsidR="004807E3">
        <w:t>ires which</w:t>
      </w:r>
      <w:r w:rsidR="00E779A4">
        <w:t xml:space="preserve"> allows a more accurate evaluation of these </w:t>
      </w:r>
      <w:r w:rsidR="001548B7">
        <w:t>scenarios.</w:t>
      </w:r>
    </w:p>
    <w:p w14:paraId="17450F28" w14:textId="6629FA99" w:rsidR="001548B7" w:rsidRDefault="004E449F" w:rsidP="00364984">
      <w:pPr>
        <w:pStyle w:val="CETBodytext"/>
      </w:pPr>
      <w:r>
        <w:t xml:space="preserve">Finally, the application of the </w:t>
      </w:r>
      <w:r w:rsidR="00826ADC">
        <w:t>steps of the QRA methodology</w:t>
      </w:r>
      <w:r w:rsidR="00453BC0">
        <w:t xml:space="preserve"> regarding the identification of the isolable sections</w:t>
      </w:r>
      <w:r w:rsidR="0014204F">
        <w:t xml:space="preserve"> and the risk </w:t>
      </w:r>
      <w:r>
        <w:t>assessment</w:t>
      </w:r>
      <w:r w:rsidR="00565847">
        <w:t xml:space="preserve"> do not present critical issues linked to hydrogen</w:t>
      </w:r>
      <w:r w:rsidR="000C7B8A">
        <w:t xml:space="preserve"> as they do not depend directly on the chemical properties</w:t>
      </w:r>
      <w:r w:rsidR="006C4272">
        <w:t xml:space="preserve"> of the processed substance</w:t>
      </w:r>
      <w:r>
        <w:t>s</w:t>
      </w:r>
      <w:r w:rsidR="006C4272">
        <w:t>.</w:t>
      </w:r>
    </w:p>
    <w:p w14:paraId="5E32BCA1" w14:textId="19F9861D" w:rsidR="00826ADC" w:rsidRDefault="001548B7" w:rsidP="00364984">
      <w:pPr>
        <w:pStyle w:val="CETBodytext"/>
      </w:pPr>
      <w:r>
        <w:t>In the following section</w:t>
      </w:r>
      <w:r w:rsidR="00675BD0">
        <w:t>,</w:t>
      </w:r>
      <w:r w:rsidR="009249B1">
        <w:t xml:space="preserve"> a case study is provided in order to show </w:t>
      </w:r>
      <w:r w:rsidR="00B853B8" w:rsidDel="00675BD0">
        <w:t xml:space="preserve">the </w:t>
      </w:r>
      <w:r w:rsidR="00B853B8">
        <w:t>possible solution</w:t>
      </w:r>
      <w:r w:rsidR="003E5132">
        <w:t>s</w:t>
      </w:r>
      <w:r w:rsidR="00B853B8">
        <w:t xml:space="preserve"> to </w:t>
      </w:r>
      <w:r w:rsidR="00675BD0">
        <w:t xml:space="preserve">develop </w:t>
      </w:r>
      <w:r w:rsidR="004E449F">
        <w:t xml:space="preserve">a </w:t>
      </w:r>
      <w:r w:rsidR="00B853B8">
        <w:t>QRA for hydrogen system</w:t>
      </w:r>
      <w:r w:rsidR="003E5132">
        <w:t>s</w:t>
      </w:r>
      <w:r w:rsidR="00B853B8">
        <w:t xml:space="preserve"> </w:t>
      </w:r>
      <w:r w:rsidR="002F1585">
        <w:t xml:space="preserve">and </w:t>
      </w:r>
      <w:r w:rsidR="00D61252">
        <w:t>to compare the risk to th</w:t>
      </w:r>
      <w:r w:rsidR="004E449F">
        <w:t>at</w:t>
      </w:r>
      <w:r w:rsidR="00D61252">
        <w:t xml:space="preserve"> obtained for natural gas.</w:t>
      </w:r>
    </w:p>
    <w:p w14:paraId="5970C442" w14:textId="77777777" w:rsidR="008822D1" w:rsidRPr="00F55836" w:rsidRDefault="008822D1" w:rsidP="008822D1">
      <w:pPr>
        <w:pStyle w:val="CETBodytext"/>
      </w:pPr>
    </w:p>
    <w:p w14:paraId="78FE032E" w14:textId="77777777" w:rsidR="008822D1" w:rsidRDefault="008822D1" w:rsidP="008822D1">
      <w:pPr>
        <w:pStyle w:val="CETBodytext"/>
        <w:keepNext/>
      </w:pPr>
      <w:r>
        <w:rPr>
          <w:noProof/>
        </w:rPr>
        <w:drawing>
          <wp:inline distT="0" distB="0" distL="0" distR="0" wp14:anchorId="649B4837" wp14:editId="59908088">
            <wp:extent cx="5580000" cy="1637590"/>
            <wp:effectExtent l="0" t="0" r="1905" b="1270"/>
            <wp:docPr id="388733390" name="Picture 388733390"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33390" name="Immagine 1" descr="Immagine che contiene testo, schermata, Carattere, linea&#10;&#10;Descrizione generata automaticamente"/>
                    <pic:cNvPicPr/>
                  </pic:nvPicPr>
                  <pic:blipFill>
                    <a:blip r:embed="rId13"/>
                    <a:stretch>
                      <a:fillRect/>
                    </a:stretch>
                  </pic:blipFill>
                  <pic:spPr>
                    <a:xfrm>
                      <a:off x="0" y="0"/>
                      <a:ext cx="5580000" cy="1637590"/>
                    </a:xfrm>
                    <a:prstGeom prst="rect">
                      <a:avLst/>
                    </a:prstGeom>
                  </pic:spPr>
                </pic:pic>
              </a:graphicData>
            </a:graphic>
          </wp:inline>
        </w:drawing>
      </w:r>
    </w:p>
    <w:p w14:paraId="7264504C" w14:textId="54428054" w:rsidR="00B8551A" w:rsidRPr="005E68A8" w:rsidRDefault="008822D1" w:rsidP="007F187D">
      <w:pPr>
        <w:pStyle w:val="Didascalia"/>
        <w:rPr>
          <w:b w:val="0"/>
          <w:bCs w:val="0"/>
          <w:i/>
          <w:iCs/>
          <w:color w:val="000000" w:themeColor="text1"/>
        </w:rPr>
      </w:pPr>
      <w:r w:rsidRPr="00695033">
        <w:rPr>
          <w:b w:val="0"/>
          <w:bCs w:val="0"/>
          <w:i/>
          <w:iCs/>
          <w:color w:val="000000" w:themeColor="text1"/>
        </w:rPr>
        <w:t xml:space="preserve">Figure </w:t>
      </w:r>
      <w:r w:rsidRPr="00695033">
        <w:rPr>
          <w:b w:val="0"/>
          <w:bCs w:val="0"/>
          <w:i/>
          <w:iCs/>
          <w:color w:val="000000" w:themeColor="text1"/>
        </w:rPr>
        <w:fldChar w:fldCharType="begin"/>
      </w:r>
      <w:r w:rsidRPr="00695033">
        <w:rPr>
          <w:b w:val="0"/>
          <w:bCs w:val="0"/>
          <w:i/>
          <w:iCs/>
          <w:color w:val="000000" w:themeColor="text1"/>
        </w:rPr>
        <w:instrText xml:space="preserve"> SEQ Figure \* ARABIC </w:instrText>
      </w:r>
      <w:r w:rsidRPr="00695033">
        <w:rPr>
          <w:b w:val="0"/>
          <w:bCs w:val="0"/>
          <w:i/>
          <w:iCs/>
          <w:color w:val="000000" w:themeColor="text1"/>
        </w:rPr>
        <w:fldChar w:fldCharType="separate"/>
      </w:r>
      <w:r w:rsidR="00D91F9A">
        <w:rPr>
          <w:b w:val="0"/>
          <w:bCs w:val="0"/>
          <w:i/>
          <w:iCs/>
          <w:noProof/>
          <w:color w:val="000000" w:themeColor="text1"/>
        </w:rPr>
        <w:t>1</w:t>
      </w:r>
      <w:r w:rsidRPr="00695033">
        <w:rPr>
          <w:b w:val="0"/>
          <w:bCs w:val="0"/>
          <w:i/>
          <w:iCs/>
          <w:color w:val="000000" w:themeColor="text1"/>
        </w:rPr>
        <w:fldChar w:fldCharType="end"/>
      </w:r>
      <w:r w:rsidRPr="00695033">
        <w:rPr>
          <w:b w:val="0"/>
          <w:bCs w:val="0"/>
          <w:i/>
          <w:iCs/>
          <w:color w:val="000000" w:themeColor="text1"/>
        </w:rPr>
        <w:t xml:space="preserve">: </w:t>
      </w:r>
      <w:r w:rsidR="00EA3242" w:rsidRPr="00695033">
        <w:rPr>
          <w:b w:val="0"/>
          <w:bCs w:val="0"/>
          <w:i/>
          <w:iCs/>
          <w:color w:val="000000" w:themeColor="text1"/>
        </w:rPr>
        <w:t>Quantitative risk assessment methodology</w:t>
      </w:r>
      <w:r w:rsidR="00E613EC">
        <w:rPr>
          <w:b w:val="0"/>
          <w:bCs w:val="0"/>
          <w:i/>
          <w:iCs/>
          <w:color w:val="000000" w:themeColor="text1"/>
        </w:rPr>
        <w:t xml:space="preserve">: critical points </w:t>
      </w:r>
      <w:r w:rsidR="004E449F">
        <w:rPr>
          <w:b w:val="0"/>
          <w:bCs w:val="0"/>
          <w:i/>
          <w:iCs/>
          <w:color w:val="000000" w:themeColor="text1"/>
        </w:rPr>
        <w:t>in the application to</w:t>
      </w:r>
      <w:r w:rsidR="00E613EC">
        <w:rPr>
          <w:b w:val="0"/>
          <w:bCs w:val="0"/>
          <w:i/>
          <w:iCs/>
          <w:color w:val="000000" w:themeColor="text1"/>
        </w:rPr>
        <w:t xml:space="preserve"> Hydrogen</w:t>
      </w:r>
      <w:r w:rsidR="00364984">
        <w:rPr>
          <w:b w:val="0"/>
          <w:bCs w:val="0"/>
          <w:i/>
          <w:iCs/>
          <w:color w:val="000000" w:themeColor="text1"/>
        </w:rPr>
        <w:t>.</w:t>
      </w:r>
    </w:p>
    <w:p w14:paraId="677EBFF0" w14:textId="74401F60" w:rsidR="00600535" w:rsidRDefault="005260E0" w:rsidP="00600535">
      <w:pPr>
        <w:pStyle w:val="CETHeading1"/>
        <w:tabs>
          <w:tab w:val="right" w:pos="7100"/>
        </w:tabs>
        <w:jc w:val="both"/>
        <w:rPr>
          <w:lang w:val="en-GB"/>
        </w:rPr>
      </w:pPr>
      <w:r>
        <w:rPr>
          <w:lang w:val="en-GB"/>
        </w:rPr>
        <w:t>Case study</w:t>
      </w:r>
    </w:p>
    <w:p w14:paraId="4C02C4B5" w14:textId="087BE04A" w:rsidR="00310349" w:rsidRPr="00C053BC" w:rsidRDefault="002A1704" w:rsidP="00310349">
      <w:pPr>
        <w:rPr>
          <w:szCs w:val="18"/>
          <w:lang w:val="en-US"/>
        </w:rPr>
      </w:pPr>
      <w:r w:rsidRPr="00EE5932">
        <w:t>The</w:t>
      </w:r>
      <w:r w:rsidR="009B2D77">
        <w:t xml:space="preserve"> </w:t>
      </w:r>
      <w:r>
        <w:t>case study</w:t>
      </w:r>
      <w:r w:rsidR="00204619">
        <w:t xml:space="preserve"> </w:t>
      </w:r>
      <w:r w:rsidR="003C5A31">
        <w:t xml:space="preserve">focuses on </w:t>
      </w:r>
      <w:r w:rsidR="00B416F4">
        <w:t>th</w:t>
      </w:r>
      <w:r w:rsidR="00687C03">
        <w:t xml:space="preserve">e characterization of </w:t>
      </w:r>
      <w:r w:rsidR="00687C03" w:rsidDel="003C5A31">
        <w:t xml:space="preserve">the </w:t>
      </w:r>
      <w:r w:rsidR="00687C03">
        <w:t>risk associated to hydrogen</w:t>
      </w:r>
      <w:r w:rsidR="00C240C2">
        <w:t xml:space="preserve"> accidental releases</w:t>
      </w:r>
      <w:r w:rsidR="0082646C">
        <w:t xml:space="preserve"> from a typical facility </w:t>
      </w:r>
      <w:r w:rsidR="004E449F">
        <w:t>in the</w:t>
      </w:r>
      <w:r w:rsidR="0082646C">
        <w:t xml:space="preserve"> </w:t>
      </w:r>
      <w:r w:rsidR="004E449F">
        <w:t>energy</w:t>
      </w:r>
      <w:r w:rsidR="0082646C">
        <w:t xml:space="preserve"> industry. The </w:t>
      </w:r>
      <w:r w:rsidR="00A330BE">
        <w:t>analys</w:t>
      </w:r>
      <w:r w:rsidR="009D5204">
        <w:t>i</w:t>
      </w:r>
      <w:r w:rsidR="00B310A4">
        <w:t>s</w:t>
      </w:r>
      <w:r w:rsidR="0082646C">
        <w:t xml:space="preserve"> </w:t>
      </w:r>
      <w:r w:rsidR="004E449F">
        <w:t>had the following aims</w:t>
      </w:r>
      <w:r w:rsidR="00294F8B">
        <w:t>:</w:t>
      </w:r>
      <w:r w:rsidR="005421F9">
        <w:t xml:space="preserve"> </w:t>
      </w:r>
      <w:r w:rsidR="008F5B6F">
        <w:t xml:space="preserve">1) </w:t>
      </w:r>
      <w:r w:rsidR="00CA7D65">
        <w:t xml:space="preserve">frequency evaluation </w:t>
      </w:r>
      <w:r w:rsidR="004A0434">
        <w:t>for hydrogen release</w:t>
      </w:r>
      <w:r w:rsidR="004E449F">
        <w:t>s</w:t>
      </w:r>
      <w:r w:rsidR="004A0434">
        <w:t xml:space="preserve"> considering </w:t>
      </w:r>
      <w:r w:rsidR="004E449F">
        <w:t xml:space="preserve">the </w:t>
      </w:r>
      <w:r w:rsidR="00C52084">
        <w:t>embrittlement; 2</w:t>
      </w:r>
      <w:r w:rsidR="003F0544">
        <w:t xml:space="preserve">) </w:t>
      </w:r>
      <w:r w:rsidR="00B90E9E">
        <w:t>J</w:t>
      </w:r>
      <w:r w:rsidR="007B0E8A">
        <w:t xml:space="preserve">et </w:t>
      </w:r>
      <w:r w:rsidR="00B90E9E">
        <w:t>F</w:t>
      </w:r>
      <w:r w:rsidR="007B0E8A">
        <w:t>ire modelling</w:t>
      </w:r>
      <w:r w:rsidR="007A13C9">
        <w:t xml:space="preserve">, </w:t>
      </w:r>
      <w:r w:rsidR="003D7E4D">
        <w:t xml:space="preserve">comparing the </w:t>
      </w:r>
      <w:r w:rsidR="008E290C">
        <w:t>specific model</w:t>
      </w:r>
      <w:r w:rsidR="004E449F">
        <w:t xml:space="preserve"> available </w:t>
      </w:r>
      <w:r w:rsidR="008E290C">
        <w:t>for hydrogen</w:t>
      </w:r>
      <w:r w:rsidR="00BD67E9">
        <w:t xml:space="preserve"> </w:t>
      </w:r>
      <w:r w:rsidR="003D7E4D">
        <w:t>with</w:t>
      </w:r>
      <w:r w:rsidR="00E65F3A">
        <w:t xml:space="preserve"> </w:t>
      </w:r>
      <w:r w:rsidR="004E449F">
        <w:t>a generic  model</w:t>
      </w:r>
      <w:r w:rsidR="005E56D7">
        <w:t xml:space="preserve">, </w:t>
      </w:r>
      <w:r w:rsidR="00E93306">
        <w:t>3</w:t>
      </w:r>
      <w:r w:rsidR="003F0544">
        <w:t xml:space="preserve">) </w:t>
      </w:r>
      <w:r w:rsidR="004E449F">
        <w:t xml:space="preserve">calculation of the </w:t>
      </w:r>
      <w:r w:rsidR="007468B3">
        <w:t xml:space="preserve">overall risk profile and influence of </w:t>
      </w:r>
      <w:r w:rsidR="00551345">
        <w:t xml:space="preserve">the </w:t>
      </w:r>
      <w:r w:rsidR="00B90E9E">
        <w:t>E</w:t>
      </w:r>
      <w:r w:rsidR="001E0650">
        <w:t>xplosion</w:t>
      </w:r>
      <w:r w:rsidR="00EA550D">
        <w:t>s</w:t>
      </w:r>
      <w:r w:rsidR="001E0650">
        <w:t xml:space="preserve"> modelling</w:t>
      </w:r>
      <w:r w:rsidR="005E56D7">
        <w:t>.</w:t>
      </w:r>
      <w:r w:rsidR="00694F43">
        <w:t xml:space="preserve"> </w:t>
      </w:r>
      <w:r w:rsidR="005E56D7" w:rsidRPr="003A1702">
        <w:t>A</w:t>
      </w:r>
      <w:r w:rsidR="00694F43" w:rsidRPr="003A1702">
        <w:t xml:space="preserve">ll the results </w:t>
      </w:r>
      <w:r w:rsidR="00C16421" w:rsidRPr="003A1702">
        <w:t>were</w:t>
      </w:r>
      <w:r w:rsidR="00694F43" w:rsidRPr="003A1702">
        <w:t xml:space="preserve"> benchmarked with those obtained </w:t>
      </w:r>
      <w:r w:rsidR="001341D8" w:rsidRPr="003A1702">
        <w:t>for methane</w:t>
      </w:r>
      <w:r w:rsidR="004E449F" w:rsidRPr="003A1702">
        <w:t xml:space="preserve">, </w:t>
      </w:r>
      <w:r w:rsidR="001658D6" w:rsidRPr="003A1702">
        <w:t>u</w:t>
      </w:r>
      <w:r w:rsidR="0082646C" w:rsidRPr="003A1702">
        <w:t xml:space="preserve">sed as </w:t>
      </w:r>
      <w:r w:rsidR="004E449F" w:rsidRPr="003A1702">
        <w:t xml:space="preserve">a </w:t>
      </w:r>
      <w:r w:rsidR="0082646C" w:rsidRPr="003A1702">
        <w:t>representative substance for natural gas</w:t>
      </w:r>
      <w:r w:rsidR="0040217D" w:rsidRPr="003A1702">
        <w:t>.</w:t>
      </w:r>
      <w:r w:rsidR="008A29C2" w:rsidRPr="003A1702">
        <w:t xml:space="preserve"> </w:t>
      </w:r>
      <w:r w:rsidR="002E0E58" w:rsidRPr="00531E9D">
        <w:t xml:space="preserve">The </w:t>
      </w:r>
      <w:r w:rsidR="006D3E90" w:rsidRPr="00531E9D">
        <w:t>release</w:t>
      </w:r>
      <w:r w:rsidR="006712F0" w:rsidRPr="00531E9D">
        <w:t xml:space="preserve"> condition</w:t>
      </w:r>
      <w:r w:rsidR="00C16421" w:rsidRPr="00531E9D">
        <w:t>s</w:t>
      </w:r>
      <w:r w:rsidR="006712F0" w:rsidRPr="00531E9D">
        <w:t xml:space="preserve"> used for the analysis</w:t>
      </w:r>
      <w:r w:rsidR="0005001C" w:rsidRPr="00531E9D">
        <w:t xml:space="preserve"> are</w:t>
      </w:r>
      <w:r w:rsidR="000F182E" w:rsidRPr="00531E9D">
        <w:t xml:space="preserve"> presented in</w:t>
      </w:r>
      <w:r w:rsidR="004776D9" w:rsidRPr="00531E9D">
        <w:t xml:space="preserve"> Table </w:t>
      </w:r>
      <w:r w:rsidR="00037537" w:rsidRPr="00531E9D">
        <w:t>1</w:t>
      </w:r>
      <w:r w:rsidR="0005001C" w:rsidRPr="00531E9D">
        <w:t xml:space="preserve"> and</w:t>
      </w:r>
      <w:r w:rsidR="00037537" w:rsidRPr="00531E9D">
        <w:t xml:space="preserve"> were</w:t>
      </w:r>
      <w:r w:rsidR="0096619C" w:rsidRPr="00531E9D">
        <w:t xml:space="preserve"> obtained</w:t>
      </w:r>
      <w:r w:rsidR="00C16421" w:rsidRPr="00531E9D">
        <w:t xml:space="preserve"> considering an</w:t>
      </w:r>
      <w:r w:rsidR="0096619C" w:rsidRPr="00531E9D">
        <w:t xml:space="preserve"> isolable section </w:t>
      </w:r>
      <w:r w:rsidR="006B42B1" w:rsidRPr="00531E9D">
        <w:t xml:space="preserve">representative of </w:t>
      </w:r>
      <w:r w:rsidR="002A212B" w:rsidRPr="00531E9D">
        <w:t>an</w:t>
      </w:r>
      <w:r w:rsidR="006B42B1" w:rsidRPr="00531E9D">
        <w:t xml:space="preserve"> inlet stream </w:t>
      </w:r>
      <w:r w:rsidR="00D70785" w:rsidRPr="00531E9D">
        <w:t xml:space="preserve">to the compression unit </w:t>
      </w:r>
      <w:r w:rsidR="0096619C" w:rsidRPr="00531E9D">
        <w:t>of</w:t>
      </w:r>
      <w:r w:rsidR="00037537" w:rsidRPr="00531E9D">
        <w:t xml:space="preserve"> a</w:t>
      </w:r>
      <w:r w:rsidR="00C16421" w:rsidRPr="00531E9D">
        <w:t xml:space="preserve"> typical</w:t>
      </w:r>
      <w:r w:rsidR="00037537" w:rsidRPr="00531E9D">
        <w:t xml:space="preserve"> natural gas</w:t>
      </w:r>
      <w:r w:rsidR="001E7E07" w:rsidRPr="00531E9D">
        <w:t xml:space="preserve"> </w:t>
      </w:r>
      <w:r w:rsidR="0096619C" w:rsidRPr="00531E9D">
        <w:t xml:space="preserve">transport </w:t>
      </w:r>
      <w:r w:rsidR="00B65E95" w:rsidRPr="00531E9D">
        <w:t>plant</w:t>
      </w:r>
      <w:r w:rsidR="000B1C0F" w:rsidRPr="00531E9D">
        <w:t xml:space="preserve"> </w:t>
      </w:r>
      <w:r w:rsidR="00AB7137" w:rsidRPr="00531E9D">
        <w:t>under the assumption</w:t>
      </w:r>
      <w:r w:rsidR="00AB7137">
        <w:t xml:space="preserve"> to consider</w:t>
      </w:r>
      <w:r w:rsidR="00D722AE">
        <w:t xml:space="preserve"> </w:t>
      </w:r>
      <w:r w:rsidR="00B65E95">
        <w:t>the same process condition</w:t>
      </w:r>
      <w:r w:rsidR="00A57E41">
        <w:t>s</w:t>
      </w:r>
      <w:r w:rsidR="00A23AAA">
        <w:t xml:space="preserve"> for methane and </w:t>
      </w:r>
      <w:r w:rsidR="00A23AAA">
        <w:lastRenderedPageBreak/>
        <w:t>hydrogen</w:t>
      </w:r>
      <w:r w:rsidR="00ED305A">
        <w:t>.</w:t>
      </w:r>
      <w:r w:rsidR="003B71F8">
        <w:t xml:space="preserve"> The release frequencies were evaluated </w:t>
      </w:r>
      <w:r w:rsidR="00F74788">
        <w:t>with the IOGP database (</w:t>
      </w:r>
      <w:r w:rsidR="000530D3">
        <w:t>IOGP, 2019</w:t>
      </w:r>
      <w:r w:rsidR="00F74788">
        <w:t>) and then modified according to a methodology presented in literature</w:t>
      </w:r>
      <w:r w:rsidR="0064553F">
        <w:t xml:space="preserve"> (Milazzo et al., 2021) which allows the evaluation of a corrective factor for</w:t>
      </w:r>
      <w:r w:rsidR="00FE2D9D">
        <w:t xml:space="preserve"> the release frequencies through</w:t>
      </w:r>
      <w:r w:rsidR="00104E07">
        <w:t xml:space="preserve"> </w:t>
      </w:r>
      <w:r w:rsidR="00732382">
        <w:t>the</w:t>
      </w:r>
      <w:r w:rsidR="00104E07">
        <w:t xml:space="preserve"> analysis of the failure causes that are actually </w:t>
      </w:r>
      <w:r w:rsidR="00642D84">
        <w:t>possible in the plant and a</w:t>
      </w:r>
      <w:r w:rsidR="00732382">
        <w:t>n expert</w:t>
      </w:r>
      <w:r w:rsidR="00642D84">
        <w:t xml:space="preserve"> judgement </w:t>
      </w:r>
      <w:r w:rsidR="004771CB">
        <w:t>concerning</w:t>
      </w:r>
      <w:r w:rsidR="00732382">
        <w:t xml:space="preserve"> </w:t>
      </w:r>
      <w:r w:rsidR="00642D84">
        <w:t xml:space="preserve">the safety management system </w:t>
      </w:r>
      <w:r w:rsidR="00732382">
        <w:t xml:space="preserve">with respect </w:t>
      </w:r>
      <w:r w:rsidR="00642D84">
        <w:t>to these critical issues.</w:t>
      </w:r>
      <w:r w:rsidR="0013602B" w:rsidRPr="0013602B">
        <w:rPr>
          <w:lang w:val="en-US"/>
        </w:rPr>
        <w:t xml:space="preserve"> </w:t>
      </w:r>
      <w:r w:rsidR="0013602B">
        <w:rPr>
          <w:lang w:val="en-US"/>
        </w:rPr>
        <w:t xml:space="preserve">Therefore, the application of this methodology allowed a differentiation between the case of methane and </w:t>
      </w:r>
      <w:r w:rsidR="00732382">
        <w:rPr>
          <w:lang w:val="en-US"/>
        </w:rPr>
        <w:t>of</w:t>
      </w:r>
      <w:r w:rsidR="0013602B">
        <w:rPr>
          <w:lang w:val="en-US"/>
        </w:rPr>
        <w:t xml:space="preserve"> hydrogen</w:t>
      </w:r>
      <w:r w:rsidR="00732382">
        <w:rPr>
          <w:lang w:val="en-US"/>
        </w:rPr>
        <w:t>,</w:t>
      </w:r>
      <w:r w:rsidR="0013602B">
        <w:rPr>
          <w:lang w:val="en-US"/>
        </w:rPr>
        <w:t xml:space="preserve"> and</w:t>
      </w:r>
      <w:r w:rsidR="000624FA">
        <w:rPr>
          <w:lang w:val="en-US"/>
        </w:rPr>
        <w:t>, in particular,</w:t>
      </w:r>
      <w:r w:rsidR="006A3D03">
        <w:rPr>
          <w:lang w:val="en-US"/>
        </w:rPr>
        <w:t xml:space="preserve"> returned</w:t>
      </w:r>
      <w:r w:rsidR="0013602B">
        <w:rPr>
          <w:lang w:val="en-US"/>
        </w:rPr>
        <w:t xml:space="preserve"> a more severe condition for the latter, given the criticalities on the steel discussed previously</w:t>
      </w:r>
      <w:r w:rsidR="00732382">
        <w:rPr>
          <w:lang w:val="en-US"/>
        </w:rPr>
        <w:t>,</w:t>
      </w:r>
      <w:r w:rsidR="0013602B">
        <w:rPr>
          <w:lang w:val="en-US"/>
        </w:rPr>
        <w:t xml:space="preserve"> related to the embrittlement phenomenon</w:t>
      </w:r>
      <w:r w:rsidR="00931A10">
        <w:rPr>
          <w:lang w:val="en-US"/>
        </w:rPr>
        <w:t xml:space="preserve"> </w:t>
      </w:r>
      <w:r w:rsidR="00A834F9" w:rsidRPr="009345E6">
        <w:rPr>
          <w:lang w:val="en-US"/>
        </w:rPr>
        <w:t>(</w:t>
      </w:r>
      <w:r w:rsidR="00A834F9" w:rsidRPr="009345E6" w:rsidDel="001A78CE">
        <w:rPr>
          <w:lang w:val="en-US"/>
        </w:rPr>
        <w:t>the</w:t>
      </w:r>
      <w:r w:rsidR="00931A10" w:rsidRPr="009345E6" w:rsidDel="001A78CE">
        <w:rPr>
          <w:lang w:val="en-US"/>
        </w:rPr>
        <w:t xml:space="preserve"> </w:t>
      </w:r>
      <w:r w:rsidR="00931A10" w:rsidRPr="009345E6">
        <w:rPr>
          <w:lang w:val="en-US"/>
        </w:rPr>
        <w:t xml:space="preserve">modified release frequencies for hydrogen resulted </w:t>
      </w:r>
      <w:r w:rsidR="00441822">
        <w:rPr>
          <w:lang w:val="en-US"/>
        </w:rPr>
        <w:t>about twice</w:t>
      </w:r>
      <w:r w:rsidR="00A834F9" w:rsidRPr="009345E6">
        <w:rPr>
          <w:lang w:val="en-US"/>
        </w:rPr>
        <w:t xml:space="preserve"> those obtained for</w:t>
      </w:r>
      <w:r w:rsidR="00CB247C" w:rsidRPr="009345E6">
        <w:rPr>
          <w:lang w:val="en-US"/>
        </w:rPr>
        <w:t xml:space="preserve"> </w:t>
      </w:r>
      <w:r w:rsidR="00A834F9" w:rsidRPr="009345E6">
        <w:rPr>
          <w:lang w:val="en-US"/>
        </w:rPr>
        <w:t>methane)</w:t>
      </w:r>
      <w:r w:rsidR="00041D19" w:rsidRPr="009345E6">
        <w:rPr>
          <w:lang w:val="en-US"/>
        </w:rPr>
        <w:t>.</w:t>
      </w:r>
      <w:r w:rsidR="00584C09">
        <w:t xml:space="preserve"> </w:t>
      </w:r>
      <w:r w:rsidR="00584C09" w:rsidRPr="00B22CBE">
        <w:rPr>
          <w:lang w:val="en-US"/>
        </w:rPr>
        <w:t>Concerning the</w:t>
      </w:r>
      <w:r w:rsidR="0005001C">
        <w:rPr>
          <w:lang w:val="en-US"/>
        </w:rPr>
        <w:t xml:space="preserve"> </w:t>
      </w:r>
      <w:r w:rsidR="0070470D">
        <w:rPr>
          <w:lang w:val="en-US"/>
        </w:rPr>
        <w:t xml:space="preserve">hydrogen </w:t>
      </w:r>
      <w:r w:rsidR="00584C09" w:rsidRPr="00B22CBE">
        <w:rPr>
          <w:lang w:val="en-US"/>
        </w:rPr>
        <w:t>ignition probabilities,</w:t>
      </w:r>
      <w:r w:rsidR="0005001C">
        <w:rPr>
          <w:lang w:val="en-US"/>
        </w:rPr>
        <w:t xml:space="preserve"> </w:t>
      </w:r>
      <w:r w:rsidR="00732382">
        <w:rPr>
          <w:lang w:val="en-US"/>
        </w:rPr>
        <w:t>in the case of the</w:t>
      </w:r>
      <w:r w:rsidR="000B34CC">
        <w:rPr>
          <w:lang w:val="en-US"/>
        </w:rPr>
        <w:t xml:space="preserve"> </w:t>
      </w:r>
      <w:r w:rsidR="00B530F7">
        <w:rPr>
          <w:lang w:val="en-US"/>
        </w:rPr>
        <w:t>smaller release size</w:t>
      </w:r>
      <w:r w:rsidR="00E171CD">
        <w:rPr>
          <w:lang w:val="en-US"/>
        </w:rPr>
        <w:t xml:space="preserve"> (25.4 mm)</w:t>
      </w:r>
      <w:r w:rsidR="00B530F7">
        <w:rPr>
          <w:lang w:val="en-US"/>
        </w:rPr>
        <w:t xml:space="preserve"> </w:t>
      </w:r>
      <w:r w:rsidR="009972F0">
        <w:rPr>
          <w:lang w:val="en-US"/>
        </w:rPr>
        <w:t>they</w:t>
      </w:r>
      <w:r w:rsidR="00C2033A">
        <w:rPr>
          <w:lang w:val="en-US"/>
        </w:rPr>
        <w:t xml:space="preserve"> w</w:t>
      </w:r>
      <w:r w:rsidR="009972F0">
        <w:rPr>
          <w:lang w:val="en-US"/>
        </w:rPr>
        <w:t>ere</w:t>
      </w:r>
      <w:r w:rsidR="00C2033A">
        <w:rPr>
          <w:lang w:val="en-US"/>
        </w:rPr>
        <w:t xml:space="preserve"> </w:t>
      </w:r>
      <w:r w:rsidR="001552DB" w:rsidRPr="00B22CBE">
        <w:rPr>
          <w:lang w:val="en-US"/>
        </w:rPr>
        <w:t>evaluat</w:t>
      </w:r>
      <w:r w:rsidR="00330238">
        <w:rPr>
          <w:lang w:val="en-US"/>
        </w:rPr>
        <w:t>ed according to the</w:t>
      </w:r>
      <w:r w:rsidR="001552DB" w:rsidRPr="00B22CBE">
        <w:rPr>
          <w:lang w:val="en-US"/>
        </w:rPr>
        <w:t xml:space="preserve"> data provided</w:t>
      </w:r>
      <w:r w:rsidR="0082646C">
        <w:rPr>
          <w:lang w:val="en-US"/>
        </w:rPr>
        <w:t xml:space="preserve"> in the </w:t>
      </w:r>
      <w:r w:rsidR="001552DB" w:rsidRPr="00B22CBE">
        <w:rPr>
          <w:lang w:val="en-US"/>
        </w:rPr>
        <w:t>HyRAM</w:t>
      </w:r>
      <w:r w:rsidR="0082646C">
        <w:rPr>
          <w:lang w:val="en-US"/>
        </w:rPr>
        <w:t xml:space="preserve"> methodology (Groth at al., 2017)</w:t>
      </w:r>
      <w:r w:rsidR="00C2033A">
        <w:rPr>
          <w:lang w:val="en-US"/>
        </w:rPr>
        <w:t>.</w:t>
      </w:r>
      <w:r w:rsidR="00330238">
        <w:rPr>
          <w:lang w:val="en-US"/>
        </w:rPr>
        <w:t xml:space="preserve"> </w:t>
      </w:r>
      <w:r w:rsidR="00C2033A">
        <w:rPr>
          <w:lang w:val="en-US"/>
        </w:rPr>
        <w:t>F</w:t>
      </w:r>
      <w:r w:rsidR="00330238">
        <w:rPr>
          <w:lang w:val="en-US"/>
        </w:rPr>
        <w:t>or the other</w:t>
      </w:r>
      <w:r w:rsidR="00E171CD">
        <w:rPr>
          <w:lang w:val="en-US"/>
        </w:rPr>
        <w:t xml:space="preserve"> two</w:t>
      </w:r>
      <w:r w:rsidR="009B51F5">
        <w:rPr>
          <w:lang w:val="en-US"/>
        </w:rPr>
        <w:t xml:space="preserve"> release sizes</w:t>
      </w:r>
      <w:r w:rsidR="00E171CD">
        <w:rPr>
          <w:lang w:val="en-US"/>
        </w:rPr>
        <w:t xml:space="preserve"> considered</w:t>
      </w:r>
      <w:r w:rsidR="00785C73">
        <w:rPr>
          <w:lang w:val="en-US"/>
        </w:rPr>
        <w:t>,</w:t>
      </w:r>
      <w:r w:rsidR="00C2033A">
        <w:rPr>
          <w:lang w:val="en-US"/>
        </w:rPr>
        <w:t xml:space="preserve"> which resulted in release flow rates higher than the ranges reported in the HyRAM methodology</w:t>
      </w:r>
      <w:r w:rsidR="00785C73">
        <w:rPr>
          <w:lang w:val="en-US"/>
        </w:rPr>
        <w:t>,</w:t>
      </w:r>
      <w:r w:rsidR="009B51F5">
        <w:rPr>
          <w:lang w:val="en-US"/>
        </w:rPr>
        <w:t xml:space="preserve"> the ignition probabilities were</w:t>
      </w:r>
      <w:r w:rsidR="00147B95">
        <w:rPr>
          <w:lang w:val="en-US"/>
        </w:rPr>
        <w:t xml:space="preserve"> evaluated according to </w:t>
      </w:r>
      <w:r w:rsidR="005D11BC" w:rsidRPr="006344C7">
        <w:rPr>
          <w:lang w:val="en-US"/>
        </w:rPr>
        <w:t>analys</w:t>
      </w:r>
      <w:r w:rsidR="00546D97" w:rsidRPr="006344C7">
        <w:rPr>
          <w:lang w:val="en-US"/>
        </w:rPr>
        <w:t>e</w:t>
      </w:r>
      <w:r w:rsidR="005D11BC" w:rsidRPr="006344C7">
        <w:rPr>
          <w:lang w:val="en-US"/>
        </w:rPr>
        <w:t xml:space="preserve">s conducted on the </w:t>
      </w:r>
      <w:r w:rsidR="001658D6" w:rsidRPr="006344C7">
        <w:rPr>
          <w:lang w:val="en-US"/>
        </w:rPr>
        <w:t>international database HIAD</w:t>
      </w:r>
      <w:r w:rsidR="00280ECD">
        <w:rPr>
          <w:lang w:val="en-US"/>
        </w:rPr>
        <w:t xml:space="preserve"> 2.0</w:t>
      </w:r>
      <w:r w:rsidR="001658D6" w:rsidRPr="006344C7">
        <w:rPr>
          <w:lang w:val="en-US"/>
        </w:rPr>
        <w:t xml:space="preserve"> (</w:t>
      </w:r>
      <w:r w:rsidR="00280ECD">
        <w:rPr>
          <w:lang w:val="en-US"/>
        </w:rPr>
        <w:t>JRC, 2017</w:t>
      </w:r>
      <w:r w:rsidR="001658D6" w:rsidRPr="006344C7">
        <w:rPr>
          <w:lang w:val="en-US"/>
        </w:rPr>
        <w:t>)</w:t>
      </w:r>
      <w:r w:rsidR="00B612AD" w:rsidRPr="006344C7">
        <w:rPr>
          <w:lang w:val="en-US"/>
        </w:rPr>
        <w:t>, which is specifi</w:t>
      </w:r>
      <w:r w:rsidR="00BF5613" w:rsidRPr="006344C7">
        <w:rPr>
          <w:lang w:val="en-US"/>
        </w:rPr>
        <w:t>c for</w:t>
      </w:r>
      <w:r w:rsidR="005367CE" w:rsidRPr="006344C7">
        <w:rPr>
          <w:lang w:val="en-US"/>
        </w:rPr>
        <w:t xml:space="preserve"> inci</w:t>
      </w:r>
      <w:r w:rsidR="00BF5613" w:rsidRPr="006344C7">
        <w:rPr>
          <w:lang w:val="en-US"/>
        </w:rPr>
        <w:t>dents involving hydrogen</w:t>
      </w:r>
      <w:r w:rsidR="00C33D2E">
        <w:rPr>
          <w:lang w:val="en-US"/>
        </w:rPr>
        <w:t>.</w:t>
      </w:r>
      <w:r w:rsidR="00C2033A">
        <w:rPr>
          <w:lang w:val="en-US"/>
        </w:rPr>
        <w:t xml:space="preserve"> In particular, </w:t>
      </w:r>
      <w:r w:rsidR="00732382">
        <w:rPr>
          <w:lang w:val="en-US"/>
        </w:rPr>
        <w:t>in</w:t>
      </w:r>
      <w:r w:rsidR="00C2033A">
        <w:rPr>
          <w:lang w:val="en-US"/>
        </w:rPr>
        <w:t xml:space="preserve"> the analys</w:t>
      </w:r>
      <w:r w:rsidR="00732382">
        <w:rPr>
          <w:lang w:val="en-US"/>
        </w:rPr>
        <w:t xml:space="preserve">is of </w:t>
      </w:r>
      <w:r w:rsidR="00C2033A">
        <w:rPr>
          <w:lang w:val="en-US"/>
        </w:rPr>
        <w:t xml:space="preserve">the </w:t>
      </w:r>
      <w:r w:rsidR="00E171CD">
        <w:rPr>
          <w:lang w:val="en-US"/>
        </w:rPr>
        <w:t>database</w:t>
      </w:r>
      <w:r w:rsidR="00732382">
        <w:rPr>
          <w:lang w:val="en-US"/>
        </w:rPr>
        <w:t xml:space="preserve">, </w:t>
      </w:r>
      <w:r w:rsidR="003E7987" w:rsidRPr="009972F0">
        <w:rPr>
          <w:lang w:val="en-US"/>
        </w:rPr>
        <w:t>85</w:t>
      </w:r>
      <w:r w:rsidR="00A211BC" w:rsidRPr="009972F0">
        <w:rPr>
          <w:lang w:val="en-US"/>
        </w:rPr>
        <w:t>% of the case</w:t>
      </w:r>
      <w:r w:rsidR="00AA0888" w:rsidRPr="009972F0">
        <w:rPr>
          <w:lang w:val="en-US"/>
        </w:rPr>
        <w:t xml:space="preserve"> reported </w:t>
      </w:r>
      <w:r w:rsidR="00B22CBE" w:rsidRPr="009972F0">
        <w:rPr>
          <w:lang w:val="en-US"/>
        </w:rPr>
        <w:t>an ignition</w:t>
      </w:r>
      <w:r w:rsidR="00732382">
        <w:rPr>
          <w:lang w:val="en-US"/>
        </w:rPr>
        <w:t>. Therefore</w:t>
      </w:r>
      <w:r w:rsidR="002568CE" w:rsidRPr="009972F0">
        <w:rPr>
          <w:lang w:val="en-US"/>
        </w:rPr>
        <w:t xml:space="preserve">, </w:t>
      </w:r>
      <w:r w:rsidR="00653F87" w:rsidRPr="009972F0">
        <w:rPr>
          <w:lang w:val="en-US"/>
        </w:rPr>
        <w:t xml:space="preserve">this </w:t>
      </w:r>
      <w:r w:rsidR="00830F14" w:rsidRPr="009972F0">
        <w:rPr>
          <w:lang w:val="en-US"/>
        </w:rPr>
        <w:t>val</w:t>
      </w:r>
      <w:r w:rsidR="00653F87" w:rsidRPr="009972F0">
        <w:rPr>
          <w:lang w:val="en-US"/>
        </w:rPr>
        <w:t xml:space="preserve">ue was </w:t>
      </w:r>
      <w:r w:rsidR="002F2107" w:rsidRPr="009972F0">
        <w:rPr>
          <w:lang w:val="en-US"/>
        </w:rPr>
        <w:t xml:space="preserve">used </w:t>
      </w:r>
      <w:r w:rsidR="0005001C" w:rsidRPr="009972F0">
        <w:rPr>
          <w:lang w:val="en-US"/>
        </w:rPr>
        <w:t>as the</w:t>
      </w:r>
      <w:r w:rsidR="00820C65" w:rsidRPr="009972F0">
        <w:rPr>
          <w:lang w:val="en-US"/>
        </w:rPr>
        <w:t xml:space="preserve"> </w:t>
      </w:r>
      <w:r w:rsidR="00830F14" w:rsidRPr="009972F0">
        <w:rPr>
          <w:lang w:val="en-US"/>
        </w:rPr>
        <w:t>total ignition probability</w:t>
      </w:r>
      <w:r w:rsidR="0005001C" w:rsidRPr="009972F0">
        <w:rPr>
          <w:lang w:val="en-US"/>
        </w:rPr>
        <w:t xml:space="preserve"> associated to</w:t>
      </w:r>
      <w:r w:rsidR="00832E47">
        <w:rPr>
          <w:lang w:val="en-US"/>
        </w:rPr>
        <w:t xml:space="preserve"> </w:t>
      </w:r>
      <w:r w:rsidR="00E964E3">
        <w:rPr>
          <w:lang w:val="en-US"/>
        </w:rPr>
        <w:t>high release rates</w:t>
      </w:r>
      <w:r w:rsidR="00AF0061">
        <w:rPr>
          <w:lang w:val="en-US"/>
        </w:rPr>
        <w:t xml:space="preserve"> </w:t>
      </w:r>
      <w:r w:rsidR="00727E07" w:rsidRPr="009972F0">
        <w:rPr>
          <w:lang w:val="en-US"/>
        </w:rPr>
        <w:t xml:space="preserve">using the same </w:t>
      </w:r>
      <w:r w:rsidR="00732382">
        <w:rPr>
          <w:lang w:val="en-US"/>
        </w:rPr>
        <w:t>ratio</w:t>
      </w:r>
      <w:r w:rsidR="00727E07" w:rsidRPr="009972F0">
        <w:rPr>
          <w:lang w:val="en-US"/>
        </w:rPr>
        <w:t xml:space="preserve"> between immediate and delayed ignition </w:t>
      </w:r>
      <w:r w:rsidR="00732382">
        <w:rPr>
          <w:lang w:val="en-US"/>
        </w:rPr>
        <w:t xml:space="preserve">probabilities </w:t>
      </w:r>
      <w:r w:rsidR="00727E07" w:rsidRPr="009972F0">
        <w:rPr>
          <w:lang w:val="en-US"/>
        </w:rPr>
        <w:t>as th</w:t>
      </w:r>
      <w:r w:rsidR="00392874">
        <w:rPr>
          <w:lang w:val="en-US"/>
        </w:rPr>
        <w:t>at</w:t>
      </w:r>
      <w:r w:rsidR="00727E07" w:rsidRPr="009972F0">
        <w:rPr>
          <w:lang w:val="en-US"/>
        </w:rPr>
        <w:t xml:space="preserve"> reported in</w:t>
      </w:r>
      <w:r w:rsidR="008B68F5" w:rsidRPr="009972F0">
        <w:rPr>
          <w:lang w:val="en-US"/>
        </w:rPr>
        <w:t xml:space="preserve"> the</w:t>
      </w:r>
      <w:r w:rsidR="00727E07" w:rsidRPr="009972F0">
        <w:rPr>
          <w:lang w:val="en-US"/>
        </w:rPr>
        <w:t xml:space="preserve"> HyRAM</w:t>
      </w:r>
      <w:r w:rsidR="008B68F5" w:rsidRPr="009972F0">
        <w:rPr>
          <w:lang w:val="en-US"/>
        </w:rPr>
        <w:t xml:space="preserve"> methodology</w:t>
      </w:r>
      <w:r w:rsidR="00A05A1D" w:rsidRPr="00737C4B">
        <w:rPr>
          <w:lang w:val="en-US"/>
        </w:rPr>
        <w:t>,</w:t>
      </w:r>
      <w:r w:rsidR="00E171CD" w:rsidRPr="00737C4B">
        <w:rPr>
          <w:lang w:val="en-US"/>
        </w:rPr>
        <w:t xml:space="preserve"> which is approximately 7</w:t>
      </w:r>
      <w:r w:rsidR="00CA6641" w:rsidRPr="00737C4B">
        <w:rPr>
          <w:lang w:val="en-US"/>
        </w:rPr>
        <w:t>1</w:t>
      </w:r>
      <w:r w:rsidR="00E171CD" w:rsidRPr="00737C4B">
        <w:rPr>
          <w:lang w:val="en-US"/>
        </w:rPr>
        <w:t>/</w:t>
      </w:r>
      <w:r w:rsidR="00CA6641" w:rsidRPr="00737C4B">
        <w:rPr>
          <w:lang w:val="en-US"/>
        </w:rPr>
        <w:t>29</w:t>
      </w:r>
      <w:r w:rsidR="00E423D5" w:rsidRPr="00737C4B">
        <w:rPr>
          <w:lang w:val="en-US"/>
        </w:rPr>
        <w:t>.</w:t>
      </w:r>
      <w:r w:rsidR="0073544A" w:rsidRPr="00737C4B">
        <w:rPr>
          <w:lang w:val="en-US"/>
        </w:rPr>
        <w:t xml:space="preserve"> </w:t>
      </w:r>
      <w:r w:rsidR="00BA17DD" w:rsidRPr="00737C4B">
        <w:rPr>
          <w:lang w:val="en-US"/>
        </w:rPr>
        <w:t>The</w:t>
      </w:r>
      <w:r w:rsidR="0073544A" w:rsidRPr="00737C4B" w:rsidDel="00A61EB4">
        <w:rPr>
          <w:lang w:val="en-US"/>
        </w:rPr>
        <w:t xml:space="preserve"> </w:t>
      </w:r>
      <w:r w:rsidR="00A61EB4" w:rsidRPr="00737C4B">
        <w:rPr>
          <w:lang w:val="en-US"/>
        </w:rPr>
        <w:t>M</w:t>
      </w:r>
      <w:r w:rsidR="0073544A" w:rsidRPr="00737C4B">
        <w:rPr>
          <w:lang w:val="en-US"/>
        </w:rPr>
        <w:t>ethane ignition probabilities</w:t>
      </w:r>
      <w:r w:rsidR="001658D6" w:rsidRPr="00737C4B">
        <w:rPr>
          <w:lang w:val="en-US"/>
        </w:rPr>
        <w:t xml:space="preserve"> </w:t>
      </w:r>
      <w:r w:rsidR="0073544A" w:rsidRPr="00737C4B">
        <w:rPr>
          <w:lang w:val="en-US"/>
        </w:rPr>
        <w:t>were</w:t>
      </w:r>
      <w:r w:rsidR="00284EC0" w:rsidRPr="00737C4B">
        <w:rPr>
          <w:lang w:val="en-US"/>
        </w:rPr>
        <w:t xml:space="preserve"> evaluated</w:t>
      </w:r>
      <w:r w:rsidR="0073544A" w:rsidRPr="00737C4B">
        <w:rPr>
          <w:lang w:val="en-US"/>
        </w:rPr>
        <w:t xml:space="preserve"> according</w:t>
      </w:r>
      <w:r w:rsidR="0000533A" w:rsidRPr="00737C4B">
        <w:rPr>
          <w:lang w:val="en-US"/>
        </w:rPr>
        <w:t xml:space="preserve"> to the</w:t>
      </w:r>
      <w:r w:rsidR="00B67621" w:rsidRPr="00737C4B">
        <w:rPr>
          <w:lang w:val="en-US"/>
        </w:rPr>
        <w:t xml:space="preserve"> IP/UKOOA standard using the</w:t>
      </w:r>
      <w:r w:rsidR="00B67621">
        <w:rPr>
          <w:lang w:val="en-US"/>
        </w:rPr>
        <w:t xml:space="preserve"> </w:t>
      </w:r>
      <w:r w:rsidR="009B2D77">
        <w:rPr>
          <w:lang w:val="en-US"/>
        </w:rPr>
        <w:t>“Small Gas Plant”</w:t>
      </w:r>
      <w:r w:rsidR="00B67621">
        <w:rPr>
          <w:lang w:val="en-US"/>
        </w:rPr>
        <w:t xml:space="preserve"> look-up correlation</w:t>
      </w:r>
      <w:r w:rsidR="001658D6">
        <w:rPr>
          <w:lang w:val="en-US"/>
        </w:rPr>
        <w:t xml:space="preserve"> (</w:t>
      </w:r>
      <w:r w:rsidR="00CD433D">
        <w:rPr>
          <w:lang w:val="en-US"/>
        </w:rPr>
        <w:t>Energy Institute, 2019</w:t>
      </w:r>
      <w:r w:rsidR="001658D6">
        <w:rPr>
          <w:lang w:val="en-US"/>
        </w:rPr>
        <w:t>)</w:t>
      </w:r>
      <w:r w:rsidR="00E171CD">
        <w:rPr>
          <w:lang w:val="en-US"/>
        </w:rPr>
        <w:t xml:space="preserve"> considering a </w:t>
      </w:r>
      <w:r w:rsidR="00407360">
        <w:rPr>
          <w:lang w:val="en-US"/>
        </w:rPr>
        <w:t>30</w:t>
      </w:r>
      <w:r w:rsidR="00E171CD">
        <w:rPr>
          <w:lang w:val="en-US"/>
        </w:rPr>
        <w:t>/</w:t>
      </w:r>
      <w:r w:rsidR="00407360">
        <w:rPr>
          <w:lang w:val="en-US"/>
        </w:rPr>
        <w:t>70</w:t>
      </w:r>
      <w:r w:rsidR="00E171CD">
        <w:rPr>
          <w:lang w:val="en-US"/>
        </w:rPr>
        <w:t xml:space="preserve"> </w:t>
      </w:r>
      <w:r w:rsidR="00732382">
        <w:rPr>
          <w:lang w:val="en-US"/>
        </w:rPr>
        <w:t>ratio</w:t>
      </w:r>
      <w:r w:rsidR="00E171CD">
        <w:rPr>
          <w:lang w:val="en-US"/>
        </w:rPr>
        <w:t xml:space="preserve"> between immediate and delayed ignition for the</w:t>
      </w:r>
      <w:r w:rsidR="00407360">
        <w:rPr>
          <w:lang w:val="en-US"/>
        </w:rPr>
        <w:t xml:space="preserve"> two</w:t>
      </w:r>
      <w:r w:rsidR="00E171CD">
        <w:rPr>
          <w:lang w:val="en-US"/>
        </w:rPr>
        <w:t xml:space="preserve"> smaller release size</w:t>
      </w:r>
      <w:r w:rsidR="00407360">
        <w:rPr>
          <w:lang w:val="en-US"/>
        </w:rPr>
        <w:t>s</w:t>
      </w:r>
      <w:r w:rsidR="00E171CD">
        <w:rPr>
          <w:lang w:val="en-US"/>
        </w:rPr>
        <w:t xml:space="preserve"> and a 50/50 split fo</w:t>
      </w:r>
      <w:r w:rsidR="00407360">
        <w:rPr>
          <w:lang w:val="en-US"/>
        </w:rPr>
        <w:t>r the largest</w:t>
      </w:r>
      <w:r w:rsidR="009B2D77">
        <w:rPr>
          <w:lang w:val="en-US"/>
        </w:rPr>
        <w:t>.</w:t>
      </w:r>
      <w:r w:rsidR="004371AF">
        <w:rPr>
          <w:lang w:val="en-US"/>
        </w:rPr>
        <w:t xml:space="preserve"> </w:t>
      </w:r>
      <w:r w:rsidR="00732382">
        <w:rPr>
          <w:lang w:val="en-US"/>
        </w:rPr>
        <w:t>In</w:t>
      </w:r>
      <w:r w:rsidR="004371AF">
        <w:rPr>
          <w:lang w:val="en-US"/>
        </w:rPr>
        <w:t xml:space="preserve"> both the </w:t>
      </w:r>
      <w:r w:rsidR="00732382">
        <w:rPr>
          <w:lang w:val="en-US"/>
        </w:rPr>
        <w:t xml:space="preserve">case of </w:t>
      </w:r>
      <w:r w:rsidR="004371AF">
        <w:rPr>
          <w:lang w:val="en-US"/>
        </w:rPr>
        <w:t xml:space="preserve">hydrogen and </w:t>
      </w:r>
      <w:r w:rsidR="00732382">
        <w:rPr>
          <w:lang w:val="en-US"/>
        </w:rPr>
        <w:t>of</w:t>
      </w:r>
      <w:r w:rsidR="004371AF">
        <w:rPr>
          <w:lang w:val="en-US"/>
        </w:rPr>
        <w:t xml:space="preserve"> methane, </w:t>
      </w:r>
      <w:r w:rsidR="00D62507">
        <w:rPr>
          <w:lang w:val="en-US"/>
        </w:rPr>
        <w:t xml:space="preserve">the </w:t>
      </w:r>
      <w:r w:rsidR="00E44A56">
        <w:rPr>
          <w:lang w:val="en-US"/>
        </w:rPr>
        <w:t>E</w:t>
      </w:r>
      <w:r w:rsidR="00D62507">
        <w:rPr>
          <w:lang w:val="en-US"/>
        </w:rPr>
        <w:t xml:space="preserve">xplosion probability given a delayed ignition </w:t>
      </w:r>
      <w:r w:rsidR="004371AF">
        <w:rPr>
          <w:lang w:val="en-US"/>
        </w:rPr>
        <w:t>was</w:t>
      </w:r>
      <w:r w:rsidR="00D62507">
        <w:rPr>
          <w:lang w:val="en-US"/>
        </w:rPr>
        <w:t xml:space="preserve"> </w:t>
      </w:r>
      <w:r w:rsidR="00732382">
        <w:rPr>
          <w:lang w:val="en-US"/>
        </w:rPr>
        <w:t>considered equal to</w:t>
      </w:r>
      <w:r w:rsidR="00D62507">
        <w:rPr>
          <w:lang w:val="en-US"/>
        </w:rPr>
        <w:t xml:space="preserve"> 40% for all the release sizes </w:t>
      </w:r>
      <w:r w:rsidR="00752633">
        <w:rPr>
          <w:lang w:val="en-US"/>
        </w:rPr>
        <w:t xml:space="preserve">considered. </w:t>
      </w:r>
      <w:r w:rsidR="00752633" w:rsidRPr="003A1702">
        <w:rPr>
          <w:lang w:val="en-US"/>
        </w:rPr>
        <w:t>All</w:t>
      </w:r>
      <w:r w:rsidR="00B67621" w:rsidRPr="003A1702">
        <w:rPr>
          <w:lang w:val="en-US"/>
        </w:rPr>
        <w:t xml:space="preserve"> the analysis developed for the case study were conducted with the aid of the risk-specific software DNV SAFETI</w:t>
      </w:r>
      <w:r w:rsidR="003A1702">
        <w:rPr>
          <w:lang w:val="en-US"/>
        </w:rPr>
        <w:t xml:space="preserve"> </w:t>
      </w:r>
      <w:r w:rsidR="00C75104">
        <w:rPr>
          <w:lang w:val="en-US"/>
        </w:rPr>
        <w:t xml:space="preserve">and the damage associated to the modelled scenarios was assessed as follows: </w:t>
      </w:r>
      <w:r w:rsidR="003A585E">
        <w:rPr>
          <w:lang w:val="en-US"/>
        </w:rPr>
        <w:t xml:space="preserve">a) </w:t>
      </w:r>
      <w:r w:rsidR="00C75104">
        <w:rPr>
          <w:lang w:val="en-US"/>
        </w:rPr>
        <w:t xml:space="preserve">for </w:t>
      </w:r>
      <w:r w:rsidR="0090116B">
        <w:rPr>
          <w:lang w:val="en-US"/>
        </w:rPr>
        <w:t>J</w:t>
      </w:r>
      <w:r w:rsidR="00C75104">
        <w:rPr>
          <w:lang w:val="en-US"/>
        </w:rPr>
        <w:t xml:space="preserve">et </w:t>
      </w:r>
      <w:r w:rsidR="0090116B">
        <w:rPr>
          <w:lang w:val="en-US"/>
        </w:rPr>
        <w:t>F</w:t>
      </w:r>
      <w:r w:rsidR="00C75104">
        <w:rPr>
          <w:lang w:val="en-US"/>
        </w:rPr>
        <w:t>ires</w:t>
      </w:r>
      <w:r w:rsidR="00732382">
        <w:rPr>
          <w:lang w:val="en-US"/>
        </w:rPr>
        <w:t>, a</w:t>
      </w:r>
      <w:r w:rsidR="00C75104">
        <w:rPr>
          <w:lang w:val="en-US"/>
        </w:rPr>
        <w:t xml:space="preserve"> default Probit function </w:t>
      </w:r>
      <w:r w:rsidR="00732382">
        <w:rPr>
          <w:lang w:val="en-US"/>
        </w:rPr>
        <w:t xml:space="preserve">was </w:t>
      </w:r>
      <w:r w:rsidR="00C75104">
        <w:rPr>
          <w:lang w:val="en-US"/>
        </w:rPr>
        <w:t>implemented in the software</w:t>
      </w:r>
      <w:r w:rsidR="00732382">
        <w:rPr>
          <w:lang w:val="en-US"/>
        </w:rPr>
        <w:t>,</w:t>
      </w:r>
      <w:r w:rsidR="00C75104">
        <w:rPr>
          <w:lang w:val="en-US"/>
        </w:rPr>
        <w:t xml:space="preserve"> considering an exposure time of 20 s</w:t>
      </w:r>
      <w:r w:rsidR="00F05AB7">
        <w:rPr>
          <w:lang w:val="en-US"/>
        </w:rPr>
        <w:t>;</w:t>
      </w:r>
      <w:r w:rsidR="00C75104">
        <w:rPr>
          <w:lang w:val="en-US"/>
        </w:rPr>
        <w:t xml:space="preserve"> </w:t>
      </w:r>
      <w:r w:rsidR="003811B3">
        <w:rPr>
          <w:lang w:val="en-US"/>
        </w:rPr>
        <w:t>b</w:t>
      </w:r>
      <w:r w:rsidR="00F05AB7">
        <w:rPr>
          <w:lang w:val="en-US"/>
        </w:rPr>
        <w:t xml:space="preserve">) </w:t>
      </w:r>
      <w:r w:rsidR="00C75104">
        <w:rPr>
          <w:lang w:val="en-US"/>
        </w:rPr>
        <w:t xml:space="preserve">for </w:t>
      </w:r>
      <w:r w:rsidR="0090116B">
        <w:rPr>
          <w:lang w:val="en-US"/>
        </w:rPr>
        <w:t>F</w:t>
      </w:r>
      <w:r w:rsidR="00C75104">
        <w:rPr>
          <w:lang w:val="en-US"/>
        </w:rPr>
        <w:t xml:space="preserve">lash </w:t>
      </w:r>
      <w:r w:rsidR="0090116B">
        <w:rPr>
          <w:lang w:val="en-US"/>
        </w:rPr>
        <w:t>F</w:t>
      </w:r>
      <w:r w:rsidR="00C75104">
        <w:rPr>
          <w:lang w:val="en-US"/>
        </w:rPr>
        <w:t>ires a 100% lethality at the LFL concentration and a 50</w:t>
      </w:r>
      <w:r w:rsidR="001658D6">
        <w:rPr>
          <w:lang w:val="en-US"/>
        </w:rPr>
        <w:t xml:space="preserve"> </w:t>
      </w:r>
      <w:r w:rsidR="00C75104">
        <w:rPr>
          <w:lang w:val="en-US"/>
        </w:rPr>
        <w:t>% of lethality at the LFL/2 concentration</w:t>
      </w:r>
      <w:r w:rsidR="00F05AB7">
        <w:rPr>
          <w:lang w:val="en-US"/>
        </w:rPr>
        <w:t xml:space="preserve"> </w:t>
      </w:r>
      <w:r w:rsidR="00732382">
        <w:rPr>
          <w:lang w:val="en-US"/>
        </w:rPr>
        <w:t>were</w:t>
      </w:r>
      <w:r w:rsidR="00F05AB7">
        <w:rPr>
          <w:lang w:val="en-US"/>
        </w:rPr>
        <w:t xml:space="preserve"> </w:t>
      </w:r>
      <w:r w:rsidR="0090116B">
        <w:rPr>
          <w:lang w:val="en-US"/>
        </w:rPr>
        <w:t>assumed;</w:t>
      </w:r>
      <w:r w:rsidR="00C75104">
        <w:rPr>
          <w:lang w:val="en-US"/>
        </w:rPr>
        <w:t xml:space="preserve"> </w:t>
      </w:r>
      <w:r w:rsidR="0090116B">
        <w:rPr>
          <w:lang w:val="en-US"/>
        </w:rPr>
        <w:t xml:space="preserve">c) </w:t>
      </w:r>
      <w:r w:rsidR="00C75104">
        <w:rPr>
          <w:lang w:val="en-US"/>
        </w:rPr>
        <w:t xml:space="preserve">for </w:t>
      </w:r>
      <w:r w:rsidR="0090116B">
        <w:rPr>
          <w:lang w:val="en-US"/>
        </w:rPr>
        <w:t>E</w:t>
      </w:r>
      <w:r w:rsidR="00C75104">
        <w:rPr>
          <w:lang w:val="en-US"/>
        </w:rPr>
        <w:t>xplosions</w:t>
      </w:r>
      <w:r w:rsidR="00732382">
        <w:rPr>
          <w:lang w:val="en-US"/>
        </w:rPr>
        <w:t>,</w:t>
      </w:r>
      <w:r w:rsidR="00C75104">
        <w:rPr>
          <w:lang w:val="en-US"/>
        </w:rPr>
        <w:t xml:space="preserve"> four levels of overpressure </w:t>
      </w:r>
      <w:r w:rsidR="00732382">
        <w:rPr>
          <w:lang w:val="en-US"/>
        </w:rPr>
        <w:t>(</w:t>
      </w:r>
      <w:r w:rsidR="00C75104">
        <w:rPr>
          <w:lang w:val="en-US"/>
        </w:rPr>
        <w:t>0</w:t>
      </w:r>
      <w:r w:rsidR="002E7414">
        <w:rPr>
          <w:lang w:val="en-US"/>
        </w:rPr>
        <w:t>.</w:t>
      </w:r>
      <w:r w:rsidR="00C75104">
        <w:rPr>
          <w:lang w:val="en-US"/>
        </w:rPr>
        <w:t>3 bar, 0</w:t>
      </w:r>
      <w:r w:rsidR="002E7414">
        <w:rPr>
          <w:lang w:val="en-US"/>
        </w:rPr>
        <w:t>.</w:t>
      </w:r>
      <w:r w:rsidR="00C75104">
        <w:rPr>
          <w:lang w:val="en-US"/>
        </w:rPr>
        <w:t>14 bar, 0</w:t>
      </w:r>
      <w:r w:rsidR="002E7414">
        <w:rPr>
          <w:lang w:val="en-US"/>
        </w:rPr>
        <w:t>.</w:t>
      </w:r>
      <w:r w:rsidR="00C75104">
        <w:rPr>
          <w:lang w:val="en-US"/>
        </w:rPr>
        <w:t>07 bar and 0</w:t>
      </w:r>
      <w:r w:rsidR="002E7414">
        <w:rPr>
          <w:lang w:val="en-US"/>
        </w:rPr>
        <w:t>.</w:t>
      </w:r>
      <w:r w:rsidR="00C75104">
        <w:rPr>
          <w:lang w:val="en-US"/>
        </w:rPr>
        <w:t>03 bar</w:t>
      </w:r>
      <w:r w:rsidR="00732382">
        <w:rPr>
          <w:lang w:val="en-US"/>
        </w:rPr>
        <w:t>)</w:t>
      </w:r>
      <w:r w:rsidR="00FD55AE">
        <w:rPr>
          <w:lang w:val="en-US"/>
        </w:rPr>
        <w:t xml:space="preserve"> </w:t>
      </w:r>
      <w:r w:rsidR="0090116B">
        <w:rPr>
          <w:lang w:val="en-US"/>
        </w:rPr>
        <w:t>ha</w:t>
      </w:r>
      <w:r w:rsidR="00FD55AE">
        <w:rPr>
          <w:lang w:val="en-US"/>
        </w:rPr>
        <w:t>ve</w:t>
      </w:r>
      <w:r w:rsidR="0090116B">
        <w:rPr>
          <w:lang w:val="en-US"/>
        </w:rPr>
        <w:t xml:space="preserve"> been </w:t>
      </w:r>
      <w:r w:rsidR="00FD55AE">
        <w:rPr>
          <w:lang w:val="en-US"/>
        </w:rPr>
        <w:t>considered</w:t>
      </w:r>
      <w:r w:rsidR="00732382">
        <w:rPr>
          <w:lang w:val="en-US"/>
        </w:rPr>
        <w:t>,</w:t>
      </w:r>
      <w:r w:rsidR="00C75104">
        <w:rPr>
          <w:lang w:val="en-US"/>
        </w:rPr>
        <w:t xml:space="preserve"> </w:t>
      </w:r>
      <w:r w:rsidR="00BA2F01">
        <w:rPr>
          <w:lang w:val="en-US"/>
        </w:rPr>
        <w:t xml:space="preserve">attributing a </w:t>
      </w:r>
      <w:r w:rsidR="005304F3">
        <w:rPr>
          <w:lang w:val="en-US"/>
        </w:rPr>
        <w:t>corresponding lethality of 100%,</w:t>
      </w:r>
      <w:r w:rsidR="00A51F96">
        <w:rPr>
          <w:lang w:val="en-US"/>
        </w:rPr>
        <w:t xml:space="preserve"> </w:t>
      </w:r>
      <w:r w:rsidR="005304F3">
        <w:rPr>
          <w:lang w:val="en-US"/>
        </w:rPr>
        <w:t>70%,</w:t>
      </w:r>
      <w:r w:rsidR="00A51F96">
        <w:rPr>
          <w:lang w:val="en-US"/>
        </w:rPr>
        <w:t xml:space="preserve"> </w:t>
      </w:r>
      <w:r w:rsidR="005304F3">
        <w:rPr>
          <w:lang w:val="en-US"/>
        </w:rPr>
        <w:t>50% and 30%.</w:t>
      </w:r>
      <w:r w:rsidR="009754AC">
        <w:rPr>
          <w:lang w:val="en-US"/>
        </w:rPr>
        <w:t xml:space="preserve"> All scenarios were modelled considering </w:t>
      </w:r>
      <w:r w:rsidR="009D23EF">
        <w:rPr>
          <w:lang w:val="en-US"/>
        </w:rPr>
        <w:t>a</w:t>
      </w:r>
      <w:r w:rsidR="009754AC">
        <w:rPr>
          <w:lang w:val="en-US"/>
        </w:rPr>
        <w:t xml:space="preserve"> horizontal release and two weather condition: 5D (Wind speed</w:t>
      </w:r>
      <w:r w:rsidR="000F2E8C">
        <w:rPr>
          <w:lang w:val="en-US"/>
        </w:rPr>
        <w:t xml:space="preserve"> of </w:t>
      </w:r>
      <w:r w:rsidR="00C67AF0">
        <w:rPr>
          <w:lang w:val="en-US"/>
        </w:rPr>
        <w:t xml:space="preserve">5 m/s and Pasquill class D) and 2F </w:t>
      </w:r>
      <w:r w:rsidR="00C22C65">
        <w:rPr>
          <w:lang w:val="en-US"/>
        </w:rPr>
        <w:t>(Wind</w:t>
      </w:r>
      <w:r w:rsidR="00C67AF0">
        <w:rPr>
          <w:lang w:val="en-US"/>
        </w:rPr>
        <w:t xml:space="preserve"> speed </w:t>
      </w:r>
      <w:r w:rsidR="000F2E8C">
        <w:rPr>
          <w:lang w:val="en-US"/>
        </w:rPr>
        <w:t>of</w:t>
      </w:r>
      <w:r w:rsidR="00C67AF0">
        <w:rPr>
          <w:lang w:val="en-US"/>
        </w:rPr>
        <w:t xml:space="preserve"> 2 m/s and Pasquill</w:t>
      </w:r>
      <w:r w:rsidR="009972F0">
        <w:rPr>
          <w:lang w:val="en-US"/>
        </w:rPr>
        <w:t xml:space="preserve"> </w:t>
      </w:r>
      <w:r w:rsidR="00C67AF0">
        <w:rPr>
          <w:lang w:val="en-US"/>
        </w:rPr>
        <w:t>class F).</w:t>
      </w:r>
      <w:r w:rsidR="009C6E8A">
        <w:rPr>
          <w:lang w:val="en-US"/>
        </w:rPr>
        <w:t xml:space="preserve"> </w:t>
      </w:r>
    </w:p>
    <w:p w14:paraId="58402B0B" w14:textId="77777777" w:rsidR="00310349" w:rsidRPr="00C053BC" w:rsidRDefault="00310349" w:rsidP="00310349">
      <w:pPr>
        <w:rPr>
          <w:szCs w:val="18"/>
          <w:lang w:val="en-US"/>
        </w:rPr>
      </w:pPr>
    </w:p>
    <w:p w14:paraId="2B14FE49" w14:textId="59542B46" w:rsidR="00D1084B" w:rsidRPr="009972F0" w:rsidRDefault="00D1084B" w:rsidP="00D1084B">
      <w:pPr>
        <w:pStyle w:val="Didascalia"/>
        <w:keepNext/>
        <w:rPr>
          <w:b w:val="0"/>
          <w:bCs w:val="0"/>
          <w:i/>
          <w:iCs/>
          <w:color w:val="auto"/>
        </w:rPr>
      </w:pPr>
      <w:r w:rsidRPr="009972F0">
        <w:rPr>
          <w:b w:val="0"/>
          <w:bCs w:val="0"/>
          <w:i/>
          <w:iCs/>
          <w:color w:val="auto"/>
        </w:rPr>
        <w:t xml:space="preserve">Table 1: </w:t>
      </w:r>
      <w:r w:rsidR="005112CA" w:rsidRPr="009972F0">
        <w:rPr>
          <w:b w:val="0"/>
          <w:bCs w:val="0"/>
          <w:i/>
          <w:iCs/>
          <w:color w:val="auto"/>
        </w:rPr>
        <w:t xml:space="preserve">Case Study </w:t>
      </w:r>
      <w:r w:rsidRPr="009972F0">
        <w:rPr>
          <w:b w:val="0"/>
          <w:bCs w:val="0"/>
          <w:i/>
          <w:iCs/>
          <w:color w:val="auto"/>
        </w:rPr>
        <w:t xml:space="preserve">Release </w:t>
      </w:r>
      <w:r w:rsidR="005112CA" w:rsidRPr="009972F0">
        <w:rPr>
          <w:b w:val="0"/>
          <w:bCs w:val="0"/>
          <w:i/>
          <w:iCs/>
          <w:color w:val="auto"/>
        </w:rPr>
        <w:t>C</w:t>
      </w:r>
      <w:r w:rsidRPr="009972F0">
        <w:rPr>
          <w:b w:val="0"/>
          <w:bCs w:val="0"/>
          <w:i/>
          <w:iCs/>
          <w:color w:val="auto"/>
        </w:rPr>
        <w:t>ondition</w:t>
      </w:r>
      <w:r w:rsidR="005112CA" w:rsidRPr="009972F0">
        <w:rPr>
          <w:b w:val="0"/>
          <w:bCs w:val="0"/>
          <w:i/>
          <w:iCs/>
          <w:color w:val="auto"/>
        </w:rPr>
        <w:t>s</w:t>
      </w:r>
      <w:r w:rsidRPr="009972F0">
        <w:rPr>
          <w:b w:val="0"/>
          <w:bCs w:val="0"/>
          <w:i/>
          <w:iCs/>
          <w:color w:val="auto"/>
        </w:rPr>
        <w:t xml:space="preserve"> </w:t>
      </w:r>
      <w:r w:rsidR="009972F0" w:rsidRPr="009972F0">
        <w:rPr>
          <w:b w:val="0"/>
          <w:bCs w:val="0"/>
          <w:i/>
          <w:iCs/>
          <w:color w:val="auto"/>
        </w:rPr>
        <w:t>(P</w:t>
      </w:r>
      <w:r w:rsidR="009972F0" w:rsidRPr="009972F0">
        <w:rPr>
          <w:b w:val="0"/>
          <w:bCs w:val="0"/>
          <w:i/>
          <w:iCs/>
          <w:color w:val="auto"/>
          <w:vertAlign w:val="subscript"/>
        </w:rPr>
        <w:t>TOT,ign</w:t>
      </w:r>
      <w:r w:rsidR="009972F0" w:rsidRPr="009972F0">
        <w:rPr>
          <w:b w:val="0"/>
          <w:bCs w:val="0"/>
          <w:i/>
          <w:iCs/>
          <w:color w:val="auto"/>
        </w:rPr>
        <w:t>: Total ignition probability)</w:t>
      </w:r>
    </w:p>
    <w:tbl>
      <w:tblPr>
        <w:tblpPr w:leftFromText="141" w:rightFromText="141" w:vertAnchor="text" w:horzAnchor="margin" w:tblpY="77"/>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58"/>
        <w:gridCol w:w="558"/>
        <w:gridCol w:w="727"/>
        <w:gridCol w:w="1276"/>
        <w:gridCol w:w="1276"/>
        <w:gridCol w:w="708"/>
        <w:gridCol w:w="1418"/>
        <w:gridCol w:w="1417"/>
        <w:gridCol w:w="709"/>
      </w:tblGrid>
      <w:tr w:rsidR="001834D1" w:rsidRPr="00B57B36" w14:paraId="55B3ED8E" w14:textId="77777777" w:rsidTr="00AE4A3A">
        <w:trPr>
          <w:trHeight w:val="235"/>
        </w:trPr>
        <w:tc>
          <w:tcPr>
            <w:tcW w:w="558" w:type="dxa"/>
            <w:vMerge w:val="restart"/>
            <w:tcBorders>
              <w:top w:val="single" w:sz="12" w:space="0" w:color="008000"/>
            </w:tcBorders>
            <w:shd w:val="clear" w:color="auto" w:fill="FFFFFF"/>
          </w:tcPr>
          <w:p w14:paraId="4145EAE2" w14:textId="77777777" w:rsidR="000B0B32" w:rsidRDefault="00980D34" w:rsidP="001223C7">
            <w:pPr>
              <w:pStyle w:val="CETBodytext"/>
              <w:jc w:val="left"/>
              <w:rPr>
                <w:lang w:val="en-GB"/>
              </w:rPr>
            </w:pPr>
            <w:r>
              <w:rPr>
                <w:lang w:val="en-GB"/>
              </w:rPr>
              <w:t xml:space="preserve">P </w:t>
            </w:r>
          </w:p>
          <w:p w14:paraId="16D671D6" w14:textId="438ADCD0" w:rsidR="00980D34" w:rsidRPr="00B57B36" w:rsidRDefault="00980D34" w:rsidP="00403E9B">
            <w:pPr>
              <w:pStyle w:val="CETBodytext"/>
              <w:jc w:val="left"/>
              <w:rPr>
                <w:lang w:val="en-GB"/>
              </w:rPr>
            </w:pPr>
            <w:r>
              <w:rPr>
                <w:lang w:val="en-GB"/>
              </w:rPr>
              <w:t>(bar)</w:t>
            </w:r>
          </w:p>
        </w:tc>
        <w:tc>
          <w:tcPr>
            <w:tcW w:w="558" w:type="dxa"/>
            <w:vMerge w:val="restart"/>
            <w:tcBorders>
              <w:top w:val="single" w:sz="12" w:space="0" w:color="008000"/>
            </w:tcBorders>
            <w:shd w:val="clear" w:color="auto" w:fill="FFFFFF"/>
          </w:tcPr>
          <w:p w14:paraId="6BE8534B" w14:textId="77777777" w:rsidR="000B0B32" w:rsidRDefault="00980D34" w:rsidP="001223C7">
            <w:pPr>
              <w:pStyle w:val="CETBodytext"/>
              <w:jc w:val="left"/>
              <w:rPr>
                <w:lang w:val="en-GB"/>
              </w:rPr>
            </w:pPr>
            <w:r>
              <w:rPr>
                <w:lang w:val="en-GB"/>
              </w:rPr>
              <w:t xml:space="preserve">T </w:t>
            </w:r>
          </w:p>
          <w:p w14:paraId="3BD9EB05" w14:textId="268F8B86" w:rsidR="00980D34" w:rsidRPr="00AC3226" w:rsidRDefault="00980D34" w:rsidP="00403E9B">
            <w:pPr>
              <w:pStyle w:val="CETBodytext"/>
              <w:jc w:val="left"/>
              <w:rPr>
                <w:lang w:val="en-GB"/>
              </w:rPr>
            </w:pPr>
            <w:r>
              <w:rPr>
                <w:lang w:val="en-GB"/>
              </w:rPr>
              <w:t>(°C)</w:t>
            </w:r>
          </w:p>
        </w:tc>
        <w:tc>
          <w:tcPr>
            <w:tcW w:w="727" w:type="dxa"/>
            <w:vMerge w:val="restart"/>
            <w:tcBorders>
              <w:top w:val="single" w:sz="12" w:space="0" w:color="008000"/>
              <w:right w:val="single" w:sz="4" w:space="0" w:color="9BBB59" w:themeColor="accent3"/>
            </w:tcBorders>
            <w:shd w:val="clear" w:color="auto" w:fill="FFFFFF"/>
          </w:tcPr>
          <w:p w14:paraId="3219F536" w14:textId="77777777" w:rsidR="00980D34" w:rsidRPr="00AC3226" w:rsidRDefault="00980D34" w:rsidP="00403E9B">
            <w:pPr>
              <w:pStyle w:val="CETBodytext"/>
              <w:jc w:val="left"/>
              <w:rPr>
                <w:lang w:val="en-GB"/>
              </w:rPr>
            </w:pPr>
            <w:r>
              <w:rPr>
                <w:lang w:val="en-GB"/>
              </w:rPr>
              <w:t>Hole size (mm)</w:t>
            </w:r>
          </w:p>
        </w:tc>
        <w:tc>
          <w:tcPr>
            <w:tcW w:w="3260" w:type="dxa"/>
            <w:gridSpan w:val="3"/>
            <w:tcBorders>
              <w:top w:val="single" w:sz="12" w:space="0" w:color="008000"/>
              <w:left w:val="single" w:sz="4" w:space="0" w:color="9BBB59" w:themeColor="accent3"/>
              <w:bottom w:val="nil"/>
              <w:right w:val="single" w:sz="4" w:space="0" w:color="9BBB59" w:themeColor="accent3"/>
            </w:tcBorders>
            <w:shd w:val="clear" w:color="auto" w:fill="FFFFFF"/>
          </w:tcPr>
          <w:p w14:paraId="28E0DCA7" w14:textId="77777777" w:rsidR="00980D34" w:rsidRDefault="00980D34" w:rsidP="00403E9B">
            <w:pPr>
              <w:pStyle w:val="CETBodytext"/>
              <w:jc w:val="left"/>
              <w:rPr>
                <w:lang w:val="en-GB"/>
              </w:rPr>
            </w:pPr>
            <w:r>
              <w:rPr>
                <w:lang w:val="en-GB"/>
              </w:rPr>
              <w:t>CH</w:t>
            </w:r>
            <w:r>
              <w:rPr>
                <w:vertAlign w:val="subscript"/>
                <w:lang w:val="en-GB"/>
              </w:rPr>
              <w:t>4</w:t>
            </w:r>
          </w:p>
        </w:tc>
        <w:tc>
          <w:tcPr>
            <w:tcW w:w="3544" w:type="dxa"/>
            <w:gridSpan w:val="3"/>
            <w:tcBorders>
              <w:top w:val="single" w:sz="12" w:space="0" w:color="008000"/>
              <w:left w:val="single" w:sz="4" w:space="0" w:color="9BBB59" w:themeColor="accent3"/>
              <w:bottom w:val="nil"/>
            </w:tcBorders>
            <w:shd w:val="clear" w:color="auto" w:fill="FFFFFF"/>
          </w:tcPr>
          <w:p w14:paraId="557DC9CF" w14:textId="77777777" w:rsidR="00980D34" w:rsidRDefault="00980D34" w:rsidP="00403E9B">
            <w:pPr>
              <w:pStyle w:val="CETBodytext"/>
              <w:jc w:val="left"/>
              <w:rPr>
                <w:lang w:val="en-GB"/>
              </w:rPr>
            </w:pPr>
            <w:r>
              <w:rPr>
                <w:lang w:val="en-GB"/>
              </w:rPr>
              <w:t>H</w:t>
            </w:r>
            <w:r>
              <w:rPr>
                <w:vertAlign w:val="subscript"/>
                <w:lang w:val="en-GB"/>
              </w:rPr>
              <w:t>2</w:t>
            </w:r>
          </w:p>
        </w:tc>
      </w:tr>
      <w:tr w:rsidR="00EC1C9D" w:rsidRPr="008965BE" w14:paraId="3E5F38DF" w14:textId="77777777" w:rsidTr="00AE4A3A">
        <w:trPr>
          <w:trHeight w:val="235"/>
        </w:trPr>
        <w:tc>
          <w:tcPr>
            <w:tcW w:w="558" w:type="dxa"/>
            <w:vMerge/>
            <w:shd w:val="clear" w:color="auto" w:fill="FFFFFF"/>
          </w:tcPr>
          <w:p w14:paraId="72AD34E1" w14:textId="77777777" w:rsidR="00980D34" w:rsidRPr="00B57B36" w:rsidRDefault="00980D34" w:rsidP="00403E9B">
            <w:pPr>
              <w:pStyle w:val="CETBodytext"/>
              <w:jc w:val="left"/>
              <w:rPr>
                <w:lang w:val="en-GB"/>
              </w:rPr>
            </w:pPr>
          </w:p>
        </w:tc>
        <w:tc>
          <w:tcPr>
            <w:tcW w:w="558" w:type="dxa"/>
            <w:vMerge/>
            <w:shd w:val="clear" w:color="auto" w:fill="FFFFFF"/>
          </w:tcPr>
          <w:p w14:paraId="79D282D6" w14:textId="77777777" w:rsidR="00980D34" w:rsidRPr="00B57B36" w:rsidRDefault="00980D34" w:rsidP="00403E9B">
            <w:pPr>
              <w:pStyle w:val="CETBodytext"/>
              <w:jc w:val="left"/>
              <w:rPr>
                <w:lang w:val="en-GB"/>
              </w:rPr>
            </w:pPr>
          </w:p>
        </w:tc>
        <w:tc>
          <w:tcPr>
            <w:tcW w:w="727" w:type="dxa"/>
            <w:vMerge/>
            <w:tcBorders>
              <w:right w:val="single" w:sz="4" w:space="0" w:color="9BBB59" w:themeColor="accent3"/>
            </w:tcBorders>
            <w:shd w:val="clear" w:color="auto" w:fill="FFFFFF"/>
          </w:tcPr>
          <w:p w14:paraId="1BF2498D" w14:textId="77777777" w:rsidR="00980D34" w:rsidRPr="00B57B36" w:rsidRDefault="00980D34" w:rsidP="00403E9B">
            <w:pPr>
              <w:pStyle w:val="CETBodytext"/>
              <w:jc w:val="left"/>
              <w:rPr>
                <w:lang w:val="en-GB"/>
              </w:rPr>
            </w:pPr>
          </w:p>
        </w:tc>
        <w:tc>
          <w:tcPr>
            <w:tcW w:w="1276" w:type="dxa"/>
            <w:tcBorders>
              <w:top w:val="nil"/>
              <w:left w:val="single" w:sz="4" w:space="0" w:color="9BBB59" w:themeColor="accent3"/>
              <w:bottom w:val="nil"/>
            </w:tcBorders>
            <w:shd w:val="clear" w:color="auto" w:fill="FFFFFF"/>
          </w:tcPr>
          <w:p w14:paraId="38FC58CD" w14:textId="77777777" w:rsidR="00980D34" w:rsidRPr="00B57B36" w:rsidRDefault="00980D34" w:rsidP="00403E9B">
            <w:pPr>
              <w:pStyle w:val="CETBodytext"/>
              <w:jc w:val="left"/>
              <w:rPr>
                <w:lang w:val="en-GB"/>
              </w:rPr>
            </w:pPr>
            <w:r>
              <w:rPr>
                <w:lang w:val="en-GB"/>
              </w:rPr>
              <w:t>Release frequency (ev/y)</w:t>
            </w:r>
          </w:p>
        </w:tc>
        <w:tc>
          <w:tcPr>
            <w:tcW w:w="1276" w:type="dxa"/>
            <w:shd w:val="clear" w:color="auto" w:fill="FFFFFF"/>
          </w:tcPr>
          <w:p w14:paraId="6306F2A2" w14:textId="77777777" w:rsidR="00AE4A3A" w:rsidRDefault="00980D34" w:rsidP="001223C7">
            <w:pPr>
              <w:pStyle w:val="CETBodytext"/>
              <w:jc w:val="left"/>
              <w:rPr>
                <w:lang w:val="en-GB"/>
              </w:rPr>
            </w:pPr>
            <w:r>
              <w:rPr>
                <w:lang w:val="en-GB"/>
              </w:rPr>
              <w:t xml:space="preserve">Discharge </w:t>
            </w:r>
          </w:p>
          <w:p w14:paraId="62031F66" w14:textId="3ED741E0" w:rsidR="000B0B32" w:rsidRDefault="00980D34" w:rsidP="001223C7">
            <w:pPr>
              <w:pStyle w:val="CETBodytext"/>
              <w:jc w:val="left"/>
              <w:rPr>
                <w:lang w:val="en-GB"/>
              </w:rPr>
            </w:pPr>
            <w:r>
              <w:rPr>
                <w:lang w:val="en-GB"/>
              </w:rPr>
              <w:t xml:space="preserve">flow rate </w:t>
            </w:r>
          </w:p>
          <w:p w14:paraId="43E77B40" w14:textId="2905E3DB" w:rsidR="00980D34" w:rsidRDefault="00980D34" w:rsidP="00403E9B">
            <w:pPr>
              <w:pStyle w:val="CETBodytext"/>
              <w:jc w:val="left"/>
              <w:rPr>
                <w:lang w:val="en-GB"/>
              </w:rPr>
            </w:pPr>
            <w:r>
              <w:rPr>
                <w:lang w:val="en-GB"/>
              </w:rPr>
              <w:t>(kg/s)</w:t>
            </w:r>
          </w:p>
        </w:tc>
        <w:tc>
          <w:tcPr>
            <w:tcW w:w="708" w:type="dxa"/>
            <w:tcBorders>
              <w:right w:val="single" w:sz="4" w:space="0" w:color="9BBB59" w:themeColor="accent3"/>
            </w:tcBorders>
            <w:shd w:val="clear" w:color="auto" w:fill="FFFFFF"/>
          </w:tcPr>
          <w:p w14:paraId="22702ABB" w14:textId="77777777" w:rsidR="00980D34" w:rsidRPr="008965BE" w:rsidRDefault="00980D34" w:rsidP="00403E9B">
            <w:pPr>
              <w:pStyle w:val="CETBodytext"/>
              <w:jc w:val="left"/>
              <w:rPr>
                <w:vertAlign w:val="subscript"/>
                <w:lang w:val="en-GB"/>
              </w:rPr>
            </w:pPr>
            <w:r>
              <w:rPr>
                <w:lang w:val="en-GB"/>
              </w:rPr>
              <w:t>P</w:t>
            </w:r>
            <w:r>
              <w:rPr>
                <w:vertAlign w:val="subscript"/>
                <w:lang w:val="en-GB"/>
              </w:rPr>
              <w:t>TOT,ign</w:t>
            </w:r>
          </w:p>
        </w:tc>
        <w:tc>
          <w:tcPr>
            <w:tcW w:w="1418" w:type="dxa"/>
            <w:tcBorders>
              <w:top w:val="nil"/>
              <w:left w:val="single" w:sz="4" w:space="0" w:color="9BBB59" w:themeColor="accent3"/>
              <w:bottom w:val="nil"/>
            </w:tcBorders>
            <w:shd w:val="clear" w:color="auto" w:fill="FFFFFF"/>
          </w:tcPr>
          <w:p w14:paraId="4682D690" w14:textId="77777777" w:rsidR="00AE4A3A" w:rsidRDefault="00980D34" w:rsidP="001223C7">
            <w:pPr>
              <w:pStyle w:val="CETBodytext"/>
              <w:jc w:val="left"/>
              <w:rPr>
                <w:lang w:val="en-GB"/>
              </w:rPr>
            </w:pPr>
            <w:r>
              <w:rPr>
                <w:lang w:val="en-GB"/>
              </w:rPr>
              <w:t xml:space="preserve">Release frequency </w:t>
            </w:r>
          </w:p>
          <w:p w14:paraId="442411AA" w14:textId="02EC83A4" w:rsidR="00980D34" w:rsidRDefault="00980D34" w:rsidP="00403E9B">
            <w:pPr>
              <w:pStyle w:val="CETBodytext"/>
              <w:jc w:val="left"/>
              <w:rPr>
                <w:lang w:val="en-GB"/>
              </w:rPr>
            </w:pPr>
            <w:r>
              <w:rPr>
                <w:lang w:val="en-GB"/>
              </w:rPr>
              <w:t>(ev/y)</w:t>
            </w:r>
          </w:p>
        </w:tc>
        <w:tc>
          <w:tcPr>
            <w:tcW w:w="1417" w:type="dxa"/>
            <w:shd w:val="clear" w:color="auto" w:fill="FFFFFF"/>
          </w:tcPr>
          <w:p w14:paraId="0500F399" w14:textId="77777777" w:rsidR="00AE4A3A" w:rsidRDefault="00980D34" w:rsidP="001223C7">
            <w:pPr>
              <w:pStyle w:val="CETBodytext"/>
              <w:jc w:val="left"/>
              <w:rPr>
                <w:lang w:val="en-GB"/>
              </w:rPr>
            </w:pPr>
            <w:r>
              <w:rPr>
                <w:lang w:val="en-GB"/>
              </w:rPr>
              <w:t xml:space="preserve">Discharge </w:t>
            </w:r>
          </w:p>
          <w:p w14:paraId="438E086A" w14:textId="77777777" w:rsidR="00AE4A3A" w:rsidRDefault="00980D34" w:rsidP="001223C7">
            <w:pPr>
              <w:pStyle w:val="CETBodytext"/>
              <w:jc w:val="left"/>
              <w:rPr>
                <w:lang w:val="en-GB"/>
              </w:rPr>
            </w:pPr>
            <w:r>
              <w:rPr>
                <w:lang w:val="en-GB"/>
              </w:rPr>
              <w:t xml:space="preserve">flow rate </w:t>
            </w:r>
          </w:p>
          <w:p w14:paraId="36C67668" w14:textId="46303C81" w:rsidR="00980D34" w:rsidRDefault="00980D34" w:rsidP="00403E9B">
            <w:pPr>
              <w:pStyle w:val="CETBodytext"/>
              <w:jc w:val="left"/>
              <w:rPr>
                <w:lang w:val="en-GB"/>
              </w:rPr>
            </w:pPr>
            <w:r>
              <w:rPr>
                <w:lang w:val="en-GB"/>
              </w:rPr>
              <w:t>(kg/s)</w:t>
            </w:r>
          </w:p>
        </w:tc>
        <w:tc>
          <w:tcPr>
            <w:tcW w:w="709" w:type="dxa"/>
            <w:shd w:val="clear" w:color="auto" w:fill="FFFFFF"/>
          </w:tcPr>
          <w:p w14:paraId="76B950D7" w14:textId="77777777" w:rsidR="00980D34" w:rsidRDefault="00980D34" w:rsidP="00403E9B">
            <w:pPr>
              <w:pStyle w:val="CETBodytext"/>
              <w:jc w:val="left"/>
              <w:rPr>
                <w:lang w:val="en-GB"/>
              </w:rPr>
            </w:pPr>
            <w:r>
              <w:rPr>
                <w:lang w:val="en-GB"/>
              </w:rPr>
              <w:t>P</w:t>
            </w:r>
            <w:r>
              <w:rPr>
                <w:vertAlign w:val="subscript"/>
                <w:lang w:val="en-GB"/>
              </w:rPr>
              <w:t>TOT,ign</w:t>
            </w:r>
          </w:p>
        </w:tc>
      </w:tr>
      <w:tr w:rsidR="00980D34" w:rsidRPr="00B57B36" w14:paraId="5213877D" w14:textId="77777777" w:rsidTr="00403E9B">
        <w:trPr>
          <w:trHeight w:val="228"/>
        </w:trPr>
        <w:tc>
          <w:tcPr>
            <w:tcW w:w="558" w:type="dxa"/>
            <w:shd w:val="clear" w:color="auto" w:fill="FFFFFF"/>
          </w:tcPr>
          <w:p w14:paraId="6615AB16" w14:textId="77777777" w:rsidR="00980D34" w:rsidRPr="00B57B36" w:rsidRDefault="00980D34" w:rsidP="00980D34">
            <w:pPr>
              <w:pStyle w:val="CETBodytext"/>
              <w:ind w:right="-1"/>
              <w:rPr>
                <w:rFonts w:cs="Arial"/>
                <w:szCs w:val="18"/>
                <w:lang w:val="en-GB"/>
              </w:rPr>
            </w:pPr>
            <w:r>
              <w:rPr>
                <w:rFonts w:cs="Arial"/>
                <w:szCs w:val="18"/>
                <w:lang w:val="en-GB"/>
              </w:rPr>
              <w:t>36</w:t>
            </w:r>
          </w:p>
        </w:tc>
        <w:tc>
          <w:tcPr>
            <w:tcW w:w="558" w:type="dxa"/>
            <w:shd w:val="clear" w:color="auto" w:fill="FFFFFF"/>
          </w:tcPr>
          <w:p w14:paraId="6851504B" w14:textId="77777777" w:rsidR="00980D34" w:rsidRPr="00B57B36" w:rsidRDefault="00980D34" w:rsidP="00980D34">
            <w:pPr>
              <w:pStyle w:val="CETBodytext"/>
              <w:ind w:right="-1"/>
              <w:rPr>
                <w:rFonts w:cs="Arial"/>
                <w:szCs w:val="18"/>
                <w:lang w:val="en-GB"/>
              </w:rPr>
            </w:pPr>
            <w:r>
              <w:rPr>
                <w:rFonts w:cs="Arial"/>
                <w:szCs w:val="18"/>
                <w:lang w:val="en-GB"/>
              </w:rPr>
              <w:t>10</w:t>
            </w:r>
          </w:p>
        </w:tc>
        <w:tc>
          <w:tcPr>
            <w:tcW w:w="727" w:type="dxa"/>
            <w:tcBorders>
              <w:right w:val="single" w:sz="4" w:space="0" w:color="9BBB59" w:themeColor="accent3"/>
            </w:tcBorders>
            <w:shd w:val="clear" w:color="auto" w:fill="FFFFFF"/>
          </w:tcPr>
          <w:p w14:paraId="12823D44" w14:textId="77777777" w:rsidR="00980D34" w:rsidRPr="00B57B36" w:rsidRDefault="00980D34" w:rsidP="00980D34">
            <w:pPr>
              <w:pStyle w:val="CETBodytext"/>
              <w:ind w:right="-1"/>
              <w:rPr>
                <w:rFonts w:cs="Arial"/>
                <w:szCs w:val="18"/>
                <w:lang w:val="en-GB"/>
              </w:rPr>
            </w:pPr>
            <w:r>
              <w:rPr>
                <w:rFonts w:cs="Arial"/>
                <w:szCs w:val="18"/>
                <w:lang w:val="en-GB"/>
              </w:rPr>
              <w:t>25.4</w:t>
            </w:r>
          </w:p>
        </w:tc>
        <w:tc>
          <w:tcPr>
            <w:tcW w:w="1276" w:type="dxa"/>
            <w:tcBorders>
              <w:top w:val="nil"/>
              <w:left w:val="single" w:sz="4" w:space="0" w:color="9BBB59" w:themeColor="accent3"/>
              <w:bottom w:val="nil"/>
            </w:tcBorders>
            <w:shd w:val="clear" w:color="auto" w:fill="FFFFFF"/>
          </w:tcPr>
          <w:p w14:paraId="29752263" w14:textId="77777777" w:rsidR="00980D34" w:rsidRDefault="00980D34" w:rsidP="00980D34">
            <w:pPr>
              <w:pStyle w:val="CETBodytext"/>
              <w:ind w:right="-1"/>
              <w:rPr>
                <w:rFonts w:cs="Arial"/>
                <w:szCs w:val="18"/>
                <w:lang w:val="en-GB"/>
              </w:rPr>
            </w:pPr>
            <w:r>
              <w:rPr>
                <w:rFonts w:cs="Arial"/>
                <w:szCs w:val="18"/>
                <w:lang w:val="en-GB"/>
              </w:rPr>
              <w:t>1.37 E-03</w:t>
            </w:r>
          </w:p>
        </w:tc>
        <w:tc>
          <w:tcPr>
            <w:tcW w:w="1276" w:type="dxa"/>
            <w:shd w:val="clear" w:color="auto" w:fill="FFFFFF"/>
          </w:tcPr>
          <w:p w14:paraId="0DB4EAC9" w14:textId="77777777" w:rsidR="00980D34" w:rsidRDefault="00980D34" w:rsidP="00980D34">
            <w:pPr>
              <w:pStyle w:val="CETBodytext"/>
              <w:ind w:right="-1"/>
              <w:rPr>
                <w:rFonts w:cs="Arial"/>
                <w:szCs w:val="18"/>
                <w:lang w:val="en-GB"/>
              </w:rPr>
            </w:pPr>
            <w:r>
              <w:rPr>
                <w:rFonts w:cs="Arial"/>
                <w:szCs w:val="18"/>
                <w:lang w:val="en-GB"/>
              </w:rPr>
              <w:t>2.90</w:t>
            </w:r>
          </w:p>
        </w:tc>
        <w:tc>
          <w:tcPr>
            <w:tcW w:w="708" w:type="dxa"/>
            <w:tcBorders>
              <w:right w:val="single" w:sz="4" w:space="0" w:color="9BBB59" w:themeColor="accent3"/>
            </w:tcBorders>
            <w:shd w:val="clear" w:color="auto" w:fill="FFFFFF"/>
          </w:tcPr>
          <w:p w14:paraId="709FEB0C" w14:textId="631043CD" w:rsidR="00980D34" w:rsidRDefault="00EA6073" w:rsidP="00980D34">
            <w:pPr>
              <w:pStyle w:val="CETBodytext"/>
              <w:ind w:right="-1"/>
              <w:rPr>
                <w:rFonts w:cs="Arial"/>
                <w:szCs w:val="18"/>
                <w:lang w:val="en-GB"/>
              </w:rPr>
            </w:pPr>
            <w:r>
              <w:rPr>
                <w:rFonts w:cs="Arial"/>
                <w:szCs w:val="18"/>
                <w:lang w:val="en-GB"/>
              </w:rPr>
              <w:t>0.01</w:t>
            </w:r>
          </w:p>
        </w:tc>
        <w:tc>
          <w:tcPr>
            <w:tcW w:w="1418" w:type="dxa"/>
            <w:tcBorders>
              <w:top w:val="nil"/>
              <w:left w:val="single" w:sz="4" w:space="0" w:color="9BBB59" w:themeColor="accent3"/>
              <w:bottom w:val="nil"/>
            </w:tcBorders>
            <w:shd w:val="clear" w:color="auto" w:fill="FFFFFF"/>
          </w:tcPr>
          <w:p w14:paraId="420916E2" w14:textId="77777777" w:rsidR="00980D34" w:rsidRDefault="00980D34" w:rsidP="00980D34">
            <w:pPr>
              <w:pStyle w:val="CETBodytext"/>
              <w:ind w:right="-1"/>
              <w:rPr>
                <w:rFonts w:cs="Arial"/>
                <w:szCs w:val="18"/>
                <w:lang w:val="en-GB"/>
              </w:rPr>
            </w:pPr>
            <w:r>
              <w:rPr>
                <w:rFonts w:cs="Arial"/>
                <w:szCs w:val="18"/>
                <w:lang w:val="en-GB"/>
              </w:rPr>
              <w:t>2.77 E-03</w:t>
            </w:r>
          </w:p>
        </w:tc>
        <w:tc>
          <w:tcPr>
            <w:tcW w:w="1417" w:type="dxa"/>
            <w:shd w:val="clear" w:color="auto" w:fill="FFFFFF"/>
          </w:tcPr>
          <w:p w14:paraId="71BFA8C0" w14:textId="77777777" w:rsidR="00980D34" w:rsidRDefault="00980D34" w:rsidP="00980D34">
            <w:pPr>
              <w:pStyle w:val="CETBodytext"/>
              <w:ind w:right="-1"/>
              <w:rPr>
                <w:rFonts w:cs="Arial"/>
                <w:szCs w:val="18"/>
                <w:lang w:val="en-GB"/>
              </w:rPr>
            </w:pPr>
            <w:r>
              <w:rPr>
                <w:rFonts w:cs="Arial"/>
                <w:szCs w:val="18"/>
                <w:lang w:val="en-GB"/>
              </w:rPr>
              <w:t>0.99</w:t>
            </w:r>
          </w:p>
        </w:tc>
        <w:tc>
          <w:tcPr>
            <w:tcW w:w="709" w:type="dxa"/>
            <w:shd w:val="clear" w:color="auto" w:fill="FFFFFF"/>
          </w:tcPr>
          <w:p w14:paraId="60B9C6FB" w14:textId="37226871" w:rsidR="00980D34" w:rsidRDefault="00C14C7B" w:rsidP="00980D34">
            <w:pPr>
              <w:pStyle w:val="CETBodytext"/>
              <w:ind w:right="-1"/>
              <w:rPr>
                <w:rFonts w:cs="Arial"/>
                <w:szCs w:val="18"/>
                <w:lang w:val="en-GB"/>
              </w:rPr>
            </w:pPr>
            <w:r>
              <w:rPr>
                <w:rFonts w:cs="Arial"/>
                <w:szCs w:val="18"/>
                <w:lang w:val="en-GB"/>
              </w:rPr>
              <w:t>0.08</w:t>
            </w:r>
          </w:p>
        </w:tc>
      </w:tr>
      <w:tr w:rsidR="00980D34" w:rsidRPr="00B57B36" w14:paraId="25533AFF" w14:textId="77777777" w:rsidTr="00403E9B">
        <w:trPr>
          <w:trHeight w:val="237"/>
        </w:trPr>
        <w:tc>
          <w:tcPr>
            <w:tcW w:w="558" w:type="dxa"/>
            <w:shd w:val="clear" w:color="auto" w:fill="FFFFFF"/>
          </w:tcPr>
          <w:p w14:paraId="5241AD5C" w14:textId="77777777" w:rsidR="00980D34" w:rsidRDefault="00980D34" w:rsidP="00980D34">
            <w:pPr>
              <w:pStyle w:val="CETBodytext"/>
              <w:ind w:right="-1"/>
              <w:rPr>
                <w:rFonts w:cs="Arial"/>
                <w:szCs w:val="18"/>
                <w:lang w:val="en-GB"/>
              </w:rPr>
            </w:pPr>
            <w:r>
              <w:rPr>
                <w:rFonts w:cs="Arial"/>
                <w:szCs w:val="18"/>
                <w:lang w:val="en-GB"/>
              </w:rPr>
              <w:t>36</w:t>
            </w:r>
          </w:p>
        </w:tc>
        <w:tc>
          <w:tcPr>
            <w:tcW w:w="558" w:type="dxa"/>
            <w:shd w:val="clear" w:color="auto" w:fill="FFFFFF"/>
          </w:tcPr>
          <w:p w14:paraId="3CA4924A" w14:textId="77777777" w:rsidR="00980D34" w:rsidRPr="00B57B36" w:rsidRDefault="00980D34" w:rsidP="00980D34">
            <w:pPr>
              <w:pStyle w:val="CETBodytext"/>
              <w:ind w:right="-1"/>
              <w:rPr>
                <w:rFonts w:cs="Arial"/>
                <w:szCs w:val="18"/>
                <w:lang w:val="en-GB"/>
              </w:rPr>
            </w:pPr>
            <w:r>
              <w:rPr>
                <w:rFonts w:cs="Arial"/>
                <w:szCs w:val="18"/>
                <w:lang w:val="en-GB"/>
              </w:rPr>
              <w:t>10</w:t>
            </w:r>
          </w:p>
        </w:tc>
        <w:tc>
          <w:tcPr>
            <w:tcW w:w="727" w:type="dxa"/>
            <w:tcBorders>
              <w:right w:val="single" w:sz="4" w:space="0" w:color="9BBB59" w:themeColor="accent3"/>
            </w:tcBorders>
            <w:shd w:val="clear" w:color="auto" w:fill="FFFFFF"/>
          </w:tcPr>
          <w:p w14:paraId="108D01FE" w14:textId="77777777" w:rsidR="00980D34" w:rsidRPr="00B57B36" w:rsidRDefault="00980D34" w:rsidP="00980D34">
            <w:pPr>
              <w:pStyle w:val="CETBodytext"/>
              <w:ind w:right="-1"/>
              <w:rPr>
                <w:rFonts w:cs="Arial"/>
                <w:szCs w:val="18"/>
                <w:lang w:val="en-GB"/>
              </w:rPr>
            </w:pPr>
            <w:r>
              <w:rPr>
                <w:rFonts w:cs="Arial"/>
                <w:szCs w:val="18"/>
                <w:lang w:val="en-GB"/>
              </w:rPr>
              <w:t>101.6</w:t>
            </w:r>
          </w:p>
        </w:tc>
        <w:tc>
          <w:tcPr>
            <w:tcW w:w="1276" w:type="dxa"/>
            <w:tcBorders>
              <w:top w:val="nil"/>
              <w:left w:val="single" w:sz="4" w:space="0" w:color="9BBB59" w:themeColor="accent3"/>
              <w:bottom w:val="nil"/>
            </w:tcBorders>
            <w:shd w:val="clear" w:color="auto" w:fill="FFFFFF"/>
          </w:tcPr>
          <w:p w14:paraId="0C923056" w14:textId="77777777" w:rsidR="00980D34" w:rsidRDefault="00980D34" w:rsidP="00980D34">
            <w:pPr>
              <w:pStyle w:val="CETBodytext"/>
              <w:ind w:right="-1"/>
              <w:rPr>
                <w:rFonts w:cs="Arial"/>
                <w:szCs w:val="18"/>
                <w:lang w:val="en-GB"/>
              </w:rPr>
            </w:pPr>
            <w:r>
              <w:rPr>
                <w:rFonts w:cs="Arial"/>
                <w:szCs w:val="18"/>
                <w:lang w:val="en-GB"/>
              </w:rPr>
              <w:t>1.60 E-04</w:t>
            </w:r>
          </w:p>
        </w:tc>
        <w:tc>
          <w:tcPr>
            <w:tcW w:w="1276" w:type="dxa"/>
            <w:shd w:val="clear" w:color="auto" w:fill="FFFFFF"/>
          </w:tcPr>
          <w:p w14:paraId="5F551C85" w14:textId="77777777" w:rsidR="00980D34" w:rsidRDefault="00980D34" w:rsidP="00980D34">
            <w:pPr>
              <w:pStyle w:val="CETBodytext"/>
              <w:ind w:right="-1"/>
              <w:rPr>
                <w:rFonts w:cs="Arial"/>
                <w:szCs w:val="18"/>
                <w:lang w:val="en-GB"/>
              </w:rPr>
            </w:pPr>
            <w:r>
              <w:rPr>
                <w:rFonts w:cs="Arial"/>
                <w:szCs w:val="18"/>
                <w:lang w:val="en-GB"/>
              </w:rPr>
              <w:t>46.42</w:t>
            </w:r>
          </w:p>
        </w:tc>
        <w:tc>
          <w:tcPr>
            <w:tcW w:w="708" w:type="dxa"/>
            <w:tcBorders>
              <w:right w:val="single" w:sz="4" w:space="0" w:color="9BBB59" w:themeColor="accent3"/>
            </w:tcBorders>
            <w:shd w:val="clear" w:color="auto" w:fill="FFFFFF"/>
          </w:tcPr>
          <w:p w14:paraId="5F340CE1" w14:textId="4B408C2C" w:rsidR="00980D34" w:rsidRDefault="00EA6073" w:rsidP="00980D34">
            <w:pPr>
              <w:pStyle w:val="CETBodytext"/>
              <w:ind w:right="-1"/>
              <w:rPr>
                <w:rFonts w:cs="Arial"/>
                <w:szCs w:val="18"/>
                <w:lang w:val="en-GB"/>
              </w:rPr>
            </w:pPr>
            <w:r>
              <w:rPr>
                <w:rFonts w:cs="Arial"/>
                <w:szCs w:val="18"/>
                <w:lang w:val="en-GB"/>
              </w:rPr>
              <w:t>0.11</w:t>
            </w:r>
          </w:p>
        </w:tc>
        <w:tc>
          <w:tcPr>
            <w:tcW w:w="1418" w:type="dxa"/>
            <w:tcBorders>
              <w:top w:val="nil"/>
              <w:left w:val="single" w:sz="4" w:space="0" w:color="9BBB59" w:themeColor="accent3"/>
              <w:bottom w:val="nil"/>
            </w:tcBorders>
            <w:shd w:val="clear" w:color="auto" w:fill="FFFFFF"/>
          </w:tcPr>
          <w:p w14:paraId="6ADF0986" w14:textId="77777777" w:rsidR="00980D34" w:rsidRDefault="00980D34" w:rsidP="00980D34">
            <w:pPr>
              <w:pStyle w:val="CETBodytext"/>
              <w:ind w:right="-1"/>
              <w:rPr>
                <w:rFonts w:cs="Arial"/>
                <w:szCs w:val="18"/>
                <w:lang w:val="en-GB"/>
              </w:rPr>
            </w:pPr>
            <w:r>
              <w:rPr>
                <w:rFonts w:cs="Arial"/>
                <w:szCs w:val="18"/>
                <w:lang w:val="en-GB"/>
              </w:rPr>
              <w:t>3.24 E-04</w:t>
            </w:r>
          </w:p>
        </w:tc>
        <w:tc>
          <w:tcPr>
            <w:tcW w:w="1417" w:type="dxa"/>
            <w:shd w:val="clear" w:color="auto" w:fill="FFFFFF"/>
          </w:tcPr>
          <w:p w14:paraId="097D4834" w14:textId="77777777" w:rsidR="00980D34" w:rsidRDefault="00980D34" w:rsidP="00980D34">
            <w:pPr>
              <w:pStyle w:val="CETBodytext"/>
              <w:ind w:right="-1"/>
              <w:rPr>
                <w:rFonts w:cs="Arial"/>
                <w:szCs w:val="18"/>
                <w:lang w:val="en-GB"/>
              </w:rPr>
            </w:pPr>
            <w:r>
              <w:rPr>
                <w:rFonts w:cs="Arial"/>
                <w:szCs w:val="18"/>
                <w:lang w:val="en-GB"/>
              </w:rPr>
              <w:t>15.93</w:t>
            </w:r>
          </w:p>
        </w:tc>
        <w:tc>
          <w:tcPr>
            <w:tcW w:w="709" w:type="dxa"/>
            <w:shd w:val="clear" w:color="auto" w:fill="FFFFFF"/>
          </w:tcPr>
          <w:p w14:paraId="2647A35F" w14:textId="6CD1ED7B" w:rsidR="00980D34" w:rsidRDefault="00980D34" w:rsidP="00980D34">
            <w:pPr>
              <w:pStyle w:val="CETBodytext"/>
              <w:ind w:right="-1"/>
              <w:rPr>
                <w:rFonts w:cs="Arial"/>
                <w:szCs w:val="18"/>
                <w:lang w:val="en-GB"/>
              </w:rPr>
            </w:pPr>
            <w:r>
              <w:rPr>
                <w:rFonts w:cs="Arial"/>
                <w:szCs w:val="18"/>
                <w:lang w:val="en-GB"/>
              </w:rPr>
              <w:t>0.85</w:t>
            </w:r>
          </w:p>
        </w:tc>
      </w:tr>
      <w:tr w:rsidR="00980D34" w:rsidRPr="00B57B36" w14:paraId="0E52CA10" w14:textId="77777777" w:rsidTr="00403E9B">
        <w:trPr>
          <w:trHeight w:val="237"/>
        </w:trPr>
        <w:tc>
          <w:tcPr>
            <w:tcW w:w="558" w:type="dxa"/>
            <w:shd w:val="clear" w:color="auto" w:fill="FFFFFF"/>
          </w:tcPr>
          <w:p w14:paraId="050B070E" w14:textId="77777777" w:rsidR="00980D34" w:rsidRDefault="00980D34" w:rsidP="00980D34">
            <w:pPr>
              <w:pStyle w:val="CETBodytext"/>
              <w:ind w:right="-1"/>
              <w:rPr>
                <w:rFonts w:cs="Arial"/>
                <w:szCs w:val="18"/>
                <w:lang w:val="en-GB"/>
              </w:rPr>
            </w:pPr>
            <w:r>
              <w:rPr>
                <w:rFonts w:cs="Arial"/>
                <w:szCs w:val="18"/>
                <w:lang w:val="en-GB"/>
              </w:rPr>
              <w:t>36</w:t>
            </w:r>
          </w:p>
        </w:tc>
        <w:tc>
          <w:tcPr>
            <w:tcW w:w="558" w:type="dxa"/>
            <w:shd w:val="clear" w:color="auto" w:fill="FFFFFF"/>
          </w:tcPr>
          <w:p w14:paraId="131A6354" w14:textId="77777777" w:rsidR="00980D34" w:rsidRPr="00B57B36" w:rsidRDefault="00980D34" w:rsidP="00980D34">
            <w:pPr>
              <w:pStyle w:val="CETBodytext"/>
              <w:ind w:right="-1"/>
              <w:rPr>
                <w:rFonts w:cs="Arial"/>
                <w:szCs w:val="18"/>
                <w:lang w:val="en-GB"/>
              </w:rPr>
            </w:pPr>
            <w:r>
              <w:rPr>
                <w:rFonts w:cs="Arial"/>
                <w:szCs w:val="18"/>
                <w:lang w:val="en-GB"/>
              </w:rPr>
              <w:t>10</w:t>
            </w:r>
          </w:p>
        </w:tc>
        <w:tc>
          <w:tcPr>
            <w:tcW w:w="727" w:type="dxa"/>
            <w:tcBorders>
              <w:right w:val="single" w:sz="4" w:space="0" w:color="9BBB59" w:themeColor="accent3"/>
            </w:tcBorders>
            <w:shd w:val="clear" w:color="auto" w:fill="FFFFFF"/>
          </w:tcPr>
          <w:p w14:paraId="76614CAD" w14:textId="77777777" w:rsidR="00980D34" w:rsidRPr="00B57B36" w:rsidRDefault="00980D34" w:rsidP="00980D34">
            <w:pPr>
              <w:pStyle w:val="CETBodytext"/>
              <w:ind w:right="-1"/>
              <w:rPr>
                <w:rFonts w:cs="Arial"/>
                <w:szCs w:val="18"/>
                <w:lang w:val="en-GB"/>
              </w:rPr>
            </w:pPr>
            <w:r>
              <w:rPr>
                <w:rFonts w:cs="Arial"/>
                <w:szCs w:val="18"/>
                <w:lang w:val="en-GB"/>
              </w:rPr>
              <w:t>508</w:t>
            </w:r>
          </w:p>
        </w:tc>
        <w:tc>
          <w:tcPr>
            <w:tcW w:w="1276" w:type="dxa"/>
            <w:tcBorders>
              <w:top w:val="nil"/>
              <w:left w:val="single" w:sz="4" w:space="0" w:color="9BBB59" w:themeColor="accent3"/>
              <w:bottom w:val="single" w:sz="12" w:space="0" w:color="008000"/>
            </w:tcBorders>
            <w:shd w:val="clear" w:color="auto" w:fill="FFFFFF"/>
          </w:tcPr>
          <w:p w14:paraId="0DC78DC6" w14:textId="77777777" w:rsidR="00980D34" w:rsidRDefault="00980D34" w:rsidP="00980D34">
            <w:pPr>
              <w:pStyle w:val="CETBodytext"/>
              <w:ind w:right="-1"/>
              <w:rPr>
                <w:rFonts w:cs="Arial"/>
                <w:szCs w:val="18"/>
                <w:lang w:val="en-GB"/>
              </w:rPr>
            </w:pPr>
            <w:r>
              <w:rPr>
                <w:rFonts w:cs="Arial"/>
                <w:szCs w:val="18"/>
                <w:lang w:val="en-GB"/>
              </w:rPr>
              <w:t>4.40 E-05</w:t>
            </w:r>
          </w:p>
        </w:tc>
        <w:tc>
          <w:tcPr>
            <w:tcW w:w="1276" w:type="dxa"/>
            <w:shd w:val="clear" w:color="auto" w:fill="FFFFFF"/>
          </w:tcPr>
          <w:p w14:paraId="3B96A166" w14:textId="77777777" w:rsidR="00980D34" w:rsidRDefault="00980D34" w:rsidP="00980D34">
            <w:pPr>
              <w:pStyle w:val="CETBodytext"/>
              <w:ind w:right="-1"/>
              <w:rPr>
                <w:rFonts w:cs="Arial"/>
                <w:szCs w:val="18"/>
                <w:lang w:val="en-GB"/>
              </w:rPr>
            </w:pPr>
            <w:r>
              <w:rPr>
                <w:rFonts w:cs="Arial"/>
                <w:szCs w:val="18"/>
                <w:lang w:val="en-GB"/>
              </w:rPr>
              <w:t>1160.59</w:t>
            </w:r>
          </w:p>
        </w:tc>
        <w:tc>
          <w:tcPr>
            <w:tcW w:w="708" w:type="dxa"/>
            <w:tcBorders>
              <w:right w:val="single" w:sz="4" w:space="0" w:color="9BBB59" w:themeColor="accent3"/>
            </w:tcBorders>
            <w:shd w:val="clear" w:color="auto" w:fill="FFFFFF"/>
          </w:tcPr>
          <w:p w14:paraId="1CBA8FF0" w14:textId="01777348" w:rsidR="00980D34" w:rsidRDefault="00980D34" w:rsidP="00980D34">
            <w:pPr>
              <w:pStyle w:val="CETBodytext"/>
              <w:ind w:right="-1"/>
              <w:rPr>
                <w:rFonts w:cs="Arial"/>
                <w:szCs w:val="18"/>
                <w:lang w:val="en-GB"/>
              </w:rPr>
            </w:pPr>
            <w:r>
              <w:rPr>
                <w:rFonts w:cs="Arial"/>
                <w:szCs w:val="18"/>
                <w:lang w:val="en-GB"/>
              </w:rPr>
              <w:t>0.60</w:t>
            </w:r>
          </w:p>
        </w:tc>
        <w:tc>
          <w:tcPr>
            <w:tcW w:w="1418" w:type="dxa"/>
            <w:tcBorders>
              <w:top w:val="nil"/>
              <w:left w:val="single" w:sz="4" w:space="0" w:color="9BBB59" w:themeColor="accent3"/>
              <w:bottom w:val="single" w:sz="12" w:space="0" w:color="008000"/>
            </w:tcBorders>
            <w:shd w:val="clear" w:color="auto" w:fill="FFFFFF"/>
          </w:tcPr>
          <w:p w14:paraId="3C30A169" w14:textId="77777777" w:rsidR="00980D34" w:rsidRDefault="00980D34" w:rsidP="00980D34">
            <w:pPr>
              <w:pStyle w:val="CETBodytext"/>
              <w:ind w:right="-1"/>
              <w:rPr>
                <w:rFonts w:cs="Arial"/>
                <w:szCs w:val="18"/>
                <w:lang w:val="en-GB"/>
              </w:rPr>
            </w:pPr>
            <w:r>
              <w:rPr>
                <w:rFonts w:cs="Arial"/>
                <w:szCs w:val="18"/>
                <w:lang w:val="en-GB"/>
              </w:rPr>
              <w:t>8.91 E-05</w:t>
            </w:r>
          </w:p>
        </w:tc>
        <w:tc>
          <w:tcPr>
            <w:tcW w:w="1417" w:type="dxa"/>
            <w:shd w:val="clear" w:color="auto" w:fill="FFFFFF"/>
          </w:tcPr>
          <w:p w14:paraId="30AD0DF7" w14:textId="77777777" w:rsidR="00980D34" w:rsidRDefault="00980D34" w:rsidP="00980D34">
            <w:pPr>
              <w:pStyle w:val="CETBodytext"/>
              <w:ind w:right="-1"/>
              <w:rPr>
                <w:rFonts w:cs="Arial"/>
                <w:szCs w:val="18"/>
                <w:lang w:val="en-GB"/>
              </w:rPr>
            </w:pPr>
            <w:r>
              <w:rPr>
                <w:rFonts w:cs="Arial"/>
                <w:szCs w:val="18"/>
                <w:lang w:val="en-GB"/>
              </w:rPr>
              <w:t>398.33</w:t>
            </w:r>
          </w:p>
        </w:tc>
        <w:tc>
          <w:tcPr>
            <w:tcW w:w="709" w:type="dxa"/>
            <w:shd w:val="clear" w:color="auto" w:fill="FFFFFF"/>
          </w:tcPr>
          <w:p w14:paraId="79FD87E1" w14:textId="2633930C" w:rsidR="00980D34" w:rsidRDefault="00980D34" w:rsidP="00980D34">
            <w:pPr>
              <w:pStyle w:val="CETBodytext"/>
              <w:ind w:right="-1"/>
              <w:rPr>
                <w:rFonts w:cs="Arial"/>
                <w:szCs w:val="18"/>
                <w:lang w:val="en-GB"/>
              </w:rPr>
            </w:pPr>
            <w:r>
              <w:rPr>
                <w:rFonts w:cs="Arial"/>
                <w:szCs w:val="18"/>
                <w:lang w:val="en-GB"/>
              </w:rPr>
              <w:t>0.85</w:t>
            </w:r>
          </w:p>
        </w:tc>
      </w:tr>
    </w:tbl>
    <w:p w14:paraId="1531F55A" w14:textId="77777777" w:rsidR="00DF00AB" w:rsidRDefault="00DF00AB" w:rsidP="00DF00AB">
      <w:pPr>
        <w:rPr>
          <w:szCs w:val="18"/>
          <w:lang w:val="en-US"/>
        </w:rPr>
      </w:pPr>
    </w:p>
    <w:p w14:paraId="39C7E1E3" w14:textId="13C75797" w:rsidR="00DF00AB" w:rsidRPr="00874F85" w:rsidRDefault="00DF00AB" w:rsidP="00DF00AB">
      <w:pPr>
        <w:rPr>
          <w:szCs w:val="18"/>
          <w:lang w:val="en-US"/>
        </w:rPr>
      </w:pPr>
      <w:r w:rsidRPr="00874F85">
        <w:rPr>
          <w:szCs w:val="18"/>
          <w:lang w:val="en-US"/>
        </w:rPr>
        <w:t>All the risk results reported i</w:t>
      </w:r>
      <w:r>
        <w:rPr>
          <w:szCs w:val="18"/>
          <w:lang w:val="en-US"/>
        </w:rPr>
        <w:t xml:space="preserve">n the following paragraph are those obtained at 1m of height on a transect line originating from the release point; this specific representation </w:t>
      </w:r>
      <w:r w:rsidR="00F922E6">
        <w:rPr>
          <w:szCs w:val="18"/>
          <w:lang w:val="en-US"/>
        </w:rPr>
        <w:t>of</w:t>
      </w:r>
      <w:r>
        <w:rPr>
          <w:szCs w:val="18"/>
          <w:lang w:val="en-US"/>
        </w:rPr>
        <w:t xml:space="preserve"> the risk has been chosen since in the</w:t>
      </w:r>
      <w:r w:rsidR="00D710AB">
        <w:rPr>
          <w:szCs w:val="18"/>
          <w:lang w:val="en-US"/>
        </w:rPr>
        <w:t xml:space="preserve"> case</w:t>
      </w:r>
      <w:r>
        <w:rPr>
          <w:szCs w:val="18"/>
          <w:lang w:val="en-US"/>
        </w:rPr>
        <w:t xml:space="preserve"> study where not considered preferential wind directions and therefore the risk results associated to the incidental scenarios modeled </w:t>
      </w:r>
      <w:r w:rsidR="003A1702">
        <w:rPr>
          <w:szCs w:val="18"/>
          <w:lang w:val="en-US"/>
        </w:rPr>
        <w:t>were</w:t>
      </w:r>
      <w:r>
        <w:rPr>
          <w:szCs w:val="18"/>
          <w:lang w:val="en-US"/>
        </w:rPr>
        <w:t xml:space="preserve"> not dependent on particular orientations with respect to the release source</w:t>
      </w:r>
      <w:r w:rsidR="00EE72E9">
        <w:rPr>
          <w:szCs w:val="18"/>
          <w:lang w:val="en-US"/>
        </w:rPr>
        <w:t>.</w:t>
      </w:r>
    </w:p>
    <w:p w14:paraId="560FA20B" w14:textId="77777777" w:rsidR="00310349" w:rsidRPr="00DF00AB" w:rsidRDefault="00310349" w:rsidP="005304F3">
      <w:pPr>
        <w:pStyle w:val="CETListbullets"/>
        <w:ind w:left="0" w:firstLine="0"/>
        <w:rPr>
          <w:szCs w:val="18"/>
          <w:lang w:val="en-US"/>
        </w:rPr>
      </w:pPr>
    </w:p>
    <w:p w14:paraId="68D26B83" w14:textId="47D91B83" w:rsidR="00600535" w:rsidRDefault="00001D3B" w:rsidP="00600535">
      <w:pPr>
        <w:pStyle w:val="CETHeading1"/>
        <w:rPr>
          <w:lang w:val="en-GB"/>
        </w:rPr>
      </w:pPr>
      <w:r>
        <w:rPr>
          <w:lang w:val="en-GB"/>
        </w:rPr>
        <w:t>Re</w:t>
      </w:r>
      <w:r w:rsidR="005304F3">
        <w:rPr>
          <w:lang w:val="en-GB"/>
        </w:rPr>
        <w:t>s</w:t>
      </w:r>
      <w:r>
        <w:rPr>
          <w:lang w:val="en-GB"/>
        </w:rPr>
        <w:t xml:space="preserve">ults and </w:t>
      </w:r>
      <w:r w:rsidR="00732382">
        <w:rPr>
          <w:lang w:val="en-GB"/>
        </w:rPr>
        <w:t>D</w:t>
      </w:r>
      <w:r>
        <w:rPr>
          <w:lang w:val="en-GB"/>
        </w:rPr>
        <w:t>iscussion</w:t>
      </w:r>
    </w:p>
    <w:p w14:paraId="6D063F4A" w14:textId="163CAA04" w:rsidR="00A92021" w:rsidRDefault="00061476" w:rsidP="003A1702">
      <w:r w:rsidRPr="00E81745">
        <w:t xml:space="preserve">As previously </w:t>
      </w:r>
      <w:r w:rsidR="00732382">
        <w:t>mentioned</w:t>
      </w:r>
      <w:r w:rsidR="00133F39">
        <w:t>,</w:t>
      </w:r>
      <w:r w:rsidR="00933479">
        <w:t xml:space="preserve"> </w:t>
      </w:r>
      <w:r w:rsidRPr="00E81745">
        <w:t>in recent yea</w:t>
      </w:r>
      <w:r w:rsidR="00AA1267">
        <w:t>rs</w:t>
      </w:r>
      <w:r w:rsidR="00F057E5">
        <w:t xml:space="preserve"> </w:t>
      </w:r>
      <w:r w:rsidRPr="00E81745">
        <w:t>a</w:t>
      </w:r>
      <w:r w:rsidR="008E3E48">
        <w:t xml:space="preserve"> specific</w:t>
      </w:r>
      <w:r w:rsidRPr="00E81745">
        <w:t xml:space="preserve"> </w:t>
      </w:r>
      <w:r w:rsidR="00E81581">
        <w:t>J</w:t>
      </w:r>
      <w:r w:rsidRPr="00E81745">
        <w:t xml:space="preserve">et </w:t>
      </w:r>
      <w:r w:rsidR="00E81581">
        <w:t>F</w:t>
      </w:r>
      <w:r w:rsidRPr="00E81745">
        <w:t>ire</w:t>
      </w:r>
      <w:r w:rsidR="00156152">
        <w:t xml:space="preserve"> model</w:t>
      </w:r>
      <w:r w:rsidR="008E3E48">
        <w:t xml:space="preserve"> </w:t>
      </w:r>
      <w:r w:rsidRPr="00E81745">
        <w:t>for</w:t>
      </w:r>
      <w:r w:rsidR="00933479">
        <w:t xml:space="preserve"> </w:t>
      </w:r>
      <w:r w:rsidRPr="00E81745">
        <w:t>hydrogen</w:t>
      </w:r>
      <w:r w:rsidR="00F057E5">
        <w:t xml:space="preserve"> was</w:t>
      </w:r>
      <w:r w:rsidR="00F057E5" w:rsidRPr="00E81745">
        <w:t xml:space="preserve"> developed</w:t>
      </w:r>
      <w:r w:rsidRPr="00E81745">
        <w:t>,</w:t>
      </w:r>
      <w:r w:rsidR="007870A6">
        <w:t xml:space="preserve"> </w:t>
      </w:r>
      <w:r w:rsidRPr="00E81745">
        <w:t>the Miller model</w:t>
      </w:r>
      <w:r w:rsidR="00CB65B9" w:rsidRPr="00E81745">
        <w:t xml:space="preserve"> </w:t>
      </w:r>
      <w:r w:rsidR="00E81745" w:rsidRPr="00E81745">
        <w:t>(</w:t>
      </w:r>
      <w:r w:rsidR="00EA6F51">
        <w:t>Mi</w:t>
      </w:r>
      <w:r w:rsidR="00814A39">
        <w:t>ller, 2017</w:t>
      </w:r>
      <w:r w:rsidR="00E81745" w:rsidRPr="00E81745">
        <w:t>)</w:t>
      </w:r>
      <w:r w:rsidR="00E81745">
        <w:t>. This</w:t>
      </w:r>
      <w:r w:rsidR="00156152">
        <w:t xml:space="preserve"> new model is </w:t>
      </w:r>
      <w:r w:rsidR="00732382">
        <w:t xml:space="preserve">a </w:t>
      </w:r>
      <w:r w:rsidR="00156152">
        <w:t xml:space="preserve">multipoint source emitter </w:t>
      </w:r>
      <w:r w:rsidR="005D2FF1">
        <w:t xml:space="preserve">type </w:t>
      </w:r>
      <w:r w:rsidR="004771CB">
        <w:t>model and</w:t>
      </w:r>
      <w:r w:rsidR="008151B5">
        <w:t xml:space="preserve"> has been developed </w:t>
      </w:r>
      <w:r w:rsidR="00E81745">
        <w:t xml:space="preserve">on a reasonably extensive dataset </w:t>
      </w:r>
      <w:r w:rsidR="00D061D3">
        <w:t xml:space="preserve">and </w:t>
      </w:r>
      <w:r w:rsidR="008151B5">
        <w:t xml:space="preserve">implemented in </w:t>
      </w:r>
      <w:r w:rsidR="00ED740F">
        <w:t xml:space="preserve">the </w:t>
      </w:r>
      <w:r w:rsidR="008151B5">
        <w:t xml:space="preserve">DNV SAFETI </w:t>
      </w:r>
      <w:r w:rsidR="00732382">
        <w:t xml:space="preserve">software. It was possible to carry </w:t>
      </w:r>
      <w:r w:rsidR="004771CB">
        <w:t>out a</w:t>
      </w:r>
      <w:r w:rsidR="008151B5">
        <w:t xml:space="preserve"> comparative analysis</w:t>
      </w:r>
      <w:r w:rsidR="0081133C">
        <w:t xml:space="preserve"> of the scenarios</w:t>
      </w:r>
      <w:r w:rsidR="008151B5">
        <w:t xml:space="preserve"> with the results obtained </w:t>
      </w:r>
      <w:r w:rsidR="00C2644D">
        <w:t>from the classical</w:t>
      </w:r>
      <w:r w:rsidR="002426C5">
        <w:t xml:space="preserve"> cone</w:t>
      </w:r>
      <w:r w:rsidR="008E3E48">
        <w:t xml:space="preserve"> </w:t>
      </w:r>
      <w:r w:rsidR="00C053BC">
        <w:t>modelling</w:t>
      </w:r>
      <w:r w:rsidR="00C2644D">
        <w:t>.</w:t>
      </w:r>
      <w:r w:rsidR="00294003">
        <w:t xml:space="preserve"> </w:t>
      </w:r>
      <w:r w:rsidR="00294003" w:rsidRPr="00C575ED">
        <w:t>Th</w:t>
      </w:r>
      <w:r w:rsidR="008E1377">
        <w:t>is new</w:t>
      </w:r>
      <w:r w:rsidR="00294003" w:rsidRPr="00C575ED">
        <w:t xml:space="preserve"> model </w:t>
      </w:r>
      <w:r w:rsidR="0052764A" w:rsidRPr="00C575ED">
        <w:t>simulates the flame shap</w:t>
      </w:r>
      <w:r w:rsidR="00BA7B14">
        <w:t xml:space="preserve">e </w:t>
      </w:r>
      <w:r w:rsidR="002820B3">
        <w:t xml:space="preserve">divided </w:t>
      </w:r>
      <w:r w:rsidR="002820B3" w:rsidRPr="00053A11">
        <w:t>in</w:t>
      </w:r>
      <w:r w:rsidR="0052764A" w:rsidRPr="00053A11">
        <w:t xml:space="preserve"> two</w:t>
      </w:r>
      <w:r w:rsidR="00C06D98" w:rsidRPr="00053A11">
        <w:t xml:space="preserve"> sections</w:t>
      </w:r>
      <w:r w:rsidR="0052764A" w:rsidRPr="00053A11">
        <w:t>: the first</w:t>
      </w:r>
      <w:r w:rsidR="00C575ED" w:rsidRPr="00053A11">
        <w:t xml:space="preserve">, close to the release source, </w:t>
      </w:r>
      <w:r w:rsidR="00053A11">
        <w:t xml:space="preserve">is dominated by </w:t>
      </w:r>
      <w:r w:rsidR="00C575ED" w:rsidRPr="00053A11">
        <w:t>momentum</w:t>
      </w:r>
      <w:r w:rsidR="00053A11">
        <w:t>, while</w:t>
      </w:r>
      <w:r w:rsidR="00C575ED" w:rsidRPr="00053A11">
        <w:t xml:space="preserve"> the second</w:t>
      </w:r>
      <w:r w:rsidR="000D366F" w:rsidRPr="00053A11">
        <w:t>, which</w:t>
      </w:r>
      <w:r w:rsidR="00B818A8">
        <w:t xml:space="preserve"> results </w:t>
      </w:r>
      <w:r w:rsidR="000D366F">
        <w:t>inclined with respect to the ground,</w:t>
      </w:r>
      <w:r w:rsidR="00C575ED" w:rsidRPr="00C575ED">
        <w:t xml:space="preserve"> </w:t>
      </w:r>
      <w:r w:rsidR="00053A11">
        <w:t xml:space="preserve">is dominated by </w:t>
      </w:r>
      <w:r w:rsidR="00C575ED" w:rsidRPr="00C575ED">
        <w:t>buoyancy/wind.</w:t>
      </w:r>
      <w:r w:rsidR="009C6E8A" w:rsidRPr="009C6E8A">
        <w:t xml:space="preserve"> </w:t>
      </w:r>
      <w:r w:rsidR="009C6E8A" w:rsidRPr="001529A9">
        <w:t>Table 2 presents the frequencies obtained for these scenarios, evaluated from the data presented in Table 1, and the distances reached by two different levels of thermal radiation.</w:t>
      </w:r>
      <w:r w:rsidR="003A1702">
        <w:t xml:space="preserve"> </w:t>
      </w:r>
      <w:r w:rsidR="009C6E8A">
        <w:t xml:space="preserve">As reported in Table 2, the use of the new Miller model for hydrogen resulted, in each case investigated, in higher distances reached by the thermal radiation and therefore in larger areas impacted by these scenarios compared to the results obtained from the conventional Chamberlain model. </w:t>
      </w:r>
      <w:r w:rsidR="009C6E8A" w:rsidRPr="00C66CBA">
        <w:t xml:space="preserve">This condition is strictly </w:t>
      </w:r>
      <w:r w:rsidR="009C6E8A">
        <w:t>cor</w:t>
      </w:r>
      <w:r w:rsidR="009C6E8A" w:rsidRPr="00C66CBA">
        <w:t>related to</w:t>
      </w:r>
      <w:r w:rsidR="009C6E8A">
        <w:t xml:space="preserve"> the</w:t>
      </w:r>
      <w:r w:rsidR="009C6E8A" w:rsidRPr="00C66CBA">
        <w:t xml:space="preserve"> higher flame lengths obtained with the use of the Miller model, that </w:t>
      </w:r>
      <w:r w:rsidR="009C6E8A">
        <w:t>in</w:t>
      </w:r>
      <w:r w:rsidR="009C6E8A" w:rsidRPr="00C66CBA">
        <w:t xml:space="preserve"> the </w:t>
      </w:r>
      <w:r w:rsidR="009C6E8A">
        <w:t xml:space="preserve">cases </w:t>
      </w:r>
      <w:r w:rsidR="009C6E8A" w:rsidRPr="00C66CBA">
        <w:t>an</w:t>
      </w:r>
      <w:r w:rsidR="009C6E8A">
        <w:t>a</w:t>
      </w:r>
      <w:r w:rsidR="009C6E8A" w:rsidRPr="00C66CBA">
        <w:t>lyzed r</w:t>
      </w:r>
      <w:r w:rsidR="009C6E8A">
        <w:t xml:space="preserve">esults approximately 20% higher than those obtained from the classical cone model. </w:t>
      </w:r>
      <w:r w:rsidR="009C6E8A" w:rsidRPr="006C2F63">
        <w:t xml:space="preserve">Furthermore, as </w:t>
      </w:r>
      <w:r w:rsidR="009C6E8A">
        <w:t>per</w:t>
      </w:r>
      <w:r w:rsidR="009C6E8A" w:rsidRPr="006C2F63">
        <w:t xml:space="preserve"> data</w:t>
      </w:r>
      <w:r w:rsidR="009C6E8A">
        <w:t xml:space="preserve"> reported</w:t>
      </w:r>
      <w:r w:rsidR="009C6E8A" w:rsidRPr="006C2F63">
        <w:t xml:space="preserve"> in Table 2, hydrogen </w:t>
      </w:r>
      <w:r w:rsidR="009C6E8A">
        <w:t>J</w:t>
      </w:r>
      <w:r w:rsidR="009C6E8A" w:rsidRPr="006C2F63">
        <w:t xml:space="preserve">et </w:t>
      </w:r>
      <w:r w:rsidR="009C6E8A">
        <w:t>F</w:t>
      </w:r>
      <w:r w:rsidR="009C6E8A" w:rsidRPr="006C2F63">
        <w:t xml:space="preserve">ires simulated with </w:t>
      </w:r>
      <w:r w:rsidR="009C6E8A" w:rsidRPr="006C2F63">
        <w:lastRenderedPageBreak/>
        <w:t>the new specific model present impact zones similar to those obtained for the methane, where the use of the classical model provided less severe conditions due to the shorter flame lengths</w:t>
      </w:r>
      <w:r w:rsidR="009C6E8A">
        <w:t>.</w:t>
      </w:r>
    </w:p>
    <w:p w14:paraId="6764CF96" w14:textId="77777777" w:rsidR="009C6E8A" w:rsidRPr="001529A9" w:rsidRDefault="009C6E8A" w:rsidP="006C2F63">
      <w:pPr>
        <w:pStyle w:val="CETBodytext"/>
      </w:pPr>
    </w:p>
    <w:p w14:paraId="1CEFAD87" w14:textId="492CB913" w:rsidR="0055179D" w:rsidRPr="0012038F" w:rsidRDefault="0055179D" w:rsidP="0055179D">
      <w:pPr>
        <w:pStyle w:val="Didascalia"/>
        <w:keepNext/>
        <w:rPr>
          <w:b w:val="0"/>
          <w:bCs w:val="0"/>
          <w:i/>
          <w:iCs/>
          <w:color w:val="auto"/>
        </w:rPr>
      </w:pPr>
      <w:r w:rsidRPr="0055179D">
        <w:rPr>
          <w:b w:val="0"/>
          <w:bCs w:val="0"/>
          <w:i/>
          <w:iCs/>
          <w:color w:val="auto"/>
        </w:rPr>
        <w:t xml:space="preserve">Table </w:t>
      </w:r>
      <w:r w:rsidR="00637BDD">
        <w:rPr>
          <w:b w:val="0"/>
          <w:bCs w:val="0"/>
          <w:i/>
          <w:iCs/>
          <w:color w:val="auto"/>
        </w:rPr>
        <w:t>2</w:t>
      </w:r>
      <w:r w:rsidRPr="0055179D">
        <w:rPr>
          <w:b w:val="0"/>
          <w:bCs w:val="0"/>
          <w:i/>
          <w:iCs/>
          <w:color w:val="auto"/>
        </w:rPr>
        <w:t xml:space="preserve">:  </w:t>
      </w:r>
      <w:r w:rsidR="00727E07">
        <w:rPr>
          <w:b w:val="0"/>
          <w:bCs w:val="0"/>
          <w:i/>
          <w:iCs/>
          <w:color w:val="auto"/>
        </w:rPr>
        <w:t>frequencies</w:t>
      </w:r>
      <w:r w:rsidR="00702ED7">
        <w:rPr>
          <w:b w:val="0"/>
          <w:bCs w:val="0"/>
          <w:i/>
          <w:iCs/>
          <w:color w:val="auto"/>
        </w:rPr>
        <w:t xml:space="preserve"> and maximum distance</w:t>
      </w:r>
      <w:r w:rsidR="00053A11">
        <w:rPr>
          <w:b w:val="0"/>
          <w:bCs w:val="0"/>
          <w:i/>
          <w:iCs/>
          <w:color w:val="auto"/>
        </w:rPr>
        <w:t>s</w:t>
      </w:r>
      <w:r w:rsidR="00702ED7">
        <w:rPr>
          <w:b w:val="0"/>
          <w:bCs w:val="0"/>
          <w:i/>
          <w:iCs/>
          <w:color w:val="auto"/>
        </w:rPr>
        <w:t xml:space="preserve"> reached </w:t>
      </w:r>
      <w:r w:rsidR="00E41A90">
        <w:rPr>
          <w:b w:val="0"/>
          <w:bCs w:val="0"/>
          <w:i/>
          <w:iCs/>
          <w:color w:val="auto"/>
        </w:rPr>
        <w:t xml:space="preserve">by </w:t>
      </w:r>
      <w:r w:rsidR="007A2583">
        <w:rPr>
          <w:b w:val="0"/>
          <w:bCs w:val="0"/>
          <w:i/>
          <w:iCs/>
          <w:color w:val="auto"/>
        </w:rPr>
        <w:t>therm</w:t>
      </w:r>
      <w:r w:rsidR="006E2318">
        <w:rPr>
          <w:b w:val="0"/>
          <w:bCs w:val="0"/>
          <w:i/>
          <w:iCs/>
          <w:color w:val="auto"/>
        </w:rPr>
        <w:t>al</w:t>
      </w:r>
      <w:r w:rsidR="00E41A90">
        <w:rPr>
          <w:b w:val="0"/>
          <w:bCs w:val="0"/>
          <w:i/>
          <w:iCs/>
          <w:color w:val="auto"/>
        </w:rPr>
        <w:t xml:space="preserve"> radiation levels of</w:t>
      </w:r>
      <w:r w:rsidR="00702ED7">
        <w:rPr>
          <w:b w:val="0"/>
          <w:bCs w:val="0"/>
          <w:i/>
          <w:iCs/>
          <w:color w:val="auto"/>
        </w:rPr>
        <w:t xml:space="preserve"> 12.5 kW/m</w:t>
      </w:r>
      <w:r w:rsidR="00702ED7">
        <w:rPr>
          <w:b w:val="0"/>
          <w:bCs w:val="0"/>
          <w:i/>
          <w:iCs/>
          <w:color w:val="auto"/>
          <w:vertAlign w:val="superscript"/>
        </w:rPr>
        <w:t>2</w:t>
      </w:r>
      <w:r w:rsidR="00702ED7">
        <w:rPr>
          <w:b w:val="0"/>
          <w:bCs w:val="0"/>
          <w:i/>
          <w:iCs/>
          <w:color w:val="auto"/>
        </w:rPr>
        <w:t xml:space="preserve"> and 37.5 kW/</w:t>
      </w:r>
      <w:r w:rsidR="005E1E0E">
        <w:rPr>
          <w:b w:val="0"/>
          <w:bCs w:val="0"/>
          <w:i/>
          <w:iCs/>
          <w:color w:val="auto"/>
        </w:rPr>
        <w:t>m</w:t>
      </w:r>
      <w:r w:rsidR="005E1E0E">
        <w:rPr>
          <w:b w:val="0"/>
          <w:bCs w:val="0"/>
          <w:i/>
          <w:iCs/>
          <w:color w:val="auto"/>
          <w:vertAlign w:val="superscript"/>
        </w:rPr>
        <w:t>2</w:t>
      </w:r>
      <w:r w:rsidR="00702ED7">
        <w:rPr>
          <w:b w:val="0"/>
          <w:bCs w:val="0"/>
          <w:i/>
          <w:iCs/>
          <w:color w:val="auto"/>
          <w:vertAlign w:val="superscript"/>
        </w:rPr>
        <w:t xml:space="preserve"> </w:t>
      </w:r>
      <w:r w:rsidR="00702ED7">
        <w:rPr>
          <w:b w:val="0"/>
          <w:bCs w:val="0"/>
          <w:i/>
          <w:iCs/>
          <w:color w:val="auto"/>
        </w:rPr>
        <w:t xml:space="preserve">at ground </w:t>
      </w:r>
      <w:r w:rsidR="00CB75CC">
        <w:rPr>
          <w:b w:val="0"/>
          <w:bCs w:val="0"/>
          <w:i/>
          <w:iCs/>
          <w:color w:val="auto"/>
        </w:rPr>
        <w:t>fo</w:t>
      </w:r>
      <w:r w:rsidR="00CB65B9">
        <w:rPr>
          <w:b w:val="0"/>
          <w:bCs w:val="0"/>
          <w:i/>
          <w:iCs/>
          <w:color w:val="auto"/>
        </w:rPr>
        <w:t xml:space="preserve">r methane and hydrogen </w:t>
      </w:r>
      <w:r w:rsidR="00E81581">
        <w:rPr>
          <w:b w:val="0"/>
          <w:bCs w:val="0"/>
          <w:i/>
          <w:iCs/>
          <w:color w:val="auto"/>
        </w:rPr>
        <w:t>J</w:t>
      </w:r>
      <w:r w:rsidR="00CB65B9">
        <w:rPr>
          <w:b w:val="0"/>
          <w:bCs w:val="0"/>
          <w:i/>
          <w:iCs/>
          <w:color w:val="auto"/>
        </w:rPr>
        <w:t xml:space="preserve">et </w:t>
      </w:r>
      <w:r w:rsidR="00E81581">
        <w:rPr>
          <w:b w:val="0"/>
          <w:bCs w:val="0"/>
          <w:i/>
          <w:iCs/>
          <w:color w:val="auto"/>
        </w:rPr>
        <w:t>F</w:t>
      </w:r>
      <w:r w:rsidR="00CB65B9">
        <w:rPr>
          <w:b w:val="0"/>
          <w:bCs w:val="0"/>
          <w:i/>
          <w:iCs/>
          <w:color w:val="auto"/>
        </w:rPr>
        <w:t>ires</w:t>
      </w:r>
      <w:r w:rsidR="00AF4999">
        <w:rPr>
          <w:b w:val="0"/>
          <w:bCs w:val="0"/>
          <w:i/>
          <w:iCs/>
          <w:color w:val="auto"/>
        </w:rPr>
        <w:t xml:space="preserve"> </w:t>
      </w:r>
      <w:r w:rsidR="00AF4999" w:rsidRPr="0012038F">
        <w:rPr>
          <w:b w:val="0"/>
          <w:bCs w:val="0"/>
          <w:i/>
          <w:iCs/>
          <w:color w:val="auto"/>
        </w:rPr>
        <w:t>(worst case</w:t>
      </w:r>
      <w:r w:rsidR="00971C5A" w:rsidRPr="0012038F">
        <w:rPr>
          <w:b w:val="0"/>
          <w:bCs w:val="0"/>
          <w:i/>
          <w:iCs/>
          <w:color w:val="auto"/>
        </w:rPr>
        <w:t xml:space="preserve"> reported among the two</w:t>
      </w:r>
      <w:r w:rsidR="00AF4999" w:rsidRPr="0012038F">
        <w:rPr>
          <w:b w:val="0"/>
          <w:bCs w:val="0"/>
          <w:i/>
          <w:iCs/>
          <w:color w:val="auto"/>
        </w:rPr>
        <w:t xml:space="preserve">  weather conditions)</w:t>
      </w:r>
      <w:r w:rsidR="00364984" w:rsidRPr="0012038F">
        <w:rPr>
          <w:b w:val="0"/>
          <w:bCs w:val="0"/>
          <w:i/>
          <w:iCs/>
          <w:color w:val="auto"/>
        </w:rPr>
        <w: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67"/>
        <w:gridCol w:w="851"/>
        <w:gridCol w:w="1134"/>
        <w:gridCol w:w="1134"/>
        <w:gridCol w:w="917"/>
        <w:gridCol w:w="1134"/>
        <w:gridCol w:w="1134"/>
        <w:gridCol w:w="1134"/>
        <w:gridCol w:w="784"/>
      </w:tblGrid>
      <w:tr w:rsidR="001834D1" w:rsidRPr="0012038F" w14:paraId="4EA59086" w14:textId="28208B12" w:rsidTr="003757E8">
        <w:trPr>
          <w:trHeight w:val="396"/>
        </w:trPr>
        <w:tc>
          <w:tcPr>
            <w:tcW w:w="567" w:type="dxa"/>
            <w:vMerge w:val="restart"/>
            <w:tcBorders>
              <w:top w:val="single" w:sz="12" w:space="0" w:color="008000"/>
              <w:right w:val="single" w:sz="4" w:space="0" w:color="9BBB59" w:themeColor="accent3"/>
            </w:tcBorders>
            <w:shd w:val="clear" w:color="auto" w:fill="FFFFFF"/>
          </w:tcPr>
          <w:p w14:paraId="67198A37" w14:textId="77777777" w:rsidR="0063374C" w:rsidRPr="0012038F" w:rsidRDefault="0063374C">
            <w:pPr>
              <w:pStyle w:val="CETBodytext"/>
              <w:rPr>
                <w:lang w:val="en-GB"/>
              </w:rPr>
            </w:pPr>
            <w:r w:rsidRPr="0012038F">
              <w:rPr>
                <w:lang w:val="en-GB"/>
              </w:rPr>
              <w:t>Hole size (mm)</w:t>
            </w:r>
          </w:p>
        </w:tc>
        <w:tc>
          <w:tcPr>
            <w:tcW w:w="3119" w:type="dxa"/>
            <w:gridSpan w:val="3"/>
            <w:tcBorders>
              <w:top w:val="single" w:sz="12" w:space="0" w:color="008000"/>
              <w:left w:val="single" w:sz="4" w:space="0" w:color="9BBB59" w:themeColor="accent3"/>
              <w:bottom w:val="nil"/>
              <w:right w:val="single" w:sz="4" w:space="0" w:color="9BBB59" w:themeColor="accent3"/>
            </w:tcBorders>
            <w:shd w:val="clear" w:color="auto" w:fill="FFFFFF"/>
          </w:tcPr>
          <w:p w14:paraId="2446A993" w14:textId="2D9E5F6B" w:rsidR="0063374C" w:rsidRPr="0012038F" w:rsidRDefault="0063374C" w:rsidP="009972F0">
            <w:pPr>
              <w:pStyle w:val="CETBodytext"/>
              <w:jc w:val="left"/>
              <w:rPr>
                <w:lang w:val="en-GB"/>
              </w:rPr>
            </w:pPr>
            <w:r w:rsidRPr="0012038F">
              <w:rPr>
                <w:lang w:val="en-GB"/>
              </w:rPr>
              <w:t>CH</w:t>
            </w:r>
            <w:r w:rsidRPr="0012038F">
              <w:rPr>
                <w:vertAlign w:val="subscript"/>
                <w:lang w:val="en-GB"/>
              </w:rPr>
              <w:t>4</w:t>
            </w:r>
          </w:p>
        </w:tc>
        <w:tc>
          <w:tcPr>
            <w:tcW w:w="5103" w:type="dxa"/>
            <w:gridSpan w:val="5"/>
            <w:tcBorders>
              <w:top w:val="single" w:sz="12" w:space="0" w:color="008000"/>
              <w:left w:val="single" w:sz="4" w:space="0" w:color="9BBB59" w:themeColor="accent3"/>
              <w:bottom w:val="nil"/>
            </w:tcBorders>
            <w:shd w:val="clear" w:color="auto" w:fill="FFFFFF"/>
          </w:tcPr>
          <w:p w14:paraId="0383F38E" w14:textId="04050E49" w:rsidR="0063374C" w:rsidRPr="0012038F" w:rsidRDefault="0063374C" w:rsidP="009972F0">
            <w:pPr>
              <w:pStyle w:val="CETBodytext"/>
              <w:jc w:val="left"/>
              <w:rPr>
                <w:lang w:val="en-GB"/>
              </w:rPr>
            </w:pPr>
            <w:r w:rsidRPr="0012038F">
              <w:rPr>
                <w:lang w:val="en-GB"/>
              </w:rPr>
              <w:t>H</w:t>
            </w:r>
            <w:r w:rsidRPr="0012038F">
              <w:rPr>
                <w:vertAlign w:val="subscript"/>
                <w:lang w:val="en-GB"/>
              </w:rPr>
              <w:t>2</w:t>
            </w:r>
          </w:p>
        </w:tc>
      </w:tr>
      <w:tr w:rsidR="00EC1C9D" w:rsidRPr="00B57B36" w14:paraId="54817BF8" w14:textId="64CC9C17" w:rsidTr="003757E8">
        <w:trPr>
          <w:trHeight w:val="280"/>
        </w:trPr>
        <w:tc>
          <w:tcPr>
            <w:tcW w:w="567" w:type="dxa"/>
            <w:vMerge/>
            <w:tcBorders>
              <w:right w:val="single" w:sz="4" w:space="0" w:color="9BBB59" w:themeColor="accent3"/>
            </w:tcBorders>
            <w:shd w:val="clear" w:color="auto" w:fill="FFFFFF"/>
          </w:tcPr>
          <w:p w14:paraId="40A64842" w14:textId="77777777" w:rsidR="0055179D" w:rsidRPr="00B57B36" w:rsidRDefault="0055179D" w:rsidP="00112203">
            <w:pPr>
              <w:pStyle w:val="CETBodytext"/>
              <w:ind w:right="-1"/>
              <w:rPr>
                <w:rFonts w:cs="Arial"/>
                <w:szCs w:val="18"/>
                <w:lang w:val="en-GB"/>
              </w:rPr>
            </w:pPr>
          </w:p>
        </w:tc>
        <w:tc>
          <w:tcPr>
            <w:tcW w:w="851" w:type="dxa"/>
            <w:vMerge w:val="restart"/>
            <w:tcBorders>
              <w:top w:val="nil"/>
              <w:left w:val="single" w:sz="4" w:space="0" w:color="9BBB59" w:themeColor="accent3"/>
              <w:bottom w:val="nil"/>
              <w:right w:val="single" w:sz="4" w:space="0" w:color="9BBB59" w:themeColor="accent3"/>
            </w:tcBorders>
            <w:shd w:val="clear" w:color="auto" w:fill="FFFFFF"/>
          </w:tcPr>
          <w:p w14:paraId="7533E25F" w14:textId="77777777" w:rsidR="00632105" w:rsidRDefault="00210931" w:rsidP="00907680">
            <w:pPr>
              <w:pStyle w:val="CETBodytext"/>
              <w:ind w:right="-1"/>
              <w:jc w:val="left"/>
              <w:rPr>
                <w:rFonts w:cs="Arial"/>
                <w:szCs w:val="18"/>
                <w:lang w:val="en-GB"/>
              </w:rPr>
            </w:pPr>
            <w:r>
              <w:rPr>
                <w:rFonts w:cs="Arial"/>
                <w:szCs w:val="18"/>
                <w:lang w:val="en-GB"/>
              </w:rPr>
              <w:t>Jet Fire</w:t>
            </w:r>
          </w:p>
          <w:p w14:paraId="2C20835C" w14:textId="3277B8B7" w:rsidR="0055179D" w:rsidRPr="00B57B36" w:rsidRDefault="00632105" w:rsidP="006D32F0">
            <w:pPr>
              <w:pStyle w:val="CETBodytext"/>
              <w:ind w:right="-1"/>
              <w:jc w:val="left"/>
              <w:rPr>
                <w:rFonts w:cs="Arial"/>
                <w:szCs w:val="18"/>
                <w:lang w:val="en-GB"/>
              </w:rPr>
            </w:pPr>
            <w:r>
              <w:rPr>
                <w:rFonts w:cs="Arial"/>
                <w:szCs w:val="18"/>
                <w:lang w:val="en-GB"/>
              </w:rPr>
              <w:t>frequency</w:t>
            </w:r>
            <w:r w:rsidR="00210931">
              <w:rPr>
                <w:rFonts w:cs="Arial"/>
                <w:szCs w:val="18"/>
                <w:lang w:val="en-GB"/>
              </w:rPr>
              <w:t xml:space="preserve"> (</w:t>
            </w:r>
            <w:r w:rsidR="002E72AB">
              <w:rPr>
                <w:rFonts w:cs="Arial"/>
                <w:szCs w:val="18"/>
                <w:lang w:val="en-GB"/>
              </w:rPr>
              <w:t>ev/y)</w:t>
            </w:r>
          </w:p>
        </w:tc>
        <w:tc>
          <w:tcPr>
            <w:tcW w:w="2268" w:type="dxa"/>
            <w:gridSpan w:val="2"/>
            <w:tcBorders>
              <w:top w:val="nil"/>
              <w:left w:val="single" w:sz="4" w:space="0" w:color="9BBB59" w:themeColor="accent3"/>
              <w:bottom w:val="nil"/>
              <w:right w:val="single" w:sz="4" w:space="0" w:color="9BBB59" w:themeColor="accent3"/>
            </w:tcBorders>
            <w:shd w:val="clear" w:color="auto" w:fill="FFFFFF"/>
          </w:tcPr>
          <w:p w14:paraId="5366BC1E" w14:textId="68194D28" w:rsidR="0055179D" w:rsidRPr="00B57B36" w:rsidRDefault="0055179D" w:rsidP="00907680">
            <w:pPr>
              <w:pStyle w:val="CETBodytext"/>
              <w:ind w:right="-1"/>
              <w:rPr>
                <w:rFonts w:cs="Arial"/>
                <w:szCs w:val="18"/>
                <w:lang w:val="en-GB"/>
              </w:rPr>
            </w:pPr>
            <w:r>
              <w:rPr>
                <w:rFonts w:cs="Arial"/>
                <w:szCs w:val="18"/>
                <w:lang w:val="en-GB"/>
              </w:rPr>
              <w:t>Max</w:t>
            </w:r>
            <w:r w:rsidR="002B039F">
              <w:rPr>
                <w:rFonts w:cs="Arial"/>
                <w:szCs w:val="18"/>
                <w:lang w:val="en-GB"/>
              </w:rPr>
              <w:t>imum</w:t>
            </w:r>
            <w:r>
              <w:rPr>
                <w:rFonts w:cs="Arial"/>
                <w:szCs w:val="18"/>
                <w:lang w:val="en-GB"/>
              </w:rPr>
              <w:t xml:space="preserve"> </w:t>
            </w:r>
            <w:r w:rsidR="00E351C3">
              <w:rPr>
                <w:rFonts w:cs="Arial"/>
                <w:szCs w:val="18"/>
                <w:lang w:val="en-GB"/>
              </w:rPr>
              <w:t>distance (</w:t>
            </w:r>
            <w:r>
              <w:rPr>
                <w:rFonts w:cs="Arial"/>
                <w:szCs w:val="18"/>
                <w:lang w:val="en-GB"/>
              </w:rPr>
              <w:t>m)</w:t>
            </w:r>
          </w:p>
        </w:tc>
        <w:tc>
          <w:tcPr>
            <w:tcW w:w="917" w:type="dxa"/>
            <w:vMerge w:val="restart"/>
            <w:tcBorders>
              <w:top w:val="nil"/>
              <w:left w:val="single" w:sz="4" w:space="0" w:color="9BBB59" w:themeColor="accent3"/>
              <w:bottom w:val="nil"/>
              <w:right w:val="single" w:sz="4" w:space="0" w:color="9BBB59" w:themeColor="accent3"/>
            </w:tcBorders>
            <w:shd w:val="clear" w:color="auto" w:fill="FFFFFF"/>
          </w:tcPr>
          <w:p w14:paraId="41E3B461" w14:textId="77777777" w:rsidR="00632105" w:rsidRDefault="00632105" w:rsidP="00632105">
            <w:pPr>
              <w:pStyle w:val="CETBodytext"/>
              <w:ind w:right="-1"/>
              <w:jc w:val="left"/>
              <w:rPr>
                <w:rFonts w:cs="Arial"/>
                <w:szCs w:val="18"/>
                <w:lang w:val="en-GB"/>
              </w:rPr>
            </w:pPr>
            <w:r>
              <w:rPr>
                <w:rFonts w:cs="Arial"/>
                <w:szCs w:val="18"/>
                <w:lang w:val="en-GB"/>
              </w:rPr>
              <w:t>Jet Fire</w:t>
            </w:r>
          </w:p>
          <w:p w14:paraId="3ED5B332" w14:textId="3DADB063" w:rsidR="0055179D" w:rsidRDefault="00632105" w:rsidP="006D32F0">
            <w:pPr>
              <w:pStyle w:val="CETBodytext"/>
              <w:ind w:right="-1"/>
              <w:jc w:val="left"/>
              <w:rPr>
                <w:rFonts w:cs="Arial"/>
                <w:szCs w:val="18"/>
                <w:lang w:val="en-GB"/>
              </w:rPr>
            </w:pPr>
            <w:r>
              <w:rPr>
                <w:rFonts w:cs="Arial"/>
                <w:szCs w:val="18"/>
                <w:lang w:val="en-GB"/>
              </w:rPr>
              <w:t>frequency (ev/y)</w:t>
            </w:r>
          </w:p>
        </w:tc>
        <w:tc>
          <w:tcPr>
            <w:tcW w:w="4186" w:type="dxa"/>
            <w:gridSpan w:val="4"/>
            <w:tcBorders>
              <w:top w:val="nil"/>
              <w:left w:val="single" w:sz="4" w:space="0" w:color="9BBB59" w:themeColor="accent3"/>
              <w:bottom w:val="nil"/>
            </w:tcBorders>
            <w:shd w:val="clear" w:color="auto" w:fill="FFFFFF"/>
          </w:tcPr>
          <w:p w14:paraId="188CF87F" w14:textId="1E3FFFCE" w:rsidR="0055179D" w:rsidRDefault="0055179D" w:rsidP="006D32F0">
            <w:pPr>
              <w:pStyle w:val="CETBodytext"/>
              <w:ind w:right="-1"/>
              <w:jc w:val="left"/>
              <w:rPr>
                <w:rFonts w:cs="Arial"/>
                <w:szCs w:val="18"/>
                <w:lang w:val="en-GB"/>
              </w:rPr>
            </w:pPr>
            <w:r>
              <w:rPr>
                <w:rFonts w:cs="Arial"/>
                <w:szCs w:val="18"/>
                <w:lang w:val="en-GB"/>
              </w:rPr>
              <w:t>Maximum distanc</w:t>
            </w:r>
            <w:r w:rsidR="00E351C3">
              <w:rPr>
                <w:rFonts w:cs="Arial"/>
                <w:szCs w:val="18"/>
                <w:lang w:val="en-GB"/>
              </w:rPr>
              <w:t>e</w:t>
            </w:r>
            <w:r>
              <w:rPr>
                <w:rFonts w:cs="Arial"/>
                <w:szCs w:val="18"/>
                <w:lang w:val="en-GB"/>
              </w:rPr>
              <w:t xml:space="preserve"> (m)</w:t>
            </w:r>
          </w:p>
        </w:tc>
      </w:tr>
      <w:tr w:rsidR="00EC1C9D" w:rsidRPr="00B57B36" w14:paraId="2FCADCB0" w14:textId="693C6576" w:rsidTr="003757E8">
        <w:trPr>
          <w:trHeight w:val="371"/>
        </w:trPr>
        <w:tc>
          <w:tcPr>
            <w:tcW w:w="567" w:type="dxa"/>
            <w:vMerge/>
            <w:tcBorders>
              <w:right w:val="single" w:sz="4" w:space="0" w:color="9BBB59" w:themeColor="accent3"/>
            </w:tcBorders>
            <w:shd w:val="clear" w:color="auto" w:fill="FFFFFF"/>
          </w:tcPr>
          <w:p w14:paraId="067DC751" w14:textId="77777777" w:rsidR="0055179D" w:rsidRDefault="0055179D" w:rsidP="00112203">
            <w:pPr>
              <w:pStyle w:val="CETBodytext"/>
              <w:ind w:right="-1"/>
              <w:rPr>
                <w:rFonts w:cs="Arial"/>
                <w:szCs w:val="18"/>
                <w:lang w:val="en-GB"/>
              </w:rPr>
            </w:pPr>
          </w:p>
        </w:tc>
        <w:tc>
          <w:tcPr>
            <w:tcW w:w="851" w:type="dxa"/>
            <w:vMerge/>
            <w:tcBorders>
              <w:top w:val="nil"/>
              <w:left w:val="single" w:sz="4" w:space="0" w:color="9BBB59" w:themeColor="accent3"/>
              <w:bottom w:val="nil"/>
              <w:right w:val="single" w:sz="4" w:space="0" w:color="9BBB59" w:themeColor="accent3"/>
            </w:tcBorders>
            <w:shd w:val="clear" w:color="auto" w:fill="FFFFFF"/>
          </w:tcPr>
          <w:p w14:paraId="7C7828DC" w14:textId="77777777" w:rsidR="0055179D" w:rsidRDefault="0055179D" w:rsidP="00112203">
            <w:pPr>
              <w:pStyle w:val="CETBodytext"/>
              <w:ind w:right="-1"/>
              <w:rPr>
                <w:rFonts w:cs="Arial"/>
                <w:szCs w:val="18"/>
                <w:lang w:val="en-GB"/>
              </w:rPr>
            </w:pPr>
          </w:p>
        </w:tc>
        <w:tc>
          <w:tcPr>
            <w:tcW w:w="2268" w:type="dxa"/>
            <w:gridSpan w:val="2"/>
            <w:tcBorders>
              <w:top w:val="nil"/>
              <w:left w:val="single" w:sz="4" w:space="0" w:color="9BBB59" w:themeColor="accent3"/>
              <w:bottom w:val="nil"/>
              <w:right w:val="single" w:sz="4" w:space="0" w:color="9BBB59" w:themeColor="accent3"/>
            </w:tcBorders>
            <w:shd w:val="clear" w:color="auto" w:fill="FFFFFF"/>
          </w:tcPr>
          <w:p w14:paraId="26BE9F68" w14:textId="1D51FB40" w:rsidR="0055179D" w:rsidRDefault="0055179D" w:rsidP="00907680">
            <w:pPr>
              <w:pStyle w:val="CETBodytext"/>
              <w:ind w:right="-1"/>
              <w:rPr>
                <w:rFonts w:cs="Arial"/>
                <w:szCs w:val="18"/>
                <w:lang w:val="en-GB"/>
              </w:rPr>
            </w:pPr>
            <w:r>
              <w:rPr>
                <w:rFonts w:cs="Arial"/>
                <w:szCs w:val="18"/>
                <w:lang w:val="en-GB"/>
              </w:rPr>
              <w:t>Cone</w:t>
            </w:r>
            <w:r w:rsidR="00825B0D">
              <w:rPr>
                <w:rFonts w:cs="Arial"/>
                <w:szCs w:val="18"/>
                <w:lang w:val="en-GB"/>
              </w:rPr>
              <w:t xml:space="preserve"> Model (Chamberlain)</w:t>
            </w:r>
          </w:p>
        </w:tc>
        <w:tc>
          <w:tcPr>
            <w:tcW w:w="917" w:type="dxa"/>
            <w:vMerge/>
            <w:tcBorders>
              <w:top w:val="nil"/>
              <w:left w:val="single" w:sz="4" w:space="0" w:color="9BBB59" w:themeColor="accent3"/>
              <w:bottom w:val="nil"/>
              <w:right w:val="single" w:sz="4" w:space="0" w:color="9BBB59" w:themeColor="accent3"/>
            </w:tcBorders>
            <w:shd w:val="clear" w:color="auto" w:fill="FFFFFF"/>
          </w:tcPr>
          <w:p w14:paraId="0EAB7064" w14:textId="77777777" w:rsidR="0055179D" w:rsidRDefault="0055179D" w:rsidP="00112203">
            <w:pPr>
              <w:pStyle w:val="CETBodytext"/>
              <w:ind w:right="-1"/>
              <w:rPr>
                <w:rFonts w:cs="Arial"/>
                <w:szCs w:val="18"/>
                <w:lang w:val="en-GB"/>
              </w:rPr>
            </w:pPr>
          </w:p>
        </w:tc>
        <w:tc>
          <w:tcPr>
            <w:tcW w:w="2268" w:type="dxa"/>
            <w:gridSpan w:val="2"/>
            <w:tcBorders>
              <w:top w:val="nil"/>
              <w:left w:val="single" w:sz="4" w:space="0" w:color="9BBB59" w:themeColor="accent3"/>
              <w:bottom w:val="nil"/>
              <w:right w:val="single" w:sz="4" w:space="0" w:color="9BBB59" w:themeColor="accent3"/>
            </w:tcBorders>
            <w:shd w:val="clear" w:color="auto" w:fill="FFFFFF"/>
          </w:tcPr>
          <w:p w14:paraId="71BF7FDB" w14:textId="51423727" w:rsidR="0055179D" w:rsidRDefault="0055179D" w:rsidP="00112203">
            <w:pPr>
              <w:pStyle w:val="CETBodytext"/>
              <w:ind w:right="-1"/>
              <w:rPr>
                <w:rFonts w:cs="Arial"/>
                <w:szCs w:val="18"/>
                <w:lang w:val="en-GB"/>
              </w:rPr>
            </w:pPr>
            <w:r>
              <w:rPr>
                <w:rFonts w:cs="Arial"/>
                <w:szCs w:val="18"/>
                <w:lang w:val="en-GB"/>
              </w:rPr>
              <w:t>Cone</w:t>
            </w:r>
            <w:r w:rsidR="00825B0D">
              <w:rPr>
                <w:rFonts w:cs="Arial"/>
                <w:szCs w:val="18"/>
                <w:lang w:val="en-GB"/>
              </w:rPr>
              <w:t xml:space="preserve"> Model (Chamberlain)</w:t>
            </w:r>
          </w:p>
        </w:tc>
        <w:tc>
          <w:tcPr>
            <w:tcW w:w="1918" w:type="dxa"/>
            <w:gridSpan w:val="2"/>
            <w:tcBorders>
              <w:top w:val="nil"/>
              <w:left w:val="single" w:sz="4" w:space="0" w:color="9BBB59" w:themeColor="accent3"/>
              <w:bottom w:val="nil"/>
            </w:tcBorders>
            <w:shd w:val="clear" w:color="auto" w:fill="FFFFFF"/>
          </w:tcPr>
          <w:p w14:paraId="4D0D4ADD" w14:textId="14562964" w:rsidR="0055179D" w:rsidRDefault="0055179D" w:rsidP="00112203">
            <w:pPr>
              <w:pStyle w:val="CETBodytext"/>
              <w:ind w:right="-1"/>
              <w:rPr>
                <w:rFonts w:cs="Arial"/>
                <w:szCs w:val="18"/>
                <w:lang w:val="en-GB"/>
              </w:rPr>
            </w:pPr>
            <w:r>
              <w:rPr>
                <w:rFonts w:cs="Arial"/>
                <w:szCs w:val="18"/>
                <w:lang w:val="en-GB"/>
              </w:rPr>
              <w:t>Miller</w:t>
            </w:r>
            <w:r w:rsidR="00825B0D">
              <w:rPr>
                <w:rFonts w:cs="Arial"/>
                <w:szCs w:val="18"/>
                <w:lang w:val="en-GB"/>
              </w:rPr>
              <w:t xml:space="preserve"> Model</w:t>
            </w:r>
          </w:p>
        </w:tc>
      </w:tr>
      <w:tr w:rsidR="00EC1C9D" w:rsidRPr="00B57B36" w14:paraId="4BC39870" w14:textId="2BF78292" w:rsidTr="003757E8">
        <w:trPr>
          <w:trHeight w:val="235"/>
        </w:trPr>
        <w:tc>
          <w:tcPr>
            <w:tcW w:w="567" w:type="dxa"/>
            <w:vMerge/>
            <w:tcBorders>
              <w:right w:val="single" w:sz="4" w:space="0" w:color="9BBB59" w:themeColor="accent3"/>
            </w:tcBorders>
            <w:shd w:val="clear" w:color="auto" w:fill="FFFFFF"/>
          </w:tcPr>
          <w:p w14:paraId="14811D8A" w14:textId="0335F41F" w:rsidR="0055179D" w:rsidRDefault="0055179D" w:rsidP="0063374C">
            <w:pPr>
              <w:pStyle w:val="CETBodytext"/>
              <w:ind w:right="-1"/>
              <w:rPr>
                <w:rFonts w:cs="Arial"/>
                <w:szCs w:val="18"/>
                <w:lang w:val="en-GB"/>
              </w:rPr>
            </w:pPr>
          </w:p>
        </w:tc>
        <w:tc>
          <w:tcPr>
            <w:tcW w:w="851" w:type="dxa"/>
            <w:vMerge/>
            <w:tcBorders>
              <w:top w:val="nil"/>
              <w:left w:val="single" w:sz="4" w:space="0" w:color="9BBB59" w:themeColor="accent3"/>
              <w:bottom w:val="nil"/>
              <w:right w:val="single" w:sz="4" w:space="0" w:color="9BBB59" w:themeColor="accent3"/>
            </w:tcBorders>
            <w:shd w:val="clear" w:color="auto" w:fill="FFFFFF"/>
          </w:tcPr>
          <w:p w14:paraId="70E4A2D5" w14:textId="6A59836C" w:rsidR="0055179D" w:rsidRDefault="0055179D" w:rsidP="0063374C">
            <w:pPr>
              <w:pStyle w:val="CETBodytext"/>
              <w:ind w:right="-1"/>
              <w:rPr>
                <w:rFonts w:cs="Arial"/>
                <w:szCs w:val="18"/>
                <w:lang w:val="en-GB"/>
              </w:rPr>
            </w:pPr>
          </w:p>
        </w:tc>
        <w:tc>
          <w:tcPr>
            <w:tcW w:w="1134" w:type="dxa"/>
            <w:tcBorders>
              <w:top w:val="nil"/>
              <w:left w:val="single" w:sz="4" w:space="0" w:color="9BBB59" w:themeColor="accent3"/>
              <w:bottom w:val="nil"/>
            </w:tcBorders>
            <w:shd w:val="clear" w:color="auto" w:fill="FFFFFF"/>
          </w:tcPr>
          <w:p w14:paraId="420F0EF1" w14:textId="15B6F722" w:rsidR="0055179D" w:rsidRPr="001B1E88" w:rsidRDefault="0055179D" w:rsidP="0063374C">
            <w:pPr>
              <w:pStyle w:val="CETBodytext"/>
              <w:ind w:right="-1"/>
              <w:rPr>
                <w:rFonts w:cs="Arial"/>
                <w:szCs w:val="18"/>
                <w:lang w:val="en-GB"/>
              </w:rPr>
            </w:pPr>
            <w:r>
              <w:rPr>
                <w:rFonts w:cs="Arial"/>
                <w:szCs w:val="18"/>
                <w:lang w:val="en-GB"/>
              </w:rPr>
              <w:t xml:space="preserve">12.5 </w:t>
            </w:r>
            <w:r w:rsidR="001B1E88">
              <w:rPr>
                <w:rFonts w:cs="Arial"/>
                <w:szCs w:val="18"/>
                <w:lang w:val="en-GB"/>
              </w:rPr>
              <w:t>(</w:t>
            </w:r>
            <w:r>
              <w:rPr>
                <w:rFonts w:cs="Arial"/>
                <w:szCs w:val="18"/>
                <w:lang w:val="en-GB"/>
              </w:rPr>
              <w:t>kW/m</w:t>
            </w:r>
            <w:r>
              <w:rPr>
                <w:rFonts w:cs="Arial"/>
                <w:szCs w:val="18"/>
                <w:vertAlign w:val="superscript"/>
                <w:lang w:val="en-GB"/>
              </w:rPr>
              <w:t>2</w:t>
            </w:r>
            <w:r w:rsidR="001B1E88">
              <w:rPr>
                <w:rFonts w:cs="Arial"/>
                <w:szCs w:val="18"/>
                <w:lang w:val="en-GB"/>
              </w:rPr>
              <w:t>)</w:t>
            </w:r>
          </w:p>
        </w:tc>
        <w:tc>
          <w:tcPr>
            <w:tcW w:w="1134" w:type="dxa"/>
            <w:tcBorders>
              <w:top w:val="nil"/>
              <w:bottom w:val="nil"/>
              <w:right w:val="single" w:sz="4" w:space="0" w:color="9BBB59" w:themeColor="accent3"/>
            </w:tcBorders>
            <w:shd w:val="clear" w:color="auto" w:fill="FFFFFF"/>
          </w:tcPr>
          <w:p w14:paraId="693A7D17" w14:textId="7FE7B7C0" w:rsidR="0055179D" w:rsidRPr="001B1E88" w:rsidRDefault="0055179D" w:rsidP="0063374C">
            <w:pPr>
              <w:pStyle w:val="CETBodytext"/>
              <w:ind w:right="-1"/>
              <w:rPr>
                <w:rFonts w:cs="Arial"/>
                <w:szCs w:val="18"/>
                <w:lang w:val="en-GB"/>
              </w:rPr>
            </w:pPr>
            <w:r>
              <w:rPr>
                <w:rFonts w:cs="Arial"/>
                <w:szCs w:val="18"/>
                <w:lang w:val="en-GB"/>
              </w:rPr>
              <w:t xml:space="preserve">37.5 </w:t>
            </w:r>
            <w:r w:rsidR="001B1E88">
              <w:rPr>
                <w:rFonts w:cs="Arial"/>
                <w:szCs w:val="18"/>
                <w:lang w:val="en-GB"/>
              </w:rPr>
              <w:t>(</w:t>
            </w:r>
            <w:r>
              <w:rPr>
                <w:rFonts w:cs="Arial"/>
                <w:szCs w:val="18"/>
                <w:lang w:val="en-GB"/>
              </w:rPr>
              <w:t>kW/m</w:t>
            </w:r>
            <w:r>
              <w:rPr>
                <w:rFonts w:cs="Arial"/>
                <w:szCs w:val="18"/>
                <w:vertAlign w:val="superscript"/>
                <w:lang w:val="en-GB"/>
              </w:rPr>
              <w:t>2</w:t>
            </w:r>
            <w:r w:rsidR="001B1E88">
              <w:rPr>
                <w:rFonts w:cs="Arial"/>
                <w:szCs w:val="18"/>
                <w:lang w:val="en-GB"/>
              </w:rPr>
              <w:t>)</w:t>
            </w:r>
          </w:p>
        </w:tc>
        <w:tc>
          <w:tcPr>
            <w:tcW w:w="917" w:type="dxa"/>
            <w:vMerge/>
            <w:tcBorders>
              <w:top w:val="nil"/>
              <w:left w:val="single" w:sz="4" w:space="0" w:color="9BBB59" w:themeColor="accent3"/>
              <w:bottom w:val="nil"/>
              <w:right w:val="single" w:sz="4" w:space="0" w:color="9BBB59" w:themeColor="accent3"/>
            </w:tcBorders>
            <w:shd w:val="clear" w:color="auto" w:fill="FFFFFF"/>
          </w:tcPr>
          <w:p w14:paraId="37BB4505" w14:textId="77777777" w:rsidR="0055179D" w:rsidRDefault="0055179D" w:rsidP="0063374C">
            <w:pPr>
              <w:pStyle w:val="CETBodytext"/>
              <w:ind w:right="-1"/>
              <w:rPr>
                <w:rFonts w:cs="Arial"/>
                <w:szCs w:val="18"/>
                <w:lang w:val="en-GB"/>
              </w:rPr>
            </w:pPr>
          </w:p>
        </w:tc>
        <w:tc>
          <w:tcPr>
            <w:tcW w:w="1134" w:type="dxa"/>
            <w:tcBorders>
              <w:top w:val="nil"/>
              <w:left w:val="single" w:sz="4" w:space="0" w:color="9BBB59" w:themeColor="accent3"/>
              <w:bottom w:val="nil"/>
            </w:tcBorders>
            <w:shd w:val="clear" w:color="auto" w:fill="FFFFFF"/>
          </w:tcPr>
          <w:p w14:paraId="222DF3CE" w14:textId="52CE513B" w:rsidR="0055179D" w:rsidRPr="0095584D" w:rsidRDefault="0055179D" w:rsidP="0063374C">
            <w:pPr>
              <w:pStyle w:val="CETBodytext"/>
              <w:ind w:right="-1"/>
              <w:rPr>
                <w:rFonts w:cs="Arial"/>
                <w:szCs w:val="18"/>
                <w:lang w:val="en-GB"/>
              </w:rPr>
            </w:pPr>
            <w:r>
              <w:rPr>
                <w:rFonts w:cs="Arial"/>
                <w:szCs w:val="18"/>
                <w:lang w:val="en-GB"/>
              </w:rPr>
              <w:t xml:space="preserve">12.5 </w:t>
            </w:r>
            <w:r w:rsidR="001B1E88">
              <w:rPr>
                <w:rFonts w:cs="Arial"/>
                <w:szCs w:val="18"/>
                <w:lang w:val="en-GB"/>
              </w:rPr>
              <w:t>(</w:t>
            </w:r>
            <w:r>
              <w:rPr>
                <w:rFonts w:cs="Arial"/>
                <w:szCs w:val="18"/>
                <w:lang w:val="en-GB"/>
              </w:rPr>
              <w:t>kW/m</w:t>
            </w:r>
            <w:r>
              <w:rPr>
                <w:rFonts w:cs="Arial"/>
                <w:szCs w:val="18"/>
                <w:vertAlign w:val="superscript"/>
                <w:lang w:val="en-GB"/>
              </w:rPr>
              <w:t>2</w:t>
            </w:r>
            <w:r w:rsidR="0095584D">
              <w:rPr>
                <w:rFonts w:cs="Arial"/>
                <w:szCs w:val="18"/>
                <w:lang w:val="en-GB"/>
              </w:rPr>
              <w:t>)</w:t>
            </w:r>
          </w:p>
        </w:tc>
        <w:tc>
          <w:tcPr>
            <w:tcW w:w="1134" w:type="dxa"/>
            <w:tcBorders>
              <w:top w:val="nil"/>
              <w:bottom w:val="nil"/>
              <w:right w:val="single" w:sz="4" w:space="0" w:color="9BBB59" w:themeColor="accent3"/>
            </w:tcBorders>
            <w:shd w:val="clear" w:color="auto" w:fill="FFFFFF"/>
          </w:tcPr>
          <w:p w14:paraId="30B4A4AB" w14:textId="263B02FF" w:rsidR="0055179D" w:rsidRPr="0095584D" w:rsidRDefault="0055179D" w:rsidP="0063374C">
            <w:pPr>
              <w:pStyle w:val="CETBodytext"/>
              <w:ind w:right="-1"/>
              <w:rPr>
                <w:rFonts w:cs="Arial"/>
                <w:szCs w:val="18"/>
                <w:lang w:val="en-GB"/>
              </w:rPr>
            </w:pPr>
            <w:r>
              <w:rPr>
                <w:rFonts w:cs="Arial"/>
                <w:szCs w:val="18"/>
                <w:lang w:val="en-GB"/>
              </w:rPr>
              <w:t xml:space="preserve">37.5 </w:t>
            </w:r>
            <w:r w:rsidR="0095584D">
              <w:rPr>
                <w:rFonts w:cs="Arial"/>
                <w:szCs w:val="18"/>
                <w:lang w:val="en-GB"/>
              </w:rPr>
              <w:t>(</w:t>
            </w:r>
            <w:r>
              <w:rPr>
                <w:rFonts w:cs="Arial"/>
                <w:szCs w:val="18"/>
                <w:lang w:val="en-GB"/>
              </w:rPr>
              <w:t>kW/m</w:t>
            </w:r>
            <w:r>
              <w:rPr>
                <w:rFonts w:cs="Arial"/>
                <w:szCs w:val="18"/>
                <w:vertAlign w:val="superscript"/>
                <w:lang w:val="en-GB"/>
              </w:rPr>
              <w:t>2</w:t>
            </w:r>
            <w:r w:rsidR="0095584D">
              <w:rPr>
                <w:rFonts w:cs="Arial"/>
                <w:szCs w:val="18"/>
                <w:lang w:val="en-GB"/>
              </w:rPr>
              <w:t>)</w:t>
            </w:r>
          </w:p>
        </w:tc>
        <w:tc>
          <w:tcPr>
            <w:tcW w:w="1134" w:type="dxa"/>
            <w:tcBorders>
              <w:top w:val="nil"/>
              <w:left w:val="single" w:sz="4" w:space="0" w:color="9BBB59" w:themeColor="accent3"/>
              <w:bottom w:val="nil"/>
            </w:tcBorders>
            <w:shd w:val="clear" w:color="auto" w:fill="FFFFFF"/>
          </w:tcPr>
          <w:p w14:paraId="47493D2E" w14:textId="19649ADE" w:rsidR="0055179D" w:rsidRPr="0095584D" w:rsidRDefault="0055179D" w:rsidP="0063374C">
            <w:pPr>
              <w:pStyle w:val="CETBodytext"/>
              <w:ind w:right="-1"/>
              <w:rPr>
                <w:rFonts w:cs="Arial"/>
                <w:szCs w:val="18"/>
                <w:lang w:val="en-GB"/>
              </w:rPr>
            </w:pPr>
            <w:r>
              <w:rPr>
                <w:rFonts w:cs="Arial"/>
                <w:szCs w:val="18"/>
                <w:lang w:val="en-GB"/>
              </w:rPr>
              <w:t xml:space="preserve">12.5 </w:t>
            </w:r>
            <w:r w:rsidR="0095584D">
              <w:rPr>
                <w:rFonts w:cs="Arial"/>
                <w:szCs w:val="18"/>
                <w:lang w:val="en-GB"/>
              </w:rPr>
              <w:t>(</w:t>
            </w:r>
            <w:r>
              <w:rPr>
                <w:rFonts w:cs="Arial"/>
                <w:szCs w:val="18"/>
                <w:lang w:val="en-GB"/>
              </w:rPr>
              <w:t>kW/m</w:t>
            </w:r>
            <w:r>
              <w:rPr>
                <w:rFonts w:cs="Arial"/>
                <w:szCs w:val="18"/>
                <w:vertAlign w:val="superscript"/>
                <w:lang w:val="en-GB"/>
              </w:rPr>
              <w:t>2</w:t>
            </w:r>
            <w:r w:rsidR="0095584D">
              <w:rPr>
                <w:rFonts w:cs="Arial"/>
                <w:szCs w:val="18"/>
                <w:lang w:val="en-GB"/>
              </w:rPr>
              <w:t>)</w:t>
            </w:r>
          </w:p>
        </w:tc>
        <w:tc>
          <w:tcPr>
            <w:tcW w:w="784" w:type="dxa"/>
            <w:tcBorders>
              <w:top w:val="nil"/>
              <w:bottom w:val="nil"/>
            </w:tcBorders>
            <w:shd w:val="clear" w:color="auto" w:fill="FFFFFF"/>
          </w:tcPr>
          <w:p w14:paraId="5158E5F7" w14:textId="6D0C53B6" w:rsidR="0055179D" w:rsidRPr="0095584D" w:rsidRDefault="0055179D" w:rsidP="0063374C">
            <w:pPr>
              <w:pStyle w:val="CETBodytext"/>
              <w:ind w:right="-1"/>
              <w:rPr>
                <w:rFonts w:cs="Arial"/>
                <w:szCs w:val="18"/>
                <w:lang w:val="en-GB"/>
              </w:rPr>
            </w:pPr>
            <w:r>
              <w:rPr>
                <w:rFonts w:cs="Arial"/>
                <w:szCs w:val="18"/>
                <w:lang w:val="en-GB"/>
              </w:rPr>
              <w:t xml:space="preserve">37.5 </w:t>
            </w:r>
            <w:r w:rsidR="0095584D">
              <w:rPr>
                <w:rFonts w:cs="Arial"/>
                <w:szCs w:val="18"/>
                <w:lang w:val="en-GB"/>
              </w:rPr>
              <w:t>(</w:t>
            </w:r>
            <w:r>
              <w:rPr>
                <w:rFonts w:cs="Arial"/>
                <w:szCs w:val="18"/>
                <w:lang w:val="en-GB"/>
              </w:rPr>
              <w:t>kW/m</w:t>
            </w:r>
            <w:r>
              <w:rPr>
                <w:rFonts w:cs="Arial"/>
                <w:szCs w:val="18"/>
                <w:vertAlign w:val="superscript"/>
                <w:lang w:val="en-GB"/>
              </w:rPr>
              <w:t>2</w:t>
            </w:r>
            <w:r w:rsidR="0095584D">
              <w:rPr>
                <w:rFonts w:cs="Arial"/>
                <w:szCs w:val="18"/>
                <w:lang w:val="en-GB"/>
              </w:rPr>
              <w:t>)</w:t>
            </w:r>
          </w:p>
        </w:tc>
      </w:tr>
      <w:tr w:rsidR="00210931" w:rsidRPr="00B57B36" w14:paraId="705BE925" w14:textId="77777777" w:rsidTr="003757E8">
        <w:trPr>
          <w:trHeight w:val="235"/>
        </w:trPr>
        <w:tc>
          <w:tcPr>
            <w:tcW w:w="567" w:type="dxa"/>
            <w:tcBorders>
              <w:right w:val="single" w:sz="4" w:space="0" w:color="9BBB59" w:themeColor="accent3"/>
            </w:tcBorders>
            <w:shd w:val="clear" w:color="auto" w:fill="FFFFFF"/>
          </w:tcPr>
          <w:p w14:paraId="237F7CED" w14:textId="5FE69F7F" w:rsidR="00B817C9" w:rsidRDefault="00B817C9" w:rsidP="00B817C9">
            <w:pPr>
              <w:pStyle w:val="CETBodytext"/>
              <w:ind w:right="-1"/>
              <w:rPr>
                <w:rFonts w:cs="Arial"/>
                <w:szCs w:val="18"/>
                <w:lang w:val="en-GB"/>
              </w:rPr>
            </w:pPr>
            <w:r>
              <w:rPr>
                <w:rFonts w:cs="Arial"/>
                <w:szCs w:val="18"/>
                <w:lang w:val="en-GB"/>
              </w:rPr>
              <w:t>25.4</w:t>
            </w:r>
          </w:p>
        </w:tc>
        <w:tc>
          <w:tcPr>
            <w:tcW w:w="851" w:type="dxa"/>
            <w:tcBorders>
              <w:top w:val="nil"/>
              <w:left w:val="single" w:sz="4" w:space="0" w:color="9BBB59" w:themeColor="accent3"/>
              <w:bottom w:val="nil"/>
              <w:right w:val="single" w:sz="4" w:space="0" w:color="9BBB59" w:themeColor="accent3"/>
            </w:tcBorders>
            <w:shd w:val="clear" w:color="auto" w:fill="FFFFFF"/>
          </w:tcPr>
          <w:p w14:paraId="6CE85973" w14:textId="5A86C59D" w:rsidR="00B817C9" w:rsidRDefault="00340BBA" w:rsidP="00B817C9">
            <w:pPr>
              <w:pStyle w:val="CETBodytext"/>
              <w:ind w:right="-1"/>
              <w:rPr>
                <w:rFonts w:cs="Arial"/>
                <w:szCs w:val="18"/>
                <w:lang w:val="en-GB"/>
              </w:rPr>
            </w:pPr>
            <w:r>
              <w:rPr>
                <w:rFonts w:cs="Arial"/>
                <w:szCs w:val="18"/>
                <w:lang w:val="en-GB"/>
              </w:rPr>
              <w:t>5.46 E-06</w:t>
            </w:r>
          </w:p>
        </w:tc>
        <w:tc>
          <w:tcPr>
            <w:tcW w:w="1134" w:type="dxa"/>
            <w:tcBorders>
              <w:top w:val="nil"/>
              <w:left w:val="single" w:sz="4" w:space="0" w:color="9BBB59" w:themeColor="accent3"/>
              <w:bottom w:val="nil"/>
            </w:tcBorders>
            <w:shd w:val="clear" w:color="auto" w:fill="FFFFFF"/>
          </w:tcPr>
          <w:p w14:paraId="28BC8A50" w14:textId="39AC93D2" w:rsidR="00B817C9" w:rsidRDefault="004E162A" w:rsidP="005317F7">
            <w:pPr>
              <w:pStyle w:val="CETBodytext"/>
              <w:ind w:right="-1"/>
              <w:rPr>
                <w:rFonts w:cs="Arial"/>
                <w:szCs w:val="18"/>
                <w:lang w:val="en-GB"/>
              </w:rPr>
            </w:pPr>
            <w:r>
              <w:rPr>
                <w:rFonts w:cs="Arial"/>
                <w:szCs w:val="18"/>
                <w:lang w:val="en-GB"/>
              </w:rPr>
              <w:t>22.61</w:t>
            </w:r>
          </w:p>
        </w:tc>
        <w:tc>
          <w:tcPr>
            <w:tcW w:w="1134" w:type="dxa"/>
            <w:tcBorders>
              <w:top w:val="nil"/>
              <w:bottom w:val="nil"/>
              <w:right w:val="single" w:sz="4" w:space="0" w:color="9BBB59" w:themeColor="accent3"/>
            </w:tcBorders>
            <w:shd w:val="clear" w:color="auto" w:fill="FFFFFF"/>
          </w:tcPr>
          <w:p w14:paraId="6412EA83" w14:textId="62B5ED92" w:rsidR="00B817C9" w:rsidRDefault="001127F0" w:rsidP="005317F7">
            <w:pPr>
              <w:pStyle w:val="CETBodytext"/>
              <w:ind w:right="-1"/>
              <w:jc w:val="left"/>
              <w:rPr>
                <w:rFonts w:cs="Arial"/>
                <w:szCs w:val="18"/>
                <w:lang w:val="en-GB"/>
              </w:rPr>
            </w:pPr>
            <w:r>
              <w:rPr>
                <w:rFonts w:cs="Arial"/>
                <w:szCs w:val="18"/>
                <w:lang w:val="en-GB"/>
              </w:rPr>
              <w:t>19.78</w:t>
            </w:r>
          </w:p>
        </w:tc>
        <w:tc>
          <w:tcPr>
            <w:tcW w:w="917" w:type="dxa"/>
            <w:tcBorders>
              <w:top w:val="nil"/>
              <w:left w:val="single" w:sz="4" w:space="0" w:color="9BBB59" w:themeColor="accent3"/>
              <w:bottom w:val="nil"/>
              <w:right w:val="single" w:sz="4" w:space="0" w:color="9BBB59" w:themeColor="accent3"/>
            </w:tcBorders>
            <w:shd w:val="clear" w:color="auto" w:fill="FFFFFF"/>
          </w:tcPr>
          <w:p w14:paraId="44BBA06C" w14:textId="651C47C3" w:rsidR="00B817C9" w:rsidRDefault="00183E6A" w:rsidP="005317F7">
            <w:pPr>
              <w:pStyle w:val="CETBodytext"/>
              <w:ind w:right="-1"/>
              <w:jc w:val="left"/>
              <w:rPr>
                <w:rFonts w:cs="Arial"/>
                <w:szCs w:val="18"/>
                <w:lang w:val="en-GB"/>
              </w:rPr>
            </w:pPr>
            <w:r>
              <w:rPr>
                <w:rFonts w:cs="Arial"/>
                <w:szCs w:val="18"/>
                <w:lang w:val="en-GB"/>
              </w:rPr>
              <w:t>1.47 E-04</w:t>
            </w:r>
          </w:p>
        </w:tc>
        <w:tc>
          <w:tcPr>
            <w:tcW w:w="1134" w:type="dxa"/>
            <w:tcBorders>
              <w:top w:val="nil"/>
              <w:left w:val="single" w:sz="4" w:space="0" w:color="9BBB59" w:themeColor="accent3"/>
              <w:bottom w:val="nil"/>
            </w:tcBorders>
            <w:shd w:val="clear" w:color="auto" w:fill="FFFFFF"/>
          </w:tcPr>
          <w:p w14:paraId="6D061A3C" w14:textId="338E8CA1" w:rsidR="00B817C9" w:rsidRDefault="008D4A3C" w:rsidP="005317F7">
            <w:pPr>
              <w:pStyle w:val="CETBodytext"/>
              <w:ind w:right="-1"/>
              <w:jc w:val="left"/>
              <w:rPr>
                <w:rFonts w:cs="Arial"/>
                <w:szCs w:val="18"/>
                <w:lang w:val="en-GB"/>
              </w:rPr>
            </w:pPr>
            <w:r>
              <w:rPr>
                <w:rFonts w:cs="Arial"/>
                <w:szCs w:val="18"/>
                <w:lang w:val="en-GB"/>
              </w:rPr>
              <w:t>16.91</w:t>
            </w:r>
          </w:p>
        </w:tc>
        <w:tc>
          <w:tcPr>
            <w:tcW w:w="1134" w:type="dxa"/>
            <w:tcBorders>
              <w:top w:val="nil"/>
              <w:bottom w:val="nil"/>
              <w:right w:val="single" w:sz="4" w:space="0" w:color="9BBB59" w:themeColor="accent3"/>
            </w:tcBorders>
            <w:shd w:val="clear" w:color="auto" w:fill="FFFFFF"/>
          </w:tcPr>
          <w:p w14:paraId="1E29692F" w14:textId="5DEBBE30" w:rsidR="00B817C9" w:rsidRDefault="00B07702" w:rsidP="005317F7">
            <w:pPr>
              <w:pStyle w:val="CETBodytext"/>
              <w:ind w:right="-1"/>
              <w:jc w:val="left"/>
              <w:rPr>
                <w:rFonts w:cs="Arial"/>
                <w:szCs w:val="18"/>
                <w:lang w:val="en-GB"/>
              </w:rPr>
            </w:pPr>
            <w:r>
              <w:rPr>
                <w:rFonts w:cs="Arial"/>
                <w:szCs w:val="18"/>
                <w:lang w:val="en-GB"/>
              </w:rPr>
              <w:t>15.21</w:t>
            </w:r>
          </w:p>
        </w:tc>
        <w:tc>
          <w:tcPr>
            <w:tcW w:w="1134" w:type="dxa"/>
            <w:tcBorders>
              <w:top w:val="nil"/>
              <w:left w:val="single" w:sz="4" w:space="0" w:color="9BBB59" w:themeColor="accent3"/>
              <w:bottom w:val="nil"/>
            </w:tcBorders>
            <w:shd w:val="clear" w:color="auto" w:fill="FFFFFF"/>
          </w:tcPr>
          <w:p w14:paraId="35B4ED71" w14:textId="37EC2FEC" w:rsidR="00B817C9" w:rsidRDefault="00A222CF" w:rsidP="005317F7">
            <w:pPr>
              <w:pStyle w:val="CETBodytext"/>
              <w:ind w:right="-1"/>
              <w:jc w:val="left"/>
              <w:rPr>
                <w:rFonts w:cs="Arial"/>
                <w:szCs w:val="18"/>
                <w:lang w:val="en-GB"/>
              </w:rPr>
            </w:pPr>
            <w:r>
              <w:rPr>
                <w:rFonts w:cs="Arial"/>
                <w:szCs w:val="18"/>
                <w:lang w:val="en-GB"/>
              </w:rPr>
              <w:t>23.27</w:t>
            </w:r>
          </w:p>
        </w:tc>
        <w:tc>
          <w:tcPr>
            <w:tcW w:w="784" w:type="dxa"/>
            <w:tcBorders>
              <w:top w:val="nil"/>
              <w:bottom w:val="nil"/>
            </w:tcBorders>
            <w:shd w:val="clear" w:color="auto" w:fill="FFFFFF"/>
          </w:tcPr>
          <w:p w14:paraId="7905D8D2" w14:textId="7AF74D91" w:rsidR="00B817C9" w:rsidRDefault="00381C67" w:rsidP="005317F7">
            <w:pPr>
              <w:pStyle w:val="CETBodytext"/>
              <w:ind w:right="-1"/>
              <w:jc w:val="left"/>
              <w:rPr>
                <w:rFonts w:cs="Arial"/>
                <w:szCs w:val="18"/>
                <w:lang w:val="en-GB"/>
              </w:rPr>
            </w:pPr>
            <w:r>
              <w:rPr>
                <w:rFonts w:cs="Arial"/>
                <w:szCs w:val="18"/>
                <w:lang w:val="en-GB"/>
              </w:rPr>
              <w:t>18.95</w:t>
            </w:r>
          </w:p>
        </w:tc>
      </w:tr>
      <w:tr w:rsidR="00210931" w:rsidRPr="00B57B36" w14:paraId="30959190" w14:textId="3D5A73A5" w:rsidTr="003757E8">
        <w:trPr>
          <w:trHeight w:val="235"/>
        </w:trPr>
        <w:tc>
          <w:tcPr>
            <w:tcW w:w="567" w:type="dxa"/>
            <w:tcBorders>
              <w:right w:val="single" w:sz="4" w:space="0" w:color="9BBB59" w:themeColor="accent3"/>
            </w:tcBorders>
            <w:shd w:val="clear" w:color="auto" w:fill="FFFFFF"/>
          </w:tcPr>
          <w:p w14:paraId="29BBCFF7" w14:textId="77777777" w:rsidR="00B817C9" w:rsidRDefault="00B817C9" w:rsidP="00B817C9">
            <w:pPr>
              <w:pStyle w:val="CETBodytext"/>
              <w:ind w:right="-1"/>
              <w:rPr>
                <w:rFonts w:cs="Arial"/>
                <w:szCs w:val="18"/>
                <w:lang w:val="en-GB"/>
              </w:rPr>
            </w:pPr>
            <w:r>
              <w:rPr>
                <w:rFonts w:cs="Arial"/>
                <w:szCs w:val="18"/>
                <w:lang w:val="en-GB"/>
              </w:rPr>
              <w:t>101.6</w:t>
            </w:r>
          </w:p>
        </w:tc>
        <w:tc>
          <w:tcPr>
            <w:tcW w:w="851" w:type="dxa"/>
            <w:tcBorders>
              <w:top w:val="nil"/>
              <w:left w:val="single" w:sz="4" w:space="0" w:color="9BBB59" w:themeColor="accent3"/>
              <w:bottom w:val="nil"/>
              <w:right w:val="single" w:sz="4" w:space="0" w:color="9BBB59" w:themeColor="accent3"/>
            </w:tcBorders>
            <w:shd w:val="clear" w:color="auto" w:fill="FFFFFF"/>
          </w:tcPr>
          <w:p w14:paraId="58929B7F" w14:textId="53DC1480" w:rsidR="00B817C9" w:rsidRDefault="00183E6A" w:rsidP="00B817C9">
            <w:pPr>
              <w:pStyle w:val="CETBodytext"/>
              <w:ind w:right="-1"/>
              <w:rPr>
                <w:rFonts w:cs="Arial"/>
                <w:szCs w:val="18"/>
                <w:lang w:val="en-GB"/>
              </w:rPr>
            </w:pPr>
            <w:r>
              <w:rPr>
                <w:rFonts w:cs="Arial"/>
                <w:szCs w:val="18"/>
                <w:lang w:val="en-GB"/>
              </w:rPr>
              <w:t>5.03 E-06</w:t>
            </w:r>
          </w:p>
        </w:tc>
        <w:tc>
          <w:tcPr>
            <w:tcW w:w="1134" w:type="dxa"/>
            <w:tcBorders>
              <w:top w:val="nil"/>
              <w:left w:val="single" w:sz="4" w:space="0" w:color="9BBB59" w:themeColor="accent3"/>
              <w:bottom w:val="nil"/>
            </w:tcBorders>
            <w:shd w:val="clear" w:color="auto" w:fill="FFFFFF"/>
          </w:tcPr>
          <w:p w14:paraId="48B55341" w14:textId="2CAFA6C6" w:rsidR="00B817C9" w:rsidRDefault="004E162A" w:rsidP="005317F7">
            <w:pPr>
              <w:pStyle w:val="CETBodytext"/>
              <w:ind w:right="-1"/>
              <w:rPr>
                <w:rFonts w:cs="Arial"/>
                <w:szCs w:val="18"/>
                <w:lang w:val="en-GB"/>
              </w:rPr>
            </w:pPr>
            <w:r>
              <w:rPr>
                <w:rFonts w:cs="Arial"/>
                <w:szCs w:val="18"/>
                <w:lang w:val="en-GB"/>
              </w:rPr>
              <w:t>88</w:t>
            </w:r>
            <w:r w:rsidR="001127F0">
              <w:rPr>
                <w:rFonts w:cs="Arial"/>
                <w:szCs w:val="18"/>
                <w:lang w:val="en-GB"/>
              </w:rPr>
              <w:t>.60</w:t>
            </w:r>
          </w:p>
        </w:tc>
        <w:tc>
          <w:tcPr>
            <w:tcW w:w="1134" w:type="dxa"/>
            <w:tcBorders>
              <w:top w:val="nil"/>
              <w:bottom w:val="nil"/>
              <w:right w:val="single" w:sz="4" w:space="0" w:color="9BBB59" w:themeColor="accent3"/>
            </w:tcBorders>
            <w:shd w:val="clear" w:color="auto" w:fill="FFFFFF"/>
          </w:tcPr>
          <w:p w14:paraId="7337D67A" w14:textId="7867DF90" w:rsidR="00B817C9" w:rsidRDefault="005317F7" w:rsidP="005317F7">
            <w:pPr>
              <w:pStyle w:val="CETBodytext"/>
              <w:ind w:right="-1"/>
              <w:jc w:val="left"/>
              <w:rPr>
                <w:rFonts w:cs="Arial"/>
                <w:szCs w:val="18"/>
                <w:lang w:val="en-GB"/>
              </w:rPr>
            </w:pPr>
            <w:r>
              <w:rPr>
                <w:rFonts w:cs="Arial"/>
                <w:szCs w:val="18"/>
                <w:lang w:val="en-GB"/>
              </w:rPr>
              <w:t>72.74</w:t>
            </w:r>
          </w:p>
        </w:tc>
        <w:tc>
          <w:tcPr>
            <w:tcW w:w="917" w:type="dxa"/>
            <w:tcBorders>
              <w:top w:val="nil"/>
              <w:left w:val="single" w:sz="4" w:space="0" w:color="9BBB59" w:themeColor="accent3"/>
              <w:bottom w:val="nil"/>
              <w:right w:val="single" w:sz="4" w:space="0" w:color="9BBB59" w:themeColor="accent3"/>
            </w:tcBorders>
            <w:shd w:val="clear" w:color="auto" w:fill="FFFFFF"/>
          </w:tcPr>
          <w:p w14:paraId="456A253C" w14:textId="21E98F97" w:rsidR="00B817C9" w:rsidRDefault="00C633CB" w:rsidP="005317F7">
            <w:pPr>
              <w:pStyle w:val="CETBodytext"/>
              <w:ind w:right="-1"/>
              <w:jc w:val="left"/>
              <w:rPr>
                <w:rFonts w:cs="Arial"/>
                <w:szCs w:val="18"/>
                <w:lang w:val="en-GB"/>
              </w:rPr>
            </w:pPr>
            <w:r>
              <w:rPr>
                <w:rFonts w:cs="Arial"/>
                <w:szCs w:val="18"/>
                <w:lang w:val="en-GB"/>
              </w:rPr>
              <w:t>1.96 E-04</w:t>
            </w:r>
          </w:p>
        </w:tc>
        <w:tc>
          <w:tcPr>
            <w:tcW w:w="1134" w:type="dxa"/>
            <w:tcBorders>
              <w:top w:val="nil"/>
              <w:left w:val="single" w:sz="4" w:space="0" w:color="9BBB59" w:themeColor="accent3"/>
              <w:bottom w:val="nil"/>
            </w:tcBorders>
            <w:shd w:val="clear" w:color="auto" w:fill="FFFFFF"/>
          </w:tcPr>
          <w:p w14:paraId="3BD3DD0B" w14:textId="7EB5C65D" w:rsidR="00B817C9" w:rsidRDefault="00B07702" w:rsidP="005317F7">
            <w:pPr>
              <w:pStyle w:val="CETBodytext"/>
              <w:ind w:right="-1"/>
              <w:jc w:val="left"/>
              <w:rPr>
                <w:rFonts w:cs="Arial"/>
                <w:szCs w:val="18"/>
                <w:lang w:val="en-GB"/>
              </w:rPr>
            </w:pPr>
            <w:r>
              <w:rPr>
                <w:rFonts w:cs="Arial"/>
                <w:szCs w:val="18"/>
                <w:lang w:val="en-GB"/>
              </w:rPr>
              <w:t>63.47</w:t>
            </w:r>
          </w:p>
        </w:tc>
        <w:tc>
          <w:tcPr>
            <w:tcW w:w="1134" w:type="dxa"/>
            <w:tcBorders>
              <w:top w:val="nil"/>
              <w:bottom w:val="nil"/>
              <w:right w:val="single" w:sz="4" w:space="0" w:color="9BBB59" w:themeColor="accent3"/>
            </w:tcBorders>
            <w:shd w:val="clear" w:color="auto" w:fill="FFFFFF"/>
          </w:tcPr>
          <w:p w14:paraId="7CA17BD6" w14:textId="7C67B5E6" w:rsidR="00B817C9" w:rsidRDefault="00B07702" w:rsidP="005317F7">
            <w:pPr>
              <w:pStyle w:val="CETBodytext"/>
              <w:ind w:right="-1"/>
              <w:jc w:val="left"/>
              <w:rPr>
                <w:rFonts w:cs="Arial"/>
                <w:szCs w:val="18"/>
                <w:lang w:val="en-GB"/>
              </w:rPr>
            </w:pPr>
            <w:r>
              <w:rPr>
                <w:rFonts w:cs="Arial"/>
                <w:szCs w:val="18"/>
                <w:lang w:val="en-GB"/>
              </w:rPr>
              <w:t>54.19</w:t>
            </w:r>
          </w:p>
        </w:tc>
        <w:tc>
          <w:tcPr>
            <w:tcW w:w="1134" w:type="dxa"/>
            <w:tcBorders>
              <w:top w:val="nil"/>
              <w:left w:val="single" w:sz="4" w:space="0" w:color="9BBB59" w:themeColor="accent3"/>
              <w:bottom w:val="nil"/>
            </w:tcBorders>
            <w:shd w:val="clear" w:color="auto" w:fill="FFFFFF"/>
          </w:tcPr>
          <w:p w14:paraId="116EBE94" w14:textId="31BA2D12" w:rsidR="00B817C9" w:rsidRDefault="00A222CF" w:rsidP="005317F7">
            <w:pPr>
              <w:pStyle w:val="CETBodytext"/>
              <w:ind w:right="-1"/>
              <w:jc w:val="left"/>
              <w:rPr>
                <w:rFonts w:cs="Arial"/>
                <w:szCs w:val="18"/>
                <w:lang w:val="en-GB"/>
              </w:rPr>
            </w:pPr>
            <w:r>
              <w:rPr>
                <w:rFonts w:cs="Arial"/>
                <w:szCs w:val="18"/>
                <w:lang w:val="en-GB"/>
              </w:rPr>
              <w:t>82.93</w:t>
            </w:r>
          </w:p>
        </w:tc>
        <w:tc>
          <w:tcPr>
            <w:tcW w:w="784" w:type="dxa"/>
            <w:tcBorders>
              <w:top w:val="nil"/>
              <w:bottom w:val="nil"/>
            </w:tcBorders>
            <w:shd w:val="clear" w:color="auto" w:fill="FFFFFF"/>
          </w:tcPr>
          <w:p w14:paraId="521356F5" w14:textId="4E5FD066" w:rsidR="00B817C9" w:rsidRDefault="008D4A3C" w:rsidP="005317F7">
            <w:pPr>
              <w:pStyle w:val="CETBodytext"/>
              <w:ind w:right="-1"/>
              <w:jc w:val="left"/>
              <w:rPr>
                <w:rFonts w:cs="Arial"/>
                <w:szCs w:val="18"/>
                <w:lang w:val="en-GB"/>
              </w:rPr>
            </w:pPr>
            <w:r>
              <w:rPr>
                <w:rFonts w:cs="Arial"/>
                <w:szCs w:val="18"/>
                <w:lang w:val="en-GB"/>
              </w:rPr>
              <w:t>65.85</w:t>
            </w:r>
          </w:p>
        </w:tc>
      </w:tr>
      <w:tr w:rsidR="00210931" w:rsidRPr="00B57B36" w14:paraId="27CF7371" w14:textId="1A1E472B" w:rsidTr="009C6E8A">
        <w:trPr>
          <w:trHeight w:val="63"/>
        </w:trPr>
        <w:tc>
          <w:tcPr>
            <w:tcW w:w="567" w:type="dxa"/>
            <w:tcBorders>
              <w:right w:val="single" w:sz="4" w:space="0" w:color="9BBB59" w:themeColor="accent3"/>
            </w:tcBorders>
            <w:shd w:val="clear" w:color="auto" w:fill="FFFFFF"/>
          </w:tcPr>
          <w:p w14:paraId="74FE0B57" w14:textId="77777777" w:rsidR="00B817C9" w:rsidRDefault="00B817C9" w:rsidP="00B817C9">
            <w:pPr>
              <w:pStyle w:val="CETBodytext"/>
              <w:ind w:right="-1"/>
              <w:rPr>
                <w:rFonts w:cs="Arial"/>
                <w:szCs w:val="18"/>
                <w:lang w:val="en-GB"/>
              </w:rPr>
            </w:pPr>
            <w:r>
              <w:rPr>
                <w:rFonts w:cs="Arial"/>
                <w:szCs w:val="18"/>
                <w:lang w:val="en-GB"/>
              </w:rPr>
              <w:t>508</w:t>
            </w:r>
          </w:p>
        </w:tc>
        <w:tc>
          <w:tcPr>
            <w:tcW w:w="851" w:type="dxa"/>
            <w:tcBorders>
              <w:top w:val="nil"/>
              <w:left w:val="single" w:sz="4" w:space="0" w:color="9BBB59" w:themeColor="accent3"/>
              <w:bottom w:val="single" w:sz="12" w:space="0" w:color="008000"/>
              <w:right w:val="single" w:sz="4" w:space="0" w:color="9BBB59" w:themeColor="accent3"/>
            </w:tcBorders>
            <w:shd w:val="clear" w:color="auto" w:fill="FFFFFF"/>
          </w:tcPr>
          <w:p w14:paraId="79B6C2EC" w14:textId="2861014E" w:rsidR="00B817C9" w:rsidRDefault="00183E6A" w:rsidP="00B817C9">
            <w:pPr>
              <w:pStyle w:val="CETBodytext"/>
              <w:ind w:right="-1"/>
              <w:rPr>
                <w:rFonts w:cs="Arial"/>
                <w:szCs w:val="18"/>
                <w:lang w:val="en-GB"/>
              </w:rPr>
            </w:pPr>
            <w:r>
              <w:rPr>
                <w:rFonts w:cs="Arial"/>
                <w:szCs w:val="18"/>
                <w:lang w:val="en-GB"/>
              </w:rPr>
              <w:t>1.32 E-05</w:t>
            </w:r>
          </w:p>
        </w:tc>
        <w:tc>
          <w:tcPr>
            <w:tcW w:w="1134" w:type="dxa"/>
            <w:tcBorders>
              <w:top w:val="nil"/>
              <w:left w:val="single" w:sz="4" w:space="0" w:color="9BBB59" w:themeColor="accent3"/>
              <w:bottom w:val="single" w:sz="12" w:space="0" w:color="008000"/>
            </w:tcBorders>
            <w:shd w:val="clear" w:color="auto" w:fill="FFFFFF"/>
          </w:tcPr>
          <w:p w14:paraId="19F5B5E5" w14:textId="699DB858" w:rsidR="00B817C9" w:rsidRDefault="001127F0" w:rsidP="005317F7">
            <w:pPr>
              <w:pStyle w:val="CETBodytext"/>
              <w:ind w:right="-1"/>
              <w:rPr>
                <w:rFonts w:cs="Arial"/>
                <w:szCs w:val="18"/>
                <w:lang w:val="en-GB"/>
              </w:rPr>
            </w:pPr>
            <w:r>
              <w:rPr>
                <w:rFonts w:cs="Arial"/>
                <w:szCs w:val="18"/>
                <w:lang w:val="en-GB"/>
              </w:rPr>
              <w:t>351.28</w:t>
            </w:r>
          </w:p>
        </w:tc>
        <w:tc>
          <w:tcPr>
            <w:tcW w:w="1134" w:type="dxa"/>
            <w:tcBorders>
              <w:top w:val="nil"/>
              <w:bottom w:val="single" w:sz="12" w:space="0" w:color="008000"/>
              <w:right w:val="single" w:sz="4" w:space="0" w:color="9BBB59" w:themeColor="accent3"/>
            </w:tcBorders>
            <w:shd w:val="clear" w:color="auto" w:fill="FFFFFF"/>
          </w:tcPr>
          <w:p w14:paraId="0B05D0C3" w14:textId="43F89C3C" w:rsidR="00B817C9" w:rsidRDefault="005317F7" w:rsidP="005317F7">
            <w:pPr>
              <w:pStyle w:val="CETBodytext"/>
              <w:ind w:right="-1"/>
              <w:jc w:val="left"/>
              <w:rPr>
                <w:rFonts w:cs="Arial"/>
                <w:szCs w:val="18"/>
                <w:lang w:val="en-GB"/>
              </w:rPr>
            </w:pPr>
            <w:r>
              <w:rPr>
                <w:rFonts w:cs="Arial"/>
                <w:szCs w:val="18"/>
                <w:lang w:val="en-GB"/>
              </w:rPr>
              <w:t>270.32</w:t>
            </w:r>
          </w:p>
        </w:tc>
        <w:tc>
          <w:tcPr>
            <w:tcW w:w="917" w:type="dxa"/>
            <w:tcBorders>
              <w:top w:val="nil"/>
              <w:left w:val="single" w:sz="4" w:space="0" w:color="9BBB59" w:themeColor="accent3"/>
              <w:bottom w:val="single" w:sz="12" w:space="0" w:color="008000"/>
              <w:right w:val="single" w:sz="4" w:space="0" w:color="9BBB59" w:themeColor="accent3"/>
            </w:tcBorders>
            <w:shd w:val="clear" w:color="auto" w:fill="FFFFFF"/>
          </w:tcPr>
          <w:p w14:paraId="653768DD" w14:textId="53386A34" w:rsidR="00B817C9" w:rsidRDefault="00C633CB" w:rsidP="005317F7">
            <w:pPr>
              <w:pStyle w:val="CETBodytext"/>
              <w:ind w:right="-1"/>
              <w:jc w:val="left"/>
              <w:rPr>
                <w:rFonts w:cs="Arial"/>
                <w:szCs w:val="18"/>
                <w:lang w:val="en-GB"/>
              </w:rPr>
            </w:pPr>
            <w:r>
              <w:rPr>
                <w:rFonts w:cs="Arial"/>
                <w:szCs w:val="18"/>
                <w:lang w:val="en-GB"/>
              </w:rPr>
              <w:t>5.40 E-05</w:t>
            </w:r>
          </w:p>
        </w:tc>
        <w:tc>
          <w:tcPr>
            <w:tcW w:w="1134" w:type="dxa"/>
            <w:tcBorders>
              <w:top w:val="nil"/>
              <w:left w:val="single" w:sz="4" w:space="0" w:color="9BBB59" w:themeColor="accent3"/>
              <w:bottom w:val="single" w:sz="12" w:space="0" w:color="008000"/>
            </w:tcBorders>
            <w:shd w:val="clear" w:color="auto" w:fill="FFFFFF"/>
          </w:tcPr>
          <w:p w14:paraId="3BACCBDA" w14:textId="1E87E1BC" w:rsidR="00B817C9" w:rsidRDefault="00E42C4C" w:rsidP="005317F7">
            <w:pPr>
              <w:pStyle w:val="CETBodytext"/>
              <w:ind w:right="-1"/>
              <w:jc w:val="left"/>
              <w:rPr>
                <w:rFonts w:cs="Arial"/>
                <w:szCs w:val="18"/>
                <w:lang w:val="en-GB"/>
              </w:rPr>
            </w:pPr>
            <w:r>
              <w:rPr>
                <w:rFonts w:cs="Arial"/>
                <w:szCs w:val="18"/>
                <w:lang w:val="en-GB"/>
              </w:rPr>
              <w:t>288.23</w:t>
            </w:r>
          </w:p>
        </w:tc>
        <w:tc>
          <w:tcPr>
            <w:tcW w:w="1134" w:type="dxa"/>
            <w:tcBorders>
              <w:top w:val="nil"/>
              <w:bottom w:val="single" w:sz="12" w:space="0" w:color="008000"/>
              <w:right w:val="single" w:sz="4" w:space="0" w:color="9BBB59" w:themeColor="accent3"/>
            </w:tcBorders>
            <w:shd w:val="clear" w:color="auto" w:fill="FFFFFF"/>
          </w:tcPr>
          <w:p w14:paraId="172598EE" w14:textId="4CCAB01F" w:rsidR="00B817C9" w:rsidRDefault="00E42C4C" w:rsidP="005317F7">
            <w:pPr>
              <w:pStyle w:val="CETBodytext"/>
              <w:ind w:right="-1"/>
              <w:jc w:val="left"/>
              <w:rPr>
                <w:rFonts w:cs="Arial"/>
                <w:szCs w:val="18"/>
                <w:lang w:val="en-GB"/>
              </w:rPr>
            </w:pPr>
            <w:r>
              <w:rPr>
                <w:rFonts w:cs="Arial"/>
                <w:szCs w:val="18"/>
                <w:lang w:val="en-GB"/>
              </w:rPr>
              <w:t>229.80</w:t>
            </w:r>
          </w:p>
        </w:tc>
        <w:tc>
          <w:tcPr>
            <w:tcW w:w="1134" w:type="dxa"/>
            <w:tcBorders>
              <w:top w:val="nil"/>
              <w:left w:val="single" w:sz="4" w:space="0" w:color="9BBB59" w:themeColor="accent3"/>
              <w:bottom w:val="single" w:sz="12" w:space="0" w:color="008000"/>
            </w:tcBorders>
            <w:shd w:val="clear" w:color="auto" w:fill="FFFFFF"/>
          </w:tcPr>
          <w:p w14:paraId="3D2D40CA" w14:textId="16D371A7" w:rsidR="00B817C9" w:rsidRDefault="00A222CF" w:rsidP="005317F7">
            <w:pPr>
              <w:pStyle w:val="CETBodytext"/>
              <w:ind w:right="-1"/>
              <w:jc w:val="left"/>
              <w:rPr>
                <w:rFonts w:cs="Arial"/>
                <w:szCs w:val="18"/>
                <w:lang w:val="en-GB"/>
              </w:rPr>
            </w:pPr>
            <w:r>
              <w:rPr>
                <w:rFonts w:cs="Arial"/>
                <w:szCs w:val="18"/>
                <w:lang w:val="en-GB"/>
              </w:rPr>
              <w:t>351.40</w:t>
            </w:r>
          </w:p>
        </w:tc>
        <w:tc>
          <w:tcPr>
            <w:tcW w:w="784" w:type="dxa"/>
            <w:tcBorders>
              <w:top w:val="nil"/>
              <w:bottom w:val="single" w:sz="12" w:space="0" w:color="008000"/>
            </w:tcBorders>
            <w:shd w:val="clear" w:color="auto" w:fill="FFFFFF"/>
          </w:tcPr>
          <w:p w14:paraId="169CFC2A" w14:textId="48BBC5B8" w:rsidR="00B817C9" w:rsidRDefault="008D4A3C" w:rsidP="005317F7">
            <w:pPr>
              <w:pStyle w:val="CETBodytext"/>
              <w:ind w:right="-1"/>
              <w:jc w:val="left"/>
              <w:rPr>
                <w:rFonts w:cs="Arial"/>
                <w:szCs w:val="18"/>
                <w:lang w:val="en-GB"/>
              </w:rPr>
            </w:pPr>
            <w:r>
              <w:rPr>
                <w:rFonts w:cs="Arial"/>
                <w:szCs w:val="18"/>
                <w:lang w:val="en-GB"/>
              </w:rPr>
              <w:t>269.63</w:t>
            </w:r>
          </w:p>
        </w:tc>
      </w:tr>
    </w:tbl>
    <w:p w14:paraId="4399BFF2" w14:textId="77777777" w:rsidR="009C6E8A" w:rsidRDefault="009C6E8A" w:rsidP="00752633">
      <w:pPr>
        <w:pStyle w:val="CETBodytext"/>
      </w:pPr>
    </w:p>
    <w:p w14:paraId="5173FE1C" w14:textId="217C962B" w:rsidR="00687E27" w:rsidRDefault="00B30B44" w:rsidP="00752633">
      <w:pPr>
        <w:pStyle w:val="CETBodytext"/>
      </w:pPr>
      <w:r w:rsidRPr="00425FF5">
        <w:t>The differen</w:t>
      </w:r>
      <w:r w:rsidR="00F745EA" w:rsidRPr="00425FF5">
        <w:t>ces i</w:t>
      </w:r>
      <w:r w:rsidR="0080071E" w:rsidRPr="00425FF5">
        <w:t>dentified</w:t>
      </w:r>
      <w:r w:rsidR="00F745EA" w:rsidRPr="00425FF5">
        <w:t xml:space="preserve"> in the modeling</w:t>
      </w:r>
      <w:r w:rsidR="008C55AF" w:rsidRPr="00425FF5">
        <w:t xml:space="preserve"> have a strong influence on </w:t>
      </w:r>
      <w:r w:rsidR="00B96623" w:rsidRPr="00425FF5">
        <w:t xml:space="preserve">the </w:t>
      </w:r>
      <w:r w:rsidR="00B96623">
        <w:t>local</w:t>
      </w:r>
      <w:r w:rsidR="005010C7">
        <w:t xml:space="preserve"> </w:t>
      </w:r>
      <w:r w:rsidR="008C55AF" w:rsidRPr="00425FF5">
        <w:t>risk profiles associated to these scenarios</w:t>
      </w:r>
      <w:r w:rsidR="00AA43E1" w:rsidRPr="00425FF5">
        <w:t>,</w:t>
      </w:r>
      <w:r w:rsidR="001D6990" w:rsidRPr="00425FF5">
        <w:t xml:space="preserve"> </w:t>
      </w:r>
      <w:r w:rsidR="00BA6058" w:rsidRPr="00425FF5">
        <w:t>shown in Figure 2</w:t>
      </w:r>
      <w:r w:rsidR="00B663C7" w:rsidRPr="00425FF5">
        <w:t xml:space="preserve"> as</w:t>
      </w:r>
      <w:r w:rsidR="006C43D1" w:rsidRPr="00425FF5">
        <w:t xml:space="preserve"> a function </w:t>
      </w:r>
      <w:r w:rsidR="00A67AAF" w:rsidRPr="00425FF5">
        <w:t>of the distance from the release source</w:t>
      </w:r>
      <w:r w:rsidR="00136DDA" w:rsidRPr="00425FF5">
        <w:t>.</w:t>
      </w:r>
      <w:r w:rsidR="00C32D70">
        <w:t xml:space="preserve"> </w:t>
      </w:r>
      <w:r w:rsidR="00C32D70" w:rsidRPr="00FF5544">
        <w:t xml:space="preserve">As can be seen from </w:t>
      </w:r>
      <w:r w:rsidR="00053A11">
        <w:t xml:space="preserve">the </w:t>
      </w:r>
      <w:r w:rsidR="00FD1B0F">
        <w:t>F</w:t>
      </w:r>
      <w:r w:rsidR="007A1FFA" w:rsidRPr="00FF5544">
        <w:t>igure</w:t>
      </w:r>
      <w:r w:rsidR="00CC1BFB" w:rsidRPr="00FF5544">
        <w:t>, the</w:t>
      </w:r>
      <w:r w:rsidR="007A1FFA" w:rsidRPr="00FF5544">
        <w:t xml:space="preserve"> risk profile obtained for hydrogen </w:t>
      </w:r>
      <w:r w:rsidR="00080A9E">
        <w:t>J</w:t>
      </w:r>
      <w:r w:rsidR="007A1FFA" w:rsidRPr="00FF5544">
        <w:t xml:space="preserve">et </w:t>
      </w:r>
      <w:r w:rsidR="00080A9E">
        <w:t>F</w:t>
      </w:r>
      <w:r w:rsidR="007A1FFA" w:rsidRPr="00FF5544">
        <w:t>ires with the Miller model</w:t>
      </w:r>
      <w:r w:rsidR="00206742" w:rsidRPr="00FF5544">
        <w:t xml:space="preserve"> is always higher than that obtained</w:t>
      </w:r>
      <w:r w:rsidR="003F105F" w:rsidRPr="00FF5544">
        <w:t xml:space="preserve"> from </w:t>
      </w:r>
      <w:r w:rsidR="00053A11">
        <w:t xml:space="preserve">generic </w:t>
      </w:r>
      <w:r w:rsidR="003F105F" w:rsidRPr="00FF5544">
        <w:t>c</w:t>
      </w:r>
      <w:r w:rsidR="00053A11">
        <w:t>onventional models</w:t>
      </w:r>
      <w:r w:rsidR="003F105F" w:rsidRPr="00FF5544">
        <w:t xml:space="preserve"> and </w:t>
      </w:r>
      <w:r w:rsidR="00053A11">
        <w:t>falls</w:t>
      </w:r>
      <w:r w:rsidR="00EF17F3" w:rsidRPr="00FF5544">
        <w:t xml:space="preserve"> to negligible values (&lt;</w:t>
      </w:r>
      <w:r w:rsidR="00B94DC8" w:rsidRPr="00FF5544">
        <w:t>1.00 E-07 ev/y)</w:t>
      </w:r>
      <w:r w:rsidR="00E337C2" w:rsidRPr="00FF5544">
        <w:t xml:space="preserve"> for </w:t>
      </w:r>
      <w:r w:rsidR="00053A11">
        <w:t xml:space="preserve">distances </w:t>
      </w:r>
      <w:r w:rsidR="00E337C2" w:rsidRPr="00FF5544">
        <w:t>significantly higher</w:t>
      </w:r>
      <w:r w:rsidR="00053A11">
        <w:t>,</w:t>
      </w:r>
      <w:r w:rsidR="00971F8D" w:rsidRPr="00FF5544">
        <w:t xml:space="preserve"> due to the greater impact zones of the</w:t>
      </w:r>
      <w:r w:rsidR="00254F85">
        <w:t xml:space="preserve"> thermal</w:t>
      </w:r>
      <w:r w:rsidR="00971F8D" w:rsidRPr="00FF5544">
        <w:t xml:space="preserve"> radiation</w:t>
      </w:r>
      <w:r w:rsidR="00053A11">
        <w:t>,</w:t>
      </w:r>
      <w:r w:rsidR="00E917F5">
        <w:t xml:space="preserve"> as discussed previously</w:t>
      </w:r>
      <w:r w:rsidR="00FF5544" w:rsidRPr="00FF5544">
        <w:t>.</w:t>
      </w:r>
      <w:r w:rsidR="00E917F5">
        <w:t xml:space="preserve"> </w:t>
      </w:r>
      <w:r w:rsidR="00F7444F" w:rsidRPr="00932D1B">
        <w:t xml:space="preserve">Regarding the comparison with methane, </w:t>
      </w:r>
      <w:r w:rsidR="004C0972" w:rsidRPr="00932D1B">
        <w:t>although the Miller model result</w:t>
      </w:r>
      <w:r w:rsidR="00E10820" w:rsidRPr="00932D1B">
        <w:t>e</w:t>
      </w:r>
      <w:r w:rsidR="004C0972" w:rsidRPr="00932D1B">
        <w:t>d in similar distan</w:t>
      </w:r>
      <w:r w:rsidR="00E10820" w:rsidRPr="00932D1B">
        <w:t>c</w:t>
      </w:r>
      <w:r w:rsidR="004C0972" w:rsidRPr="00932D1B">
        <w:t>es reached by the thermal radiation</w:t>
      </w:r>
      <w:r w:rsidR="00E10820" w:rsidRPr="00932D1B">
        <w:t>, t</w:t>
      </w:r>
      <w:r w:rsidR="002426A9" w:rsidRPr="00932D1B">
        <w:t>he risk profile obtained</w:t>
      </w:r>
      <w:r w:rsidR="00CC1FAE" w:rsidRPr="00932D1B">
        <w:t xml:space="preserve"> for hydrogen is always high</w:t>
      </w:r>
      <w:r w:rsidR="000C0061">
        <w:t>e</w:t>
      </w:r>
      <w:r w:rsidR="00CC1FAE" w:rsidRPr="00932D1B">
        <w:t>r</w:t>
      </w:r>
      <w:r w:rsidR="00053A11">
        <w:t>. This result</w:t>
      </w:r>
      <w:r w:rsidR="00CC1FAE" w:rsidRPr="00932D1B">
        <w:t xml:space="preserve"> </w:t>
      </w:r>
      <w:r w:rsidR="00053A11">
        <w:t>derives from</w:t>
      </w:r>
      <w:r w:rsidR="002437F9" w:rsidRPr="00932D1B">
        <w:t xml:space="preserve"> the higher frequencies obtained for </w:t>
      </w:r>
      <w:r w:rsidR="00053A11">
        <w:t>hydrogen</w:t>
      </w:r>
      <w:r w:rsidR="00CC1BFB" w:rsidRPr="00932D1B">
        <w:t xml:space="preserve"> scenarios</w:t>
      </w:r>
      <w:r w:rsidR="002437F9" w:rsidRPr="00932D1B">
        <w:t>, as evident from the data re</w:t>
      </w:r>
      <w:r w:rsidR="00E12C3D">
        <w:t>p</w:t>
      </w:r>
      <w:r w:rsidR="002437F9" w:rsidRPr="00932D1B">
        <w:t>orted in Table 2</w:t>
      </w:r>
      <w:r w:rsidR="003D177B">
        <w:t>. This</w:t>
      </w:r>
      <w:r w:rsidR="00350E9A" w:rsidRPr="00932D1B">
        <w:t xml:space="preserve"> is also the reason why the risk profile obtained for</w:t>
      </w:r>
      <w:r w:rsidR="003D5B41">
        <w:t xml:space="preserve"> </w:t>
      </w:r>
      <w:r w:rsidR="00350E9A" w:rsidRPr="00932D1B">
        <w:t>hydrogen</w:t>
      </w:r>
      <w:r w:rsidR="003D5B41">
        <w:t xml:space="preserve"> </w:t>
      </w:r>
      <w:r w:rsidR="00080A9E">
        <w:t>J</w:t>
      </w:r>
      <w:r w:rsidR="003D5B41">
        <w:t xml:space="preserve">et </w:t>
      </w:r>
      <w:r w:rsidR="005B5410">
        <w:t>F</w:t>
      </w:r>
      <w:r w:rsidR="003D5B41">
        <w:t>ires</w:t>
      </w:r>
      <w:r w:rsidR="00890551" w:rsidRPr="00932D1B">
        <w:t xml:space="preserve"> from </w:t>
      </w:r>
      <w:r w:rsidR="00053A11">
        <w:t>non-specific general models</w:t>
      </w:r>
      <w:r w:rsidR="00932D1B" w:rsidRPr="00932D1B">
        <w:t xml:space="preserve"> is</w:t>
      </w:r>
      <w:r w:rsidR="003E28B9">
        <w:t xml:space="preserve"> </w:t>
      </w:r>
      <w:r w:rsidR="00932D1B" w:rsidRPr="00932D1B">
        <w:t xml:space="preserve">higher than that </w:t>
      </w:r>
      <w:r w:rsidR="00B96623">
        <w:t xml:space="preserve">obtained for </w:t>
      </w:r>
      <w:r w:rsidR="00932D1B" w:rsidRPr="00932D1B">
        <w:t>methane.</w:t>
      </w:r>
      <w:r w:rsidR="00F1154A">
        <w:t xml:space="preserve"> </w:t>
      </w:r>
      <w:r w:rsidR="00F1154A" w:rsidRPr="00B73B7B">
        <w:t>These results</w:t>
      </w:r>
      <w:r w:rsidR="00C035DE" w:rsidRPr="00B73B7B">
        <w:t xml:space="preserve"> highlight the importance of developing specific models </w:t>
      </w:r>
      <w:r w:rsidR="00053A11">
        <w:t>to</w:t>
      </w:r>
      <w:r w:rsidR="00C035DE" w:rsidRPr="00B73B7B">
        <w:t xml:space="preserve"> assess the consequences of </w:t>
      </w:r>
      <w:r w:rsidR="00822C3C" w:rsidRPr="00B73B7B">
        <w:t>hydrogen incident sce</w:t>
      </w:r>
      <w:r w:rsidR="000F7BFB" w:rsidRPr="00B73B7B">
        <w:t>narios</w:t>
      </w:r>
      <w:r w:rsidR="00053A11">
        <w:t>,</w:t>
      </w:r>
      <w:r w:rsidR="000F7BFB" w:rsidRPr="00B73B7B">
        <w:t xml:space="preserve"> in order to allow a more accurate</w:t>
      </w:r>
      <w:r w:rsidR="00B73B7B" w:rsidRPr="00B73B7B">
        <w:t xml:space="preserve"> analysis of </w:t>
      </w:r>
      <w:r w:rsidR="003B6B78">
        <w:t>related</w:t>
      </w:r>
      <w:r w:rsidR="003B6B78" w:rsidRPr="00B73B7B">
        <w:t xml:space="preserve"> risks</w:t>
      </w:r>
      <w:r w:rsidR="00B73B7B">
        <w:t>.</w:t>
      </w:r>
    </w:p>
    <w:p w14:paraId="574251A7" w14:textId="77777777" w:rsidR="009C63D5" w:rsidRPr="00B73B7B" w:rsidRDefault="009C63D5" w:rsidP="000E5186">
      <w:pPr>
        <w:rPr>
          <w:lang w:val="en-US"/>
        </w:rPr>
      </w:pPr>
    </w:p>
    <w:p w14:paraId="70DA76A8" w14:textId="77777777" w:rsidR="001F0A27" w:rsidRDefault="000E5186" w:rsidP="001F0A27">
      <w:pPr>
        <w:keepNext/>
      </w:pPr>
      <w:r w:rsidRPr="000E5186">
        <w:rPr>
          <w:noProof/>
        </w:rPr>
        <w:drawing>
          <wp:inline distT="0" distB="0" distL="0" distR="0" wp14:anchorId="3A1A0E7B" wp14:editId="3BC8C5AE">
            <wp:extent cx="3978000" cy="2412000"/>
            <wp:effectExtent l="0" t="0" r="3810" b="7620"/>
            <wp:docPr id="7" name="Picture 7">
              <a:extLst xmlns:a="http://schemas.openxmlformats.org/drawingml/2006/main">
                <a:ext uri="{FF2B5EF4-FFF2-40B4-BE49-F238E27FC236}">
                  <a16:creationId xmlns:a16="http://schemas.microsoft.com/office/drawing/2014/main" id="{DF51E774-3564-481C-F031-28F6A5EDF304}"/>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DF51E774-3564-481C-F031-28F6A5EDF304}"/>
                        </a:ext>
                      </a:extLst>
                    </pic:cNvPr>
                    <pic:cNvPicPr>
                      <a:picLocks noChangeAspect="1"/>
                    </pic:cNvPicPr>
                  </pic:nvPicPr>
                  <pic:blipFill>
                    <a:blip r:embed="rId14"/>
                    <a:stretch>
                      <a:fillRect/>
                    </a:stretch>
                  </pic:blipFill>
                  <pic:spPr>
                    <a:xfrm>
                      <a:off x="0" y="0"/>
                      <a:ext cx="3978000" cy="2412000"/>
                    </a:xfrm>
                    <a:prstGeom prst="rect">
                      <a:avLst/>
                    </a:prstGeom>
                  </pic:spPr>
                </pic:pic>
              </a:graphicData>
            </a:graphic>
          </wp:inline>
        </w:drawing>
      </w:r>
    </w:p>
    <w:p w14:paraId="561E6601" w14:textId="08B06530" w:rsidR="000E5186" w:rsidRDefault="001F0A27" w:rsidP="001F0A27">
      <w:pPr>
        <w:pStyle w:val="Didascalia"/>
        <w:rPr>
          <w:b w:val="0"/>
          <w:bCs w:val="0"/>
          <w:i/>
          <w:iCs/>
          <w:color w:val="000000" w:themeColor="text1"/>
        </w:rPr>
      </w:pPr>
      <w:r w:rsidRPr="000E33B9">
        <w:rPr>
          <w:b w:val="0"/>
          <w:bCs w:val="0"/>
          <w:i/>
          <w:iCs/>
          <w:color w:val="000000" w:themeColor="text1"/>
        </w:rPr>
        <w:t xml:space="preserve">Figure </w:t>
      </w:r>
      <w:r w:rsidR="006C2F63">
        <w:rPr>
          <w:b w:val="0"/>
          <w:bCs w:val="0"/>
          <w:i/>
          <w:iCs/>
          <w:color w:val="000000" w:themeColor="text1"/>
        </w:rPr>
        <w:t>2</w:t>
      </w:r>
      <w:r w:rsidRPr="000E33B9">
        <w:rPr>
          <w:b w:val="0"/>
          <w:bCs w:val="0"/>
          <w:i/>
          <w:iCs/>
          <w:color w:val="000000" w:themeColor="text1"/>
        </w:rPr>
        <w:t>:</w:t>
      </w:r>
      <w:r w:rsidR="002F699B">
        <w:rPr>
          <w:b w:val="0"/>
          <w:bCs w:val="0"/>
          <w:i/>
          <w:iCs/>
          <w:color w:val="000000" w:themeColor="text1"/>
        </w:rPr>
        <w:t xml:space="preserve"> Loca</w:t>
      </w:r>
      <w:r w:rsidR="003E1AD9">
        <w:rPr>
          <w:b w:val="0"/>
          <w:bCs w:val="0"/>
          <w:i/>
          <w:iCs/>
          <w:color w:val="000000" w:themeColor="text1"/>
        </w:rPr>
        <w:t>l</w:t>
      </w:r>
      <w:r w:rsidR="002F699B">
        <w:rPr>
          <w:b w:val="0"/>
          <w:bCs w:val="0"/>
          <w:i/>
          <w:iCs/>
          <w:color w:val="000000" w:themeColor="text1"/>
        </w:rPr>
        <w:t xml:space="preserve"> spe</w:t>
      </w:r>
      <w:r w:rsidR="00CB6597">
        <w:rPr>
          <w:b w:val="0"/>
          <w:bCs w:val="0"/>
          <w:i/>
          <w:iCs/>
          <w:color w:val="000000" w:themeColor="text1"/>
        </w:rPr>
        <w:t>cific individual risk</w:t>
      </w:r>
      <w:r w:rsidRPr="000E33B9">
        <w:rPr>
          <w:b w:val="0"/>
          <w:bCs w:val="0"/>
          <w:i/>
          <w:iCs/>
          <w:color w:val="000000" w:themeColor="text1"/>
        </w:rPr>
        <w:t xml:space="preserve"> </w:t>
      </w:r>
      <w:r w:rsidR="00CB6597">
        <w:rPr>
          <w:b w:val="0"/>
          <w:bCs w:val="0"/>
          <w:i/>
          <w:iCs/>
          <w:color w:val="000000" w:themeColor="text1"/>
        </w:rPr>
        <w:t>(</w:t>
      </w:r>
      <w:r w:rsidRPr="000E33B9">
        <w:rPr>
          <w:b w:val="0"/>
          <w:bCs w:val="0"/>
          <w:i/>
          <w:iCs/>
          <w:color w:val="000000" w:themeColor="text1"/>
        </w:rPr>
        <w:t>LSIR</w:t>
      </w:r>
      <w:r w:rsidR="00CB6597">
        <w:rPr>
          <w:b w:val="0"/>
          <w:bCs w:val="0"/>
          <w:i/>
          <w:iCs/>
          <w:color w:val="000000" w:themeColor="text1"/>
        </w:rPr>
        <w:t>)</w:t>
      </w:r>
      <w:r w:rsidR="00B8161E">
        <w:rPr>
          <w:b w:val="0"/>
          <w:bCs w:val="0"/>
          <w:i/>
          <w:iCs/>
          <w:color w:val="000000" w:themeColor="text1"/>
        </w:rPr>
        <w:t xml:space="preserve"> profiles</w:t>
      </w:r>
      <w:r w:rsidRPr="000E33B9">
        <w:rPr>
          <w:b w:val="0"/>
          <w:bCs w:val="0"/>
          <w:i/>
          <w:iCs/>
          <w:color w:val="000000" w:themeColor="text1"/>
        </w:rPr>
        <w:t xml:space="preserve"> </w:t>
      </w:r>
      <w:r w:rsidR="00B8161E">
        <w:rPr>
          <w:b w:val="0"/>
          <w:bCs w:val="0"/>
          <w:i/>
          <w:iCs/>
          <w:color w:val="000000" w:themeColor="text1"/>
        </w:rPr>
        <w:t>for</w:t>
      </w:r>
      <w:r w:rsidRPr="000E33B9">
        <w:rPr>
          <w:b w:val="0"/>
          <w:bCs w:val="0"/>
          <w:i/>
          <w:iCs/>
          <w:color w:val="000000" w:themeColor="text1"/>
        </w:rPr>
        <w:t xml:space="preserve"> H</w:t>
      </w:r>
      <w:r w:rsidR="008F5B03">
        <w:rPr>
          <w:b w:val="0"/>
          <w:bCs w:val="0"/>
          <w:i/>
          <w:iCs/>
          <w:color w:val="000000" w:themeColor="text1"/>
          <w:vertAlign w:val="subscript"/>
        </w:rPr>
        <w:t>2</w:t>
      </w:r>
      <w:r w:rsidRPr="000E33B9">
        <w:rPr>
          <w:b w:val="0"/>
          <w:bCs w:val="0"/>
          <w:i/>
          <w:iCs/>
          <w:color w:val="000000" w:themeColor="text1"/>
        </w:rPr>
        <w:t xml:space="preserve"> and CH</w:t>
      </w:r>
      <w:r w:rsidR="008F5B03">
        <w:rPr>
          <w:b w:val="0"/>
          <w:bCs w:val="0"/>
          <w:i/>
          <w:iCs/>
          <w:color w:val="000000" w:themeColor="text1"/>
          <w:vertAlign w:val="subscript"/>
        </w:rPr>
        <w:t>4</w:t>
      </w:r>
      <w:r w:rsidR="00027194">
        <w:rPr>
          <w:b w:val="0"/>
          <w:bCs w:val="0"/>
          <w:i/>
          <w:iCs/>
          <w:color w:val="000000" w:themeColor="text1"/>
          <w:vertAlign w:val="subscript"/>
        </w:rPr>
        <w:t xml:space="preserve"> </w:t>
      </w:r>
      <w:r w:rsidR="00FF2BD5">
        <w:rPr>
          <w:b w:val="0"/>
          <w:bCs w:val="0"/>
          <w:i/>
          <w:iCs/>
          <w:color w:val="000000" w:themeColor="text1"/>
        </w:rPr>
        <w:t>J</w:t>
      </w:r>
      <w:r w:rsidRPr="000E33B9">
        <w:rPr>
          <w:b w:val="0"/>
          <w:bCs w:val="0"/>
          <w:i/>
          <w:iCs/>
          <w:color w:val="000000" w:themeColor="text1"/>
        </w:rPr>
        <w:t xml:space="preserve">et </w:t>
      </w:r>
      <w:r w:rsidR="00FF2BD5">
        <w:rPr>
          <w:b w:val="0"/>
          <w:bCs w:val="0"/>
          <w:i/>
          <w:iCs/>
          <w:color w:val="000000" w:themeColor="text1"/>
        </w:rPr>
        <w:t>F</w:t>
      </w:r>
      <w:r w:rsidR="00364984" w:rsidRPr="000E33B9">
        <w:rPr>
          <w:b w:val="0"/>
          <w:bCs w:val="0"/>
          <w:i/>
          <w:iCs/>
          <w:color w:val="000000" w:themeColor="text1"/>
        </w:rPr>
        <w:t>ires.</w:t>
      </w:r>
    </w:p>
    <w:p w14:paraId="74C1CC8B" w14:textId="69601386" w:rsidR="00FB4A05" w:rsidRDefault="00FB4A05" w:rsidP="00FB4A05"/>
    <w:p w14:paraId="59AAFA44" w14:textId="77777777" w:rsidR="00310349" w:rsidRDefault="009A451B" w:rsidP="00FB4A05">
      <w:r w:rsidRPr="00B73D7C">
        <w:t xml:space="preserve">Concerning </w:t>
      </w:r>
      <w:r w:rsidR="00483C03" w:rsidRPr="00B73D7C">
        <w:t xml:space="preserve">the </w:t>
      </w:r>
      <w:r w:rsidR="007468B3">
        <w:t>overall risk profile associated</w:t>
      </w:r>
      <w:r w:rsidR="00CF3279">
        <w:t xml:space="preserve"> to</w:t>
      </w:r>
      <w:r w:rsidR="00EC5483">
        <w:t xml:space="preserve"> </w:t>
      </w:r>
      <w:r w:rsidR="00CF3279">
        <w:t>the</w:t>
      </w:r>
      <w:r w:rsidR="00517244">
        <w:t xml:space="preserve"> </w:t>
      </w:r>
      <w:r w:rsidR="00B803E3">
        <w:t xml:space="preserve">accident </w:t>
      </w:r>
      <w:r w:rsidR="00CF3279">
        <w:t xml:space="preserve">scenarios that could arise from the releases reported </w:t>
      </w:r>
      <w:r w:rsidR="007468B3">
        <w:t>in Table 1 (</w:t>
      </w:r>
      <w:r w:rsidR="005B5410">
        <w:t>J</w:t>
      </w:r>
      <w:r w:rsidR="007468B3">
        <w:t xml:space="preserve">et </w:t>
      </w:r>
      <w:r w:rsidR="005B5410">
        <w:t>F</w:t>
      </w:r>
      <w:r w:rsidR="007468B3">
        <w:t xml:space="preserve">ires, </w:t>
      </w:r>
      <w:r w:rsidR="005B5410">
        <w:t>E</w:t>
      </w:r>
      <w:r w:rsidR="007468B3">
        <w:t xml:space="preserve">xplosions and </w:t>
      </w:r>
      <w:r w:rsidR="005B5410">
        <w:t>F</w:t>
      </w:r>
      <w:r w:rsidR="007468B3">
        <w:t xml:space="preserve">lash </w:t>
      </w:r>
      <w:r w:rsidR="005B5410">
        <w:t>F</w:t>
      </w:r>
      <w:r w:rsidR="007468B3">
        <w:t>ires),</w:t>
      </w:r>
      <w:r w:rsidR="003F2FB4" w:rsidRPr="00B73D7C">
        <w:t xml:space="preserve"> </w:t>
      </w:r>
      <w:r w:rsidR="00053A11">
        <w:t xml:space="preserve">in the </w:t>
      </w:r>
      <w:r w:rsidR="003F2FB4" w:rsidRPr="00B73D7C">
        <w:t xml:space="preserve">simulation of the </w:t>
      </w:r>
      <w:r w:rsidR="005B5410">
        <w:t>E</w:t>
      </w:r>
      <w:r w:rsidR="003F2FB4" w:rsidRPr="00B73D7C">
        <w:t>xplosions the presence of a congested area near</w:t>
      </w:r>
      <w:r w:rsidR="000F0F6E" w:rsidRPr="00B73D7C">
        <w:t xml:space="preserve"> the release point was considered</w:t>
      </w:r>
      <w:r w:rsidR="00B803E3">
        <w:t>.</w:t>
      </w:r>
      <w:r w:rsidR="000F0F6E" w:rsidRPr="00B73D7C">
        <w:t xml:space="preserve"> </w:t>
      </w:r>
      <w:r w:rsidR="003724E2">
        <w:t>T</w:t>
      </w:r>
      <w:r w:rsidR="000F0F6E" w:rsidRPr="00B73D7C">
        <w:t xml:space="preserve">he geometric parameters </w:t>
      </w:r>
      <w:r w:rsidR="003724E2">
        <w:t>of the congested area are</w:t>
      </w:r>
      <w:r w:rsidR="000F0F6E" w:rsidRPr="00B73D7C">
        <w:t xml:space="preserve"> reported in </w:t>
      </w:r>
      <w:r w:rsidR="00ED6B5C" w:rsidRPr="00B73D7C">
        <w:t>Table 3</w:t>
      </w:r>
      <w:r w:rsidR="00053A11">
        <w:t xml:space="preserve">. </w:t>
      </w:r>
    </w:p>
    <w:p w14:paraId="088FB25C" w14:textId="762916B4" w:rsidR="00310349" w:rsidRDefault="00310349" w:rsidP="00FB4A05"/>
    <w:p w14:paraId="3153DA4C" w14:textId="77777777" w:rsidR="00310349" w:rsidRPr="00D57168" w:rsidRDefault="00310349" w:rsidP="00310349">
      <w:pPr>
        <w:pStyle w:val="Didascalia"/>
        <w:keepNext/>
        <w:keepLines/>
        <w:rPr>
          <w:b w:val="0"/>
          <w:bCs w:val="0"/>
          <w:i/>
          <w:iCs/>
          <w:color w:val="000000" w:themeColor="text1"/>
          <w:lang w:val="en-US"/>
        </w:rPr>
      </w:pPr>
      <w:r w:rsidRPr="00D57168">
        <w:rPr>
          <w:b w:val="0"/>
          <w:bCs w:val="0"/>
          <w:i/>
          <w:iCs/>
          <w:color w:val="000000" w:themeColor="text1"/>
          <w:lang w:val="en-US"/>
        </w:rPr>
        <w:t>Table 3: Geometric parameters</w:t>
      </w:r>
      <w:r>
        <w:rPr>
          <w:b w:val="0"/>
          <w:bCs w:val="0"/>
          <w:i/>
          <w:iCs/>
          <w:color w:val="000000" w:themeColor="text1"/>
          <w:lang w:val="en-US"/>
        </w:rPr>
        <w:t xml:space="preserve"> of the congested area</w:t>
      </w:r>
      <w:r w:rsidRPr="00D57168">
        <w:rPr>
          <w:b w:val="0"/>
          <w:bCs w:val="0"/>
          <w:i/>
          <w:iCs/>
          <w:color w:val="000000" w:themeColor="text1"/>
          <w:lang w:val="en-US"/>
        </w:rPr>
        <w:t xml:space="preserve"> and</w:t>
      </w:r>
      <w:r>
        <w:rPr>
          <w:b w:val="0"/>
          <w:bCs w:val="0"/>
          <w:i/>
          <w:iCs/>
          <w:color w:val="000000" w:themeColor="text1"/>
          <w:lang w:val="en-US"/>
        </w:rPr>
        <w:t xml:space="preserve"> used</w:t>
      </w:r>
      <w:r w:rsidRPr="00D57168">
        <w:rPr>
          <w:b w:val="0"/>
          <w:bCs w:val="0"/>
          <w:i/>
          <w:iCs/>
          <w:color w:val="000000" w:themeColor="text1"/>
          <w:lang w:val="en-US"/>
        </w:rPr>
        <w:t xml:space="preserve"> </w:t>
      </w:r>
      <w:r>
        <w:rPr>
          <w:b w:val="0"/>
          <w:bCs w:val="0"/>
          <w:i/>
          <w:iCs/>
          <w:color w:val="000000" w:themeColor="text1"/>
          <w:lang w:val="en-US"/>
        </w:rPr>
        <w:t>E</w:t>
      </w:r>
      <w:r w:rsidRPr="00D57168">
        <w:rPr>
          <w:b w:val="0"/>
          <w:bCs w:val="0"/>
          <w:i/>
          <w:iCs/>
          <w:color w:val="000000" w:themeColor="text1"/>
          <w:lang w:val="en-US"/>
        </w:rPr>
        <w:t>xplosion curves.</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992"/>
        <w:gridCol w:w="851"/>
        <w:gridCol w:w="992"/>
        <w:gridCol w:w="709"/>
        <w:gridCol w:w="1134"/>
        <w:gridCol w:w="1134"/>
        <w:gridCol w:w="1559"/>
      </w:tblGrid>
      <w:tr w:rsidR="00310349" w:rsidRPr="00B57B36" w14:paraId="69DD7C5E" w14:textId="77777777" w:rsidTr="006F7588">
        <w:trPr>
          <w:trHeight w:val="263"/>
        </w:trPr>
        <w:tc>
          <w:tcPr>
            <w:tcW w:w="4962" w:type="dxa"/>
            <w:gridSpan w:val="5"/>
            <w:tcBorders>
              <w:top w:val="single" w:sz="12" w:space="0" w:color="008000"/>
              <w:right w:val="single" w:sz="4" w:space="0" w:color="9BBB59" w:themeColor="accent3"/>
            </w:tcBorders>
            <w:shd w:val="clear" w:color="auto" w:fill="FFFFFF"/>
          </w:tcPr>
          <w:p w14:paraId="78EA5A2A" w14:textId="77777777" w:rsidR="00310349" w:rsidRDefault="00310349" w:rsidP="006F7588">
            <w:pPr>
              <w:pStyle w:val="CETBodytext"/>
              <w:keepNext/>
              <w:keepLines/>
              <w:rPr>
                <w:lang w:val="en-GB"/>
              </w:rPr>
            </w:pPr>
            <w:r>
              <w:rPr>
                <w:lang w:val="en-GB"/>
              </w:rPr>
              <w:t>Geometric Parameter</w:t>
            </w:r>
          </w:p>
        </w:tc>
        <w:tc>
          <w:tcPr>
            <w:tcW w:w="3827" w:type="dxa"/>
            <w:gridSpan w:val="3"/>
            <w:tcBorders>
              <w:top w:val="single" w:sz="12" w:space="0" w:color="008000"/>
              <w:left w:val="single" w:sz="4" w:space="0" w:color="9BBB59" w:themeColor="accent3"/>
              <w:bottom w:val="nil"/>
            </w:tcBorders>
            <w:shd w:val="clear" w:color="auto" w:fill="FFFFFF"/>
          </w:tcPr>
          <w:p w14:paraId="5192052D" w14:textId="77777777" w:rsidR="00310349" w:rsidRDefault="00310349" w:rsidP="006F7588">
            <w:pPr>
              <w:pStyle w:val="CETBodytext"/>
              <w:keepNext/>
              <w:keepLines/>
              <w:rPr>
                <w:lang w:val="en-GB"/>
              </w:rPr>
            </w:pPr>
            <w:r>
              <w:rPr>
                <w:lang w:val="en-GB"/>
              </w:rPr>
              <w:t>Explosion Models and Curves</w:t>
            </w:r>
          </w:p>
        </w:tc>
      </w:tr>
      <w:tr w:rsidR="00310349" w:rsidRPr="00B57B36" w14:paraId="5D7BD2EE" w14:textId="77777777" w:rsidTr="006F7588">
        <w:trPr>
          <w:trHeight w:val="142"/>
        </w:trPr>
        <w:tc>
          <w:tcPr>
            <w:tcW w:w="1418" w:type="dxa"/>
            <w:vMerge w:val="restart"/>
            <w:tcBorders>
              <w:right w:val="single" w:sz="4" w:space="0" w:color="9BBB59" w:themeColor="accent3"/>
            </w:tcBorders>
            <w:shd w:val="clear" w:color="auto" w:fill="FFFFFF"/>
          </w:tcPr>
          <w:p w14:paraId="70F90700" w14:textId="77777777" w:rsidR="00310349" w:rsidRDefault="00310349" w:rsidP="006F7588">
            <w:pPr>
              <w:pStyle w:val="CETBodytext"/>
              <w:keepNext/>
              <w:keepLines/>
              <w:ind w:right="-1"/>
              <w:jc w:val="left"/>
              <w:rPr>
                <w:rFonts w:cs="Arial"/>
                <w:szCs w:val="18"/>
                <w:lang w:val="en-GB"/>
              </w:rPr>
            </w:pPr>
            <w:r>
              <w:rPr>
                <w:rFonts w:cs="Arial"/>
                <w:szCs w:val="18"/>
                <w:lang w:val="en-GB"/>
              </w:rPr>
              <w:t>Distance from the release point (m)</w:t>
            </w:r>
          </w:p>
        </w:tc>
        <w:tc>
          <w:tcPr>
            <w:tcW w:w="992" w:type="dxa"/>
            <w:vMerge w:val="restart"/>
            <w:tcBorders>
              <w:top w:val="nil"/>
              <w:left w:val="single" w:sz="4" w:space="0" w:color="9BBB59" w:themeColor="accent3"/>
              <w:bottom w:val="nil"/>
              <w:right w:val="single" w:sz="4" w:space="0" w:color="9BBB59" w:themeColor="accent3"/>
            </w:tcBorders>
            <w:shd w:val="clear" w:color="auto" w:fill="FFFFFF"/>
          </w:tcPr>
          <w:p w14:paraId="1C8E7793" w14:textId="77777777" w:rsidR="00310349" w:rsidRPr="00B57B36" w:rsidRDefault="00310349" w:rsidP="006F7588">
            <w:pPr>
              <w:pStyle w:val="CETBodytext"/>
              <w:keepNext/>
              <w:keepLines/>
              <w:ind w:right="-1"/>
              <w:rPr>
                <w:rFonts w:cs="Arial"/>
                <w:szCs w:val="18"/>
                <w:lang w:val="en-GB"/>
              </w:rPr>
            </w:pPr>
            <w:r>
              <w:rPr>
                <w:rFonts w:cs="Arial"/>
                <w:szCs w:val="18"/>
                <w:lang w:val="en-GB"/>
              </w:rPr>
              <w:t>Length (m)</w:t>
            </w:r>
          </w:p>
        </w:tc>
        <w:tc>
          <w:tcPr>
            <w:tcW w:w="851" w:type="dxa"/>
            <w:vMerge w:val="restart"/>
            <w:tcBorders>
              <w:top w:val="nil"/>
              <w:left w:val="single" w:sz="4" w:space="0" w:color="9BBB59" w:themeColor="accent3"/>
              <w:bottom w:val="nil"/>
              <w:right w:val="single" w:sz="4" w:space="0" w:color="9BBB59" w:themeColor="accent3"/>
            </w:tcBorders>
            <w:shd w:val="clear" w:color="auto" w:fill="FFFFFF"/>
          </w:tcPr>
          <w:p w14:paraId="208DFD86" w14:textId="77777777" w:rsidR="00310349" w:rsidRPr="00B57B36" w:rsidRDefault="00310349" w:rsidP="006F7588">
            <w:pPr>
              <w:pStyle w:val="CETBodytext"/>
              <w:keepNext/>
              <w:keepLines/>
              <w:ind w:right="-1"/>
              <w:rPr>
                <w:rFonts w:cs="Arial"/>
                <w:szCs w:val="18"/>
                <w:lang w:val="en-GB"/>
              </w:rPr>
            </w:pPr>
            <w:r>
              <w:rPr>
                <w:rFonts w:cs="Arial"/>
                <w:szCs w:val="18"/>
                <w:lang w:val="en-GB"/>
              </w:rPr>
              <w:t>Width (m)</w:t>
            </w:r>
          </w:p>
        </w:tc>
        <w:tc>
          <w:tcPr>
            <w:tcW w:w="992" w:type="dxa"/>
            <w:vMerge w:val="restart"/>
            <w:tcBorders>
              <w:top w:val="nil"/>
              <w:left w:val="single" w:sz="4" w:space="0" w:color="9BBB59" w:themeColor="accent3"/>
              <w:bottom w:val="nil"/>
              <w:right w:val="single" w:sz="4" w:space="0" w:color="9BBB59" w:themeColor="accent3"/>
            </w:tcBorders>
            <w:shd w:val="clear" w:color="auto" w:fill="FFFFFF"/>
          </w:tcPr>
          <w:p w14:paraId="0243BD39" w14:textId="77777777" w:rsidR="00310349" w:rsidRPr="00B57B36" w:rsidRDefault="00310349" w:rsidP="006F7588">
            <w:pPr>
              <w:pStyle w:val="CETBodytext"/>
              <w:keepNext/>
              <w:keepLines/>
              <w:ind w:right="-1"/>
              <w:rPr>
                <w:rFonts w:cs="Arial"/>
                <w:szCs w:val="18"/>
                <w:lang w:val="en-GB"/>
              </w:rPr>
            </w:pPr>
            <w:r>
              <w:rPr>
                <w:rFonts w:cs="Arial"/>
                <w:szCs w:val="18"/>
                <w:lang w:val="en-GB"/>
              </w:rPr>
              <w:t>Height (m)</w:t>
            </w:r>
          </w:p>
        </w:tc>
        <w:tc>
          <w:tcPr>
            <w:tcW w:w="709" w:type="dxa"/>
            <w:vMerge w:val="restart"/>
            <w:tcBorders>
              <w:top w:val="nil"/>
              <w:left w:val="single" w:sz="4" w:space="0" w:color="9BBB59" w:themeColor="accent3"/>
              <w:bottom w:val="nil"/>
              <w:right w:val="single" w:sz="4" w:space="0" w:color="9BBB59" w:themeColor="accent3"/>
            </w:tcBorders>
            <w:shd w:val="clear" w:color="auto" w:fill="FFFFFF"/>
          </w:tcPr>
          <w:p w14:paraId="7BBEE861" w14:textId="77777777" w:rsidR="00310349" w:rsidRDefault="00310349" w:rsidP="006F7588">
            <w:pPr>
              <w:pStyle w:val="CETBodytext"/>
              <w:keepNext/>
              <w:keepLines/>
              <w:ind w:right="-1"/>
              <w:rPr>
                <w:rFonts w:cs="Arial"/>
                <w:szCs w:val="18"/>
                <w:lang w:val="en-GB"/>
              </w:rPr>
            </w:pPr>
            <w:r>
              <w:rPr>
                <w:rFonts w:cs="Arial"/>
                <w:szCs w:val="18"/>
                <w:lang w:val="en-GB"/>
              </w:rPr>
              <w:t>VBR%</w:t>
            </w:r>
          </w:p>
        </w:tc>
        <w:tc>
          <w:tcPr>
            <w:tcW w:w="1134" w:type="dxa"/>
            <w:tcBorders>
              <w:top w:val="nil"/>
              <w:left w:val="single" w:sz="4" w:space="0" w:color="9BBB59" w:themeColor="accent3"/>
              <w:bottom w:val="nil"/>
              <w:right w:val="single" w:sz="4" w:space="0" w:color="9BBB59" w:themeColor="accent3"/>
            </w:tcBorders>
            <w:shd w:val="clear" w:color="auto" w:fill="FFFFFF"/>
          </w:tcPr>
          <w:p w14:paraId="65E5C5AD" w14:textId="77777777" w:rsidR="00310349" w:rsidRDefault="00310349" w:rsidP="006F7588">
            <w:pPr>
              <w:pStyle w:val="CETBodytext"/>
              <w:keepNext/>
              <w:keepLines/>
              <w:ind w:right="-1"/>
              <w:rPr>
                <w:rFonts w:cs="Arial"/>
                <w:szCs w:val="18"/>
                <w:lang w:val="en-GB"/>
              </w:rPr>
            </w:pPr>
            <w:r>
              <w:rPr>
                <w:rFonts w:cs="Arial"/>
                <w:szCs w:val="18"/>
                <w:lang w:val="en-GB"/>
              </w:rPr>
              <w:t>CH4</w:t>
            </w:r>
          </w:p>
        </w:tc>
        <w:tc>
          <w:tcPr>
            <w:tcW w:w="2693" w:type="dxa"/>
            <w:gridSpan w:val="2"/>
            <w:tcBorders>
              <w:top w:val="nil"/>
              <w:left w:val="single" w:sz="4" w:space="0" w:color="9BBB59" w:themeColor="accent3"/>
              <w:bottom w:val="nil"/>
            </w:tcBorders>
            <w:shd w:val="clear" w:color="auto" w:fill="FFFFFF"/>
          </w:tcPr>
          <w:p w14:paraId="3ADD791B" w14:textId="77777777" w:rsidR="00310349" w:rsidRDefault="00310349" w:rsidP="006F7588">
            <w:pPr>
              <w:pStyle w:val="CETBodytext"/>
              <w:keepNext/>
              <w:keepLines/>
              <w:ind w:right="-1"/>
              <w:jc w:val="left"/>
              <w:rPr>
                <w:rFonts w:cs="Arial"/>
                <w:szCs w:val="18"/>
                <w:lang w:val="en-GB"/>
              </w:rPr>
            </w:pPr>
            <w:r>
              <w:rPr>
                <w:rFonts w:cs="Arial"/>
                <w:szCs w:val="18"/>
                <w:lang w:val="en-GB"/>
              </w:rPr>
              <w:t>H2</w:t>
            </w:r>
          </w:p>
        </w:tc>
      </w:tr>
      <w:tr w:rsidR="00310349" w:rsidRPr="00B57B36" w14:paraId="3DC6E313" w14:textId="77777777" w:rsidTr="006F7588">
        <w:trPr>
          <w:trHeight w:val="145"/>
        </w:trPr>
        <w:tc>
          <w:tcPr>
            <w:tcW w:w="1418" w:type="dxa"/>
            <w:vMerge/>
            <w:tcBorders>
              <w:right w:val="single" w:sz="4" w:space="0" w:color="9BBB59" w:themeColor="accent3"/>
            </w:tcBorders>
            <w:shd w:val="clear" w:color="auto" w:fill="FFFFFF"/>
          </w:tcPr>
          <w:p w14:paraId="7257D14B" w14:textId="77777777" w:rsidR="00310349" w:rsidRDefault="00310349" w:rsidP="006F7588">
            <w:pPr>
              <w:pStyle w:val="CETBodytext"/>
              <w:keepNext/>
              <w:keepLines/>
              <w:ind w:right="-1"/>
              <w:rPr>
                <w:rFonts w:cs="Arial"/>
                <w:szCs w:val="18"/>
                <w:lang w:val="en-GB"/>
              </w:rPr>
            </w:pPr>
          </w:p>
        </w:tc>
        <w:tc>
          <w:tcPr>
            <w:tcW w:w="992" w:type="dxa"/>
            <w:vMerge/>
            <w:tcBorders>
              <w:top w:val="nil"/>
              <w:left w:val="single" w:sz="4" w:space="0" w:color="9BBB59" w:themeColor="accent3"/>
              <w:bottom w:val="nil"/>
              <w:right w:val="single" w:sz="4" w:space="0" w:color="9BBB59" w:themeColor="accent3"/>
            </w:tcBorders>
            <w:shd w:val="clear" w:color="auto" w:fill="FFFFFF"/>
          </w:tcPr>
          <w:p w14:paraId="2E052C79" w14:textId="77777777" w:rsidR="00310349" w:rsidRDefault="00310349" w:rsidP="006F7588">
            <w:pPr>
              <w:pStyle w:val="CETBodytext"/>
              <w:keepNext/>
              <w:keepLines/>
              <w:ind w:right="-1"/>
              <w:rPr>
                <w:rFonts w:cs="Arial"/>
                <w:szCs w:val="18"/>
                <w:lang w:val="en-GB"/>
              </w:rPr>
            </w:pPr>
          </w:p>
        </w:tc>
        <w:tc>
          <w:tcPr>
            <w:tcW w:w="851" w:type="dxa"/>
            <w:vMerge/>
            <w:tcBorders>
              <w:top w:val="nil"/>
              <w:left w:val="single" w:sz="4" w:space="0" w:color="9BBB59" w:themeColor="accent3"/>
              <w:bottom w:val="nil"/>
              <w:right w:val="single" w:sz="4" w:space="0" w:color="9BBB59" w:themeColor="accent3"/>
            </w:tcBorders>
            <w:shd w:val="clear" w:color="auto" w:fill="FFFFFF"/>
          </w:tcPr>
          <w:p w14:paraId="1787EC1C" w14:textId="77777777" w:rsidR="00310349" w:rsidRDefault="00310349" w:rsidP="006F7588">
            <w:pPr>
              <w:pStyle w:val="CETBodytext"/>
              <w:keepNext/>
              <w:keepLines/>
              <w:ind w:right="-1"/>
              <w:rPr>
                <w:rFonts w:cs="Arial"/>
                <w:szCs w:val="18"/>
                <w:lang w:val="en-GB"/>
              </w:rPr>
            </w:pPr>
          </w:p>
        </w:tc>
        <w:tc>
          <w:tcPr>
            <w:tcW w:w="992" w:type="dxa"/>
            <w:vMerge/>
            <w:tcBorders>
              <w:top w:val="nil"/>
              <w:left w:val="single" w:sz="4" w:space="0" w:color="9BBB59" w:themeColor="accent3"/>
              <w:bottom w:val="nil"/>
              <w:right w:val="single" w:sz="4" w:space="0" w:color="9BBB59" w:themeColor="accent3"/>
            </w:tcBorders>
            <w:shd w:val="clear" w:color="auto" w:fill="FFFFFF"/>
          </w:tcPr>
          <w:p w14:paraId="5479B2F5" w14:textId="77777777" w:rsidR="00310349" w:rsidRDefault="00310349" w:rsidP="006F7588">
            <w:pPr>
              <w:pStyle w:val="CETBodytext"/>
              <w:keepNext/>
              <w:keepLines/>
              <w:ind w:right="-1"/>
              <w:rPr>
                <w:rFonts w:cs="Arial"/>
                <w:szCs w:val="18"/>
                <w:lang w:val="en-GB"/>
              </w:rPr>
            </w:pPr>
          </w:p>
        </w:tc>
        <w:tc>
          <w:tcPr>
            <w:tcW w:w="709" w:type="dxa"/>
            <w:vMerge/>
            <w:tcBorders>
              <w:top w:val="nil"/>
              <w:left w:val="single" w:sz="4" w:space="0" w:color="9BBB59" w:themeColor="accent3"/>
              <w:bottom w:val="nil"/>
              <w:right w:val="single" w:sz="4" w:space="0" w:color="9BBB59" w:themeColor="accent3"/>
            </w:tcBorders>
            <w:shd w:val="clear" w:color="auto" w:fill="FFFFFF"/>
          </w:tcPr>
          <w:p w14:paraId="5BD3311A" w14:textId="77777777" w:rsidR="00310349" w:rsidRDefault="00310349" w:rsidP="006F7588">
            <w:pPr>
              <w:pStyle w:val="CETBodytext"/>
              <w:keepNext/>
              <w:keepLines/>
              <w:ind w:right="-1"/>
              <w:rPr>
                <w:rFonts w:cs="Arial"/>
                <w:szCs w:val="18"/>
                <w:lang w:val="en-GB"/>
              </w:rPr>
            </w:pPr>
          </w:p>
        </w:tc>
        <w:tc>
          <w:tcPr>
            <w:tcW w:w="1134" w:type="dxa"/>
            <w:tcBorders>
              <w:top w:val="nil"/>
              <w:left w:val="single" w:sz="4" w:space="0" w:color="9BBB59" w:themeColor="accent3"/>
              <w:bottom w:val="nil"/>
              <w:right w:val="single" w:sz="4" w:space="0" w:color="9BBB59" w:themeColor="accent3"/>
            </w:tcBorders>
            <w:shd w:val="clear" w:color="auto" w:fill="FFFFFF"/>
          </w:tcPr>
          <w:p w14:paraId="500F92F4" w14:textId="77777777" w:rsidR="00310349" w:rsidRDefault="00310349" w:rsidP="006F7588">
            <w:pPr>
              <w:pStyle w:val="CETBodytext"/>
              <w:keepNext/>
              <w:keepLines/>
              <w:ind w:right="-1"/>
              <w:rPr>
                <w:rFonts w:cs="Arial"/>
                <w:szCs w:val="18"/>
                <w:lang w:val="en-GB"/>
              </w:rPr>
            </w:pPr>
            <w:r>
              <w:rPr>
                <w:rFonts w:cs="Arial"/>
                <w:szCs w:val="18"/>
                <w:lang w:val="en-GB"/>
              </w:rPr>
              <w:t>Multi-energy</w:t>
            </w:r>
          </w:p>
        </w:tc>
        <w:tc>
          <w:tcPr>
            <w:tcW w:w="1134" w:type="dxa"/>
            <w:tcBorders>
              <w:top w:val="nil"/>
              <w:left w:val="single" w:sz="4" w:space="0" w:color="9BBB59" w:themeColor="accent3"/>
              <w:bottom w:val="nil"/>
            </w:tcBorders>
            <w:shd w:val="clear" w:color="auto" w:fill="FFFFFF"/>
          </w:tcPr>
          <w:p w14:paraId="008572B0" w14:textId="77777777" w:rsidR="00310349" w:rsidRDefault="00310349" w:rsidP="006F7588">
            <w:pPr>
              <w:pStyle w:val="CETBodytext"/>
              <w:keepNext/>
              <w:keepLines/>
              <w:ind w:right="-1"/>
              <w:rPr>
                <w:rFonts w:cs="Arial"/>
                <w:szCs w:val="18"/>
                <w:lang w:val="en-GB"/>
              </w:rPr>
            </w:pPr>
            <w:r>
              <w:rPr>
                <w:rFonts w:cs="Arial"/>
                <w:szCs w:val="18"/>
                <w:lang w:val="en-GB"/>
              </w:rPr>
              <w:t>Multi-energy</w:t>
            </w:r>
          </w:p>
        </w:tc>
        <w:tc>
          <w:tcPr>
            <w:tcW w:w="1559" w:type="dxa"/>
            <w:shd w:val="clear" w:color="auto" w:fill="FFFFFF"/>
          </w:tcPr>
          <w:p w14:paraId="1A8D6776" w14:textId="77777777" w:rsidR="00310349" w:rsidRDefault="00310349" w:rsidP="006F7588">
            <w:pPr>
              <w:pStyle w:val="CETBodytext"/>
              <w:keepNext/>
              <w:keepLines/>
              <w:ind w:right="-1"/>
              <w:rPr>
                <w:rFonts w:cs="Arial"/>
                <w:szCs w:val="18"/>
                <w:lang w:val="en-GB"/>
              </w:rPr>
            </w:pPr>
            <w:r>
              <w:rPr>
                <w:rFonts w:cs="Arial"/>
                <w:szCs w:val="18"/>
                <w:lang w:val="en-GB"/>
              </w:rPr>
              <w:t>BST</w:t>
            </w:r>
          </w:p>
        </w:tc>
      </w:tr>
      <w:tr w:rsidR="00310349" w:rsidRPr="00B57B36" w14:paraId="6C74B0EC" w14:textId="77777777" w:rsidTr="006F7588">
        <w:trPr>
          <w:trHeight w:val="55"/>
        </w:trPr>
        <w:tc>
          <w:tcPr>
            <w:tcW w:w="1418" w:type="dxa"/>
            <w:tcBorders>
              <w:right w:val="single" w:sz="4" w:space="0" w:color="9BBB59" w:themeColor="accent3"/>
            </w:tcBorders>
            <w:shd w:val="clear" w:color="auto" w:fill="FFFFFF"/>
          </w:tcPr>
          <w:p w14:paraId="120220A4" w14:textId="77777777" w:rsidR="00310349" w:rsidRDefault="00310349" w:rsidP="006F7588">
            <w:pPr>
              <w:pStyle w:val="CETBodytext"/>
              <w:keepNext/>
              <w:keepLines/>
              <w:ind w:right="-1"/>
              <w:rPr>
                <w:rFonts w:cs="Arial"/>
                <w:szCs w:val="18"/>
                <w:lang w:val="en-GB"/>
              </w:rPr>
            </w:pPr>
            <w:r>
              <w:rPr>
                <w:rFonts w:cs="Arial"/>
                <w:szCs w:val="18"/>
                <w:lang w:val="en-GB"/>
              </w:rPr>
              <w:t>10</w:t>
            </w:r>
          </w:p>
        </w:tc>
        <w:tc>
          <w:tcPr>
            <w:tcW w:w="992" w:type="dxa"/>
            <w:tcBorders>
              <w:top w:val="nil"/>
              <w:left w:val="single" w:sz="4" w:space="0" w:color="9BBB59" w:themeColor="accent3"/>
              <w:bottom w:val="single" w:sz="12" w:space="0" w:color="008000"/>
              <w:right w:val="single" w:sz="4" w:space="0" w:color="9BBB59" w:themeColor="accent3"/>
            </w:tcBorders>
            <w:shd w:val="clear" w:color="auto" w:fill="FFFFFF"/>
          </w:tcPr>
          <w:p w14:paraId="76AAEF5E" w14:textId="77777777" w:rsidR="00310349" w:rsidRDefault="00310349" w:rsidP="006F7588">
            <w:pPr>
              <w:pStyle w:val="CETBodytext"/>
              <w:keepNext/>
              <w:keepLines/>
              <w:ind w:right="-1"/>
              <w:rPr>
                <w:rFonts w:cs="Arial"/>
                <w:szCs w:val="18"/>
                <w:lang w:val="en-GB"/>
              </w:rPr>
            </w:pPr>
            <w:r>
              <w:rPr>
                <w:rFonts w:cs="Arial"/>
                <w:szCs w:val="18"/>
                <w:lang w:val="en-GB"/>
              </w:rPr>
              <w:t>150</w:t>
            </w:r>
          </w:p>
        </w:tc>
        <w:tc>
          <w:tcPr>
            <w:tcW w:w="851" w:type="dxa"/>
            <w:tcBorders>
              <w:top w:val="nil"/>
              <w:left w:val="single" w:sz="4" w:space="0" w:color="9BBB59" w:themeColor="accent3"/>
              <w:bottom w:val="single" w:sz="12" w:space="0" w:color="008000"/>
              <w:right w:val="single" w:sz="4" w:space="0" w:color="9BBB59" w:themeColor="accent3"/>
            </w:tcBorders>
            <w:shd w:val="clear" w:color="auto" w:fill="FFFFFF"/>
          </w:tcPr>
          <w:p w14:paraId="16ADE768" w14:textId="77777777" w:rsidR="00310349" w:rsidRDefault="00310349" w:rsidP="006F7588">
            <w:pPr>
              <w:pStyle w:val="CETBodytext"/>
              <w:keepNext/>
              <w:keepLines/>
              <w:ind w:right="-1"/>
              <w:rPr>
                <w:rFonts w:cs="Arial"/>
                <w:szCs w:val="18"/>
                <w:lang w:val="en-GB"/>
              </w:rPr>
            </w:pPr>
            <w:r>
              <w:rPr>
                <w:rFonts w:cs="Arial"/>
                <w:szCs w:val="18"/>
                <w:lang w:val="en-GB"/>
              </w:rPr>
              <w:t>100</w:t>
            </w:r>
          </w:p>
        </w:tc>
        <w:tc>
          <w:tcPr>
            <w:tcW w:w="992" w:type="dxa"/>
            <w:tcBorders>
              <w:top w:val="nil"/>
              <w:left w:val="single" w:sz="4" w:space="0" w:color="9BBB59" w:themeColor="accent3"/>
              <w:bottom w:val="single" w:sz="12" w:space="0" w:color="008000"/>
              <w:right w:val="single" w:sz="4" w:space="0" w:color="9BBB59" w:themeColor="accent3"/>
            </w:tcBorders>
            <w:shd w:val="clear" w:color="auto" w:fill="FFFFFF"/>
          </w:tcPr>
          <w:p w14:paraId="289336CE" w14:textId="77777777" w:rsidR="00310349" w:rsidRDefault="00310349" w:rsidP="006F7588">
            <w:pPr>
              <w:pStyle w:val="CETBodytext"/>
              <w:keepNext/>
              <w:keepLines/>
              <w:ind w:right="-1"/>
              <w:rPr>
                <w:rFonts w:cs="Arial"/>
                <w:szCs w:val="18"/>
                <w:lang w:val="en-GB"/>
              </w:rPr>
            </w:pPr>
            <w:r>
              <w:rPr>
                <w:rFonts w:cs="Arial"/>
                <w:szCs w:val="18"/>
                <w:lang w:val="en-GB"/>
              </w:rPr>
              <w:t>5</w:t>
            </w:r>
          </w:p>
        </w:tc>
        <w:tc>
          <w:tcPr>
            <w:tcW w:w="709" w:type="dxa"/>
            <w:tcBorders>
              <w:top w:val="nil"/>
              <w:left w:val="single" w:sz="4" w:space="0" w:color="9BBB59" w:themeColor="accent3"/>
              <w:bottom w:val="single" w:sz="12" w:space="0" w:color="008000"/>
              <w:right w:val="single" w:sz="4" w:space="0" w:color="9BBB59" w:themeColor="accent3"/>
            </w:tcBorders>
            <w:shd w:val="clear" w:color="auto" w:fill="FFFFFF"/>
          </w:tcPr>
          <w:p w14:paraId="32AA5541" w14:textId="77777777" w:rsidR="00310349" w:rsidRDefault="00310349" w:rsidP="006F7588">
            <w:pPr>
              <w:pStyle w:val="CETBodytext"/>
              <w:keepNext/>
              <w:keepLines/>
              <w:ind w:right="-1"/>
              <w:rPr>
                <w:rFonts w:cs="Arial"/>
                <w:szCs w:val="18"/>
                <w:lang w:val="en-GB"/>
              </w:rPr>
            </w:pPr>
            <w:r>
              <w:rPr>
                <w:rFonts w:cs="Arial"/>
                <w:szCs w:val="18"/>
                <w:lang w:val="en-GB"/>
              </w:rPr>
              <w:t>80</w:t>
            </w:r>
          </w:p>
        </w:tc>
        <w:tc>
          <w:tcPr>
            <w:tcW w:w="1134" w:type="dxa"/>
            <w:tcBorders>
              <w:top w:val="nil"/>
              <w:left w:val="single" w:sz="4" w:space="0" w:color="9BBB59" w:themeColor="accent3"/>
              <w:bottom w:val="single" w:sz="12" w:space="0" w:color="008000"/>
              <w:right w:val="single" w:sz="4" w:space="0" w:color="9BBB59" w:themeColor="accent3"/>
            </w:tcBorders>
            <w:shd w:val="clear" w:color="auto" w:fill="FFFFFF"/>
          </w:tcPr>
          <w:p w14:paraId="4B955EFA" w14:textId="77777777" w:rsidR="00310349" w:rsidRDefault="00310349" w:rsidP="006F7588">
            <w:pPr>
              <w:pStyle w:val="CETBodytext"/>
              <w:keepNext/>
              <w:keepLines/>
              <w:ind w:right="-1"/>
              <w:rPr>
                <w:rFonts w:cs="Arial"/>
                <w:szCs w:val="18"/>
                <w:lang w:val="en-GB"/>
              </w:rPr>
            </w:pPr>
            <w:r>
              <w:rPr>
                <w:rFonts w:cs="Arial"/>
                <w:szCs w:val="18"/>
                <w:lang w:val="en-GB"/>
              </w:rPr>
              <w:t>6</w:t>
            </w:r>
          </w:p>
        </w:tc>
        <w:tc>
          <w:tcPr>
            <w:tcW w:w="1134" w:type="dxa"/>
            <w:tcBorders>
              <w:top w:val="nil"/>
              <w:left w:val="single" w:sz="4" w:space="0" w:color="9BBB59" w:themeColor="accent3"/>
              <w:bottom w:val="single" w:sz="12" w:space="0" w:color="008000"/>
            </w:tcBorders>
            <w:shd w:val="clear" w:color="auto" w:fill="FFFFFF"/>
          </w:tcPr>
          <w:p w14:paraId="3C6977C9" w14:textId="77777777" w:rsidR="00310349" w:rsidRDefault="00310349" w:rsidP="006F7588">
            <w:pPr>
              <w:pStyle w:val="CETBodytext"/>
              <w:keepNext/>
              <w:keepLines/>
              <w:ind w:right="-1"/>
              <w:rPr>
                <w:rFonts w:cs="Arial"/>
                <w:szCs w:val="18"/>
                <w:lang w:val="en-GB"/>
              </w:rPr>
            </w:pPr>
            <w:r>
              <w:rPr>
                <w:rFonts w:cs="Arial"/>
                <w:szCs w:val="18"/>
                <w:lang w:val="en-GB"/>
              </w:rPr>
              <w:t>9</w:t>
            </w:r>
          </w:p>
        </w:tc>
        <w:tc>
          <w:tcPr>
            <w:tcW w:w="1559" w:type="dxa"/>
            <w:shd w:val="clear" w:color="auto" w:fill="FFFFFF"/>
          </w:tcPr>
          <w:p w14:paraId="35252121" w14:textId="77777777" w:rsidR="00310349" w:rsidRDefault="00310349" w:rsidP="006F7588">
            <w:pPr>
              <w:pStyle w:val="CETBodytext"/>
              <w:keepNext/>
              <w:keepLines/>
              <w:ind w:right="-1"/>
              <w:rPr>
                <w:rFonts w:cs="Arial"/>
                <w:szCs w:val="18"/>
                <w:lang w:val="en-GB"/>
              </w:rPr>
            </w:pPr>
            <w:r>
              <w:rPr>
                <w:rFonts w:cs="Arial"/>
                <w:szCs w:val="18"/>
                <w:lang w:val="en-GB"/>
              </w:rPr>
              <w:t>DDT (Detonation)</w:t>
            </w:r>
          </w:p>
        </w:tc>
      </w:tr>
    </w:tbl>
    <w:p w14:paraId="7B905005" w14:textId="77777777" w:rsidR="00310349" w:rsidRDefault="00310349" w:rsidP="00FB4A05"/>
    <w:p w14:paraId="7A06F7C7" w14:textId="281230A3" w:rsidR="0076524E" w:rsidRDefault="00053A11" w:rsidP="00A83678">
      <w:r>
        <w:lastRenderedPageBreak/>
        <w:t>A</w:t>
      </w:r>
      <w:r w:rsidR="00B73D7C" w:rsidRPr="00B73D7C">
        <w:t xml:space="preserve"> </w:t>
      </w:r>
      <w:r w:rsidR="00310349" w:rsidRPr="00B73D7C">
        <w:t>high</w:t>
      </w:r>
      <w:r w:rsidR="00310349">
        <w:t>-volume</w:t>
      </w:r>
      <w:r w:rsidR="00B73D7C" w:rsidRPr="00B73D7C">
        <w:t xml:space="preserve"> blockage ratio </w:t>
      </w:r>
      <w:r w:rsidR="00B73D7C">
        <w:t>(VBR)</w:t>
      </w:r>
      <w:r w:rsidR="00807207">
        <w:t xml:space="preserve"> </w:t>
      </w:r>
      <w:r>
        <w:t xml:space="preserve">equal to </w:t>
      </w:r>
      <w:r w:rsidR="005367CE">
        <w:t>80%</w:t>
      </w:r>
      <w:r>
        <w:t xml:space="preserve"> was conservatively considered</w:t>
      </w:r>
      <w:r w:rsidR="00BD7EA7">
        <w:t>.</w:t>
      </w:r>
      <w:r w:rsidR="00586AAB">
        <w:t xml:space="preserve"> </w:t>
      </w:r>
      <w:r>
        <w:t>In the case of</w:t>
      </w:r>
      <w:r w:rsidR="00586AAB" w:rsidRPr="00BD20DD">
        <w:t xml:space="preserve"> </w:t>
      </w:r>
      <w:r w:rsidR="006C43C9" w:rsidRPr="00BD20DD">
        <w:t>hydrogen</w:t>
      </w:r>
      <w:r>
        <w:t>,</w:t>
      </w:r>
      <w:r w:rsidR="006C43C9" w:rsidRPr="00BD20DD">
        <w:t xml:space="preserve"> the </w:t>
      </w:r>
      <w:r w:rsidR="009F2D5A">
        <w:t>Baker-Strehlow-Tang (</w:t>
      </w:r>
      <w:r w:rsidR="006C43C9" w:rsidRPr="00BD20DD">
        <w:t>B</w:t>
      </w:r>
      <w:r w:rsidR="00BE49A0">
        <w:t>ST</w:t>
      </w:r>
      <w:r w:rsidR="009F2D5A">
        <w:t>)</w:t>
      </w:r>
      <w:r w:rsidR="00BE49A0">
        <w:t xml:space="preserve"> </w:t>
      </w:r>
      <w:r w:rsidR="006C43C9" w:rsidRPr="00BD20DD">
        <w:t>and the multi-energy models were considered in the analysis,</w:t>
      </w:r>
      <w:r w:rsidR="007E6895" w:rsidRPr="00BD20DD">
        <w:t xml:space="preserve"> in order </w:t>
      </w:r>
      <w:r w:rsidR="0097179F" w:rsidRPr="00BD20DD">
        <w:t>to investigate the influence</w:t>
      </w:r>
      <w:r w:rsidR="00AF4205" w:rsidRPr="00BD20DD">
        <w:t xml:space="preserve"> of the </w:t>
      </w:r>
      <w:r w:rsidR="006C3A24">
        <w:t>E</w:t>
      </w:r>
      <w:r w:rsidR="00AF4205" w:rsidRPr="00BD20DD">
        <w:t xml:space="preserve">xplosion </w:t>
      </w:r>
      <w:r w:rsidR="00072A08" w:rsidRPr="00BD20DD">
        <w:t>modelling</w:t>
      </w:r>
      <w:r w:rsidR="00AF4205" w:rsidRPr="00BD20DD">
        <w:t xml:space="preserve"> on the </w:t>
      </w:r>
      <w:r w:rsidR="002C3B72" w:rsidRPr="00BD20DD">
        <w:t>overall risk</w:t>
      </w:r>
      <w:r>
        <w:t>. In the case of</w:t>
      </w:r>
      <w:r w:rsidR="00BD20DD" w:rsidRPr="00BD20DD">
        <w:t xml:space="preserve"> methane</w:t>
      </w:r>
      <w:r>
        <w:t>,</w:t>
      </w:r>
      <w:r w:rsidR="005367CE">
        <w:t xml:space="preserve"> </w:t>
      </w:r>
      <w:r w:rsidR="00BD20DD" w:rsidRPr="00BD20DD">
        <w:t>only the multi-energy model wa</w:t>
      </w:r>
      <w:r w:rsidR="00BD20DD">
        <w:t>s used</w:t>
      </w:r>
      <w:r w:rsidR="00467EA0" w:rsidRPr="00BD20DD">
        <w:t>.</w:t>
      </w:r>
      <w:r w:rsidR="00D25BFB">
        <w:t xml:space="preserve"> </w:t>
      </w:r>
      <w:r w:rsidR="00CF3279" w:rsidRPr="00CF3279">
        <w:t>The specific curves used for the two models</w:t>
      </w:r>
      <w:r w:rsidR="00E7444D">
        <w:t xml:space="preserve">, </w:t>
      </w:r>
      <w:r w:rsidR="00BE5C54">
        <w:t>shown in Table 3,</w:t>
      </w:r>
      <w:r w:rsidR="00CF3279" w:rsidRPr="00CF3279">
        <w:t xml:space="preserve"> were evaluated </w:t>
      </w:r>
      <w:r w:rsidR="00CF3279">
        <w:t xml:space="preserve">according to </w:t>
      </w:r>
      <w:r>
        <w:t xml:space="preserve">the </w:t>
      </w:r>
      <w:r w:rsidR="00CF3279">
        <w:t xml:space="preserve">guidelines published in literature </w:t>
      </w:r>
      <w:r w:rsidR="00687E27" w:rsidRPr="00CF3279">
        <w:t>(</w:t>
      </w:r>
      <w:r w:rsidR="003E05BE">
        <w:t>Ree et al., 2014</w:t>
      </w:r>
      <w:r w:rsidR="00687E27" w:rsidRPr="00CF3279">
        <w:t xml:space="preserve">) </w:t>
      </w:r>
      <w:r w:rsidR="00CF3279" w:rsidRPr="00CF3279">
        <w:t>which guide the choice in relation to different parameters as the</w:t>
      </w:r>
      <w:r w:rsidR="003E05BE">
        <w:t xml:space="preserve"> fluid reactivity</w:t>
      </w:r>
      <w:r w:rsidR="00CF3279" w:rsidRPr="00CF3279">
        <w:t xml:space="preserve">, </w:t>
      </w:r>
      <w:r w:rsidR="003E05BE">
        <w:t xml:space="preserve">the </w:t>
      </w:r>
      <w:r w:rsidR="00CF3279" w:rsidRPr="00CF3279">
        <w:t xml:space="preserve">degree of congestion and </w:t>
      </w:r>
      <w:r>
        <w:t xml:space="preserve">the </w:t>
      </w:r>
      <w:r w:rsidR="00CF3279" w:rsidRPr="00CF3279">
        <w:t>geometry of the flame expansion (considered</w:t>
      </w:r>
      <w:r w:rsidR="005010C7">
        <w:t xml:space="preserve"> as</w:t>
      </w:r>
      <w:r w:rsidR="00CF3279" w:rsidRPr="00CF3279">
        <w:t xml:space="preserve"> 2D in th</w:t>
      </w:r>
      <w:r w:rsidR="00CF3279">
        <w:t>ese analyses).</w:t>
      </w:r>
      <w:r w:rsidR="003E05BE">
        <w:t xml:space="preserve"> </w:t>
      </w:r>
      <w:r>
        <w:t xml:space="preserve">In the case of </w:t>
      </w:r>
      <w:r w:rsidR="0002740F">
        <w:t>the hydrogen</w:t>
      </w:r>
      <w:r w:rsidR="005367CE">
        <w:t xml:space="preserve"> </w:t>
      </w:r>
      <w:r w:rsidR="006C3A24">
        <w:t>J</w:t>
      </w:r>
      <w:r w:rsidR="005367CE">
        <w:t xml:space="preserve">et </w:t>
      </w:r>
      <w:r w:rsidR="006C3A24">
        <w:t>F</w:t>
      </w:r>
      <w:r w:rsidR="005367CE">
        <w:t>ires</w:t>
      </w:r>
      <w:r w:rsidR="00B96623">
        <w:t>,</w:t>
      </w:r>
      <w:r w:rsidR="005367CE">
        <w:t xml:space="preserve"> </w:t>
      </w:r>
      <w:r w:rsidR="0002740F">
        <w:t>the Miller mode</w:t>
      </w:r>
      <w:r w:rsidR="005367CE">
        <w:t>l</w:t>
      </w:r>
      <w:r w:rsidR="005010C7">
        <w:t xml:space="preserve"> was used</w:t>
      </w:r>
      <w:r w:rsidR="00D375C5">
        <w:t>.</w:t>
      </w:r>
    </w:p>
    <w:p w14:paraId="65868EBF" w14:textId="7AFDB952" w:rsidR="002A2820" w:rsidRDefault="003A5167" w:rsidP="00A83678">
      <w:pPr>
        <w:rPr>
          <w:lang w:val="en-US"/>
        </w:rPr>
      </w:pPr>
      <w:r>
        <w:t>F</w:t>
      </w:r>
      <w:r w:rsidR="004965F9" w:rsidRPr="003E05BE">
        <w:t xml:space="preserve">igure </w:t>
      </w:r>
      <w:r w:rsidR="00650577">
        <w:t>3</w:t>
      </w:r>
      <w:r w:rsidR="004965F9" w:rsidRPr="003E05BE">
        <w:t xml:space="preserve"> present</w:t>
      </w:r>
      <w:r>
        <w:t>s</w:t>
      </w:r>
      <w:r w:rsidR="004965F9" w:rsidRPr="003E05BE">
        <w:t xml:space="preserve"> the</w:t>
      </w:r>
      <w:r w:rsidR="00B71493">
        <w:t xml:space="preserve"> local</w:t>
      </w:r>
      <w:r w:rsidR="004965F9" w:rsidRPr="003E05BE">
        <w:t xml:space="preserve"> risk profiles obtain</w:t>
      </w:r>
      <w:r w:rsidR="004965F9">
        <w:t>ed for methane and for hydrogen</w:t>
      </w:r>
      <w:r w:rsidR="004965F9" w:rsidRPr="003E05BE">
        <w:t xml:space="preserve"> as a function of the distance from the release source</w:t>
      </w:r>
      <w:r w:rsidR="004965F9">
        <w:t xml:space="preserve">. </w:t>
      </w:r>
      <w:r w:rsidR="000E623B">
        <w:t>A</w:t>
      </w:r>
      <w:r w:rsidR="00D93F3B" w:rsidRPr="00787A2C">
        <w:t>t short and medium distances from the release</w:t>
      </w:r>
      <w:r w:rsidR="00B71493">
        <w:t>,</w:t>
      </w:r>
      <w:r w:rsidR="000002F2" w:rsidRPr="00787A2C">
        <w:t xml:space="preserve"> both the profiles obtained for hydrogen</w:t>
      </w:r>
      <w:r w:rsidR="00A54F19">
        <w:t xml:space="preserve"> (BST and Multi-energy)</w:t>
      </w:r>
      <w:r w:rsidR="000018BA" w:rsidRPr="00787A2C">
        <w:t xml:space="preserve"> do not present</w:t>
      </w:r>
      <w:r w:rsidR="008773A7">
        <w:t xml:space="preserve"> </w:t>
      </w:r>
      <w:r w:rsidR="005D6548">
        <w:t>particular</w:t>
      </w:r>
      <w:r w:rsidR="000018BA" w:rsidRPr="00787A2C">
        <w:t xml:space="preserve"> </w:t>
      </w:r>
      <w:r w:rsidR="00432B31" w:rsidRPr="00787A2C">
        <w:t>differences</w:t>
      </w:r>
      <w:r w:rsidR="008E6FCC">
        <w:t>,</w:t>
      </w:r>
      <w:r w:rsidR="00787A2C" w:rsidRPr="00787A2C">
        <w:t xml:space="preserve"> and result </w:t>
      </w:r>
      <w:r w:rsidR="005367CE">
        <w:t xml:space="preserve">in </w:t>
      </w:r>
      <w:r w:rsidR="00787A2C" w:rsidRPr="00787A2C">
        <w:t>signifi</w:t>
      </w:r>
      <w:r w:rsidR="00787A2C">
        <w:t>cantly higher</w:t>
      </w:r>
      <w:r w:rsidR="005367CE">
        <w:t xml:space="preserve"> values</w:t>
      </w:r>
      <w:r w:rsidR="00787A2C">
        <w:t xml:space="preserve"> </w:t>
      </w:r>
      <w:r w:rsidR="005367CE">
        <w:t>than</w:t>
      </w:r>
      <w:r w:rsidR="00787A2C">
        <w:t xml:space="preserve"> those obtained for methane</w:t>
      </w:r>
      <w:r w:rsidR="008E6FCC">
        <w:t xml:space="preserve">, of </w:t>
      </w:r>
      <w:r w:rsidR="005367CE">
        <w:t>approximately an order of magnitude</w:t>
      </w:r>
      <w:r w:rsidR="00787A2C">
        <w:t>.</w:t>
      </w:r>
      <w:r w:rsidR="004965F9" w:rsidRPr="00787A2C">
        <w:t xml:space="preserve"> </w:t>
      </w:r>
      <w:r w:rsidR="000D1629" w:rsidRPr="00F32F84">
        <w:t>T</w:t>
      </w:r>
      <w:r w:rsidR="00CC014E" w:rsidRPr="00E40C32">
        <w:rPr>
          <w:lang w:val="en-US"/>
        </w:rPr>
        <w:t>his increase in the r</w:t>
      </w:r>
      <w:r w:rsidR="00CC014E">
        <w:rPr>
          <w:lang w:val="en-US"/>
        </w:rPr>
        <w:t xml:space="preserve">isk obtained </w:t>
      </w:r>
      <w:r w:rsidR="00045CFA">
        <w:rPr>
          <w:lang w:val="en-US"/>
        </w:rPr>
        <w:t xml:space="preserve">in the case of </w:t>
      </w:r>
      <w:r w:rsidR="00CC014E">
        <w:rPr>
          <w:lang w:val="en-US"/>
        </w:rPr>
        <w:t xml:space="preserve">hydrogen is </w:t>
      </w:r>
      <w:r w:rsidR="00045CFA">
        <w:rPr>
          <w:lang w:val="en-US"/>
        </w:rPr>
        <w:t xml:space="preserve">mostly </w:t>
      </w:r>
      <w:r w:rsidR="00CC014E">
        <w:rPr>
          <w:lang w:val="en-US"/>
        </w:rPr>
        <w:t xml:space="preserve">due </w:t>
      </w:r>
      <w:r w:rsidR="00045CFA">
        <w:rPr>
          <w:lang w:val="en-US"/>
        </w:rPr>
        <w:t>to</w:t>
      </w:r>
      <w:r w:rsidR="00CC014E">
        <w:rPr>
          <w:lang w:val="en-US"/>
        </w:rPr>
        <w:t xml:space="preserve"> the </w:t>
      </w:r>
      <w:r w:rsidR="00045CFA">
        <w:rPr>
          <w:lang w:val="en-US"/>
        </w:rPr>
        <w:t>contribution of</w:t>
      </w:r>
      <w:r w:rsidR="00CC014E">
        <w:rPr>
          <w:lang w:val="en-US"/>
        </w:rPr>
        <w:t xml:space="preserve"> Jet Fire scenarios and to </w:t>
      </w:r>
      <w:r w:rsidR="00045CFA">
        <w:rPr>
          <w:lang w:val="en-US"/>
        </w:rPr>
        <w:t xml:space="preserve">the </w:t>
      </w:r>
      <w:r w:rsidR="00CC014E">
        <w:rPr>
          <w:lang w:val="en-US"/>
        </w:rPr>
        <w:t>more severe curves</w:t>
      </w:r>
      <w:r w:rsidR="00045CFA">
        <w:rPr>
          <w:lang w:val="en-US"/>
        </w:rPr>
        <w:t xml:space="preserve"> used for explosion modelling</w:t>
      </w:r>
      <w:r w:rsidR="004965F9" w:rsidRPr="00E43EBC">
        <w:t>.</w:t>
      </w:r>
      <w:r w:rsidR="004965F9" w:rsidRPr="00F32F84">
        <w:t xml:space="preserve"> </w:t>
      </w:r>
      <w:r w:rsidR="00045CFA">
        <w:t>Actually, a</w:t>
      </w:r>
      <w:r w:rsidR="0019260C" w:rsidRPr="004E6873">
        <w:t xml:space="preserve">t </w:t>
      </w:r>
      <w:r w:rsidR="00045CFA">
        <w:t>higher</w:t>
      </w:r>
      <w:r w:rsidR="0019260C" w:rsidRPr="004E6873">
        <w:t xml:space="preserve"> distances from the release,</w:t>
      </w:r>
      <w:r w:rsidR="00444C4D">
        <w:t xml:space="preserve"> </w:t>
      </w:r>
      <w:r w:rsidR="004F0889" w:rsidRPr="004E6873">
        <w:t xml:space="preserve">the differences between the two cases </w:t>
      </w:r>
      <w:r w:rsidR="00045CFA">
        <w:t>considered</w:t>
      </w:r>
      <w:r w:rsidR="004F0889" w:rsidRPr="004E6873">
        <w:t xml:space="preserve"> for hydrogen</w:t>
      </w:r>
      <w:r w:rsidR="00F65873">
        <w:t xml:space="preserve"> </w:t>
      </w:r>
      <w:r w:rsidR="00AA65B4">
        <w:t xml:space="preserve">(BST and Multi-energy) </w:t>
      </w:r>
      <w:r w:rsidR="00F65873">
        <w:t>are</w:t>
      </w:r>
      <w:r w:rsidR="004F0889" w:rsidRPr="004E6873">
        <w:t xml:space="preserve"> more evident</w:t>
      </w:r>
      <w:r w:rsidR="00045CFA">
        <w:t>,</w:t>
      </w:r>
      <w:r w:rsidR="004E6873" w:rsidRPr="004E6873">
        <w:t xml:space="preserve"> due to the different outcomes obtained from </w:t>
      </w:r>
      <w:r w:rsidR="00831478">
        <w:t>E</w:t>
      </w:r>
      <w:r w:rsidR="004E6873" w:rsidRPr="004E6873">
        <w:t>x</w:t>
      </w:r>
      <w:r w:rsidR="004E6873">
        <w:t>plosion modelling.</w:t>
      </w:r>
      <w:r w:rsidR="00064DE4">
        <w:t xml:space="preserve"> </w:t>
      </w:r>
      <w:r w:rsidR="00A07475">
        <w:t xml:space="preserve">In fact, </w:t>
      </w:r>
      <w:r w:rsidR="00FE03C9" w:rsidRPr="006452CA">
        <w:t>Figure</w:t>
      </w:r>
      <w:r w:rsidR="00B7429B" w:rsidRPr="006452CA">
        <w:t xml:space="preserve"> </w:t>
      </w:r>
      <w:r w:rsidR="00650577">
        <w:t>4</w:t>
      </w:r>
      <w:r w:rsidR="0080100A" w:rsidRPr="006452CA">
        <w:t xml:space="preserve"> </w:t>
      </w:r>
      <w:r w:rsidR="004475B5" w:rsidRPr="006452CA">
        <w:t>present</w:t>
      </w:r>
      <w:r w:rsidR="004475B5">
        <w:t>s</w:t>
      </w:r>
      <w:r w:rsidR="004475B5" w:rsidRPr="006452CA">
        <w:t xml:space="preserve"> </w:t>
      </w:r>
      <w:r w:rsidR="00B7429B" w:rsidRPr="006452CA">
        <w:t xml:space="preserve">the </w:t>
      </w:r>
      <w:r w:rsidR="004475B5">
        <w:t>i</w:t>
      </w:r>
      <w:r w:rsidR="004475B5" w:rsidRPr="006452CA">
        <w:t>so</w:t>
      </w:r>
      <w:r w:rsidR="004475B5">
        <w:t>-</w:t>
      </w:r>
      <w:r w:rsidR="00090580">
        <w:t>effect</w:t>
      </w:r>
      <w:r w:rsidR="00B7429B" w:rsidRPr="006452CA">
        <w:t xml:space="preserve"> curves</w:t>
      </w:r>
      <w:r w:rsidR="00053FED">
        <w:t>,</w:t>
      </w:r>
      <w:r w:rsidR="0052552F">
        <w:t xml:space="preserve"> evaluated </w:t>
      </w:r>
      <w:r w:rsidR="004B5B7A">
        <w:t>at</w:t>
      </w:r>
      <w:r w:rsidR="00053FED">
        <w:t xml:space="preserve"> a frequency of 1.00 E-06 ev/y,</w:t>
      </w:r>
      <w:r w:rsidR="00D705BC">
        <w:t xml:space="preserve"> obtained</w:t>
      </w:r>
      <w:r w:rsidR="00053FED">
        <w:t xml:space="preserve"> </w:t>
      </w:r>
      <w:r w:rsidR="00F424EF" w:rsidRPr="006452CA">
        <w:t xml:space="preserve">for the overpressure levels </w:t>
      </w:r>
      <w:r w:rsidR="00E97D9F" w:rsidRPr="006452CA">
        <w:t xml:space="preserve">considered in </w:t>
      </w:r>
      <w:r w:rsidR="00BB7A4A">
        <w:t>the case</w:t>
      </w:r>
      <w:r w:rsidR="00BB7A4A" w:rsidRPr="006452CA">
        <w:t xml:space="preserve"> </w:t>
      </w:r>
      <w:r w:rsidR="00E97D9F" w:rsidRPr="006452CA">
        <w:t>study</w:t>
      </w:r>
      <w:r w:rsidR="006C05C1">
        <w:t>,</w:t>
      </w:r>
      <w:r w:rsidR="00A07475">
        <w:t xml:space="preserve"> and</w:t>
      </w:r>
      <w:r w:rsidR="00045CFA">
        <w:t xml:space="preserve"> </w:t>
      </w:r>
      <w:r w:rsidR="00A07475">
        <w:t>a</w:t>
      </w:r>
      <w:r w:rsidR="000A221F" w:rsidRPr="006452CA">
        <w:t xml:space="preserve">s </w:t>
      </w:r>
      <w:r w:rsidR="00045CFA">
        <w:t>shown in</w:t>
      </w:r>
      <w:r w:rsidR="000A221F" w:rsidRPr="006452CA">
        <w:t xml:space="preserve"> figures</w:t>
      </w:r>
      <w:r w:rsidR="0080100A" w:rsidRPr="006452CA">
        <w:t xml:space="preserve"> </w:t>
      </w:r>
      <w:r w:rsidR="00650577">
        <w:t>4</w:t>
      </w:r>
      <w:r w:rsidR="0080100A" w:rsidRPr="006452CA">
        <w:t xml:space="preserve">b and </w:t>
      </w:r>
      <w:r w:rsidR="00650577">
        <w:t>4</w:t>
      </w:r>
      <w:r w:rsidR="0080100A" w:rsidRPr="006452CA">
        <w:t>c</w:t>
      </w:r>
      <w:r w:rsidR="000A221F" w:rsidRPr="006452CA">
        <w:t xml:space="preserve">, </w:t>
      </w:r>
      <w:r w:rsidR="00EC381D" w:rsidRPr="006452CA">
        <w:t xml:space="preserve">the </w:t>
      </w:r>
      <w:r w:rsidR="00045CFA">
        <w:t>higher</w:t>
      </w:r>
      <w:r w:rsidR="00EC381D" w:rsidRPr="006452CA">
        <w:t xml:space="preserve"> differences</w:t>
      </w:r>
      <w:r w:rsidR="002D4CC0">
        <w:t xml:space="preserve"> </w:t>
      </w:r>
      <w:r w:rsidR="000E3A51">
        <w:t>in</w:t>
      </w:r>
      <w:r w:rsidR="00A3707C">
        <w:t xml:space="preserve"> the</w:t>
      </w:r>
      <w:r w:rsidR="00CA005F">
        <w:t xml:space="preserve"> </w:t>
      </w:r>
      <w:r w:rsidR="00A3707C">
        <w:t xml:space="preserve">impact zones of the </w:t>
      </w:r>
      <w:r w:rsidR="00045CFA">
        <w:t xml:space="preserve">hydrogen </w:t>
      </w:r>
      <w:r w:rsidR="00EA6D8E">
        <w:t>E</w:t>
      </w:r>
      <w:r w:rsidR="00A3707C">
        <w:t>xplosions</w:t>
      </w:r>
      <w:r w:rsidR="00140605">
        <w:t xml:space="preserve"> </w:t>
      </w:r>
      <w:r w:rsidR="006452CA" w:rsidRPr="006452CA">
        <w:t>occurred at considerably long distances, approximat</w:t>
      </w:r>
      <w:r w:rsidR="00045CFA">
        <w:t>iv</w:t>
      </w:r>
      <w:r w:rsidR="006452CA" w:rsidRPr="006452CA">
        <w:t>ely in th</w:t>
      </w:r>
      <w:r w:rsidR="006452CA">
        <w:t>e range between 350-600</w:t>
      </w:r>
      <w:r w:rsidR="00807207">
        <w:t xml:space="preserve"> </w:t>
      </w:r>
      <w:r w:rsidR="006452CA">
        <w:t>m from the release point</w:t>
      </w:r>
      <w:r w:rsidR="00F77051" w:rsidRPr="006452CA">
        <w:t>.</w:t>
      </w:r>
      <w:r w:rsidR="004965F9" w:rsidRPr="006452CA">
        <w:t xml:space="preserve"> </w:t>
      </w:r>
      <w:r w:rsidR="00941787" w:rsidRPr="00BE5F93">
        <w:rPr>
          <w:lang w:val="en-US"/>
        </w:rPr>
        <w:t>In particular</w:t>
      </w:r>
      <w:r w:rsidR="007D3BBB" w:rsidRPr="00BE5F93">
        <w:rPr>
          <w:lang w:val="en-US"/>
        </w:rPr>
        <w:t xml:space="preserve">, the BST model returned the most severe conditions </w:t>
      </w:r>
      <w:r w:rsidR="00045CFA">
        <w:rPr>
          <w:lang w:val="en-US"/>
        </w:rPr>
        <w:t>with respect to</w:t>
      </w:r>
      <w:r w:rsidR="007D3BBB" w:rsidRPr="00BE5F93">
        <w:rPr>
          <w:lang w:val="en-US"/>
        </w:rPr>
        <w:t xml:space="preserve"> the distances reached</w:t>
      </w:r>
      <w:r w:rsidR="004F76BE" w:rsidRPr="00BE5F93">
        <w:rPr>
          <w:lang w:val="en-US"/>
        </w:rPr>
        <w:t xml:space="preserve"> by the </w:t>
      </w:r>
      <w:r w:rsidR="006B4F3C" w:rsidRPr="00BE5F93">
        <w:rPr>
          <w:lang w:val="en-US"/>
        </w:rPr>
        <w:t>overpressure</w:t>
      </w:r>
      <w:r w:rsidR="00045CFA">
        <w:rPr>
          <w:lang w:val="en-US"/>
        </w:rPr>
        <w:t xml:space="preserve"> generated. Thus,</w:t>
      </w:r>
      <w:r w:rsidR="004F76BE" w:rsidRPr="00BE5F93">
        <w:rPr>
          <w:lang w:val="en-US"/>
        </w:rPr>
        <w:t xml:space="preserve"> as </w:t>
      </w:r>
      <w:r w:rsidR="00140605">
        <w:rPr>
          <w:lang w:val="en-US"/>
        </w:rPr>
        <w:t xml:space="preserve">shown in </w:t>
      </w:r>
      <w:r w:rsidR="004F76BE" w:rsidRPr="00BE5F93">
        <w:rPr>
          <w:lang w:val="en-US"/>
        </w:rPr>
        <w:t>Figure 3</w:t>
      </w:r>
      <w:r w:rsidR="00216FCA" w:rsidRPr="00BE5F93">
        <w:rPr>
          <w:lang w:val="en-US"/>
        </w:rPr>
        <w:t>, the local</w:t>
      </w:r>
      <w:r w:rsidR="00045CFA">
        <w:rPr>
          <w:lang w:val="en-US"/>
        </w:rPr>
        <w:t xml:space="preserve"> specific individual </w:t>
      </w:r>
      <w:r w:rsidR="00216FCA" w:rsidRPr="00BE5F93">
        <w:rPr>
          <w:lang w:val="en-US"/>
        </w:rPr>
        <w:t xml:space="preserve">risk obtained using this model </w:t>
      </w:r>
      <w:r w:rsidR="00045CFA">
        <w:rPr>
          <w:lang w:val="en-US"/>
        </w:rPr>
        <w:t>falls</w:t>
      </w:r>
      <w:r w:rsidR="006A76AD" w:rsidRPr="00BE5F93">
        <w:rPr>
          <w:lang w:val="en-US"/>
        </w:rPr>
        <w:t xml:space="preserve"> to negligible values </w:t>
      </w:r>
      <w:r w:rsidR="00045CFA">
        <w:rPr>
          <w:lang w:val="en-US"/>
        </w:rPr>
        <w:t>at</w:t>
      </w:r>
      <w:r w:rsidR="006A76AD" w:rsidRPr="00BE5F93">
        <w:rPr>
          <w:lang w:val="en-US"/>
        </w:rPr>
        <w:t xml:space="preserve"> slightly higher distances than </w:t>
      </w:r>
      <w:r w:rsidR="00045CFA">
        <w:rPr>
          <w:lang w:val="en-US"/>
        </w:rPr>
        <w:t xml:space="preserve">in the case where the </w:t>
      </w:r>
      <w:r w:rsidR="006A76AD" w:rsidRPr="00BE5F93">
        <w:rPr>
          <w:lang w:val="en-US"/>
        </w:rPr>
        <w:t>multi-energy</w:t>
      </w:r>
      <w:r w:rsidR="00045CFA">
        <w:rPr>
          <w:lang w:val="en-US"/>
        </w:rPr>
        <w:t xml:space="preserve"> model was used</w:t>
      </w:r>
      <w:r w:rsidR="006A76AD" w:rsidRPr="00BE5F93">
        <w:rPr>
          <w:lang w:val="en-US"/>
        </w:rPr>
        <w:t>.</w:t>
      </w:r>
      <w:r w:rsidR="004965F9" w:rsidRPr="00BE5F93">
        <w:rPr>
          <w:lang w:val="en-US"/>
        </w:rPr>
        <w:t xml:space="preserve"> </w:t>
      </w:r>
      <w:r w:rsidR="00045CFA">
        <w:rPr>
          <w:lang w:val="en-US"/>
        </w:rPr>
        <w:t>In the case of</w:t>
      </w:r>
      <w:r w:rsidR="00675E56" w:rsidRPr="006B4F3C">
        <w:rPr>
          <w:lang w:val="en-US"/>
        </w:rPr>
        <w:t xml:space="preserve"> </w:t>
      </w:r>
      <w:r w:rsidR="006B4F3C" w:rsidRPr="006B4F3C">
        <w:rPr>
          <w:lang w:val="en-US"/>
        </w:rPr>
        <w:t>methane,</w:t>
      </w:r>
      <w:r w:rsidR="00203E7C" w:rsidRPr="006B4F3C">
        <w:rPr>
          <w:lang w:val="en-US"/>
        </w:rPr>
        <w:t xml:space="preserve"> as</w:t>
      </w:r>
      <w:r w:rsidR="00140605">
        <w:rPr>
          <w:lang w:val="en-US"/>
        </w:rPr>
        <w:t xml:space="preserve"> shown</w:t>
      </w:r>
      <w:r w:rsidR="00203E7C" w:rsidRPr="006B4F3C">
        <w:rPr>
          <w:lang w:val="en-US"/>
        </w:rPr>
        <w:t xml:space="preserve"> in Figure </w:t>
      </w:r>
      <w:r w:rsidR="00650577">
        <w:rPr>
          <w:lang w:val="en-US"/>
        </w:rPr>
        <w:t>4</w:t>
      </w:r>
      <w:r w:rsidR="00203E7C" w:rsidRPr="006B4F3C">
        <w:rPr>
          <w:lang w:val="en-US"/>
        </w:rPr>
        <w:t>a, the</w:t>
      </w:r>
      <w:r w:rsidR="009F55EF" w:rsidRPr="006B4F3C">
        <w:rPr>
          <w:lang w:val="en-US"/>
        </w:rPr>
        <w:t xml:space="preserve"> areas affected by dangerous levels of overpressures resulted de</w:t>
      </w:r>
      <w:r w:rsidR="00045CFA">
        <w:rPr>
          <w:lang w:val="en-US"/>
        </w:rPr>
        <w:t>finitely</w:t>
      </w:r>
      <w:r w:rsidR="009F55EF" w:rsidRPr="006B4F3C">
        <w:rPr>
          <w:lang w:val="en-US"/>
        </w:rPr>
        <w:t xml:space="preserve"> more limited</w:t>
      </w:r>
      <w:r w:rsidR="00B8649C" w:rsidRPr="006B4F3C">
        <w:rPr>
          <w:lang w:val="en-US"/>
        </w:rPr>
        <w:t>, in relation to its lower reactivity</w:t>
      </w:r>
      <w:r w:rsidR="00045CFA">
        <w:rPr>
          <w:lang w:val="en-US"/>
        </w:rPr>
        <w:t>,</w:t>
      </w:r>
      <w:r w:rsidR="00B8649C" w:rsidRPr="006B4F3C">
        <w:rPr>
          <w:lang w:val="en-US"/>
        </w:rPr>
        <w:t xml:space="preserve"> which makes these scenarios less severe</w:t>
      </w:r>
      <w:r w:rsidR="00140605">
        <w:rPr>
          <w:lang w:val="en-US"/>
        </w:rPr>
        <w:t xml:space="preserve">. </w:t>
      </w:r>
    </w:p>
    <w:p w14:paraId="40FF18B4" w14:textId="77777777" w:rsidR="00C575ED" w:rsidRPr="00D66451" w:rsidRDefault="00C575ED" w:rsidP="00A83678">
      <w:pPr>
        <w:rPr>
          <w:lang w:val="en-US"/>
        </w:rPr>
      </w:pPr>
    </w:p>
    <w:p w14:paraId="7AFDC8E3" w14:textId="6ADAC2DD" w:rsidR="00165300" w:rsidRDefault="00165300" w:rsidP="00D93651">
      <w:r w:rsidRPr="00165300">
        <w:rPr>
          <w:noProof/>
        </w:rPr>
        <w:drawing>
          <wp:inline distT="0" distB="0" distL="0" distR="0" wp14:anchorId="3C07D34B" wp14:editId="46FB3F2A">
            <wp:extent cx="3684270" cy="2237734"/>
            <wp:effectExtent l="0" t="0" r="0" b="0"/>
            <wp:docPr id="1030665051" name="Immagine 1" descr="Immagine che contiene testo, diagramma, Diagramma, line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0665051" name="Immagine 1" descr="Immagine che contiene testo, diagramma, Diagramma, linea&#10;&#10;Descrizione generata automaticamente"/>
                    <pic:cNvPicPr/>
                  </pic:nvPicPr>
                  <pic:blipFill>
                    <a:blip r:embed="rId15"/>
                    <a:stretch>
                      <a:fillRect/>
                    </a:stretch>
                  </pic:blipFill>
                  <pic:spPr>
                    <a:xfrm>
                      <a:off x="0" y="0"/>
                      <a:ext cx="3711480" cy="2254261"/>
                    </a:xfrm>
                    <a:prstGeom prst="rect">
                      <a:avLst/>
                    </a:prstGeom>
                  </pic:spPr>
                </pic:pic>
              </a:graphicData>
            </a:graphic>
          </wp:inline>
        </w:drawing>
      </w:r>
    </w:p>
    <w:p w14:paraId="5C532F15" w14:textId="4577799E" w:rsidR="00F53533" w:rsidRDefault="00E038CA" w:rsidP="00F53533">
      <w:pPr>
        <w:pStyle w:val="Didascalia"/>
        <w:rPr>
          <w:b w:val="0"/>
          <w:bCs w:val="0"/>
          <w:i/>
          <w:iCs/>
          <w:color w:val="000000" w:themeColor="text1"/>
        </w:rPr>
      </w:pPr>
      <w:r w:rsidRPr="00E038CA">
        <w:rPr>
          <w:b w:val="0"/>
          <w:bCs w:val="0"/>
          <w:i/>
          <w:iCs/>
          <w:color w:val="000000" w:themeColor="text1"/>
        </w:rPr>
        <w:t xml:space="preserve">Figure </w:t>
      </w:r>
      <w:r w:rsidR="00E01498">
        <w:rPr>
          <w:b w:val="0"/>
          <w:bCs w:val="0"/>
          <w:i/>
          <w:iCs/>
          <w:color w:val="000000" w:themeColor="text1"/>
        </w:rPr>
        <w:t>3</w:t>
      </w:r>
      <w:r w:rsidRPr="00E038CA">
        <w:rPr>
          <w:b w:val="0"/>
          <w:bCs w:val="0"/>
          <w:i/>
          <w:iCs/>
          <w:color w:val="000000" w:themeColor="text1"/>
        </w:rPr>
        <w:t>: Loca</w:t>
      </w:r>
      <w:r w:rsidR="00D8434E">
        <w:rPr>
          <w:b w:val="0"/>
          <w:bCs w:val="0"/>
          <w:i/>
          <w:iCs/>
          <w:color w:val="000000" w:themeColor="text1"/>
        </w:rPr>
        <w:t>l</w:t>
      </w:r>
      <w:r w:rsidRPr="00E038CA">
        <w:rPr>
          <w:b w:val="0"/>
          <w:bCs w:val="0"/>
          <w:i/>
          <w:iCs/>
          <w:color w:val="000000" w:themeColor="text1"/>
        </w:rPr>
        <w:t xml:space="preserve"> specific individual risk</w:t>
      </w:r>
      <w:r w:rsidR="008F6C7B">
        <w:rPr>
          <w:b w:val="0"/>
          <w:bCs w:val="0"/>
          <w:i/>
          <w:iCs/>
          <w:color w:val="000000" w:themeColor="text1"/>
        </w:rPr>
        <w:t xml:space="preserve"> </w:t>
      </w:r>
      <w:r w:rsidR="0050510B">
        <w:rPr>
          <w:b w:val="0"/>
          <w:bCs w:val="0"/>
          <w:i/>
          <w:iCs/>
          <w:color w:val="000000" w:themeColor="text1"/>
        </w:rPr>
        <w:t xml:space="preserve">(LSIR) </w:t>
      </w:r>
      <w:r w:rsidR="008F6C7B">
        <w:rPr>
          <w:b w:val="0"/>
          <w:bCs w:val="0"/>
          <w:i/>
          <w:iCs/>
          <w:color w:val="000000" w:themeColor="text1"/>
        </w:rPr>
        <w:t>associated to</w:t>
      </w:r>
      <w:r w:rsidR="00EA1BB2">
        <w:rPr>
          <w:b w:val="0"/>
          <w:bCs w:val="0"/>
          <w:i/>
          <w:iCs/>
          <w:color w:val="000000" w:themeColor="text1"/>
        </w:rPr>
        <w:t xml:space="preserve"> CH</w:t>
      </w:r>
      <w:r w:rsidR="00EA1BB2">
        <w:rPr>
          <w:b w:val="0"/>
          <w:bCs w:val="0"/>
          <w:i/>
          <w:iCs/>
          <w:color w:val="000000" w:themeColor="text1"/>
          <w:vertAlign w:val="subscript"/>
        </w:rPr>
        <w:t>4</w:t>
      </w:r>
      <w:r w:rsidR="008F6C7B">
        <w:rPr>
          <w:b w:val="0"/>
          <w:bCs w:val="0"/>
          <w:i/>
          <w:iCs/>
          <w:color w:val="000000" w:themeColor="text1"/>
        </w:rPr>
        <w:t xml:space="preserve"> and </w:t>
      </w:r>
      <w:r w:rsidR="00EA1BB2">
        <w:rPr>
          <w:b w:val="0"/>
          <w:bCs w:val="0"/>
          <w:i/>
          <w:iCs/>
          <w:color w:val="000000" w:themeColor="text1"/>
        </w:rPr>
        <w:t>H</w:t>
      </w:r>
      <w:r w:rsidR="00EA1BB2">
        <w:rPr>
          <w:b w:val="0"/>
          <w:bCs w:val="0"/>
          <w:i/>
          <w:iCs/>
          <w:color w:val="000000" w:themeColor="text1"/>
          <w:vertAlign w:val="subscript"/>
        </w:rPr>
        <w:t>2</w:t>
      </w:r>
      <w:r w:rsidR="008F6C7B">
        <w:rPr>
          <w:b w:val="0"/>
          <w:bCs w:val="0"/>
          <w:color w:val="000000" w:themeColor="text1"/>
          <w:vertAlign w:val="subscript"/>
        </w:rPr>
        <w:t xml:space="preserve"> </w:t>
      </w:r>
      <w:r w:rsidR="00EB67F5">
        <w:rPr>
          <w:b w:val="0"/>
          <w:bCs w:val="0"/>
          <w:i/>
          <w:iCs/>
          <w:color w:val="000000" w:themeColor="text1"/>
        </w:rPr>
        <w:t xml:space="preserve">releases </w:t>
      </w:r>
      <w:r w:rsidR="00CB1E0E">
        <w:rPr>
          <w:b w:val="0"/>
          <w:bCs w:val="0"/>
          <w:i/>
          <w:iCs/>
          <w:color w:val="000000" w:themeColor="text1"/>
        </w:rPr>
        <w:t>(see</w:t>
      </w:r>
      <w:r w:rsidR="00EB67F5">
        <w:rPr>
          <w:b w:val="0"/>
          <w:bCs w:val="0"/>
          <w:i/>
          <w:iCs/>
          <w:color w:val="000000" w:themeColor="text1"/>
        </w:rPr>
        <w:t xml:space="preserve"> Table 1</w:t>
      </w:r>
      <w:r w:rsidR="00CB1E0E">
        <w:rPr>
          <w:b w:val="0"/>
          <w:bCs w:val="0"/>
          <w:i/>
          <w:iCs/>
          <w:color w:val="000000" w:themeColor="text1"/>
        </w:rPr>
        <w:t>)</w:t>
      </w:r>
      <w:r w:rsidR="00364984">
        <w:rPr>
          <w:b w:val="0"/>
          <w:bCs w:val="0"/>
          <w:i/>
          <w:iCs/>
          <w:color w:val="000000" w:themeColor="text1"/>
        </w:rPr>
        <w:t>.</w:t>
      </w:r>
      <w:r w:rsidR="00602140">
        <w:rPr>
          <w:b w:val="0"/>
          <w:bCs w:val="0"/>
          <w:i/>
          <w:iCs/>
          <w:color w:val="000000" w:themeColor="text1"/>
        </w:rPr>
        <w:t xml:space="preserve"> </w:t>
      </w:r>
    </w:p>
    <w:p w14:paraId="5510A3DF" w14:textId="77777777" w:rsidR="007048F4" w:rsidRPr="00F53533" w:rsidRDefault="007048F4" w:rsidP="00F53533"/>
    <w:p w14:paraId="15C0C23D" w14:textId="77777777" w:rsidR="00DD14D3" w:rsidRDefault="006C7002" w:rsidP="009972F0">
      <w:pPr>
        <w:pStyle w:val="Didascalia"/>
        <w:rPr>
          <w:b w:val="0"/>
          <w:bCs w:val="0"/>
          <w:i/>
          <w:iCs/>
          <w:color w:val="000000" w:themeColor="text1"/>
        </w:rPr>
      </w:pPr>
      <w:r>
        <w:rPr>
          <w:noProof/>
          <w:lang w:val="en-US"/>
        </w:rPr>
        <w:drawing>
          <wp:inline distT="0" distB="0" distL="0" distR="0" wp14:anchorId="4EA4E3FB" wp14:editId="743F0925">
            <wp:extent cx="3684896" cy="2251644"/>
            <wp:effectExtent l="0" t="0" r="0" b="0"/>
            <wp:docPr id="8720287" name="Picture 8720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20287" name="Immagine 8720287"/>
                    <pic:cNvPicPr/>
                  </pic:nvPicPr>
                  <pic:blipFill>
                    <a:blip r:embed="rId16"/>
                    <a:stretch>
                      <a:fillRect/>
                    </a:stretch>
                  </pic:blipFill>
                  <pic:spPr>
                    <a:xfrm>
                      <a:off x="0" y="0"/>
                      <a:ext cx="3702066" cy="2262136"/>
                    </a:xfrm>
                    <a:prstGeom prst="rect">
                      <a:avLst/>
                    </a:prstGeom>
                  </pic:spPr>
                </pic:pic>
              </a:graphicData>
            </a:graphic>
          </wp:inline>
        </w:drawing>
      </w:r>
    </w:p>
    <w:p w14:paraId="48BCBC73" w14:textId="2903421E" w:rsidR="00D91F9A" w:rsidRDefault="00E01498" w:rsidP="00D91F9A">
      <w:pPr>
        <w:pStyle w:val="Didascalia"/>
        <w:rPr>
          <w:b w:val="0"/>
          <w:bCs w:val="0"/>
          <w:i/>
          <w:iCs/>
          <w:color w:val="000000" w:themeColor="text1"/>
        </w:rPr>
      </w:pPr>
      <w:r w:rsidRPr="00E43EBC">
        <w:rPr>
          <w:b w:val="0"/>
          <w:bCs w:val="0"/>
          <w:i/>
          <w:iCs/>
          <w:color w:val="000000" w:themeColor="text1"/>
        </w:rPr>
        <w:t xml:space="preserve">Figure 4: </w:t>
      </w:r>
      <w:r w:rsidR="00B16531" w:rsidRPr="00E43EBC">
        <w:rPr>
          <w:b w:val="0"/>
          <w:bCs w:val="0"/>
          <w:i/>
          <w:iCs/>
          <w:color w:val="000000" w:themeColor="text1"/>
        </w:rPr>
        <w:t>Iso</w:t>
      </w:r>
      <w:r w:rsidR="00A5436A">
        <w:rPr>
          <w:b w:val="0"/>
          <w:bCs w:val="0"/>
          <w:i/>
          <w:iCs/>
          <w:color w:val="000000" w:themeColor="text1"/>
        </w:rPr>
        <w:t>-effect</w:t>
      </w:r>
      <w:r w:rsidR="00F66F11">
        <w:rPr>
          <w:b w:val="0"/>
          <w:bCs w:val="0"/>
          <w:i/>
          <w:iCs/>
          <w:color w:val="000000" w:themeColor="text1"/>
        </w:rPr>
        <w:t xml:space="preserve"> </w:t>
      </w:r>
      <w:r w:rsidR="00B16531" w:rsidRPr="00E43EBC">
        <w:rPr>
          <w:b w:val="0"/>
          <w:bCs w:val="0"/>
          <w:i/>
          <w:iCs/>
          <w:color w:val="000000" w:themeColor="text1"/>
        </w:rPr>
        <w:t>curves</w:t>
      </w:r>
      <w:r w:rsidR="00F66F11">
        <w:rPr>
          <w:b w:val="0"/>
          <w:bCs w:val="0"/>
          <w:i/>
          <w:iCs/>
          <w:color w:val="000000" w:themeColor="text1"/>
        </w:rPr>
        <w:t xml:space="preserve"> for different overpressure levels</w:t>
      </w:r>
      <w:r w:rsidR="001C713D">
        <w:rPr>
          <w:b w:val="0"/>
          <w:bCs w:val="0"/>
          <w:i/>
          <w:iCs/>
          <w:color w:val="000000" w:themeColor="text1"/>
        </w:rPr>
        <w:t xml:space="preserve"> </w:t>
      </w:r>
      <w:r w:rsidR="00561C0A">
        <w:rPr>
          <w:b w:val="0"/>
          <w:bCs w:val="0"/>
          <w:i/>
          <w:iCs/>
          <w:color w:val="000000" w:themeColor="text1"/>
        </w:rPr>
        <w:t>at a</w:t>
      </w:r>
      <w:r w:rsidR="00291B46">
        <w:rPr>
          <w:b w:val="0"/>
          <w:bCs w:val="0"/>
          <w:i/>
          <w:iCs/>
          <w:color w:val="000000" w:themeColor="text1"/>
        </w:rPr>
        <w:t xml:space="preserve"> </w:t>
      </w:r>
      <w:r w:rsidR="00325F7D">
        <w:rPr>
          <w:b w:val="0"/>
          <w:bCs w:val="0"/>
          <w:i/>
          <w:iCs/>
          <w:color w:val="000000" w:themeColor="text1"/>
        </w:rPr>
        <w:t>frequency of</w:t>
      </w:r>
      <w:r w:rsidR="00B16531" w:rsidRPr="00E43EBC">
        <w:rPr>
          <w:b w:val="0"/>
          <w:bCs w:val="0"/>
          <w:i/>
          <w:iCs/>
          <w:color w:val="000000" w:themeColor="text1"/>
        </w:rPr>
        <w:t xml:space="preserve"> 1.00 E-06 ev/y </w:t>
      </w:r>
      <w:r w:rsidR="00E54189">
        <w:rPr>
          <w:b w:val="0"/>
          <w:bCs w:val="0"/>
          <w:i/>
          <w:iCs/>
          <w:color w:val="000000" w:themeColor="text1"/>
        </w:rPr>
        <w:t xml:space="preserve">obtained </w:t>
      </w:r>
      <w:r w:rsidR="00CB1E0E">
        <w:rPr>
          <w:b w:val="0"/>
          <w:bCs w:val="0"/>
          <w:i/>
          <w:iCs/>
          <w:color w:val="000000" w:themeColor="text1"/>
        </w:rPr>
        <w:t>for</w:t>
      </w:r>
      <w:r w:rsidR="00933479">
        <w:rPr>
          <w:b w:val="0"/>
          <w:bCs w:val="0"/>
          <w:i/>
          <w:iCs/>
          <w:color w:val="000000" w:themeColor="text1"/>
        </w:rPr>
        <w:t>:</w:t>
      </w:r>
      <w:r w:rsidR="00C2671F" w:rsidRPr="00E43EBC">
        <w:rPr>
          <w:b w:val="0"/>
          <w:bCs w:val="0"/>
          <w:i/>
          <w:iCs/>
          <w:color w:val="000000" w:themeColor="text1"/>
        </w:rPr>
        <w:t xml:space="preserve"> a) CH4</w:t>
      </w:r>
      <w:r w:rsidR="000B181C">
        <w:rPr>
          <w:b w:val="0"/>
          <w:bCs w:val="0"/>
          <w:i/>
          <w:iCs/>
          <w:color w:val="000000" w:themeColor="text1"/>
        </w:rPr>
        <w:t xml:space="preserve"> (</w:t>
      </w:r>
      <w:r w:rsidR="00BA1F53">
        <w:rPr>
          <w:b w:val="0"/>
          <w:bCs w:val="0"/>
          <w:i/>
          <w:iCs/>
          <w:color w:val="000000" w:themeColor="text1"/>
        </w:rPr>
        <w:t>multi-energy</w:t>
      </w:r>
      <w:r w:rsidR="000B181C">
        <w:rPr>
          <w:b w:val="0"/>
          <w:bCs w:val="0"/>
          <w:i/>
          <w:iCs/>
          <w:color w:val="000000" w:themeColor="text1"/>
        </w:rPr>
        <w:t>)</w:t>
      </w:r>
      <w:r w:rsidR="00E43EBC">
        <w:rPr>
          <w:b w:val="0"/>
          <w:bCs w:val="0"/>
          <w:i/>
          <w:iCs/>
          <w:color w:val="000000" w:themeColor="text1"/>
        </w:rPr>
        <w:t xml:space="preserve">, </w:t>
      </w:r>
      <w:r w:rsidR="00522F1B" w:rsidRPr="00E43EBC">
        <w:rPr>
          <w:b w:val="0"/>
          <w:bCs w:val="0"/>
          <w:i/>
          <w:iCs/>
          <w:color w:val="000000" w:themeColor="text1"/>
        </w:rPr>
        <w:t>b) H2 (BST)</w:t>
      </w:r>
      <w:r w:rsidR="00E43EBC">
        <w:rPr>
          <w:b w:val="0"/>
          <w:bCs w:val="0"/>
          <w:i/>
          <w:iCs/>
          <w:color w:val="000000" w:themeColor="text1"/>
        </w:rPr>
        <w:t>,</w:t>
      </w:r>
      <w:r w:rsidR="00522F1B" w:rsidRPr="00E43EBC">
        <w:rPr>
          <w:b w:val="0"/>
          <w:bCs w:val="0"/>
          <w:i/>
          <w:iCs/>
          <w:color w:val="000000" w:themeColor="text1"/>
        </w:rPr>
        <w:t xml:space="preserve"> c) H2 (</w:t>
      </w:r>
      <w:r w:rsidR="004A2FC0">
        <w:rPr>
          <w:b w:val="0"/>
          <w:bCs w:val="0"/>
          <w:i/>
          <w:iCs/>
          <w:color w:val="000000" w:themeColor="text1"/>
        </w:rPr>
        <w:t>multi-energy</w:t>
      </w:r>
      <w:r w:rsidR="00522F1B" w:rsidRPr="00E43EBC">
        <w:rPr>
          <w:b w:val="0"/>
          <w:bCs w:val="0"/>
          <w:i/>
          <w:iCs/>
          <w:color w:val="000000" w:themeColor="text1"/>
        </w:rPr>
        <w:t>)</w:t>
      </w:r>
    </w:p>
    <w:p w14:paraId="683A645C" w14:textId="77777777" w:rsidR="00310349" w:rsidRDefault="00310349" w:rsidP="00310349">
      <w:pPr>
        <w:rPr>
          <w:lang w:val="en-US"/>
        </w:rPr>
      </w:pPr>
      <w:r w:rsidRPr="00D468FF">
        <w:rPr>
          <w:lang w:val="en-US"/>
        </w:rPr>
        <w:lastRenderedPageBreak/>
        <w:t>Lastly, it</w:t>
      </w:r>
      <w:r>
        <w:rPr>
          <w:lang w:val="en-US"/>
        </w:rPr>
        <w:t xml:space="preserve"> i</w:t>
      </w:r>
      <w:r w:rsidRPr="00D468FF">
        <w:rPr>
          <w:lang w:val="en-US"/>
        </w:rPr>
        <w:t xml:space="preserve">s important to highlight that for the methane, as can be seen in Figure 3, the risk </w:t>
      </w:r>
      <w:r>
        <w:rPr>
          <w:lang w:val="en-US"/>
        </w:rPr>
        <w:t xml:space="preserve">values fall </w:t>
      </w:r>
      <w:r w:rsidRPr="00D468FF">
        <w:rPr>
          <w:lang w:val="en-US"/>
        </w:rPr>
        <w:t xml:space="preserve">to negligible values </w:t>
      </w:r>
      <w:r>
        <w:rPr>
          <w:lang w:val="en-US"/>
        </w:rPr>
        <w:t>at</w:t>
      </w:r>
      <w:r w:rsidRPr="00D468FF">
        <w:rPr>
          <w:lang w:val="en-US"/>
        </w:rPr>
        <w:t xml:space="preserve"> higher distances than </w:t>
      </w:r>
      <w:r>
        <w:rPr>
          <w:lang w:val="en-US"/>
        </w:rPr>
        <w:t>in the case of</w:t>
      </w:r>
      <w:r w:rsidRPr="00D468FF">
        <w:rPr>
          <w:lang w:val="en-US"/>
        </w:rPr>
        <w:t xml:space="preserve"> hydrogen.</w:t>
      </w:r>
      <w:r>
        <w:rPr>
          <w:lang w:val="en-US"/>
        </w:rPr>
        <w:t xml:space="preserve"> </w:t>
      </w:r>
      <w:r w:rsidRPr="003936F6">
        <w:rPr>
          <w:lang w:val="en-US"/>
        </w:rPr>
        <w:t xml:space="preserve">This is </w:t>
      </w:r>
      <w:r>
        <w:rPr>
          <w:lang w:val="en-US"/>
        </w:rPr>
        <w:t xml:space="preserve">caused by </w:t>
      </w:r>
      <w:r w:rsidRPr="003936F6">
        <w:rPr>
          <w:lang w:val="en-US"/>
        </w:rPr>
        <w:t xml:space="preserve">the </w:t>
      </w:r>
      <w:r>
        <w:rPr>
          <w:lang w:val="en-US"/>
        </w:rPr>
        <w:t>contribution of F</w:t>
      </w:r>
      <w:r w:rsidRPr="003936F6">
        <w:rPr>
          <w:lang w:val="en-US"/>
        </w:rPr>
        <w:t xml:space="preserve">lash </w:t>
      </w:r>
      <w:r>
        <w:rPr>
          <w:lang w:val="en-US"/>
        </w:rPr>
        <w:t>F</w:t>
      </w:r>
      <w:r w:rsidRPr="003936F6">
        <w:rPr>
          <w:lang w:val="en-US"/>
        </w:rPr>
        <w:t>ire scenarios which</w:t>
      </w:r>
      <w:r>
        <w:rPr>
          <w:lang w:val="en-US"/>
        </w:rPr>
        <w:t>,</w:t>
      </w:r>
      <w:r w:rsidRPr="003936F6">
        <w:rPr>
          <w:lang w:val="en-US"/>
        </w:rPr>
        <w:t xml:space="preserve"> </w:t>
      </w:r>
      <w:r>
        <w:rPr>
          <w:lang w:val="en-US"/>
        </w:rPr>
        <w:t>due to higher density of</w:t>
      </w:r>
      <w:r w:rsidRPr="003936F6">
        <w:rPr>
          <w:lang w:val="en-US"/>
        </w:rPr>
        <w:t xml:space="preserve"> methane, </w:t>
      </w:r>
      <w:r>
        <w:rPr>
          <w:lang w:val="en-US"/>
        </w:rPr>
        <w:t>have the potential to cause damage at</w:t>
      </w:r>
      <w:r w:rsidRPr="003936F6">
        <w:rPr>
          <w:lang w:val="en-US"/>
        </w:rPr>
        <w:t xml:space="preserve"> considerably greater distances than those obtained for</w:t>
      </w:r>
      <w:r>
        <w:rPr>
          <w:lang w:val="en-US"/>
        </w:rPr>
        <w:t xml:space="preserve"> </w:t>
      </w:r>
      <w:r w:rsidRPr="003936F6">
        <w:rPr>
          <w:lang w:val="en-US"/>
        </w:rPr>
        <w:t>hydrogen</w:t>
      </w:r>
      <w:r>
        <w:rPr>
          <w:lang w:val="en-US"/>
        </w:rPr>
        <w:t>, ensuring that for methane the risk persists,</w:t>
      </w:r>
      <w:r w:rsidRPr="00BA1F53">
        <w:rPr>
          <w:lang w:val="en-US"/>
        </w:rPr>
        <w:t xml:space="preserve"> </w:t>
      </w:r>
      <w:r>
        <w:rPr>
          <w:lang w:val="en-US"/>
        </w:rPr>
        <w:t xml:space="preserve">even if having low values (&lt; 1.00 E-06 ev/y), at higher distances. </w:t>
      </w:r>
    </w:p>
    <w:p w14:paraId="23291B01" w14:textId="77777777" w:rsidR="00310349" w:rsidRPr="00D66451" w:rsidRDefault="00310349" w:rsidP="00310349">
      <w:pPr>
        <w:rPr>
          <w:lang w:val="en-US"/>
        </w:rPr>
      </w:pPr>
    </w:p>
    <w:p w14:paraId="0910E553" w14:textId="77777777" w:rsidR="00310349" w:rsidRPr="00310349" w:rsidRDefault="00310349" w:rsidP="00310349">
      <w:pPr>
        <w:rPr>
          <w:lang w:val="en-US"/>
        </w:rPr>
      </w:pPr>
    </w:p>
    <w:p w14:paraId="57D71985" w14:textId="7F5E993C" w:rsidR="009C7F72" w:rsidRDefault="00137833" w:rsidP="00444808">
      <w:pPr>
        <w:pStyle w:val="CETHeading1"/>
      </w:pPr>
      <w:r>
        <w:t>Conclusi</w:t>
      </w:r>
      <w:r w:rsidR="002F38D1">
        <w:t>on</w:t>
      </w:r>
      <w:r w:rsidR="008E6FCC">
        <w:t>s</w:t>
      </w:r>
    </w:p>
    <w:p w14:paraId="5D4DE894" w14:textId="76419BFC" w:rsidR="00310349" w:rsidRPr="00AF5DDF" w:rsidRDefault="00CB1E0E" w:rsidP="00E9451C">
      <w:pPr>
        <w:pStyle w:val="CETBodytext"/>
      </w:pPr>
      <w:r>
        <w:rPr>
          <w:lang w:val="en-GB"/>
        </w:rPr>
        <w:t xml:space="preserve">As shown in the case-study, </w:t>
      </w:r>
      <w:r w:rsidR="006A38D2" w:rsidRPr="00904E24">
        <w:rPr>
          <w:lang w:val="en-GB"/>
        </w:rPr>
        <w:t>the</w:t>
      </w:r>
      <w:r w:rsidR="00B43A70" w:rsidRPr="00904E24">
        <w:rPr>
          <w:lang w:val="en-GB"/>
        </w:rPr>
        <w:t xml:space="preserve"> </w:t>
      </w:r>
      <w:r w:rsidR="006A38D2" w:rsidRPr="00904E24">
        <w:rPr>
          <w:lang w:val="en-GB"/>
        </w:rPr>
        <w:t>transition to hydrogen</w:t>
      </w:r>
      <w:r w:rsidR="00B85FFC" w:rsidRPr="00904E24">
        <w:rPr>
          <w:lang w:val="en-GB"/>
        </w:rPr>
        <w:t xml:space="preserve"> of the existing natural gas grid infrastructure</w:t>
      </w:r>
      <w:r w:rsidR="002D4CEC" w:rsidRPr="00904E24">
        <w:rPr>
          <w:lang w:val="en-GB"/>
        </w:rPr>
        <w:t>s</w:t>
      </w:r>
      <w:r w:rsidR="00926A37" w:rsidRPr="00904E24">
        <w:rPr>
          <w:lang w:val="en-GB"/>
        </w:rPr>
        <w:t xml:space="preserve"> </w:t>
      </w:r>
      <w:r>
        <w:rPr>
          <w:lang w:val="en-GB"/>
        </w:rPr>
        <w:t>may</w:t>
      </w:r>
      <w:r w:rsidR="00926A37" w:rsidRPr="00904E24">
        <w:rPr>
          <w:lang w:val="en-GB"/>
        </w:rPr>
        <w:t xml:space="preserve"> cause an increase of the risk profile</w:t>
      </w:r>
      <w:r w:rsidR="00F16E97" w:rsidRPr="00904E24">
        <w:rPr>
          <w:lang w:val="en-GB"/>
        </w:rPr>
        <w:t xml:space="preserve"> associated to</w:t>
      </w:r>
      <w:r w:rsidR="00006923" w:rsidRPr="00904E24">
        <w:rPr>
          <w:lang w:val="en-GB"/>
        </w:rPr>
        <w:t xml:space="preserve"> these facilities</w:t>
      </w:r>
      <w:r w:rsidR="00D2127C" w:rsidRPr="00904E24">
        <w:rPr>
          <w:lang w:val="en-GB"/>
        </w:rPr>
        <w:t xml:space="preserve"> with respect to the current values</w:t>
      </w:r>
      <w:r w:rsidR="003318C5" w:rsidRPr="00904E24">
        <w:rPr>
          <w:lang w:val="en-GB"/>
        </w:rPr>
        <w:t>, in particular in proximity of the</w:t>
      </w:r>
      <w:r w:rsidR="009C5168" w:rsidRPr="00904E24">
        <w:rPr>
          <w:lang w:val="en-GB"/>
        </w:rPr>
        <w:t xml:space="preserve"> release. </w:t>
      </w:r>
      <w:r w:rsidR="00D56890" w:rsidRPr="00904E24">
        <w:rPr>
          <w:lang w:val="en-GB"/>
        </w:rPr>
        <w:t xml:space="preserve">The quantitative risk assessment thus </w:t>
      </w:r>
      <w:r w:rsidR="0080701A" w:rsidRPr="00904E24">
        <w:rPr>
          <w:lang w:val="en-GB"/>
        </w:rPr>
        <w:t>represents a crucial tool for the evaluation of technical safety aspects</w:t>
      </w:r>
      <w:r>
        <w:rPr>
          <w:lang w:val="en-GB"/>
        </w:rPr>
        <w:t>, and</w:t>
      </w:r>
      <w:r w:rsidR="00D90611" w:rsidRPr="00904E24">
        <w:rPr>
          <w:lang w:val="en-GB"/>
        </w:rPr>
        <w:t xml:space="preserve"> </w:t>
      </w:r>
      <w:r w:rsidR="003A5379" w:rsidRPr="00904E24">
        <w:rPr>
          <w:lang w:val="en-GB"/>
        </w:rPr>
        <w:t xml:space="preserve">to promote the review </w:t>
      </w:r>
      <w:r w:rsidR="00980628" w:rsidRPr="00904E24">
        <w:rPr>
          <w:lang w:val="en-GB"/>
        </w:rPr>
        <w:t xml:space="preserve">or </w:t>
      </w:r>
      <w:r>
        <w:rPr>
          <w:lang w:val="en-GB"/>
        </w:rPr>
        <w:t xml:space="preserve">the </w:t>
      </w:r>
      <w:r w:rsidR="00980628" w:rsidRPr="00904E24">
        <w:rPr>
          <w:lang w:val="en-GB"/>
        </w:rPr>
        <w:t>development of new specific codes and standards</w:t>
      </w:r>
      <w:r>
        <w:rPr>
          <w:lang w:val="en-GB"/>
        </w:rPr>
        <w:t>,</w:t>
      </w:r>
      <w:r w:rsidR="00980628" w:rsidRPr="00904E24">
        <w:rPr>
          <w:lang w:val="en-GB"/>
        </w:rPr>
        <w:t xml:space="preserve"> to allow a safe</w:t>
      </w:r>
      <w:r w:rsidR="00F80DD0" w:rsidRPr="00904E24">
        <w:rPr>
          <w:lang w:val="en-GB"/>
        </w:rPr>
        <w:t xml:space="preserve"> </w:t>
      </w:r>
      <w:r w:rsidR="00980628" w:rsidRPr="00904E24">
        <w:rPr>
          <w:lang w:val="en-GB"/>
        </w:rPr>
        <w:t xml:space="preserve">operation </w:t>
      </w:r>
      <w:r w:rsidR="006D632E" w:rsidRPr="00904E24">
        <w:rPr>
          <w:lang w:val="en-GB"/>
        </w:rPr>
        <w:t>of these facilities in the case of a conversion to hydrogen.</w:t>
      </w:r>
      <w:r w:rsidR="00F80DD0" w:rsidRPr="00904E24">
        <w:rPr>
          <w:lang w:val="en-GB"/>
        </w:rPr>
        <w:t xml:space="preserve"> Furthermore, </w:t>
      </w:r>
      <w:r w:rsidR="00B91494" w:rsidRPr="00904E24">
        <w:rPr>
          <w:lang w:val="en-GB"/>
        </w:rPr>
        <w:t xml:space="preserve">the safety criteria </w:t>
      </w:r>
      <w:r>
        <w:rPr>
          <w:lang w:val="en-GB"/>
        </w:rPr>
        <w:t xml:space="preserve">that may be </w:t>
      </w:r>
      <w:r w:rsidR="008225EB" w:rsidRPr="00904E24">
        <w:rPr>
          <w:lang w:val="en-GB"/>
        </w:rPr>
        <w:t>assess</w:t>
      </w:r>
      <w:r>
        <w:rPr>
          <w:lang w:val="en-GB"/>
        </w:rPr>
        <w:t>ed</w:t>
      </w:r>
      <w:r w:rsidR="00B91494" w:rsidRPr="00904E24">
        <w:rPr>
          <w:lang w:val="en-GB"/>
        </w:rPr>
        <w:t xml:space="preserve"> through the quantitative risk a</w:t>
      </w:r>
      <w:r w:rsidR="008225EB" w:rsidRPr="00904E24">
        <w:rPr>
          <w:lang w:val="en-GB"/>
        </w:rPr>
        <w:t>nalysis</w:t>
      </w:r>
      <w:r w:rsidR="00B91494" w:rsidRPr="00904E24">
        <w:rPr>
          <w:lang w:val="en-GB"/>
        </w:rPr>
        <w:t xml:space="preserve"> will</w:t>
      </w:r>
      <w:r w:rsidR="00502B6D" w:rsidRPr="00904E24">
        <w:rPr>
          <w:lang w:val="en-GB"/>
        </w:rPr>
        <w:t xml:space="preserve"> also be fundamental to ensure a safe design and construction of future hydrogen transport </w:t>
      </w:r>
      <w:r>
        <w:rPr>
          <w:lang w:val="en-GB"/>
        </w:rPr>
        <w:t>facilities</w:t>
      </w:r>
      <w:r w:rsidR="00DA2083" w:rsidRPr="00904E24">
        <w:rPr>
          <w:lang w:val="en-GB"/>
        </w:rPr>
        <w:t>.</w:t>
      </w:r>
      <w:r w:rsidR="006D632E" w:rsidRPr="00904E24">
        <w:rPr>
          <w:lang w:val="en-GB"/>
        </w:rPr>
        <w:t xml:space="preserve"> </w:t>
      </w:r>
      <w:r w:rsidR="00DA2046" w:rsidRPr="00904E24">
        <w:rPr>
          <w:lang w:val="en-GB"/>
        </w:rPr>
        <w:t>However,</w:t>
      </w:r>
      <w:r w:rsidR="00BE1F02" w:rsidRPr="00904E24">
        <w:rPr>
          <w:lang w:val="en-GB"/>
        </w:rPr>
        <w:t xml:space="preserve"> it</w:t>
      </w:r>
      <w:r w:rsidR="001A6103">
        <w:rPr>
          <w:lang w:val="en-GB"/>
        </w:rPr>
        <w:t xml:space="preserve"> i</w:t>
      </w:r>
      <w:r w:rsidR="00BE1F02" w:rsidRPr="00904E24">
        <w:rPr>
          <w:lang w:val="en-GB"/>
        </w:rPr>
        <w:t xml:space="preserve">s important to </w:t>
      </w:r>
      <w:r w:rsidR="001A6103">
        <w:rPr>
          <w:lang w:val="en-GB"/>
        </w:rPr>
        <w:t>highlight</w:t>
      </w:r>
      <w:r w:rsidR="00BE1F02" w:rsidRPr="00904E24">
        <w:rPr>
          <w:lang w:val="en-GB"/>
        </w:rPr>
        <w:t xml:space="preserve"> that the</w:t>
      </w:r>
      <w:r w:rsidR="004D7B95" w:rsidRPr="00904E24">
        <w:rPr>
          <w:lang w:val="en-GB"/>
        </w:rPr>
        <w:t xml:space="preserve"> lack </w:t>
      </w:r>
      <w:r w:rsidR="002648B8" w:rsidRPr="00904E24">
        <w:rPr>
          <w:lang w:val="en-GB"/>
        </w:rPr>
        <w:t>of specific data for hydrogen introduces uncertainties in the risk assessment</w:t>
      </w:r>
      <w:r w:rsidR="001A6103">
        <w:rPr>
          <w:lang w:val="en-GB"/>
        </w:rPr>
        <w:t>,</w:t>
      </w:r>
      <w:r w:rsidR="002648B8" w:rsidRPr="00904E24">
        <w:rPr>
          <w:lang w:val="en-GB"/>
        </w:rPr>
        <w:t xml:space="preserve"> </w:t>
      </w:r>
      <w:r w:rsidR="00CF6AA6" w:rsidRPr="00904E24">
        <w:rPr>
          <w:lang w:val="en-GB"/>
        </w:rPr>
        <w:t xml:space="preserve">that </w:t>
      </w:r>
      <w:r w:rsidR="001A6103">
        <w:rPr>
          <w:lang w:val="en-GB"/>
        </w:rPr>
        <w:t>may</w:t>
      </w:r>
      <w:r w:rsidR="00CF6AA6" w:rsidRPr="00904E24">
        <w:rPr>
          <w:lang w:val="en-GB"/>
        </w:rPr>
        <w:t xml:space="preserve"> lead to</w:t>
      </w:r>
      <w:r w:rsidR="003D5B7E" w:rsidRPr="00904E24">
        <w:rPr>
          <w:lang w:val="en-GB"/>
        </w:rPr>
        <w:t xml:space="preserve"> inaccurate r</w:t>
      </w:r>
      <w:r w:rsidR="00054A69" w:rsidRPr="00904E24">
        <w:rPr>
          <w:lang w:val="en-GB"/>
        </w:rPr>
        <w:t xml:space="preserve">esults regarding the actual conditions that could occur </w:t>
      </w:r>
      <w:r w:rsidR="00E13F0C" w:rsidRPr="00904E24">
        <w:rPr>
          <w:lang w:val="en-GB"/>
        </w:rPr>
        <w:t>following an accidental release.</w:t>
      </w:r>
      <w:r w:rsidR="00C72CF0" w:rsidRPr="00904E24">
        <w:rPr>
          <w:lang w:val="en-GB"/>
        </w:rPr>
        <w:t xml:space="preserve"> An example </w:t>
      </w:r>
      <w:r w:rsidR="001A6103">
        <w:rPr>
          <w:lang w:val="en-GB"/>
        </w:rPr>
        <w:t xml:space="preserve">are the results </w:t>
      </w:r>
      <w:r w:rsidR="004771CB">
        <w:rPr>
          <w:lang w:val="en-GB"/>
        </w:rPr>
        <w:t>obtained for</w:t>
      </w:r>
      <w:r w:rsidR="001979A0" w:rsidRPr="00904E24">
        <w:rPr>
          <w:lang w:val="en-GB"/>
        </w:rPr>
        <w:t xml:space="preserve"> </w:t>
      </w:r>
      <w:r w:rsidR="005E318C" w:rsidRPr="00904E24">
        <w:rPr>
          <w:lang w:val="en-GB"/>
        </w:rPr>
        <w:t>J</w:t>
      </w:r>
      <w:r w:rsidR="001979A0" w:rsidRPr="00904E24">
        <w:rPr>
          <w:lang w:val="en-GB"/>
        </w:rPr>
        <w:t xml:space="preserve">et </w:t>
      </w:r>
      <w:r w:rsidR="005E318C" w:rsidRPr="00904E24">
        <w:rPr>
          <w:lang w:val="en-GB"/>
        </w:rPr>
        <w:t>F</w:t>
      </w:r>
      <w:r w:rsidR="001979A0" w:rsidRPr="00904E24">
        <w:rPr>
          <w:lang w:val="en-GB"/>
        </w:rPr>
        <w:t xml:space="preserve">ire scenarios, where the new specific model </w:t>
      </w:r>
      <w:r w:rsidR="00FC387D" w:rsidRPr="00904E24">
        <w:rPr>
          <w:lang w:val="en-GB"/>
        </w:rPr>
        <w:t>for hydrogen</w:t>
      </w:r>
      <w:r w:rsidR="00732888" w:rsidRPr="00904E24">
        <w:rPr>
          <w:lang w:val="en-GB"/>
        </w:rPr>
        <w:t xml:space="preserve"> </w:t>
      </w:r>
      <w:r w:rsidR="001A6103">
        <w:rPr>
          <w:lang w:val="en-GB"/>
        </w:rPr>
        <w:t xml:space="preserve">shows that </w:t>
      </w:r>
      <w:r w:rsidR="00732888" w:rsidRPr="00904E24">
        <w:rPr>
          <w:lang w:val="en-GB"/>
        </w:rPr>
        <w:t>more severe</w:t>
      </w:r>
      <w:r w:rsidR="006275A2" w:rsidRPr="00904E24">
        <w:rPr>
          <w:lang w:val="en-GB"/>
        </w:rPr>
        <w:t xml:space="preserve"> </w:t>
      </w:r>
      <w:r w:rsidR="001A6103">
        <w:rPr>
          <w:lang w:val="en-GB"/>
        </w:rPr>
        <w:t xml:space="preserve">radiation values may derive from hydrogen </w:t>
      </w:r>
      <w:r w:rsidR="00A07475">
        <w:rPr>
          <w:lang w:val="en-GB"/>
        </w:rPr>
        <w:t>J</w:t>
      </w:r>
      <w:r w:rsidR="001A6103">
        <w:rPr>
          <w:lang w:val="en-GB"/>
        </w:rPr>
        <w:t xml:space="preserve">et </w:t>
      </w:r>
      <w:r w:rsidR="00A07475">
        <w:rPr>
          <w:lang w:val="en-GB"/>
        </w:rPr>
        <w:t>F</w:t>
      </w:r>
      <w:r w:rsidR="001A6103">
        <w:rPr>
          <w:lang w:val="en-GB"/>
        </w:rPr>
        <w:t>ires</w:t>
      </w:r>
      <w:r w:rsidR="006275A2" w:rsidRPr="00904E24">
        <w:rPr>
          <w:lang w:val="en-GB"/>
        </w:rPr>
        <w:t xml:space="preserve"> compared to </w:t>
      </w:r>
      <w:r w:rsidR="001A6103">
        <w:rPr>
          <w:lang w:val="en-GB"/>
        </w:rPr>
        <w:t>those calculated using non-specific models</w:t>
      </w:r>
      <w:r w:rsidR="00ED0DDE" w:rsidRPr="00904E24">
        <w:rPr>
          <w:lang w:val="en-GB"/>
        </w:rPr>
        <w:t>.</w:t>
      </w:r>
      <w:r w:rsidR="00FC387D" w:rsidRPr="00904E24">
        <w:rPr>
          <w:lang w:val="en-GB"/>
        </w:rPr>
        <w:t xml:space="preserve"> </w:t>
      </w:r>
      <w:r w:rsidR="009C26F3" w:rsidRPr="00904E24">
        <w:rPr>
          <w:lang w:val="en-GB"/>
        </w:rPr>
        <w:t>All these factor</w:t>
      </w:r>
      <w:r w:rsidR="00574AC6" w:rsidRPr="00904E24">
        <w:rPr>
          <w:lang w:val="en-GB"/>
        </w:rPr>
        <w:t>s</w:t>
      </w:r>
      <w:r w:rsidR="009C26F3" w:rsidRPr="00904E24">
        <w:rPr>
          <w:lang w:val="en-GB"/>
        </w:rPr>
        <w:t xml:space="preserve"> highlight the strong need </w:t>
      </w:r>
      <w:r w:rsidR="001A6103">
        <w:rPr>
          <w:lang w:val="en-GB"/>
        </w:rPr>
        <w:t>of</w:t>
      </w:r>
      <w:r w:rsidR="009C26F3" w:rsidRPr="00904E24">
        <w:rPr>
          <w:lang w:val="en-GB"/>
        </w:rPr>
        <w:t xml:space="preserve"> </w:t>
      </w:r>
      <w:r w:rsidR="001A6103">
        <w:rPr>
          <w:lang w:val="en-GB"/>
        </w:rPr>
        <w:t xml:space="preserve">specific data for </w:t>
      </w:r>
      <w:r w:rsidR="009C26F3" w:rsidRPr="00904E24">
        <w:rPr>
          <w:lang w:val="en-GB"/>
        </w:rPr>
        <w:t>release frequencies and ignition probabilities</w:t>
      </w:r>
      <w:r w:rsidR="001A6103">
        <w:rPr>
          <w:lang w:val="en-GB"/>
        </w:rPr>
        <w:t xml:space="preserve">, as well as of </w:t>
      </w:r>
      <w:r w:rsidR="00574AC6" w:rsidRPr="00904E24">
        <w:rPr>
          <w:lang w:val="en-GB"/>
        </w:rPr>
        <w:t>models specific for hydrogen</w:t>
      </w:r>
      <w:r w:rsidR="001A6103">
        <w:rPr>
          <w:lang w:val="en-GB"/>
        </w:rPr>
        <w:t>,</w:t>
      </w:r>
      <w:r w:rsidR="00574AC6" w:rsidRPr="00904E24">
        <w:rPr>
          <w:lang w:val="en-GB"/>
        </w:rPr>
        <w:t xml:space="preserve"> in order to</w:t>
      </w:r>
      <w:r w:rsidR="006C4049" w:rsidRPr="00904E24">
        <w:rPr>
          <w:lang w:val="en-GB"/>
        </w:rPr>
        <w:t xml:space="preserve"> provide</w:t>
      </w:r>
      <w:r w:rsidR="00574AC6" w:rsidRPr="00904E24">
        <w:rPr>
          <w:lang w:val="en-GB"/>
        </w:rPr>
        <w:t xml:space="preserve"> </w:t>
      </w:r>
      <w:r w:rsidR="00574AC6" w:rsidRPr="00904E24">
        <w:t xml:space="preserve">a more accurate assessment of the </w:t>
      </w:r>
      <w:r w:rsidR="001A6103">
        <w:t xml:space="preserve">related </w:t>
      </w:r>
      <w:r w:rsidR="007870A6" w:rsidRPr="00904E24">
        <w:t>risk</w:t>
      </w:r>
      <w:bookmarkStart w:id="0" w:name="_Hlk157547962"/>
      <w:r w:rsidR="006C4049" w:rsidRPr="00904E24">
        <w:t>.</w:t>
      </w:r>
      <w:r w:rsidR="000C2936" w:rsidRPr="00904E24">
        <w:t xml:space="preserve"> </w:t>
      </w:r>
      <w:r w:rsidR="00DA7478" w:rsidRPr="00904E24">
        <w:t xml:space="preserve">In particular, the </w:t>
      </w:r>
      <w:r w:rsidR="000C2936" w:rsidRPr="00904E24">
        <w:t>Explosion</w:t>
      </w:r>
      <w:r w:rsidR="00DA7478" w:rsidRPr="00904E24">
        <w:t xml:space="preserve"> </w:t>
      </w:r>
      <w:r w:rsidR="00B44620" w:rsidRPr="00904E24">
        <w:t>modelling</w:t>
      </w:r>
      <w:r w:rsidR="00DA7478" w:rsidRPr="00904E24">
        <w:t xml:space="preserve"> </w:t>
      </w:r>
      <w:r w:rsidR="00525562" w:rsidRPr="00904E24">
        <w:t xml:space="preserve">is </w:t>
      </w:r>
      <w:r w:rsidR="001A6103">
        <w:t>extremely</w:t>
      </w:r>
      <w:r w:rsidR="00E2129D" w:rsidRPr="00904E24">
        <w:t xml:space="preserve"> critical</w:t>
      </w:r>
      <w:r w:rsidR="00E71933" w:rsidRPr="00904E24">
        <w:t xml:space="preserve"> </w:t>
      </w:r>
      <w:r w:rsidR="00E2129D" w:rsidRPr="00904E24">
        <w:t xml:space="preserve">for hydrogen, </w:t>
      </w:r>
      <w:r w:rsidR="001B2D39" w:rsidRPr="00904E24">
        <w:t>due to its high reactivity</w:t>
      </w:r>
      <w:r w:rsidR="001A6103">
        <w:t>,</w:t>
      </w:r>
      <w:r w:rsidR="001B2D39" w:rsidRPr="00904E24">
        <w:t xml:space="preserve"> that could lead</w:t>
      </w:r>
      <w:r w:rsidR="004F77D7" w:rsidRPr="00904E24">
        <w:t xml:space="preserve"> </w:t>
      </w:r>
      <w:r w:rsidR="001A6103">
        <w:t xml:space="preserve">to </w:t>
      </w:r>
      <w:r w:rsidR="004F77D7" w:rsidRPr="00904E24">
        <w:t xml:space="preserve">severe deflagrations and even </w:t>
      </w:r>
      <w:r w:rsidR="001A6103">
        <w:t xml:space="preserve">to </w:t>
      </w:r>
      <w:r w:rsidR="004F77D7" w:rsidRPr="00904E24">
        <w:t>transition</w:t>
      </w:r>
      <w:r w:rsidR="001A6103">
        <w:t>s</w:t>
      </w:r>
      <w:r w:rsidR="004F77D7" w:rsidRPr="00904E24">
        <w:t xml:space="preserve"> </w:t>
      </w:r>
      <w:r w:rsidR="001B2D39" w:rsidRPr="00904E24">
        <w:t>from deflagration to detonation</w:t>
      </w:r>
      <w:r w:rsidR="00E515AE" w:rsidRPr="00904E24">
        <w:t>,</w:t>
      </w:r>
      <w:r w:rsidR="00B33A76" w:rsidRPr="00904E24">
        <w:t xml:space="preserve"> </w:t>
      </w:r>
      <w:r w:rsidR="00AF5DDF" w:rsidRPr="00904E24">
        <w:t>for which the poor accuracy of the models currently availabl</w:t>
      </w:r>
      <w:r w:rsidR="008F1EFB" w:rsidRPr="00904E24">
        <w:t>e</w:t>
      </w:r>
      <w:r w:rsidR="00CC58CD" w:rsidRPr="00904E24">
        <w:t xml:space="preserve"> still</w:t>
      </w:r>
      <w:r w:rsidR="0088192A" w:rsidRPr="00904E24">
        <w:t xml:space="preserve"> </w:t>
      </w:r>
      <w:r w:rsidR="00E515AE" w:rsidRPr="00904E24">
        <w:t xml:space="preserve">introduce </w:t>
      </w:r>
      <w:r w:rsidR="00F92281" w:rsidRPr="00904E24">
        <w:t>relevant uncertainties in the risk assessment.</w:t>
      </w:r>
    </w:p>
    <w:bookmarkEnd w:id="0"/>
    <w:p w14:paraId="428B022A" w14:textId="7E713374" w:rsidR="00E65B91" w:rsidRPr="00054A54" w:rsidRDefault="00600535" w:rsidP="00444808">
      <w:pPr>
        <w:pStyle w:val="CETReference"/>
        <w:rPr>
          <w:lang w:val="en-US"/>
        </w:rPr>
      </w:pPr>
      <w:r w:rsidRPr="00054A54">
        <w:rPr>
          <w:lang w:val="en-US"/>
        </w:rPr>
        <w:t>References</w:t>
      </w:r>
    </w:p>
    <w:p w14:paraId="3E4FC69E" w14:textId="14A4A1A5" w:rsidR="00CD433D" w:rsidRDefault="00CD433D" w:rsidP="00F701F2">
      <w:pPr>
        <w:pStyle w:val="CETReferencetext"/>
        <w:spacing w:line="240" w:lineRule="auto"/>
      </w:pPr>
      <w:r>
        <w:t>Energy Institute, 2019, Guidance on assigning ignition probabilities in onshore and offshore quantitative risk assessments, Energy Institute, London</w:t>
      </w:r>
    </w:p>
    <w:p w14:paraId="67F9BA66" w14:textId="074BEC1C" w:rsidR="00CD433D" w:rsidRDefault="00CD433D" w:rsidP="00F701F2">
      <w:pPr>
        <w:pStyle w:val="CETReferencetext"/>
        <w:spacing w:line="240" w:lineRule="auto"/>
      </w:pPr>
      <w:r>
        <w:t>Groth K. M., Hecht E. S., 2017, HyRAM: A methodology and toolkit for quantitative risk assessment of hydrogen systems, International Journey of Hydrogen Energy, 42, 7485-7493</w:t>
      </w:r>
    </w:p>
    <w:p w14:paraId="00DE9AA1" w14:textId="27D98B00" w:rsidR="00EF4D89" w:rsidRPr="00B93002" w:rsidRDefault="002247AD" w:rsidP="00F701F2">
      <w:pPr>
        <w:pStyle w:val="CETReferencetext"/>
        <w:spacing w:line="240" w:lineRule="auto"/>
      </w:pPr>
      <w:r w:rsidRPr="00B93002">
        <w:t xml:space="preserve">Hao L., Xuewen </w:t>
      </w:r>
      <w:r w:rsidR="008652BA" w:rsidRPr="00B93002">
        <w:t>C., Yang</w:t>
      </w:r>
      <w:r w:rsidRPr="00B93002">
        <w:t xml:space="preserve"> L.,Yanbo S.,</w:t>
      </w:r>
      <w:r w:rsidR="003C037D" w:rsidRPr="00B93002">
        <w:t xml:space="preserve"> Zilong N., Lin T., Weshan P.,Jiang B.</w:t>
      </w:r>
      <w:r w:rsidR="008C2CA0" w:rsidRPr="00B93002">
        <w:t>, 2022, Safety of hydrogen storage and transportation</w:t>
      </w:r>
      <w:r w:rsidR="00A5644A" w:rsidRPr="00B93002">
        <w:t>: An overview on mechanism, techniques and challenges, Energy Reports</w:t>
      </w:r>
      <w:r w:rsidR="008A5A28" w:rsidRPr="00B93002">
        <w:t xml:space="preserve">, 8, </w:t>
      </w:r>
      <w:r w:rsidR="00F219C1" w:rsidRPr="00B93002">
        <w:t>6258-6269</w:t>
      </w:r>
    </w:p>
    <w:p w14:paraId="08EC5CCE" w14:textId="704F3B30" w:rsidR="00600535" w:rsidRDefault="006B13EA" w:rsidP="00F701F2">
      <w:pPr>
        <w:pStyle w:val="CETReferencetext"/>
        <w:spacing w:line="240" w:lineRule="auto"/>
      </w:pPr>
      <w:r w:rsidRPr="00B93002">
        <w:t>HySafe</w:t>
      </w:r>
      <w:r w:rsidR="00005A70" w:rsidRPr="00B93002">
        <w:t>, 2022</w:t>
      </w:r>
      <w:r w:rsidR="006E1E70" w:rsidRPr="00B93002">
        <w:t xml:space="preserve">, </w:t>
      </w:r>
      <w:r w:rsidR="00A73AF7" w:rsidRPr="00B93002">
        <w:t>Engineering Design, Risk Assessment, and codes and S</w:t>
      </w:r>
      <w:r w:rsidR="00D150CE" w:rsidRPr="00B93002">
        <w:t>tandards: Hydrogen Safety for Energy Applications</w:t>
      </w:r>
      <w:r w:rsidR="00830996" w:rsidRPr="00B93002">
        <w:t>.</w:t>
      </w:r>
    </w:p>
    <w:p w14:paraId="32DFFBE3" w14:textId="77650C1E" w:rsidR="009A578B" w:rsidRDefault="00695845" w:rsidP="00F701F2">
      <w:pPr>
        <w:pStyle w:val="CETReferencetext"/>
        <w:spacing w:line="240" w:lineRule="auto"/>
      </w:pPr>
      <w:r>
        <w:t>IOGP, 2019, Report 434-01 Process Release Frequencies,</w:t>
      </w:r>
      <w:r w:rsidR="00A827A5">
        <w:t xml:space="preserve"> International Association of Oil &amp; Gas Producers,</w:t>
      </w:r>
      <w:r w:rsidR="00DC6815">
        <w:t xml:space="preserve"> London</w:t>
      </w:r>
    </w:p>
    <w:p w14:paraId="05E1EC97" w14:textId="46973BED" w:rsidR="00280ECD" w:rsidRPr="00B93002" w:rsidRDefault="00280ECD" w:rsidP="00F701F2">
      <w:pPr>
        <w:pStyle w:val="CETReferencetext"/>
        <w:spacing w:line="240" w:lineRule="auto"/>
      </w:pPr>
      <w:r>
        <w:t>JRC, 2017, HIAD 2.0 The Hydrogen Incident and Accidents Database, Joint Research Centre of the European Commission</w:t>
      </w:r>
    </w:p>
    <w:p w14:paraId="6EB0EFEC" w14:textId="206C2673" w:rsidR="00600535" w:rsidRPr="00B93002" w:rsidRDefault="00196EC6" w:rsidP="00F701F2">
      <w:pPr>
        <w:pStyle w:val="CETReferencetext"/>
        <w:spacing w:line="240" w:lineRule="auto"/>
      </w:pPr>
      <w:r w:rsidRPr="00B93002">
        <w:t>Louthan M.</w:t>
      </w:r>
      <w:r w:rsidR="00C30D69" w:rsidRPr="00B93002">
        <w:t>R., 2008,</w:t>
      </w:r>
      <w:r w:rsidR="00A612B1" w:rsidRPr="00B93002">
        <w:t xml:space="preserve"> Hydrogen Embrittlement of Metals: A primer for the</w:t>
      </w:r>
      <w:r w:rsidR="00C80AD4" w:rsidRPr="00B93002">
        <w:t xml:space="preserve"> failure Analyst, </w:t>
      </w:r>
      <w:r w:rsidR="001D1AAB" w:rsidRPr="00B93002">
        <w:t>Journal of Failure Analysis and Prevention</w:t>
      </w:r>
      <w:r w:rsidR="00D90757" w:rsidRPr="00B93002">
        <w:t xml:space="preserve">, 8, </w:t>
      </w:r>
      <w:r w:rsidR="0017391E" w:rsidRPr="00B93002">
        <w:t>289-307</w:t>
      </w:r>
    </w:p>
    <w:p w14:paraId="290A4BF9" w14:textId="7DABB2CF" w:rsidR="00600535" w:rsidRPr="00B93002" w:rsidRDefault="009F7B4C" w:rsidP="00F701F2">
      <w:pPr>
        <w:pStyle w:val="CETReferencetext"/>
        <w:spacing w:line="240" w:lineRule="auto"/>
      </w:pPr>
      <w:r w:rsidRPr="00B93002">
        <w:t>Laureys A., De</w:t>
      </w:r>
      <w:r w:rsidR="005E4D33" w:rsidRPr="00B93002">
        <w:t>praetere R., Cauwels M., Depover T., Hertelé S.,</w:t>
      </w:r>
      <w:r w:rsidR="00FC4F33" w:rsidRPr="00B93002">
        <w:t xml:space="preserve"> Verbeken K., 2022, Use of existing </w:t>
      </w:r>
      <w:r w:rsidR="005F6C51" w:rsidRPr="00B93002">
        <w:t>steel pipeline infrastructure for gaseous hydrogen storage and transport: A review of factors affecting induced degradation</w:t>
      </w:r>
      <w:r w:rsidR="00C977D3" w:rsidRPr="00B93002">
        <w:t>, Journal of Natural Gas Science and Engineering</w:t>
      </w:r>
      <w:r w:rsidR="00EA520E" w:rsidRPr="00B93002">
        <w:t xml:space="preserve">, 101, </w:t>
      </w:r>
      <w:r w:rsidR="008652BA" w:rsidRPr="00B93002">
        <w:t>104534</w:t>
      </w:r>
    </w:p>
    <w:p w14:paraId="0B116AF3" w14:textId="01C01719" w:rsidR="00600535" w:rsidRDefault="00D20B84" w:rsidP="00F701F2">
      <w:pPr>
        <w:pStyle w:val="CETReferencetext"/>
        <w:spacing w:line="240" w:lineRule="auto"/>
      </w:pPr>
      <w:r w:rsidRPr="00B93002">
        <w:t>Mélani</w:t>
      </w:r>
      <w:r w:rsidR="00620E11" w:rsidRPr="00B93002">
        <w:t xml:space="preserve"> L., Sochet I., Rocourt X., Jallais S.</w:t>
      </w:r>
      <w:r w:rsidR="0010080B" w:rsidRPr="00B93002">
        <w:t>, 20</w:t>
      </w:r>
      <w:r w:rsidR="0033100D" w:rsidRPr="00B93002">
        <w:t>08</w:t>
      </w:r>
      <w:r w:rsidR="0010080B" w:rsidRPr="00B93002">
        <w:t>,</w:t>
      </w:r>
      <w:r w:rsidR="00050B44" w:rsidRPr="00B93002">
        <w:t xml:space="preserve"> Review of methods for estimating the overpressure and impulse resulting from hydrogen explosion in a confined/obstructed </w:t>
      </w:r>
      <w:r w:rsidR="00B50AD9" w:rsidRPr="00B93002">
        <w:t>region.</w:t>
      </w:r>
    </w:p>
    <w:p w14:paraId="16C78D13" w14:textId="69DDDD2C" w:rsidR="00BD3CB7" w:rsidRPr="00A50C60" w:rsidRDefault="00BD3CB7" w:rsidP="00F701F2">
      <w:pPr>
        <w:pStyle w:val="CETReferencetext"/>
        <w:spacing w:line="240" w:lineRule="auto"/>
        <w:rPr>
          <w:lang w:val="en-US"/>
        </w:rPr>
      </w:pPr>
      <w:r w:rsidRPr="00A50C60">
        <w:rPr>
          <w:lang w:val="en-US"/>
        </w:rPr>
        <w:t>Milazzo M. F.,</w:t>
      </w:r>
      <w:r w:rsidR="00AD0462" w:rsidRPr="00A50C60">
        <w:rPr>
          <w:lang w:val="en-US"/>
        </w:rPr>
        <w:t xml:space="preserve"> Uguccioni G., Malatesta G., Miglionico R., Tallone F.,</w:t>
      </w:r>
      <w:r w:rsidR="00A50C60" w:rsidRPr="00A50C60">
        <w:rPr>
          <w:lang w:val="en-US"/>
        </w:rPr>
        <w:t xml:space="preserve"> 2021, Assessment of the effect of techni</w:t>
      </w:r>
      <w:r w:rsidR="00FF6D3C">
        <w:rPr>
          <w:lang w:val="en-US"/>
        </w:rPr>
        <w:t>cal and management characteristics on the frequency of release fro</w:t>
      </w:r>
      <w:r w:rsidR="00957D80">
        <w:rPr>
          <w:lang w:val="en-US"/>
        </w:rPr>
        <w:t>m</w:t>
      </w:r>
      <w:r w:rsidR="00FF6D3C">
        <w:rPr>
          <w:lang w:val="en-US"/>
        </w:rPr>
        <w:t xml:space="preserve"> piping: An application </w:t>
      </w:r>
      <w:r w:rsidR="00D136D0">
        <w:rPr>
          <w:lang w:val="en-US"/>
        </w:rPr>
        <w:t>to a gas storage facility, Journal of Loss Prevention in the Process Industries</w:t>
      </w:r>
      <w:r w:rsidR="0071297F">
        <w:rPr>
          <w:lang w:val="en-US"/>
        </w:rPr>
        <w:t xml:space="preserve">, </w:t>
      </w:r>
      <w:r w:rsidR="00240FED">
        <w:rPr>
          <w:lang w:val="en-US"/>
        </w:rPr>
        <w:t>71</w:t>
      </w:r>
      <w:r w:rsidR="0076159B">
        <w:rPr>
          <w:lang w:val="en-US"/>
        </w:rPr>
        <w:t>, 104446</w:t>
      </w:r>
    </w:p>
    <w:p w14:paraId="2F253027" w14:textId="64B40425" w:rsidR="00A934E7" w:rsidRPr="00B93002" w:rsidRDefault="00A934E7" w:rsidP="00F701F2">
      <w:pPr>
        <w:pStyle w:val="CETReferencetext"/>
        <w:spacing w:line="240" w:lineRule="auto"/>
      </w:pPr>
      <w:r>
        <w:t>Miller D.</w:t>
      </w:r>
      <w:r w:rsidR="00733685">
        <w:t>, 2017, New model</w:t>
      </w:r>
      <w:r w:rsidR="00F60356">
        <w:t xml:space="preserve"> for predicting thermal radiation from flares and </w:t>
      </w:r>
      <w:r w:rsidR="003E05BE">
        <w:t>high-pressure</w:t>
      </w:r>
      <w:r w:rsidR="00F60356">
        <w:t xml:space="preserve"> jet fires for</w:t>
      </w:r>
      <w:r w:rsidR="00683357">
        <w:t xml:space="preserve"> hydrogen and syngas, </w:t>
      </w:r>
      <w:r w:rsidR="005D4A9D">
        <w:t>AIChE</w:t>
      </w:r>
    </w:p>
    <w:p w14:paraId="464DF843" w14:textId="1AA35137" w:rsidR="00B71493" w:rsidRDefault="003E05BE" w:rsidP="005D4A9D">
      <w:pPr>
        <w:pStyle w:val="CETReferencetext"/>
        <w:spacing w:line="240" w:lineRule="auto"/>
      </w:pPr>
      <w:r>
        <w:t>Ree S., Kang T., 2014, Prediction of gas explosion overpressure interacting with structures for blast-resistant design, World Congress on Advances in Civil, Environmental and Materials Rese</w:t>
      </w:r>
    </w:p>
    <w:p w14:paraId="690CEAE5" w14:textId="77777777" w:rsidR="001D24D1" w:rsidRDefault="001D24D1" w:rsidP="005D4A9D">
      <w:pPr>
        <w:pStyle w:val="CETReferencetext"/>
        <w:spacing w:line="240" w:lineRule="auto"/>
      </w:pPr>
    </w:p>
    <w:p w14:paraId="19FEC976" w14:textId="77777777" w:rsidR="001D24D1" w:rsidRDefault="001D24D1" w:rsidP="005D4A9D">
      <w:pPr>
        <w:pStyle w:val="CETReferencetext"/>
        <w:spacing w:line="240" w:lineRule="auto"/>
      </w:pPr>
    </w:p>
    <w:p w14:paraId="76229E78" w14:textId="6E2F7723" w:rsidR="001D24D1" w:rsidRPr="00B71493" w:rsidRDefault="001D24D1" w:rsidP="005D4A9D">
      <w:pPr>
        <w:pStyle w:val="CETReferencetext"/>
        <w:spacing w:line="240" w:lineRule="auto"/>
      </w:pPr>
    </w:p>
    <w:sectPr w:rsidR="001D24D1" w:rsidRPr="00B71493" w:rsidSect="00AC4D8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0623" w14:textId="77777777" w:rsidR="00AC4D84" w:rsidRDefault="00AC4D84" w:rsidP="004F5E36">
      <w:r>
        <w:separator/>
      </w:r>
    </w:p>
  </w:endnote>
  <w:endnote w:type="continuationSeparator" w:id="0">
    <w:p w14:paraId="5493D803" w14:textId="77777777" w:rsidR="00AC4D84" w:rsidRDefault="00AC4D84" w:rsidP="004F5E36">
      <w:r>
        <w:continuationSeparator/>
      </w:r>
    </w:p>
  </w:endnote>
  <w:endnote w:type="continuationNotice" w:id="1">
    <w:p w14:paraId="21A84FCE" w14:textId="77777777" w:rsidR="00AC4D84" w:rsidRDefault="00AC4D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41BE" w14:textId="77777777" w:rsidR="00AC4D84" w:rsidRDefault="00AC4D84" w:rsidP="004F5E36">
      <w:r>
        <w:separator/>
      </w:r>
    </w:p>
  </w:footnote>
  <w:footnote w:type="continuationSeparator" w:id="0">
    <w:p w14:paraId="48AF4DFD" w14:textId="77777777" w:rsidR="00AC4D84" w:rsidRDefault="00AC4D84" w:rsidP="004F5E36">
      <w:r>
        <w:continuationSeparator/>
      </w:r>
    </w:p>
  </w:footnote>
  <w:footnote w:type="continuationNotice" w:id="1">
    <w:p w14:paraId="78676822" w14:textId="77777777" w:rsidR="00AC4D84" w:rsidRDefault="00AC4D8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142D3"/>
    <w:multiLevelType w:val="hybridMultilevel"/>
    <w:tmpl w:val="C9B009B6"/>
    <w:lvl w:ilvl="0" w:tplc="E062A2B0">
      <w:start w:val="1"/>
      <w:numFmt w:val="decimal"/>
      <w:lvlText w:val="%1."/>
      <w:lvlJc w:val="left"/>
      <w:pPr>
        <w:ind w:left="1020" w:hanging="360"/>
      </w:pPr>
    </w:lvl>
    <w:lvl w:ilvl="1" w:tplc="B52496AA">
      <w:start w:val="1"/>
      <w:numFmt w:val="decimal"/>
      <w:lvlText w:val="%2."/>
      <w:lvlJc w:val="left"/>
      <w:pPr>
        <w:ind w:left="1020" w:hanging="360"/>
      </w:pPr>
    </w:lvl>
    <w:lvl w:ilvl="2" w:tplc="707E0FD4">
      <w:start w:val="1"/>
      <w:numFmt w:val="decimal"/>
      <w:lvlText w:val="%3."/>
      <w:lvlJc w:val="left"/>
      <w:pPr>
        <w:ind w:left="1020" w:hanging="360"/>
      </w:pPr>
    </w:lvl>
    <w:lvl w:ilvl="3" w:tplc="A620B44C">
      <w:start w:val="1"/>
      <w:numFmt w:val="decimal"/>
      <w:lvlText w:val="%4."/>
      <w:lvlJc w:val="left"/>
      <w:pPr>
        <w:ind w:left="1020" w:hanging="360"/>
      </w:pPr>
    </w:lvl>
    <w:lvl w:ilvl="4" w:tplc="5900D3B6">
      <w:start w:val="1"/>
      <w:numFmt w:val="decimal"/>
      <w:lvlText w:val="%5."/>
      <w:lvlJc w:val="left"/>
      <w:pPr>
        <w:ind w:left="1020" w:hanging="360"/>
      </w:pPr>
    </w:lvl>
    <w:lvl w:ilvl="5" w:tplc="6DF27EE6">
      <w:start w:val="1"/>
      <w:numFmt w:val="decimal"/>
      <w:lvlText w:val="%6."/>
      <w:lvlJc w:val="left"/>
      <w:pPr>
        <w:ind w:left="1020" w:hanging="360"/>
      </w:pPr>
    </w:lvl>
    <w:lvl w:ilvl="6" w:tplc="C37E48D4">
      <w:start w:val="1"/>
      <w:numFmt w:val="decimal"/>
      <w:lvlText w:val="%7."/>
      <w:lvlJc w:val="left"/>
      <w:pPr>
        <w:ind w:left="1020" w:hanging="360"/>
      </w:pPr>
    </w:lvl>
    <w:lvl w:ilvl="7" w:tplc="4146AC8A">
      <w:start w:val="1"/>
      <w:numFmt w:val="decimal"/>
      <w:lvlText w:val="%8."/>
      <w:lvlJc w:val="left"/>
      <w:pPr>
        <w:ind w:left="1020" w:hanging="360"/>
      </w:pPr>
    </w:lvl>
    <w:lvl w:ilvl="8" w:tplc="9604BF2C">
      <w:start w:val="1"/>
      <w:numFmt w:val="decimal"/>
      <w:lvlText w:val="%9."/>
      <w:lvlJc w:val="left"/>
      <w:pPr>
        <w:ind w:left="1020" w:hanging="36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9904160">
    <w:abstractNumId w:val="11"/>
  </w:num>
  <w:num w:numId="2" w16cid:durableId="1091585236">
    <w:abstractNumId w:val="8"/>
  </w:num>
  <w:num w:numId="3" w16cid:durableId="313144775">
    <w:abstractNumId w:val="3"/>
  </w:num>
  <w:num w:numId="4" w16cid:durableId="2135636292">
    <w:abstractNumId w:val="2"/>
  </w:num>
  <w:num w:numId="5" w16cid:durableId="856426638">
    <w:abstractNumId w:val="1"/>
  </w:num>
  <w:num w:numId="6" w16cid:durableId="1648706031">
    <w:abstractNumId w:val="0"/>
  </w:num>
  <w:num w:numId="7" w16cid:durableId="721634137">
    <w:abstractNumId w:val="9"/>
  </w:num>
  <w:num w:numId="8" w16cid:durableId="1758794237">
    <w:abstractNumId w:val="7"/>
  </w:num>
  <w:num w:numId="9" w16cid:durableId="1270353194">
    <w:abstractNumId w:val="6"/>
  </w:num>
  <w:num w:numId="10" w16cid:durableId="1973095269">
    <w:abstractNumId w:val="5"/>
  </w:num>
  <w:num w:numId="11" w16cid:durableId="1907497833">
    <w:abstractNumId w:val="4"/>
  </w:num>
  <w:num w:numId="12" w16cid:durableId="736899448">
    <w:abstractNumId w:val="18"/>
  </w:num>
  <w:num w:numId="13" w16cid:durableId="806162557">
    <w:abstractNumId w:val="13"/>
  </w:num>
  <w:num w:numId="14" w16cid:durableId="1634676551">
    <w:abstractNumId w:val="19"/>
  </w:num>
  <w:num w:numId="15" w16cid:durableId="649796601">
    <w:abstractNumId w:val="21"/>
  </w:num>
  <w:num w:numId="16" w16cid:durableId="1498500263">
    <w:abstractNumId w:val="20"/>
  </w:num>
  <w:num w:numId="17" w16cid:durableId="494149781">
    <w:abstractNumId w:val="12"/>
  </w:num>
  <w:num w:numId="18" w16cid:durableId="1927881735">
    <w:abstractNumId w:val="13"/>
    <w:lvlOverride w:ilvl="0">
      <w:startOverride w:val="1"/>
    </w:lvlOverride>
  </w:num>
  <w:num w:numId="19" w16cid:durableId="6371145">
    <w:abstractNumId w:val="17"/>
  </w:num>
  <w:num w:numId="20" w16cid:durableId="1692144441">
    <w:abstractNumId w:val="16"/>
  </w:num>
  <w:num w:numId="21" w16cid:durableId="366220284">
    <w:abstractNumId w:val="15"/>
  </w:num>
  <w:num w:numId="22" w16cid:durableId="156657579">
    <w:abstractNumId w:val="14"/>
  </w:num>
  <w:num w:numId="23" w16cid:durableId="1414663312">
    <w:abstractNumId w:val="11"/>
  </w:num>
  <w:num w:numId="24" w16cid:durableId="1264729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F2"/>
    <w:rsid w:val="0000059D"/>
    <w:rsid w:val="00001732"/>
    <w:rsid w:val="000018BA"/>
    <w:rsid w:val="00001D3B"/>
    <w:rsid w:val="000024B4"/>
    <w:rsid w:val="000027C0"/>
    <w:rsid w:val="00002CB8"/>
    <w:rsid w:val="0000329A"/>
    <w:rsid w:val="00003AE9"/>
    <w:rsid w:val="000052FB"/>
    <w:rsid w:val="0000533A"/>
    <w:rsid w:val="00005A70"/>
    <w:rsid w:val="00006923"/>
    <w:rsid w:val="000117CB"/>
    <w:rsid w:val="0001241A"/>
    <w:rsid w:val="0001284E"/>
    <w:rsid w:val="00013861"/>
    <w:rsid w:val="00015467"/>
    <w:rsid w:val="00017137"/>
    <w:rsid w:val="00017B6E"/>
    <w:rsid w:val="00020491"/>
    <w:rsid w:val="0002069B"/>
    <w:rsid w:val="00020868"/>
    <w:rsid w:val="000213EF"/>
    <w:rsid w:val="00021994"/>
    <w:rsid w:val="00021CE2"/>
    <w:rsid w:val="00023A59"/>
    <w:rsid w:val="000253E4"/>
    <w:rsid w:val="00025FAE"/>
    <w:rsid w:val="000265EA"/>
    <w:rsid w:val="00027194"/>
    <w:rsid w:val="0002740F"/>
    <w:rsid w:val="0003148D"/>
    <w:rsid w:val="00031EEC"/>
    <w:rsid w:val="00032C74"/>
    <w:rsid w:val="000339FA"/>
    <w:rsid w:val="00037537"/>
    <w:rsid w:val="00037912"/>
    <w:rsid w:val="000407A3"/>
    <w:rsid w:val="00041D19"/>
    <w:rsid w:val="00042506"/>
    <w:rsid w:val="00044A38"/>
    <w:rsid w:val="00045212"/>
    <w:rsid w:val="000455AC"/>
    <w:rsid w:val="00045CFA"/>
    <w:rsid w:val="00046BF0"/>
    <w:rsid w:val="0005001C"/>
    <w:rsid w:val="0005035D"/>
    <w:rsid w:val="00050B44"/>
    <w:rsid w:val="00051566"/>
    <w:rsid w:val="00051B39"/>
    <w:rsid w:val="000530D3"/>
    <w:rsid w:val="0005388C"/>
    <w:rsid w:val="00053A11"/>
    <w:rsid w:val="00053FED"/>
    <w:rsid w:val="000545AE"/>
    <w:rsid w:val="00054A54"/>
    <w:rsid w:val="00054A69"/>
    <w:rsid w:val="00056707"/>
    <w:rsid w:val="00061476"/>
    <w:rsid w:val="000624FA"/>
    <w:rsid w:val="00062A9A"/>
    <w:rsid w:val="00063825"/>
    <w:rsid w:val="00063CC0"/>
    <w:rsid w:val="00064DE4"/>
    <w:rsid w:val="00065058"/>
    <w:rsid w:val="00067654"/>
    <w:rsid w:val="00070064"/>
    <w:rsid w:val="00071972"/>
    <w:rsid w:val="00071F6A"/>
    <w:rsid w:val="00072A08"/>
    <w:rsid w:val="00072D50"/>
    <w:rsid w:val="000748C3"/>
    <w:rsid w:val="00075133"/>
    <w:rsid w:val="000752A3"/>
    <w:rsid w:val="00076953"/>
    <w:rsid w:val="00076F68"/>
    <w:rsid w:val="00077676"/>
    <w:rsid w:val="00077FE6"/>
    <w:rsid w:val="00080A9E"/>
    <w:rsid w:val="00083C09"/>
    <w:rsid w:val="0008481D"/>
    <w:rsid w:val="00084F40"/>
    <w:rsid w:val="000854CF"/>
    <w:rsid w:val="00085540"/>
    <w:rsid w:val="00086791"/>
    <w:rsid w:val="00086C39"/>
    <w:rsid w:val="0008749E"/>
    <w:rsid w:val="00087EB5"/>
    <w:rsid w:val="00090580"/>
    <w:rsid w:val="000905BC"/>
    <w:rsid w:val="00091203"/>
    <w:rsid w:val="00093424"/>
    <w:rsid w:val="000944F2"/>
    <w:rsid w:val="00097EF4"/>
    <w:rsid w:val="000A03B2"/>
    <w:rsid w:val="000A1245"/>
    <w:rsid w:val="000A211D"/>
    <w:rsid w:val="000A221F"/>
    <w:rsid w:val="000A3A16"/>
    <w:rsid w:val="000A3A6F"/>
    <w:rsid w:val="000A40F1"/>
    <w:rsid w:val="000A5C75"/>
    <w:rsid w:val="000A7D18"/>
    <w:rsid w:val="000B0097"/>
    <w:rsid w:val="000B026B"/>
    <w:rsid w:val="000B0B32"/>
    <w:rsid w:val="000B133C"/>
    <w:rsid w:val="000B181C"/>
    <w:rsid w:val="000B1C0F"/>
    <w:rsid w:val="000B23EA"/>
    <w:rsid w:val="000B34CC"/>
    <w:rsid w:val="000B377E"/>
    <w:rsid w:val="000B542A"/>
    <w:rsid w:val="000B55D4"/>
    <w:rsid w:val="000B5E0D"/>
    <w:rsid w:val="000B5F83"/>
    <w:rsid w:val="000C0061"/>
    <w:rsid w:val="000C0DBD"/>
    <w:rsid w:val="000C168B"/>
    <w:rsid w:val="000C2936"/>
    <w:rsid w:val="000C6795"/>
    <w:rsid w:val="000C7B8A"/>
    <w:rsid w:val="000D0268"/>
    <w:rsid w:val="000D0469"/>
    <w:rsid w:val="000D04A0"/>
    <w:rsid w:val="000D10D5"/>
    <w:rsid w:val="000D1629"/>
    <w:rsid w:val="000D3137"/>
    <w:rsid w:val="000D34BE"/>
    <w:rsid w:val="000D366F"/>
    <w:rsid w:val="000D3D06"/>
    <w:rsid w:val="000D5334"/>
    <w:rsid w:val="000E0CA5"/>
    <w:rsid w:val="000E102F"/>
    <w:rsid w:val="000E33B9"/>
    <w:rsid w:val="000E36F1"/>
    <w:rsid w:val="000E384D"/>
    <w:rsid w:val="000E3A51"/>
    <w:rsid w:val="000E3A73"/>
    <w:rsid w:val="000E414A"/>
    <w:rsid w:val="000E5186"/>
    <w:rsid w:val="000E5894"/>
    <w:rsid w:val="000E623B"/>
    <w:rsid w:val="000E68B9"/>
    <w:rsid w:val="000E71C1"/>
    <w:rsid w:val="000E7DB9"/>
    <w:rsid w:val="000F0159"/>
    <w:rsid w:val="000F093C"/>
    <w:rsid w:val="000F0F6E"/>
    <w:rsid w:val="000F182E"/>
    <w:rsid w:val="000F2555"/>
    <w:rsid w:val="000F2E8C"/>
    <w:rsid w:val="000F4AFF"/>
    <w:rsid w:val="000F62D7"/>
    <w:rsid w:val="000F787B"/>
    <w:rsid w:val="000F7BFB"/>
    <w:rsid w:val="000F7F1A"/>
    <w:rsid w:val="0010080B"/>
    <w:rsid w:val="00100A67"/>
    <w:rsid w:val="00100BB4"/>
    <w:rsid w:val="001014FF"/>
    <w:rsid w:val="00101A30"/>
    <w:rsid w:val="001029C9"/>
    <w:rsid w:val="00103AB5"/>
    <w:rsid w:val="00103B24"/>
    <w:rsid w:val="001048F7"/>
    <w:rsid w:val="00104E07"/>
    <w:rsid w:val="00106B28"/>
    <w:rsid w:val="001072B6"/>
    <w:rsid w:val="0011044F"/>
    <w:rsid w:val="00112203"/>
    <w:rsid w:val="001127F0"/>
    <w:rsid w:val="001147FD"/>
    <w:rsid w:val="00114BB7"/>
    <w:rsid w:val="0012038F"/>
    <w:rsid w:val="0012091F"/>
    <w:rsid w:val="00120A7D"/>
    <w:rsid w:val="00121802"/>
    <w:rsid w:val="00121EFF"/>
    <w:rsid w:val="001223C7"/>
    <w:rsid w:val="00122DC9"/>
    <w:rsid w:val="00123C82"/>
    <w:rsid w:val="00123F5E"/>
    <w:rsid w:val="001242AE"/>
    <w:rsid w:val="00125231"/>
    <w:rsid w:val="00125E37"/>
    <w:rsid w:val="00125FA6"/>
    <w:rsid w:val="00126BC2"/>
    <w:rsid w:val="001275C5"/>
    <w:rsid w:val="001308B6"/>
    <w:rsid w:val="00130BEE"/>
    <w:rsid w:val="0013121F"/>
    <w:rsid w:val="001318D9"/>
    <w:rsid w:val="00131FE6"/>
    <w:rsid w:val="0013263F"/>
    <w:rsid w:val="001330C1"/>
    <w:rsid w:val="001331DF"/>
    <w:rsid w:val="00133D22"/>
    <w:rsid w:val="00133F39"/>
    <w:rsid w:val="001341D8"/>
    <w:rsid w:val="00134DE4"/>
    <w:rsid w:val="0013602B"/>
    <w:rsid w:val="001363FB"/>
    <w:rsid w:val="00136DDA"/>
    <w:rsid w:val="00136E07"/>
    <w:rsid w:val="00137833"/>
    <w:rsid w:val="0014034D"/>
    <w:rsid w:val="00140605"/>
    <w:rsid w:val="0014204F"/>
    <w:rsid w:val="00142953"/>
    <w:rsid w:val="00143048"/>
    <w:rsid w:val="001444C2"/>
    <w:rsid w:val="0014470D"/>
    <w:rsid w:val="00144D16"/>
    <w:rsid w:val="00147553"/>
    <w:rsid w:val="00147B95"/>
    <w:rsid w:val="00147EAE"/>
    <w:rsid w:val="001501BB"/>
    <w:rsid w:val="00150E59"/>
    <w:rsid w:val="00151D56"/>
    <w:rsid w:val="001522AF"/>
    <w:rsid w:val="001529A9"/>
    <w:rsid w:val="00152DE3"/>
    <w:rsid w:val="00152DF7"/>
    <w:rsid w:val="0015346A"/>
    <w:rsid w:val="00154232"/>
    <w:rsid w:val="0015458C"/>
    <w:rsid w:val="001548B7"/>
    <w:rsid w:val="0015520C"/>
    <w:rsid w:val="001552DB"/>
    <w:rsid w:val="00156152"/>
    <w:rsid w:val="00160E84"/>
    <w:rsid w:val="00162935"/>
    <w:rsid w:val="001645D7"/>
    <w:rsid w:val="00164612"/>
    <w:rsid w:val="00164CF9"/>
    <w:rsid w:val="00165300"/>
    <w:rsid w:val="001658D6"/>
    <w:rsid w:val="0016665B"/>
    <w:rsid w:val="001667A6"/>
    <w:rsid w:val="00166E86"/>
    <w:rsid w:val="00167875"/>
    <w:rsid w:val="00167BC2"/>
    <w:rsid w:val="0017280E"/>
    <w:rsid w:val="00172973"/>
    <w:rsid w:val="0017391E"/>
    <w:rsid w:val="001769A0"/>
    <w:rsid w:val="001775D1"/>
    <w:rsid w:val="00180BE8"/>
    <w:rsid w:val="00181214"/>
    <w:rsid w:val="00182E03"/>
    <w:rsid w:val="00182FC4"/>
    <w:rsid w:val="001834D1"/>
    <w:rsid w:val="001835AD"/>
    <w:rsid w:val="0018367C"/>
    <w:rsid w:val="001839B7"/>
    <w:rsid w:val="00183E6A"/>
    <w:rsid w:val="0018400A"/>
    <w:rsid w:val="00184AD6"/>
    <w:rsid w:val="00185C2F"/>
    <w:rsid w:val="001866F5"/>
    <w:rsid w:val="00191079"/>
    <w:rsid w:val="001920BD"/>
    <w:rsid w:val="0019260C"/>
    <w:rsid w:val="001931EC"/>
    <w:rsid w:val="00193384"/>
    <w:rsid w:val="00195635"/>
    <w:rsid w:val="00196814"/>
    <w:rsid w:val="00196DC2"/>
    <w:rsid w:val="00196EC6"/>
    <w:rsid w:val="001979A0"/>
    <w:rsid w:val="00197CA9"/>
    <w:rsid w:val="001A16FD"/>
    <w:rsid w:val="001A2ED5"/>
    <w:rsid w:val="001A38B9"/>
    <w:rsid w:val="001A3FB6"/>
    <w:rsid w:val="001A4AF7"/>
    <w:rsid w:val="001A4E60"/>
    <w:rsid w:val="001A5130"/>
    <w:rsid w:val="001A6103"/>
    <w:rsid w:val="001A6D0E"/>
    <w:rsid w:val="001A78CE"/>
    <w:rsid w:val="001B0349"/>
    <w:rsid w:val="001B1E88"/>
    <w:rsid w:val="001B1E93"/>
    <w:rsid w:val="001B2707"/>
    <w:rsid w:val="001B2D39"/>
    <w:rsid w:val="001B44B3"/>
    <w:rsid w:val="001B62BE"/>
    <w:rsid w:val="001B65C1"/>
    <w:rsid w:val="001C0548"/>
    <w:rsid w:val="001C0935"/>
    <w:rsid w:val="001C23D7"/>
    <w:rsid w:val="001C2D94"/>
    <w:rsid w:val="001C40F0"/>
    <w:rsid w:val="001C684B"/>
    <w:rsid w:val="001C6B90"/>
    <w:rsid w:val="001C713D"/>
    <w:rsid w:val="001D02C0"/>
    <w:rsid w:val="001D0CFB"/>
    <w:rsid w:val="001D0DF0"/>
    <w:rsid w:val="001D1AAB"/>
    <w:rsid w:val="001D24D1"/>
    <w:rsid w:val="001D2B28"/>
    <w:rsid w:val="001D45B0"/>
    <w:rsid w:val="001D53FC"/>
    <w:rsid w:val="001D6990"/>
    <w:rsid w:val="001D6F0C"/>
    <w:rsid w:val="001E0650"/>
    <w:rsid w:val="001E1F5D"/>
    <w:rsid w:val="001E4093"/>
    <w:rsid w:val="001E54BB"/>
    <w:rsid w:val="001E7E07"/>
    <w:rsid w:val="001F0A27"/>
    <w:rsid w:val="001F361B"/>
    <w:rsid w:val="001F42A5"/>
    <w:rsid w:val="001F4358"/>
    <w:rsid w:val="001F4922"/>
    <w:rsid w:val="001F7B9D"/>
    <w:rsid w:val="002000BB"/>
    <w:rsid w:val="00200DDC"/>
    <w:rsid w:val="00201A70"/>
    <w:rsid w:val="00201C93"/>
    <w:rsid w:val="00202762"/>
    <w:rsid w:val="00202DB0"/>
    <w:rsid w:val="00203E7C"/>
    <w:rsid w:val="00204619"/>
    <w:rsid w:val="002049F7"/>
    <w:rsid w:val="00206742"/>
    <w:rsid w:val="00207380"/>
    <w:rsid w:val="00207546"/>
    <w:rsid w:val="00210931"/>
    <w:rsid w:val="00213A20"/>
    <w:rsid w:val="00215F80"/>
    <w:rsid w:val="00216FCA"/>
    <w:rsid w:val="0021706C"/>
    <w:rsid w:val="00220432"/>
    <w:rsid w:val="00221404"/>
    <w:rsid w:val="002214D1"/>
    <w:rsid w:val="0022220B"/>
    <w:rsid w:val="002224B4"/>
    <w:rsid w:val="00223BEF"/>
    <w:rsid w:val="002247AD"/>
    <w:rsid w:val="00225218"/>
    <w:rsid w:val="0022552B"/>
    <w:rsid w:val="00225954"/>
    <w:rsid w:val="002300A3"/>
    <w:rsid w:val="002314A8"/>
    <w:rsid w:val="00233375"/>
    <w:rsid w:val="002339BE"/>
    <w:rsid w:val="00234748"/>
    <w:rsid w:val="00234AD4"/>
    <w:rsid w:val="00234DDF"/>
    <w:rsid w:val="00236171"/>
    <w:rsid w:val="0023678A"/>
    <w:rsid w:val="0023722E"/>
    <w:rsid w:val="002377C9"/>
    <w:rsid w:val="00240FED"/>
    <w:rsid w:val="002411D9"/>
    <w:rsid w:val="002426A9"/>
    <w:rsid w:val="002426C5"/>
    <w:rsid w:val="00242A81"/>
    <w:rsid w:val="002437F9"/>
    <w:rsid w:val="00244291"/>
    <w:rsid w:val="002447EF"/>
    <w:rsid w:val="002448C4"/>
    <w:rsid w:val="002455FD"/>
    <w:rsid w:val="0024609B"/>
    <w:rsid w:val="002465D5"/>
    <w:rsid w:val="00251550"/>
    <w:rsid w:val="002521E3"/>
    <w:rsid w:val="00252B06"/>
    <w:rsid w:val="00253FAA"/>
    <w:rsid w:val="00254B42"/>
    <w:rsid w:val="00254F85"/>
    <w:rsid w:val="0025601F"/>
    <w:rsid w:val="002568CE"/>
    <w:rsid w:val="0026120C"/>
    <w:rsid w:val="00261769"/>
    <w:rsid w:val="00261937"/>
    <w:rsid w:val="00263B05"/>
    <w:rsid w:val="002648B8"/>
    <w:rsid w:val="00264AD6"/>
    <w:rsid w:val="00265C0F"/>
    <w:rsid w:val="00266636"/>
    <w:rsid w:val="0026758F"/>
    <w:rsid w:val="002679A3"/>
    <w:rsid w:val="0027221A"/>
    <w:rsid w:val="002728FA"/>
    <w:rsid w:val="00274148"/>
    <w:rsid w:val="00275B61"/>
    <w:rsid w:val="00276550"/>
    <w:rsid w:val="0027786A"/>
    <w:rsid w:val="00277C64"/>
    <w:rsid w:val="00280E26"/>
    <w:rsid w:val="00280ECD"/>
    <w:rsid w:val="00280FAF"/>
    <w:rsid w:val="002820B3"/>
    <w:rsid w:val="00282656"/>
    <w:rsid w:val="00284A0D"/>
    <w:rsid w:val="00284B2D"/>
    <w:rsid w:val="00284EC0"/>
    <w:rsid w:val="00285690"/>
    <w:rsid w:val="00286BCC"/>
    <w:rsid w:val="00286D6C"/>
    <w:rsid w:val="002879EE"/>
    <w:rsid w:val="00291B46"/>
    <w:rsid w:val="00291DFF"/>
    <w:rsid w:val="00292BEC"/>
    <w:rsid w:val="00293CC5"/>
    <w:rsid w:val="00294003"/>
    <w:rsid w:val="002941C2"/>
    <w:rsid w:val="0029491A"/>
    <w:rsid w:val="00294F8B"/>
    <w:rsid w:val="00296B83"/>
    <w:rsid w:val="00297188"/>
    <w:rsid w:val="00297460"/>
    <w:rsid w:val="002A1704"/>
    <w:rsid w:val="002A212B"/>
    <w:rsid w:val="002A2820"/>
    <w:rsid w:val="002A75B3"/>
    <w:rsid w:val="002B039F"/>
    <w:rsid w:val="002B16D7"/>
    <w:rsid w:val="002B2709"/>
    <w:rsid w:val="002B4015"/>
    <w:rsid w:val="002B4341"/>
    <w:rsid w:val="002B4730"/>
    <w:rsid w:val="002B53B6"/>
    <w:rsid w:val="002B73E8"/>
    <w:rsid w:val="002B78CE"/>
    <w:rsid w:val="002C05BB"/>
    <w:rsid w:val="002C299C"/>
    <w:rsid w:val="002C2FB6"/>
    <w:rsid w:val="002C3B72"/>
    <w:rsid w:val="002C4630"/>
    <w:rsid w:val="002C6183"/>
    <w:rsid w:val="002C6427"/>
    <w:rsid w:val="002C6F93"/>
    <w:rsid w:val="002D2329"/>
    <w:rsid w:val="002D23FA"/>
    <w:rsid w:val="002D3E7E"/>
    <w:rsid w:val="002D4CC0"/>
    <w:rsid w:val="002D4CEC"/>
    <w:rsid w:val="002D5504"/>
    <w:rsid w:val="002D5EF8"/>
    <w:rsid w:val="002D73C2"/>
    <w:rsid w:val="002E0BF3"/>
    <w:rsid w:val="002E0E58"/>
    <w:rsid w:val="002E1BB0"/>
    <w:rsid w:val="002E229C"/>
    <w:rsid w:val="002E423A"/>
    <w:rsid w:val="002E45B8"/>
    <w:rsid w:val="002E4646"/>
    <w:rsid w:val="002E4728"/>
    <w:rsid w:val="002E5FA7"/>
    <w:rsid w:val="002E656B"/>
    <w:rsid w:val="002E72AB"/>
    <w:rsid w:val="002E7414"/>
    <w:rsid w:val="002E74CB"/>
    <w:rsid w:val="002E7B3B"/>
    <w:rsid w:val="002F113F"/>
    <w:rsid w:val="002F13AE"/>
    <w:rsid w:val="002F1585"/>
    <w:rsid w:val="002F19D4"/>
    <w:rsid w:val="002F2107"/>
    <w:rsid w:val="002F3309"/>
    <w:rsid w:val="002F38D1"/>
    <w:rsid w:val="002F4D68"/>
    <w:rsid w:val="002F5514"/>
    <w:rsid w:val="002F699B"/>
    <w:rsid w:val="002F6FA5"/>
    <w:rsid w:val="003008CE"/>
    <w:rsid w:val="003009B7"/>
    <w:rsid w:val="00300E56"/>
    <w:rsid w:val="0030252B"/>
    <w:rsid w:val="00303884"/>
    <w:rsid w:val="0030469C"/>
    <w:rsid w:val="00306C21"/>
    <w:rsid w:val="00306D44"/>
    <w:rsid w:val="00307068"/>
    <w:rsid w:val="00310349"/>
    <w:rsid w:val="00310E50"/>
    <w:rsid w:val="003115A7"/>
    <w:rsid w:val="00313AE8"/>
    <w:rsid w:val="00314E8A"/>
    <w:rsid w:val="00316D64"/>
    <w:rsid w:val="00320026"/>
    <w:rsid w:val="00321CA6"/>
    <w:rsid w:val="00322E5A"/>
    <w:rsid w:val="00323763"/>
    <w:rsid w:val="00323902"/>
    <w:rsid w:val="00323B44"/>
    <w:rsid w:val="00325F7D"/>
    <w:rsid w:val="00326411"/>
    <w:rsid w:val="00327574"/>
    <w:rsid w:val="00327BCB"/>
    <w:rsid w:val="00330238"/>
    <w:rsid w:val="003306D8"/>
    <w:rsid w:val="003308CE"/>
    <w:rsid w:val="00330CF2"/>
    <w:rsid w:val="0033100D"/>
    <w:rsid w:val="003318C5"/>
    <w:rsid w:val="003332B1"/>
    <w:rsid w:val="003341D8"/>
    <w:rsid w:val="003346F1"/>
    <w:rsid w:val="0033483B"/>
    <w:rsid w:val="00334C09"/>
    <w:rsid w:val="0033782E"/>
    <w:rsid w:val="00337D20"/>
    <w:rsid w:val="00340BBA"/>
    <w:rsid w:val="003418C4"/>
    <w:rsid w:val="003433C9"/>
    <w:rsid w:val="003454B6"/>
    <w:rsid w:val="00347DF7"/>
    <w:rsid w:val="00350E9A"/>
    <w:rsid w:val="00352E98"/>
    <w:rsid w:val="00352FE2"/>
    <w:rsid w:val="00356F19"/>
    <w:rsid w:val="00357386"/>
    <w:rsid w:val="00357FD0"/>
    <w:rsid w:val="00360B67"/>
    <w:rsid w:val="00360F2E"/>
    <w:rsid w:val="003629A2"/>
    <w:rsid w:val="003637BC"/>
    <w:rsid w:val="00364984"/>
    <w:rsid w:val="00366189"/>
    <w:rsid w:val="00367566"/>
    <w:rsid w:val="003677BA"/>
    <w:rsid w:val="00367D4D"/>
    <w:rsid w:val="00371562"/>
    <w:rsid w:val="003723D4"/>
    <w:rsid w:val="003724E2"/>
    <w:rsid w:val="003725CF"/>
    <w:rsid w:val="00372668"/>
    <w:rsid w:val="00373A09"/>
    <w:rsid w:val="003757E8"/>
    <w:rsid w:val="00375F99"/>
    <w:rsid w:val="003760A4"/>
    <w:rsid w:val="003811B3"/>
    <w:rsid w:val="00381905"/>
    <w:rsid w:val="00381C67"/>
    <w:rsid w:val="003831AD"/>
    <w:rsid w:val="00384099"/>
    <w:rsid w:val="00384CC8"/>
    <w:rsid w:val="00385D96"/>
    <w:rsid w:val="0038622C"/>
    <w:rsid w:val="00386C4B"/>
    <w:rsid w:val="003871FD"/>
    <w:rsid w:val="00392822"/>
    <w:rsid w:val="00392874"/>
    <w:rsid w:val="00392D29"/>
    <w:rsid w:val="00393064"/>
    <w:rsid w:val="003936F6"/>
    <w:rsid w:val="00394746"/>
    <w:rsid w:val="0039755D"/>
    <w:rsid w:val="00397A12"/>
    <w:rsid w:val="003A1702"/>
    <w:rsid w:val="003A1E30"/>
    <w:rsid w:val="003A2622"/>
    <w:rsid w:val="003A2829"/>
    <w:rsid w:val="003A5167"/>
    <w:rsid w:val="003A52D7"/>
    <w:rsid w:val="003A5379"/>
    <w:rsid w:val="003A585E"/>
    <w:rsid w:val="003A6161"/>
    <w:rsid w:val="003A70CC"/>
    <w:rsid w:val="003A7D1C"/>
    <w:rsid w:val="003B304B"/>
    <w:rsid w:val="003B3146"/>
    <w:rsid w:val="003B6B78"/>
    <w:rsid w:val="003B719A"/>
    <w:rsid w:val="003B71F8"/>
    <w:rsid w:val="003B78F2"/>
    <w:rsid w:val="003C037D"/>
    <w:rsid w:val="003C0CED"/>
    <w:rsid w:val="003C1597"/>
    <w:rsid w:val="003C167E"/>
    <w:rsid w:val="003C187E"/>
    <w:rsid w:val="003C1C92"/>
    <w:rsid w:val="003C2054"/>
    <w:rsid w:val="003C26E3"/>
    <w:rsid w:val="003C3B7B"/>
    <w:rsid w:val="003C539B"/>
    <w:rsid w:val="003C5A31"/>
    <w:rsid w:val="003C6DA8"/>
    <w:rsid w:val="003C7904"/>
    <w:rsid w:val="003D177B"/>
    <w:rsid w:val="003D2507"/>
    <w:rsid w:val="003D51D4"/>
    <w:rsid w:val="003D55A0"/>
    <w:rsid w:val="003D5B41"/>
    <w:rsid w:val="003D5B7E"/>
    <w:rsid w:val="003D7E4D"/>
    <w:rsid w:val="003E05BE"/>
    <w:rsid w:val="003E0B6B"/>
    <w:rsid w:val="003E13E3"/>
    <w:rsid w:val="003E1AD9"/>
    <w:rsid w:val="003E28B9"/>
    <w:rsid w:val="003E2EAE"/>
    <w:rsid w:val="003E3B33"/>
    <w:rsid w:val="003E5132"/>
    <w:rsid w:val="003E6EBD"/>
    <w:rsid w:val="003E7205"/>
    <w:rsid w:val="003E7987"/>
    <w:rsid w:val="003F015E"/>
    <w:rsid w:val="003F0544"/>
    <w:rsid w:val="003F105F"/>
    <w:rsid w:val="003F122C"/>
    <w:rsid w:val="003F151A"/>
    <w:rsid w:val="003F2361"/>
    <w:rsid w:val="003F24F6"/>
    <w:rsid w:val="003F2FB4"/>
    <w:rsid w:val="003F3852"/>
    <w:rsid w:val="003F49F3"/>
    <w:rsid w:val="003F6410"/>
    <w:rsid w:val="003F7038"/>
    <w:rsid w:val="00400414"/>
    <w:rsid w:val="00401009"/>
    <w:rsid w:val="00401F87"/>
    <w:rsid w:val="0040217D"/>
    <w:rsid w:val="0040254E"/>
    <w:rsid w:val="004039A6"/>
    <w:rsid w:val="00403E9B"/>
    <w:rsid w:val="004053F1"/>
    <w:rsid w:val="00406DDF"/>
    <w:rsid w:val="00407360"/>
    <w:rsid w:val="0041070C"/>
    <w:rsid w:val="00411E9F"/>
    <w:rsid w:val="004126D8"/>
    <w:rsid w:val="0041446B"/>
    <w:rsid w:val="00415E9A"/>
    <w:rsid w:val="004171AC"/>
    <w:rsid w:val="0042090B"/>
    <w:rsid w:val="00425FF5"/>
    <w:rsid w:val="004300C9"/>
    <w:rsid w:val="00431499"/>
    <w:rsid w:val="00431CF1"/>
    <w:rsid w:val="0043258D"/>
    <w:rsid w:val="00432B31"/>
    <w:rsid w:val="00432FC7"/>
    <w:rsid w:val="004330B4"/>
    <w:rsid w:val="00433220"/>
    <w:rsid w:val="0043334D"/>
    <w:rsid w:val="004354F1"/>
    <w:rsid w:val="00435B0B"/>
    <w:rsid w:val="00436774"/>
    <w:rsid w:val="00436C08"/>
    <w:rsid w:val="004371AF"/>
    <w:rsid w:val="0043756E"/>
    <w:rsid w:val="00441822"/>
    <w:rsid w:val="0044329C"/>
    <w:rsid w:val="00444808"/>
    <w:rsid w:val="00444C4D"/>
    <w:rsid w:val="00444E96"/>
    <w:rsid w:val="00445623"/>
    <w:rsid w:val="004475B5"/>
    <w:rsid w:val="004512C8"/>
    <w:rsid w:val="00451DAA"/>
    <w:rsid w:val="0045203F"/>
    <w:rsid w:val="00453B19"/>
    <w:rsid w:val="00453BC0"/>
    <w:rsid w:val="00453E24"/>
    <w:rsid w:val="00454129"/>
    <w:rsid w:val="00454541"/>
    <w:rsid w:val="00456D58"/>
    <w:rsid w:val="004573B7"/>
    <w:rsid w:val="00457456"/>
    <w:rsid w:val="004574B0"/>
    <w:rsid w:val="004577FE"/>
    <w:rsid w:val="00457B9C"/>
    <w:rsid w:val="00457EDD"/>
    <w:rsid w:val="004608FC"/>
    <w:rsid w:val="0046164A"/>
    <w:rsid w:val="004628D2"/>
    <w:rsid w:val="00462DCD"/>
    <w:rsid w:val="00463994"/>
    <w:rsid w:val="004648AD"/>
    <w:rsid w:val="004661BF"/>
    <w:rsid w:val="00467143"/>
    <w:rsid w:val="00467BF7"/>
    <w:rsid w:val="00467EA0"/>
    <w:rsid w:val="004703A9"/>
    <w:rsid w:val="00470745"/>
    <w:rsid w:val="00474340"/>
    <w:rsid w:val="004760DE"/>
    <w:rsid w:val="004763D7"/>
    <w:rsid w:val="004771CB"/>
    <w:rsid w:val="004776D9"/>
    <w:rsid w:val="00477788"/>
    <w:rsid w:val="00477D82"/>
    <w:rsid w:val="004807E3"/>
    <w:rsid w:val="00480A6E"/>
    <w:rsid w:val="00483C03"/>
    <w:rsid w:val="004909E3"/>
    <w:rsid w:val="004941D2"/>
    <w:rsid w:val="00494E3C"/>
    <w:rsid w:val="00495F64"/>
    <w:rsid w:val="004965F9"/>
    <w:rsid w:val="004A004E"/>
    <w:rsid w:val="004A0434"/>
    <w:rsid w:val="004A0FB6"/>
    <w:rsid w:val="004A249A"/>
    <w:rsid w:val="004A24CF"/>
    <w:rsid w:val="004A2FA4"/>
    <w:rsid w:val="004A2FC0"/>
    <w:rsid w:val="004A3736"/>
    <w:rsid w:val="004A5EDE"/>
    <w:rsid w:val="004A63D5"/>
    <w:rsid w:val="004B15FC"/>
    <w:rsid w:val="004B43A0"/>
    <w:rsid w:val="004B47BF"/>
    <w:rsid w:val="004B4824"/>
    <w:rsid w:val="004B5B7A"/>
    <w:rsid w:val="004C0972"/>
    <w:rsid w:val="004C1D4E"/>
    <w:rsid w:val="004C21D1"/>
    <w:rsid w:val="004C281C"/>
    <w:rsid w:val="004C37DC"/>
    <w:rsid w:val="004C3D1D"/>
    <w:rsid w:val="004C3DEA"/>
    <w:rsid w:val="004C591B"/>
    <w:rsid w:val="004C59C8"/>
    <w:rsid w:val="004C5EE6"/>
    <w:rsid w:val="004C6794"/>
    <w:rsid w:val="004C6AD6"/>
    <w:rsid w:val="004C7913"/>
    <w:rsid w:val="004D0C2C"/>
    <w:rsid w:val="004D2138"/>
    <w:rsid w:val="004D2264"/>
    <w:rsid w:val="004D2594"/>
    <w:rsid w:val="004D3BC3"/>
    <w:rsid w:val="004D4BE8"/>
    <w:rsid w:val="004D56FF"/>
    <w:rsid w:val="004D7B95"/>
    <w:rsid w:val="004E0697"/>
    <w:rsid w:val="004E0A9E"/>
    <w:rsid w:val="004E162A"/>
    <w:rsid w:val="004E449F"/>
    <w:rsid w:val="004E4DD6"/>
    <w:rsid w:val="004E6873"/>
    <w:rsid w:val="004E7164"/>
    <w:rsid w:val="004F0889"/>
    <w:rsid w:val="004F3ECB"/>
    <w:rsid w:val="004F5E36"/>
    <w:rsid w:val="004F6CD5"/>
    <w:rsid w:val="004F6F01"/>
    <w:rsid w:val="004F76BE"/>
    <w:rsid w:val="004F77D7"/>
    <w:rsid w:val="005009CE"/>
    <w:rsid w:val="005010C7"/>
    <w:rsid w:val="00502B6D"/>
    <w:rsid w:val="0050510B"/>
    <w:rsid w:val="005053F1"/>
    <w:rsid w:val="00505ADC"/>
    <w:rsid w:val="00507B47"/>
    <w:rsid w:val="00507BEF"/>
    <w:rsid w:val="00507CC9"/>
    <w:rsid w:val="00510F36"/>
    <w:rsid w:val="005112CA"/>
    <w:rsid w:val="005119A5"/>
    <w:rsid w:val="00513DBC"/>
    <w:rsid w:val="00515879"/>
    <w:rsid w:val="00516C1D"/>
    <w:rsid w:val="00517244"/>
    <w:rsid w:val="005202B0"/>
    <w:rsid w:val="0052276E"/>
    <w:rsid w:val="00522F1B"/>
    <w:rsid w:val="00525128"/>
    <w:rsid w:val="005251DD"/>
    <w:rsid w:val="00525454"/>
    <w:rsid w:val="0052552F"/>
    <w:rsid w:val="00525562"/>
    <w:rsid w:val="005260E0"/>
    <w:rsid w:val="00526DA1"/>
    <w:rsid w:val="0052764A"/>
    <w:rsid w:val="005278B7"/>
    <w:rsid w:val="005304F3"/>
    <w:rsid w:val="00530D53"/>
    <w:rsid w:val="005317F7"/>
    <w:rsid w:val="00531AAA"/>
    <w:rsid w:val="00531E9D"/>
    <w:rsid w:val="00532016"/>
    <w:rsid w:val="005346C8"/>
    <w:rsid w:val="00534C35"/>
    <w:rsid w:val="00535D78"/>
    <w:rsid w:val="005367CE"/>
    <w:rsid w:val="0053745A"/>
    <w:rsid w:val="005421F9"/>
    <w:rsid w:val="00542BD5"/>
    <w:rsid w:val="005434C1"/>
    <w:rsid w:val="00543AE8"/>
    <w:rsid w:val="00543E7D"/>
    <w:rsid w:val="00545660"/>
    <w:rsid w:val="005467E9"/>
    <w:rsid w:val="00546D97"/>
    <w:rsid w:val="00547A68"/>
    <w:rsid w:val="00551345"/>
    <w:rsid w:val="0055179D"/>
    <w:rsid w:val="00551899"/>
    <w:rsid w:val="005531C9"/>
    <w:rsid w:val="005542A8"/>
    <w:rsid w:val="00554C22"/>
    <w:rsid w:val="005553E1"/>
    <w:rsid w:val="00555CA6"/>
    <w:rsid w:val="00560131"/>
    <w:rsid w:val="005601E6"/>
    <w:rsid w:val="00560472"/>
    <w:rsid w:val="00561803"/>
    <w:rsid w:val="00561C0A"/>
    <w:rsid w:val="005627A8"/>
    <w:rsid w:val="0056477D"/>
    <w:rsid w:val="00565847"/>
    <w:rsid w:val="00566A7C"/>
    <w:rsid w:val="005679BD"/>
    <w:rsid w:val="0057055A"/>
    <w:rsid w:val="00570C43"/>
    <w:rsid w:val="00573389"/>
    <w:rsid w:val="005734FE"/>
    <w:rsid w:val="00573815"/>
    <w:rsid w:val="00574AC6"/>
    <w:rsid w:val="00574F7A"/>
    <w:rsid w:val="005763D7"/>
    <w:rsid w:val="00576B01"/>
    <w:rsid w:val="00577274"/>
    <w:rsid w:val="00581A7A"/>
    <w:rsid w:val="00583C6B"/>
    <w:rsid w:val="00584B77"/>
    <w:rsid w:val="00584C09"/>
    <w:rsid w:val="00585DD9"/>
    <w:rsid w:val="0058678F"/>
    <w:rsid w:val="00586AAB"/>
    <w:rsid w:val="00586BB7"/>
    <w:rsid w:val="005876D8"/>
    <w:rsid w:val="0059043D"/>
    <w:rsid w:val="00590804"/>
    <w:rsid w:val="00593866"/>
    <w:rsid w:val="0059422D"/>
    <w:rsid w:val="00594A69"/>
    <w:rsid w:val="00594C76"/>
    <w:rsid w:val="005971A3"/>
    <w:rsid w:val="005973C2"/>
    <w:rsid w:val="005A0558"/>
    <w:rsid w:val="005A1699"/>
    <w:rsid w:val="005A2562"/>
    <w:rsid w:val="005A351B"/>
    <w:rsid w:val="005A508C"/>
    <w:rsid w:val="005A5788"/>
    <w:rsid w:val="005A69BB"/>
    <w:rsid w:val="005A6A85"/>
    <w:rsid w:val="005A7BD0"/>
    <w:rsid w:val="005B1174"/>
    <w:rsid w:val="005B2110"/>
    <w:rsid w:val="005B2733"/>
    <w:rsid w:val="005B4E10"/>
    <w:rsid w:val="005B5410"/>
    <w:rsid w:val="005B59D9"/>
    <w:rsid w:val="005B61E6"/>
    <w:rsid w:val="005B6466"/>
    <w:rsid w:val="005B73F6"/>
    <w:rsid w:val="005C11D8"/>
    <w:rsid w:val="005C20CB"/>
    <w:rsid w:val="005C5F74"/>
    <w:rsid w:val="005C60C3"/>
    <w:rsid w:val="005C73BD"/>
    <w:rsid w:val="005C77E1"/>
    <w:rsid w:val="005D11BC"/>
    <w:rsid w:val="005D1A93"/>
    <w:rsid w:val="005D2FF1"/>
    <w:rsid w:val="005D3CF1"/>
    <w:rsid w:val="005D3D55"/>
    <w:rsid w:val="005D4A9D"/>
    <w:rsid w:val="005D6548"/>
    <w:rsid w:val="005D668A"/>
    <w:rsid w:val="005D6A2F"/>
    <w:rsid w:val="005D753A"/>
    <w:rsid w:val="005E0095"/>
    <w:rsid w:val="005E186C"/>
    <w:rsid w:val="005E1A82"/>
    <w:rsid w:val="005E1E0E"/>
    <w:rsid w:val="005E318C"/>
    <w:rsid w:val="005E497A"/>
    <w:rsid w:val="005E4D33"/>
    <w:rsid w:val="005E56D7"/>
    <w:rsid w:val="005E5D74"/>
    <w:rsid w:val="005E5F0B"/>
    <w:rsid w:val="005E6190"/>
    <w:rsid w:val="005E68A8"/>
    <w:rsid w:val="005E794C"/>
    <w:rsid w:val="005E7F0A"/>
    <w:rsid w:val="005F0A28"/>
    <w:rsid w:val="005F0E5E"/>
    <w:rsid w:val="005F1923"/>
    <w:rsid w:val="005F1DD3"/>
    <w:rsid w:val="005F2538"/>
    <w:rsid w:val="005F4661"/>
    <w:rsid w:val="005F4C65"/>
    <w:rsid w:val="005F546D"/>
    <w:rsid w:val="005F6C35"/>
    <w:rsid w:val="005F6C51"/>
    <w:rsid w:val="005F7B16"/>
    <w:rsid w:val="0060029A"/>
    <w:rsid w:val="00600535"/>
    <w:rsid w:val="00601263"/>
    <w:rsid w:val="00601365"/>
    <w:rsid w:val="00602140"/>
    <w:rsid w:val="006032CA"/>
    <w:rsid w:val="00604749"/>
    <w:rsid w:val="00605483"/>
    <w:rsid w:val="00605D6B"/>
    <w:rsid w:val="0061030B"/>
    <w:rsid w:val="00610CD6"/>
    <w:rsid w:val="00610D56"/>
    <w:rsid w:val="00612678"/>
    <w:rsid w:val="00614A0D"/>
    <w:rsid w:val="00620DEE"/>
    <w:rsid w:val="00620E11"/>
    <w:rsid w:val="00620E86"/>
    <w:rsid w:val="00621F92"/>
    <w:rsid w:val="0062223E"/>
    <w:rsid w:val="0062280A"/>
    <w:rsid w:val="00622A97"/>
    <w:rsid w:val="0062368E"/>
    <w:rsid w:val="00625639"/>
    <w:rsid w:val="006275A2"/>
    <w:rsid w:val="00627D86"/>
    <w:rsid w:val="00631B33"/>
    <w:rsid w:val="00631B8B"/>
    <w:rsid w:val="00632105"/>
    <w:rsid w:val="0063374C"/>
    <w:rsid w:val="00633E44"/>
    <w:rsid w:val="0063407C"/>
    <w:rsid w:val="0063440A"/>
    <w:rsid w:val="006344C7"/>
    <w:rsid w:val="00635DF5"/>
    <w:rsid w:val="006360C1"/>
    <w:rsid w:val="006369F4"/>
    <w:rsid w:val="00636ADE"/>
    <w:rsid w:val="00637BDD"/>
    <w:rsid w:val="006413FE"/>
    <w:rsid w:val="0064184D"/>
    <w:rsid w:val="006422CC"/>
    <w:rsid w:val="00642422"/>
    <w:rsid w:val="00642D84"/>
    <w:rsid w:val="00644EE3"/>
    <w:rsid w:val="006452CA"/>
    <w:rsid w:val="0064553F"/>
    <w:rsid w:val="0064629C"/>
    <w:rsid w:val="00646C4E"/>
    <w:rsid w:val="006504D1"/>
    <w:rsid w:val="00650577"/>
    <w:rsid w:val="006517D2"/>
    <w:rsid w:val="00653F87"/>
    <w:rsid w:val="006540D1"/>
    <w:rsid w:val="006560C3"/>
    <w:rsid w:val="00660B04"/>
    <w:rsid w:val="00660E3E"/>
    <w:rsid w:val="00661BCC"/>
    <w:rsid w:val="00661FE0"/>
    <w:rsid w:val="00662E63"/>
    <w:rsid w:val="00662E74"/>
    <w:rsid w:val="00662F2B"/>
    <w:rsid w:val="00663DE5"/>
    <w:rsid w:val="00664BD1"/>
    <w:rsid w:val="00665323"/>
    <w:rsid w:val="00666B53"/>
    <w:rsid w:val="00670333"/>
    <w:rsid w:val="006712F0"/>
    <w:rsid w:val="00672F27"/>
    <w:rsid w:val="0067445C"/>
    <w:rsid w:val="00674C2C"/>
    <w:rsid w:val="00675BD0"/>
    <w:rsid w:val="00675E56"/>
    <w:rsid w:val="00675FEE"/>
    <w:rsid w:val="0067626C"/>
    <w:rsid w:val="00680502"/>
    <w:rsid w:val="00680C23"/>
    <w:rsid w:val="00680C82"/>
    <w:rsid w:val="0068142F"/>
    <w:rsid w:val="006816C6"/>
    <w:rsid w:val="00681DD2"/>
    <w:rsid w:val="00683357"/>
    <w:rsid w:val="00683699"/>
    <w:rsid w:val="00683A08"/>
    <w:rsid w:val="00685F33"/>
    <w:rsid w:val="00686D3D"/>
    <w:rsid w:val="00687C03"/>
    <w:rsid w:val="00687C8C"/>
    <w:rsid w:val="00687E27"/>
    <w:rsid w:val="006909D5"/>
    <w:rsid w:val="00690F2B"/>
    <w:rsid w:val="00691016"/>
    <w:rsid w:val="00692AB9"/>
    <w:rsid w:val="0069354C"/>
    <w:rsid w:val="00693766"/>
    <w:rsid w:val="006937FF"/>
    <w:rsid w:val="00694F43"/>
    <w:rsid w:val="00695033"/>
    <w:rsid w:val="00695845"/>
    <w:rsid w:val="00695F45"/>
    <w:rsid w:val="006A0F38"/>
    <w:rsid w:val="006A0F55"/>
    <w:rsid w:val="006A2437"/>
    <w:rsid w:val="006A25F4"/>
    <w:rsid w:val="006A31FA"/>
    <w:rsid w:val="006A3281"/>
    <w:rsid w:val="006A38D2"/>
    <w:rsid w:val="006A3D03"/>
    <w:rsid w:val="006A76AD"/>
    <w:rsid w:val="006B13EA"/>
    <w:rsid w:val="006B18B1"/>
    <w:rsid w:val="006B42B1"/>
    <w:rsid w:val="006B443E"/>
    <w:rsid w:val="006B4888"/>
    <w:rsid w:val="006B4F3C"/>
    <w:rsid w:val="006B7C7A"/>
    <w:rsid w:val="006C0516"/>
    <w:rsid w:val="006C05C1"/>
    <w:rsid w:val="006C0B79"/>
    <w:rsid w:val="006C2A35"/>
    <w:rsid w:val="006C2E45"/>
    <w:rsid w:val="006C2F63"/>
    <w:rsid w:val="006C359C"/>
    <w:rsid w:val="006C3A24"/>
    <w:rsid w:val="006C3AEA"/>
    <w:rsid w:val="006C4049"/>
    <w:rsid w:val="006C4272"/>
    <w:rsid w:val="006C43C9"/>
    <w:rsid w:val="006C43D1"/>
    <w:rsid w:val="006C45D3"/>
    <w:rsid w:val="006C5579"/>
    <w:rsid w:val="006C6962"/>
    <w:rsid w:val="006C6F82"/>
    <w:rsid w:val="006C7002"/>
    <w:rsid w:val="006C795D"/>
    <w:rsid w:val="006D06C7"/>
    <w:rsid w:val="006D0F35"/>
    <w:rsid w:val="006D32F0"/>
    <w:rsid w:val="006D3898"/>
    <w:rsid w:val="006D3E90"/>
    <w:rsid w:val="006D433E"/>
    <w:rsid w:val="006D5328"/>
    <w:rsid w:val="006D5547"/>
    <w:rsid w:val="006D5FA9"/>
    <w:rsid w:val="006D632E"/>
    <w:rsid w:val="006D6E8B"/>
    <w:rsid w:val="006E1E70"/>
    <w:rsid w:val="006E2318"/>
    <w:rsid w:val="006E2760"/>
    <w:rsid w:val="006E2D8A"/>
    <w:rsid w:val="006E4181"/>
    <w:rsid w:val="006E4559"/>
    <w:rsid w:val="006E5584"/>
    <w:rsid w:val="006E6A6C"/>
    <w:rsid w:val="006E70FB"/>
    <w:rsid w:val="006E737D"/>
    <w:rsid w:val="006E7F16"/>
    <w:rsid w:val="006F13D4"/>
    <w:rsid w:val="006F1A79"/>
    <w:rsid w:val="006F2973"/>
    <w:rsid w:val="006F2DCD"/>
    <w:rsid w:val="006F370E"/>
    <w:rsid w:val="006F4238"/>
    <w:rsid w:val="006F4C55"/>
    <w:rsid w:val="006F66D0"/>
    <w:rsid w:val="006F7463"/>
    <w:rsid w:val="00700E43"/>
    <w:rsid w:val="00702ED7"/>
    <w:rsid w:val="00703312"/>
    <w:rsid w:val="0070470D"/>
    <w:rsid w:val="007048F4"/>
    <w:rsid w:val="00705686"/>
    <w:rsid w:val="00710106"/>
    <w:rsid w:val="0071059D"/>
    <w:rsid w:val="00710E02"/>
    <w:rsid w:val="0071108A"/>
    <w:rsid w:val="0071297F"/>
    <w:rsid w:val="007131F9"/>
    <w:rsid w:val="00713973"/>
    <w:rsid w:val="00713AED"/>
    <w:rsid w:val="00713F93"/>
    <w:rsid w:val="007143F0"/>
    <w:rsid w:val="00716C61"/>
    <w:rsid w:val="0072059F"/>
    <w:rsid w:val="00720A24"/>
    <w:rsid w:val="0072161E"/>
    <w:rsid w:val="007217BF"/>
    <w:rsid w:val="00721B92"/>
    <w:rsid w:val="00721C55"/>
    <w:rsid w:val="00723A6B"/>
    <w:rsid w:val="00723D31"/>
    <w:rsid w:val="007252EA"/>
    <w:rsid w:val="007258E1"/>
    <w:rsid w:val="0072590B"/>
    <w:rsid w:val="00726485"/>
    <w:rsid w:val="00727E07"/>
    <w:rsid w:val="00730A6F"/>
    <w:rsid w:val="00732382"/>
    <w:rsid w:val="00732386"/>
    <w:rsid w:val="00732888"/>
    <w:rsid w:val="00733685"/>
    <w:rsid w:val="0073514D"/>
    <w:rsid w:val="00735175"/>
    <w:rsid w:val="0073544A"/>
    <w:rsid w:val="007354E6"/>
    <w:rsid w:val="00736930"/>
    <w:rsid w:val="00736D8B"/>
    <w:rsid w:val="0073774C"/>
    <w:rsid w:val="00737C4B"/>
    <w:rsid w:val="00743227"/>
    <w:rsid w:val="007447F3"/>
    <w:rsid w:val="0074512E"/>
    <w:rsid w:val="007451CF"/>
    <w:rsid w:val="00746311"/>
    <w:rsid w:val="007467C0"/>
    <w:rsid w:val="007468B3"/>
    <w:rsid w:val="00747801"/>
    <w:rsid w:val="00747B3D"/>
    <w:rsid w:val="00747C9A"/>
    <w:rsid w:val="00750197"/>
    <w:rsid w:val="0075134B"/>
    <w:rsid w:val="00752633"/>
    <w:rsid w:val="0075339F"/>
    <w:rsid w:val="007535A5"/>
    <w:rsid w:val="007542D1"/>
    <w:rsid w:val="0075499F"/>
    <w:rsid w:val="00756B57"/>
    <w:rsid w:val="00757B20"/>
    <w:rsid w:val="007604AA"/>
    <w:rsid w:val="00760753"/>
    <w:rsid w:val="00760F57"/>
    <w:rsid w:val="0076159B"/>
    <w:rsid w:val="00761F74"/>
    <w:rsid w:val="00762564"/>
    <w:rsid w:val="0076481D"/>
    <w:rsid w:val="00764947"/>
    <w:rsid w:val="0076524E"/>
    <w:rsid w:val="007661C8"/>
    <w:rsid w:val="00766480"/>
    <w:rsid w:val="007707D8"/>
    <w:rsid w:val="0077098D"/>
    <w:rsid w:val="00770B92"/>
    <w:rsid w:val="0077542B"/>
    <w:rsid w:val="00777EA1"/>
    <w:rsid w:val="00782A43"/>
    <w:rsid w:val="00783036"/>
    <w:rsid w:val="00783565"/>
    <w:rsid w:val="00784B92"/>
    <w:rsid w:val="00785C73"/>
    <w:rsid w:val="00786EA6"/>
    <w:rsid w:val="007870A6"/>
    <w:rsid w:val="00787A2C"/>
    <w:rsid w:val="00791721"/>
    <w:rsid w:val="00792063"/>
    <w:rsid w:val="0079211F"/>
    <w:rsid w:val="007931FA"/>
    <w:rsid w:val="0079343E"/>
    <w:rsid w:val="00793592"/>
    <w:rsid w:val="00793996"/>
    <w:rsid w:val="00793A7A"/>
    <w:rsid w:val="00796214"/>
    <w:rsid w:val="0079623B"/>
    <w:rsid w:val="00796476"/>
    <w:rsid w:val="0079758F"/>
    <w:rsid w:val="007A13C9"/>
    <w:rsid w:val="007A1FFA"/>
    <w:rsid w:val="007A2583"/>
    <w:rsid w:val="007A2ACD"/>
    <w:rsid w:val="007A2E3E"/>
    <w:rsid w:val="007A3E8A"/>
    <w:rsid w:val="007A4861"/>
    <w:rsid w:val="007A4E42"/>
    <w:rsid w:val="007A6CB2"/>
    <w:rsid w:val="007A71AE"/>
    <w:rsid w:val="007A7BBA"/>
    <w:rsid w:val="007B0C50"/>
    <w:rsid w:val="007B0E8A"/>
    <w:rsid w:val="007B16C1"/>
    <w:rsid w:val="007B33FF"/>
    <w:rsid w:val="007B410D"/>
    <w:rsid w:val="007B48F9"/>
    <w:rsid w:val="007B6346"/>
    <w:rsid w:val="007B746E"/>
    <w:rsid w:val="007B7C76"/>
    <w:rsid w:val="007C08E4"/>
    <w:rsid w:val="007C1A43"/>
    <w:rsid w:val="007C38F3"/>
    <w:rsid w:val="007C443D"/>
    <w:rsid w:val="007C5A31"/>
    <w:rsid w:val="007C65E3"/>
    <w:rsid w:val="007D2EF5"/>
    <w:rsid w:val="007D3BBB"/>
    <w:rsid w:val="007D4EE2"/>
    <w:rsid w:val="007D5723"/>
    <w:rsid w:val="007D5D0B"/>
    <w:rsid w:val="007E0430"/>
    <w:rsid w:val="007E1C46"/>
    <w:rsid w:val="007E347D"/>
    <w:rsid w:val="007E348B"/>
    <w:rsid w:val="007E3770"/>
    <w:rsid w:val="007E41A9"/>
    <w:rsid w:val="007E6271"/>
    <w:rsid w:val="007E6895"/>
    <w:rsid w:val="007F0451"/>
    <w:rsid w:val="007F1106"/>
    <w:rsid w:val="007F187D"/>
    <w:rsid w:val="007F2447"/>
    <w:rsid w:val="007F46E6"/>
    <w:rsid w:val="007F5334"/>
    <w:rsid w:val="007F63D6"/>
    <w:rsid w:val="007F683B"/>
    <w:rsid w:val="007F6C66"/>
    <w:rsid w:val="0080013E"/>
    <w:rsid w:val="0080071E"/>
    <w:rsid w:val="0080100A"/>
    <w:rsid w:val="00801437"/>
    <w:rsid w:val="00803CF3"/>
    <w:rsid w:val="00805CCB"/>
    <w:rsid w:val="0080701A"/>
    <w:rsid w:val="00807207"/>
    <w:rsid w:val="00807CE6"/>
    <w:rsid w:val="00807FBA"/>
    <w:rsid w:val="00810BBB"/>
    <w:rsid w:val="0081133C"/>
    <w:rsid w:val="008115A1"/>
    <w:rsid w:val="00811829"/>
    <w:rsid w:val="0081228E"/>
    <w:rsid w:val="00813288"/>
    <w:rsid w:val="00814A39"/>
    <w:rsid w:val="008151B5"/>
    <w:rsid w:val="00815BEC"/>
    <w:rsid w:val="00816025"/>
    <w:rsid w:val="008160DA"/>
    <w:rsid w:val="0081657A"/>
    <w:rsid w:val="008168CE"/>
    <w:rsid w:val="008168FC"/>
    <w:rsid w:val="008174F8"/>
    <w:rsid w:val="00817D03"/>
    <w:rsid w:val="00820725"/>
    <w:rsid w:val="00820C65"/>
    <w:rsid w:val="00821BA7"/>
    <w:rsid w:val="008225EB"/>
    <w:rsid w:val="00822C3C"/>
    <w:rsid w:val="00823533"/>
    <w:rsid w:val="00823AE1"/>
    <w:rsid w:val="00825B0D"/>
    <w:rsid w:val="00825DD9"/>
    <w:rsid w:val="0082629E"/>
    <w:rsid w:val="0082646C"/>
    <w:rsid w:val="00826ADC"/>
    <w:rsid w:val="00830996"/>
    <w:rsid w:val="00830F14"/>
    <w:rsid w:val="00831478"/>
    <w:rsid w:val="00832E47"/>
    <w:rsid w:val="00833B27"/>
    <w:rsid w:val="008345F1"/>
    <w:rsid w:val="00836EED"/>
    <w:rsid w:val="0084064D"/>
    <w:rsid w:val="00843BC7"/>
    <w:rsid w:val="00844131"/>
    <w:rsid w:val="00845945"/>
    <w:rsid w:val="008459E7"/>
    <w:rsid w:val="00845BED"/>
    <w:rsid w:val="00846F96"/>
    <w:rsid w:val="0084722A"/>
    <w:rsid w:val="008520FE"/>
    <w:rsid w:val="00852924"/>
    <w:rsid w:val="00852A07"/>
    <w:rsid w:val="00853C20"/>
    <w:rsid w:val="00853D31"/>
    <w:rsid w:val="00856B98"/>
    <w:rsid w:val="00857089"/>
    <w:rsid w:val="00857877"/>
    <w:rsid w:val="00857BF7"/>
    <w:rsid w:val="008616D1"/>
    <w:rsid w:val="00864D01"/>
    <w:rsid w:val="008652BA"/>
    <w:rsid w:val="00865B07"/>
    <w:rsid w:val="008667EA"/>
    <w:rsid w:val="00871DD8"/>
    <w:rsid w:val="0087215D"/>
    <w:rsid w:val="0087558C"/>
    <w:rsid w:val="0087637F"/>
    <w:rsid w:val="00876A42"/>
    <w:rsid w:val="008773A7"/>
    <w:rsid w:val="0087762A"/>
    <w:rsid w:val="0088008C"/>
    <w:rsid w:val="008809D4"/>
    <w:rsid w:val="00880A04"/>
    <w:rsid w:val="0088192A"/>
    <w:rsid w:val="008822D1"/>
    <w:rsid w:val="0088386C"/>
    <w:rsid w:val="00885771"/>
    <w:rsid w:val="00885A48"/>
    <w:rsid w:val="00887553"/>
    <w:rsid w:val="008879A3"/>
    <w:rsid w:val="00887AA9"/>
    <w:rsid w:val="008901CE"/>
    <w:rsid w:val="00890551"/>
    <w:rsid w:val="00891B12"/>
    <w:rsid w:val="00892AD5"/>
    <w:rsid w:val="00894A3A"/>
    <w:rsid w:val="008964D6"/>
    <w:rsid w:val="008970A2"/>
    <w:rsid w:val="0089789D"/>
    <w:rsid w:val="008A1512"/>
    <w:rsid w:val="008A19CE"/>
    <w:rsid w:val="008A1E63"/>
    <w:rsid w:val="008A2931"/>
    <w:rsid w:val="008A29C2"/>
    <w:rsid w:val="008A5A28"/>
    <w:rsid w:val="008A5A2C"/>
    <w:rsid w:val="008A634C"/>
    <w:rsid w:val="008A7EC2"/>
    <w:rsid w:val="008B2F15"/>
    <w:rsid w:val="008B3F01"/>
    <w:rsid w:val="008B4DFB"/>
    <w:rsid w:val="008B5309"/>
    <w:rsid w:val="008B68F5"/>
    <w:rsid w:val="008B6BED"/>
    <w:rsid w:val="008B6BF4"/>
    <w:rsid w:val="008C0D71"/>
    <w:rsid w:val="008C262A"/>
    <w:rsid w:val="008C2CA0"/>
    <w:rsid w:val="008C3078"/>
    <w:rsid w:val="008C522C"/>
    <w:rsid w:val="008C55AF"/>
    <w:rsid w:val="008C6037"/>
    <w:rsid w:val="008C67BC"/>
    <w:rsid w:val="008C6B82"/>
    <w:rsid w:val="008D1C30"/>
    <w:rsid w:val="008D32B9"/>
    <w:rsid w:val="008D400D"/>
    <w:rsid w:val="008D423F"/>
    <w:rsid w:val="008D433B"/>
    <w:rsid w:val="008D4A3C"/>
    <w:rsid w:val="008D54D4"/>
    <w:rsid w:val="008D6931"/>
    <w:rsid w:val="008D7996"/>
    <w:rsid w:val="008E1377"/>
    <w:rsid w:val="008E290C"/>
    <w:rsid w:val="008E3E48"/>
    <w:rsid w:val="008E5153"/>
    <w:rsid w:val="008E566E"/>
    <w:rsid w:val="008E5766"/>
    <w:rsid w:val="008E5FE7"/>
    <w:rsid w:val="008E6FCC"/>
    <w:rsid w:val="008E7D05"/>
    <w:rsid w:val="008F1898"/>
    <w:rsid w:val="008F1EFB"/>
    <w:rsid w:val="008F28CE"/>
    <w:rsid w:val="008F5B03"/>
    <w:rsid w:val="008F5B6F"/>
    <w:rsid w:val="008F6C7B"/>
    <w:rsid w:val="0090116B"/>
    <w:rsid w:val="0090161A"/>
    <w:rsid w:val="00901A9C"/>
    <w:rsid w:val="00901EB6"/>
    <w:rsid w:val="00902FAE"/>
    <w:rsid w:val="009040EA"/>
    <w:rsid w:val="0090450A"/>
    <w:rsid w:val="00904C62"/>
    <w:rsid w:val="00904E24"/>
    <w:rsid w:val="00904E3D"/>
    <w:rsid w:val="009054C2"/>
    <w:rsid w:val="009058DB"/>
    <w:rsid w:val="00906F99"/>
    <w:rsid w:val="00907680"/>
    <w:rsid w:val="009078AB"/>
    <w:rsid w:val="00907F1A"/>
    <w:rsid w:val="0091006B"/>
    <w:rsid w:val="00912529"/>
    <w:rsid w:val="009128E8"/>
    <w:rsid w:val="009136CD"/>
    <w:rsid w:val="00914434"/>
    <w:rsid w:val="00915A6F"/>
    <w:rsid w:val="00917622"/>
    <w:rsid w:val="00917CFA"/>
    <w:rsid w:val="00917E49"/>
    <w:rsid w:val="009212F8"/>
    <w:rsid w:val="00922BA8"/>
    <w:rsid w:val="00924638"/>
    <w:rsid w:val="009249B1"/>
    <w:rsid w:val="00924B3E"/>
    <w:rsid w:val="00924DAC"/>
    <w:rsid w:val="00925DE3"/>
    <w:rsid w:val="00926A37"/>
    <w:rsid w:val="00927058"/>
    <w:rsid w:val="009300D2"/>
    <w:rsid w:val="00930FB4"/>
    <w:rsid w:val="00931A10"/>
    <w:rsid w:val="00932D1B"/>
    <w:rsid w:val="009333A8"/>
    <w:rsid w:val="00933479"/>
    <w:rsid w:val="009335EF"/>
    <w:rsid w:val="00934241"/>
    <w:rsid w:val="009345E6"/>
    <w:rsid w:val="00935187"/>
    <w:rsid w:val="00935CA0"/>
    <w:rsid w:val="00936108"/>
    <w:rsid w:val="009363AD"/>
    <w:rsid w:val="009409A9"/>
    <w:rsid w:val="00941787"/>
    <w:rsid w:val="00942750"/>
    <w:rsid w:val="00943114"/>
    <w:rsid w:val="00943143"/>
    <w:rsid w:val="0094409D"/>
    <w:rsid w:val="00944EA3"/>
    <w:rsid w:val="009450CE"/>
    <w:rsid w:val="00947179"/>
    <w:rsid w:val="00950A9F"/>
    <w:rsid w:val="0095164B"/>
    <w:rsid w:val="009524C8"/>
    <w:rsid w:val="009538E1"/>
    <w:rsid w:val="00954090"/>
    <w:rsid w:val="00954214"/>
    <w:rsid w:val="00954880"/>
    <w:rsid w:val="00954C09"/>
    <w:rsid w:val="0095503B"/>
    <w:rsid w:val="0095584D"/>
    <w:rsid w:val="009562BB"/>
    <w:rsid w:val="00956DB0"/>
    <w:rsid w:val="009573E7"/>
    <w:rsid w:val="00957D80"/>
    <w:rsid w:val="00960C56"/>
    <w:rsid w:val="009629FA"/>
    <w:rsid w:val="00963DB0"/>
    <w:rsid w:val="00963E05"/>
    <w:rsid w:val="009647E4"/>
    <w:rsid w:val="0096619C"/>
    <w:rsid w:val="00966F8C"/>
    <w:rsid w:val="00967843"/>
    <w:rsid w:val="00967D54"/>
    <w:rsid w:val="00970329"/>
    <w:rsid w:val="00971028"/>
    <w:rsid w:val="0097179F"/>
    <w:rsid w:val="00971C5A"/>
    <w:rsid w:val="00971F8D"/>
    <w:rsid w:val="00972EA3"/>
    <w:rsid w:val="009754AC"/>
    <w:rsid w:val="00976743"/>
    <w:rsid w:val="0097713F"/>
    <w:rsid w:val="00980628"/>
    <w:rsid w:val="00980D34"/>
    <w:rsid w:val="00981228"/>
    <w:rsid w:val="0098165A"/>
    <w:rsid w:val="0098298A"/>
    <w:rsid w:val="009835BF"/>
    <w:rsid w:val="00985517"/>
    <w:rsid w:val="0098619E"/>
    <w:rsid w:val="00991119"/>
    <w:rsid w:val="00992242"/>
    <w:rsid w:val="009932D7"/>
    <w:rsid w:val="009933C3"/>
    <w:rsid w:val="009936B7"/>
    <w:rsid w:val="00993B84"/>
    <w:rsid w:val="00995AE9"/>
    <w:rsid w:val="00996483"/>
    <w:rsid w:val="00996F5A"/>
    <w:rsid w:val="009972F0"/>
    <w:rsid w:val="009978DB"/>
    <w:rsid w:val="009A0F02"/>
    <w:rsid w:val="009A19C2"/>
    <w:rsid w:val="009A451B"/>
    <w:rsid w:val="009A578B"/>
    <w:rsid w:val="009A57BD"/>
    <w:rsid w:val="009A5FE5"/>
    <w:rsid w:val="009A727C"/>
    <w:rsid w:val="009B041A"/>
    <w:rsid w:val="009B0BDF"/>
    <w:rsid w:val="009B1E39"/>
    <w:rsid w:val="009B2D77"/>
    <w:rsid w:val="009B51F5"/>
    <w:rsid w:val="009B58FF"/>
    <w:rsid w:val="009B5A5F"/>
    <w:rsid w:val="009B5AE6"/>
    <w:rsid w:val="009B64DD"/>
    <w:rsid w:val="009B6801"/>
    <w:rsid w:val="009C1411"/>
    <w:rsid w:val="009C26F3"/>
    <w:rsid w:val="009C32BC"/>
    <w:rsid w:val="009C37C3"/>
    <w:rsid w:val="009C5168"/>
    <w:rsid w:val="009C587F"/>
    <w:rsid w:val="009C63D5"/>
    <w:rsid w:val="009C6CAA"/>
    <w:rsid w:val="009C6E8A"/>
    <w:rsid w:val="009C7C86"/>
    <w:rsid w:val="009C7F20"/>
    <w:rsid w:val="009C7F72"/>
    <w:rsid w:val="009D0411"/>
    <w:rsid w:val="009D23EF"/>
    <w:rsid w:val="009D2FF7"/>
    <w:rsid w:val="009D3FCF"/>
    <w:rsid w:val="009D467A"/>
    <w:rsid w:val="009D49C1"/>
    <w:rsid w:val="009D4FFB"/>
    <w:rsid w:val="009D5204"/>
    <w:rsid w:val="009D7533"/>
    <w:rsid w:val="009D7DEE"/>
    <w:rsid w:val="009E05C6"/>
    <w:rsid w:val="009E1B2B"/>
    <w:rsid w:val="009E2087"/>
    <w:rsid w:val="009E2F8C"/>
    <w:rsid w:val="009E44B3"/>
    <w:rsid w:val="009E56DD"/>
    <w:rsid w:val="009E6112"/>
    <w:rsid w:val="009E697D"/>
    <w:rsid w:val="009E7097"/>
    <w:rsid w:val="009E7884"/>
    <w:rsid w:val="009E788A"/>
    <w:rsid w:val="009F0E08"/>
    <w:rsid w:val="009F0E8D"/>
    <w:rsid w:val="009F0EE6"/>
    <w:rsid w:val="009F24F9"/>
    <w:rsid w:val="009F2D5A"/>
    <w:rsid w:val="009F373F"/>
    <w:rsid w:val="009F3D3B"/>
    <w:rsid w:val="009F43CC"/>
    <w:rsid w:val="009F4801"/>
    <w:rsid w:val="009F518E"/>
    <w:rsid w:val="009F55EF"/>
    <w:rsid w:val="009F5839"/>
    <w:rsid w:val="009F68C9"/>
    <w:rsid w:val="009F77F6"/>
    <w:rsid w:val="009F7845"/>
    <w:rsid w:val="009F7B4C"/>
    <w:rsid w:val="00A003A7"/>
    <w:rsid w:val="00A0067C"/>
    <w:rsid w:val="00A04280"/>
    <w:rsid w:val="00A0595B"/>
    <w:rsid w:val="00A05A1D"/>
    <w:rsid w:val="00A07475"/>
    <w:rsid w:val="00A0787E"/>
    <w:rsid w:val="00A10548"/>
    <w:rsid w:val="00A10BBB"/>
    <w:rsid w:val="00A116CF"/>
    <w:rsid w:val="00A1265C"/>
    <w:rsid w:val="00A1286B"/>
    <w:rsid w:val="00A12896"/>
    <w:rsid w:val="00A1351E"/>
    <w:rsid w:val="00A1551C"/>
    <w:rsid w:val="00A160A1"/>
    <w:rsid w:val="00A173E3"/>
    <w:rsid w:val="00A1763D"/>
    <w:rsid w:val="00A17CEC"/>
    <w:rsid w:val="00A211BC"/>
    <w:rsid w:val="00A21561"/>
    <w:rsid w:val="00A222CF"/>
    <w:rsid w:val="00A22CF2"/>
    <w:rsid w:val="00A235A2"/>
    <w:rsid w:val="00A23AAA"/>
    <w:rsid w:val="00A243F8"/>
    <w:rsid w:val="00A25A97"/>
    <w:rsid w:val="00A25B60"/>
    <w:rsid w:val="00A26868"/>
    <w:rsid w:val="00A268A5"/>
    <w:rsid w:val="00A27EF0"/>
    <w:rsid w:val="00A30CD3"/>
    <w:rsid w:val="00A31142"/>
    <w:rsid w:val="00A31C7A"/>
    <w:rsid w:val="00A330BE"/>
    <w:rsid w:val="00A35B9F"/>
    <w:rsid w:val="00A3707C"/>
    <w:rsid w:val="00A419D8"/>
    <w:rsid w:val="00A42361"/>
    <w:rsid w:val="00A444A6"/>
    <w:rsid w:val="00A44703"/>
    <w:rsid w:val="00A47EAF"/>
    <w:rsid w:val="00A50751"/>
    <w:rsid w:val="00A50B20"/>
    <w:rsid w:val="00A50C60"/>
    <w:rsid w:val="00A51390"/>
    <w:rsid w:val="00A5158D"/>
    <w:rsid w:val="00A51F96"/>
    <w:rsid w:val="00A524C7"/>
    <w:rsid w:val="00A54369"/>
    <w:rsid w:val="00A5436A"/>
    <w:rsid w:val="00A54F19"/>
    <w:rsid w:val="00A5644A"/>
    <w:rsid w:val="00A56C47"/>
    <w:rsid w:val="00A57E41"/>
    <w:rsid w:val="00A60D13"/>
    <w:rsid w:val="00A612B1"/>
    <w:rsid w:val="00A61EB4"/>
    <w:rsid w:val="00A6271F"/>
    <w:rsid w:val="00A647DE"/>
    <w:rsid w:val="00A64DF6"/>
    <w:rsid w:val="00A653CE"/>
    <w:rsid w:val="00A65D04"/>
    <w:rsid w:val="00A65D1B"/>
    <w:rsid w:val="00A6643A"/>
    <w:rsid w:val="00A6650B"/>
    <w:rsid w:val="00A67AAF"/>
    <w:rsid w:val="00A708B6"/>
    <w:rsid w:val="00A70B40"/>
    <w:rsid w:val="00A71E16"/>
    <w:rsid w:val="00A71EAE"/>
    <w:rsid w:val="00A720C1"/>
    <w:rsid w:val="00A72745"/>
    <w:rsid w:val="00A735C8"/>
    <w:rsid w:val="00A73934"/>
    <w:rsid w:val="00A73AF7"/>
    <w:rsid w:val="00A744F0"/>
    <w:rsid w:val="00A7633C"/>
    <w:rsid w:val="00A76EFC"/>
    <w:rsid w:val="00A81641"/>
    <w:rsid w:val="00A81A96"/>
    <w:rsid w:val="00A827A5"/>
    <w:rsid w:val="00A83356"/>
    <w:rsid w:val="00A834F9"/>
    <w:rsid w:val="00A83678"/>
    <w:rsid w:val="00A83B09"/>
    <w:rsid w:val="00A84101"/>
    <w:rsid w:val="00A84B73"/>
    <w:rsid w:val="00A85AA4"/>
    <w:rsid w:val="00A85CD7"/>
    <w:rsid w:val="00A86D21"/>
    <w:rsid w:val="00A87B16"/>
    <w:rsid w:val="00A90939"/>
    <w:rsid w:val="00A91010"/>
    <w:rsid w:val="00A912A8"/>
    <w:rsid w:val="00A92021"/>
    <w:rsid w:val="00A9219E"/>
    <w:rsid w:val="00A934E7"/>
    <w:rsid w:val="00A9420B"/>
    <w:rsid w:val="00A94B5B"/>
    <w:rsid w:val="00A95EC5"/>
    <w:rsid w:val="00A960E2"/>
    <w:rsid w:val="00A97F29"/>
    <w:rsid w:val="00AA0888"/>
    <w:rsid w:val="00AA1267"/>
    <w:rsid w:val="00AA1DCE"/>
    <w:rsid w:val="00AA2C02"/>
    <w:rsid w:val="00AA40BF"/>
    <w:rsid w:val="00AA43E1"/>
    <w:rsid w:val="00AA65B4"/>
    <w:rsid w:val="00AA702E"/>
    <w:rsid w:val="00AB0964"/>
    <w:rsid w:val="00AB09D4"/>
    <w:rsid w:val="00AB0A3B"/>
    <w:rsid w:val="00AB0B73"/>
    <w:rsid w:val="00AB3696"/>
    <w:rsid w:val="00AB5011"/>
    <w:rsid w:val="00AB5378"/>
    <w:rsid w:val="00AB5A8E"/>
    <w:rsid w:val="00AB5BDB"/>
    <w:rsid w:val="00AB6E10"/>
    <w:rsid w:val="00AB7137"/>
    <w:rsid w:val="00AC0A00"/>
    <w:rsid w:val="00AC3226"/>
    <w:rsid w:val="00AC4ABA"/>
    <w:rsid w:val="00AC4D84"/>
    <w:rsid w:val="00AC5777"/>
    <w:rsid w:val="00AC5BED"/>
    <w:rsid w:val="00AC5F0F"/>
    <w:rsid w:val="00AC61B6"/>
    <w:rsid w:val="00AC6A75"/>
    <w:rsid w:val="00AC6F6A"/>
    <w:rsid w:val="00AC7368"/>
    <w:rsid w:val="00AD0462"/>
    <w:rsid w:val="00AD1593"/>
    <w:rsid w:val="00AD16B9"/>
    <w:rsid w:val="00AD2151"/>
    <w:rsid w:val="00AD21F8"/>
    <w:rsid w:val="00AD4FFE"/>
    <w:rsid w:val="00AD6F7A"/>
    <w:rsid w:val="00AD7B6F"/>
    <w:rsid w:val="00AE053A"/>
    <w:rsid w:val="00AE0F4C"/>
    <w:rsid w:val="00AE20C7"/>
    <w:rsid w:val="00AE2724"/>
    <w:rsid w:val="00AE377D"/>
    <w:rsid w:val="00AE4A3A"/>
    <w:rsid w:val="00AE5B6C"/>
    <w:rsid w:val="00AE74E8"/>
    <w:rsid w:val="00AF0061"/>
    <w:rsid w:val="00AF0A60"/>
    <w:rsid w:val="00AF0EBA"/>
    <w:rsid w:val="00AF4205"/>
    <w:rsid w:val="00AF4999"/>
    <w:rsid w:val="00AF5810"/>
    <w:rsid w:val="00AF5DDF"/>
    <w:rsid w:val="00B0227B"/>
    <w:rsid w:val="00B02C8A"/>
    <w:rsid w:val="00B04239"/>
    <w:rsid w:val="00B0457E"/>
    <w:rsid w:val="00B07702"/>
    <w:rsid w:val="00B106A4"/>
    <w:rsid w:val="00B10E26"/>
    <w:rsid w:val="00B127BF"/>
    <w:rsid w:val="00B12C64"/>
    <w:rsid w:val="00B155BC"/>
    <w:rsid w:val="00B1599F"/>
    <w:rsid w:val="00B16531"/>
    <w:rsid w:val="00B172E4"/>
    <w:rsid w:val="00B17FBD"/>
    <w:rsid w:val="00B20F87"/>
    <w:rsid w:val="00B21E5B"/>
    <w:rsid w:val="00B22CBE"/>
    <w:rsid w:val="00B2385A"/>
    <w:rsid w:val="00B268BA"/>
    <w:rsid w:val="00B27EA3"/>
    <w:rsid w:val="00B30B44"/>
    <w:rsid w:val="00B310A4"/>
    <w:rsid w:val="00B315A6"/>
    <w:rsid w:val="00B316A2"/>
    <w:rsid w:val="00B31813"/>
    <w:rsid w:val="00B32DC7"/>
    <w:rsid w:val="00B33365"/>
    <w:rsid w:val="00B33A76"/>
    <w:rsid w:val="00B350EA"/>
    <w:rsid w:val="00B35403"/>
    <w:rsid w:val="00B3586B"/>
    <w:rsid w:val="00B36552"/>
    <w:rsid w:val="00B41369"/>
    <w:rsid w:val="00B41394"/>
    <w:rsid w:val="00B416F4"/>
    <w:rsid w:val="00B41D86"/>
    <w:rsid w:val="00B42ABE"/>
    <w:rsid w:val="00B43169"/>
    <w:rsid w:val="00B43A70"/>
    <w:rsid w:val="00B44620"/>
    <w:rsid w:val="00B45814"/>
    <w:rsid w:val="00B46C61"/>
    <w:rsid w:val="00B47F42"/>
    <w:rsid w:val="00B50AD9"/>
    <w:rsid w:val="00B530F7"/>
    <w:rsid w:val="00B5446F"/>
    <w:rsid w:val="00B54DB2"/>
    <w:rsid w:val="00B54FFA"/>
    <w:rsid w:val="00B550A0"/>
    <w:rsid w:val="00B556D9"/>
    <w:rsid w:val="00B57B36"/>
    <w:rsid w:val="00B57E6F"/>
    <w:rsid w:val="00B608B8"/>
    <w:rsid w:val="00B612AD"/>
    <w:rsid w:val="00B6150A"/>
    <w:rsid w:val="00B61CF9"/>
    <w:rsid w:val="00B63B37"/>
    <w:rsid w:val="00B65E95"/>
    <w:rsid w:val="00B663C7"/>
    <w:rsid w:val="00B67621"/>
    <w:rsid w:val="00B70038"/>
    <w:rsid w:val="00B70FFD"/>
    <w:rsid w:val="00B710D1"/>
    <w:rsid w:val="00B71493"/>
    <w:rsid w:val="00B729D9"/>
    <w:rsid w:val="00B729FB"/>
    <w:rsid w:val="00B72DB6"/>
    <w:rsid w:val="00B730AF"/>
    <w:rsid w:val="00B73B7B"/>
    <w:rsid w:val="00B73D7C"/>
    <w:rsid w:val="00B7429B"/>
    <w:rsid w:val="00B74B8F"/>
    <w:rsid w:val="00B757CF"/>
    <w:rsid w:val="00B7697D"/>
    <w:rsid w:val="00B7729B"/>
    <w:rsid w:val="00B77B06"/>
    <w:rsid w:val="00B803E3"/>
    <w:rsid w:val="00B8157B"/>
    <w:rsid w:val="00B8161E"/>
    <w:rsid w:val="00B81651"/>
    <w:rsid w:val="00B8178C"/>
    <w:rsid w:val="00B817C9"/>
    <w:rsid w:val="00B818A8"/>
    <w:rsid w:val="00B835E6"/>
    <w:rsid w:val="00B844BA"/>
    <w:rsid w:val="00B84B6B"/>
    <w:rsid w:val="00B84F1A"/>
    <w:rsid w:val="00B853B8"/>
    <w:rsid w:val="00B8551A"/>
    <w:rsid w:val="00B85FFC"/>
    <w:rsid w:val="00B8649C"/>
    <w:rsid w:val="00B8686D"/>
    <w:rsid w:val="00B90245"/>
    <w:rsid w:val="00B90E9E"/>
    <w:rsid w:val="00B91494"/>
    <w:rsid w:val="00B92125"/>
    <w:rsid w:val="00B93002"/>
    <w:rsid w:val="00B9371D"/>
    <w:rsid w:val="00B93F69"/>
    <w:rsid w:val="00B94C00"/>
    <w:rsid w:val="00B94DC8"/>
    <w:rsid w:val="00B94F24"/>
    <w:rsid w:val="00B95794"/>
    <w:rsid w:val="00B96623"/>
    <w:rsid w:val="00B97B25"/>
    <w:rsid w:val="00BA0527"/>
    <w:rsid w:val="00BA0B93"/>
    <w:rsid w:val="00BA17DD"/>
    <w:rsid w:val="00BA1F53"/>
    <w:rsid w:val="00BA2DDB"/>
    <w:rsid w:val="00BA2F01"/>
    <w:rsid w:val="00BA4BCE"/>
    <w:rsid w:val="00BA5773"/>
    <w:rsid w:val="00BA6058"/>
    <w:rsid w:val="00BA7B14"/>
    <w:rsid w:val="00BA7D47"/>
    <w:rsid w:val="00BB1DDC"/>
    <w:rsid w:val="00BB28CD"/>
    <w:rsid w:val="00BB3269"/>
    <w:rsid w:val="00BB4E92"/>
    <w:rsid w:val="00BB6092"/>
    <w:rsid w:val="00BB7A4A"/>
    <w:rsid w:val="00BC06E1"/>
    <w:rsid w:val="00BC09A1"/>
    <w:rsid w:val="00BC19D7"/>
    <w:rsid w:val="00BC30C9"/>
    <w:rsid w:val="00BC31D3"/>
    <w:rsid w:val="00BC4A5C"/>
    <w:rsid w:val="00BC5307"/>
    <w:rsid w:val="00BD077D"/>
    <w:rsid w:val="00BD20DD"/>
    <w:rsid w:val="00BD3CB7"/>
    <w:rsid w:val="00BD44DB"/>
    <w:rsid w:val="00BD473D"/>
    <w:rsid w:val="00BD4AD1"/>
    <w:rsid w:val="00BD6216"/>
    <w:rsid w:val="00BD67E9"/>
    <w:rsid w:val="00BD6946"/>
    <w:rsid w:val="00BD7151"/>
    <w:rsid w:val="00BD71AC"/>
    <w:rsid w:val="00BD76D8"/>
    <w:rsid w:val="00BD7EA7"/>
    <w:rsid w:val="00BE047D"/>
    <w:rsid w:val="00BE0937"/>
    <w:rsid w:val="00BE1F02"/>
    <w:rsid w:val="00BE20C3"/>
    <w:rsid w:val="00BE2EBE"/>
    <w:rsid w:val="00BE3E57"/>
    <w:rsid w:val="00BE3E58"/>
    <w:rsid w:val="00BE482A"/>
    <w:rsid w:val="00BE49A0"/>
    <w:rsid w:val="00BE5336"/>
    <w:rsid w:val="00BE56A8"/>
    <w:rsid w:val="00BE5C54"/>
    <w:rsid w:val="00BE5F93"/>
    <w:rsid w:val="00BE6749"/>
    <w:rsid w:val="00BF0495"/>
    <w:rsid w:val="00BF08B4"/>
    <w:rsid w:val="00BF5613"/>
    <w:rsid w:val="00BF7B0F"/>
    <w:rsid w:val="00C01616"/>
    <w:rsid w:val="00C0162B"/>
    <w:rsid w:val="00C02838"/>
    <w:rsid w:val="00C035DE"/>
    <w:rsid w:val="00C053BC"/>
    <w:rsid w:val="00C05515"/>
    <w:rsid w:val="00C068ED"/>
    <w:rsid w:val="00C06D98"/>
    <w:rsid w:val="00C105EB"/>
    <w:rsid w:val="00C108BA"/>
    <w:rsid w:val="00C117A4"/>
    <w:rsid w:val="00C11F41"/>
    <w:rsid w:val="00C12FF2"/>
    <w:rsid w:val="00C1344B"/>
    <w:rsid w:val="00C14214"/>
    <w:rsid w:val="00C14C7B"/>
    <w:rsid w:val="00C15F7A"/>
    <w:rsid w:val="00C16421"/>
    <w:rsid w:val="00C174A2"/>
    <w:rsid w:val="00C2033A"/>
    <w:rsid w:val="00C22C65"/>
    <w:rsid w:val="00C22E0C"/>
    <w:rsid w:val="00C240C2"/>
    <w:rsid w:val="00C24437"/>
    <w:rsid w:val="00C25E3B"/>
    <w:rsid w:val="00C2644D"/>
    <w:rsid w:val="00C2670C"/>
    <w:rsid w:val="00C2671F"/>
    <w:rsid w:val="00C30D69"/>
    <w:rsid w:val="00C31D9D"/>
    <w:rsid w:val="00C32D70"/>
    <w:rsid w:val="00C33D2E"/>
    <w:rsid w:val="00C3404E"/>
    <w:rsid w:val="00C3445F"/>
    <w:rsid w:val="00C345B1"/>
    <w:rsid w:val="00C349FF"/>
    <w:rsid w:val="00C35061"/>
    <w:rsid w:val="00C35DA6"/>
    <w:rsid w:val="00C36FB3"/>
    <w:rsid w:val="00C3785F"/>
    <w:rsid w:val="00C40142"/>
    <w:rsid w:val="00C40795"/>
    <w:rsid w:val="00C40EC3"/>
    <w:rsid w:val="00C42343"/>
    <w:rsid w:val="00C43A89"/>
    <w:rsid w:val="00C44353"/>
    <w:rsid w:val="00C44F41"/>
    <w:rsid w:val="00C46AD4"/>
    <w:rsid w:val="00C474BB"/>
    <w:rsid w:val="00C50F5C"/>
    <w:rsid w:val="00C51E74"/>
    <w:rsid w:val="00C51F48"/>
    <w:rsid w:val="00C52084"/>
    <w:rsid w:val="00C52394"/>
    <w:rsid w:val="00C52C3C"/>
    <w:rsid w:val="00C537C2"/>
    <w:rsid w:val="00C5439F"/>
    <w:rsid w:val="00C55CF3"/>
    <w:rsid w:val="00C56238"/>
    <w:rsid w:val="00C57182"/>
    <w:rsid w:val="00C575ED"/>
    <w:rsid w:val="00C57863"/>
    <w:rsid w:val="00C60622"/>
    <w:rsid w:val="00C612D8"/>
    <w:rsid w:val="00C633CB"/>
    <w:rsid w:val="00C6488C"/>
    <w:rsid w:val="00C655FD"/>
    <w:rsid w:val="00C66000"/>
    <w:rsid w:val="00C66CBA"/>
    <w:rsid w:val="00C67175"/>
    <w:rsid w:val="00C67AF0"/>
    <w:rsid w:val="00C67D6C"/>
    <w:rsid w:val="00C72CF0"/>
    <w:rsid w:val="00C73562"/>
    <w:rsid w:val="00C73C66"/>
    <w:rsid w:val="00C74B57"/>
    <w:rsid w:val="00C75104"/>
    <w:rsid w:val="00C75407"/>
    <w:rsid w:val="00C7558F"/>
    <w:rsid w:val="00C777FA"/>
    <w:rsid w:val="00C801A5"/>
    <w:rsid w:val="00C80AD4"/>
    <w:rsid w:val="00C80BE9"/>
    <w:rsid w:val="00C82E73"/>
    <w:rsid w:val="00C834B2"/>
    <w:rsid w:val="00C84573"/>
    <w:rsid w:val="00C84585"/>
    <w:rsid w:val="00C8489F"/>
    <w:rsid w:val="00C85C25"/>
    <w:rsid w:val="00C86CA1"/>
    <w:rsid w:val="00C86FD8"/>
    <w:rsid w:val="00C870A8"/>
    <w:rsid w:val="00C8784D"/>
    <w:rsid w:val="00C911D6"/>
    <w:rsid w:val="00C91CC1"/>
    <w:rsid w:val="00C92412"/>
    <w:rsid w:val="00C926B2"/>
    <w:rsid w:val="00C933F0"/>
    <w:rsid w:val="00C93949"/>
    <w:rsid w:val="00C94434"/>
    <w:rsid w:val="00C94A96"/>
    <w:rsid w:val="00C95CFD"/>
    <w:rsid w:val="00C96865"/>
    <w:rsid w:val="00C97547"/>
    <w:rsid w:val="00C977D3"/>
    <w:rsid w:val="00CA005F"/>
    <w:rsid w:val="00CA0B16"/>
    <w:rsid w:val="00CA0D75"/>
    <w:rsid w:val="00CA13A4"/>
    <w:rsid w:val="00CA1C95"/>
    <w:rsid w:val="00CA35D2"/>
    <w:rsid w:val="00CA5590"/>
    <w:rsid w:val="00CA5A9C"/>
    <w:rsid w:val="00CA6641"/>
    <w:rsid w:val="00CA7B9D"/>
    <w:rsid w:val="00CA7D65"/>
    <w:rsid w:val="00CB04DE"/>
    <w:rsid w:val="00CB1E0E"/>
    <w:rsid w:val="00CB20E5"/>
    <w:rsid w:val="00CB21A8"/>
    <w:rsid w:val="00CB247C"/>
    <w:rsid w:val="00CB3A31"/>
    <w:rsid w:val="00CB5DF8"/>
    <w:rsid w:val="00CB6597"/>
    <w:rsid w:val="00CB65B9"/>
    <w:rsid w:val="00CB75CC"/>
    <w:rsid w:val="00CC012E"/>
    <w:rsid w:val="00CC014E"/>
    <w:rsid w:val="00CC0F25"/>
    <w:rsid w:val="00CC1BFB"/>
    <w:rsid w:val="00CC1FAE"/>
    <w:rsid w:val="00CC4052"/>
    <w:rsid w:val="00CC4C20"/>
    <w:rsid w:val="00CC58CD"/>
    <w:rsid w:val="00CC5E6E"/>
    <w:rsid w:val="00CC6517"/>
    <w:rsid w:val="00CD3517"/>
    <w:rsid w:val="00CD433D"/>
    <w:rsid w:val="00CD5405"/>
    <w:rsid w:val="00CD56DF"/>
    <w:rsid w:val="00CD5FE2"/>
    <w:rsid w:val="00CD7F57"/>
    <w:rsid w:val="00CE016C"/>
    <w:rsid w:val="00CE1096"/>
    <w:rsid w:val="00CE1153"/>
    <w:rsid w:val="00CE3975"/>
    <w:rsid w:val="00CE4118"/>
    <w:rsid w:val="00CE62B5"/>
    <w:rsid w:val="00CE7173"/>
    <w:rsid w:val="00CE7C68"/>
    <w:rsid w:val="00CF09C0"/>
    <w:rsid w:val="00CF2B0A"/>
    <w:rsid w:val="00CF3279"/>
    <w:rsid w:val="00CF6AA6"/>
    <w:rsid w:val="00CF6D55"/>
    <w:rsid w:val="00D001AD"/>
    <w:rsid w:val="00D004EC"/>
    <w:rsid w:val="00D01F87"/>
    <w:rsid w:val="00D02B4C"/>
    <w:rsid w:val="00D0346C"/>
    <w:rsid w:val="00D040C4"/>
    <w:rsid w:val="00D061D3"/>
    <w:rsid w:val="00D067E3"/>
    <w:rsid w:val="00D069A4"/>
    <w:rsid w:val="00D06F58"/>
    <w:rsid w:val="00D07960"/>
    <w:rsid w:val="00D1084B"/>
    <w:rsid w:val="00D1192C"/>
    <w:rsid w:val="00D119C4"/>
    <w:rsid w:val="00D1369E"/>
    <w:rsid w:val="00D136D0"/>
    <w:rsid w:val="00D13C80"/>
    <w:rsid w:val="00D150CE"/>
    <w:rsid w:val="00D16DB2"/>
    <w:rsid w:val="00D20B84"/>
    <w:rsid w:val="00D2127C"/>
    <w:rsid w:val="00D21A10"/>
    <w:rsid w:val="00D234C4"/>
    <w:rsid w:val="00D25BFB"/>
    <w:rsid w:val="00D2768D"/>
    <w:rsid w:val="00D279AA"/>
    <w:rsid w:val="00D308BD"/>
    <w:rsid w:val="00D30BA9"/>
    <w:rsid w:val="00D31247"/>
    <w:rsid w:val="00D32018"/>
    <w:rsid w:val="00D328F7"/>
    <w:rsid w:val="00D332C2"/>
    <w:rsid w:val="00D34643"/>
    <w:rsid w:val="00D3548A"/>
    <w:rsid w:val="00D375C5"/>
    <w:rsid w:val="00D37A0E"/>
    <w:rsid w:val="00D424B7"/>
    <w:rsid w:val="00D444F6"/>
    <w:rsid w:val="00D463E4"/>
    <w:rsid w:val="00D468FF"/>
    <w:rsid w:val="00D46B7E"/>
    <w:rsid w:val="00D477CE"/>
    <w:rsid w:val="00D47D60"/>
    <w:rsid w:val="00D52DDE"/>
    <w:rsid w:val="00D5303F"/>
    <w:rsid w:val="00D536BD"/>
    <w:rsid w:val="00D54434"/>
    <w:rsid w:val="00D54BB3"/>
    <w:rsid w:val="00D55A80"/>
    <w:rsid w:val="00D55CC0"/>
    <w:rsid w:val="00D56890"/>
    <w:rsid w:val="00D5694C"/>
    <w:rsid w:val="00D57168"/>
    <w:rsid w:val="00D57C84"/>
    <w:rsid w:val="00D6057D"/>
    <w:rsid w:val="00D61252"/>
    <w:rsid w:val="00D615EE"/>
    <w:rsid w:val="00D61E4C"/>
    <w:rsid w:val="00D62507"/>
    <w:rsid w:val="00D636C6"/>
    <w:rsid w:val="00D66451"/>
    <w:rsid w:val="00D705BC"/>
    <w:rsid w:val="00D70785"/>
    <w:rsid w:val="00D710AB"/>
    <w:rsid w:val="00D722AE"/>
    <w:rsid w:val="00D72B37"/>
    <w:rsid w:val="00D74AD1"/>
    <w:rsid w:val="00D74AF9"/>
    <w:rsid w:val="00D75220"/>
    <w:rsid w:val="00D76D41"/>
    <w:rsid w:val="00D8180F"/>
    <w:rsid w:val="00D82199"/>
    <w:rsid w:val="00D836C5"/>
    <w:rsid w:val="00D8434E"/>
    <w:rsid w:val="00D84576"/>
    <w:rsid w:val="00D846FC"/>
    <w:rsid w:val="00D847D1"/>
    <w:rsid w:val="00D90611"/>
    <w:rsid w:val="00D90757"/>
    <w:rsid w:val="00D9077A"/>
    <w:rsid w:val="00D90783"/>
    <w:rsid w:val="00D91F9A"/>
    <w:rsid w:val="00D92580"/>
    <w:rsid w:val="00D93651"/>
    <w:rsid w:val="00D93F3B"/>
    <w:rsid w:val="00D970F8"/>
    <w:rsid w:val="00DA1399"/>
    <w:rsid w:val="00DA2046"/>
    <w:rsid w:val="00DA2083"/>
    <w:rsid w:val="00DA24C6"/>
    <w:rsid w:val="00DA25FB"/>
    <w:rsid w:val="00DA2AE4"/>
    <w:rsid w:val="00DA4169"/>
    <w:rsid w:val="00DA4D7B"/>
    <w:rsid w:val="00DA7478"/>
    <w:rsid w:val="00DA7846"/>
    <w:rsid w:val="00DB0709"/>
    <w:rsid w:val="00DB1197"/>
    <w:rsid w:val="00DB3D8F"/>
    <w:rsid w:val="00DB49FD"/>
    <w:rsid w:val="00DB7051"/>
    <w:rsid w:val="00DB753C"/>
    <w:rsid w:val="00DB75CC"/>
    <w:rsid w:val="00DC0C5A"/>
    <w:rsid w:val="00DC6815"/>
    <w:rsid w:val="00DC745A"/>
    <w:rsid w:val="00DC7D56"/>
    <w:rsid w:val="00DD0C70"/>
    <w:rsid w:val="00DD14D3"/>
    <w:rsid w:val="00DD1890"/>
    <w:rsid w:val="00DD3784"/>
    <w:rsid w:val="00DD3A7D"/>
    <w:rsid w:val="00DD4118"/>
    <w:rsid w:val="00DD4AF7"/>
    <w:rsid w:val="00DD4F1F"/>
    <w:rsid w:val="00DD6C11"/>
    <w:rsid w:val="00DD6FF3"/>
    <w:rsid w:val="00DE1458"/>
    <w:rsid w:val="00DE1C36"/>
    <w:rsid w:val="00DE264A"/>
    <w:rsid w:val="00DE3A33"/>
    <w:rsid w:val="00DE3B4A"/>
    <w:rsid w:val="00DE44C7"/>
    <w:rsid w:val="00DE4AB9"/>
    <w:rsid w:val="00DE5BF7"/>
    <w:rsid w:val="00DE6C2C"/>
    <w:rsid w:val="00DF00AB"/>
    <w:rsid w:val="00DF0420"/>
    <w:rsid w:val="00DF2AB2"/>
    <w:rsid w:val="00DF3CD1"/>
    <w:rsid w:val="00DF3DA6"/>
    <w:rsid w:val="00DF494F"/>
    <w:rsid w:val="00DF5072"/>
    <w:rsid w:val="00DF537E"/>
    <w:rsid w:val="00DF589A"/>
    <w:rsid w:val="00DF5A26"/>
    <w:rsid w:val="00E00D11"/>
    <w:rsid w:val="00E013B6"/>
    <w:rsid w:val="00E01498"/>
    <w:rsid w:val="00E01637"/>
    <w:rsid w:val="00E0282A"/>
    <w:rsid w:val="00E02D18"/>
    <w:rsid w:val="00E02DBE"/>
    <w:rsid w:val="00E02F7F"/>
    <w:rsid w:val="00E038CA"/>
    <w:rsid w:val="00E041E7"/>
    <w:rsid w:val="00E04762"/>
    <w:rsid w:val="00E04B69"/>
    <w:rsid w:val="00E05B8B"/>
    <w:rsid w:val="00E07ED1"/>
    <w:rsid w:val="00E10820"/>
    <w:rsid w:val="00E10EE0"/>
    <w:rsid w:val="00E1163D"/>
    <w:rsid w:val="00E129BE"/>
    <w:rsid w:val="00E12B24"/>
    <w:rsid w:val="00E12C3D"/>
    <w:rsid w:val="00E13F0C"/>
    <w:rsid w:val="00E15078"/>
    <w:rsid w:val="00E16E17"/>
    <w:rsid w:val="00E171CD"/>
    <w:rsid w:val="00E17310"/>
    <w:rsid w:val="00E2129D"/>
    <w:rsid w:val="00E21C3F"/>
    <w:rsid w:val="00E2211B"/>
    <w:rsid w:val="00E239FE"/>
    <w:rsid w:val="00E23CA1"/>
    <w:rsid w:val="00E2411C"/>
    <w:rsid w:val="00E245CE"/>
    <w:rsid w:val="00E25A14"/>
    <w:rsid w:val="00E25B5A"/>
    <w:rsid w:val="00E27423"/>
    <w:rsid w:val="00E3048E"/>
    <w:rsid w:val="00E319CE"/>
    <w:rsid w:val="00E3252B"/>
    <w:rsid w:val="00E33181"/>
    <w:rsid w:val="00E337C2"/>
    <w:rsid w:val="00E338C0"/>
    <w:rsid w:val="00E34D3E"/>
    <w:rsid w:val="00E34F82"/>
    <w:rsid w:val="00E351C3"/>
    <w:rsid w:val="00E359FB"/>
    <w:rsid w:val="00E375E9"/>
    <w:rsid w:val="00E403F7"/>
    <w:rsid w:val="00E40951"/>
    <w:rsid w:val="00E409A8"/>
    <w:rsid w:val="00E4116E"/>
    <w:rsid w:val="00E41A90"/>
    <w:rsid w:val="00E41BD0"/>
    <w:rsid w:val="00E423D5"/>
    <w:rsid w:val="00E42C4C"/>
    <w:rsid w:val="00E432D2"/>
    <w:rsid w:val="00E43D1C"/>
    <w:rsid w:val="00E43EBC"/>
    <w:rsid w:val="00E447E5"/>
    <w:rsid w:val="00E44A56"/>
    <w:rsid w:val="00E47721"/>
    <w:rsid w:val="00E503AF"/>
    <w:rsid w:val="00E509A9"/>
    <w:rsid w:val="00E50C12"/>
    <w:rsid w:val="00E515AE"/>
    <w:rsid w:val="00E54189"/>
    <w:rsid w:val="00E54733"/>
    <w:rsid w:val="00E57AE8"/>
    <w:rsid w:val="00E57B4A"/>
    <w:rsid w:val="00E613EC"/>
    <w:rsid w:val="00E646EE"/>
    <w:rsid w:val="00E64992"/>
    <w:rsid w:val="00E65B91"/>
    <w:rsid w:val="00E65F3A"/>
    <w:rsid w:val="00E6650D"/>
    <w:rsid w:val="00E67609"/>
    <w:rsid w:val="00E67E84"/>
    <w:rsid w:val="00E708F5"/>
    <w:rsid w:val="00E71933"/>
    <w:rsid w:val="00E71CD4"/>
    <w:rsid w:val="00E7209D"/>
    <w:rsid w:val="00E72EAD"/>
    <w:rsid w:val="00E73825"/>
    <w:rsid w:val="00E7444D"/>
    <w:rsid w:val="00E74AC3"/>
    <w:rsid w:val="00E74FF2"/>
    <w:rsid w:val="00E75260"/>
    <w:rsid w:val="00E77223"/>
    <w:rsid w:val="00E779A4"/>
    <w:rsid w:val="00E77C0D"/>
    <w:rsid w:val="00E80524"/>
    <w:rsid w:val="00E81581"/>
    <w:rsid w:val="00E81745"/>
    <w:rsid w:val="00E85107"/>
    <w:rsid w:val="00E85248"/>
    <w:rsid w:val="00E8528B"/>
    <w:rsid w:val="00E85B94"/>
    <w:rsid w:val="00E8629A"/>
    <w:rsid w:val="00E862F6"/>
    <w:rsid w:val="00E87DBD"/>
    <w:rsid w:val="00E903ED"/>
    <w:rsid w:val="00E91193"/>
    <w:rsid w:val="00E917F5"/>
    <w:rsid w:val="00E93306"/>
    <w:rsid w:val="00E940DC"/>
    <w:rsid w:val="00E9451C"/>
    <w:rsid w:val="00E94F42"/>
    <w:rsid w:val="00E95439"/>
    <w:rsid w:val="00E960CB"/>
    <w:rsid w:val="00E964E3"/>
    <w:rsid w:val="00E978D0"/>
    <w:rsid w:val="00E97D9F"/>
    <w:rsid w:val="00EA1319"/>
    <w:rsid w:val="00EA1BB2"/>
    <w:rsid w:val="00EA23DD"/>
    <w:rsid w:val="00EA2657"/>
    <w:rsid w:val="00EA2795"/>
    <w:rsid w:val="00EA3242"/>
    <w:rsid w:val="00EA4613"/>
    <w:rsid w:val="00EA520E"/>
    <w:rsid w:val="00EA5401"/>
    <w:rsid w:val="00EA550D"/>
    <w:rsid w:val="00EA6073"/>
    <w:rsid w:val="00EA6623"/>
    <w:rsid w:val="00EA681B"/>
    <w:rsid w:val="00EA6D8E"/>
    <w:rsid w:val="00EA6F51"/>
    <w:rsid w:val="00EA701E"/>
    <w:rsid w:val="00EA77C9"/>
    <w:rsid w:val="00EA79F7"/>
    <w:rsid w:val="00EA7F91"/>
    <w:rsid w:val="00EB1523"/>
    <w:rsid w:val="00EB5AC0"/>
    <w:rsid w:val="00EB67F5"/>
    <w:rsid w:val="00EC0E49"/>
    <w:rsid w:val="00EC101F"/>
    <w:rsid w:val="00EC1C19"/>
    <w:rsid w:val="00EC1C22"/>
    <w:rsid w:val="00EC1C9D"/>
    <w:rsid w:val="00EC1D9F"/>
    <w:rsid w:val="00EC2BFC"/>
    <w:rsid w:val="00EC381D"/>
    <w:rsid w:val="00EC52F3"/>
    <w:rsid w:val="00EC5483"/>
    <w:rsid w:val="00EC57B1"/>
    <w:rsid w:val="00EC7C35"/>
    <w:rsid w:val="00ED0DDE"/>
    <w:rsid w:val="00ED1307"/>
    <w:rsid w:val="00ED17CC"/>
    <w:rsid w:val="00ED2A29"/>
    <w:rsid w:val="00ED2D1D"/>
    <w:rsid w:val="00ED305A"/>
    <w:rsid w:val="00ED497F"/>
    <w:rsid w:val="00ED4F06"/>
    <w:rsid w:val="00ED6B5C"/>
    <w:rsid w:val="00ED740F"/>
    <w:rsid w:val="00EE0131"/>
    <w:rsid w:val="00EE140B"/>
    <w:rsid w:val="00EE17B0"/>
    <w:rsid w:val="00EE26EB"/>
    <w:rsid w:val="00EE2717"/>
    <w:rsid w:val="00EE3344"/>
    <w:rsid w:val="00EE47F0"/>
    <w:rsid w:val="00EE5932"/>
    <w:rsid w:val="00EE59E9"/>
    <w:rsid w:val="00EE5F14"/>
    <w:rsid w:val="00EE72E9"/>
    <w:rsid w:val="00EF06D9"/>
    <w:rsid w:val="00EF17F3"/>
    <w:rsid w:val="00EF18BB"/>
    <w:rsid w:val="00EF1EEF"/>
    <w:rsid w:val="00EF3A4D"/>
    <w:rsid w:val="00EF4D89"/>
    <w:rsid w:val="00EF62E4"/>
    <w:rsid w:val="00EF7E4C"/>
    <w:rsid w:val="00F017C1"/>
    <w:rsid w:val="00F0380C"/>
    <w:rsid w:val="00F03B59"/>
    <w:rsid w:val="00F057E5"/>
    <w:rsid w:val="00F05AB7"/>
    <w:rsid w:val="00F077FA"/>
    <w:rsid w:val="00F101E0"/>
    <w:rsid w:val="00F10385"/>
    <w:rsid w:val="00F113C1"/>
    <w:rsid w:val="00F1154A"/>
    <w:rsid w:val="00F130EB"/>
    <w:rsid w:val="00F144AC"/>
    <w:rsid w:val="00F152C4"/>
    <w:rsid w:val="00F15719"/>
    <w:rsid w:val="00F16621"/>
    <w:rsid w:val="00F169F2"/>
    <w:rsid w:val="00F16E97"/>
    <w:rsid w:val="00F17516"/>
    <w:rsid w:val="00F20783"/>
    <w:rsid w:val="00F2114C"/>
    <w:rsid w:val="00F21833"/>
    <w:rsid w:val="00F219C1"/>
    <w:rsid w:val="00F22BFF"/>
    <w:rsid w:val="00F23980"/>
    <w:rsid w:val="00F24DE4"/>
    <w:rsid w:val="00F25C1B"/>
    <w:rsid w:val="00F26DB0"/>
    <w:rsid w:val="00F309C4"/>
    <w:rsid w:val="00F30C64"/>
    <w:rsid w:val="00F32BA2"/>
    <w:rsid w:val="00F32BD5"/>
    <w:rsid w:val="00F32CDB"/>
    <w:rsid w:val="00F32F84"/>
    <w:rsid w:val="00F331E5"/>
    <w:rsid w:val="00F357B5"/>
    <w:rsid w:val="00F37BA0"/>
    <w:rsid w:val="00F424EF"/>
    <w:rsid w:val="00F464E8"/>
    <w:rsid w:val="00F46A34"/>
    <w:rsid w:val="00F46F5C"/>
    <w:rsid w:val="00F50766"/>
    <w:rsid w:val="00F519CB"/>
    <w:rsid w:val="00F52B52"/>
    <w:rsid w:val="00F5308F"/>
    <w:rsid w:val="00F533D2"/>
    <w:rsid w:val="00F53533"/>
    <w:rsid w:val="00F53825"/>
    <w:rsid w:val="00F54B9A"/>
    <w:rsid w:val="00F54D32"/>
    <w:rsid w:val="00F55836"/>
    <w:rsid w:val="00F55868"/>
    <w:rsid w:val="00F565FE"/>
    <w:rsid w:val="00F56713"/>
    <w:rsid w:val="00F60356"/>
    <w:rsid w:val="00F61338"/>
    <w:rsid w:val="00F61355"/>
    <w:rsid w:val="00F61478"/>
    <w:rsid w:val="00F62445"/>
    <w:rsid w:val="00F63A70"/>
    <w:rsid w:val="00F64909"/>
    <w:rsid w:val="00F65873"/>
    <w:rsid w:val="00F66F11"/>
    <w:rsid w:val="00F67636"/>
    <w:rsid w:val="00F701F2"/>
    <w:rsid w:val="00F728B7"/>
    <w:rsid w:val="00F732F4"/>
    <w:rsid w:val="00F733DA"/>
    <w:rsid w:val="00F7444F"/>
    <w:rsid w:val="00F745EA"/>
    <w:rsid w:val="00F74788"/>
    <w:rsid w:val="00F7534E"/>
    <w:rsid w:val="00F7588A"/>
    <w:rsid w:val="00F77051"/>
    <w:rsid w:val="00F807D6"/>
    <w:rsid w:val="00F80DD0"/>
    <w:rsid w:val="00F81E15"/>
    <w:rsid w:val="00F82AFD"/>
    <w:rsid w:val="00F834B5"/>
    <w:rsid w:val="00F879F9"/>
    <w:rsid w:val="00F9134C"/>
    <w:rsid w:val="00F91F17"/>
    <w:rsid w:val="00F92281"/>
    <w:rsid w:val="00F922E6"/>
    <w:rsid w:val="00F93911"/>
    <w:rsid w:val="00F96C8D"/>
    <w:rsid w:val="00FA023D"/>
    <w:rsid w:val="00FA1295"/>
    <w:rsid w:val="00FA17C2"/>
    <w:rsid w:val="00FA1D5C"/>
    <w:rsid w:val="00FA21D0"/>
    <w:rsid w:val="00FA27EF"/>
    <w:rsid w:val="00FA3D54"/>
    <w:rsid w:val="00FA5F5F"/>
    <w:rsid w:val="00FA7739"/>
    <w:rsid w:val="00FB013E"/>
    <w:rsid w:val="00FB1595"/>
    <w:rsid w:val="00FB2144"/>
    <w:rsid w:val="00FB21BB"/>
    <w:rsid w:val="00FB3B05"/>
    <w:rsid w:val="00FB4478"/>
    <w:rsid w:val="00FB48E1"/>
    <w:rsid w:val="00FB4A05"/>
    <w:rsid w:val="00FB4CF7"/>
    <w:rsid w:val="00FB4DAE"/>
    <w:rsid w:val="00FB6092"/>
    <w:rsid w:val="00FB730C"/>
    <w:rsid w:val="00FC0F6A"/>
    <w:rsid w:val="00FC205F"/>
    <w:rsid w:val="00FC25F4"/>
    <w:rsid w:val="00FC2695"/>
    <w:rsid w:val="00FC2D95"/>
    <w:rsid w:val="00FC387D"/>
    <w:rsid w:val="00FC3E03"/>
    <w:rsid w:val="00FC3FC1"/>
    <w:rsid w:val="00FC4F33"/>
    <w:rsid w:val="00FD1B0F"/>
    <w:rsid w:val="00FD2297"/>
    <w:rsid w:val="00FD2756"/>
    <w:rsid w:val="00FD516C"/>
    <w:rsid w:val="00FD55AE"/>
    <w:rsid w:val="00FD5C33"/>
    <w:rsid w:val="00FD65A4"/>
    <w:rsid w:val="00FD68E0"/>
    <w:rsid w:val="00FD6BD7"/>
    <w:rsid w:val="00FE03C9"/>
    <w:rsid w:val="00FE08F0"/>
    <w:rsid w:val="00FE0A74"/>
    <w:rsid w:val="00FE183F"/>
    <w:rsid w:val="00FE2D9D"/>
    <w:rsid w:val="00FE4D6F"/>
    <w:rsid w:val="00FF0B39"/>
    <w:rsid w:val="00FF11C5"/>
    <w:rsid w:val="00FF1227"/>
    <w:rsid w:val="00FF2BD5"/>
    <w:rsid w:val="00FF5544"/>
    <w:rsid w:val="00FF557F"/>
    <w:rsid w:val="00FF6724"/>
    <w:rsid w:val="00FF6D3C"/>
    <w:rsid w:val="00FF754A"/>
    <w:rsid w:val="00FF76E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12E6FA5A-3B85-4D8C-BBB5-6D35047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CC405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98356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70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28259236D1F4EB86675AF4726C39A" ma:contentTypeVersion="13" ma:contentTypeDescription="Create a new document." ma:contentTypeScope="" ma:versionID="ab8a0ddbfdb6915e26f1763f7e08e724">
  <xsd:schema xmlns:xsd="http://www.w3.org/2001/XMLSchema" xmlns:xs="http://www.w3.org/2001/XMLSchema" xmlns:p="http://schemas.microsoft.com/office/2006/metadata/properties" xmlns:ns2="621d4c68-2305-4296-9bc9-4dd584d63fb8" xmlns:ns3="c102d939-7e0a-41f4-a909-f43f15b1333d" targetNamespace="http://schemas.microsoft.com/office/2006/metadata/properties" ma:root="true" ma:fieldsID="04a233ccbfa78191ba1c93184e725cef" ns2:_="" ns3:_="">
    <xsd:import namespace="621d4c68-2305-4296-9bc9-4dd584d63fb8"/>
    <xsd:import namespace="c102d939-7e0a-41f4-a909-f43f15b133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4c68-2305-4296-9bc9-4dd584d63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5e1cc0-8f73-4e4b-8bca-685fd52b35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02d939-7e0a-41f4-a909-f43f15b133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41e411-af6a-4c32-ba1d-ee5f0caab92d}" ma:internalName="TaxCatchAll" ma:showField="CatchAllData" ma:web="c102d939-7e0a-41f4-a909-f43f15b133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02d939-7e0a-41f4-a909-f43f15b1333d" xsi:nil="true"/>
    <lcf76f155ced4ddcb4097134ff3c332f xmlns="621d4c68-2305-4296-9bc9-4dd584d63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ACA0D-D9FE-4F2E-BD77-816575CEB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4c68-2305-4296-9bc9-4dd584d63fb8"/>
    <ds:schemaRef ds:uri="c102d939-7e0a-41f4-a909-f43f15b1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AAE4B-CEC2-4924-9B8A-98A28EE3B672}">
  <ds:schemaRefs>
    <ds:schemaRef ds:uri="http://schemas.microsoft.com/sharepoint/v3/contenttype/forms"/>
  </ds:schemaRefs>
</ds:datastoreItem>
</file>

<file path=customXml/itemProps3.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4.xml><?xml version="1.0" encoding="utf-8"?>
<ds:datastoreItem xmlns:ds="http://schemas.openxmlformats.org/officeDocument/2006/customXml" ds:itemID="{0710AFBA-7C98-4735-91D6-EAAB6A6D8D6C}">
  <ds:schemaRefs>
    <ds:schemaRef ds:uri="http://schemas.microsoft.com/office/2006/metadata/properties"/>
    <ds:schemaRef ds:uri="http://schemas.microsoft.com/office/infopath/2007/PartnerControls"/>
    <ds:schemaRef ds:uri="c102d939-7e0a-41f4-a909-f43f15b1333d"/>
    <ds:schemaRef ds:uri="621d4c68-2305-4296-9bc9-4dd584d63fb8"/>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3526</Words>
  <Characters>20099</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Battisti Giacomo</cp:lastModifiedBy>
  <cp:revision>51</cp:revision>
  <cp:lastPrinted>2024-05-02T06:53:00Z</cp:lastPrinted>
  <dcterms:created xsi:type="dcterms:W3CDTF">2024-02-16T18:03:00Z</dcterms:created>
  <dcterms:modified xsi:type="dcterms:W3CDTF">2024-05-15T10:23:00Z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8d051551-3193-45e5-bb00-2822a04ac701_Enabled">
    <vt:lpwstr>true</vt:lpwstr>
  </property>
  <property fmtid="{D5CDD505-2E9C-101B-9397-08002B2CF9AE}" pid="5" name="MSIP_Label_8d051551-3193-45e5-bb00-2822a04ac701_SetDate">
    <vt:lpwstr>2023-11-29T13:17:56Z</vt:lpwstr>
  </property>
  <property fmtid="{D5CDD505-2E9C-101B-9397-08002B2CF9AE}" pid="6" name="MSIP_Label_8d051551-3193-45e5-bb00-2822a04ac701_Method">
    <vt:lpwstr>Privileged</vt:lpwstr>
  </property>
  <property fmtid="{D5CDD505-2E9C-101B-9397-08002B2CF9AE}" pid="7" name="MSIP_Label_8d051551-3193-45e5-bb00-2822a04ac701_Name">
    <vt:lpwstr>UNCLASSIFIED</vt:lpwstr>
  </property>
  <property fmtid="{D5CDD505-2E9C-101B-9397-08002B2CF9AE}" pid="8" name="MSIP_Label_8d051551-3193-45e5-bb00-2822a04ac701_SiteId">
    <vt:lpwstr>7a823e81-3527-485c-a629-67235afb2fa8</vt:lpwstr>
  </property>
  <property fmtid="{D5CDD505-2E9C-101B-9397-08002B2CF9AE}" pid="9" name="MSIP_Label_8d051551-3193-45e5-bb00-2822a04ac701_ActionId">
    <vt:lpwstr>e05cf163-3301-452f-a0f4-fd598e42f002</vt:lpwstr>
  </property>
  <property fmtid="{D5CDD505-2E9C-101B-9397-08002B2CF9AE}" pid="10" name="MSIP_Label_8d051551-3193-45e5-bb00-2822a04ac701_ContentBits">
    <vt:lpwstr>0</vt:lpwstr>
  </property>
  <property fmtid="{D5CDD505-2E9C-101B-9397-08002B2CF9AE}" pid="11" name="ContentTypeId">
    <vt:lpwstr>0x010100BD992A5B5F650D40B3AB883A225B5255</vt:lpwstr>
  </property>
  <property fmtid="{D5CDD505-2E9C-101B-9397-08002B2CF9AE}" pid="12" name="MediaServiceImageTags">
    <vt:lpwstr/>
  </property>
</Properties>
</file>