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cs-CZ" w:eastAsia="cs-CZ"/>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38BD1662" w:rsidR="000A03B2" w:rsidRPr="00B57B36" w:rsidRDefault="00A76EFC" w:rsidP="00B57E6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825DD9">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825DD9">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cs-CZ" w:eastAsia="cs-CZ"/>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4EADF2C2" w:rsidR="00300E56" w:rsidRPr="00825DD9" w:rsidRDefault="00300E56" w:rsidP="00B57E6F">
            <w:pPr>
              <w:ind w:left="-107"/>
              <w:outlineLvl w:val="2"/>
              <w:rPr>
                <w:rFonts w:ascii="Tahoma" w:hAnsi="Tahoma" w:cs="Tahoma"/>
                <w:bCs/>
                <w:color w:val="000000"/>
                <w:sz w:val="14"/>
                <w:szCs w:val="14"/>
                <w:lang w:val="it-IT" w:eastAsia="it-IT"/>
              </w:rPr>
            </w:pPr>
            <w:r w:rsidRPr="00825DD9">
              <w:rPr>
                <w:rFonts w:ascii="Tahoma" w:hAnsi="Tahoma" w:cs="Tahoma"/>
                <w:iCs/>
                <w:color w:val="333333"/>
                <w:sz w:val="14"/>
                <w:szCs w:val="14"/>
                <w:lang w:val="it-IT" w:eastAsia="it-IT"/>
              </w:rPr>
              <w:t>Guest Editors:</w:t>
            </w:r>
            <w:r w:rsidR="00904C62" w:rsidRPr="00825DD9">
              <w:rPr>
                <w:rFonts w:ascii="Tahoma" w:hAnsi="Tahoma" w:cs="Tahoma"/>
                <w:iCs/>
                <w:color w:val="333333"/>
                <w:sz w:val="14"/>
                <w:szCs w:val="14"/>
                <w:lang w:val="it-IT" w:eastAsia="it-IT"/>
              </w:rPr>
              <w:t xml:space="preserve"> </w:t>
            </w:r>
            <w:r w:rsidR="00B57E6F" w:rsidRPr="00825DD9">
              <w:rPr>
                <w:rFonts w:ascii="Tahoma" w:hAnsi="Tahoma" w:cs="Tahoma"/>
                <w:color w:val="000000"/>
                <w:sz w:val="14"/>
                <w:szCs w:val="14"/>
                <w:shd w:val="clear" w:color="auto" w:fill="FFFFFF"/>
                <w:lang w:val="it-IT"/>
              </w:rPr>
              <w:t xml:space="preserve">Valerio Cozzani, </w:t>
            </w:r>
            <w:r w:rsidR="001331DF" w:rsidRPr="00825DD9">
              <w:rPr>
                <w:rFonts w:ascii="Tahoma" w:hAnsi="Tahoma" w:cs="Tahoma"/>
                <w:color w:val="000000"/>
                <w:sz w:val="14"/>
                <w:szCs w:val="14"/>
                <w:shd w:val="clear" w:color="auto" w:fill="FFFFFF"/>
                <w:lang w:val="it-IT"/>
              </w:rPr>
              <w:t>Bruno Fabiano</w:t>
            </w:r>
            <w:r w:rsidR="00B57E6F" w:rsidRPr="00825DD9">
              <w:rPr>
                <w:rFonts w:ascii="Tahoma" w:hAnsi="Tahoma" w:cs="Tahoma"/>
                <w:color w:val="000000"/>
                <w:sz w:val="14"/>
                <w:szCs w:val="14"/>
                <w:shd w:val="clear" w:color="auto" w:fill="FFFFFF"/>
                <w:lang w:val="it-IT"/>
              </w:rPr>
              <w:t xml:space="preserve">, </w:t>
            </w:r>
            <w:r w:rsidR="00B57E6F" w:rsidRPr="00825DD9">
              <w:rPr>
                <w:rFonts w:ascii="Tahoma" w:hAnsi="Tahoma" w:cs="Tahoma"/>
                <w:bCs/>
                <w:color w:val="000000"/>
                <w:sz w:val="14"/>
                <w:szCs w:val="14"/>
                <w:lang w:val="it-IT" w:eastAsia="it-IT"/>
              </w:rPr>
              <w:t>Genserik Reniers</w:t>
            </w:r>
          </w:p>
          <w:p w14:paraId="1B0F1814" w14:textId="7E8B8C7E" w:rsidR="000A03B2" w:rsidRPr="00B57B36" w:rsidRDefault="00FA5F5F" w:rsidP="00B57E6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825DD9">
              <w:rPr>
                <w:rFonts w:ascii="Tahoma" w:hAnsi="Tahoma" w:cs="Tahoma"/>
                <w:iCs/>
                <w:color w:val="333333"/>
                <w:sz w:val="14"/>
                <w:szCs w:val="14"/>
                <w:lang w:eastAsia="it-IT"/>
              </w:rPr>
              <w:t>4</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25DD9" w:rsidRPr="00825DD9">
              <w:rPr>
                <w:rFonts w:ascii="Tahoma" w:hAnsi="Tahoma" w:cs="Tahoma"/>
                <w:sz w:val="14"/>
                <w:szCs w:val="14"/>
                <w:lang w:eastAsia="it-IT"/>
              </w:rPr>
              <w:t>979-12-81206-11-3</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EB13E1">
          <w:type w:val="continuous"/>
          <w:pgSz w:w="11906" w:h="16838" w:code="9"/>
          <w:pgMar w:top="1701" w:right="1418" w:bottom="1701" w:left="1701" w:header="1701" w:footer="0" w:gutter="0"/>
          <w:cols w:space="708"/>
          <w:titlePg/>
          <w:docGrid w:linePitch="360"/>
        </w:sectPr>
      </w:pPr>
    </w:p>
    <w:p w14:paraId="2E667253" w14:textId="048A1BAE" w:rsidR="00E978D0" w:rsidRPr="00665323" w:rsidRDefault="00236AE0" w:rsidP="00ED621F">
      <w:pPr>
        <w:pStyle w:val="CETTitle"/>
      </w:pPr>
      <w:r w:rsidRPr="00236AE0">
        <w:t xml:space="preserve">Risk of Human Factors in Selected Health Care Sector </w:t>
      </w:r>
    </w:p>
    <w:p w14:paraId="0488FED2" w14:textId="477DBA73" w:rsidR="00B57E6F" w:rsidRPr="00B57B36" w:rsidRDefault="00236AE0" w:rsidP="00B57E6F">
      <w:pPr>
        <w:pStyle w:val="CETAuthors"/>
      </w:pPr>
      <w:r>
        <w:t>Eva Hoke</w:t>
      </w:r>
      <w:r w:rsidR="00942E5A">
        <w:t xml:space="preserve"> </w:t>
      </w:r>
      <w:r w:rsidR="00B57E6F" w:rsidRPr="00B57B36">
        <w:rPr>
          <w:vertAlign w:val="superscript"/>
        </w:rPr>
        <w:t>a</w:t>
      </w:r>
      <w:r w:rsidRPr="00B57B36">
        <w:rPr>
          <w:vertAlign w:val="superscript"/>
        </w:rPr>
        <w:t>,</w:t>
      </w:r>
      <w:r w:rsidRPr="00B57B36">
        <w:t>*</w:t>
      </w:r>
      <w:r w:rsidR="00B57E6F" w:rsidRPr="00B57B36">
        <w:t xml:space="preserve">, </w:t>
      </w:r>
      <w:r>
        <w:t>Eva Grmanova</w:t>
      </w:r>
      <w:r w:rsidR="00B57E6F" w:rsidRPr="00B57B36">
        <w:rPr>
          <w:vertAlign w:val="superscript"/>
        </w:rPr>
        <w:t>b</w:t>
      </w:r>
      <w:r w:rsidR="006D7CB9">
        <w:rPr>
          <w:vertAlign w:val="superscript"/>
        </w:rPr>
        <w:t>,</w:t>
      </w:r>
      <w:r w:rsidR="00C95C4B">
        <w:rPr>
          <w:vertAlign w:val="superscript"/>
        </w:rPr>
        <w:t xml:space="preserve"> </w:t>
      </w:r>
      <w:r w:rsidR="00C95C4B" w:rsidRPr="00C95C4B">
        <w:t>Michaela Martinkova</w:t>
      </w:r>
      <w:r w:rsidR="00C95C4B" w:rsidRPr="00B57B36">
        <w:rPr>
          <w:vertAlign w:val="superscript"/>
        </w:rPr>
        <w:t>a</w:t>
      </w:r>
    </w:p>
    <w:p w14:paraId="30B035BE" w14:textId="1355B64F" w:rsidR="000740DB" w:rsidRDefault="00B57E6F" w:rsidP="000740DB">
      <w:pPr>
        <w:pStyle w:val="CETAddress"/>
      </w:pPr>
      <w:r w:rsidRPr="00B57B36">
        <w:rPr>
          <w:vertAlign w:val="superscript"/>
        </w:rPr>
        <w:t>a</w:t>
      </w:r>
      <w:r w:rsidR="000740DB">
        <w:t>Tomas Bata University in Zlín, Faculty of Logistics and Crisis Management, Studentske nam. 1532, Uherské Hradiště</w:t>
      </w:r>
    </w:p>
    <w:p w14:paraId="73F1267A" w14:textId="4FDE0E0E" w:rsidR="00B57E6F" w:rsidRDefault="00B57E6F" w:rsidP="004F0A39">
      <w:pPr>
        <w:pStyle w:val="CETAddress"/>
      </w:pPr>
      <w:r w:rsidRPr="00B57B36">
        <w:rPr>
          <w:vertAlign w:val="superscript"/>
        </w:rPr>
        <w:t>b</w:t>
      </w:r>
      <w:r w:rsidRPr="00B57B36">
        <w:t>A</w:t>
      </w:r>
      <w:r w:rsidR="004F0A39" w:rsidRPr="004F0A39">
        <w:t>lexander Dubček University of Trenčín</w:t>
      </w:r>
      <w:r w:rsidR="004F0A39">
        <w:t>,</w:t>
      </w:r>
      <w:r w:rsidR="004F0A39" w:rsidRPr="004F0A39">
        <w:t xml:space="preserve"> </w:t>
      </w:r>
      <w:r w:rsidR="004F0A39">
        <w:t>Faculty of Social and Economic Relations, Studentská 2, Trenčín</w:t>
      </w:r>
    </w:p>
    <w:p w14:paraId="4C5A5A67" w14:textId="77777777" w:rsidR="006B26A7" w:rsidRDefault="006B26A7" w:rsidP="006B26A7">
      <w:pPr>
        <w:pStyle w:val="CETAddress"/>
        <w:rPr>
          <w:vertAlign w:val="superscript"/>
        </w:rPr>
      </w:pPr>
      <w:r>
        <w:t>*hoke@utb.cz</w:t>
      </w:r>
      <w:r w:rsidRPr="00B57B36">
        <w:rPr>
          <w:vertAlign w:val="superscript"/>
        </w:rPr>
        <w:t xml:space="preserve"> </w:t>
      </w:r>
    </w:p>
    <w:p w14:paraId="14CE1CB6" w14:textId="77777777" w:rsidR="004F0A39" w:rsidRPr="00B57B36" w:rsidRDefault="004F0A39" w:rsidP="004F0A39">
      <w:pPr>
        <w:pStyle w:val="CETAddress"/>
      </w:pPr>
    </w:p>
    <w:p w14:paraId="3486191D" w14:textId="70F8FD76" w:rsidR="008107F2" w:rsidRPr="008107F2" w:rsidRDefault="00B23F43" w:rsidP="008107F2">
      <w:pPr>
        <w:pStyle w:val="CETBodytext"/>
        <w:rPr>
          <w:lang w:val="en-GB"/>
        </w:rPr>
      </w:pPr>
      <w:bookmarkStart w:id="0" w:name="_Hlk495475023"/>
      <w:r w:rsidRPr="00B23F43">
        <w:rPr>
          <w:lang w:val="en-GB"/>
        </w:rPr>
        <w:t xml:space="preserve">The submitted paper points to a problem that concerns the Czech Republic and almost all of Europe. There is a need for more qualified employees across the </w:t>
      </w:r>
      <w:r w:rsidRPr="00063AB3">
        <w:rPr>
          <w:lang w:val="en-GB"/>
        </w:rPr>
        <w:t>L</w:t>
      </w:r>
      <w:r w:rsidRPr="00B23F43">
        <w:rPr>
          <w:lang w:val="en-GB"/>
        </w:rPr>
        <w:t xml:space="preserve">abour market. The author's team set the goal of mapping the spa industry situation in the Czech Republic through a nationwide questionnaire survey. The paper aimed to identify the specifics of the lack of staff in spa facilities in the Czech Republic. Based on the results of the analysis, propose measures that can lead to improvement. The </w:t>
      </w:r>
      <w:r w:rsidR="00657ABE" w:rsidRPr="00063AB3">
        <w:rPr>
          <w:lang w:val="en-GB"/>
        </w:rPr>
        <w:t>C</w:t>
      </w:r>
      <w:r w:rsidRPr="00B23F43">
        <w:rPr>
          <w:lang w:val="en-GB"/>
        </w:rPr>
        <w:t>hi-square test and Cramer's coefficient were used to verify the statistical dependencies</w:t>
      </w:r>
      <w:r w:rsidR="00063AB3">
        <w:rPr>
          <w:lang w:val="en-GB"/>
        </w:rPr>
        <w:t>.</w:t>
      </w:r>
    </w:p>
    <w:bookmarkEnd w:id="0"/>
    <w:p w14:paraId="476B2F2E" w14:textId="77777777" w:rsidR="00600535" w:rsidRPr="00B57B36" w:rsidRDefault="00600535" w:rsidP="00600535">
      <w:pPr>
        <w:pStyle w:val="CETHeading1"/>
        <w:rPr>
          <w:lang w:val="en-GB"/>
        </w:rPr>
      </w:pPr>
      <w:r w:rsidRPr="00B57B36">
        <w:rPr>
          <w:lang w:val="en-GB"/>
        </w:rPr>
        <w:t>Introduction</w:t>
      </w:r>
    </w:p>
    <w:p w14:paraId="63AE7D33" w14:textId="4AA5168F" w:rsidR="00462717" w:rsidRDefault="00462717" w:rsidP="00462717">
      <w:pPr>
        <w:pStyle w:val="CETBodytext"/>
        <w:rPr>
          <w:lang w:val="en-GB"/>
        </w:rPr>
      </w:pPr>
      <w:r w:rsidRPr="004A58A3">
        <w:rPr>
          <w:lang w:val="en-GB"/>
        </w:rPr>
        <w:t xml:space="preserve">The paper is focused on the importance of the human factor (Hoke et al., 2020) and personnel risks in a specific area of </w:t>
      </w:r>
      <w:r w:rsidRPr="00D6399C">
        <w:rPr>
          <w:lang w:val="en-GB"/>
        </w:rPr>
        <w:t>healthcare.</w:t>
      </w:r>
      <w:r w:rsidR="004A58A3" w:rsidRPr="00D6399C">
        <w:rPr>
          <w:lang w:val="en-GB"/>
        </w:rPr>
        <w:t xml:space="preserve"> </w:t>
      </w:r>
      <w:r w:rsidR="00F75B05" w:rsidRPr="00D6399C">
        <w:t xml:space="preserve">Deficient staffing is a challenge that most medical facilities deal with concerning the Smart concept. It represents a barrier to sustainable development, and its solution contributes to socio-economic development and increasing citizen satisfaction. </w:t>
      </w:r>
      <w:r w:rsidRPr="00D6399C">
        <w:rPr>
          <w:lang w:val="en-GB"/>
        </w:rPr>
        <w:t xml:space="preserve">Regardless of the organization's size, all hospitals need more staff for to run the organization. This situation is called </w:t>
      </w:r>
      <w:r w:rsidRPr="00462717">
        <w:rPr>
          <w:lang w:val="en-GB"/>
        </w:rPr>
        <w:t xml:space="preserve">the capacity crisis, affecting all sectors of the national economy. In the healthcare sector, this problem is even more remarkable as the consequence of the lack of staff can be transferred to patients and their health. A clear impact of the capacity crisis is excessive overwork of staff, which often violates the </w:t>
      </w:r>
      <w:proofErr w:type="spellStart"/>
      <w:r w:rsidRPr="00462717">
        <w:rPr>
          <w:lang w:val="en-GB"/>
        </w:rPr>
        <w:t>Labor</w:t>
      </w:r>
      <w:proofErr w:type="spellEnd"/>
      <w:r w:rsidRPr="00462717">
        <w:rPr>
          <w:lang w:val="en-GB"/>
        </w:rPr>
        <w:t xml:space="preserve"> Code. Because the healthcare sector is vast, the paper is devoted to medical spa facilities</w:t>
      </w:r>
      <w:r w:rsidR="000669BB">
        <w:rPr>
          <w:lang w:val="en-GB"/>
        </w:rPr>
        <w:t xml:space="preserve"> (</w:t>
      </w:r>
      <w:r w:rsidR="000669BB" w:rsidRPr="000669BB">
        <w:rPr>
          <w:lang w:val="en-GB"/>
        </w:rPr>
        <w:t>balneal treatments</w:t>
      </w:r>
      <w:r w:rsidR="000669BB">
        <w:rPr>
          <w:lang w:val="en-GB"/>
        </w:rPr>
        <w:t>)</w:t>
      </w:r>
      <w:r w:rsidRPr="00462717">
        <w:rPr>
          <w:lang w:val="en-GB"/>
        </w:rPr>
        <w:t xml:space="preserve"> in the Czech Republic. Spa facilities are integral to professional medical care in the Czech Republic and are inherently one of the main advantages of domestic tourism. The role of the spa is relatively complex to replace in the treatment of some chronic diseases, in the prevention of the transition of diseases to the chronic stage and the emergence of complications. Spa care is essential in rehabilitation after serious illnesses, operations, and injuries. The goal is to stabilize the patient's condition and the course of his illness (</w:t>
      </w:r>
      <w:proofErr w:type="spellStart"/>
      <w:r w:rsidRPr="00462717">
        <w:rPr>
          <w:lang w:val="en-GB"/>
        </w:rPr>
        <w:t>Jakubíková</w:t>
      </w:r>
      <w:proofErr w:type="spellEnd"/>
      <w:r w:rsidRPr="00462717">
        <w:rPr>
          <w:lang w:val="en-GB"/>
        </w:rPr>
        <w:t xml:space="preserve"> et al., 2019). Medical personnel in spas include, for example, doctors, nurses, physiotherapists, and psychologists who provide medical care and therapy to patients in spa facilities. Healthcare workers and professionals are all engaged in actions that aim to enhance health. They study, diagnose, treat, and prevent human illness, injury, and other physical and mental impairments to the needs of the populations they serve (Mohanty et al., 2019).</w:t>
      </w:r>
      <w:r w:rsidR="0072635C">
        <w:rPr>
          <w:lang w:val="en-GB"/>
        </w:rPr>
        <w:t xml:space="preserve"> </w:t>
      </w:r>
      <w:r w:rsidRPr="00462717">
        <w:rPr>
          <w:lang w:val="en-GB"/>
        </w:rPr>
        <w:t>On the other hand, non-medical staff in the field of spas can include, for example, receptionists, hotel workers, masseurs, cooks, or cleaning staff. This staff takes care of the comfort and service of the guests in the spa facilities. For this article, these workers are referred to as support staff. All these staff are exposed to various health hazards because of job characteristics and complex work systems, especially when there is a shortage</w:t>
      </w:r>
      <w:r w:rsidR="00D7307F">
        <w:rPr>
          <w:lang w:val="en-GB"/>
        </w:rPr>
        <w:t xml:space="preserve"> </w:t>
      </w:r>
      <w:r w:rsidRPr="00462717">
        <w:rPr>
          <w:lang w:val="en-GB"/>
        </w:rPr>
        <w:t>(Mondal &amp; Ray, 2023).</w:t>
      </w:r>
    </w:p>
    <w:p w14:paraId="62212653" w14:textId="77777777" w:rsidR="000F4B65" w:rsidRPr="00D6399C" w:rsidRDefault="002F25CA" w:rsidP="002F25CA">
      <w:pPr>
        <w:pStyle w:val="CETBodytext"/>
        <w:rPr>
          <w:lang w:val="en-GB"/>
        </w:rPr>
      </w:pPr>
      <w:r w:rsidRPr="002F25CA">
        <w:rPr>
          <w:lang w:val="en-GB"/>
        </w:rPr>
        <w:t xml:space="preserve">The leading causes of the capacity crisis were the growth of the world economy and the associated low unemployment. Healthcare is a specific area because workers are not losing their jobs even when the economic </w:t>
      </w:r>
      <w:r w:rsidRPr="00D6399C">
        <w:rPr>
          <w:lang w:val="en-GB"/>
        </w:rPr>
        <w:t xml:space="preserve">cycle is in a downturn. Here, we can see a certain contradiction between healthcare and other sectors. </w:t>
      </w:r>
    </w:p>
    <w:p w14:paraId="5D0F4AC7" w14:textId="012CB02D" w:rsidR="002F25CA" w:rsidRPr="002F25CA" w:rsidRDefault="007E2637" w:rsidP="002F25CA">
      <w:pPr>
        <w:pStyle w:val="CETBodytext"/>
        <w:rPr>
          <w:lang w:val="en-GB"/>
        </w:rPr>
      </w:pPr>
      <w:r w:rsidRPr="00D6399C">
        <w:rPr>
          <w:lang w:val="en-GB"/>
        </w:rPr>
        <w:t xml:space="preserve">Another perspective on the investigated issue concerns ensuring the sustainable development of facilities and organizations and building Smart regions. With sufficient staffing, it is possible to develop areas and increase citizens' satisfaction sustainably. One of the barriers to the implementation of Smart concepts is insufficient staffing. With a quality workforce, it is possible to achieve the goal of sustainability. </w:t>
      </w:r>
      <w:r w:rsidR="002F25CA" w:rsidRPr="00D6399C">
        <w:rPr>
          <w:lang w:val="en-GB"/>
        </w:rPr>
        <w:t xml:space="preserve">Another big problem is the aging of the population. The study of Grenčíková et al. (2022) draws attention to the problem </w:t>
      </w:r>
      <w:r w:rsidR="002F25CA" w:rsidRPr="002F25CA">
        <w:rPr>
          <w:lang w:val="en-GB"/>
        </w:rPr>
        <w:t xml:space="preserve">of population aging </w:t>
      </w:r>
      <w:r w:rsidR="002F25CA" w:rsidRPr="002F25CA">
        <w:rPr>
          <w:lang w:val="en-GB"/>
        </w:rPr>
        <w:lastRenderedPageBreak/>
        <w:t xml:space="preserve">and its effect on GDP growth and the </w:t>
      </w:r>
      <w:proofErr w:type="spellStart"/>
      <w:r w:rsidR="002F25CA" w:rsidRPr="002F25CA">
        <w:rPr>
          <w:lang w:val="en-GB"/>
        </w:rPr>
        <w:t>labor</w:t>
      </w:r>
      <w:proofErr w:type="spellEnd"/>
      <w:r w:rsidR="002F25CA" w:rsidRPr="002F25CA">
        <w:rPr>
          <w:lang w:val="en-GB"/>
        </w:rPr>
        <w:t xml:space="preserve"> market. Population aging is the primary global demographic trend of the 21st century and one of the main factors shaping </w:t>
      </w:r>
      <w:proofErr w:type="spellStart"/>
      <w:r w:rsidR="002F25CA" w:rsidRPr="002F25CA">
        <w:rPr>
          <w:lang w:val="en-GB"/>
        </w:rPr>
        <w:t>labor</w:t>
      </w:r>
      <w:proofErr w:type="spellEnd"/>
      <w:r w:rsidR="002F25CA" w:rsidRPr="002F25CA">
        <w:rPr>
          <w:lang w:val="en-GB"/>
        </w:rPr>
        <w:t xml:space="preserve"> market supply. The aging of the population causes problems mainly in maintaining economic growth and ensuring health care (Grenčíková et al., 2023). A shrinking working-age population causes </w:t>
      </w:r>
      <w:proofErr w:type="spellStart"/>
      <w:r w:rsidR="002F25CA" w:rsidRPr="002F25CA">
        <w:rPr>
          <w:lang w:val="en-GB"/>
        </w:rPr>
        <w:t>labor</w:t>
      </w:r>
      <w:proofErr w:type="spellEnd"/>
      <w:r w:rsidR="002F25CA" w:rsidRPr="002F25CA">
        <w:rPr>
          <w:lang w:val="en-GB"/>
        </w:rPr>
        <w:t xml:space="preserve"> market shortages. Workforce aging resulting from population aging is expected to increase </w:t>
      </w:r>
      <w:proofErr w:type="spellStart"/>
      <w:r w:rsidR="002F25CA" w:rsidRPr="002F25CA">
        <w:rPr>
          <w:lang w:val="en-GB"/>
        </w:rPr>
        <w:t>labor</w:t>
      </w:r>
      <w:proofErr w:type="spellEnd"/>
      <w:r w:rsidR="002F25CA" w:rsidRPr="002F25CA">
        <w:rPr>
          <w:lang w:val="en-GB"/>
        </w:rPr>
        <w:t xml:space="preserve"> market rigidity because older workers have less job mobility than younger workers (Tan et al., 2022).</w:t>
      </w:r>
    </w:p>
    <w:p w14:paraId="4E97BA5B" w14:textId="77777777" w:rsidR="002F25CA" w:rsidRDefault="002F25CA" w:rsidP="002F25CA">
      <w:pPr>
        <w:pStyle w:val="CETBodytext"/>
        <w:rPr>
          <w:lang w:val="en-GB"/>
        </w:rPr>
      </w:pPr>
      <w:r w:rsidRPr="002F25CA">
        <w:rPr>
          <w:lang w:val="en-GB"/>
        </w:rPr>
        <w:t>The school and education system, which currently needs to be better set up, must adapt to this demographic development. Given its demographic development, it needs to consider how much the Czech population will need of workers in the healthcare sector. Competition plays a role in the for-profit and non-profit sectors, which weakens the number of medical and non-medical personnel in medical and spa organizations. The competitive struggle is between the state and private sectors, attracting workers for better financial remuneration and working conditions.</w:t>
      </w:r>
    </w:p>
    <w:p w14:paraId="4C2ABC75" w14:textId="77777777" w:rsidR="00F9312F" w:rsidRPr="00F9312F" w:rsidRDefault="00F9312F" w:rsidP="00F9312F">
      <w:pPr>
        <w:pStyle w:val="CETBodytext"/>
        <w:rPr>
          <w:lang w:val="en-GB"/>
        </w:rPr>
      </w:pPr>
      <w:r w:rsidRPr="00F9312F">
        <w:rPr>
          <w:lang w:val="en-GB"/>
        </w:rPr>
        <w:t xml:space="preserve">Among the main consequences of the capacity crisis in hospitals and spa facilities are the reduction of beds, the closing of departments, and longer waiting times for medical procedures, operations, and rehabilitation. All monitored hospital facilities try to avoid reducing the quality of care or turning away patients. However, these consequences are not the subject of this article. The point of view is focused on the consequences of the capacity crisis for personnel. The elementary consequence is the overloading of medical and non-medical personnel across all hospital facilities. According to Mohanty et al. (2019), little attention is paid to Healthcare workers (HCWs). Some of the HCWs are unaware that they are stressed. They do not have any formal training in de-stressing. However, this situation also applies to auxiliary hospital staff, i.e., non-medical staff. Goel et al. (2023) state that appropriate and timely psychological interventions are needed to address the challenges the ancillary hospital staff faces. Long-term sustainable investments in the health workforce are required to recuperate the health system after the pandemic. New ways to solve the above problems must be constantly sought. New challenges are also posed to HR professionals, who must find ways to attract new workers. How to attract and motivate the new Generation Z is discussed in the publication by </w:t>
      </w:r>
      <w:proofErr w:type="spellStart"/>
      <w:r w:rsidRPr="00F9312F">
        <w:rPr>
          <w:lang w:val="en-GB"/>
        </w:rPr>
        <w:t>Bencsik</w:t>
      </w:r>
      <w:proofErr w:type="spellEnd"/>
      <w:r w:rsidRPr="00F9312F">
        <w:rPr>
          <w:lang w:val="en-GB"/>
        </w:rPr>
        <w:t xml:space="preserve"> et al. (2016). </w:t>
      </w:r>
    </w:p>
    <w:p w14:paraId="53485479" w14:textId="77777777" w:rsidR="0026787E" w:rsidRDefault="00F9312F" w:rsidP="00F9312F">
      <w:pPr>
        <w:pStyle w:val="CETBodytext"/>
        <w:rPr>
          <w:lang w:val="en-GB"/>
        </w:rPr>
      </w:pPr>
      <w:r w:rsidRPr="00F9312F">
        <w:rPr>
          <w:lang w:val="en-GB"/>
        </w:rPr>
        <w:t xml:space="preserve">The paper aims to identify the specifics of the lack of staff in spa facilities in the Czech Republic and, based on the analysis results, to propose measures that can lead to improvement. Based on the study of professional literature, it is known that spa facilities in the Czech Republic are intensively looking for opportunities to improve staff shortages. One possibility could be employing parents on maternity and parental leave, students, or pensioners. Strengthening cooperation with high schools and universities could also be beneficial because that can increase the interest of students and later school graduates in working in spa facilities. </w:t>
      </w:r>
    </w:p>
    <w:p w14:paraId="743576A5" w14:textId="77777777" w:rsidR="0026787E" w:rsidRPr="00E77211" w:rsidRDefault="00F9312F" w:rsidP="00F9312F">
      <w:pPr>
        <w:pStyle w:val="CETBodytext"/>
        <w:rPr>
          <w:lang w:val="en-GB"/>
        </w:rPr>
      </w:pPr>
      <w:r w:rsidRPr="00F9312F">
        <w:rPr>
          <w:lang w:val="en-GB"/>
        </w:rPr>
        <w:t>The</w:t>
      </w:r>
      <w:r w:rsidR="0026787E">
        <w:rPr>
          <w:lang w:val="en-GB"/>
        </w:rPr>
        <w:t xml:space="preserve"> first</w:t>
      </w:r>
      <w:r w:rsidRPr="00F9312F">
        <w:rPr>
          <w:lang w:val="en-GB"/>
        </w:rPr>
        <w:t xml:space="preserve"> research question is: </w:t>
      </w:r>
      <w:r w:rsidRPr="00E77211">
        <w:rPr>
          <w:i/>
          <w:lang w:val="en-GB"/>
        </w:rPr>
        <w:t>Is there a connection between the cooperation of spa facilities with secondary schools and the cooperation of spa facilities with universities?</w:t>
      </w:r>
      <w:r w:rsidRPr="00E77211">
        <w:rPr>
          <w:lang w:val="en-GB"/>
        </w:rPr>
        <w:t xml:space="preserve"> </w:t>
      </w:r>
    </w:p>
    <w:p w14:paraId="4E6CB85D" w14:textId="77777777" w:rsidR="0026787E" w:rsidRDefault="00F9312F" w:rsidP="00F9312F">
      <w:pPr>
        <w:pStyle w:val="CETBodytext"/>
        <w:rPr>
          <w:lang w:val="en-GB"/>
        </w:rPr>
      </w:pPr>
      <w:r w:rsidRPr="00F9312F">
        <w:rPr>
          <w:lang w:val="en-GB"/>
        </w:rPr>
        <w:t xml:space="preserve">In small spa establishments, middle management needs to be more specified. It has less time for training and the adaptation process for mothers on maternity and parental leave, students, and pensioners who work on a contract or part-time basis. Therefore, we assume that there is a connection between the size of the spa facility and the solution to the </w:t>
      </w:r>
      <w:proofErr w:type="spellStart"/>
      <w:r w:rsidRPr="00F9312F">
        <w:rPr>
          <w:lang w:val="en-GB"/>
        </w:rPr>
        <w:t>labor</w:t>
      </w:r>
      <w:proofErr w:type="spellEnd"/>
      <w:r w:rsidRPr="00F9312F">
        <w:rPr>
          <w:lang w:val="en-GB"/>
        </w:rPr>
        <w:t xml:space="preserve"> shortage by employing mothers, students, and pensioners on maternity and parental leave. </w:t>
      </w:r>
    </w:p>
    <w:p w14:paraId="1A494CC8" w14:textId="7E372F9B" w:rsidR="006E2AFE" w:rsidRPr="00E77211" w:rsidRDefault="00F9312F" w:rsidP="00F9312F">
      <w:pPr>
        <w:pStyle w:val="CETBodytext"/>
        <w:rPr>
          <w:i/>
          <w:lang w:val="en-GB"/>
        </w:rPr>
      </w:pPr>
      <w:r w:rsidRPr="00F9312F">
        <w:rPr>
          <w:lang w:val="en-GB"/>
        </w:rPr>
        <w:t>The</w:t>
      </w:r>
      <w:r w:rsidR="0026787E">
        <w:rPr>
          <w:lang w:val="en-GB"/>
        </w:rPr>
        <w:t xml:space="preserve"> second</w:t>
      </w:r>
      <w:r w:rsidRPr="00F9312F">
        <w:rPr>
          <w:lang w:val="en-GB"/>
        </w:rPr>
        <w:t xml:space="preserve"> research question is: </w:t>
      </w:r>
      <w:r w:rsidRPr="00E77211">
        <w:rPr>
          <w:i/>
          <w:lang w:val="en-GB"/>
        </w:rPr>
        <w:t xml:space="preserve">Is there a connection between the variables: the size of the company (I. small or II. medium and large) and the solution to the </w:t>
      </w:r>
      <w:proofErr w:type="spellStart"/>
      <w:r w:rsidRPr="00E77211">
        <w:rPr>
          <w:i/>
          <w:lang w:val="en-GB"/>
        </w:rPr>
        <w:t>labor</w:t>
      </w:r>
      <w:proofErr w:type="spellEnd"/>
      <w:r w:rsidRPr="00E77211">
        <w:rPr>
          <w:i/>
          <w:lang w:val="en-GB"/>
        </w:rPr>
        <w:t xml:space="preserve"> shortage by employing mothers on maternity and parental leave, students and pensioners?</w:t>
      </w:r>
    </w:p>
    <w:p w14:paraId="677EBFF0" w14:textId="6A8CC9B3" w:rsidR="00600535" w:rsidRPr="00B57B36" w:rsidRDefault="00EB4BDB" w:rsidP="00600535">
      <w:pPr>
        <w:pStyle w:val="CETHeading1"/>
        <w:tabs>
          <w:tab w:val="right" w:pos="7100"/>
        </w:tabs>
        <w:jc w:val="both"/>
        <w:rPr>
          <w:lang w:val="en-GB"/>
        </w:rPr>
      </w:pPr>
      <w:r>
        <w:rPr>
          <w:lang w:val="en-GB"/>
        </w:rPr>
        <w:t>Methodology</w:t>
      </w:r>
    </w:p>
    <w:p w14:paraId="05A84219" w14:textId="569F475B" w:rsidR="00A01F58" w:rsidRPr="00EB4BDB" w:rsidRDefault="00E61EF8" w:rsidP="00BF6012">
      <w:pPr>
        <w:pStyle w:val="CETBodytext"/>
        <w:rPr>
          <w:lang w:val="en-GB"/>
        </w:rPr>
      </w:pPr>
      <w:r w:rsidRPr="00E61EF8">
        <w:rPr>
          <w:lang w:val="en-GB"/>
        </w:rPr>
        <w:t>The goal of the paper is to identify the specifics of the lack of staff in spa facilities in the Czech Republic using a nationwide questionnaire survey, based on the results of the analysis, to propose measures that can lead to improvement.</w:t>
      </w:r>
      <w:r>
        <w:rPr>
          <w:lang w:val="en-GB"/>
        </w:rPr>
        <w:t xml:space="preserve"> </w:t>
      </w:r>
      <w:r w:rsidR="00BF6012" w:rsidRPr="00BF6012">
        <w:rPr>
          <w:lang w:val="en-GB"/>
        </w:rPr>
        <w:t>Data from empirical research are sorted and presented in contingency tables. Selected ordinal variables are described by descriptive statistics. Furthermore, modal categories and ordinal variance are expressed.</w:t>
      </w:r>
      <w:r>
        <w:rPr>
          <w:lang w:val="en-GB"/>
        </w:rPr>
        <w:t xml:space="preserve"> </w:t>
      </w:r>
      <w:r w:rsidR="00BF6012" w:rsidRPr="00BF6012">
        <w:rPr>
          <w:lang w:val="en-GB"/>
        </w:rPr>
        <w:t>The modal category of an ordinal variable is the category with the highest frequency. The ordinal variance of a variable is expressed by the relation</w:t>
      </w:r>
      <w:r w:rsidR="00A01F58">
        <w:rPr>
          <w:lang w:val="en-GB"/>
        </w:rPr>
        <w:t>.</w:t>
      </w:r>
    </w:p>
    <w:tbl>
      <w:tblPr>
        <w:tblW w:w="5000" w:type="pct"/>
        <w:tblLook w:val="04A0" w:firstRow="1" w:lastRow="0" w:firstColumn="1" w:lastColumn="0" w:noHBand="0" w:noVBand="1"/>
      </w:tblPr>
      <w:tblGrid>
        <w:gridCol w:w="7983"/>
        <w:gridCol w:w="804"/>
      </w:tblGrid>
      <w:tr w:rsidR="004577FE" w:rsidRPr="00B57B36" w14:paraId="18DE34A8" w14:textId="77777777" w:rsidTr="00D427C1">
        <w:tc>
          <w:tcPr>
            <w:tcW w:w="7983" w:type="dxa"/>
            <w:shd w:val="clear" w:color="auto" w:fill="auto"/>
            <w:vAlign w:val="center"/>
          </w:tcPr>
          <w:p w14:paraId="3AE2D949" w14:textId="204A3B56" w:rsidR="00A01F58" w:rsidRPr="005844B8" w:rsidRDefault="00A01F58" w:rsidP="005844B8">
            <w:pPr>
              <w:pStyle w:val="CETEquation"/>
              <w:rPr>
                <w:szCs w:val="18"/>
              </w:rPr>
            </w:pPr>
            <m:oMathPara>
              <m:oMathParaPr>
                <m:jc m:val="left"/>
              </m:oMathParaPr>
              <m:oMath>
                <m:r>
                  <w:rPr>
                    <w:rFonts w:ascii="Cambria Math" w:hAnsi="Cambria Math" w:cs="Arial"/>
                    <w:szCs w:val="18"/>
                  </w:rPr>
                  <m:t>no=2</m:t>
                </m:r>
                <m:nary>
                  <m:naryPr>
                    <m:chr m:val="∑"/>
                    <m:limLoc m:val="undOvr"/>
                    <m:ctrlPr>
                      <w:rPr>
                        <w:rFonts w:ascii="Cambria Math" w:hAnsi="Cambria Math" w:cs="Arial"/>
                        <w:i/>
                        <w:szCs w:val="18"/>
                      </w:rPr>
                    </m:ctrlPr>
                  </m:naryPr>
                  <m:sub>
                    <m:r>
                      <w:rPr>
                        <w:rFonts w:ascii="Cambria Math" w:hAnsi="Cambria Math" w:cs="Arial"/>
                        <w:szCs w:val="18"/>
                      </w:rPr>
                      <m:t>i=1</m:t>
                    </m:r>
                  </m:sub>
                  <m:sup>
                    <m:r>
                      <w:rPr>
                        <w:rFonts w:ascii="Cambria Math" w:hAnsi="Cambria Math" w:cs="Arial"/>
                        <w:szCs w:val="18"/>
                      </w:rPr>
                      <m:t>K-1</m:t>
                    </m:r>
                  </m:sup>
                  <m:e>
                    <m:sSub>
                      <m:sSubPr>
                        <m:ctrlPr>
                          <w:rPr>
                            <w:rFonts w:ascii="Cambria Math" w:hAnsi="Cambria Math" w:cs="Arial"/>
                            <w:i/>
                            <w:szCs w:val="18"/>
                          </w:rPr>
                        </m:ctrlPr>
                      </m:sSubPr>
                      <m:e>
                        <m:r>
                          <w:rPr>
                            <w:rFonts w:ascii="Cambria Math" w:hAnsi="Cambria Math" w:cs="Arial"/>
                            <w:szCs w:val="18"/>
                          </w:rPr>
                          <m:t>P</m:t>
                        </m:r>
                      </m:e>
                      <m:sub>
                        <m:r>
                          <w:rPr>
                            <w:rFonts w:ascii="Cambria Math" w:hAnsi="Cambria Math" w:cs="Arial"/>
                            <w:szCs w:val="18"/>
                          </w:rPr>
                          <m:t>i</m:t>
                        </m:r>
                      </m:sub>
                    </m:sSub>
                    <m:d>
                      <m:dPr>
                        <m:ctrlPr>
                          <w:rPr>
                            <w:rFonts w:ascii="Cambria Math" w:hAnsi="Cambria Math" w:cs="Arial"/>
                            <w:i/>
                            <w:szCs w:val="18"/>
                          </w:rPr>
                        </m:ctrlPr>
                      </m:dPr>
                      <m:e>
                        <m:r>
                          <w:rPr>
                            <w:rFonts w:ascii="Cambria Math" w:hAnsi="Cambria Math" w:cs="Arial"/>
                            <w:szCs w:val="18"/>
                          </w:rPr>
                          <m:t>1-</m:t>
                        </m:r>
                        <m:sSub>
                          <m:sSubPr>
                            <m:ctrlPr>
                              <w:rPr>
                                <w:rFonts w:ascii="Cambria Math" w:hAnsi="Cambria Math" w:cs="Arial"/>
                                <w:i/>
                                <w:szCs w:val="18"/>
                              </w:rPr>
                            </m:ctrlPr>
                          </m:sSubPr>
                          <m:e>
                            <m:r>
                              <w:rPr>
                                <w:rFonts w:ascii="Cambria Math" w:hAnsi="Cambria Math" w:cs="Arial"/>
                                <w:szCs w:val="18"/>
                              </w:rPr>
                              <m:t>P</m:t>
                            </m:r>
                          </m:e>
                          <m:sub>
                            <m:r>
                              <w:rPr>
                                <w:rFonts w:ascii="Cambria Math" w:hAnsi="Cambria Math" w:cs="Arial"/>
                                <w:szCs w:val="18"/>
                              </w:rPr>
                              <m:t>i</m:t>
                            </m:r>
                          </m:sub>
                        </m:sSub>
                      </m:e>
                    </m:d>
                  </m:e>
                </m:nary>
              </m:oMath>
            </m:oMathPara>
          </w:p>
        </w:tc>
        <w:tc>
          <w:tcPr>
            <w:tcW w:w="804" w:type="dxa"/>
            <w:shd w:val="clear" w:color="auto" w:fill="auto"/>
            <w:vAlign w:val="center"/>
          </w:tcPr>
          <w:p w14:paraId="2BB6A4D4" w14:textId="7ECE9FB5" w:rsidR="004577FE" w:rsidRPr="00B57B36" w:rsidRDefault="00D427C1" w:rsidP="009E7884">
            <w:pPr>
              <w:pStyle w:val="CETEquation"/>
              <w:jc w:val="right"/>
            </w:pPr>
            <w:r>
              <w:t>(1)</w:t>
            </w:r>
          </w:p>
        </w:tc>
      </w:tr>
    </w:tbl>
    <w:p w14:paraId="7E4CED60" w14:textId="3B76FE64" w:rsidR="005844B8" w:rsidRPr="005844B8" w:rsidRDefault="00EE33C7" w:rsidP="00D427C1">
      <w:pPr>
        <w:pStyle w:val="CETBodytext"/>
        <w:rPr>
          <w:color w:val="FF0000"/>
        </w:rPr>
      </w:pPr>
      <w:r>
        <w:t>where</w:t>
      </w:r>
      <w:r w:rsidR="005844B8" w:rsidRPr="005844B8">
        <w:t xml:space="preserve"> P</w:t>
      </w:r>
      <w:r w:rsidR="005844B8" w:rsidRPr="00BF6012">
        <w:rPr>
          <w:i/>
          <w:vertAlign w:val="subscript"/>
        </w:rPr>
        <w:t>i</w:t>
      </w:r>
      <w:r w:rsidR="005844B8" w:rsidRPr="005844B8">
        <w:t xml:space="preserve"> </w:t>
      </w:r>
      <w:r w:rsidRPr="00EE33C7">
        <w:t xml:space="preserve">is the cumulative relative frequency of the </w:t>
      </w:r>
      <w:proofErr w:type="spellStart"/>
      <w:r w:rsidRPr="00EE33C7">
        <w:t>i-th</w:t>
      </w:r>
      <w:proofErr w:type="spellEnd"/>
      <w:r w:rsidRPr="00EE33C7">
        <w:t xml:space="preserve"> variation </w:t>
      </w:r>
      <w:r w:rsidR="005844B8" w:rsidRPr="00EE33C7">
        <w:t>(</w:t>
      </w:r>
      <w:proofErr w:type="spellStart"/>
      <w:r w:rsidR="005844B8" w:rsidRPr="00EE33C7">
        <w:t>Řezanková</w:t>
      </w:r>
      <w:proofErr w:type="spellEnd"/>
      <w:r w:rsidR="005844B8" w:rsidRPr="00EE33C7">
        <w:t>, 2007</w:t>
      </w:r>
      <w:r w:rsidR="0013253E" w:rsidRPr="0013253E">
        <w:t>).</w:t>
      </w:r>
    </w:p>
    <w:p w14:paraId="26B9E310" w14:textId="68C03D6D" w:rsidR="00D427C1" w:rsidRDefault="00855ED9" w:rsidP="00D427C1">
      <w:pPr>
        <w:pStyle w:val="CETBodytext"/>
      </w:pPr>
      <w:r w:rsidRPr="00855ED9">
        <w:t xml:space="preserve">The Chi-square test of independence was used to verify the hypotheses. The </w:t>
      </w:r>
      <w:r w:rsidR="00657ABE" w:rsidRPr="0013253E">
        <w:t>C</w:t>
      </w:r>
      <w:r w:rsidRPr="00855ED9">
        <w:t>hi-square test of independence can be used when testing hypotheses in the case of nominal variables. The null hypothesis means that the variables are independent. The alternative hypothesis means the dependence of the variables. When testing hypotheses, it is based on the empirical number</w:t>
      </w:r>
      <w:r w:rsidR="0013253E">
        <w:t xml:space="preserve"> </w:t>
      </w:r>
      <w:r w:rsidRPr="00855ED9">
        <w:t xml:space="preserve">in the contingency table. For each empirical number, the </w:t>
      </w:r>
      <w:r w:rsidRPr="00855ED9">
        <w:lastRenderedPageBreak/>
        <w:t xml:space="preserve">expected frequency is calculated. The following applies: the proportion of expected frequencies must be at least 5 in at least 80% of the boxes and the other expected frequencies must be at least 1 </w:t>
      </w:r>
      <w:r w:rsidRPr="00EE33C7">
        <w:t>(</w:t>
      </w:r>
      <w:proofErr w:type="spellStart"/>
      <w:r w:rsidRPr="00EE33C7">
        <w:t>Řezanková</w:t>
      </w:r>
      <w:proofErr w:type="spellEnd"/>
      <w:r w:rsidRPr="00EE33C7">
        <w:t xml:space="preserve">, 2007). </w:t>
      </w:r>
      <w:r w:rsidRPr="00855ED9">
        <w:t xml:space="preserve">The </w:t>
      </w:r>
      <w:r w:rsidR="00D7307F">
        <w:t>C</w:t>
      </w:r>
      <w:r w:rsidRPr="00855ED9">
        <w:t>hi-square test statistic is expressed as a relationship</w:t>
      </w:r>
    </w:p>
    <w:p w14:paraId="1955A37D" w14:textId="6EE1C451" w:rsidR="00D427C1" w:rsidRPr="00D427C1" w:rsidRDefault="00D427C1" w:rsidP="00D427C1">
      <w:pPr>
        <w:pStyle w:val="CETBodytext"/>
        <w:rPr>
          <w:lang w:val="en-GB"/>
        </w:rPr>
      </w:pPr>
      <w:r w:rsidRPr="005C323E">
        <w:rPr>
          <w:rFonts w:cs="Arial"/>
          <w:b/>
          <w:bCs/>
          <w:szCs w:val="18"/>
        </w:rPr>
        <w:object w:dxaOrig="2820" w:dyaOrig="955" w14:anchorId="4C2E6B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8pt;height:34.4pt" o:ole="">
            <v:imagedata r:id="rId13" o:title=""/>
          </v:shape>
          <o:OLEObject Type="Embed" ProgID="Unknown" ShapeID="_x0000_i1025" DrawAspect="Content" ObjectID="_1778608685" r:id="rId14"/>
        </w:object>
      </w:r>
      <w:r>
        <w:rPr>
          <w:rFonts w:cs="Arial"/>
          <w:b/>
          <w:bCs/>
          <w:szCs w:val="18"/>
        </w:rPr>
        <w:tab/>
      </w:r>
      <w:r>
        <w:rPr>
          <w:rFonts w:cs="Arial"/>
          <w:b/>
          <w:bCs/>
          <w:szCs w:val="18"/>
        </w:rPr>
        <w:tab/>
      </w:r>
      <w:r>
        <w:rPr>
          <w:rFonts w:cs="Arial"/>
          <w:b/>
          <w:bCs/>
          <w:szCs w:val="18"/>
        </w:rPr>
        <w:tab/>
      </w:r>
      <w:r w:rsidRPr="00D427C1">
        <w:rPr>
          <w:lang w:val="en-GB"/>
        </w:rPr>
        <w:t>(2)</w:t>
      </w:r>
    </w:p>
    <w:p w14:paraId="27F8F337" w14:textId="5363FFF3" w:rsidR="00D427C1" w:rsidRDefault="00855ED9" w:rsidP="00D427C1">
      <w:pPr>
        <w:spacing w:line="240" w:lineRule="auto"/>
        <w:rPr>
          <w:rFonts w:cs="Arial"/>
          <w:szCs w:val="18"/>
        </w:rPr>
      </w:pPr>
      <w:r>
        <w:rPr>
          <w:rFonts w:eastAsiaTheme="minorEastAsia" w:cs="Arial"/>
          <w:szCs w:val="18"/>
        </w:rPr>
        <w:t>where</w:t>
      </w:r>
      <w:r w:rsidR="00D427C1">
        <w:rPr>
          <w:rFonts w:eastAsiaTheme="minorEastAsia" w:cs="Arial"/>
          <w:szCs w:val="18"/>
        </w:rPr>
        <w:t xml:space="preserve"> </w:t>
      </w:r>
      <m:oMath>
        <m:sSub>
          <m:sSubPr>
            <m:ctrlPr>
              <w:rPr>
                <w:rFonts w:ascii="Cambria Math" w:hAnsi="Cambria Math" w:cs="Arial"/>
                <w:i/>
                <w:szCs w:val="18"/>
              </w:rPr>
            </m:ctrlPr>
          </m:sSubPr>
          <m:e>
            <m:r>
              <w:rPr>
                <w:rFonts w:ascii="Cambria Math" w:hAnsi="Cambria Math" w:cs="Arial"/>
                <w:szCs w:val="18"/>
              </w:rPr>
              <m:t>f</m:t>
            </m:r>
          </m:e>
          <m:sub>
            <m:sSub>
              <m:sSubPr>
                <m:ctrlPr>
                  <w:rPr>
                    <w:rFonts w:ascii="Cambria Math" w:hAnsi="Cambria Math" w:cs="Arial"/>
                    <w:i/>
                    <w:szCs w:val="18"/>
                  </w:rPr>
                </m:ctrlPr>
              </m:sSubPr>
              <m:e>
                <m:r>
                  <w:rPr>
                    <w:rFonts w:ascii="Cambria Math" w:hAnsi="Cambria Math" w:cs="Arial"/>
                    <w:szCs w:val="18"/>
                  </w:rPr>
                  <m:t>b</m:t>
                </m:r>
              </m:e>
              <m:sub>
                <m:r>
                  <w:rPr>
                    <w:rFonts w:ascii="Cambria Math" w:hAnsi="Cambria Math" w:cs="Arial"/>
                    <w:szCs w:val="18"/>
                  </w:rPr>
                  <m:t>ij</m:t>
                </m:r>
              </m:sub>
            </m:sSub>
          </m:sub>
        </m:sSub>
      </m:oMath>
      <w:r w:rsidRPr="00855ED9">
        <w:t xml:space="preserve"> </w:t>
      </w:r>
      <w:r w:rsidRPr="00855ED9">
        <w:rPr>
          <w:rFonts w:cs="Arial"/>
          <w:szCs w:val="18"/>
        </w:rPr>
        <w:t>are empirical, real frequencies</w:t>
      </w:r>
      <w:r w:rsidR="00D427C1">
        <w:rPr>
          <w:rFonts w:cs="Arial"/>
          <w:szCs w:val="18"/>
        </w:rPr>
        <w:t xml:space="preserve">; </w:t>
      </w:r>
      <m:oMath>
        <m:sSub>
          <m:sSubPr>
            <m:ctrlPr>
              <w:rPr>
                <w:rFonts w:ascii="Cambria Math" w:hAnsi="Cambria Math" w:cs="Arial"/>
                <w:i/>
                <w:szCs w:val="18"/>
              </w:rPr>
            </m:ctrlPr>
          </m:sSubPr>
          <m:e>
            <m:r>
              <w:rPr>
                <w:rFonts w:ascii="Cambria Math" w:hAnsi="Cambria Math" w:cs="Arial"/>
                <w:szCs w:val="18"/>
              </w:rPr>
              <m:t>f</m:t>
            </m:r>
          </m:e>
          <m:sub>
            <m:sSub>
              <m:sSubPr>
                <m:ctrlPr>
                  <w:rPr>
                    <w:rFonts w:ascii="Cambria Math" w:hAnsi="Cambria Math" w:cs="Arial"/>
                    <w:i/>
                    <w:szCs w:val="18"/>
                  </w:rPr>
                </m:ctrlPr>
              </m:sSubPr>
              <m:e>
                <m:r>
                  <w:rPr>
                    <w:rFonts w:ascii="Cambria Math" w:hAnsi="Cambria Math" w:cs="Arial"/>
                    <w:szCs w:val="18"/>
                  </w:rPr>
                  <m:t>e</m:t>
                </m:r>
              </m:e>
              <m:sub>
                <m:r>
                  <w:rPr>
                    <w:rFonts w:ascii="Cambria Math" w:hAnsi="Cambria Math" w:cs="Arial"/>
                    <w:szCs w:val="18"/>
                  </w:rPr>
                  <m:t>ij</m:t>
                </m:r>
              </m:sub>
            </m:sSub>
          </m:sub>
        </m:sSub>
      </m:oMath>
      <w:r w:rsidRPr="00855ED9">
        <w:t xml:space="preserve"> </w:t>
      </w:r>
      <w:r>
        <w:t>a</w:t>
      </w:r>
      <w:r w:rsidRPr="00855ED9">
        <w:rPr>
          <w:rFonts w:cs="Arial"/>
          <w:szCs w:val="18"/>
        </w:rPr>
        <w:t>re expected frequencies</w:t>
      </w:r>
      <w:r w:rsidR="00D427C1">
        <w:rPr>
          <w:rFonts w:cs="Arial"/>
          <w:szCs w:val="18"/>
        </w:rPr>
        <w:t xml:space="preserve">; </w:t>
      </w:r>
      <w:r w:rsidR="00D427C1" w:rsidRPr="00F63604">
        <w:rPr>
          <w:rFonts w:cs="Arial"/>
          <w:i/>
          <w:szCs w:val="18"/>
        </w:rPr>
        <w:t>r</w:t>
      </w:r>
      <w:r w:rsidR="00D427C1">
        <w:rPr>
          <w:rFonts w:cs="Arial"/>
          <w:szCs w:val="18"/>
        </w:rPr>
        <w:t xml:space="preserve"> </w:t>
      </w:r>
      <w:r w:rsidR="00F63604" w:rsidRPr="00F63604">
        <w:rPr>
          <w:rFonts w:cs="Arial"/>
          <w:szCs w:val="18"/>
        </w:rPr>
        <w:t xml:space="preserve">is the number of rows and </w:t>
      </w:r>
      <w:r w:rsidR="00D427C1" w:rsidRPr="00F63604">
        <w:rPr>
          <w:rFonts w:cs="Arial"/>
          <w:i/>
          <w:szCs w:val="18"/>
        </w:rPr>
        <w:t>s</w:t>
      </w:r>
      <w:r w:rsidR="00D427C1">
        <w:rPr>
          <w:rFonts w:cs="Arial"/>
          <w:szCs w:val="18"/>
        </w:rPr>
        <w:t> </w:t>
      </w:r>
      <w:r w:rsidR="00F63604">
        <w:rPr>
          <w:rFonts w:cs="Arial"/>
          <w:szCs w:val="18"/>
        </w:rPr>
        <w:t>i</w:t>
      </w:r>
      <w:r w:rsidR="00F63604" w:rsidRPr="00F63604">
        <w:rPr>
          <w:rFonts w:cs="Arial"/>
          <w:szCs w:val="18"/>
        </w:rPr>
        <w:t>s the number of columns</w:t>
      </w:r>
      <w:r w:rsidR="00D427C1">
        <w:rPr>
          <w:rFonts w:cs="Arial"/>
          <w:szCs w:val="18"/>
        </w:rPr>
        <w:t>,</w:t>
      </w:r>
    </w:p>
    <w:p w14:paraId="62681ABC" w14:textId="77777777" w:rsidR="00D427C1" w:rsidRDefault="00D427C1" w:rsidP="00D427C1">
      <w:pPr>
        <w:spacing w:line="240" w:lineRule="auto"/>
        <w:rPr>
          <w:rFonts w:cs="Arial"/>
          <w:szCs w:val="18"/>
        </w:rPr>
      </w:pPr>
    </w:p>
    <w:p w14:paraId="14974113" w14:textId="7B802DD7" w:rsidR="00D427C1" w:rsidRPr="00641C3A" w:rsidRDefault="00D6399C" w:rsidP="00D427C1">
      <w:pPr>
        <w:spacing w:line="240" w:lineRule="auto"/>
        <w:jc w:val="left"/>
        <w:rPr>
          <w:rFonts w:eastAsiaTheme="minorEastAsia" w:cs="Arial"/>
          <w:szCs w:val="18"/>
        </w:rPr>
      </w:pPr>
      <m:oMath>
        <m:sSub>
          <m:sSubPr>
            <m:ctrlPr>
              <w:rPr>
                <w:rFonts w:ascii="Cambria Math" w:hAnsi="Cambria Math" w:cs="Arial"/>
                <w:i/>
                <w:szCs w:val="18"/>
              </w:rPr>
            </m:ctrlPr>
          </m:sSubPr>
          <m:e>
            <m:r>
              <w:rPr>
                <w:rFonts w:ascii="Cambria Math" w:hAnsi="Cambria Math" w:cs="Arial"/>
                <w:szCs w:val="18"/>
              </w:rPr>
              <m:t>f</m:t>
            </m:r>
          </m:e>
          <m:sub>
            <m:sSub>
              <m:sSubPr>
                <m:ctrlPr>
                  <w:rPr>
                    <w:rFonts w:ascii="Cambria Math" w:hAnsi="Cambria Math" w:cs="Arial"/>
                    <w:i/>
                    <w:szCs w:val="18"/>
                  </w:rPr>
                </m:ctrlPr>
              </m:sSubPr>
              <m:e>
                <m:r>
                  <w:rPr>
                    <w:rFonts w:ascii="Cambria Math" w:hAnsi="Cambria Math" w:cs="Arial"/>
                    <w:szCs w:val="18"/>
                  </w:rPr>
                  <m:t>e</m:t>
                </m:r>
              </m:e>
              <m:sub>
                <m:r>
                  <w:rPr>
                    <w:rFonts w:ascii="Cambria Math" w:hAnsi="Cambria Math" w:cs="Arial"/>
                    <w:szCs w:val="18"/>
                  </w:rPr>
                  <m:t>ij</m:t>
                </m:r>
              </m:sub>
            </m:sSub>
          </m:sub>
        </m:sSub>
        <m:r>
          <w:rPr>
            <w:rFonts w:ascii="Cambria Math" w:hAnsi="Cambria Math" w:cs="Arial"/>
            <w:szCs w:val="18"/>
          </w:rPr>
          <m:t>=</m:t>
        </m:r>
        <m:f>
          <m:fPr>
            <m:ctrlPr>
              <w:rPr>
                <w:rFonts w:ascii="Cambria Math" w:hAnsi="Cambria Math" w:cs="Arial"/>
                <w:i/>
                <w:szCs w:val="18"/>
              </w:rPr>
            </m:ctrlPr>
          </m:fPr>
          <m:num>
            <m:r>
              <w:rPr>
                <w:rFonts w:ascii="Cambria Math" w:hAnsi="Cambria Math" w:cs="Arial"/>
                <w:szCs w:val="18"/>
              </w:rPr>
              <m:t>(Row i Total)(Column j Total)</m:t>
            </m:r>
          </m:num>
          <m:den>
            <m:r>
              <w:rPr>
                <w:rFonts w:ascii="Cambria Math" w:hAnsi="Cambria Math" w:cs="Arial"/>
                <w:szCs w:val="18"/>
              </w:rPr>
              <m:t>Sample Size</m:t>
            </m:r>
          </m:den>
        </m:f>
      </m:oMath>
      <w:r w:rsidR="00D427C1">
        <w:rPr>
          <w:rFonts w:eastAsiaTheme="minorEastAsia" w:cs="Arial"/>
          <w:szCs w:val="18"/>
        </w:rPr>
        <w:t>.</w:t>
      </w:r>
      <w:r w:rsidR="00D427C1">
        <w:rPr>
          <w:rFonts w:eastAsiaTheme="minorEastAsia" w:cs="Arial"/>
          <w:szCs w:val="18"/>
        </w:rPr>
        <w:tab/>
      </w:r>
      <w:r w:rsidR="00D427C1">
        <w:rPr>
          <w:rFonts w:eastAsiaTheme="minorEastAsia" w:cs="Arial"/>
          <w:szCs w:val="18"/>
        </w:rPr>
        <w:tab/>
      </w:r>
      <w:r w:rsidR="00D427C1">
        <w:rPr>
          <w:rFonts w:eastAsiaTheme="minorEastAsia" w:cs="Arial"/>
          <w:szCs w:val="18"/>
        </w:rPr>
        <w:tab/>
      </w:r>
      <w:r w:rsidR="00D427C1" w:rsidRPr="00D427C1">
        <w:t>(3)</w:t>
      </w:r>
    </w:p>
    <w:p w14:paraId="0E0D1C07" w14:textId="77777777" w:rsidR="00D427C1" w:rsidRDefault="00D427C1" w:rsidP="00D427C1">
      <w:pPr>
        <w:pStyle w:val="CETBodytext"/>
        <w:rPr>
          <w:noProof/>
        </w:rPr>
      </w:pPr>
    </w:p>
    <w:p w14:paraId="407D7069" w14:textId="0C152648" w:rsidR="005965E2" w:rsidRPr="00AD6737" w:rsidRDefault="005965E2" w:rsidP="00354E56">
      <w:pPr>
        <w:pStyle w:val="CETBodytext"/>
        <w:rPr>
          <w:color w:val="FF0000"/>
        </w:rPr>
      </w:pPr>
      <w:r>
        <w:t xml:space="preserve">The test statistics has a </w:t>
      </w:r>
      <w:r w:rsidR="00657ABE" w:rsidRPr="009A04C3">
        <w:t>C</w:t>
      </w:r>
      <w:r>
        <w:t>hi-squared distribution with (r-</w:t>
      </w:r>
      <w:proofErr w:type="gramStart"/>
      <w:r>
        <w:t>1)(</w:t>
      </w:r>
      <w:proofErr w:type="gramEnd"/>
      <w:r>
        <w:t xml:space="preserve">s-1) degrees of </w:t>
      </w:r>
      <w:r w:rsidRPr="00EE33C7">
        <w:t xml:space="preserve">freedom (Anderson et al., 2014). </w:t>
      </w:r>
      <w:r w:rsidR="00354E56" w:rsidRPr="00EE33C7">
        <w:t xml:space="preserve">The </w:t>
      </w:r>
      <w:r w:rsidR="00354E56">
        <w:t xml:space="preserve"> </w:t>
      </w:r>
      <w:r w:rsidR="00393FB9">
        <w:t xml:space="preserve"> </w:t>
      </w:r>
      <w:r w:rsidR="00393FB9" w:rsidRPr="009A04C3">
        <w:t>strength of the relationship</w:t>
      </w:r>
      <w:r w:rsidR="00393FB9">
        <w:t xml:space="preserve"> </w:t>
      </w:r>
      <w:r w:rsidR="00354E56">
        <w:t>is expressed by Cramer's V, which has values from 0 to 1. If the requirements for using the Chi-square test of independence in a 2x2 contingency table are not met, Fisher's Exact Test is used</w:t>
      </w:r>
      <w:r w:rsidR="00354E56" w:rsidRPr="00AD6737">
        <w:rPr>
          <w:color w:val="FF0000"/>
        </w:rPr>
        <w:t xml:space="preserve"> </w:t>
      </w:r>
      <w:r w:rsidR="00AD6737" w:rsidRPr="00EE33C7">
        <w:t>(</w:t>
      </w:r>
      <w:proofErr w:type="spellStart"/>
      <w:r w:rsidRPr="00EE33C7">
        <w:t>Řezanková</w:t>
      </w:r>
      <w:proofErr w:type="spellEnd"/>
      <w:r w:rsidRPr="00EE33C7">
        <w:t>, 2007).</w:t>
      </w:r>
    </w:p>
    <w:p w14:paraId="0B537BC9" w14:textId="7C2A94DC" w:rsidR="00AD6737" w:rsidRDefault="00607465" w:rsidP="000847B8">
      <w:pPr>
        <w:pStyle w:val="CETBodytext"/>
      </w:pPr>
      <w:r w:rsidRPr="00607465">
        <w:t xml:space="preserve">SPSS software was used for statistical data processing. The questionnaire survey was carried out in November 2022. According to the Ministry of Health, there were 92 spas. All facilities were contacted by phone and email. Sources of contact information were also obtained from publicly available sources of the Ministry of Health. Out of 92 organizations, 16 were eliminated (inactive activity). Questionnaires were sent to 76 facilities, and the research sample comprised 32 facilities (return rate </w:t>
      </w:r>
      <w:r w:rsidRPr="009A04C3">
        <w:t>42%</w:t>
      </w:r>
      <w:r w:rsidRPr="00607465">
        <w:t>). Data collection took place via the SURVIO online platform.</w:t>
      </w:r>
    </w:p>
    <w:p w14:paraId="493EC453" w14:textId="6225AED3" w:rsidR="00AD6737" w:rsidRDefault="00AD6737" w:rsidP="00AD6737">
      <w:pPr>
        <w:pStyle w:val="CETHeading1"/>
        <w:tabs>
          <w:tab w:val="right" w:pos="7100"/>
        </w:tabs>
        <w:jc w:val="both"/>
        <w:rPr>
          <w:lang w:val="en-GB"/>
        </w:rPr>
      </w:pPr>
      <w:r>
        <w:rPr>
          <w:lang w:val="en-GB"/>
        </w:rPr>
        <w:t>Results and Discussion</w:t>
      </w:r>
    </w:p>
    <w:p w14:paraId="002F5EA0" w14:textId="77777777" w:rsidR="00987D98" w:rsidRDefault="00987D98" w:rsidP="00E54A8A">
      <w:pPr>
        <w:pStyle w:val="CETTabletitle"/>
        <w:jc w:val="both"/>
        <w:rPr>
          <w:i w:val="0"/>
          <w:lang w:val="en-US"/>
        </w:rPr>
      </w:pPr>
      <w:r w:rsidRPr="00987D98">
        <w:rPr>
          <w:i w:val="0"/>
          <w:lang w:val="en-US"/>
        </w:rPr>
        <w:t>First, dividing the respondents according to the company's size was necessary. The division into small, medium, and large enterprises according to the number of employees was used. The number of spa facilities in individual groups by size is in Table 1.</w:t>
      </w:r>
    </w:p>
    <w:p w14:paraId="6A5167CF" w14:textId="1B64AC36" w:rsidR="00600535" w:rsidRPr="00B57B36" w:rsidRDefault="00600535" w:rsidP="00600535">
      <w:pPr>
        <w:pStyle w:val="CETTabletitle"/>
      </w:pPr>
      <w:r w:rsidRPr="00B57B36">
        <w:t xml:space="preserve">Table 1: </w:t>
      </w:r>
      <w:r w:rsidR="003E7B7C" w:rsidRPr="003E7B7C">
        <w:t>Spa facilities by size</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560"/>
        <w:gridCol w:w="708"/>
        <w:gridCol w:w="1134"/>
        <w:gridCol w:w="1134"/>
        <w:gridCol w:w="1134"/>
      </w:tblGrid>
      <w:tr w:rsidR="00600535" w:rsidRPr="00B57B36" w14:paraId="4B29AA51" w14:textId="77777777" w:rsidTr="00EC7784">
        <w:tc>
          <w:tcPr>
            <w:tcW w:w="1560" w:type="dxa"/>
            <w:tcBorders>
              <w:top w:val="single" w:sz="12" w:space="0" w:color="008000"/>
              <w:bottom w:val="single" w:sz="6" w:space="0" w:color="008000"/>
            </w:tcBorders>
            <w:shd w:val="clear" w:color="auto" w:fill="FFFFFF"/>
          </w:tcPr>
          <w:p w14:paraId="500859EC" w14:textId="11E9E209" w:rsidR="00600535" w:rsidRPr="00B57B36" w:rsidRDefault="005B0EE0" w:rsidP="00507B47">
            <w:pPr>
              <w:pStyle w:val="CETBodytext"/>
              <w:rPr>
                <w:lang w:val="en-GB"/>
              </w:rPr>
            </w:pPr>
            <w:r>
              <w:rPr>
                <w:lang w:val="en-GB"/>
              </w:rPr>
              <w:t>Size of company</w:t>
            </w:r>
            <w:r w:rsidR="00600535" w:rsidRPr="00B57B36">
              <w:rPr>
                <w:lang w:val="en-GB"/>
              </w:rPr>
              <w:t xml:space="preserve"> </w:t>
            </w:r>
          </w:p>
        </w:tc>
        <w:tc>
          <w:tcPr>
            <w:tcW w:w="708" w:type="dxa"/>
            <w:tcBorders>
              <w:top w:val="single" w:sz="12" w:space="0" w:color="008000"/>
              <w:bottom w:val="single" w:sz="6" w:space="0" w:color="008000"/>
            </w:tcBorders>
            <w:shd w:val="clear" w:color="auto" w:fill="FFFFFF"/>
          </w:tcPr>
          <w:p w14:paraId="6B6E97E3" w14:textId="40AC9C05" w:rsidR="00600535" w:rsidRPr="00B57B36" w:rsidRDefault="003F097C" w:rsidP="00507B47">
            <w:pPr>
              <w:pStyle w:val="CETBodytext"/>
              <w:rPr>
                <w:lang w:val="en-GB"/>
              </w:rPr>
            </w:pPr>
            <w:r>
              <w:rPr>
                <w:lang w:val="en-GB"/>
              </w:rPr>
              <w:t>Small</w:t>
            </w:r>
          </w:p>
        </w:tc>
        <w:tc>
          <w:tcPr>
            <w:tcW w:w="1134" w:type="dxa"/>
            <w:tcBorders>
              <w:top w:val="single" w:sz="12" w:space="0" w:color="008000"/>
              <w:bottom w:val="single" w:sz="6" w:space="0" w:color="008000"/>
            </w:tcBorders>
            <w:shd w:val="clear" w:color="auto" w:fill="FFFFFF"/>
          </w:tcPr>
          <w:p w14:paraId="0CC5C18D" w14:textId="7AB626E4" w:rsidR="00600535" w:rsidRPr="00B57B36" w:rsidRDefault="003F097C" w:rsidP="00507B47">
            <w:pPr>
              <w:pStyle w:val="CETBodytext"/>
              <w:rPr>
                <w:lang w:val="en-GB"/>
              </w:rPr>
            </w:pPr>
            <w:r>
              <w:rPr>
                <w:lang w:val="en-GB"/>
              </w:rPr>
              <w:t>Medium</w:t>
            </w:r>
          </w:p>
        </w:tc>
        <w:tc>
          <w:tcPr>
            <w:tcW w:w="1134" w:type="dxa"/>
            <w:tcBorders>
              <w:top w:val="single" w:sz="12" w:space="0" w:color="008000"/>
              <w:bottom w:val="single" w:sz="6" w:space="0" w:color="008000"/>
            </w:tcBorders>
            <w:shd w:val="clear" w:color="auto" w:fill="FFFFFF"/>
          </w:tcPr>
          <w:p w14:paraId="199EE8DC" w14:textId="5A3FB3C7" w:rsidR="00600535" w:rsidRPr="00B57B36" w:rsidRDefault="003F097C" w:rsidP="00507B47">
            <w:pPr>
              <w:pStyle w:val="CETBodytext"/>
              <w:ind w:right="-1"/>
              <w:rPr>
                <w:rFonts w:cs="Arial"/>
                <w:szCs w:val="18"/>
                <w:lang w:val="en-GB"/>
              </w:rPr>
            </w:pPr>
            <w:r>
              <w:rPr>
                <w:rFonts w:cs="Arial"/>
                <w:szCs w:val="18"/>
                <w:lang w:val="en-GB"/>
              </w:rPr>
              <w:t>Large</w:t>
            </w:r>
          </w:p>
        </w:tc>
        <w:tc>
          <w:tcPr>
            <w:tcW w:w="1134" w:type="dxa"/>
            <w:tcBorders>
              <w:top w:val="single" w:sz="12" w:space="0" w:color="008000"/>
              <w:bottom w:val="single" w:sz="6" w:space="0" w:color="008000"/>
            </w:tcBorders>
            <w:shd w:val="clear" w:color="auto" w:fill="FFFFFF"/>
          </w:tcPr>
          <w:p w14:paraId="005800F7" w14:textId="2616EDE2" w:rsidR="00600535" w:rsidRPr="00B57B36" w:rsidRDefault="003F097C" w:rsidP="00507B47">
            <w:pPr>
              <w:pStyle w:val="CETBodytext"/>
              <w:ind w:right="-1"/>
              <w:rPr>
                <w:rFonts w:cs="Arial"/>
                <w:szCs w:val="18"/>
                <w:lang w:val="en-GB"/>
              </w:rPr>
            </w:pPr>
            <w:r>
              <w:rPr>
                <w:rFonts w:cs="Arial"/>
                <w:szCs w:val="18"/>
                <w:lang w:val="en-GB"/>
              </w:rPr>
              <w:t>T</w:t>
            </w:r>
            <w:r w:rsidR="00FC106E">
              <w:rPr>
                <w:rFonts w:cs="Arial"/>
                <w:szCs w:val="18"/>
                <w:lang w:val="en-GB"/>
              </w:rPr>
              <w:t>otal</w:t>
            </w:r>
          </w:p>
        </w:tc>
      </w:tr>
      <w:tr w:rsidR="00600535" w:rsidRPr="00B57B36" w14:paraId="18FA68DB" w14:textId="77777777" w:rsidTr="00EC7784">
        <w:tc>
          <w:tcPr>
            <w:tcW w:w="1560" w:type="dxa"/>
            <w:shd w:val="clear" w:color="auto" w:fill="FFFFFF"/>
          </w:tcPr>
          <w:p w14:paraId="1877D42D" w14:textId="4580CD32" w:rsidR="00600535" w:rsidRPr="00793F92" w:rsidRDefault="00EC7784" w:rsidP="00507B47">
            <w:pPr>
              <w:pStyle w:val="CETBodytext"/>
              <w:rPr>
                <w:b/>
                <w:lang w:val="en-GB"/>
              </w:rPr>
            </w:pPr>
            <w:r w:rsidRPr="00793F92">
              <w:rPr>
                <w:b/>
                <w:lang w:val="en-GB"/>
              </w:rPr>
              <w:t>Total</w:t>
            </w:r>
          </w:p>
        </w:tc>
        <w:tc>
          <w:tcPr>
            <w:tcW w:w="708" w:type="dxa"/>
            <w:shd w:val="clear" w:color="auto" w:fill="FFFFFF"/>
          </w:tcPr>
          <w:p w14:paraId="48136FAE" w14:textId="787DCBA3" w:rsidR="00600535" w:rsidRPr="00793F92" w:rsidRDefault="003F097C" w:rsidP="00507B47">
            <w:pPr>
              <w:pStyle w:val="CETBodytext"/>
              <w:rPr>
                <w:b/>
                <w:lang w:val="en-GB"/>
              </w:rPr>
            </w:pPr>
            <w:r w:rsidRPr="00793F92">
              <w:rPr>
                <w:b/>
                <w:lang w:val="en-GB"/>
              </w:rPr>
              <w:t>5</w:t>
            </w:r>
          </w:p>
        </w:tc>
        <w:tc>
          <w:tcPr>
            <w:tcW w:w="1134" w:type="dxa"/>
            <w:shd w:val="clear" w:color="auto" w:fill="FFFFFF"/>
          </w:tcPr>
          <w:p w14:paraId="2CB03BEE" w14:textId="7541AE22" w:rsidR="00600535" w:rsidRPr="00793F92" w:rsidRDefault="003F097C" w:rsidP="00507B47">
            <w:pPr>
              <w:pStyle w:val="CETBodytext"/>
              <w:rPr>
                <w:b/>
                <w:lang w:val="en-GB"/>
              </w:rPr>
            </w:pPr>
            <w:r w:rsidRPr="00793F92">
              <w:rPr>
                <w:b/>
                <w:lang w:val="en-GB"/>
              </w:rPr>
              <w:t>19</w:t>
            </w:r>
          </w:p>
        </w:tc>
        <w:tc>
          <w:tcPr>
            <w:tcW w:w="1134" w:type="dxa"/>
            <w:shd w:val="clear" w:color="auto" w:fill="FFFFFF"/>
          </w:tcPr>
          <w:p w14:paraId="7FF7EB81" w14:textId="73C24EC7" w:rsidR="00600535" w:rsidRPr="00793F92" w:rsidRDefault="003F097C" w:rsidP="00507B47">
            <w:pPr>
              <w:pStyle w:val="CETBodytext"/>
              <w:ind w:right="-1"/>
              <w:rPr>
                <w:rFonts w:cs="Arial"/>
                <w:b/>
                <w:szCs w:val="18"/>
                <w:lang w:val="en-GB"/>
              </w:rPr>
            </w:pPr>
            <w:r w:rsidRPr="00793F92">
              <w:rPr>
                <w:rFonts w:cs="Arial"/>
                <w:b/>
                <w:szCs w:val="18"/>
                <w:lang w:val="en-GB"/>
              </w:rPr>
              <w:t>8</w:t>
            </w:r>
          </w:p>
        </w:tc>
        <w:tc>
          <w:tcPr>
            <w:tcW w:w="1134" w:type="dxa"/>
            <w:shd w:val="clear" w:color="auto" w:fill="FFFFFF"/>
          </w:tcPr>
          <w:p w14:paraId="6512B018" w14:textId="5A2E0DDA" w:rsidR="00600535" w:rsidRPr="00793F92" w:rsidRDefault="003F097C" w:rsidP="00507B47">
            <w:pPr>
              <w:pStyle w:val="CETBodytext"/>
              <w:ind w:right="-1"/>
              <w:rPr>
                <w:rFonts w:cs="Arial"/>
                <w:b/>
                <w:szCs w:val="18"/>
                <w:lang w:val="en-GB"/>
              </w:rPr>
            </w:pPr>
            <w:r w:rsidRPr="00793F92">
              <w:rPr>
                <w:rFonts w:cs="Arial"/>
                <w:b/>
                <w:szCs w:val="18"/>
                <w:lang w:val="en-GB"/>
              </w:rPr>
              <w:t>32</w:t>
            </w:r>
          </w:p>
        </w:tc>
      </w:tr>
    </w:tbl>
    <w:p w14:paraId="49F20269" w14:textId="1B8EB8B3" w:rsidR="00AD6737" w:rsidRDefault="00E05C56" w:rsidP="00F510B0">
      <w:pPr>
        <w:pStyle w:val="CETBodytext"/>
        <w:rPr>
          <w:lang w:val="en-GB"/>
        </w:rPr>
      </w:pPr>
      <w:r>
        <w:rPr>
          <w:lang w:val="en-GB"/>
        </w:rPr>
        <w:t>Source: O</w:t>
      </w:r>
      <w:r w:rsidRPr="00E05C56">
        <w:rPr>
          <w:lang w:val="en-GB"/>
        </w:rPr>
        <w:t>wn research</w:t>
      </w:r>
    </w:p>
    <w:p w14:paraId="113304CF" w14:textId="17EE9177" w:rsidR="00987D98" w:rsidRDefault="00987D98" w:rsidP="00E54A8A">
      <w:pPr>
        <w:pStyle w:val="CETTabletitle"/>
        <w:jc w:val="both"/>
        <w:rPr>
          <w:i w:val="0"/>
        </w:rPr>
      </w:pPr>
      <w:r w:rsidRPr="00987D98">
        <w:rPr>
          <w:i w:val="0"/>
        </w:rPr>
        <w:t xml:space="preserve">In connection with the capacity crisis in the spa area, finding out which positions staff are missing in spa facilities was a matter of interest. The answer options were "top management," "middle management," "doctors and medical staff," and "non-medical staff, i.e., support staff." The variables were dichotomous, with the option of answering "yes" or "no." Spa facilities show a sufficient number of top and middle management employees. However, every spa facility stated that they lack the most staff in one of the categories – "doctors and medical staff" and "support staff." 53.1% of all respondents answered that they lack personnel in both categories. 87.5% (28) of spa facilities lacked "support staff." 65.6% of spa facilities said they lack "doctors and medical staff." For both variables, the modal category is "yes." The contingency table with both variables is in </w:t>
      </w:r>
      <w:r w:rsidR="00507B42" w:rsidRPr="00CB036A">
        <w:rPr>
          <w:i w:val="0"/>
        </w:rPr>
        <w:t>T</w:t>
      </w:r>
      <w:r w:rsidRPr="00987D98">
        <w:rPr>
          <w:i w:val="0"/>
        </w:rPr>
        <w:t>able 2.</w:t>
      </w:r>
    </w:p>
    <w:p w14:paraId="06D52E73" w14:textId="023A49EF" w:rsidR="00EC7784" w:rsidRPr="00B57B36" w:rsidRDefault="00EC7784" w:rsidP="00EC7784">
      <w:pPr>
        <w:pStyle w:val="CETTabletitle"/>
      </w:pPr>
      <w:r w:rsidRPr="00B57B36">
        <w:t xml:space="preserve">Table </w:t>
      </w:r>
      <w:r>
        <w:t>2</w:t>
      </w:r>
      <w:r w:rsidRPr="00B57B36">
        <w:t xml:space="preserve">: </w:t>
      </w:r>
      <w:r w:rsidR="008A4AB8" w:rsidRPr="008A4AB8">
        <w:t>Contingency table with variables - the most missing support staff and the most missing doctors and medical staff</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268"/>
        <w:gridCol w:w="709"/>
        <w:gridCol w:w="820"/>
        <w:gridCol w:w="56"/>
        <w:gridCol w:w="1676"/>
      </w:tblGrid>
      <w:tr w:rsidR="00D91B5F" w:rsidRPr="00B57B36" w14:paraId="24706B57" w14:textId="77777777" w:rsidTr="00E04110">
        <w:tc>
          <w:tcPr>
            <w:tcW w:w="2268" w:type="dxa"/>
            <w:tcBorders>
              <w:top w:val="single" w:sz="12" w:space="0" w:color="008000"/>
              <w:bottom w:val="single" w:sz="6" w:space="0" w:color="008000"/>
            </w:tcBorders>
            <w:shd w:val="clear" w:color="auto" w:fill="FFFFFF"/>
          </w:tcPr>
          <w:p w14:paraId="0960D8BA" w14:textId="02DA7E3D" w:rsidR="00D91B5F" w:rsidRPr="00B57B36" w:rsidRDefault="00D91B5F" w:rsidP="00D91B5F">
            <w:pPr>
              <w:pStyle w:val="CETBodytext"/>
              <w:jc w:val="center"/>
              <w:rPr>
                <w:lang w:val="en-GB"/>
              </w:rPr>
            </w:pPr>
            <w:r w:rsidRPr="005E4A25">
              <w:rPr>
                <w:lang w:val="en-GB"/>
              </w:rPr>
              <w:t>Most missing support staff</w:t>
            </w:r>
          </w:p>
        </w:tc>
        <w:tc>
          <w:tcPr>
            <w:tcW w:w="3261" w:type="dxa"/>
            <w:gridSpan w:val="4"/>
            <w:tcBorders>
              <w:top w:val="single" w:sz="12" w:space="0" w:color="008000"/>
              <w:bottom w:val="single" w:sz="6" w:space="0" w:color="008000"/>
            </w:tcBorders>
            <w:shd w:val="clear" w:color="auto" w:fill="FFFFFF"/>
          </w:tcPr>
          <w:p w14:paraId="20562C9B" w14:textId="654A2042" w:rsidR="00D91B5F" w:rsidRPr="00E04110" w:rsidRDefault="00E04110" w:rsidP="00E04110">
            <w:pPr>
              <w:pStyle w:val="CETBodytext"/>
              <w:jc w:val="center"/>
              <w:rPr>
                <w:lang w:val="en-GB"/>
              </w:rPr>
            </w:pPr>
            <w:r>
              <w:rPr>
                <w:lang w:val="en-GB"/>
              </w:rPr>
              <w:t>M</w:t>
            </w:r>
            <w:r w:rsidRPr="00E04110">
              <w:rPr>
                <w:lang w:val="en-GB"/>
              </w:rPr>
              <w:t>ost missing doctors and medical staff</w:t>
            </w:r>
          </w:p>
        </w:tc>
      </w:tr>
      <w:tr w:rsidR="00D91B5F" w:rsidRPr="00B57B36" w14:paraId="6FC6891C" w14:textId="77777777" w:rsidTr="00E04110">
        <w:tc>
          <w:tcPr>
            <w:tcW w:w="2268" w:type="dxa"/>
            <w:tcBorders>
              <w:top w:val="single" w:sz="12" w:space="0" w:color="008000"/>
              <w:bottom w:val="single" w:sz="6" w:space="0" w:color="008000"/>
            </w:tcBorders>
            <w:shd w:val="clear" w:color="auto" w:fill="FFFFFF"/>
          </w:tcPr>
          <w:p w14:paraId="185474AD" w14:textId="77777777" w:rsidR="00D91B5F" w:rsidRPr="005E4A25" w:rsidRDefault="00D91B5F" w:rsidP="009C2CD4">
            <w:pPr>
              <w:pStyle w:val="CETBodytext"/>
              <w:rPr>
                <w:lang w:val="en-GB"/>
              </w:rPr>
            </w:pPr>
          </w:p>
        </w:tc>
        <w:tc>
          <w:tcPr>
            <w:tcW w:w="709" w:type="dxa"/>
            <w:tcBorders>
              <w:top w:val="single" w:sz="12" w:space="0" w:color="008000"/>
              <w:bottom w:val="single" w:sz="6" w:space="0" w:color="008000"/>
            </w:tcBorders>
            <w:shd w:val="clear" w:color="auto" w:fill="FFFFFF"/>
          </w:tcPr>
          <w:p w14:paraId="7B0CCA3D" w14:textId="36E0205D" w:rsidR="00D91B5F" w:rsidRDefault="00D91B5F" w:rsidP="00D91B5F">
            <w:pPr>
              <w:pStyle w:val="CETBodytext"/>
              <w:rPr>
                <w:lang w:val="en-GB"/>
              </w:rPr>
            </w:pPr>
            <w:r>
              <w:rPr>
                <w:lang w:val="en-GB"/>
              </w:rPr>
              <w:t>No</w:t>
            </w:r>
          </w:p>
        </w:tc>
        <w:tc>
          <w:tcPr>
            <w:tcW w:w="820" w:type="dxa"/>
            <w:tcBorders>
              <w:top w:val="single" w:sz="12" w:space="0" w:color="008000"/>
              <w:bottom w:val="single" w:sz="6" w:space="0" w:color="008000"/>
            </w:tcBorders>
            <w:shd w:val="clear" w:color="auto" w:fill="FFFFFF"/>
          </w:tcPr>
          <w:p w14:paraId="34B78B9C" w14:textId="3608B652" w:rsidR="00D91B5F" w:rsidRDefault="00D91B5F" w:rsidP="00D91B5F">
            <w:pPr>
              <w:pStyle w:val="CETBodytext"/>
              <w:rPr>
                <w:rFonts w:cs="Arial"/>
                <w:szCs w:val="18"/>
                <w:lang w:val="en-GB"/>
              </w:rPr>
            </w:pPr>
            <w:r>
              <w:rPr>
                <w:rFonts w:cs="Arial"/>
                <w:szCs w:val="18"/>
                <w:lang w:val="en-GB"/>
              </w:rPr>
              <w:t>Yes</w:t>
            </w:r>
          </w:p>
        </w:tc>
        <w:tc>
          <w:tcPr>
            <w:tcW w:w="1732" w:type="dxa"/>
            <w:gridSpan w:val="2"/>
            <w:tcBorders>
              <w:top w:val="single" w:sz="12" w:space="0" w:color="008000"/>
              <w:bottom w:val="single" w:sz="6" w:space="0" w:color="008000"/>
            </w:tcBorders>
            <w:shd w:val="clear" w:color="auto" w:fill="FFFFFF"/>
          </w:tcPr>
          <w:p w14:paraId="0073A67C" w14:textId="7668E1FC" w:rsidR="00D91B5F" w:rsidRPr="00B57B36" w:rsidRDefault="00D91B5F" w:rsidP="00D91B5F">
            <w:pPr>
              <w:pStyle w:val="CETBodytext"/>
              <w:rPr>
                <w:rFonts w:cs="Arial"/>
                <w:szCs w:val="18"/>
                <w:lang w:val="en-GB"/>
              </w:rPr>
            </w:pPr>
            <w:r>
              <w:rPr>
                <w:rFonts w:cs="Arial"/>
                <w:szCs w:val="18"/>
                <w:lang w:val="en-GB"/>
              </w:rPr>
              <w:t>Total</w:t>
            </w:r>
          </w:p>
        </w:tc>
      </w:tr>
      <w:tr w:rsidR="00D91B5F" w:rsidRPr="00B57B36" w14:paraId="3A3C8CAA" w14:textId="77777777" w:rsidTr="00E04110">
        <w:tc>
          <w:tcPr>
            <w:tcW w:w="2268" w:type="dxa"/>
            <w:shd w:val="clear" w:color="auto" w:fill="FFFFFF"/>
          </w:tcPr>
          <w:p w14:paraId="54327273" w14:textId="0B3F9112" w:rsidR="00D91B5F" w:rsidRPr="00936C40" w:rsidRDefault="00D91B5F" w:rsidP="009C2CD4">
            <w:pPr>
              <w:pStyle w:val="CETBodytext"/>
              <w:rPr>
                <w:lang w:val="en-GB"/>
              </w:rPr>
            </w:pPr>
            <w:r w:rsidRPr="00936C40">
              <w:rPr>
                <w:lang w:val="en-GB"/>
              </w:rPr>
              <w:t>No</w:t>
            </w:r>
          </w:p>
          <w:p w14:paraId="559720F8" w14:textId="4A9A6DEB" w:rsidR="00D91B5F" w:rsidRPr="00936C40" w:rsidRDefault="00D91B5F" w:rsidP="009C2CD4">
            <w:pPr>
              <w:pStyle w:val="CETBodytext"/>
              <w:rPr>
                <w:lang w:val="en-GB"/>
              </w:rPr>
            </w:pPr>
            <w:r w:rsidRPr="00936C40">
              <w:rPr>
                <w:lang w:val="en-GB"/>
              </w:rPr>
              <w:t>Yes</w:t>
            </w:r>
          </w:p>
          <w:p w14:paraId="07D2A45D" w14:textId="0F286AFD" w:rsidR="00D91B5F" w:rsidRPr="00936C40" w:rsidRDefault="00D91B5F" w:rsidP="009C2CD4">
            <w:pPr>
              <w:pStyle w:val="CETBodytext"/>
              <w:rPr>
                <w:b/>
                <w:lang w:val="en-GB"/>
              </w:rPr>
            </w:pPr>
            <w:r w:rsidRPr="00936C40">
              <w:rPr>
                <w:b/>
                <w:lang w:val="en-GB"/>
              </w:rPr>
              <w:t>Total</w:t>
            </w:r>
          </w:p>
        </w:tc>
        <w:tc>
          <w:tcPr>
            <w:tcW w:w="709" w:type="dxa"/>
            <w:shd w:val="clear" w:color="auto" w:fill="FFFFFF"/>
          </w:tcPr>
          <w:p w14:paraId="19C0473F" w14:textId="77777777" w:rsidR="00D91B5F" w:rsidRPr="00936C40" w:rsidRDefault="00D91B5F" w:rsidP="009C2CD4">
            <w:pPr>
              <w:pStyle w:val="CETBodytext"/>
              <w:rPr>
                <w:lang w:val="en-GB"/>
              </w:rPr>
            </w:pPr>
            <w:r w:rsidRPr="00936C40">
              <w:rPr>
                <w:lang w:val="en-GB"/>
              </w:rPr>
              <w:t>0</w:t>
            </w:r>
          </w:p>
          <w:p w14:paraId="12DF0062" w14:textId="77777777" w:rsidR="00D91B5F" w:rsidRPr="00936C40" w:rsidRDefault="00D91B5F" w:rsidP="009C2CD4">
            <w:pPr>
              <w:pStyle w:val="CETBodytext"/>
              <w:rPr>
                <w:lang w:val="en-GB"/>
              </w:rPr>
            </w:pPr>
            <w:r w:rsidRPr="00936C40">
              <w:rPr>
                <w:lang w:val="en-GB"/>
              </w:rPr>
              <w:t>11</w:t>
            </w:r>
          </w:p>
          <w:p w14:paraId="36F84503" w14:textId="78392E88" w:rsidR="00D91B5F" w:rsidRPr="00936C40" w:rsidRDefault="00D91B5F" w:rsidP="009C2CD4">
            <w:pPr>
              <w:pStyle w:val="CETBodytext"/>
              <w:rPr>
                <w:b/>
                <w:lang w:val="en-GB"/>
              </w:rPr>
            </w:pPr>
            <w:r w:rsidRPr="00936C40">
              <w:rPr>
                <w:b/>
                <w:lang w:val="en-GB"/>
              </w:rPr>
              <w:t>11</w:t>
            </w:r>
          </w:p>
        </w:tc>
        <w:tc>
          <w:tcPr>
            <w:tcW w:w="876" w:type="dxa"/>
            <w:gridSpan w:val="2"/>
            <w:shd w:val="clear" w:color="auto" w:fill="FFFFFF"/>
          </w:tcPr>
          <w:p w14:paraId="63A80C15" w14:textId="1855C590" w:rsidR="00D91B5F" w:rsidRPr="00936C40" w:rsidRDefault="00D91B5F" w:rsidP="009C2CD4">
            <w:pPr>
              <w:pStyle w:val="CETBodytext"/>
              <w:rPr>
                <w:lang w:val="en-GB"/>
              </w:rPr>
            </w:pPr>
            <w:r w:rsidRPr="00936C40">
              <w:rPr>
                <w:lang w:val="en-GB"/>
              </w:rPr>
              <w:t>4</w:t>
            </w:r>
          </w:p>
          <w:p w14:paraId="7C594480" w14:textId="77777777" w:rsidR="00D91B5F" w:rsidRPr="00936C40" w:rsidRDefault="00D91B5F" w:rsidP="009C2CD4">
            <w:pPr>
              <w:pStyle w:val="CETBodytext"/>
              <w:rPr>
                <w:lang w:val="en-GB"/>
              </w:rPr>
            </w:pPr>
            <w:r w:rsidRPr="00936C40">
              <w:rPr>
                <w:lang w:val="en-GB"/>
              </w:rPr>
              <w:t>17</w:t>
            </w:r>
          </w:p>
          <w:p w14:paraId="6D7C4F47" w14:textId="0186CA1C" w:rsidR="00D91B5F" w:rsidRPr="00936C40" w:rsidRDefault="00D91B5F" w:rsidP="009C2CD4">
            <w:pPr>
              <w:pStyle w:val="CETBodytext"/>
              <w:rPr>
                <w:b/>
                <w:lang w:val="en-GB"/>
              </w:rPr>
            </w:pPr>
            <w:r w:rsidRPr="00936C40">
              <w:rPr>
                <w:b/>
                <w:lang w:val="en-GB"/>
              </w:rPr>
              <w:t>21</w:t>
            </w:r>
          </w:p>
        </w:tc>
        <w:tc>
          <w:tcPr>
            <w:tcW w:w="1676" w:type="dxa"/>
            <w:shd w:val="clear" w:color="auto" w:fill="FFFFFF"/>
          </w:tcPr>
          <w:p w14:paraId="5F431135" w14:textId="77777777" w:rsidR="00D91B5F" w:rsidRPr="00936C40" w:rsidRDefault="00D91B5F" w:rsidP="009C2CD4">
            <w:pPr>
              <w:pStyle w:val="CETBodytext"/>
              <w:ind w:right="-1"/>
              <w:rPr>
                <w:rFonts w:cs="Arial"/>
                <w:b/>
                <w:szCs w:val="18"/>
                <w:lang w:val="en-GB"/>
              </w:rPr>
            </w:pPr>
            <w:r w:rsidRPr="00936C40">
              <w:rPr>
                <w:rFonts w:cs="Arial"/>
                <w:b/>
                <w:szCs w:val="18"/>
                <w:lang w:val="en-GB"/>
              </w:rPr>
              <w:t>4</w:t>
            </w:r>
          </w:p>
          <w:p w14:paraId="6D3CDC59" w14:textId="77777777" w:rsidR="00D91B5F" w:rsidRPr="00936C40" w:rsidRDefault="00D91B5F" w:rsidP="009C2CD4">
            <w:pPr>
              <w:pStyle w:val="CETBodytext"/>
              <w:ind w:right="-1"/>
              <w:rPr>
                <w:rFonts w:cs="Arial"/>
                <w:b/>
                <w:szCs w:val="18"/>
                <w:lang w:val="en-GB"/>
              </w:rPr>
            </w:pPr>
            <w:r w:rsidRPr="00936C40">
              <w:rPr>
                <w:rFonts w:cs="Arial"/>
                <w:b/>
                <w:szCs w:val="18"/>
                <w:lang w:val="en-GB"/>
              </w:rPr>
              <w:t>28</w:t>
            </w:r>
          </w:p>
          <w:p w14:paraId="54FA4E61" w14:textId="30F9728E" w:rsidR="00D91B5F" w:rsidRPr="00936C40" w:rsidRDefault="00D91B5F" w:rsidP="009C2CD4">
            <w:pPr>
              <w:pStyle w:val="CETBodytext"/>
              <w:ind w:right="-1"/>
              <w:rPr>
                <w:rFonts w:cs="Arial"/>
                <w:b/>
                <w:szCs w:val="18"/>
                <w:lang w:val="en-GB"/>
              </w:rPr>
            </w:pPr>
            <w:r w:rsidRPr="00936C40">
              <w:rPr>
                <w:rFonts w:cs="Arial"/>
                <w:b/>
                <w:szCs w:val="18"/>
                <w:lang w:val="en-GB"/>
              </w:rPr>
              <w:t>32</w:t>
            </w:r>
          </w:p>
        </w:tc>
      </w:tr>
    </w:tbl>
    <w:p w14:paraId="14471AD1" w14:textId="1BA2BC1A" w:rsidR="00EC7784" w:rsidRDefault="00D91B5F" w:rsidP="003C56EE">
      <w:pPr>
        <w:pStyle w:val="CETBodytext"/>
        <w:spacing w:line="240" w:lineRule="auto"/>
        <w:rPr>
          <w:lang w:val="en-GB"/>
        </w:rPr>
      </w:pPr>
      <w:r>
        <w:rPr>
          <w:lang w:val="en-GB"/>
        </w:rPr>
        <w:t>Source:</w:t>
      </w:r>
      <w:r w:rsidR="008A4AB8" w:rsidRPr="008A4AB8">
        <w:rPr>
          <w:lang w:val="en-GB"/>
        </w:rPr>
        <w:t xml:space="preserve"> </w:t>
      </w:r>
      <w:r w:rsidR="008A4AB8">
        <w:rPr>
          <w:lang w:val="en-GB"/>
        </w:rPr>
        <w:t>O</w:t>
      </w:r>
      <w:r w:rsidR="008A4AB8" w:rsidRPr="00E05C56">
        <w:rPr>
          <w:lang w:val="en-GB"/>
        </w:rPr>
        <w:t>wn research</w:t>
      </w:r>
    </w:p>
    <w:p w14:paraId="1C731E90" w14:textId="16FE5BE9" w:rsidR="00E54A8A" w:rsidRDefault="00E54A8A" w:rsidP="003C56EE">
      <w:pPr>
        <w:pStyle w:val="CETTabletitle"/>
        <w:spacing w:line="240" w:lineRule="auto"/>
        <w:jc w:val="both"/>
        <w:rPr>
          <w:i w:val="0"/>
        </w:rPr>
      </w:pPr>
      <w:r w:rsidRPr="00E54A8A">
        <w:rPr>
          <w:i w:val="0"/>
        </w:rPr>
        <w:t>Furthermore, the subject of interest was what could be behind employee turnover? The average monthly salary was a qualitative variable with the answer options "lower than average," "Equal to the average," and "higher." The average annual turnover rate was a qualitative variable with the answer options "low (up to 5%), "medium</w:t>
      </w:r>
      <w:r w:rsidR="00EC2069">
        <w:rPr>
          <w:i w:val="0"/>
        </w:rPr>
        <w:t xml:space="preserve"> </w:t>
      </w:r>
      <w:r w:rsidRPr="00E54A8A">
        <w:rPr>
          <w:i w:val="0"/>
        </w:rPr>
        <w:lastRenderedPageBreak/>
        <w:t xml:space="preserve">(5-10%)" and "high (10% or more)". Contingency tables sorting data based on average monthly salary and average annual turnover rate are in </w:t>
      </w:r>
      <w:r w:rsidR="00507B42" w:rsidRPr="00B86CCC">
        <w:rPr>
          <w:i w:val="0"/>
        </w:rPr>
        <w:t>T</w:t>
      </w:r>
      <w:r w:rsidRPr="00E54A8A">
        <w:rPr>
          <w:i w:val="0"/>
        </w:rPr>
        <w:t xml:space="preserve">able 3 and </w:t>
      </w:r>
      <w:r w:rsidR="00952276">
        <w:rPr>
          <w:i w:val="0"/>
        </w:rPr>
        <w:t xml:space="preserve">Table </w:t>
      </w:r>
      <w:r w:rsidRPr="00E54A8A">
        <w:rPr>
          <w:i w:val="0"/>
        </w:rPr>
        <w:t>4.</w:t>
      </w:r>
    </w:p>
    <w:p w14:paraId="4C43A527" w14:textId="0BD5999F" w:rsidR="00D91B5F" w:rsidRPr="00B57B36" w:rsidRDefault="00D91B5F" w:rsidP="00D91B5F">
      <w:pPr>
        <w:pStyle w:val="CETTabletitle"/>
      </w:pPr>
      <w:r w:rsidRPr="00B57B36">
        <w:t xml:space="preserve">Table </w:t>
      </w:r>
      <w:r>
        <w:t>3</w:t>
      </w:r>
      <w:r w:rsidRPr="00B57B36">
        <w:t xml:space="preserve">: </w:t>
      </w:r>
      <w:r w:rsidR="00793F92" w:rsidRPr="00793F92">
        <w:t>Contingency table with variables - average monthly salary and average annual turnover rate of support staff</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544"/>
        <w:gridCol w:w="992"/>
        <w:gridCol w:w="993"/>
        <w:gridCol w:w="992"/>
        <w:gridCol w:w="1276"/>
      </w:tblGrid>
      <w:tr w:rsidR="00A6310E" w:rsidRPr="00B57B36" w14:paraId="0F6B9EA6" w14:textId="77777777" w:rsidTr="005E01B9">
        <w:tc>
          <w:tcPr>
            <w:tcW w:w="3544" w:type="dxa"/>
            <w:tcBorders>
              <w:top w:val="single" w:sz="12" w:space="0" w:color="008000"/>
              <w:bottom w:val="single" w:sz="6" w:space="0" w:color="008000"/>
            </w:tcBorders>
            <w:shd w:val="clear" w:color="auto" w:fill="FFFFFF"/>
          </w:tcPr>
          <w:p w14:paraId="7ED85A19" w14:textId="6BA58318" w:rsidR="00A6310E" w:rsidRPr="00B57B36" w:rsidRDefault="00A6310E" w:rsidP="009C2CD4">
            <w:pPr>
              <w:pStyle w:val="CETBodytext"/>
              <w:rPr>
                <w:lang w:val="en-GB"/>
              </w:rPr>
            </w:pPr>
            <w:r w:rsidRPr="00A6310E">
              <w:rPr>
                <w:lang w:val="en-GB"/>
              </w:rPr>
              <w:t xml:space="preserve">Average monthly </w:t>
            </w:r>
            <w:r w:rsidR="00005644" w:rsidRPr="00793F92">
              <w:t>salary</w:t>
            </w:r>
            <w:r w:rsidR="00005644" w:rsidRPr="00A6310E">
              <w:rPr>
                <w:lang w:val="en-GB"/>
              </w:rPr>
              <w:t xml:space="preserve"> </w:t>
            </w:r>
            <w:r w:rsidR="00005644">
              <w:rPr>
                <w:lang w:val="en-GB"/>
              </w:rPr>
              <w:t xml:space="preserve">- </w:t>
            </w:r>
            <w:r w:rsidRPr="00A6310E">
              <w:rPr>
                <w:lang w:val="en-GB"/>
              </w:rPr>
              <w:t>support staff</w:t>
            </w:r>
          </w:p>
        </w:tc>
        <w:tc>
          <w:tcPr>
            <w:tcW w:w="4253" w:type="dxa"/>
            <w:gridSpan w:val="4"/>
            <w:tcBorders>
              <w:top w:val="single" w:sz="12" w:space="0" w:color="008000"/>
              <w:bottom w:val="single" w:sz="6" w:space="0" w:color="008000"/>
            </w:tcBorders>
            <w:shd w:val="clear" w:color="auto" w:fill="FFFFFF"/>
          </w:tcPr>
          <w:p w14:paraId="6D090E04" w14:textId="2C0E9081" w:rsidR="00A6310E" w:rsidRPr="00B57B36" w:rsidRDefault="00A6310E" w:rsidP="009C2CD4">
            <w:pPr>
              <w:pStyle w:val="CETBodytext"/>
              <w:ind w:right="-1"/>
              <w:rPr>
                <w:rFonts w:cs="Arial"/>
                <w:szCs w:val="18"/>
                <w:lang w:val="en-GB"/>
              </w:rPr>
            </w:pPr>
            <w:r w:rsidRPr="00A6310E">
              <w:rPr>
                <w:lang w:val="en-GB"/>
              </w:rPr>
              <w:t>Average annual turnover rate - support staff</w:t>
            </w:r>
          </w:p>
        </w:tc>
      </w:tr>
      <w:tr w:rsidR="00A6310E" w:rsidRPr="00B57B36" w14:paraId="4A32DC01" w14:textId="77777777" w:rsidTr="005E01B9">
        <w:tc>
          <w:tcPr>
            <w:tcW w:w="3544" w:type="dxa"/>
            <w:tcBorders>
              <w:top w:val="single" w:sz="12" w:space="0" w:color="008000"/>
              <w:bottom w:val="single" w:sz="6" w:space="0" w:color="008000"/>
            </w:tcBorders>
            <w:shd w:val="clear" w:color="auto" w:fill="FFFFFF"/>
          </w:tcPr>
          <w:p w14:paraId="41000DD0" w14:textId="034B2F30" w:rsidR="00A6310E" w:rsidRPr="00A6310E" w:rsidRDefault="00A6310E" w:rsidP="009C2CD4">
            <w:pPr>
              <w:pStyle w:val="CETBodytext"/>
              <w:rPr>
                <w:lang w:val="en-GB"/>
              </w:rPr>
            </w:pPr>
          </w:p>
        </w:tc>
        <w:tc>
          <w:tcPr>
            <w:tcW w:w="992" w:type="dxa"/>
            <w:tcBorders>
              <w:top w:val="single" w:sz="12" w:space="0" w:color="008000"/>
              <w:bottom w:val="single" w:sz="6" w:space="0" w:color="008000"/>
            </w:tcBorders>
            <w:shd w:val="clear" w:color="auto" w:fill="FFFFFF"/>
          </w:tcPr>
          <w:p w14:paraId="5843FC19" w14:textId="7D614003" w:rsidR="00A6310E" w:rsidRPr="00A6310E" w:rsidRDefault="00A6310E" w:rsidP="009C2CD4">
            <w:pPr>
              <w:pStyle w:val="CETBodytext"/>
              <w:ind w:right="-1"/>
              <w:rPr>
                <w:lang w:val="en-GB"/>
              </w:rPr>
            </w:pPr>
            <w:r>
              <w:rPr>
                <w:lang w:val="en-GB"/>
              </w:rPr>
              <w:t>Low</w:t>
            </w:r>
          </w:p>
        </w:tc>
        <w:tc>
          <w:tcPr>
            <w:tcW w:w="993" w:type="dxa"/>
            <w:tcBorders>
              <w:top w:val="single" w:sz="12" w:space="0" w:color="008000"/>
              <w:bottom w:val="single" w:sz="6" w:space="0" w:color="008000"/>
            </w:tcBorders>
            <w:shd w:val="clear" w:color="auto" w:fill="FFFFFF"/>
          </w:tcPr>
          <w:p w14:paraId="432B4105" w14:textId="79EF2930" w:rsidR="00A6310E" w:rsidRPr="00A6310E" w:rsidRDefault="00A6310E" w:rsidP="009C2CD4">
            <w:pPr>
              <w:pStyle w:val="CETBodytext"/>
              <w:ind w:right="-1"/>
              <w:rPr>
                <w:lang w:val="en-GB"/>
              </w:rPr>
            </w:pPr>
            <w:r>
              <w:rPr>
                <w:lang w:val="en-GB"/>
              </w:rPr>
              <w:t>Medium</w:t>
            </w:r>
          </w:p>
        </w:tc>
        <w:tc>
          <w:tcPr>
            <w:tcW w:w="992" w:type="dxa"/>
            <w:tcBorders>
              <w:top w:val="single" w:sz="12" w:space="0" w:color="008000"/>
              <w:bottom w:val="single" w:sz="6" w:space="0" w:color="008000"/>
            </w:tcBorders>
            <w:shd w:val="clear" w:color="auto" w:fill="FFFFFF"/>
          </w:tcPr>
          <w:p w14:paraId="6D6A32E8" w14:textId="6E454A4E" w:rsidR="00A6310E" w:rsidRPr="00A6310E" w:rsidRDefault="00FC106E" w:rsidP="009C2CD4">
            <w:pPr>
              <w:pStyle w:val="CETBodytext"/>
              <w:ind w:right="-1"/>
              <w:rPr>
                <w:lang w:val="en-GB"/>
              </w:rPr>
            </w:pPr>
            <w:r>
              <w:rPr>
                <w:lang w:val="en-GB"/>
              </w:rPr>
              <w:t>H</w:t>
            </w:r>
            <w:r w:rsidR="00A6310E">
              <w:rPr>
                <w:lang w:val="en-GB"/>
              </w:rPr>
              <w:t>igh</w:t>
            </w:r>
          </w:p>
        </w:tc>
        <w:tc>
          <w:tcPr>
            <w:tcW w:w="1276" w:type="dxa"/>
            <w:tcBorders>
              <w:top w:val="single" w:sz="12" w:space="0" w:color="008000"/>
              <w:bottom w:val="single" w:sz="6" w:space="0" w:color="008000"/>
            </w:tcBorders>
            <w:shd w:val="clear" w:color="auto" w:fill="FFFFFF"/>
          </w:tcPr>
          <w:p w14:paraId="3A1EC9DC" w14:textId="14B82632" w:rsidR="00A6310E" w:rsidRPr="00A6310E" w:rsidRDefault="00A6310E" w:rsidP="009C2CD4">
            <w:pPr>
              <w:pStyle w:val="CETBodytext"/>
              <w:ind w:right="-1"/>
              <w:rPr>
                <w:lang w:val="en-GB"/>
              </w:rPr>
            </w:pPr>
            <w:r w:rsidRPr="00FB3455">
              <w:rPr>
                <w:b/>
                <w:lang w:val="en-GB"/>
              </w:rPr>
              <w:t>Tota</w:t>
            </w:r>
            <w:r>
              <w:rPr>
                <w:lang w:val="en-GB"/>
              </w:rPr>
              <w:t>l</w:t>
            </w:r>
          </w:p>
        </w:tc>
      </w:tr>
      <w:tr w:rsidR="00A6310E" w:rsidRPr="00B57B36" w14:paraId="193A965B" w14:textId="77777777" w:rsidTr="005E01B9">
        <w:tc>
          <w:tcPr>
            <w:tcW w:w="3544" w:type="dxa"/>
            <w:shd w:val="clear" w:color="auto" w:fill="FFFFFF"/>
          </w:tcPr>
          <w:p w14:paraId="2EB20F10" w14:textId="216D075F" w:rsidR="00D91B5F" w:rsidRPr="00B57B36" w:rsidRDefault="00A6310E" w:rsidP="00A6310E">
            <w:pPr>
              <w:pStyle w:val="CETBodytext"/>
              <w:jc w:val="left"/>
              <w:rPr>
                <w:lang w:val="en-GB"/>
              </w:rPr>
            </w:pPr>
            <w:r w:rsidRPr="00A6310E">
              <w:rPr>
                <w:lang w:val="en-GB"/>
              </w:rPr>
              <w:t>Lower than average</w:t>
            </w:r>
          </w:p>
        </w:tc>
        <w:tc>
          <w:tcPr>
            <w:tcW w:w="992" w:type="dxa"/>
            <w:shd w:val="clear" w:color="auto" w:fill="FFFFFF"/>
          </w:tcPr>
          <w:p w14:paraId="7FF89A99" w14:textId="08582B07" w:rsidR="00D91B5F" w:rsidRPr="00B57B36" w:rsidRDefault="00A6310E" w:rsidP="009C2CD4">
            <w:pPr>
              <w:pStyle w:val="CETBodytext"/>
              <w:rPr>
                <w:lang w:val="en-GB"/>
              </w:rPr>
            </w:pPr>
            <w:r>
              <w:rPr>
                <w:lang w:val="en-GB"/>
              </w:rPr>
              <w:t>1</w:t>
            </w:r>
          </w:p>
        </w:tc>
        <w:tc>
          <w:tcPr>
            <w:tcW w:w="993" w:type="dxa"/>
            <w:shd w:val="clear" w:color="auto" w:fill="FFFFFF"/>
          </w:tcPr>
          <w:p w14:paraId="7F4FCBDA" w14:textId="4F9F9DEF" w:rsidR="00D91B5F" w:rsidRPr="00B57B36" w:rsidRDefault="00A6310E" w:rsidP="009C2CD4">
            <w:pPr>
              <w:pStyle w:val="CETBodytext"/>
              <w:rPr>
                <w:lang w:val="en-GB"/>
              </w:rPr>
            </w:pPr>
            <w:r>
              <w:rPr>
                <w:lang w:val="en-GB"/>
              </w:rPr>
              <w:t>2</w:t>
            </w:r>
          </w:p>
        </w:tc>
        <w:tc>
          <w:tcPr>
            <w:tcW w:w="992" w:type="dxa"/>
            <w:shd w:val="clear" w:color="auto" w:fill="FFFFFF"/>
          </w:tcPr>
          <w:p w14:paraId="334C562B" w14:textId="3F4A53FC" w:rsidR="00D91B5F" w:rsidRPr="00B57B36" w:rsidRDefault="00A6310E" w:rsidP="009C2CD4">
            <w:pPr>
              <w:pStyle w:val="CETBodytext"/>
              <w:ind w:right="-1"/>
              <w:rPr>
                <w:rFonts w:cs="Arial"/>
                <w:szCs w:val="18"/>
                <w:lang w:val="en-GB"/>
              </w:rPr>
            </w:pPr>
            <w:r>
              <w:rPr>
                <w:rFonts w:cs="Arial"/>
                <w:szCs w:val="18"/>
                <w:lang w:val="en-GB"/>
              </w:rPr>
              <w:t>11</w:t>
            </w:r>
          </w:p>
        </w:tc>
        <w:tc>
          <w:tcPr>
            <w:tcW w:w="1276" w:type="dxa"/>
            <w:shd w:val="clear" w:color="auto" w:fill="FFFFFF"/>
          </w:tcPr>
          <w:p w14:paraId="12927FB9" w14:textId="30D4AAC4" w:rsidR="00D91B5F" w:rsidRPr="00FB3455" w:rsidRDefault="00A6310E" w:rsidP="009C2CD4">
            <w:pPr>
              <w:pStyle w:val="CETBodytext"/>
              <w:ind w:right="-1"/>
              <w:rPr>
                <w:rFonts w:cs="Arial"/>
                <w:b/>
                <w:szCs w:val="18"/>
                <w:lang w:val="en-GB"/>
              </w:rPr>
            </w:pPr>
            <w:r w:rsidRPr="00FB3455">
              <w:rPr>
                <w:rFonts w:cs="Arial"/>
                <w:b/>
                <w:szCs w:val="18"/>
                <w:lang w:val="en-GB"/>
              </w:rPr>
              <w:t>14</w:t>
            </w:r>
          </w:p>
        </w:tc>
      </w:tr>
      <w:tr w:rsidR="00A6310E" w:rsidRPr="00B57B36" w14:paraId="78B5F2D1" w14:textId="77777777" w:rsidTr="005E01B9">
        <w:tc>
          <w:tcPr>
            <w:tcW w:w="3544" w:type="dxa"/>
            <w:shd w:val="clear" w:color="auto" w:fill="FFFFFF"/>
          </w:tcPr>
          <w:p w14:paraId="3F79D996" w14:textId="5216D3B0" w:rsidR="00A6310E" w:rsidRPr="00A6310E" w:rsidRDefault="00793F92" w:rsidP="00A6310E">
            <w:pPr>
              <w:pStyle w:val="CETBodytext"/>
              <w:jc w:val="left"/>
              <w:rPr>
                <w:lang w:val="en-GB"/>
              </w:rPr>
            </w:pPr>
            <w:r>
              <w:rPr>
                <w:lang w:val="en-GB"/>
              </w:rPr>
              <w:t>E</w:t>
            </w:r>
            <w:r w:rsidR="00A6310E" w:rsidRPr="00A6310E">
              <w:rPr>
                <w:lang w:val="en-GB"/>
              </w:rPr>
              <w:t>qual to the average</w:t>
            </w:r>
          </w:p>
        </w:tc>
        <w:tc>
          <w:tcPr>
            <w:tcW w:w="992" w:type="dxa"/>
            <w:shd w:val="clear" w:color="auto" w:fill="FFFFFF"/>
          </w:tcPr>
          <w:p w14:paraId="409D280F" w14:textId="39774EAF" w:rsidR="00A6310E" w:rsidRDefault="00A6310E" w:rsidP="009C2CD4">
            <w:pPr>
              <w:pStyle w:val="CETBodytext"/>
              <w:rPr>
                <w:lang w:val="en-GB"/>
              </w:rPr>
            </w:pPr>
            <w:r>
              <w:rPr>
                <w:lang w:val="en-GB"/>
              </w:rPr>
              <w:t>4</w:t>
            </w:r>
          </w:p>
        </w:tc>
        <w:tc>
          <w:tcPr>
            <w:tcW w:w="993" w:type="dxa"/>
            <w:shd w:val="clear" w:color="auto" w:fill="FFFFFF"/>
          </w:tcPr>
          <w:p w14:paraId="681695BF" w14:textId="397AAC79" w:rsidR="00A6310E" w:rsidRDefault="00A6310E" w:rsidP="009C2CD4">
            <w:pPr>
              <w:pStyle w:val="CETBodytext"/>
              <w:rPr>
                <w:lang w:val="en-GB"/>
              </w:rPr>
            </w:pPr>
            <w:r>
              <w:rPr>
                <w:lang w:val="en-GB"/>
              </w:rPr>
              <w:t>5</w:t>
            </w:r>
          </w:p>
        </w:tc>
        <w:tc>
          <w:tcPr>
            <w:tcW w:w="992" w:type="dxa"/>
            <w:shd w:val="clear" w:color="auto" w:fill="FFFFFF"/>
          </w:tcPr>
          <w:p w14:paraId="457BB979" w14:textId="2184B015" w:rsidR="00A6310E" w:rsidRDefault="00A6310E" w:rsidP="009C2CD4">
            <w:pPr>
              <w:pStyle w:val="CETBodytext"/>
              <w:ind w:right="-1"/>
              <w:rPr>
                <w:rFonts w:cs="Arial"/>
                <w:szCs w:val="18"/>
                <w:lang w:val="en-GB"/>
              </w:rPr>
            </w:pPr>
            <w:r>
              <w:rPr>
                <w:rFonts w:cs="Arial"/>
                <w:szCs w:val="18"/>
                <w:lang w:val="en-GB"/>
              </w:rPr>
              <w:t>6</w:t>
            </w:r>
          </w:p>
        </w:tc>
        <w:tc>
          <w:tcPr>
            <w:tcW w:w="1276" w:type="dxa"/>
            <w:shd w:val="clear" w:color="auto" w:fill="FFFFFF"/>
          </w:tcPr>
          <w:p w14:paraId="36871ED0" w14:textId="6C5C6668" w:rsidR="00A6310E" w:rsidRPr="00FB3455" w:rsidRDefault="00A6310E" w:rsidP="009C2CD4">
            <w:pPr>
              <w:pStyle w:val="CETBodytext"/>
              <w:ind w:right="-1"/>
              <w:rPr>
                <w:rFonts w:cs="Arial"/>
                <w:b/>
                <w:szCs w:val="18"/>
                <w:lang w:val="en-GB"/>
              </w:rPr>
            </w:pPr>
            <w:r w:rsidRPr="00FB3455">
              <w:rPr>
                <w:rFonts w:cs="Arial"/>
                <w:b/>
                <w:szCs w:val="18"/>
                <w:lang w:val="en-GB"/>
              </w:rPr>
              <w:t>15</w:t>
            </w:r>
          </w:p>
        </w:tc>
      </w:tr>
      <w:tr w:rsidR="00A6310E" w:rsidRPr="00B57B36" w14:paraId="63AA5AD4" w14:textId="77777777" w:rsidTr="005E01B9">
        <w:tc>
          <w:tcPr>
            <w:tcW w:w="3544" w:type="dxa"/>
            <w:shd w:val="clear" w:color="auto" w:fill="FFFFFF"/>
          </w:tcPr>
          <w:p w14:paraId="190DA327" w14:textId="6F21003E" w:rsidR="00A6310E" w:rsidRDefault="00A6310E" w:rsidP="00A6310E">
            <w:pPr>
              <w:pStyle w:val="CETBodytext"/>
              <w:jc w:val="left"/>
              <w:rPr>
                <w:lang w:val="en-GB"/>
              </w:rPr>
            </w:pPr>
            <w:r>
              <w:rPr>
                <w:lang w:val="en-GB"/>
              </w:rPr>
              <w:t>Higher</w:t>
            </w:r>
          </w:p>
          <w:p w14:paraId="59A5C168" w14:textId="751A0B4F" w:rsidR="00A6310E" w:rsidRPr="00FB3455" w:rsidRDefault="00A6310E" w:rsidP="00A6310E">
            <w:pPr>
              <w:pStyle w:val="CETBodytext"/>
              <w:jc w:val="left"/>
              <w:rPr>
                <w:b/>
                <w:lang w:val="en-GB"/>
              </w:rPr>
            </w:pPr>
            <w:r w:rsidRPr="00FB3455">
              <w:rPr>
                <w:b/>
                <w:lang w:val="en-GB"/>
              </w:rPr>
              <w:t>Total</w:t>
            </w:r>
          </w:p>
        </w:tc>
        <w:tc>
          <w:tcPr>
            <w:tcW w:w="992" w:type="dxa"/>
            <w:shd w:val="clear" w:color="auto" w:fill="FFFFFF"/>
          </w:tcPr>
          <w:p w14:paraId="75E0B27E" w14:textId="77777777" w:rsidR="00A6310E" w:rsidRDefault="00A6310E" w:rsidP="009C2CD4">
            <w:pPr>
              <w:pStyle w:val="CETBodytext"/>
              <w:rPr>
                <w:lang w:val="en-GB"/>
              </w:rPr>
            </w:pPr>
            <w:r>
              <w:rPr>
                <w:lang w:val="en-GB"/>
              </w:rPr>
              <w:t>0</w:t>
            </w:r>
          </w:p>
          <w:p w14:paraId="46F98A13" w14:textId="482C7E57" w:rsidR="00A6310E" w:rsidRPr="00FB3455" w:rsidRDefault="00A6310E" w:rsidP="009C2CD4">
            <w:pPr>
              <w:pStyle w:val="CETBodytext"/>
              <w:rPr>
                <w:b/>
                <w:lang w:val="en-GB"/>
              </w:rPr>
            </w:pPr>
            <w:r w:rsidRPr="00FB3455">
              <w:rPr>
                <w:b/>
                <w:lang w:val="en-GB"/>
              </w:rPr>
              <w:t>5</w:t>
            </w:r>
          </w:p>
        </w:tc>
        <w:tc>
          <w:tcPr>
            <w:tcW w:w="993" w:type="dxa"/>
            <w:shd w:val="clear" w:color="auto" w:fill="FFFFFF"/>
          </w:tcPr>
          <w:p w14:paraId="226F7A75" w14:textId="77777777" w:rsidR="00A6310E" w:rsidRDefault="00A6310E" w:rsidP="009C2CD4">
            <w:pPr>
              <w:pStyle w:val="CETBodytext"/>
              <w:rPr>
                <w:lang w:val="en-GB"/>
              </w:rPr>
            </w:pPr>
            <w:r>
              <w:rPr>
                <w:lang w:val="en-GB"/>
              </w:rPr>
              <w:t>1</w:t>
            </w:r>
          </w:p>
          <w:p w14:paraId="6E32C5D4" w14:textId="29B99F11" w:rsidR="00A6310E" w:rsidRPr="00FB3455" w:rsidRDefault="00A6310E" w:rsidP="009C2CD4">
            <w:pPr>
              <w:pStyle w:val="CETBodytext"/>
              <w:rPr>
                <w:b/>
                <w:lang w:val="en-GB"/>
              </w:rPr>
            </w:pPr>
            <w:r w:rsidRPr="00FB3455">
              <w:rPr>
                <w:b/>
                <w:lang w:val="en-GB"/>
              </w:rPr>
              <w:t>8</w:t>
            </w:r>
          </w:p>
        </w:tc>
        <w:tc>
          <w:tcPr>
            <w:tcW w:w="992" w:type="dxa"/>
            <w:shd w:val="clear" w:color="auto" w:fill="FFFFFF"/>
          </w:tcPr>
          <w:p w14:paraId="3B0282BC" w14:textId="77777777" w:rsidR="00A6310E" w:rsidRPr="00A6310E" w:rsidRDefault="00A6310E" w:rsidP="009C2CD4">
            <w:pPr>
              <w:pStyle w:val="CETBodytext"/>
              <w:ind w:right="-1"/>
              <w:rPr>
                <w:lang w:val="en-GB"/>
              </w:rPr>
            </w:pPr>
            <w:r w:rsidRPr="00A6310E">
              <w:rPr>
                <w:lang w:val="en-GB"/>
              </w:rPr>
              <w:t>2</w:t>
            </w:r>
          </w:p>
          <w:p w14:paraId="2CDC486F" w14:textId="3C1478CB" w:rsidR="00A6310E" w:rsidRPr="00FB3455" w:rsidRDefault="00A6310E" w:rsidP="009C2CD4">
            <w:pPr>
              <w:pStyle w:val="CETBodytext"/>
              <w:ind w:right="-1"/>
              <w:rPr>
                <w:b/>
                <w:lang w:val="en-GB"/>
              </w:rPr>
            </w:pPr>
            <w:r w:rsidRPr="00FB3455">
              <w:rPr>
                <w:b/>
                <w:lang w:val="en-GB"/>
              </w:rPr>
              <w:t>19</w:t>
            </w:r>
          </w:p>
        </w:tc>
        <w:tc>
          <w:tcPr>
            <w:tcW w:w="1276" w:type="dxa"/>
            <w:shd w:val="clear" w:color="auto" w:fill="FFFFFF"/>
          </w:tcPr>
          <w:p w14:paraId="749E3E49" w14:textId="77777777" w:rsidR="00A6310E" w:rsidRPr="00FB3455" w:rsidRDefault="00A6310E" w:rsidP="009C2CD4">
            <w:pPr>
              <w:pStyle w:val="CETBodytext"/>
              <w:ind w:right="-1"/>
              <w:rPr>
                <w:b/>
                <w:lang w:val="en-GB"/>
              </w:rPr>
            </w:pPr>
            <w:r w:rsidRPr="00FB3455">
              <w:rPr>
                <w:b/>
                <w:lang w:val="en-GB"/>
              </w:rPr>
              <w:t>3</w:t>
            </w:r>
          </w:p>
          <w:p w14:paraId="19D38BE4" w14:textId="23604CE9" w:rsidR="00A6310E" w:rsidRPr="00FB3455" w:rsidRDefault="00A6310E" w:rsidP="009C2CD4">
            <w:pPr>
              <w:pStyle w:val="CETBodytext"/>
              <w:ind w:right="-1"/>
              <w:rPr>
                <w:b/>
                <w:lang w:val="en-GB"/>
              </w:rPr>
            </w:pPr>
            <w:r w:rsidRPr="00FB3455">
              <w:rPr>
                <w:b/>
                <w:lang w:val="en-GB"/>
              </w:rPr>
              <w:t>32</w:t>
            </w:r>
          </w:p>
        </w:tc>
      </w:tr>
    </w:tbl>
    <w:p w14:paraId="07445D6B" w14:textId="64C08DAA" w:rsidR="00793F92" w:rsidRDefault="00A6310E" w:rsidP="00793F92">
      <w:pPr>
        <w:pStyle w:val="CETBodytext"/>
        <w:rPr>
          <w:lang w:val="en-GB"/>
        </w:rPr>
      </w:pPr>
      <w:r>
        <w:rPr>
          <w:lang w:val="en-GB"/>
        </w:rPr>
        <w:t>Source:</w:t>
      </w:r>
      <w:r w:rsidR="00793F92" w:rsidRPr="00793F92">
        <w:rPr>
          <w:lang w:val="en-GB"/>
        </w:rPr>
        <w:t xml:space="preserve"> </w:t>
      </w:r>
      <w:r w:rsidR="00793F92">
        <w:rPr>
          <w:lang w:val="en-GB"/>
        </w:rPr>
        <w:t>O</w:t>
      </w:r>
      <w:r w:rsidR="00793F92" w:rsidRPr="00E05C56">
        <w:rPr>
          <w:lang w:val="en-GB"/>
        </w:rPr>
        <w:t>wn research</w:t>
      </w:r>
    </w:p>
    <w:p w14:paraId="67C2AE11" w14:textId="3808156B" w:rsidR="00FB36EC" w:rsidRDefault="00FB36EC" w:rsidP="00F510B0">
      <w:pPr>
        <w:pStyle w:val="CETBodytext"/>
        <w:rPr>
          <w:lang w:val="en-GB"/>
        </w:rPr>
      </w:pPr>
      <w:r w:rsidRPr="00FB36EC">
        <w:rPr>
          <w:lang w:val="en-GB"/>
        </w:rPr>
        <w:t>The average monthly salary of support staff had the modal category "</w:t>
      </w:r>
      <w:r w:rsidR="00FC106E">
        <w:rPr>
          <w:lang w:val="en-GB"/>
        </w:rPr>
        <w:t>E</w:t>
      </w:r>
      <w:r w:rsidR="00FC106E" w:rsidRPr="00A6310E">
        <w:rPr>
          <w:lang w:val="en-GB"/>
        </w:rPr>
        <w:t>qual to the average</w:t>
      </w:r>
      <w:r w:rsidRPr="00FB36EC">
        <w:rPr>
          <w:lang w:val="en-GB"/>
        </w:rPr>
        <w:t>". The average annual rate of turnover of support staff (Table 3) had the modal category "</w:t>
      </w:r>
      <w:r w:rsidR="00FC106E">
        <w:rPr>
          <w:lang w:val="en-GB"/>
        </w:rPr>
        <w:t>H</w:t>
      </w:r>
      <w:r w:rsidRPr="00FB36EC">
        <w:rPr>
          <w:lang w:val="en-GB"/>
        </w:rPr>
        <w:t>igh". The variability of the variable average monthly salary of cleaners expressed by ordinal variance is lower than in the case of the average annual rate of turnover of support staff.</w:t>
      </w:r>
      <w:r w:rsidR="00587FA9">
        <w:rPr>
          <w:lang w:val="en-GB"/>
        </w:rPr>
        <w:t xml:space="preserve"> </w:t>
      </w:r>
      <w:r w:rsidR="00587FA9" w:rsidRPr="00587FA9">
        <w:rPr>
          <w:lang w:val="en-GB"/>
        </w:rPr>
        <w:t xml:space="preserve">The same procedure was applied to doctors and medical </w:t>
      </w:r>
      <w:r w:rsidR="00587FA9">
        <w:rPr>
          <w:lang w:val="en-GB"/>
        </w:rPr>
        <w:t>staff (Table 4).</w:t>
      </w:r>
    </w:p>
    <w:p w14:paraId="292A75A0" w14:textId="77777777" w:rsidR="00587FA9" w:rsidRDefault="00587FA9" w:rsidP="00F510B0">
      <w:pPr>
        <w:pStyle w:val="CETBodytext"/>
        <w:rPr>
          <w:lang w:val="en-GB"/>
        </w:rPr>
      </w:pPr>
    </w:p>
    <w:p w14:paraId="0FA5C6EA" w14:textId="037E0A71" w:rsidR="00A6310E" w:rsidRPr="00E000A5" w:rsidRDefault="00A6310E" w:rsidP="00F510B0">
      <w:pPr>
        <w:pStyle w:val="CETBodytext"/>
        <w:rPr>
          <w:i/>
          <w:lang w:val="en-GB"/>
        </w:rPr>
      </w:pPr>
      <w:r w:rsidRPr="00E000A5">
        <w:rPr>
          <w:i/>
          <w:lang w:val="en-GB"/>
        </w:rPr>
        <w:t>Table 4</w:t>
      </w:r>
      <w:r w:rsidR="00B57A09">
        <w:rPr>
          <w:i/>
          <w:lang w:val="en-GB"/>
        </w:rPr>
        <w:t>:</w:t>
      </w:r>
      <w:r w:rsidRPr="00E000A5">
        <w:rPr>
          <w:i/>
          <w:lang w:val="en-GB"/>
        </w:rPr>
        <w:t xml:space="preserve"> </w:t>
      </w:r>
      <w:r w:rsidR="008B4165" w:rsidRPr="008B4165">
        <w:rPr>
          <w:i/>
          <w:lang w:val="en-GB"/>
        </w:rPr>
        <w:t>Contingency table with variables average monthly salary and average annual turnover rate of doctors and medical staff</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544"/>
        <w:gridCol w:w="851"/>
        <w:gridCol w:w="1134"/>
        <w:gridCol w:w="992"/>
        <w:gridCol w:w="1040"/>
      </w:tblGrid>
      <w:tr w:rsidR="00A6310E" w:rsidRPr="00B57B36" w14:paraId="6907391C" w14:textId="77777777" w:rsidTr="00652B57">
        <w:tc>
          <w:tcPr>
            <w:tcW w:w="3544" w:type="dxa"/>
            <w:tcBorders>
              <w:top w:val="single" w:sz="12" w:space="0" w:color="008000"/>
              <w:bottom w:val="single" w:sz="6" w:space="0" w:color="008000"/>
            </w:tcBorders>
            <w:shd w:val="clear" w:color="auto" w:fill="FFFFFF"/>
          </w:tcPr>
          <w:p w14:paraId="4FB563FE" w14:textId="452B9B1C" w:rsidR="00A6310E" w:rsidRPr="00B57B36" w:rsidRDefault="00E000A5" w:rsidP="008B4165">
            <w:pPr>
              <w:pStyle w:val="CETBodytext"/>
              <w:jc w:val="center"/>
              <w:rPr>
                <w:lang w:val="en-GB"/>
              </w:rPr>
            </w:pPr>
            <w:r w:rsidRPr="00E000A5">
              <w:rPr>
                <w:lang w:val="en-GB"/>
              </w:rPr>
              <w:t>Average monthly salary</w:t>
            </w:r>
            <w:r w:rsidR="008B4165">
              <w:rPr>
                <w:lang w:val="en-GB"/>
              </w:rPr>
              <w:t xml:space="preserve"> - doctors and medical staff</w:t>
            </w:r>
          </w:p>
        </w:tc>
        <w:tc>
          <w:tcPr>
            <w:tcW w:w="4017" w:type="dxa"/>
            <w:gridSpan w:val="4"/>
            <w:tcBorders>
              <w:top w:val="single" w:sz="12" w:space="0" w:color="008000"/>
              <w:bottom w:val="single" w:sz="6" w:space="0" w:color="008000"/>
            </w:tcBorders>
            <w:shd w:val="clear" w:color="auto" w:fill="FFFFFF"/>
          </w:tcPr>
          <w:p w14:paraId="7CC9E947" w14:textId="339F1B82" w:rsidR="00A6310E" w:rsidRPr="00B57B36" w:rsidRDefault="00E000A5" w:rsidP="008B4165">
            <w:pPr>
              <w:pStyle w:val="CETBodytext"/>
              <w:ind w:right="-1"/>
              <w:jc w:val="center"/>
              <w:rPr>
                <w:rFonts w:cs="Arial"/>
                <w:szCs w:val="18"/>
                <w:lang w:val="en-GB"/>
              </w:rPr>
            </w:pPr>
            <w:r w:rsidRPr="00E000A5">
              <w:rPr>
                <w:lang w:val="en-GB"/>
              </w:rPr>
              <w:t>Average annual turnover rate</w:t>
            </w:r>
            <w:r w:rsidR="008B4165">
              <w:rPr>
                <w:lang w:val="en-GB"/>
              </w:rPr>
              <w:t xml:space="preserve"> - </w:t>
            </w:r>
            <w:r w:rsidRPr="00E000A5">
              <w:rPr>
                <w:lang w:val="en-GB"/>
              </w:rPr>
              <w:t>doctors and medical staff</w:t>
            </w:r>
          </w:p>
        </w:tc>
      </w:tr>
      <w:tr w:rsidR="00652B57" w:rsidRPr="00B57B36" w14:paraId="548A7B4F" w14:textId="77777777" w:rsidTr="00652B57">
        <w:tc>
          <w:tcPr>
            <w:tcW w:w="3544" w:type="dxa"/>
            <w:tcBorders>
              <w:top w:val="single" w:sz="12" w:space="0" w:color="008000"/>
              <w:bottom w:val="single" w:sz="6" w:space="0" w:color="008000"/>
            </w:tcBorders>
            <w:shd w:val="clear" w:color="auto" w:fill="FFFFFF"/>
          </w:tcPr>
          <w:p w14:paraId="5526CBCD" w14:textId="77777777" w:rsidR="00A6310E" w:rsidRPr="00A6310E" w:rsidRDefault="00A6310E" w:rsidP="009C2CD4">
            <w:pPr>
              <w:pStyle w:val="CETBodytext"/>
              <w:rPr>
                <w:lang w:val="en-GB"/>
              </w:rPr>
            </w:pPr>
          </w:p>
        </w:tc>
        <w:tc>
          <w:tcPr>
            <w:tcW w:w="851" w:type="dxa"/>
            <w:tcBorders>
              <w:top w:val="single" w:sz="12" w:space="0" w:color="008000"/>
              <w:bottom w:val="single" w:sz="6" w:space="0" w:color="008000"/>
            </w:tcBorders>
            <w:shd w:val="clear" w:color="auto" w:fill="FFFFFF"/>
          </w:tcPr>
          <w:p w14:paraId="4C654F23" w14:textId="77777777" w:rsidR="00A6310E" w:rsidRPr="00A6310E" w:rsidRDefault="00A6310E" w:rsidP="009C2CD4">
            <w:pPr>
              <w:pStyle w:val="CETBodytext"/>
              <w:ind w:right="-1"/>
              <w:rPr>
                <w:lang w:val="en-GB"/>
              </w:rPr>
            </w:pPr>
            <w:r>
              <w:rPr>
                <w:lang w:val="en-GB"/>
              </w:rPr>
              <w:t>Low</w:t>
            </w:r>
          </w:p>
        </w:tc>
        <w:tc>
          <w:tcPr>
            <w:tcW w:w="1134" w:type="dxa"/>
            <w:tcBorders>
              <w:top w:val="single" w:sz="12" w:space="0" w:color="008000"/>
              <w:bottom w:val="single" w:sz="6" w:space="0" w:color="008000"/>
            </w:tcBorders>
            <w:shd w:val="clear" w:color="auto" w:fill="FFFFFF"/>
          </w:tcPr>
          <w:p w14:paraId="6599DF7C" w14:textId="77777777" w:rsidR="00A6310E" w:rsidRPr="00A6310E" w:rsidRDefault="00A6310E" w:rsidP="009C2CD4">
            <w:pPr>
              <w:pStyle w:val="CETBodytext"/>
              <w:ind w:right="-1"/>
              <w:rPr>
                <w:lang w:val="en-GB"/>
              </w:rPr>
            </w:pPr>
            <w:r>
              <w:rPr>
                <w:lang w:val="en-GB"/>
              </w:rPr>
              <w:t>Medium</w:t>
            </w:r>
          </w:p>
        </w:tc>
        <w:tc>
          <w:tcPr>
            <w:tcW w:w="992" w:type="dxa"/>
            <w:tcBorders>
              <w:top w:val="single" w:sz="12" w:space="0" w:color="008000"/>
              <w:bottom w:val="single" w:sz="6" w:space="0" w:color="008000"/>
            </w:tcBorders>
            <w:shd w:val="clear" w:color="auto" w:fill="FFFFFF"/>
          </w:tcPr>
          <w:p w14:paraId="5B1F75DB" w14:textId="2EFFC00F" w:rsidR="00A6310E" w:rsidRPr="00A6310E" w:rsidRDefault="00652B57" w:rsidP="009C2CD4">
            <w:pPr>
              <w:pStyle w:val="CETBodytext"/>
              <w:ind w:right="-1"/>
              <w:rPr>
                <w:lang w:val="en-GB"/>
              </w:rPr>
            </w:pPr>
            <w:r>
              <w:rPr>
                <w:lang w:val="en-GB"/>
              </w:rPr>
              <w:t>H</w:t>
            </w:r>
            <w:r w:rsidR="00A6310E">
              <w:rPr>
                <w:lang w:val="en-GB"/>
              </w:rPr>
              <w:t>igh</w:t>
            </w:r>
          </w:p>
        </w:tc>
        <w:tc>
          <w:tcPr>
            <w:tcW w:w="1040" w:type="dxa"/>
            <w:tcBorders>
              <w:top w:val="single" w:sz="12" w:space="0" w:color="008000"/>
              <w:bottom w:val="single" w:sz="6" w:space="0" w:color="008000"/>
            </w:tcBorders>
            <w:shd w:val="clear" w:color="auto" w:fill="FFFFFF"/>
          </w:tcPr>
          <w:p w14:paraId="60F93C48" w14:textId="77777777" w:rsidR="00A6310E" w:rsidRPr="00A6310E" w:rsidRDefault="00A6310E" w:rsidP="009C2CD4">
            <w:pPr>
              <w:pStyle w:val="CETBodytext"/>
              <w:ind w:right="-1"/>
              <w:rPr>
                <w:lang w:val="en-GB"/>
              </w:rPr>
            </w:pPr>
            <w:r>
              <w:rPr>
                <w:lang w:val="en-GB"/>
              </w:rPr>
              <w:t>Total</w:t>
            </w:r>
          </w:p>
        </w:tc>
      </w:tr>
      <w:tr w:rsidR="00A6310E" w:rsidRPr="00B57B36" w14:paraId="66C74BAF" w14:textId="77777777" w:rsidTr="00652B57">
        <w:tc>
          <w:tcPr>
            <w:tcW w:w="3544" w:type="dxa"/>
            <w:shd w:val="clear" w:color="auto" w:fill="FFFFFF"/>
          </w:tcPr>
          <w:p w14:paraId="5FA967C7" w14:textId="77777777" w:rsidR="00A6310E" w:rsidRPr="00B57B36" w:rsidRDefault="00A6310E" w:rsidP="009C2CD4">
            <w:pPr>
              <w:pStyle w:val="CETBodytext"/>
              <w:jc w:val="left"/>
              <w:rPr>
                <w:lang w:val="en-GB"/>
              </w:rPr>
            </w:pPr>
            <w:r w:rsidRPr="00A6310E">
              <w:rPr>
                <w:lang w:val="en-GB"/>
              </w:rPr>
              <w:t>Lower than average</w:t>
            </w:r>
          </w:p>
        </w:tc>
        <w:tc>
          <w:tcPr>
            <w:tcW w:w="851" w:type="dxa"/>
            <w:shd w:val="clear" w:color="auto" w:fill="FFFFFF"/>
          </w:tcPr>
          <w:p w14:paraId="00FF3495" w14:textId="5B37D300" w:rsidR="00A6310E" w:rsidRPr="00B57B36" w:rsidRDefault="00E000A5" w:rsidP="009C2CD4">
            <w:pPr>
              <w:pStyle w:val="CETBodytext"/>
              <w:rPr>
                <w:lang w:val="en-GB"/>
              </w:rPr>
            </w:pPr>
            <w:r>
              <w:rPr>
                <w:lang w:val="en-GB"/>
              </w:rPr>
              <w:t>7</w:t>
            </w:r>
          </w:p>
        </w:tc>
        <w:tc>
          <w:tcPr>
            <w:tcW w:w="1134" w:type="dxa"/>
            <w:shd w:val="clear" w:color="auto" w:fill="FFFFFF"/>
          </w:tcPr>
          <w:p w14:paraId="5990F232" w14:textId="7D232932" w:rsidR="00A6310E" w:rsidRPr="00B57B36" w:rsidRDefault="00E000A5" w:rsidP="009C2CD4">
            <w:pPr>
              <w:pStyle w:val="CETBodytext"/>
              <w:rPr>
                <w:lang w:val="en-GB"/>
              </w:rPr>
            </w:pPr>
            <w:r>
              <w:rPr>
                <w:lang w:val="en-GB"/>
              </w:rPr>
              <w:t>4</w:t>
            </w:r>
          </w:p>
        </w:tc>
        <w:tc>
          <w:tcPr>
            <w:tcW w:w="992" w:type="dxa"/>
            <w:shd w:val="clear" w:color="auto" w:fill="FFFFFF"/>
          </w:tcPr>
          <w:p w14:paraId="28A85F9A" w14:textId="7340035A" w:rsidR="00A6310E" w:rsidRPr="00B57B36" w:rsidRDefault="00E000A5" w:rsidP="009C2CD4">
            <w:pPr>
              <w:pStyle w:val="CETBodytext"/>
              <w:ind w:right="-1"/>
              <w:rPr>
                <w:rFonts w:cs="Arial"/>
                <w:szCs w:val="18"/>
                <w:lang w:val="en-GB"/>
              </w:rPr>
            </w:pPr>
            <w:r>
              <w:rPr>
                <w:rFonts w:cs="Arial"/>
                <w:szCs w:val="18"/>
                <w:lang w:val="en-GB"/>
              </w:rPr>
              <w:t>4</w:t>
            </w:r>
          </w:p>
        </w:tc>
        <w:tc>
          <w:tcPr>
            <w:tcW w:w="1040" w:type="dxa"/>
            <w:shd w:val="clear" w:color="auto" w:fill="FFFFFF"/>
          </w:tcPr>
          <w:p w14:paraId="5E686A6A" w14:textId="1EDF4F03" w:rsidR="00A6310E" w:rsidRPr="00B57B36" w:rsidRDefault="00E000A5" w:rsidP="009C2CD4">
            <w:pPr>
              <w:pStyle w:val="CETBodytext"/>
              <w:ind w:right="-1"/>
              <w:rPr>
                <w:rFonts w:cs="Arial"/>
                <w:szCs w:val="18"/>
                <w:lang w:val="en-GB"/>
              </w:rPr>
            </w:pPr>
            <w:r>
              <w:rPr>
                <w:rFonts w:cs="Arial"/>
                <w:szCs w:val="18"/>
                <w:lang w:val="en-GB"/>
              </w:rPr>
              <w:t>15</w:t>
            </w:r>
          </w:p>
        </w:tc>
      </w:tr>
      <w:tr w:rsidR="00652B57" w:rsidRPr="00B57B36" w14:paraId="7C9B0A6D" w14:textId="77777777" w:rsidTr="00652B57">
        <w:tc>
          <w:tcPr>
            <w:tcW w:w="3544" w:type="dxa"/>
            <w:shd w:val="clear" w:color="auto" w:fill="FFFFFF"/>
          </w:tcPr>
          <w:p w14:paraId="06AF56FD" w14:textId="0CD8859D" w:rsidR="00A6310E" w:rsidRPr="00A6310E" w:rsidRDefault="00FC106E" w:rsidP="009C2CD4">
            <w:pPr>
              <w:pStyle w:val="CETBodytext"/>
              <w:jc w:val="left"/>
              <w:rPr>
                <w:lang w:val="en-GB"/>
              </w:rPr>
            </w:pPr>
            <w:r>
              <w:rPr>
                <w:lang w:val="en-GB"/>
              </w:rPr>
              <w:t>E</w:t>
            </w:r>
            <w:r w:rsidR="00A6310E" w:rsidRPr="00A6310E">
              <w:rPr>
                <w:lang w:val="en-GB"/>
              </w:rPr>
              <w:t>qual to the average</w:t>
            </w:r>
          </w:p>
        </w:tc>
        <w:tc>
          <w:tcPr>
            <w:tcW w:w="851" w:type="dxa"/>
            <w:shd w:val="clear" w:color="auto" w:fill="FFFFFF"/>
          </w:tcPr>
          <w:p w14:paraId="0FA8D64B" w14:textId="1BB1D25F" w:rsidR="00A6310E" w:rsidRDefault="00E000A5" w:rsidP="009C2CD4">
            <w:pPr>
              <w:pStyle w:val="CETBodytext"/>
              <w:rPr>
                <w:lang w:val="en-GB"/>
              </w:rPr>
            </w:pPr>
            <w:r>
              <w:rPr>
                <w:lang w:val="en-GB"/>
              </w:rPr>
              <w:t>7</w:t>
            </w:r>
          </w:p>
        </w:tc>
        <w:tc>
          <w:tcPr>
            <w:tcW w:w="1134" w:type="dxa"/>
            <w:shd w:val="clear" w:color="auto" w:fill="FFFFFF"/>
          </w:tcPr>
          <w:p w14:paraId="5B31BF6E" w14:textId="47E4AD1F" w:rsidR="00A6310E" w:rsidRDefault="00E000A5" w:rsidP="009C2CD4">
            <w:pPr>
              <w:pStyle w:val="CETBodytext"/>
              <w:rPr>
                <w:lang w:val="en-GB"/>
              </w:rPr>
            </w:pPr>
            <w:r>
              <w:rPr>
                <w:lang w:val="en-GB"/>
              </w:rPr>
              <w:t>4</w:t>
            </w:r>
          </w:p>
        </w:tc>
        <w:tc>
          <w:tcPr>
            <w:tcW w:w="992" w:type="dxa"/>
            <w:shd w:val="clear" w:color="auto" w:fill="FFFFFF"/>
          </w:tcPr>
          <w:p w14:paraId="1E89C40B" w14:textId="5D6ADEFD" w:rsidR="00A6310E" w:rsidRDefault="00E000A5" w:rsidP="009C2CD4">
            <w:pPr>
              <w:pStyle w:val="CETBodytext"/>
              <w:ind w:right="-1"/>
              <w:rPr>
                <w:rFonts w:cs="Arial"/>
                <w:szCs w:val="18"/>
                <w:lang w:val="en-GB"/>
              </w:rPr>
            </w:pPr>
            <w:r>
              <w:rPr>
                <w:rFonts w:cs="Arial"/>
                <w:szCs w:val="18"/>
                <w:lang w:val="en-GB"/>
              </w:rPr>
              <w:t>1</w:t>
            </w:r>
          </w:p>
        </w:tc>
        <w:tc>
          <w:tcPr>
            <w:tcW w:w="1040" w:type="dxa"/>
            <w:shd w:val="clear" w:color="auto" w:fill="FFFFFF"/>
          </w:tcPr>
          <w:p w14:paraId="26328EBF" w14:textId="7158A1A0" w:rsidR="00A6310E" w:rsidRDefault="00E000A5" w:rsidP="009C2CD4">
            <w:pPr>
              <w:pStyle w:val="CETBodytext"/>
              <w:ind w:right="-1"/>
              <w:rPr>
                <w:rFonts w:cs="Arial"/>
                <w:szCs w:val="18"/>
                <w:lang w:val="en-GB"/>
              </w:rPr>
            </w:pPr>
            <w:r>
              <w:rPr>
                <w:rFonts w:cs="Arial"/>
                <w:szCs w:val="18"/>
                <w:lang w:val="en-GB"/>
              </w:rPr>
              <w:t>12</w:t>
            </w:r>
          </w:p>
        </w:tc>
      </w:tr>
      <w:tr w:rsidR="00652B57" w:rsidRPr="00B57B36" w14:paraId="15B8F962" w14:textId="77777777" w:rsidTr="00652B57">
        <w:tc>
          <w:tcPr>
            <w:tcW w:w="3544" w:type="dxa"/>
            <w:shd w:val="clear" w:color="auto" w:fill="FFFFFF"/>
          </w:tcPr>
          <w:p w14:paraId="62EBFE04" w14:textId="77777777" w:rsidR="00A6310E" w:rsidRDefault="00A6310E" w:rsidP="009C2CD4">
            <w:pPr>
              <w:pStyle w:val="CETBodytext"/>
              <w:jc w:val="left"/>
              <w:rPr>
                <w:lang w:val="en-GB"/>
              </w:rPr>
            </w:pPr>
            <w:r>
              <w:rPr>
                <w:lang w:val="en-GB"/>
              </w:rPr>
              <w:t>Higher</w:t>
            </w:r>
          </w:p>
          <w:p w14:paraId="127CDA90" w14:textId="77777777" w:rsidR="00A6310E" w:rsidRPr="00A6310E" w:rsidRDefault="00A6310E" w:rsidP="009C2CD4">
            <w:pPr>
              <w:pStyle w:val="CETBodytext"/>
              <w:jc w:val="left"/>
              <w:rPr>
                <w:lang w:val="en-GB"/>
              </w:rPr>
            </w:pPr>
            <w:r>
              <w:rPr>
                <w:lang w:val="en-GB"/>
              </w:rPr>
              <w:t>Total</w:t>
            </w:r>
          </w:p>
        </w:tc>
        <w:tc>
          <w:tcPr>
            <w:tcW w:w="851" w:type="dxa"/>
            <w:shd w:val="clear" w:color="auto" w:fill="FFFFFF"/>
          </w:tcPr>
          <w:p w14:paraId="5AD98A7F" w14:textId="77777777" w:rsidR="00A6310E" w:rsidRDefault="00A6310E" w:rsidP="009C2CD4">
            <w:pPr>
              <w:pStyle w:val="CETBodytext"/>
              <w:rPr>
                <w:lang w:val="en-GB"/>
              </w:rPr>
            </w:pPr>
            <w:r>
              <w:rPr>
                <w:lang w:val="en-GB"/>
              </w:rPr>
              <w:t>0</w:t>
            </w:r>
          </w:p>
          <w:p w14:paraId="66A30F37" w14:textId="3B324504" w:rsidR="00A6310E" w:rsidRDefault="00E000A5" w:rsidP="009C2CD4">
            <w:pPr>
              <w:pStyle w:val="CETBodytext"/>
              <w:rPr>
                <w:lang w:val="en-GB"/>
              </w:rPr>
            </w:pPr>
            <w:r>
              <w:rPr>
                <w:lang w:val="en-GB"/>
              </w:rPr>
              <w:t>14</w:t>
            </w:r>
          </w:p>
        </w:tc>
        <w:tc>
          <w:tcPr>
            <w:tcW w:w="1134" w:type="dxa"/>
            <w:shd w:val="clear" w:color="auto" w:fill="FFFFFF"/>
          </w:tcPr>
          <w:p w14:paraId="188B8C19" w14:textId="62769005" w:rsidR="00A6310E" w:rsidRDefault="00E000A5" w:rsidP="009C2CD4">
            <w:pPr>
              <w:pStyle w:val="CETBodytext"/>
              <w:rPr>
                <w:lang w:val="en-GB"/>
              </w:rPr>
            </w:pPr>
            <w:r>
              <w:rPr>
                <w:lang w:val="en-GB"/>
              </w:rPr>
              <w:t>4</w:t>
            </w:r>
          </w:p>
          <w:p w14:paraId="3C8A49C3" w14:textId="095ACE6C" w:rsidR="00A6310E" w:rsidRDefault="00E000A5" w:rsidP="009C2CD4">
            <w:pPr>
              <w:pStyle w:val="CETBodytext"/>
              <w:rPr>
                <w:lang w:val="en-GB"/>
              </w:rPr>
            </w:pPr>
            <w:r>
              <w:rPr>
                <w:lang w:val="en-GB"/>
              </w:rPr>
              <w:t>12</w:t>
            </w:r>
          </w:p>
        </w:tc>
        <w:tc>
          <w:tcPr>
            <w:tcW w:w="992" w:type="dxa"/>
            <w:shd w:val="clear" w:color="auto" w:fill="FFFFFF"/>
          </w:tcPr>
          <w:p w14:paraId="203C9DE6" w14:textId="692F1BD4" w:rsidR="00A6310E" w:rsidRPr="00A6310E" w:rsidRDefault="00E000A5" w:rsidP="009C2CD4">
            <w:pPr>
              <w:pStyle w:val="CETBodytext"/>
              <w:ind w:right="-1"/>
              <w:rPr>
                <w:lang w:val="en-GB"/>
              </w:rPr>
            </w:pPr>
            <w:r>
              <w:rPr>
                <w:lang w:val="en-GB"/>
              </w:rPr>
              <w:t>1</w:t>
            </w:r>
          </w:p>
          <w:p w14:paraId="50825526" w14:textId="7AD3E56E" w:rsidR="00A6310E" w:rsidRPr="00A6310E" w:rsidRDefault="00E000A5" w:rsidP="009C2CD4">
            <w:pPr>
              <w:pStyle w:val="CETBodytext"/>
              <w:ind w:right="-1"/>
              <w:rPr>
                <w:lang w:val="en-GB"/>
              </w:rPr>
            </w:pPr>
            <w:r>
              <w:rPr>
                <w:lang w:val="en-GB"/>
              </w:rPr>
              <w:t>6</w:t>
            </w:r>
          </w:p>
        </w:tc>
        <w:tc>
          <w:tcPr>
            <w:tcW w:w="1040" w:type="dxa"/>
            <w:shd w:val="clear" w:color="auto" w:fill="FFFFFF"/>
          </w:tcPr>
          <w:p w14:paraId="33096F6B" w14:textId="00D2A65F" w:rsidR="00A6310E" w:rsidRPr="00A6310E" w:rsidRDefault="00E000A5" w:rsidP="009C2CD4">
            <w:pPr>
              <w:pStyle w:val="CETBodytext"/>
              <w:ind w:right="-1"/>
              <w:rPr>
                <w:lang w:val="en-GB"/>
              </w:rPr>
            </w:pPr>
            <w:r>
              <w:rPr>
                <w:lang w:val="en-GB"/>
              </w:rPr>
              <w:t>5</w:t>
            </w:r>
          </w:p>
          <w:p w14:paraId="0C0422D5" w14:textId="77777777" w:rsidR="00A6310E" w:rsidRPr="00A6310E" w:rsidRDefault="00A6310E" w:rsidP="009C2CD4">
            <w:pPr>
              <w:pStyle w:val="CETBodytext"/>
              <w:ind w:right="-1"/>
              <w:rPr>
                <w:lang w:val="en-GB"/>
              </w:rPr>
            </w:pPr>
            <w:r w:rsidRPr="00A6310E">
              <w:rPr>
                <w:lang w:val="en-GB"/>
              </w:rPr>
              <w:t>32</w:t>
            </w:r>
          </w:p>
        </w:tc>
      </w:tr>
    </w:tbl>
    <w:p w14:paraId="7BEA6E0E" w14:textId="3B9CE11C" w:rsidR="00A6310E" w:rsidRDefault="00831B0D" w:rsidP="00F510B0">
      <w:pPr>
        <w:pStyle w:val="CETBodytext"/>
        <w:rPr>
          <w:lang w:val="en-GB"/>
        </w:rPr>
      </w:pPr>
      <w:r>
        <w:rPr>
          <w:lang w:val="en-GB"/>
        </w:rPr>
        <w:t>Source</w:t>
      </w:r>
      <w:r w:rsidR="00FC106E">
        <w:rPr>
          <w:lang w:val="en-GB"/>
        </w:rPr>
        <w:t>: O</w:t>
      </w:r>
      <w:r w:rsidR="00FC106E" w:rsidRPr="00E05C56">
        <w:rPr>
          <w:lang w:val="en-GB"/>
        </w:rPr>
        <w:t>wn research</w:t>
      </w:r>
    </w:p>
    <w:p w14:paraId="0C74B0BD" w14:textId="77777777" w:rsidR="00FC106E" w:rsidRDefault="00FC106E" w:rsidP="00F510B0">
      <w:pPr>
        <w:pStyle w:val="CETBodytext"/>
        <w:rPr>
          <w:lang w:val="en-GB"/>
        </w:rPr>
      </w:pPr>
    </w:p>
    <w:p w14:paraId="53FF3E3D" w14:textId="39EA9949" w:rsidR="00831B0D" w:rsidRPr="00E000A5" w:rsidRDefault="00831B0D" w:rsidP="00831B0D">
      <w:pPr>
        <w:pStyle w:val="CETBodytext"/>
        <w:rPr>
          <w:i/>
          <w:lang w:val="en-GB"/>
        </w:rPr>
      </w:pPr>
      <w:r w:rsidRPr="00E000A5">
        <w:rPr>
          <w:i/>
          <w:lang w:val="en-GB"/>
        </w:rPr>
        <w:t xml:space="preserve">Table </w:t>
      </w:r>
      <w:r>
        <w:rPr>
          <w:i/>
          <w:lang w:val="en-GB"/>
        </w:rPr>
        <w:t>5</w:t>
      </w:r>
      <w:r w:rsidR="00A2078F">
        <w:rPr>
          <w:i/>
          <w:lang w:val="en-GB"/>
        </w:rPr>
        <w:t>:</w:t>
      </w:r>
      <w:r w:rsidRPr="00E000A5">
        <w:rPr>
          <w:i/>
          <w:lang w:val="en-GB"/>
        </w:rPr>
        <w:t xml:space="preserve"> </w:t>
      </w:r>
      <w:r w:rsidR="00DF5AA9" w:rsidRPr="00DF5AA9">
        <w:rPr>
          <w:i/>
          <w:lang w:val="en-GB"/>
        </w:rPr>
        <w:t>Descriptive statistics of variables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4111"/>
        <w:gridCol w:w="2410"/>
        <w:gridCol w:w="1559"/>
      </w:tblGrid>
      <w:tr w:rsidR="0069308D" w:rsidRPr="00B57B36" w14:paraId="42A73B95" w14:textId="58A3EC66" w:rsidTr="007A5165">
        <w:tc>
          <w:tcPr>
            <w:tcW w:w="4111" w:type="dxa"/>
            <w:tcBorders>
              <w:top w:val="single" w:sz="12" w:space="0" w:color="008000"/>
              <w:bottom w:val="single" w:sz="6" w:space="0" w:color="008000"/>
            </w:tcBorders>
            <w:shd w:val="clear" w:color="auto" w:fill="FFFFFF"/>
          </w:tcPr>
          <w:p w14:paraId="58BDA98B" w14:textId="6A547FE2" w:rsidR="0069308D" w:rsidRPr="00B57B36" w:rsidRDefault="0069308D" w:rsidP="009C2CD4">
            <w:pPr>
              <w:pStyle w:val="CETBodytext"/>
              <w:rPr>
                <w:lang w:val="en-GB"/>
              </w:rPr>
            </w:pPr>
            <w:r>
              <w:rPr>
                <w:lang w:val="en-GB"/>
              </w:rPr>
              <w:t>Variable</w:t>
            </w:r>
          </w:p>
        </w:tc>
        <w:tc>
          <w:tcPr>
            <w:tcW w:w="2410" w:type="dxa"/>
            <w:tcBorders>
              <w:top w:val="single" w:sz="12" w:space="0" w:color="008000"/>
              <w:bottom w:val="single" w:sz="6" w:space="0" w:color="008000"/>
            </w:tcBorders>
            <w:shd w:val="clear" w:color="auto" w:fill="FFFFFF"/>
          </w:tcPr>
          <w:p w14:paraId="7F1E2610" w14:textId="13A32062" w:rsidR="0069308D" w:rsidRPr="00B57B36" w:rsidRDefault="00875AB9" w:rsidP="009C2CD4">
            <w:pPr>
              <w:pStyle w:val="CETBodytext"/>
              <w:ind w:right="-1"/>
              <w:rPr>
                <w:rFonts w:cs="Arial"/>
                <w:szCs w:val="18"/>
                <w:lang w:val="en-GB"/>
              </w:rPr>
            </w:pPr>
            <w:r>
              <w:rPr>
                <w:lang w:val="en-GB"/>
              </w:rPr>
              <w:t>Modal categories</w:t>
            </w:r>
          </w:p>
        </w:tc>
        <w:tc>
          <w:tcPr>
            <w:tcW w:w="1559" w:type="dxa"/>
            <w:tcBorders>
              <w:top w:val="single" w:sz="12" w:space="0" w:color="008000"/>
              <w:bottom w:val="single" w:sz="6" w:space="0" w:color="008000"/>
            </w:tcBorders>
            <w:shd w:val="clear" w:color="auto" w:fill="FFFFFF"/>
          </w:tcPr>
          <w:p w14:paraId="23B0E843" w14:textId="725C4AFF" w:rsidR="0069308D" w:rsidRDefault="00875AB9" w:rsidP="009C2CD4">
            <w:pPr>
              <w:pStyle w:val="CETBodytext"/>
              <w:ind w:right="-1"/>
              <w:rPr>
                <w:lang w:val="en-GB"/>
              </w:rPr>
            </w:pPr>
            <w:r>
              <w:rPr>
                <w:lang w:val="en-GB"/>
              </w:rPr>
              <w:t>O</w:t>
            </w:r>
            <w:r w:rsidRPr="00875AB9">
              <w:rPr>
                <w:lang w:val="en-GB"/>
              </w:rPr>
              <w:t>rdinal variance</w:t>
            </w:r>
          </w:p>
        </w:tc>
      </w:tr>
      <w:tr w:rsidR="007A5165" w:rsidRPr="00B57B36" w14:paraId="5AFC948A" w14:textId="45C6A76B" w:rsidTr="007A5165">
        <w:tc>
          <w:tcPr>
            <w:tcW w:w="4111" w:type="dxa"/>
            <w:shd w:val="clear" w:color="auto" w:fill="FFFFFF"/>
          </w:tcPr>
          <w:p w14:paraId="4D1DD51E" w14:textId="5B6199DB" w:rsidR="007A5165" w:rsidRPr="00B57B36" w:rsidRDefault="007A5165" w:rsidP="009C2CD4">
            <w:pPr>
              <w:pStyle w:val="CETBodytext"/>
              <w:jc w:val="left"/>
              <w:rPr>
                <w:lang w:val="en-GB"/>
              </w:rPr>
            </w:pPr>
            <w:r w:rsidRPr="0069308D">
              <w:rPr>
                <w:lang w:val="en-GB"/>
              </w:rPr>
              <w:t>Average annual turnover rate of support staff</w:t>
            </w:r>
          </w:p>
        </w:tc>
        <w:tc>
          <w:tcPr>
            <w:tcW w:w="2410" w:type="dxa"/>
            <w:shd w:val="clear" w:color="auto" w:fill="FFFFFF"/>
          </w:tcPr>
          <w:p w14:paraId="04A011E4" w14:textId="1DC58033" w:rsidR="007A5165" w:rsidRPr="00B57B36" w:rsidRDefault="007A5165" w:rsidP="009C2CD4">
            <w:pPr>
              <w:pStyle w:val="CETBodytext"/>
              <w:rPr>
                <w:lang w:val="en-GB"/>
              </w:rPr>
            </w:pPr>
            <w:r>
              <w:rPr>
                <w:lang w:val="en-GB"/>
              </w:rPr>
              <w:t>High</w:t>
            </w:r>
          </w:p>
        </w:tc>
        <w:tc>
          <w:tcPr>
            <w:tcW w:w="1559" w:type="dxa"/>
            <w:shd w:val="clear" w:color="auto" w:fill="FFFFFF"/>
          </w:tcPr>
          <w:p w14:paraId="711193C7" w14:textId="524A2A34" w:rsidR="007A5165" w:rsidRDefault="007A5165" w:rsidP="009C2CD4">
            <w:pPr>
              <w:pStyle w:val="CETBodytext"/>
              <w:ind w:right="-1"/>
              <w:rPr>
                <w:rFonts w:cs="Arial"/>
                <w:szCs w:val="18"/>
                <w:lang w:val="en-GB"/>
              </w:rPr>
            </w:pPr>
            <w:r>
              <w:rPr>
                <w:rFonts w:cs="Arial"/>
                <w:szCs w:val="18"/>
                <w:lang w:val="en-GB"/>
              </w:rPr>
              <w:t>0.</w:t>
            </w:r>
            <w:r w:rsidR="00875AB9">
              <w:rPr>
                <w:rFonts w:cs="Arial"/>
                <w:szCs w:val="18"/>
                <w:lang w:val="en-GB"/>
              </w:rPr>
              <w:t>746</w:t>
            </w:r>
          </w:p>
        </w:tc>
      </w:tr>
      <w:tr w:rsidR="007A5165" w:rsidRPr="00B57B36" w14:paraId="062FEB3C" w14:textId="22657074" w:rsidTr="007A5165">
        <w:tc>
          <w:tcPr>
            <w:tcW w:w="4111" w:type="dxa"/>
            <w:shd w:val="clear" w:color="auto" w:fill="FFFFFF"/>
          </w:tcPr>
          <w:p w14:paraId="61B7A46E" w14:textId="68B9B12B" w:rsidR="007A5165" w:rsidRDefault="007A5165" w:rsidP="009C2CD4">
            <w:pPr>
              <w:pStyle w:val="CETBodytext"/>
              <w:jc w:val="left"/>
              <w:rPr>
                <w:lang w:val="en-GB"/>
              </w:rPr>
            </w:pPr>
            <w:r w:rsidRPr="0069308D">
              <w:rPr>
                <w:lang w:val="en-GB"/>
              </w:rPr>
              <w:t>Average monthly salary of cleaners</w:t>
            </w:r>
          </w:p>
          <w:p w14:paraId="26DB6B72" w14:textId="12AD40D3" w:rsidR="007A5165" w:rsidRPr="00A6310E" w:rsidRDefault="007A5165" w:rsidP="009C2CD4">
            <w:pPr>
              <w:pStyle w:val="CETBodytext"/>
              <w:jc w:val="left"/>
              <w:rPr>
                <w:lang w:val="en-GB"/>
              </w:rPr>
            </w:pPr>
            <w:r w:rsidRPr="0069308D">
              <w:rPr>
                <w:lang w:val="en-GB"/>
              </w:rPr>
              <w:t>Average annual rate of turnover of doctors and medical staff</w:t>
            </w:r>
          </w:p>
        </w:tc>
        <w:tc>
          <w:tcPr>
            <w:tcW w:w="2410" w:type="dxa"/>
            <w:shd w:val="clear" w:color="auto" w:fill="FFFFFF"/>
          </w:tcPr>
          <w:p w14:paraId="315836A9" w14:textId="6962A656" w:rsidR="007A5165" w:rsidRDefault="007A5165" w:rsidP="009C2CD4">
            <w:pPr>
              <w:pStyle w:val="CETBodytext"/>
              <w:rPr>
                <w:lang w:val="en-GB"/>
              </w:rPr>
            </w:pPr>
            <w:r>
              <w:rPr>
                <w:lang w:val="en-GB"/>
              </w:rPr>
              <w:t>E</w:t>
            </w:r>
            <w:r w:rsidRPr="00A6310E">
              <w:rPr>
                <w:lang w:val="en-GB"/>
              </w:rPr>
              <w:t>qual to the average</w:t>
            </w:r>
          </w:p>
          <w:p w14:paraId="3666C275" w14:textId="7F865AB2" w:rsidR="007A5165" w:rsidRDefault="007A5165" w:rsidP="009C2CD4">
            <w:pPr>
              <w:pStyle w:val="CETBodytext"/>
              <w:rPr>
                <w:lang w:val="en-GB"/>
              </w:rPr>
            </w:pPr>
            <w:r>
              <w:rPr>
                <w:lang w:val="en-GB"/>
              </w:rPr>
              <w:t>Low</w:t>
            </w:r>
          </w:p>
        </w:tc>
        <w:tc>
          <w:tcPr>
            <w:tcW w:w="1559" w:type="dxa"/>
            <w:shd w:val="clear" w:color="auto" w:fill="FFFFFF"/>
          </w:tcPr>
          <w:p w14:paraId="0DE95A93" w14:textId="77777777" w:rsidR="007A5165" w:rsidRDefault="00875AB9" w:rsidP="009C2CD4">
            <w:pPr>
              <w:pStyle w:val="CETBodytext"/>
              <w:ind w:right="-1"/>
              <w:rPr>
                <w:rFonts w:cs="Arial"/>
                <w:szCs w:val="18"/>
                <w:lang w:val="en-GB"/>
              </w:rPr>
            </w:pPr>
            <w:r>
              <w:rPr>
                <w:rFonts w:cs="Arial"/>
                <w:szCs w:val="18"/>
                <w:lang w:val="en-GB"/>
              </w:rPr>
              <w:t>0.662</w:t>
            </w:r>
          </w:p>
          <w:p w14:paraId="2897C911" w14:textId="23C77D96" w:rsidR="00875AB9" w:rsidRDefault="00875AB9" w:rsidP="009C2CD4">
            <w:pPr>
              <w:pStyle w:val="CETBodytext"/>
              <w:ind w:right="-1"/>
              <w:rPr>
                <w:rFonts w:cs="Arial"/>
                <w:szCs w:val="18"/>
                <w:lang w:val="en-GB"/>
              </w:rPr>
            </w:pPr>
            <w:r>
              <w:rPr>
                <w:rFonts w:cs="Arial"/>
                <w:szCs w:val="18"/>
                <w:lang w:val="en-GB"/>
              </w:rPr>
              <w:t>0.797</w:t>
            </w:r>
          </w:p>
        </w:tc>
      </w:tr>
      <w:tr w:rsidR="007A5165" w:rsidRPr="00B57B36" w14:paraId="7A84FAE2" w14:textId="1477F104" w:rsidTr="007A5165">
        <w:tc>
          <w:tcPr>
            <w:tcW w:w="4111" w:type="dxa"/>
            <w:shd w:val="clear" w:color="auto" w:fill="FFFFFF"/>
          </w:tcPr>
          <w:p w14:paraId="3996F389" w14:textId="4A880CC6" w:rsidR="007A5165" w:rsidRPr="00A6310E" w:rsidRDefault="007A5165" w:rsidP="0069308D">
            <w:pPr>
              <w:pStyle w:val="CETBodytext"/>
              <w:jc w:val="left"/>
              <w:rPr>
                <w:lang w:val="en-GB"/>
              </w:rPr>
            </w:pPr>
            <w:r w:rsidRPr="0069308D">
              <w:rPr>
                <w:lang w:val="en-GB"/>
              </w:rPr>
              <w:t>Average monthly salary of medical specialists</w:t>
            </w:r>
          </w:p>
        </w:tc>
        <w:tc>
          <w:tcPr>
            <w:tcW w:w="2410" w:type="dxa"/>
            <w:shd w:val="clear" w:color="auto" w:fill="FFFFFF"/>
          </w:tcPr>
          <w:p w14:paraId="13BAE256" w14:textId="249357B5" w:rsidR="007A5165" w:rsidRDefault="007A5165" w:rsidP="009C2CD4">
            <w:pPr>
              <w:pStyle w:val="CETBodytext"/>
              <w:rPr>
                <w:lang w:val="en-GB"/>
              </w:rPr>
            </w:pPr>
            <w:r w:rsidRPr="00A6310E">
              <w:rPr>
                <w:lang w:val="en-GB"/>
              </w:rPr>
              <w:t>Lower than average</w:t>
            </w:r>
          </w:p>
        </w:tc>
        <w:tc>
          <w:tcPr>
            <w:tcW w:w="1559" w:type="dxa"/>
            <w:shd w:val="clear" w:color="auto" w:fill="FFFFFF"/>
          </w:tcPr>
          <w:p w14:paraId="5865E9AA" w14:textId="6AF563DF" w:rsidR="007A5165" w:rsidRDefault="00875AB9" w:rsidP="009C2CD4">
            <w:pPr>
              <w:pStyle w:val="CETBodytext"/>
              <w:ind w:right="-1"/>
              <w:rPr>
                <w:lang w:val="en-GB"/>
              </w:rPr>
            </w:pPr>
            <w:r>
              <w:rPr>
                <w:lang w:val="en-GB"/>
              </w:rPr>
              <w:t>0.762</w:t>
            </w:r>
          </w:p>
        </w:tc>
      </w:tr>
    </w:tbl>
    <w:p w14:paraId="1EB58E71" w14:textId="68182CC0" w:rsidR="00A6310E" w:rsidRDefault="00111F6E" w:rsidP="00F510B0">
      <w:pPr>
        <w:pStyle w:val="CETBodytext"/>
        <w:rPr>
          <w:lang w:val="en-GB"/>
        </w:rPr>
      </w:pPr>
      <w:r>
        <w:rPr>
          <w:lang w:val="en-GB"/>
        </w:rPr>
        <w:t>Source:</w:t>
      </w:r>
      <w:r w:rsidR="00DF5AA9" w:rsidRPr="00DF5AA9">
        <w:rPr>
          <w:lang w:val="en-GB"/>
        </w:rPr>
        <w:t xml:space="preserve"> </w:t>
      </w:r>
      <w:r w:rsidR="00DF5AA9">
        <w:rPr>
          <w:lang w:val="en-GB"/>
        </w:rPr>
        <w:t>O</w:t>
      </w:r>
      <w:r w:rsidR="00DF5AA9" w:rsidRPr="00E05C56">
        <w:rPr>
          <w:lang w:val="en-GB"/>
        </w:rPr>
        <w:t>wn research</w:t>
      </w:r>
    </w:p>
    <w:p w14:paraId="2C3AA624" w14:textId="77777777" w:rsidR="003C56EE" w:rsidRDefault="00DD4E70" w:rsidP="00DD4E70">
      <w:pPr>
        <w:pStyle w:val="CETBodytext"/>
        <w:rPr>
          <w:lang w:val="en-GB"/>
        </w:rPr>
      </w:pPr>
      <w:r w:rsidRPr="00DD4E70">
        <w:rPr>
          <w:lang w:val="en-GB"/>
        </w:rPr>
        <w:t xml:space="preserve">Interestingly, the highest variability expressed by the ordinal variance (Table 5) is in the case of the average annual rate of turnover of doctors and medical </w:t>
      </w:r>
      <w:r w:rsidR="00393FB9" w:rsidRPr="00B86CCC">
        <w:rPr>
          <w:lang w:val="en-GB"/>
        </w:rPr>
        <w:t>staff</w:t>
      </w:r>
      <w:r w:rsidRPr="00DD4E70">
        <w:rPr>
          <w:lang w:val="en-GB"/>
        </w:rPr>
        <w:t>. A possible reason for higher variability is more job opportunities with higher salaries.</w:t>
      </w:r>
      <w:r w:rsidR="003C56EE">
        <w:rPr>
          <w:lang w:val="en-GB"/>
        </w:rPr>
        <w:t xml:space="preserve"> </w:t>
      </w:r>
    </w:p>
    <w:p w14:paraId="6EC75A8F" w14:textId="6D2B2BC2" w:rsidR="00E04110" w:rsidRDefault="00DD4E70" w:rsidP="00DD4E70">
      <w:pPr>
        <w:pStyle w:val="CETBodytext"/>
        <w:rPr>
          <w:lang w:val="en-GB"/>
        </w:rPr>
      </w:pPr>
      <w:r w:rsidRPr="00DD4E70">
        <w:rPr>
          <w:lang w:val="en-GB"/>
        </w:rPr>
        <w:t>Since all respondents answered that they need more employees from one of the two mentioned categories, it is clear that spa facilities must find a solution to the lack of staff</w:t>
      </w:r>
      <w:r w:rsidR="00C870B6">
        <w:rPr>
          <w:lang w:val="en-GB"/>
        </w:rPr>
        <w:t xml:space="preserve"> (</w:t>
      </w:r>
      <w:r w:rsidRPr="00DD4E70">
        <w:rPr>
          <w:lang w:val="en-GB"/>
        </w:rPr>
        <w:t>One possibility is to employ students and pensioners. In order to obtain personnel with a suitable focus from among students and later school graduates, it is advisable to develop cooperation with schools. 50% of respondents expressed that they cooperate with secondary schools and, simultaneously, with universities within the framework of internships and practice. However, 31.25% of respondents said they do not cooperate with either secondary schools or universities</w:t>
      </w:r>
      <w:r w:rsidR="00C870B6" w:rsidRPr="00B86CCC">
        <w:rPr>
          <w:lang w:val="en-GB"/>
        </w:rPr>
        <w:t xml:space="preserve"> (Table 6).</w:t>
      </w:r>
      <w:r w:rsidR="00C870B6">
        <w:rPr>
          <w:lang w:val="en-GB"/>
        </w:rPr>
        <w:t xml:space="preserve"> </w:t>
      </w:r>
      <w:r w:rsidRPr="00DD4E70">
        <w:rPr>
          <w:lang w:val="en-GB"/>
        </w:rPr>
        <w:t>Less-developed cooperation with secondary schools or universities is mainly in the case of small spa facilities (up to 50 employees). It is in this area that we see the possibility of improvement.</w:t>
      </w:r>
    </w:p>
    <w:p w14:paraId="4C023A23" w14:textId="780751A5" w:rsidR="00111F6E" w:rsidRPr="00E000A5" w:rsidRDefault="00111F6E" w:rsidP="00111F6E">
      <w:pPr>
        <w:pStyle w:val="CETBodytext"/>
        <w:rPr>
          <w:i/>
          <w:lang w:val="en-GB"/>
        </w:rPr>
      </w:pPr>
      <w:r w:rsidRPr="00E000A5">
        <w:rPr>
          <w:i/>
          <w:lang w:val="en-GB"/>
        </w:rPr>
        <w:t xml:space="preserve">Table </w:t>
      </w:r>
      <w:r>
        <w:rPr>
          <w:i/>
          <w:lang w:val="en-GB"/>
        </w:rPr>
        <w:t>6</w:t>
      </w:r>
      <w:r w:rsidR="00A2078F">
        <w:rPr>
          <w:i/>
          <w:lang w:val="en-GB"/>
        </w:rPr>
        <w:t>:</w:t>
      </w:r>
      <w:r w:rsidRPr="00E000A5">
        <w:rPr>
          <w:i/>
          <w:lang w:val="en-GB"/>
        </w:rPr>
        <w:t xml:space="preserve"> </w:t>
      </w:r>
      <w:bookmarkStart w:id="1" w:name="_Hlk158532414"/>
      <w:r w:rsidRPr="00111F6E">
        <w:rPr>
          <w:i/>
          <w:lang w:val="en-GB"/>
        </w:rPr>
        <w:t>Contingency table with variables cooperation with secondary schools and universities</w:t>
      </w:r>
      <w:bookmarkEnd w:id="1"/>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261"/>
        <w:gridCol w:w="1417"/>
        <w:gridCol w:w="1134"/>
        <w:gridCol w:w="992"/>
      </w:tblGrid>
      <w:tr w:rsidR="00111F6E" w:rsidRPr="00B57B36" w14:paraId="1CF3ED4D" w14:textId="77777777" w:rsidTr="00111F6E">
        <w:tc>
          <w:tcPr>
            <w:tcW w:w="3261" w:type="dxa"/>
            <w:tcBorders>
              <w:top w:val="single" w:sz="12" w:space="0" w:color="008000"/>
              <w:bottom w:val="single" w:sz="6" w:space="0" w:color="008000"/>
            </w:tcBorders>
            <w:shd w:val="clear" w:color="auto" w:fill="FFFFFF"/>
          </w:tcPr>
          <w:p w14:paraId="3BD92327" w14:textId="7E905127" w:rsidR="00111F6E" w:rsidRPr="00B57B36" w:rsidRDefault="00111F6E" w:rsidP="009C2CD4">
            <w:pPr>
              <w:pStyle w:val="CETBodytext"/>
              <w:jc w:val="center"/>
              <w:rPr>
                <w:lang w:val="en-GB"/>
              </w:rPr>
            </w:pPr>
            <w:r w:rsidRPr="00111F6E">
              <w:rPr>
                <w:lang w:val="en-GB"/>
              </w:rPr>
              <w:t>Cooperation with secondary schools as part of an internship/practice</w:t>
            </w:r>
          </w:p>
        </w:tc>
        <w:tc>
          <w:tcPr>
            <w:tcW w:w="3543" w:type="dxa"/>
            <w:gridSpan w:val="3"/>
            <w:tcBorders>
              <w:top w:val="single" w:sz="12" w:space="0" w:color="008000"/>
              <w:bottom w:val="single" w:sz="6" w:space="0" w:color="008000"/>
            </w:tcBorders>
            <w:shd w:val="clear" w:color="auto" w:fill="FFFFFF"/>
          </w:tcPr>
          <w:p w14:paraId="142650BC" w14:textId="49541D96" w:rsidR="00111F6E" w:rsidRPr="00B57B36" w:rsidRDefault="00111F6E" w:rsidP="009C2CD4">
            <w:pPr>
              <w:pStyle w:val="CETBodytext"/>
              <w:jc w:val="center"/>
              <w:rPr>
                <w:rFonts w:cs="Arial"/>
                <w:szCs w:val="18"/>
                <w:lang w:val="en-GB"/>
              </w:rPr>
            </w:pPr>
            <w:r w:rsidRPr="00111F6E">
              <w:rPr>
                <w:lang w:val="en-GB"/>
              </w:rPr>
              <w:t>Cooperation with the university as part of the internship/practice</w:t>
            </w:r>
          </w:p>
        </w:tc>
      </w:tr>
      <w:tr w:rsidR="00111F6E" w:rsidRPr="00B57B36" w14:paraId="38ABB78C" w14:textId="77777777" w:rsidTr="00111F6E">
        <w:tc>
          <w:tcPr>
            <w:tcW w:w="3261" w:type="dxa"/>
            <w:tcBorders>
              <w:top w:val="single" w:sz="12" w:space="0" w:color="008000"/>
              <w:bottom w:val="single" w:sz="6" w:space="0" w:color="008000"/>
            </w:tcBorders>
            <w:shd w:val="clear" w:color="auto" w:fill="FFFFFF"/>
          </w:tcPr>
          <w:p w14:paraId="54E374DE" w14:textId="77777777" w:rsidR="00111F6E" w:rsidRPr="005E4A25" w:rsidRDefault="00111F6E" w:rsidP="009C2CD4">
            <w:pPr>
              <w:pStyle w:val="CETBodytext"/>
              <w:rPr>
                <w:lang w:val="en-GB"/>
              </w:rPr>
            </w:pPr>
          </w:p>
        </w:tc>
        <w:tc>
          <w:tcPr>
            <w:tcW w:w="1417" w:type="dxa"/>
            <w:tcBorders>
              <w:top w:val="single" w:sz="12" w:space="0" w:color="008000"/>
              <w:bottom w:val="single" w:sz="6" w:space="0" w:color="008000"/>
            </w:tcBorders>
            <w:shd w:val="clear" w:color="auto" w:fill="FFFFFF"/>
          </w:tcPr>
          <w:p w14:paraId="350756F2" w14:textId="77777777" w:rsidR="00111F6E" w:rsidRDefault="00111F6E" w:rsidP="009C2CD4">
            <w:pPr>
              <w:pStyle w:val="CETBodytext"/>
              <w:rPr>
                <w:lang w:val="en-GB"/>
              </w:rPr>
            </w:pPr>
            <w:r>
              <w:rPr>
                <w:lang w:val="en-GB"/>
              </w:rPr>
              <w:t>No</w:t>
            </w:r>
          </w:p>
        </w:tc>
        <w:tc>
          <w:tcPr>
            <w:tcW w:w="1134" w:type="dxa"/>
            <w:tcBorders>
              <w:top w:val="single" w:sz="12" w:space="0" w:color="008000"/>
              <w:bottom w:val="single" w:sz="6" w:space="0" w:color="008000"/>
            </w:tcBorders>
            <w:shd w:val="clear" w:color="auto" w:fill="FFFFFF"/>
          </w:tcPr>
          <w:p w14:paraId="759F43C6" w14:textId="77777777" w:rsidR="00111F6E" w:rsidRDefault="00111F6E" w:rsidP="009C2CD4">
            <w:pPr>
              <w:pStyle w:val="CETBodytext"/>
              <w:rPr>
                <w:rFonts w:cs="Arial"/>
                <w:szCs w:val="18"/>
                <w:lang w:val="en-GB"/>
              </w:rPr>
            </w:pPr>
            <w:r>
              <w:rPr>
                <w:rFonts w:cs="Arial"/>
                <w:szCs w:val="18"/>
                <w:lang w:val="en-GB"/>
              </w:rPr>
              <w:t>Yes</w:t>
            </w:r>
          </w:p>
        </w:tc>
        <w:tc>
          <w:tcPr>
            <w:tcW w:w="992" w:type="dxa"/>
            <w:tcBorders>
              <w:top w:val="single" w:sz="12" w:space="0" w:color="008000"/>
              <w:bottom w:val="single" w:sz="6" w:space="0" w:color="008000"/>
            </w:tcBorders>
            <w:shd w:val="clear" w:color="auto" w:fill="FFFFFF"/>
          </w:tcPr>
          <w:p w14:paraId="79F7F62B" w14:textId="77777777" w:rsidR="00111F6E" w:rsidRPr="007976A1" w:rsidRDefault="00111F6E" w:rsidP="009C2CD4">
            <w:pPr>
              <w:pStyle w:val="CETBodytext"/>
              <w:rPr>
                <w:rFonts w:cs="Arial"/>
                <w:b/>
                <w:szCs w:val="18"/>
                <w:lang w:val="en-GB"/>
              </w:rPr>
            </w:pPr>
            <w:r w:rsidRPr="007976A1">
              <w:rPr>
                <w:rFonts w:cs="Arial"/>
                <w:b/>
                <w:szCs w:val="18"/>
                <w:lang w:val="en-GB"/>
              </w:rPr>
              <w:t>Total</w:t>
            </w:r>
          </w:p>
        </w:tc>
      </w:tr>
      <w:tr w:rsidR="00111F6E" w:rsidRPr="00B57B36" w14:paraId="0A2B8F33" w14:textId="77777777" w:rsidTr="00111F6E">
        <w:tc>
          <w:tcPr>
            <w:tcW w:w="3261" w:type="dxa"/>
            <w:shd w:val="clear" w:color="auto" w:fill="FFFFFF"/>
          </w:tcPr>
          <w:p w14:paraId="2EAD4D4D" w14:textId="77777777" w:rsidR="00111F6E" w:rsidRDefault="00111F6E" w:rsidP="009C2CD4">
            <w:pPr>
              <w:pStyle w:val="CETBodytext"/>
              <w:rPr>
                <w:lang w:val="en-GB"/>
              </w:rPr>
            </w:pPr>
            <w:r>
              <w:rPr>
                <w:lang w:val="en-GB"/>
              </w:rPr>
              <w:t>No</w:t>
            </w:r>
          </w:p>
          <w:p w14:paraId="497B5BD6" w14:textId="77777777" w:rsidR="00111F6E" w:rsidRDefault="00111F6E" w:rsidP="009C2CD4">
            <w:pPr>
              <w:pStyle w:val="CETBodytext"/>
              <w:rPr>
                <w:lang w:val="en-GB"/>
              </w:rPr>
            </w:pPr>
            <w:r>
              <w:rPr>
                <w:lang w:val="en-GB"/>
              </w:rPr>
              <w:t>Yes</w:t>
            </w:r>
          </w:p>
          <w:p w14:paraId="1C7F0AEB" w14:textId="77777777" w:rsidR="00111F6E" w:rsidRPr="00111F6E" w:rsidRDefault="00111F6E" w:rsidP="009C2CD4">
            <w:pPr>
              <w:pStyle w:val="CETBodytext"/>
              <w:rPr>
                <w:b/>
                <w:lang w:val="en-GB"/>
              </w:rPr>
            </w:pPr>
            <w:r w:rsidRPr="00111F6E">
              <w:rPr>
                <w:b/>
                <w:lang w:val="en-GB"/>
              </w:rPr>
              <w:t>Total</w:t>
            </w:r>
          </w:p>
        </w:tc>
        <w:tc>
          <w:tcPr>
            <w:tcW w:w="1417" w:type="dxa"/>
            <w:shd w:val="clear" w:color="auto" w:fill="FFFFFF"/>
          </w:tcPr>
          <w:p w14:paraId="50D29B9B" w14:textId="439D5503" w:rsidR="00111F6E" w:rsidRDefault="00111F6E" w:rsidP="009C2CD4">
            <w:pPr>
              <w:pStyle w:val="CETBodytext"/>
              <w:rPr>
                <w:lang w:val="en-GB"/>
              </w:rPr>
            </w:pPr>
            <w:r>
              <w:rPr>
                <w:lang w:val="en-GB"/>
              </w:rPr>
              <w:t>10</w:t>
            </w:r>
          </w:p>
          <w:p w14:paraId="3AA87907" w14:textId="1A53D060" w:rsidR="00111F6E" w:rsidRDefault="00111F6E" w:rsidP="009C2CD4">
            <w:pPr>
              <w:pStyle w:val="CETBodytext"/>
              <w:rPr>
                <w:lang w:val="en-GB"/>
              </w:rPr>
            </w:pPr>
            <w:r>
              <w:rPr>
                <w:lang w:val="en-GB"/>
              </w:rPr>
              <w:t>5</w:t>
            </w:r>
          </w:p>
          <w:p w14:paraId="6C37D4B6" w14:textId="3784E5FF" w:rsidR="00111F6E" w:rsidRPr="00111F6E" w:rsidRDefault="00111F6E" w:rsidP="009C2CD4">
            <w:pPr>
              <w:pStyle w:val="CETBodytext"/>
              <w:rPr>
                <w:b/>
                <w:lang w:val="en-GB"/>
              </w:rPr>
            </w:pPr>
            <w:r w:rsidRPr="00111F6E">
              <w:rPr>
                <w:b/>
                <w:lang w:val="en-GB"/>
              </w:rPr>
              <w:t>15</w:t>
            </w:r>
          </w:p>
        </w:tc>
        <w:tc>
          <w:tcPr>
            <w:tcW w:w="1134" w:type="dxa"/>
            <w:shd w:val="clear" w:color="auto" w:fill="FFFFFF"/>
          </w:tcPr>
          <w:p w14:paraId="34E83BC9" w14:textId="1D07FE70" w:rsidR="00111F6E" w:rsidRDefault="00111F6E" w:rsidP="009C2CD4">
            <w:pPr>
              <w:pStyle w:val="CETBodytext"/>
              <w:rPr>
                <w:lang w:val="en-GB"/>
              </w:rPr>
            </w:pPr>
            <w:r>
              <w:rPr>
                <w:lang w:val="en-GB"/>
              </w:rPr>
              <w:t>1</w:t>
            </w:r>
          </w:p>
          <w:p w14:paraId="4C4A56A0" w14:textId="751662A2" w:rsidR="00111F6E" w:rsidRDefault="00111F6E" w:rsidP="009C2CD4">
            <w:pPr>
              <w:pStyle w:val="CETBodytext"/>
              <w:rPr>
                <w:lang w:val="en-GB"/>
              </w:rPr>
            </w:pPr>
            <w:r>
              <w:rPr>
                <w:lang w:val="en-GB"/>
              </w:rPr>
              <w:t>16</w:t>
            </w:r>
          </w:p>
          <w:p w14:paraId="5AEA1256" w14:textId="1DBD5948" w:rsidR="00111F6E" w:rsidRPr="00111F6E" w:rsidRDefault="00111F6E" w:rsidP="009C2CD4">
            <w:pPr>
              <w:pStyle w:val="CETBodytext"/>
              <w:rPr>
                <w:b/>
                <w:lang w:val="en-GB"/>
              </w:rPr>
            </w:pPr>
            <w:r w:rsidRPr="00111F6E">
              <w:rPr>
                <w:b/>
                <w:lang w:val="en-GB"/>
              </w:rPr>
              <w:t>17</w:t>
            </w:r>
          </w:p>
        </w:tc>
        <w:tc>
          <w:tcPr>
            <w:tcW w:w="992" w:type="dxa"/>
            <w:shd w:val="clear" w:color="auto" w:fill="FFFFFF"/>
          </w:tcPr>
          <w:p w14:paraId="60CE61C1" w14:textId="64FC0CAB" w:rsidR="00111F6E" w:rsidRDefault="00111F6E" w:rsidP="009C2CD4">
            <w:pPr>
              <w:pStyle w:val="CETBodytext"/>
              <w:ind w:right="-1"/>
              <w:rPr>
                <w:rFonts w:cs="Arial"/>
                <w:szCs w:val="18"/>
                <w:lang w:val="en-GB"/>
              </w:rPr>
            </w:pPr>
            <w:r>
              <w:rPr>
                <w:rFonts w:cs="Arial"/>
                <w:szCs w:val="18"/>
                <w:lang w:val="en-GB"/>
              </w:rPr>
              <w:t>11</w:t>
            </w:r>
          </w:p>
          <w:p w14:paraId="68891442" w14:textId="0A002B53" w:rsidR="00111F6E" w:rsidRDefault="00111F6E" w:rsidP="009C2CD4">
            <w:pPr>
              <w:pStyle w:val="CETBodytext"/>
              <w:ind w:right="-1"/>
              <w:rPr>
                <w:rFonts w:cs="Arial"/>
                <w:szCs w:val="18"/>
                <w:lang w:val="en-GB"/>
              </w:rPr>
            </w:pPr>
            <w:r>
              <w:rPr>
                <w:rFonts w:cs="Arial"/>
                <w:szCs w:val="18"/>
                <w:lang w:val="en-GB"/>
              </w:rPr>
              <w:t>21</w:t>
            </w:r>
          </w:p>
          <w:p w14:paraId="6DDB1E70" w14:textId="77777777" w:rsidR="00111F6E" w:rsidRPr="00111F6E" w:rsidRDefault="00111F6E" w:rsidP="009C2CD4">
            <w:pPr>
              <w:pStyle w:val="CETBodytext"/>
              <w:ind w:right="-1"/>
              <w:rPr>
                <w:rFonts w:cs="Arial"/>
                <w:b/>
                <w:szCs w:val="18"/>
                <w:lang w:val="en-GB"/>
              </w:rPr>
            </w:pPr>
            <w:r w:rsidRPr="00111F6E">
              <w:rPr>
                <w:rFonts w:cs="Arial"/>
                <w:b/>
                <w:szCs w:val="18"/>
                <w:lang w:val="en-GB"/>
              </w:rPr>
              <w:t>32</w:t>
            </w:r>
          </w:p>
        </w:tc>
      </w:tr>
    </w:tbl>
    <w:p w14:paraId="19C89AD1" w14:textId="77777777" w:rsidR="00EC2069" w:rsidRDefault="009C6470" w:rsidP="00B42AB9">
      <w:pPr>
        <w:pStyle w:val="CETBodytext"/>
        <w:rPr>
          <w:lang w:val="en-GB"/>
        </w:rPr>
      </w:pPr>
      <w:r>
        <w:rPr>
          <w:lang w:val="en-GB"/>
        </w:rPr>
        <w:t>Source:</w:t>
      </w:r>
      <w:r w:rsidR="00E04110">
        <w:rPr>
          <w:lang w:val="en-GB"/>
        </w:rPr>
        <w:t xml:space="preserve"> O</w:t>
      </w:r>
      <w:r w:rsidR="00E04110" w:rsidRPr="00E05C56">
        <w:rPr>
          <w:lang w:val="en-GB"/>
        </w:rPr>
        <w:t>wn research</w:t>
      </w:r>
    </w:p>
    <w:p w14:paraId="7293A220" w14:textId="0DB5FD71" w:rsidR="00B42AB9" w:rsidRDefault="00B42AB9" w:rsidP="00B42AB9">
      <w:pPr>
        <w:pStyle w:val="CETBodytext"/>
        <w:rPr>
          <w:lang w:val="en-GB"/>
        </w:rPr>
      </w:pPr>
      <w:r w:rsidRPr="00B42AB9">
        <w:rPr>
          <w:lang w:val="en-GB"/>
        </w:rPr>
        <w:t xml:space="preserve">Attention was focused on the specifics of spa facilities in cooperation with secondary schools and universities. Above all, do the spa facilities cooperate or not cooperate with both types of schools? </w:t>
      </w:r>
    </w:p>
    <w:p w14:paraId="7F3EE10F" w14:textId="4B511C6A" w:rsidR="00EE33C7" w:rsidRDefault="00B42AB9" w:rsidP="00B42AB9">
      <w:pPr>
        <w:pStyle w:val="CETBodytext"/>
        <w:rPr>
          <w:lang w:val="en-GB"/>
        </w:rPr>
      </w:pPr>
      <w:r w:rsidRPr="00B42AB9">
        <w:rPr>
          <w:i/>
          <w:lang w:val="en-GB"/>
        </w:rPr>
        <w:lastRenderedPageBreak/>
        <w:t>The null hypothesis was tested: the variable cooperation between spa facilities and secondary schools within the internship/practice and between spa facilities and universities within the internship/practice are independent.</w:t>
      </w:r>
      <w:r w:rsidRPr="00B42AB9">
        <w:rPr>
          <w:lang w:val="en-GB"/>
        </w:rPr>
        <w:t xml:space="preserve"> We will use the Chi-square test of independence to test the statistical hypothesis.</w:t>
      </w:r>
      <w:r w:rsidR="00363A58">
        <w:rPr>
          <w:lang w:val="en-GB"/>
        </w:rPr>
        <w:t xml:space="preserve"> </w:t>
      </w:r>
      <w:r w:rsidR="00363A58" w:rsidRPr="003B62C2">
        <w:rPr>
          <w:lang w:val="en-GB"/>
        </w:rPr>
        <w:t xml:space="preserve">(according </w:t>
      </w:r>
      <w:proofErr w:type="spellStart"/>
      <w:r w:rsidR="00363A58" w:rsidRPr="003B62C2">
        <w:rPr>
          <w:lang w:val="en-GB"/>
        </w:rPr>
        <w:t>Řezanková</w:t>
      </w:r>
      <w:proofErr w:type="spellEnd"/>
      <w:r w:rsidR="00363A58" w:rsidRPr="003B62C2">
        <w:rPr>
          <w:lang w:val="en-GB"/>
        </w:rPr>
        <w:t>, 2007, 109-114).</w:t>
      </w:r>
      <w:r w:rsidRPr="00B42AB9">
        <w:rPr>
          <w:lang w:val="en-GB"/>
        </w:rPr>
        <w:t xml:space="preserve"> All expected frequencies are more significant than 5. Pearson Chi-square is 13.052. P value is less than 0.05. The null hypothesis is rejected, and the alternative hypothesis is confirmed. Variables are dependent. Cramer's</w:t>
      </w:r>
      <w:r w:rsidR="009C5526">
        <w:rPr>
          <w:lang w:val="en-GB"/>
        </w:rPr>
        <w:t xml:space="preserve"> V</w:t>
      </w:r>
      <w:r w:rsidRPr="00B42AB9">
        <w:rPr>
          <w:lang w:val="en-GB"/>
        </w:rPr>
        <w:t xml:space="preserve"> </w:t>
      </w:r>
      <w:r w:rsidR="009C5526" w:rsidRPr="003B62C2">
        <w:rPr>
          <w:lang w:val="en-GB"/>
        </w:rPr>
        <w:t>(or Phi Coefficient)</w:t>
      </w:r>
      <w:r w:rsidRPr="00B42AB9">
        <w:rPr>
          <w:lang w:val="en-GB"/>
        </w:rPr>
        <w:t xml:space="preserve"> is 0.64. This is a </w:t>
      </w:r>
      <w:r w:rsidR="00DB33F8" w:rsidRPr="003B62C2">
        <w:rPr>
          <w:lang w:val="en-GB"/>
        </w:rPr>
        <w:t>medium association between variables.</w:t>
      </w:r>
      <w:r w:rsidR="00DB33F8">
        <w:rPr>
          <w:lang w:val="en-GB"/>
        </w:rPr>
        <w:t xml:space="preserve"> </w:t>
      </w:r>
      <w:r w:rsidRPr="00B42AB9">
        <w:rPr>
          <w:lang w:val="en-GB"/>
        </w:rPr>
        <w:t xml:space="preserve">Based on the adjusted standardized residuals, it can be concluded that there are statistically significantly more observations in the boxes with </w:t>
      </w:r>
      <w:r w:rsidR="000909B1" w:rsidRPr="003B62C2">
        <w:rPr>
          <w:lang w:val="en-GB"/>
        </w:rPr>
        <w:t>“</w:t>
      </w:r>
      <w:r w:rsidRPr="003B62C2">
        <w:rPr>
          <w:lang w:val="en-GB"/>
        </w:rPr>
        <w:t>yes</w:t>
      </w:r>
      <w:r w:rsidR="00CC3657" w:rsidRPr="003B62C2">
        <w:rPr>
          <w:lang w:val="en-GB"/>
        </w:rPr>
        <w:t>”</w:t>
      </w:r>
      <w:proofErr w:type="gramStart"/>
      <w:r w:rsidR="00CC3657" w:rsidRPr="003B62C2">
        <w:rPr>
          <w:lang w:val="en-GB"/>
        </w:rPr>
        <w:t>-“</w:t>
      </w:r>
      <w:proofErr w:type="gramEnd"/>
      <w:r w:rsidR="00CC3657" w:rsidRPr="003B62C2">
        <w:rPr>
          <w:lang w:val="en-GB"/>
        </w:rPr>
        <w:t>y</w:t>
      </w:r>
      <w:r w:rsidRPr="003B62C2">
        <w:rPr>
          <w:lang w:val="en-GB"/>
        </w:rPr>
        <w:t>es</w:t>
      </w:r>
      <w:r w:rsidR="000909B1" w:rsidRPr="003B62C2">
        <w:rPr>
          <w:lang w:val="en-GB"/>
        </w:rPr>
        <w:t>”</w:t>
      </w:r>
      <w:r w:rsidRPr="00B42AB9">
        <w:rPr>
          <w:lang w:val="en-GB"/>
        </w:rPr>
        <w:t xml:space="preserve"> and </w:t>
      </w:r>
      <w:r w:rsidR="000909B1" w:rsidRPr="003B62C2">
        <w:rPr>
          <w:lang w:val="en-GB"/>
        </w:rPr>
        <w:t>“</w:t>
      </w:r>
      <w:r w:rsidRPr="003B62C2">
        <w:rPr>
          <w:lang w:val="en-GB"/>
        </w:rPr>
        <w:t>no</w:t>
      </w:r>
      <w:r w:rsidR="000909B1" w:rsidRPr="003B62C2">
        <w:rPr>
          <w:lang w:val="en-GB"/>
        </w:rPr>
        <w:t>”</w:t>
      </w:r>
      <w:r w:rsidRPr="003B62C2">
        <w:rPr>
          <w:lang w:val="en-GB"/>
        </w:rPr>
        <w:t>-</w:t>
      </w:r>
      <w:r w:rsidR="000909B1" w:rsidRPr="003B62C2">
        <w:rPr>
          <w:lang w:val="en-GB"/>
        </w:rPr>
        <w:t>“</w:t>
      </w:r>
      <w:r w:rsidRPr="003B62C2">
        <w:rPr>
          <w:lang w:val="en-GB"/>
        </w:rPr>
        <w:t>no</w:t>
      </w:r>
      <w:r w:rsidR="000909B1" w:rsidRPr="003B62C2">
        <w:rPr>
          <w:lang w:val="en-GB"/>
        </w:rPr>
        <w:t>”</w:t>
      </w:r>
      <w:r w:rsidRPr="00B42AB9">
        <w:rPr>
          <w:lang w:val="en-GB"/>
        </w:rPr>
        <w:t xml:space="preserve"> answers than would be expected (Analysis of contingency tables, 2018). That is, spa facilities that cooperate with secondary schools also cooperate with universities, and spa establishments that do not cooperate with secondary schools also do not cooperate with universities. In cooperation with both types of schools, we still need to find more possibilities for solving the lack of personnel. Cooperation with both types of schools can have two advantages for spa facilities - securing auxiliary staff from the ranks of students and training qualified employees from future school graduates.</w:t>
      </w:r>
    </w:p>
    <w:p w14:paraId="50909DDC" w14:textId="77777777" w:rsidR="00B42AB9" w:rsidRDefault="00B42AB9" w:rsidP="00B42AB9">
      <w:pPr>
        <w:pStyle w:val="CETBodytext"/>
        <w:rPr>
          <w:i/>
          <w:lang w:val="en-GB"/>
        </w:rPr>
      </w:pPr>
    </w:p>
    <w:p w14:paraId="7B3D3405" w14:textId="4BD415C3" w:rsidR="006635EA" w:rsidRPr="00E000A5" w:rsidRDefault="006635EA" w:rsidP="006635EA">
      <w:pPr>
        <w:pStyle w:val="CETBodytext"/>
        <w:rPr>
          <w:i/>
          <w:lang w:val="en-GB"/>
        </w:rPr>
      </w:pPr>
      <w:r w:rsidRPr="00E000A5">
        <w:rPr>
          <w:i/>
          <w:lang w:val="en-GB"/>
        </w:rPr>
        <w:t xml:space="preserve">Table </w:t>
      </w:r>
      <w:r>
        <w:rPr>
          <w:i/>
          <w:lang w:val="en-GB"/>
        </w:rPr>
        <w:t>7</w:t>
      </w:r>
      <w:r w:rsidR="00A2078F">
        <w:rPr>
          <w:i/>
          <w:lang w:val="en-GB"/>
        </w:rPr>
        <w:t>:</w:t>
      </w:r>
      <w:r w:rsidRPr="00E000A5">
        <w:rPr>
          <w:i/>
          <w:lang w:val="en-GB"/>
        </w:rPr>
        <w:t xml:space="preserve"> </w:t>
      </w:r>
      <w:r w:rsidR="00EC2069" w:rsidRPr="00EC2069">
        <w:rPr>
          <w:i/>
          <w:lang w:val="en-GB"/>
        </w:rPr>
        <w:t xml:space="preserve">Contingency table with variables </w:t>
      </w:r>
      <w:r w:rsidRPr="006635EA">
        <w:rPr>
          <w:i/>
          <w:lang w:val="en-GB"/>
        </w:rPr>
        <w:t xml:space="preserve">involving mothers on maternity and parental leave/students/pensioners </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261"/>
        <w:gridCol w:w="2268"/>
        <w:gridCol w:w="1984"/>
        <w:gridCol w:w="1276"/>
      </w:tblGrid>
      <w:tr w:rsidR="006635EA" w:rsidRPr="00B57B36" w14:paraId="3C5B86A6" w14:textId="77777777" w:rsidTr="00B62FC9">
        <w:tc>
          <w:tcPr>
            <w:tcW w:w="3261" w:type="dxa"/>
            <w:tcBorders>
              <w:top w:val="single" w:sz="12" w:space="0" w:color="008000"/>
              <w:bottom w:val="single" w:sz="6" w:space="0" w:color="008000"/>
            </w:tcBorders>
            <w:shd w:val="clear" w:color="auto" w:fill="FFFFFF"/>
          </w:tcPr>
          <w:p w14:paraId="632A88E6" w14:textId="4C890A90" w:rsidR="006635EA" w:rsidRPr="00B57B36" w:rsidRDefault="00B62FC9" w:rsidP="009C2CD4">
            <w:pPr>
              <w:pStyle w:val="CETBodytext"/>
              <w:jc w:val="center"/>
              <w:rPr>
                <w:lang w:val="en-GB"/>
              </w:rPr>
            </w:pPr>
            <w:r>
              <w:rPr>
                <w:lang w:val="en-GB"/>
              </w:rPr>
              <w:t>Size of Spa</w:t>
            </w:r>
          </w:p>
        </w:tc>
        <w:tc>
          <w:tcPr>
            <w:tcW w:w="5528" w:type="dxa"/>
            <w:gridSpan w:val="3"/>
            <w:tcBorders>
              <w:top w:val="single" w:sz="12" w:space="0" w:color="008000"/>
              <w:bottom w:val="single" w:sz="6" w:space="0" w:color="008000"/>
            </w:tcBorders>
            <w:shd w:val="clear" w:color="auto" w:fill="FFFFFF"/>
          </w:tcPr>
          <w:p w14:paraId="71D2BAF7" w14:textId="5B3318FA" w:rsidR="006635EA" w:rsidRPr="00B57B36" w:rsidRDefault="00B62FC9" w:rsidP="009C2CD4">
            <w:pPr>
              <w:pStyle w:val="CETBodytext"/>
              <w:jc w:val="center"/>
              <w:rPr>
                <w:rFonts w:cs="Arial"/>
                <w:szCs w:val="18"/>
                <w:lang w:val="en-GB"/>
              </w:rPr>
            </w:pPr>
            <w:r w:rsidRPr="00B62FC9">
              <w:rPr>
                <w:lang w:val="en-GB"/>
              </w:rPr>
              <w:t>Solving staff shortages by involving mothers on maternity and parental leave/students/pensioners</w:t>
            </w:r>
          </w:p>
        </w:tc>
      </w:tr>
      <w:tr w:rsidR="006635EA" w:rsidRPr="00B57B36" w14:paraId="6CD9AD97" w14:textId="77777777" w:rsidTr="00B62FC9">
        <w:tc>
          <w:tcPr>
            <w:tcW w:w="3261" w:type="dxa"/>
            <w:tcBorders>
              <w:top w:val="single" w:sz="12" w:space="0" w:color="008000"/>
              <w:bottom w:val="single" w:sz="6" w:space="0" w:color="008000"/>
            </w:tcBorders>
            <w:shd w:val="clear" w:color="auto" w:fill="FFFFFF"/>
          </w:tcPr>
          <w:p w14:paraId="1E495DF5" w14:textId="77777777" w:rsidR="006635EA" w:rsidRPr="005E4A25" w:rsidRDefault="006635EA" w:rsidP="009C2CD4">
            <w:pPr>
              <w:pStyle w:val="CETBodytext"/>
              <w:rPr>
                <w:lang w:val="en-GB"/>
              </w:rPr>
            </w:pPr>
          </w:p>
        </w:tc>
        <w:tc>
          <w:tcPr>
            <w:tcW w:w="2268" w:type="dxa"/>
            <w:tcBorders>
              <w:top w:val="single" w:sz="12" w:space="0" w:color="008000"/>
              <w:bottom w:val="single" w:sz="6" w:space="0" w:color="008000"/>
            </w:tcBorders>
            <w:shd w:val="clear" w:color="auto" w:fill="FFFFFF"/>
          </w:tcPr>
          <w:p w14:paraId="7FA636B3" w14:textId="3A5CDDA4" w:rsidR="006635EA" w:rsidRDefault="00B62FC9" w:rsidP="009C2CD4">
            <w:pPr>
              <w:pStyle w:val="CETBodytext"/>
              <w:rPr>
                <w:lang w:val="en-GB"/>
              </w:rPr>
            </w:pPr>
            <w:r>
              <w:rPr>
                <w:lang w:val="en-GB"/>
              </w:rPr>
              <w:t>Yes</w:t>
            </w:r>
          </w:p>
        </w:tc>
        <w:tc>
          <w:tcPr>
            <w:tcW w:w="1984" w:type="dxa"/>
            <w:tcBorders>
              <w:top w:val="single" w:sz="12" w:space="0" w:color="008000"/>
              <w:bottom w:val="single" w:sz="6" w:space="0" w:color="008000"/>
            </w:tcBorders>
            <w:shd w:val="clear" w:color="auto" w:fill="FFFFFF"/>
          </w:tcPr>
          <w:p w14:paraId="268D61CC" w14:textId="78B28D1C" w:rsidR="006635EA" w:rsidRDefault="00B62FC9" w:rsidP="009C2CD4">
            <w:pPr>
              <w:pStyle w:val="CETBodytext"/>
              <w:rPr>
                <w:rFonts w:cs="Arial"/>
                <w:szCs w:val="18"/>
                <w:lang w:val="en-GB"/>
              </w:rPr>
            </w:pPr>
            <w:r>
              <w:rPr>
                <w:rFonts w:cs="Arial"/>
                <w:szCs w:val="18"/>
                <w:lang w:val="en-GB"/>
              </w:rPr>
              <w:t>No</w:t>
            </w:r>
          </w:p>
        </w:tc>
        <w:tc>
          <w:tcPr>
            <w:tcW w:w="1276" w:type="dxa"/>
            <w:tcBorders>
              <w:top w:val="single" w:sz="12" w:space="0" w:color="008000"/>
              <w:bottom w:val="single" w:sz="6" w:space="0" w:color="008000"/>
            </w:tcBorders>
            <w:shd w:val="clear" w:color="auto" w:fill="FFFFFF"/>
          </w:tcPr>
          <w:p w14:paraId="18ED90D3" w14:textId="77777777" w:rsidR="006635EA" w:rsidRPr="007976A1" w:rsidRDefault="006635EA" w:rsidP="009C2CD4">
            <w:pPr>
              <w:pStyle w:val="CETBodytext"/>
              <w:rPr>
                <w:rFonts w:cs="Arial"/>
                <w:b/>
                <w:szCs w:val="18"/>
                <w:lang w:val="en-GB"/>
              </w:rPr>
            </w:pPr>
            <w:r w:rsidRPr="007976A1">
              <w:rPr>
                <w:rFonts w:cs="Arial"/>
                <w:b/>
                <w:szCs w:val="18"/>
                <w:lang w:val="en-GB"/>
              </w:rPr>
              <w:t>Total</w:t>
            </w:r>
          </w:p>
        </w:tc>
      </w:tr>
      <w:tr w:rsidR="00B62FC9" w:rsidRPr="00B57B36" w14:paraId="104CB499" w14:textId="77777777" w:rsidTr="00B62FC9">
        <w:tc>
          <w:tcPr>
            <w:tcW w:w="3261" w:type="dxa"/>
            <w:shd w:val="clear" w:color="auto" w:fill="FFFFFF"/>
          </w:tcPr>
          <w:p w14:paraId="75E569DF" w14:textId="3CA08CF6" w:rsidR="006635EA" w:rsidRDefault="00B62FC9" w:rsidP="009C2CD4">
            <w:pPr>
              <w:pStyle w:val="CETBodytext"/>
              <w:rPr>
                <w:lang w:val="en-GB"/>
              </w:rPr>
            </w:pPr>
            <w:r>
              <w:rPr>
                <w:lang w:val="en-GB"/>
              </w:rPr>
              <w:t>Small</w:t>
            </w:r>
          </w:p>
          <w:p w14:paraId="7D1B7F21" w14:textId="3AFAE282" w:rsidR="006635EA" w:rsidRDefault="00B62FC9" w:rsidP="009C2CD4">
            <w:pPr>
              <w:pStyle w:val="CETBodytext"/>
              <w:rPr>
                <w:lang w:val="en-GB"/>
              </w:rPr>
            </w:pPr>
            <w:r>
              <w:rPr>
                <w:lang w:val="en-GB"/>
              </w:rPr>
              <w:t>Medium and Large</w:t>
            </w:r>
          </w:p>
          <w:p w14:paraId="22E8FD37" w14:textId="77777777" w:rsidR="006635EA" w:rsidRPr="00111F6E" w:rsidRDefault="006635EA" w:rsidP="009C2CD4">
            <w:pPr>
              <w:pStyle w:val="CETBodytext"/>
              <w:rPr>
                <w:b/>
                <w:lang w:val="en-GB"/>
              </w:rPr>
            </w:pPr>
            <w:r w:rsidRPr="00111F6E">
              <w:rPr>
                <w:b/>
                <w:lang w:val="en-GB"/>
              </w:rPr>
              <w:t>Total</w:t>
            </w:r>
          </w:p>
        </w:tc>
        <w:tc>
          <w:tcPr>
            <w:tcW w:w="2268" w:type="dxa"/>
            <w:shd w:val="clear" w:color="auto" w:fill="FFFFFF"/>
          </w:tcPr>
          <w:p w14:paraId="4008E035" w14:textId="16B64D9D" w:rsidR="006635EA" w:rsidRDefault="00B62FC9" w:rsidP="009C2CD4">
            <w:pPr>
              <w:pStyle w:val="CETBodytext"/>
              <w:rPr>
                <w:lang w:val="en-GB"/>
              </w:rPr>
            </w:pPr>
            <w:r>
              <w:rPr>
                <w:lang w:val="en-GB"/>
              </w:rPr>
              <w:t>0</w:t>
            </w:r>
          </w:p>
          <w:p w14:paraId="23E60ED9" w14:textId="77777777" w:rsidR="006635EA" w:rsidRDefault="00B62FC9" w:rsidP="009C2CD4">
            <w:pPr>
              <w:pStyle w:val="CETBodytext"/>
              <w:rPr>
                <w:b/>
                <w:lang w:val="en-GB"/>
              </w:rPr>
            </w:pPr>
            <w:r>
              <w:rPr>
                <w:b/>
                <w:lang w:val="en-GB"/>
              </w:rPr>
              <w:t>17</w:t>
            </w:r>
          </w:p>
          <w:p w14:paraId="2F8E1690" w14:textId="2D763FB9" w:rsidR="00B62FC9" w:rsidRPr="00111F6E" w:rsidRDefault="00B62FC9" w:rsidP="009C2CD4">
            <w:pPr>
              <w:pStyle w:val="CETBodytext"/>
              <w:rPr>
                <w:b/>
                <w:lang w:val="en-GB"/>
              </w:rPr>
            </w:pPr>
            <w:r>
              <w:rPr>
                <w:b/>
                <w:lang w:val="en-GB"/>
              </w:rPr>
              <w:t>17</w:t>
            </w:r>
          </w:p>
        </w:tc>
        <w:tc>
          <w:tcPr>
            <w:tcW w:w="1984" w:type="dxa"/>
            <w:shd w:val="clear" w:color="auto" w:fill="FFFFFF"/>
          </w:tcPr>
          <w:p w14:paraId="79046CD3" w14:textId="7B43BB32" w:rsidR="006635EA" w:rsidRDefault="00B62FC9" w:rsidP="009C2CD4">
            <w:pPr>
              <w:pStyle w:val="CETBodytext"/>
              <w:rPr>
                <w:lang w:val="en-GB"/>
              </w:rPr>
            </w:pPr>
            <w:r>
              <w:rPr>
                <w:lang w:val="en-GB"/>
              </w:rPr>
              <w:t>5</w:t>
            </w:r>
          </w:p>
          <w:p w14:paraId="39CFC4AD" w14:textId="628AF188" w:rsidR="006635EA" w:rsidRDefault="00B62FC9" w:rsidP="009C2CD4">
            <w:pPr>
              <w:pStyle w:val="CETBodytext"/>
              <w:rPr>
                <w:lang w:val="en-GB"/>
              </w:rPr>
            </w:pPr>
            <w:r>
              <w:rPr>
                <w:lang w:val="en-GB"/>
              </w:rPr>
              <w:t>10</w:t>
            </w:r>
          </w:p>
          <w:p w14:paraId="72B8FB95" w14:textId="28B51620" w:rsidR="006635EA" w:rsidRPr="00111F6E" w:rsidRDefault="006635EA" w:rsidP="009C2CD4">
            <w:pPr>
              <w:pStyle w:val="CETBodytext"/>
              <w:rPr>
                <w:b/>
                <w:lang w:val="en-GB"/>
              </w:rPr>
            </w:pPr>
            <w:r w:rsidRPr="00111F6E">
              <w:rPr>
                <w:b/>
                <w:lang w:val="en-GB"/>
              </w:rPr>
              <w:t>1</w:t>
            </w:r>
            <w:r w:rsidR="00B62FC9">
              <w:rPr>
                <w:b/>
                <w:lang w:val="en-GB"/>
              </w:rPr>
              <w:t>5</w:t>
            </w:r>
          </w:p>
        </w:tc>
        <w:tc>
          <w:tcPr>
            <w:tcW w:w="1276" w:type="dxa"/>
            <w:shd w:val="clear" w:color="auto" w:fill="FFFFFF"/>
          </w:tcPr>
          <w:p w14:paraId="3D98820F" w14:textId="3D8E0F6F" w:rsidR="006635EA" w:rsidRPr="00B62FC9" w:rsidRDefault="00B62FC9" w:rsidP="009C2CD4">
            <w:pPr>
              <w:pStyle w:val="CETBodytext"/>
              <w:ind w:right="-1"/>
              <w:rPr>
                <w:rFonts w:cs="Arial"/>
                <w:b/>
                <w:szCs w:val="18"/>
                <w:lang w:val="en-GB"/>
              </w:rPr>
            </w:pPr>
            <w:r w:rsidRPr="00B62FC9">
              <w:rPr>
                <w:rFonts w:cs="Arial"/>
                <w:b/>
                <w:szCs w:val="18"/>
                <w:lang w:val="en-GB"/>
              </w:rPr>
              <w:t>5</w:t>
            </w:r>
          </w:p>
          <w:p w14:paraId="1EC247E7" w14:textId="3A835ECE" w:rsidR="006635EA" w:rsidRPr="00B62FC9" w:rsidRDefault="006635EA" w:rsidP="009C2CD4">
            <w:pPr>
              <w:pStyle w:val="CETBodytext"/>
              <w:ind w:right="-1"/>
              <w:rPr>
                <w:rFonts w:cs="Arial"/>
                <w:b/>
                <w:szCs w:val="18"/>
                <w:lang w:val="en-GB"/>
              </w:rPr>
            </w:pPr>
            <w:r w:rsidRPr="00B62FC9">
              <w:rPr>
                <w:rFonts w:cs="Arial"/>
                <w:b/>
                <w:szCs w:val="18"/>
                <w:lang w:val="en-GB"/>
              </w:rPr>
              <w:t>2</w:t>
            </w:r>
            <w:r w:rsidR="00B62FC9" w:rsidRPr="00B62FC9">
              <w:rPr>
                <w:rFonts w:cs="Arial"/>
                <w:b/>
                <w:szCs w:val="18"/>
                <w:lang w:val="en-GB"/>
              </w:rPr>
              <w:t>7</w:t>
            </w:r>
          </w:p>
          <w:p w14:paraId="1E4D2337" w14:textId="77777777" w:rsidR="006635EA" w:rsidRPr="00111F6E" w:rsidRDefault="006635EA" w:rsidP="009C2CD4">
            <w:pPr>
              <w:pStyle w:val="CETBodytext"/>
              <w:ind w:right="-1"/>
              <w:rPr>
                <w:rFonts w:cs="Arial"/>
                <w:b/>
                <w:szCs w:val="18"/>
                <w:lang w:val="en-GB"/>
              </w:rPr>
            </w:pPr>
            <w:r w:rsidRPr="00111F6E">
              <w:rPr>
                <w:rFonts w:cs="Arial"/>
                <w:b/>
                <w:szCs w:val="18"/>
                <w:lang w:val="en-GB"/>
              </w:rPr>
              <w:t>32</w:t>
            </w:r>
          </w:p>
        </w:tc>
      </w:tr>
    </w:tbl>
    <w:p w14:paraId="5BAEF9FB" w14:textId="3A3150D1" w:rsidR="006635EA" w:rsidRDefault="00B62FC9" w:rsidP="006635EA">
      <w:pPr>
        <w:pStyle w:val="CETBodytext"/>
        <w:rPr>
          <w:lang w:val="en-GB"/>
        </w:rPr>
      </w:pPr>
      <w:r>
        <w:rPr>
          <w:lang w:val="en-GB"/>
        </w:rPr>
        <w:t xml:space="preserve">Source: </w:t>
      </w:r>
      <w:r w:rsidR="00210D27">
        <w:rPr>
          <w:lang w:val="en-GB"/>
        </w:rPr>
        <w:t>O</w:t>
      </w:r>
      <w:r w:rsidR="00210D27" w:rsidRPr="00E05C56">
        <w:rPr>
          <w:lang w:val="en-GB"/>
        </w:rPr>
        <w:t>wn research</w:t>
      </w:r>
    </w:p>
    <w:p w14:paraId="34DE14D0" w14:textId="1965EE25" w:rsidR="00395DF2" w:rsidRPr="0001125D" w:rsidRDefault="001103A0" w:rsidP="00BB301A">
      <w:pPr>
        <w:pStyle w:val="CETBodytext"/>
        <w:rPr>
          <w:lang w:val="en-GB"/>
        </w:rPr>
      </w:pPr>
      <w:r w:rsidRPr="001103A0">
        <w:rPr>
          <w:lang w:val="en-GB"/>
        </w:rPr>
        <w:t xml:space="preserve">Currently, most spa facilities in the Czech Republic solve the </w:t>
      </w:r>
      <w:proofErr w:type="spellStart"/>
      <w:r w:rsidRPr="001103A0">
        <w:rPr>
          <w:lang w:val="en-GB"/>
        </w:rPr>
        <w:t>labor</w:t>
      </w:r>
      <w:proofErr w:type="spellEnd"/>
      <w:r w:rsidRPr="001103A0">
        <w:rPr>
          <w:lang w:val="en-GB"/>
        </w:rPr>
        <w:t xml:space="preserve"> shortage by employing mothers on maternity and parental leave, students and pensioners</w:t>
      </w:r>
      <w:r w:rsidR="00C870B6">
        <w:rPr>
          <w:lang w:val="en-GB"/>
        </w:rPr>
        <w:t xml:space="preserve"> </w:t>
      </w:r>
      <w:r w:rsidR="00C870B6" w:rsidRPr="003B62C2">
        <w:rPr>
          <w:lang w:val="en-GB"/>
        </w:rPr>
        <w:t>(Table 7)</w:t>
      </w:r>
      <w:r w:rsidRPr="003B62C2">
        <w:rPr>
          <w:lang w:val="en-GB"/>
        </w:rPr>
        <w:t>.</w:t>
      </w:r>
      <w:r w:rsidRPr="001103A0">
        <w:rPr>
          <w:lang w:val="en-GB"/>
        </w:rPr>
        <w:t xml:space="preserve"> However, there is still a large proportion of spa facilities that do not use this approach. In small spa establishments, middle management solves more diverse tasks. For that reason, it has less space for managing the adaptation process for mothers on maternity and parental leave, students and pensioners. The null hypothesis is thus verified: the variable size of spa facilities (I. small or II. medium and large) and the variable solution to the </w:t>
      </w:r>
      <w:proofErr w:type="spellStart"/>
      <w:r w:rsidRPr="001103A0">
        <w:rPr>
          <w:lang w:val="en-GB"/>
        </w:rPr>
        <w:t>labor</w:t>
      </w:r>
      <w:proofErr w:type="spellEnd"/>
      <w:r w:rsidRPr="001103A0">
        <w:rPr>
          <w:lang w:val="en-GB"/>
        </w:rPr>
        <w:t xml:space="preserve"> shortage by employing mothers on maternity and parental leave, students and pensioners are independent. The Chi-square test of independence is used to test the null hypothesis. However, the requirement to use the test is not met. For that reason, Fisher's </w:t>
      </w:r>
      <w:r w:rsidR="00507B42" w:rsidRPr="003B62C2">
        <w:rPr>
          <w:lang w:val="en-GB"/>
        </w:rPr>
        <w:t>E</w:t>
      </w:r>
      <w:r w:rsidRPr="001103A0">
        <w:rPr>
          <w:lang w:val="en-GB"/>
        </w:rPr>
        <w:t xml:space="preserve">xact </w:t>
      </w:r>
      <w:r w:rsidR="00507B42" w:rsidRPr="003B62C2">
        <w:rPr>
          <w:lang w:val="en-GB"/>
        </w:rPr>
        <w:t>T</w:t>
      </w:r>
      <w:r w:rsidRPr="001103A0">
        <w:rPr>
          <w:lang w:val="en-GB"/>
        </w:rPr>
        <w:t xml:space="preserve">est is used </w:t>
      </w:r>
      <w:r w:rsidR="00363A58" w:rsidRPr="003B62C2">
        <w:rPr>
          <w:lang w:val="en-GB"/>
        </w:rPr>
        <w:t>(</w:t>
      </w:r>
      <w:proofErr w:type="spellStart"/>
      <w:r w:rsidR="00363A58" w:rsidRPr="003B62C2">
        <w:rPr>
          <w:lang w:val="en-GB"/>
        </w:rPr>
        <w:t>Řezanková</w:t>
      </w:r>
      <w:proofErr w:type="spellEnd"/>
      <w:r w:rsidR="00363A58" w:rsidRPr="003B62C2">
        <w:rPr>
          <w:lang w:val="en-GB"/>
        </w:rPr>
        <w:t xml:space="preserve">, 2007, 115-117). </w:t>
      </w:r>
      <w:r w:rsidRPr="001103A0">
        <w:rPr>
          <w:lang w:val="en-GB"/>
        </w:rPr>
        <w:t xml:space="preserve">P value is less than 0.05. The null hypothesis is rejected and the alternative hypothesis is confirmed. There is a dependency between the variables. Above all, small businesses should focus on solving the </w:t>
      </w:r>
      <w:proofErr w:type="spellStart"/>
      <w:r w:rsidRPr="001103A0">
        <w:rPr>
          <w:lang w:val="en-GB"/>
        </w:rPr>
        <w:t>labor</w:t>
      </w:r>
      <w:proofErr w:type="spellEnd"/>
      <w:r w:rsidRPr="001103A0">
        <w:rPr>
          <w:lang w:val="en-GB"/>
        </w:rPr>
        <w:t xml:space="preserve"> shortage by employing mothers on maternity and parental leave, students and pensioners.</w:t>
      </w:r>
      <w:r w:rsidR="00011EEE">
        <w:rPr>
          <w:lang w:val="en-GB"/>
        </w:rPr>
        <w:t xml:space="preserve"> </w:t>
      </w:r>
      <w:r w:rsidRPr="001103A0">
        <w:rPr>
          <w:lang w:val="en-GB"/>
        </w:rPr>
        <w:t xml:space="preserve">The limit of the research is that the size of the sample set is not large for both hypothesis tests and therefore the permissible margin of error is large. Nevertheless, the author's collective considers emphasizing the importance of spa cooperation with both types of schools and emphasizing the need to solve the </w:t>
      </w:r>
      <w:proofErr w:type="spellStart"/>
      <w:r w:rsidRPr="001103A0">
        <w:rPr>
          <w:lang w:val="en-GB"/>
        </w:rPr>
        <w:t>labor</w:t>
      </w:r>
      <w:proofErr w:type="spellEnd"/>
      <w:r w:rsidRPr="001103A0">
        <w:rPr>
          <w:lang w:val="en-GB"/>
        </w:rPr>
        <w:t xml:space="preserve"> shortage by employing mothers on maternity and parental leave, students and pensioners in spa facilities (especially small ones) very important.</w:t>
      </w:r>
      <w:r w:rsidR="00011EEE">
        <w:rPr>
          <w:lang w:val="en-GB"/>
        </w:rPr>
        <w:t xml:space="preserve"> </w:t>
      </w:r>
      <w:r w:rsidR="00BB301A" w:rsidRPr="00BB301A">
        <w:rPr>
          <w:lang w:val="en-GB"/>
        </w:rPr>
        <w:t>So, how do we solve the problems related to the capacity crisis?</w:t>
      </w:r>
      <w:r w:rsidR="00BB301A">
        <w:rPr>
          <w:lang w:val="en-GB"/>
        </w:rPr>
        <w:t xml:space="preserve"> </w:t>
      </w:r>
      <w:r w:rsidR="00BB301A" w:rsidRPr="00BB301A">
        <w:rPr>
          <w:lang w:val="en-GB"/>
        </w:rPr>
        <w:t>Bringing</w:t>
      </w:r>
      <w:r w:rsidR="00BB301A">
        <w:rPr>
          <w:lang w:val="en-GB"/>
        </w:rPr>
        <w:t xml:space="preserve"> </w:t>
      </w:r>
      <w:r w:rsidR="00BB301A" w:rsidRPr="00BB301A">
        <w:rPr>
          <w:lang w:val="en-GB"/>
        </w:rPr>
        <w:t xml:space="preserve">up own potential staff or attract new workers. Proposed solutions include, salary increase for medical and support staff, investment in innovation and education to increase productivity, simplified employment of workers from third countries. (Grenčíková et al., 2023) A study by Snack et al. (2022) </w:t>
      </w:r>
      <w:proofErr w:type="spellStart"/>
      <w:r w:rsidR="00BB301A" w:rsidRPr="00BB301A">
        <w:rPr>
          <w:lang w:val="en-GB"/>
        </w:rPr>
        <w:t>analyzes</w:t>
      </w:r>
      <w:proofErr w:type="spellEnd"/>
      <w:r w:rsidR="00BB301A" w:rsidRPr="00BB301A">
        <w:rPr>
          <w:lang w:val="en-GB"/>
        </w:rPr>
        <w:t xml:space="preserve"> how hospitals in Germany perceive the lack of qualified staff and how they deal with this problem. German employers target a wide range of employee benefits. Today's times require the application of new recruitment methods or the management of vocational education of students. Following the situation on the </w:t>
      </w:r>
      <w:proofErr w:type="spellStart"/>
      <w:r w:rsidR="00BB301A" w:rsidRPr="00BB301A">
        <w:rPr>
          <w:lang w:val="en-GB"/>
        </w:rPr>
        <w:t>labor</w:t>
      </w:r>
      <w:proofErr w:type="spellEnd"/>
      <w:r w:rsidR="00BB301A" w:rsidRPr="00BB301A">
        <w:rPr>
          <w:lang w:val="en-GB"/>
        </w:rPr>
        <w:t xml:space="preserve"> market, which forces companies to approach innovative solutions when searching for experts for selected positions, the same problem exists when filling job positions in healthcare facilities. An example is contacting people abroad or cooperating with agencies that focus on selecting and recommending workers.  In this company, they target, for example, Slovakia, where there is currently a situation where some medical facilities would not be able to function fully without workers from abroad—a reaction to attracting university students and all applicants. Steps must be taken to ensure sufficient numbers of applicants for medicine. It is necessary to create the conditions for their preparation from the time they study in secondary schools. As in any market environment, the healthcare market is competitive.</w:t>
      </w:r>
      <w:r w:rsidR="00C73836" w:rsidRPr="00C73836">
        <w:t xml:space="preserve"> </w:t>
      </w:r>
      <w:r w:rsidR="00C73836" w:rsidRPr="00C73836">
        <w:rPr>
          <w:lang w:val="en-GB"/>
        </w:rPr>
        <w:t>One of the other possible solutions is implementing a competence management system (CMS) in the healthcare sector. When implemented appropriately, considering the specifics of the healthcare environment, CMS can bring significant benefits in the form of better coordination of education, increased quality of care, and patient safety.</w:t>
      </w:r>
      <w:r w:rsidR="003B152E">
        <w:rPr>
          <w:lang w:val="en-GB"/>
        </w:rPr>
        <w:t xml:space="preserve"> </w:t>
      </w:r>
      <w:r w:rsidR="00BB301A" w:rsidRPr="00BB301A">
        <w:rPr>
          <w:lang w:val="en-GB"/>
        </w:rPr>
        <w:t xml:space="preserve">It is still necessary to consider the care of the medical and non-medical staff, who provide patients with comprehensive health care. Compared to the general population, these workers have increased morbidity, psychological deprivation, burnout, high rates of depression, and an increased risk of suicide (Mohanty et al., </w:t>
      </w:r>
      <w:r w:rsidR="00BB301A" w:rsidRPr="00BB301A">
        <w:rPr>
          <w:lang w:val="en-GB"/>
        </w:rPr>
        <w:lastRenderedPageBreak/>
        <w:t xml:space="preserve">2019). It is necessary to take more care of the psychological health of these workers, as stated by Chou et al. (2020) and </w:t>
      </w:r>
      <w:proofErr w:type="spellStart"/>
      <w:r w:rsidR="00BB301A" w:rsidRPr="00BB301A">
        <w:rPr>
          <w:lang w:val="en-GB"/>
        </w:rPr>
        <w:t>Elbay</w:t>
      </w:r>
      <w:proofErr w:type="spellEnd"/>
      <w:r w:rsidR="00BB301A" w:rsidRPr="00BB301A">
        <w:rPr>
          <w:lang w:val="en-GB"/>
        </w:rPr>
        <w:t xml:space="preserve"> et al. (2020).</w:t>
      </w:r>
    </w:p>
    <w:p w14:paraId="2A30E03E" w14:textId="501E48DD" w:rsidR="00EB4BDB" w:rsidRDefault="00EB4BDB" w:rsidP="00A75618">
      <w:pPr>
        <w:pStyle w:val="CETHeading1"/>
        <w:rPr>
          <w:lang w:val="en-GB"/>
        </w:rPr>
      </w:pPr>
      <w:r w:rsidRPr="00EB4BDB">
        <w:rPr>
          <w:lang w:val="en-GB"/>
        </w:rPr>
        <w:t>Conclusio</w:t>
      </w:r>
      <w:r>
        <w:rPr>
          <w:lang w:val="en-GB"/>
        </w:rPr>
        <w:t>n</w:t>
      </w:r>
    </w:p>
    <w:p w14:paraId="197255E2" w14:textId="39108D56" w:rsidR="00EB4BDB" w:rsidRPr="00D6399C" w:rsidRDefault="003C7CF6" w:rsidP="00EB4BDB">
      <w:pPr>
        <w:pStyle w:val="CETBodytext"/>
        <w:rPr>
          <w:lang w:val="en-GB"/>
        </w:rPr>
      </w:pPr>
      <w:r w:rsidRPr="003C7CF6">
        <w:rPr>
          <w:lang w:val="en-GB"/>
        </w:rPr>
        <w:t xml:space="preserve">The results confirmed the expectations of the author's team. </w:t>
      </w:r>
      <w:r w:rsidR="000669BB">
        <w:rPr>
          <w:lang w:val="en-GB"/>
        </w:rPr>
        <w:t>B</w:t>
      </w:r>
      <w:r w:rsidR="000669BB" w:rsidRPr="000669BB">
        <w:rPr>
          <w:lang w:val="en-GB"/>
        </w:rPr>
        <w:t>alneal treatments</w:t>
      </w:r>
      <w:r w:rsidR="000669BB">
        <w:rPr>
          <w:lang w:val="en-GB"/>
        </w:rPr>
        <w:t xml:space="preserve"> </w:t>
      </w:r>
      <w:r w:rsidRPr="003C7CF6">
        <w:rPr>
          <w:lang w:val="en-GB"/>
        </w:rPr>
        <w:t xml:space="preserve">are also struggling with a need for more qualified personnel. As the research confirmed, the way to solve problems related to the capacity crisis is to cooperate with secondary schools and universities and thus employ part-time workers. Another recommendation is to simplify the employment of professional employees from among foreigners, to simplify the entry into the </w:t>
      </w:r>
      <w:proofErr w:type="spellStart"/>
      <w:r w:rsidRPr="003C7CF6">
        <w:rPr>
          <w:lang w:val="en-GB"/>
        </w:rPr>
        <w:t>labor</w:t>
      </w:r>
      <w:proofErr w:type="spellEnd"/>
      <w:r w:rsidRPr="003C7CF6">
        <w:rPr>
          <w:lang w:val="en-GB"/>
        </w:rPr>
        <w:t xml:space="preserve"> market for employees from third countries, to make working in spas more attractive, to attract young workers, or to ensure the availability of housing in spa towns and the surrounding area for employees. Promotion, employer/state contributions to wellness stays, high-quality destination marketing of regions, high-quality preparation of students for their field, better information and promotion of treatment in the spa industry, or a better visa policy would contribute to solving the problem of the lack of employees in the health sector, and thus the spa </w:t>
      </w:r>
      <w:r w:rsidRPr="00D6399C">
        <w:rPr>
          <w:lang w:val="en-GB"/>
        </w:rPr>
        <w:t xml:space="preserve">industry. </w:t>
      </w:r>
      <w:r w:rsidR="003C56EE" w:rsidRPr="00D6399C">
        <w:rPr>
          <w:lang w:val="en-GB"/>
        </w:rPr>
        <w:t>The proposed measures have the potential to contribute to improving the quality of spa facilities, increasing citizen satisfaction, removing barriers to the sustainable development of regions, and removing obstacles related to the application of Smart concepts.</w:t>
      </w:r>
    </w:p>
    <w:p w14:paraId="459D05E6" w14:textId="36490138" w:rsidR="00600535" w:rsidRPr="00B57B36" w:rsidRDefault="00600535" w:rsidP="00600535">
      <w:pPr>
        <w:pStyle w:val="CETAcknowledgementstitle"/>
      </w:pPr>
      <w:r w:rsidRPr="00B57B36">
        <w:t>Acknowledgments</w:t>
      </w:r>
    </w:p>
    <w:p w14:paraId="44B74D52" w14:textId="07240058" w:rsidR="00200816" w:rsidRPr="00D6399C" w:rsidRDefault="00200816" w:rsidP="00570C16">
      <w:pPr>
        <w:pStyle w:val="CETReference"/>
        <w:jc w:val="both"/>
        <w:rPr>
          <w:b w:val="0"/>
        </w:rPr>
      </w:pPr>
      <w:r w:rsidRPr="00200816">
        <w:rPr>
          <w:b w:val="0"/>
        </w:rPr>
        <w:t xml:space="preserve">This </w:t>
      </w:r>
      <w:r w:rsidR="00DE3C86">
        <w:rPr>
          <w:b w:val="0"/>
        </w:rPr>
        <w:t>work</w:t>
      </w:r>
      <w:r w:rsidRPr="00200816">
        <w:rPr>
          <w:b w:val="0"/>
        </w:rPr>
        <w:t xml:space="preserve"> is a result of research co-financed </w:t>
      </w:r>
      <w:r w:rsidR="00F77019">
        <w:rPr>
          <w:b w:val="0"/>
        </w:rPr>
        <w:t>b</w:t>
      </w:r>
      <w:r w:rsidRPr="00200816">
        <w:rPr>
          <w:b w:val="0"/>
        </w:rPr>
        <w:t>y the Interreg V-A SK-CZ program with financial support from the European Regional Development Fund</w:t>
      </w:r>
      <w:r w:rsidR="00F46E58">
        <w:rPr>
          <w:b w:val="0"/>
        </w:rPr>
        <w:t xml:space="preserve">, by the </w:t>
      </w:r>
      <w:r w:rsidRPr="00200816">
        <w:rPr>
          <w:b w:val="0"/>
        </w:rPr>
        <w:t>IGA/FLKR/2023/002 Rationalization and Sustainability of Resources in Production-Logistics Processes</w:t>
      </w:r>
      <w:r w:rsidR="00DE3C86">
        <w:rPr>
          <w:b w:val="0"/>
        </w:rPr>
        <w:t>,</w:t>
      </w:r>
      <w:r w:rsidR="00E423B2">
        <w:rPr>
          <w:b w:val="0"/>
        </w:rPr>
        <w:t xml:space="preserve"> </w:t>
      </w:r>
      <w:r w:rsidR="00E423B2" w:rsidRPr="00E423B2">
        <w:rPr>
          <w:b w:val="0"/>
        </w:rPr>
        <w:t>RVO/FLKŘ/2024/02</w:t>
      </w:r>
      <w:r w:rsidR="00E423B2">
        <w:rPr>
          <w:b w:val="0"/>
        </w:rPr>
        <w:t xml:space="preserve"> </w:t>
      </w:r>
      <w:r w:rsidR="004A58A3" w:rsidRPr="004A58A3">
        <w:rPr>
          <w:b w:val="0"/>
        </w:rPr>
        <w:t xml:space="preserve">Assessment of Territorial Vulnerability to Current Security </w:t>
      </w:r>
      <w:bookmarkStart w:id="2" w:name="_GoBack"/>
      <w:r w:rsidR="004A58A3" w:rsidRPr="00D6399C">
        <w:rPr>
          <w:b w:val="0"/>
        </w:rPr>
        <w:t xml:space="preserve">Threats </w:t>
      </w:r>
      <w:r w:rsidR="007E2637" w:rsidRPr="00D6399C">
        <w:rPr>
          <w:b w:val="0"/>
        </w:rPr>
        <w:t>and project No. VEGA 1/0396/23 “Smart Solutions and their Impact on the Socio-economic Development of Regions in the Context of Agenda 2030”.</w:t>
      </w:r>
    </w:p>
    <w:bookmarkEnd w:id="2"/>
    <w:p w14:paraId="4F1327F8" w14:textId="62F0A358" w:rsidR="00600535" w:rsidRPr="00B57B36" w:rsidRDefault="00600535" w:rsidP="00600535">
      <w:pPr>
        <w:pStyle w:val="CETReference"/>
      </w:pPr>
      <w:r w:rsidRPr="00B57B36">
        <w:t>References</w:t>
      </w:r>
    </w:p>
    <w:p w14:paraId="59AB5643" w14:textId="3AD2DFC3" w:rsidR="008025DF" w:rsidRPr="00051B0C" w:rsidRDefault="008025DF" w:rsidP="00B62FC9">
      <w:pPr>
        <w:pStyle w:val="CETReferencetext"/>
        <w:rPr>
          <w:color w:val="000000" w:themeColor="text1"/>
        </w:rPr>
      </w:pPr>
      <w:r w:rsidRPr="00051B0C">
        <w:rPr>
          <w:color w:val="000000" w:themeColor="text1"/>
        </w:rPr>
        <w:t xml:space="preserve">Analysis of </w:t>
      </w:r>
      <w:r w:rsidR="00DA398C" w:rsidRPr="0055188D">
        <w:rPr>
          <w:color w:val="000000" w:themeColor="text1"/>
        </w:rPr>
        <w:t>contingency</w:t>
      </w:r>
      <w:r w:rsidR="00DA398C" w:rsidRPr="00051B0C">
        <w:rPr>
          <w:color w:val="000000" w:themeColor="text1"/>
        </w:rPr>
        <w:t xml:space="preserve"> </w:t>
      </w:r>
      <w:r w:rsidRPr="00051B0C">
        <w:rPr>
          <w:color w:val="000000" w:themeColor="text1"/>
        </w:rPr>
        <w:t xml:space="preserve">tables, 2018, </w:t>
      </w:r>
      <w:r w:rsidR="00924BD0">
        <w:rPr>
          <w:color w:val="000000" w:themeColor="text1"/>
        </w:rPr>
        <w:t xml:space="preserve">Czech republic: </w:t>
      </w:r>
      <w:r w:rsidR="008009E3" w:rsidRPr="008009E3">
        <w:rPr>
          <w:color w:val="000000" w:themeColor="text1"/>
        </w:rPr>
        <w:t>Prague</w:t>
      </w:r>
      <w:r w:rsidR="00924BD0">
        <w:rPr>
          <w:color w:val="000000" w:themeColor="text1"/>
        </w:rPr>
        <w:t>,</w:t>
      </w:r>
      <w:r w:rsidR="008009E3" w:rsidRPr="008009E3">
        <w:rPr>
          <w:color w:val="000000" w:themeColor="text1"/>
        </w:rPr>
        <w:t xml:space="preserve"> Department of Sociology</w:t>
      </w:r>
      <w:r w:rsidR="004413B5" w:rsidRPr="0055188D">
        <w:rPr>
          <w:color w:val="000000" w:themeColor="text1"/>
        </w:rPr>
        <w:t>,</w:t>
      </w:r>
      <w:r w:rsidR="0055188D" w:rsidRPr="0055188D">
        <w:rPr>
          <w:color w:val="000000" w:themeColor="text1"/>
        </w:rPr>
        <w:t xml:space="preserve"> </w:t>
      </w:r>
      <w:r w:rsidR="00A2078F">
        <w:rPr>
          <w:rFonts w:ascii="Calibri" w:hAnsi="Calibri" w:cs="Calibri"/>
          <w:color w:val="000000" w:themeColor="text1"/>
        </w:rPr>
        <w:t>&lt;</w:t>
      </w:r>
      <w:hyperlink r:id="rId15" w:history="1">
        <w:r w:rsidRPr="0055188D">
          <w:rPr>
            <w:color w:val="000000" w:themeColor="text1"/>
          </w:rPr>
          <w:t>ksoc.ff.cuni.cz/wp-content/uploads/sites/76/2018/09/Jak-analyzovat-kontignen%C4%8Dn%C3%AD-tabulky.pdf</w:t>
        </w:r>
      </w:hyperlink>
      <w:r w:rsidR="00A2078F">
        <w:rPr>
          <w:rFonts w:ascii="Calibri" w:hAnsi="Calibri" w:cs="Calibri"/>
          <w:color w:val="000000" w:themeColor="text1"/>
        </w:rPr>
        <w:t xml:space="preserve">&gt; </w:t>
      </w:r>
      <w:r w:rsidR="004413B5" w:rsidRPr="0055188D">
        <w:t>accessed 2.2.2024.</w:t>
      </w:r>
    </w:p>
    <w:p w14:paraId="1D193883" w14:textId="794948A7" w:rsidR="008025DF" w:rsidRPr="00051B0C" w:rsidRDefault="008025DF" w:rsidP="00B62FC9">
      <w:pPr>
        <w:pStyle w:val="CETReferencetext"/>
        <w:rPr>
          <w:color w:val="000000" w:themeColor="text1"/>
        </w:rPr>
      </w:pPr>
      <w:r w:rsidRPr="00051B0C">
        <w:rPr>
          <w:color w:val="000000" w:themeColor="text1"/>
        </w:rPr>
        <w:t xml:space="preserve">Anderson, D.R., Sweeney. D.J., Williams, T.A., Freeman, J., </w:t>
      </w:r>
      <w:proofErr w:type="spellStart"/>
      <w:r w:rsidRPr="00051B0C">
        <w:rPr>
          <w:color w:val="000000" w:themeColor="text1"/>
        </w:rPr>
        <w:t>Shoesmith</w:t>
      </w:r>
      <w:proofErr w:type="spellEnd"/>
      <w:r w:rsidRPr="00051B0C">
        <w:rPr>
          <w:color w:val="000000" w:themeColor="text1"/>
        </w:rPr>
        <w:t>, E.</w:t>
      </w:r>
      <w:r w:rsidR="00051B0C" w:rsidRPr="0055188D">
        <w:rPr>
          <w:color w:val="000000" w:themeColor="text1"/>
        </w:rPr>
        <w:t>,</w:t>
      </w:r>
      <w:r w:rsidRPr="00051B0C">
        <w:rPr>
          <w:color w:val="000000" w:themeColor="text1"/>
        </w:rPr>
        <w:t xml:space="preserve"> 2014</w:t>
      </w:r>
      <w:r w:rsidR="00051B0C" w:rsidRPr="0055188D">
        <w:rPr>
          <w:color w:val="000000" w:themeColor="text1"/>
        </w:rPr>
        <w:t>,</w:t>
      </w:r>
      <w:r w:rsidR="00051B0C" w:rsidRPr="00051B0C">
        <w:rPr>
          <w:color w:val="000000" w:themeColor="text1"/>
        </w:rPr>
        <w:t xml:space="preserve"> </w:t>
      </w:r>
      <w:r w:rsidRPr="00B23D6B">
        <w:rPr>
          <w:i/>
          <w:color w:val="000000" w:themeColor="text1"/>
        </w:rPr>
        <w:t>Statistics for Business and Economics.</w:t>
      </w:r>
      <w:r w:rsidRPr="00051B0C">
        <w:rPr>
          <w:color w:val="000000" w:themeColor="text1"/>
        </w:rPr>
        <w:t xml:space="preserve"> Cengage Learning EMEA</w:t>
      </w:r>
      <w:r w:rsidR="00341645">
        <w:rPr>
          <w:color w:val="000000" w:themeColor="text1"/>
        </w:rPr>
        <w:t>.</w:t>
      </w:r>
    </w:p>
    <w:p w14:paraId="6B99A9D7" w14:textId="25306564" w:rsidR="008025DF" w:rsidRPr="00051B0C" w:rsidRDefault="008025DF" w:rsidP="007D4ADC">
      <w:pPr>
        <w:pStyle w:val="CETReferencetext"/>
        <w:rPr>
          <w:color w:val="000000" w:themeColor="text1"/>
        </w:rPr>
      </w:pPr>
      <w:proofErr w:type="spellStart"/>
      <w:r w:rsidRPr="00051B0C">
        <w:rPr>
          <w:color w:val="000000" w:themeColor="text1"/>
        </w:rPr>
        <w:t>Bencsik</w:t>
      </w:r>
      <w:proofErr w:type="spellEnd"/>
      <w:r w:rsidRPr="00051B0C">
        <w:rPr>
          <w:color w:val="000000" w:themeColor="text1"/>
        </w:rPr>
        <w:t xml:space="preserve">, A., </w:t>
      </w:r>
      <w:proofErr w:type="spellStart"/>
      <w:r w:rsidRPr="00051B0C">
        <w:rPr>
          <w:color w:val="000000" w:themeColor="text1"/>
        </w:rPr>
        <w:t>Horváth-Csikós</w:t>
      </w:r>
      <w:proofErr w:type="spellEnd"/>
      <w:r w:rsidRPr="00051B0C">
        <w:rPr>
          <w:color w:val="000000" w:themeColor="text1"/>
        </w:rPr>
        <w:t xml:space="preserve">, G., </w:t>
      </w:r>
      <w:proofErr w:type="spellStart"/>
      <w:r w:rsidRPr="00051B0C">
        <w:rPr>
          <w:color w:val="000000" w:themeColor="text1"/>
        </w:rPr>
        <w:t>Juhász</w:t>
      </w:r>
      <w:proofErr w:type="spellEnd"/>
      <w:r w:rsidRPr="00051B0C">
        <w:rPr>
          <w:color w:val="000000" w:themeColor="text1"/>
        </w:rPr>
        <w:t>, T.,</w:t>
      </w:r>
      <w:r w:rsidR="00924BD0">
        <w:rPr>
          <w:color w:val="000000" w:themeColor="text1"/>
        </w:rPr>
        <w:t xml:space="preserve"> </w:t>
      </w:r>
      <w:r w:rsidRPr="00051B0C">
        <w:rPr>
          <w:color w:val="000000" w:themeColor="text1"/>
        </w:rPr>
        <w:t xml:space="preserve">2016, Y and Z Generations at Workplaces. </w:t>
      </w:r>
      <w:r w:rsidRPr="00B23D6B">
        <w:rPr>
          <w:i/>
          <w:color w:val="000000" w:themeColor="text1"/>
        </w:rPr>
        <w:t>Journal of competitiveness</w:t>
      </w:r>
      <w:r w:rsidRPr="00051B0C">
        <w:rPr>
          <w:color w:val="000000" w:themeColor="text1"/>
        </w:rPr>
        <w:t>. 8</w:t>
      </w:r>
      <w:r w:rsidR="00341645">
        <w:rPr>
          <w:color w:val="000000" w:themeColor="text1"/>
        </w:rPr>
        <w:t xml:space="preserve"> (</w:t>
      </w:r>
      <w:r w:rsidRPr="00051B0C">
        <w:rPr>
          <w:color w:val="000000" w:themeColor="text1"/>
        </w:rPr>
        <w:t>3</w:t>
      </w:r>
      <w:r w:rsidR="00341645">
        <w:rPr>
          <w:color w:val="000000" w:themeColor="text1"/>
        </w:rPr>
        <w:t>)</w:t>
      </w:r>
      <w:r w:rsidRPr="00051B0C">
        <w:rPr>
          <w:color w:val="000000" w:themeColor="text1"/>
        </w:rPr>
        <w:t>, 90 – 106.</w:t>
      </w:r>
    </w:p>
    <w:p w14:paraId="01159C6A" w14:textId="41703BD6" w:rsidR="008025DF" w:rsidRPr="00051B0C" w:rsidRDefault="008025DF" w:rsidP="000B2E26">
      <w:pPr>
        <w:pStyle w:val="CETReferencetext"/>
        <w:rPr>
          <w:color w:val="000000" w:themeColor="text1"/>
        </w:rPr>
      </w:pPr>
      <w:r w:rsidRPr="00051B0C">
        <w:rPr>
          <w:color w:val="000000" w:themeColor="text1"/>
        </w:rPr>
        <w:t xml:space="preserve">Chou, R., Dana, T., Buckley, D.I., </w:t>
      </w:r>
      <w:proofErr w:type="spellStart"/>
      <w:r w:rsidRPr="00051B0C">
        <w:rPr>
          <w:color w:val="000000" w:themeColor="text1"/>
        </w:rPr>
        <w:t>Selph</w:t>
      </w:r>
      <w:proofErr w:type="spellEnd"/>
      <w:r w:rsidRPr="00051B0C">
        <w:rPr>
          <w:color w:val="000000" w:themeColor="text1"/>
        </w:rPr>
        <w:t xml:space="preserve">, S., Fu, R., Totten, A.M., 2020, Epidemiology of and risk factors for coronavirus infection in health care workers: A living rapid review. </w:t>
      </w:r>
      <w:r w:rsidRPr="00B23D6B">
        <w:rPr>
          <w:i/>
          <w:color w:val="000000" w:themeColor="text1"/>
        </w:rPr>
        <w:t>Ann Intern Med</w:t>
      </w:r>
      <w:r w:rsidR="00341645">
        <w:rPr>
          <w:color w:val="000000" w:themeColor="text1"/>
        </w:rPr>
        <w:t>,</w:t>
      </w:r>
      <w:r w:rsidRPr="00051B0C">
        <w:rPr>
          <w:color w:val="000000" w:themeColor="text1"/>
        </w:rPr>
        <w:t xml:space="preserve"> 173</w:t>
      </w:r>
      <w:r w:rsidR="00341645">
        <w:rPr>
          <w:color w:val="000000" w:themeColor="text1"/>
        </w:rPr>
        <w:t>,</w:t>
      </w:r>
      <w:r w:rsidRPr="00051B0C">
        <w:rPr>
          <w:color w:val="000000" w:themeColor="text1"/>
        </w:rPr>
        <w:t xml:space="preserve"> 120–36.</w:t>
      </w:r>
    </w:p>
    <w:p w14:paraId="351E3300" w14:textId="73F75EC6" w:rsidR="008025DF" w:rsidRPr="00051B0C" w:rsidRDefault="008025DF" w:rsidP="000B2E26">
      <w:pPr>
        <w:pStyle w:val="CETReferencetext"/>
        <w:rPr>
          <w:color w:val="000000" w:themeColor="text1"/>
        </w:rPr>
      </w:pPr>
      <w:proofErr w:type="spellStart"/>
      <w:r w:rsidRPr="00051B0C">
        <w:rPr>
          <w:color w:val="000000" w:themeColor="text1"/>
        </w:rPr>
        <w:t>Elbay</w:t>
      </w:r>
      <w:proofErr w:type="spellEnd"/>
      <w:r w:rsidRPr="00051B0C">
        <w:rPr>
          <w:color w:val="000000" w:themeColor="text1"/>
        </w:rPr>
        <w:t xml:space="preserve">, R.Y., </w:t>
      </w:r>
      <w:proofErr w:type="spellStart"/>
      <w:r w:rsidRPr="00051B0C">
        <w:rPr>
          <w:color w:val="000000" w:themeColor="text1"/>
        </w:rPr>
        <w:t>Kurtulmuş</w:t>
      </w:r>
      <w:proofErr w:type="spellEnd"/>
      <w:r w:rsidRPr="00051B0C">
        <w:rPr>
          <w:color w:val="000000" w:themeColor="text1"/>
        </w:rPr>
        <w:t xml:space="preserve">, A., </w:t>
      </w:r>
      <w:proofErr w:type="spellStart"/>
      <w:r w:rsidRPr="00051B0C">
        <w:rPr>
          <w:color w:val="000000" w:themeColor="text1"/>
        </w:rPr>
        <w:t>Arpacıoğlu</w:t>
      </w:r>
      <w:proofErr w:type="spellEnd"/>
      <w:r w:rsidRPr="00051B0C">
        <w:rPr>
          <w:color w:val="000000" w:themeColor="text1"/>
        </w:rPr>
        <w:t xml:space="preserve">, S., </w:t>
      </w:r>
      <w:proofErr w:type="spellStart"/>
      <w:r w:rsidRPr="00051B0C">
        <w:rPr>
          <w:color w:val="000000" w:themeColor="text1"/>
        </w:rPr>
        <w:t>Karadere</w:t>
      </w:r>
      <w:proofErr w:type="spellEnd"/>
      <w:r w:rsidRPr="00051B0C">
        <w:rPr>
          <w:color w:val="000000" w:themeColor="text1"/>
        </w:rPr>
        <w:t>, E.,</w:t>
      </w:r>
      <w:r w:rsidR="00A05053" w:rsidRPr="00051B0C">
        <w:rPr>
          <w:color w:val="000000" w:themeColor="text1"/>
        </w:rPr>
        <w:t xml:space="preserve"> 2020,</w:t>
      </w:r>
      <w:r w:rsidRPr="00051B0C">
        <w:rPr>
          <w:color w:val="000000" w:themeColor="text1"/>
        </w:rPr>
        <w:t xml:space="preserve"> Depression, anxiety, stress levels of physicians and associated factors in Covid-19 pandemics. </w:t>
      </w:r>
      <w:r w:rsidRPr="00B23D6B">
        <w:rPr>
          <w:i/>
          <w:color w:val="000000" w:themeColor="text1"/>
        </w:rPr>
        <w:t>Psychiatry Res</w:t>
      </w:r>
      <w:r w:rsidR="00A05053" w:rsidRPr="00051B0C">
        <w:rPr>
          <w:color w:val="000000" w:themeColor="text1"/>
        </w:rPr>
        <w:t xml:space="preserve">, </w:t>
      </w:r>
      <w:r w:rsidRPr="00051B0C">
        <w:rPr>
          <w:color w:val="000000" w:themeColor="text1"/>
        </w:rPr>
        <w:t>290</w:t>
      </w:r>
      <w:r w:rsidR="00A05053" w:rsidRPr="00051B0C">
        <w:rPr>
          <w:color w:val="000000" w:themeColor="text1"/>
        </w:rPr>
        <w:t xml:space="preserve">, </w:t>
      </w:r>
      <w:r w:rsidR="00341645">
        <w:rPr>
          <w:color w:val="000000" w:themeColor="text1"/>
        </w:rPr>
        <w:t>1</w:t>
      </w:r>
      <w:r w:rsidRPr="00051B0C">
        <w:rPr>
          <w:color w:val="000000" w:themeColor="text1"/>
        </w:rPr>
        <w:t>13</w:t>
      </w:r>
      <w:r w:rsidR="00A05053" w:rsidRPr="00051B0C">
        <w:rPr>
          <w:color w:val="000000" w:themeColor="text1"/>
        </w:rPr>
        <w:t>-</w:t>
      </w:r>
      <w:r w:rsidRPr="00051B0C">
        <w:rPr>
          <w:color w:val="000000" w:themeColor="text1"/>
        </w:rPr>
        <w:t>130.</w:t>
      </w:r>
    </w:p>
    <w:p w14:paraId="62974C15" w14:textId="62254A67" w:rsidR="008025DF" w:rsidRPr="00051B0C" w:rsidRDefault="008025DF" w:rsidP="000B2E26">
      <w:pPr>
        <w:pStyle w:val="CETReferencetext"/>
        <w:rPr>
          <w:color w:val="000000" w:themeColor="text1"/>
        </w:rPr>
      </w:pPr>
      <w:r w:rsidRPr="00051B0C">
        <w:rPr>
          <w:color w:val="000000" w:themeColor="text1"/>
        </w:rPr>
        <w:t>Goel, K</w:t>
      </w:r>
      <w:r w:rsidR="000C5175" w:rsidRPr="00051B0C">
        <w:rPr>
          <w:color w:val="000000" w:themeColor="text1"/>
        </w:rPr>
        <w:t>.,</w:t>
      </w:r>
      <w:r w:rsidRPr="00051B0C">
        <w:rPr>
          <w:color w:val="000000" w:themeColor="text1"/>
        </w:rPr>
        <w:t xml:space="preserve"> Singh, G</w:t>
      </w:r>
      <w:r w:rsidR="000C5175" w:rsidRPr="00051B0C">
        <w:rPr>
          <w:color w:val="000000" w:themeColor="text1"/>
        </w:rPr>
        <w:t>.,</w:t>
      </w:r>
      <w:r w:rsidRPr="00051B0C">
        <w:rPr>
          <w:color w:val="000000" w:themeColor="text1"/>
        </w:rPr>
        <w:t xml:space="preserve"> Arora, Y</w:t>
      </w:r>
      <w:r w:rsidR="000C5175" w:rsidRPr="00051B0C">
        <w:rPr>
          <w:color w:val="000000" w:themeColor="text1"/>
        </w:rPr>
        <w:t xml:space="preserve">., </w:t>
      </w:r>
      <w:r w:rsidRPr="00051B0C">
        <w:rPr>
          <w:color w:val="000000" w:themeColor="text1"/>
        </w:rPr>
        <w:t>Goel, P</w:t>
      </w:r>
      <w:r w:rsidR="000C5175" w:rsidRPr="00051B0C">
        <w:rPr>
          <w:color w:val="000000" w:themeColor="text1"/>
        </w:rPr>
        <w:t>.,</w:t>
      </w:r>
      <w:r w:rsidRPr="00051B0C">
        <w:rPr>
          <w:color w:val="000000" w:themeColor="text1"/>
        </w:rPr>
        <w:t xml:space="preserve"> Aggarwal, A</w:t>
      </w:r>
      <w:r w:rsidR="000C5175" w:rsidRPr="00051B0C">
        <w:rPr>
          <w:color w:val="000000" w:themeColor="text1"/>
        </w:rPr>
        <w:t>.,</w:t>
      </w:r>
      <w:r w:rsidRPr="00051B0C">
        <w:rPr>
          <w:color w:val="000000" w:themeColor="text1"/>
        </w:rPr>
        <w:t xml:space="preserve"> Kumar</w:t>
      </w:r>
      <w:r w:rsidR="000C5175" w:rsidRPr="00051B0C">
        <w:rPr>
          <w:color w:val="000000" w:themeColor="text1"/>
        </w:rPr>
        <w:t>, S.,</w:t>
      </w:r>
      <w:r w:rsidRPr="00051B0C">
        <w:rPr>
          <w:color w:val="000000" w:themeColor="text1"/>
        </w:rPr>
        <w:t xml:space="preserve"> Kumar, K</w:t>
      </w:r>
      <w:r w:rsidR="000C5175" w:rsidRPr="00051B0C">
        <w:rPr>
          <w:color w:val="000000" w:themeColor="text1"/>
        </w:rPr>
        <w:t>.,</w:t>
      </w:r>
      <w:r w:rsidRPr="00051B0C">
        <w:rPr>
          <w:color w:val="000000" w:themeColor="text1"/>
        </w:rPr>
        <w:t xml:space="preserve"> </w:t>
      </w:r>
      <w:proofErr w:type="spellStart"/>
      <w:r w:rsidRPr="00051B0C">
        <w:rPr>
          <w:color w:val="000000" w:themeColor="text1"/>
        </w:rPr>
        <w:t>Bhogal</w:t>
      </w:r>
      <w:proofErr w:type="spellEnd"/>
      <w:r w:rsidRPr="00051B0C">
        <w:rPr>
          <w:color w:val="000000" w:themeColor="text1"/>
        </w:rPr>
        <w:t>, R</w:t>
      </w:r>
      <w:r w:rsidR="000C5175" w:rsidRPr="00051B0C">
        <w:rPr>
          <w:color w:val="000000" w:themeColor="text1"/>
        </w:rPr>
        <w:t>.S.,</w:t>
      </w:r>
      <w:r w:rsidRPr="00051B0C">
        <w:rPr>
          <w:color w:val="000000" w:themeColor="text1"/>
        </w:rPr>
        <w:t xml:space="preserve"> Thakur, J</w:t>
      </w:r>
      <w:r w:rsidR="000C5175" w:rsidRPr="00051B0C">
        <w:rPr>
          <w:color w:val="000000" w:themeColor="text1"/>
        </w:rPr>
        <w:t>.</w:t>
      </w:r>
      <w:r w:rsidRPr="00051B0C">
        <w:rPr>
          <w:color w:val="000000" w:themeColor="text1"/>
        </w:rPr>
        <w:t>S</w:t>
      </w:r>
      <w:r w:rsidR="000C5175" w:rsidRPr="00051B0C">
        <w:rPr>
          <w:color w:val="000000" w:themeColor="text1"/>
        </w:rPr>
        <w:t>.,</w:t>
      </w:r>
      <w:r w:rsidRPr="00051B0C">
        <w:rPr>
          <w:color w:val="000000" w:themeColor="text1"/>
        </w:rPr>
        <w:t xml:space="preserve"> Singh, A</w:t>
      </w:r>
      <w:r w:rsidR="000C5175" w:rsidRPr="00051B0C">
        <w:rPr>
          <w:color w:val="000000" w:themeColor="text1"/>
        </w:rPr>
        <w:t>.,</w:t>
      </w:r>
      <w:r w:rsidRPr="00051B0C">
        <w:rPr>
          <w:color w:val="000000" w:themeColor="text1"/>
        </w:rPr>
        <w:t xml:space="preserve"> Sharma, N</w:t>
      </w:r>
      <w:r w:rsidR="000C5175" w:rsidRPr="00051B0C">
        <w:rPr>
          <w:color w:val="000000" w:themeColor="text1"/>
        </w:rPr>
        <w:t>., 2023,</w:t>
      </w:r>
      <w:r w:rsidRPr="00051B0C">
        <w:rPr>
          <w:color w:val="000000" w:themeColor="text1"/>
        </w:rPr>
        <w:t xml:space="preserve"> Psychological distress and related factors regarding COVID-19 among the ancillary hospital staff: A cross-sectional study. </w:t>
      </w:r>
      <w:r w:rsidRPr="00B23D6B">
        <w:rPr>
          <w:i/>
          <w:color w:val="000000" w:themeColor="text1"/>
        </w:rPr>
        <w:t>Journal of Family Medicine and Primary Care</w:t>
      </w:r>
      <w:r w:rsidR="00B23D6B">
        <w:rPr>
          <w:i/>
          <w:color w:val="000000" w:themeColor="text1"/>
        </w:rPr>
        <w:t>,</w:t>
      </w:r>
      <w:r w:rsidRPr="00051B0C">
        <w:rPr>
          <w:color w:val="000000" w:themeColor="text1"/>
        </w:rPr>
        <w:t xml:space="preserve"> 12(4)</w:t>
      </w:r>
      <w:r w:rsidR="000C5175" w:rsidRPr="00051B0C">
        <w:rPr>
          <w:color w:val="000000" w:themeColor="text1"/>
        </w:rPr>
        <w:t xml:space="preserve">, </w:t>
      </w:r>
      <w:r w:rsidRPr="00051B0C">
        <w:rPr>
          <w:color w:val="000000" w:themeColor="text1"/>
        </w:rPr>
        <w:t>694-700</w:t>
      </w:r>
      <w:r w:rsidR="000C5175" w:rsidRPr="00051B0C">
        <w:rPr>
          <w:color w:val="000000" w:themeColor="text1"/>
        </w:rPr>
        <w:t>.</w:t>
      </w:r>
    </w:p>
    <w:p w14:paraId="614EB91A" w14:textId="77777777" w:rsidR="008025DF" w:rsidRPr="00051B0C" w:rsidRDefault="008025DF" w:rsidP="00600535">
      <w:pPr>
        <w:pStyle w:val="CETReferencetext"/>
        <w:rPr>
          <w:color w:val="000000" w:themeColor="text1"/>
        </w:rPr>
      </w:pPr>
      <w:r w:rsidRPr="00051B0C">
        <w:rPr>
          <w:color w:val="000000" w:themeColor="text1"/>
        </w:rPr>
        <w:t xml:space="preserve">Grenčíková, A., </w:t>
      </w:r>
      <w:proofErr w:type="spellStart"/>
      <w:r w:rsidRPr="00051B0C">
        <w:rPr>
          <w:color w:val="000000" w:themeColor="text1"/>
        </w:rPr>
        <w:t>Habánik</w:t>
      </w:r>
      <w:proofErr w:type="spellEnd"/>
      <w:r w:rsidRPr="00051B0C">
        <w:rPr>
          <w:color w:val="000000" w:themeColor="text1"/>
        </w:rPr>
        <w:t xml:space="preserve">, J., </w:t>
      </w:r>
      <w:proofErr w:type="spellStart"/>
      <w:r w:rsidRPr="00051B0C">
        <w:rPr>
          <w:color w:val="000000" w:themeColor="text1"/>
        </w:rPr>
        <w:t>Španková</w:t>
      </w:r>
      <w:proofErr w:type="spellEnd"/>
      <w:r w:rsidRPr="00051B0C">
        <w:rPr>
          <w:color w:val="000000" w:themeColor="text1"/>
        </w:rPr>
        <w:t xml:space="preserve">, J., </w:t>
      </w:r>
      <w:proofErr w:type="spellStart"/>
      <w:r w:rsidRPr="00051B0C">
        <w:rPr>
          <w:color w:val="000000" w:themeColor="text1"/>
        </w:rPr>
        <w:t>Húževka</w:t>
      </w:r>
      <w:proofErr w:type="spellEnd"/>
      <w:r w:rsidRPr="00051B0C">
        <w:rPr>
          <w:color w:val="000000" w:themeColor="text1"/>
        </w:rPr>
        <w:t xml:space="preserve">, M., </w:t>
      </w:r>
      <w:proofErr w:type="spellStart"/>
      <w:r w:rsidRPr="00051B0C">
        <w:rPr>
          <w:color w:val="000000" w:themeColor="text1"/>
        </w:rPr>
        <w:t>Šrámka</w:t>
      </w:r>
      <w:proofErr w:type="spellEnd"/>
      <w:r w:rsidRPr="00051B0C">
        <w:rPr>
          <w:color w:val="000000" w:themeColor="text1"/>
        </w:rPr>
        <w:t xml:space="preserve">, M., 2022, Current Labour Market Challenges in the Light of Future Economic and Demographic Developments, </w:t>
      </w:r>
      <w:r w:rsidRPr="00924BD0">
        <w:rPr>
          <w:i/>
          <w:color w:val="000000" w:themeColor="text1"/>
        </w:rPr>
        <w:t>European Journal of Interdisciplinary Studies</w:t>
      </w:r>
      <w:r w:rsidRPr="00051B0C">
        <w:rPr>
          <w:color w:val="000000" w:themeColor="text1"/>
        </w:rPr>
        <w:t>, 14 (1), 100-112.</w:t>
      </w:r>
    </w:p>
    <w:p w14:paraId="241FF928" w14:textId="77777777" w:rsidR="008025DF" w:rsidRPr="00051B0C" w:rsidRDefault="008025DF" w:rsidP="003D161D">
      <w:pPr>
        <w:pStyle w:val="CETReferencetext"/>
        <w:rPr>
          <w:color w:val="000000" w:themeColor="text1"/>
        </w:rPr>
      </w:pPr>
      <w:r w:rsidRPr="00051B0C">
        <w:rPr>
          <w:color w:val="000000" w:themeColor="text1"/>
        </w:rPr>
        <w:t xml:space="preserve">Grenčíková, A., </w:t>
      </w:r>
      <w:proofErr w:type="spellStart"/>
      <w:r w:rsidRPr="00051B0C">
        <w:rPr>
          <w:color w:val="000000" w:themeColor="text1"/>
        </w:rPr>
        <w:t>Španková</w:t>
      </w:r>
      <w:proofErr w:type="spellEnd"/>
      <w:r w:rsidRPr="00051B0C">
        <w:rPr>
          <w:color w:val="000000" w:themeColor="text1"/>
        </w:rPr>
        <w:t xml:space="preserve">, J., </w:t>
      </w:r>
      <w:proofErr w:type="spellStart"/>
      <w:r w:rsidRPr="00051B0C">
        <w:rPr>
          <w:color w:val="000000" w:themeColor="text1"/>
        </w:rPr>
        <w:t>Rigó</w:t>
      </w:r>
      <w:proofErr w:type="spellEnd"/>
      <w:r w:rsidRPr="00051B0C">
        <w:rPr>
          <w:color w:val="000000" w:themeColor="text1"/>
        </w:rPr>
        <w:t xml:space="preserve">, R., </w:t>
      </w:r>
      <w:proofErr w:type="spellStart"/>
      <w:r w:rsidRPr="00051B0C">
        <w:rPr>
          <w:color w:val="000000" w:themeColor="text1"/>
        </w:rPr>
        <w:t>Gullerová</w:t>
      </w:r>
      <w:proofErr w:type="spellEnd"/>
      <w:r w:rsidRPr="00051B0C">
        <w:rPr>
          <w:color w:val="000000" w:themeColor="text1"/>
        </w:rPr>
        <w:t xml:space="preserve">, M., 2023, Population aging in terms of generational cohorts in the context of </w:t>
      </w:r>
      <w:proofErr w:type="spellStart"/>
      <w:r w:rsidRPr="00051B0C">
        <w:rPr>
          <w:color w:val="000000" w:themeColor="text1"/>
        </w:rPr>
        <w:t>labor</w:t>
      </w:r>
      <w:proofErr w:type="spellEnd"/>
      <w:r w:rsidRPr="00051B0C">
        <w:rPr>
          <w:color w:val="000000" w:themeColor="text1"/>
        </w:rPr>
        <w:t xml:space="preserve"> productivity in the Slovak Republic. </w:t>
      </w:r>
      <w:r w:rsidRPr="00924BD0">
        <w:rPr>
          <w:i/>
          <w:color w:val="000000" w:themeColor="text1"/>
        </w:rPr>
        <w:t>Problems and Perspectives in Management</w:t>
      </w:r>
      <w:r w:rsidRPr="00051B0C">
        <w:rPr>
          <w:color w:val="000000" w:themeColor="text1"/>
        </w:rPr>
        <w:t>, 21(4), 577-590.</w:t>
      </w:r>
    </w:p>
    <w:p w14:paraId="79A63DC8" w14:textId="6A591817" w:rsidR="008025DF" w:rsidRPr="003C56EE" w:rsidRDefault="008025DF" w:rsidP="00B62FC9">
      <w:pPr>
        <w:pStyle w:val="CETReferencetext"/>
        <w:rPr>
          <w:color w:val="000000" w:themeColor="text1"/>
        </w:rPr>
      </w:pPr>
      <w:r w:rsidRPr="003C56EE">
        <w:rPr>
          <w:color w:val="000000" w:themeColor="text1"/>
        </w:rPr>
        <w:t>Hoke, E., Taraba, P., Peterek, K., 2020, Human resources management in the corporate crisis. Chemical</w:t>
      </w:r>
      <w:r w:rsidRPr="00F75B05">
        <w:rPr>
          <w:i/>
          <w:strike/>
          <w:color w:val="000000" w:themeColor="text1"/>
        </w:rPr>
        <w:t xml:space="preserve"> </w:t>
      </w:r>
      <w:r w:rsidRPr="003C56EE">
        <w:rPr>
          <w:color w:val="000000" w:themeColor="text1"/>
        </w:rPr>
        <w:t>Engineering Transactions, 82, 133-138.</w:t>
      </w:r>
    </w:p>
    <w:p w14:paraId="799D2215" w14:textId="4A68A53D" w:rsidR="008025DF" w:rsidRPr="00051B0C" w:rsidRDefault="008025DF" w:rsidP="00E65B91">
      <w:pPr>
        <w:pStyle w:val="CETReferencetext"/>
        <w:rPr>
          <w:color w:val="000000" w:themeColor="text1"/>
        </w:rPr>
      </w:pPr>
      <w:proofErr w:type="spellStart"/>
      <w:r w:rsidRPr="00051B0C">
        <w:rPr>
          <w:color w:val="000000" w:themeColor="text1"/>
        </w:rPr>
        <w:t>Jakubíková</w:t>
      </w:r>
      <w:proofErr w:type="spellEnd"/>
      <w:r w:rsidRPr="00051B0C">
        <w:rPr>
          <w:color w:val="000000" w:themeColor="text1"/>
        </w:rPr>
        <w:t xml:space="preserve">, D., </w:t>
      </w:r>
      <w:proofErr w:type="spellStart"/>
      <w:r w:rsidRPr="00051B0C">
        <w:rPr>
          <w:color w:val="000000" w:themeColor="text1"/>
        </w:rPr>
        <w:t>Vildová</w:t>
      </w:r>
      <w:proofErr w:type="spellEnd"/>
      <w:r w:rsidRPr="00051B0C">
        <w:rPr>
          <w:color w:val="000000" w:themeColor="text1"/>
        </w:rPr>
        <w:t xml:space="preserve">, E., Janeček, P., </w:t>
      </w:r>
      <w:proofErr w:type="spellStart"/>
      <w:r w:rsidRPr="00051B0C">
        <w:rPr>
          <w:color w:val="000000" w:themeColor="text1"/>
        </w:rPr>
        <w:t>Tluchoř</w:t>
      </w:r>
      <w:proofErr w:type="spellEnd"/>
      <w:r w:rsidRPr="00051B0C">
        <w:rPr>
          <w:color w:val="000000" w:themeColor="text1"/>
        </w:rPr>
        <w:t>, J., 2019</w:t>
      </w:r>
      <w:r w:rsidR="000C5175" w:rsidRPr="00051B0C">
        <w:rPr>
          <w:color w:val="000000" w:themeColor="text1"/>
        </w:rPr>
        <w:t>,</w:t>
      </w:r>
      <w:r w:rsidRPr="00051B0C">
        <w:rPr>
          <w:color w:val="000000" w:themeColor="text1"/>
        </w:rPr>
        <w:t xml:space="preserve"> </w:t>
      </w:r>
      <w:r w:rsidR="00924BD0" w:rsidRPr="00924BD0">
        <w:rPr>
          <w:i/>
          <w:color w:val="000000" w:themeColor="text1"/>
        </w:rPr>
        <w:t>Spa</w:t>
      </w:r>
      <w:r w:rsidRPr="00924BD0">
        <w:rPr>
          <w:i/>
          <w:color w:val="000000" w:themeColor="text1"/>
        </w:rPr>
        <w:t xml:space="preserve">: </w:t>
      </w:r>
      <w:r w:rsidR="00924BD0" w:rsidRPr="00924BD0">
        <w:rPr>
          <w:i/>
          <w:color w:val="000000" w:themeColor="text1"/>
        </w:rPr>
        <w:t>M</w:t>
      </w:r>
      <w:r w:rsidRPr="00924BD0">
        <w:rPr>
          <w:i/>
          <w:color w:val="000000" w:themeColor="text1"/>
        </w:rPr>
        <w:t>anagement a</w:t>
      </w:r>
      <w:r w:rsidR="00924BD0" w:rsidRPr="00924BD0">
        <w:rPr>
          <w:i/>
          <w:color w:val="000000" w:themeColor="text1"/>
        </w:rPr>
        <w:t>nd</w:t>
      </w:r>
      <w:r w:rsidRPr="00924BD0">
        <w:rPr>
          <w:i/>
          <w:color w:val="000000" w:themeColor="text1"/>
        </w:rPr>
        <w:t xml:space="preserve"> </w:t>
      </w:r>
      <w:r w:rsidR="00924BD0" w:rsidRPr="00924BD0">
        <w:rPr>
          <w:i/>
          <w:color w:val="000000" w:themeColor="text1"/>
        </w:rPr>
        <w:t>M</w:t>
      </w:r>
      <w:r w:rsidRPr="00924BD0">
        <w:rPr>
          <w:i/>
          <w:color w:val="000000" w:themeColor="text1"/>
        </w:rPr>
        <w:t>arketing</w:t>
      </w:r>
      <w:r w:rsidRPr="00051B0C">
        <w:rPr>
          <w:color w:val="000000" w:themeColor="text1"/>
        </w:rPr>
        <w:t xml:space="preserve">. </w:t>
      </w:r>
      <w:proofErr w:type="gramStart"/>
      <w:r w:rsidR="00924BD0">
        <w:rPr>
          <w:color w:val="000000" w:themeColor="text1"/>
        </w:rPr>
        <w:t>Czech republic</w:t>
      </w:r>
      <w:proofErr w:type="gramEnd"/>
      <w:r w:rsidR="00924BD0">
        <w:rPr>
          <w:color w:val="000000" w:themeColor="text1"/>
        </w:rPr>
        <w:t xml:space="preserve">:  </w:t>
      </w:r>
      <w:r w:rsidRPr="00051B0C">
        <w:rPr>
          <w:color w:val="000000" w:themeColor="text1"/>
        </w:rPr>
        <w:t>Pra</w:t>
      </w:r>
      <w:r w:rsidR="00924BD0">
        <w:rPr>
          <w:color w:val="000000" w:themeColor="text1"/>
        </w:rPr>
        <w:t>gue,</w:t>
      </w:r>
      <w:r w:rsidRPr="00051B0C">
        <w:rPr>
          <w:color w:val="000000" w:themeColor="text1"/>
        </w:rPr>
        <w:t xml:space="preserve"> </w:t>
      </w:r>
      <w:proofErr w:type="spellStart"/>
      <w:r w:rsidRPr="00051B0C">
        <w:rPr>
          <w:color w:val="000000" w:themeColor="text1"/>
        </w:rPr>
        <w:t>Grada</w:t>
      </w:r>
      <w:proofErr w:type="spellEnd"/>
      <w:r w:rsidRPr="00051B0C">
        <w:rPr>
          <w:color w:val="000000" w:themeColor="text1"/>
        </w:rPr>
        <w:t xml:space="preserve"> Publishing. </w:t>
      </w:r>
    </w:p>
    <w:p w14:paraId="1C31665C" w14:textId="77777777" w:rsidR="008025DF" w:rsidRPr="00051B0C" w:rsidRDefault="008025DF" w:rsidP="00E65B91">
      <w:pPr>
        <w:pStyle w:val="CETReferencetext"/>
        <w:rPr>
          <w:color w:val="000000" w:themeColor="text1"/>
        </w:rPr>
      </w:pPr>
      <w:r w:rsidRPr="00051B0C">
        <w:rPr>
          <w:color w:val="000000" w:themeColor="text1"/>
        </w:rPr>
        <w:t xml:space="preserve">Mohanty, A., </w:t>
      </w:r>
      <w:proofErr w:type="spellStart"/>
      <w:r w:rsidRPr="00051B0C">
        <w:rPr>
          <w:color w:val="000000" w:themeColor="text1"/>
        </w:rPr>
        <w:t>Kabi</w:t>
      </w:r>
      <w:proofErr w:type="spellEnd"/>
      <w:r w:rsidRPr="00051B0C">
        <w:rPr>
          <w:color w:val="000000" w:themeColor="text1"/>
        </w:rPr>
        <w:t xml:space="preserve">, A., Mohanty, AP., 2019, Health problems in healthcare workers: A review. </w:t>
      </w:r>
      <w:r w:rsidRPr="00924BD0">
        <w:rPr>
          <w:i/>
          <w:color w:val="000000" w:themeColor="text1"/>
        </w:rPr>
        <w:t>J Family Med Prim</w:t>
      </w:r>
      <w:r w:rsidRPr="00051B0C">
        <w:rPr>
          <w:color w:val="000000" w:themeColor="text1"/>
        </w:rPr>
        <w:t xml:space="preserve"> Care. 8 (8), 2568-2572.</w:t>
      </w:r>
    </w:p>
    <w:p w14:paraId="2E308C19" w14:textId="5357B8F6" w:rsidR="008025DF" w:rsidRPr="00051B0C" w:rsidRDefault="008025DF" w:rsidP="00E65B91">
      <w:pPr>
        <w:pStyle w:val="CETReferencetext"/>
        <w:rPr>
          <w:color w:val="000000" w:themeColor="text1"/>
        </w:rPr>
      </w:pPr>
      <w:r w:rsidRPr="00051B0C">
        <w:rPr>
          <w:color w:val="000000" w:themeColor="text1"/>
        </w:rPr>
        <w:t>Mondal, R.</w:t>
      </w:r>
      <w:r w:rsidR="00E879F2" w:rsidRPr="00051B0C">
        <w:rPr>
          <w:color w:val="000000" w:themeColor="text1"/>
        </w:rPr>
        <w:t xml:space="preserve"> </w:t>
      </w:r>
      <w:r w:rsidR="00E879F2" w:rsidRPr="00051B0C">
        <w:rPr>
          <w:rFonts w:ascii="Calibri" w:hAnsi="Calibri"/>
          <w:color w:val="000000" w:themeColor="text1"/>
        </w:rPr>
        <w:t>&amp;</w:t>
      </w:r>
      <w:r w:rsidRPr="00051B0C">
        <w:rPr>
          <w:color w:val="000000" w:themeColor="text1"/>
        </w:rPr>
        <w:t xml:space="preserve"> Ray, PK., 2023, A framework for occupational health risk assessment of nursing personnel in Indian healthcare system, </w:t>
      </w:r>
      <w:r w:rsidRPr="00924BD0">
        <w:rPr>
          <w:i/>
          <w:color w:val="000000" w:themeColor="text1"/>
        </w:rPr>
        <w:t>IISE Transactions on Healthcare Systems Engineering</w:t>
      </w:r>
      <w:r w:rsidRPr="00051B0C">
        <w:rPr>
          <w:color w:val="000000" w:themeColor="text1"/>
        </w:rPr>
        <w:t>.</w:t>
      </w:r>
    </w:p>
    <w:p w14:paraId="1C84E200" w14:textId="77777777" w:rsidR="00BE1331" w:rsidRDefault="008025DF" w:rsidP="00BE1331">
      <w:pPr>
        <w:pStyle w:val="CETReferencetext"/>
        <w:rPr>
          <w:color w:val="000000" w:themeColor="text1"/>
        </w:rPr>
      </w:pPr>
      <w:proofErr w:type="spellStart"/>
      <w:r w:rsidRPr="00051B0C">
        <w:rPr>
          <w:color w:val="000000" w:themeColor="text1"/>
        </w:rPr>
        <w:t>Řezanková</w:t>
      </w:r>
      <w:proofErr w:type="spellEnd"/>
      <w:r w:rsidRPr="00051B0C">
        <w:rPr>
          <w:color w:val="000000" w:themeColor="text1"/>
        </w:rPr>
        <w:t>, H.</w:t>
      </w:r>
      <w:r w:rsidR="000C5175" w:rsidRPr="00051B0C">
        <w:rPr>
          <w:color w:val="000000" w:themeColor="text1"/>
        </w:rPr>
        <w:t>,</w:t>
      </w:r>
      <w:r w:rsidRPr="00051B0C">
        <w:rPr>
          <w:color w:val="000000" w:themeColor="text1"/>
        </w:rPr>
        <w:t xml:space="preserve"> 2007</w:t>
      </w:r>
      <w:r w:rsidR="000C5175" w:rsidRPr="00051B0C">
        <w:rPr>
          <w:color w:val="000000" w:themeColor="text1"/>
        </w:rPr>
        <w:t>,</w:t>
      </w:r>
      <w:r w:rsidRPr="00051B0C">
        <w:rPr>
          <w:color w:val="000000" w:themeColor="text1"/>
        </w:rPr>
        <w:t xml:space="preserve"> </w:t>
      </w:r>
      <w:r w:rsidR="000C5175" w:rsidRPr="00051B0C">
        <w:rPr>
          <w:color w:val="000000" w:themeColor="text1"/>
        </w:rPr>
        <w:t>Analysis of data from questionnaire surveys</w:t>
      </w:r>
      <w:r w:rsidR="00CC3657" w:rsidRPr="0055188D">
        <w:rPr>
          <w:color w:val="000000" w:themeColor="text1"/>
        </w:rPr>
        <w:t>.</w:t>
      </w:r>
      <w:r w:rsidRPr="00051B0C">
        <w:rPr>
          <w:color w:val="000000" w:themeColor="text1"/>
        </w:rPr>
        <w:t xml:space="preserve"> Praha: Professional Publishing.</w:t>
      </w:r>
    </w:p>
    <w:p w14:paraId="21FAA557" w14:textId="1D452A2F" w:rsidR="008025DF" w:rsidRPr="00051B0C" w:rsidRDefault="008025DF" w:rsidP="00BE1331">
      <w:pPr>
        <w:pStyle w:val="CETReferencetext"/>
        <w:rPr>
          <w:color w:val="000000" w:themeColor="text1"/>
        </w:rPr>
      </w:pPr>
      <w:r w:rsidRPr="00051B0C">
        <w:rPr>
          <w:color w:val="000000" w:themeColor="text1"/>
        </w:rPr>
        <w:t xml:space="preserve">Tan, Y., Liu, X., Sun, H., Zeng, C., 2022, Population ageing, </w:t>
      </w:r>
      <w:proofErr w:type="spellStart"/>
      <w:r w:rsidR="0055188D">
        <w:rPr>
          <w:color w:val="000000" w:themeColor="text1"/>
        </w:rPr>
        <w:t>L</w:t>
      </w:r>
      <w:r w:rsidRPr="00051B0C">
        <w:rPr>
          <w:color w:val="000000" w:themeColor="text1"/>
        </w:rPr>
        <w:t>abor</w:t>
      </w:r>
      <w:proofErr w:type="spellEnd"/>
      <w:r w:rsidRPr="00051B0C">
        <w:rPr>
          <w:color w:val="000000" w:themeColor="text1"/>
        </w:rPr>
        <w:t xml:space="preserve"> market rigidity and corporate innovation: Evidence from China. </w:t>
      </w:r>
      <w:r w:rsidRPr="00924BD0">
        <w:rPr>
          <w:i/>
          <w:color w:val="000000" w:themeColor="text1"/>
        </w:rPr>
        <w:t>Research Policy</w:t>
      </w:r>
      <w:r w:rsidRPr="00051B0C">
        <w:rPr>
          <w:color w:val="000000" w:themeColor="text1"/>
        </w:rPr>
        <w:t>, 51(2)</w:t>
      </w:r>
      <w:r w:rsidR="00B23D6B">
        <w:rPr>
          <w:color w:val="000000" w:themeColor="text1"/>
        </w:rPr>
        <w:t>.</w:t>
      </w:r>
    </w:p>
    <w:sectPr w:rsidR="008025DF" w:rsidRPr="00051B0C" w:rsidSect="00EB13E1">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2773D" w14:textId="77777777" w:rsidR="00EB13E1" w:rsidRDefault="00EB13E1" w:rsidP="004F5E36">
      <w:r>
        <w:separator/>
      </w:r>
    </w:p>
  </w:endnote>
  <w:endnote w:type="continuationSeparator" w:id="0">
    <w:p w14:paraId="39C2EC5D" w14:textId="77777777" w:rsidR="00EB13E1" w:rsidRDefault="00EB13E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FAE2C" w14:textId="77777777" w:rsidR="00EB13E1" w:rsidRDefault="00EB13E1" w:rsidP="004F5E36">
      <w:r>
        <w:separator/>
      </w:r>
    </w:p>
  </w:footnote>
  <w:footnote w:type="continuationSeparator" w:id="0">
    <w:p w14:paraId="7307736F" w14:textId="77777777" w:rsidR="00EB13E1" w:rsidRDefault="00EB13E1"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Jednoduchtabulk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644"/>
    <w:rsid w:val="0001125D"/>
    <w:rsid w:val="000117CB"/>
    <w:rsid w:val="00011EEE"/>
    <w:rsid w:val="00014B79"/>
    <w:rsid w:val="0003148D"/>
    <w:rsid w:val="00031EEC"/>
    <w:rsid w:val="00041AA0"/>
    <w:rsid w:val="00051566"/>
    <w:rsid w:val="00051B0C"/>
    <w:rsid w:val="00062A9A"/>
    <w:rsid w:val="00063AB3"/>
    <w:rsid w:val="00065058"/>
    <w:rsid w:val="000669BB"/>
    <w:rsid w:val="000740DB"/>
    <w:rsid w:val="0007493C"/>
    <w:rsid w:val="000847B8"/>
    <w:rsid w:val="00086C39"/>
    <w:rsid w:val="000909B1"/>
    <w:rsid w:val="000A03B2"/>
    <w:rsid w:val="000A2DE6"/>
    <w:rsid w:val="000B2E26"/>
    <w:rsid w:val="000C18E8"/>
    <w:rsid w:val="000C5175"/>
    <w:rsid w:val="000D0268"/>
    <w:rsid w:val="000D34BE"/>
    <w:rsid w:val="000D74DB"/>
    <w:rsid w:val="000E102F"/>
    <w:rsid w:val="000E36F1"/>
    <w:rsid w:val="000E3A73"/>
    <w:rsid w:val="000E414A"/>
    <w:rsid w:val="000E6B69"/>
    <w:rsid w:val="000E6FA6"/>
    <w:rsid w:val="000F093C"/>
    <w:rsid w:val="000F4B65"/>
    <w:rsid w:val="000F787B"/>
    <w:rsid w:val="00106B28"/>
    <w:rsid w:val="001103A0"/>
    <w:rsid w:val="00111F6E"/>
    <w:rsid w:val="0012091F"/>
    <w:rsid w:val="00122054"/>
    <w:rsid w:val="00126BC2"/>
    <w:rsid w:val="0013002B"/>
    <w:rsid w:val="001308B6"/>
    <w:rsid w:val="0013121F"/>
    <w:rsid w:val="00131FE6"/>
    <w:rsid w:val="0013253E"/>
    <w:rsid w:val="0013263F"/>
    <w:rsid w:val="001331DF"/>
    <w:rsid w:val="00134DE4"/>
    <w:rsid w:val="0014034D"/>
    <w:rsid w:val="00141362"/>
    <w:rsid w:val="00144D16"/>
    <w:rsid w:val="00150E59"/>
    <w:rsid w:val="00152DE3"/>
    <w:rsid w:val="00164CF9"/>
    <w:rsid w:val="001667A6"/>
    <w:rsid w:val="001848DF"/>
    <w:rsid w:val="00184AD6"/>
    <w:rsid w:val="00185049"/>
    <w:rsid w:val="00191482"/>
    <w:rsid w:val="00195D75"/>
    <w:rsid w:val="001A4AF7"/>
    <w:rsid w:val="001B0349"/>
    <w:rsid w:val="001B1E93"/>
    <w:rsid w:val="001B65C1"/>
    <w:rsid w:val="001C684B"/>
    <w:rsid w:val="001D0CFB"/>
    <w:rsid w:val="001D53FC"/>
    <w:rsid w:val="001F347D"/>
    <w:rsid w:val="001F42A5"/>
    <w:rsid w:val="001F7B9D"/>
    <w:rsid w:val="00200816"/>
    <w:rsid w:val="00201C93"/>
    <w:rsid w:val="0020590B"/>
    <w:rsid w:val="00210D27"/>
    <w:rsid w:val="002224B4"/>
    <w:rsid w:val="00236AE0"/>
    <w:rsid w:val="002447EF"/>
    <w:rsid w:val="00251550"/>
    <w:rsid w:val="002515F1"/>
    <w:rsid w:val="00263B05"/>
    <w:rsid w:val="0026787E"/>
    <w:rsid w:val="0027221A"/>
    <w:rsid w:val="00275B61"/>
    <w:rsid w:val="00280FAF"/>
    <w:rsid w:val="00282656"/>
    <w:rsid w:val="00296B83"/>
    <w:rsid w:val="002A169C"/>
    <w:rsid w:val="002A50CB"/>
    <w:rsid w:val="002B4015"/>
    <w:rsid w:val="002B4B4E"/>
    <w:rsid w:val="002B78CE"/>
    <w:rsid w:val="002C1FDC"/>
    <w:rsid w:val="002C2FB6"/>
    <w:rsid w:val="002C6A27"/>
    <w:rsid w:val="002E5FA7"/>
    <w:rsid w:val="002F25CA"/>
    <w:rsid w:val="002F3309"/>
    <w:rsid w:val="002F4E13"/>
    <w:rsid w:val="003008CE"/>
    <w:rsid w:val="003009B7"/>
    <w:rsid w:val="00300E56"/>
    <w:rsid w:val="0030469C"/>
    <w:rsid w:val="00304DCF"/>
    <w:rsid w:val="00315020"/>
    <w:rsid w:val="00321CA6"/>
    <w:rsid w:val="00323763"/>
    <w:rsid w:val="00325E4C"/>
    <w:rsid w:val="00334C09"/>
    <w:rsid w:val="00341645"/>
    <w:rsid w:val="00354E56"/>
    <w:rsid w:val="00357ED6"/>
    <w:rsid w:val="00363A58"/>
    <w:rsid w:val="003723D4"/>
    <w:rsid w:val="00381905"/>
    <w:rsid w:val="00382EEE"/>
    <w:rsid w:val="00384CC8"/>
    <w:rsid w:val="003871FD"/>
    <w:rsid w:val="00393FB9"/>
    <w:rsid w:val="00395DF2"/>
    <w:rsid w:val="003A1E30"/>
    <w:rsid w:val="003A2829"/>
    <w:rsid w:val="003A7D1C"/>
    <w:rsid w:val="003B152E"/>
    <w:rsid w:val="003B304B"/>
    <w:rsid w:val="003B3146"/>
    <w:rsid w:val="003B62C2"/>
    <w:rsid w:val="003C56EE"/>
    <w:rsid w:val="003C7CF6"/>
    <w:rsid w:val="003D161D"/>
    <w:rsid w:val="003E7B7C"/>
    <w:rsid w:val="003E7F83"/>
    <w:rsid w:val="003F015E"/>
    <w:rsid w:val="003F097C"/>
    <w:rsid w:val="003F34B4"/>
    <w:rsid w:val="00400414"/>
    <w:rsid w:val="00412795"/>
    <w:rsid w:val="00412EB1"/>
    <w:rsid w:val="0041446B"/>
    <w:rsid w:val="004201F3"/>
    <w:rsid w:val="00420EC0"/>
    <w:rsid w:val="0044033F"/>
    <w:rsid w:val="004413B5"/>
    <w:rsid w:val="0044329C"/>
    <w:rsid w:val="00452C8A"/>
    <w:rsid w:val="00453E24"/>
    <w:rsid w:val="00457456"/>
    <w:rsid w:val="004577FE"/>
    <w:rsid w:val="00457B9C"/>
    <w:rsid w:val="0046164A"/>
    <w:rsid w:val="00461B1B"/>
    <w:rsid w:val="00462717"/>
    <w:rsid w:val="004628D2"/>
    <w:rsid w:val="00462A71"/>
    <w:rsid w:val="00462DCD"/>
    <w:rsid w:val="004648AD"/>
    <w:rsid w:val="004703A9"/>
    <w:rsid w:val="004760DE"/>
    <w:rsid w:val="004763D7"/>
    <w:rsid w:val="00490917"/>
    <w:rsid w:val="004925AA"/>
    <w:rsid w:val="004A004E"/>
    <w:rsid w:val="004A1CE4"/>
    <w:rsid w:val="004A24CF"/>
    <w:rsid w:val="004A58A3"/>
    <w:rsid w:val="004B5DB7"/>
    <w:rsid w:val="004C3D1D"/>
    <w:rsid w:val="004C7913"/>
    <w:rsid w:val="004E4DD6"/>
    <w:rsid w:val="004E65B0"/>
    <w:rsid w:val="004F0A39"/>
    <w:rsid w:val="004F2E4C"/>
    <w:rsid w:val="004F4AE6"/>
    <w:rsid w:val="004F5E36"/>
    <w:rsid w:val="00507B42"/>
    <w:rsid w:val="00507B47"/>
    <w:rsid w:val="00507BEF"/>
    <w:rsid w:val="00507CC9"/>
    <w:rsid w:val="005119A5"/>
    <w:rsid w:val="005278B7"/>
    <w:rsid w:val="00532016"/>
    <w:rsid w:val="005346C8"/>
    <w:rsid w:val="00543E7D"/>
    <w:rsid w:val="00547A68"/>
    <w:rsid w:val="0055188D"/>
    <w:rsid w:val="005531C9"/>
    <w:rsid w:val="00560616"/>
    <w:rsid w:val="00570C16"/>
    <w:rsid w:val="00570C43"/>
    <w:rsid w:val="00573258"/>
    <w:rsid w:val="005844B8"/>
    <w:rsid w:val="00587FA9"/>
    <w:rsid w:val="005965E2"/>
    <w:rsid w:val="005B0EE0"/>
    <w:rsid w:val="005B2110"/>
    <w:rsid w:val="005B61E6"/>
    <w:rsid w:val="005C77E1"/>
    <w:rsid w:val="005D668A"/>
    <w:rsid w:val="005D6A2F"/>
    <w:rsid w:val="005E01B9"/>
    <w:rsid w:val="005E1A82"/>
    <w:rsid w:val="005E4A25"/>
    <w:rsid w:val="005E794C"/>
    <w:rsid w:val="005F0A28"/>
    <w:rsid w:val="005F0E5E"/>
    <w:rsid w:val="005F4661"/>
    <w:rsid w:val="00600535"/>
    <w:rsid w:val="00607465"/>
    <w:rsid w:val="00610CD6"/>
    <w:rsid w:val="00620DEE"/>
    <w:rsid w:val="00621F92"/>
    <w:rsid w:val="0062280A"/>
    <w:rsid w:val="00625639"/>
    <w:rsid w:val="00630027"/>
    <w:rsid w:val="00631B33"/>
    <w:rsid w:val="0064184D"/>
    <w:rsid w:val="006422CC"/>
    <w:rsid w:val="00652B57"/>
    <w:rsid w:val="00657ABE"/>
    <w:rsid w:val="00660E3E"/>
    <w:rsid w:val="006629F1"/>
    <w:rsid w:val="00662E74"/>
    <w:rsid w:val="006635EA"/>
    <w:rsid w:val="00665323"/>
    <w:rsid w:val="00680C23"/>
    <w:rsid w:val="00685288"/>
    <w:rsid w:val="0069308D"/>
    <w:rsid w:val="00693766"/>
    <w:rsid w:val="006A3281"/>
    <w:rsid w:val="006A6E4D"/>
    <w:rsid w:val="006B25D4"/>
    <w:rsid w:val="006B26A7"/>
    <w:rsid w:val="006B4888"/>
    <w:rsid w:val="006B71C5"/>
    <w:rsid w:val="006C2E45"/>
    <w:rsid w:val="006C359C"/>
    <w:rsid w:val="006C5579"/>
    <w:rsid w:val="006C563B"/>
    <w:rsid w:val="006D6E8B"/>
    <w:rsid w:val="006D7CB9"/>
    <w:rsid w:val="006E2AFE"/>
    <w:rsid w:val="006E737D"/>
    <w:rsid w:val="006F13C0"/>
    <w:rsid w:val="00713973"/>
    <w:rsid w:val="00720A24"/>
    <w:rsid w:val="0072635C"/>
    <w:rsid w:val="00732386"/>
    <w:rsid w:val="0073514D"/>
    <w:rsid w:val="007447F3"/>
    <w:rsid w:val="0075499F"/>
    <w:rsid w:val="007661C8"/>
    <w:rsid w:val="0077098D"/>
    <w:rsid w:val="007931FA"/>
    <w:rsid w:val="00793F92"/>
    <w:rsid w:val="007976A1"/>
    <w:rsid w:val="007A4861"/>
    <w:rsid w:val="007A5165"/>
    <w:rsid w:val="007A7BBA"/>
    <w:rsid w:val="007B0C50"/>
    <w:rsid w:val="007B48F9"/>
    <w:rsid w:val="007C1A43"/>
    <w:rsid w:val="007D4ADC"/>
    <w:rsid w:val="007E2637"/>
    <w:rsid w:val="007E6110"/>
    <w:rsid w:val="0080013E"/>
    <w:rsid w:val="008009E3"/>
    <w:rsid w:val="008025DF"/>
    <w:rsid w:val="008107F2"/>
    <w:rsid w:val="00810A4B"/>
    <w:rsid w:val="0081284F"/>
    <w:rsid w:val="00813288"/>
    <w:rsid w:val="008168FC"/>
    <w:rsid w:val="00825DD9"/>
    <w:rsid w:val="00826358"/>
    <w:rsid w:val="00830996"/>
    <w:rsid w:val="00831B0D"/>
    <w:rsid w:val="008345F1"/>
    <w:rsid w:val="00855ED9"/>
    <w:rsid w:val="00865B07"/>
    <w:rsid w:val="008667EA"/>
    <w:rsid w:val="00875AB9"/>
    <w:rsid w:val="0087637F"/>
    <w:rsid w:val="00892AD5"/>
    <w:rsid w:val="0089594C"/>
    <w:rsid w:val="008A1512"/>
    <w:rsid w:val="008A4AB8"/>
    <w:rsid w:val="008B4165"/>
    <w:rsid w:val="008D1600"/>
    <w:rsid w:val="008D32B9"/>
    <w:rsid w:val="008D433B"/>
    <w:rsid w:val="008E11E8"/>
    <w:rsid w:val="008E566E"/>
    <w:rsid w:val="0090161A"/>
    <w:rsid w:val="00901EB6"/>
    <w:rsid w:val="00904C62"/>
    <w:rsid w:val="00922BA8"/>
    <w:rsid w:val="00924BD0"/>
    <w:rsid w:val="00924DAC"/>
    <w:rsid w:val="00927058"/>
    <w:rsid w:val="00936C40"/>
    <w:rsid w:val="00942750"/>
    <w:rsid w:val="00942E5A"/>
    <w:rsid w:val="009450CE"/>
    <w:rsid w:val="00947179"/>
    <w:rsid w:val="0095164B"/>
    <w:rsid w:val="00952276"/>
    <w:rsid w:val="00953EF3"/>
    <w:rsid w:val="00954090"/>
    <w:rsid w:val="0095511C"/>
    <w:rsid w:val="009573E7"/>
    <w:rsid w:val="00963E05"/>
    <w:rsid w:val="00967843"/>
    <w:rsid w:val="00967D54"/>
    <w:rsid w:val="0097004B"/>
    <w:rsid w:val="00971028"/>
    <w:rsid w:val="00987D98"/>
    <w:rsid w:val="00993B84"/>
    <w:rsid w:val="00996483"/>
    <w:rsid w:val="00996F5A"/>
    <w:rsid w:val="009A04C3"/>
    <w:rsid w:val="009B041A"/>
    <w:rsid w:val="009B1923"/>
    <w:rsid w:val="009B196F"/>
    <w:rsid w:val="009C35F7"/>
    <w:rsid w:val="009C37C3"/>
    <w:rsid w:val="009C5526"/>
    <w:rsid w:val="009C6470"/>
    <w:rsid w:val="009C7C86"/>
    <w:rsid w:val="009D2FF7"/>
    <w:rsid w:val="009E0E47"/>
    <w:rsid w:val="009E591B"/>
    <w:rsid w:val="009E7884"/>
    <w:rsid w:val="009E788A"/>
    <w:rsid w:val="009F0E08"/>
    <w:rsid w:val="00A01F58"/>
    <w:rsid w:val="00A05053"/>
    <w:rsid w:val="00A1763D"/>
    <w:rsid w:val="00A17CEC"/>
    <w:rsid w:val="00A2078F"/>
    <w:rsid w:val="00A25F6A"/>
    <w:rsid w:val="00A27EF0"/>
    <w:rsid w:val="00A42361"/>
    <w:rsid w:val="00A50B20"/>
    <w:rsid w:val="00A51390"/>
    <w:rsid w:val="00A52FD3"/>
    <w:rsid w:val="00A60D13"/>
    <w:rsid w:val="00A6102F"/>
    <w:rsid w:val="00A6310E"/>
    <w:rsid w:val="00A72550"/>
    <w:rsid w:val="00A72745"/>
    <w:rsid w:val="00A75618"/>
    <w:rsid w:val="00A76EFC"/>
    <w:rsid w:val="00A91010"/>
    <w:rsid w:val="00A97F29"/>
    <w:rsid w:val="00AA3FAD"/>
    <w:rsid w:val="00AA702E"/>
    <w:rsid w:val="00AB0964"/>
    <w:rsid w:val="00AB4930"/>
    <w:rsid w:val="00AB5011"/>
    <w:rsid w:val="00AC7368"/>
    <w:rsid w:val="00AD16B9"/>
    <w:rsid w:val="00AD6737"/>
    <w:rsid w:val="00AE377D"/>
    <w:rsid w:val="00AF0EBA"/>
    <w:rsid w:val="00B02C8A"/>
    <w:rsid w:val="00B17FBD"/>
    <w:rsid w:val="00B23D6B"/>
    <w:rsid w:val="00B23F43"/>
    <w:rsid w:val="00B26C11"/>
    <w:rsid w:val="00B315A6"/>
    <w:rsid w:val="00B31813"/>
    <w:rsid w:val="00B33365"/>
    <w:rsid w:val="00B42AB9"/>
    <w:rsid w:val="00B57A09"/>
    <w:rsid w:val="00B57B36"/>
    <w:rsid w:val="00B57E6F"/>
    <w:rsid w:val="00B62FC9"/>
    <w:rsid w:val="00B63296"/>
    <w:rsid w:val="00B8686D"/>
    <w:rsid w:val="00B86CCC"/>
    <w:rsid w:val="00B93F69"/>
    <w:rsid w:val="00BB1DDC"/>
    <w:rsid w:val="00BB301A"/>
    <w:rsid w:val="00BC30C9"/>
    <w:rsid w:val="00BC45DB"/>
    <w:rsid w:val="00BC56DF"/>
    <w:rsid w:val="00BD077D"/>
    <w:rsid w:val="00BE1331"/>
    <w:rsid w:val="00BE3E58"/>
    <w:rsid w:val="00BF6012"/>
    <w:rsid w:val="00BF608B"/>
    <w:rsid w:val="00C01616"/>
    <w:rsid w:val="00C0162B"/>
    <w:rsid w:val="00C0368D"/>
    <w:rsid w:val="00C068ED"/>
    <w:rsid w:val="00C22E0C"/>
    <w:rsid w:val="00C30DA1"/>
    <w:rsid w:val="00C32810"/>
    <w:rsid w:val="00C345B1"/>
    <w:rsid w:val="00C40142"/>
    <w:rsid w:val="00C52C3C"/>
    <w:rsid w:val="00C57182"/>
    <w:rsid w:val="00C57863"/>
    <w:rsid w:val="00C64886"/>
    <w:rsid w:val="00C655FD"/>
    <w:rsid w:val="00C72E42"/>
    <w:rsid w:val="00C73836"/>
    <w:rsid w:val="00C75407"/>
    <w:rsid w:val="00C774A7"/>
    <w:rsid w:val="00C870A8"/>
    <w:rsid w:val="00C870B6"/>
    <w:rsid w:val="00C94434"/>
    <w:rsid w:val="00C95C4B"/>
    <w:rsid w:val="00C96F5F"/>
    <w:rsid w:val="00CA0D75"/>
    <w:rsid w:val="00CA1C95"/>
    <w:rsid w:val="00CA5A9C"/>
    <w:rsid w:val="00CB036A"/>
    <w:rsid w:val="00CC3657"/>
    <w:rsid w:val="00CC4C20"/>
    <w:rsid w:val="00CD3517"/>
    <w:rsid w:val="00CD5FE2"/>
    <w:rsid w:val="00CE1ED7"/>
    <w:rsid w:val="00CE7C68"/>
    <w:rsid w:val="00D02B4C"/>
    <w:rsid w:val="00D040C4"/>
    <w:rsid w:val="00D3147D"/>
    <w:rsid w:val="00D427C1"/>
    <w:rsid w:val="00D44F7D"/>
    <w:rsid w:val="00D46B7E"/>
    <w:rsid w:val="00D50AA6"/>
    <w:rsid w:val="00D57C84"/>
    <w:rsid w:val="00D6057D"/>
    <w:rsid w:val="00D6137B"/>
    <w:rsid w:val="00D6399C"/>
    <w:rsid w:val="00D7307F"/>
    <w:rsid w:val="00D836C5"/>
    <w:rsid w:val="00D84576"/>
    <w:rsid w:val="00D91B5F"/>
    <w:rsid w:val="00D97954"/>
    <w:rsid w:val="00DA1399"/>
    <w:rsid w:val="00DA24C6"/>
    <w:rsid w:val="00DA398C"/>
    <w:rsid w:val="00DA4D7B"/>
    <w:rsid w:val="00DA56CB"/>
    <w:rsid w:val="00DB0D27"/>
    <w:rsid w:val="00DB33F8"/>
    <w:rsid w:val="00DD4E70"/>
    <w:rsid w:val="00DE1534"/>
    <w:rsid w:val="00DE264A"/>
    <w:rsid w:val="00DE3C86"/>
    <w:rsid w:val="00DF5072"/>
    <w:rsid w:val="00DF5AA9"/>
    <w:rsid w:val="00E000A5"/>
    <w:rsid w:val="00E02D18"/>
    <w:rsid w:val="00E04110"/>
    <w:rsid w:val="00E041E7"/>
    <w:rsid w:val="00E05C56"/>
    <w:rsid w:val="00E23CA1"/>
    <w:rsid w:val="00E256A0"/>
    <w:rsid w:val="00E409A8"/>
    <w:rsid w:val="00E423B2"/>
    <w:rsid w:val="00E50C12"/>
    <w:rsid w:val="00E54A8A"/>
    <w:rsid w:val="00E57917"/>
    <w:rsid w:val="00E61EF8"/>
    <w:rsid w:val="00E65B91"/>
    <w:rsid w:val="00E7209D"/>
    <w:rsid w:val="00E72EAD"/>
    <w:rsid w:val="00E77211"/>
    <w:rsid w:val="00E77223"/>
    <w:rsid w:val="00E8334F"/>
    <w:rsid w:val="00E8528B"/>
    <w:rsid w:val="00E85B94"/>
    <w:rsid w:val="00E879F2"/>
    <w:rsid w:val="00E943C8"/>
    <w:rsid w:val="00E944F4"/>
    <w:rsid w:val="00E978D0"/>
    <w:rsid w:val="00EA4613"/>
    <w:rsid w:val="00EA7F91"/>
    <w:rsid w:val="00EB13E1"/>
    <w:rsid w:val="00EB1523"/>
    <w:rsid w:val="00EB2EA4"/>
    <w:rsid w:val="00EB4A5A"/>
    <w:rsid w:val="00EB4BDB"/>
    <w:rsid w:val="00EB5D2D"/>
    <w:rsid w:val="00EB6BFF"/>
    <w:rsid w:val="00EC0E49"/>
    <w:rsid w:val="00EC101F"/>
    <w:rsid w:val="00EC1D9F"/>
    <w:rsid w:val="00EC2069"/>
    <w:rsid w:val="00EC7784"/>
    <w:rsid w:val="00ED621F"/>
    <w:rsid w:val="00ED64A1"/>
    <w:rsid w:val="00ED7915"/>
    <w:rsid w:val="00EE0131"/>
    <w:rsid w:val="00EE17B0"/>
    <w:rsid w:val="00EE33C7"/>
    <w:rsid w:val="00EF06D9"/>
    <w:rsid w:val="00EF3D0D"/>
    <w:rsid w:val="00F17C50"/>
    <w:rsid w:val="00F24BB8"/>
    <w:rsid w:val="00F2573B"/>
    <w:rsid w:val="00F30C64"/>
    <w:rsid w:val="00F32BA2"/>
    <w:rsid w:val="00F32CDB"/>
    <w:rsid w:val="00F41BA6"/>
    <w:rsid w:val="00F46E58"/>
    <w:rsid w:val="00F510B0"/>
    <w:rsid w:val="00F565FE"/>
    <w:rsid w:val="00F63604"/>
    <w:rsid w:val="00F63A70"/>
    <w:rsid w:val="00F73DC2"/>
    <w:rsid w:val="00F7534E"/>
    <w:rsid w:val="00F75B05"/>
    <w:rsid w:val="00F77019"/>
    <w:rsid w:val="00F9312F"/>
    <w:rsid w:val="00FA21D0"/>
    <w:rsid w:val="00FA5F5F"/>
    <w:rsid w:val="00FB3455"/>
    <w:rsid w:val="00FB36EC"/>
    <w:rsid w:val="00FB730C"/>
    <w:rsid w:val="00FC106E"/>
    <w:rsid w:val="00FC2695"/>
    <w:rsid w:val="00FC3E03"/>
    <w:rsid w:val="00FC3FC1"/>
    <w:rsid w:val="00FC4887"/>
    <w:rsid w:val="00FC4B8D"/>
    <w:rsid w:val="00FD3683"/>
    <w:rsid w:val="00FD3B90"/>
    <w:rsid w:val="00FF61A5"/>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AE0CC22"/>
  <w14:defaultImageDpi w14:val="330"/>
  <w15:docId w15:val="{DE5B9DFA-7F9F-497B-A0F7-CB1436FA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Nadpis1">
    <w:name w:val="heading 1"/>
    <w:basedOn w:val="CETHeading1"/>
    <w:next w:val="Normln"/>
    <w:link w:val="Nadpis1Char"/>
    <w:uiPriority w:val="9"/>
    <w:rsid w:val="004F5E36"/>
    <w:pPr>
      <w:tabs>
        <w:tab w:val="right" w:pos="7100"/>
      </w:tabs>
      <w:jc w:val="both"/>
      <w:outlineLvl w:val="0"/>
    </w:pPr>
    <w:rPr>
      <w:lang w:val="en-GB"/>
    </w:rPr>
  </w:style>
  <w:style w:type="paragraph" w:styleId="Nadpis2">
    <w:name w:val="heading 2"/>
    <w:basedOn w:val="Normln"/>
    <w:next w:val="Normln"/>
    <w:link w:val="Nadpis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Jednoduchtabulka1">
    <w:name w:val="Table Simple 1"/>
    <w:basedOn w:val="Normlntabulka"/>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Odkaznakoment">
    <w:name w:val="annotation reference"/>
    <w:basedOn w:val="Standardnpsmoodstavce"/>
    <w:uiPriority w:val="99"/>
    <w:semiHidden/>
    <w:unhideWhenUsed/>
    <w:rsid w:val="004577FE"/>
    <w:rPr>
      <w:sz w:val="16"/>
      <w:szCs w:val="16"/>
    </w:rPr>
  </w:style>
  <w:style w:type="paragraph" w:styleId="Textbubliny">
    <w:name w:val="Balloon Text"/>
    <w:basedOn w:val="Normln"/>
    <w:link w:val="TextbublinyChar"/>
    <w:uiPriority w:val="99"/>
    <w:semiHidden/>
    <w:unhideWhenUsed/>
    <w:rsid w:val="000D34BE"/>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D34BE"/>
    <w:rPr>
      <w:rFonts w:ascii="Tahoma" w:hAnsi="Tahoma" w:cs="Tahoma"/>
      <w:sz w:val="16"/>
      <w:szCs w:val="16"/>
    </w:rPr>
  </w:style>
  <w:style w:type="paragraph" w:styleId="Bibliografie">
    <w:name w:val="Bibliography"/>
    <w:basedOn w:val="CETReferencetext"/>
    <w:uiPriority w:val="37"/>
    <w:unhideWhenUsed/>
    <w:rsid w:val="00631B33"/>
    <w:pPr>
      <w:spacing w:line="240" w:lineRule="auto"/>
      <w:ind w:left="720" w:hanging="720"/>
    </w:pPr>
  </w:style>
  <w:style w:type="paragraph" w:styleId="Zkladntext2">
    <w:name w:val="Body Text 2"/>
    <w:basedOn w:val="Normln"/>
    <w:link w:val="Zkladntext2Char"/>
    <w:uiPriority w:val="99"/>
    <w:semiHidden/>
    <w:unhideWhenUsed/>
    <w:rsid w:val="0003148D"/>
    <w:pPr>
      <w:spacing w:after="120" w:line="480" w:lineRule="auto"/>
    </w:pPr>
  </w:style>
  <w:style w:type="character" w:customStyle="1" w:styleId="Zkladntext2Char">
    <w:name w:val="Základní text 2 Char"/>
    <w:basedOn w:val="Standardnpsmoodstavce"/>
    <w:link w:val="Zkladntext2"/>
    <w:uiPriority w:val="99"/>
    <w:semiHidden/>
    <w:rsid w:val="0003148D"/>
  </w:style>
  <w:style w:type="paragraph" w:styleId="Zkladntext3">
    <w:name w:val="Body Text 3"/>
    <w:basedOn w:val="Normln"/>
    <w:link w:val="Zkladntext3Char"/>
    <w:uiPriority w:val="99"/>
    <w:semiHidden/>
    <w:unhideWhenUsed/>
    <w:rsid w:val="0003148D"/>
    <w:pPr>
      <w:spacing w:after="120"/>
    </w:pPr>
    <w:rPr>
      <w:sz w:val="16"/>
      <w:szCs w:val="16"/>
    </w:rPr>
  </w:style>
  <w:style w:type="character" w:customStyle="1" w:styleId="Zkladntext3Char">
    <w:name w:val="Základní text 3 Char"/>
    <w:basedOn w:val="Standardnpsmoodstavce"/>
    <w:link w:val="Zkladntext3"/>
    <w:uiPriority w:val="99"/>
    <w:semiHidden/>
    <w:rsid w:val="0003148D"/>
    <w:rPr>
      <w:sz w:val="16"/>
      <w:szCs w:val="16"/>
    </w:rPr>
  </w:style>
  <w:style w:type="paragraph" w:styleId="Zkladntext">
    <w:name w:val="Body Text"/>
    <w:basedOn w:val="Normln"/>
    <w:link w:val="ZkladntextChar"/>
    <w:uiPriority w:val="99"/>
    <w:semiHidden/>
    <w:unhideWhenUsed/>
    <w:rsid w:val="0003148D"/>
    <w:pPr>
      <w:spacing w:after="120"/>
    </w:pPr>
  </w:style>
  <w:style w:type="character" w:customStyle="1" w:styleId="ZkladntextChar">
    <w:name w:val="Základní text Char"/>
    <w:basedOn w:val="Standardnpsmoodstavce"/>
    <w:link w:val="Zkladntext"/>
    <w:uiPriority w:val="99"/>
    <w:semiHidden/>
    <w:rsid w:val="0003148D"/>
  </w:style>
  <w:style w:type="paragraph" w:styleId="Datum">
    <w:name w:val="Date"/>
    <w:basedOn w:val="Normln"/>
    <w:next w:val="Normln"/>
    <w:link w:val="DatumChar"/>
    <w:uiPriority w:val="99"/>
    <w:semiHidden/>
    <w:unhideWhenUsed/>
    <w:rsid w:val="0003148D"/>
  </w:style>
  <w:style w:type="character" w:customStyle="1" w:styleId="DatumChar">
    <w:name w:val="Datum Char"/>
    <w:basedOn w:val="Standardnpsmoodstavce"/>
    <w:link w:val="Datum"/>
    <w:uiPriority w:val="99"/>
    <w:semiHidden/>
    <w:rsid w:val="0003148D"/>
  </w:style>
  <w:style w:type="paragraph" w:styleId="Titulek">
    <w:name w:val="caption"/>
    <w:basedOn w:val="Normln"/>
    <w:next w:val="Normln"/>
    <w:uiPriority w:val="35"/>
    <w:semiHidden/>
    <w:unhideWhenUsed/>
    <w:qFormat/>
    <w:rsid w:val="0003148D"/>
    <w:pPr>
      <w:spacing w:line="240" w:lineRule="auto"/>
    </w:pPr>
    <w:rPr>
      <w:b/>
      <w:bCs/>
      <w:color w:val="4F81BD" w:themeColor="accent1"/>
      <w:szCs w:val="18"/>
    </w:rPr>
  </w:style>
  <w:style w:type="paragraph" w:styleId="Seznam">
    <w:name w:val="List"/>
    <w:basedOn w:val="Normln"/>
    <w:uiPriority w:val="99"/>
    <w:semiHidden/>
    <w:unhideWhenUsed/>
    <w:rsid w:val="0003148D"/>
    <w:pPr>
      <w:ind w:left="283" w:hanging="283"/>
      <w:contextualSpacing/>
    </w:pPr>
  </w:style>
  <w:style w:type="paragraph" w:styleId="Seznam2">
    <w:name w:val="List 2"/>
    <w:basedOn w:val="Normln"/>
    <w:uiPriority w:val="99"/>
    <w:semiHidden/>
    <w:unhideWhenUsed/>
    <w:rsid w:val="0003148D"/>
    <w:pPr>
      <w:ind w:left="566" w:hanging="283"/>
      <w:contextualSpacing/>
    </w:pPr>
  </w:style>
  <w:style w:type="paragraph" w:styleId="Seznam3">
    <w:name w:val="List 3"/>
    <w:basedOn w:val="Normln"/>
    <w:uiPriority w:val="99"/>
    <w:semiHidden/>
    <w:unhideWhenUsed/>
    <w:rsid w:val="0003148D"/>
    <w:pPr>
      <w:ind w:left="849" w:hanging="283"/>
      <w:contextualSpacing/>
    </w:pPr>
  </w:style>
  <w:style w:type="paragraph" w:styleId="Seznam4">
    <w:name w:val="List 4"/>
    <w:basedOn w:val="Normln"/>
    <w:uiPriority w:val="99"/>
    <w:semiHidden/>
    <w:unhideWhenUsed/>
    <w:rsid w:val="0003148D"/>
    <w:pPr>
      <w:ind w:left="1132" w:hanging="283"/>
      <w:contextualSpacing/>
    </w:pPr>
  </w:style>
  <w:style w:type="paragraph" w:styleId="Seznam5">
    <w:name w:val="List 5"/>
    <w:basedOn w:val="Normln"/>
    <w:uiPriority w:val="99"/>
    <w:semiHidden/>
    <w:unhideWhenUsed/>
    <w:rsid w:val="0003148D"/>
    <w:pPr>
      <w:ind w:left="1415" w:hanging="283"/>
      <w:contextualSpacing/>
    </w:pPr>
  </w:style>
  <w:style w:type="paragraph" w:styleId="Pokraovnseznamu">
    <w:name w:val="List Continue"/>
    <w:basedOn w:val="Normln"/>
    <w:uiPriority w:val="99"/>
    <w:semiHidden/>
    <w:unhideWhenUsed/>
    <w:rsid w:val="0003148D"/>
    <w:pPr>
      <w:spacing w:after="120"/>
      <w:ind w:left="283"/>
      <w:contextualSpacing/>
    </w:pPr>
  </w:style>
  <w:style w:type="paragraph" w:styleId="Pokraovnseznamu2">
    <w:name w:val="List Continue 2"/>
    <w:basedOn w:val="Normln"/>
    <w:uiPriority w:val="99"/>
    <w:semiHidden/>
    <w:unhideWhenUsed/>
    <w:rsid w:val="0003148D"/>
    <w:pPr>
      <w:spacing w:after="120"/>
      <w:ind w:left="566"/>
      <w:contextualSpacing/>
    </w:pPr>
  </w:style>
  <w:style w:type="paragraph" w:styleId="Pokraovnseznamu3">
    <w:name w:val="List Continue 3"/>
    <w:basedOn w:val="Normln"/>
    <w:uiPriority w:val="99"/>
    <w:semiHidden/>
    <w:unhideWhenUsed/>
    <w:rsid w:val="0003148D"/>
    <w:pPr>
      <w:spacing w:after="120"/>
      <w:ind w:left="849"/>
      <w:contextualSpacing/>
    </w:pPr>
  </w:style>
  <w:style w:type="paragraph" w:styleId="Pokraovnseznamu4">
    <w:name w:val="List Continue 4"/>
    <w:basedOn w:val="Normln"/>
    <w:uiPriority w:val="99"/>
    <w:semiHidden/>
    <w:unhideWhenUsed/>
    <w:rsid w:val="0003148D"/>
    <w:pPr>
      <w:spacing w:after="120"/>
      <w:ind w:left="1132"/>
      <w:contextualSpacing/>
    </w:pPr>
  </w:style>
  <w:style w:type="paragraph" w:styleId="Pokraovnseznamu5">
    <w:name w:val="List Continue 5"/>
    <w:basedOn w:val="Normln"/>
    <w:uiPriority w:val="99"/>
    <w:semiHidden/>
    <w:unhideWhenUsed/>
    <w:rsid w:val="0003148D"/>
    <w:pPr>
      <w:spacing w:after="120"/>
      <w:ind w:left="1415"/>
      <w:contextualSpacing/>
    </w:pPr>
  </w:style>
  <w:style w:type="paragraph" w:styleId="Podpis">
    <w:name w:val="Signature"/>
    <w:basedOn w:val="Normln"/>
    <w:link w:val="PodpisChar"/>
    <w:uiPriority w:val="99"/>
    <w:semiHidden/>
    <w:unhideWhenUsed/>
    <w:rsid w:val="0003148D"/>
    <w:pPr>
      <w:spacing w:line="240" w:lineRule="auto"/>
      <w:ind w:left="4252"/>
    </w:pPr>
  </w:style>
  <w:style w:type="character" w:customStyle="1" w:styleId="PodpisChar">
    <w:name w:val="Podpis Char"/>
    <w:basedOn w:val="Standardnpsmoodstavce"/>
    <w:link w:val="Podpis"/>
    <w:uiPriority w:val="99"/>
    <w:semiHidden/>
    <w:rsid w:val="0003148D"/>
  </w:style>
  <w:style w:type="paragraph" w:styleId="Podpise-mailu">
    <w:name w:val="E-mail Signature"/>
    <w:basedOn w:val="Normln"/>
    <w:link w:val="Podpise-mailuChar"/>
    <w:uiPriority w:val="99"/>
    <w:semiHidden/>
    <w:unhideWhenUsed/>
    <w:rsid w:val="0003148D"/>
    <w:pPr>
      <w:spacing w:line="240" w:lineRule="auto"/>
    </w:pPr>
  </w:style>
  <w:style w:type="character" w:customStyle="1" w:styleId="Podpise-mailuChar">
    <w:name w:val="Podpis e-mailu Char"/>
    <w:basedOn w:val="Standardnpsmoodstavce"/>
    <w:link w:val="Podpise-mailu"/>
    <w:uiPriority w:val="99"/>
    <w:semiHidden/>
    <w:rsid w:val="0003148D"/>
  </w:style>
  <w:style w:type="paragraph" w:styleId="Osloven">
    <w:name w:val="Salutation"/>
    <w:basedOn w:val="Normln"/>
    <w:next w:val="Normln"/>
    <w:link w:val="OslovenChar"/>
    <w:uiPriority w:val="99"/>
    <w:semiHidden/>
    <w:unhideWhenUsed/>
    <w:rsid w:val="0003148D"/>
  </w:style>
  <w:style w:type="character" w:customStyle="1" w:styleId="OslovenChar">
    <w:name w:val="Oslovení Char"/>
    <w:basedOn w:val="Standardnpsmoodstavce"/>
    <w:link w:val="Osloven"/>
    <w:uiPriority w:val="99"/>
    <w:semiHidden/>
    <w:rsid w:val="0003148D"/>
  </w:style>
  <w:style w:type="paragraph" w:styleId="Zvr">
    <w:name w:val="Closing"/>
    <w:basedOn w:val="Normln"/>
    <w:link w:val="ZvrChar"/>
    <w:uiPriority w:val="99"/>
    <w:semiHidden/>
    <w:unhideWhenUsed/>
    <w:rsid w:val="0003148D"/>
    <w:pPr>
      <w:spacing w:line="240" w:lineRule="auto"/>
      <w:ind w:left="4252"/>
    </w:pPr>
  </w:style>
  <w:style w:type="character" w:customStyle="1" w:styleId="ZvrChar">
    <w:name w:val="Závěr Char"/>
    <w:basedOn w:val="Standardnpsmoodstavce"/>
    <w:link w:val="Zvr"/>
    <w:uiPriority w:val="99"/>
    <w:semiHidden/>
    <w:rsid w:val="0003148D"/>
  </w:style>
  <w:style w:type="paragraph" w:styleId="Rejstk1">
    <w:name w:val="index 1"/>
    <w:basedOn w:val="Normln"/>
    <w:next w:val="Normln"/>
    <w:autoRedefine/>
    <w:uiPriority w:val="99"/>
    <w:semiHidden/>
    <w:unhideWhenUsed/>
    <w:rsid w:val="0003148D"/>
    <w:pPr>
      <w:spacing w:line="240" w:lineRule="auto"/>
      <w:ind w:left="220" w:hanging="220"/>
    </w:pPr>
  </w:style>
  <w:style w:type="paragraph" w:styleId="Rejstk2">
    <w:name w:val="index 2"/>
    <w:basedOn w:val="Normln"/>
    <w:next w:val="Normln"/>
    <w:autoRedefine/>
    <w:uiPriority w:val="99"/>
    <w:semiHidden/>
    <w:unhideWhenUsed/>
    <w:rsid w:val="0003148D"/>
    <w:pPr>
      <w:spacing w:line="240" w:lineRule="auto"/>
      <w:ind w:left="440" w:hanging="220"/>
    </w:pPr>
  </w:style>
  <w:style w:type="paragraph" w:styleId="Rejstk3">
    <w:name w:val="index 3"/>
    <w:basedOn w:val="Normln"/>
    <w:next w:val="Normln"/>
    <w:autoRedefine/>
    <w:uiPriority w:val="99"/>
    <w:semiHidden/>
    <w:unhideWhenUsed/>
    <w:rsid w:val="0003148D"/>
    <w:pPr>
      <w:spacing w:line="240" w:lineRule="auto"/>
      <w:ind w:left="660" w:hanging="220"/>
    </w:pPr>
  </w:style>
  <w:style w:type="paragraph" w:styleId="Rejstk4">
    <w:name w:val="index 4"/>
    <w:basedOn w:val="Normln"/>
    <w:next w:val="Normln"/>
    <w:autoRedefine/>
    <w:uiPriority w:val="99"/>
    <w:semiHidden/>
    <w:unhideWhenUsed/>
    <w:rsid w:val="0003148D"/>
    <w:pPr>
      <w:spacing w:line="240" w:lineRule="auto"/>
      <w:ind w:left="880" w:hanging="220"/>
    </w:pPr>
  </w:style>
  <w:style w:type="paragraph" w:styleId="Rejstk5">
    <w:name w:val="index 5"/>
    <w:basedOn w:val="Normln"/>
    <w:next w:val="Normln"/>
    <w:autoRedefine/>
    <w:uiPriority w:val="99"/>
    <w:semiHidden/>
    <w:unhideWhenUsed/>
    <w:rsid w:val="0003148D"/>
    <w:pPr>
      <w:spacing w:line="240" w:lineRule="auto"/>
      <w:ind w:left="1100" w:hanging="220"/>
    </w:pPr>
  </w:style>
  <w:style w:type="paragraph" w:styleId="Rejstk6">
    <w:name w:val="index 6"/>
    <w:basedOn w:val="Normln"/>
    <w:next w:val="Normln"/>
    <w:autoRedefine/>
    <w:uiPriority w:val="99"/>
    <w:semiHidden/>
    <w:unhideWhenUsed/>
    <w:rsid w:val="0003148D"/>
    <w:pPr>
      <w:spacing w:line="240" w:lineRule="auto"/>
      <w:ind w:left="1320" w:hanging="220"/>
    </w:pPr>
  </w:style>
  <w:style w:type="paragraph" w:styleId="Rejstk7">
    <w:name w:val="index 7"/>
    <w:basedOn w:val="Normln"/>
    <w:next w:val="Normln"/>
    <w:autoRedefine/>
    <w:uiPriority w:val="99"/>
    <w:semiHidden/>
    <w:unhideWhenUsed/>
    <w:rsid w:val="0003148D"/>
    <w:pPr>
      <w:spacing w:line="240" w:lineRule="auto"/>
      <w:ind w:left="1540" w:hanging="220"/>
    </w:pPr>
  </w:style>
  <w:style w:type="paragraph" w:styleId="Rejstk8">
    <w:name w:val="index 8"/>
    <w:basedOn w:val="Normln"/>
    <w:next w:val="Normln"/>
    <w:autoRedefine/>
    <w:uiPriority w:val="99"/>
    <w:semiHidden/>
    <w:unhideWhenUsed/>
    <w:rsid w:val="0003148D"/>
    <w:pPr>
      <w:spacing w:line="240" w:lineRule="auto"/>
      <w:ind w:left="1760" w:hanging="220"/>
    </w:pPr>
  </w:style>
  <w:style w:type="paragraph" w:styleId="Rejstk9">
    <w:name w:val="index 9"/>
    <w:basedOn w:val="Normln"/>
    <w:next w:val="Normln"/>
    <w:autoRedefine/>
    <w:uiPriority w:val="99"/>
    <w:semiHidden/>
    <w:unhideWhenUsed/>
    <w:rsid w:val="0003148D"/>
    <w:pPr>
      <w:spacing w:line="240" w:lineRule="auto"/>
      <w:ind w:left="1980" w:hanging="220"/>
    </w:pPr>
  </w:style>
  <w:style w:type="paragraph" w:styleId="Seznamobrzk">
    <w:name w:val="table of figures"/>
    <w:basedOn w:val="Normln"/>
    <w:next w:val="Normln"/>
    <w:uiPriority w:val="99"/>
    <w:semiHidden/>
    <w:unhideWhenUsed/>
    <w:rsid w:val="0003148D"/>
  </w:style>
  <w:style w:type="paragraph" w:styleId="Seznamcitac">
    <w:name w:val="table of authorities"/>
    <w:basedOn w:val="Normln"/>
    <w:next w:val="Normln"/>
    <w:uiPriority w:val="99"/>
    <w:semiHidden/>
    <w:unhideWhenUsed/>
    <w:rsid w:val="0003148D"/>
    <w:pPr>
      <w:ind w:left="220" w:hanging="220"/>
    </w:pPr>
  </w:style>
  <w:style w:type="paragraph" w:styleId="Adresanaoblku">
    <w:name w:val="envelope address"/>
    <w:basedOn w:val="Normln"/>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aHTML">
    <w:name w:val="HTML Address"/>
    <w:basedOn w:val="Normln"/>
    <w:link w:val="AdresaHTMLChar"/>
    <w:uiPriority w:val="99"/>
    <w:semiHidden/>
    <w:unhideWhenUsed/>
    <w:rsid w:val="0003148D"/>
    <w:pPr>
      <w:spacing w:line="240" w:lineRule="auto"/>
    </w:pPr>
    <w:rPr>
      <w:i/>
      <w:iCs/>
    </w:rPr>
  </w:style>
  <w:style w:type="character" w:customStyle="1" w:styleId="AdresaHTMLChar">
    <w:name w:val="Adresa HTML Char"/>
    <w:basedOn w:val="Standardnpsmoodstavce"/>
    <w:link w:val="AdresaHTML"/>
    <w:uiPriority w:val="99"/>
    <w:semiHidden/>
    <w:rsid w:val="0003148D"/>
    <w:rPr>
      <w:i/>
      <w:iCs/>
    </w:rPr>
  </w:style>
  <w:style w:type="paragraph" w:styleId="Zptenadresanaoblku">
    <w:name w:val="envelope return"/>
    <w:basedOn w:val="Normln"/>
    <w:uiPriority w:val="99"/>
    <w:semiHidden/>
    <w:unhideWhenUsed/>
    <w:rsid w:val="0003148D"/>
    <w:pPr>
      <w:spacing w:line="240" w:lineRule="auto"/>
    </w:pPr>
    <w:rPr>
      <w:rFonts w:asciiTheme="majorHAnsi" w:eastAsiaTheme="majorEastAsia" w:hAnsiTheme="majorHAnsi" w:cstheme="majorBidi"/>
    </w:rPr>
  </w:style>
  <w:style w:type="paragraph" w:styleId="Zhlavzprvy">
    <w:name w:val="Message Header"/>
    <w:basedOn w:val="Normln"/>
    <w:link w:val="Zhlavzprvy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ZhlavzprvyChar">
    <w:name w:val="Záhlaví zprávy Char"/>
    <w:basedOn w:val="Standardnpsmoodstavce"/>
    <w:link w:val="Zhlavzprvy"/>
    <w:uiPriority w:val="99"/>
    <w:semiHidden/>
    <w:rsid w:val="0003148D"/>
    <w:rPr>
      <w:rFonts w:asciiTheme="majorHAnsi" w:eastAsiaTheme="majorEastAsia" w:hAnsiTheme="majorHAnsi" w:cstheme="majorBidi"/>
      <w:sz w:val="24"/>
      <w:szCs w:val="24"/>
      <w:shd w:val="pct20" w:color="auto" w:fill="auto"/>
    </w:rPr>
  </w:style>
  <w:style w:type="paragraph" w:styleId="Nadpispoznmky">
    <w:name w:val="Note Heading"/>
    <w:basedOn w:val="Normln"/>
    <w:next w:val="Normln"/>
    <w:link w:val="NadpispoznmkyChar"/>
    <w:uiPriority w:val="99"/>
    <w:semiHidden/>
    <w:unhideWhenUsed/>
    <w:rsid w:val="0003148D"/>
    <w:pPr>
      <w:spacing w:line="240" w:lineRule="auto"/>
    </w:pPr>
  </w:style>
  <w:style w:type="character" w:customStyle="1" w:styleId="NadpispoznmkyChar">
    <w:name w:val="Nadpis poznámky Char"/>
    <w:basedOn w:val="Standardnpsmoodstavce"/>
    <w:link w:val="Nadpispoznmky"/>
    <w:uiPriority w:val="99"/>
    <w:semiHidden/>
    <w:rsid w:val="0003148D"/>
  </w:style>
  <w:style w:type="paragraph" w:styleId="Rozloendokumentu">
    <w:name w:val="Document Map"/>
    <w:basedOn w:val="Normln"/>
    <w:link w:val="RozloendokumentuChar"/>
    <w:uiPriority w:val="99"/>
    <w:semiHidden/>
    <w:unhideWhenUsed/>
    <w:rsid w:val="0003148D"/>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3148D"/>
    <w:rPr>
      <w:rFonts w:ascii="Tahoma" w:hAnsi="Tahoma" w:cs="Tahoma"/>
      <w:sz w:val="16"/>
      <w:szCs w:val="16"/>
    </w:rPr>
  </w:style>
  <w:style w:type="paragraph" w:styleId="Normlnweb">
    <w:name w:val="Normal (Web)"/>
    <w:basedOn w:val="Normln"/>
    <w:uiPriority w:val="99"/>
    <w:semiHidden/>
    <w:unhideWhenUsed/>
    <w:rsid w:val="0003148D"/>
    <w:rPr>
      <w:sz w:val="24"/>
      <w:szCs w:val="24"/>
    </w:rPr>
  </w:style>
  <w:style w:type="paragraph" w:styleId="slovanseznam">
    <w:name w:val="List Number"/>
    <w:basedOn w:val="Normln"/>
    <w:uiPriority w:val="99"/>
    <w:semiHidden/>
    <w:unhideWhenUsed/>
    <w:rsid w:val="0003148D"/>
    <w:pPr>
      <w:numPr>
        <w:numId w:val="2"/>
      </w:numPr>
      <w:contextualSpacing/>
    </w:pPr>
  </w:style>
  <w:style w:type="paragraph" w:styleId="slovanseznam2">
    <w:name w:val="List Number 2"/>
    <w:basedOn w:val="Normln"/>
    <w:uiPriority w:val="99"/>
    <w:semiHidden/>
    <w:unhideWhenUsed/>
    <w:rsid w:val="0003148D"/>
    <w:pPr>
      <w:numPr>
        <w:numId w:val="3"/>
      </w:numPr>
      <w:contextualSpacing/>
    </w:pPr>
  </w:style>
  <w:style w:type="paragraph" w:styleId="slovanseznam3">
    <w:name w:val="List Number 3"/>
    <w:basedOn w:val="Normln"/>
    <w:uiPriority w:val="99"/>
    <w:semiHidden/>
    <w:unhideWhenUsed/>
    <w:rsid w:val="0003148D"/>
    <w:pPr>
      <w:numPr>
        <w:numId w:val="4"/>
      </w:numPr>
      <w:contextualSpacing/>
    </w:pPr>
  </w:style>
  <w:style w:type="paragraph" w:styleId="slovanseznam4">
    <w:name w:val="List Number 4"/>
    <w:basedOn w:val="Normln"/>
    <w:uiPriority w:val="99"/>
    <w:semiHidden/>
    <w:unhideWhenUsed/>
    <w:rsid w:val="0003148D"/>
    <w:pPr>
      <w:numPr>
        <w:numId w:val="5"/>
      </w:numPr>
      <w:contextualSpacing/>
    </w:pPr>
  </w:style>
  <w:style w:type="paragraph" w:styleId="slovanseznam5">
    <w:name w:val="List Number 5"/>
    <w:basedOn w:val="Normln"/>
    <w:uiPriority w:val="99"/>
    <w:semiHidden/>
    <w:unhideWhenUsed/>
    <w:rsid w:val="0003148D"/>
    <w:pPr>
      <w:numPr>
        <w:numId w:val="6"/>
      </w:numPr>
      <w:contextualSpacing/>
    </w:pPr>
  </w:style>
  <w:style w:type="paragraph" w:styleId="FormtovanvHTML">
    <w:name w:val="HTML Preformatted"/>
    <w:basedOn w:val="Normln"/>
    <w:link w:val="FormtovanvHTMLChar"/>
    <w:uiPriority w:val="99"/>
    <w:semiHidden/>
    <w:unhideWhenUsed/>
    <w:rsid w:val="0003148D"/>
    <w:pPr>
      <w:spacing w:line="240" w:lineRule="auto"/>
    </w:pPr>
    <w:rPr>
      <w:rFonts w:ascii="Consolas" w:hAnsi="Consolas" w:cs="Consolas"/>
    </w:rPr>
  </w:style>
  <w:style w:type="character" w:customStyle="1" w:styleId="FormtovanvHTMLChar">
    <w:name w:val="Formátovaný v HTML Char"/>
    <w:basedOn w:val="Standardnpsmoodstavce"/>
    <w:link w:val="FormtovanvHTML"/>
    <w:uiPriority w:val="99"/>
    <w:semiHidden/>
    <w:rsid w:val="0003148D"/>
    <w:rPr>
      <w:rFonts w:ascii="Consolas" w:hAnsi="Consolas" w:cs="Consolas"/>
      <w:sz w:val="20"/>
      <w:szCs w:val="20"/>
    </w:rPr>
  </w:style>
  <w:style w:type="paragraph" w:styleId="Zkladntext-prvnodsazen">
    <w:name w:val="Body Text First Indent"/>
    <w:basedOn w:val="Zkladntext"/>
    <w:link w:val="Zkladntext-prvnodsazenChar"/>
    <w:uiPriority w:val="99"/>
    <w:semiHidden/>
    <w:unhideWhenUsed/>
    <w:rsid w:val="0003148D"/>
    <w:pPr>
      <w:spacing w:after="200"/>
      <w:ind w:firstLine="360"/>
    </w:pPr>
  </w:style>
  <w:style w:type="character" w:customStyle="1" w:styleId="Zkladntext-prvnodsazenChar">
    <w:name w:val="Základní text - první odsazený Char"/>
    <w:basedOn w:val="ZkladntextChar"/>
    <w:link w:val="Zkladntext-prvnodsazen"/>
    <w:uiPriority w:val="99"/>
    <w:semiHidden/>
    <w:rsid w:val="0003148D"/>
  </w:style>
  <w:style w:type="paragraph" w:styleId="Zkladntextodsazen">
    <w:name w:val="Body Text Indent"/>
    <w:basedOn w:val="Normln"/>
    <w:link w:val="ZkladntextodsazenChar"/>
    <w:uiPriority w:val="99"/>
    <w:semiHidden/>
    <w:unhideWhenUsed/>
    <w:rsid w:val="0003148D"/>
    <w:pPr>
      <w:spacing w:after="120"/>
      <w:ind w:left="283"/>
    </w:pPr>
  </w:style>
  <w:style w:type="character" w:customStyle="1" w:styleId="ZkladntextodsazenChar">
    <w:name w:val="Základní text odsazený Char"/>
    <w:basedOn w:val="Standardnpsmoodstavce"/>
    <w:link w:val="Zkladntextodsazen"/>
    <w:uiPriority w:val="99"/>
    <w:semiHidden/>
    <w:rsid w:val="0003148D"/>
  </w:style>
  <w:style w:type="paragraph" w:styleId="Zkladntext-prvnodsazen2">
    <w:name w:val="Body Text First Indent 2"/>
    <w:basedOn w:val="Zkladntextodsazen"/>
    <w:link w:val="Zkladntext-prvnodsazen2Char"/>
    <w:uiPriority w:val="99"/>
    <w:semiHidden/>
    <w:unhideWhenUsed/>
    <w:rsid w:val="0003148D"/>
    <w:pPr>
      <w:spacing w:after="200"/>
      <w:ind w:left="360" w:firstLine="360"/>
    </w:pPr>
  </w:style>
  <w:style w:type="character" w:customStyle="1" w:styleId="Zkladntext-prvnodsazen2Char">
    <w:name w:val="Základní text - první odsazený 2 Char"/>
    <w:basedOn w:val="ZkladntextodsazenChar"/>
    <w:link w:val="Zkladntext-prvnodsazen2"/>
    <w:uiPriority w:val="99"/>
    <w:semiHidden/>
    <w:rsid w:val="0003148D"/>
  </w:style>
  <w:style w:type="paragraph" w:styleId="Seznamsodrkami">
    <w:name w:val="List Bullet"/>
    <w:basedOn w:val="Normln"/>
    <w:uiPriority w:val="99"/>
    <w:semiHidden/>
    <w:unhideWhenUsed/>
    <w:rsid w:val="0003148D"/>
    <w:pPr>
      <w:numPr>
        <w:numId w:val="7"/>
      </w:numPr>
      <w:contextualSpacing/>
    </w:pPr>
  </w:style>
  <w:style w:type="paragraph" w:styleId="Seznamsodrkami2">
    <w:name w:val="List Bullet 2"/>
    <w:basedOn w:val="Normln"/>
    <w:uiPriority w:val="99"/>
    <w:semiHidden/>
    <w:unhideWhenUsed/>
    <w:rsid w:val="0003148D"/>
    <w:pPr>
      <w:numPr>
        <w:numId w:val="8"/>
      </w:numPr>
      <w:contextualSpacing/>
    </w:pPr>
  </w:style>
  <w:style w:type="paragraph" w:styleId="Seznamsodrkami3">
    <w:name w:val="List Bullet 3"/>
    <w:basedOn w:val="Normln"/>
    <w:uiPriority w:val="99"/>
    <w:semiHidden/>
    <w:unhideWhenUsed/>
    <w:rsid w:val="0003148D"/>
    <w:pPr>
      <w:numPr>
        <w:numId w:val="9"/>
      </w:numPr>
      <w:contextualSpacing/>
    </w:pPr>
  </w:style>
  <w:style w:type="paragraph" w:styleId="Seznamsodrkami4">
    <w:name w:val="List Bullet 4"/>
    <w:basedOn w:val="Normln"/>
    <w:uiPriority w:val="99"/>
    <w:semiHidden/>
    <w:unhideWhenUsed/>
    <w:rsid w:val="0003148D"/>
    <w:pPr>
      <w:numPr>
        <w:numId w:val="10"/>
      </w:numPr>
      <w:contextualSpacing/>
    </w:pPr>
  </w:style>
  <w:style w:type="paragraph" w:styleId="Seznamsodrkami5">
    <w:name w:val="List Bullet 5"/>
    <w:basedOn w:val="Normln"/>
    <w:uiPriority w:val="99"/>
    <w:semiHidden/>
    <w:unhideWhenUsed/>
    <w:rsid w:val="0003148D"/>
    <w:pPr>
      <w:numPr>
        <w:numId w:val="11"/>
      </w:numPr>
      <w:contextualSpacing/>
    </w:pPr>
  </w:style>
  <w:style w:type="paragraph" w:styleId="Zkladntextodsazen2">
    <w:name w:val="Body Text Indent 2"/>
    <w:basedOn w:val="Normln"/>
    <w:link w:val="Zkladntextodsazen2Char"/>
    <w:uiPriority w:val="99"/>
    <w:semiHidden/>
    <w:unhideWhenUsed/>
    <w:rsid w:val="0003148D"/>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03148D"/>
  </w:style>
  <w:style w:type="paragraph" w:styleId="Zkladntextodsazen3">
    <w:name w:val="Body Text Indent 3"/>
    <w:basedOn w:val="Normln"/>
    <w:link w:val="Zkladntextodsazen3Char"/>
    <w:uiPriority w:val="99"/>
    <w:semiHidden/>
    <w:unhideWhenUsed/>
    <w:rsid w:val="0003148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03148D"/>
    <w:rPr>
      <w:sz w:val="16"/>
      <w:szCs w:val="16"/>
    </w:rPr>
  </w:style>
  <w:style w:type="paragraph" w:styleId="Normlnodsazen">
    <w:name w:val="Normal Indent"/>
    <w:basedOn w:val="Normln"/>
    <w:uiPriority w:val="99"/>
    <w:semiHidden/>
    <w:unhideWhenUsed/>
    <w:rsid w:val="0003148D"/>
    <w:pPr>
      <w:ind w:left="720"/>
    </w:pPr>
  </w:style>
  <w:style w:type="paragraph" w:styleId="Textkomente">
    <w:name w:val="annotation text"/>
    <w:basedOn w:val="Normln"/>
    <w:link w:val="TextkomenteChar"/>
    <w:uiPriority w:val="99"/>
    <w:unhideWhenUsed/>
    <w:rsid w:val="0003148D"/>
    <w:pPr>
      <w:spacing w:line="240" w:lineRule="auto"/>
    </w:pPr>
  </w:style>
  <w:style w:type="character" w:customStyle="1" w:styleId="TextkomenteChar">
    <w:name w:val="Text komentáře Char"/>
    <w:basedOn w:val="Standardnpsmoodstavce"/>
    <w:link w:val="Textkomente"/>
    <w:uiPriority w:val="99"/>
    <w:rsid w:val="0003148D"/>
    <w:rPr>
      <w:sz w:val="20"/>
      <w:szCs w:val="20"/>
    </w:rPr>
  </w:style>
  <w:style w:type="paragraph" w:styleId="Pedmtkomente">
    <w:name w:val="annotation subject"/>
    <w:basedOn w:val="Textkomente"/>
    <w:next w:val="Textkomente"/>
    <w:link w:val="PedmtkomenteChar"/>
    <w:uiPriority w:val="99"/>
    <w:semiHidden/>
    <w:unhideWhenUsed/>
    <w:rsid w:val="0003148D"/>
    <w:rPr>
      <w:b/>
      <w:bCs/>
    </w:rPr>
  </w:style>
  <w:style w:type="character" w:customStyle="1" w:styleId="PedmtkomenteChar">
    <w:name w:val="Předmět komentáře Char"/>
    <w:basedOn w:val="TextkomenteChar"/>
    <w:link w:val="Pedmtkomente"/>
    <w:uiPriority w:val="99"/>
    <w:semiHidden/>
    <w:rsid w:val="0003148D"/>
    <w:rPr>
      <w:b/>
      <w:bCs/>
      <w:sz w:val="20"/>
      <w:szCs w:val="20"/>
    </w:rPr>
  </w:style>
  <w:style w:type="paragraph" w:styleId="Obsah1">
    <w:name w:val="toc 1"/>
    <w:basedOn w:val="Normln"/>
    <w:next w:val="Normln"/>
    <w:autoRedefine/>
    <w:uiPriority w:val="39"/>
    <w:semiHidden/>
    <w:unhideWhenUsed/>
    <w:rsid w:val="0003148D"/>
    <w:pPr>
      <w:spacing w:after="100"/>
    </w:pPr>
  </w:style>
  <w:style w:type="paragraph" w:styleId="Obsah2">
    <w:name w:val="toc 2"/>
    <w:basedOn w:val="Normln"/>
    <w:next w:val="Normln"/>
    <w:autoRedefine/>
    <w:uiPriority w:val="39"/>
    <w:semiHidden/>
    <w:unhideWhenUsed/>
    <w:rsid w:val="0003148D"/>
    <w:pPr>
      <w:spacing w:after="100"/>
      <w:ind w:left="220"/>
    </w:pPr>
  </w:style>
  <w:style w:type="paragraph" w:styleId="Obsah3">
    <w:name w:val="toc 3"/>
    <w:basedOn w:val="Normln"/>
    <w:next w:val="Normln"/>
    <w:autoRedefine/>
    <w:uiPriority w:val="39"/>
    <w:semiHidden/>
    <w:unhideWhenUsed/>
    <w:rsid w:val="0003148D"/>
    <w:pPr>
      <w:spacing w:after="100"/>
      <w:ind w:left="440"/>
    </w:pPr>
  </w:style>
  <w:style w:type="paragraph" w:styleId="Obsah4">
    <w:name w:val="toc 4"/>
    <w:basedOn w:val="Normln"/>
    <w:next w:val="Normln"/>
    <w:autoRedefine/>
    <w:uiPriority w:val="39"/>
    <w:semiHidden/>
    <w:unhideWhenUsed/>
    <w:rsid w:val="0003148D"/>
    <w:pPr>
      <w:spacing w:after="100"/>
      <w:ind w:left="660"/>
    </w:pPr>
  </w:style>
  <w:style w:type="paragraph" w:styleId="Obsah5">
    <w:name w:val="toc 5"/>
    <w:basedOn w:val="Normln"/>
    <w:next w:val="Normln"/>
    <w:autoRedefine/>
    <w:uiPriority w:val="39"/>
    <w:semiHidden/>
    <w:unhideWhenUsed/>
    <w:rsid w:val="0003148D"/>
    <w:pPr>
      <w:spacing w:after="100"/>
      <w:ind w:left="880"/>
    </w:pPr>
  </w:style>
  <w:style w:type="paragraph" w:styleId="Obsah6">
    <w:name w:val="toc 6"/>
    <w:basedOn w:val="Normln"/>
    <w:next w:val="Normln"/>
    <w:autoRedefine/>
    <w:uiPriority w:val="39"/>
    <w:semiHidden/>
    <w:unhideWhenUsed/>
    <w:rsid w:val="0003148D"/>
    <w:pPr>
      <w:spacing w:after="100"/>
      <w:ind w:left="1100"/>
    </w:pPr>
  </w:style>
  <w:style w:type="paragraph" w:styleId="Obsah7">
    <w:name w:val="toc 7"/>
    <w:basedOn w:val="Normln"/>
    <w:next w:val="Normln"/>
    <w:autoRedefine/>
    <w:uiPriority w:val="39"/>
    <w:semiHidden/>
    <w:unhideWhenUsed/>
    <w:rsid w:val="0003148D"/>
    <w:pPr>
      <w:spacing w:after="100"/>
      <w:ind w:left="1320"/>
    </w:pPr>
  </w:style>
  <w:style w:type="paragraph" w:styleId="Obsah8">
    <w:name w:val="toc 8"/>
    <w:basedOn w:val="Normln"/>
    <w:next w:val="Normln"/>
    <w:autoRedefine/>
    <w:uiPriority w:val="39"/>
    <w:semiHidden/>
    <w:unhideWhenUsed/>
    <w:rsid w:val="0003148D"/>
    <w:pPr>
      <w:spacing w:after="100"/>
      <w:ind w:left="1540"/>
    </w:pPr>
  </w:style>
  <w:style w:type="paragraph" w:styleId="Obsah9">
    <w:name w:val="toc 9"/>
    <w:basedOn w:val="Normln"/>
    <w:next w:val="Normln"/>
    <w:autoRedefine/>
    <w:uiPriority w:val="39"/>
    <w:semiHidden/>
    <w:unhideWhenUsed/>
    <w:rsid w:val="0003148D"/>
    <w:pPr>
      <w:spacing w:after="100"/>
      <w:ind w:left="1760"/>
    </w:pPr>
  </w:style>
  <w:style w:type="paragraph" w:styleId="Textvbloku">
    <w:name w:val="Block Text"/>
    <w:basedOn w:val="Normln"/>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makra">
    <w:name w:val="macro"/>
    <w:link w:val="Textmakra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makraChar">
    <w:name w:val="Text makra Char"/>
    <w:basedOn w:val="Standardnpsmoodstavce"/>
    <w:link w:val="Textmakra"/>
    <w:uiPriority w:val="99"/>
    <w:semiHidden/>
    <w:rsid w:val="0003148D"/>
    <w:rPr>
      <w:rFonts w:ascii="Consolas" w:hAnsi="Consolas" w:cs="Consolas"/>
      <w:sz w:val="20"/>
      <w:szCs w:val="20"/>
    </w:rPr>
  </w:style>
  <w:style w:type="paragraph" w:styleId="Prosttext">
    <w:name w:val="Plain Text"/>
    <w:basedOn w:val="Normln"/>
    <w:link w:val="ProsttextChar"/>
    <w:uiPriority w:val="99"/>
    <w:semiHidden/>
    <w:unhideWhenUsed/>
    <w:rsid w:val="0003148D"/>
    <w:pPr>
      <w:spacing w:line="240" w:lineRule="auto"/>
    </w:pPr>
    <w:rPr>
      <w:rFonts w:ascii="Consolas" w:hAnsi="Consolas" w:cs="Consolas"/>
      <w:sz w:val="21"/>
      <w:szCs w:val="21"/>
    </w:rPr>
  </w:style>
  <w:style w:type="character" w:customStyle="1" w:styleId="ProsttextChar">
    <w:name w:val="Prostý text Char"/>
    <w:basedOn w:val="Standardnpsmoodstavce"/>
    <w:link w:val="Prosttext"/>
    <w:uiPriority w:val="99"/>
    <w:semiHidden/>
    <w:rsid w:val="0003148D"/>
    <w:rPr>
      <w:rFonts w:ascii="Consolas" w:hAnsi="Consolas" w:cs="Consolas"/>
      <w:sz w:val="21"/>
      <w:szCs w:val="21"/>
    </w:rPr>
  </w:style>
  <w:style w:type="paragraph" w:styleId="Textpoznpodarou">
    <w:name w:val="footnote text"/>
    <w:basedOn w:val="Normln"/>
    <w:link w:val="TextpoznpodarouChar"/>
    <w:uiPriority w:val="99"/>
    <w:semiHidden/>
    <w:unhideWhenUsed/>
    <w:rsid w:val="0003148D"/>
    <w:pPr>
      <w:spacing w:line="240" w:lineRule="auto"/>
    </w:pPr>
  </w:style>
  <w:style w:type="character" w:customStyle="1" w:styleId="TextpoznpodarouChar">
    <w:name w:val="Text pozn. pod čarou Char"/>
    <w:basedOn w:val="Standardnpsmoodstavce"/>
    <w:link w:val="Textpoznpodarou"/>
    <w:uiPriority w:val="99"/>
    <w:semiHidden/>
    <w:rsid w:val="0003148D"/>
    <w:rPr>
      <w:sz w:val="20"/>
      <w:szCs w:val="20"/>
    </w:rPr>
  </w:style>
  <w:style w:type="paragraph" w:styleId="Textvysvtlivek">
    <w:name w:val="endnote text"/>
    <w:basedOn w:val="Normln"/>
    <w:link w:val="TextvysvtlivekChar"/>
    <w:uiPriority w:val="99"/>
    <w:semiHidden/>
    <w:unhideWhenUsed/>
    <w:rsid w:val="0003148D"/>
    <w:pPr>
      <w:spacing w:line="240" w:lineRule="auto"/>
    </w:pPr>
  </w:style>
  <w:style w:type="character" w:customStyle="1" w:styleId="TextvysvtlivekChar">
    <w:name w:val="Text vysvětlivek Char"/>
    <w:basedOn w:val="Standardnpsmoodstavce"/>
    <w:link w:val="Textvysvtlivek"/>
    <w:uiPriority w:val="99"/>
    <w:semiHidden/>
    <w:rsid w:val="0003148D"/>
    <w:rPr>
      <w:sz w:val="20"/>
      <w:szCs w:val="20"/>
    </w:rPr>
  </w:style>
  <w:style w:type="character" w:customStyle="1" w:styleId="Nadpis1Char">
    <w:name w:val="Nadpis 1 Char"/>
    <w:basedOn w:val="Standardnpsmoodstavce"/>
    <w:link w:val="Nadpis1"/>
    <w:uiPriority w:val="9"/>
    <w:rsid w:val="004F5E36"/>
    <w:rPr>
      <w:rFonts w:ascii="Arial" w:eastAsia="Times New Roman" w:hAnsi="Arial" w:cs="Times New Roman"/>
      <w:b/>
      <w:sz w:val="20"/>
      <w:szCs w:val="20"/>
      <w:lang w:val="en-GB"/>
    </w:rPr>
  </w:style>
  <w:style w:type="character" w:customStyle="1" w:styleId="Nadpis2Char">
    <w:name w:val="Nadpis 2 Char"/>
    <w:basedOn w:val="Standardnpsmoodstavce"/>
    <w:link w:val="Nadpis2"/>
    <w:uiPriority w:val="9"/>
    <w:semiHidden/>
    <w:rsid w:val="0003148D"/>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03148D"/>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03148D"/>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03148D"/>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03148D"/>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03148D"/>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03148D"/>
    <w:rPr>
      <w:rFonts w:asciiTheme="majorHAnsi" w:eastAsiaTheme="majorEastAsia" w:hAnsiTheme="majorHAnsi" w:cstheme="majorBidi"/>
      <w:i/>
      <w:iCs/>
      <w:color w:val="404040" w:themeColor="text1" w:themeTint="BF"/>
      <w:sz w:val="20"/>
      <w:szCs w:val="20"/>
    </w:rPr>
  </w:style>
  <w:style w:type="paragraph" w:styleId="Hlavikarejstku">
    <w:name w:val="index heading"/>
    <w:basedOn w:val="Normln"/>
    <w:next w:val="Rejstk1"/>
    <w:uiPriority w:val="99"/>
    <w:semiHidden/>
    <w:unhideWhenUsed/>
    <w:rsid w:val="0003148D"/>
    <w:rPr>
      <w:rFonts w:asciiTheme="majorHAnsi" w:eastAsiaTheme="majorEastAsia" w:hAnsiTheme="majorHAnsi" w:cstheme="majorBidi"/>
      <w:b/>
      <w:bCs/>
    </w:rPr>
  </w:style>
  <w:style w:type="paragraph" w:styleId="Hlavikaobsahu">
    <w:name w:val="toa heading"/>
    <w:basedOn w:val="Normln"/>
    <w:next w:val="Normln"/>
    <w:uiPriority w:val="99"/>
    <w:semiHidden/>
    <w:unhideWhenUsed/>
    <w:rsid w:val="0003148D"/>
    <w:pPr>
      <w:spacing w:before="120"/>
    </w:pPr>
    <w:rPr>
      <w:rFonts w:asciiTheme="majorHAnsi" w:eastAsiaTheme="majorEastAsia" w:hAnsiTheme="majorHAnsi" w:cstheme="majorBidi"/>
      <w:b/>
      <w:bCs/>
      <w:sz w:val="24"/>
      <w:szCs w:val="24"/>
    </w:rPr>
  </w:style>
  <w:style w:type="paragraph" w:styleId="Nadpisobsahu">
    <w:name w:val="TOC Heading"/>
    <w:basedOn w:val="Nadpis1"/>
    <w:next w:val="Normln"/>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Standardnpsmoodstavce"/>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Zhlav">
    <w:name w:val="header"/>
    <w:basedOn w:val="Normln"/>
    <w:link w:val="ZhlavChar"/>
    <w:uiPriority w:val="99"/>
    <w:unhideWhenUsed/>
    <w:rsid w:val="005278B7"/>
    <w:pPr>
      <w:tabs>
        <w:tab w:val="clear" w:pos="7100"/>
        <w:tab w:val="center" w:pos="4819"/>
        <w:tab w:val="right" w:pos="9638"/>
      </w:tabs>
      <w:spacing w:line="240" w:lineRule="auto"/>
    </w:pPr>
  </w:style>
  <w:style w:type="character" w:customStyle="1" w:styleId="ZhlavChar">
    <w:name w:val="Záhlaví Char"/>
    <w:basedOn w:val="Standardnpsmoodstavce"/>
    <w:link w:val="Zhlav"/>
    <w:uiPriority w:val="99"/>
    <w:rsid w:val="005278B7"/>
    <w:rPr>
      <w:rFonts w:ascii="Arial" w:eastAsia="Times New Roman" w:hAnsi="Arial" w:cs="Times New Roman"/>
      <w:sz w:val="18"/>
      <w:szCs w:val="20"/>
      <w:lang w:val="en-GB"/>
    </w:rPr>
  </w:style>
  <w:style w:type="paragraph" w:styleId="Zpat">
    <w:name w:val="footer"/>
    <w:basedOn w:val="Normln"/>
    <w:link w:val="ZpatChar"/>
    <w:uiPriority w:val="99"/>
    <w:unhideWhenUsed/>
    <w:rsid w:val="005278B7"/>
    <w:pPr>
      <w:tabs>
        <w:tab w:val="clear" w:pos="7100"/>
        <w:tab w:val="center" w:pos="4819"/>
        <w:tab w:val="right" w:pos="9638"/>
      </w:tabs>
      <w:spacing w:line="240" w:lineRule="auto"/>
    </w:pPr>
  </w:style>
  <w:style w:type="character" w:customStyle="1" w:styleId="ZpatChar">
    <w:name w:val="Zápatí Char"/>
    <w:basedOn w:val="Standardnpsmoodstavce"/>
    <w:link w:val="Zpat"/>
    <w:uiPriority w:val="99"/>
    <w:rsid w:val="005278B7"/>
    <w:rPr>
      <w:rFonts w:ascii="Arial" w:eastAsia="Times New Roman" w:hAnsi="Arial" w:cs="Times New Roman"/>
      <w:sz w:val="18"/>
      <w:szCs w:val="20"/>
      <w:lang w:val="en-GB"/>
    </w:rPr>
  </w:style>
  <w:style w:type="table" w:styleId="Mkatabulky">
    <w:name w:val="Table Grid"/>
    <w:basedOn w:val="Normlntabulka"/>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904C62"/>
    <w:rPr>
      <w:color w:val="0000FF" w:themeColor="hyperlink"/>
      <w:u w:val="single"/>
    </w:rPr>
  </w:style>
  <w:style w:type="character" w:customStyle="1" w:styleId="eudoraheader">
    <w:name w:val="eudoraheader"/>
    <w:basedOn w:val="Standardnpsmoodstavce"/>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Odstavecseseznamem">
    <w:name w:val="List Paragraph"/>
    <w:basedOn w:val="Normln"/>
    <w:uiPriority w:val="34"/>
    <w:rsid w:val="00280FAF"/>
    <w:pPr>
      <w:ind w:left="720"/>
      <w:contextualSpacing/>
    </w:pPr>
  </w:style>
  <w:style w:type="character" w:customStyle="1" w:styleId="Nevyeenzmnka1">
    <w:name w:val="Nevyřešená zmínka1"/>
    <w:basedOn w:val="Standardnpsmoodstavce"/>
    <w:uiPriority w:val="99"/>
    <w:semiHidden/>
    <w:unhideWhenUsed/>
    <w:rsid w:val="00B62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ksoc.ff.cuni.cz/wp-content/uploads/sites/76/2018/09/Jak-analyzovat-kontignen%C4%8Dn%C3%AD-tabulky.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AFECF184E7D4541A33AD74DBA7DC930" ma:contentTypeVersion="18" ma:contentTypeDescription="Vytvoří nový dokument" ma:contentTypeScope="" ma:versionID="c1fb380c2adcd5ca3f929e0be24feecb">
  <xsd:schema xmlns:xsd="http://www.w3.org/2001/XMLSchema" xmlns:xs="http://www.w3.org/2001/XMLSchema" xmlns:p="http://schemas.microsoft.com/office/2006/metadata/properties" xmlns:ns3="f89fc7a7-aa8f-46d1-a74c-fe9da4716c3d" xmlns:ns4="00f0e887-c279-4003-9adb-f0015454291e" targetNamespace="http://schemas.microsoft.com/office/2006/metadata/properties" ma:root="true" ma:fieldsID="a876d14363a43a0f5e52c0629af198c6" ns3:_="" ns4:_="">
    <xsd:import namespace="f89fc7a7-aa8f-46d1-a74c-fe9da4716c3d"/>
    <xsd:import namespace="00f0e887-c279-4003-9adb-f0015454291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fc7a7-aa8f-46d1-a74c-fe9da4716c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f0e887-c279-4003-9adb-f0015454291e"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89fc7a7-aa8f-46d1-a74c-fe9da4716c3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83E4D-B050-40A7-AA22-7652009CA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fc7a7-aa8f-46d1-a74c-fe9da4716c3d"/>
    <ds:schemaRef ds:uri="00f0e887-c279-4003-9adb-f00154542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F1388F-8A3D-401E-9002-1343D7291227}">
  <ds:schemaRefs>
    <ds:schemaRef ds:uri="http://schemas.microsoft.com/sharepoint/v3/contenttype/forms"/>
  </ds:schemaRefs>
</ds:datastoreItem>
</file>

<file path=customXml/itemProps3.xml><?xml version="1.0" encoding="utf-8"?>
<ds:datastoreItem xmlns:ds="http://schemas.openxmlformats.org/officeDocument/2006/customXml" ds:itemID="{152B1EB5-DD6E-455B-865F-742FB10E369B}">
  <ds:schemaRefs>
    <ds:schemaRef ds:uri="http://schemas.microsoft.com/office/2006/documentManagement/types"/>
    <ds:schemaRef ds:uri="http://www.w3.org/XML/1998/namespace"/>
    <ds:schemaRef ds:uri="00f0e887-c279-4003-9adb-f0015454291e"/>
    <ds:schemaRef ds:uri="http://schemas.microsoft.com/office/infopath/2007/PartnerControls"/>
    <ds:schemaRef ds:uri="f89fc7a7-aa8f-46d1-a74c-fe9da4716c3d"/>
    <ds:schemaRef ds:uri="http://purl.org/dc/dcmitype/"/>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90CF9FBC-CBDA-480B-9071-FACD5D0BA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6</Pages>
  <Words>3856</Words>
  <Characters>22751</Characters>
  <Application>Microsoft Office Word</Application>
  <DocSecurity>0</DocSecurity>
  <Lines>189</Lines>
  <Paragraphs>53</Paragraphs>
  <ScaleCrop>false</ScaleCrop>
  <HeadingPairs>
    <vt:vector size="8" baseType="variant">
      <vt:variant>
        <vt:lpstr>Název</vt:lpstr>
      </vt:variant>
      <vt:variant>
        <vt:i4>1</vt:i4>
      </vt:variant>
      <vt:variant>
        <vt:lpstr>Názov</vt:lpstr>
      </vt:variant>
      <vt:variant>
        <vt:i4>1</vt:i4>
      </vt:variant>
      <vt:variant>
        <vt:lpstr>Titolo</vt:lpstr>
      </vt:variant>
      <vt:variant>
        <vt:i4>1</vt:i4>
      </vt:variant>
      <vt:variant>
        <vt:lpstr>Title</vt:lpstr>
      </vt:variant>
      <vt:variant>
        <vt:i4>1</vt:i4>
      </vt:variant>
    </vt:vector>
  </HeadingPairs>
  <TitlesOfParts>
    <vt:vector size="4" baseType="lpstr">
      <vt:lpstr/>
      <vt:lpstr/>
      <vt:lpstr/>
      <vt:lpstr/>
    </vt:vector>
  </TitlesOfParts>
  <Company>Dipartimento CMIC - Politecnico di Milano</Company>
  <LinksUpToDate>false</LinksUpToDate>
  <CharactersWithSpaces>26554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Eva Hoke</cp:lastModifiedBy>
  <cp:revision>36</cp:revision>
  <cp:lastPrinted>2015-05-12T18:31:00Z</cp:lastPrinted>
  <dcterms:created xsi:type="dcterms:W3CDTF">2024-02-12T11:11:00Z</dcterms:created>
  <dcterms:modified xsi:type="dcterms:W3CDTF">2024-05-30T19:12:00Z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0x010100BAFECF184E7D4541A33AD74DBA7DC930</vt:lpwstr>
  </property>
</Properties>
</file>