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2C0DDA04" w:rsidR="00E978D0" w:rsidRPr="00665323" w:rsidRDefault="002731F4" w:rsidP="00665323">
      <w:pPr>
        <w:pStyle w:val="CETTitle"/>
      </w:pPr>
      <w:r w:rsidRPr="002731F4">
        <w:t xml:space="preserve">Quantitative Risk Assessment: </w:t>
      </w:r>
      <w:r w:rsidR="00B417BC">
        <w:t>C</w:t>
      </w:r>
      <w:r w:rsidR="00B417BC" w:rsidRPr="002731F4">
        <w:t xml:space="preserve">ommon </w:t>
      </w:r>
      <w:r w:rsidR="00B417BC">
        <w:t>P</w:t>
      </w:r>
      <w:r w:rsidR="00B417BC" w:rsidRPr="002731F4">
        <w:t xml:space="preserve">itfalls </w:t>
      </w:r>
      <w:r w:rsidRPr="002731F4">
        <w:t xml:space="preserve">in Top Event </w:t>
      </w:r>
      <w:r w:rsidR="00B417BC">
        <w:t>F</w:t>
      </w:r>
      <w:r w:rsidR="00B417BC" w:rsidRPr="002731F4">
        <w:t xml:space="preserve">requency </w:t>
      </w:r>
      <w:r w:rsidR="00B417BC">
        <w:t>C</w:t>
      </w:r>
      <w:r w:rsidR="00B417BC" w:rsidRPr="002731F4">
        <w:t>alculation</w:t>
      </w:r>
    </w:p>
    <w:p w14:paraId="0488FED2" w14:textId="73823967" w:rsidR="00B57E6F" w:rsidRPr="0034328F" w:rsidRDefault="002731F4" w:rsidP="00B57E6F">
      <w:pPr>
        <w:pStyle w:val="CETAuthors"/>
        <w:rPr>
          <w:lang w:val="it-IT"/>
        </w:rPr>
      </w:pPr>
      <w:r w:rsidRPr="0034328F">
        <w:rPr>
          <w:lang w:val="it-IT"/>
        </w:rPr>
        <w:t xml:space="preserve">Giovanni Genna </w:t>
      </w:r>
      <w:r w:rsidR="00B57E6F" w:rsidRPr="0034328F">
        <w:rPr>
          <w:lang w:val="it-IT"/>
        </w:rPr>
        <w:t xml:space="preserve">*, </w:t>
      </w:r>
      <w:r w:rsidRPr="0034328F">
        <w:rPr>
          <w:lang w:val="it-IT"/>
        </w:rPr>
        <w:t>Sara Perelli</w:t>
      </w:r>
      <w:r w:rsidR="00CE2093">
        <w:rPr>
          <w:lang w:val="it-IT"/>
        </w:rPr>
        <w:t>, Leonardo Michele Carluccio</w:t>
      </w:r>
      <w:r w:rsidR="00446189">
        <w:rPr>
          <w:lang w:val="it-IT"/>
        </w:rPr>
        <w:t>, Andrea Gritti</w:t>
      </w:r>
      <w:r w:rsidRPr="0034328F">
        <w:rPr>
          <w:lang w:val="it-IT"/>
        </w:rPr>
        <w:t xml:space="preserve"> </w:t>
      </w:r>
    </w:p>
    <w:p w14:paraId="6B2D21B3" w14:textId="4F724CCE" w:rsidR="00B57E6F" w:rsidRPr="0034328F" w:rsidRDefault="002731F4" w:rsidP="00B57E6F">
      <w:pPr>
        <w:pStyle w:val="CETAddress"/>
        <w:rPr>
          <w:lang w:val="it-IT"/>
        </w:rPr>
      </w:pPr>
      <w:r w:rsidRPr="0034328F">
        <w:rPr>
          <w:lang w:val="it-IT"/>
        </w:rPr>
        <w:t>DEKRA Italia s.r.l., Process Safety Business Unit, Via Fratelli Gracchi 27, 20092 Cinisello Balsamo (MI)</w:t>
      </w:r>
    </w:p>
    <w:p w14:paraId="73F1267A" w14:textId="4B186BE7" w:rsidR="00B57E6F" w:rsidRPr="002731F4" w:rsidRDefault="002731F4" w:rsidP="00B57E6F">
      <w:pPr>
        <w:pStyle w:val="CETemail"/>
        <w:rPr>
          <w:lang w:val="en-US"/>
        </w:rPr>
      </w:pPr>
      <w:r w:rsidRPr="002731F4">
        <w:rPr>
          <w:lang w:val="en-US"/>
        </w:rPr>
        <w:t>giovanni.genna@dekra.com</w:t>
      </w:r>
    </w:p>
    <w:p w14:paraId="1E99B537" w14:textId="5A1827F1" w:rsidR="002731F4" w:rsidRPr="002731F4" w:rsidRDefault="002731F4" w:rsidP="002731F4">
      <w:pPr>
        <w:pStyle w:val="CETBodytext"/>
        <w:rPr>
          <w:lang w:val="en-GB"/>
        </w:rPr>
      </w:pPr>
      <w:r w:rsidRPr="002731F4">
        <w:rPr>
          <w:lang w:val="en-GB"/>
        </w:rPr>
        <w:t>The main goal of process safety is to analyse and reduce risks related to industrial processes in order to ensure that the final risk on people and environment is as low as possible.</w:t>
      </w:r>
    </w:p>
    <w:p w14:paraId="09C9C9FD" w14:textId="77777777" w:rsidR="002731F4" w:rsidRPr="002731F4" w:rsidRDefault="002731F4" w:rsidP="002731F4">
      <w:pPr>
        <w:pStyle w:val="CETBodytext"/>
        <w:rPr>
          <w:lang w:val="en-GB"/>
        </w:rPr>
      </w:pPr>
      <w:r w:rsidRPr="002731F4">
        <w:rPr>
          <w:lang w:val="en-GB"/>
        </w:rPr>
        <w:t xml:space="preserve">To establish whether the risk related to the process is tolerable or not it is therefore necessary to calculate the risk associated with the events under consideration and to compare the result with the selected tolerability criteria: this is the common approach used in Quantitative Risk Assessment (QRA) analysis. </w:t>
      </w:r>
    </w:p>
    <w:p w14:paraId="1D569B92" w14:textId="77777777" w:rsidR="002731F4" w:rsidRPr="002731F4" w:rsidRDefault="002731F4" w:rsidP="002731F4">
      <w:pPr>
        <w:pStyle w:val="CETBodytext"/>
        <w:rPr>
          <w:lang w:val="en-GB"/>
        </w:rPr>
      </w:pPr>
      <w:r w:rsidRPr="002731F4">
        <w:rPr>
          <w:lang w:val="en-GB"/>
        </w:rPr>
        <w:t>The risk associated with an event, whatever is its nature (on people, on the environment or financial) is a function of the likelihood of the event (generally expressed in events/year) and the consequences (expressed in terms of damage) of the event itself.</w:t>
      </w:r>
    </w:p>
    <w:p w14:paraId="1E9AED68" w14:textId="77777777" w:rsidR="002731F4" w:rsidRPr="002731F4" w:rsidRDefault="002731F4" w:rsidP="002731F4">
      <w:pPr>
        <w:pStyle w:val="CETBodytext"/>
        <w:rPr>
          <w:lang w:val="en-GB"/>
        </w:rPr>
      </w:pPr>
      <w:r w:rsidRPr="002731F4">
        <w:rPr>
          <w:lang w:val="en-GB"/>
        </w:rPr>
        <w:t xml:space="preserve">The aim of this article is to focus on the first parameter (frequency evaluation): the main goal is not to write a math paper on frequency calculation (there are a lot of articles and specialised sources in the scientific literature that deal with the theory of probability calculation and, therefore, it would not make sense to focus on math) but to report the main conceptual errors in frequency calculation found in existing risk analysis reports. </w:t>
      </w:r>
    </w:p>
    <w:p w14:paraId="38927F8E" w14:textId="77777777" w:rsidR="002731F4" w:rsidRPr="002731F4" w:rsidRDefault="002731F4" w:rsidP="002731F4">
      <w:pPr>
        <w:pStyle w:val="CETBodytext"/>
        <w:rPr>
          <w:lang w:val="en-GB"/>
        </w:rPr>
      </w:pPr>
      <w:r w:rsidRPr="002731F4">
        <w:rPr>
          <w:lang w:val="en-GB"/>
        </w:rPr>
        <w:t>Frequency calculation depends especially on the quality of the performed hazard identification study (e.g HAZOP) and on the proper identification of the common cause failures present within a complex system which, if not properly identified, can lead to an incorrect assessment of the likelihood of a dangerous event.</w:t>
      </w:r>
    </w:p>
    <w:p w14:paraId="6893AF25" w14:textId="4F1DB6B9" w:rsidR="00600535" w:rsidRPr="00B57B36" w:rsidRDefault="002731F4" w:rsidP="002731F4">
      <w:pPr>
        <w:pStyle w:val="CETBodytext"/>
        <w:rPr>
          <w:lang w:val="en-GB"/>
        </w:rPr>
      </w:pPr>
      <w:r w:rsidRPr="002731F4">
        <w:rPr>
          <w:lang w:val="en-GB"/>
        </w:rPr>
        <w:t>The final scope is to show how it is possible to fall into pitfalls during frequencies calculation if the hazards identification is not properly performed and if dependencies between safeguards are not properly assessed: usually these errors lead to obtain frequency values that have no physical meaning</w:t>
      </w:r>
      <w:r w:rsidR="00600535" w:rsidRPr="00B57B36">
        <w:rPr>
          <w:lang w:val="en-GB"/>
        </w:rPr>
        <w:t>.</w:t>
      </w:r>
    </w:p>
    <w:p w14:paraId="476B2F2E" w14:textId="77777777" w:rsidR="00600535" w:rsidRPr="00B57B36" w:rsidRDefault="00600535" w:rsidP="00600535">
      <w:pPr>
        <w:pStyle w:val="CETHeading1"/>
        <w:rPr>
          <w:lang w:val="en-GB"/>
        </w:rPr>
      </w:pPr>
      <w:r w:rsidRPr="00B57B36">
        <w:rPr>
          <w:lang w:val="en-GB"/>
        </w:rPr>
        <w:t>Introduction</w:t>
      </w:r>
    </w:p>
    <w:p w14:paraId="36570BAC" w14:textId="36354411" w:rsidR="00B25DF4" w:rsidRDefault="00352317" w:rsidP="0025376B">
      <w:pPr>
        <w:pStyle w:val="CETBodytext"/>
        <w:rPr>
          <w:lang w:val="en-GB"/>
        </w:rPr>
      </w:pPr>
      <w:r>
        <w:rPr>
          <w:lang w:val="en-GB"/>
        </w:rPr>
        <w:t xml:space="preserve">The operation of industrial processes </w:t>
      </w:r>
      <w:r w:rsidR="007D7512">
        <w:rPr>
          <w:lang w:val="en-GB"/>
        </w:rPr>
        <w:t>brings with it a certain level of risk, due to their potential negative impacts on health, safety and environment. In industrial activities,</w:t>
      </w:r>
      <w:r w:rsidR="00CE2093">
        <w:rPr>
          <w:lang w:val="en-GB"/>
        </w:rPr>
        <w:t xml:space="preserve"> as reported by </w:t>
      </w:r>
      <w:r w:rsidR="00CE2093" w:rsidRPr="003E3426">
        <w:rPr>
          <w:lang w:val="en-GB"/>
        </w:rPr>
        <w:t>Schüller</w:t>
      </w:r>
      <w:r w:rsidR="00CE2093">
        <w:rPr>
          <w:lang w:val="en-GB"/>
        </w:rPr>
        <w:t xml:space="preserve"> (2005),</w:t>
      </w:r>
      <w:r w:rsidR="007D7512">
        <w:rPr>
          <w:lang w:val="en-GB"/>
        </w:rPr>
        <w:t xml:space="preserve"> risk can be defined as a scale of an undesired event (an incident) in terms of probability of occurrence and magnitude of the consequences</w:t>
      </w:r>
      <w:r w:rsidR="003E3426">
        <w:rPr>
          <w:lang w:val="en-GB"/>
        </w:rPr>
        <w:t xml:space="preserve">. This risk can be assessed either qualitatively or quantitatively: </w:t>
      </w:r>
      <w:r w:rsidR="00B75AAF">
        <w:rPr>
          <w:lang w:val="en-GB"/>
        </w:rPr>
        <w:t xml:space="preserve">a qualitative risk assessment relies on assessor </w:t>
      </w:r>
      <w:r w:rsidR="00B75AAF" w:rsidRPr="00B75AAF">
        <w:rPr>
          <w:lang w:val="en-GB"/>
        </w:rPr>
        <w:t>experience and/or application of good</w:t>
      </w:r>
      <w:r w:rsidR="00B75AAF">
        <w:rPr>
          <w:lang w:val="en-GB"/>
        </w:rPr>
        <w:t xml:space="preserve"> </w:t>
      </w:r>
      <w:r w:rsidR="00B75AAF" w:rsidRPr="00B75AAF">
        <w:rPr>
          <w:lang w:val="en-GB"/>
        </w:rPr>
        <w:t>engineering judgement</w:t>
      </w:r>
      <w:r w:rsidR="00B75AAF">
        <w:rPr>
          <w:lang w:val="en-GB"/>
        </w:rPr>
        <w:t xml:space="preserve">, while a quantitative risk assessment is based on </w:t>
      </w:r>
      <w:r w:rsidR="00B75AAF" w:rsidRPr="00B75AAF">
        <w:rPr>
          <w:lang w:val="en-GB"/>
        </w:rPr>
        <w:t>numerical data and mathematical analysis</w:t>
      </w:r>
      <w:r w:rsidR="00B75AAF">
        <w:rPr>
          <w:lang w:val="en-GB"/>
        </w:rPr>
        <w:t xml:space="preserve">. </w:t>
      </w:r>
    </w:p>
    <w:p w14:paraId="2AD4619C" w14:textId="0D5FFC19" w:rsidR="0025376B" w:rsidRDefault="00B75AAF" w:rsidP="0025376B">
      <w:pPr>
        <w:pStyle w:val="CETBodytext"/>
        <w:rPr>
          <w:lang w:val="en-GB"/>
        </w:rPr>
      </w:pPr>
      <w:r>
        <w:rPr>
          <w:lang w:val="en-GB"/>
        </w:rPr>
        <w:t xml:space="preserve">The </w:t>
      </w:r>
      <w:r w:rsidR="003E3426">
        <w:rPr>
          <w:lang w:val="en-GB"/>
        </w:rPr>
        <w:t>quantitative risk assessment</w:t>
      </w:r>
      <w:r>
        <w:rPr>
          <w:lang w:val="en-GB"/>
        </w:rPr>
        <w:t>,</w:t>
      </w:r>
      <w:r w:rsidR="003E3426">
        <w:rPr>
          <w:lang w:val="en-GB"/>
        </w:rPr>
        <w:t xml:space="preserve"> commonly called QRA, tries to describe a chain of events </w:t>
      </w:r>
      <w:r w:rsidR="0025376B">
        <w:rPr>
          <w:lang w:val="en-GB"/>
        </w:rPr>
        <w:t xml:space="preserve">– what can wrong, with what probability, with which consequences - by assigning number and figures to each step of the sequence. </w:t>
      </w:r>
    </w:p>
    <w:p w14:paraId="09C2B4DF" w14:textId="47B7EB0C" w:rsidR="00352317" w:rsidRDefault="0025376B" w:rsidP="0025376B">
      <w:pPr>
        <w:pStyle w:val="CETBodytext"/>
        <w:rPr>
          <w:lang w:val="en-GB"/>
        </w:rPr>
      </w:pPr>
      <w:r>
        <w:rPr>
          <w:lang w:val="en-GB"/>
        </w:rPr>
        <w:t xml:space="preserve">The chain of events leading to an undesired impact (the incident) always start with one or more initiating events: in process industries, these can be either plant upsets, equipment failures, or human errors. One of the most critical steps in </w:t>
      </w:r>
      <w:r w:rsidRPr="0025376B">
        <w:rPr>
          <w:lang w:val="en-GB"/>
        </w:rPr>
        <w:t>a QRA is t</w:t>
      </w:r>
      <w:r>
        <w:rPr>
          <w:lang w:val="en-GB"/>
        </w:rPr>
        <w:t xml:space="preserve">he </w:t>
      </w:r>
      <w:r w:rsidRPr="0025376B">
        <w:rPr>
          <w:lang w:val="en-GB"/>
        </w:rPr>
        <w:t>calculat</w:t>
      </w:r>
      <w:r>
        <w:rPr>
          <w:lang w:val="en-GB"/>
        </w:rPr>
        <w:t>ion of</w:t>
      </w:r>
      <w:r w:rsidRPr="0025376B">
        <w:rPr>
          <w:lang w:val="en-GB"/>
        </w:rPr>
        <w:t xml:space="preserve"> the</w:t>
      </w:r>
      <w:r>
        <w:rPr>
          <w:lang w:val="en-GB"/>
        </w:rPr>
        <w:t xml:space="preserve"> overall </w:t>
      </w:r>
      <w:r w:rsidRPr="0025376B">
        <w:rPr>
          <w:lang w:val="en-GB"/>
        </w:rPr>
        <w:t xml:space="preserve">probability of occurrence of each accident sequence </w:t>
      </w:r>
      <w:r>
        <w:rPr>
          <w:lang w:val="en-GB"/>
        </w:rPr>
        <w:t>leading to an incident</w:t>
      </w:r>
      <w:r w:rsidR="004C6747">
        <w:rPr>
          <w:lang w:val="en-GB"/>
        </w:rPr>
        <w:t>, as both underestimating or overestimating the probability will give unrealistic results. One of the possible methods to calculate the probability is to develop a Fault Tree, a structured visual representation</w:t>
      </w:r>
      <w:r w:rsidR="0033747E">
        <w:rPr>
          <w:lang w:val="en-GB"/>
        </w:rPr>
        <w:t xml:space="preserve"> of all the credible fault paths leading to the incident.</w:t>
      </w:r>
    </w:p>
    <w:p w14:paraId="66F6909C" w14:textId="77777777" w:rsidR="004C6747" w:rsidRPr="00352317" w:rsidRDefault="004C6747" w:rsidP="0025376B">
      <w:pPr>
        <w:pStyle w:val="CETBodytext"/>
        <w:rPr>
          <w:lang w:val="en-GB"/>
        </w:rPr>
      </w:pPr>
    </w:p>
    <w:p w14:paraId="309BCBA5" w14:textId="458BFDD5" w:rsidR="002731F4" w:rsidRDefault="002731F4" w:rsidP="002731F4">
      <w:pPr>
        <w:pStyle w:val="CETHeading1"/>
        <w:tabs>
          <w:tab w:val="num" w:pos="360"/>
        </w:tabs>
        <w:rPr>
          <w:lang w:val="en-GB"/>
        </w:rPr>
      </w:pPr>
      <w:r>
        <w:rPr>
          <w:lang w:val="en-GB"/>
        </w:rPr>
        <w:lastRenderedPageBreak/>
        <w:t>Fault Tree Analysis (FTA)</w:t>
      </w:r>
    </w:p>
    <w:p w14:paraId="72852F4F" w14:textId="6E95746D" w:rsidR="002731F4" w:rsidRDefault="00A768EC" w:rsidP="00600535">
      <w:pPr>
        <w:pStyle w:val="CETBodytext"/>
        <w:rPr>
          <w:lang w:val="en-GB"/>
        </w:rPr>
      </w:pPr>
      <w:r w:rsidRPr="00A768EC">
        <w:rPr>
          <w:lang w:val="en-GB"/>
        </w:rPr>
        <w:t>F</w:t>
      </w:r>
      <w:r>
        <w:rPr>
          <w:lang w:val="en-GB"/>
        </w:rPr>
        <w:t xml:space="preserve">ault </w:t>
      </w:r>
      <w:r w:rsidRPr="00A768EC">
        <w:rPr>
          <w:lang w:val="en-GB"/>
        </w:rPr>
        <w:t>T</w:t>
      </w:r>
      <w:r>
        <w:rPr>
          <w:lang w:val="en-GB"/>
        </w:rPr>
        <w:t xml:space="preserve">ree </w:t>
      </w:r>
      <w:r w:rsidRPr="00A768EC">
        <w:rPr>
          <w:lang w:val="en-GB"/>
        </w:rPr>
        <w:t>A</w:t>
      </w:r>
      <w:r>
        <w:rPr>
          <w:lang w:val="en-GB"/>
        </w:rPr>
        <w:t>nalysis</w:t>
      </w:r>
      <w:r w:rsidRPr="00A768EC">
        <w:rPr>
          <w:lang w:val="en-GB"/>
        </w:rPr>
        <w:t xml:space="preserve"> is a technique </w:t>
      </w:r>
      <w:r>
        <w:rPr>
          <w:lang w:val="en-GB"/>
        </w:rPr>
        <w:t>applied</w:t>
      </w:r>
      <w:r w:rsidRPr="00A768EC">
        <w:rPr>
          <w:lang w:val="en-GB"/>
        </w:rPr>
        <w:t xml:space="preserve"> in </w:t>
      </w:r>
      <w:r>
        <w:rPr>
          <w:lang w:val="en-GB"/>
        </w:rPr>
        <w:t>Q</w:t>
      </w:r>
      <w:r w:rsidRPr="00A768EC">
        <w:rPr>
          <w:lang w:val="en-GB"/>
        </w:rPr>
        <w:t xml:space="preserve">uantitative </w:t>
      </w:r>
      <w:r>
        <w:rPr>
          <w:lang w:val="en-GB"/>
        </w:rPr>
        <w:t>R</w:t>
      </w:r>
      <w:r w:rsidRPr="00A768EC">
        <w:rPr>
          <w:lang w:val="en-GB"/>
        </w:rPr>
        <w:t xml:space="preserve">isk </w:t>
      </w:r>
      <w:r>
        <w:rPr>
          <w:lang w:val="en-GB"/>
        </w:rPr>
        <w:t>A</w:t>
      </w:r>
      <w:r w:rsidRPr="00A768EC">
        <w:rPr>
          <w:lang w:val="en-GB"/>
        </w:rPr>
        <w:t>ssessment</w:t>
      </w:r>
      <w:r>
        <w:rPr>
          <w:lang w:val="en-GB"/>
        </w:rPr>
        <w:t xml:space="preserve">, </w:t>
      </w:r>
      <w:r w:rsidRPr="00A768EC">
        <w:rPr>
          <w:lang w:val="en-GB"/>
        </w:rPr>
        <w:t xml:space="preserve">used to quantify the frequency of </w:t>
      </w:r>
      <w:r>
        <w:rPr>
          <w:lang w:val="en-GB"/>
        </w:rPr>
        <w:t xml:space="preserve">occurrence of complex </w:t>
      </w:r>
      <w:r w:rsidRPr="00A768EC">
        <w:rPr>
          <w:lang w:val="en-GB"/>
        </w:rPr>
        <w:t xml:space="preserve">scenarios and events </w:t>
      </w:r>
      <w:r>
        <w:rPr>
          <w:lang w:val="en-GB"/>
        </w:rPr>
        <w:t>which can lead to catastrophic failure of equipment and severe con</w:t>
      </w:r>
      <w:r w:rsidRPr="00A768EC">
        <w:rPr>
          <w:lang w:val="en-GB"/>
        </w:rPr>
        <w:t xml:space="preserve">sequences. </w:t>
      </w:r>
    </w:p>
    <w:p w14:paraId="53E56104" w14:textId="77777777" w:rsidR="00B25DF4" w:rsidRDefault="00E85C39" w:rsidP="00600535">
      <w:pPr>
        <w:pStyle w:val="CETBodytext"/>
        <w:rPr>
          <w:lang w:val="en-GB"/>
        </w:rPr>
      </w:pPr>
      <w:r>
        <w:rPr>
          <w:lang w:val="en-GB"/>
        </w:rPr>
        <w:t xml:space="preserve">In process </w:t>
      </w:r>
      <w:r w:rsidR="0034328F">
        <w:rPr>
          <w:lang w:val="en-GB"/>
        </w:rPr>
        <w:t xml:space="preserve">industries, Fault Trees are usually employed to determine the frequency of occurrence of </w:t>
      </w:r>
      <w:r w:rsidR="0034328F" w:rsidRPr="0034328F">
        <w:rPr>
          <w:lang w:val="en-GB"/>
        </w:rPr>
        <w:t>incidental hypotheses</w:t>
      </w:r>
      <w:r w:rsidR="0034328F">
        <w:rPr>
          <w:lang w:val="en-GB"/>
        </w:rPr>
        <w:t xml:space="preserve"> </w:t>
      </w:r>
      <w:r w:rsidR="0034328F" w:rsidRPr="0034328F">
        <w:rPr>
          <w:lang w:val="en-GB"/>
        </w:rPr>
        <w:t>deriving from H</w:t>
      </w:r>
      <w:r w:rsidR="0034328F">
        <w:rPr>
          <w:lang w:val="en-GB"/>
        </w:rPr>
        <w:t>az</w:t>
      </w:r>
      <w:r w:rsidR="0034328F" w:rsidRPr="0034328F">
        <w:rPr>
          <w:lang w:val="en-GB"/>
        </w:rPr>
        <w:t>O</w:t>
      </w:r>
      <w:r w:rsidR="0034328F">
        <w:rPr>
          <w:lang w:val="en-GB"/>
        </w:rPr>
        <w:t>p (Hazard and Operability)</w:t>
      </w:r>
      <w:r w:rsidR="0034328F" w:rsidRPr="0034328F">
        <w:rPr>
          <w:lang w:val="en-GB"/>
        </w:rPr>
        <w:t xml:space="preserve"> analyses, in th</w:t>
      </w:r>
      <w:r w:rsidR="0034328F">
        <w:rPr>
          <w:lang w:val="en-GB"/>
        </w:rPr>
        <w:t>ose</w:t>
      </w:r>
      <w:r w:rsidR="0034328F" w:rsidRPr="0034328F">
        <w:rPr>
          <w:lang w:val="en-GB"/>
        </w:rPr>
        <w:t xml:space="preserve"> case</w:t>
      </w:r>
      <w:r w:rsidR="0034328F">
        <w:rPr>
          <w:lang w:val="en-GB"/>
        </w:rPr>
        <w:t xml:space="preserve">s when </w:t>
      </w:r>
      <w:r w:rsidR="0034328F" w:rsidRPr="0034328F">
        <w:rPr>
          <w:lang w:val="en-GB"/>
        </w:rPr>
        <w:t xml:space="preserve">the same </w:t>
      </w:r>
      <w:r w:rsidR="0034328F">
        <w:rPr>
          <w:lang w:val="en-GB"/>
        </w:rPr>
        <w:t xml:space="preserve">final undesired </w:t>
      </w:r>
      <w:r w:rsidR="0034328F" w:rsidRPr="0034328F">
        <w:rPr>
          <w:lang w:val="en-GB"/>
        </w:rPr>
        <w:t xml:space="preserve">event </w:t>
      </w:r>
      <w:r w:rsidR="0034328F">
        <w:rPr>
          <w:lang w:val="en-GB"/>
        </w:rPr>
        <w:t xml:space="preserve">(incident or Top Event) </w:t>
      </w:r>
      <w:r w:rsidR="0034328F" w:rsidRPr="0034328F">
        <w:rPr>
          <w:lang w:val="en-GB"/>
        </w:rPr>
        <w:t xml:space="preserve">can be caused by </w:t>
      </w:r>
      <w:r w:rsidR="0034328F">
        <w:rPr>
          <w:lang w:val="en-GB"/>
        </w:rPr>
        <w:t>different</w:t>
      </w:r>
      <w:r w:rsidR="0034328F" w:rsidRPr="0034328F">
        <w:rPr>
          <w:lang w:val="en-GB"/>
        </w:rPr>
        <w:t xml:space="preserve"> </w:t>
      </w:r>
      <w:r w:rsidR="0034328F">
        <w:rPr>
          <w:lang w:val="en-GB"/>
        </w:rPr>
        <w:t xml:space="preserve">chains of </w:t>
      </w:r>
      <w:r w:rsidR="0034328F" w:rsidRPr="0034328F">
        <w:rPr>
          <w:lang w:val="en-GB"/>
        </w:rPr>
        <w:t>events</w:t>
      </w:r>
      <w:r w:rsidR="0034328F">
        <w:rPr>
          <w:lang w:val="en-GB"/>
        </w:rPr>
        <w:t xml:space="preserve">. </w:t>
      </w:r>
    </w:p>
    <w:p w14:paraId="0B090A9E" w14:textId="44678EFD" w:rsidR="0034328F" w:rsidRPr="001C3BBD" w:rsidRDefault="0034328F" w:rsidP="00600535">
      <w:pPr>
        <w:pStyle w:val="CETBodytext"/>
      </w:pPr>
      <w:r>
        <w:rPr>
          <w:lang w:val="en-GB"/>
        </w:rPr>
        <w:t>A single Fault Tree is developed for each identified Top Event, detailing every potential identified cause (initiating events)</w:t>
      </w:r>
      <w:r w:rsidR="00C70BAB">
        <w:rPr>
          <w:lang w:val="en-GB"/>
        </w:rPr>
        <w:t xml:space="preserve"> and </w:t>
      </w:r>
      <w:r w:rsidRPr="0034328F">
        <w:rPr>
          <w:lang w:val="en-GB"/>
        </w:rPr>
        <w:t xml:space="preserve">the specific </w:t>
      </w:r>
      <w:r>
        <w:rPr>
          <w:lang w:val="en-GB"/>
        </w:rPr>
        <w:t xml:space="preserve">barriers designed to </w:t>
      </w:r>
      <w:r w:rsidRPr="0034328F">
        <w:rPr>
          <w:lang w:val="en-GB"/>
        </w:rPr>
        <w:t>protect o</w:t>
      </w:r>
      <w:r>
        <w:rPr>
          <w:lang w:val="en-GB"/>
        </w:rPr>
        <w:t>r</w:t>
      </w:r>
      <w:r w:rsidRPr="0034328F">
        <w:rPr>
          <w:lang w:val="en-GB"/>
        </w:rPr>
        <w:t xml:space="preserve"> intervene </w:t>
      </w:r>
      <w:r>
        <w:rPr>
          <w:lang w:val="en-GB"/>
        </w:rPr>
        <w:t>on</w:t>
      </w:r>
      <w:r w:rsidRPr="0034328F">
        <w:rPr>
          <w:lang w:val="en-GB"/>
        </w:rPr>
        <w:t xml:space="preserve"> </w:t>
      </w:r>
      <w:r w:rsidR="00C70BAB">
        <w:rPr>
          <w:lang w:val="en-GB"/>
        </w:rPr>
        <w:t xml:space="preserve">one or more </w:t>
      </w:r>
      <w:r w:rsidRPr="0034328F">
        <w:rPr>
          <w:lang w:val="en-GB"/>
        </w:rPr>
        <w:t>initiating event</w:t>
      </w:r>
      <w:r w:rsidR="00C70BAB">
        <w:rPr>
          <w:lang w:val="en-GB"/>
        </w:rPr>
        <w:t xml:space="preserve">. The frequency of occurrence of the Top Event is the calculated as a combination of the likelihood of the causes and the </w:t>
      </w:r>
      <w:r w:rsidR="00C70BAB" w:rsidRPr="00C70BAB">
        <w:rPr>
          <w:lang w:val="en-GB"/>
        </w:rPr>
        <w:t xml:space="preserve">probability of failure of the </w:t>
      </w:r>
      <w:r w:rsidR="00C70BAB">
        <w:rPr>
          <w:lang w:val="en-GB"/>
        </w:rPr>
        <w:t>barriers</w:t>
      </w:r>
      <w:r w:rsidR="00C70BAB" w:rsidRPr="00C70BAB">
        <w:rPr>
          <w:lang w:val="en-GB"/>
        </w:rPr>
        <w:t xml:space="preserve"> </w:t>
      </w:r>
      <w:r w:rsidR="00C70BAB">
        <w:rPr>
          <w:lang w:val="en-GB"/>
        </w:rPr>
        <w:t>(failing to intervene when required).</w:t>
      </w:r>
      <w:r w:rsidR="001C3BBD">
        <w:rPr>
          <w:lang w:val="en-GB"/>
        </w:rPr>
        <w:t xml:space="preserve"> Both these values are usually derived from public resources and databases, such as OREDA (</w:t>
      </w:r>
      <w:r w:rsidR="001C3BBD" w:rsidRPr="001C3BBD">
        <w:rPr>
          <w:lang w:val="en-GB"/>
        </w:rPr>
        <w:t>OFFSHORE &amp; ONSHORE RELIABILITY DATA</w:t>
      </w:r>
      <w:r w:rsidR="001C3BBD">
        <w:rPr>
          <w:lang w:val="en-GB"/>
        </w:rPr>
        <w:t>)</w:t>
      </w:r>
      <w:r w:rsidR="008374C8">
        <w:rPr>
          <w:lang w:val="en-GB"/>
        </w:rPr>
        <w:t xml:space="preserve"> or the </w:t>
      </w:r>
      <w:r w:rsidR="008374C8" w:rsidRPr="008374C8">
        <w:rPr>
          <w:lang w:val="en-GB"/>
        </w:rPr>
        <w:t>Safety Equipment Reliability Handbook</w:t>
      </w:r>
      <w:r w:rsidR="008374C8">
        <w:rPr>
          <w:lang w:val="en-GB"/>
        </w:rPr>
        <w:t xml:space="preserve"> published by Exida.</w:t>
      </w:r>
    </w:p>
    <w:p w14:paraId="61207E6F" w14:textId="56A0392D" w:rsidR="0034328F" w:rsidRDefault="008374C8" w:rsidP="00600535">
      <w:pPr>
        <w:pStyle w:val="CETBodytext"/>
        <w:rPr>
          <w:lang w:val="en-GB"/>
        </w:rPr>
      </w:pPr>
      <w:r>
        <w:rPr>
          <w:lang w:val="en-GB"/>
        </w:rPr>
        <w:t xml:space="preserve">The causes, or initiating events, of a Fault Tree are generally represented by components failure or human errors: both these elements can be statistically described with the demand model, which applies to components that have to change their status when a demand occurs. For these causes, </w:t>
      </w:r>
      <w:r w:rsidR="006928A2">
        <w:rPr>
          <w:lang w:val="en-GB"/>
        </w:rPr>
        <w:t xml:space="preserve">their reliability inside a Fault Tree is summarized by the Probability of Failure on Demand, or PFD. </w:t>
      </w:r>
    </w:p>
    <w:p w14:paraId="0718E406" w14:textId="77777777" w:rsidR="00B25DF4" w:rsidRDefault="009C01E1" w:rsidP="00600535">
      <w:pPr>
        <w:pStyle w:val="CETBodytext"/>
        <w:rPr>
          <w:lang w:val="en-GB"/>
        </w:rPr>
      </w:pPr>
      <w:r>
        <w:rPr>
          <w:lang w:val="en-GB"/>
        </w:rPr>
        <w:t xml:space="preserve">As mentioned by Gotti and Carluccio (2023), extreme care should be taken when </w:t>
      </w:r>
      <w:r w:rsidRPr="009C01E1">
        <w:rPr>
          <w:lang w:val="en-GB"/>
        </w:rPr>
        <w:t>extract</w:t>
      </w:r>
      <w:r>
        <w:rPr>
          <w:lang w:val="en-GB"/>
        </w:rPr>
        <w:t xml:space="preserve">ing </w:t>
      </w:r>
      <w:r w:rsidR="006928A2">
        <w:rPr>
          <w:lang w:val="en-GB"/>
        </w:rPr>
        <w:t xml:space="preserve">failure rates and </w:t>
      </w:r>
      <w:r>
        <w:rPr>
          <w:lang w:val="en-GB"/>
        </w:rPr>
        <w:t>PFD values from generic libraries and public resources, as these data may not represent the actual reality of the elements inputted in the Fault Tree (for example in terms of demand modes, aggressiveness of the working environment, etc.).</w:t>
      </w:r>
      <w:r w:rsidR="00311FAB">
        <w:rPr>
          <w:lang w:val="en-GB"/>
        </w:rPr>
        <w:t xml:space="preserve"> </w:t>
      </w:r>
    </w:p>
    <w:p w14:paraId="00A06F3F" w14:textId="77777777" w:rsidR="00B25DF4" w:rsidRDefault="00E73C29" w:rsidP="00600535">
      <w:pPr>
        <w:pStyle w:val="CETBodytext"/>
        <w:rPr>
          <w:lang w:val="en-GB"/>
        </w:rPr>
      </w:pPr>
      <w:r>
        <w:rPr>
          <w:lang w:val="en-GB"/>
        </w:rPr>
        <w:t xml:space="preserve">It is also worth remembering that in reliability analyses the same failure, intended as the loss of the ability to carry out a required task, may stem from very different faults, meaning the sum of conditions arisen during design, fabrication and/or use which are responsible for the loss of functionality. </w:t>
      </w:r>
    </w:p>
    <w:p w14:paraId="48DBC482" w14:textId="60F06004" w:rsidR="002731F4" w:rsidRDefault="00E73C29" w:rsidP="00600535">
      <w:pPr>
        <w:pStyle w:val="CETBodytext"/>
        <w:rPr>
          <w:lang w:val="en-GB"/>
        </w:rPr>
      </w:pPr>
      <w:r>
        <w:rPr>
          <w:lang w:val="en-GB"/>
        </w:rPr>
        <w:t xml:space="preserve">As a consequence, a generic failure rate for a given component, taken from a public source without a detailed description of the failure modes or the use conditions, may not be representative of the fault subset required by a specific QRA. </w:t>
      </w:r>
    </w:p>
    <w:p w14:paraId="7514472B" w14:textId="0508DD21" w:rsidR="002731F4" w:rsidRPr="0014277C" w:rsidRDefault="002731F4" w:rsidP="002731F4">
      <w:pPr>
        <w:pStyle w:val="CETHeading1"/>
        <w:tabs>
          <w:tab w:val="num" w:pos="360"/>
        </w:tabs>
        <w:rPr>
          <w:lang w:val="en-GB"/>
        </w:rPr>
      </w:pPr>
      <w:r w:rsidRPr="0014277C">
        <w:rPr>
          <w:lang w:val="en-GB"/>
        </w:rPr>
        <w:t>Common mistakes in the evaluation of frequencies using FTA</w:t>
      </w:r>
    </w:p>
    <w:p w14:paraId="03659478" w14:textId="77777777" w:rsidR="0044102F" w:rsidRDefault="004D4A66" w:rsidP="006E7979">
      <w:pPr>
        <w:pStyle w:val="CETBodytext"/>
        <w:rPr>
          <w:lang w:val="en-GB"/>
        </w:rPr>
      </w:pPr>
      <w:r w:rsidRPr="0014277C">
        <w:rPr>
          <w:lang w:val="en-GB"/>
        </w:rPr>
        <w:t xml:space="preserve">A poorly reasoned choice </w:t>
      </w:r>
      <w:r w:rsidR="006E7979" w:rsidRPr="0014277C">
        <w:rPr>
          <w:lang w:val="en-GB"/>
        </w:rPr>
        <w:t>of failure rates from generic libraries</w:t>
      </w:r>
      <w:r w:rsidRPr="0014277C">
        <w:rPr>
          <w:lang w:val="en-GB"/>
        </w:rPr>
        <w:t>, as mentioned in the previous section,</w:t>
      </w:r>
      <w:r w:rsidR="006E7979" w:rsidRPr="0014277C">
        <w:rPr>
          <w:lang w:val="en-GB"/>
        </w:rPr>
        <w:t xml:space="preserve"> can lead to</w:t>
      </w:r>
      <w:r w:rsidRPr="0014277C">
        <w:rPr>
          <w:lang w:val="en-GB"/>
        </w:rPr>
        <w:t xml:space="preserve"> great, and sometimes undetectable, errors in the a</w:t>
      </w:r>
      <w:r w:rsidR="006E7979" w:rsidRPr="0014277C">
        <w:rPr>
          <w:lang w:val="en-GB"/>
        </w:rPr>
        <w:t xml:space="preserve"> frequency estimation</w:t>
      </w:r>
      <w:r w:rsidRPr="0014277C">
        <w:rPr>
          <w:lang w:val="en-GB"/>
        </w:rPr>
        <w:t xml:space="preserve"> for the Top Event of the Fault Tree: it would be difficult to spot a mistake if the final frequency is still within an expected range, while it would be somehow easier to find the error if the final result is </w:t>
      </w:r>
      <w:r w:rsidR="006E7979" w:rsidRPr="0014277C">
        <w:rPr>
          <w:lang w:val="en-GB"/>
        </w:rPr>
        <w:t>several order of magnitude</w:t>
      </w:r>
      <w:r w:rsidRPr="0014277C">
        <w:rPr>
          <w:lang w:val="en-GB"/>
        </w:rPr>
        <w:t xml:space="preserve"> lower (or higher) than the expected outcome. </w:t>
      </w:r>
    </w:p>
    <w:p w14:paraId="3E06CA25" w14:textId="77777777" w:rsidR="00B25DF4" w:rsidRDefault="004D4A66" w:rsidP="006E7979">
      <w:pPr>
        <w:pStyle w:val="CETBodytext"/>
        <w:rPr>
          <w:lang w:val="en-GB"/>
        </w:rPr>
      </w:pPr>
      <w:r w:rsidRPr="0014277C">
        <w:rPr>
          <w:lang w:val="en-GB"/>
        </w:rPr>
        <w:t xml:space="preserve">Selection of failure rates </w:t>
      </w:r>
      <w:r w:rsidR="006E7979" w:rsidRPr="0014277C">
        <w:rPr>
          <w:lang w:val="en-GB"/>
        </w:rPr>
        <w:t xml:space="preserve">is not the only </w:t>
      </w:r>
      <w:r w:rsidRPr="0014277C">
        <w:rPr>
          <w:lang w:val="en-GB"/>
        </w:rPr>
        <w:t>potential mistake</w:t>
      </w:r>
      <w:r w:rsidR="006E7979" w:rsidRPr="0014277C">
        <w:rPr>
          <w:lang w:val="en-GB"/>
        </w:rPr>
        <w:t xml:space="preserve"> that can lead to obtain frequency values that have no physical meaning</w:t>
      </w:r>
      <w:r w:rsidRPr="0014277C">
        <w:rPr>
          <w:lang w:val="en-GB"/>
        </w:rPr>
        <w:t>:</w:t>
      </w:r>
      <w:r w:rsidR="006E7979" w:rsidRPr="0014277C">
        <w:rPr>
          <w:lang w:val="en-GB"/>
        </w:rPr>
        <w:t xml:space="preserve"> often, in </w:t>
      </w:r>
      <w:r w:rsidR="0014277C">
        <w:rPr>
          <w:lang w:val="en-GB"/>
        </w:rPr>
        <w:t>actual</w:t>
      </w:r>
      <w:r w:rsidR="006E7979" w:rsidRPr="0014277C">
        <w:rPr>
          <w:lang w:val="en-GB"/>
        </w:rPr>
        <w:t xml:space="preserve"> </w:t>
      </w:r>
      <w:r w:rsidR="0014277C">
        <w:rPr>
          <w:lang w:val="en-GB"/>
        </w:rPr>
        <w:t xml:space="preserve">industrial </w:t>
      </w:r>
      <w:r w:rsidR="006E7979" w:rsidRPr="0014277C">
        <w:rPr>
          <w:lang w:val="en-GB"/>
        </w:rPr>
        <w:t>experience, it is possible to find calculated event frequenc</w:t>
      </w:r>
      <w:r w:rsidRPr="0014277C">
        <w:rPr>
          <w:lang w:val="en-GB"/>
        </w:rPr>
        <w:t xml:space="preserve">ies smaller than </w:t>
      </w:r>
      <w:r w:rsidR="006E7979" w:rsidRPr="0014277C">
        <w:rPr>
          <w:lang w:val="en-GB"/>
        </w:rPr>
        <w:t>10</w:t>
      </w:r>
      <w:r w:rsidR="006E7979" w:rsidRPr="0014277C">
        <w:rPr>
          <w:vertAlign w:val="superscript"/>
          <w:lang w:val="en-GB"/>
        </w:rPr>
        <w:t>-12</w:t>
      </w:r>
      <w:r w:rsidR="006E7979" w:rsidRPr="0014277C">
        <w:rPr>
          <w:lang w:val="en-GB"/>
        </w:rPr>
        <w:t xml:space="preserve"> event/years</w:t>
      </w:r>
      <w:r w:rsidR="0014277C" w:rsidRPr="0014277C">
        <w:rPr>
          <w:lang w:val="en-GB"/>
        </w:rPr>
        <w:t>,</w:t>
      </w:r>
      <w:r w:rsidR="006E7979" w:rsidRPr="0014277C">
        <w:rPr>
          <w:lang w:val="en-GB"/>
        </w:rPr>
        <w:t xml:space="preserve"> while the estimated age of the universe is 13</w:t>
      </w:r>
      <w:r w:rsidR="00D7348D" w:rsidRPr="0014277C">
        <w:rPr>
          <w:lang w:val="en-GB"/>
        </w:rPr>
        <w:t>.</w:t>
      </w:r>
      <w:r w:rsidR="006E7979" w:rsidRPr="0014277C">
        <w:rPr>
          <w:lang w:val="en-GB"/>
        </w:rPr>
        <w:t>787·10</w:t>
      </w:r>
      <w:r w:rsidR="006E7979" w:rsidRPr="0014277C">
        <w:rPr>
          <w:vertAlign w:val="superscript"/>
          <w:lang w:val="en-GB"/>
        </w:rPr>
        <w:t>9</w:t>
      </w:r>
      <w:r w:rsidR="006E7979" w:rsidRPr="0014277C">
        <w:rPr>
          <w:lang w:val="en-GB"/>
        </w:rPr>
        <w:t xml:space="preserve"> years.</w:t>
      </w:r>
      <w:r w:rsidR="0044102F">
        <w:rPr>
          <w:lang w:val="en-GB"/>
        </w:rPr>
        <w:t xml:space="preserve"> </w:t>
      </w:r>
    </w:p>
    <w:p w14:paraId="19C71AF6" w14:textId="732A6F90" w:rsidR="006E7979" w:rsidRPr="0044102F" w:rsidRDefault="006E7979" w:rsidP="006E7979">
      <w:pPr>
        <w:pStyle w:val="CETBodytext"/>
        <w:rPr>
          <w:lang w:val="en-GB"/>
        </w:rPr>
      </w:pPr>
      <w:r w:rsidRPr="0044102F">
        <w:rPr>
          <w:lang w:val="en-GB"/>
        </w:rPr>
        <w:t>When the calculated frequency by means of Fault Tree Analysis for a top event in the process industry is very low (e.g. ≤ 10</w:t>
      </w:r>
      <w:r w:rsidRPr="0044102F">
        <w:rPr>
          <w:vertAlign w:val="superscript"/>
          <w:lang w:val="en-GB"/>
        </w:rPr>
        <w:t>-12</w:t>
      </w:r>
      <w:r w:rsidRPr="0044102F">
        <w:rPr>
          <w:lang w:val="en-GB"/>
        </w:rPr>
        <w:t xml:space="preserve"> ev</w:t>
      </w:r>
      <w:r w:rsidR="0044102F" w:rsidRPr="0044102F">
        <w:rPr>
          <w:lang w:val="en-GB"/>
        </w:rPr>
        <w:t>ents</w:t>
      </w:r>
      <w:r w:rsidRPr="0044102F">
        <w:rPr>
          <w:lang w:val="en-GB"/>
        </w:rPr>
        <w:t>/y)</w:t>
      </w:r>
      <w:r w:rsidR="0044102F">
        <w:rPr>
          <w:lang w:val="en-GB"/>
        </w:rPr>
        <w:t>,</w:t>
      </w:r>
      <w:r w:rsidRPr="0044102F">
        <w:rPr>
          <w:lang w:val="en-GB"/>
        </w:rPr>
        <w:t xml:space="preserve"> it is very likely that there is a construction error in the </w:t>
      </w:r>
      <w:r w:rsidR="0044102F">
        <w:rPr>
          <w:lang w:val="en-GB"/>
        </w:rPr>
        <w:t>Fault Tree</w:t>
      </w:r>
      <w:r w:rsidRPr="0044102F">
        <w:rPr>
          <w:lang w:val="en-GB"/>
        </w:rPr>
        <w:t xml:space="preserve"> itself. </w:t>
      </w:r>
    </w:p>
    <w:p w14:paraId="79C19AFA" w14:textId="77777777" w:rsidR="00B25DF4" w:rsidRDefault="0044102F" w:rsidP="006E7979">
      <w:pPr>
        <w:pStyle w:val="CETBodytext"/>
        <w:rPr>
          <w:lang w:val="en-GB"/>
        </w:rPr>
      </w:pPr>
      <w:r w:rsidRPr="00D94E5B">
        <w:rPr>
          <w:lang w:val="en-GB"/>
        </w:rPr>
        <w:t xml:space="preserve">One of the </w:t>
      </w:r>
      <w:r w:rsidR="006E7979" w:rsidRPr="00D94E5B">
        <w:rPr>
          <w:lang w:val="en-GB"/>
        </w:rPr>
        <w:t>most common error</w:t>
      </w:r>
      <w:r w:rsidRPr="00D94E5B">
        <w:rPr>
          <w:lang w:val="en-GB"/>
        </w:rPr>
        <w:t>s</w:t>
      </w:r>
      <w:r w:rsidR="006E7979" w:rsidRPr="00D94E5B">
        <w:rPr>
          <w:lang w:val="en-GB"/>
        </w:rPr>
        <w:t xml:space="preserve"> is that </w:t>
      </w:r>
      <w:r w:rsidRPr="00D94E5B">
        <w:rPr>
          <w:lang w:val="en-GB"/>
        </w:rPr>
        <w:t xml:space="preserve">Common Cause Failures </w:t>
      </w:r>
      <w:r w:rsidR="006E7979" w:rsidRPr="00D94E5B">
        <w:rPr>
          <w:lang w:val="en-GB"/>
        </w:rPr>
        <w:t>(CCF) are not properly considered</w:t>
      </w:r>
      <w:r w:rsidRPr="00D94E5B">
        <w:rPr>
          <w:lang w:val="en-GB"/>
        </w:rPr>
        <w:t xml:space="preserve"> in the architecture of the Tree. Common Cause Failures </w:t>
      </w:r>
      <w:r w:rsidR="00D94E5B" w:rsidRPr="00D94E5B">
        <w:rPr>
          <w:lang w:val="en-GB"/>
        </w:rPr>
        <w:t>can be</w:t>
      </w:r>
      <w:r w:rsidRPr="00D94E5B">
        <w:rPr>
          <w:lang w:val="en-GB"/>
        </w:rPr>
        <w:t xml:space="preserve"> </w:t>
      </w:r>
      <w:r w:rsidR="00D94E5B" w:rsidRPr="00D94E5B">
        <w:rPr>
          <w:lang w:val="en-GB"/>
        </w:rPr>
        <w:t xml:space="preserve">defined as </w:t>
      </w:r>
      <w:r w:rsidRPr="00D94E5B">
        <w:rPr>
          <w:lang w:val="en-GB"/>
        </w:rPr>
        <w:t>a subset of initiating events resulting in two or more components being unavailable at the same time, as a result of a shared failure</w:t>
      </w:r>
      <w:r w:rsidR="00D94E5B" w:rsidRPr="00D94E5B">
        <w:rPr>
          <w:lang w:val="en-GB"/>
        </w:rPr>
        <w:t xml:space="preserve"> cause. </w:t>
      </w:r>
    </w:p>
    <w:p w14:paraId="65AE84D3" w14:textId="77777777" w:rsidR="00B25DF4" w:rsidRDefault="00D94E5B" w:rsidP="006E7979">
      <w:pPr>
        <w:pStyle w:val="CETBodytext"/>
        <w:rPr>
          <w:lang w:val="en-GB"/>
        </w:rPr>
      </w:pPr>
      <w:r w:rsidRPr="00D94E5B">
        <w:rPr>
          <w:lang w:val="en-GB"/>
        </w:rPr>
        <w:t>N</w:t>
      </w:r>
      <w:r w:rsidR="006E7979" w:rsidRPr="00D94E5B">
        <w:rPr>
          <w:lang w:val="en-GB"/>
        </w:rPr>
        <w:t xml:space="preserve">eglecting these elements can lead to an incorrect evaluation, even of several orders of magnitude, of the calculated occurrence frequencies. </w:t>
      </w:r>
    </w:p>
    <w:p w14:paraId="0662101C" w14:textId="29054BF8" w:rsidR="006E7979" w:rsidRPr="00D94E5B" w:rsidRDefault="002B10B3" w:rsidP="006E7979">
      <w:pPr>
        <w:pStyle w:val="CETBodytext"/>
        <w:rPr>
          <w:lang w:val="en-GB"/>
        </w:rPr>
      </w:pPr>
      <w:r>
        <w:rPr>
          <w:lang w:val="en-GB"/>
        </w:rPr>
        <w:t xml:space="preserve">When developing a Quantitative Risk Assessment for a process industry, </w:t>
      </w:r>
      <w:r w:rsidR="006E7979" w:rsidRPr="00D94E5B">
        <w:rPr>
          <w:lang w:val="en-GB"/>
        </w:rPr>
        <w:t xml:space="preserve">Common Cause Failures </w:t>
      </w:r>
      <w:r>
        <w:rPr>
          <w:lang w:val="en-GB"/>
        </w:rPr>
        <w:t xml:space="preserve">can get overlooked or underestimated for </w:t>
      </w:r>
      <w:r w:rsidR="00EF3367">
        <w:rPr>
          <w:lang w:val="en-GB"/>
        </w:rPr>
        <w:t xml:space="preserve">the </w:t>
      </w:r>
      <w:r>
        <w:rPr>
          <w:lang w:val="en-GB"/>
        </w:rPr>
        <w:t>two main reasons</w:t>
      </w:r>
      <w:r w:rsidR="00EF3367">
        <w:rPr>
          <w:lang w:val="en-GB"/>
        </w:rPr>
        <w:t xml:space="preserve"> described below. </w:t>
      </w:r>
    </w:p>
    <w:p w14:paraId="74862B87" w14:textId="6D8558C2" w:rsidR="006E7979" w:rsidRPr="00EF3367" w:rsidRDefault="00EF3367" w:rsidP="00EF3367">
      <w:pPr>
        <w:pStyle w:val="CETBodytext"/>
        <w:rPr>
          <w:lang w:val="en-GB"/>
        </w:rPr>
      </w:pPr>
      <w:r>
        <w:rPr>
          <w:lang w:val="en-GB"/>
        </w:rPr>
        <w:t xml:space="preserve">(1) </w:t>
      </w:r>
      <w:r w:rsidR="002B10B3" w:rsidRPr="00EF3367">
        <w:rPr>
          <w:lang w:val="en-GB"/>
        </w:rPr>
        <w:t>Low quality of the PHA /</w:t>
      </w:r>
      <w:r w:rsidR="006E7979" w:rsidRPr="00EF3367">
        <w:rPr>
          <w:lang w:val="en-GB"/>
        </w:rPr>
        <w:t xml:space="preserve"> HAZOP analysis: </w:t>
      </w:r>
      <w:r w:rsidR="002B10B3" w:rsidRPr="00EF3367">
        <w:rPr>
          <w:lang w:val="en-GB"/>
        </w:rPr>
        <w:t xml:space="preserve">when listing all existing barriers and safeguards against a given scenario, the HAZOP team omits to note down </w:t>
      </w:r>
      <w:r w:rsidR="006E7979" w:rsidRPr="00EF3367">
        <w:rPr>
          <w:lang w:val="en-GB"/>
        </w:rPr>
        <w:t xml:space="preserve">on which </w:t>
      </w:r>
      <w:r w:rsidR="00BF552E" w:rsidRPr="00EF3367">
        <w:rPr>
          <w:lang w:val="en-GB"/>
        </w:rPr>
        <w:t>logic solver</w:t>
      </w:r>
      <w:r w:rsidR="006E7979" w:rsidRPr="00EF3367">
        <w:rPr>
          <w:lang w:val="en-GB"/>
        </w:rPr>
        <w:t xml:space="preserve"> the Safety Instrumented System is implemented</w:t>
      </w:r>
      <w:r w:rsidR="00BF552E" w:rsidRPr="00EF3367">
        <w:rPr>
          <w:lang w:val="en-GB"/>
        </w:rPr>
        <w:t>,</w:t>
      </w:r>
      <w:r w:rsidR="006E7979" w:rsidRPr="00EF3367">
        <w:rPr>
          <w:lang w:val="en-GB"/>
        </w:rPr>
        <w:t xml:space="preserve"> or </w:t>
      </w:r>
      <w:r w:rsidR="00BF552E" w:rsidRPr="00EF3367">
        <w:rPr>
          <w:lang w:val="en-GB"/>
        </w:rPr>
        <w:t>the HAZOP worksheet fails to specify</w:t>
      </w:r>
      <w:r w:rsidR="006E7979" w:rsidRPr="00EF3367">
        <w:rPr>
          <w:lang w:val="en-GB"/>
        </w:rPr>
        <w:t xml:space="preserve"> that the identified safeguards are all implemented on the same logic solver</w:t>
      </w:r>
      <w:r w:rsidR="00BF552E" w:rsidRPr="00EF3367">
        <w:rPr>
          <w:lang w:val="en-GB"/>
        </w:rPr>
        <w:t xml:space="preserve">. The logic solvers can be the machine local PLC, a dedicated Safety PLC, or the Distributed Control System (DCS). When these HAZOP worksheets are then used in the next phase of the QRA to develop the Fault Tree, the analyst in charge of the tree may not be aware of the </w:t>
      </w:r>
      <w:r w:rsidR="006E7979" w:rsidRPr="00EF3367">
        <w:rPr>
          <w:lang w:val="en-GB"/>
        </w:rPr>
        <w:t xml:space="preserve">of </w:t>
      </w:r>
      <w:r w:rsidR="00BF552E" w:rsidRPr="00EF3367">
        <w:rPr>
          <w:lang w:val="en-GB"/>
        </w:rPr>
        <w:t xml:space="preserve">the </w:t>
      </w:r>
      <w:r w:rsidR="006E7979" w:rsidRPr="00EF3367">
        <w:rPr>
          <w:lang w:val="en-GB"/>
        </w:rPr>
        <w:t>dependencies between elements</w:t>
      </w:r>
      <w:r w:rsidR="00BF552E" w:rsidRPr="00EF3367">
        <w:rPr>
          <w:lang w:val="en-GB"/>
        </w:rPr>
        <w:t xml:space="preserve">. </w:t>
      </w:r>
    </w:p>
    <w:p w14:paraId="09EADF44" w14:textId="793554EF" w:rsidR="002756EF" w:rsidRDefault="00EF3367" w:rsidP="00EF3367">
      <w:pPr>
        <w:pStyle w:val="CETBodytext"/>
        <w:rPr>
          <w:lang w:val="en-GB"/>
        </w:rPr>
      </w:pPr>
      <w:r>
        <w:rPr>
          <w:lang w:val="en-GB"/>
        </w:rPr>
        <w:t xml:space="preserve">(2) </w:t>
      </w:r>
      <w:r w:rsidR="00861ECE" w:rsidRPr="00EF3367">
        <w:rPr>
          <w:lang w:val="en-GB"/>
        </w:rPr>
        <w:t>Mistakes in the architecture of the F</w:t>
      </w:r>
      <w:r w:rsidR="006E7979" w:rsidRPr="00EF3367">
        <w:rPr>
          <w:lang w:val="en-GB"/>
        </w:rPr>
        <w:t>ault Tree</w:t>
      </w:r>
      <w:r w:rsidR="00861ECE" w:rsidRPr="00EF3367">
        <w:rPr>
          <w:lang w:val="en-GB"/>
        </w:rPr>
        <w:t>: these mistakes are generally made up of omission of elements, as the analyst during the Tree construction deliberately excludes some initiating elements (causes) having a smaller likelihood of occurrence with respect to other initiating causes</w:t>
      </w:r>
      <w:r w:rsidR="008703C7" w:rsidRPr="00EF3367">
        <w:rPr>
          <w:lang w:val="en-GB"/>
        </w:rPr>
        <w:t xml:space="preserve">, under the belief that it will lead to a negligible error in the calculated </w:t>
      </w:r>
      <w:r w:rsidR="002756EF" w:rsidRPr="00EF3367">
        <w:rPr>
          <w:lang w:val="en-GB"/>
        </w:rPr>
        <w:t>frequency.</w:t>
      </w:r>
      <w:r w:rsidR="00861ECE" w:rsidRPr="00EF3367">
        <w:rPr>
          <w:lang w:val="en-GB"/>
        </w:rPr>
        <w:t xml:space="preserve"> </w:t>
      </w:r>
      <w:r w:rsidR="008703C7" w:rsidRPr="00EF3367">
        <w:rPr>
          <w:lang w:val="en-GB"/>
        </w:rPr>
        <w:t xml:space="preserve">As a practical example of this potential mistake, let’s consider </w:t>
      </w:r>
      <w:r w:rsidR="008703C7" w:rsidRPr="00EF3367">
        <w:rPr>
          <w:lang w:val="en-GB"/>
        </w:rPr>
        <w:lastRenderedPageBreak/>
        <w:t xml:space="preserve">the calculation of the probability of failure on demand PFD of a </w:t>
      </w:r>
      <w:r w:rsidR="0062786D" w:rsidRPr="00EF3367">
        <w:rPr>
          <w:lang w:val="en-GB"/>
        </w:rPr>
        <w:t>high-level</w:t>
      </w:r>
      <w:r w:rsidR="008703C7" w:rsidRPr="00EF3367">
        <w:rPr>
          <w:lang w:val="en-GB"/>
        </w:rPr>
        <w:t xml:space="preserve"> automatic interlock</w:t>
      </w:r>
      <w:r w:rsidR="002756EF">
        <w:rPr>
          <w:lang w:val="en-GB"/>
        </w:rPr>
        <w:t xml:space="preserve"> LSH-01</w:t>
      </w:r>
      <w:r w:rsidR="008703C7" w:rsidRPr="00EF3367">
        <w:rPr>
          <w:lang w:val="en-GB"/>
        </w:rPr>
        <w:t xml:space="preserve"> consisting of an </w:t>
      </w:r>
      <w:r w:rsidR="008703C7" w:rsidRPr="0086666A">
        <w:rPr>
          <w:lang w:val="en-GB"/>
        </w:rPr>
        <w:t xml:space="preserve">initiator (level </w:t>
      </w:r>
      <w:r w:rsidR="002756EF">
        <w:rPr>
          <w:lang w:val="en-GB"/>
        </w:rPr>
        <w:t>transmitter</w:t>
      </w:r>
      <w:r w:rsidR="008703C7" w:rsidRPr="0086666A">
        <w:rPr>
          <w:lang w:val="en-GB"/>
        </w:rPr>
        <w:t>) L</w:t>
      </w:r>
      <w:r w:rsidR="002756EF">
        <w:rPr>
          <w:lang w:val="en-GB"/>
        </w:rPr>
        <w:t>T</w:t>
      </w:r>
      <w:r w:rsidR="008703C7" w:rsidRPr="0086666A">
        <w:rPr>
          <w:lang w:val="en-GB"/>
        </w:rPr>
        <w:t>-01, a logic solver PLC, and an actuator (gate valve) XV-01</w:t>
      </w:r>
      <w:r w:rsidR="002756EF">
        <w:rPr>
          <w:lang w:val="en-GB"/>
        </w:rPr>
        <w:t xml:space="preserve">, as schematically represented in Figure 1. The purpose of interlock </w:t>
      </w:r>
      <w:r w:rsidR="009E775C">
        <w:rPr>
          <w:lang w:val="en-GB"/>
        </w:rPr>
        <w:t xml:space="preserve">LSH-01 </w:t>
      </w:r>
      <w:r w:rsidR="002756EF">
        <w:rPr>
          <w:lang w:val="en-GB"/>
        </w:rPr>
        <w:t>is to close the liquid feeding valve XV-</w:t>
      </w:r>
      <w:r w:rsidR="009E775C">
        <w:rPr>
          <w:noProof/>
          <w:lang w:val="en-GB"/>
        </w:rPr>
        <mc:AlternateContent>
          <mc:Choice Requires="wps">
            <w:drawing>
              <wp:anchor distT="0" distB="0" distL="114300" distR="114300" simplePos="0" relativeHeight="251658241" behindDoc="0" locked="0" layoutInCell="1" allowOverlap="1" wp14:anchorId="4113D3DD" wp14:editId="4C090F6B">
                <wp:simplePos x="0" y="0"/>
                <wp:positionH relativeFrom="margin">
                  <wp:posOffset>21004</wp:posOffset>
                </wp:positionH>
                <wp:positionV relativeFrom="paragraph">
                  <wp:posOffset>655955</wp:posOffset>
                </wp:positionV>
                <wp:extent cx="5471795" cy="431800"/>
                <wp:effectExtent l="0" t="0" r="14605" b="25400"/>
                <wp:wrapTopAndBottom/>
                <wp:docPr id="1722350448" name="Casella di testo 2"/>
                <wp:cNvGraphicFramePr/>
                <a:graphic xmlns:a="http://schemas.openxmlformats.org/drawingml/2006/main">
                  <a:graphicData uri="http://schemas.microsoft.com/office/word/2010/wordprocessingShape">
                    <wps:wsp>
                      <wps:cNvSpPr txBox="1"/>
                      <wps:spPr>
                        <a:xfrm>
                          <a:off x="0" y="0"/>
                          <a:ext cx="5471795" cy="431800"/>
                        </a:xfrm>
                        <a:prstGeom prst="rect">
                          <a:avLst/>
                        </a:prstGeom>
                        <a:solidFill>
                          <a:schemeClr val="lt1"/>
                        </a:solidFill>
                        <a:ln w="12700">
                          <a:solidFill>
                            <a:prstClr val="black"/>
                          </a:solidFill>
                        </a:ln>
                      </wps:spPr>
                      <wps:txbx>
                        <w:txbxContent>
                          <w:p w14:paraId="040214B8" w14:textId="7BDE476B" w:rsidR="009E775C" w:rsidRPr="009E775C" w:rsidRDefault="009E775C" w:rsidP="009E775C">
                            <w:pPr>
                              <w:spacing w:line="240" w:lineRule="auto"/>
                              <w:jc w:val="center"/>
                              <w:rPr>
                                <w:rFonts w:asciiTheme="minorHAnsi" w:hAnsiTheme="minorHAnsi" w:cstheme="minorHAnsi"/>
                                <w:sz w:val="32"/>
                                <w:szCs w:val="32"/>
                              </w:rPr>
                            </w:pPr>
                            <w:r w:rsidRPr="009E775C">
                              <w:rPr>
                                <w:rFonts w:asciiTheme="minorHAnsi" w:hAnsiTheme="minorHAnsi" w:cstheme="minorHAnsi"/>
                                <w:sz w:val="32"/>
                                <w:szCs w:val="32"/>
                              </w:rPr>
                              <w:t>HIGH LEVEL INTERLOCK LSH-01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13D3DD" id="_x0000_t202" coordsize="21600,21600" o:spt="202" path="m,l,21600r21600,l21600,xe">
                <v:stroke joinstyle="miter"/>
                <v:path gradientshapeok="t" o:connecttype="rect"/>
              </v:shapetype>
              <v:shape id="Casella di testo 2" o:spid="_x0000_s1026" type="#_x0000_t202" style="position:absolute;left:0;text-align:left;margin-left:1.65pt;margin-top:51.65pt;width:430.85pt;height:34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" fillcolor="white [3201]" strokeweight="1pt">
                <v:textbox>
                  <w:txbxContent>
                    <w:p w14:paraId="040214B8" w14:textId="7BDE476B" w:rsidR="009E775C" w:rsidRPr="009E775C" w:rsidRDefault="009E775C" w:rsidP="009E775C">
                      <w:pPr>
                        <w:spacing w:line="240" w:lineRule="auto"/>
                        <w:jc w:val="center"/>
                        <w:rPr>
                          <w:rFonts w:asciiTheme="minorHAnsi" w:hAnsiTheme="minorHAnsi" w:cstheme="minorHAnsi"/>
                          <w:sz w:val="32"/>
                          <w:szCs w:val="32"/>
                        </w:rPr>
                      </w:pPr>
                      <w:r w:rsidRPr="009E775C">
                        <w:rPr>
                          <w:rFonts w:asciiTheme="minorHAnsi" w:hAnsiTheme="minorHAnsi" w:cstheme="minorHAnsi"/>
                          <w:sz w:val="32"/>
                          <w:szCs w:val="32"/>
                        </w:rPr>
                        <w:t>HIGH LEVEL INTERLOCK LSH-01</w:t>
                      </w:r>
                    </w:p>
                  </w:txbxContent>
                </v:textbox>
                <w10:wrap type="topAndBottom" anchorx="margin"/>
              </v:shape>
            </w:pict>
          </mc:Fallback>
        </mc:AlternateContent>
      </w:r>
      <w:r w:rsidR="009E775C">
        <w:rPr>
          <w:noProof/>
          <w:lang w:val="en-GB"/>
        </w:rPr>
        <w:drawing>
          <wp:anchor distT="0" distB="0" distL="114300" distR="114300" simplePos="0" relativeHeight="251658240" behindDoc="0" locked="0" layoutInCell="1" allowOverlap="1" wp14:anchorId="0A0A10BA" wp14:editId="5E55E77D">
            <wp:simplePos x="0" y="0"/>
            <wp:positionH relativeFrom="column">
              <wp:posOffset>21590</wp:posOffset>
            </wp:positionH>
            <wp:positionV relativeFrom="paragraph">
              <wp:posOffset>1083945</wp:posOffset>
            </wp:positionV>
            <wp:extent cx="5472000" cy="1294130"/>
            <wp:effectExtent l="19050" t="0" r="14605" b="20320"/>
            <wp:wrapTopAndBottom/>
            <wp:docPr id="163063142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2756EF">
        <w:rPr>
          <w:lang w:val="en-GB"/>
        </w:rPr>
        <w:t>01 in case the level transmitter LT-01 inside the tank</w:t>
      </w:r>
      <w:r w:rsidR="009E775C">
        <w:rPr>
          <w:lang w:val="en-GB"/>
        </w:rPr>
        <w:t>.</w:t>
      </w:r>
    </w:p>
    <w:p w14:paraId="41D8E5BE" w14:textId="77777777" w:rsidR="009E775C" w:rsidRDefault="009E775C" w:rsidP="009E775C">
      <w:pPr>
        <w:pStyle w:val="CETBodytext"/>
        <w:rPr>
          <w:rStyle w:val="CETCaptionCarattere"/>
        </w:rPr>
      </w:pPr>
    </w:p>
    <w:p w14:paraId="7ED50ECA" w14:textId="18BA659D" w:rsidR="009E775C" w:rsidRPr="00BD077D" w:rsidRDefault="009E775C" w:rsidP="009E775C">
      <w:pPr>
        <w:pStyle w:val="CETBodytext"/>
      </w:pPr>
      <w:r w:rsidRPr="00BD077D">
        <w:rPr>
          <w:rStyle w:val="CETCaptionCarattere"/>
        </w:rPr>
        <w:t xml:space="preserve">Figure 1: </w:t>
      </w:r>
      <w:r>
        <w:rPr>
          <w:rStyle w:val="CETCaptionCarattere"/>
          <w:i w:val="0"/>
        </w:rPr>
        <w:t>Schematic representation of a control loop</w:t>
      </w:r>
      <w:r w:rsidRPr="00BD077D">
        <w:t xml:space="preserve"> </w:t>
      </w:r>
    </w:p>
    <w:p w14:paraId="2E40E5CB" w14:textId="77777777" w:rsidR="009E775C" w:rsidRDefault="009E775C" w:rsidP="00EF3367">
      <w:pPr>
        <w:pStyle w:val="CETBodytext"/>
        <w:rPr>
          <w:lang w:val="en-GB"/>
        </w:rPr>
      </w:pPr>
    </w:p>
    <w:p w14:paraId="72B9B46F" w14:textId="352CB828" w:rsidR="000E404E" w:rsidRDefault="008703C7" w:rsidP="00EF3367">
      <w:pPr>
        <w:pStyle w:val="CETBodytext"/>
        <w:rPr>
          <w:lang w:val="en-GB"/>
        </w:rPr>
      </w:pPr>
      <w:r w:rsidRPr="0086666A">
        <w:rPr>
          <w:lang w:val="en-GB"/>
        </w:rPr>
        <w:t xml:space="preserve">The PFD of the </w:t>
      </w:r>
      <w:r w:rsidR="000E404E">
        <w:rPr>
          <w:lang w:val="en-GB"/>
        </w:rPr>
        <w:t>interlock can be calculate</w:t>
      </w:r>
      <w:r w:rsidR="003E0F82">
        <w:rPr>
          <w:lang w:val="en-GB"/>
        </w:rPr>
        <w:t>d</w:t>
      </w:r>
      <w:r w:rsidR="000E404E">
        <w:rPr>
          <w:lang w:val="en-GB"/>
        </w:rPr>
        <w:t xml:space="preserve"> as:</w:t>
      </w:r>
    </w:p>
    <w:tbl>
      <w:tblPr>
        <w:tblW w:w="5000" w:type="pct"/>
        <w:tblLook w:val="04A0" w:firstRow="1" w:lastRow="0" w:firstColumn="1" w:lastColumn="0" w:noHBand="0" w:noVBand="1"/>
      </w:tblPr>
      <w:tblGrid>
        <w:gridCol w:w="8188"/>
        <w:gridCol w:w="815"/>
      </w:tblGrid>
      <w:tr w:rsidR="000E404E" w:rsidRPr="00B57B36" w14:paraId="592E5B68" w14:textId="77777777" w:rsidTr="003506F4">
        <w:tc>
          <w:tcPr>
            <w:tcW w:w="8188" w:type="dxa"/>
            <w:shd w:val="clear" w:color="auto" w:fill="auto"/>
            <w:vAlign w:val="center"/>
          </w:tcPr>
          <w:p w14:paraId="6235B8F3" w14:textId="58A80964" w:rsidR="000E404E" w:rsidRPr="00F00560" w:rsidRDefault="00446189" w:rsidP="003E0F82">
            <w:pPr>
              <w:pStyle w:val="CETBodytext"/>
              <w:rPr>
                <w:lang w:val="en-GB"/>
              </w:rPr>
            </w:pPr>
            <m:oMathPara>
              <m:oMathParaPr>
                <m:jc m:val="left"/>
              </m:oMathParaPr>
              <m:oMath>
                <m:sSub>
                  <m:sSubPr>
                    <m:ctrlPr>
                      <w:rPr>
                        <w:rFonts w:ascii="Cambria Math" w:hAnsi="Cambria Math"/>
                      </w:rPr>
                    </m:ctrlPr>
                  </m:sSubPr>
                  <m:e>
                    <m:r>
                      <w:rPr>
                        <w:rFonts w:ascii="Cambria Math" w:hAnsi="Cambria Math"/>
                      </w:rPr>
                      <m:t>PFD</m:t>
                    </m:r>
                  </m:e>
                  <m:sub>
                    <m:r>
                      <w:rPr>
                        <w:rFonts w:ascii="Cambria Math" w:hAnsi="Cambria Math"/>
                      </w:rPr>
                      <m:t>Overall</m:t>
                    </m:r>
                  </m:sub>
                </m:sSub>
                <m:r>
                  <m:rPr>
                    <m:sty m:val="p"/>
                  </m:rPr>
                  <w:rPr>
                    <w:rFonts w:ascii="Cambria Math" w:hAnsi="Cambria Math"/>
                  </w:rPr>
                  <m:t>=</m:t>
                </m:r>
                <m:sSub>
                  <m:sSubPr>
                    <m:ctrlPr>
                      <w:rPr>
                        <w:rFonts w:ascii="Cambria Math" w:hAnsi="Cambria Math"/>
                      </w:rPr>
                    </m:ctrlPr>
                  </m:sSubPr>
                  <m:e>
                    <m:r>
                      <w:rPr>
                        <w:rFonts w:ascii="Cambria Math" w:hAnsi="Cambria Math"/>
                      </w:rPr>
                      <m:t>PFD</m:t>
                    </m:r>
                  </m:e>
                  <m:sub>
                    <m:r>
                      <w:rPr>
                        <w:rFonts w:ascii="Cambria Math" w:hAnsi="Cambria Math"/>
                      </w:rPr>
                      <m:t>Initiator</m:t>
                    </m:r>
                  </m:sub>
                </m:sSub>
                <m:r>
                  <m:rPr>
                    <m:sty m:val="p"/>
                  </m:rPr>
                  <w:rPr>
                    <w:rFonts w:ascii="Cambria Math" w:hAnsi="Cambria Math"/>
                  </w:rPr>
                  <m:t>+</m:t>
                </m:r>
                <m:sSub>
                  <m:sSubPr>
                    <m:ctrlPr>
                      <w:rPr>
                        <w:rFonts w:ascii="Cambria Math" w:hAnsi="Cambria Math"/>
                      </w:rPr>
                    </m:ctrlPr>
                  </m:sSubPr>
                  <m:e>
                    <m:r>
                      <w:rPr>
                        <w:rFonts w:ascii="Cambria Math" w:hAnsi="Cambria Math"/>
                      </w:rPr>
                      <m:t>PFD</m:t>
                    </m:r>
                  </m:e>
                  <m:sub>
                    <m:r>
                      <w:rPr>
                        <w:rFonts w:ascii="Cambria Math" w:hAnsi="Cambria Math"/>
                      </w:rPr>
                      <m:t>Logic</m:t>
                    </m:r>
                    <m:r>
                      <m:rPr>
                        <m:sty m:val="p"/>
                      </m:rPr>
                      <w:rPr>
                        <w:rFonts w:ascii="Cambria Math" w:hAnsi="Cambria Math"/>
                      </w:rPr>
                      <m:t xml:space="preserve"> </m:t>
                    </m:r>
                    <m:r>
                      <w:rPr>
                        <w:rFonts w:ascii="Cambria Math" w:hAnsi="Cambria Math"/>
                      </w:rPr>
                      <m:t>Solver</m:t>
                    </m:r>
                  </m:sub>
                </m:sSub>
                <m:r>
                  <m:rPr>
                    <m:sty m:val="p"/>
                  </m:rPr>
                  <w:rPr>
                    <w:rFonts w:ascii="Cambria Math" w:hAnsi="Cambria Math"/>
                  </w:rPr>
                  <m:t>+</m:t>
                </m:r>
                <m:sSub>
                  <m:sSubPr>
                    <m:ctrlPr>
                      <w:rPr>
                        <w:rFonts w:ascii="Cambria Math" w:hAnsi="Cambria Math"/>
                      </w:rPr>
                    </m:ctrlPr>
                  </m:sSubPr>
                  <m:e>
                    <m:r>
                      <w:rPr>
                        <w:rFonts w:ascii="Cambria Math" w:hAnsi="Cambria Math"/>
                      </w:rPr>
                      <m:t>PFD</m:t>
                    </m:r>
                  </m:e>
                  <m:sub>
                    <m:r>
                      <w:rPr>
                        <w:rFonts w:ascii="Cambria Math" w:hAnsi="Cambria Math"/>
                      </w:rPr>
                      <m:t>Final</m:t>
                    </m:r>
                    <m:r>
                      <m:rPr>
                        <m:sty m:val="p"/>
                      </m:rPr>
                      <w:rPr>
                        <w:rFonts w:ascii="Cambria Math" w:hAnsi="Cambria Math"/>
                      </w:rPr>
                      <m:t xml:space="preserve"> </m:t>
                    </m:r>
                    <m:r>
                      <w:rPr>
                        <w:rFonts w:ascii="Cambria Math" w:hAnsi="Cambria Math"/>
                      </w:rPr>
                      <m:t>Element</m:t>
                    </m:r>
                  </m:sub>
                </m:sSub>
              </m:oMath>
            </m:oMathPara>
          </w:p>
        </w:tc>
        <w:tc>
          <w:tcPr>
            <w:tcW w:w="815" w:type="dxa"/>
            <w:shd w:val="clear" w:color="auto" w:fill="auto"/>
            <w:vAlign w:val="center"/>
          </w:tcPr>
          <w:p w14:paraId="42051CCA" w14:textId="77777777" w:rsidR="000E404E" w:rsidRPr="00B57B36" w:rsidRDefault="000E404E" w:rsidP="003506F4">
            <w:pPr>
              <w:pStyle w:val="CETEquation"/>
              <w:jc w:val="right"/>
            </w:pPr>
            <w:r w:rsidRPr="00F00560">
              <w:t>(1)</w:t>
            </w:r>
          </w:p>
        </w:tc>
      </w:tr>
    </w:tbl>
    <w:p w14:paraId="4AB9771D" w14:textId="26660D0A" w:rsidR="006E7979" w:rsidRDefault="003E0F82" w:rsidP="00EF3367">
      <w:pPr>
        <w:pStyle w:val="CETBodytext"/>
        <w:rPr>
          <w:lang w:val="en-GB"/>
        </w:rPr>
      </w:pPr>
      <w:r>
        <w:rPr>
          <w:lang w:val="en-GB"/>
        </w:rPr>
        <w:t xml:space="preserve">In </w:t>
      </w:r>
      <w:r w:rsidR="00F00560">
        <w:rPr>
          <w:lang w:val="en-GB"/>
        </w:rPr>
        <w:t>its most basic configuration</w:t>
      </w:r>
      <w:r>
        <w:rPr>
          <w:lang w:val="en-GB"/>
        </w:rPr>
        <w:t xml:space="preserve"> t</w:t>
      </w:r>
      <w:r w:rsidRPr="0086666A">
        <w:rPr>
          <w:lang w:val="en-GB"/>
        </w:rPr>
        <w:t xml:space="preserve">he </w:t>
      </w:r>
      <w:r w:rsidR="008703C7" w:rsidRPr="0086666A">
        <w:rPr>
          <w:lang w:val="en-GB"/>
        </w:rPr>
        <w:t>PFD of the whole interlock</w:t>
      </w:r>
      <w:r w:rsidR="000144B6">
        <w:rPr>
          <w:lang w:val="en-GB"/>
        </w:rPr>
        <w:t>, when all the</w:t>
      </w:r>
      <w:r w:rsidR="001411F2">
        <w:rPr>
          <w:lang w:val="en-GB"/>
        </w:rPr>
        <w:t xml:space="preserve"> other</w:t>
      </w:r>
      <w:r w:rsidR="000144B6">
        <w:rPr>
          <w:lang w:val="en-GB"/>
        </w:rPr>
        <w:t xml:space="preserve"> elements are in 1oo1 configuration,</w:t>
      </w:r>
      <w:r w:rsidR="008703C7" w:rsidRPr="0086666A">
        <w:rPr>
          <w:lang w:val="en-GB"/>
        </w:rPr>
        <w:t xml:space="preserve"> depends on the reliability of the initiator and of the actuato</w:t>
      </w:r>
      <w:r w:rsidR="0086666A">
        <w:rPr>
          <w:lang w:val="en-GB"/>
        </w:rPr>
        <w:t>r</w:t>
      </w:r>
      <w:r w:rsidR="008703C7" w:rsidRPr="0086666A">
        <w:rPr>
          <w:lang w:val="en-GB"/>
        </w:rPr>
        <w:t>, while the contribution of the logic solver is generally negligible because it is usually more reliable</w:t>
      </w:r>
      <w:r w:rsidR="00EF3367" w:rsidRPr="0086666A">
        <w:rPr>
          <w:lang w:val="en-GB"/>
        </w:rPr>
        <w:t xml:space="preserve">. While </w:t>
      </w:r>
      <w:r w:rsidR="001411F2">
        <w:rPr>
          <w:lang w:val="en-GB"/>
        </w:rPr>
        <w:t>neglecting</w:t>
      </w:r>
      <w:r w:rsidR="001411F2" w:rsidRPr="0086666A">
        <w:rPr>
          <w:lang w:val="en-GB"/>
        </w:rPr>
        <w:t xml:space="preserve"> </w:t>
      </w:r>
      <w:r w:rsidR="001411F2">
        <w:rPr>
          <w:lang w:val="en-GB"/>
        </w:rPr>
        <w:t>the Logic Solver failure</w:t>
      </w:r>
      <w:r w:rsidR="00EF3367" w:rsidRPr="0086666A">
        <w:rPr>
          <w:lang w:val="en-GB"/>
        </w:rPr>
        <w:t xml:space="preserve"> is acceptable if the Fault Tree only has one or two automatic interlocks on the same logic solver, it can quickly lead </w:t>
      </w:r>
      <w:r w:rsidR="0086666A">
        <w:rPr>
          <w:lang w:val="en-GB"/>
        </w:rPr>
        <w:t xml:space="preserve">the calculation astray if multiple interlocks contribute to different branches of the same Fault Tree. </w:t>
      </w:r>
    </w:p>
    <w:p w14:paraId="3286DE53" w14:textId="1D41A294" w:rsidR="0086666A" w:rsidRPr="0086666A" w:rsidRDefault="0086666A" w:rsidP="00EF3367">
      <w:pPr>
        <w:pStyle w:val="CETBodytext"/>
      </w:pPr>
      <w:r>
        <w:rPr>
          <w:lang w:val="en-GB"/>
        </w:rPr>
        <w:t xml:space="preserve">In both scenarios mentioned above, the initial mistakes may lead </w:t>
      </w:r>
      <w:r w:rsidRPr="0086666A">
        <w:rPr>
          <w:lang w:val="en-GB"/>
        </w:rPr>
        <w:t>to devastating</w:t>
      </w:r>
      <w:r w:rsidRPr="0086666A">
        <w:t xml:space="preserve"> </w:t>
      </w:r>
      <w:r w:rsidRPr="0086666A">
        <w:rPr>
          <w:lang w:val="en-GB"/>
        </w:rPr>
        <w:t>underestimations of the final calculated Top Event frequency</w:t>
      </w:r>
      <w:r>
        <w:rPr>
          <w:lang w:val="en-GB"/>
        </w:rPr>
        <w:t xml:space="preserve">, sometimes several orders of magnitude lower than the actual value. </w:t>
      </w:r>
    </w:p>
    <w:p w14:paraId="47C9E18D" w14:textId="77777777" w:rsidR="0062786D" w:rsidRDefault="00F00560" w:rsidP="006E7979">
      <w:pPr>
        <w:pStyle w:val="CETBodytext"/>
        <w:rPr>
          <w:lang w:val="en-GB"/>
        </w:rPr>
      </w:pPr>
      <w:r w:rsidRPr="00F00560">
        <w:rPr>
          <w:lang w:val="en-GB"/>
        </w:rPr>
        <w:t xml:space="preserve">When carrying out a QRA, </w:t>
      </w:r>
      <w:r w:rsidR="006E7979" w:rsidRPr="00F00560">
        <w:rPr>
          <w:lang w:val="en-GB"/>
        </w:rPr>
        <w:t xml:space="preserve">the most commonly omitted element in the construction of </w:t>
      </w:r>
      <w:r w:rsidRPr="00F00560">
        <w:rPr>
          <w:lang w:val="en-GB"/>
        </w:rPr>
        <w:t xml:space="preserve">Fault Trees </w:t>
      </w:r>
      <w:r w:rsidR="006E7979" w:rsidRPr="00F00560">
        <w:rPr>
          <w:lang w:val="en-GB"/>
        </w:rPr>
        <w:t>is the failure of the logic solver</w:t>
      </w:r>
      <w:r w:rsidRPr="00F00560">
        <w:rPr>
          <w:lang w:val="en-GB"/>
        </w:rPr>
        <w:t xml:space="preserve">, represented by the </w:t>
      </w:r>
      <w:r w:rsidR="006E7979" w:rsidRPr="00F00560">
        <w:rPr>
          <w:lang w:val="en-GB"/>
        </w:rPr>
        <w:t>Distributed Control System DCS or the Safety-PLC</w:t>
      </w:r>
      <w:r w:rsidRPr="00F00560">
        <w:rPr>
          <w:lang w:val="en-GB"/>
        </w:rPr>
        <w:t>,</w:t>
      </w:r>
      <w:r w:rsidR="006E7979" w:rsidRPr="00F00560">
        <w:rPr>
          <w:lang w:val="en-GB"/>
        </w:rPr>
        <w:t xml:space="preserve"> as th</w:t>
      </w:r>
      <w:r w:rsidRPr="00F00560">
        <w:rPr>
          <w:lang w:val="en-GB"/>
        </w:rPr>
        <w:t xml:space="preserve">ese elements, </w:t>
      </w:r>
      <w:r w:rsidR="006E7979" w:rsidRPr="00F00560">
        <w:rPr>
          <w:lang w:val="en-GB"/>
        </w:rPr>
        <w:t xml:space="preserve">taken individually, </w:t>
      </w:r>
      <w:r w:rsidRPr="00F00560">
        <w:rPr>
          <w:lang w:val="en-GB"/>
        </w:rPr>
        <w:t>are</w:t>
      </w:r>
      <w:r w:rsidR="006E7979" w:rsidRPr="00F00560">
        <w:rPr>
          <w:lang w:val="en-GB"/>
        </w:rPr>
        <w:t xml:space="preserve"> much more reliable than the typical instrumentation of a process plant (transmitters, switches, valves, power breakers, etc.).</w:t>
      </w:r>
      <w:r>
        <w:rPr>
          <w:lang w:val="en-GB"/>
        </w:rPr>
        <w:t xml:space="preserve"> </w:t>
      </w:r>
    </w:p>
    <w:p w14:paraId="60C6D90E" w14:textId="617B0709" w:rsidR="007A66C0" w:rsidRPr="007A66C0" w:rsidRDefault="00F00560" w:rsidP="006E7979">
      <w:pPr>
        <w:pStyle w:val="CETBodytext"/>
        <w:rPr>
          <w:lang w:val="en-GB"/>
        </w:rPr>
      </w:pPr>
      <w:r>
        <w:rPr>
          <w:lang w:val="en-GB"/>
        </w:rPr>
        <w:t>T</w:t>
      </w:r>
      <w:r w:rsidRPr="007A66C0">
        <w:rPr>
          <w:lang w:val="en-GB"/>
        </w:rPr>
        <w:t xml:space="preserve">he error in making this simplification </w:t>
      </w:r>
      <w:r w:rsidR="007A66C0" w:rsidRPr="007A66C0">
        <w:rPr>
          <w:lang w:val="en-GB"/>
        </w:rPr>
        <w:t xml:space="preserve">becomes increasingly greater as the complexity of the tree grows. In complex Fault Trees, </w:t>
      </w:r>
      <w:r w:rsidRPr="007A66C0">
        <w:rPr>
          <w:lang w:val="en-GB"/>
        </w:rPr>
        <w:t xml:space="preserve">a single Top Event is made up of several initiating causes and </w:t>
      </w:r>
      <w:r w:rsidR="007A66C0" w:rsidRPr="007A66C0">
        <w:rPr>
          <w:lang w:val="en-GB"/>
        </w:rPr>
        <w:t xml:space="preserve">multiple barriers, with independent initiating elements and with completely independent final elements: each barrier contributes to the calculation of the final frequency with its own PFD. </w:t>
      </w:r>
    </w:p>
    <w:p w14:paraId="3234364C" w14:textId="6FEBD755" w:rsidR="006E7979" w:rsidRPr="007A66C0" w:rsidRDefault="007A66C0" w:rsidP="006E7979">
      <w:pPr>
        <w:pStyle w:val="CETBodytext"/>
        <w:rPr>
          <w:lang w:val="en-GB"/>
        </w:rPr>
      </w:pPr>
      <w:r w:rsidRPr="007A66C0">
        <w:rPr>
          <w:lang w:val="en-GB"/>
        </w:rPr>
        <w:t xml:space="preserve">If all the listed barriers (interlocks) are implemented on the same logic solver (be it DCS o S-PLC), it must be kept in mind that the </w:t>
      </w:r>
      <w:r w:rsidR="006E7979" w:rsidRPr="007A66C0">
        <w:rPr>
          <w:lang w:val="en-GB"/>
        </w:rPr>
        <w:t>overall reliability of all barriers</w:t>
      </w:r>
      <w:r w:rsidR="001411F2" w:rsidRPr="007A66C0">
        <w:rPr>
          <w:lang w:val="en-GB"/>
        </w:rPr>
        <w:t xml:space="preserve"> (</w:t>
      </w:r>
      <w:r w:rsidRPr="007A66C0">
        <w:rPr>
          <w:lang w:val="en-GB"/>
        </w:rPr>
        <w:t xml:space="preserve">linked through a </w:t>
      </w:r>
      <w:r w:rsidR="001411F2" w:rsidRPr="007A66C0">
        <w:rPr>
          <w:lang w:val="en-GB"/>
        </w:rPr>
        <w:t>AND logic into the Fault Tree)</w:t>
      </w:r>
      <w:r w:rsidR="006E7979" w:rsidRPr="007A66C0">
        <w:rPr>
          <w:lang w:val="en-GB"/>
        </w:rPr>
        <w:t xml:space="preserve"> cannot exceed the reliability of the logic solver itself, as </w:t>
      </w:r>
      <w:r w:rsidRPr="007A66C0">
        <w:rPr>
          <w:lang w:val="en-GB"/>
        </w:rPr>
        <w:t>the logic solver represents</w:t>
      </w:r>
      <w:r w:rsidR="006E7979" w:rsidRPr="007A66C0">
        <w:rPr>
          <w:lang w:val="en-GB"/>
        </w:rPr>
        <w:t xml:space="preserve"> the </w:t>
      </w:r>
      <w:r w:rsidRPr="007A66C0">
        <w:rPr>
          <w:lang w:val="en-GB"/>
        </w:rPr>
        <w:t>Common Cause Failure</w:t>
      </w:r>
      <w:r w:rsidR="006E7979" w:rsidRPr="007A66C0">
        <w:rPr>
          <w:lang w:val="en-GB"/>
        </w:rPr>
        <w:t xml:space="preserve"> </w:t>
      </w:r>
      <w:r w:rsidRPr="007A66C0">
        <w:rPr>
          <w:lang w:val="en-GB"/>
        </w:rPr>
        <w:t xml:space="preserve">(CCF) </w:t>
      </w:r>
      <w:r w:rsidR="006E7979" w:rsidRPr="007A66C0">
        <w:rPr>
          <w:lang w:val="en-GB"/>
        </w:rPr>
        <w:t>element.</w:t>
      </w:r>
    </w:p>
    <w:p w14:paraId="4FC9AD9C" w14:textId="76501B56" w:rsidR="002731F4" w:rsidRPr="00C067FA" w:rsidRDefault="006E7979" w:rsidP="00600535">
      <w:pPr>
        <w:pStyle w:val="CETBodytext"/>
        <w:rPr>
          <w:lang w:val="en-GB"/>
        </w:rPr>
      </w:pPr>
      <w:r w:rsidRPr="00C067FA">
        <w:rPr>
          <w:lang w:val="en-GB"/>
        </w:rPr>
        <w:t>The most reliable logic solvers used in process industries on the market today are those suitable for SIL 3 applications. With reference to IEC61511 standard</w:t>
      </w:r>
      <w:r w:rsidR="007A66C0" w:rsidRPr="00C067FA">
        <w:rPr>
          <w:lang w:val="en-GB"/>
        </w:rPr>
        <w:t>,</w:t>
      </w:r>
      <w:r w:rsidRPr="00C067FA">
        <w:rPr>
          <w:lang w:val="en-GB"/>
        </w:rPr>
        <w:t xml:space="preserve"> </w:t>
      </w:r>
      <w:r w:rsidR="001411F2" w:rsidRPr="00C067FA">
        <w:rPr>
          <w:lang w:val="en-GB"/>
        </w:rPr>
        <w:t>the</w:t>
      </w:r>
      <w:r w:rsidRPr="00C067FA">
        <w:rPr>
          <w:lang w:val="en-GB"/>
        </w:rPr>
        <w:t xml:space="preserve"> SIL 3 level corresponds, for a system operating in demand mode of operation</w:t>
      </w:r>
      <w:r w:rsidR="001411F2" w:rsidRPr="00C067FA">
        <w:rPr>
          <w:lang w:val="en-GB"/>
        </w:rPr>
        <w:t xml:space="preserve"> (typical for continuous plant)</w:t>
      </w:r>
      <w:r w:rsidRPr="00C067FA">
        <w:rPr>
          <w:lang w:val="en-GB"/>
        </w:rPr>
        <w:t>, to an average probability of failure on demand PFD</w:t>
      </w:r>
      <w:r w:rsidRPr="00C067FA">
        <w:rPr>
          <w:vertAlign w:val="subscript"/>
          <w:lang w:val="en-GB"/>
        </w:rPr>
        <w:t>avg</w:t>
      </w:r>
      <w:r w:rsidRPr="00C067FA">
        <w:rPr>
          <w:lang w:val="en-GB"/>
        </w:rPr>
        <w:t xml:space="preserve"> between 10</w:t>
      </w:r>
      <w:r w:rsidRPr="00C067FA">
        <w:rPr>
          <w:vertAlign w:val="superscript"/>
          <w:lang w:val="en-GB"/>
        </w:rPr>
        <w:t>-4</w:t>
      </w:r>
      <w:r w:rsidRPr="00C067FA">
        <w:rPr>
          <w:lang w:val="en-GB"/>
        </w:rPr>
        <w:t xml:space="preserve"> and 10</w:t>
      </w:r>
      <w:r w:rsidRPr="00C067FA">
        <w:rPr>
          <w:vertAlign w:val="superscript"/>
          <w:lang w:val="en-GB"/>
        </w:rPr>
        <w:t>-3</w:t>
      </w:r>
      <w:r w:rsidR="00C067FA" w:rsidRPr="00C067FA">
        <w:rPr>
          <w:lang w:val="en-GB"/>
        </w:rPr>
        <w:t xml:space="preserve">, </w:t>
      </w:r>
      <w:r w:rsidRPr="00C067FA">
        <w:rPr>
          <w:lang w:val="en-GB"/>
        </w:rPr>
        <w:t>as shown in the table below.</w:t>
      </w:r>
    </w:p>
    <w:p w14:paraId="34E1A8BA" w14:textId="140191A1" w:rsidR="006E7979" w:rsidRPr="00C067FA" w:rsidRDefault="006E7979" w:rsidP="006E7979">
      <w:pPr>
        <w:pStyle w:val="CETTabletitle"/>
      </w:pPr>
      <w:r w:rsidRPr="00C067FA">
        <w:t>Table 1: Safey Integrity requirement: PFD</w:t>
      </w:r>
      <w:r w:rsidRPr="00C067FA">
        <w:rPr>
          <w:vertAlign w:val="subscript"/>
        </w:rPr>
        <w:t>avg</w:t>
      </w:r>
      <w:r w:rsidRPr="00C067FA">
        <w:t xml:space="preserve"> (from IEC6</w:t>
      </w:r>
      <w:r w:rsidR="00C067FA" w:rsidRPr="00C067FA">
        <w:t>1</w:t>
      </w:r>
      <w:r w:rsidRPr="00C067FA">
        <w:t>511)</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57"/>
        <w:gridCol w:w="2251"/>
        <w:gridCol w:w="3379"/>
      </w:tblGrid>
      <w:tr w:rsidR="00C067FA" w:rsidRPr="00C067FA" w14:paraId="5FD8807D" w14:textId="77777777" w:rsidTr="00D7348D">
        <w:tc>
          <w:tcPr>
            <w:tcW w:w="5000" w:type="pct"/>
            <w:gridSpan w:val="3"/>
            <w:tcBorders>
              <w:top w:val="single" w:sz="12" w:space="0" w:color="008000"/>
              <w:bottom w:val="single" w:sz="6" w:space="0" w:color="008000"/>
            </w:tcBorders>
            <w:shd w:val="clear" w:color="auto" w:fill="FFFFFF"/>
          </w:tcPr>
          <w:p w14:paraId="0D119DEC" w14:textId="205B9EE4" w:rsidR="00D7348D" w:rsidRPr="00C067FA" w:rsidRDefault="00D7348D" w:rsidP="00D7348D">
            <w:pPr>
              <w:pStyle w:val="CETBodytext"/>
              <w:jc w:val="center"/>
              <w:rPr>
                <w:lang w:val="en-GB"/>
              </w:rPr>
            </w:pPr>
            <w:r w:rsidRPr="00C067FA">
              <w:rPr>
                <w:lang w:val="en-GB"/>
              </w:rPr>
              <w:t>DEMAND MODE OF OPERATION</w:t>
            </w:r>
          </w:p>
        </w:tc>
      </w:tr>
      <w:tr w:rsidR="00C067FA" w:rsidRPr="00C067FA" w14:paraId="0E3751BA" w14:textId="77777777" w:rsidTr="00D7348D">
        <w:tc>
          <w:tcPr>
            <w:tcW w:w="1796" w:type="pct"/>
            <w:tcBorders>
              <w:top w:val="single" w:sz="12" w:space="0" w:color="008000"/>
              <w:bottom w:val="single" w:sz="6" w:space="0" w:color="008000"/>
            </w:tcBorders>
            <w:shd w:val="clear" w:color="auto" w:fill="FFFFFF"/>
          </w:tcPr>
          <w:p w14:paraId="5012C0CF" w14:textId="52920242" w:rsidR="006E7979" w:rsidRPr="00C067FA" w:rsidRDefault="006E7979" w:rsidP="006E7979">
            <w:pPr>
              <w:pStyle w:val="CETBodytext"/>
              <w:jc w:val="center"/>
              <w:rPr>
                <w:lang w:val="en-GB"/>
              </w:rPr>
            </w:pPr>
            <w:r w:rsidRPr="00C067FA">
              <w:rPr>
                <w:lang w:val="en-GB"/>
              </w:rPr>
              <w:t>Safety Integrity level (SIL)</w:t>
            </w:r>
          </w:p>
        </w:tc>
        <w:tc>
          <w:tcPr>
            <w:tcW w:w="1281" w:type="pct"/>
            <w:tcBorders>
              <w:top w:val="single" w:sz="12" w:space="0" w:color="008000"/>
              <w:bottom w:val="single" w:sz="6" w:space="0" w:color="008000"/>
            </w:tcBorders>
            <w:shd w:val="clear" w:color="auto" w:fill="FFFFFF"/>
          </w:tcPr>
          <w:p w14:paraId="7A7BABD9" w14:textId="2811C1D3" w:rsidR="006E7979" w:rsidRPr="00C067FA" w:rsidRDefault="006E7979" w:rsidP="006E7979">
            <w:pPr>
              <w:pStyle w:val="CETBodytext"/>
              <w:jc w:val="center"/>
              <w:rPr>
                <w:lang w:val="en-GB"/>
              </w:rPr>
            </w:pPr>
            <w:r w:rsidRPr="00C067FA">
              <w:rPr>
                <w:lang w:val="en-GB"/>
              </w:rPr>
              <w:t>PFD</w:t>
            </w:r>
            <w:r w:rsidRPr="00C067FA">
              <w:rPr>
                <w:vertAlign w:val="subscript"/>
                <w:lang w:val="en-GB"/>
              </w:rPr>
              <w:t>avg</w:t>
            </w:r>
          </w:p>
        </w:tc>
        <w:tc>
          <w:tcPr>
            <w:tcW w:w="1923" w:type="pct"/>
            <w:tcBorders>
              <w:top w:val="single" w:sz="12" w:space="0" w:color="008000"/>
              <w:bottom w:val="single" w:sz="6" w:space="0" w:color="008000"/>
            </w:tcBorders>
            <w:shd w:val="clear" w:color="auto" w:fill="FFFFFF"/>
          </w:tcPr>
          <w:p w14:paraId="757C9E30" w14:textId="5F942DCB" w:rsidR="006E7979" w:rsidRPr="00C067FA" w:rsidRDefault="006E7979" w:rsidP="006E7979">
            <w:pPr>
              <w:pStyle w:val="CETBodytext"/>
              <w:jc w:val="center"/>
              <w:rPr>
                <w:lang w:val="en-GB"/>
              </w:rPr>
            </w:pPr>
            <w:r w:rsidRPr="00C067FA">
              <w:rPr>
                <w:lang w:val="en-GB"/>
              </w:rPr>
              <w:t>Required Risk Reduction</w:t>
            </w:r>
          </w:p>
        </w:tc>
      </w:tr>
      <w:tr w:rsidR="00C067FA" w:rsidRPr="00C067FA" w14:paraId="0CD61502" w14:textId="77777777" w:rsidTr="00D7348D">
        <w:tc>
          <w:tcPr>
            <w:tcW w:w="1796" w:type="pct"/>
            <w:shd w:val="clear" w:color="auto" w:fill="FFFFFF"/>
          </w:tcPr>
          <w:p w14:paraId="7B46F45B" w14:textId="0079A0B1" w:rsidR="006E7979" w:rsidRPr="00C067FA" w:rsidRDefault="006E7979" w:rsidP="006E7979">
            <w:pPr>
              <w:pStyle w:val="CETBodytext"/>
              <w:jc w:val="center"/>
              <w:rPr>
                <w:lang w:val="en-GB"/>
              </w:rPr>
            </w:pPr>
            <w:r w:rsidRPr="00C067FA">
              <w:rPr>
                <w:lang w:val="en-GB"/>
              </w:rPr>
              <w:t>4</w:t>
            </w:r>
          </w:p>
        </w:tc>
        <w:tc>
          <w:tcPr>
            <w:tcW w:w="1281" w:type="pct"/>
            <w:shd w:val="clear" w:color="auto" w:fill="FFFFFF"/>
          </w:tcPr>
          <w:p w14:paraId="6C193234" w14:textId="43B101DF" w:rsidR="006E7979" w:rsidRPr="00C067FA" w:rsidRDefault="006E7979" w:rsidP="006E7979">
            <w:pPr>
              <w:pStyle w:val="CETBodytext"/>
              <w:jc w:val="center"/>
              <w:rPr>
                <w:lang w:val="en-GB"/>
              </w:rPr>
            </w:pPr>
            <w:r w:rsidRPr="00C067FA">
              <w:rPr>
                <w:rFonts w:cs="Arial"/>
                <w:lang w:val="en-GB"/>
              </w:rPr>
              <w:t>≥</w:t>
            </w:r>
            <w:r w:rsidRPr="00C067FA">
              <w:rPr>
                <w:lang w:val="en-GB"/>
              </w:rPr>
              <w:t xml:space="preserve"> 10</w:t>
            </w:r>
            <w:r w:rsidRPr="00C067FA">
              <w:rPr>
                <w:vertAlign w:val="superscript"/>
                <w:lang w:val="en-GB"/>
              </w:rPr>
              <w:t>-5</w:t>
            </w:r>
            <w:r w:rsidRPr="00C067FA">
              <w:rPr>
                <w:lang w:val="en-GB"/>
              </w:rPr>
              <w:t xml:space="preserve"> to &lt; 10</w:t>
            </w:r>
            <w:r w:rsidRPr="00C067FA">
              <w:rPr>
                <w:vertAlign w:val="superscript"/>
                <w:lang w:val="en-GB"/>
              </w:rPr>
              <w:t>-4</w:t>
            </w:r>
          </w:p>
        </w:tc>
        <w:tc>
          <w:tcPr>
            <w:tcW w:w="1923" w:type="pct"/>
            <w:shd w:val="clear" w:color="auto" w:fill="FFFFFF"/>
          </w:tcPr>
          <w:p w14:paraId="1DA7EB81" w14:textId="3F75E8CA" w:rsidR="006E7979" w:rsidRPr="00C067FA" w:rsidRDefault="00D7348D" w:rsidP="00D7348D">
            <w:pPr>
              <w:pStyle w:val="CETBodytext"/>
              <w:jc w:val="center"/>
              <w:rPr>
                <w:lang w:val="en-GB"/>
              </w:rPr>
            </w:pPr>
            <w:r w:rsidRPr="00C067FA">
              <w:rPr>
                <w:lang w:val="en-GB"/>
              </w:rPr>
              <w:t xml:space="preserve">&gt; 10,000 to </w:t>
            </w:r>
            <w:r w:rsidRPr="00C067FA">
              <w:rPr>
                <w:rFonts w:cs="Arial"/>
                <w:lang w:val="en-GB"/>
              </w:rPr>
              <w:t>≤</w:t>
            </w:r>
            <w:r w:rsidRPr="00C067FA">
              <w:rPr>
                <w:lang w:val="en-GB"/>
              </w:rPr>
              <w:t xml:space="preserve"> 100,000</w:t>
            </w:r>
          </w:p>
        </w:tc>
      </w:tr>
      <w:tr w:rsidR="00C067FA" w:rsidRPr="00C067FA" w14:paraId="20C45E08" w14:textId="77777777" w:rsidTr="00D7348D">
        <w:tc>
          <w:tcPr>
            <w:tcW w:w="1796" w:type="pct"/>
            <w:shd w:val="clear" w:color="auto" w:fill="FFFFFF"/>
          </w:tcPr>
          <w:p w14:paraId="1C146C6A" w14:textId="55164D30" w:rsidR="006E7979" w:rsidRPr="00C067FA" w:rsidRDefault="006E7979" w:rsidP="006E7979">
            <w:pPr>
              <w:pStyle w:val="CETBodytext"/>
              <w:jc w:val="center"/>
              <w:rPr>
                <w:lang w:val="en-GB"/>
              </w:rPr>
            </w:pPr>
            <w:r w:rsidRPr="00C067FA">
              <w:rPr>
                <w:lang w:val="en-GB"/>
              </w:rPr>
              <w:t>3</w:t>
            </w:r>
          </w:p>
        </w:tc>
        <w:tc>
          <w:tcPr>
            <w:tcW w:w="1281" w:type="pct"/>
            <w:shd w:val="clear" w:color="auto" w:fill="FFFFFF"/>
          </w:tcPr>
          <w:p w14:paraId="568FF14D" w14:textId="5317A04D" w:rsidR="006E7979" w:rsidRPr="00C067FA" w:rsidRDefault="006E7979" w:rsidP="006E7979">
            <w:pPr>
              <w:pStyle w:val="CETBodytext"/>
              <w:jc w:val="center"/>
              <w:rPr>
                <w:lang w:val="en-GB"/>
              </w:rPr>
            </w:pPr>
            <w:r w:rsidRPr="00C067FA">
              <w:rPr>
                <w:rFonts w:cs="Arial"/>
                <w:lang w:val="en-GB"/>
              </w:rPr>
              <w:t>≥</w:t>
            </w:r>
            <w:r w:rsidRPr="00C067FA">
              <w:rPr>
                <w:lang w:val="en-GB"/>
              </w:rPr>
              <w:t xml:space="preserve"> 10</w:t>
            </w:r>
            <w:r w:rsidRPr="00C067FA">
              <w:rPr>
                <w:vertAlign w:val="superscript"/>
                <w:lang w:val="en-GB"/>
              </w:rPr>
              <w:t>-4</w:t>
            </w:r>
            <w:r w:rsidRPr="00C067FA">
              <w:rPr>
                <w:lang w:val="en-GB"/>
              </w:rPr>
              <w:t xml:space="preserve"> to &lt; 10</w:t>
            </w:r>
            <w:r w:rsidRPr="00C067FA">
              <w:rPr>
                <w:vertAlign w:val="superscript"/>
                <w:lang w:val="en-GB"/>
              </w:rPr>
              <w:t>-3</w:t>
            </w:r>
          </w:p>
        </w:tc>
        <w:tc>
          <w:tcPr>
            <w:tcW w:w="1923" w:type="pct"/>
            <w:shd w:val="clear" w:color="auto" w:fill="FFFFFF"/>
          </w:tcPr>
          <w:p w14:paraId="6B290C28" w14:textId="0A6260B9" w:rsidR="006E7979" w:rsidRPr="00C067FA" w:rsidRDefault="00D7348D" w:rsidP="00D7348D">
            <w:pPr>
              <w:pStyle w:val="CETBodytext"/>
              <w:jc w:val="center"/>
              <w:rPr>
                <w:lang w:val="en-GB"/>
              </w:rPr>
            </w:pPr>
            <w:r w:rsidRPr="00C067FA">
              <w:rPr>
                <w:lang w:val="en-GB"/>
              </w:rPr>
              <w:t xml:space="preserve">&gt; 1,000 to </w:t>
            </w:r>
            <w:r w:rsidRPr="00C067FA">
              <w:rPr>
                <w:rFonts w:cs="Arial"/>
                <w:lang w:val="en-GB"/>
              </w:rPr>
              <w:t>≤</w:t>
            </w:r>
            <w:r w:rsidRPr="00C067FA">
              <w:rPr>
                <w:lang w:val="en-GB"/>
              </w:rPr>
              <w:t xml:space="preserve"> 10,000</w:t>
            </w:r>
          </w:p>
        </w:tc>
      </w:tr>
      <w:tr w:rsidR="00C067FA" w:rsidRPr="00C067FA" w14:paraId="7DD21B98" w14:textId="77777777" w:rsidTr="00D7348D">
        <w:tc>
          <w:tcPr>
            <w:tcW w:w="1796" w:type="pct"/>
            <w:shd w:val="clear" w:color="auto" w:fill="FFFFFF"/>
          </w:tcPr>
          <w:p w14:paraId="5D955A9F" w14:textId="539C0EB1" w:rsidR="006E7979" w:rsidRPr="00C067FA" w:rsidRDefault="006E7979" w:rsidP="006E7979">
            <w:pPr>
              <w:pStyle w:val="CETBodytext"/>
              <w:jc w:val="center"/>
              <w:rPr>
                <w:lang w:val="en-GB"/>
              </w:rPr>
            </w:pPr>
            <w:r w:rsidRPr="00C067FA">
              <w:rPr>
                <w:lang w:val="en-GB"/>
              </w:rPr>
              <w:t>2</w:t>
            </w:r>
          </w:p>
        </w:tc>
        <w:tc>
          <w:tcPr>
            <w:tcW w:w="1281" w:type="pct"/>
            <w:shd w:val="clear" w:color="auto" w:fill="FFFFFF"/>
          </w:tcPr>
          <w:p w14:paraId="45C25C4E" w14:textId="22241932" w:rsidR="006E7979" w:rsidRPr="00C067FA" w:rsidRDefault="006E7979" w:rsidP="006E7979">
            <w:pPr>
              <w:pStyle w:val="CETBodytext"/>
              <w:jc w:val="center"/>
              <w:rPr>
                <w:lang w:val="en-GB"/>
              </w:rPr>
            </w:pPr>
            <w:r w:rsidRPr="00C067FA">
              <w:rPr>
                <w:rFonts w:cs="Arial"/>
                <w:lang w:val="en-GB"/>
              </w:rPr>
              <w:t>≥</w:t>
            </w:r>
            <w:r w:rsidRPr="00C067FA">
              <w:rPr>
                <w:lang w:val="en-GB"/>
              </w:rPr>
              <w:t xml:space="preserve"> 10</w:t>
            </w:r>
            <w:r w:rsidRPr="00C067FA">
              <w:rPr>
                <w:vertAlign w:val="superscript"/>
                <w:lang w:val="en-GB"/>
              </w:rPr>
              <w:t>-3</w:t>
            </w:r>
            <w:r w:rsidRPr="00C067FA">
              <w:rPr>
                <w:lang w:val="en-GB"/>
              </w:rPr>
              <w:t xml:space="preserve"> to &lt; 10</w:t>
            </w:r>
            <w:r w:rsidRPr="00C067FA">
              <w:rPr>
                <w:vertAlign w:val="superscript"/>
                <w:lang w:val="en-GB"/>
              </w:rPr>
              <w:t>-2</w:t>
            </w:r>
          </w:p>
        </w:tc>
        <w:tc>
          <w:tcPr>
            <w:tcW w:w="1923" w:type="pct"/>
            <w:shd w:val="clear" w:color="auto" w:fill="FFFFFF"/>
          </w:tcPr>
          <w:p w14:paraId="4C5BEE4F" w14:textId="69BD55D7" w:rsidR="006E7979" w:rsidRPr="00C067FA" w:rsidRDefault="00D7348D" w:rsidP="00D7348D">
            <w:pPr>
              <w:pStyle w:val="CETBodytext"/>
              <w:jc w:val="center"/>
              <w:rPr>
                <w:lang w:val="en-GB"/>
              </w:rPr>
            </w:pPr>
            <w:r w:rsidRPr="00C067FA">
              <w:rPr>
                <w:lang w:val="en-GB"/>
              </w:rPr>
              <w:t xml:space="preserve">&gt; 100 to </w:t>
            </w:r>
            <w:r w:rsidRPr="00C067FA">
              <w:rPr>
                <w:rFonts w:cs="Arial"/>
                <w:lang w:val="en-GB"/>
              </w:rPr>
              <w:t>≤</w:t>
            </w:r>
            <w:r w:rsidRPr="00C067FA">
              <w:rPr>
                <w:lang w:val="en-GB"/>
              </w:rPr>
              <w:t xml:space="preserve"> 1,000</w:t>
            </w:r>
          </w:p>
        </w:tc>
      </w:tr>
      <w:tr w:rsidR="00C067FA" w:rsidRPr="00C067FA" w14:paraId="3F25EA57" w14:textId="77777777" w:rsidTr="00D7348D">
        <w:tc>
          <w:tcPr>
            <w:tcW w:w="1796" w:type="pct"/>
            <w:shd w:val="clear" w:color="auto" w:fill="FFFFFF"/>
          </w:tcPr>
          <w:p w14:paraId="0BF0B044" w14:textId="24EC82F4" w:rsidR="006E7979" w:rsidRPr="00C067FA" w:rsidRDefault="006E7979" w:rsidP="006E7979">
            <w:pPr>
              <w:pStyle w:val="CETBodytext"/>
              <w:ind w:right="-1"/>
              <w:jc w:val="center"/>
              <w:rPr>
                <w:rFonts w:cs="Arial"/>
                <w:szCs w:val="18"/>
                <w:lang w:val="en-GB"/>
              </w:rPr>
            </w:pPr>
            <w:r w:rsidRPr="00C067FA">
              <w:rPr>
                <w:rFonts w:cs="Arial"/>
                <w:szCs w:val="18"/>
                <w:lang w:val="en-GB"/>
              </w:rPr>
              <w:t>1</w:t>
            </w:r>
          </w:p>
        </w:tc>
        <w:tc>
          <w:tcPr>
            <w:tcW w:w="1281" w:type="pct"/>
            <w:shd w:val="clear" w:color="auto" w:fill="FFFFFF"/>
          </w:tcPr>
          <w:p w14:paraId="2BA6DF92" w14:textId="1DFC85E9" w:rsidR="006E7979" w:rsidRPr="00C067FA" w:rsidRDefault="006E7979" w:rsidP="006E7979">
            <w:pPr>
              <w:pStyle w:val="CETBodytext"/>
              <w:ind w:right="-1"/>
              <w:jc w:val="center"/>
              <w:rPr>
                <w:rFonts w:cs="Arial"/>
                <w:szCs w:val="18"/>
                <w:lang w:val="en-GB"/>
              </w:rPr>
            </w:pPr>
            <w:r w:rsidRPr="00C067FA">
              <w:rPr>
                <w:rFonts w:cs="Arial"/>
                <w:lang w:val="en-GB"/>
              </w:rPr>
              <w:t>≥</w:t>
            </w:r>
            <w:r w:rsidRPr="00C067FA">
              <w:rPr>
                <w:lang w:val="en-GB"/>
              </w:rPr>
              <w:t xml:space="preserve"> 10</w:t>
            </w:r>
            <w:r w:rsidRPr="00C067FA">
              <w:rPr>
                <w:vertAlign w:val="superscript"/>
                <w:lang w:val="en-GB"/>
              </w:rPr>
              <w:t>-2</w:t>
            </w:r>
            <w:r w:rsidRPr="00C067FA">
              <w:rPr>
                <w:lang w:val="en-GB"/>
              </w:rPr>
              <w:t xml:space="preserve"> to &lt; 10</w:t>
            </w:r>
            <w:r w:rsidRPr="00C067FA">
              <w:rPr>
                <w:vertAlign w:val="superscript"/>
                <w:lang w:val="en-GB"/>
              </w:rPr>
              <w:t>-1</w:t>
            </w:r>
          </w:p>
        </w:tc>
        <w:tc>
          <w:tcPr>
            <w:tcW w:w="1923" w:type="pct"/>
            <w:shd w:val="clear" w:color="auto" w:fill="FFFFFF"/>
          </w:tcPr>
          <w:p w14:paraId="3BDBA6BA" w14:textId="254B150E" w:rsidR="006E7979" w:rsidRPr="00C067FA" w:rsidRDefault="00D7348D" w:rsidP="00D7348D">
            <w:pPr>
              <w:pStyle w:val="CETBodytext"/>
              <w:ind w:right="-1"/>
              <w:jc w:val="center"/>
              <w:rPr>
                <w:rFonts w:cs="Arial"/>
                <w:szCs w:val="18"/>
                <w:lang w:val="en-GB"/>
              </w:rPr>
            </w:pPr>
            <w:r w:rsidRPr="00C067FA">
              <w:rPr>
                <w:lang w:val="en-GB"/>
              </w:rPr>
              <w:t xml:space="preserve">&gt; 10 to </w:t>
            </w:r>
            <w:r w:rsidRPr="00C067FA">
              <w:rPr>
                <w:rFonts w:cs="Arial"/>
                <w:lang w:val="en-GB"/>
              </w:rPr>
              <w:t>≤</w:t>
            </w:r>
            <w:r w:rsidRPr="00C067FA">
              <w:rPr>
                <w:lang w:val="en-GB"/>
              </w:rPr>
              <w:t xml:space="preserve"> 100</w:t>
            </w:r>
          </w:p>
        </w:tc>
      </w:tr>
    </w:tbl>
    <w:p w14:paraId="3D530488" w14:textId="77777777" w:rsidR="006E7979" w:rsidRPr="00C067FA" w:rsidRDefault="006E7979" w:rsidP="00600535">
      <w:pPr>
        <w:pStyle w:val="CETBodytext"/>
        <w:rPr>
          <w:lang w:val="en-GB"/>
        </w:rPr>
      </w:pPr>
    </w:p>
    <w:p w14:paraId="3B9DAC1B" w14:textId="0962958A" w:rsidR="00D7348D" w:rsidRPr="00C067FA" w:rsidRDefault="00D7348D" w:rsidP="00D7348D">
      <w:pPr>
        <w:pStyle w:val="CETBodytext"/>
        <w:rPr>
          <w:lang w:val="en-GB"/>
        </w:rPr>
      </w:pPr>
      <w:r w:rsidRPr="00C067FA">
        <w:rPr>
          <w:lang w:val="en-GB"/>
        </w:rPr>
        <w:t xml:space="preserve">Consequently, if all the identified </w:t>
      </w:r>
      <w:r w:rsidR="00C067FA">
        <w:rPr>
          <w:lang w:val="en-GB"/>
        </w:rPr>
        <w:t>barriers</w:t>
      </w:r>
      <w:r w:rsidRPr="00C067FA">
        <w:rPr>
          <w:lang w:val="en-GB"/>
        </w:rPr>
        <w:t xml:space="preserve"> for </w:t>
      </w:r>
      <w:r w:rsidR="001411F2" w:rsidRPr="00C067FA">
        <w:rPr>
          <w:lang w:val="en-GB"/>
        </w:rPr>
        <w:t xml:space="preserve">a </w:t>
      </w:r>
      <w:r w:rsidRPr="00C067FA">
        <w:rPr>
          <w:lang w:val="en-GB"/>
        </w:rPr>
        <w:t xml:space="preserve">specific </w:t>
      </w:r>
      <w:r w:rsidR="00C067FA">
        <w:rPr>
          <w:lang w:val="en-GB"/>
        </w:rPr>
        <w:t xml:space="preserve">top event </w:t>
      </w:r>
      <w:r w:rsidRPr="00C067FA">
        <w:rPr>
          <w:lang w:val="en-GB"/>
        </w:rPr>
        <w:t>scenario are implemented on the same logic solver and if the logic solver is suitable for SIL</w:t>
      </w:r>
      <w:r w:rsidR="00C067FA">
        <w:rPr>
          <w:lang w:val="en-GB"/>
        </w:rPr>
        <w:t xml:space="preserve"> </w:t>
      </w:r>
      <w:r w:rsidRPr="00C067FA">
        <w:rPr>
          <w:lang w:val="en-GB"/>
        </w:rPr>
        <w:t>3 applications (which is the maximum</w:t>
      </w:r>
      <w:r w:rsidR="00C067FA">
        <w:rPr>
          <w:lang w:val="en-GB"/>
        </w:rPr>
        <w:t xml:space="preserve"> achievable reliability </w:t>
      </w:r>
      <w:r w:rsidRPr="00C067FA">
        <w:rPr>
          <w:lang w:val="en-GB"/>
        </w:rPr>
        <w:lastRenderedPageBreak/>
        <w:t>today in the process industry) then the overall probability of failure on demand of all the barriers</w:t>
      </w:r>
      <w:r w:rsidR="004B4DE4" w:rsidRPr="00C067FA">
        <w:rPr>
          <w:lang w:val="en-GB"/>
        </w:rPr>
        <w:t xml:space="preserve"> at the same time</w:t>
      </w:r>
      <w:r w:rsidRPr="00C067FA">
        <w:rPr>
          <w:lang w:val="en-GB"/>
        </w:rPr>
        <w:t xml:space="preserve">, </w:t>
      </w:r>
      <w:r w:rsidR="004B4DE4" w:rsidRPr="00C067FA">
        <w:rPr>
          <w:lang w:val="en-GB"/>
        </w:rPr>
        <w:t xml:space="preserve">that is represented into the fault Tree </w:t>
      </w:r>
      <w:r w:rsidR="00C067FA">
        <w:rPr>
          <w:lang w:val="en-GB"/>
        </w:rPr>
        <w:t>with</w:t>
      </w:r>
      <w:r w:rsidR="004B4DE4" w:rsidRPr="00C067FA">
        <w:rPr>
          <w:lang w:val="en-GB"/>
        </w:rPr>
        <w:t xml:space="preserve"> an AND gate</w:t>
      </w:r>
      <w:r w:rsidRPr="00C067FA">
        <w:rPr>
          <w:lang w:val="en-GB"/>
        </w:rPr>
        <w:t xml:space="preserve">, cannot be </w:t>
      </w:r>
      <w:r w:rsidR="00C067FA">
        <w:rPr>
          <w:lang w:val="en-GB"/>
        </w:rPr>
        <w:t>lower</w:t>
      </w:r>
      <w:r w:rsidRPr="00C067FA">
        <w:rPr>
          <w:lang w:val="en-GB"/>
        </w:rPr>
        <w:t xml:space="preserve"> than 10</w:t>
      </w:r>
      <w:r w:rsidRPr="00C067FA">
        <w:rPr>
          <w:vertAlign w:val="superscript"/>
          <w:lang w:val="en-GB"/>
        </w:rPr>
        <w:t>-4</w:t>
      </w:r>
      <w:r w:rsidRPr="00C067FA">
        <w:rPr>
          <w:lang w:val="en-GB"/>
        </w:rPr>
        <w:t>.</w:t>
      </w:r>
      <w:r w:rsidR="005F3500">
        <w:rPr>
          <w:lang w:val="en-GB"/>
        </w:rPr>
        <w:t xml:space="preserve"> </w:t>
      </w:r>
    </w:p>
    <w:p w14:paraId="5DCBB3DB" w14:textId="3E5A6AED" w:rsidR="00D7348D" w:rsidRPr="00C067FA" w:rsidRDefault="002057C5" w:rsidP="005F3500">
      <w:pPr>
        <w:pStyle w:val="CETheadingx"/>
      </w:pPr>
      <w:r w:rsidRPr="00C067FA">
        <w:t>Example adapted from a real case</w:t>
      </w:r>
    </w:p>
    <w:p w14:paraId="03AD81D0" w14:textId="1260A94B" w:rsidR="005F3500" w:rsidRDefault="005F3500" w:rsidP="00600535">
      <w:pPr>
        <w:pStyle w:val="CETBodytext"/>
      </w:pPr>
      <w:r>
        <w:t xml:space="preserve">In this section, a real case illustrating the above-mentioned pitfalls is described. The case study starts from a selected line of the </w:t>
      </w:r>
      <w:r w:rsidRPr="00C067FA">
        <w:rPr>
          <w:lang w:val="en-GB"/>
        </w:rPr>
        <w:t>HAZOP analysis</w:t>
      </w:r>
      <w:r>
        <w:rPr>
          <w:lang w:val="en-GB"/>
        </w:rPr>
        <w:t xml:space="preserve">, no flow of cooling water: by constructing the relevant Fault Tree, it can be observed how </w:t>
      </w:r>
      <w:r w:rsidRPr="00C067FA">
        <w:rPr>
          <w:lang w:val="en-GB"/>
        </w:rPr>
        <w:t xml:space="preserve">neglecting </w:t>
      </w:r>
      <w:r>
        <w:rPr>
          <w:lang w:val="en-GB"/>
        </w:rPr>
        <w:t xml:space="preserve">to insert </w:t>
      </w:r>
      <w:r w:rsidRPr="00C067FA">
        <w:rPr>
          <w:lang w:val="en-GB"/>
        </w:rPr>
        <w:t xml:space="preserve">the failure of the Safety PLC (that in </w:t>
      </w:r>
      <w:r>
        <w:rPr>
          <w:lang w:val="en-GB"/>
        </w:rPr>
        <w:t>this</w:t>
      </w:r>
      <w:r w:rsidRPr="00C067FA">
        <w:rPr>
          <w:lang w:val="en-GB"/>
        </w:rPr>
        <w:t xml:space="preserve"> case </w:t>
      </w:r>
      <w:r>
        <w:rPr>
          <w:lang w:val="en-GB"/>
        </w:rPr>
        <w:t>represents</w:t>
      </w:r>
      <w:r w:rsidRPr="00C067FA">
        <w:rPr>
          <w:lang w:val="en-GB"/>
        </w:rPr>
        <w:t xml:space="preserve"> the common shared element between all the identified safeguards) leads to an error in the estimation of the final frequency of several orders of magnitude.</w:t>
      </w:r>
    </w:p>
    <w:p w14:paraId="7429809A" w14:textId="071B5910" w:rsidR="004B4DE4" w:rsidRPr="00C067FA" w:rsidRDefault="004B4DE4" w:rsidP="00600535">
      <w:pPr>
        <w:pStyle w:val="CETBodytext"/>
        <w:rPr>
          <w:lang w:val="en-GB"/>
        </w:rPr>
      </w:pPr>
      <w:r w:rsidRPr="00C067FA">
        <w:rPr>
          <w:lang w:val="en-GB"/>
        </w:rPr>
        <w:t>The identified T</w:t>
      </w:r>
      <w:r w:rsidR="00831E42" w:rsidRPr="00C067FA">
        <w:rPr>
          <w:lang w:val="en-GB"/>
        </w:rPr>
        <w:t>op</w:t>
      </w:r>
      <w:r w:rsidRPr="00C067FA">
        <w:rPr>
          <w:lang w:val="en-GB"/>
        </w:rPr>
        <w:t xml:space="preserve"> Event is the overpressure of a reactor due to the loss of cooling water. For the analysed system three safeguards</w:t>
      </w:r>
      <w:r w:rsidR="005F3500">
        <w:rPr>
          <w:lang w:val="en-GB"/>
        </w:rPr>
        <w:t xml:space="preserve"> (barriers)</w:t>
      </w:r>
      <w:r w:rsidRPr="00C067FA">
        <w:rPr>
          <w:lang w:val="en-GB"/>
        </w:rPr>
        <w:t xml:space="preserve"> have been identified. All the identified </w:t>
      </w:r>
      <w:r w:rsidR="00831E42" w:rsidRPr="00C067FA">
        <w:rPr>
          <w:lang w:val="en-GB"/>
        </w:rPr>
        <w:t>safeguards</w:t>
      </w:r>
      <w:r w:rsidRPr="00C067FA">
        <w:rPr>
          <w:lang w:val="en-GB"/>
        </w:rPr>
        <w:t xml:space="preserve"> </w:t>
      </w:r>
      <w:r w:rsidR="00831E42" w:rsidRPr="00C067FA">
        <w:rPr>
          <w:lang w:val="en-GB"/>
        </w:rPr>
        <w:t xml:space="preserve">have independent </w:t>
      </w:r>
      <w:r w:rsidR="005F3500">
        <w:rPr>
          <w:lang w:val="en-GB"/>
        </w:rPr>
        <w:t xml:space="preserve">hardware </w:t>
      </w:r>
      <w:r w:rsidR="00831E42" w:rsidRPr="00C067FA">
        <w:rPr>
          <w:lang w:val="en-GB"/>
        </w:rPr>
        <w:t>instrument</w:t>
      </w:r>
      <w:r w:rsidR="005F3500">
        <w:rPr>
          <w:lang w:val="en-GB"/>
        </w:rPr>
        <w:t>s</w:t>
      </w:r>
      <w:r w:rsidR="00831E42" w:rsidRPr="00C067FA">
        <w:rPr>
          <w:lang w:val="en-GB"/>
        </w:rPr>
        <w:t xml:space="preserve"> (independent initiators and independent final elements)</w:t>
      </w:r>
      <w:r w:rsidR="005F3500">
        <w:rPr>
          <w:lang w:val="en-GB"/>
        </w:rPr>
        <w:t>,</w:t>
      </w:r>
      <w:r w:rsidR="00831E42" w:rsidRPr="00C067FA">
        <w:rPr>
          <w:lang w:val="en-GB"/>
        </w:rPr>
        <w:t xml:space="preserve"> except for the Safety PLC: the Safety Instrumented Functions are implemented on the same logic solver. </w:t>
      </w:r>
    </w:p>
    <w:p w14:paraId="0FA11BB3" w14:textId="77777777" w:rsidR="002057C5" w:rsidRPr="00C067FA" w:rsidRDefault="002057C5" w:rsidP="00600535">
      <w:pPr>
        <w:pStyle w:val="CETBodytext"/>
        <w:rPr>
          <w:lang w:val="en-GB"/>
        </w:rPr>
      </w:pPr>
    </w:p>
    <w:p w14:paraId="7542428C" w14:textId="46D639EA" w:rsidR="002057C5" w:rsidRPr="001411F2" w:rsidRDefault="002057C5" w:rsidP="002057C5">
      <w:pPr>
        <w:pStyle w:val="CETBodytext"/>
        <w:rPr>
          <w:color w:val="00B050"/>
          <w:lang w:val="en-GB"/>
        </w:rPr>
      </w:pPr>
      <w:r w:rsidRPr="001411F2">
        <w:rPr>
          <w:noProof/>
          <w:color w:val="00B050"/>
        </w:rPr>
        <w:drawing>
          <wp:inline distT="0" distB="0" distL="0" distR="0" wp14:anchorId="7C3E9000" wp14:editId="4EF53607">
            <wp:extent cx="5579745" cy="1235075"/>
            <wp:effectExtent l="19050" t="19050" r="20955" b="22225"/>
            <wp:docPr id="8720990" name="Immagine 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990" name="Immagine 1" descr="Immagine che contiene testo, linea, Carattere, numero&#10;&#10;Descrizione generata automaticamente"/>
                    <pic:cNvPicPr/>
                  </pic:nvPicPr>
                  <pic:blipFill>
                    <a:blip r:embed="rId18"/>
                    <a:stretch>
                      <a:fillRect/>
                    </a:stretch>
                  </pic:blipFill>
                  <pic:spPr>
                    <a:xfrm>
                      <a:off x="0" y="0"/>
                      <a:ext cx="5579745" cy="1235075"/>
                    </a:xfrm>
                    <a:prstGeom prst="rect">
                      <a:avLst/>
                    </a:prstGeom>
                    <a:ln>
                      <a:solidFill>
                        <a:schemeClr val="tx1"/>
                      </a:solidFill>
                    </a:ln>
                  </pic:spPr>
                </pic:pic>
              </a:graphicData>
            </a:graphic>
          </wp:inline>
        </w:drawing>
      </w:r>
    </w:p>
    <w:p w14:paraId="5A5E9CCB" w14:textId="688E9F7A" w:rsidR="00831E42" w:rsidRPr="005F3500" w:rsidRDefault="002057C5" w:rsidP="005F3500">
      <w:pPr>
        <w:pStyle w:val="CETCaption"/>
      </w:pPr>
      <w:r w:rsidRPr="005F3500">
        <w:rPr>
          <w:rStyle w:val="CETCaptionCarattere"/>
          <w:i/>
        </w:rPr>
        <w:t xml:space="preserve">Figure </w:t>
      </w:r>
      <w:r w:rsidR="009E775C" w:rsidRPr="005F3500">
        <w:rPr>
          <w:rStyle w:val="CETCaptionCarattere"/>
          <w:i/>
        </w:rPr>
        <w:t>2</w:t>
      </w:r>
      <w:r w:rsidRPr="005F3500">
        <w:rPr>
          <w:rStyle w:val="CETCaptionCarattere"/>
          <w:i/>
        </w:rPr>
        <w:t>: HAZOP Worksheet adapted from a real case study</w:t>
      </w:r>
      <w:r w:rsidR="003A64D4" w:rsidRPr="005F3500">
        <w:rPr>
          <w:rStyle w:val="CETCaptionCarattere"/>
          <w:i/>
        </w:rPr>
        <w:t>. All the safeguards are implemented on the same logic solver</w:t>
      </w:r>
      <w:r w:rsidR="005F3500">
        <w:rPr>
          <w:rStyle w:val="CETCaptionCarattere"/>
          <w:i/>
        </w:rPr>
        <w:t>, the Safety PLC</w:t>
      </w:r>
      <w:r w:rsidR="002862CA" w:rsidRPr="005F3500">
        <w:rPr>
          <w:rStyle w:val="CETCaptionCarattere"/>
          <w:i/>
        </w:rPr>
        <w:t>.</w:t>
      </w:r>
      <w:r w:rsidRPr="005F3500">
        <w:t xml:space="preserve"> </w:t>
      </w:r>
    </w:p>
    <w:p w14:paraId="7C44C4E3" w14:textId="2DD1F80E" w:rsidR="002057C5" w:rsidRPr="005F3500" w:rsidRDefault="00831E42" w:rsidP="00600535">
      <w:pPr>
        <w:pStyle w:val="CETBodytext"/>
        <w:rPr>
          <w:lang w:val="en-GB"/>
        </w:rPr>
      </w:pPr>
      <w:r w:rsidRPr="005F3500">
        <w:rPr>
          <w:lang w:val="en-GB"/>
        </w:rPr>
        <w:t xml:space="preserve">Starting from the HAZOP analysis shown in Figure 2, two different </w:t>
      </w:r>
      <w:r w:rsidR="005F3500" w:rsidRPr="005F3500">
        <w:rPr>
          <w:lang w:val="en-GB"/>
        </w:rPr>
        <w:t>Fault Tree</w:t>
      </w:r>
      <w:r w:rsidR="005F3500">
        <w:rPr>
          <w:lang w:val="en-GB"/>
        </w:rPr>
        <w:t>s</w:t>
      </w:r>
      <w:r w:rsidR="005F3500" w:rsidRPr="005F3500">
        <w:rPr>
          <w:lang w:val="en-GB"/>
        </w:rPr>
        <w:t xml:space="preserve"> </w:t>
      </w:r>
      <w:r w:rsidRPr="005F3500">
        <w:rPr>
          <w:lang w:val="en-GB"/>
        </w:rPr>
        <w:t>have been developed:</w:t>
      </w:r>
      <w:r w:rsidR="002057C5" w:rsidRPr="005F3500">
        <w:rPr>
          <w:lang w:val="en-GB"/>
        </w:rPr>
        <w:t xml:space="preserve"> </w:t>
      </w:r>
    </w:p>
    <w:p w14:paraId="63BF27DB" w14:textId="2CAF0115" w:rsidR="002057C5" w:rsidRPr="005F3500" w:rsidRDefault="002057C5" w:rsidP="003A64D4">
      <w:pPr>
        <w:pStyle w:val="CETnumberingbullets"/>
        <w:jc w:val="both"/>
      </w:pPr>
      <w:r w:rsidRPr="005F3500">
        <w:t>The first one</w:t>
      </w:r>
      <w:r w:rsidR="00831E42" w:rsidRPr="005F3500">
        <w:t>, shown in Figure 3,</w:t>
      </w:r>
      <w:r w:rsidRPr="005F3500">
        <w:t xml:space="preserve"> is </w:t>
      </w:r>
      <w:r w:rsidR="003A64D4" w:rsidRPr="005F3500">
        <w:t>the</w:t>
      </w:r>
      <w:r w:rsidRPr="005F3500">
        <w:t xml:space="preserve"> </w:t>
      </w:r>
      <w:r w:rsidR="005F3500" w:rsidRPr="005F3500">
        <w:t xml:space="preserve">Fault Tree </w:t>
      </w:r>
      <w:r w:rsidRPr="005F3500">
        <w:t>for the above HAZOP line</w:t>
      </w:r>
      <w:bookmarkStart w:id="0" w:name="_Hlk158465111"/>
      <w:r w:rsidR="00831E42" w:rsidRPr="005F3500">
        <w:t xml:space="preserve"> where the failure of the Safety PLC has been omitted</w:t>
      </w:r>
      <w:bookmarkEnd w:id="0"/>
      <w:r w:rsidR="003A64D4" w:rsidRPr="005F3500">
        <w:t>.</w:t>
      </w:r>
    </w:p>
    <w:p w14:paraId="2B915D44" w14:textId="7F42EC9D" w:rsidR="003A64D4" w:rsidRPr="005F3500" w:rsidRDefault="003A64D4" w:rsidP="003A64D4">
      <w:pPr>
        <w:pStyle w:val="CETnumberingbullets"/>
        <w:jc w:val="both"/>
      </w:pPr>
      <w:r w:rsidRPr="005F3500">
        <w:t>The second one</w:t>
      </w:r>
      <w:r w:rsidR="00831E42" w:rsidRPr="005F3500">
        <w:t>, shown in Figure 4,</w:t>
      </w:r>
      <w:r w:rsidRPr="005F3500">
        <w:t xml:space="preserve"> is the </w:t>
      </w:r>
      <w:r w:rsidR="005F3500" w:rsidRPr="005F3500">
        <w:t xml:space="preserve">Fault Tree </w:t>
      </w:r>
      <w:r w:rsidRPr="005F3500">
        <w:t xml:space="preserve">for the above HAZOP line in which the failure of Safety-PLC </w:t>
      </w:r>
      <w:r w:rsidR="00831E42" w:rsidRPr="005F3500">
        <w:t xml:space="preserve">has been </w:t>
      </w:r>
      <w:r w:rsidR="005F3500">
        <w:t xml:space="preserve">explicitly </w:t>
      </w:r>
      <w:r w:rsidRPr="005F3500">
        <w:t>considered.</w:t>
      </w:r>
    </w:p>
    <w:p w14:paraId="72418C2F" w14:textId="1FA7D846" w:rsidR="00831E42" w:rsidRPr="006F07A0" w:rsidRDefault="00831E42" w:rsidP="00831E42">
      <w:pPr>
        <w:pStyle w:val="CETnumberingbullets"/>
        <w:numPr>
          <w:ilvl w:val="0"/>
          <w:numId w:val="0"/>
        </w:numPr>
        <w:jc w:val="both"/>
      </w:pPr>
      <w:r w:rsidRPr="006F07A0">
        <w:t xml:space="preserve">The following assumptions have been </w:t>
      </w:r>
      <w:r w:rsidR="00BD6F93" w:rsidRPr="006F07A0">
        <w:t xml:space="preserve">made for the construction of the </w:t>
      </w:r>
      <w:r w:rsidRPr="006F07A0">
        <w:t xml:space="preserve">Fault Tree: </w:t>
      </w:r>
    </w:p>
    <w:p w14:paraId="221AF795" w14:textId="5C88E8B8" w:rsidR="00831E42" w:rsidRPr="006F07A0" w:rsidRDefault="00831E42" w:rsidP="00831E42">
      <w:pPr>
        <w:pStyle w:val="CETnumberingbullets"/>
        <w:jc w:val="both"/>
      </w:pPr>
      <w:r w:rsidRPr="006F07A0">
        <w:t>Proof test interval for automatic interlocks: 1 year</w:t>
      </w:r>
    </w:p>
    <w:p w14:paraId="54D01D4F" w14:textId="7129938E" w:rsidR="00831E42" w:rsidRPr="006F07A0" w:rsidRDefault="00831E42" w:rsidP="00831E42">
      <w:pPr>
        <w:pStyle w:val="CETnumberingbullets"/>
        <w:jc w:val="both"/>
      </w:pPr>
      <w:r w:rsidRPr="006F07A0">
        <w:t>Mean Time To Repair</w:t>
      </w:r>
      <w:r w:rsidR="00F94D36" w:rsidRPr="006F07A0">
        <w:t xml:space="preserve"> (MTTR)</w:t>
      </w:r>
      <w:r w:rsidRPr="006F07A0">
        <w:t xml:space="preserve"> for detected failures: 24 hours</w:t>
      </w:r>
    </w:p>
    <w:p w14:paraId="75FFEC82" w14:textId="77777777" w:rsidR="006F07A0" w:rsidRDefault="00831E42" w:rsidP="0032092F">
      <w:pPr>
        <w:pStyle w:val="CETnumberingbullets"/>
        <w:jc w:val="both"/>
      </w:pPr>
      <w:r w:rsidRPr="006F07A0">
        <w:t xml:space="preserve">Failure data: </w:t>
      </w:r>
    </w:p>
    <w:p w14:paraId="5609027A" w14:textId="77777777" w:rsidR="006F07A0" w:rsidRDefault="006F07A0" w:rsidP="006F07A0">
      <w:pPr>
        <w:pStyle w:val="CETnumberingbullets"/>
        <w:numPr>
          <w:ilvl w:val="1"/>
          <w:numId w:val="13"/>
        </w:numPr>
        <w:ind w:left="709"/>
        <w:jc w:val="both"/>
      </w:pPr>
      <w:r>
        <w:t>the</w:t>
      </w:r>
      <w:r w:rsidR="00831E42" w:rsidRPr="006F07A0">
        <w:t xml:space="preserve"> failure rates for transmitters and valves </w:t>
      </w:r>
      <w:r>
        <w:t xml:space="preserve">incorporated in the Tree </w:t>
      </w:r>
      <w:r w:rsidR="00831E42" w:rsidRPr="006F07A0">
        <w:t xml:space="preserve">are those </w:t>
      </w:r>
      <w:r w:rsidR="00F94D36" w:rsidRPr="006F07A0">
        <w:t>of generic equipment derived from Exida Safety Equipment Reliability Handbook (SERH)</w:t>
      </w:r>
      <w:r>
        <w:t>;</w:t>
      </w:r>
      <w:r w:rsidR="00F94D36" w:rsidRPr="006F07A0">
        <w:t xml:space="preserve"> </w:t>
      </w:r>
    </w:p>
    <w:p w14:paraId="3823E185" w14:textId="77777777" w:rsidR="006F07A0" w:rsidRDefault="006F07A0" w:rsidP="006F07A0">
      <w:pPr>
        <w:pStyle w:val="CETnumberingbullets"/>
        <w:numPr>
          <w:ilvl w:val="1"/>
          <w:numId w:val="13"/>
        </w:numPr>
        <w:ind w:left="709"/>
        <w:jc w:val="both"/>
      </w:pPr>
      <w:r>
        <w:t>t</w:t>
      </w:r>
      <w:r w:rsidR="0032092F" w:rsidRPr="006F07A0">
        <w:t xml:space="preserve">he </w:t>
      </w:r>
      <w:r w:rsidRPr="006F07A0">
        <w:t>applied</w:t>
      </w:r>
      <w:r w:rsidR="0032092F" w:rsidRPr="006F07A0">
        <w:t xml:space="preserve"> failure rate of the Distributed Control System (DCS) ha</w:t>
      </w:r>
      <w:r>
        <w:t>s</w:t>
      </w:r>
      <w:r w:rsidR="0032092F" w:rsidRPr="006F07A0">
        <w:t xml:space="preserve"> been obtained by considering the sum of the failure rates of the main processor, power supply, analog in module and analog out module of a Generic PLC</w:t>
      </w:r>
      <w:r>
        <w:t xml:space="preserve">; </w:t>
      </w:r>
    </w:p>
    <w:p w14:paraId="6744910A" w14:textId="77777777" w:rsidR="006F07A0" w:rsidRDefault="006F07A0" w:rsidP="006F07A0">
      <w:pPr>
        <w:pStyle w:val="CETnumberingbullets"/>
        <w:numPr>
          <w:ilvl w:val="1"/>
          <w:numId w:val="13"/>
        </w:numPr>
        <w:ind w:left="709"/>
        <w:jc w:val="both"/>
      </w:pPr>
      <w:r>
        <w:t>t</w:t>
      </w:r>
      <w:r w:rsidR="00F94D36" w:rsidRPr="006F07A0">
        <w:t xml:space="preserve">he failure rate of the Safety PLC has been obtained by considering the sum of the failure rates of </w:t>
      </w:r>
      <w:r w:rsidR="0032092F" w:rsidRPr="006F07A0">
        <w:t xml:space="preserve">the main processor, power supply, digital in module and digital out module of a Generic SIL 3 Certified PLC. </w:t>
      </w:r>
    </w:p>
    <w:p w14:paraId="5BCE4E2F" w14:textId="7A466985" w:rsidR="00F94D36" w:rsidRPr="006F07A0" w:rsidRDefault="0032092F" w:rsidP="006F07A0">
      <w:pPr>
        <w:pStyle w:val="CETBodytext"/>
        <w:rPr>
          <w:lang w:val="en-GB"/>
        </w:rPr>
      </w:pPr>
      <w:r w:rsidRPr="006F07A0">
        <w:rPr>
          <w:lang w:val="en-GB"/>
        </w:rPr>
        <w:t xml:space="preserve">In any case the scope of </w:t>
      </w:r>
      <w:r w:rsidR="006F07A0">
        <w:rPr>
          <w:lang w:val="en-GB"/>
        </w:rPr>
        <w:t>this</w:t>
      </w:r>
      <w:r w:rsidRPr="006F07A0">
        <w:rPr>
          <w:lang w:val="en-GB"/>
        </w:rPr>
        <w:t xml:space="preserve"> paper is not to use exact values of failure rates</w:t>
      </w:r>
      <w:r w:rsidR="006F07A0">
        <w:rPr>
          <w:lang w:val="en-GB"/>
        </w:rPr>
        <w:t>,</w:t>
      </w:r>
      <w:r w:rsidRPr="006F07A0">
        <w:rPr>
          <w:lang w:val="en-GB"/>
        </w:rPr>
        <w:t xml:space="preserve"> but </w:t>
      </w:r>
      <w:r w:rsidR="006F07A0">
        <w:rPr>
          <w:lang w:val="en-GB"/>
        </w:rPr>
        <w:t xml:space="preserve">rather </w:t>
      </w:r>
      <w:r w:rsidRPr="006F07A0">
        <w:rPr>
          <w:lang w:val="en-GB"/>
        </w:rPr>
        <w:t>to demonstrate how neglecting common element leads to an underestimation of the top even frequencies of several order of magnitude.</w:t>
      </w:r>
      <w:r w:rsidR="006F07A0" w:rsidRPr="006F07A0">
        <w:rPr>
          <w:lang w:val="en-GB"/>
        </w:rPr>
        <w:t xml:space="preserve"> </w:t>
      </w:r>
    </w:p>
    <w:p w14:paraId="6B3CEE3C" w14:textId="164448EC" w:rsidR="00F94D36" w:rsidRPr="006F07A0" w:rsidRDefault="0062786D" w:rsidP="00831E42">
      <w:pPr>
        <w:pStyle w:val="CETnumberingbullets"/>
        <w:numPr>
          <w:ilvl w:val="0"/>
          <w:numId w:val="0"/>
        </w:numPr>
        <w:jc w:val="both"/>
        <w:rPr>
          <w:lang w:val="en-US"/>
        </w:rPr>
      </w:pPr>
      <w:r>
        <w:rPr>
          <w:lang w:val="en-US"/>
        </w:rPr>
        <w:t xml:space="preserve">By comparing the results from the Fault Trees shown in Figure 3 and in Figure 4, two main observations can be made. </w:t>
      </w:r>
    </w:p>
    <w:p w14:paraId="6F120E29" w14:textId="77777777" w:rsidR="00F94D36" w:rsidRPr="0062786D" w:rsidRDefault="00F94D36" w:rsidP="00831E42">
      <w:pPr>
        <w:pStyle w:val="CETnumberingbullets"/>
        <w:numPr>
          <w:ilvl w:val="0"/>
          <w:numId w:val="0"/>
        </w:numPr>
        <w:jc w:val="both"/>
      </w:pPr>
    </w:p>
    <w:p w14:paraId="15B9234A" w14:textId="77777777" w:rsidR="00707525" w:rsidRPr="0062786D" w:rsidRDefault="00707525" w:rsidP="00600535">
      <w:pPr>
        <w:pStyle w:val="CETBodytext"/>
        <w:rPr>
          <w:lang w:val="en-GB"/>
        </w:rPr>
      </w:pPr>
    </w:p>
    <w:p w14:paraId="53E3241F" w14:textId="581D943B" w:rsidR="00707525" w:rsidRPr="0062786D" w:rsidRDefault="00C57F1F" w:rsidP="00600535">
      <w:pPr>
        <w:pStyle w:val="CETBodytext"/>
        <w:rPr>
          <w:lang w:val="en-GB"/>
        </w:rPr>
      </w:pPr>
      <w:r w:rsidRPr="0062786D">
        <w:rPr>
          <w:noProof/>
          <w:lang w:val="en-GB"/>
        </w:rPr>
        <w:lastRenderedPageBreak/>
        <w:drawing>
          <wp:inline distT="0" distB="0" distL="0" distR="0" wp14:anchorId="6BAC072F" wp14:editId="2B9027E8">
            <wp:extent cx="5579745" cy="3277870"/>
            <wp:effectExtent l="0" t="0" r="1905" b="0"/>
            <wp:docPr id="3" name="Immagine 2" descr="Immagine che contiene testo, diagramma, numero, Parallelo&#10;&#10;Descrizione generata automaticamente">
              <a:extLst xmlns:a="http://schemas.openxmlformats.org/drawingml/2006/main">
                <a:ext uri="{FF2B5EF4-FFF2-40B4-BE49-F238E27FC236}">
                  <a16:creationId xmlns:a16="http://schemas.microsoft.com/office/drawing/2014/main" id="{A4B871FC-B800-3725-E9B2-3AD10984F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testo, diagramma, numero, Parallelo&#10;&#10;Descrizione generata automaticamente">
                      <a:extLst>
                        <a:ext uri="{FF2B5EF4-FFF2-40B4-BE49-F238E27FC236}">
                          <a16:creationId xmlns:a16="http://schemas.microsoft.com/office/drawing/2014/main" id="{A4B871FC-B800-3725-E9B2-3AD10984FE5A}"/>
                        </a:ext>
                      </a:extLst>
                    </pic:cNvPr>
                    <pic:cNvPicPr>
                      <a:picLocks noChangeAspect="1"/>
                    </pic:cNvPicPr>
                  </pic:nvPicPr>
                  <pic:blipFill>
                    <a:blip r:embed="rId19"/>
                    <a:stretch>
                      <a:fillRect/>
                    </a:stretch>
                  </pic:blipFill>
                  <pic:spPr>
                    <a:xfrm>
                      <a:off x="0" y="0"/>
                      <a:ext cx="5579745" cy="3277870"/>
                    </a:xfrm>
                    <a:prstGeom prst="rect">
                      <a:avLst/>
                    </a:prstGeom>
                  </pic:spPr>
                </pic:pic>
              </a:graphicData>
            </a:graphic>
          </wp:inline>
        </w:drawing>
      </w:r>
    </w:p>
    <w:p w14:paraId="74145F68" w14:textId="4DA3DD93" w:rsidR="00707525" w:rsidRPr="0062786D" w:rsidRDefault="00707525" w:rsidP="00707525">
      <w:pPr>
        <w:pStyle w:val="CETCaption"/>
      </w:pPr>
      <w:r w:rsidRPr="0062786D">
        <w:rPr>
          <w:rStyle w:val="CETCaptionCarattere"/>
          <w:i/>
        </w:rPr>
        <w:t xml:space="preserve">Figure </w:t>
      </w:r>
      <w:r w:rsidR="009E775C" w:rsidRPr="0062786D">
        <w:rPr>
          <w:rStyle w:val="CETCaptionCarattere"/>
          <w:i/>
        </w:rPr>
        <w:t>3</w:t>
      </w:r>
      <w:r w:rsidRPr="0062786D">
        <w:rPr>
          <w:rStyle w:val="CETCaptionCarattere"/>
          <w:i/>
        </w:rPr>
        <w:t>: Fault tree with the omission of the failure of Safety-PLC.</w:t>
      </w:r>
      <w:r w:rsidRPr="0062786D">
        <w:t xml:space="preserve"> </w:t>
      </w:r>
    </w:p>
    <w:p w14:paraId="0AC5D776" w14:textId="77777777" w:rsidR="002731F4" w:rsidRPr="0062786D" w:rsidRDefault="002731F4" w:rsidP="00600535">
      <w:pPr>
        <w:pStyle w:val="CETBodytext"/>
        <w:rPr>
          <w:lang w:val="en-GB"/>
        </w:rPr>
      </w:pPr>
    </w:p>
    <w:p w14:paraId="7DC78988" w14:textId="01CC71AE" w:rsidR="00707525" w:rsidRPr="0062786D" w:rsidRDefault="00C57F1F" w:rsidP="00600535">
      <w:pPr>
        <w:pStyle w:val="CETBodytext"/>
        <w:rPr>
          <w:lang w:val="en-GB"/>
        </w:rPr>
      </w:pPr>
      <w:r w:rsidRPr="0062786D">
        <w:rPr>
          <w:noProof/>
          <w:lang w:val="en-GB"/>
        </w:rPr>
        <w:drawing>
          <wp:inline distT="0" distB="0" distL="0" distR="0" wp14:anchorId="1074F4A5" wp14:editId="64010AAB">
            <wp:extent cx="5601600" cy="3524400"/>
            <wp:effectExtent l="0" t="0" r="0" b="0"/>
            <wp:docPr id="1431078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1600" cy="3524400"/>
                    </a:xfrm>
                    <a:prstGeom prst="rect">
                      <a:avLst/>
                    </a:prstGeom>
                    <a:noFill/>
                  </pic:spPr>
                </pic:pic>
              </a:graphicData>
            </a:graphic>
          </wp:inline>
        </w:drawing>
      </w:r>
    </w:p>
    <w:p w14:paraId="48F337DA" w14:textId="79C7FDDC" w:rsidR="00707525" w:rsidRPr="0062786D" w:rsidRDefault="00707525" w:rsidP="00707525">
      <w:pPr>
        <w:pStyle w:val="CETCaption"/>
      </w:pPr>
      <w:r w:rsidRPr="0062786D">
        <w:rPr>
          <w:rStyle w:val="CETCaptionCarattere"/>
          <w:i/>
        </w:rPr>
        <w:t xml:space="preserve">Figure </w:t>
      </w:r>
      <w:r w:rsidR="009E775C" w:rsidRPr="0062786D">
        <w:rPr>
          <w:rStyle w:val="CETCaptionCarattere"/>
          <w:i/>
        </w:rPr>
        <w:t>4</w:t>
      </w:r>
      <w:r w:rsidRPr="0062786D">
        <w:rPr>
          <w:rStyle w:val="CETCaptionCarattere"/>
          <w:i/>
        </w:rPr>
        <w:t>: Fault tree which considers the failure of Safety-PLC.</w:t>
      </w:r>
      <w:r w:rsidRPr="0062786D">
        <w:t xml:space="preserve"> </w:t>
      </w:r>
    </w:p>
    <w:p w14:paraId="205EE3A9" w14:textId="76B7152D" w:rsidR="00966D8F" w:rsidRPr="0062786D" w:rsidRDefault="00966D8F" w:rsidP="0062786D">
      <w:pPr>
        <w:pStyle w:val="CETBodytext"/>
        <w:rPr>
          <w:lang w:val="en-GB"/>
        </w:rPr>
      </w:pPr>
      <w:r w:rsidRPr="0062786D">
        <w:rPr>
          <w:lang w:val="en-GB"/>
        </w:rPr>
        <w:t xml:space="preserve">The first </w:t>
      </w:r>
      <w:r w:rsidR="0062786D">
        <w:rPr>
          <w:lang w:val="en-GB"/>
        </w:rPr>
        <w:t xml:space="preserve">aspect to observe is </w:t>
      </w:r>
      <w:r w:rsidRPr="0062786D">
        <w:rPr>
          <w:lang w:val="en-GB"/>
        </w:rPr>
        <w:t xml:space="preserve">that neglecting </w:t>
      </w:r>
      <w:r w:rsidR="0062786D">
        <w:rPr>
          <w:lang w:val="en-GB"/>
        </w:rPr>
        <w:t xml:space="preserve">to insert </w:t>
      </w:r>
      <w:r w:rsidRPr="0062786D">
        <w:rPr>
          <w:lang w:val="en-GB"/>
        </w:rPr>
        <w:t xml:space="preserve">the failure of the Safety-PLC in the fault tree </w:t>
      </w:r>
      <w:r w:rsidR="0062786D">
        <w:rPr>
          <w:lang w:val="en-GB"/>
        </w:rPr>
        <w:t>architecture</w:t>
      </w:r>
      <w:r w:rsidRPr="0062786D">
        <w:rPr>
          <w:lang w:val="en-GB"/>
        </w:rPr>
        <w:t xml:space="preserve"> leads to an error in the </w:t>
      </w:r>
      <w:r w:rsidR="0062786D">
        <w:rPr>
          <w:lang w:val="en-GB"/>
        </w:rPr>
        <w:t xml:space="preserve">numerical value of the </w:t>
      </w:r>
      <w:r w:rsidRPr="0062786D">
        <w:rPr>
          <w:lang w:val="en-GB"/>
        </w:rPr>
        <w:t>calculated top event frequency</w:t>
      </w:r>
      <w:r w:rsidR="009C0574" w:rsidRPr="0062786D">
        <w:rPr>
          <w:lang w:val="en-GB"/>
        </w:rPr>
        <w:t xml:space="preserve"> that is,</w:t>
      </w:r>
      <w:r w:rsidRPr="0062786D">
        <w:rPr>
          <w:lang w:val="en-GB"/>
        </w:rPr>
        <w:t xml:space="preserve"> for the specific example, of 5 orders of magnitude</w:t>
      </w:r>
      <w:r w:rsidR="000C2168">
        <w:rPr>
          <w:lang w:val="en-GB"/>
        </w:rPr>
        <w:t xml:space="preserve">: the first incorrect Fault Tree leads to a Top Event frequency of </w:t>
      </w:r>
      <w:r w:rsidRPr="0062786D">
        <w:rPr>
          <w:lang w:val="en-GB"/>
        </w:rPr>
        <w:t>10</w:t>
      </w:r>
      <w:r w:rsidRPr="000C2168">
        <w:rPr>
          <w:vertAlign w:val="superscript"/>
          <w:lang w:val="en-GB"/>
        </w:rPr>
        <w:t>-10</w:t>
      </w:r>
      <w:r w:rsidRPr="0062786D">
        <w:rPr>
          <w:lang w:val="en-GB"/>
        </w:rPr>
        <w:t xml:space="preserve"> ev/y</w:t>
      </w:r>
      <w:r w:rsidR="000C2168">
        <w:rPr>
          <w:lang w:val="en-GB"/>
        </w:rPr>
        <w:t>, while the correct architecture gives a Top Event frequency of</w:t>
      </w:r>
      <w:r w:rsidRPr="0062786D">
        <w:rPr>
          <w:lang w:val="en-GB"/>
        </w:rPr>
        <w:t xml:space="preserve"> 10</w:t>
      </w:r>
      <w:r w:rsidRPr="000C2168">
        <w:rPr>
          <w:vertAlign w:val="superscript"/>
          <w:lang w:val="en-GB"/>
        </w:rPr>
        <w:t>-5</w:t>
      </w:r>
      <w:r w:rsidRPr="0062786D">
        <w:rPr>
          <w:lang w:val="en-GB"/>
        </w:rPr>
        <w:t xml:space="preserve"> ev/y. </w:t>
      </w:r>
    </w:p>
    <w:p w14:paraId="47F68A2B" w14:textId="77777777" w:rsidR="00621EE7" w:rsidRDefault="00966D8F" w:rsidP="0062786D">
      <w:pPr>
        <w:pStyle w:val="CETBodytext"/>
        <w:rPr>
          <w:lang w:val="en-GB"/>
        </w:rPr>
      </w:pPr>
      <w:r w:rsidRPr="0062786D">
        <w:rPr>
          <w:lang w:val="en-GB"/>
        </w:rPr>
        <w:lastRenderedPageBreak/>
        <w:t xml:space="preserve">The second </w:t>
      </w:r>
      <w:r w:rsidR="00865AE6">
        <w:rPr>
          <w:lang w:val="en-GB"/>
        </w:rPr>
        <w:t xml:space="preserve">important aspect to note from the comparison of the trees is </w:t>
      </w:r>
      <w:r w:rsidRPr="0062786D">
        <w:rPr>
          <w:lang w:val="en-GB"/>
        </w:rPr>
        <w:t>not immediate</w:t>
      </w:r>
      <w:r w:rsidR="00865AE6">
        <w:rPr>
          <w:lang w:val="en-GB"/>
        </w:rPr>
        <w:t xml:space="preserve"> to see,</w:t>
      </w:r>
      <w:r w:rsidRPr="0062786D">
        <w:rPr>
          <w:lang w:val="en-GB"/>
        </w:rPr>
        <w:t xml:space="preserve"> and is </w:t>
      </w:r>
      <w:r w:rsidR="00865AE6">
        <w:rPr>
          <w:lang w:val="en-GB"/>
        </w:rPr>
        <w:t xml:space="preserve">also </w:t>
      </w:r>
      <w:r w:rsidRPr="0062786D">
        <w:rPr>
          <w:lang w:val="en-GB"/>
        </w:rPr>
        <w:t>the most common mistake found</w:t>
      </w:r>
      <w:r w:rsidR="009C0574" w:rsidRPr="0062786D">
        <w:rPr>
          <w:lang w:val="en-GB"/>
        </w:rPr>
        <w:t xml:space="preserve"> </w:t>
      </w:r>
      <w:r w:rsidRPr="0062786D">
        <w:rPr>
          <w:lang w:val="en-GB"/>
        </w:rPr>
        <w:t xml:space="preserve">in </w:t>
      </w:r>
      <w:r w:rsidR="00865AE6" w:rsidRPr="0062786D">
        <w:rPr>
          <w:lang w:val="en-GB"/>
        </w:rPr>
        <w:t>Fault Tree Analysis</w:t>
      </w:r>
      <w:r w:rsidR="00865AE6">
        <w:rPr>
          <w:lang w:val="en-GB"/>
        </w:rPr>
        <w:t xml:space="preserve">: </w:t>
      </w:r>
      <w:r w:rsidRPr="0062786D">
        <w:rPr>
          <w:lang w:val="en-GB"/>
        </w:rPr>
        <w:t xml:space="preserve">where the failure of the S-PLC is not </w:t>
      </w:r>
      <w:r w:rsidR="00865AE6">
        <w:rPr>
          <w:lang w:val="en-GB"/>
        </w:rPr>
        <w:t>taken into account</w:t>
      </w:r>
      <w:r w:rsidRPr="0062786D">
        <w:rPr>
          <w:lang w:val="en-GB"/>
        </w:rPr>
        <w:t xml:space="preserve"> (Figure 3)</w:t>
      </w:r>
      <w:r w:rsidR="00865AE6">
        <w:rPr>
          <w:lang w:val="en-GB"/>
        </w:rPr>
        <w:t>,</w:t>
      </w:r>
      <w:r w:rsidRPr="0062786D">
        <w:rPr>
          <w:lang w:val="en-GB"/>
        </w:rPr>
        <w:t xml:space="preserve"> the overall calculated PFD for all the safeguards </w:t>
      </w:r>
      <w:r w:rsidR="00865AE6">
        <w:rPr>
          <w:lang w:val="en-GB"/>
        </w:rPr>
        <w:t>under the same</w:t>
      </w:r>
      <w:r w:rsidRPr="0062786D">
        <w:rPr>
          <w:lang w:val="en-GB"/>
        </w:rPr>
        <w:t xml:space="preserve"> AND </w:t>
      </w:r>
      <w:r w:rsidR="00865AE6">
        <w:rPr>
          <w:lang w:val="en-GB"/>
        </w:rPr>
        <w:t>gate</w:t>
      </w:r>
      <w:r w:rsidRPr="0062786D">
        <w:rPr>
          <w:lang w:val="en-GB"/>
        </w:rPr>
        <w:t xml:space="preserve"> (see GATE 2 in Figure 3) is </w:t>
      </w:r>
      <w:r w:rsidR="00865AE6">
        <w:rPr>
          <w:lang w:val="en-GB"/>
        </w:rPr>
        <w:t xml:space="preserve">equal to </w:t>
      </w:r>
      <w:r w:rsidRPr="0062786D">
        <w:rPr>
          <w:lang w:val="en-GB"/>
        </w:rPr>
        <w:t>1.06·10</w:t>
      </w:r>
      <w:r w:rsidRPr="00865AE6">
        <w:rPr>
          <w:vertAlign w:val="superscript"/>
          <w:lang w:val="en-GB"/>
        </w:rPr>
        <w:t>-8</w:t>
      </w:r>
      <w:r w:rsidR="00865AE6">
        <w:rPr>
          <w:lang w:val="en-GB"/>
        </w:rPr>
        <w:t xml:space="preserve">, </w:t>
      </w:r>
      <w:r w:rsidRPr="0062786D">
        <w:rPr>
          <w:lang w:val="en-GB"/>
        </w:rPr>
        <w:t>which is well below the calculated PFD value of the S-PLC on which the safeguards are implemented (in Figure 3 it is possible to see that the calculated PFD of the S-PLC is 6.80·10</w:t>
      </w:r>
      <w:r w:rsidRPr="00865AE6">
        <w:rPr>
          <w:vertAlign w:val="superscript"/>
          <w:lang w:val="en-GB"/>
        </w:rPr>
        <w:t>-4</w:t>
      </w:r>
      <w:r w:rsidR="00865AE6">
        <w:rPr>
          <w:lang w:val="en-GB"/>
        </w:rPr>
        <w:t xml:space="preserve">, a value that is consistent with </w:t>
      </w:r>
      <w:r w:rsidRPr="0062786D">
        <w:rPr>
          <w:lang w:val="en-GB"/>
        </w:rPr>
        <w:t>the SIL 3 range).</w:t>
      </w:r>
      <w:r w:rsidR="009C0574" w:rsidRPr="0062786D">
        <w:rPr>
          <w:lang w:val="en-GB"/>
        </w:rPr>
        <w:t xml:space="preserve"> </w:t>
      </w:r>
      <w:r w:rsidR="00865AE6">
        <w:rPr>
          <w:lang w:val="en-GB"/>
        </w:rPr>
        <w:t>Clearly, it is unrealistic</w:t>
      </w:r>
      <w:r w:rsidR="00F1448A">
        <w:rPr>
          <w:lang w:val="en-GB"/>
        </w:rPr>
        <w:t xml:space="preserve"> that the reliability of all safeguards is greater than the reliability of their dedicated logic solver.</w:t>
      </w:r>
      <w:r w:rsidR="00621EE7">
        <w:rPr>
          <w:lang w:val="en-GB"/>
        </w:rPr>
        <w:t xml:space="preserve"> </w:t>
      </w:r>
    </w:p>
    <w:p w14:paraId="44FE54FD" w14:textId="37BC257A" w:rsidR="00D23E66" w:rsidRDefault="009C0574" w:rsidP="0062786D">
      <w:pPr>
        <w:pStyle w:val="CETBodytext"/>
        <w:rPr>
          <w:lang w:val="en-GB"/>
        </w:rPr>
      </w:pPr>
      <w:r w:rsidRPr="0062786D">
        <w:rPr>
          <w:lang w:val="en-GB"/>
        </w:rPr>
        <w:t xml:space="preserve">This conclusion demonstrates how </w:t>
      </w:r>
      <w:r w:rsidR="00F1448A" w:rsidRPr="0062786D">
        <w:rPr>
          <w:lang w:val="en-GB"/>
        </w:rPr>
        <w:t xml:space="preserve">important </w:t>
      </w:r>
      <w:r w:rsidRPr="0062786D">
        <w:rPr>
          <w:lang w:val="en-GB"/>
        </w:rPr>
        <w:t>it is to evaluate dependencies between safeguards</w:t>
      </w:r>
      <w:r w:rsidR="00F1448A">
        <w:rPr>
          <w:lang w:val="en-GB"/>
        </w:rPr>
        <w:t>,</w:t>
      </w:r>
      <w:r w:rsidRPr="0062786D">
        <w:rPr>
          <w:lang w:val="en-GB"/>
        </w:rPr>
        <w:t xml:space="preserve"> especially before the Fault Tree Construction, for example during HAZOP </w:t>
      </w:r>
      <w:r w:rsidR="00F1448A">
        <w:rPr>
          <w:lang w:val="en-GB"/>
        </w:rPr>
        <w:t>analysis and reporting</w:t>
      </w:r>
      <w:r w:rsidRPr="0062786D">
        <w:rPr>
          <w:lang w:val="en-GB"/>
        </w:rPr>
        <w:t xml:space="preserve">. </w:t>
      </w:r>
      <w:r w:rsidR="00F1448A">
        <w:rPr>
          <w:lang w:val="en-GB"/>
        </w:rPr>
        <w:t>T</w:t>
      </w:r>
      <w:r w:rsidR="00F1448A" w:rsidRPr="00F1448A">
        <w:rPr>
          <w:lang w:val="en-GB"/>
        </w:rPr>
        <w:t xml:space="preserve">he aspects discussed so far are not intended to indicate a poor reliability of </w:t>
      </w:r>
      <w:r w:rsidR="00F1448A">
        <w:rPr>
          <w:lang w:val="en-GB"/>
        </w:rPr>
        <w:t>a S-</w:t>
      </w:r>
      <w:r w:rsidR="00F1448A" w:rsidRPr="00F1448A">
        <w:rPr>
          <w:lang w:val="en-GB"/>
        </w:rPr>
        <w:t xml:space="preserve">PLC, but are intended to </w:t>
      </w:r>
      <w:r w:rsidR="00F1448A" w:rsidRPr="0062786D">
        <w:rPr>
          <w:lang w:val="en-GB"/>
        </w:rPr>
        <w:t xml:space="preserve">raise </w:t>
      </w:r>
      <w:r w:rsidR="00F1448A">
        <w:rPr>
          <w:lang w:val="en-GB"/>
        </w:rPr>
        <w:t xml:space="preserve">the </w:t>
      </w:r>
      <w:r w:rsidR="00F1448A" w:rsidRPr="0062786D">
        <w:rPr>
          <w:lang w:val="en-GB"/>
        </w:rPr>
        <w:t xml:space="preserve">awareness </w:t>
      </w:r>
      <w:r w:rsidR="00F1448A">
        <w:rPr>
          <w:lang w:val="en-GB"/>
        </w:rPr>
        <w:t xml:space="preserve">of </w:t>
      </w:r>
      <w:r w:rsidR="00F1448A" w:rsidRPr="0062786D">
        <w:rPr>
          <w:lang w:val="en-GB"/>
        </w:rPr>
        <w:t>people participat</w:t>
      </w:r>
      <w:r w:rsidR="00F1448A">
        <w:rPr>
          <w:lang w:val="en-GB"/>
        </w:rPr>
        <w:t>ing</w:t>
      </w:r>
      <w:r w:rsidR="00F1448A" w:rsidRPr="0062786D">
        <w:rPr>
          <w:lang w:val="en-GB"/>
        </w:rPr>
        <w:t xml:space="preserve"> to hazard identification and risk analysis activities</w:t>
      </w:r>
      <w:r w:rsidR="00F1448A">
        <w:rPr>
          <w:lang w:val="en-GB"/>
        </w:rPr>
        <w:t xml:space="preserve">, as they should </w:t>
      </w:r>
      <w:r w:rsidR="00F1448A" w:rsidRPr="0062786D">
        <w:rPr>
          <w:lang w:val="en-GB"/>
        </w:rPr>
        <w:t xml:space="preserve">be careful </w:t>
      </w:r>
      <w:r w:rsidR="00F1448A">
        <w:rPr>
          <w:lang w:val="en-GB"/>
        </w:rPr>
        <w:t xml:space="preserve">when listing effective safeguards and their reliability (sometimes this is referred to as “giving credit” to a barrier): </w:t>
      </w:r>
      <w:r w:rsidR="00164550" w:rsidRPr="0062786D">
        <w:rPr>
          <w:lang w:val="en-GB"/>
        </w:rPr>
        <w:t xml:space="preserve">if several barriers </w:t>
      </w:r>
      <w:r w:rsidR="00F1448A">
        <w:rPr>
          <w:lang w:val="en-GB"/>
        </w:rPr>
        <w:t xml:space="preserve">are </w:t>
      </w:r>
      <w:r w:rsidR="00164550" w:rsidRPr="0062786D">
        <w:rPr>
          <w:lang w:val="en-GB"/>
        </w:rPr>
        <w:t xml:space="preserve">implemented </w:t>
      </w:r>
      <w:r w:rsidR="00F1448A">
        <w:rPr>
          <w:lang w:val="en-GB"/>
        </w:rPr>
        <w:t>on</w:t>
      </w:r>
      <w:r w:rsidR="00164550" w:rsidRPr="0062786D">
        <w:rPr>
          <w:lang w:val="en-GB"/>
        </w:rPr>
        <w:t xml:space="preserve"> the same logic solver</w:t>
      </w:r>
      <w:r w:rsidR="00F1448A">
        <w:rPr>
          <w:lang w:val="en-GB"/>
        </w:rPr>
        <w:t>, it is not correct to assume that all of them are effective in reducing the frequency of occurrence of the fault path, as they are all limited by their common cause failure, the S-PLC.</w:t>
      </w:r>
      <w:r w:rsidR="00164550" w:rsidRPr="0062786D">
        <w:rPr>
          <w:lang w:val="en-GB"/>
        </w:rPr>
        <w:t xml:space="preserve"> The maximum availability </w:t>
      </w:r>
      <w:r w:rsidR="00F1448A">
        <w:rPr>
          <w:lang w:val="en-GB"/>
        </w:rPr>
        <w:t>the group of barriers</w:t>
      </w:r>
      <w:r w:rsidR="00164550" w:rsidRPr="0062786D">
        <w:rPr>
          <w:lang w:val="en-GB"/>
        </w:rPr>
        <w:t xml:space="preserve"> can </w:t>
      </w:r>
      <w:r w:rsidR="00F1448A">
        <w:rPr>
          <w:lang w:val="en-GB"/>
        </w:rPr>
        <w:t>achieve</w:t>
      </w:r>
      <w:r w:rsidR="00164550" w:rsidRPr="0062786D">
        <w:rPr>
          <w:lang w:val="en-GB"/>
        </w:rPr>
        <w:t xml:space="preserve"> is the availability of the logic solver itsel</w:t>
      </w:r>
      <w:r w:rsidR="00B5287A" w:rsidRPr="0062786D">
        <w:rPr>
          <w:lang w:val="en-GB"/>
        </w:rPr>
        <w:t>f</w:t>
      </w:r>
      <w:r w:rsidR="00164550" w:rsidRPr="0062786D">
        <w:rPr>
          <w:lang w:val="en-GB"/>
        </w:rPr>
        <w:t xml:space="preserve">. </w:t>
      </w:r>
      <w:r w:rsidR="00D23E66">
        <w:rPr>
          <w:lang w:val="en-GB"/>
        </w:rPr>
        <w:t xml:space="preserve">Failing to recognize and address these mistakes </w:t>
      </w:r>
      <w:r w:rsidR="00164550" w:rsidRPr="0062786D">
        <w:rPr>
          <w:lang w:val="en-GB"/>
        </w:rPr>
        <w:t>will lead to calculated frequencies with no physical meaning</w:t>
      </w:r>
      <w:r w:rsidR="00D23E66">
        <w:rPr>
          <w:lang w:val="en-GB"/>
        </w:rPr>
        <w:t>,</w:t>
      </w:r>
      <w:r w:rsidR="00164550" w:rsidRPr="0062786D">
        <w:rPr>
          <w:lang w:val="en-GB"/>
        </w:rPr>
        <w:t xml:space="preserve"> </w:t>
      </w:r>
      <w:r w:rsidR="00D23E66">
        <w:rPr>
          <w:lang w:val="en-GB"/>
        </w:rPr>
        <w:t xml:space="preserve">which in turn </w:t>
      </w:r>
      <w:r w:rsidR="00D23E66" w:rsidRPr="00D23E66">
        <w:rPr>
          <w:lang w:val="en-GB"/>
        </w:rPr>
        <w:t xml:space="preserve">results in an underestimation of </w:t>
      </w:r>
      <w:r w:rsidR="00D23E66" w:rsidRPr="0062786D">
        <w:rPr>
          <w:lang w:val="en-GB"/>
        </w:rPr>
        <w:t xml:space="preserve">the </w:t>
      </w:r>
      <w:r w:rsidR="00D23E66">
        <w:rPr>
          <w:lang w:val="en-GB"/>
        </w:rPr>
        <w:t>actual</w:t>
      </w:r>
      <w:r w:rsidR="00D23E66" w:rsidRPr="0062786D">
        <w:rPr>
          <w:lang w:val="en-GB"/>
        </w:rPr>
        <w:t xml:space="preserve"> risk for people and environment</w:t>
      </w:r>
      <w:r w:rsidR="00D23E66">
        <w:rPr>
          <w:lang w:val="en-GB"/>
        </w:rPr>
        <w:t>, with severe consequences if the mistake is found out too late.</w:t>
      </w:r>
    </w:p>
    <w:p w14:paraId="23B3063B" w14:textId="5EF1D3BB" w:rsidR="00D23E66" w:rsidRDefault="00D23E66" w:rsidP="0062786D">
      <w:pPr>
        <w:pStyle w:val="CETBodytext"/>
        <w:rPr>
          <w:lang w:val="en-GB"/>
        </w:rPr>
      </w:pPr>
      <w:r>
        <w:rPr>
          <w:lang w:val="en-GB"/>
        </w:rPr>
        <w:t xml:space="preserve">This is true not only for existing plants and facilities, but also for engineering projects during design phases: if the frequencies (and therefore the risks) have been underestimated </w:t>
      </w:r>
      <w:r w:rsidRPr="0062786D">
        <w:rPr>
          <w:lang w:val="en-GB"/>
        </w:rPr>
        <w:t xml:space="preserve">during the </w:t>
      </w:r>
      <w:r>
        <w:rPr>
          <w:lang w:val="en-GB"/>
        </w:rPr>
        <w:t xml:space="preserve">preliminary </w:t>
      </w:r>
      <w:r w:rsidRPr="0062786D">
        <w:rPr>
          <w:lang w:val="en-GB"/>
        </w:rPr>
        <w:t>HAZOP analysis</w:t>
      </w:r>
      <w:r w:rsidRPr="00D23E66">
        <w:rPr>
          <w:lang w:val="en-GB"/>
        </w:rPr>
        <w:t xml:space="preserve"> </w:t>
      </w:r>
      <w:r w:rsidRPr="0062786D">
        <w:rPr>
          <w:lang w:val="en-GB"/>
        </w:rPr>
        <w:t xml:space="preserve">because the </w:t>
      </w:r>
      <w:r w:rsidR="00E148B4">
        <w:rPr>
          <w:lang w:val="en-GB"/>
        </w:rPr>
        <w:t xml:space="preserve">HAZOP </w:t>
      </w:r>
      <w:r w:rsidRPr="0062786D">
        <w:rPr>
          <w:lang w:val="en-GB"/>
        </w:rPr>
        <w:t xml:space="preserve">team </w:t>
      </w:r>
      <w:r w:rsidR="00E148B4">
        <w:rPr>
          <w:lang w:val="en-GB"/>
        </w:rPr>
        <w:t>improperly assigned the</w:t>
      </w:r>
      <w:r w:rsidRPr="0062786D">
        <w:rPr>
          <w:lang w:val="en-GB"/>
        </w:rPr>
        <w:t xml:space="preserve"> </w:t>
      </w:r>
      <w:r w:rsidR="00E148B4">
        <w:rPr>
          <w:lang w:val="en-GB"/>
        </w:rPr>
        <w:t xml:space="preserve">reliability </w:t>
      </w:r>
      <w:r w:rsidRPr="0062786D">
        <w:rPr>
          <w:lang w:val="en-GB"/>
        </w:rPr>
        <w:t>to the safeguards</w:t>
      </w:r>
      <w:r w:rsidR="00E148B4">
        <w:rPr>
          <w:lang w:val="en-GB"/>
        </w:rPr>
        <w:t xml:space="preserve">, then finding the technical solution to correct these mistakes when the error is found gets costly and time-consuming, since the design of the plant has already been finalized, and possibly the plant has already been built. In DEKRA experience, it has happened that due to a miscalculation in the Fault Tree Analysis, the plant had to be stopped </w:t>
      </w:r>
      <w:r w:rsidR="00E148B4" w:rsidRPr="0062786D">
        <w:rPr>
          <w:lang w:val="en-GB"/>
        </w:rPr>
        <w:t xml:space="preserve">until a technical solution </w:t>
      </w:r>
      <w:r w:rsidR="00E148B4">
        <w:rPr>
          <w:lang w:val="en-GB"/>
        </w:rPr>
        <w:t xml:space="preserve">to mitigate the risk </w:t>
      </w:r>
      <w:r w:rsidR="00E148B4" w:rsidRPr="0062786D">
        <w:rPr>
          <w:lang w:val="en-GB"/>
        </w:rPr>
        <w:t>was found</w:t>
      </w:r>
      <w:r w:rsidR="00E148B4">
        <w:rPr>
          <w:lang w:val="en-GB"/>
        </w:rPr>
        <w:t xml:space="preserve">. </w:t>
      </w:r>
    </w:p>
    <w:p w14:paraId="68C5A7DA" w14:textId="44D92AF4" w:rsidR="002731F4" w:rsidRDefault="002731F4" w:rsidP="002731F4">
      <w:pPr>
        <w:pStyle w:val="CETHeading1"/>
        <w:tabs>
          <w:tab w:val="num" w:pos="360"/>
        </w:tabs>
        <w:rPr>
          <w:lang w:val="en-GB"/>
        </w:rPr>
      </w:pPr>
      <w:r w:rsidRPr="0062786D">
        <w:rPr>
          <w:lang w:val="en-GB"/>
        </w:rPr>
        <w:t>Conclusions</w:t>
      </w:r>
    </w:p>
    <w:p w14:paraId="55346111" w14:textId="41F4CE63" w:rsidR="0044318A" w:rsidRPr="0044318A" w:rsidRDefault="0044318A" w:rsidP="008504E0">
      <w:pPr>
        <w:pStyle w:val="CETBodytext"/>
        <w:rPr>
          <w:lang w:val="en-GB"/>
        </w:rPr>
      </w:pPr>
      <w:r w:rsidRPr="0044318A">
        <w:rPr>
          <w:lang w:val="en-GB"/>
        </w:rPr>
        <w:t xml:space="preserve">When assessing risk tolerability, one of the main steps of the analysis is the evaluation of the likelihood of </w:t>
      </w:r>
      <w:r w:rsidRPr="00C00DB2">
        <w:rPr>
          <w:lang w:val="en-GB"/>
        </w:rPr>
        <w:t xml:space="preserve">occurrence of a given incident scenario, or Top Event, since the risk is a function of the likelihood and the consequences of the event itself. One the most common </w:t>
      </w:r>
      <w:r w:rsidR="00C00DB2" w:rsidRPr="00C00DB2">
        <w:rPr>
          <w:lang w:val="en-GB"/>
        </w:rPr>
        <w:t xml:space="preserve">techniques applied in Quantitative Risk Assessment to quantify the frequency of occurrence of complex scenarios is Fault Tree Analysis, thanks to its relatively simple and schematic method. </w:t>
      </w:r>
      <w:r w:rsidRPr="00C00DB2">
        <w:rPr>
          <w:lang w:val="en-GB"/>
        </w:rPr>
        <w:t xml:space="preserve">This phase of a risk analysis needs to </w:t>
      </w:r>
      <w:r w:rsidR="00C00DB2" w:rsidRPr="00C00DB2">
        <w:rPr>
          <w:lang w:val="en-GB"/>
        </w:rPr>
        <w:t xml:space="preserve">be </w:t>
      </w:r>
      <w:r w:rsidRPr="00C00DB2">
        <w:rPr>
          <w:lang w:val="en-GB"/>
        </w:rPr>
        <w:t xml:space="preserve">approached with care and attentiveness, since even small errors or omissions </w:t>
      </w:r>
      <w:r w:rsidR="00C00DB2" w:rsidRPr="00C00DB2">
        <w:rPr>
          <w:lang w:val="en-GB"/>
        </w:rPr>
        <w:t>often lead to calculated values with no physical meaning. Starting from a real HAZOP line, this paper has demonstrated how an incorrect evaluation of the dependencies between all the identified barriers (or safeguards) for a given scenario generates an error in the calculation of the Top Event frequency which can be of several orders of magnitude</w:t>
      </w:r>
      <w:r w:rsidR="00C00DB2">
        <w:rPr>
          <w:lang w:val="en-GB"/>
        </w:rPr>
        <w:t xml:space="preserve">, which in turn leads to a severe underestimation of the process safety risk. </w:t>
      </w:r>
      <w:r w:rsidR="00621EE7">
        <w:rPr>
          <w:lang w:val="en-GB"/>
        </w:rPr>
        <w:t xml:space="preserve">Through a simple example, </w:t>
      </w:r>
      <w:r w:rsidR="00621EE7" w:rsidRPr="00621EE7">
        <w:rPr>
          <w:lang w:val="en-GB"/>
        </w:rPr>
        <w:t>this article aims to highlight these potential pitfalls</w:t>
      </w:r>
      <w:r w:rsidR="00C00DB2">
        <w:rPr>
          <w:lang w:val="en-GB"/>
        </w:rPr>
        <w:t xml:space="preserve"> </w:t>
      </w:r>
      <w:r w:rsidR="00621EE7">
        <w:rPr>
          <w:lang w:val="en-GB"/>
        </w:rPr>
        <w:t xml:space="preserve">in Fault Tree Analysis, </w:t>
      </w:r>
      <w:r w:rsidR="00621EE7" w:rsidRPr="00621EE7">
        <w:rPr>
          <w:lang w:val="en-GB"/>
        </w:rPr>
        <w:t xml:space="preserve">in the </w:t>
      </w:r>
      <w:r w:rsidR="00621EE7">
        <w:rPr>
          <w:lang w:val="en-GB"/>
        </w:rPr>
        <w:t>desire</w:t>
      </w:r>
      <w:r w:rsidR="00621EE7" w:rsidRPr="00621EE7">
        <w:rPr>
          <w:lang w:val="en-GB"/>
        </w:rPr>
        <w:t xml:space="preserve"> of improving the quality of </w:t>
      </w:r>
      <w:r w:rsidR="00621EE7">
        <w:rPr>
          <w:lang w:val="en-GB"/>
        </w:rPr>
        <w:t xml:space="preserve">process safety </w:t>
      </w:r>
      <w:r w:rsidR="00621EE7" w:rsidRPr="00621EE7">
        <w:rPr>
          <w:lang w:val="en-GB"/>
        </w:rPr>
        <w:t>hazard analyses</w:t>
      </w:r>
      <w:r w:rsidR="00621EE7">
        <w:rPr>
          <w:lang w:val="en-GB"/>
        </w:rPr>
        <w:t xml:space="preserve"> and properly manage the risk for people and environment. </w:t>
      </w:r>
    </w:p>
    <w:p w14:paraId="1E154D0E" w14:textId="7F305C0B" w:rsidR="00BF552E" w:rsidRDefault="00BF552E" w:rsidP="005F3500">
      <w:pPr>
        <w:pStyle w:val="CETHeadingxx"/>
      </w:pPr>
      <w:r>
        <w:t>Nomenclature</w:t>
      </w:r>
    </w:p>
    <w:tbl>
      <w:tblPr>
        <w:tblW w:w="5000" w:type="pct"/>
        <w:tblLook w:val="04A0" w:firstRow="1" w:lastRow="0" w:firstColumn="1" w:lastColumn="0" w:noHBand="0" w:noVBand="1"/>
      </w:tblPr>
      <w:tblGrid>
        <w:gridCol w:w="1188"/>
        <w:gridCol w:w="7815"/>
      </w:tblGrid>
      <w:tr w:rsidR="00BF552E" w:rsidRPr="002731F4" w14:paraId="2E370B13" w14:textId="77777777" w:rsidTr="00BF552E">
        <w:tc>
          <w:tcPr>
            <w:tcW w:w="660" w:type="pct"/>
            <w:shd w:val="clear" w:color="auto" w:fill="auto"/>
          </w:tcPr>
          <w:p w14:paraId="158458E3" w14:textId="3AB68081" w:rsidR="00BF552E" w:rsidRPr="002731F4" w:rsidRDefault="00BF552E" w:rsidP="00416B69">
            <w:pPr>
              <w:pStyle w:val="CETAcknowledgementstitle"/>
              <w:spacing w:before="0" w:after="0" w:line="240" w:lineRule="auto"/>
              <w:rPr>
                <w:rFonts w:eastAsia="SimSun"/>
                <w:b w:val="0"/>
                <w:lang w:val="en-US"/>
              </w:rPr>
            </w:pPr>
            <w:r>
              <w:rPr>
                <w:rFonts w:eastAsia="SimSun"/>
                <w:b w:val="0"/>
                <w:lang w:val="en-US"/>
              </w:rPr>
              <w:t>DCS</w:t>
            </w:r>
          </w:p>
        </w:tc>
        <w:tc>
          <w:tcPr>
            <w:tcW w:w="4340" w:type="pct"/>
            <w:shd w:val="clear" w:color="auto" w:fill="auto"/>
          </w:tcPr>
          <w:p w14:paraId="1152BD5B" w14:textId="395A8A09" w:rsidR="00BF552E" w:rsidRPr="002731F4" w:rsidRDefault="00BF552E" w:rsidP="00416B69">
            <w:pPr>
              <w:pStyle w:val="CETAcknowledgementstitle"/>
              <w:spacing w:before="0" w:after="0" w:line="240" w:lineRule="auto"/>
              <w:rPr>
                <w:rFonts w:eastAsia="SimSun"/>
                <w:b w:val="0"/>
                <w:lang w:val="en-US"/>
              </w:rPr>
            </w:pPr>
            <w:r>
              <w:rPr>
                <w:rFonts w:eastAsia="SimSun"/>
                <w:b w:val="0"/>
                <w:lang w:val="en-US"/>
              </w:rPr>
              <w:t>Distributed Control System</w:t>
            </w:r>
          </w:p>
        </w:tc>
      </w:tr>
      <w:tr w:rsidR="009C0574" w:rsidRPr="002731F4" w14:paraId="2DF7E7FE" w14:textId="77777777" w:rsidTr="00BF552E">
        <w:tc>
          <w:tcPr>
            <w:tcW w:w="660" w:type="pct"/>
            <w:shd w:val="clear" w:color="auto" w:fill="auto"/>
          </w:tcPr>
          <w:p w14:paraId="0F5077E5" w14:textId="20FF3A53" w:rsidR="009C0574" w:rsidRDefault="009C0574" w:rsidP="00416B69">
            <w:pPr>
              <w:pStyle w:val="CETAcknowledgementstitle"/>
              <w:spacing w:before="0" w:after="0" w:line="240" w:lineRule="auto"/>
              <w:rPr>
                <w:rFonts w:eastAsia="SimSun"/>
                <w:b w:val="0"/>
                <w:lang w:val="en-US"/>
              </w:rPr>
            </w:pPr>
            <w:r>
              <w:rPr>
                <w:rFonts w:eastAsia="SimSun"/>
                <w:b w:val="0"/>
                <w:lang w:val="en-US"/>
              </w:rPr>
              <w:t>FTA</w:t>
            </w:r>
          </w:p>
        </w:tc>
        <w:tc>
          <w:tcPr>
            <w:tcW w:w="4340" w:type="pct"/>
            <w:shd w:val="clear" w:color="auto" w:fill="auto"/>
          </w:tcPr>
          <w:p w14:paraId="1D144716" w14:textId="048DC144" w:rsidR="009C0574" w:rsidRDefault="009C0574" w:rsidP="00416B69">
            <w:pPr>
              <w:pStyle w:val="CETAcknowledgementstitle"/>
              <w:spacing w:before="0" w:after="0" w:line="240" w:lineRule="auto"/>
              <w:rPr>
                <w:rFonts w:eastAsia="SimSun"/>
                <w:b w:val="0"/>
                <w:lang w:val="en-US"/>
              </w:rPr>
            </w:pPr>
            <w:r>
              <w:rPr>
                <w:rFonts w:eastAsia="SimSun"/>
                <w:b w:val="0"/>
                <w:lang w:val="en-US"/>
              </w:rPr>
              <w:t>Fault Tree Analysis</w:t>
            </w:r>
          </w:p>
        </w:tc>
      </w:tr>
      <w:tr w:rsidR="00BF552E" w:rsidRPr="002731F4" w14:paraId="1026D34C" w14:textId="77777777" w:rsidTr="00BF552E">
        <w:tc>
          <w:tcPr>
            <w:tcW w:w="660" w:type="pct"/>
            <w:shd w:val="clear" w:color="auto" w:fill="auto"/>
          </w:tcPr>
          <w:p w14:paraId="3239DDFD" w14:textId="77777777" w:rsidR="00BF552E" w:rsidRPr="002731F4" w:rsidRDefault="00BF552E" w:rsidP="00416B69">
            <w:pPr>
              <w:pStyle w:val="CETAcknowledgementstitle"/>
              <w:spacing w:before="0" w:after="0" w:line="240" w:lineRule="auto"/>
              <w:rPr>
                <w:rFonts w:eastAsia="SimSun"/>
                <w:b w:val="0"/>
                <w:lang w:val="en-US"/>
              </w:rPr>
            </w:pPr>
            <w:r w:rsidRPr="002731F4">
              <w:rPr>
                <w:rFonts w:eastAsia="SimSun"/>
                <w:b w:val="0"/>
                <w:lang w:val="en-US"/>
              </w:rPr>
              <w:t>PFD</w:t>
            </w:r>
          </w:p>
        </w:tc>
        <w:tc>
          <w:tcPr>
            <w:tcW w:w="4340" w:type="pct"/>
            <w:shd w:val="clear" w:color="auto" w:fill="auto"/>
          </w:tcPr>
          <w:p w14:paraId="71060CD2" w14:textId="77777777" w:rsidR="00BF552E" w:rsidRPr="002731F4" w:rsidRDefault="00BF552E" w:rsidP="00416B69">
            <w:pPr>
              <w:pStyle w:val="CETAcknowledgementstitle"/>
              <w:spacing w:before="0" w:after="0" w:line="240" w:lineRule="auto"/>
              <w:rPr>
                <w:rFonts w:eastAsia="SimSun"/>
                <w:b w:val="0"/>
                <w:lang w:val="en-US"/>
              </w:rPr>
            </w:pPr>
            <w:r w:rsidRPr="002731F4">
              <w:rPr>
                <w:rFonts w:eastAsia="SimSun"/>
                <w:b w:val="0"/>
                <w:lang w:val="en-US"/>
              </w:rPr>
              <w:t>Probability of Failure on Demand</w:t>
            </w:r>
          </w:p>
        </w:tc>
      </w:tr>
      <w:tr w:rsidR="00BF552E" w:rsidRPr="002731F4" w14:paraId="1AD5D36A" w14:textId="77777777" w:rsidTr="00BF552E">
        <w:tc>
          <w:tcPr>
            <w:tcW w:w="660" w:type="pct"/>
            <w:shd w:val="clear" w:color="auto" w:fill="auto"/>
          </w:tcPr>
          <w:p w14:paraId="41090151" w14:textId="416973A8" w:rsidR="00BF552E" w:rsidRPr="002731F4" w:rsidRDefault="00BF552E" w:rsidP="00416B69">
            <w:pPr>
              <w:pStyle w:val="CETAcknowledgementstitle"/>
              <w:spacing w:before="0" w:after="0" w:line="240" w:lineRule="auto"/>
              <w:rPr>
                <w:rFonts w:eastAsia="SimSun"/>
                <w:b w:val="0"/>
                <w:lang w:val="en-US"/>
              </w:rPr>
            </w:pPr>
            <w:r>
              <w:rPr>
                <w:rFonts w:eastAsia="SimSun"/>
                <w:b w:val="0"/>
                <w:lang w:val="en-US"/>
              </w:rPr>
              <w:t>PLC</w:t>
            </w:r>
          </w:p>
        </w:tc>
        <w:tc>
          <w:tcPr>
            <w:tcW w:w="4340" w:type="pct"/>
            <w:shd w:val="clear" w:color="auto" w:fill="auto"/>
          </w:tcPr>
          <w:p w14:paraId="11844849" w14:textId="2D99EEBA" w:rsidR="00BF552E" w:rsidRPr="002731F4" w:rsidRDefault="00BF552E" w:rsidP="00416B69">
            <w:pPr>
              <w:pStyle w:val="CETAcknowledgementstitle"/>
              <w:spacing w:before="0" w:after="0" w:line="240" w:lineRule="auto"/>
              <w:rPr>
                <w:rFonts w:eastAsia="SimSun"/>
                <w:b w:val="0"/>
                <w:lang w:val="en-US"/>
              </w:rPr>
            </w:pPr>
            <w:r w:rsidRPr="00BF552E">
              <w:rPr>
                <w:rFonts w:eastAsia="SimSun"/>
                <w:b w:val="0"/>
                <w:lang w:val="en-US"/>
              </w:rPr>
              <w:t>Programmable Logic Controller</w:t>
            </w:r>
          </w:p>
        </w:tc>
      </w:tr>
      <w:tr w:rsidR="00BF552E" w:rsidRPr="002731F4" w14:paraId="520D07EB" w14:textId="77777777" w:rsidTr="00BF552E">
        <w:tc>
          <w:tcPr>
            <w:tcW w:w="660" w:type="pct"/>
            <w:shd w:val="clear" w:color="auto" w:fill="auto"/>
          </w:tcPr>
          <w:p w14:paraId="1F6834FA" w14:textId="30CB6E57" w:rsidR="00BF552E" w:rsidRDefault="00BF552E" w:rsidP="00416B69">
            <w:pPr>
              <w:pStyle w:val="CETAcknowledgementstitle"/>
              <w:spacing w:before="0" w:after="0" w:line="240" w:lineRule="auto"/>
              <w:rPr>
                <w:rFonts w:eastAsia="SimSun"/>
                <w:b w:val="0"/>
                <w:lang w:val="en-US"/>
              </w:rPr>
            </w:pPr>
            <w:r>
              <w:rPr>
                <w:rFonts w:eastAsia="SimSun"/>
                <w:b w:val="0"/>
                <w:lang w:val="en-US"/>
              </w:rPr>
              <w:t>QRA</w:t>
            </w:r>
          </w:p>
        </w:tc>
        <w:tc>
          <w:tcPr>
            <w:tcW w:w="4340" w:type="pct"/>
            <w:shd w:val="clear" w:color="auto" w:fill="auto"/>
          </w:tcPr>
          <w:p w14:paraId="7BC5103E" w14:textId="59C5C2CD" w:rsidR="00BF552E" w:rsidRPr="00BF552E" w:rsidRDefault="00BF552E" w:rsidP="00416B69">
            <w:pPr>
              <w:pStyle w:val="CETAcknowledgementstitle"/>
              <w:spacing w:before="0" w:after="0" w:line="240" w:lineRule="auto"/>
              <w:rPr>
                <w:rFonts w:eastAsia="SimSun"/>
                <w:b w:val="0"/>
                <w:lang w:val="en-US"/>
              </w:rPr>
            </w:pPr>
            <w:r>
              <w:rPr>
                <w:rFonts w:eastAsia="SimSun"/>
                <w:b w:val="0"/>
                <w:lang w:val="en-US"/>
              </w:rPr>
              <w:t>Quantitative Risk Assessment</w:t>
            </w:r>
          </w:p>
        </w:tc>
      </w:tr>
      <w:tr w:rsidR="00BF552E" w:rsidRPr="002731F4" w14:paraId="30D468FD" w14:textId="77777777" w:rsidTr="00BF552E">
        <w:tc>
          <w:tcPr>
            <w:tcW w:w="660" w:type="pct"/>
            <w:shd w:val="clear" w:color="auto" w:fill="auto"/>
          </w:tcPr>
          <w:p w14:paraId="278555DE" w14:textId="77777777" w:rsidR="00BF552E" w:rsidRPr="002731F4" w:rsidRDefault="00BF552E" w:rsidP="00416B69">
            <w:pPr>
              <w:pStyle w:val="CETAcknowledgementstitle"/>
              <w:spacing w:before="0" w:after="0" w:line="240" w:lineRule="auto"/>
              <w:rPr>
                <w:rFonts w:eastAsia="SimSun"/>
                <w:b w:val="0"/>
                <w:lang w:val="en-US"/>
              </w:rPr>
            </w:pPr>
            <w:r w:rsidRPr="002731F4">
              <w:rPr>
                <w:rFonts w:eastAsia="SimSun"/>
                <w:b w:val="0"/>
                <w:lang w:val="en-US"/>
              </w:rPr>
              <w:t>MTTR</w:t>
            </w:r>
          </w:p>
        </w:tc>
        <w:tc>
          <w:tcPr>
            <w:tcW w:w="4340" w:type="pct"/>
            <w:shd w:val="clear" w:color="auto" w:fill="auto"/>
          </w:tcPr>
          <w:p w14:paraId="413BDE85" w14:textId="77777777" w:rsidR="00BF552E" w:rsidRPr="002731F4" w:rsidRDefault="00BF552E" w:rsidP="00416B69">
            <w:pPr>
              <w:pStyle w:val="CETAcknowledgementstitle"/>
              <w:spacing w:before="0" w:after="0" w:line="240" w:lineRule="auto"/>
              <w:rPr>
                <w:rFonts w:eastAsia="SimSun"/>
                <w:b w:val="0"/>
                <w:lang w:val="en-US"/>
              </w:rPr>
            </w:pPr>
            <w:r w:rsidRPr="002731F4">
              <w:rPr>
                <w:rFonts w:eastAsia="SimSun"/>
                <w:b w:val="0"/>
                <w:lang w:val="en-US"/>
              </w:rPr>
              <w:t>Mean Time To Repair</w:t>
            </w:r>
          </w:p>
        </w:tc>
      </w:tr>
    </w:tbl>
    <w:p w14:paraId="378AAFCA" w14:textId="77777777" w:rsidR="00BF552E" w:rsidRPr="00B57B36" w:rsidRDefault="00BF552E" w:rsidP="00BF552E">
      <w:pPr>
        <w:pStyle w:val="CETReference"/>
      </w:pPr>
      <w:r w:rsidRPr="00B57B36">
        <w:t>References</w:t>
      </w:r>
    </w:p>
    <w:p w14:paraId="29055D85" w14:textId="77777777" w:rsidR="005F3500" w:rsidRDefault="005F3500" w:rsidP="005F3500">
      <w:pPr>
        <w:pStyle w:val="CETReferencetext"/>
      </w:pPr>
      <w:r>
        <w:t>Exida, Safety Equipment Reliability Handbook, 4</w:t>
      </w:r>
      <w:r w:rsidRPr="00F00560">
        <w:rPr>
          <w:vertAlign w:val="superscript"/>
        </w:rPr>
        <w:t>th</w:t>
      </w:r>
      <w:r>
        <w:t xml:space="preserve"> Edition, 2015</w:t>
      </w:r>
    </w:p>
    <w:p w14:paraId="323006F3" w14:textId="77777777" w:rsidR="00BF552E" w:rsidRDefault="00BF552E" w:rsidP="00BF552E">
      <w:pPr>
        <w:pStyle w:val="CETReferencetext"/>
      </w:pPr>
      <w:r w:rsidRPr="009C01E1">
        <w:t>Gotti M., Carluccio L.M., 2023, Quantitative Risk Assessment: Best Practices and Limitations, Chemical Engineering Transactions, 99, 187-192.</w:t>
      </w:r>
    </w:p>
    <w:p w14:paraId="2AC77640" w14:textId="29B902E3" w:rsidR="005F3500" w:rsidRDefault="005F3500" w:rsidP="00BF552E">
      <w:pPr>
        <w:pStyle w:val="CETReferencetext"/>
      </w:pPr>
      <w:r>
        <w:rPr>
          <w:rStyle w:val="normaltextrun"/>
          <w:rFonts w:cs="Arial"/>
          <w:color w:val="000000"/>
          <w:szCs w:val="18"/>
          <w:shd w:val="clear" w:color="auto" w:fill="FFFFFF"/>
        </w:rPr>
        <w:t>International Electrotechnical Commission, IEC 61511, Functional safety – Safety instrumented systems for the process industry sector, Geneva, Switzerland</w:t>
      </w:r>
    </w:p>
    <w:p w14:paraId="6FAA4342" w14:textId="0BFB8B13" w:rsidR="00C52C3C" w:rsidRDefault="00BF552E" w:rsidP="00E65B91">
      <w:pPr>
        <w:pStyle w:val="CETReferencetext"/>
      </w:pPr>
      <w:r w:rsidRPr="00975A1C">
        <w:t>Schüller, J., 2005</w:t>
      </w:r>
      <w:r>
        <w:t>,</w:t>
      </w:r>
      <w:r w:rsidRPr="00975A1C">
        <w:t xml:space="preserve"> Methods for Determining and Processing Probabilities </w:t>
      </w:r>
      <w:r>
        <w:t>(“</w:t>
      </w:r>
      <w:r w:rsidRPr="00975A1C">
        <w:t>Red Book</w:t>
      </w:r>
      <w:r>
        <w:t xml:space="preserve">”), </w:t>
      </w:r>
      <w:r w:rsidRPr="003E3426">
        <w:t xml:space="preserve">TNO (The Netherlands Organization of Applied Scientific Research), The Hague, </w:t>
      </w:r>
      <w:r>
        <w:t>2005</w:t>
      </w:r>
    </w:p>
    <w:sectPr w:rsidR="00C52C3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FF51F" w14:textId="77777777" w:rsidR="00106B28" w:rsidRDefault="00106B28" w:rsidP="004F5E36">
      <w:r>
        <w:separator/>
      </w:r>
    </w:p>
  </w:endnote>
  <w:endnote w:type="continuationSeparator" w:id="0">
    <w:p w14:paraId="5B3E5212" w14:textId="77777777" w:rsidR="00106B28" w:rsidRDefault="00106B28" w:rsidP="004F5E36">
      <w:r>
        <w:continuationSeparator/>
      </w:r>
    </w:p>
  </w:endnote>
  <w:endnote w:type="continuationNotice" w:id="1">
    <w:p w14:paraId="17994405" w14:textId="77777777" w:rsidR="00B929D6" w:rsidRDefault="00B929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B09FE" w14:textId="77777777" w:rsidR="00106B28" w:rsidRDefault="00106B28" w:rsidP="004F5E36">
      <w:r>
        <w:separator/>
      </w:r>
    </w:p>
  </w:footnote>
  <w:footnote w:type="continuationSeparator" w:id="0">
    <w:p w14:paraId="09687A32" w14:textId="77777777" w:rsidR="00106B28" w:rsidRDefault="00106B28" w:rsidP="004F5E36">
      <w:r>
        <w:continuationSeparator/>
      </w:r>
    </w:p>
  </w:footnote>
  <w:footnote w:type="continuationNotice" w:id="1">
    <w:p w14:paraId="7D258D60" w14:textId="77777777" w:rsidR="00B929D6" w:rsidRDefault="00B929D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470134"/>
    <w:multiLevelType w:val="hybridMultilevel"/>
    <w:tmpl w:val="986036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930D58"/>
    <w:multiLevelType w:val="hybridMultilevel"/>
    <w:tmpl w:val="16785C88"/>
    <w:lvl w:ilvl="0" w:tplc="42181310">
      <w:start w:val="1"/>
      <w:numFmt w:val="decimal"/>
      <w:lvlText w:val="%1."/>
      <w:lvlJc w:val="left"/>
      <w:pPr>
        <w:ind w:left="1020" w:hanging="360"/>
      </w:pPr>
    </w:lvl>
    <w:lvl w:ilvl="1" w:tplc="C598D972">
      <w:start w:val="1"/>
      <w:numFmt w:val="decimal"/>
      <w:lvlText w:val="%2."/>
      <w:lvlJc w:val="left"/>
      <w:pPr>
        <w:ind w:left="1020" w:hanging="360"/>
      </w:pPr>
    </w:lvl>
    <w:lvl w:ilvl="2" w:tplc="7ADE25B0">
      <w:start w:val="1"/>
      <w:numFmt w:val="decimal"/>
      <w:lvlText w:val="%3."/>
      <w:lvlJc w:val="left"/>
      <w:pPr>
        <w:ind w:left="1020" w:hanging="360"/>
      </w:pPr>
    </w:lvl>
    <w:lvl w:ilvl="3" w:tplc="4858D41C">
      <w:start w:val="1"/>
      <w:numFmt w:val="decimal"/>
      <w:lvlText w:val="%4."/>
      <w:lvlJc w:val="left"/>
      <w:pPr>
        <w:ind w:left="1020" w:hanging="360"/>
      </w:pPr>
    </w:lvl>
    <w:lvl w:ilvl="4" w:tplc="E48200D8">
      <w:start w:val="1"/>
      <w:numFmt w:val="decimal"/>
      <w:lvlText w:val="%5."/>
      <w:lvlJc w:val="left"/>
      <w:pPr>
        <w:ind w:left="1020" w:hanging="360"/>
      </w:pPr>
    </w:lvl>
    <w:lvl w:ilvl="5" w:tplc="C5C49AF2">
      <w:start w:val="1"/>
      <w:numFmt w:val="decimal"/>
      <w:lvlText w:val="%6."/>
      <w:lvlJc w:val="left"/>
      <w:pPr>
        <w:ind w:left="1020" w:hanging="360"/>
      </w:pPr>
    </w:lvl>
    <w:lvl w:ilvl="6" w:tplc="B0C8751C">
      <w:start w:val="1"/>
      <w:numFmt w:val="decimal"/>
      <w:lvlText w:val="%7."/>
      <w:lvlJc w:val="left"/>
      <w:pPr>
        <w:ind w:left="1020" w:hanging="360"/>
      </w:pPr>
    </w:lvl>
    <w:lvl w:ilvl="7" w:tplc="161ED3D0">
      <w:start w:val="1"/>
      <w:numFmt w:val="decimal"/>
      <w:lvlText w:val="%8."/>
      <w:lvlJc w:val="left"/>
      <w:pPr>
        <w:ind w:left="1020" w:hanging="360"/>
      </w:pPr>
    </w:lvl>
    <w:lvl w:ilvl="8" w:tplc="7E8AE622">
      <w:start w:val="1"/>
      <w:numFmt w:val="decimal"/>
      <w:lvlText w:val="%9."/>
      <w:lvlJc w:val="left"/>
      <w:pPr>
        <w:ind w:left="1020" w:hanging="360"/>
      </w:pPr>
    </w:lvl>
  </w:abstractNum>
  <w:abstractNum w:abstractNumId="12" w15:restartNumberingAfterBreak="0">
    <w:nsid w:val="2438217E"/>
    <w:multiLevelType w:val="multilevel"/>
    <w:tmpl w:val="983A747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6443EB9"/>
    <w:multiLevelType w:val="hybridMultilevel"/>
    <w:tmpl w:val="C96E207A"/>
    <w:lvl w:ilvl="0" w:tplc="0410000B">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F11675"/>
    <w:multiLevelType w:val="hybridMultilevel"/>
    <w:tmpl w:val="7F960D1C"/>
    <w:lvl w:ilvl="0" w:tplc="EF624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84856C1"/>
    <w:multiLevelType w:val="hybridMultilevel"/>
    <w:tmpl w:val="F2762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EE04B98"/>
    <w:multiLevelType w:val="hybridMultilevel"/>
    <w:tmpl w:val="7B2470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51F05B1"/>
    <w:multiLevelType w:val="hybridMultilevel"/>
    <w:tmpl w:val="806658E2"/>
    <w:lvl w:ilvl="0" w:tplc="FFFFFFFF">
      <w:start w:val="1"/>
      <w:numFmt w:val="bullet"/>
      <w:lvlText w:val=""/>
      <w:lvlJc w:val="left"/>
      <w:pPr>
        <w:ind w:left="340"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0A0358"/>
    <w:multiLevelType w:val="hybridMultilevel"/>
    <w:tmpl w:val="F14A57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FB27397"/>
    <w:multiLevelType w:val="hybridMultilevel"/>
    <w:tmpl w:val="2466AA4C"/>
    <w:lvl w:ilvl="0" w:tplc="0409000F">
      <w:start w:val="1"/>
      <w:numFmt w:val="decimal"/>
      <w:lvlText w:val="%1."/>
      <w:lvlJc w:val="left"/>
      <w:pPr>
        <w:ind w:left="340" w:hanging="227"/>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93279E7"/>
    <w:multiLevelType w:val="hybridMultilevel"/>
    <w:tmpl w:val="BA9201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7D7992"/>
    <w:multiLevelType w:val="hybridMultilevel"/>
    <w:tmpl w:val="632E5450"/>
    <w:lvl w:ilvl="0" w:tplc="B1EEAD0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33C1039"/>
    <w:multiLevelType w:val="hybridMultilevel"/>
    <w:tmpl w:val="AC3AA0F4"/>
    <w:lvl w:ilvl="0" w:tplc="0410000B">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0305860">
    <w:abstractNumId w:val="12"/>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25"/>
  </w:num>
  <w:num w:numId="13" w16cid:durableId="1573659240">
    <w:abstractNumId w:val="16"/>
  </w:num>
  <w:num w:numId="14" w16cid:durableId="2092192635">
    <w:abstractNumId w:val="26"/>
  </w:num>
  <w:num w:numId="15" w16cid:durableId="1115637783">
    <w:abstractNumId w:val="29"/>
  </w:num>
  <w:num w:numId="16" w16cid:durableId="635987207">
    <w:abstractNumId w:val="28"/>
  </w:num>
  <w:num w:numId="17" w16cid:durableId="1476411020">
    <w:abstractNumId w:val="15"/>
  </w:num>
  <w:num w:numId="18" w16cid:durableId="2106877164">
    <w:abstractNumId w:val="16"/>
    <w:lvlOverride w:ilvl="0">
      <w:startOverride w:val="1"/>
    </w:lvlOverride>
  </w:num>
  <w:num w:numId="19" w16cid:durableId="1650403514">
    <w:abstractNumId w:val="24"/>
  </w:num>
  <w:num w:numId="20" w16cid:durableId="536504040">
    <w:abstractNumId w:val="22"/>
  </w:num>
  <w:num w:numId="21" w16cid:durableId="518815501">
    <w:abstractNumId w:val="19"/>
  </w:num>
  <w:num w:numId="22" w16cid:durableId="299530822">
    <w:abstractNumId w:val="18"/>
  </w:num>
  <w:num w:numId="23" w16cid:durableId="1149401504">
    <w:abstractNumId w:val="12"/>
  </w:num>
  <w:num w:numId="24" w16cid:durableId="1749107737">
    <w:abstractNumId w:val="12"/>
  </w:num>
  <w:num w:numId="25" w16cid:durableId="1076710789">
    <w:abstractNumId w:val="12"/>
  </w:num>
  <w:num w:numId="26" w16cid:durableId="1083262562">
    <w:abstractNumId w:val="30"/>
  </w:num>
  <w:num w:numId="27" w16cid:durableId="362218257">
    <w:abstractNumId w:val="31"/>
  </w:num>
  <w:num w:numId="28" w16cid:durableId="1874221807">
    <w:abstractNumId w:val="32"/>
  </w:num>
  <w:num w:numId="29" w16cid:durableId="76638660">
    <w:abstractNumId w:val="13"/>
  </w:num>
  <w:num w:numId="30" w16cid:durableId="2008558598">
    <w:abstractNumId w:val="21"/>
  </w:num>
  <w:num w:numId="31" w16cid:durableId="546723500">
    <w:abstractNumId w:val="23"/>
  </w:num>
  <w:num w:numId="32" w16cid:durableId="722294683">
    <w:abstractNumId w:val="27"/>
  </w:num>
  <w:num w:numId="33" w16cid:durableId="879240807">
    <w:abstractNumId w:val="14"/>
  </w:num>
  <w:num w:numId="34" w16cid:durableId="884803068">
    <w:abstractNumId w:val="20"/>
  </w:num>
  <w:num w:numId="35" w16cid:durableId="1713380877">
    <w:abstractNumId w:val="10"/>
  </w:num>
  <w:num w:numId="36" w16cid:durableId="392386485">
    <w:abstractNumId w:val="11"/>
  </w:num>
  <w:num w:numId="37" w16cid:durableId="11403484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44B6"/>
    <w:rsid w:val="0003148D"/>
    <w:rsid w:val="00031EEC"/>
    <w:rsid w:val="00041EB2"/>
    <w:rsid w:val="00051566"/>
    <w:rsid w:val="00062A9A"/>
    <w:rsid w:val="00065058"/>
    <w:rsid w:val="00086C39"/>
    <w:rsid w:val="000A03B2"/>
    <w:rsid w:val="000C2168"/>
    <w:rsid w:val="000D0268"/>
    <w:rsid w:val="000D34BE"/>
    <w:rsid w:val="000E102F"/>
    <w:rsid w:val="000E36F1"/>
    <w:rsid w:val="000E3A73"/>
    <w:rsid w:val="000E404E"/>
    <w:rsid w:val="000E414A"/>
    <w:rsid w:val="000F093C"/>
    <w:rsid w:val="000F787B"/>
    <w:rsid w:val="00106B28"/>
    <w:rsid w:val="0012091F"/>
    <w:rsid w:val="00126BC2"/>
    <w:rsid w:val="001308B6"/>
    <w:rsid w:val="0013121F"/>
    <w:rsid w:val="00131FE6"/>
    <w:rsid w:val="0013263F"/>
    <w:rsid w:val="001331DF"/>
    <w:rsid w:val="00134DE4"/>
    <w:rsid w:val="0014034D"/>
    <w:rsid w:val="001411F2"/>
    <w:rsid w:val="0014277C"/>
    <w:rsid w:val="00144D16"/>
    <w:rsid w:val="00150E59"/>
    <w:rsid w:val="00152DE3"/>
    <w:rsid w:val="00164550"/>
    <w:rsid w:val="00164CF9"/>
    <w:rsid w:val="001667A6"/>
    <w:rsid w:val="00184AD6"/>
    <w:rsid w:val="001A4AF7"/>
    <w:rsid w:val="001B0349"/>
    <w:rsid w:val="001B1E93"/>
    <w:rsid w:val="001B65C1"/>
    <w:rsid w:val="001C3BBD"/>
    <w:rsid w:val="001C684B"/>
    <w:rsid w:val="001D0CFB"/>
    <w:rsid w:val="001D53FC"/>
    <w:rsid w:val="001D66E8"/>
    <w:rsid w:val="001F42A5"/>
    <w:rsid w:val="001F7B9D"/>
    <w:rsid w:val="00201C93"/>
    <w:rsid w:val="002057C5"/>
    <w:rsid w:val="002224B4"/>
    <w:rsid w:val="002447EF"/>
    <w:rsid w:val="00251550"/>
    <w:rsid w:val="0025376B"/>
    <w:rsid w:val="00263B05"/>
    <w:rsid w:val="0027221A"/>
    <w:rsid w:val="002731F4"/>
    <w:rsid w:val="002756EF"/>
    <w:rsid w:val="00275B61"/>
    <w:rsid w:val="00280FAF"/>
    <w:rsid w:val="00282656"/>
    <w:rsid w:val="002862CA"/>
    <w:rsid w:val="00296B83"/>
    <w:rsid w:val="002B10B3"/>
    <w:rsid w:val="002B4015"/>
    <w:rsid w:val="002B78CE"/>
    <w:rsid w:val="002C2FB6"/>
    <w:rsid w:val="002E2FDB"/>
    <w:rsid w:val="002E5FA7"/>
    <w:rsid w:val="002F3309"/>
    <w:rsid w:val="003008CE"/>
    <w:rsid w:val="003009B7"/>
    <w:rsid w:val="00300E56"/>
    <w:rsid w:val="0030469C"/>
    <w:rsid w:val="00311FAB"/>
    <w:rsid w:val="0032092F"/>
    <w:rsid w:val="00321CA6"/>
    <w:rsid w:val="00323763"/>
    <w:rsid w:val="00334C09"/>
    <w:rsid w:val="0033747E"/>
    <w:rsid w:val="0034328F"/>
    <w:rsid w:val="00352317"/>
    <w:rsid w:val="003723D4"/>
    <w:rsid w:val="00381905"/>
    <w:rsid w:val="00384CC8"/>
    <w:rsid w:val="003871FD"/>
    <w:rsid w:val="003A1E30"/>
    <w:rsid w:val="003A2829"/>
    <w:rsid w:val="003A64D4"/>
    <w:rsid w:val="003A7D1C"/>
    <w:rsid w:val="003B304B"/>
    <w:rsid w:val="003B3146"/>
    <w:rsid w:val="003E0F82"/>
    <w:rsid w:val="003E3426"/>
    <w:rsid w:val="003F015E"/>
    <w:rsid w:val="00400414"/>
    <w:rsid w:val="0041446B"/>
    <w:rsid w:val="0044102F"/>
    <w:rsid w:val="0044318A"/>
    <w:rsid w:val="0044329C"/>
    <w:rsid w:val="00446189"/>
    <w:rsid w:val="00453E24"/>
    <w:rsid w:val="00457456"/>
    <w:rsid w:val="004577FE"/>
    <w:rsid w:val="00457B9C"/>
    <w:rsid w:val="0046164A"/>
    <w:rsid w:val="004628D2"/>
    <w:rsid w:val="00462DCD"/>
    <w:rsid w:val="004648AD"/>
    <w:rsid w:val="004703A9"/>
    <w:rsid w:val="00474959"/>
    <w:rsid w:val="004760DE"/>
    <w:rsid w:val="004763D7"/>
    <w:rsid w:val="004A004E"/>
    <w:rsid w:val="004A24CF"/>
    <w:rsid w:val="004B4DE4"/>
    <w:rsid w:val="004C3D1D"/>
    <w:rsid w:val="004C6747"/>
    <w:rsid w:val="004C7913"/>
    <w:rsid w:val="004D4A66"/>
    <w:rsid w:val="004E4DD6"/>
    <w:rsid w:val="004F5E36"/>
    <w:rsid w:val="00507B47"/>
    <w:rsid w:val="00507BEF"/>
    <w:rsid w:val="00507CC9"/>
    <w:rsid w:val="005119A5"/>
    <w:rsid w:val="005278B7"/>
    <w:rsid w:val="00532016"/>
    <w:rsid w:val="005346C8"/>
    <w:rsid w:val="00543E7D"/>
    <w:rsid w:val="00547A68"/>
    <w:rsid w:val="005531C9"/>
    <w:rsid w:val="00553765"/>
    <w:rsid w:val="00570C43"/>
    <w:rsid w:val="005A6573"/>
    <w:rsid w:val="005B2110"/>
    <w:rsid w:val="005B61E6"/>
    <w:rsid w:val="005C77E1"/>
    <w:rsid w:val="005D668A"/>
    <w:rsid w:val="005D6A2F"/>
    <w:rsid w:val="005D7F8F"/>
    <w:rsid w:val="005E1A82"/>
    <w:rsid w:val="005E794C"/>
    <w:rsid w:val="005F0A28"/>
    <w:rsid w:val="005F0E5E"/>
    <w:rsid w:val="005F3500"/>
    <w:rsid w:val="005F4661"/>
    <w:rsid w:val="005F4B37"/>
    <w:rsid w:val="00600535"/>
    <w:rsid w:val="00610CD6"/>
    <w:rsid w:val="00620DEE"/>
    <w:rsid w:val="00621EE7"/>
    <w:rsid w:val="00621F92"/>
    <w:rsid w:val="0062280A"/>
    <w:rsid w:val="00625639"/>
    <w:rsid w:val="0062786D"/>
    <w:rsid w:val="00631B33"/>
    <w:rsid w:val="0064184D"/>
    <w:rsid w:val="006422CC"/>
    <w:rsid w:val="00660E3E"/>
    <w:rsid w:val="00662E74"/>
    <w:rsid w:val="00665323"/>
    <w:rsid w:val="00680C23"/>
    <w:rsid w:val="006928A2"/>
    <w:rsid w:val="00693766"/>
    <w:rsid w:val="006A21DF"/>
    <w:rsid w:val="006A3281"/>
    <w:rsid w:val="006B4888"/>
    <w:rsid w:val="006C2E45"/>
    <w:rsid w:val="006C359C"/>
    <w:rsid w:val="006C5579"/>
    <w:rsid w:val="006D6E8B"/>
    <w:rsid w:val="006E737D"/>
    <w:rsid w:val="006E7979"/>
    <w:rsid w:val="006F07A0"/>
    <w:rsid w:val="00707525"/>
    <w:rsid w:val="00713973"/>
    <w:rsid w:val="00720A24"/>
    <w:rsid w:val="00732386"/>
    <w:rsid w:val="0073514D"/>
    <w:rsid w:val="007447F3"/>
    <w:rsid w:val="0075499F"/>
    <w:rsid w:val="007661C8"/>
    <w:rsid w:val="0077098D"/>
    <w:rsid w:val="007931FA"/>
    <w:rsid w:val="007A4861"/>
    <w:rsid w:val="007A66C0"/>
    <w:rsid w:val="007A7BBA"/>
    <w:rsid w:val="007B0C50"/>
    <w:rsid w:val="007B48F9"/>
    <w:rsid w:val="007C1A43"/>
    <w:rsid w:val="007D7512"/>
    <w:rsid w:val="007F64FC"/>
    <w:rsid w:val="0080013E"/>
    <w:rsid w:val="00807215"/>
    <w:rsid w:val="00813288"/>
    <w:rsid w:val="008168FC"/>
    <w:rsid w:val="00825DD9"/>
    <w:rsid w:val="00830996"/>
    <w:rsid w:val="00831E42"/>
    <w:rsid w:val="008345F1"/>
    <w:rsid w:val="008374C8"/>
    <w:rsid w:val="008504E0"/>
    <w:rsid w:val="00861ECE"/>
    <w:rsid w:val="00865AE6"/>
    <w:rsid w:val="00865B07"/>
    <w:rsid w:val="0086666A"/>
    <w:rsid w:val="008667EA"/>
    <w:rsid w:val="008703C7"/>
    <w:rsid w:val="0087637F"/>
    <w:rsid w:val="00892AD5"/>
    <w:rsid w:val="008A1512"/>
    <w:rsid w:val="008C53D4"/>
    <w:rsid w:val="008D32B9"/>
    <w:rsid w:val="008D433B"/>
    <w:rsid w:val="008E566E"/>
    <w:rsid w:val="0090161A"/>
    <w:rsid w:val="00901EB6"/>
    <w:rsid w:val="00904C62"/>
    <w:rsid w:val="00922BA8"/>
    <w:rsid w:val="00924DAC"/>
    <w:rsid w:val="00927058"/>
    <w:rsid w:val="00942750"/>
    <w:rsid w:val="009450CE"/>
    <w:rsid w:val="00947179"/>
    <w:rsid w:val="0095164B"/>
    <w:rsid w:val="009535F6"/>
    <w:rsid w:val="00954090"/>
    <w:rsid w:val="009573E7"/>
    <w:rsid w:val="00963E05"/>
    <w:rsid w:val="00966D8F"/>
    <w:rsid w:val="00967843"/>
    <w:rsid w:val="00967D54"/>
    <w:rsid w:val="00971028"/>
    <w:rsid w:val="00975A1C"/>
    <w:rsid w:val="00993B84"/>
    <w:rsid w:val="00996483"/>
    <w:rsid w:val="00996F5A"/>
    <w:rsid w:val="009B041A"/>
    <w:rsid w:val="009C01E1"/>
    <w:rsid w:val="009C0574"/>
    <w:rsid w:val="009C37C3"/>
    <w:rsid w:val="009C7C86"/>
    <w:rsid w:val="009D2FF7"/>
    <w:rsid w:val="009E1805"/>
    <w:rsid w:val="009E775C"/>
    <w:rsid w:val="009E7884"/>
    <w:rsid w:val="009E788A"/>
    <w:rsid w:val="009F0E08"/>
    <w:rsid w:val="00A06379"/>
    <w:rsid w:val="00A1763D"/>
    <w:rsid w:val="00A17CEC"/>
    <w:rsid w:val="00A27EF0"/>
    <w:rsid w:val="00A42361"/>
    <w:rsid w:val="00A50B20"/>
    <w:rsid w:val="00A51390"/>
    <w:rsid w:val="00A60D13"/>
    <w:rsid w:val="00A72745"/>
    <w:rsid w:val="00A768EC"/>
    <w:rsid w:val="00A76EFC"/>
    <w:rsid w:val="00A91010"/>
    <w:rsid w:val="00A97F29"/>
    <w:rsid w:val="00AA702E"/>
    <w:rsid w:val="00AB0964"/>
    <w:rsid w:val="00AB5011"/>
    <w:rsid w:val="00AC7368"/>
    <w:rsid w:val="00AD16B9"/>
    <w:rsid w:val="00AE377D"/>
    <w:rsid w:val="00AF0EBA"/>
    <w:rsid w:val="00B0178C"/>
    <w:rsid w:val="00B02C8A"/>
    <w:rsid w:val="00B17FBD"/>
    <w:rsid w:val="00B25DF4"/>
    <w:rsid w:val="00B315A6"/>
    <w:rsid w:val="00B31813"/>
    <w:rsid w:val="00B33365"/>
    <w:rsid w:val="00B417BC"/>
    <w:rsid w:val="00B5287A"/>
    <w:rsid w:val="00B57B36"/>
    <w:rsid w:val="00B57E6F"/>
    <w:rsid w:val="00B75AAF"/>
    <w:rsid w:val="00B81F10"/>
    <w:rsid w:val="00B8686D"/>
    <w:rsid w:val="00B927F9"/>
    <w:rsid w:val="00B929D6"/>
    <w:rsid w:val="00B93F69"/>
    <w:rsid w:val="00B94ECE"/>
    <w:rsid w:val="00BB1DDC"/>
    <w:rsid w:val="00BC30C9"/>
    <w:rsid w:val="00BD077D"/>
    <w:rsid w:val="00BD6F93"/>
    <w:rsid w:val="00BE3E58"/>
    <w:rsid w:val="00BF552E"/>
    <w:rsid w:val="00C00DB2"/>
    <w:rsid w:val="00C01616"/>
    <w:rsid w:val="00C0162B"/>
    <w:rsid w:val="00C067FA"/>
    <w:rsid w:val="00C068ED"/>
    <w:rsid w:val="00C22E0C"/>
    <w:rsid w:val="00C24135"/>
    <w:rsid w:val="00C30AF7"/>
    <w:rsid w:val="00C345B1"/>
    <w:rsid w:val="00C40142"/>
    <w:rsid w:val="00C52C3C"/>
    <w:rsid w:val="00C57182"/>
    <w:rsid w:val="00C57863"/>
    <w:rsid w:val="00C57F1F"/>
    <w:rsid w:val="00C655FD"/>
    <w:rsid w:val="00C70BAB"/>
    <w:rsid w:val="00C75407"/>
    <w:rsid w:val="00C86043"/>
    <w:rsid w:val="00C870A8"/>
    <w:rsid w:val="00C94434"/>
    <w:rsid w:val="00CA0D75"/>
    <w:rsid w:val="00CA1C95"/>
    <w:rsid w:val="00CA51A8"/>
    <w:rsid w:val="00CA5A9C"/>
    <w:rsid w:val="00CC3913"/>
    <w:rsid w:val="00CC4C20"/>
    <w:rsid w:val="00CD3517"/>
    <w:rsid w:val="00CD5FE2"/>
    <w:rsid w:val="00CE2093"/>
    <w:rsid w:val="00CE7C68"/>
    <w:rsid w:val="00D02B4C"/>
    <w:rsid w:val="00D040C4"/>
    <w:rsid w:val="00D23E66"/>
    <w:rsid w:val="00D46B7E"/>
    <w:rsid w:val="00D57C84"/>
    <w:rsid w:val="00D6057D"/>
    <w:rsid w:val="00D7348D"/>
    <w:rsid w:val="00D836C5"/>
    <w:rsid w:val="00D84576"/>
    <w:rsid w:val="00D94E5B"/>
    <w:rsid w:val="00DA1399"/>
    <w:rsid w:val="00DA24C6"/>
    <w:rsid w:val="00DA4D7B"/>
    <w:rsid w:val="00DE264A"/>
    <w:rsid w:val="00DF5072"/>
    <w:rsid w:val="00E02D18"/>
    <w:rsid w:val="00E041E7"/>
    <w:rsid w:val="00E148B4"/>
    <w:rsid w:val="00E177D4"/>
    <w:rsid w:val="00E23CA1"/>
    <w:rsid w:val="00E409A8"/>
    <w:rsid w:val="00E50C12"/>
    <w:rsid w:val="00E65B91"/>
    <w:rsid w:val="00E7209D"/>
    <w:rsid w:val="00E72EAD"/>
    <w:rsid w:val="00E73C29"/>
    <w:rsid w:val="00E74D32"/>
    <w:rsid w:val="00E77223"/>
    <w:rsid w:val="00E8528B"/>
    <w:rsid w:val="00E85B94"/>
    <w:rsid w:val="00E85C39"/>
    <w:rsid w:val="00E978D0"/>
    <w:rsid w:val="00EA4613"/>
    <w:rsid w:val="00EA7F91"/>
    <w:rsid w:val="00EB1523"/>
    <w:rsid w:val="00EC0E49"/>
    <w:rsid w:val="00EC101F"/>
    <w:rsid w:val="00EC1D9F"/>
    <w:rsid w:val="00EE0131"/>
    <w:rsid w:val="00EE17B0"/>
    <w:rsid w:val="00EF06D9"/>
    <w:rsid w:val="00EF3367"/>
    <w:rsid w:val="00F00560"/>
    <w:rsid w:val="00F1448A"/>
    <w:rsid w:val="00F30C64"/>
    <w:rsid w:val="00F32BA2"/>
    <w:rsid w:val="00F32CDB"/>
    <w:rsid w:val="00F5085A"/>
    <w:rsid w:val="00F565FE"/>
    <w:rsid w:val="00F63A70"/>
    <w:rsid w:val="00F7534E"/>
    <w:rsid w:val="00F94D36"/>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F3500"/>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F3500"/>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5A6573"/>
    <w:pPr>
      <w:spacing w:after="0" w:line="240" w:lineRule="auto"/>
    </w:pPr>
    <w:rPr>
      <w:rFonts w:ascii="Arial" w:eastAsia="Times New Roman" w:hAnsi="Arial" w:cs="Times New Roman"/>
      <w:sz w:val="18"/>
      <w:szCs w:val="20"/>
      <w:lang w:val="en-GB"/>
    </w:rPr>
  </w:style>
  <w:style w:type="character" w:styleId="Testosegnaposto">
    <w:name w:val="Placeholder Text"/>
    <w:basedOn w:val="Carpredefinitoparagrafo"/>
    <w:uiPriority w:val="99"/>
    <w:semiHidden/>
    <w:rsid w:val="005A6573"/>
    <w:rPr>
      <w:color w:val="666666"/>
    </w:rPr>
  </w:style>
  <w:style w:type="character" w:customStyle="1" w:styleId="normaltextrun">
    <w:name w:val="normaltextrun"/>
    <w:basedOn w:val="Carpredefinitoparagrafo"/>
    <w:rsid w:val="005F3500"/>
  </w:style>
  <w:style w:type="character" w:customStyle="1" w:styleId="eop">
    <w:name w:val="eop"/>
    <w:basedOn w:val="Carpredefinitoparagrafo"/>
    <w:rsid w:val="005F3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550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4559EA-395F-4E02-8FBC-E0644F8C989D}" type="doc">
      <dgm:prSet loTypeId="urn:microsoft.com/office/officeart/2005/8/layout/process3" loCatId="process" qsTypeId="urn:microsoft.com/office/officeart/2005/8/quickstyle/simple1" qsCatId="simple" csTypeId="urn:microsoft.com/office/officeart/2005/8/colors/colorful2" csCatId="colorful" phldr="1"/>
      <dgm:spPr/>
      <dgm:t>
        <a:bodyPr/>
        <a:lstStyle/>
        <a:p>
          <a:endParaRPr lang="en-US"/>
        </a:p>
      </dgm:t>
    </dgm:pt>
    <dgm:pt modelId="{01E015A0-7475-46A2-9C99-FC194E49A7D0}">
      <dgm:prSet phldrT="[Testo]"/>
      <dgm:spPr/>
      <dgm:t>
        <a:bodyPr/>
        <a:lstStyle/>
        <a:p>
          <a:r>
            <a:rPr lang="en-US"/>
            <a:t>LT-01</a:t>
          </a:r>
        </a:p>
      </dgm:t>
    </dgm:pt>
    <dgm:pt modelId="{2101D66D-B141-477A-A9DE-AF0B630E4253}" type="parTrans" cxnId="{9BCFFBE1-188C-4904-820E-E82EF67F1DE8}">
      <dgm:prSet/>
      <dgm:spPr/>
      <dgm:t>
        <a:bodyPr/>
        <a:lstStyle/>
        <a:p>
          <a:endParaRPr lang="en-US"/>
        </a:p>
      </dgm:t>
    </dgm:pt>
    <dgm:pt modelId="{BBD09517-94BE-46D7-9482-E539F429321D}" type="sibTrans" cxnId="{9BCFFBE1-188C-4904-820E-E82EF67F1DE8}">
      <dgm:prSet/>
      <dgm:spPr/>
      <dgm:t>
        <a:bodyPr/>
        <a:lstStyle/>
        <a:p>
          <a:endParaRPr lang="en-US"/>
        </a:p>
      </dgm:t>
    </dgm:pt>
    <dgm:pt modelId="{6B10B5DB-93AE-48C1-B218-2ACA55FFB049}">
      <dgm:prSet phldrT="[Testo]"/>
      <dgm:spPr/>
      <dgm:t>
        <a:bodyPr/>
        <a:lstStyle/>
        <a:p>
          <a:r>
            <a:rPr lang="en-US"/>
            <a:t>Initiating Element</a:t>
          </a:r>
        </a:p>
      </dgm:t>
    </dgm:pt>
    <dgm:pt modelId="{FD2DA3CF-2212-4595-87A7-083AC40518E0}" type="parTrans" cxnId="{2E10CD8A-B538-4426-BFB8-CEB199C33315}">
      <dgm:prSet/>
      <dgm:spPr/>
      <dgm:t>
        <a:bodyPr/>
        <a:lstStyle/>
        <a:p>
          <a:endParaRPr lang="en-US"/>
        </a:p>
      </dgm:t>
    </dgm:pt>
    <dgm:pt modelId="{E7C1D474-A293-428E-88D8-8B5EB2CABA62}" type="sibTrans" cxnId="{2E10CD8A-B538-4426-BFB8-CEB199C33315}">
      <dgm:prSet/>
      <dgm:spPr/>
      <dgm:t>
        <a:bodyPr/>
        <a:lstStyle/>
        <a:p>
          <a:endParaRPr lang="en-US"/>
        </a:p>
      </dgm:t>
    </dgm:pt>
    <dgm:pt modelId="{68F86A8F-DEB1-4D5A-89C8-676802845017}">
      <dgm:prSet phldrT="[Testo]"/>
      <dgm:spPr/>
      <dgm:t>
        <a:bodyPr/>
        <a:lstStyle/>
        <a:p>
          <a:r>
            <a:rPr lang="en-US"/>
            <a:t>PLC</a:t>
          </a:r>
        </a:p>
      </dgm:t>
    </dgm:pt>
    <dgm:pt modelId="{01600BA0-6D41-4546-AC07-4B5C5C61A41C}" type="parTrans" cxnId="{4C0631B2-7E95-4E20-884C-E24F27170C2E}">
      <dgm:prSet/>
      <dgm:spPr/>
      <dgm:t>
        <a:bodyPr/>
        <a:lstStyle/>
        <a:p>
          <a:endParaRPr lang="en-US"/>
        </a:p>
      </dgm:t>
    </dgm:pt>
    <dgm:pt modelId="{0552DA75-121D-4E5F-8ED1-1B84E7DF0835}" type="sibTrans" cxnId="{4C0631B2-7E95-4E20-884C-E24F27170C2E}">
      <dgm:prSet/>
      <dgm:spPr/>
      <dgm:t>
        <a:bodyPr/>
        <a:lstStyle/>
        <a:p>
          <a:endParaRPr lang="en-US"/>
        </a:p>
      </dgm:t>
    </dgm:pt>
    <dgm:pt modelId="{63D91D19-BFDD-43CA-B287-69E58FD8BB1D}">
      <dgm:prSet phldrT="[Testo]"/>
      <dgm:spPr/>
      <dgm:t>
        <a:bodyPr/>
        <a:lstStyle/>
        <a:p>
          <a:r>
            <a:rPr lang="en-US"/>
            <a:t>Logic Solver</a:t>
          </a:r>
        </a:p>
      </dgm:t>
    </dgm:pt>
    <dgm:pt modelId="{F6927C79-22F3-44C0-B3E7-B5D6008D29CD}" type="parTrans" cxnId="{356E2AE8-7E02-4680-8EC0-7E8857719B2A}">
      <dgm:prSet/>
      <dgm:spPr/>
      <dgm:t>
        <a:bodyPr/>
        <a:lstStyle/>
        <a:p>
          <a:endParaRPr lang="en-US"/>
        </a:p>
      </dgm:t>
    </dgm:pt>
    <dgm:pt modelId="{3E70BD86-9DE4-4401-8C2E-4A0D807E0520}" type="sibTrans" cxnId="{356E2AE8-7E02-4680-8EC0-7E8857719B2A}">
      <dgm:prSet/>
      <dgm:spPr/>
      <dgm:t>
        <a:bodyPr/>
        <a:lstStyle/>
        <a:p>
          <a:endParaRPr lang="en-US"/>
        </a:p>
      </dgm:t>
    </dgm:pt>
    <dgm:pt modelId="{2FEEE0E6-7BFD-4879-B34A-4C622206C295}">
      <dgm:prSet phldrT="[Testo]"/>
      <dgm:spPr/>
      <dgm:t>
        <a:bodyPr/>
        <a:lstStyle/>
        <a:p>
          <a:r>
            <a:rPr lang="en-US"/>
            <a:t>XV-01</a:t>
          </a:r>
        </a:p>
      </dgm:t>
    </dgm:pt>
    <dgm:pt modelId="{EBF6EB5E-D9AE-4905-AAA1-B43703E415A2}" type="parTrans" cxnId="{9123E6AB-FA7D-469E-A047-7635BA64CC7C}">
      <dgm:prSet/>
      <dgm:spPr/>
      <dgm:t>
        <a:bodyPr/>
        <a:lstStyle/>
        <a:p>
          <a:endParaRPr lang="en-US"/>
        </a:p>
      </dgm:t>
    </dgm:pt>
    <dgm:pt modelId="{EB2A69BE-71A3-4641-91EC-2BDA4C1838C6}" type="sibTrans" cxnId="{9123E6AB-FA7D-469E-A047-7635BA64CC7C}">
      <dgm:prSet/>
      <dgm:spPr/>
      <dgm:t>
        <a:bodyPr/>
        <a:lstStyle/>
        <a:p>
          <a:endParaRPr lang="en-US"/>
        </a:p>
      </dgm:t>
    </dgm:pt>
    <dgm:pt modelId="{2C3DE58A-BA2D-4FE8-955B-675B52DA276C}">
      <dgm:prSet phldrT="[Testo]"/>
      <dgm:spPr/>
      <dgm:t>
        <a:bodyPr/>
        <a:lstStyle/>
        <a:p>
          <a:r>
            <a:rPr lang="en-US"/>
            <a:t>Actuator</a:t>
          </a:r>
        </a:p>
      </dgm:t>
    </dgm:pt>
    <dgm:pt modelId="{F1888FB5-E612-4213-B1F9-20BDBAF73C69}" type="parTrans" cxnId="{FE9852E4-3A2C-45E3-9366-38412F566CC0}">
      <dgm:prSet/>
      <dgm:spPr/>
      <dgm:t>
        <a:bodyPr/>
        <a:lstStyle/>
        <a:p>
          <a:endParaRPr lang="en-US"/>
        </a:p>
      </dgm:t>
    </dgm:pt>
    <dgm:pt modelId="{21DAE911-0B35-457B-AA43-03DE3F6482CC}" type="sibTrans" cxnId="{FE9852E4-3A2C-45E3-9366-38412F566CC0}">
      <dgm:prSet/>
      <dgm:spPr/>
      <dgm:t>
        <a:bodyPr/>
        <a:lstStyle/>
        <a:p>
          <a:endParaRPr lang="en-US"/>
        </a:p>
      </dgm:t>
    </dgm:pt>
    <dgm:pt modelId="{96BAF3F2-B04B-428E-B07C-2E4F2BF84F2D}" type="pres">
      <dgm:prSet presAssocID="{A74559EA-395F-4E02-8FBC-E0644F8C989D}" presName="linearFlow" presStyleCnt="0">
        <dgm:presLayoutVars>
          <dgm:dir/>
          <dgm:animLvl val="lvl"/>
          <dgm:resizeHandles val="exact"/>
        </dgm:presLayoutVars>
      </dgm:prSet>
      <dgm:spPr/>
    </dgm:pt>
    <dgm:pt modelId="{06E8F122-095A-4A55-B3AA-BC881CF154F2}" type="pres">
      <dgm:prSet presAssocID="{01E015A0-7475-46A2-9C99-FC194E49A7D0}" presName="composite" presStyleCnt="0"/>
      <dgm:spPr/>
    </dgm:pt>
    <dgm:pt modelId="{28D9FC5C-FA1C-459A-AEC3-6A584F8CD59E}" type="pres">
      <dgm:prSet presAssocID="{01E015A0-7475-46A2-9C99-FC194E49A7D0}" presName="parTx" presStyleLbl="node1" presStyleIdx="0" presStyleCnt="3">
        <dgm:presLayoutVars>
          <dgm:chMax val="0"/>
          <dgm:chPref val="0"/>
          <dgm:bulletEnabled val="1"/>
        </dgm:presLayoutVars>
      </dgm:prSet>
      <dgm:spPr/>
    </dgm:pt>
    <dgm:pt modelId="{59BAE499-CF7A-4CAF-9CC5-DA1A443DCCEE}" type="pres">
      <dgm:prSet presAssocID="{01E015A0-7475-46A2-9C99-FC194E49A7D0}" presName="parSh" presStyleLbl="node1" presStyleIdx="0" presStyleCnt="3"/>
      <dgm:spPr/>
    </dgm:pt>
    <dgm:pt modelId="{B609E340-E3A9-41F2-B7D2-1FAEB155C50D}" type="pres">
      <dgm:prSet presAssocID="{01E015A0-7475-46A2-9C99-FC194E49A7D0}" presName="desTx" presStyleLbl="fgAcc1" presStyleIdx="0" presStyleCnt="3">
        <dgm:presLayoutVars>
          <dgm:bulletEnabled val="1"/>
        </dgm:presLayoutVars>
      </dgm:prSet>
      <dgm:spPr/>
    </dgm:pt>
    <dgm:pt modelId="{CA84359C-F3BF-48E5-A30C-59EAEF49DCB0}" type="pres">
      <dgm:prSet presAssocID="{BBD09517-94BE-46D7-9482-E539F429321D}" presName="sibTrans" presStyleLbl="sibTrans2D1" presStyleIdx="0" presStyleCnt="2"/>
      <dgm:spPr/>
    </dgm:pt>
    <dgm:pt modelId="{A3560C28-03D1-4CFE-BECD-CE5B280C19A3}" type="pres">
      <dgm:prSet presAssocID="{BBD09517-94BE-46D7-9482-E539F429321D}" presName="connTx" presStyleLbl="sibTrans2D1" presStyleIdx="0" presStyleCnt="2"/>
      <dgm:spPr/>
    </dgm:pt>
    <dgm:pt modelId="{43F345E9-77DA-4151-BDBD-9E7028259339}" type="pres">
      <dgm:prSet presAssocID="{68F86A8F-DEB1-4D5A-89C8-676802845017}" presName="composite" presStyleCnt="0"/>
      <dgm:spPr/>
    </dgm:pt>
    <dgm:pt modelId="{7A63B81D-7B8C-4843-9B27-C1EEEFD67AEC}" type="pres">
      <dgm:prSet presAssocID="{68F86A8F-DEB1-4D5A-89C8-676802845017}" presName="parTx" presStyleLbl="node1" presStyleIdx="0" presStyleCnt="3">
        <dgm:presLayoutVars>
          <dgm:chMax val="0"/>
          <dgm:chPref val="0"/>
          <dgm:bulletEnabled val="1"/>
        </dgm:presLayoutVars>
      </dgm:prSet>
      <dgm:spPr/>
    </dgm:pt>
    <dgm:pt modelId="{57359D51-C7C6-4FB6-9F29-CCF1DB52CDEA}" type="pres">
      <dgm:prSet presAssocID="{68F86A8F-DEB1-4D5A-89C8-676802845017}" presName="parSh" presStyleLbl="node1" presStyleIdx="1" presStyleCnt="3"/>
      <dgm:spPr/>
    </dgm:pt>
    <dgm:pt modelId="{2F76028D-D6EF-4AD2-862C-5AF0D3B1CA33}" type="pres">
      <dgm:prSet presAssocID="{68F86A8F-DEB1-4D5A-89C8-676802845017}" presName="desTx" presStyleLbl="fgAcc1" presStyleIdx="1" presStyleCnt="3">
        <dgm:presLayoutVars>
          <dgm:bulletEnabled val="1"/>
        </dgm:presLayoutVars>
      </dgm:prSet>
      <dgm:spPr/>
    </dgm:pt>
    <dgm:pt modelId="{99D34071-9B35-476E-BC92-B23E14C63E7B}" type="pres">
      <dgm:prSet presAssocID="{0552DA75-121D-4E5F-8ED1-1B84E7DF0835}" presName="sibTrans" presStyleLbl="sibTrans2D1" presStyleIdx="1" presStyleCnt="2"/>
      <dgm:spPr/>
    </dgm:pt>
    <dgm:pt modelId="{151BDDCD-97E8-48CF-8910-E417A3248F64}" type="pres">
      <dgm:prSet presAssocID="{0552DA75-121D-4E5F-8ED1-1B84E7DF0835}" presName="connTx" presStyleLbl="sibTrans2D1" presStyleIdx="1" presStyleCnt="2"/>
      <dgm:spPr/>
    </dgm:pt>
    <dgm:pt modelId="{69780360-8298-4F86-B4BB-D37869C0CEBE}" type="pres">
      <dgm:prSet presAssocID="{2FEEE0E6-7BFD-4879-B34A-4C622206C295}" presName="composite" presStyleCnt="0"/>
      <dgm:spPr/>
    </dgm:pt>
    <dgm:pt modelId="{7CD7B5A2-38AC-45BC-8CB8-BFD493642782}" type="pres">
      <dgm:prSet presAssocID="{2FEEE0E6-7BFD-4879-B34A-4C622206C295}" presName="parTx" presStyleLbl="node1" presStyleIdx="1" presStyleCnt="3">
        <dgm:presLayoutVars>
          <dgm:chMax val="0"/>
          <dgm:chPref val="0"/>
          <dgm:bulletEnabled val="1"/>
        </dgm:presLayoutVars>
      </dgm:prSet>
      <dgm:spPr/>
    </dgm:pt>
    <dgm:pt modelId="{3D1F5B77-3348-4DBB-A5C7-8F250173EDD4}" type="pres">
      <dgm:prSet presAssocID="{2FEEE0E6-7BFD-4879-B34A-4C622206C295}" presName="parSh" presStyleLbl="node1" presStyleIdx="2" presStyleCnt="3"/>
      <dgm:spPr/>
    </dgm:pt>
    <dgm:pt modelId="{9ADADB13-3C0D-44F0-9862-A3EFD8614788}" type="pres">
      <dgm:prSet presAssocID="{2FEEE0E6-7BFD-4879-B34A-4C622206C295}" presName="desTx" presStyleLbl="fgAcc1" presStyleIdx="2" presStyleCnt="3">
        <dgm:presLayoutVars>
          <dgm:bulletEnabled val="1"/>
        </dgm:presLayoutVars>
      </dgm:prSet>
      <dgm:spPr/>
    </dgm:pt>
  </dgm:ptLst>
  <dgm:cxnLst>
    <dgm:cxn modelId="{7E681108-0B10-48E9-9328-B9713C5F6DA9}" type="presOf" srcId="{2FEEE0E6-7BFD-4879-B34A-4C622206C295}" destId="{3D1F5B77-3348-4DBB-A5C7-8F250173EDD4}" srcOrd="1" destOrd="0" presId="urn:microsoft.com/office/officeart/2005/8/layout/process3"/>
    <dgm:cxn modelId="{57AC4922-839C-4B91-9A4E-99025B795749}" type="presOf" srcId="{BBD09517-94BE-46D7-9482-E539F429321D}" destId="{A3560C28-03D1-4CFE-BECD-CE5B280C19A3}" srcOrd="1" destOrd="0" presId="urn:microsoft.com/office/officeart/2005/8/layout/process3"/>
    <dgm:cxn modelId="{36DA5831-2838-4B84-90FF-D3B67AA19935}" type="presOf" srcId="{01E015A0-7475-46A2-9C99-FC194E49A7D0}" destId="{28D9FC5C-FA1C-459A-AEC3-6A584F8CD59E}" srcOrd="0" destOrd="0" presId="urn:microsoft.com/office/officeart/2005/8/layout/process3"/>
    <dgm:cxn modelId="{FD1A563C-C213-4D48-8647-F13243D8E9E6}" type="presOf" srcId="{6B10B5DB-93AE-48C1-B218-2ACA55FFB049}" destId="{B609E340-E3A9-41F2-B7D2-1FAEB155C50D}" srcOrd="0" destOrd="0" presId="urn:microsoft.com/office/officeart/2005/8/layout/process3"/>
    <dgm:cxn modelId="{A89ADF41-ED74-4F43-9000-BDEDD481C6C4}" type="presOf" srcId="{BBD09517-94BE-46D7-9482-E539F429321D}" destId="{CA84359C-F3BF-48E5-A30C-59EAEF49DCB0}" srcOrd="0" destOrd="0" presId="urn:microsoft.com/office/officeart/2005/8/layout/process3"/>
    <dgm:cxn modelId="{F2E9C864-C701-4AF5-BD6E-D1AC15BF96A3}" type="presOf" srcId="{2C3DE58A-BA2D-4FE8-955B-675B52DA276C}" destId="{9ADADB13-3C0D-44F0-9862-A3EFD8614788}" srcOrd="0" destOrd="0" presId="urn:microsoft.com/office/officeart/2005/8/layout/process3"/>
    <dgm:cxn modelId="{BBADCD72-FE8E-4E8B-A32B-467AAD44AEB4}" type="presOf" srcId="{0552DA75-121D-4E5F-8ED1-1B84E7DF0835}" destId="{99D34071-9B35-476E-BC92-B23E14C63E7B}" srcOrd="0" destOrd="0" presId="urn:microsoft.com/office/officeart/2005/8/layout/process3"/>
    <dgm:cxn modelId="{729A6584-615E-4161-A078-FC892770D89A}" type="presOf" srcId="{01E015A0-7475-46A2-9C99-FC194E49A7D0}" destId="{59BAE499-CF7A-4CAF-9CC5-DA1A443DCCEE}" srcOrd="1" destOrd="0" presId="urn:microsoft.com/office/officeart/2005/8/layout/process3"/>
    <dgm:cxn modelId="{2E10CD8A-B538-4426-BFB8-CEB199C33315}" srcId="{01E015A0-7475-46A2-9C99-FC194E49A7D0}" destId="{6B10B5DB-93AE-48C1-B218-2ACA55FFB049}" srcOrd="0" destOrd="0" parTransId="{FD2DA3CF-2212-4595-87A7-083AC40518E0}" sibTransId="{E7C1D474-A293-428E-88D8-8B5EB2CABA62}"/>
    <dgm:cxn modelId="{3E51058E-8231-4FA6-8998-71B952658C23}" type="presOf" srcId="{68F86A8F-DEB1-4D5A-89C8-676802845017}" destId="{57359D51-C7C6-4FB6-9F29-CCF1DB52CDEA}" srcOrd="1" destOrd="0" presId="urn:microsoft.com/office/officeart/2005/8/layout/process3"/>
    <dgm:cxn modelId="{C655D6A5-0E6C-483F-AC60-CF0F24C061BB}" type="presOf" srcId="{2FEEE0E6-7BFD-4879-B34A-4C622206C295}" destId="{7CD7B5A2-38AC-45BC-8CB8-BFD493642782}" srcOrd="0" destOrd="0" presId="urn:microsoft.com/office/officeart/2005/8/layout/process3"/>
    <dgm:cxn modelId="{9123E6AB-FA7D-469E-A047-7635BA64CC7C}" srcId="{A74559EA-395F-4E02-8FBC-E0644F8C989D}" destId="{2FEEE0E6-7BFD-4879-B34A-4C622206C295}" srcOrd="2" destOrd="0" parTransId="{EBF6EB5E-D9AE-4905-AAA1-B43703E415A2}" sibTransId="{EB2A69BE-71A3-4641-91EC-2BDA4C1838C6}"/>
    <dgm:cxn modelId="{4C0631B2-7E95-4E20-884C-E24F27170C2E}" srcId="{A74559EA-395F-4E02-8FBC-E0644F8C989D}" destId="{68F86A8F-DEB1-4D5A-89C8-676802845017}" srcOrd="1" destOrd="0" parTransId="{01600BA0-6D41-4546-AC07-4B5C5C61A41C}" sibTransId="{0552DA75-121D-4E5F-8ED1-1B84E7DF0835}"/>
    <dgm:cxn modelId="{752A3CB5-75E5-4FCF-8EF7-AAE45725D623}" type="presOf" srcId="{63D91D19-BFDD-43CA-B287-69E58FD8BB1D}" destId="{2F76028D-D6EF-4AD2-862C-5AF0D3B1CA33}" srcOrd="0" destOrd="0" presId="urn:microsoft.com/office/officeart/2005/8/layout/process3"/>
    <dgm:cxn modelId="{506B3EBA-63C2-449A-BF8B-7E867145ED02}" type="presOf" srcId="{0552DA75-121D-4E5F-8ED1-1B84E7DF0835}" destId="{151BDDCD-97E8-48CF-8910-E417A3248F64}" srcOrd="1" destOrd="0" presId="urn:microsoft.com/office/officeart/2005/8/layout/process3"/>
    <dgm:cxn modelId="{6194F5CB-552D-4D1E-A39E-0E31BD016777}" type="presOf" srcId="{A74559EA-395F-4E02-8FBC-E0644F8C989D}" destId="{96BAF3F2-B04B-428E-B07C-2E4F2BF84F2D}" srcOrd="0" destOrd="0" presId="urn:microsoft.com/office/officeart/2005/8/layout/process3"/>
    <dgm:cxn modelId="{9BCFFBE1-188C-4904-820E-E82EF67F1DE8}" srcId="{A74559EA-395F-4E02-8FBC-E0644F8C989D}" destId="{01E015A0-7475-46A2-9C99-FC194E49A7D0}" srcOrd="0" destOrd="0" parTransId="{2101D66D-B141-477A-A9DE-AF0B630E4253}" sibTransId="{BBD09517-94BE-46D7-9482-E539F429321D}"/>
    <dgm:cxn modelId="{FE9852E4-3A2C-45E3-9366-38412F566CC0}" srcId="{2FEEE0E6-7BFD-4879-B34A-4C622206C295}" destId="{2C3DE58A-BA2D-4FE8-955B-675B52DA276C}" srcOrd="0" destOrd="0" parTransId="{F1888FB5-E612-4213-B1F9-20BDBAF73C69}" sibTransId="{21DAE911-0B35-457B-AA43-03DE3F6482CC}"/>
    <dgm:cxn modelId="{356E2AE8-7E02-4680-8EC0-7E8857719B2A}" srcId="{68F86A8F-DEB1-4D5A-89C8-676802845017}" destId="{63D91D19-BFDD-43CA-B287-69E58FD8BB1D}" srcOrd="0" destOrd="0" parTransId="{F6927C79-22F3-44C0-B3E7-B5D6008D29CD}" sibTransId="{3E70BD86-9DE4-4401-8C2E-4A0D807E0520}"/>
    <dgm:cxn modelId="{4B4F17E9-D617-42BE-9DFD-C17D52F7721E}" type="presOf" srcId="{68F86A8F-DEB1-4D5A-89C8-676802845017}" destId="{7A63B81D-7B8C-4843-9B27-C1EEEFD67AEC}" srcOrd="0" destOrd="0" presId="urn:microsoft.com/office/officeart/2005/8/layout/process3"/>
    <dgm:cxn modelId="{4C3DF673-DCA9-4280-8057-87A3A707AFB3}" type="presParOf" srcId="{96BAF3F2-B04B-428E-B07C-2E4F2BF84F2D}" destId="{06E8F122-095A-4A55-B3AA-BC881CF154F2}" srcOrd="0" destOrd="0" presId="urn:microsoft.com/office/officeart/2005/8/layout/process3"/>
    <dgm:cxn modelId="{2CD37679-35C8-447E-898B-F38FD9976FF1}" type="presParOf" srcId="{06E8F122-095A-4A55-B3AA-BC881CF154F2}" destId="{28D9FC5C-FA1C-459A-AEC3-6A584F8CD59E}" srcOrd="0" destOrd="0" presId="urn:microsoft.com/office/officeart/2005/8/layout/process3"/>
    <dgm:cxn modelId="{52FD898D-337E-4942-A9F9-30B594CF00F3}" type="presParOf" srcId="{06E8F122-095A-4A55-B3AA-BC881CF154F2}" destId="{59BAE499-CF7A-4CAF-9CC5-DA1A443DCCEE}" srcOrd="1" destOrd="0" presId="urn:microsoft.com/office/officeart/2005/8/layout/process3"/>
    <dgm:cxn modelId="{66B27469-917F-440A-A1FF-42A30EC6C516}" type="presParOf" srcId="{06E8F122-095A-4A55-B3AA-BC881CF154F2}" destId="{B609E340-E3A9-41F2-B7D2-1FAEB155C50D}" srcOrd="2" destOrd="0" presId="urn:microsoft.com/office/officeart/2005/8/layout/process3"/>
    <dgm:cxn modelId="{826AFF8A-D358-454F-8260-15FD3AD0B87B}" type="presParOf" srcId="{96BAF3F2-B04B-428E-B07C-2E4F2BF84F2D}" destId="{CA84359C-F3BF-48E5-A30C-59EAEF49DCB0}" srcOrd="1" destOrd="0" presId="urn:microsoft.com/office/officeart/2005/8/layout/process3"/>
    <dgm:cxn modelId="{035949C1-ABB8-4C64-8D6F-348050563937}" type="presParOf" srcId="{CA84359C-F3BF-48E5-A30C-59EAEF49DCB0}" destId="{A3560C28-03D1-4CFE-BECD-CE5B280C19A3}" srcOrd="0" destOrd="0" presId="urn:microsoft.com/office/officeart/2005/8/layout/process3"/>
    <dgm:cxn modelId="{6902CEF4-3E48-42A6-BCF0-7DC58A0C41CF}" type="presParOf" srcId="{96BAF3F2-B04B-428E-B07C-2E4F2BF84F2D}" destId="{43F345E9-77DA-4151-BDBD-9E7028259339}" srcOrd="2" destOrd="0" presId="urn:microsoft.com/office/officeart/2005/8/layout/process3"/>
    <dgm:cxn modelId="{83822CF9-E39E-40AE-99BA-6C9FCB99B2D6}" type="presParOf" srcId="{43F345E9-77DA-4151-BDBD-9E7028259339}" destId="{7A63B81D-7B8C-4843-9B27-C1EEEFD67AEC}" srcOrd="0" destOrd="0" presId="urn:microsoft.com/office/officeart/2005/8/layout/process3"/>
    <dgm:cxn modelId="{49765962-7443-4584-B746-50E74A97665E}" type="presParOf" srcId="{43F345E9-77DA-4151-BDBD-9E7028259339}" destId="{57359D51-C7C6-4FB6-9F29-CCF1DB52CDEA}" srcOrd="1" destOrd="0" presId="urn:microsoft.com/office/officeart/2005/8/layout/process3"/>
    <dgm:cxn modelId="{341DA73F-B053-4BA0-81A6-B0C97C2DA0B5}" type="presParOf" srcId="{43F345E9-77DA-4151-BDBD-9E7028259339}" destId="{2F76028D-D6EF-4AD2-862C-5AF0D3B1CA33}" srcOrd="2" destOrd="0" presId="urn:microsoft.com/office/officeart/2005/8/layout/process3"/>
    <dgm:cxn modelId="{357E7951-E216-4C06-88FA-331B09D5DA32}" type="presParOf" srcId="{96BAF3F2-B04B-428E-B07C-2E4F2BF84F2D}" destId="{99D34071-9B35-476E-BC92-B23E14C63E7B}" srcOrd="3" destOrd="0" presId="urn:microsoft.com/office/officeart/2005/8/layout/process3"/>
    <dgm:cxn modelId="{9DB1BC69-A9E6-4603-BD9A-63287D294643}" type="presParOf" srcId="{99D34071-9B35-476E-BC92-B23E14C63E7B}" destId="{151BDDCD-97E8-48CF-8910-E417A3248F64}" srcOrd="0" destOrd="0" presId="urn:microsoft.com/office/officeart/2005/8/layout/process3"/>
    <dgm:cxn modelId="{99681DD4-6CE7-4938-864B-EBC371F786B3}" type="presParOf" srcId="{96BAF3F2-B04B-428E-B07C-2E4F2BF84F2D}" destId="{69780360-8298-4F86-B4BB-D37869C0CEBE}" srcOrd="4" destOrd="0" presId="urn:microsoft.com/office/officeart/2005/8/layout/process3"/>
    <dgm:cxn modelId="{C1E74576-B3C3-48C7-BAAE-1190F5E71D06}" type="presParOf" srcId="{69780360-8298-4F86-B4BB-D37869C0CEBE}" destId="{7CD7B5A2-38AC-45BC-8CB8-BFD493642782}" srcOrd="0" destOrd="0" presId="urn:microsoft.com/office/officeart/2005/8/layout/process3"/>
    <dgm:cxn modelId="{FBC0C234-3414-4A15-B79E-B247D880CE99}" type="presParOf" srcId="{69780360-8298-4F86-B4BB-D37869C0CEBE}" destId="{3D1F5B77-3348-4DBB-A5C7-8F250173EDD4}" srcOrd="1" destOrd="0" presId="urn:microsoft.com/office/officeart/2005/8/layout/process3"/>
    <dgm:cxn modelId="{4A9EC2F6-4C97-408F-8B61-267C263DF2F7}" type="presParOf" srcId="{69780360-8298-4F86-B4BB-D37869C0CEBE}" destId="{9ADADB13-3C0D-44F0-9862-A3EFD8614788}" srcOrd="2" destOrd="0" presId="urn:microsoft.com/office/officeart/2005/8/layout/process3"/>
  </dgm:cxnLst>
  <dgm:bg/>
  <dgm:whole>
    <a:ln w="12700">
      <a:solidFill>
        <a:schemeClr val="tx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AE499-CF7A-4CAF-9CC5-DA1A443DCCEE}">
      <dsp:nvSpPr>
        <dsp:cNvPr id="0" name=""/>
        <dsp:cNvSpPr/>
      </dsp:nvSpPr>
      <dsp:spPr>
        <a:xfrm>
          <a:off x="2721" y="42264"/>
          <a:ext cx="1237452" cy="60480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marL="0" lvl="0" indent="0" algn="l" defTabSz="622300">
            <a:lnSpc>
              <a:spcPct val="90000"/>
            </a:lnSpc>
            <a:spcBef>
              <a:spcPct val="0"/>
            </a:spcBef>
            <a:spcAft>
              <a:spcPct val="35000"/>
            </a:spcAft>
            <a:buNone/>
          </a:pPr>
          <a:r>
            <a:rPr lang="en-US" sz="1400" kern="1200"/>
            <a:t>LT-01</a:t>
          </a:r>
        </a:p>
      </dsp:txBody>
      <dsp:txXfrm>
        <a:off x="2721" y="42264"/>
        <a:ext cx="1237452" cy="403200"/>
      </dsp:txXfrm>
    </dsp:sp>
    <dsp:sp modelId="{B609E340-E3A9-41F2-B7D2-1FAEB155C50D}">
      <dsp:nvSpPr>
        <dsp:cNvPr id="0" name=""/>
        <dsp:cNvSpPr/>
      </dsp:nvSpPr>
      <dsp:spPr>
        <a:xfrm>
          <a:off x="256175" y="445465"/>
          <a:ext cx="1237452" cy="8064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Initiating Element</a:t>
          </a:r>
        </a:p>
      </dsp:txBody>
      <dsp:txXfrm>
        <a:off x="279794" y="469084"/>
        <a:ext cx="1190214" cy="759162"/>
      </dsp:txXfrm>
    </dsp:sp>
    <dsp:sp modelId="{CA84359C-F3BF-48E5-A30C-59EAEF49DCB0}">
      <dsp:nvSpPr>
        <dsp:cNvPr id="0" name=""/>
        <dsp:cNvSpPr/>
      </dsp:nvSpPr>
      <dsp:spPr>
        <a:xfrm>
          <a:off x="1427767" y="89820"/>
          <a:ext cx="397697" cy="30808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427767" y="151438"/>
        <a:ext cx="305270" cy="184853"/>
      </dsp:txXfrm>
    </dsp:sp>
    <dsp:sp modelId="{57359D51-C7C6-4FB6-9F29-CCF1DB52CDEA}">
      <dsp:nvSpPr>
        <dsp:cNvPr id="0" name=""/>
        <dsp:cNvSpPr/>
      </dsp:nvSpPr>
      <dsp:spPr>
        <a:xfrm>
          <a:off x="1990546" y="42264"/>
          <a:ext cx="1237452" cy="604800"/>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marL="0" lvl="0" indent="0" algn="l" defTabSz="622300">
            <a:lnSpc>
              <a:spcPct val="90000"/>
            </a:lnSpc>
            <a:spcBef>
              <a:spcPct val="0"/>
            </a:spcBef>
            <a:spcAft>
              <a:spcPct val="35000"/>
            </a:spcAft>
            <a:buNone/>
          </a:pPr>
          <a:r>
            <a:rPr lang="en-US" sz="1400" kern="1200"/>
            <a:t>PLC</a:t>
          </a:r>
        </a:p>
      </dsp:txBody>
      <dsp:txXfrm>
        <a:off x="1990546" y="42264"/>
        <a:ext cx="1237452" cy="403200"/>
      </dsp:txXfrm>
    </dsp:sp>
    <dsp:sp modelId="{2F76028D-D6EF-4AD2-862C-5AF0D3B1CA33}">
      <dsp:nvSpPr>
        <dsp:cNvPr id="0" name=""/>
        <dsp:cNvSpPr/>
      </dsp:nvSpPr>
      <dsp:spPr>
        <a:xfrm>
          <a:off x="2244000" y="445465"/>
          <a:ext cx="1237452" cy="8064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Logic Solver</a:t>
          </a:r>
        </a:p>
      </dsp:txBody>
      <dsp:txXfrm>
        <a:off x="2267619" y="469084"/>
        <a:ext cx="1190214" cy="759162"/>
      </dsp:txXfrm>
    </dsp:sp>
    <dsp:sp modelId="{99D34071-9B35-476E-BC92-B23E14C63E7B}">
      <dsp:nvSpPr>
        <dsp:cNvPr id="0" name=""/>
        <dsp:cNvSpPr/>
      </dsp:nvSpPr>
      <dsp:spPr>
        <a:xfrm>
          <a:off x="3415592" y="89820"/>
          <a:ext cx="397697" cy="308089"/>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415592" y="151438"/>
        <a:ext cx="305270" cy="184853"/>
      </dsp:txXfrm>
    </dsp:sp>
    <dsp:sp modelId="{3D1F5B77-3348-4DBB-A5C7-8F250173EDD4}">
      <dsp:nvSpPr>
        <dsp:cNvPr id="0" name=""/>
        <dsp:cNvSpPr/>
      </dsp:nvSpPr>
      <dsp:spPr>
        <a:xfrm>
          <a:off x="3978372" y="42264"/>
          <a:ext cx="1237452" cy="604800"/>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marL="0" lvl="0" indent="0" algn="l" defTabSz="622300">
            <a:lnSpc>
              <a:spcPct val="90000"/>
            </a:lnSpc>
            <a:spcBef>
              <a:spcPct val="0"/>
            </a:spcBef>
            <a:spcAft>
              <a:spcPct val="35000"/>
            </a:spcAft>
            <a:buNone/>
          </a:pPr>
          <a:r>
            <a:rPr lang="en-US" sz="1400" kern="1200"/>
            <a:t>XV-01</a:t>
          </a:r>
        </a:p>
      </dsp:txBody>
      <dsp:txXfrm>
        <a:off x="3978372" y="42264"/>
        <a:ext cx="1237452" cy="403200"/>
      </dsp:txXfrm>
    </dsp:sp>
    <dsp:sp modelId="{9ADADB13-3C0D-44F0-9862-A3EFD8614788}">
      <dsp:nvSpPr>
        <dsp:cNvPr id="0" name=""/>
        <dsp:cNvSpPr/>
      </dsp:nvSpPr>
      <dsp:spPr>
        <a:xfrm>
          <a:off x="4231826" y="445465"/>
          <a:ext cx="1237452" cy="8064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Actuator</a:t>
          </a:r>
        </a:p>
      </dsp:txBody>
      <dsp:txXfrm>
        <a:off x="4255445" y="469084"/>
        <a:ext cx="1190214" cy="7591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AE600FCDD2BB4F8FEE825292886E9E" ma:contentTypeVersion="18" ma:contentTypeDescription="Create a new document." ma:contentTypeScope="" ma:versionID="8980d1c31d0e2ea2adc53ca9c5555af0">
  <xsd:schema xmlns:xsd="http://www.w3.org/2001/XMLSchema" xmlns:xs="http://www.w3.org/2001/XMLSchema" xmlns:p="http://schemas.microsoft.com/office/2006/metadata/properties" xmlns:ns2="9db0b9aa-fbd6-4224-8087-b47519e56762" xmlns:ns3="edfeadc5-bc09-44b2-928a-ec994b8f3855" xmlns:ns4="de85019f-04e1-4f7c-919e-2a63045bd3a6" targetNamespace="http://schemas.microsoft.com/office/2006/metadata/properties" ma:root="true" ma:fieldsID="9b16d4914119ace1994f27ce25656aca" ns2:_="" ns3:_="" ns4:_="">
    <xsd:import namespace="9db0b9aa-fbd6-4224-8087-b47519e56762"/>
    <xsd:import namespace="edfeadc5-bc09-44b2-928a-ec994b8f3855"/>
    <xsd:import namespace="de85019f-04e1-4f7c-919e-2a63045bd3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b0b9aa-fbd6-4224-8087-b47519e56762" elementFormDefault="qualified">
    <xsd:import namespace="http://schemas.microsoft.com/office/2006/documentManagement/types"/>
    <xsd:import namespace="http://schemas.microsoft.com/office/infopath/2007/PartnerControls"/>
    <xsd:element name="SharedWithUsers" ma:index="8"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feadc5-bc09-44b2-928a-ec994b8f385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3bf995-fbfa-44ea-8187-e0b9c3bf97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85019f-04e1-4f7c-919e-2a63045bd3a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e759327-60d1-4fd5-af6a-4bc822362c85}" ma:internalName="TaxCatchAll" ma:showField="CatchAllData" ma:web="23dce217-bda3-4327-bfeb-444b3b4738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feadc5-bc09-44b2-928a-ec994b8f3855">
      <Terms xmlns="http://schemas.microsoft.com/office/infopath/2007/PartnerControls"/>
    </lcf76f155ced4ddcb4097134ff3c332f>
    <TaxCatchAll xmlns="de85019f-04e1-4f7c-919e-2a63045bd3a6" xsi:nil="true"/>
  </documentManagement>
</p:properties>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customXml/itemProps2.xml><?xml version="1.0" encoding="utf-8"?>
<ds:datastoreItem xmlns:ds="http://schemas.openxmlformats.org/officeDocument/2006/customXml" ds:itemID="{981530BB-249D-490C-BF1E-19EC8599018B}">
  <ds:schemaRefs>
    <ds:schemaRef ds:uri="http://schemas.microsoft.com/sharepoint/v3/contenttype/forms"/>
  </ds:schemaRefs>
</ds:datastoreItem>
</file>

<file path=customXml/itemProps3.xml><?xml version="1.0" encoding="utf-8"?>
<ds:datastoreItem xmlns:ds="http://schemas.openxmlformats.org/officeDocument/2006/customXml" ds:itemID="{D4C5BD91-995C-4C0D-9D8F-B84E196F9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b0b9aa-fbd6-4224-8087-b47519e56762"/>
    <ds:schemaRef ds:uri="edfeadc5-bc09-44b2-928a-ec994b8f3855"/>
    <ds:schemaRef ds:uri="de85019f-04e1-4f7c-919e-2a63045bd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006754-9524-414C-8AA4-3A36C8C56676}">
  <ds:schemaRefs>
    <ds:schemaRef ds:uri="http://schemas.microsoft.com/office/2006/documentManagement/types"/>
    <ds:schemaRef ds:uri="http://purl.org/dc/elements/1.1/"/>
    <ds:schemaRef ds:uri="edfeadc5-bc09-44b2-928a-ec994b8f3855"/>
    <ds:schemaRef ds:uri="http://purl.org/dc/dcmitype/"/>
    <ds:schemaRef ds:uri="de85019f-04e1-4f7c-919e-2a63045bd3a6"/>
    <ds:schemaRef ds:uri="http://schemas.microsoft.com/office/2006/metadata/properties"/>
    <ds:schemaRef ds:uri="http://schemas.openxmlformats.org/package/2006/metadata/core-properties"/>
    <ds:schemaRef ds:uri="http://purl.org/dc/terms/"/>
    <ds:schemaRef ds:uri="9db0b9aa-fbd6-4224-8087-b47519e56762"/>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3049</Words>
  <Characters>17381</Characters>
  <Application>Microsoft Office Word</Application>
  <DocSecurity>0</DocSecurity>
  <Lines>144</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Giovanni GENNA</cp:lastModifiedBy>
  <cp:revision>3</cp:revision>
  <cp:lastPrinted>2015-05-12T18:31:00Z</cp:lastPrinted>
  <dcterms:created xsi:type="dcterms:W3CDTF">2024-07-01T12:40:00Z</dcterms:created>
  <dcterms:modified xsi:type="dcterms:W3CDTF">2024-09-04T08:51:00Z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0x0101002EAE600FCDD2BB4F8FEE825292886E9E</vt:lpwstr>
  </property>
  <property fmtid="{D5CDD505-2E9C-101B-9397-08002B2CF9AE}" pid="5" name="MediaServiceImageTags">
    <vt:lpwstr/>
  </property>
</Properties>
</file>