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8BD1662"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825DD9">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825DD9">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051D07"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7A38B2" w:rsidRDefault="000D0268" w:rsidP="00CD5FE2">
            <w:pPr>
              <w:spacing w:line="140" w:lineRule="atLeast"/>
              <w:jc w:val="right"/>
              <w:rPr>
                <w:rFonts w:cs="Arial"/>
                <w:sz w:val="13"/>
                <w:szCs w:val="13"/>
                <w:lang w:val="nb-NO"/>
              </w:rPr>
            </w:pPr>
            <w:r w:rsidRPr="007A38B2">
              <w:rPr>
                <w:rFonts w:cs="Arial"/>
                <w:sz w:val="13"/>
                <w:szCs w:val="13"/>
                <w:lang w:val="nb-NO"/>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825DD9" w:rsidRDefault="00300E56" w:rsidP="00B57E6F">
            <w:pPr>
              <w:ind w:left="-107"/>
              <w:outlineLvl w:val="2"/>
              <w:rPr>
                <w:rFonts w:ascii="Tahoma" w:hAnsi="Tahoma" w:cs="Tahoma"/>
                <w:bCs/>
                <w:color w:val="000000"/>
                <w:sz w:val="14"/>
                <w:szCs w:val="14"/>
                <w:lang w:val="it-IT" w:eastAsia="it-IT"/>
              </w:rPr>
            </w:pPr>
            <w:r w:rsidRPr="00825DD9">
              <w:rPr>
                <w:rFonts w:ascii="Tahoma" w:hAnsi="Tahoma" w:cs="Tahoma"/>
                <w:iCs/>
                <w:color w:val="333333"/>
                <w:sz w:val="14"/>
                <w:szCs w:val="14"/>
                <w:lang w:val="it-IT" w:eastAsia="it-IT"/>
              </w:rPr>
              <w:t>Guest Editors:</w:t>
            </w:r>
            <w:r w:rsidR="00904C62" w:rsidRPr="00825DD9">
              <w:rPr>
                <w:rFonts w:ascii="Tahoma" w:hAnsi="Tahoma" w:cs="Tahoma"/>
                <w:iCs/>
                <w:color w:val="333333"/>
                <w:sz w:val="14"/>
                <w:szCs w:val="14"/>
                <w:lang w:val="it-IT" w:eastAsia="it-IT"/>
              </w:rPr>
              <w:t xml:space="preserve"> </w:t>
            </w:r>
            <w:r w:rsidR="00B57E6F" w:rsidRPr="00825DD9">
              <w:rPr>
                <w:rFonts w:ascii="Tahoma" w:hAnsi="Tahoma" w:cs="Tahoma"/>
                <w:color w:val="000000"/>
                <w:sz w:val="14"/>
                <w:szCs w:val="14"/>
                <w:shd w:val="clear" w:color="auto" w:fill="FFFFFF"/>
                <w:lang w:val="it-IT"/>
              </w:rPr>
              <w:t xml:space="preserve">Valerio Cozzani, </w:t>
            </w:r>
            <w:r w:rsidR="001331DF" w:rsidRPr="00825DD9">
              <w:rPr>
                <w:rFonts w:ascii="Tahoma" w:hAnsi="Tahoma" w:cs="Tahoma"/>
                <w:color w:val="000000"/>
                <w:sz w:val="14"/>
                <w:szCs w:val="14"/>
                <w:shd w:val="clear" w:color="auto" w:fill="FFFFFF"/>
                <w:lang w:val="it-IT"/>
              </w:rPr>
              <w:t>Bruno Fabiano</w:t>
            </w:r>
            <w:r w:rsidR="00B57E6F" w:rsidRPr="00825DD9">
              <w:rPr>
                <w:rFonts w:ascii="Tahoma" w:hAnsi="Tahoma" w:cs="Tahoma"/>
                <w:color w:val="000000"/>
                <w:sz w:val="14"/>
                <w:szCs w:val="14"/>
                <w:shd w:val="clear" w:color="auto" w:fill="FFFFFF"/>
                <w:lang w:val="it-IT"/>
              </w:rPr>
              <w:t xml:space="preserve">, </w:t>
            </w:r>
            <w:proofErr w:type="spellStart"/>
            <w:r w:rsidR="00B57E6F" w:rsidRPr="00825DD9">
              <w:rPr>
                <w:rFonts w:ascii="Tahoma" w:hAnsi="Tahoma" w:cs="Tahoma"/>
                <w:bCs/>
                <w:color w:val="000000"/>
                <w:sz w:val="14"/>
                <w:szCs w:val="14"/>
                <w:lang w:val="it-IT" w:eastAsia="it-IT"/>
              </w:rPr>
              <w:t>Genserik</w:t>
            </w:r>
            <w:proofErr w:type="spellEnd"/>
            <w:r w:rsidR="00B57E6F" w:rsidRPr="00825DD9">
              <w:rPr>
                <w:rFonts w:ascii="Tahoma" w:hAnsi="Tahoma" w:cs="Tahoma"/>
                <w:bCs/>
                <w:color w:val="000000"/>
                <w:sz w:val="14"/>
                <w:szCs w:val="14"/>
                <w:lang w:val="it-IT" w:eastAsia="it-IT"/>
              </w:rPr>
              <w:t xml:space="preserve"> </w:t>
            </w:r>
            <w:proofErr w:type="spellStart"/>
            <w:r w:rsidR="00B57E6F" w:rsidRPr="00825DD9">
              <w:rPr>
                <w:rFonts w:ascii="Tahoma" w:hAnsi="Tahoma" w:cs="Tahoma"/>
                <w:bCs/>
                <w:color w:val="000000"/>
                <w:sz w:val="14"/>
                <w:szCs w:val="14"/>
                <w:lang w:val="it-IT" w:eastAsia="it-IT"/>
              </w:rPr>
              <w:t>Reniers</w:t>
            </w:r>
            <w:proofErr w:type="spellEnd"/>
          </w:p>
          <w:p w14:paraId="1B0F1814" w14:textId="7E8B8C7E"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825DD9">
              <w:rPr>
                <w:rFonts w:ascii="Tahoma" w:hAnsi="Tahoma" w:cs="Tahoma"/>
                <w:iCs/>
                <w:color w:val="333333"/>
                <w:sz w:val="14"/>
                <w:szCs w:val="14"/>
                <w:lang w:eastAsia="it-IT"/>
              </w:rPr>
              <w:t>4</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25DD9" w:rsidRPr="00825DD9">
              <w:rPr>
                <w:rFonts w:ascii="Tahoma" w:hAnsi="Tahoma" w:cs="Tahoma"/>
                <w:sz w:val="14"/>
                <w:szCs w:val="14"/>
                <w:lang w:eastAsia="it-IT"/>
              </w:rPr>
              <w:t>979-12-81206-11-3</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4C34BF">
          <w:type w:val="continuous"/>
          <w:pgSz w:w="11906" w:h="16838" w:code="9"/>
          <w:pgMar w:top="1701" w:right="1418" w:bottom="1701" w:left="1701" w:header="1701" w:footer="0" w:gutter="0"/>
          <w:cols w:space="708"/>
          <w:titlePg/>
          <w:docGrid w:linePitch="360"/>
        </w:sectPr>
      </w:pPr>
    </w:p>
    <w:p w14:paraId="2E667253" w14:textId="2D7DBFC2" w:rsidR="00E978D0" w:rsidRPr="00ED3B56" w:rsidRDefault="007A38B2" w:rsidP="00665323">
      <w:pPr>
        <w:pStyle w:val="CETTitle"/>
        <w:rPr>
          <w:lang w:val="en-US"/>
        </w:rPr>
      </w:pPr>
      <w:r w:rsidRPr="00ED3B56">
        <w:rPr>
          <w:lang w:val="en-US"/>
        </w:rPr>
        <w:t>Human Errors in the Inspection of Hydrogen Refueling Station</w:t>
      </w:r>
      <w:r w:rsidR="00330BA8" w:rsidRPr="00ED3B56">
        <w:rPr>
          <w:lang w:val="en-US"/>
        </w:rPr>
        <w:t>s</w:t>
      </w:r>
      <w:r w:rsidRPr="00ED3B56">
        <w:rPr>
          <w:lang w:val="en-US"/>
        </w:rPr>
        <w:t>: A Bayesian Network Approach</w:t>
      </w:r>
    </w:p>
    <w:p w14:paraId="0488FED2" w14:textId="4813F8D6" w:rsidR="00B57E6F" w:rsidRPr="00862F23" w:rsidRDefault="00862F23" w:rsidP="00B57E6F">
      <w:pPr>
        <w:pStyle w:val="CETAuthors"/>
        <w:rPr>
          <w:lang w:val="it-IT"/>
        </w:rPr>
      </w:pPr>
      <w:r w:rsidRPr="008C3CA8">
        <w:rPr>
          <w:lang w:val="it-IT"/>
        </w:rPr>
        <w:t>Alessandro Campari</w:t>
      </w:r>
      <w:r w:rsidRPr="008C3CA8">
        <w:rPr>
          <w:vertAlign w:val="superscript"/>
          <w:lang w:val="it-IT"/>
        </w:rPr>
        <w:t>a,</w:t>
      </w:r>
      <w:r w:rsidRPr="008C3CA8">
        <w:rPr>
          <w:lang w:val="it-IT"/>
        </w:rPr>
        <w:t>*, Antonio Javier Nakhal Akel</w:t>
      </w:r>
      <w:r w:rsidRPr="008C3CA8">
        <w:rPr>
          <w:vertAlign w:val="superscript"/>
          <w:lang w:val="it-IT"/>
        </w:rPr>
        <w:t>b</w:t>
      </w:r>
      <w:r w:rsidRPr="008C3CA8">
        <w:rPr>
          <w:lang w:val="it-IT"/>
        </w:rPr>
        <w:t xml:space="preserve">, </w:t>
      </w:r>
      <w:r w:rsidR="00946FDB">
        <w:rPr>
          <w:lang w:val="it-IT"/>
        </w:rPr>
        <w:t>Leonardo Giannini</w:t>
      </w:r>
      <w:r w:rsidR="00946FDB">
        <w:rPr>
          <w:vertAlign w:val="superscript"/>
          <w:lang w:val="it-IT"/>
        </w:rPr>
        <w:t>a</w:t>
      </w:r>
      <w:r w:rsidR="00946FDB">
        <w:rPr>
          <w:lang w:val="it-IT"/>
        </w:rPr>
        <w:t xml:space="preserve">, </w:t>
      </w:r>
      <w:r w:rsidRPr="008C3CA8">
        <w:rPr>
          <w:lang w:val="it-IT"/>
        </w:rPr>
        <w:t>Jac Michael Pasok</w:t>
      </w:r>
      <w:r w:rsidRPr="008C3CA8">
        <w:rPr>
          <w:vertAlign w:val="superscript"/>
          <w:lang w:val="it-IT"/>
        </w:rPr>
        <w:t>a</w:t>
      </w:r>
      <w:r w:rsidRPr="008C3CA8">
        <w:rPr>
          <w:lang w:val="it-IT"/>
        </w:rPr>
        <w:t xml:space="preserve">, </w:t>
      </w:r>
      <w:r>
        <w:rPr>
          <w:lang w:val="it-IT"/>
        </w:rPr>
        <w:t>Riccardo Patriarca</w:t>
      </w:r>
      <w:r w:rsidRPr="008C3CA8">
        <w:rPr>
          <w:vertAlign w:val="superscript"/>
          <w:lang w:val="it-IT"/>
        </w:rPr>
        <w:t>b</w:t>
      </w:r>
    </w:p>
    <w:p w14:paraId="55DE13B4" w14:textId="77777777" w:rsidR="00B000AF" w:rsidRPr="00EC7198" w:rsidRDefault="00B000AF" w:rsidP="00B000AF">
      <w:pPr>
        <w:pStyle w:val="CETAddress"/>
        <w:rPr>
          <w:lang w:val="en-US"/>
        </w:rPr>
      </w:pPr>
      <w:r w:rsidRPr="00EC7198">
        <w:rPr>
          <w:vertAlign w:val="superscript"/>
          <w:lang w:val="en-US"/>
        </w:rPr>
        <w:t>a</w:t>
      </w:r>
      <w:r w:rsidRPr="00EC7198">
        <w:rPr>
          <w:lang w:val="en-US"/>
        </w:rPr>
        <w:t xml:space="preserve"> Department of Mechanical and Industrial Engineering, NTNU, Trondheim, Norway</w:t>
      </w:r>
    </w:p>
    <w:p w14:paraId="43A6BB94" w14:textId="77777777" w:rsidR="00B000AF" w:rsidRPr="00EC7198" w:rsidRDefault="00B000AF" w:rsidP="00B000AF">
      <w:pPr>
        <w:pStyle w:val="CETAddress"/>
        <w:rPr>
          <w:lang w:val="en-US"/>
        </w:rPr>
      </w:pPr>
      <w:r w:rsidRPr="00EC7198">
        <w:rPr>
          <w:vertAlign w:val="superscript"/>
          <w:lang w:val="en-US"/>
        </w:rPr>
        <w:t>b</w:t>
      </w:r>
      <w:r w:rsidRPr="00EC7198">
        <w:rPr>
          <w:lang w:val="en-US"/>
        </w:rPr>
        <w:t xml:space="preserve"> </w:t>
      </w:r>
      <w:r w:rsidRPr="008C3CA8">
        <w:rPr>
          <w:lang w:val="en-US"/>
        </w:rPr>
        <w:t>Department of Mechanical and Aerospace Engineering, Sapienza University of Rome, Italy</w:t>
      </w:r>
    </w:p>
    <w:p w14:paraId="73F1267A" w14:textId="6E76F8C6" w:rsidR="00B57E6F" w:rsidRPr="006009EB" w:rsidRDefault="00B000AF" w:rsidP="00B000AF">
      <w:pPr>
        <w:pStyle w:val="CETemail"/>
        <w:rPr>
          <w:lang w:val="en-US"/>
        </w:rPr>
      </w:pPr>
      <w:r w:rsidRPr="00EC7198">
        <w:rPr>
          <w:lang w:val="en-US"/>
        </w:rPr>
        <w:t xml:space="preserve"> alessandro.campari@ntnu.no</w:t>
      </w:r>
    </w:p>
    <w:p w14:paraId="22E56BE2" w14:textId="7914859F" w:rsidR="006009EB" w:rsidRPr="00190B3D" w:rsidRDefault="006C7EC5" w:rsidP="00A34BB7">
      <w:pPr>
        <w:pStyle w:val="CETBodytext"/>
      </w:pPr>
      <w:r w:rsidRPr="006C7EC5">
        <w:t xml:space="preserve">The widespread use of hydrogen as an energy carrier for road transport </w:t>
      </w:r>
      <w:r w:rsidR="00A80879">
        <w:t xml:space="preserve">and industrial applications </w:t>
      </w:r>
      <w:r w:rsidRPr="006C7EC5">
        <w:t xml:space="preserve">was indicated as a promising solution for reducing pollutant emissions. The high flammability of this substance and its tendency to permeate and embrittle most structural materials make hydrogen handling and storage inherently challenging. Hence, inspection and maintenance activities are essential to guarantee the components' integrity and fitness for service. However, guidelines for inspecting and maintaining hydrogen refueling stations are still under development. </w:t>
      </w:r>
      <w:r w:rsidR="00051D07" w:rsidRPr="00051D07">
        <w:t>The manufacturer is responsible for indicating the optimal inspection procedures for each facility</w:t>
      </w:r>
      <w:r w:rsidRPr="006C7EC5">
        <w:t xml:space="preserve">. The lack of a unified regulatory framework and the limited operational experience with these technologies make human errors a potential cause of undesired events. In this context, the study evaluates the probability of human error during the high-pressure storage system inspection procedures in hydrogen refueling stations. The Petro-HRA methodology has been used to quantify the likelihood of unsafe or inappropriate actions. In addition, a Bayesian Network approach is proposed to investigate the conditional dependencies among human errors and </w:t>
      </w:r>
      <w:r w:rsidR="00BA1D0E">
        <w:t>p</w:t>
      </w:r>
      <w:r w:rsidRPr="00093228">
        <w:rPr>
          <w:bCs/>
        </w:rPr>
        <w:t>erformance</w:t>
      </w:r>
      <w:r w:rsidR="00133A5B" w:rsidRPr="00093228">
        <w:rPr>
          <w:bCs/>
        </w:rPr>
        <w:t xml:space="preserve"> </w:t>
      </w:r>
      <w:r w:rsidR="00BA1D0E">
        <w:rPr>
          <w:bCs/>
        </w:rPr>
        <w:t>s</w:t>
      </w:r>
      <w:r w:rsidRPr="00093228">
        <w:rPr>
          <w:bCs/>
        </w:rPr>
        <w:t xml:space="preserve">haping </w:t>
      </w:r>
      <w:r w:rsidR="00BA1D0E">
        <w:rPr>
          <w:bCs/>
        </w:rPr>
        <w:t>f</w:t>
      </w:r>
      <w:r w:rsidRPr="00093228">
        <w:rPr>
          <w:bCs/>
        </w:rPr>
        <w:t>actors</w:t>
      </w:r>
      <w:r w:rsidRPr="006C7EC5">
        <w:t xml:space="preserve">. The critical analysis of the results allowed </w:t>
      </w:r>
      <w:r w:rsidR="00B46DA9">
        <w:t>the authors</w:t>
      </w:r>
      <w:r w:rsidRPr="006C7EC5">
        <w:t xml:space="preserve"> to provide recommendations regarding safety procedures that operators can adopt to reduce the likelihood of accidents in the hydrogen industry.</w:t>
      </w:r>
    </w:p>
    <w:p w14:paraId="0140FE0C" w14:textId="77777777" w:rsidR="00854BCE" w:rsidRDefault="00854BCE" w:rsidP="00854BCE">
      <w:pPr>
        <w:pStyle w:val="CETHeading1"/>
      </w:pPr>
      <w:r w:rsidRPr="00EC7198">
        <w:t>Introduction</w:t>
      </w:r>
    </w:p>
    <w:p w14:paraId="19AF6BF7" w14:textId="6DE5E39A" w:rsidR="00D12D6E" w:rsidRDefault="00D12D6E" w:rsidP="004E17B1">
      <w:pPr>
        <w:pStyle w:val="CETBodytext"/>
      </w:pPr>
      <w:r w:rsidRPr="00D12D6E">
        <w:t xml:space="preserve">The global pursuit of clean and sustainable energy sources imposes a paradigm change in mobility. Hydrogen was largely indicated as a promising energy carrier to mitigate the environmental impact of road transport. Developing a widespread hydrogen distribution infrastructure presents substantial technical and economic challenges. Furthermore, the safety aspects associated with </w:t>
      </w:r>
      <w:r w:rsidR="00ED4933">
        <w:t>H</w:t>
      </w:r>
      <w:r w:rsidRPr="00D12D6E">
        <w:t xml:space="preserve">ydrogen </w:t>
      </w:r>
      <w:r w:rsidR="00ED4933">
        <w:t>R</w:t>
      </w:r>
      <w:r w:rsidRPr="00D12D6E">
        <w:t xml:space="preserve">efueling </w:t>
      </w:r>
      <w:r w:rsidR="00ED4933">
        <w:t>S</w:t>
      </w:r>
      <w:r w:rsidRPr="00D12D6E">
        <w:t xml:space="preserve">tations (HRSs) represent a primary concern for the regulatory institutions, public, and industrial stakeholders (IEA, 2022). Considering the high flammability and low ignition energy of hydrogen gas and its tendency to permeate and degrade most structural materials, preventive maintenance approaches are preferable to corrective ones. Monitoring the presence of structural defects and propagation of cracks guarantees the physical integrity and fitness for service of the components. Inspection activities, commonly performed through </w:t>
      </w:r>
      <w:r w:rsidR="001871E5">
        <w:t>N</w:t>
      </w:r>
      <w:r w:rsidRPr="00D12D6E">
        <w:t xml:space="preserve">ondestructive </w:t>
      </w:r>
      <w:r w:rsidR="001871E5">
        <w:t>T</w:t>
      </w:r>
      <w:r w:rsidRPr="00D12D6E">
        <w:t xml:space="preserve">esting (NDT), allow to evaluate the degradation state of the components of the HRS and determine if corrective actions should be taken. </w:t>
      </w:r>
      <w:r w:rsidR="005C6C11">
        <w:t>Moreover, i</w:t>
      </w:r>
      <w:r w:rsidRPr="00D12D6E">
        <w:t>t was proven that a significant share of the total risk of failure in hydrogen refueling stations is associated with the H</w:t>
      </w:r>
      <w:r w:rsidRPr="00D12D6E">
        <w:rPr>
          <w:vertAlign w:val="subscript"/>
        </w:rPr>
        <w:t>2</w:t>
      </w:r>
      <w:r w:rsidRPr="00D12D6E">
        <w:t xml:space="preserve"> storage tanks (Campari et al., 2024</w:t>
      </w:r>
      <w:r>
        <w:t>).</w:t>
      </w:r>
    </w:p>
    <w:p w14:paraId="32B39D3F" w14:textId="25A1FC7E" w:rsidR="00A93465" w:rsidRDefault="0002576F" w:rsidP="004E17B1">
      <w:pPr>
        <w:pStyle w:val="CETBodytext"/>
      </w:pPr>
      <w:r w:rsidRPr="0002576F">
        <w:t xml:space="preserve">Several techniques can detect the presence of cracks and flaws triggered by the synergistic effect of mechanical loads, susceptible material microstructure, and high-pressure hydrogen gas (Campari et al., 2023). Acoustic emission tests are used as a screening technique for the in-service inspection of pressure vessels. Even if performed by specialized personnel, the existing inspection protocols must be better adapted for hydrogen handling and storage equipment. In addition, the lack of operational experience with hydrogen technologies results in a higher risk of human errors, and one-time activities are particularly critical (Castiglia and Giardina, 2013). </w:t>
      </w:r>
      <w:r w:rsidR="005D3B18">
        <w:t>For</w:t>
      </w:r>
      <w:r w:rsidR="009A61E7">
        <w:t xml:space="preserve"> example, t</w:t>
      </w:r>
      <w:r w:rsidRPr="0002576F">
        <w:t>he incident that occurred in 2019 at the refueling station in Kjørbo (Norway) was caused by a human error during the maintenance of the hydrogen storage system and resulted in significant financial damage and a general loss of trust regarding hydrogen-based mobility</w:t>
      </w:r>
      <w:r w:rsidR="00A93465">
        <w:t>.</w:t>
      </w:r>
    </w:p>
    <w:p w14:paraId="312CACE7" w14:textId="4934602C" w:rsidR="001707B9" w:rsidRDefault="00EC6928" w:rsidP="004E17B1">
      <w:pPr>
        <w:pStyle w:val="CETBodytext"/>
      </w:pPr>
      <w:r w:rsidRPr="00EC6928">
        <w:lastRenderedPageBreak/>
        <w:t xml:space="preserve">Human </w:t>
      </w:r>
      <w:r w:rsidR="00ED4933">
        <w:t>R</w:t>
      </w:r>
      <w:r w:rsidRPr="00EC6928">
        <w:t xml:space="preserve">eliability </w:t>
      </w:r>
      <w:r w:rsidR="00ED4933">
        <w:t>A</w:t>
      </w:r>
      <w:r w:rsidRPr="00EC6928">
        <w:t xml:space="preserve">nalysis (HRA) aims to assess the risk </w:t>
      </w:r>
      <w:r w:rsidR="00C62A24">
        <w:t>of</w:t>
      </w:r>
      <w:r w:rsidRPr="00EC6928">
        <w:t xml:space="preserve"> human error</w:t>
      </w:r>
      <w:r w:rsidR="00C62A24">
        <w:t>s</w:t>
      </w:r>
      <w:r w:rsidRPr="00EC6928">
        <w:t xml:space="preserve"> by identifying potential incorrect actions, estimating their likelihood, evaluating the</w:t>
      </w:r>
      <w:r w:rsidR="00C62A24">
        <w:t xml:space="preserve"> triggering</w:t>
      </w:r>
      <w:r w:rsidRPr="00EC6928">
        <w:t xml:space="preserve"> factors, and proposing solutions to reduce </w:t>
      </w:r>
      <w:r w:rsidR="004115C3">
        <w:t>the risk</w:t>
      </w:r>
      <w:r w:rsidRPr="00EC6928">
        <w:t xml:space="preserve">. In </w:t>
      </w:r>
      <w:r w:rsidR="006F43EB">
        <w:t xml:space="preserve">most </w:t>
      </w:r>
      <w:r w:rsidRPr="00EC6928">
        <w:t>cases</w:t>
      </w:r>
      <w:r w:rsidR="006F43EB">
        <w:t>,</w:t>
      </w:r>
      <w:r w:rsidRPr="00EC6928">
        <w:t xml:space="preserve"> the parameters for the HRA </w:t>
      </w:r>
      <w:r w:rsidR="006F43EB">
        <w:t>are</w:t>
      </w:r>
      <w:r w:rsidRPr="00EC6928">
        <w:t xml:space="preserve"> defined by specialists</w:t>
      </w:r>
      <w:r w:rsidR="00B97F39">
        <w:t xml:space="preserve">, </w:t>
      </w:r>
      <w:r w:rsidRPr="00EC6928">
        <w:t>are subjective</w:t>
      </w:r>
      <w:r w:rsidR="00B97F39">
        <w:t>,</w:t>
      </w:r>
      <w:r w:rsidRPr="00EC6928">
        <w:t xml:space="preserve"> and </w:t>
      </w:r>
      <w:r w:rsidR="00B97F39">
        <w:t xml:space="preserve">are </w:t>
      </w:r>
      <w:r w:rsidRPr="00EC6928">
        <w:t xml:space="preserve">affected by high uncertainty. In addition, the consolidated HRA methodologies cannot account for the dependencies of </w:t>
      </w:r>
      <w:r w:rsidR="006F43EB">
        <w:t>H</w:t>
      </w:r>
      <w:r w:rsidRPr="00EC6928">
        <w:t xml:space="preserve">uman </w:t>
      </w:r>
      <w:r w:rsidR="006F43EB">
        <w:t>E</w:t>
      </w:r>
      <w:r w:rsidRPr="00EC6928">
        <w:t xml:space="preserve">rror </w:t>
      </w:r>
      <w:r w:rsidR="006F43EB">
        <w:t>P</w:t>
      </w:r>
      <w:r w:rsidRPr="00EC6928">
        <w:t>robabilities</w:t>
      </w:r>
      <w:r w:rsidR="006F43EB">
        <w:t xml:space="preserve"> (HEPs)</w:t>
      </w:r>
      <w:r w:rsidRPr="00EC6928">
        <w:t xml:space="preserve"> in related tasks. To address these limitations, the present study presents an integrated method for evaluating the impact of different factors on the reliability of an inspection through acoustic emissions of a storage tank in an HRS. A Bayesian Network</w:t>
      </w:r>
      <w:r w:rsidR="0086354F">
        <w:t xml:space="preserve"> (BN)</w:t>
      </w:r>
      <w:r w:rsidRPr="00EC6928">
        <w:t xml:space="preserve"> complements the Petro-HRA methodology to reduce the inaccuracy in estimating the </w:t>
      </w:r>
      <w:r w:rsidR="009D3BC6">
        <w:t>success</w:t>
      </w:r>
      <w:r w:rsidRPr="00EC6928">
        <w:t xml:space="preserve"> probabilit</w:t>
      </w:r>
      <w:r w:rsidR="009D3BC6">
        <w:t>y</w:t>
      </w:r>
      <w:r w:rsidRPr="00EC6928">
        <w:t xml:space="preserve"> and consider the conditional dependencies of all the tasks involved. This BN – Petro-HRA approach can increase the reliability of the inspections in hydrogen refueling stations, thus enhancing operational safety.</w:t>
      </w:r>
    </w:p>
    <w:p w14:paraId="42CBC58E" w14:textId="1B1AD111" w:rsidR="000527B3" w:rsidRDefault="00C97563" w:rsidP="000527B3">
      <w:pPr>
        <w:pStyle w:val="CETHeading1"/>
      </w:pPr>
      <w:r>
        <w:t>Acoustic emission testing</w:t>
      </w:r>
    </w:p>
    <w:p w14:paraId="066301F2" w14:textId="18B53267" w:rsidR="00726CF0" w:rsidRDefault="0025792C" w:rsidP="0025792C">
      <w:pPr>
        <w:pStyle w:val="CETBodytext"/>
      </w:pPr>
      <w:r>
        <w:t>Type II tanks are steel cylinders with carbon or glass fiber filaments wrapped around their straight structure</w:t>
      </w:r>
      <w:r w:rsidR="000478CF">
        <w:t>,</w:t>
      </w:r>
      <w:r>
        <w:t xml:space="preserve"> commonly used in HRSs. They are used for stationary applications at operating pressures around 300 bar. The exposure to high-pressure H</w:t>
      </w:r>
      <w:r w:rsidRPr="000478CF">
        <w:rPr>
          <w:vertAlign w:val="subscript"/>
        </w:rPr>
        <w:t>2</w:t>
      </w:r>
      <w:r>
        <w:t xml:space="preserve"> gas makes these components potentially prone to hydrogen-induced surface or subsurface cracking. If this material damage occurs, there is little evidence of deformations, and crack initiation is typically not visible (API, 2020). Specialized operators can perform inspections through nondestructive testing techniques to detect premonitory signs and allow the intervention before the failure occurs.</w:t>
      </w:r>
      <w:r w:rsidR="0049599A">
        <w:t xml:space="preserve"> </w:t>
      </w:r>
      <w:r>
        <w:t>Acoustic Emission Testing (AET) can detect flaws, cracks, and discontinuities in industrial equipment by measuring the energy released by the examined component under realistic operating conditions. Acoustic emissions originate when the material undergoes tension, and they are particularly intense whe</w:t>
      </w:r>
      <w:r w:rsidR="000478CF">
        <w:t>n</w:t>
      </w:r>
      <w:r>
        <w:t xml:space="preserve"> the elastic deformation turns to plastic (i.e., </w:t>
      </w:r>
      <w:r w:rsidR="004B2516">
        <w:t>approaching</w:t>
      </w:r>
      <w:r>
        <w:t xml:space="preserve"> the yield stress). Macroscopic cracks and defects in the material act as stress concentrators, emitting acoustic waves </w:t>
      </w:r>
      <w:r w:rsidR="000478CF">
        <w:t xml:space="preserve">that are </w:t>
      </w:r>
      <w:r>
        <w:t>orders of magnitude more intense than those emitted by the surrounding area (Kumar and Mahto, 2013). The amplitude of the acoustic waves is proportional to the crack growth rate. AET is based on detecting these waves, converting them to electric signals, and analyzing them to locate the material defect. The sensitivity of the system is limited by background noise, which is eliminated by electronic filtering (API, 2018). AET equipment is selected based on the frequency (typically 30 kHz to 1 MHz), sensitivity</w:t>
      </w:r>
      <w:r w:rsidR="00DC27D9">
        <w:t xml:space="preserve"> </w:t>
      </w:r>
      <w:r w:rsidR="000C3346">
        <w:t xml:space="preserve">(maximized </w:t>
      </w:r>
      <w:r w:rsidR="007030B6">
        <w:t>at the natural frequency of the piezoelectric element</w:t>
      </w:r>
      <w:proofErr w:type="gramStart"/>
      <w:r w:rsidR="000842B0">
        <w:t>)</w:t>
      </w:r>
      <w:r w:rsidR="000478CF">
        <w:t>,</w:t>
      </w:r>
      <w:r w:rsidR="000842B0">
        <w:t xml:space="preserve"> and</w:t>
      </w:r>
      <w:proofErr w:type="gramEnd"/>
      <w:r>
        <w:t xml:space="preserve"> working environment</w:t>
      </w:r>
      <w:r w:rsidR="000842B0">
        <w:t xml:space="preserve"> (in terms of background noise)</w:t>
      </w:r>
      <w:r>
        <w:t xml:space="preserve">. Sensors and transducers are piezoelectric crystals that convert mechanical vibration into an electrical signal with the same frequency. Preamplifiers are placed near the transducers and are used to boost the voltage and guarantee sufficient cable drive capability. They are designed to reduce background noise signals. A bandpass filter eliminates low and high frequencies, and the clean signal travels to the system mainframe to be visualized, analyzed, and evaluated (ASME, 2023). The main advantage of AET over other NDTs is the possibility of dealing with changes in the material, such as crack growth, if the load is sufficient to determine the acoustic emissions. In addition, AET allows a complete volumetric inspection of the tank through multiple </w:t>
      </w:r>
      <w:r w:rsidR="00671A87">
        <w:t>and</w:t>
      </w:r>
      <w:r>
        <w:t xml:space="preserve"> properly located</w:t>
      </w:r>
      <w:r w:rsidR="00671A87">
        <w:t xml:space="preserve"> sensors</w:t>
      </w:r>
      <w:r>
        <w:t>. On the other hand, AE devices can only gauge qualitative indications about the degradation of the component. They should be combined with other NDTs (e.g., ultrasonic testing) to quantify the crack size and depth (ASME, 2023).</w:t>
      </w:r>
    </w:p>
    <w:p w14:paraId="4EBD2992" w14:textId="77777777" w:rsidR="00C20265" w:rsidRDefault="00C20265" w:rsidP="00BF7661">
      <w:pPr>
        <w:pStyle w:val="CETBodytext"/>
      </w:pPr>
    </w:p>
    <w:p w14:paraId="78AC9C02" w14:textId="77777777" w:rsidR="00726CF0" w:rsidRDefault="00726CF0" w:rsidP="00726CF0">
      <w:pPr>
        <w:pStyle w:val="CETBodytext"/>
        <w:keepNext/>
      </w:pPr>
      <w:r w:rsidRPr="00726CF0">
        <w:rPr>
          <w:noProof/>
        </w:rPr>
        <w:drawing>
          <wp:inline distT="0" distB="0" distL="0" distR="0" wp14:anchorId="173AA25A" wp14:editId="57E6541E">
            <wp:extent cx="4264183" cy="1407321"/>
            <wp:effectExtent l="0" t="0" r="3175" b="2540"/>
            <wp:docPr id="1726503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04220" cy="1420535"/>
                    </a:xfrm>
                    <a:prstGeom prst="rect">
                      <a:avLst/>
                    </a:prstGeom>
                    <a:noFill/>
                    <a:ln>
                      <a:noFill/>
                    </a:ln>
                  </pic:spPr>
                </pic:pic>
              </a:graphicData>
            </a:graphic>
          </wp:inline>
        </w:drawing>
      </w:r>
    </w:p>
    <w:p w14:paraId="2E5DF9C9" w14:textId="1E55FF56" w:rsidR="006A55CB" w:rsidRDefault="00726CF0" w:rsidP="00726CF0">
      <w:pPr>
        <w:pStyle w:val="CETCaption"/>
      </w:pPr>
      <w:r>
        <w:t xml:space="preserve">Figure </w:t>
      </w:r>
      <w:r>
        <w:fldChar w:fldCharType="begin"/>
      </w:r>
      <w:r>
        <w:instrText xml:space="preserve"> SEQ Figure \* ARABIC </w:instrText>
      </w:r>
      <w:r>
        <w:fldChar w:fldCharType="separate"/>
      </w:r>
      <w:r>
        <w:rPr>
          <w:noProof/>
        </w:rPr>
        <w:t>1</w:t>
      </w:r>
      <w:r>
        <w:fldChar w:fldCharType="end"/>
      </w:r>
      <w:r>
        <w:t xml:space="preserve">: Schematic of the AET setup for </w:t>
      </w:r>
      <w:r w:rsidR="00A64003">
        <w:t xml:space="preserve">pressurized storage </w:t>
      </w:r>
      <w:proofErr w:type="gramStart"/>
      <w:r w:rsidR="00A64003">
        <w:t>tanks</w:t>
      </w:r>
      <w:proofErr w:type="gramEnd"/>
    </w:p>
    <w:p w14:paraId="061D2D69" w14:textId="77777777" w:rsidR="00854BCE" w:rsidRDefault="00854BCE" w:rsidP="00854BCE">
      <w:pPr>
        <w:pStyle w:val="CETHeading1"/>
      </w:pPr>
      <w:r w:rsidRPr="00EC7198">
        <w:t>Methodology</w:t>
      </w:r>
    </w:p>
    <w:p w14:paraId="1C819C35" w14:textId="2EEB1222" w:rsidR="001C43A8" w:rsidRDefault="00671A87" w:rsidP="00854BCE">
      <w:pPr>
        <w:pStyle w:val="CETBodytext"/>
      </w:pPr>
      <w:r w:rsidRPr="00671A87">
        <w:t xml:space="preserve">The methodology for evaluating human errors during the inspection of hydrogen storage tanks relies on integrating BN into HRA. Firstly, the Petro-HRA methodology was used to quantify the likelihood of inappropriate actions during the inspection of a high-pressure storage system through acoustic emission testing. Secondly, a Bayesian Network approach allowed for investigating conditional dependencies among human errors and </w:t>
      </w:r>
      <w:r>
        <w:t>P</w:t>
      </w:r>
      <w:r w:rsidRPr="00671A87">
        <w:t xml:space="preserve">erformance </w:t>
      </w:r>
      <w:r>
        <w:t>Shaping F</w:t>
      </w:r>
      <w:r w:rsidRPr="00671A87">
        <w:t>actors (PSFs</w:t>
      </w:r>
      <w:r w:rsidR="00BD22A6">
        <w:t>)</w:t>
      </w:r>
      <w:r w:rsidR="001C43A8">
        <w:t>.</w:t>
      </w:r>
    </w:p>
    <w:p w14:paraId="18C20A1A" w14:textId="77777777" w:rsidR="00854BCE" w:rsidRDefault="00854BCE" w:rsidP="00854BCE">
      <w:pPr>
        <w:pStyle w:val="CETheadingx"/>
        <w:jc w:val="both"/>
      </w:pPr>
      <w:r>
        <w:lastRenderedPageBreak/>
        <w:t>Petro-HRA methodology</w:t>
      </w:r>
    </w:p>
    <w:p w14:paraId="2355B17F" w14:textId="2E1F51F9" w:rsidR="00894ACA" w:rsidRDefault="00894ACA" w:rsidP="00894ACA">
      <w:pPr>
        <w:pStyle w:val="CETBodytext"/>
      </w:pPr>
      <w:r>
        <w:t>H</w:t>
      </w:r>
      <w:r w:rsidR="00260587">
        <w:t xml:space="preserve">RA </w:t>
      </w:r>
      <w:r>
        <w:t>is a structured approach to systematically identify potential undesired events caused by human errors and estimating their probability. This analysis mainly aims to identify the tasks more prone to operators' incorrect actions and the factors influencing the likelihood of human error. The Petro-HRA method comprehends the definition of the scenario, data collection, task analysis, identification, modeling, and quantification of human errors, and the reduction of human error probabilities. It provides quantitative inputs for risk analysis and recommendations for facility management (Blackett et al., 2022).</w:t>
      </w:r>
    </w:p>
    <w:p w14:paraId="29870B9C" w14:textId="65A6BE19" w:rsidR="00894ACA" w:rsidRDefault="00894ACA" w:rsidP="00894ACA">
      <w:pPr>
        <w:pStyle w:val="CETBodytext"/>
      </w:pPr>
      <w:r>
        <w:t>In this study, Petro-HRA is applied to obtain the probabilities for the B</w:t>
      </w:r>
      <w:r w:rsidR="00260587">
        <w:t>N</w:t>
      </w:r>
      <w:r>
        <w:t xml:space="preserve">. Therefore, the proposed approach can be roughly divided into </w:t>
      </w:r>
      <w:r w:rsidR="003F2D0D">
        <w:t>six</w:t>
      </w:r>
      <w:r>
        <w:t xml:space="preserve"> steps:</w:t>
      </w:r>
    </w:p>
    <w:p w14:paraId="3CD53B89" w14:textId="59ABECCA" w:rsidR="00894ACA" w:rsidRDefault="00894ACA" w:rsidP="00894ACA">
      <w:pPr>
        <w:pStyle w:val="CETBodytext"/>
        <w:numPr>
          <w:ilvl w:val="0"/>
          <w:numId w:val="28"/>
        </w:numPr>
      </w:pPr>
      <w:r>
        <w:t>Scenario definition – It defines the boundaries of the analysis; in this case, inspecti</w:t>
      </w:r>
      <w:r w:rsidR="00D34179">
        <w:t>ng</w:t>
      </w:r>
      <w:r>
        <w:t xml:space="preserve"> a high-pressure storage tank to detect hydrogen-induced cracks through AET comprehends the test preparation, execution, completion, and data collection and interpretation</w:t>
      </w:r>
      <w:r w:rsidR="00A437D2">
        <w:t>.</w:t>
      </w:r>
    </w:p>
    <w:p w14:paraId="5B59C4C5" w14:textId="04FFB226" w:rsidR="00894ACA" w:rsidRDefault="00894ACA" w:rsidP="00894ACA">
      <w:pPr>
        <w:pStyle w:val="CETBodytext"/>
        <w:numPr>
          <w:ilvl w:val="0"/>
          <w:numId w:val="28"/>
        </w:numPr>
      </w:pPr>
      <w:r>
        <w:t>Data collection – It comprehends the collection of qualitative information on the location, external environment, tasks that should be performed, duration of the procedure, systems involved, operational mode of the facility, and personnel roles and responsibilities</w:t>
      </w:r>
      <w:r w:rsidR="00A437D2">
        <w:t>.</w:t>
      </w:r>
    </w:p>
    <w:p w14:paraId="1DDE96C8" w14:textId="112AC901" w:rsidR="00894ACA" w:rsidRDefault="00894ACA" w:rsidP="00894ACA">
      <w:pPr>
        <w:pStyle w:val="CETBodytext"/>
        <w:numPr>
          <w:ilvl w:val="0"/>
          <w:numId w:val="28"/>
        </w:numPr>
      </w:pPr>
      <w:r>
        <w:t xml:space="preserve">Task analysis – It defines and structures the operators' tasks through a </w:t>
      </w:r>
      <w:r w:rsidR="006776DC">
        <w:t>h</w:t>
      </w:r>
      <w:r>
        <w:t xml:space="preserve">ierarchical </w:t>
      </w:r>
      <w:r w:rsidR="006776DC">
        <w:t>t</w:t>
      </w:r>
      <w:r>
        <w:t xml:space="preserve">ask </w:t>
      </w:r>
      <w:r w:rsidR="006776DC">
        <w:t>a</w:t>
      </w:r>
      <w:r>
        <w:t>nalysis (HTA) following the detect-diagnose-decide-act cognitive</w:t>
      </w:r>
      <w:r w:rsidR="00F62810">
        <w:t>-</w:t>
      </w:r>
      <w:r>
        <w:t>behavioral model; it is based on the section devoted to nondestructive examination of pressure vessels of the ASME BPVC (ASME, 2023)</w:t>
      </w:r>
      <w:r w:rsidR="00A437D2">
        <w:t>.</w:t>
      </w:r>
    </w:p>
    <w:p w14:paraId="7F4B28A1" w14:textId="58799800" w:rsidR="00894ACA" w:rsidRDefault="00894ACA" w:rsidP="00894ACA">
      <w:pPr>
        <w:pStyle w:val="CETBodytext"/>
        <w:numPr>
          <w:ilvl w:val="0"/>
          <w:numId w:val="28"/>
        </w:numPr>
      </w:pPr>
      <w:r>
        <w:t>Human error identification – It identifies potential errors associated with the tasks, describes the consequences, and identifies the main influencing factors for the error probabilities</w:t>
      </w:r>
      <w:r w:rsidR="00A437D2">
        <w:t>.</w:t>
      </w:r>
    </w:p>
    <w:p w14:paraId="0162AE9D" w14:textId="25E6C6B9" w:rsidR="00894ACA" w:rsidRDefault="00894ACA" w:rsidP="00894ACA">
      <w:pPr>
        <w:pStyle w:val="CETBodytext"/>
        <w:numPr>
          <w:ilvl w:val="0"/>
          <w:numId w:val="28"/>
        </w:numPr>
      </w:pPr>
      <w:r>
        <w:t>Human error modeling – It identifies what human actions contribute the most to the overall risk of incorrect inspection by linking the errors with task steps</w:t>
      </w:r>
      <w:r w:rsidR="00A437D2">
        <w:t>.</w:t>
      </w:r>
    </w:p>
    <w:p w14:paraId="41D175E8" w14:textId="520A4CB9" w:rsidR="00894ACA" w:rsidRDefault="00894ACA" w:rsidP="00894ACA">
      <w:pPr>
        <w:pStyle w:val="CETBodytext"/>
        <w:numPr>
          <w:ilvl w:val="0"/>
          <w:numId w:val="28"/>
        </w:numPr>
      </w:pPr>
      <w:r>
        <w:t xml:space="preserve">Human error quantification – It quantifies the human error probability for each undesired event based on a nominal value and a set of </w:t>
      </w:r>
      <w:r w:rsidR="00894C4B">
        <w:t>p</w:t>
      </w:r>
      <w:r>
        <w:t xml:space="preserve">erformance </w:t>
      </w:r>
      <w:r w:rsidR="00894C4B">
        <w:t>s</w:t>
      </w:r>
      <w:r>
        <w:t xml:space="preserve">haping </w:t>
      </w:r>
      <w:r w:rsidR="00894C4B">
        <w:t>f</w:t>
      </w:r>
      <w:r>
        <w:t>actors.</w:t>
      </w:r>
    </w:p>
    <w:p w14:paraId="06BEF013" w14:textId="6130D0B7" w:rsidR="007B3054" w:rsidRDefault="00E2682D" w:rsidP="00894ACA">
      <w:pPr>
        <w:pStyle w:val="CETBodytext"/>
      </w:pPr>
      <w:r>
        <w:t>Th</w:t>
      </w:r>
      <w:r w:rsidR="0036719A">
        <w:t xml:space="preserve">e </w:t>
      </w:r>
      <w:r w:rsidR="00EB41E2">
        <w:t>HEP is calculated by combining a base probability of 1% with nine</w:t>
      </w:r>
      <w:r w:rsidR="00894ACA">
        <w:t xml:space="preserve"> </w:t>
      </w:r>
      <w:r w:rsidR="003340C2">
        <w:t>PSF</w:t>
      </w:r>
      <w:r w:rsidR="007B3054">
        <w:t xml:space="preserve">s accounting for </w:t>
      </w:r>
      <w:r w:rsidR="00894ACA">
        <w:t>the operator's characteristics, surrounding environment, and organization</w:t>
      </w:r>
      <w:r w:rsidR="001D0E1B">
        <w:t>:</w:t>
      </w:r>
    </w:p>
    <w:tbl>
      <w:tblPr>
        <w:tblW w:w="4958" w:type="pct"/>
        <w:tblInd w:w="108" w:type="dxa"/>
        <w:tblLook w:val="04A0" w:firstRow="1" w:lastRow="0" w:firstColumn="1" w:lastColumn="0" w:noHBand="0" w:noVBand="1"/>
      </w:tblPr>
      <w:tblGrid>
        <w:gridCol w:w="8187"/>
        <w:gridCol w:w="740"/>
      </w:tblGrid>
      <w:tr w:rsidR="006D646D" w:rsidRPr="00B57B36" w14:paraId="6388BDEC" w14:textId="77777777" w:rsidTr="00BB0912">
        <w:tc>
          <w:tcPr>
            <w:tcW w:w="8187" w:type="dxa"/>
            <w:shd w:val="clear" w:color="auto" w:fill="auto"/>
            <w:vAlign w:val="center"/>
          </w:tcPr>
          <w:p w14:paraId="6943E9DB" w14:textId="4841C2A3" w:rsidR="006D646D" w:rsidRPr="009B2827" w:rsidRDefault="006D646D" w:rsidP="00BB0912">
            <w:pPr>
              <w:pStyle w:val="CETEquation"/>
            </w:pPr>
            <m:oMathPara>
              <m:oMathParaPr>
                <m:jc m:val="left"/>
              </m:oMathParaPr>
              <m:oMath>
                <m:r>
                  <w:rPr>
                    <w:rFonts w:ascii="Cambria Math" w:hAnsi="Cambria Math"/>
                  </w:rPr>
                  <m:t>HEP=0.01∙</m:t>
                </m:r>
                <m:sSub>
                  <m:sSubPr>
                    <m:ctrlPr>
                      <w:rPr>
                        <w:rFonts w:ascii="Cambria Math" w:hAnsi="Cambria Math"/>
                        <w:i/>
                      </w:rPr>
                    </m:ctrlPr>
                  </m:sSubPr>
                  <m:e>
                    <m:r>
                      <w:rPr>
                        <w:rFonts w:ascii="Cambria Math" w:hAnsi="Cambria Math"/>
                      </w:rPr>
                      <m:t>PSF</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PSF</m:t>
                    </m:r>
                  </m:e>
                  <m:sub>
                    <m:r>
                      <w:rPr>
                        <w:rFonts w:ascii="Cambria Math" w:hAnsi="Cambria Math"/>
                      </w:rPr>
                      <m:t>ts</m:t>
                    </m:r>
                  </m:sub>
                </m:sSub>
                <m:r>
                  <w:rPr>
                    <w:rFonts w:ascii="Cambria Math" w:hAnsi="Cambria Math"/>
                  </w:rPr>
                  <m:t>∙</m:t>
                </m:r>
                <m:sSub>
                  <m:sSubPr>
                    <m:ctrlPr>
                      <w:rPr>
                        <w:rFonts w:ascii="Cambria Math" w:hAnsi="Cambria Math"/>
                        <w:i/>
                      </w:rPr>
                    </m:ctrlPr>
                  </m:sSubPr>
                  <m:e>
                    <m:r>
                      <w:rPr>
                        <w:rFonts w:ascii="Cambria Math" w:hAnsi="Cambria Math"/>
                      </w:rPr>
                      <m:t>PSF</m:t>
                    </m:r>
                  </m:e>
                  <m:sub>
                    <m:r>
                      <w:rPr>
                        <w:rFonts w:ascii="Cambria Math" w:hAnsi="Cambria Math"/>
                      </w:rPr>
                      <m:t>tc</m:t>
                    </m:r>
                  </m:sub>
                </m:sSub>
                <m:r>
                  <w:rPr>
                    <w:rFonts w:ascii="Cambria Math" w:hAnsi="Cambria Math"/>
                  </w:rPr>
                  <m:t>∙</m:t>
                </m:r>
                <m:sSub>
                  <m:sSubPr>
                    <m:ctrlPr>
                      <w:rPr>
                        <w:rFonts w:ascii="Cambria Math" w:hAnsi="Cambria Math"/>
                        <w:i/>
                      </w:rPr>
                    </m:ctrlPr>
                  </m:sSubPr>
                  <m:e>
                    <m:r>
                      <w:rPr>
                        <w:rFonts w:ascii="Cambria Math" w:hAnsi="Cambria Math"/>
                      </w:rPr>
                      <m:t>PSF</m:t>
                    </m:r>
                  </m:e>
                  <m:sub>
                    <m:r>
                      <w:rPr>
                        <w:rFonts w:ascii="Cambria Math" w:hAnsi="Cambria Math"/>
                      </w:rPr>
                      <m:t>ot</m:t>
                    </m:r>
                  </m:sub>
                </m:sSub>
                <m:r>
                  <w:rPr>
                    <w:rFonts w:ascii="Cambria Math" w:hAnsi="Cambria Math"/>
                  </w:rPr>
                  <m:t>∙</m:t>
                </m:r>
                <m:sSub>
                  <m:sSubPr>
                    <m:ctrlPr>
                      <w:rPr>
                        <w:rFonts w:ascii="Cambria Math" w:hAnsi="Cambria Math"/>
                        <w:i/>
                      </w:rPr>
                    </m:ctrlPr>
                  </m:sSubPr>
                  <m:e>
                    <m:r>
                      <w:rPr>
                        <w:rFonts w:ascii="Cambria Math" w:hAnsi="Cambria Math"/>
                      </w:rPr>
                      <m:t>PSF</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PSF</m:t>
                    </m:r>
                  </m:e>
                  <m:sub>
                    <m:r>
                      <w:rPr>
                        <w:rFonts w:ascii="Cambria Math" w:hAnsi="Cambria Math"/>
                      </w:rPr>
                      <m:t>hmi</m:t>
                    </m:r>
                  </m:sub>
                </m:sSub>
                <m:r>
                  <w:rPr>
                    <w:rFonts w:ascii="Cambria Math" w:hAnsi="Cambria Math"/>
                  </w:rPr>
                  <m:t>∙</m:t>
                </m:r>
                <m:sSub>
                  <m:sSubPr>
                    <m:ctrlPr>
                      <w:rPr>
                        <w:rFonts w:ascii="Cambria Math" w:hAnsi="Cambria Math"/>
                        <w:i/>
                      </w:rPr>
                    </m:ctrlPr>
                  </m:sSubPr>
                  <m:e>
                    <m:r>
                      <w:rPr>
                        <w:rFonts w:ascii="Cambria Math" w:hAnsi="Cambria Math"/>
                      </w:rPr>
                      <m:t>PSF</m:t>
                    </m:r>
                  </m:e>
                  <m:sub>
                    <m:r>
                      <w:rPr>
                        <w:rFonts w:ascii="Cambria Math" w:hAnsi="Cambria Math"/>
                      </w:rPr>
                      <m:t>as</m:t>
                    </m:r>
                  </m:sub>
                </m:sSub>
                <m:r>
                  <w:rPr>
                    <w:rFonts w:ascii="Cambria Math" w:hAnsi="Cambria Math"/>
                  </w:rPr>
                  <m:t>∙</m:t>
                </m:r>
                <m:sSub>
                  <m:sSubPr>
                    <m:ctrlPr>
                      <w:rPr>
                        <w:rFonts w:ascii="Cambria Math" w:hAnsi="Cambria Math"/>
                        <w:i/>
                      </w:rPr>
                    </m:ctrlPr>
                  </m:sSubPr>
                  <m:e>
                    <m:r>
                      <w:rPr>
                        <w:rFonts w:ascii="Cambria Math" w:hAnsi="Cambria Math"/>
                      </w:rPr>
                      <m:t>PSF</m:t>
                    </m:r>
                  </m:e>
                  <m:sub>
                    <m:r>
                      <w:rPr>
                        <w:rFonts w:ascii="Cambria Math" w:hAnsi="Cambria Math"/>
                      </w:rPr>
                      <m:t>tw</m:t>
                    </m:r>
                  </m:sub>
                </m:sSub>
                <m:r>
                  <w:rPr>
                    <w:rFonts w:ascii="Cambria Math" w:hAnsi="Cambria Math"/>
                  </w:rPr>
                  <m:t>∙</m:t>
                </m:r>
                <m:sSub>
                  <m:sSubPr>
                    <m:ctrlPr>
                      <w:rPr>
                        <w:rFonts w:ascii="Cambria Math" w:hAnsi="Cambria Math"/>
                        <w:i/>
                      </w:rPr>
                    </m:ctrlPr>
                  </m:sSubPr>
                  <m:e>
                    <m:r>
                      <w:rPr>
                        <w:rFonts w:ascii="Cambria Math" w:hAnsi="Cambria Math"/>
                      </w:rPr>
                      <m:t>PSF</m:t>
                    </m:r>
                  </m:e>
                  <m:sub>
                    <m:r>
                      <w:rPr>
                        <w:rFonts w:ascii="Cambria Math" w:hAnsi="Cambria Math"/>
                      </w:rPr>
                      <m:t>e</m:t>
                    </m:r>
                  </m:sub>
                </m:sSub>
              </m:oMath>
            </m:oMathPara>
          </w:p>
        </w:tc>
        <w:tc>
          <w:tcPr>
            <w:tcW w:w="740" w:type="dxa"/>
            <w:shd w:val="clear" w:color="auto" w:fill="auto"/>
            <w:vAlign w:val="center"/>
          </w:tcPr>
          <w:p w14:paraId="6D6F57D0" w14:textId="4EA54446" w:rsidR="006D646D" w:rsidRPr="00B57B36" w:rsidRDefault="006D646D" w:rsidP="00BB0912">
            <w:pPr>
              <w:pStyle w:val="CETEquation"/>
              <w:jc w:val="right"/>
            </w:pPr>
            <w:r w:rsidRPr="00B57B36">
              <w:t>(</w:t>
            </w:r>
            <w:r>
              <w:t>1</w:t>
            </w:r>
            <w:r w:rsidRPr="00B57B36">
              <w:t>)</w:t>
            </w:r>
          </w:p>
        </w:tc>
      </w:tr>
    </w:tbl>
    <w:p w14:paraId="54B4F353" w14:textId="2CE0FC2E" w:rsidR="00040128" w:rsidRPr="002E216C" w:rsidRDefault="006D646D" w:rsidP="00894ACA">
      <w:pPr>
        <w:pStyle w:val="CETBodytext"/>
        <w:rPr>
          <w:lang w:val="en-GB"/>
        </w:rPr>
      </w:pPr>
      <w:r>
        <w:t xml:space="preserve">where </w:t>
      </w:r>
      <m:oMath>
        <m:sSub>
          <m:sSubPr>
            <m:ctrlPr>
              <w:rPr>
                <w:rFonts w:ascii="Cambria Math" w:hAnsi="Cambria Math"/>
                <w:i/>
                <w:lang w:val="en-GB"/>
              </w:rPr>
            </m:ctrlPr>
          </m:sSubPr>
          <m:e>
            <m:r>
              <w:rPr>
                <w:rFonts w:ascii="Cambria Math" w:hAnsi="Cambria Math"/>
              </w:rPr>
              <m:t>PSF</m:t>
            </m:r>
          </m:e>
          <m:sub>
            <m:r>
              <w:rPr>
                <w:rFonts w:ascii="Cambria Math" w:hAnsi="Cambria Math"/>
              </w:rPr>
              <m:t>t</m:t>
            </m:r>
          </m:sub>
        </m:sSub>
      </m:oMath>
      <w:r w:rsidR="00685CFF">
        <w:rPr>
          <w:lang w:val="en-GB"/>
        </w:rPr>
        <w:t xml:space="preserve"> </w:t>
      </w:r>
      <w:r w:rsidR="001D0E1B">
        <w:rPr>
          <w:lang w:val="en-GB"/>
        </w:rPr>
        <w:t>accounts for</w:t>
      </w:r>
      <w:r w:rsidR="00685CFF">
        <w:rPr>
          <w:lang w:val="en-GB"/>
        </w:rPr>
        <w:t xml:space="preserve"> the </w:t>
      </w:r>
      <w:r w:rsidR="004E637A">
        <w:rPr>
          <w:lang w:val="en-GB"/>
        </w:rPr>
        <w:t>available time</w:t>
      </w:r>
      <w:r w:rsidR="001D0E1B">
        <w:rPr>
          <w:lang w:val="en-GB"/>
        </w:rPr>
        <w:t xml:space="preserve">, </w:t>
      </w:r>
      <m:oMath>
        <m:sSub>
          <m:sSubPr>
            <m:ctrlPr>
              <w:rPr>
                <w:rFonts w:ascii="Cambria Math" w:hAnsi="Cambria Math"/>
                <w:i/>
                <w:lang w:val="en-GB"/>
              </w:rPr>
            </m:ctrlPr>
          </m:sSubPr>
          <m:e>
            <m:r>
              <w:rPr>
                <w:rFonts w:ascii="Cambria Math" w:hAnsi="Cambria Math"/>
              </w:rPr>
              <m:t>PSF</m:t>
            </m:r>
          </m:e>
          <m:sub>
            <m:r>
              <w:rPr>
                <w:rFonts w:ascii="Cambria Math" w:hAnsi="Cambria Math"/>
              </w:rPr>
              <m:t>ts</m:t>
            </m:r>
          </m:sub>
        </m:sSub>
      </m:oMath>
      <w:r w:rsidR="001D0E1B">
        <w:rPr>
          <w:lang w:val="en-GB"/>
        </w:rPr>
        <w:t xml:space="preserve"> for </w:t>
      </w:r>
      <w:r w:rsidR="003D161F">
        <w:rPr>
          <w:lang w:val="en-GB"/>
        </w:rPr>
        <w:t xml:space="preserve">the threat stress, </w:t>
      </w:r>
      <m:oMath>
        <m:sSub>
          <m:sSubPr>
            <m:ctrlPr>
              <w:rPr>
                <w:rFonts w:ascii="Cambria Math" w:hAnsi="Cambria Math"/>
                <w:i/>
                <w:lang w:val="en-GB"/>
              </w:rPr>
            </m:ctrlPr>
          </m:sSubPr>
          <m:e>
            <m:r>
              <w:rPr>
                <w:rFonts w:ascii="Cambria Math" w:hAnsi="Cambria Math"/>
              </w:rPr>
              <m:t>PSF</m:t>
            </m:r>
          </m:e>
          <m:sub>
            <m:r>
              <w:rPr>
                <w:rFonts w:ascii="Cambria Math" w:hAnsi="Cambria Math"/>
              </w:rPr>
              <m:t>tc</m:t>
            </m:r>
          </m:sub>
        </m:sSub>
      </m:oMath>
      <w:r w:rsidR="003D161F">
        <w:rPr>
          <w:lang w:val="en-GB"/>
        </w:rPr>
        <w:t xml:space="preserve"> for the task complexity, </w:t>
      </w:r>
      <m:oMath>
        <m:sSub>
          <m:sSubPr>
            <m:ctrlPr>
              <w:rPr>
                <w:rFonts w:ascii="Cambria Math" w:hAnsi="Cambria Math"/>
                <w:i/>
                <w:lang w:val="en-GB"/>
              </w:rPr>
            </m:ctrlPr>
          </m:sSubPr>
          <m:e>
            <m:r>
              <w:rPr>
                <w:rFonts w:ascii="Cambria Math" w:hAnsi="Cambria Math"/>
              </w:rPr>
              <m:t>PSF</m:t>
            </m:r>
          </m:e>
          <m:sub>
            <m:r>
              <w:rPr>
                <w:rFonts w:ascii="Cambria Math" w:hAnsi="Cambria Math"/>
              </w:rPr>
              <m:t>ot</m:t>
            </m:r>
          </m:sub>
        </m:sSub>
      </m:oMath>
      <w:r w:rsidR="003D161F">
        <w:rPr>
          <w:lang w:val="en-GB"/>
        </w:rPr>
        <w:t xml:space="preserve"> for the </w:t>
      </w:r>
      <w:r w:rsidR="00587EFC">
        <w:rPr>
          <w:lang w:val="en-GB"/>
        </w:rPr>
        <w:t xml:space="preserve">operator training, </w:t>
      </w:r>
      <m:oMath>
        <m:sSub>
          <m:sSubPr>
            <m:ctrlPr>
              <w:rPr>
                <w:rFonts w:ascii="Cambria Math" w:hAnsi="Cambria Math"/>
                <w:i/>
                <w:lang w:val="en-GB"/>
              </w:rPr>
            </m:ctrlPr>
          </m:sSubPr>
          <m:e>
            <m:r>
              <w:rPr>
                <w:rFonts w:ascii="Cambria Math" w:hAnsi="Cambria Math"/>
              </w:rPr>
              <m:t>PSF</m:t>
            </m:r>
          </m:e>
          <m:sub>
            <m:r>
              <w:rPr>
                <w:rFonts w:ascii="Cambria Math" w:hAnsi="Cambria Math"/>
              </w:rPr>
              <m:t>p</m:t>
            </m:r>
          </m:sub>
        </m:sSub>
      </m:oMath>
      <w:r w:rsidR="00587EFC">
        <w:rPr>
          <w:lang w:val="en-GB"/>
        </w:rPr>
        <w:t xml:space="preserve"> for the procedure, </w:t>
      </w:r>
      <m:oMath>
        <m:sSub>
          <m:sSubPr>
            <m:ctrlPr>
              <w:rPr>
                <w:rFonts w:ascii="Cambria Math" w:hAnsi="Cambria Math"/>
                <w:i/>
                <w:lang w:val="en-GB"/>
              </w:rPr>
            </m:ctrlPr>
          </m:sSubPr>
          <m:e>
            <m:r>
              <w:rPr>
                <w:rFonts w:ascii="Cambria Math" w:hAnsi="Cambria Math"/>
              </w:rPr>
              <m:t>PSF</m:t>
            </m:r>
          </m:e>
          <m:sub>
            <m:r>
              <w:rPr>
                <w:rFonts w:ascii="Cambria Math" w:hAnsi="Cambria Math"/>
              </w:rPr>
              <m:t>hmi</m:t>
            </m:r>
          </m:sub>
        </m:sSub>
      </m:oMath>
      <w:r w:rsidR="00587EFC">
        <w:rPr>
          <w:lang w:val="en-GB"/>
        </w:rPr>
        <w:t xml:space="preserve"> for the human-machine interface, </w:t>
      </w:r>
      <m:oMath>
        <m:sSub>
          <m:sSubPr>
            <m:ctrlPr>
              <w:rPr>
                <w:rFonts w:ascii="Cambria Math" w:hAnsi="Cambria Math"/>
                <w:i/>
                <w:lang w:val="en-GB"/>
              </w:rPr>
            </m:ctrlPr>
          </m:sSubPr>
          <m:e>
            <m:r>
              <w:rPr>
                <w:rFonts w:ascii="Cambria Math" w:hAnsi="Cambria Math"/>
              </w:rPr>
              <m:t>PSF</m:t>
            </m:r>
          </m:e>
          <m:sub>
            <m:r>
              <w:rPr>
                <w:rFonts w:ascii="Cambria Math" w:hAnsi="Cambria Math"/>
              </w:rPr>
              <m:t>as</m:t>
            </m:r>
          </m:sub>
        </m:sSub>
      </m:oMath>
      <w:r w:rsidR="00587EFC">
        <w:rPr>
          <w:lang w:val="en-GB"/>
        </w:rPr>
        <w:t xml:space="preserve"> for the </w:t>
      </w:r>
      <w:r w:rsidR="002E216C">
        <w:rPr>
          <w:lang w:val="en-GB"/>
        </w:rPr>
        <w:t xml:space="preserve">attitude to safety, </w:t>
      </w:r>
      <m:oMath>
        <m:sSub>
          <m:sSubPr>
            <m:ctrlPr>
              <w:rPr>
                <w:rFonts w:ascii="Cambria Math" w:hAnsi="Cambria Math"/>
                <w:i/>
                <w:lang w:val="en-GB"/>
              </w:rPr>
            </m:ctrlPr>
          </m:sSubPr>
          <m:e>
            <m:r>
              <w:rPr>
                <w:rFonts w:ascii="Cambria Math" w:hAnsi="Cambria Math"/>
              </w:rPr>
              <m:t>PSF</m:t>
            </m:r>
          </m:e>
          <m:sub>
            <m:r>
              <w:rPr>
                <w:rFonts w:ascii="Cambria Math" w:hAnsi="Cambria Math"/>
              </w:rPr>
              <m:t>tw</m:t>
            </m:r>
          </m:sub>
        </m:sSub>
      </m:oMath>
      <w:r w:rsidR="002E216C">
        <w:rPr>
          <w:lang w:val="en-GB"/>
        </w:rPr>
        <w:t xml:space="preserve"> for the teamwork, and </w:t>
      </w:r>
      <m:oMath>
        <m:sSub>
          <m:sSubPr>
            <m:ctrlPr>
              <w:rPr>
                <w:rFonts w:ascii="Cambria Math" w:hAnsi="Cambria Math"/>
                <w:i/>
                <w:lang w:val="en-GB"/>
              </w:rPr>
            </m:ctrlPr>
          </m:sSubPr>
          <m:e>
            <m:r>
              <w:rPr>
                <w:rFonts w:ascii="Cambria Math" w:hAnsi="Cambria Math"/>
              </w:rPr>
              <m:t>PSF</m:t>
            </m:r>
          </m:e>
          <m:sub>
            <m:r>
              <w:rPr>
                <w:rFonts w:ascii="Cambria Math" w:hAnsi="Cambria Math"/>
              </w:rPr>
              <m:t>e</m:t>
            </m:r>
          </m:sub>
        </m:sSub>
      </m:oMath>
      <w:r w:rsidR="002E216C">
        <w:rPr>
          <w:lang w:val="en-GB"/>
        </w:rPr>
        <w:t xml:space="preserve"> for the physical working environment </w:t>
      </w:r>
      <w:r w:rsidR="002E216C">
        <w:t>(Blackett et al., 2022).</w:t>
      </w:r>
    </w:p>
    <w:p w14:paraId="10FA3506" w14:textId="77777777" w:rsidR="00854BCE" w:rsidRDefault="00854BCE" w:rsidP="00854BCE">
      <w:pPr>
        <w:pStyle w:val="CETheadingx"/>
        <w:jc w:val="both"/>
      </w:pPr>
      <w:r>
        <w:t>Bayesian Network</w:t>
      </w:r>
    </w:p>
    <w:p w14:paraId="12DF3101" w14:textId="23CA8B55" w:rsidR="004305E4" w:rsidRPr="00E7337A" w:rsidRDefault="003110B2" w:rsidP="0015059A">
      <w:pPr>
        <w:pStyle w:val="CETBodytext"/>
      </w:pPr>
      <w:r w:rsidRPr="003110B2">
        <w:t>B</w:t>
      </w:r>
      <w:r w:rsidR="00260587">
        <w:t xml:space="preserve">N </w:t>
      </w:r>
      <w:r w:rsidRPr="003110B2">
        <w:t>analysis is a probabilistic graphical model that allows the representation of probabilistic relationships between variables (nodes) and uses probability theory to deal with the uncertainty associated with conditional dependencies between variables (edges). A BN is typically represented as a directed acyclic graph where each node corresponds to a random variable, and each oriented edge connecting one node to another represents the conditional probability for the corresponding random variables (Zhang et al., 2024). According to Bayes’ theorem, considering two independent events (A and B), the conditional probability of A given B can be calculated by Eq.</w:t>
      </w:r>
      <w:r w:rsidR="006D646D">
        <w:t xml:space="preserve"> 2</w:t>
      </w:r>
      <w:r w:rsidRPr="003110B2">
        <w:t>:</w:t>
      </w:r>
    </w:p>
    <w:tbl>
      <w:tblPr>
        <w:tblW w:w="4958" w:type="pct"/>
        <w:tblInd w:w="108" w:type="dxa"/>
        <w:tblLook w:val="04A0" w:firstRow="1" w:lastRow="0" w:firstColumn="1" w:lastColumn="0" w:noHBand="0" w:noVBand="1"/>
      </w:tblPr>
      <w:tblGrid>
        <w:gridCol w:w="8187"/>
        <w:gridCol w:w="740"/>
      </w:tblGrid>
      <w:tr w:rsidR="004305E4" w:rsidRPr="00B57B36" w14:paraId="20445B8B" w14:textId="77777777" w:rsidTr="00B6065D">
        <w:tc>
          <w:tcPr>
            <w:tcW w:w="8187" w:type="dxa"/>
            <w:shd w:val="clear" w:color="auto" w:fill="auto"/>
            <w:vAlign w:val="center"/>
          </w:tcPr>
          <w:p w14:paraId="1767C1AB" w14:textId="77777777" w:rsidR="004305E4" w:rsidRPr="009B2827" w:rsidRDefault="004305E4" w:rsidP="00B6065D">
            <w:pPr>
              <w:pStyle w:val="CETEquation"/>
            </w:pPr>
            <m:oMathPara>
              <m:oMathParaPr>
                <m:jc m:val="left"/>
              </m:oMathParaPr>
              <m:oMath>
                <m:r>
                  <w:rPr>
                    <w:rFonts w:ascii="Cambria Math" w:hAnsi="Cambria Math"/>
                  </w:rPr>
                  <m:t>Pr</m:t>
                </m:r>
                <m:d>
                  <m:dPr>
                    <m:ctrlPr>
                      <w:rPr>
                        <w:rFonts w:ascii="Cambria Math" w:hAnsi="Cambria Math"/>
                      </w:rPr>
                    </m:ctrlPr>
                  </m:dPr>
                  <m:e>
                    <m:r>
                      <w:rPr>
                        <w:rFonts w:ascii="Cambria Math" w:hAnsi="Cambria Math"/>
                      </w:rPr>
                      <m:t>A</m:t>
                    </m:r>
                  </m:e>
                  <m:e>
                    <m:r>
                      <w:rPr>
                        <w:rFonts w:ascii="Cambria Math" w:hAnsi="Cambria Math"/>
                      </w:rPr>
                      <m:t>B</m:t>
                    </m:r>
                  </m:e>
                </m:d>
                <m:r>
                  <m:rPr>
                    <m:sty m:val="p"/>
                  </m:rPr>
                  <w:rPr>
                    <w:rFonts w:ascii="Cambria Math" w:hAnsi="Cambria Math"/>
                  </w:rPr>
                  <m:t>=</m:t>
                </m:r>
                <m:f>
                  <m:fPr>
                    <m:ctrlPr>
                      <w:rPr>
                        <w:rFonts w:ascii="Cambria Math" w:hAnsi="Cambria Math"/>
                      </w:rPr>
                    </m:ctrlPr>
                  </m:fPr>
                  <m:num>
                    <m:r>
                      <w:rPr>
                        <w:rFonts w:ascii="Cambria Math" w:hAnsi="Cambria Math"/>
                      </w:rPr>
                      <m:t>Pr</m:t>
                    </m:r>
                    <m:d>
                      <m:dPr>
                        <m:ctrlPr>
                          <w:rPr>
                            <w:rFonts w:ascii="Cambria Math" w:hAnsi="Cambria Math"/>
                          </w:rPr>
                        </m:ctrlPr>
                      </m:dPr>
                      <m:e>
                        <m:r>
                          <w:rPr>
                            <w:rFonts w:ascii="Cambria Math" w:hAnsi="Cambria Math"/>
                          </w:rPr>
                          <m:t>B</m:t>
                        </m:r>
                      </m:e>
                      <m:e>
                        <m:r>
                          <w:rPr>
                            <w:rFonts w:ascii="Cambria Math" w:hAnsi="Cambria Math"/>
                          </w:rPr>
                          <m:t>A</m:t>
                        </m:r>
                      </m:e>
                    </m:d>
                    <m:r>
                      <m:rPr>
                        <m:sty m:val="p"/>
                      </m:rPr>
                      <w:rPr>
                        <w:rFonts w:ascii="Cambria Math" w:hAnsi="Cambria Math"/>
                      </w:rPr>
                      <m:t>+</m:t>
                    </m:r>
                    <m:func>
                      <m:funcPr>
                        <m:ctrlPr>
                          <w:rPr>
                            <w:rFonts w:ascii="Cambria Math" w:hAnsi="Cambria Math"/>
                          </w:rPr>
                        </m:ctrlPr>
                      </m:funcPr>
                      <m:fName>
                        <m:r>
                          <m:rPr>
                            <m:sty m:val="p"/>
                          </m:rPr>
                          <w:rPr>
                            <w:rFonts w:ascii="Cambria Math" w:hAnsi="Cambria Math"/>
                          </w:rPr>
                          <m:t>Pr</m:t>
                        </m:r>
                      </m:fName>
                      <m:e>
                        <m:r>
                          <m:rPr>
                            <m:sty m:val="p"/>
                          </m:rPr>
                          <w:rPr>
                            <w:rFonts w:ascii="Cambria Math" w:hAnsi="Cambria Math"/>
                          </w:rPr>
                          <m:t>(</m:t>
                        </m:r>
                        <m:r>
                          <w:rPr>
                            <w:rFonts w:ascii="Cambria Math" w:hAnsi="Cambria Math"/>
                          </w:rPr>
                          <m:t>A</m:t>
                        </m:r>
                        <m:r>
                          <m:rPr>
                            <m:sty m:val="p"/>
                          </m:rPr>
                          <w:rPr>
                            <w:rFonts w:ascii="Cambria Math" w:hAnsi="Cambria Math"/>
                          </w:rPr>
                          <m:t>)</m:t>
                        </m:r>
                      </m:e>
                    </m:func>
                  </m:num>
                  <m:den>
                    <m:r>
                      <m:rPr>
                        <m:sty m:val="p"/>
                      </m:rPr>
                      <w:rPr>
                        <w:rFonts w:ascii="Cambria Math" w:hAnsi="Cambria Math"/>
                      </w:rPr>
                      <m:t>Pr⁡(</m:t>
                    </m:r>
                    <m:r>
                      <w:rPr>
                        <w:rFonts w:ascii="Cambria Math" w:hAnsi="Cambria Math"/>
                      </w:rPr>
                      <m:t>B</m:t>
                    </m:r>
                    <m:r>
                      <m:rPr>
                        <m:sty m:val="p"/>
                      </m:rPr>
                      <w:rPr>
                        <w:rFonts w:ascii="Cambria Math" w:hAnsi="Cambria Math"/>
                      </w:rPr>
                      <m:t>)</m:t>
                    </m:r>
                  </m:den>
                </m:f>
              </m:oMath>
            </m:oMathPara>
          </w:p>
        </w:tc>
        <w:tc>
          <w:tcPr>
            <w:tcW w:w="740" w:type="dxa"/>
            <w:shd w:val="clear" w:color="auto" w:fill="auto"/>
            <w:vAlign w:val="center"/>
          </w:tcPr>
          <w:p w14:paraId="027D697C" w14:textId="7F172D59" w:rsidR="004305E4" w:rsidRPr="00B57B36" w:rsidRDefault="004305E4" w:rsidP="00B6065D">
            <w:pPr>
              <w:pStyle w:val="CETEquation"/>
              <w:jc w:val="right"/>
            </w:pPr>
            <w:r w:rsidRPr="00B57B36">
              <w:t>(</w:t>
            </w:r>
            <w:r w:rsidR="006D646D">
              <w:t>2</w:t>
            </w:r>
            <w:r w:rsidRPr="00B57B36">
              <w:t>)</w:t>
            </w:r>
          </w:p>
        </w:tc>
      </w:tr>
    </w:tbl>
    <w:p w14:paraId="08DD36C4" w14:textId="3C2FA78F" w:rsidR="004305E4" w:rsidRPr="00B6065D" w:rsidRDefault="00B67E95" w:rsidP="00645589">
      <w:pPr>
        <w:pStyle w:val="CETBodytext"/>
        <w:rPr>
          <w:lang w:val="en-GB"/>
        </w:rPr>
      </w:pPr>
      <w:r>
        <w:t>where</w:t>
      </w:r>
      <w:r w:rsidR="001965C5">
        <w:t xml:space="preserve"> </w:t>
      </w:r>
      <m:oMath>
        <m:r>
          <w:rPr>
            <w:rFonts w:ascii="Cambria Math" w:hAnsi="Cambria Math"/>
          </w:rPr>
          <m:t>Pr</m:t>
        </m:r>
        <m:d>
          <m:dPr>
            <m:ctrlPr>
              <w:rPr>
                <w:rFonts w:ascii="Cambria Math" w:hAnsi="Cambria Math"/>
              </w:rPr>
            </m:ctrlPr>
          </m:dPr>
          <m:e>
            <m:r>
              <w:rPr>
                <w:rFonts w:ascii="Cambria Math" w:hAnsi="Cambria Math"/>
              </w:rPr>
              <m:t>A</m:t>
            </m:r>
          </m:e>
          <m:e>
            <m:r>
              <w:rPr>
                <w:rFonts w:ascii="Cambria Math" w:hAnsi="Cambria Math"/>
              </w:rPr>
              <m:t>B</m:t>
            </m:r>
          </m:e>
        </m:d>
      </m:oMath>
      <w:r w:rsidR="004305E4">
        <w:t xml:space="preserve"> </w:t>
      </w:r>
      <w:r w:rsidR="004305E4" w:rsidRPr="003E5D77">
        <w:rPr>
          <w:lang w:val="en-GB"/>
        </w:rPr>
        <w:t xml:space="preserve">is </w:t>
      </w:r>
      <w:r w:rsidR="004305E4">
        <w:rPr>
          <w:lang w:val="en-GB"/>
        </w:rPr>
        <w:t xml:space="preserve">the </w:t>
      </w:r>
      <w:r w:rsidR="004305E4" w:rsidRPr="00B6065D">
        <w:t>conditional probability</w:t>
      </w:r>
      <w:r w:rsidR="00734495">
        <w:t xml:space="preserve">, i.e., the </w:t>
      </w:r>
      <w:r w:rsidR="004305E4" w:rsidRPr="003E5D77">
        <w:rPr>
          <w:lang w:val="en-GB"/>
        </w:rPr>
        <w:t>probability of event </w:t>
      </w:r>
      <w:r w:rsidR="004305E4" w:rsidRPr="00B6065D">
        <w:rPr>
          <w:lang w:val="en-GB"/>
        </w:rPr>
        <w:t>A</w:t>
      </w:r>
      <w:r w:rsidR="004305E4" w:rsidRPr="003E5D77">
        <w:rPr>
          <w:lang w:val="en-GB"/>
        </w:rPr>
        <w:t xml:space="preserve"> given </w:t>
      </w:r>
      <w:r w:rsidR="00734495">
        <w:rPr>
          <w:lang w:val="en-GB"/>
        </w:rPr>
        <w:t>the event B</w:t>
      </w:r>
      <w:r w:rsidR="004305E4">
        <w:rPr>
          <w:lang w:val="en-GB"/>
        </w:rPr>
        <w:t xml:space="preserve"> </w:t>
      </w:r>
      <w:r w:rsidR="00734495">
        <w:rPr>
          <w:lang w:val="en-GB"/>
        </w:rPr>
        <w:t xml:space="preserve">(with </w:t>
      </w:r>
      <m:oMath>
        <m:func>
          <m:funcPr>
            <m:ctrlPr>
              <w:rPr>
                <w:rFonts w:ascii="Cambria Math" w:hAnsi="Cambria Math"/>
              </w:rPr>
            </m:ctrlPr>
          </m:funcPr>
          <m:fName>
            <m:r>
              <m:rPr>
                <m:sty m:val="p"/>
              </m:rPr>
              <w:rPr>
                <w:rFonts w:ascii="Cambria Math" w:hAnsi="Cambria Math"/>
              </w:rPr>
              <m:t>Pr</m:t>
            </m:r>
          </m:fName>
          <m:e>
            <m:d>
              <m:dPr>
                <m:ctrlPr>
                  <w:rPr>
                    <w:rFonts w:ascii="Cambria Math" w:hAnsi="Cambria Math"/>
                  </w:rPr>
                </m:ctrlPr>
              </m:dPr>
              <m:e>
                <m:r>
                  <w:rPr>
                    <w:rFonts w:ascii="Cambria Math" w:hAnsi="Cambria Math"/>
                  </w:rPr>
                  <m:t>B</m:t>
                </m:r>
              </m:e>
            </m:d>
          </m:e>
        </m:func>
        <m:r>
          <m:rPr>
            <m:sty m:val="p"/>
          </m:rPr>
          <w:rPr>
            <w:rFonts w:ascii="Cambria Math" w:hAnsi="Cambria Math"/>
          </w:rPr>
          <m:t>≠0</m:t>
        </m:r>
      </m:oMath>
      <w:r w:rsidR="00734495">
        <w:rPr>
          <w:lang w:val="en-GB"/>
        </w:rPr>
        <w:t xml:space="preserve">), </w:t>
      </w:r>
      <m:oMath>
        <m:func>
          <m:funcPr>
            <m:ctrlPr>
              <w:rPr>
                <w:rFonts w:ascii="Cambria Math" w:hAnsi="Cambria Math"/>
                <w:lang w:val="en-GB"/>
              </w:rPr>
            </m:ctrlPr>
          </m:funcPr>
          <m:fName>
            <m:r>
              <m:rPr>
                <m:sty m:val="p"/>
              </m:rPr>
              <w:rPr>
                <w:rFonts w:ascii="Cambria Math" w:hAnsi="Cambria Math"/>
                <w:lang w:val="en-GB"/>
              </w:rPr>
              <m:t>Pr</m:t>
            </m:r>
          </m:fName>
          <m:e>
            <m:r>
              <m:rPr>
                <m:sty m:val="p"/>
              </m:rPr>
              <w:rPr>
                <w:rFonts w:ascii="Cambria Math" w:hAnsi="Cambria Math"/>
                <w:lang w:val="en-GB"/>
              </w:rPr>
              <m:t>(</m:t>
            </m:r>
            <m:r>
              <w:rPr>
                <w:rFonts w:ascii="Cambria Math" w:hAnsi="Cambria Math"/>
                <w:lang w:val="en-GB"/>
              </w:rPr>
              <m:t>A</m:t>
            </m:r>
            <m:r>
              <m:rPr>
                <m:sty m:val="p"/>
              </m:rPr>
              <w:rPr>
                <w:rFonts w:ascii="Cambria Math" w:hAnsi="Cambria Math"/>
                <w:lang w:val="en-GB"/>
              </w:rPr>
              <m:t>)</m:t>
            </m:r>
          </m:e>
        </m:func>
      </m:oMath>
      <w:r w:rsidR="00734495">
        <w:rPr>
          <w:lang w:val="en-GB"/>
        </w:rPr>
        <w:t xml:space="preserve"> and </w:t>
      </w:r>
      <m:oMath>
        <m:func>
          <m:funcPr>
            <m:ctrlPr>
              <w:rPr>
                <w:rFonts w:ascii="Cambria Math" w:hAnsi="Cambria Math"/>
                <w:lang w:val="en-GB"/>
              </w:rPr>
            </m:ctrlPr>
          </m:funcPr>
          <m:fName>
            <m:r>
              <m:rPr>
                <m:sty m:val="p"/>
              </m:rPr>
              <w:rPr>
                <w:rFonts w:ascii="Cambria Math" w:hAnsi="Cambria Math"/>
                <w:lang w:val="en-GB"/>
              </w:rPr>
              <m:t>Pr</m:t>
            </m:r>
          </m:fName>
          <m:e>
            <m:r>
              <m:rPr>
                <m:sty m:val="p"/>
              </m:rPr>
              <w:rPr>
                <w:rFonts w:ascii="Cambria Math" w:hAnsi="Cambria Math"/>
                <w:lang w:val="en-GB"/>
              </w:rPr>
              <m:t>(</m:t>
            </m:r>
            <m:r>
              <w:rPr>
                <w:rFonts w:ascii="Cambria Math" w:hAnsi="Cambria Math"/>
                <w:lang w:val="en-GB"/>
              </w:rPr>
              <m:t>B</m:t>
            </m:r>
            <m:r>
              <m:rPr>
                <m:sty m:val="p"/>
              </m:rPr>
              <w:rPr>
                <w:rFonts w:ascii="Cambria Math" w:hAnsi="Cambria Math"/>
                <w:lang w:val="en-GB"/>
              </w:rPr>
              <m:t>)</m:t>
            </m:r>
          </m:e>
        </m:func>
      </m:oMath>
      <w:r w:rsidR="00734495">
        <w:rPr>
          <w:lang w:val="en-GB"/>
        </w:rPr>
        <w:t xml:space="preserve"> are </w:t>
      </w:r>
      <w:r w:rsidR="00734495" w:rsidRPr="00734495">
        <w:rPr>
          <w:lang w:val="en-GB"/>
        </w:rPr>
        <w:t>the probabilit</w:t>
      </w:r>
      <w:r w:rsidR="00734495">
        <w:rPr>
          <w:lang w:val="en-GB"/>
        </w:rPr>
        <w:t>ies</w:t>
      </w:r>
      <w:r w:rsidR="00734495" w:rsidRPr="00734495">
        <w:rPr>
          <w:lang w:val="en-GB"/>
        </w:rPr>
        <w:t xml:space="preserve"> of event A </w:t>
      </w:r>
      <w:r w:rsidR="00734495">
        <w:rPr>
          <w:lang w:val="en-GB"/>
        </w:rPr>
        <w:t xml:space="preserve">and B </w:t>
      </w:r>
      <w:r w:rsidR="00734495" w:rsidRPr="00734495">
        <w:rPr>
          <w:lang w:val="en-GB"/>
        </w:rPr>
        <w:t>without any conditions</w:t>
      </w:r>
      <w:r w:rsidR="00D867B7">
        <w:rPr>
          <w:lang w:val="en-GB"/>
        </w:rPr>
        <w:t xml:space="preserve"> (referred to as prior or marginal probabilities), and </w:t>
      </w:r>
      <m:oMath>
        <m:r>
          <w:rPr>
            <w:rFonts w:ascii="Cambria Math" w:hAnsi="Cambria Math"/>
            <w:lang w:val="en-GB"/>
          </w:rPr>
          <m:t>Pr</m:t>
        </m:r>
        <m:d>
          <m:dPr>
            <m:ctrlPr>
              <w:rPr>
                <w:rFonts w:ascii="Cambria Math" w:hAnsi="Cambria Math"/>
                <w:lang w:val="en-GB"/>
              </w:rPr>
            </m:ctrlPr>
          </m:dPr>
          <m:e>
            <m:r>
              <w:rPr>
                <w:rFonts w:ascii="Cambria Math" w:hAnsi="Cambria Math"/>
                <w:lang w:val="en-GB"/>
              </w:rPr>
              <m:t>B</m:t>
            </m:r>
          </m:e>
          <m:e>
            <m:r>
              <w:rPr>
                <w:rFonts w:ascii="Cambria Math" w:hAnsi="Cambria Math"/>
                <w:lang w:val="en-GB"/>
              </w:rPr>
              <m:t>A</m:t>
            </m:r>
          </m:e>
        </m:d>
      </m:oMath>
      <w:r w:rsidR="00D867B7" w:rsidRPr="00B6065D">
        <w:rPr>
          <w:lang w:val="en-GB"/>
        </w:rPr>
        <w:t xml:space="preserve"> is the probability</w:t>
      </w:r>
      <w:r w:rsidR="00D867B7">
        <w:rPr>
          <w:lang w:val="en-GB"/>
        </w:rPr>
        <w:t xml:space="preserve"> of event B given the event A</w:t>
      </w:r>
      <w:bookmarkStart w:id="0" w:name="_Hlk159320299"/>
      <w:r w:rsidR="00F52F7F">
        <w:rPr>
          <w:lang w:val="en-GB"/>
        </w:rPr>
        <w:t xml:space="preserve"> (Sivia and Skilling, 2</w:t>
      </w:r>
      <w:r w:rsidR="005C45C9">
        <w:rPr>
          <w:lang w:val="en-GB"/>
        </w:rPr>
        <w:t>006)</w:t>
      </w:r>
      <w:r w:rsidR="00645589">
        <w:rPr>
          <w:lang w:val="en-GB"/>
        </w:rPr>
        <w:t>.</w:t>
      </w:r>
    </w:p>
    <w:bookmarkEnd w:id="0"/>
    <w:p w14:paraId="298ABB8C" w14:textId="1410EB8A" w:rsidR="004305E4" w:rsidRDefault="00645589" w:rsidP="009B2827">
      <w:pPr>
        <w:pStyle w:val="CETBodytext"/>
      </w:pPr>
      <w:r>
        <w:t>A</w:t>
      </w:r>
      <w:r w:rsidR="004305E4" w:rsidRPr="000510BE">
        <w:t xml:space="preserve"> </w:t>
      </w:r>
      <w:r w:rsidR="00B27AD4">
        <w:t>comprehensive</w:t>
      </w:r>
      <w:r w:rsidR="004305E4" w:rsidRPr="000510BE">
        <w:t xml:space="preserve"> summary of BN is provided in the literature in which the joint probability distribution of a set of random variables</w:t>
      </w:r>
      <w:r>
        <w:t xml:space="preserve"> is ca</w:t>
      </w:r>
      <w:r w:rsidR="00B67E95">
        <w:t>lculated</w:t>
      </w:r>
      <w:r w:rsidR="007E4C7B">
        <w:t xml:space="preserve"> as per Eq. </w:t>
      </w:r>
      <w:r w:rsidR="006D646D">
        <w:t>3</w:t>
      </w:r>
      <w:r w:rsidR="00720CE0">
        <w:t xml:space="preserve"> (Leoni et al., 2019)</w:t>
      </w:r>
      <w:r w:rsidR="00D70094">
        <w:t>:</w:t>
      </w:r>
    </w:p>
    <w:tbl>
      <w:tblPr>
        <w:tblW w:w="4958" w:type="pct"/>
        <w:tblInd w:w="108" w:type="dxa"/>
        <w:tblLook w:val="04A0" w:firstRow="1" w:lastRow="0" w:firstColumn="1" w:lastColumn="0" w:noHBand="0" w:noVBand="1"/>
      </w:tblPr>
      <w:tblGrid>
        <w:gridCol w:w="8187"/>
        <w:gridCol w:w="740"/>
      </w:tblGrid>
      <w:tr w:rsidR="004305E4" w:rsidRPr="00B57B36" w14:paraId="258E0C67" w14:textId="77777777" w:rsidTr="00B6065D">
        <w:tc>
          <w:tcPr>
            <w:tcW w:w="8187" w:type="dxa"/>
            <w:shd w:val="clear" w:color="auto" w:fill="auto"/>
            <w:vAlign w:val="center"/>
          </w:tcPr>
          <w:p w14:paraId="4A49A221" w14:textId="0AAE513D" w:rsidR="004305E4" w:rsidRPr="009B2827" w:rsidRDefault="004305E4" w:rsidP="00B6065D">
            <w:pPr>
              <w:pStyle w:val="CETEquation"/>
            </w:pPr>
            <m:oMathPara>
              <m:oMathParaPr>
                <m:jc m:val="left"/>
              </m:oMathParaPr>
              <m:oMath>
                <m:r>
                  <w:rPr>
                    <w:rFonts w:ascii="Cambria Math" w:hAnsi="Cambria Math"/>
                    <w:lang w:val="en-US"/>
                  </w:rPr>
                  <m:t>P</m:t>
                </m:r>
                <m:d>
                  <m:dPr>
                    <m:ctrlPr>
                      <w:rPr>
                        <w:rFonts w:ascii="Cambria Math" w:hAnsi="Cambria Math"/>
                        <w:i/>
                        <w:lang w:val="en-US"/>
                      </w:rPr>
                    </m:ctrlPr>
                  </m:dPr>
                  <m:e>
                    <m:r>
                      <w:rPr>
                        <w:rFonts w:ascii="Cambria Math" w:hAnsi="Cambria Math"/>
                        <w:lang w:val="en-US"/>
                      </w:rPr>
                      <m:t>U</m:t>
                    </m:r>
                  </m:e>
                </m:d>
                <m:r>
                  <w:rPr>
                    <w:rFonts w:ascii="Cambria Math" w:hAnsi="Cambria Math"/>
                    <w:lang w:val="en-US"/>
                  </w:rPr>
                  <m:t>=</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r>
                      <w:rPr>
                        <w:rFonts w:ascii="Cambria Math" w:hAnsi="Cambria Math"/>
                        <w:lang w:val="en-US"/>
                      </w:rPr>
                      <m:t>P</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m:t>
                            </m:r>
                          </m:sub>
                        </m:sSub>
                      </m:e>
                      <m:e>
                        <m:r>
                          <w:rPr>
                            <w:rFonts w:ascii="Cambria Math" w:hAnsi="Cambria Math"/>
                            <w:lang w:val="en-US"/>
                          </w:rPr>
                          <m:t>Pa</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m:t>
                                </m:r>
                              </m:sub>
                            </m:sSub>
                          </m:e>
                        </m:d>
                      </m:e>
                    </m:d>
                  </m:e>
                </m:nary>
              </m:oMath>
            </m:oMathPara>
          </w:p>
        </w:tc>
        <w:tc>
          <w:tcPr>
            <w:tcW w:w="740" w:type="dxa"/>
            <w:shd w:val="clear" w:color="auto" w:fill="auto"/>
            <w:vAlign w:val="center"/>
          </w:tcPr>
          <w:p w14:paraId="05DDB5A4" w14:textId="01B94C96" w:rsidR="004305E4" w:rsidRPr="00B57B36" w:rsidRDefault="004305E4" w:rsidP="00B6065D">
            <w:pPr>
              <w:pStyle w:val="CETEquation"/>
              <w:jc w:val="right"/>
            </w:pPr>
            <w:r w:rsidRPr="00B57B36">
              <w:t>(</w:t>
            </w:r>
            <w:r w:rsidR="006D646D">
              <w:t>3</w:t>
            </w:r>
            <w:r w:rsidRPr="00B57B36">
              <w:t>)</w:t>
            </w:r>
          </w:p>
        </w:tc>
      </w:tr>
    </w:tbl>
    <w:p w14:paraId="69D0D722" w14:textId="4CE79E9C" w:rsidR="00854BCE" w:rsidRDefault="00B67E95" w:rsidP="009B2827">
      <w:pPr>
        <w:pStyle w:val="CETBodytext"/>
      </w:pPr>
      <w:r>
        <w:t>w</w:t>
      </w:r>
      <w:r w:rsidR="004305E4" w:rsidRPr="000510BE">
        <w:t xml:space="preserve">here </w:t>
      </w:r>
      <m:oMath>
        <m:r>
          <w:rPr>
            <w:rFonts w:ascii="Cambria Math" w:hAnsi="Cambria Math"/>
          </w:rPr>
          <m:t>P</m:t>
        </m:r>
        <m:d>
          <m:dPr>
            <m:ctrlPr>
              <w:rPr>
                <w:rFonts w:ascii="Cambria Math" w:hAnsi="Cambria Math"/>
              </w:rPr>
            </m:ctrlPr>
          </m:dPr>
          <m:e>
            <m:r>
              <w:rPr>
                <w:rFonts w:ascii="Cambria Math" w:hAnsi="Cambria Math"/>
              </w:rPr>
              <m:t>U</m:t>
            </m:r>
          </m:e>
        </m:d>
      </m:oMath>
      <w:r w:rsidR="004305E4" w:rsidRPr="000510BE">
        <w:t xml:space="preserve"> is the joint probability distribution</w:t>
      </w:r>
      <w:r w:rsidR="00AC103B">
        <w:t xml:space="preserve">, </w:t>
      </w:r>
      <m:oMath>
        <m:r>
          <w:rPr>
            <w:rFonts w:ascii="Cambria Math" w:hAnsi="Cambria Math"/>
          </w:rPr>
          <m:t>Pa</m:t>
        </m:r>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i</m:t>
                </m:r>
              </m:sub>
            </m:sSub>
          </m:e>
        </m:d>
      </m:oMath>
      <w:r w:rsidR="004305E4" w:rsidRPr="000510BE">
        <w:t xml:space="preserve"> is the parent set of variables </w:t>
      </w:r>
      <m:oMath>
        <m:r>
          <w:rPr>
            <w:rFonts w:ascii="Cambria Math" w:hAnsi="Cambria Math"/>
          </w:rPr>
          <m:t>X</m:t>
        </m:r>
      </m:oMath>
      <w:r w:rsidR="00AC103B">
        <w:t>,</w:t>
      </w:r>
      <w:r w:rsidR="004305E4" w:rsidRPr="000510BE">
        <w:t xml:space="preserve"> and </w:t>
      </w:r>
      <m:oMath>
        <m:r>
          <w:rPr>
            <w:rFonts w:ascii="Cambria Math" w:hAnsi="Cambria Math"/>
          </w:rPr>
          <m:t>n</m:t>
        </m:r>
      </m:oMath>
      <w:r w:rsidR="00AC103B">
        <w:t xml:space="preserve"> is the </w:t>
      </w:r>
      <w:r w:rsidR="004305E4" w:rsidRPr="000510BE">
        <w:t>number of sets.</w:t>
      </w:r>
    </w:p>
    <w:p w14:paraId="5E8976F7" w14:textId="48533001" w:rsidR="001F52CC" w:rsidRDefault="0046702B" w:rsidP="009B2827">
      <w:pPr>
        <w:pStyle w:val="CETBodytext"/>
      </w:pPr>
      <w:r w:rsidRPr="0046702B">
        <w:t>The HTA is mapped into a B</w:t>
      </w:r>
      <w:r w:rsidR="00260587">
        <w:t xml:space="preserve">N </w:t>
      </w:r>
      <w:r w:rsidRPr="0046702B">
        <w:t>to reproduce the hierarchy of tasks through the graphical representation with edge-connecting nodes. The states of each node</w:t>
      </w:r>
      <w:r w:rsidR="001A346D">
        <w:t xml:space="preserve"> </w:t>
      </w:r>
      <w:r w:rsidRPr="0046702B">
        <w:t xml:space="preserve">are specified by indicating if the task fails or succeeds. The resulting BN is structured into </w:t>
      </w:r>
      <w:r w:rsidR="00CB62A8">
        <w:t>three</w:t>
      </w:r>
      <w:r w:rsidRPr="0046702B">
        <w:t xml:space="preserve"> layers: the sub-tasks </w:t>
      </w:r>
      <w:r w:rsidR="00CB62A8">
        <w:t>constitute the first layer, the</w:t>
      </w:r>
      <w:r w:rsidRPr="0046702B">
        <w:t xml:space="preserve"> tasks are the second, and the AET </w:t>
      </w:r>
      <w:r w:rsidR="00CB62A8">
        <w:t xml:space="preserve">of the hydrogen storage tank </w:t>
      </w:r>
      <w:r w:rsidRPr="0046702B">
        <w:t xml:space="preserve">is the </w:t>
      </w:r>
      <w:r w:rsidR="00CB62A8">
        <w:t>third</w:t>
      </w:r>
      <w:r w:rsidRPr="0046702B">
        <w:t xml:space="preserve"> laye</w:t>
      </w:r>
      <w:r w:rsidR="00125DFF">
        <w:t>r</w:t>
      </w:r>
      <w:r w:rsidRPr="0046702B">
        <w:t>.</w:t>
      </w:r>
    </w:p>
    <w:p w14:paraId="0BDA16C9" w14:textId="5492FE0E" w:rsidR="00854BCE" w:rsidRPr="000522D5" w:rsidRDefault="00854BCE" w:rsidP="002C5122">
      <w:pPr>
        <w:pStyle w:val="CETHeading1"/>
        <w:numPr>
          <w:ilvl w:val="1"/>
          <w:numId w:val="26"/>
        </w:numPr>
        <w:tabs>
          <w:tab w:val="right" w:pos="7100"/>
        </w:tabs>
        <w:jc w:val="both"/>
      </w:pPr>
      <w:r w:rsidRPr="00EC7198">
        <w:lastRenderedPageBreak/>
        <w:t xml:space="preserve">Results and </w:t>
      </w:r>
      <w:r>
        <w:t>discussion</w:t>
      </w:r>
    </w:p>
    <w:p w14:paraId="1528EAA9" w14:textId="39CA9BC9" w:rsidR="006030FB" w:rsidRPr="005B132A" w:rsidRDefault="001A359F" w:rsidP="005B132A">
      <w:pPr>
        <w:pStyle w:val="CETBodytext"/>
        <w:rPr>
          <w:lang w:val="en-GB"/>
        </w:rPr>
      </w:pPr>
      <w:r w:rsidRPr="001A359F">
        <w:t xml:space="preserve">Each task's generic human error probability is calculated by selecting the corresponding performance-shaping factors. Then, the most meaningful PSFs are indicated by a panel of experts. Attitude to safety, physical working environment, and operator experience have the same value for each task. The management is assumed to consider safety aspects during inspection operations, the weather conditions </w:t>
      </w:r>
      <w:r w:rsidR="009412C5">
        <w:t>are favorable</w:t>
      </w:r>
      <w:r w:rsidR="00F61FE8">
        <w:t>,</w:t>
      </w:r>
      <w:r w:rsidR="009412C5">
        <w:t xml:space="preserve"> the design</w:t>
      </w:r>
      <w:r w:rsidRPr="001A359F">
        <w:t xml:space="preserve"> of the facility </w:t>
      </w:r>
      <w:r w:rsidR="002B2366">
        <w:t>is</w:t>
      </w:r>
      <w:r w:rsidRPr="001A359F">
        <w:t xml:space="preserve"> </w:t>
      </w:r>
      <w:r w:rsidR="00F61FE8">
        <w:t>ergonomic</w:t>
      </w:r>
      <w:r w:rsidRPr="001A359F">
        <w:t>, and the inspectors are appropriately trained to perform their activities. Task complexity, human-machine interface, procedure, and teamwork depend on the task considered. At the same time, the other PSFs (i.e., time and threat stress) have a limited impact on the HEP for this case study. Table 1 summarizes the tasks for inspecting the hydrogen tank through AET performed chronologically. The HEP for each sub-task is estimated by combining the nominal task failure rate with nine PSFs</w:t>
      </w:r>
      <w:r w:rsidR="00EB5710">
        <w:rPr>
          <w:lang w:val="en-GB"/>
        </w:rPr>
        <w:t>.</w:t>
      </w:r>
    </w:p>
    <w:p w14:paraId="6527846B" w14:textId="288B3C19" w:rsidR="005B132A" w:rsidRDefault="005B132A" w:rsidP="005B132A">
      <w:pPr>
        <w:pStyle w:val="CETCaption"/>
      </w:pPr>
      <w:r>
        <w:t xml:space="preserve">Table </w:t>
      </w:r>
      <w:r>
        <w:fldChar w:fldCharType="begin"/>
      </w:r>
      <w:r>
        <w:instrText xml:space="preserve"> SEQ Table \* ARABIC </w:instrText>
      </w:r>
      <w:r>
        <w:fldChar w:fldCharType="separate"/>
      </w:r>
      <w:r>
        <w:rPr>
          <w:noProof/>
        </w:rPr>
        <w:t>1</w:t>
      </w:r>
      <w:r>
        <w:fldChar w:fldCharType="end"/>
      </w:r>
      <w:r>
        <w:t xml:space="preserve">: </w:t>
      </w:r>
      <w:r w:rsidRPr="005B132A">
        <w:t>Human error probabilities of the sub-tasks for the inspection of the hydrogen tank through AET</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60"/>
        <w:gridCol w:w="5759"/>
        <w:gridCol w:w="1083"/>
        <w:gridCol w:w="685"/>
      </w:tblGrid>
      <w:tr w:rsidR="007D59C6" w:rsidRPr="00B57B36" w14:paraId="5D038F04" w14:textId="189BCD8E" w:rsidTr="00AB5A77">
        <w:tc>
          <w:tcPr>
            <w:tcW w:w="717" w:type="pct"/>
            <w:tcBorders>
              <w:top w:val="single" w:sz="12" w:space="0" w:color="008000"/>
              <w:bottom w:val="single" w:sz="4" w:space="0" w:color="067435"/>
            </w:tcBorders>
            <w:shd w:val="clear" w:color="auto" w:fill="FFFFFF"/>
          </w:tcPr>
          <w:p w14:paraId="5A26C2AF" w14:textId="4575845D" w:rsidR="00631643" w:rsidRDefault="007A52FD" w:rsidP="003639F2">
            <w:pPr>
              <w:pStyle w:val="CETBodytext"/>
              <w:jc w:val="left"/>
              <w:rPr>
                <w:lang w:val="en-GB"/>
              </w:rPr>
            </w:pPr>
            <w:r>
              <w:rPr>
                <w:lang w:val="en-GB"/>
              </w:rPr>
              <w:t>Tasks</w:t>
            </w:r>
          </w:p>
        </w:tc>
        <w:tc>
          <w:tcPr>
            <w:tcW w:w="3277" w:type="pct"/>
            <w:tcBorders>
              <w:top w:val="single" w:sz="12" w:space="0" w:color="008000"/>
              <w:bottom w:val="single" w:sz="4" w:space="0" w:color="067435"/>
            </w:tcBorders>
            <w:shd w:val="clear" w:color="auto" w:fill="FFFFFF"/>
          </w:tcPr>
          <w:p w14:paraId="7C4B180D" w14:textId="04E2C5B6" w:rsidR="00631643" w:rsidRPr="00B57B36" w:rsidRDefault="007A52FD" w:rsidP="003639F2">
            <w:pPr>
              <w:pStyle w:val="CETBodytext"/>
              <w:jc w:val="left"/>
              <w:rPr>
                <w:lang w:val="en-GB"/>
              </w:rPr>
            </w:pPr>
            <w:r>
              <w:rPr>
                <w:lang w:val="en-GB"/>
              </w:rPr>
              <w:t>Sub-tasks</w:t>
            </w:r>
          </w:p>
        </w:tc>
        <w:tc>
          <w:tcPr>
            <w:tcW w:w="616" w:type="pct"/>
            <w:tcBorders>
              <w:top w:val="single" w:sz="12" w:space="0" w:color="008000"/>
              <w:bottom w:val="single" w:sz="4" w:space="0" w:color="067435"/>
            </w:tcBorders>
            <w:shd w:val="clear" w:color="auto" w:fill="FFFFFF"/>
          </w:tcPr>
          <w:p w14:paraId="7309E0D7" w14:textId="1921F045" w:rsidR="00631643" w:rsidRDefault="00631643" w:rsidP="003639F2">
            <w:pPr>
              <w:pStyle w:val="CETBodytext"/>
              <w:jc w:val="left"/>
              <w:rPr>
                <w:lang w:val="en-GB"/>
              </w:rPr>
            </w:pPr>
            <w:r>
              <w:rPr>
                <w:lang w:val="en-GB"/>
              </w:rPr>
              <w:t>Type</w:t>
            </w:r>
          </w:p>
        </w:tc>
        <w:tc>
          <w:tcPr>
            <w:tcW w:w="390" w:type="pct"/>
            <w:tcBorders>
              <w:top w:val="single" w:sz="12" w:space="0" w:color="008000"/>
              <w:bottom w:val="single" w:sz="4" w:space="0" w:color="067435"/>
            </w:tcBorders>
            <w:shd w:val="clear" w:color="auto" w:fill="FFFFFF"/>
          </w:tcPr>
          <w:p w14:paraId="2C298DC3" w14:textId="1A72388C" w:rsidR="00631643" w:rsidRDefault="00631643" w:rsidP="00CE1A69">
            <w:pPr>
              <w:pStyle w:val="CETBodytext"/>
              <w:rPr>
                <w:lang w:val="en-GB"/>
              </w:rPr>
            </w:pPr>
            <w:r>
              <w:rPr>
                <w:lang w:val="en-GB"/>
              </w:rPr>
              <w:t>HEP</w:t>
            </w:r>
          </w:p>
        </w:tc>
      </w:tr>
      <w:tr w:rsidR="007A52FD" w:rsidRPr="0027678C" w14:paraId="40F79CFA" w14:textId="6E285357" w:rsidTr="00AB5A77">
        <w:tc>
          <w:tcPr>
            <w:tcW w:w="717" w:type="pct"/>
            <w:vMerge w:val="restart"/>
            <w:tcBorders>
              <w:top w:val="single" w:sz="4" w:space="0" w:color="067435"/>
              <w:bottom w:val="nil"/>
            </w:tcBorders>
            <w:shd w:val="clear" w:color="auto" w:fill="FFFFFF"/>
            <w:vAlign w:val="center"/>
          </w:tcPr>
          <w:p w14:paraId="310EA772" w14:textId="77777777" w:rsidR="005E584B" w:rsidRDefault="005E584B" w:rsidP="007A52FD">
            <w:pPr>
              <w:pStyle w:val="CETBodytext"/>
              <w:jc w:val="left"/>
              <w:rPr>
                <w:lang w:val="en-GB"/>
              </w:rPr>
            </w:pPr>
            <w:r>
              <w:rPr>
                <w:lang w:val="en-GB"/>
              </w:rPr>
              <w:t>1</w:t>
            </w:r>
          </w:p>
          <w:p w14:paraId="2DBEA64B" w14:textId="5C39D0DD" w:rsidR="007A52FD" w:rsidRPr="0027678C" w:rsidRDefault="007A52FD" w:rsidP="007A52FD">
            <w:pPr>
              <w:pStyle w:val="CETBodytext"/>
              <w:jc w:val="left"/>
              <w:rPr>
                <w:lang w:val="en-GB"/>
              </w:rPr>
            </w:pPr>
            <w:r w:rsidRPr="007A52FD">
              <w:rPr>
                <w:lang w:val="en-GB"/>
              </w:rPr>
              <w:t>Tank isolation and draining</w:t>
            </w:r>
          </w:p>
        </w:tc>
        <w:tc>
          <w:tcPr>
            <w:tcW w:w="3277" w:type="pct"/>
            <w:tcBorders>
              <w:top w:val="single" w:sz="4" w:space="0" w:color="067435"/>
              <w:bottom w:val="nil"/>
            </w:tcBorders>
            <w:shd w:val="clear" w:color="auto" w:fill="FFFFFF"/>
          </w:tcPr>
          <w:p w14:paraId="3BC0A23B" w14:textId="271D6529" w:rsidR="007A52FD" w:rsidRPr="0027678C" w:rsidRDefault="007A52FD" w:rsidP="003639F2">
            <w:pPr>
              <w:pStyle w:val="CETBodytext"/>
              <w:jc w:val="left"/>
              <w:rPr>
                <w:lang w:val="en-GB"/>
              </w:rPr>
            </w:pPr>
            <w:r w:rsidRPr="0027678C">
              <w:rPr>
                <w:lang w:val="en-GB"/>
              </w:rPr>
              <w:t>1.1 Close the flow valve to isolate the vessel from the supply line</w:t>
            </w:r>
          </w:p>
        </w:tc>
        <w:tc>
          <w:tcPr>
            <w:tcW w:w="616" w:type="pct"/>
            <w:tcBorders>
              <w:top w:val="single" w:sz="4" w:space="0" w:color="067435"/>
              <w:bottom w:val="nil"/>
            </w:tcBorders>
            <w:shd w:val="clear" w:color="auto" w:fill="FFFFFF"/>
          </w:tcPr>
          <w:p w14:paraId="2A48ABE8" w14:textId="26CEA64B" w:rsidR="007A52FD" w:rsidRPr="0027678C" w:rsidRDefault="007A52FD" w:rsidP="003639F2">
            <w:pPr>
              <w:pStyle w:val="CETBodytext"/>
              <w:jc w:val="left"/>
              <w:rPr>
                <w:lang w:val="en-GB"/>
              </w:rPr>
            </w:pPr>
            <w:r>
              <w:rPr>
                <w:lang w:val="en-GB"/>
              </w:rPr>
              <w:t>P</w:t>
            </w:r>
            <w:r w:rsidRPr="0027678C">
              <w:rPr>
                <w:lang w:val="en-GB"/>
              </w:rPr>
              <w:t>rocedure</w:t>
            </w:r>
          </w:p>
        </w:tc>
        <w:tc>
          <w:tcPr>
            <w:tcW w:w="390" w:type="pct"/>
            <w:tcBorders>
              <w:top w:val="single" w:sz="4" w:space="0" w:color="067435"/>
              <w:bottom w:val="nil"/>
            </w:tcBorders>
            <w:shd w:val="clear" w:color="auto" w:fill="FFFFFF"/>
          </w:tcPr>
          <w:p w14:paraId="1C122725" w14:textId="3925828A" w:rsidR="007A52FD" w:rsidRPr="0027678C" w:rsidRDefault="007A52FD" w:rsidP="00CE1A69">
            <w:pPr>
              <w:pStyle w:val="CETBodytext"/>
              <w:rPr>
                <w:lang w:val="en-GB"/>
              </w:rPr>
            </w:pPr>
            <w:r w:rsidRPr="0027678C">
              <w:rPr>
                <w:lang w:val="en-GB"/>
              </w:rPr>
              <w:t>0.001</w:t>
            </w:r>
          </w:p>
        </w:tc>
      </w:tr>
      <w:tr w:rsidR="007A52FD" w:rsidRPr="0027678C" w14:paraId="0043FED9" w14:textId="0385FB3A" w:rsidTr="007D59C6">
        <w:tc>
          <w:tcPr>
            <w:tcW w:w="717" w:type="pct"/>
            <w:vMerge/>
            <w:tcBorders>
              <w:top w:val="nil"/>
              <w:bottom w:val="nil"/>
            </w:tcBorders>
            <w:shd w:val="clear" w:color="auto" w:fill="FFFFFF"/>
          </w:tcPr>
          <w:p w14:paraId="1AB05E25" w14:textId="77777777" w:rsidR="007A52FD" w:rsidRPr="0027678C" w:rsidRDefault="007A52FD" w:rsidP="003639F2">
            <w:pPr>
              <w:pStyle w:val="CETBodytext"/>
              <w:jc w:val="left"/>
              <w:rPr>
                <w:lang w:val="en-GB"/>
              </w:rPr>
            </w:pPr>
          </w:p>
        </w:tc>
        <w:tc>
          <w:tcPr>
            <w:tcW w:w="3277" w:type="pct"/>
            <w:tcBorders>
              <w:top w:val="nil"/>
              <w:bottom w:val="nil"/>
            </w:tcBorders>
            <w:shd w:val="clear" w:color="auto" w:fill="FFFFFF"/>
          </w:tcPr>
          <w:p w14:paraId="4905D647" w14:textId="4B65C7D7" w:rsidR="007A52FD" w:rsidRPr="0027678C" w:rsidRDefault="007A52FD" w:rsidP="003639F2">
            <w:pPr>
              <w:pStyle w:val="CETBodytext"/>
              <w:jc w:val="left"/>
              <w:rPr>
                <w:lang w:val="en-GB"/>
              </w:rPr>
            </w:pPr>
            <w:r w:rsidRPr="0027678C">
              <w:rPr>
                <w:lang w:val="en-GB"/>
              </w:rPr>
              <w:t>1.2 Open the flow valve to the dispensing unit to drain the tank</w:t>
            </w:r>
          </w:p>
        </w:tc>
        <w:tc>
          <w:tcPr>
            <w:tcW w:w="616" w:type="pct"/>
            <w:tcBorders>
              <w:top w:val="nil"/>
              <w:bottom w:val="nil"/>
            </w:tcBorders>
            <w:shd w:val="clear" w:color="auto" w:fill="FFFFFF"/>
          </w:tcPr>
          <w:p w14:paraId="3593C046" w14:textId="7E05D0E0" w:rsidR="007A52FD" w:rsidRPr="0027678C" w:rsidRDefault="007A52FD" w:rsidP="003639F2">
            <w:pPr>
              <w:pStyle w:val="CETBodytext"/>
              <w:jc w:val="left"/>
              <w:rPr>
                <w:lang w:val="en-GB"/>
              </w:rPr>
            </w:pPr>
            <w:r>
              <w:rPr>
                <w:lang w:val="en-GB"/>
              </w:rPr>
              <w:t>P</w:t>
            </w:r>
            <w:r w:rsidRPr="0027678C">
              <w:rPr>
                <w:lang w:val="en-GB"/>
              </w:rPr>
              <w:t>rocedure</w:t>
            </w:r>
          </w:p>
        </w:tc>
        <w:tc>
          <w:tcPr>
            <w:tcW w:w="390" w:type="pct"/>
            <w:tcBorders>
              <w:top w:val="nil"/>
              <w:bottom w:val="nil"/>
            </w:tcBorders>
            <w:shd w:val="clear" w:color="auto" w:fill="FFFFFF"/>
          </w:tcPr>
          <w:p w14:paraId="46039C3D" w14:textId="0AE69BAF" w:rsidR="007A52FD" w:rsidRPr="0027678C" w:rsidRDefault="007A52FD" w:rsidP="00CE1A69">
            <w:pPr>
              <w:pStyle w:val="CETBodytext"/>
              <w:rPr>
                <w:lang w:val="en-GB"/>
              </w:rPr>
            </w:pPr>
            <w:r w:rsidRPr="0027678C">
              <w:rPr>
                <w:lang w:val="en-GB"/>
              </w:rPr>
              <w:t>0.001</w:t>
            </w:r>
          </w:p>
        </w:tc>
      </w:tr>
      <w:tr w:rsidR="007A52FD" w:rsidRPr="0027678C" w14:paraId="74DFB30E" w14:textId="2A7CD4DB" w:rsidTr="007D59C6">
        <w:tc>
          <w:tcPr>
            <w:tcW w:w="717" w:type="pct"/>
            <w:vMerge/>
            <w:tcBorders>
              <w:top w:val="nil"/>
              <w:bottom w:val="nil"/>
            </w:tcBorders>
            <w:shd w:val="clear" w:color="auto" w:fill="FFFFFF"/>
          </w:tcPr>
          <w:p w14:paraId="57297871" w14:textId="77777777" w:rsidR="007A52FD" w:rsidRPr="0027678C" w:rsidRDefault="007A52FD" w:rsidP="003639F2">
            <w:pPr>
              <w:pStyle w:val="CETBodytext"/>
              <w:ind w:right="-1"/>
              <w:jc w:val="left"/>
              <w:rPr>
                <w:rFonts w:cs="Arial"/>
                <w:szCs w:val="18"/>
                <w:lang w:val="en-GB"/>
              </w:rPr>
            </w:pPr>
          </w:p>
        </w:tc>
        <w:tc>
          <w:tcPr>
            <w:tcW w:w="3277" w:type="pct"/>
            <w:tcBorders>
              <w:top w:val="nil"/>
              <w:bottom w:val="nil"/>
            </w:tcBorders>
            <w:shd w:val="clear" w:color="auto" w:fill="FFFFFF"/>
          </w:tcPr>
          <w:p w14:paraId="1848EAB3" w14:textId="2A0D314F" w:rsidR="007A52FD" w:rsidRPr="0027678C" w:rsidRDefault="007A52FD" w:rsidP="003639F2">
            <w:pPr>
              <w:pStyle w:val="CETBodytext"/>
              <w:ind w:right="-1"/>
              <w:jc w:val="left"/>
              <w:rPr>
                <w:rFonts w:cs="Arial"/>
                <w:szCs w:val="18"/>
                <w:lang w:val="en-GB"/>
              </w:rPr>
            </w:pPr>
            <w:r w:rsidRPr="0027678C">
              <w:rPr>
                <w:rFonts w:cs="Arial"/>
                <w:szCs w:val="18"/>
                <w:lang w:val="en-GB"/>
              </w:rPr>
              <w:t>1.3 Check the pressure sensor on the storage unit to ensure it is empty</w:t>
            </w:r>
          </w:p>
        </w:tc>
        <w:tc>
          <w:tcPr>
            <w:tcW w:w="616" w:type="pct"/>
            <w:tcBorders>
              <w:top w:val="nil"/>
              <w:bottom w:val="nil"/>
            </w:tcBorders>
            <w:shd w:val="clear" w:color="auto" w:fill="FFFFFF"/>
          </w:tcPr>
          <w:p w14:paraId="5509D290" w14:textId="4275A4BC" w:rsidR="007A52FD" w:rsidRPr="0027678C" w:rsidRDefault="007A52FD" w:rsidP="003639F2">
            <w:pPr>
              <w:pStyle w:val="CETBodytext"/>
              <w:ind w:right="-1"/>
              <w:jc w:val="left"/>
              <w:rPr>
                <w:rFonts w:cs="Arial"/>
                <w:szCs w:val="18"/>
                <w:lang w:val="en-GB"/>
              </w:rPr>
            </w:pPr>
            <w:r>
              <w:rPr>
                <w:rFonts w:cs="Arial"/>
                <w:szCs w:val="18"/>
                <w:lang w:val="en-GB"/>
              </w:rPr>
              <w:t>K</w:t>
            </w:r>
            <w:r w:rsidRPr="0027678C">
              <w:rPr>
                <w:rFonts w:cs="Arial"/>
                <w:szCs w:val="18"/>
                <w:lang w:val="en-GB"/>
              </w:rPr>
              <w:t>nowledge</w:t>
            </w:r>
          </w:p>
        </w:tc>
        <w:tc>
          <w:tcPr>
            <w:tcW w:w="390" w:type="pct"/>
            <w:tcBorders>
              <w:top w:val="nil"/>
              <w:bottom w:val="nil"/>
            </w:tcBorders>
            <w:shd w:val="clear" w:color="auto" w:fill="FFFFFF"/>
          </w:tcPr>
          <w:p w14:paraId="11FEAECD" w14:textId="6EB02624" w:rsidR="007A52FD" w:rsidRPr="0027678C" w:rsidRDefault="007A52FD" w:rsidP="00CE1A69">
            <w:pPr>
              <w:pStyle w:val="CETBodytext"/>
              <w:ind w:right="-1"/>
              <w:rPr>
                <w:rFonts w:cs="Arial"/>
                <w:szCs w:val="18"/>
                <w:lang w:val="en-GB"/>
              </w:rPr>
            </w:pPr>
            <w:r w:rsidRPr="0027678C">
              <w:rPr>
                <w:rFonts w:cs="Arial"/>
                <w:szCs w:val="18"/>
                <w:lang w:val="en-GB"/>
              </w:rPr>
              <w:t>0.01</w:t>
            </w:r>
          </w:p>
        </w:tc>
      </w:tr>
      <w:tr w:rsidR="007A52FD" w:rsidRPr="0027678C" w14:paraId="72BF55B2" w14:textId="77777777" w:rsidTr="00AB5A77">
        <w:tc>
          <w:tcPr>
            <w:tcW w:w="717" w:type="pct"/>
            <w:vMerge/>
            <w:tcBorders>
              <w:top w:val="nil"/>
              <w:bottom w:val="single" w:sz="4" w:space="0" w:color="067435"/>
            </w:tcBorders>
            <w:shd w:val="clear" w:color="auto" w:fill="FFFFFF"/>
          </w:tcPr>
          <w:p w14:paraId="55A21A50" w14:textId="77777777" w:rsidR="007A52FD" w:rsidRPr="0027678C" w:rsidRDefault="007A52FD" w:rsidP="003639F2">
            <w:pPr>
              <w:pStyle w:val="CETBodytext"/>
              <w:ind w:right="-1"/>
              <w:jc w:val="left"/>
              <w:rPr>
                <w:rFonts w:cs="Arial"/>
                <w:szCs w:val="18"/>
                <w:lang w:val="en-GB"/>
              </w:rPr>
            </w:pPr>
          </w:p>
        </w:tc>
        <w:tc>
          <w:tcPr>
            <w:tcW w:w="3277" w:type="pct"/>
            <w:tcBorders>
              <w:top w:val="nil"/>
              <w:bottom w:val="single" w:sz="4" w:space="0" w:color="067435"/>
            </w:tcBorders>
            <w:shd w:val="clear" w:color="auto" w:fill="FFFFFF"/>
          </w:tcPr>
          <w:p w14:paraId="232E57D9" w14:textId="17E209E3" w:rsidR="007A52FD" w:rsidRPr="0027678C" w:rsidRDefault="007A52FD" w:rsidP="003639F2">
            <w:pPr>
              <w:pStyle w:val="CETBodytext"/>
              <w:ind w:right="-1"/>
              <w:jc w:val="left"/>
              <w:rPr>
                <w:rFonts w:cs="Arial"/>
                <w:szCs w:val="18"/>
                <w:lang w:val="en-GB"/>
              </w:rPr>
            </w:pPr>
            <w:r w:rsidRPr="0027678C">
              <w:rPr>
                <w:rFonts w:cs="Arial"/>
                <w:szCs w:val="18"/>
                <w:lang w:val="en-GB"/>
              </w:rPr>
              <w:t>1.4 Close the flow valve to isolate the tank from the dispensing unit</w:t>
            </w:r>
          </w:p>
        </w:tc>
        <w:tc>
          <w:tcPr>
            <w:tcW w:w="616" w:type="pct"/>
            <w:tcBorders>
              <w:top w:val="nil"/>
              <w:bottom w:val="single" w:sz="4" w:space="0" w:color="067435"/>
            </w:tcBorders>
            <w:shd w:val="clear" w:color="auto" w:fill="FFFFFF"/>
          </w:tcPr>
          <w:p w14:paraId="43ECD422" w14:textId="032400C7" w:rsidR="007A52FD" w:rsidRPr="0027678C" w:rsidRDefault="007A52FD" w:rsidP="003639F2">
            <w:pPr>
              <w:pStyle w:val="CETBodytext"/>
              <w:ind w:right="-1"/>
              <w:jc w:val="left"/>
              <w:rPr>
                <w:rFonts w:cs="Arial"/>
                <w:szCs w:val="18"/>
                <w:lang w:val="en-GB"/>
              </w:rPr>
            </w:pPr>
            <w:r>
              <w:rPr>
                <w:lang w:val="en-GB"/>
              </w:rPr>
              <w:t>P</w:t>
            </w:r>
            <w:r w:rsidRPr="0027678C">
              <w:rPr>
                <w:lang w:val="en-GB"/>
              </w:rPr>
              <w:t>rocedure</w:t>
            </w:r>
          </w:p>
        </w:tc>
        <w:tc>
          <w:tcPr>
            <w:tcW w:w="390" w:type="pct"/>
            <w:tcBorders>
              <w:top w:val="nil"/>
              <w:bottom w:val="single" w:sz="4" w:space="0" w:color="067435"/>
            </w:tcBorders>
            <w:shd w:val="clear" w:color="auto" w:fill="FFFFFF"/>
          </w:tcPr>
          <w:p w14:paraId="6F92EDF2" w14:textId="514026BF" w:rsidR="007A52FD" w:rsidRPr="0027678C" w:rsidRDefault="007A52FD" w:rsidP="00CE1A69">
            <w:pPr>
              <w:pStyle w:val="CETBodytext"/>
              <w:ind w:right="-1"/>
              <w:rPr>
                <w:rFonts w:cs="Arial"/>
                <w:szCs w:val="18"/>
                <w:lang w:val="en-GB"/>
              </w:rPr>
            </w:pPr>
            <w:r w:rsidRPr="0027678C">
              <w:rPr>
                <w:rFonts w:cs="Arial"/>
                <w:szCs w:val="18"/>
                <w:lang w:val="en-GB"/>
              </w:rPr>
              <w:t>0.001</w:t>
            </w:r>
          </w:p>
        </w:tc>
      </w:tr>
      <w:tr w:rsidR="007A52FD" w:rsidRPr="0027678C" w14:paraId="24ED4723" w14:textId="63010A8E" w:rsidTr="00AB5A77">
        <w:tc>
          <w:tcPr>
            <w:tcW w:w="717" w:type="pct"/>
            <w:vMerge w:val="restart"/>
            <w:tcBorders>
              <w:top w:val="single" w:sz="4" w:space="0" w:color="067435"/>
              <w:bottom w:val="nil"/>
            </w:tcBorders>
            <w:shd w:val="clear" w:color="auto" w:fill="FFFFFF"/>
            <w:vAlign w:val="center"/>
          </w:tcPr>
          <w:p w14:paraId="5080B985" w14:textId="77777777" w:rsidR="005E584B" w:rsidRDefault="005E584B" w:rsidP="007A52FD">
            <w:pPr>
              <w:pStyle w:val="CETBodytext"/>
              <w:ind w:right="-1"/>
              <w:jc w:val="left"/>
              <w:rPr>
                <w:rFonts w:cs="Arial"/>
                <w:szCs w:val="18"/>
                <w:lang w:val="en-GB"/>
              </w:rPr>
            </w:pPr>
            <w:r>
              <w:rPr>
                <w:rFonts w:cs="Arial"/>
                <w:szCs w:val="18"/>
                <w:lang w:val="en-GB"/>
              </w:rPr>
              <w:t>2</w:t>
            </w:r>
          </w:p>
          <w:p w14:paraId="2FE23B27" w14:textId="6C95F910" w:rsidR="007A52FD" w:rsidRPr="0027678C" w:rsidRDefault="007D59C6" w:rsidP="007A52FD">
            <w:pPr>
              <w:pStyle w:val="CETBodytext"/>
              <w:ind w:right="-1"/>
              <w:jc w:val="left"/>
              <w:rPr>
                <w:rFonts w:cs="Arial"/>
                <w:szCs w:val="18"/>
                <w:lang w:val="en-GB"/>
              </w:rPr>
            </w:pPr>
            <w:r>
              <w:rPr>
                <w:rFonts w:cs="Arial"/>
                <w:szCs w:val="18"/>
                <w:lang w:val="en-GB"/>
              </w:rPr>
              <w:t>Mounting</w:t>
            </w:r>
            <w:r w:rsidR="007A52FD">
              <w:rPr>
                <w:rFonts w:cs="Arial"/>
                <w:szCs w:val="18"/>
                <w:lang w:val="en-GB"/>
              </w:rPr>
              <w:t xml:space="preserve"> and</w:t>
            </w:r>
            <w:r w:rsidR="007A52FD" w:rsidRPr="007A52FD">
              <w:rPr>
                <w:rFonts w:cs="Arial"/>
                <w:szCs w:val="18"/>
                <w:lang w:val="en-GB"/>
              </w:rPr>
              <w:t xml:space="preserve"> check of AET equipment</w:t>
            </w:r>
          </w:p>
        </w:tc>
        <w:tc>
          <w:tcPr>
            <w:tcW w:w="3277" w:type="pct"/>
            <w:tcBorders>
              <w:top w:val="single" w:sz="4" w:space="0" w:color="067435"/>
              <w:bottom w:val="nil"/>
            </w:tcBorders>
            <w:shd w:val="clear" w:color="auto" w:fill="FFFFFF"/>
          </w:tcPr>
          <w:p w14:paraId="1FB33B35" w14:textId="5EB3B98D" w:rsidR="007A52FD" w:rsidRPr="0027678C" w:rsidRDefault="007A52FD" w:rsidP="003639F2">
            <w:pPr>
              <w:pStyle w:val="CETBodytext"/>
              <w:ind w:right="-1"/>
              <w:jc w:val="left"/>
              <w:rPr>
                <w:rFonts w:cs="Arial"/>
                <w:szCs w:val="18"/>
                <w:lang w:val="en-GB"/>
              </w:rPr>
            </w:pPr>
            <w:r w:rsidRPr="0027678C">
              <w:rPr>
                <w:rFonts w:cs="Arial"/>
                <w:szCs w:val="18"/>
                <w:lang w:val="en-GB"/>
              </w:rPr>
              <w:t>2.1 Mount the AE sensors on the tank surface</w:t>
            </w:r>
          </w:p>
        </w:tc>
        <w:tc>
          <w:tcPr>
            <w:tcW w:w="616" w:type="pct"/>
            <w:tcBorders>
              <w:top w:val="single" w:sz="4" w:space="0" w:color="067435"/>
              <w:bottom w:val="nil"/>
            </w:tcBorders>
            <w:shd w:val="clear" w:color="auto" w:fill="FFFFFF"/>
          </w:tcPr>
          <w:p w14:paraId="26D7192B" w14:textId="5F52C269" w:rsidR="007A52FD" w:rsidRPr="0027678C" w:rsidRDefault="007A52FD" w:rsidP="003639F2">
            <w:pPr>
              <w:pStyle w:val="CETBodytext"/>
              <w:ind w:right="-1"/>
              <w:jc w:val="left"/>
              <w:rPr>
                <w:rFonts w:cs="Arial"/>
                <w:szCs w:val="18"/>
                <w:lang w:val="en-GB"/>
              </w:rPr>
            </w:pPr>
            <w:r>
              <w:rPr>
                <w:rFonts w:cs="Arial"/>
                <w:szCs w:val="18"/>
                <w:lang w:val="en-GB"/>
              </w:rPr>
              <w:t>S</w:t>
            </w:r>
            <w:r w:rsidRPr="0027678C">
              <w:rPr>
                <w:rFonts w:cs="Arial"/>
                <w:szCs w:val="18"/>
                <w:lang w:val="en-GB"/>
              </w:rPr>
              <w:t>kill</w:t>
            </w:r>
          </w:p>
        </w:tc>
        <w:tc>
          <w:tcPr>
            <w:tcW w:w="390" w:type="pct"/>
            <w:tcBorders>
              <w:top w:val="single" w:sz="4" w:space="0" w:color="067435"/>
              <w:bottom w:val="nil"/>
            </w:tcBorders>
            <w:shd w:val="clear" w:color="auto" w:fill="FFFFFF"/>
          </w:tcPr>
          <w:p w14:paraId="39FEC992" w14:textId="34520DB7" w:rsidR="007A52FD" w:rsidRPr="0027678C" w:rsidRDefault="007A52FD" w:rsidP="00CE1A69">
            <w:pPr>
              <w:pStyle w:val="CETBodytext"/>
              <w:ind w:right="-1"/>
              <w:rPr>
                <w:rFonts w:cs="Arial"/>
                <w:szCs w:val="18"/>
                <w:lang w:val="en-GB"/>
              </w:rPr>
            </w:pPr>
            <w:r w:rsidRPr="0027678C">
              <w:rPr>
                <w:rFonts w:cs="Arial"/>
                <w:szCs w:val="18"/>
                <w:lang w:val="en-GB"/>
              </w:rPr>
              <w:t>0.025</w:t>
            </w:r>
          </w:p>
        </w:tc>
      </w:tr>
      <w:tr w:rsidR="007A52FD" w:rsidRPr="0027678C" w14:paraId="6AEE84EC" w14:textId="77777777" w:rsidTr="007D59C6">
        <w:tc>
          <w:tcPr>
            <w:tcW w:w="717" w:type="pct"/>
            <w:vMerge/>
            <w:tcBorders>
              <w:top w:val="nil"/>
              <w:bottom w:val="nil"/>
            </w:tcBorders>
            <w:shd w:val="clear" w:color="auto" w:fill="FFFFFF"/>
          </w:tcPr>
          <w:p w14:paraId="0045D0AC" w14:textId="77777777" w:rsidR="007A52FD" w:rsidRPr="0027678C" w:rsidRDefault="007A52FD" w:rsidP="003639F2">
            <w:pPr>
              <w:pStyle w:val="CETBodytext"/>
              <w:ind w:right="-1"/>
              <w:jc w:val="left"/>
              <w:rPr>
                <w:rFonts w:cs="Arial"/>
                <w:szCs w:val="18"/>
                <w:lang w:val="en-GB"/>
              </w:rPr>
            </w:pPr>
          </w:p>
        </w:tc>
        <w:tc>
          <w:tcPr>
            <w:tcW w:w="3277" w:type="pct"/>
            <w:tcBorders>
              <w:top w:val="nil"/>
              <w:bottom w:val="nil"/>
            </w:tcBorders>
            <w:shd w:val="clear" w:color="auto" w:fill="FFFFFF"/>
          </w:tcPr>
          <w:p w14:paraId="24DDD400" w14:textId="630CE1F8" w:rsidR="007A52FD" w:rsidRPr="0027678C" w:rsidRDefault="007A52FD" w:rsidP="003639F2">
            <w:pPr>
              <w:pStyle w:val="CETBodytext"/>
              <w:ind w:right="-1"/>
              <w:jc w:val="left"/>
              <w:rPr>
                <w:rFonts w:cs="Arial"/>
                <w:szCs w:val="18"/>
                <w:lang w:val="en-GB"/>
              </w:rPr>
            </w:pPr>
            <w:r w:rsidRPr="0027678C">
              <w:rPr>
                <w:rFonts w:cs="Arial"/>
                <w:szCs w:val="18"/>
                <w:lang w:val="en-GB"/>
              </w:rPr>
              <w:t>2.2 Adjust signal processor settings</w:t>
            </w:r>
          </w:p>
        </w:tc>
        <w:tc>
          <w:tcPr>
            <w:tcW w:w="616" w:type="pct"/>
            <w:tcBorders>
              <w:top w:val="nil"/>
              <w:bottom w:val="nil"/>
            </w:tcBorders>
            <w:shd w:val="clear" w:color="auto" w:fill="FFFFFF"/>
          </w:tcPr>
          <w:p w14:paraId="6D1AD213" w14:textId="41A4FF16" w:rsidR="007A52FD" w:rsidRPr="0027678C" w:rsidRDefault="007A52FD" w:rsidP="003639F2">
            <w:pPr>
              <w:pStyle w:val="CETBodytext"/>
              <w:ind w:right="-1"/>
              <w:jc w:val="left"/>
              <w:rPr>
                <w:rFonts w:cs="Arial"/>
                <w:szCs w:val="18"/>
                <w:lang w:val="en-GB"/>
              </w:rPr>
            </w:pPr>
            <w:r>
              <w:rPr>
                <w:lang w:val="en-GB"/>
              </w:rPr>
              <w:t>S</w:t>
            </w:r>
            <w:r w:rsidRPr="0027678C">
              <w:rPr>
                <w:lang w:val="en-GB"/>
              </w:rPr>
              <w:t>kill</w:t>
            </w:r>
          </w:p>
        </w:tc>
        <w:tc>
          <w:tcPr>
            <w:tcW w:w="390" w:type="pct"/>
            <w:tcBorders>
              <w:top w:val="nil"/>
              <w:bottom w:val="nil"/>
            </w:tcBorders>
            <w:shd w:val="clear" w:color="auto" w:fill="FFFFFF"/>
          </w:tcPr>
          <w:p w14:paraId="38FA0715" w14:textId="01CDDC13" w:rsidR="007A52FD" w:rsidRPr="0027678C" w:rsidRDefault="007A52FD" w:rsidP="00CE1A69">
            <w:pPr>
              <w:pStyle w:val="CETBodytext"/>
              <w:ind w:right="-1"/>
              <w:rPr>
                <w:rFonts w:cs="Arial"/>
                <w:szCs w:val="18"/>
                <w:lang w:val="en-GB"/>
              </w:rPr>
            </w:pPr>
            <w:r w:rsidRPr="0027678C">
              <w:rPr>
                <w:rFonts w:cs="Arial"/>
                <w:szCs w:val="18"/>
                <w:lang w:val="en-GB"/>
              </w:rPr>
              <w:t>0.025</w:t>
            </w:r>
          </w:p>
        </w:tc>
      </w:tr>
      <w:tr w:rsidR="007A52FD" w:rsidRPr="008226EF" w14:paraId="287B3114" w14:textId="3E1CE56E" w:rsidTr="007D59C6">
        <w:tc>
          <w:tcPr>
            <w:tcW w:w="717" w:type="pct"/>
            <w:vMerge/>
            <w:tcBorders>
              <w:top w:val="nil"/>
              <w:bottom w:val="nil"/>
            </w:tcBorders>
            <w:shd w:val="clear" w:color="auto" w:fill="FFFFFF"/>
          </w:tcPr>
          <w:p w14:paraId="7A905D5F" w14:textId="77777777" w:rsidR="007A52FD" w:rsidRPr="008226EF" w:rsidRDefault="007A52FD" w:rsidP="003639F2">
            <w:pPr>
              <w:pStyle w:val="CETBodytext"/>
              <w:ind w:right="-1"/>
              <w:jc w:val="left"/>
              <w:rPr>
                <w:rFonts w:cs="Arial"/>
                <w:szCs w:val="18"/>
                <w:lang w:val="en-GB"/>
              </w:rPr>
            </w:pPr>
          </w:p>
        </w:tc>
        <w:tc>
          <w:tcPr>
            <w:tcW w:w="3277" w:type="pct"/>
            <w:tcBorders>
              <w:top w:val="nil"/>
              <w:bottom w:val="nil"/>
            </w:tcBorders>
            <w:shd w:val="clear" w:color="auto" w:fill="FFFFFF"/>
          </w:tcPr>
          <w:p w14:paraId="417E987A" w14:textId="26328120" w:rsidR="007A52FD" w:rsidRPr="008226EF" w:rsidRDefault="007A52FD" w:rsidP="003639F2">
            <w:pPr>
              <w:pStyle w:val="CETBodytext"/>
              <w:ind w:right="-1"/>
              <w:jc w:val="left"/>
              <w:rPr>
                <w:rFonts w:cs="Arial"/>
                <w:szCs w:val="18"/>
                <w:lang w:val="en-GB"/>
              </w:rPr>
            </w:pPr>
            <w:r w:rsidRPr="008226EF">
              <w:rPr>
                <w:rFonts w:cs="Arial"/>
                <w:szCs w:val="18"/>
                <w:lang w:val="en-GB"/>
              </w:rPr>
              <w:t>2.3 Verify the peak amplitude of the AE sensors</w:t>
            </w:r>
            <w:r>
              <w:rPr>
                <w:rFonts w:cs="Arial"/>
                <w:szCs w:val="18"/>
                <w:lang w:val="en-GB"/>
              </w:rPr>
              <w:t xml:space="preserve"> and </w:t>
            </w:r>
            <w:r w:rsidRPr="008226EF">
              <w:rPr>
                <w:rFonts w:cs="Arial"/>
                <w:szCs w:val="18"/>
                <w:lang w:val="en-GB"/>
              </w:rPr>
              <w:t>background noise</w:t>
            </w:r>
          </w:p>
        </w:tc>
        <w:tc>
          <w:tcPr>
            <w:tcW w:w="616" w:type="pct"/>
            <w:tcBorders>
              <w:top w:val="nil"/>
              <w:bottom w:val="nil"/>
            </w:tcBorders>
            <w:shd w:val="clear" w:color="auto" w:fill="FFFFFF"/>
          </w:tcPr>
          <w:p w14:paraId="49499F90" w14:textId="6A8B32B4" w:rsidR="007A52FD" w:rsidRPr="008226EF" w:rsidRDefault="007A52FD" w:rsidP="003639F2">
            <w:pPr>
              <w:pStyle w:val="CETBodytext"/>
              <w:ind w:right="-1"/>
              <w:jc w:val="left"/>
              <w:rPr>
                <w:rFonts w:cs="Arial"/>
                <w:szCs w:val="18"/>
                <w:lang w:val="en-GB"/>
              </w:rPr>
            </w:pPr>
            <w:r>
              <w:rPr>
                <w:lang w:val="en-GB"/>
              </w:rPr>
              <w:t>K</w:t>
            </w:r>
            <w:r w:rsidRPr="008226EF">
              <w:rPr>
                <w:lang w:val="en-GB"/>
              </w:rPr>
              <w:t>nowledge</w:t>
            </w:r>
          </w:p>
        </w:tc>
        <w:tc>
          <w:tcPr>
            <w:tcW w:w="390" w:type="pct"/>
            <w:tcBorders>
              <w:top w:val="nil"/>
              <w:bottom w:val="nil"/>
            </w:tcBorders>
            <w:shd w:val="clear" w:color="auto" w:fill="FFFFFF"/>
          </w:tcPr>
          <w:p w14:paraId="759A91D0" w14:textId="2FA47DC6" w:rsidR="007A52FD" w:rsidRPr="008226EF" w:rsidRDefault="007A52FD" w:rsidP="00CE1A69">
            <w:pPr>
              <w:pStyle w:val="CETBodytext"/>
              <w:ind w:right="-1"/>
              <w:rPr>
                <w:rFonts w:cs="Arial"/>
                <w:szCs w:val="18"/>
                <w:lang w:val="en-GB"/>
              </w:rPr>
            </w:pPr>
            <w:r w:rsidRPr="008226EF">
              <w:rPr>
                <w:rFonts w:cs="Arial"/>
                <w:szCs w:val="18"/>
                <w:lang w:val="en-GB"/>
              </w:rPr>
              <w:t>0.05</w:t>
            </w:r>
          </w:p>
        </w:tc>
      </w:tr>
      <w:tr w:rsidR="007A52FD" w:rsidRPr="008226EF" w14:paraId="338018AA" w14:textId="77777777" w:rsidTr="00AB5A77">
        <w:tc>
          <w:tcPr>
            <w:tcW w:w="717" w:type="pct"/>
            <w:vMerge/>
            <w:tcBorders>
              <w:top w:val="nil"/>
              <w:bottom w:val="single" w:sz="4" w:space="0" w:color="067435"/>
            </w:tcBorders>
            <w:shd w:val="clear" w:color="auto" w:fill="FFFFFF"/>
          </w:tcPr>
          <w:p w14:paraId="3344C0C8" w14:textId="77777777" w:rsidR="007A52FD" w:rsidRPr="008226EF" w:rsidRDefault="007A52FD" w:rsidP="003639F2">
            <w:pPr>
              <w:pStyle w:val="CETBodytext"/>
              <w:ind w:right="-1"/>
              <w:jc w:val="left"/>
              <w:rPr>
                <w:rFonts w:cs="Arial"/>
                <w:szCs w:val="18"/>
                <w:lang w:val="en-GB"/>
              </w:rPr>
            </w:pPr>
          </w:p>
        </w:tc>
        <w:tc>
          <w:tcPr>
            <w:tcW w:w="3277" w:type="pct"/>
            <w:tcBorders>
              <w:top w:val="nil"/>
              <w:bottom w:val="single" w:sz="4" w:space="0" w:color="067435"/>
            </w:tcBorders>
            <w:shd w:val="clear" w:color="auto" w:fill="FFFFFF"/>
          </w:tcPr>
          <w:p w14:paraId="5D6827D0" w14:textId="5E6712B0" w:rsidR="007A52FD" w:rsidRPr="008226EF" w:rsidRDefault="007A52FD" w:rsidP="003639F2">
            <w:pPr>
              <w:pStyle w:val="CETBodytext"/>
              <w:ind w:right="-1"/>
              <w:jc w:val="left"/>
              <w:rPr>
                <w:rFonts w:cs="Arial"/>
                <w:szCs w:val="18"/>
                <w:lang w:val="en-GB"/>
              </w:rPr>
            </w:pPr>
            <w:r w:rsidRPr="008226EF">
              <w:rPr>
                <w:rFonts w:cs="Arial"/>
                <w:szCs w:val="18"/>
                <w:lang w:val="en-GB"/>
              </w:rPr>
              <w:t>2.4 Verify if the AE system displays a correct location for the AE sensors</w:t>
            </w:r>
          </w:p>
        </w:tc>
        <w:tc>
          <w:tcPr>
            <w:tcW w:w="616" w:type="pct"/>
            <w:tcBorders>
              <w:top w:val="nil"/>
              <w:bottom w:val="single" w:sz="4" w:space="0" w:color="067435"/>
            </w:tcBorders>
            <w:shd w:val="clear" w:color="auto" w:fill="FFFFFF"/>
          </w:tcPr>
          <w:p w14:paraId="7FCC4920" w14:textId="40A46245" w:rsidR="007A52FD" w:rsidRPr="008226EF" w:rsidRDefault="007A52FD" w:rsidP="003639F2">
            <w:pPr>
              <w:pStyle w:val="CETBodytext"/>
              <w:ind w:right="-1"/>
              <w:jc w:val="left"/>
              <w:rPr>
                <w:lang w:val="en-GB"/>
              </w:rPr>
            </w:pPr>
            <w:r>
              <w:rPr>
                <w:lang w:val="en-GB"/>
              </w:rPr>
              <w:t>K</w:t>
            </w:r>
            <w:r w:rsidRPr="008226EF">
              <w:rPr>
                <w:lang w:val="en-GB"/>
              </w:rPr>
              <w:t>nowledge</w:t>
            </w:r>
          </w:p>
        </w:tc>
        <w:tc>
          <w:tcPr>
            <w:tcW w:w="390" w:type="pct"/>
            <w:tcBorders>
              <w:top w:val="nil"/>
              <w:bottom w:val="single" w:sz="4" w:space="0" w:color="067435"/>
            </w:tcBorders>
            <w:shd w:val="clear" w:color="auto" w:fill="FFFFFF"/>
          </w:tcPr>
          <w:p w14:paraId="5B1E4669" w14:textId="2318867A" w:rsidR="007A52FD" w:rsidRPr="008226EF" w:rsidRDefault="007A52FD" w:rsidP="00CE1A69">
            <w:pPr>
              <w:pStyle w:val="CETBodytext"/>
              <w:ind w:right="-1"/>
              <w:rPr>
                <w:rFonts w:cs="Arial"/>
                <w:szCs w:val="18"/>
                <w:lang w:val="en-GB"/>
              </w:rPr>
            </w:pPr>
            <w:r w:rsidRPr="008226EF">
              <w:rPr>
                <w:rFonts w:cs="Arial"/>
                <w:szCs w:val="18"/>
                <w:lang w:val="en-GB"/>
              </w:rPr>
              <w:t>0.05</w:t>
            </w:r>
          </w:p>
        </w:tc>
      </w:tr>
      <w:tr w:rsidR="007A52FD" w:rsidRPr="008226EF" w14:paraId="1D204368" w14:textId="77777777" w:rsidTr="00AB5A77">
        <w:tc>
          <w:tcPr>
            <w:tcW w:w="717" w:type="pct"/>
            <w:vMerge w:val="restart"/>
            <w:tcBorders>
              <w:top w:val="single" w:sz="4" w:space="0" w:color="067435"/>
            </w:tcBorders>
            <w:shd w:val="clear" w:color="auto" w:fill="FFFFFF"/>
            <w:vAlign w:val="center"/>
          </w:tcPr>
          <w:p w14:paraId="05D89832" w14:textId="77777777" w:rsidR="005E584B" w:rsidRDefault="005E584B" w:rsidP="007A52FD">
            <w:pPr>
              <w:pStyle w:val="CETBodytext"/>
              <w:ind w:right="-1"/>
              <w:jc w:val="left"/>
              <w:rPr>
                <w:rFonts w:cs="Arial"/>
                <w:szCs w:val="18"/>
                <w:lang w:val="en-GB"/>
              </w:rPr>
            </w:pPr>
            <w:r>
              <w:rPr>
                <w:rFonts w:cs="Arial"/>
                <w:szCs w:val="18"/>
                <w:lang w:val="en-GB"/>
              </w:rPr>
              <w:t>3</w:t>
            </w:r>
          </w:p>
          <w:p w14:paraId="4A1EF631" w14:textId="1BBB91E4" w:rsidR="007A52FD" w:rsidRPr="008226EF" w:rsidRDefault="007A52FD" w:rsidP="007A52FD">
            <w:pPr>
              <w:pStyle w:val="CETBodytext"/>
              <w:ind w:right="-1"/>
              <w:jc w:val="left"/>
              <w:rPr>
                <w:rFonts w:cs="Arial"/>
                <w:szCs w:val="18"/>
                <w:lang w:val="en-GB"/>
              </w:rPr>
            </w:pPr>
            <w:r w:rsidRPr="007A52FD">
              <w:rPr>
                <w:rFonts w:cs="Arial"/>
                <w:szCs w:val="18"/>
                <w:lang w:val="en-GB"/>
              </w:rPr>
              <w:t>Pressurization of the tank</w:t>
            </w:r>
          </w:p>
        </w:tc>
        <w:tc>
          <w:tcPr>
            <w:tcW w:w="3277" w:type="pct"/>
            <w:tcBorders>
              <w:top w:val="single" w:sz="4" w:space="0" w:color="067435"/>
              <w:bottom w:val="nil"/>
            </w:tcBorders>
            <w:shd w:val="clear" w:color="auto" w:fill="FFFFFF"/>
          </w:tcPr>
          <w:p w14:paraId="0AB5BF36" w14:textId="36D2A55F" w:rsidR="007A52FD" w:rsidRPr="008226EF" w:rsidRDefault="007A52FD" w:rsidP="003639F2">
            <w:pPr>
              <w:pStyle w:val="CETBodytext"/>
              <w:ind w:right="-1"/>
              <w:jc w:val="left"/>
              <w:rPr>
                <w:rFonts w:cs="Arial"/>
                <w:szCs w:val="18"/>
                <w:lang w:val="en-GB"/>
              </w:rPr>
            </w:pPr>
            <w:r w:rsidRPr="008226EF">
              <w:rPr>
                <w:rFonts w:cs="Arial"/>
                <w:szCs w:val="18"/>
                <w:lang w:val="en-GB"/>
              </w:rPr>
              <w:t>3.</w:t>
            </w:r>
            <w:r>
              <w:rPr>
                <w:rFonts w:cs="Arial"/>
                <w:szCs w:val="18"/>
                <w:lang w:val="en-GB"/>
              </w:rPr>
              <w:t>1</w:t>
            </w:r>
            <w:r w:rsidRPr="008226EF">
              <w:rPr>
                <w:rFonts w:cs="Arial"/>
                <w:szCs w:val="18"/>
                <w:lang w:val="en-GB"/>
              </w:rPr>
              <w:t xml:space="preserve"> Open the flow valve between tank and inert gas source</w:t>
            </w:r>
          </w:p>
        </w:tc>
        <w:tc>
          <w:tcPr>
            <w:tcW w:w="616" w:type="pct"/>
            <w:tcBorders>
              <w:top w:val="single" w:sz="4" w:space="0" w:color="067435"/>
              <w:bottom w:val="nil"/>
            </w:tcBorders>
            <w:shd w:val="clear" w:color="auto" w:fill="FFFFFF"/>
          </w:tcPr>
          <w:p w14:paraId="797536B5" w14:textId="71D09102" w:rsidR="007A52FD" w:rsidRPr="008226EF" w:rsidRDefault="007A52FD" w:rsidP="003639F2">
            <w:pPr>
              <w:pStyle w:val="CETBodytext"/>
              <w:ind w:right="-1"/>
              <w:jc w:val="left"/>
              <w:rPr>
                <w:rFonts w:cs="Arial"/>
                <w:szCs w:val="18"/>
                <w:lang w:val="en-GB"/>
              </w:rPr>
            </w:pPr>
            <w:r>
              <w:rPr>
                <w:lang w:val="en-GB"/>
              </w:rPr>
              <w:t>P</w:t>
            </w:r>
            <w:r w:rsidRPr="008226EF">
              <w:rPr>
                <w:lang w:val="en-GB"/>
              </w:rPr>
              <w:t>rocedure</w:t>
            </w:r>
          </w:p>
        </w:tc>
        <w:tc>
          <w:tcPr>
            <w:tcW w:w="390" w:type="pct"/>
            <w:tcBorders>
              <w:top w:val="single" w:sz="4" w:space="0" w:color="067435"/>
              <w:bottom w:val="nil"/>
            </w:tcBorders>
            <w:shd w:val="clear" w:color="auto" w:fill="FFFFFF"/>
          </w:tcPr>
          <w:p w14:paraId="20C0BD06" w14:textId="7D565180" w:rsidR="007A52FD" w:rsidRPr="008226EF" w:rsidRDefault="007A52FD" w:rsidP="00CE1A69">
            <w:pPr>
              <w:pStyle w:val="CETBodytext"/>
              <w:ind w:right="-1"/>
              <w:rPr>
                <w:rFonts w:cs="Arial"/>
                <w:szCs w:val="18"/>
                <w:lang w:val="en-GB"/>
              </w:rPr>
            </w:pPr>
            <w:r w:rsidRPr="008226EF">
              <w:rPr>
                <w:rFonts w:cs="Arial"/>
                <w:szCs w:val="18"/>
                <w:lang w:val="en-GB"/>
              </w:rPr>
              <w:t>0.001</w:t>
            </w:r>
          </w:p>
        </w:tc>
      </w:tr>
      <w:tr w:rsidR="007A52FD" w:rsidRPr="008226EF" w14:paraId="636515C9" w14:textId="77777777" w:rsidTr="007D59C6">
        <w:tc>
          <w:tcPr>
            <w:tcW w:w="717" w:type="pct"/>
            <w:vMerge/>
            <w:shd w:val="clear" w:color="auto" w:fill="FFFFFF"/>
          </w:tcPr>
          <w:p w14:paraId="0F05FCAB" w14:textId="77777777" w:rsidR="007A52FD" w:rsidRPr="008226EF" w:rsidRDefault="007A52FD" w:rsidP="003639F2">
            <w:pPr>
              <w:pStyle w:val="CETBodytext"/>
              <w:ind w:right="-1"/>
              <w:jc w:val="left"/>
              <w:rPr>
                <w:rFonts w:cs="Arial"/>
                <w:szCs w:val="18"/>
                <w:lang w:val="en-GB"/>
              </w:rPr>
            </w:pPr>
          </w:p>
        </w:tc>
        <w:tc>
          <w:tcPr>
            <w:tcW w:w="3277" w:type="pct"/>
            <w:tcBorders>
              <w:top w:val="nil"/>
              <w:bottom w:val="nil"/>
            </w:tcBorders>
            <w:shd w:val="clear" w:color="auto" w:fill="FFFFFF"/>
          </w:tcPr>
          <w:p w14:paraId="0DC79B6B" w14:textId="5B2E01C0" w:rsidR="007A52FD" w:rsidRPr="008226EF" w:rsidRDefault="007A52FD" w:rsidP="003639F2">
            <w:pPr>
              <w:pStyle w:val="CETBodytext"/>
              <w:ind w:right="-1"/>
              <w:jc w:val="left"/>
              <w:rPr>
                <w:rFonts w:cs="Arial"/>
                <w:szCs w:val="18"/>
                <w:lang w:val="en-GB"/>
              </w:rPr>
            </w:pPr>
            <w:r w:rsidRPr="008226EF">
              <w:rPr>
                <w:rFonts w:cs="Arial"/>
                <w:szCs w:val="18"/>
                <w:lang w:val="en-GB"/>
              </w:rPr>
              <w:t>3.</w:t>
            </w:r>
            <w:r>
              <w:rPr>
                <w:rFonts w:cs="Arial"/>
                <w:szCs w:val="18"/>
                <w:lang w:val="en-GB"/>
              </w:rPr>
              <w:t>2</w:t>
            </w:r>
            <w:r w:rsidRPr="008226EF">
              <w:rPr>
                <w:rFonts w:cs="Arial"/>
                <w:szCs w:val="18"/>
                <w:lang w:val="en-GB"/>
              </w:rPr>
              <w:t xml:space="preserve"> Fill the tank with inert gas at the pressurization rate of 3.45 MPa/h</w:t>
            </w:r>
          </w:p>
        </w:tc>
        <w:tc>
          <w:tcPr>
            <w:tcW w:w="616" w:type="pct"/>
            <w:tcBorders>
              <w:top w:val="nil"/>
              <w:bottom w:val="nil"/>
            </w:tcBorders>
            <w:shd w:val="clear" w:color="auto" w:fill="FFFFFF"/>
          </w:tcPr>
          <w:p w14:paraId="3DA2117E" w14:textId="16F62A46" w:rsidR="007A52FD" w:rsidRPr="008226EF" w:rsidRDefault="007A52FD" w:rsidP="003639F2">
            <w:pPr>
              <w:pStyle w:val="CETBodytext"/>
              <w:ind w:right="-1"/>
              <w:jc w:val="left"/>
              <w:rPr>
                <w:rFonts w:cs="Arial"/>
                <w:szCs w:val="18"/>
                <w:lang w:val="en-GB"/>
              </w:rPr>
            </w:pPr>
            <w:r>
              <w:rPr>
                <w:rFonts w:cs="Arial"/>
                <w:szCs w:val="18"/>
                <w:lang w:val="en-GB"/>
              </w:rPr>
              <w:t>P</w:t>
            </w:r>
            <w:r w:rsidRPr="008226EF">
              <w:rPr>
                <w:rFonts w:cs="Arial"/>
                <w:szCs w:val="18"/>
                <w:lang w:val="en-GB"/>
              </w:rPr>
              <w:t>rocedure</w:t>
            </w:r>
          </w:p>
        </w:tc>
        <w:tc>
          <w:tcPr>
            <w:tcW w:w="390" w:type="pct"/>
            <w:tcBorders>
              <w:top w:val="nil"/>
              <w:bottom w:val="nil"/>
            </w:tcBorders>
            <w:shd w:val="clear" w:color="auto" w:fill="FFFFFF"/>
          </w:tcPr>
          <w:p w14:paraId="0D85DC67" w14:textId="002057CD" w:rsidR="007A52FD" w:rsidRPr="008226EF" w:rsidRDefault="007A52FD" w:rsidP="00CE1A69">
            <w:pPr>
              <w:pStyle w:val="CETBodytext"/>
              <w:ind w:right="-1"/>
              <w:rPr>
                <w:rFonts w:cs="Arial"/>
                <w:szCs w:val="18"/>
                <w:lang w:val="en-GB"/>
              </w:rPr>
            </w:pPr>
            <w:r w:rsidRPr="008226EF">
              <w:rPr>
                <w:rFonts w:cs="Arial"/>
                <w:szCs w:val="18"/>
                <w:lang w:val="en-GB"/>
              </w:rPr>
              <w:t>0.1</w:t>
            </w:r>
          </w:p>
        </w:tc>
      </w:tr>
      <w:tr w:rsidR="007A52FD" w:rsidRPr="008226EF" w14:paraId="431B4916" w14:textId="77777777" w:rsidTr="007D59C6">
        <w:tc>
          <w:tcPr>
            <w:tcW w:w="717" w:type="pct"/>
            <w:vMerge/>
            <w:shd w:val="clear" w:color="auto" w:fill="FFFFFF"/>
          </w:tcPr>
          <w:p w14:paraId="10C3C38E" w14:textId="77777777" w:rsidR="007A52FD" w:rsidRPr="008226EF" w:rsidRDefault="007A52FD" w:rsidP="003639F2">
            <w:pPr>
              <w:pStyle w:val="CETBodytext"/>
              <w:ind w:right="-1"/>
              <w:jc w:val="left"/>
              <w:rPr>
                <w:rFonts w:cs="Arial"/>
                <w:szCs w:val="18"/>
                <w:lang w:val="en-GB"/>
              </w:rPr>
            </w:pPr>
          </w:p>
        </w:tc>
        <w:tc>
          <w:tcPr>
            <w:tcW w:w="3277" w:type="pct"/>
            <w:tcBorders>
              <w:top w:val="nil"/>
              <w:bottom w:val="nil"/>
            </w:tcBorders>
            <w:shd w:val="clear" w:color="auto" w:fill="FFFFFF"/>
          </w:tcPr>
          <w:p w14:paraId="716C86C1" w14:textId="55FAC77C" w:rsidR="007A52FD" w:rsidRPr="008226EF" w:rsidRDefault="007A52FD" w:rsidP="003639F2">
            <w:pPr>
              <w:pStyle w:val="CETBodytext"/>
              <w:ind w:right="-1"/>
              <w:jc w:val="left"/>
              <w:rPr>
                <w:rFonts w:cs="Arial"/>
                <w:szCs w:val="18"/>
                <w:lang w:val="en-GB"/>
              </w:rPr>
            </w:pPr>
            <w:r w:rsidRPr="008226EF">
              <w:rPr>
                <w:rFonts w:cs="Arial"/>
                <w:szCs w:val="18"/>
                <w:lang w:val="en-GB"/>
              </w:rPr>
              <w:t>3.</w:t>
            </w:r>
            <w:r>
              <w:rPr>
                <w:rFonts w:cs="Arial"/>
                <w:szCs w:val="18"/>
                <w:lang w:val="en-GB"/>
              </w:rPr>
              <w:t>3</w:t>
            </w:r>
            <w:r w:rsidRPr="008226EF">
              <w:rPr>
                <w:rFonts w:cs="Arial"/>
                <w:szCs w:val="18"/>
                <w:lang w:val="en-GB"/>
              </w:rPr>
              <w:t xml:space="preserve"> Check the pressure sensor on the storage unit to verity that the inner pressure is 110% of the service pressure</w:t>
            </w:r>
          </w:p>
        </w:tc>
        <w:tc>
          <w:tcPr>
            <w:tcW w:w="616" w:type="pct"/>
            <w:tcBorders>
              <w:top w:val="nil"/>
              <w:bottom w:val="nil"/>
            </w:tcBorders>
            <w:shd w:val="clear" w:color="auto" w:fill="FFFFFF"/>
          </w:tcPr>
          <w:p w14:paraId="6B7A9FEF" w14:textId="0107B323" w:rsidR="007A52FD" w:rsidRPr="008226EF" w:rsidRDefault="007A52FD" w:rsidP="003639F2">
            <w:pPr>
              <w:pStyle w:val="CETBodytext"/>
              <w:ind w:right="-1"/>
              <w:jc w:val="left"/>
              <w:rPr>
                <w:rFonts w:cs="Arial"/>
                <w:szCs w:val="18"/>
                <w:lang w:val="en-GB"/>
              </w:rPr>
            </w:pPr>
            <w:r>
              <w:rPr>
                <w:rFonts w:cs="Arial"/>
                <w:szCs w:val="18"/>
                <w:lang w:val="en-GB"/>
              </w:rPr>
              <w:t>K</w:t>
            </w:r>
            <w:r w:rsidRPr="008226EF">
              <w:rPr>
                <w:rFonts w:cs="Arial"/>
                <w:szCs w:val="18"/>
                <w:lang w:val="en-GB"/>
              </w:rPr>
              <w:t>nowledge</w:t>
            </w:r>
          </w:p>
        </w:tc>
        <w:tc>
          <w:tcPr>
            <w:tcW w:w="390" w:type="pct"/>
            <w:tcBorders>
              <w:top w:val="nil"/>
              <w:bottom w:val="nil"/>
            </w:tcBorders>
            <w:shd w:val="clear" w:color="auto" w:fill="FFFFFF"/>
          </w:tcPr>
          <w:p w14:paraId="5A567D8C" w14:textId="1F725FC3" w:rsidR="007A52FD" w:rsidRPr="008226EF" w:rsidRDefault="007A52FD" w:rsidP="00CE1A69">
            <w:pPr>
              <w:pStyle w:val="CETBodytext"/>
              <w:ind w:right="-1"/>
              <w:rPr>
                <w:rFonts w:cs="Arial"/>
                <w:szCs w:val="18"/>
                <w:lang w:val="en-GB"/>
              </w:rPr>
            </w:pPr>
            <w:r w:rsidRPr="008226EF">
              <w:rPr>
                <w:rFonts w:cs="Arial"/>
                <w:szCs w:val="18"/>
                <w:lang w:val="en-GB"/>
              </w:rPr>
              <w:t>0.01</w:t>
            </w:r>
          </w:p>
        </w:tc>
      </w:tr>
      <w:tr w:rsidR="007A52FD" w:rsidRPr="008226EF" w14:paraId="6F5E2033" w14:textId="77777777" w:rsidTr="007D59C6">
        <w:tc>
          <w:tcPr>
            <w:tcW w:w="717" w:type="pct"/>
            <w:vMerge/>
            <w:shd w:val="clear" w:color="auto" w:fill="FFFFFF"/>
          </w:tcPr>
          <w:p w14:paraId="525C7356" w14:textId="77777777" w:rsidR="007A52FD" w:rsidRPr="008226EF" w:rsidRDefault="007A52FD" w:rsidP="003639F2">
            <w:pPr>
              <w:pStyle w:val="CETBodytext"/>
              <w:ind w:right="-1"/>
              <w:jc w:val="left"/>
              <w:rPr>
                <w:rFonts w:cs="Arial"/>
                <w:szCs w:val="18"/>
                <w:lang w:val="en-GB"/>
              </w:rPr>
            </w:pPr>
          </w:p>
        </w:tc>
        <w:tc>
          <w:tcPr>
            <w:tcW w:w="3277" w:type="pct"/>
            <w:tcBorders>
              <w:top w:val="nil"/>
              <w:bottom w:val="nil"/>
            </w:tcBorders>
            <w:shd w:val="clear" w:color="auto" w:fill="FFFFFF"/>
          </w:tcPr>
          <w:p w14:paraId="3109A5B5" w14:textId="15E37717" w:rsidR="007A52FD" w:rsidRPr="008226EF" w:rsidRDefault="007A52FD" w:rsidP="003639F2">
            <w:pPr>
              <w:pStyle w:val="CETBodytext"/>
              <w:ind w:right="-1"/>
              <w:jc w:val="left"/>
              <w:rPr>
                <w:rFonts w:cs="Arial"/>
                <w:szCs w:val="18"/>
                <w:lang w:val="en-GB"/>
              </w:rPr>
            </w:pPr>
            <w:r w:rsidRPr="008226EF">
              <w:rPr>
                <w:rFonts w:cs="Arial"/>
                <w:szCs w:val="18"/>
                <w:lang w:val="en-GB"/>
              </w:rPr>
              <w:t>3.</w:t>
            </w:r>
            <w:r>
              <w:rPr>
                <w:rFonts w:cs="Arial"/>
                <w:szCs w:val="18"/>
                <w:lang w:val="en-GB"/>
              </w:rPr>
              <w:t>4</w:t>
            </w:r>
            <w:r w:rsidRPr="008226EF">
              <w:rPr>
                <w:rFonts w:cs="Arial"/>
                <w:szCs w:val="18"/>
                <w:lang w:val="en-GB"/>
              </w:rPr>
              <w:t xml:space="preserve"> Close the flow valve between tank and inert gas source</w:t>
            </w:r>
          </w:p>
        </w:tc>
        <w:tc>
          <w:tcPr>
            <w:tcW w:w="616" w:type="pct"/>
            <w:tcBorders>
              <w:top w:val="nil"/>
              <w:bottom w:val="nil"/>
            </w:tcBorders>
            <w:shd w:val="clear" w:color="auto" w:fill="FFFFFF"/>
          </w:tcPr>
          <w:p w14:paraId="5A26CDD2" w14:textId="01F99E84" w:rsidR="007A52FD" w:rsidRPr="008226EF" w:rsidRDefault="007A52FD" w:rsidP="003639F2">
            <w:pPr>
              <w:pStyle w:val="CETBodytext"/>
              <w:ind w:right="-1"/>
              <w:jc w:val="left"/>
              <w:rPr>
                <w:rFonts w:cs="Arial"/>
                <w:szCs w:val="18"/>
                <w:lang w:val="en-GB"/>
              </w:rPr>
            </w:pPr>
            <w:r>
              <w:rPr>
                <w:lang w:val="en-GB"/>
              </w:rPr>
              <w:t>P</w:t>
            </w:r>
            <w:r w:rsidRPr="008226EF">
              <w:rPr>
                <w:lang w:val="en-GB"/>
              </w:rPr>
              <w:t>rocedure</w:t>
            </w:r>
          </w:p>
        </w:tc>
        <w:tc>
          <w:tcPr>
            <w:tcW w:w="390" w:type="pct"/>
            <w:tcBorders>
              <w:top w:val="nil"/>
              <w:bottom w:val="nil"/>
            </w:tcBorders>
            <w:shd w:val="clear" w:color="auto" w:fill="FFFFFF"/>
          </w:tcPr>
          <w:p w14:paraId="1DB2CC8E" w14:textId="20A6093F" w:rsidR="007A52FD" w:rsidRPr="008226EF" w:rsidRDefault="007A52FD" w:rsidP="00CE1A69">
            <w:pPr>
              <w:pStyle w:val="CETBodytext"/>
              <w:ind w:right="-1"/>
              <w:rPr>
                <w:rFonts w:cs="Arial"/>
                <w:szCs w:val="18"/>
                <w:lang w:val="en-GB"/>
              </w:rPr>
            </w:pPr>
            <w:r w:rsidRPr="008226EF">
              <w:rPr>
                <w:rFonts w:cs="Arial"/>
                <w:szCs w:val="18"/>
                <w:lang w:val="en-GB"/>
              </w:rPr>
              <w:t>0.001</w:t>
            </w:r>
          </w:p>
        </w:tc>
      </w:tr>
      <w:tr w:rsidR="007A52FD" w:rsidRPr="008226EF" w14:paraId="425E7F53" w14:textId="77777777" w:rsidTr="00AB5A77">
        <w:tc>
          <w:tcPr>
            <w:tcW w:w="717" w:type="pct"/>
            <w:vMerge/>
            <w:tcBorders>
              <w:bottom w:val="single" w:sz="4" w:space="0" w:color="067435"/>
            </w:tcBorders>
            <w:shd w:val="clear" w:color="auto" w:fill="FFFFFF"/>
          </w:tcPr>
          <w:p w14:paraId="14A66B7F" w14:textId="77777777" w:rsidR="007A52FD" w:rsidRPr="008226EF" w:rsidRDefault="007A52FD" w:rsidP="003639F2">
            <w:pPr>
              <w:pStyle w:val="CETBodytext"/>
              <w:ind w:right="-1"/>
              <w:jc w:val="left"/>
              <w:rPr>
                <w:rFonts w:cs="Arial"/>
                <w:szCs w:val="18"/>
                <w:lang w:val="en-GB"/>
              </w:rPr>
            </w:pPr>
          </w:p>
        </w:tc>
        <w:tc>
          <w:tcPr>
            <w:tcW w:w="3277" w:type="pct"/>
            <w:tcBorders>
              <w:top w:val="nil"/>
              <w:bottom w:val="single" w:sz="4" w:space="0" w:color="067435"/>
            </w:tcBorders>
            <w:shd w:val="clear" w:color="auto" w:fill="FFFFFF"/>
          </w:tcPr>
          <w:p w14:paraId="037DF313" w14:textId="346EAB17" w:rsidR="007A52FD" w:rsidRPr="008226EF" w:rsidRDefault="007A52FD" w:rsidP="003639F2">
            <w:pPr>
              <w:pStyle w:val="CETBodytext"/>
              <w:ind w:right="-1"/>
              <w:jc w:val="left"/>
              <w:rPr>
                <w:rFonts w:cs="Arial"/>
                <w:szCs w:val="18"/>
                <w:lang w:val="en-GB"/>
              </w:rPr>
            </w:pPr>
            <w:r w:rsidRPr="008226EF">
              <w:rPr>
                <w:rFonts w:cs="Arial"/>
                <w:szCs w:val="18"/>
                <w:lang w:val="en-GB"/>
              </w:rPr>
              <w:t>3.</w:t>
            </w:r>
            <w:r>
              <w:rPr>
                <w:rFonts w:cs="Arial"/>
                <w:szCs w:val="18"/>
                <w:lang w:val="en-GB"/>
              </w:rPr>
              <w:t>5</w:t>
            </w:r>
            <w:r w:rsidRPr="008226EF">
              <w:rPr>
                <w:rFonts w:cs="Arial"/>
                <w:szCs w:val="18"/>
                <w:lang w:val="en-GB"/>
              </w:rPr>
              <w:t xml:space="preserve"> Verify if the peak amplitude of each sensor is greater than a specified value</w:t>
            </w:r>
          </w:p>
        </w:tc>
        <w:tc>
          <w:tcPr>
            <w:tcW w:w="616" w:type="pct"/>
            <w:tcBorders>
              <w:top w:val="nil"/>
              <w:bottom w:val="single" w:sz="4" w:space="0" w:color="067435"/>
            </w:tcBorders>
            <w:shd w:val="clear" w:color="auto" w:fill="FFFFFF"/>
          </w:tcPr>
          <w:p w14:paraId="11E2C838" w14:textId="594868B6" w:rsidR="007A52FD" w:rsidRPr="008226EF" w:rsidRDefault="007A52FD" w:rsidP="003639F2">
            <w:pPr>
              <w:pStyle w:val="CETBodytext"/>
              <w:ind w:right="-1"/>
              <w:jc w:val="left"/>
              <w:rPr>
                <w:rFonts w:cs="Arial"/>
                <w:szCs w:val="18"/>
                <w:lang w:val="en-GB"/>
              </w:rPr>
            </w:pPr>
            <w:r>
              <w:rPr>
                <w:rFonts w:cs="Arial"/>
                <w:szCs w:val="18"/>
                <w:lang w:val="en-GB"/>
              </w:rPr>
              <w:t>K</w:t>
            </w:r>
            <w:r w:rsidRPr="008226EF">
              <w:rPr>
                <w:rFonts w:cs="Arial"/>
                <w:szCs w:val="18"/>
                <w:lang w:val="en-GB"/>
              </w:rPr>
              <w:t>nowledge</w:t>
            </w:r>
          </w:p>
        </w:tc>
        <w:tc>
          <w:tcPr>
            <w:tcW w:w="390" w:type="pct"/>
            <w:tcBorders>
              <w:top w:val="nil"/>
              <w:bottom w:val="single" w:sz="4" w:space="0" w:color="067435"/>
            </w:tcBorders>
            <w:shd w:val="clear" w:color="auto" w:fill="FFFFFF"/>
          </w:tcPr>
          <w:p w14:paraId="4427B52E" w14:textId="39A9FBB9" w:rsidR="007A52FD" w:rsidRPr="008226EF" w:rsidRDefault="007A52FD" w:rsidP="00CE1A69">
            <w:pPr>
              <w:pStyle w:val="CETBodytext"/>
              <w:ind w:right="-1"/>
              <w:rPr>
                <w:rFonts w:cs="Arial"/>
                <w:szCs w:val="18"/>
                <w:lang w:val="en-GB"/>
              </w:rPr>
            </w:pPr>
            <w:r w:rsidRPr="008226EF">
              <w:rPr>
                <w:rFonts w:cs="Arial"/>
                <w:szCs w:val="18"/>
                <w:lang w:val="en-GB"/>
              </w:rPr>
              <w:t>0.005</w:t>
            </w:r>
          </w:p>
        </w:tc>
      </w:tr>
      <w:tr w:rsidR="007A52FD" w:rsidRPr="008226EF" w14:paraId="44D24616" w14:textId="77777777" w:rsidTr="00AB5A77">
        <w:tc>
          <w:tcPr>
            <w:tcW w:w="717" w:type="pct"/>
            <w:vMerge w:val="restart"/>
            <w:tcBorders>
              <w:top w:val="single" w:sz="4" w:space="0" w:color="067435"/>
              <w:bottom w:val="nil"/>
            </w:tcBorders>
            <w:shd w:val="clear" w:color="auto" w:fill="FFFFFF"/>
            <w:vAlign w:val="center"/>
          </w:tcPr>
          <w:p w14:paraId="50CCC700" w14:textId="77777777" w:rsidR="005E584B" w:rsidRDefault="005E584B" w:rsidP="007A52FD">
            <w:pPr>
              <w:pStyle w:val="CETBodytext"/>
              <w:ind w:right="-1"/>
              <w:jc w:val="left"/>
              <w:rPr>
                <w:rFonts w:cs="Arial"/>
                <w:szCs w:val="18"/>
                <w:lang w:val="en-GB"/>
              </w:rPr>
            </w:pPr>
            <w:r>
              <w:rPr>
                <w:rFonts w:cs="Arial"/>
                <w:szCs w:val="18"/>
                <w:lang w:val="en-GB"/>
              </w:rPr>
              <w:t>4</w:t>
            </w:r>
          </w:p>
          <w:p w14:paraId="53E68F01" w14:textId="5833A84F" w:rsidR="007A52FD" w:rsidRPr="008226EF" w:rsidRDefault="007A52FD" w:rsidP="007A52FD">
            <w:pPr>
              <w:pStyle w:val="CETBodytext"/>
              <w:ind w:right="-1"/>
              <w:jc w:val="left"/>
              <w:rPr>
                <w:rFonts w:cs="Arial"/>
                <w:szCs w:val="18"/>
                <w:lang w:val="en-GB"/>
              </w:rPr>
            </w:pPr>
            <w:r w:rsidRPr="007A52FD">
              <w:rPr>
                <w:rFonts w:cs="Arial"/>
                <w:szCs w:val="18"/>
                <w:lang w:val="en-GB"/>
              </w:rPr>
              <w:t>Data post-processing</w:t>
            </w:r>
          </w:p>
        </w:tc>
        <w:tc>
          <w:tcPr>
            <w:tcW w:w="3277" w:type="pct"/>
            <w:tcBorders>
              <w:top w:val="single" w:sz="4" w:space="0" w:color="067435"/>
              <w:bottom w:val="nil"/>
            </w:tcBorders>
            <w:shd w:val="clear" w:color="auto" w:fill="FFFFFF"/>
          </w:tcPr>
          <w:p w14:paraId="4786AF2D" w14:textId="1C250968" w:rsidR="007A52FD" w:rsidRPr="008226EF" w:rsidRDefault="007A52FD" w:rsidP="003639F2">
            <w:pPr>
              <w:pStyle w:val="CETBodytext"/>
              <w:ind w:right="-1"/>
              <w:jc w:val="left"/>
              <w:rPr>
                <w:rFonts w:cs="Arial"/>
                <w:szCs w:val="18"/>
                <w:lang w:val="en-GB"/>
              </w:rPr>
            </w:pPr>
            <w:r w:rsidRPr="008226EF">
              <w:rPr>
                <w:rFonts w:cs="Arial"/>
                <w:szCs w:val="18"/>
                <w:lang w:val="en-GB"/>
              </w:rPr>
              <w:t>4.1 Filter raw AE data to eliminate the background noise</w:t>
            </w:r>
          </w:p>
        </w:tc>
        <w:tc>
          <w:tcPr>
            <w:tcW w:w="616" w:type="pct"/>
            <w:tcBorders>
              <w:top w:val="single" w:sz="4" w:space="0" w:color="067435"/>
              <w:bottom w:val="nil"/>
            </w:tcBorders>
            <w:shd w:val="clear" w:color="auto" w:fill="FFFFFF"/>
          </w:tcPr>
          <w:p w14:paraId="14FB3CA6" w14:textId="0C9D6668" w:rsidR="007A52FD" w:rsidRPr="008226EF" w:rsidRDefault="007A52FD" w:rsidP="003639F2">
            <w:pPr>
              <w:pStyle w:val="CETBodytext"/>
              <w:ind w:right="-1"/>
              <w:jc w:val="left"/>
              <w:rPr>
                <w:rFonts w:cs="Arial"/>
                <w:szCs w:val="18"/>
                <w:lang w:val="en-GB"/>
              </w:rPr>
            </w:pPr>
            <w:r>
              <w:rPr>
                <w:rFonts w:cs="Arial"/>
                <w:szCs w:val="18"/>
                <w:lang w:val="en-GB"/>
              </w:rPr>
              <w:t>S</w:t>
            </w:r>
            <w:r w:rsidRPr="008226EF">
              <w:rPr>
                <w:rFonts w:cs="Arial"/>
                <w:szCs w:val="18"/>
                <w:lang w:val="en-GB"/>
              </w:rPr>
              <w:t>kill</w:t>
            </w:r>
          </w:p>
        </w:tc>
        <w:tc>
          <w:tcPr>
            <w:tcW w:w="390" w:type="pct"/>
            <w:tcBorders>
              <w:top w:val="single" w:sz="4" w:space="0" w:color="067435"/>
              <w:bottom w:val="nil"/>
            </w:tcBorders>
            <w:shd w:val="clear" w:color="auto" w:fill="FFFFFF"/>
          </w:tcPr>
          <w:p w14:paraId="055263FB" w14:textId="48498D3C" w:rsidR="007A52FD" w:rsidRPr="008226EF" w:rsidRDefault="007A52FD" w:rsidP="00CE1A69">
            <w:pPr>
              <w:pStyle w:val="CETBodytext"/>
              <w:ind w:right="-1"/>
              <w:rPr>
                <w:rFonts w:cs="Arial"/>
                <w:szCs w:val="18"/>
                <w:lang w:val="en-GB"/>
              </w:rPr>
            </w:pPr>
            <w:r w:rsidRPr="008226EF">
              <w:rPr>
                <w:rFonts w:cs="Arial"/>
                <w:szCs w:val="18"/>
                <w:lang w:val="en-GB"/>
              </w:rPr>
              <w:t>0.05</w:t>
            </w:r>
          </w:p>
        </w:tc>
      </w:tr>
      <w:tr w:rsidR="007A52FD" w:rsidRPr="008226EF" w14:paraId="20841163" w14:textId="77777777" w:rsidTr="007D59C6">
        <w:tc>
          <w:tcPr>
            <w:tcW w:w="717" w:type="pct"/>
            <w:vMerge/>
            <w:tcBorders>
              <w:top w:val="nil"/>
            </w:tcBorders>
            <w:shd w:val="clear" w:color="auto" w:fill="FFFFFF"/>
            <w:vAlign w:val="center"/>
          </w:tcPr>
          <w:p w14:paraId="00060E3D" w14:textId="77777777" w:rsidR="007A52FD" w:rsidRPr="008226EF" w:rsidRDefault="007A52FD" w:rsidP="007A52FD">
            <w:pPr>
              <w:pStyle w:val="CETBodytext"/>
              <w:ind w:right="-1"/>
              <w:jc w:val="left"/>
              <w:rPr>
                <w:rFonts w:cs="Arial"/>
                <w:szCs w:val="18"/>
                <w:lang w:val="en-GB"/>
              </w:rPr>
            </w:pPr>
          </w:p>
        </w:tc>
        <w:tc>
          <w:tcPr>
            <w:tcW w:w="3277" w:type="pct"/>
            <w:tcBorders>
              <w:top w:val="nil"/>
              <w:bottom w:val="nil"/>
            </w:tcBorders>
            <w:shd w:val="clear" w:color="auto" w:fill="FFFFFF"/>
          </w:tcPr>
          <w:p w14:paraId="014423ED" w14:textId="2120BD2C" w:rsidR="007A52FD" w:rsidRPr="008226EF" w:rsidRDefault="007A52FD" w:rsidP="003639F2">
            <w:pPr>
              <w:pStyle w:val="CETBodytext"/>
              <w:ind w:right="-1"/>
              <w:jc w:val="left"/>
              <w:rPr>
                <w:rFonts w:cs="Arial"/>
                <w:szCs w:val="18"/>
                <w:lang w:val="en-GB"/>
              </w:rPr>
            </w:pPr>
            <w:r w:rsidRPr="008226EF">
              <w:rPr>
                <w:rFonts w:cs="Arial"/>
                <w:szCs w:val="18"/>
                <w:lang w:val="en-GB"/>
              </w:rPr>
              <w:t>4.2 Examine the distribution plots to locate the defects</w:t>
            </w:r>
          </w:p>
        </w:tc>
        <w:tc>
          <w:tcPr>
            <w:tcW w:w="616" w:type="pct"/>
            <w:tcBorders>
              <w:top w:val="nil"/>
              <w:bottom w:val="nil"/>
            </w:tcBorders>
            <w:shd w:val="clear" w:color="auto" w:fill="FFFFFF"/>
          </w:tcPr>
          <w:p w14:paraId="2E22EB6E" w14:textId="506083C7" w:rsidR="007A52FD" w:rsidRPr="008226EF" w:rsidRDefault="007A52FD" w:rsidP="003639F2">
            <w:pPr>
              <w:pStyle w:val="CETBodytext"/>
              <w:ind w:right="-1"/>
              <w:jc w:val="left"/>
              <w:rPr>
                <w:rFonts w:cs="Arial"/>
                <w:szCs w:val="18"/>
                <w:lang w:val="en-GB"/>
              </w:rPr>
            </w:pPr>
            <w:r>
              <w:rPr>
                <w:rFonts w:cs="Arial"/>
                <w:szCs w:val="18"/>
                <w:lang w:val="en-GB"/>
              </w:rPr>
              <w:t>S</w:t>
            </w:r>
            <w:r w:rsidRPr="008226EF">
              <w:rPr>
                <w:rFonts w:cs="Arial"/>
                <w:szCs w:val="18"/>
                <w:lang w:val="en-GB"/>
              </w:rPr>
              <w:t>kill</w:t>
            </w:r>
          </w:p>
        </w:tc>
        <w:tc>
          <w:tcPr>
            <w:tcW w:w="390" w:type="pct"/>
            <w:tcBorders>
              <w:top w:val="nil"/>
              <w:bottom w:val="nil"/>
            </w:tcBorders>
            <w:shd w:val="clear" w:color="auto" w:fill="FFFFFF"/>
          </w:tcPr>
          <w:p w14:paraId="0CAE9483" w14:textId="658AAC89" w:rsidR="007A52FD" w:rsidRPr="008226EF" w:rsidRDefault="007A52FD" w:rsidP="00CE1A69">
            <w:pPr>
              <w:pStyle w:val="CETBodytext"/>
              <w:ind w:right="-1"/>
              <w:rPr>
                <w:rFonts w:cs="Arial"/>
                <w:szCs w:val="18"/>
                <w:lang w:val="en-GB"/>
              </w:rPr>
            </w:pPr>
            <w:r w:rsidRPr="008226EF">
              <w:rPr>
                <w:rFonts w:cs="Arial"/>
                <w:szCs w:val="18"/>
                <w:lang w:val="en-GB"/>
              </w:rPr>
              <w:t>0.25</w:t>
            </w:r>
          </w:p>
        </w:tc>
      </w:tr>
      <w:tr w:rsidR="007A52FD" w:rsidRPr="008226EF" w14:paraId="1696F587" w14:textId="77777777" w:rsidTr="007D59C6">
        <w:tc>
          <w:tcPr>
            <w:tcW w:w="717" w:type="pct"/>
            <w:vMerge/>
            <w:shd w:val="clear" w:color="auto" w:fill="FFFFFF"/>
            <w:vAlign w:val="center"/>
          </w:tcPr>
          <w:p w14:paraId="4DBA7B62" w14:textId="77777777" w:rsidR="007A52FD" w:rsidRPr="008226EF" w:rsidRDefault="007A52FD" w:rsidP="007A52FD">
            <w:pPr>
              <w:pStyle w:val="CETBodytext"/>
              <w:ind w:right="-1"/>
              <w:jc w:val="left"/>
              <w:rPr>
                <w:rFonts w:cs="Arial"/>
                <w:szCs w:val="18"/>
                <w:lang w:val="en-GB"/>
              </w:rPr>
            </w:pPr>
          </w:p>
        </w:tc>
        <w:tc>
          <w:tcPr>
            <w:tcW w:w="3277" w:type="pct"/>
            <w:tcBorders>
              <w:top w:val="nil"/>
            </w:tcBorders>
            <w:shd w:val="clear" w:color="auto" w:fill="FFFFFF"/>
          </w:tcPr>
          <w:p w14:paraId="17775947" w14:textId="2BA400AB" w:rsidR="007A52FD" w:rsidRPr="008226EF" w:rsidRDefault="007A52FD" w:rsidP="003639F2">
            <w:pPr>
              <w:pStyle w:val="CETBodytext"/>
              <w:ind w:right="-1"/>
              <w:jc w:val="left"/>
              <w:rPr>
                <w:rFonts w:cs="Arial"/>
                <w:szCs w:val="18"/>
                <w:lang w:val="en-GB"/>
              </w:rPr>
            </w:pPr>
            <w:r w:rsidRPr="008226EF">
              <w:rPr>
                <w:rFonts w:cs="Arial"/>
                <w:szCs w:val="18"/>
                <w:lang w:val="en-GB"/>
              </w:rPr>
              <w:t>4.3 Decide if further NTSs are needed to quantify the crack size</w:t>
            </w:r>
            <w:r w:rsidRPr="008226EF">
              <w:rPr>
                <w:rFonts w:cs="Arial"/>
                <w:szCs w:val="18"/>
                <w:lang w:val="en-GB"/>
              </w:rPr>
              <w:tab/>
            </w:r>
            <w:r w:rsidRPr="008226EF">
              <w:rPr>
                <w:rFonts w:cs="Arial"/>
                <w:szCs w:val="18"/>
                <w:lang w:val="en-GB"/>
              </w:rPr>
              <w:tab/>
            </w:r>
          </w:p>
        </w:tc>
        <w:tc>
          <w:tcPr>
            <w:tcW w:w="616" w:type="pct"/>
            <w:tcBorders>
              <w:top w:val="nil"/>
            </w:tcBorders>
            <w:shd w:val="clear" w:color="auto" w:fill="FFFFFF"/>
          </w:tcPr>
          <w:p w14:paraId="58A8BBB4" w14:textId="2A45285B" w:rsidR="007A52FD" w:rsidRPr="008226EF" w:rsidRDefault="007A52FD" w:rsidP="003639F2">
            <w:pPr>
              <w:pStyle w:val="CETBodytext"/>
              <w:ind w:right="-1"/>
              <w:jc w:val="left"/>
              <w:rPr>
                <w:rFonts w:cs="Arial"/>
                <w:szCs w:val="18"/>
                <w:lang w:val="en-GB"/>
              </w:rPr>
            </w:pPr>
            <w:r>
              <w:rPr>
                <w:rFonts w:cs="Arial"/>
                <w:szCs w:val="18"/>
                <w:lang w:val="en-GB"/>
              </w:rPr>
              <w:t>S</w:t>
            </w:r>
            <w:r w:rsidRPr="008226EF">
              <w:rPr>
                <w:rFonts w:cs="Arial"/>
                <w:szCs w:val="18"/>
                <w:lang w:val="en-GB"/>
              </w:rPr>
              <w:t>kill</w:t>
            </w:r>
          </w:p>
        </w:tc>
        <w:tc>
          <w:tcPr>
            <w:tcW w:w="390" w:type="pct"/>
            <w:tcBorders>
              <w:top w:val="nil"/>
            </w:tcBorders>
            <w:shd w:val="clear" w:color="auto" w:fill="FFFFFF"/>
          </w:tcPr>
          <w:p w14:paraId="5C35CA19" w14:textId="06A3E933" w:rsidR="007A52FD" w:rsidRPr="008226EF" w:rsidRDefault="007A52FD" w:rsidP="00CE1A69">
            <w:pPr>
              <w:pStyle w:val="CETBodytext"/>
              <w:ind w:right="-1"/>
              <w:rPr>
                <w:rFonts w:cs="Arial"/>
                <w:szCs w:val="18"/>
                <w:lang w:val="en-GB"/>
              </w:rPr>
            </w:pPr>
            <w:r w:rsidRPr="008226EF">
              <w:rPr>
                <w:rFonts w:cs="Arial"/>
                <w:szCs w:val="18"/>
                <w:lang w:val="en-GB"/>
              </w:rPr>
              <w:t>0.02</w:t>
            </w:r>
          </w:p>
        </w:tc>
      </w:tr>
    </w:tbl>
    <w:p w14:paraId="10EB5B6F" w14:textId="77777777" w:rsidR="00261C13" w:rsidRDefault="00261C13" w:rsidP="00854BCE">
      <w:pPr>
        <w:pStyle w:val="CETBodytext"/>
      </w:pPr>
    </w:p>
    <w:p w14:paraId="16CA63AE" w14:textId="11702C27" w:rsidR="0021536B" w:rsidRDefault="00EB652C" w:rsidP="00656DBB">
      <w:pPr>
        <w:pStyle w:val="CETBodytext"/>
      </w:pPr>
      <w:r w:rsidRPr="00EB652C">
        <w:t>The probabilities of tasks and sub-tasks have Boolean values, either “failure” or “success.” “Failure” indicates an unsuccessful or incomplete task, while “success” indicates a complete task. Figure 2 shows a graphical representation of the three-layered BN</w:t>
      </w:r>
      <w:r w:rsidR="005A7759">
        <w:t>.</w:t>
      </w:r>
    </w:p>
    <w:p w14:paraId="225C2E27" w14:textId="77777777" w:rsidR="00965A77" w:rsidRDefault="00965A77" w:rsidP="00656DBB">
      <w:pPr>
        <w:pStyle w:val="CETBodytext"/>
      </w:pPr>
    </w:p>
    <w:p w14:paraId="00CB4BEA" w14:textId="77777777" w:rsidR="00965A77" w:rsidRDefault="009820F5" w:rsidP="00965A77">
      <w:pPr>
        <w:pStyle w:val="CETBodytext"/>
        <w:keepNext/>
      </w:pPr>
      <w:r w:rsidRPr="009820F5">
        <w:rPr>
          <w:noProof/>
          <w:lang w:val="nb-NO"/>
        </w:rPr>
        <w:drawing>
          <wp:inline distT="0" distB="0" distL="0" distR="0" wp14:anchorId="48DE897B" wp14:editId="6307BDD1">
            <wp:extent cx="4472412" cy="2578844"/>
            <wp:effectExtent l="0" t="0" r="4445" b="0"/>
            <wp:docPr id="1809457372" name="Picture 3"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457372" name="Picture 3" descr="A diagram of a network&#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49762" cy="2623445"/>
                    </a:xfrm>
                    <a:prstGeom prst="rect">
                      <a:avLst/>
                    </a:prstGeom>
                    <a:noFill/>
                    <a:ln>
                      <a:noFill/>
                    </a:ln>
                  </pic:spPr>
                </pic:pic>
              </a:graphicData>
            </a:graphic>
          </wp:inline>
        </w:drawing>
      </w:r>
    </w:p>
    <w:p w14:paraId="1C4CFE3D" w14:textId="76787B0B" w:rsidR="009820F5" w:rsidRPr="00224524" w:rsidRDefault="00965A77" w:rsidP="00631643">
      <w:pPr>
        <w:pStyle w:val="CETCaption"/>
        <w:rPr>
          <w:lang w:val="en-US"/>
        </w:rPr>
      </w:pPr>
      <w:r>
        <w:t xml:space="preserve">Figure </w:t>
      </w:r>
      <w:r>
        <w:fldChar w:fldCharType="begin"/>
      </w:r>
      <w:r>
        <w:instrText xml:space="preserve"> SEQ Figure \* ARABIC </w:instrText>
      </w:r>
      <w:r>
        <w:fldChar w:fldCharType="separate"/>
      </w:r>
      <w:r w:rsidR="00726CF0">
        <w:rPr>
          <w:noProof/>
        </w:rPr>
        <w:t>2</w:t>
      </w:r>
      <w:r>
        <w:fldChar w:fldCharType="end"/>
      </w:r>
      <w:r>
        <w:t>:</w:t>
      </w:r>
      <w:r w:rsidR="00224524">
        <w:t xml:space="preserve"> </w:t>
      </w:r>
      <w:r w:rsidR="00224524" w:rsidRPr="00224524">
        <w:t xml:space="preserve">BN </w:t>
      </w:r>
      <w:r w:rsidR="00224524">
        <w:t xml:space="preserve">model showing the probability of success </w:t>
      </w:r>
      <w:r w:rsidR="00224524" w:rsidRPr="00224524">
        <w:t xml:space="preserve">of each task and sub-task of the </w:t>
      </w:r>
      <w:proofErr w:type="gramStart"/>
      <w:r w:rsidR="00224524" w:rsidRPr="00224524">
        <w:t>AET</w:t>
      </w:r>
      <w:proofErr w:type="gramEnd"/>
    </w:p>
    <w:p w14:paraId="7302888F" w14:textId="4B8B1C98" w:rsidR="000644EE" w:rsidRDefault="00207BA4" w:rsidP="00852679">
      <w:pPr>
        <w:pStyle w:val="CETBodytext"/>
      </w:pPr>
      <w:r w:rsidRPr="00207BA4">
        <w:lastRenderedPageBreak/>
        <w:t xml:space="preserve">Figure 2 quantifies the probability of successfully inspecting a hydrogen tank through AET. It is possible to observe that the inspection activity has a probability of 99.882% to be completed and detect an existing crack. This is verified when considering the optimal working environment, adequate attitude to safety, and sufficient training of the operators. However, the </w:t>
      </w:r>
      <w:r w:rsidR="0027522F">
        <w:t xml:space="preserve">test’s </w:t>
      </w:r>
      <w:r w:rsidRPr="00207BA4">
        <w:t>performance depends on four steps. They have a relatively high chance of being appropriately performed, considering the HEP</w:t>
      </w:r>
      <w:r w:rsidR="00911791">
        <w:t>s</w:t>
      </w:r>
      <w:r w:rsidRPr="00207BA4">
        <w:t xml:space="preserve"> associated with the sub-tasks. Table 2 indicates that the likelihood of unsuccessful tank isolation and draining is extremely low due to the simplicity of the actions</w:t>
      </w:r>
      <w:r w:rsidR="00911791">
        <w:t xml:space="preserve"> involved</w:t>
      </w:r>
      <w:r w:rsidRPr="00207BA4">
        <w:t>. In contrast, the data post-processing and interpretation are more critical since the procedure is not well defined, the tasks are inherently more complex, and the human-machine interface might be challenging to interpret</w:t>
      </w:r>
      <w:r w:rsidR="00F361BB">
        <w:t>.</w:t>
      </w:r>
    </w:p>
    <w:p w14:paraId="6873F03E" w14:textId="04205423" w:rsidR="004045C8" w:rsidRPr="00852679" w:rsidRDefault="004045C8" w:rsidP="004045C8">
      <w:pPr>
        <w:pStyle w:val="CETCaption"/>
      </w:pPr>
      <w:r w:rsidRPr="00852679">
        <w:t xml:space="preserve">Table </w:t>
      </w:r>
      <w:r w:rsidRPr="00852679">
        <w:fldChar w:fldCharType="begin"/>
      </w:r>
      <w:r w:rsidRPr="00852679">
        <w:instrText xml:space="preserve"> SEQ Table \* ARABIC </w:instrText>
      </w:r>
      <w:r w:rsidRPr="00852679">
        <w:fldChar w:fldCharType="separate"/>
      </w:r>
      <w:r w:rsidR="005B132A">
        <w:rPr>
          <w:noProof/>
        </w:rPr>
        <w:t>2</w:t>
      </w:r>
      <w:r w:rsidRPr="00852679">
        <w:fldChar w:fldCharType="end"/>
      </w:r>
      <w:r w:rsidRPr="00852679">
        <w:t>: Conditional probabilities of the tasks</w:t>
      </w:r>
    </w:p>
    <w:tbl>
      <w:tblPr>
        <w:tblW w:w="3534"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539"/>
        <w:gridCol w:w="3601"/>
        <w:gridCol w:w="2071"/>
      </w:tblGrid>
      <w:tr w:rsidR="008B0656" w:rsidRPr="008B0656" w14:paraId="2567069C" w14:textId="77777777" w:rsidTr="005E584B">
        <w:tc>
          <w:tcPr>
            <w:tcW w:w="434" w:type="pct"/>
            <w:tcBorders>
              <w:top w:val="single" w:sz="12" w:space="0" w:color="008000"/>
              <w:bottom w:val="single" w:sz="6" w:space="0" w:color="008000"/>
            </w:tcBorders>
            <w:shd w:val="clear" w:color="auto" w:fill="FFFFFF"/>
          </w:tcPr>
          <w:p w14:paraId="42D4691E" w14:textId="3DFF4BA1" w:rsidR="005F09AB" w:rsidRPr="008B0656" w:rsidRDefault="005F09AB" w:rsidP="00F22197">
            <w:pPr>
              <w:pStyle w:val="CETBodytext"/>
              <w:jc w:val="left"/>
              <w:rPr>
                <w:lang w:val="en-GB"/>
              </w:rPr>
            </w:pPr>
            <w:r w:rsidRPr="008B0656">
              <w:rPr>
                <w:lang w:val="en-GB"/>
              </w:rPr>
              <w:t>ID</w:t>
            </w:r>
          </w:p>
        </w:tc>
        <w:tc>
          <w:tcPr>
            <w:tcW w:w="2899" w:type="pct"/>
            <w:tcBorders>
              <w:top w:val="single" w:sz="12" w:space="0" w:color="008000"/>
              <w:bottom w:val="single" w:sz="6" w:space="0" w:color="008000"/>
            </w:tcBorders>
            <w:shd w:val="clear" w:color="auto" w:fill="FFFFFF"/>
          </w:tcPr>
          <w:p w14:paraId="0DB899F6" w14:textId="7BD4DEC1" w:rsidR="005F09AB" w:rsidRPr="008B0656" w:rsidRDefault="005F09AB" w:rsidP="00F22197">
            <w:pPr>
              <w:pStyle w:val="CETBodytext"/>
              <w:jc w:val="left"/>
              <w:rPr>
                <w:lang w:val="en-GB"/>
              </w:rPr>
            </w:pPr>
            <w:r w:rsidRPr="008B0656">
              <w:rPr>
                <w:lang w:val="en-GB"/>
              </w:rPr>
              <w:t>Task description</w:t>
            </w:r>
          </w:p>
        </w:tc>
        <w:tc>
          <w:tcPr>
            <w:tcW w:w="1667" w:type="pct"/>
            <w:tcBorders>
              <w:top w:val="single" w:sz="12" w:space="0" w:color="008000"/>
              <w:bottom w:val="single" w:sz="6" w:space="0" w:color="008000"/>
            </w:tcBorders>
            <w:shd w:val="clear" w:color="auto" w:fill="FFFFFF"/>
          </w:tcPr>
          <w:p w14:paraId="69D181A2" w14:textId="1C64E2E5" w:rsidR="005F09AB" w:rsidRPr="008B0656" w:rsidRDefault="005F09AB" w:rsidP="00F22197">
            <w:pPr>
              <w:pStyle w:val="CETBodytext"/>
              <w:jc w:val="left"/>
              <w:rPr>
                <w:lang w:val="en-GB"/>
              </w:rPr>
            </w:pPr>
            <w:r w:rsidRPr="008B0656">
              <w:rPr>
                <w:lang w:val="en-GB"/>
              </w:rPr>
              <w:t>Probability of success</w:t>
            </w:r>
          </w:p>
        </w:tc>
      </w:tr>
      <w:tr w:rsidR="008B0656" w:rsidRPr="008B0656" w14:paraId="74BEC02F" w14:textId="77777777" w:rsidTr="005E584B">
        <w:tc>
          <w:tcPr>
            <w:tcW w:w="434" w:type="pct"/>
            <w:tcBorders>
              <w:bottom w:val="nil"/>
            </w:tcBorders>
            <w:shd w:val="clear" w:color="auto" w:fill="FFFFFF"/>
          </w:tcPr>
          <w:p w14:paraId="7C755194" w14:textId="55BA4560" w:rsidR="005F09AB" w:rsidRPr="008B0656" w:rsidRDefault="005F09AB" w:rsidP="00F22197">
            <w:pPr>
              <w:pStyle w:val="CETBodytext"/>
              <w:jc w:val="left"/>
              <w:rPr>
                <w:rFonts w:cs="Arial"/>
                <w:szCs w:val="18"/>
                <w:lang w:val="en-GB"/>
              </w:rPr>
            </w:pPr>
            <w:r w:rsidRPr="008B0656">
              <w:rPr>
                <w:rFonts w:cs="Arial"/>
                <w:szCs w:val="18"/>
                <w:lang w:val="en-GB"/>
              </w:rPr>
              <w:t>1</w:t>
            </w:r>
          </w:p>
        </w:tc>
        <w:tc>
          <w:tcPr>
            <w:tcW w:w="2899" w:type="pct"/>
          </w:tcPr>
          <w:p w14:paraId="02DC3495" w14:textId="49A0EB08" w:rsidR="005F09AB" w:rsidRPr="008B0656" w:rsidRDefault="005F09AB" w:rsidP="00F22197">
            <w:pPr>
              <w:pStyle w:val="CETBodytext"/>
              <w:rPr>
                <w:lang w:val="en-GB"/>
              </w:rPr>
            </w:pPr>
            <w:r w:rsidRPr="008B0656">
              <w:rPr>
                <w:rFonts w:cs="Arial"/>
                <w:szCs w:val="18"/>
                <w:lang w:val="en-GB"/>
              </w:rPr>
              <w:t>Tank isolation and draining</w:t>
            </w:r>
          </w:p>
        </w:tc>
        <w:tc>
          <w:tcPr>
            <w:tcW w:w="1667" w:type="pct"/>
          </w:tcPr>
          <w:p w14:paraId="3BC7A2D6" w14:textId="29642B41" w:rsidR="005F09AB" w:rsidRPr="008B0656" w:rsidRDefault="005F09AB" w:rsidP="00F22197">
            <w:pPr>
              <w:pStyle w:val="CETBodytext"/>
              <w:rPr>
                <w:lang w:val="en-GB"/>
              </w:rPr>
            </w:pPr>
            <w:r w:rsidRPr="008B0656">
              <w:rPr>
                <w:lang w:val="en-GB"/>
              </w:rPr>
              <w:t>99.998 %</w:t>
            </w:r>
          </w:p>
        </w:tc>
      </w:tr>
      <w:tr w:rsidR="008B0656" w:rsidRPr="008B0656" w14:paraId="10A1B0A8" w14:textId="77777777" w:rsidTr="005E584B">
        <w:tc>
          <w:tcPr>
            <w:tcW w:w="434" w:type="pct"/>
            <w:tcBorders>
              <w:top w:val="nil"/>
              <w:bottom w:val="nil"/>
            </w:tcBorders>
            <w:shd w:val="clear" w:color="auto" w:fill="FFFFFF"/>
          </w:tcPr>
          <w:p w14:paraId="54DFC01C" w14:textId="511CE35D" w:rsidR="005F09AB" w:rsidRPr="008B0656" w:rsidRDefault="005F09AB" w:rsidP="00F22197">
            <w:pPr>
              <w:pStyle w:val="CETBodytext"/>
              <w:ind w:right="-1"/>
              <w:jc w:val="left"/>
              <w:rPr>
                <w:rFonts w:cs="Arial"/>
                <w:szCs w:val="18"/>
                <w:lang w:val="en-GB"/>
              </w:rPr>
            </w:pPr>
            <w:r w:rsidRPr="008B0656">
              <w:rPr>
                <w:rFonts w:cs="Arial"/>
                <w:szCs w:val="18"/>
                <w:lang w:val="en-GB"/>
              </w:rPr>
              <w:t>2</w:t>
            </w:r>
          </w:p>
        </w:tc>
        <w:tc>
          <w:tcPr>
            <w:tcW w:w="2899" w:type="pct"/>
          </w:tcPr>
          <w:p w14:paraId="5642DF79" w14:textId="710DA78E" w:rsidR="005F09AB" w:rsidRPr="008B0656" w:rsidRDefault="005E584B" w:rsidP="00F22197">
            <w:pPr>
              <w:pStyle w:val="CETBodytext"/>
              <w:rPr>
                <w:lang w:val="en-GB"/>
              </w:rPr>
            </w:pPr>
            <w:r w:rsidRPr="005E584B">
              <w:rPr>
                <w:rFonts w:cs="Arial"/>
                <w:szCs w:val="18"/>
                <w:lang w:val="en-GB"/>
              </w:rPr>
              <w:t>Mounting and check of AET equipment</w:t>
            </w:r>
          </w:p>
        </w:tc>
        <w:tc>
          <w:tcPr>
            <w:tcW w:w="1667" w:type="pct"/>
          </w:tcPr>
          <w:p w14:paraId="26D9E7E3" w14:textId="6E2D2DCC" w:rsidR="005F09AB" w:rsidRPr="008B0656" w:rsidRDefault="005F09AB" w:rsidP="00F22197">
            <w:pPr>
              <w:pStyle w:val="CETBodytext"/>
              <w:rPr>
                <w:lang w:val="en-GB"/>
              </w:rPr>
            </w:pPr>
            <w:r w:rsidRPr="008B0656">
              <w:rPr>
                <w:lang w:val="en-GB"/>
              </w:rPr>
              <w:t>99.289 %</w:t>
            </w:r>
          </w:p>
        </w:tc>
      </w:tr>
      <w:tr w:rsidR="008B0656" w:rsidRPr="008B0656" w14:paraId="64D20769" w14:textId="77777777" w:rsidTr="005E584B">
        <w:tc>
          <w:tcPr>
            <w:tcW w:w="434" w:type="pct"/>
            <w:tcBorders>
              <w:top w:val="nil"/>
              <w:bottom w:val="nil"/>
            </w:tcBorders>
            <w:shd w:val="clear" w:color="auto" w:fill="FFFFFF"/>
          </w:tcPr>
          <w:p w14:paraId="2602D18F" w14:textId="20E334FE" w:rsidR="005F09AB" w:rsidRPr="008B0656" w:rsidRDefault="005F09AB" w:rsidP="00F22197">
            <w:pPr>
              <w:pStyle w:val="CETBodytext"/>
              <w:ind w:right="-1"/>
              <w:rPr>
                <w:rFonts w:cs="Arial"/>
                <w:szCs w:val="18"/>
                <w:lang w:val="en-GB"/>
              </w:rPr>
            </w:pPr>
            <w:r w:rsidRPr="008B0656">
              <w:rPr>
                <w:rFonts w:cs="Arial"/>
                <w:szCs w:val="18"/>
                <w:lang w:val="en-GB"/>
              </w:rPr>
              <w:t>3</w:t>
            </w:r>
          </w:p>
        </w:tc>
        <w:tc>
          <w:tcPr>
            <w:tcW w:w="2899" w:type="pct"/>
          </w:tcPr>
          <w:p w14:paraId="77AAFEE9" w14:textId="4774AE58" w:rsidR="005F09AB" w:rsidRPr="008B0656" w:rsidRDefault="005F09AB" w:rsidP="00F22197">
            <w:pPr>
              <w:pStyle w:val="CETBodytext"/>
              <w:rPr>
                <w:lang w:val="en-GB"/>
              </w:rPr>
            </w:pPr>
            <w:r w:rsidRPr="008B0656">
              <w:rPr>
                <w:rFonts w:cs="Arial"/>
                <w:szCs w:val="18"/>
                <w:lang w:val="en-GB"/>
              </w:rPr>
              <w:t>Pressurization of the tank</w:t>
            </w:r>
          </w:p>
        </w:tc>
        <w:tc>
          <w:tcPr>
            <w:tcW w:w="1667" w:type="pct"/>
          </w:tcPr>
          <w:p w14:paraId="552E1B16" w14:textId="656F3E04" w:rsidR="005F09AB" w:rsidRPr="008B0656" w:rsidRDefault="005F09AB" w:rsidP="00F22197">
            <w:pPr>
              <w:pStyle w:val="CETBodytext"/>
              <w:rPr>
                <w:lang w:val="en-GB"/>
              </w:rPr>
            </w:pPr>
            <w:r w:rsidRPr="008B0656">
              <w:rPr>
                <w:lang w:val="en-GB"/>
              </w:rPr>
              <w:t>98.905 %</w:t>
            </w:r>
          </w:p>
        </w:tc>
      </w:tr>
      <w:tr w:rsidR="008B0656" w:rsidRPr="008B0656" w14:paraId="4F0A1E0C" w14:textId="77777777" w:rsidTr="005E584B">
        <w:tc>
          <w:tcPr>
            <w:tcW w:w="434" w:type="pct"/>
            <w:tcBorders>
              <w:top w:val="nil"/>
              <w:bottom w:val="single" w:sz="12" w:space="0" w:color="008000"/>
            </w:tcBorders>
            <w:shd w:val="clear" w:color="auto" w:fill="FFFFFF"/>
          </w:tcPr>
          <w:p w14:paraId="687340FA" w14:textId="05598AEC" w:rsidR="005F09AB" w:rsidRPr="008B0656" w:rsidRDefault="005F09AB" w:rsidP="00F22197">
            <w:pPr>
              <w:pStyle w:val="CETBodytext"/>
              <w:ind w:right="-1"/>
              <w:jc w:val="left"/>
              <w:rPr>
                <w:rFonts w:cs="Arial"/>
                <w:szCs w:val="18"/>
                <w:lang w:val="en-GB"/>
              </w:rPr>
            </w:pPr>
            <w:r w:rsidRPr="008B0656">
              <w:rPr>
                <w:rFonts w:cs="Arial"/>
                <w:szCs w:val="18"/>
                <w:lang w:val="en-GB"/>
              </w:rPr>
              <w:t>4</w:t>
            </w:r>
          </w:p>
        </w:tc>
        <w:tc>
          <w:tcPr>
            <w:tcW w:w="2899" w:type="pct"/>
          </w:tcPr>
          <w:p w14:paraId="537F645D" w14:textId="24F12535" w:rsidR="005F09AB" w:rsidRPr="008B0656" w:rsidRDefault="005F09AB" w:rsidP="00F22197">
            <w:pPr>
              <w:pStyle w:val="CETBodytext"/>
              <w:rPr>
                <w:lang w:val="en-GB"/>
              </w:rPr>
            </w:pPr>
            <w:r w:rsidRPr="008B0656">
              <w:rPr>
                <w:rFonts w:cs="Arial"/>
                <w:szCs w:val="18"/>
                <w:lang w:val="en-GB"/>
              </w:rPr>
              <w:t>Data post-processing</w:t>
            </w:r>
          </w:p>
        </w:tc>
        <w:tc>
          <w:tcPr>
            <w:tcW w:w="1667" w:type="pct"/>
          </w:tcPr>
          <w:p w14:paraId="28909E00" w14:textId="33761138" w:rsidR="005F09AB" w:rsidRPr="008B0656" w:rsidRDefault="005F09AB" w:rsidP="00F22197">
            <w:pPr>
              <w:pStyle w:val="CETBodytext"/>
              <w:rPr>
                <w:lang w:val="en-GB"/>
              </w:rPr>
            </w:pPr>
            <w:r w:rsidRPr="008B0656">
              <w:rPr>
                <w:lang w:val="en-GB"/>
              </w:rPr>
              <w:t>93.293 %</w:t>
            </w:r>
          </w:p>
        </w:tc>
      </w:tr>
    </w:tbl>
    <w:p w14:paraId="522F871A" w14:textId="77777777" w:rsidR="004045C8" w:rsidRPr="004045C8" w:rsidRDefault="004045C8" w:rsidP="00852679">
      <w:pPr>
        <w:pStyle w:val="CETBodytext"/>
      </w:pPr>
    </w:p>
    <w:p w14:paraId="748DFC63" w14:textId="1B1363DB" w:rsidR="00F51814" w:rsidRDefault="004045C8" w:rsidP="00852679">
      <w:pPr>
        <w:pStyle w:val="CETBodytext"/>
      </w:pPr>
      <w:r w:rsidRPr="004045C8">
        <w:t xml:space="preserve">Figure </w:t>
      </w:r>
      <w:r w:rsidR="00F51814">
        <w:t>3</w:t>
      </w:r>
      <w:r w:rsidRPr="004045C8">
        <w:t xml:space="preserve"> presents the sensitivity </w:t>
      </w:r>
      <w:r w:rsidR="00CF4B08">
        <w:t xml:space="preserve">analysis </w:t>
      </w:r>
      <w:r w:rsidRPr="004045C8">
        <w:t xml:space="preserve">and </w:t>
      </w:r>
      <w:r w:rsidR="00EC7457">
        <w:t xml:space="preserve">shows the </w:t>
      </w:r>
      <w:r w:rsidRPr="004045C8">
        <w:t xml:space="preserve">strength of influence for each task and sub-task of the AET test. The thickness of the arrows </w:t>
      </w:r>
      <w:r w:rsidR="00EC7457">
        <w:t>indicates</w:t>
      </w:r>
      <w:r w:rsidRPr="004045C8">
        <w:t xml:space="preserve"> the strength of influence</w:t>
      </w:r>
      <w:r w:rsidR="00DA539C">
        <w:t xml:space="preserve">, while </w:t>
      </w:r>
      <w:r w:rsidR="00DA539C" w:rsidRPr="00DA539C">
        <w:t>the colored elements represent the degree of sensitivity.</w:t>
      </w:r>
    </w:p>
    <w:p w14:paraId="3C0942A7" w14:textId="77777777" w:rsidR="00F51814" w:rsidRDefault="00F51814" w:rsidP="00852679">
      <w:pPr>
        <w:pStyle w:val="CETBodytext"/>
      </w:pPr>
    </w:p>
    <w:p w14:paraId="55FD35EA" w14:textId="2A9FE3FF" w:rsidR="00F51814" w:rsidRDefault="007A26DE" w:rsidP="00F51814">
      <w:pPr>
        <w:pStyle w:val="CETBodytext"/>
        <w:keepNext/>
      </w:pPr>
      <w:r w:rsidRPr="007A26DE">
        <w:rPr>
          <w:noProof/>
        </w:rPr>
        <w:drawing>
          <wp:inline distT="0" distB="0" distL="0" distR="0" wp14:anchorId="5C0C7F79" wp14:editId="411380A4">
            <wp:extent cx="4362099" cy="2136618"/>
            <wp:effectExtent l="0" t="0" r="635" b="0"/>
            <wp:docPr id="1655918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4700" cy="2167281"/>
                    </a:xfrm>
                    <a:prstGeom prst="rect">
                      <a:avLst/>
                    </a:prstGeom>
                    <a:noFill/>
                    <a:ln>
                      <a:noFill/>
                    </a:ln>
                  </pic:spPr>
                </pic:pic>
              </a:graphicData>
            </a:graphic>
          </wp:inline>
        </w:drawing>
      </w:r>
    </w:p>
    <w:p w14:paraId="798AB3E0" w14:textId="560F1D62" w:rsidR="00F51814" w:rsidRDefault="00F51814" w:rsidP="00E64A62">
      <w:pPr>
        <w:pStyle w:val="CETCaption"/>
      </w:pPr>
      <w:r>
        <w:t xml:space="preserve">Figure </w:t>
      </w:r>
      <w:r>
        <w:fldChar w:fldCharType="begin"/>
      </w:r>
      <w:r>
        <w:instrText xml:space="preserve"> SEQ Figure \* ARABIC </w:instrText>
      </w:r>
      <w:r>
        <w:fldChar w:fldCharType="separate"/>
      </w:r>
      <w:r w:rsidR="00726CF0">
        <w:rPr>
          <w:noProof/>
        </w:rPr>
        <w:t>3</w:t>
      </w:r>
      <w:r>
        <w:fldChar w:fldCharType="end"/>
      </w:r>
      <w:r>
        <w:t xml:space="preserve">: </w:t>
      </w:r>
      <w:r w:rsidR="00506FAB">
        <w:t>S</w:t>
      </w:r>
      <w:r w:rsidR="00506FAB" w:rsidRPr="00506FAB">
        <w:t xml:space="preserve">trength of influence and degree of sensitivity of each task and sub-task of the </w:t>
      </w:r>
      <w:proofErr w:type="gramStart"/>
      <w:r w:rsidR="00506FAB" w:rsidRPr="00506FAB">
        <w:t>AET</w:t>
      </w:r>
      <w:proofErr w:type="gramEnd"/>
    </w:p>
    <w:p w14:paraId="3BBD796C" w14:textId="37FDB473" w:rsidR="0066110C" w:rsidRDefault="00C92447" w:rsidP="00C92447">
      <w:pPr>
        <w:pStyle w:val="CETBodytext"/>
      </w:pPr>
      <w:r>
        <w:t xml:space="preserve">Task 4.2, associated with examining the distribution plots to locate the defects, dramatically influences the overall system performance. Other notable strong influences within the network, such as the route from sub-task 1.3 through task 1 to the AET test, significantly impact the test results. It is related to the draining of the tank and can compromise the inspection completion if it is not performed correctly. Furthermore, strong influences are observed between pairs of sub-tasks and tasks, like sub-tasks 2.3 and 2.4 and task 2 (indicating the verification of the peak amplitude, background noise, and location of the AE sensors), or sub-task 3.2 and task 3 (indicating the pressurization of the tank at controlled rate). The strength of influence indicates the critical interactions within the system. </w:t>
      </w:r>
      <w:r w:rsidR="000C104F" w:rsidRPr="000C104F">
        <w:t>The sensitivity analysis results show that any changes in task 1 significantly influence the outcomes of the AE test. This means that any variations in the PSFs of the sub-task of the tank isolation and draining significantly affect the success rate of the entire inspection activity. Untrained personnel with teamwork and managerial deficiencies could dramatically increase the likelihood of failure of this task. Despite its simplicity, the correct isolation of the tank is fundamental to completing the AET since it allows the pressurization of the tank, the emission of acoustic waves, and the data collection and interpretation. In general, the BN analysis reveals valuable insights into the complex system's dependencies and sensitivities, highlighting the need for clear procedures, trained personnel, and safety-informed management to ensure the reliability of test results. The advantage of this approach over a conventional HRA is that two or more tasks can share the sub-tasks without being considered more than once. In addition, any task or sub-task can be added to the existing BN model and dynamically updated</w:t>
      </w:r>
      <w:r w:rsidR="00534033" w:rsidRPr="00534033">
        <w:t>.</w:t>
      </w:r>
    </w:p>
    <w:p w14:paraId="534B6713" w14:textId="6ECA0C97" w:rsidR="00457D0E" w:rsidRPr="004045C8" w:rsidRDefault="00457D0E" w:rsidP="00C92447">
      <w:pPr>
        <w:pStyle w:val="CETBodytext"/>
      </w:pPr>
      <w:r w:rsidRPr="00457D0E">
        <w:lastRenderedPageBreak/>
        <w:t xml:space="preserve">Further exploration of the relationships between PSFs can enhance the robustness of the analysis. In addition, this research could be improved by integrating the BN into holistic approaches such as system theory or simulation modeling. A system-theoretic approach (e.g., the STAMP model) can analyze system safety, identify hazards, and implement feedback loops to enhance the </w:t>
      </w:r>
      <w:r w:rsidR="0049599A">
        <w:t xml:space="preserve">system’s </w:t>
      </w:r>
      <w:r w:rsidRPr="00457D0E">
        <w:t>reliability and resilience (</w:t>
      </w:r>
      <w:proofErr w:type="spellStart"/>
      <w:r w:rsidRPr="00457D0E">
        <w:t>Nakhal</w:t>
      </w:r>
      <w:proofErr w:type="spellEnd"/>
      <w:r w:rsidRPr="00457D0E">
        <w:t xml:space="preserve"> et al., </w:t>
      </w:r>
      <w:r w:rsidR="00D176B3">
        <w:t xml:space="preserve">Patriarca et al., </w:t>
      </w:r>
      <w:r w:rsidRPr="00457D0E">
        <w:t xml:space="preserve">2022). In simulation modeling, it is possible to build a digital system to test and identify the criticalities of the system (Simone et al., 2023). The </w:t>
      </w:r>
      <w:r w:rsidR="0049599A">
        <w:t xml:space="preserve">future </w:t>
      </w:r>
      <w:r w:rsidRPr="00457D0E">
        <w:t xml:space="preserve">results will ensure model relevance and accuracy, leading to a more robust and </w:t>
      </w:r>
      <w:r w:rsidR="00BF4C09">
        <w:t>practical</w:t>
      </w:r>
      <w:r w:rsidRPr="00457D0E">
        <w:t xml:space="preserve"> approach to understanding and managing complex systems.</w:t>
      </w:r>
    </w:p>
    <w:p w14:paraId="0F8A075B" w14:textId="6914EEC9" w:rsidR="00854BCE" w:rsidRPr="00EC7198" w:rsidRDefault="00854BCE" w:rsidP="002C5122">
      <w:pPr>
        <w:pStyle w:val="CETHeading1"/>
        <w:numPr>
          <w:ilvl w:val="1"/>
          <w:numId w:val="26"/>
        </w:numPr>
      </w:pPr>
      <w:r w:rsidRPr="00EC7198">
        <w:t>Conclusion</w:t>
      </w:r>
    </w:p>
    <w:p w14:paraId="69C86764" w14:textId="18E927B6" w:rsidR="00852679" w:rsidRPr="00153847" w:rsidRDefault="00F00DE0" w:rsidP="00852679">
      <w:pPr>
        <w:pStyle w:val="CETBodytext"/>
      </w:pPr>
      <w:r w:rsidRPr="00F00DE0">
        <w:t>The HRA and BN analysis combination yielded insightful results when applied to the AET in hydrogen-related industrial facilities. The Petro-HRA methodology allowed the determination of the prior probabilities for the BN by considering nine performance shaping factors. Integrating various factors and their conditional dependencies provided a comprehensive understanding of the influence of human errors associated with AET to detect hydrogen-induced cracks. In addition, BN enables a more accurate estimation of the likelihood of failure through probabilistic inference, allowing for informed decision-making regarding safety measures and procedural adjustments. This study offers a quantitative approach to assess uncertainties and interdependencies within the system, thereby enhancing the reliability and effectiveness of risk management strategies in the context of complex inspection activities. Therefore, these findings can improve safety during inspection activities in the hydrogen refueling infrastructure and indicate the procedure's most critical steps</w:t>
      </w:r>
      <w:r w:rsidR="00852679" w:rsidRPr="00852679">
        <w:t>.</w:t>
      </w:r>
    </w:p>
    <w:p w14:paraId="2FB379EF" w14:textId="77777777" w:rsidR="00854BCE" w:rsidRPr="00EC7198" w:rsidRDefault="00854BCE" w:rsidP="00854BCE">
      <w:pPr>
        <w:pStyle w:val="CETAcknowledgementstitle"/>
        <w:rPr>
          <w:lang w:val="en-US"/>
        </w:rPr>
      </w:pPr>
      <w:r w:rsidRPr="00EC7198">
        <w:rPr>
          <w:lang w:val="en-US"/>
        </w:rPr>
        <w:t>Acknowledgments</w:t>
      </w:r>
    </w:p>
    <w:p w14:paraId="13599B65" w14:textId="6BD8CB4A" w:rsidR="00854BCE" w:rsidRPr="00EC7198" w:rsidRDefault="00854BCE" w:rsidP="00854BCE">
      <w:pPr>
        <w:pStyle w:val="CETBodytext"/>
      </w:pPr>
      <w:r w:rsidRPr="00EC7198">
        <w:t xml:space="preserve">This work was undertaken as a part of the research project “Sustainability and Cost-Reduction of Hydrogen Stations through Risk-Based, Multidisciplinary Approaches” (SUSHy), and the authors would like to acknowledge the financial support of </w:t>
      </w:r>
      <w:r w:rsidRPr="00F17D87">
        <w:t>the EIG CONCERT-Japan platform</w:t>
      </w:r>
      <w:r>
        <w:t xml:space="preserve"> (</w:t>
      </w:r>
      <w:r w:rsidRPr="00EC7198">
        <w:t>Grant No. 334340</w:t>
      </w:r>
      <w:r>
        <w:t>).</w:t>
      </w:r>
    </w:p>
    <w:p w14:paraId="6FAB35CC" w14:textId="77777777" w:rsidR="00854BCE" w:rsidRPr="00EC7198" w:rsidRDefault="00854BCE" w:rsidP="00854BCE">
      <w:pPr>
        <w:pStyle w:val="CETReference"/>
        <w:rPr>
          <w:lang w:val="en-US"/>
        </w:rPr>
      </w:pPr>
      <w:r w:rsidRPr="00EC7198">
        <w:rPr>
          <w:lang w:val="en-US"/>
        </w:rPr>
        <w:t>References</w:t>
      </w:r>
    </w:p>
    <w:p w14:paraId="6999510D" w14:textId="25782957" w:rsidR="006438EA" w:rsidRPr="004368D5" w:rsidRDefault="006438EA" w:rsidP="00E83378">
      <w:pPr>
        <w:pStyle w:val="CETReferencetext"/>
        <w:rPr>
          <w:lang w:val="en-US"/>
        </w:rPr>
      </w:pPr>
      <w:r w:rsidRPr="004368D5">
        <w:rPr>
          <w:lang w:val="en-US"/>
        </w:rPr>
        <w:t>A</w:t>
      </w:r>
      <w:r w:rsidR="00D115C4" w:rsidRPr="004368D5">
        <w:rPr>
          <w:lang w:val="en-US"/>
        </w:rPr>
        <w:t>merican Petroleum Institute, 2018, API 510 – Pressure Vessel Inspection Code: In-service Inspection, Rating, Repair,</w:t>
      </w:r>
      <w:r w:rsidR="00E83378" w:rsidRPr="004368D5">
        <w:rPr>
          <w:lang w:val="en-US"/>
        </w:rPr>
        <w:t xml:space="preserve"> </w:t>
      </w:r>
      <w:r w:rsidR="00D115C4" w:rsidRPr="004368D5">
        <w:rPr>
          <w:lang w:val="en-US"/>
        </w:rPr>
        <w:t>and Alteration</w:t>
      </w:r>
      <w:r w:rsidR="00E83378" w:rsidRPr="004368D5">
        <w:rPr>
          <w:lang w:val="en-US"/>
        </w:rPr>
        <w:t>, Washington DC, USA.</w:t>
      </w:r>
    </w:p>
    <w:p w14:paraId="031F6A58" w14:textId="5CBB65D8" w:rsidR="007B3D04" w:rsidRPr="004368D5" w:rsidRDefault="007B3D04" w:rsidP="00E83378">
      <w:pPr>
        <w:pStyle w:val="CETReferencetext"/>
        <w:rPr>
          <w:lang w:val="en-US"/>
        </w:rPr>
      </w:pPr>
      <w:r w:rsidRPr="004368D5">
        <w:rPr>
          <w:lang w:val="en-US"/>
        </w:rPr>
        <w:t>American Petroleum Institute, 20</w:t>
      </w:r>
      <w:r w:rsidR="003066FB" w:rsidRPr="004368D5">
        <w:rPr>
          <w:lang w:val="en-US"/>
        </w:rPr>
        <w:t>20</w:t>
      </w:r>
      <w:r w:rsidR="001F73D0" w:rsidRPr="004368D5">
        <w:rPr>
          <w:lang w:val="en-US"/>
        </w:rPr>
        <w:t xml:space="preserve">, </w:t>
      </w:r>
      <w:r w:rsidRPr="004368D5">
        <w:rPr>
          <w:lang w:val="en-US"/>
        </w:rPr>
        <w:t>API RP 571 – Damage Mechanisms Affecting Fixed Equipment in the Refining Industry, Washington DC, USA.</w:t>
      </w:r>
    </w:p>
    <w:p w14:paraId="4FED44EE" w14:textId="094096ED" w:rsidR="002B488B" w:rsidRPr="004368D5" w:rsidRDefault="002B488B" w:rsidP="00854BCE">
      <w:pPr>
        <w:pStyle w:val="CETReferencetext"/>
        <w:rPr>
          <w:lang w:val="en-US"/>
        </w:rPr>
      </w:pPr>
      <w:r w:rsidRPr="004368D5">
        <w:rPr>
          <w:lang w:val="en-US"/>
        </w:rPr>
        <w:t>A</w:t>
      </w:r>
      <w:r w:rsidR="0059473A" w:rsidRPr="004368D5">
        <w:rPr>
          <w:lang w:val="en-US"/>
        </w:rPr>
        <w:t xml:space="preserve">merican </w:t>
      </w:r>
      <w:r w:rsidRPr="004368D5">
        <w:rPr>
          <w:lang w:val="en-US"/>
        </w:rPr>
        <w:t>S</w:t>
      </w:r>
      <w:r w:rsidR="0059473A" w:rsidRPr="004368D5">
        <w:rPr>
          <w:lang w:val="en-US"/>
        </w:rPr>
        <w:t xml:space="preserve">ociety of </w:t>
      </w:r>
      <w:r w:rsidRPr="004368D5">
        <w:rPr>
          <w:lang w:val="en-US"/>
        </w:rPr>
        <w:t>M</w:t>
      </w:r>
      <w:r w:rsidR="0059473A" w:rsidRPr="004368D5">
        <w:rPr>
          <w:lang w:val="en-US"/>
        </w:rPr>
        <w:t xml:space="preserve">echanical </w:t>
      </w:r>
      <w:r w:rsidRPr="004368D5">
        <w:rPr>
          <w:lang w:val="en-US"/>
        </w:rPr>
        <w:t>E</w:t>
      </w:r>
      <w:r w:rsidR="0059473A" w:rsidRPr="004368D5">
        <w:rPr>
          <w:lang w:val="en-US"/>
        </w:rPr>
        <w:t>ngineers</w:t>
      </w:r>
      <w:r w:rsidR="0078432C" w:rsidRPr="004368D5">
        <w:rPr>
          <w:lang w:val="en-US"/>
        </w:rPr>
        <w:t>, 2023, ASME Boiler and Pressure Vessel Code – Nondestructive examination</w:t>
      </w:r>
      <w:r w:rsidR="00765A81" w:rsidRPr="004368D5">
        <w:rPr>
          <w:lang w:val="en-US"/>
        </w:rPr>
        <w:t>, New York, USA.</w:t>
      </w:r>
    </w:p>
    <w:p w14:paraId="163BD796" w14:textId="36DF7ED5" w:rsidR="00854BCE" w:rsidRPr="004368D5" w:rsidRDefault="00854BCE" w:rsidP="00854BCE">
      <w:pPr>
        <w:pStyle w:val="CETReferencetext"/>
        <w:rPr>
          <w:lang w:val="en-US"/>
        </w:rPr>
      </w:pPr>
      <w:r w:rsidRPr="004368D5">
        <w:rPr>
          <w:lang w:val="en-US"/>
        </w:rPr>
        <w:t xml:space="preserve">Blackett C., </w:t>
      </w:r>
      <w:proofErr w:type="spellStart"/>
      <w:r w:rsidRPr="004368D5">
        <w:rPr>
          <w:lang w:val="en-US"/>
        </w:rPr>
        <w:t>Farbrot</w:t>
      </w:r>
      <w:proofErr w:type="spellEnd"/>
      <w:r w:rsidRPr="004368D5">
        <w:rPr>
          <w:lang w:val="en-US"/>
        </w:rPr>
        <w:t xml:space="preserve"> J. E., Øie S., Fernander M., 2022, The Petro-HRA Guideline – </w:t>
      </w:r>
      <w:r w:rsidR="009E254A" w:rsidRPr="004368D5">
        <w:rPr>
          <w:lang w:val="en-US"/>
        </w:rPr>
        <w:t>Volume</w:t>
      </w:r>
      <w:r w:rsidRPr="004368D5">
        <w:rPr>
          <w:lang w:val="en-US"/>
        </w:rPr>
        <w:t xml:space="preserve"> 1</w:t>
      </w:r>
      <w:r w:rsidR="00A37311" w:rsidRPr="004368D5">
        <w:rPr>
          <w:lang w:val="en-US"/>
        </w:rPr>
        <w:t>, Kjeller, Norway</w:t>
      </w:r>
      <w:r w:rsidRPr="004368D5">
        <w:rPr>
          <w:lang w:val="en-US"/>
        </w:rPr>
        <w:t>.</w:t>
      </w:r>
    </w:p>
    <w:p w14:paraId="0B9993D6" w14:textId="0257297A" w:rsidR="008D5DA8" w:rsidRPr="004368D5" w:rsidRDefault="008D5DA8" w:rsidP="006C1DDE">
      <w:pPr>
        <w:pStyle w:val="CETReferencetext"/>
        <w:rPr>
          <w:lang w:val="en-US"/>
        </w:rPr>
      </w:pPr>
      <w:r w:rsidRPr="004368D5">
        <w:rPr>
          <w:lang w:val="en-US"/>
        </w:rPr>
        <w:t xml:space="preserve">Campari A., Darabi M.A., Alvaro A., </w:t>
      </w:r>
      <w:proofErr w:type="spellStart"/>
      <w:r w:rsidRPr="004368D5">
        <w:rPr>
          <w:lang w:val="en-US"/>
        </w:rPr>
        <w:t>Ustolin</w:t>
      </w:r>
      <w:proofErr w:type="spellEnd"/>
      <w:r w:rsidRPr="004368D5">
        <w:rPr>
          <w:lang w:val="en-US"/>
        </w:rPr>
        <w:t xml:space="preserve"> F., Paltrinieri N., 2023, </w:t>
      </w:r>
      <w:r w:rsidR="0013633F" w:rsidRPr="004368D5">
        <w:rPr>
          <w:lang w:val="en-US"/>
        </w:rPr>
        <w:t xml:space="preserve">Toward Risk-based Inspection of Hydrogen Technologies: </w:t>
      </w:r>
      <w:proofErr w:type="gramStart"/>
      <w:r w:rsidR="0013633F" w:rsidRPr="004368D5">
        <w:rPr>
          <w:lang w:val="en-US"/>
        </w:rPr>
        <w:t>a</w:t>
      </w:r>
      <w:proofErr w:type="gramEnd"/>
      <w:r w:rsidR="0013633F" w:rsidRPr="004368D5">
        <w:rPr>
          <w:lang w:val="en-US"/>
        </w:rPr>
        <w:t xml:space="preserve"> Methodology for the Calculation of the Damage Factor of Hydrogen Embrittlement, Chem. Eng. Trans., </w:t>
      </w:r>
      <w:r w:rsidR="002C43E6" w:rsidRPr="004368D5">
        <w:rPr>
          <w:lang w:val="en-US"/>
        </w:rPr>
        <w:t>98.</w:t>
      </w:r>
    </w:p>
    <w:p w14:paraId="57A2F15D" w14:textId="25D8DCC1" w:rsidR="002A7E28" w:rsidRPr="004368D5" w:rsidRDefault="002A7E28" w:rsidP="006C1DDE">
      <w:pPr>
        <w:pStyle w:val="CETReferencetext"/>
        <w:rPr>
          <w:lang w:val="en-US"/>
        </w:rPr>
      </w:pPr>
      <w:r w:rsidRPr="004368D5">
        <w:rPr>
          <w:lang w:val="en-US"/>
        </w:rPr>
        <w:t xml:space="preserve">Campari A., Alvaro A., Paltrinieri N., 2024, </w:t>
      </w:r>
      <w:r w:rsidR="00097658" w:rsidRPr="004368D5">
        <w:rPr>
          <w:lang w:val="en-US"/>
        </w:rPr>
        <w:t xml:space="preserve">Comparing Inspection Strategies for Hydrogen Refueling Stations: Time-Based and Risk-Based Approaches, </w:t>
      </w:r>
      <w:r w:rsidRPr="004368D5">
        <w:rPr>
          <w:lang w:val="en-US"/>
        </w:rPr>
        <w:t>Proceedings of the 34</w:t>
      </w:r>
      <w:r w:rsidRPr="004368D5">
        <w:rPr>
          <w:vertAlign w:val="superscript"/>
          <w:lang w:val="en-US"/>
        </w:rPr>
        <w:t>th</w:t>
      </w:r>
      <w:r w:rsidRPr="004368D5">
        <w:rPr>
          <w:lang w:val="en-US"/>
        </w:rPr>
        <w:t xml:space="preserve"> European Safety and Reliability Conference (ESREL 2024), Krakow, Poland.</w:t>
      </w:r>
    </w:p>
    <w:p w14:paraId="19C4FC68" w14:textId="1D93266F" w:rsidR="004628D2" w:rsidRPr="004368D5" w:rsidRDefault="00854BCE" w:rsidP="00854BCE">
      <w:pPr>
        <w:pStyle w:val="CETReferencetext"/>
        <w:rPr>
          <w:lang w:val="en-US"/>
        </w:rPr>
      </w:pPr>
      <w:r w:rsidRPr="004368D5">
        <w:rPr>
          <w:lang w:val="en-US"/>
        </w:rPr>
        <w:t xml:space="preserve">Castiglia F., Giardina M., 2013, Analysis of operator human errors in hydrogen </w:t>
      </w:r>
      <w:proofErr w:type="spellStart"/>
      <w:r w:rsidRPr="004368D5">
        <w:rPr>
          <w:lang w:val="en-US"/>
        </w:rPr>
        <w:t>refuelling</w:t>
      </w:r>
      <w:proofErr w:type="spellEnd"/>
      <w:r w:rsidRPr="004368D5">
        <w:rPr>
          <w:lang w:val="en-US"/>
        </w:rPr>
        <w:t xml:space="preserve"> stations: Comparison between human rate assessment techniques, </w:t>
      </w:r>
      <w:r w:rsidR="00C43B4A" w:rsidRPr="004368D5">
        <w:rPr>
          <w:lang w:val="en-US"/>
        </w:rPr>
        <w:t>Int. J. Hydrogen Energy</w:t>
      </w:r>
      <w:r w:rsidRPr="004368D5">
        <w:rPr>
          <w:lang w:val="en-US"/>
        </w:rPr>
        <w:t>, 38.</w:t>
      </w:r>
    </w:p>
    <w:p w14:paraId="674A5BA0" w14:textId="22E1FEAE" w:rsidR="008A3853" w:rsidRPr="004368D5" w:rsidRDefault="008A3853" w:rsidP="00583BFC">
      <w:pPr>
        <w:pStyle w:val="CETReferencetext"/>
        <w:rPr>
          <w:lang w:val="en-US"/>
        </w:rPr>
      </w:pPr>
      <w:r w:rsidRPr="004368D5">
        <w:rPr>
          <w:lang w:val="en-US"/>
        </w:rPr>
        <w:t>Chauhan A., Golestani N.</w:t>
      </w:r>
      <w:r w:rsidR="00583BFC" w:rsidRPr="004368D5">
        <w:rPr>
          <w:lang w:val="en-US"/>
        </w:rPr>
        <w:t>, Yazdi M., Njue J.C.W., Abbassi R., Salehi F.</w:t>
      </w:r>
      <w:r w:rsidRPr="004368D5">
        <w:rPr>
          <w:lang w:val="en-US"/>
        </w:rPr>
        <w:t xml:space="preserve">, 2023, A novel integrated methodology for human reliability assessment in hydrogen </w:t>
      </w:r>
      <w:proofErr w:type="spellStart"/>
      <w:r w:rsidRPr="004368D5">
        <w:rPr>
          <w:lang w:val="en-US"/>
        </w:rPr>
        <w:t>fuelling</w:t>
      </w:r>
      <w:proofErr w:type="spellEnd"/>
      <w:r w:rsidRPr="004368D5">
        <w:rPr>
          <w:lang w:val="en-US"/>
        </w:rPr>
        <w:t xml:space="preserve"> stations</w:t>
      </w:r>
      <w:r w:rsidR="00583BFC" w:rsidRPr="004368D5">
        <w:rPr>
          <w:lang w:val="en-US"/>
        </w:rPr>
        <w:t xml:space="preserve">, </w:t>
      </w:r>
      <w:r w:rsidR="00C43B4A" w:rsidRPr="004368D5">
        <w:rPr>
          <w:lang w:val="en-US"/>
        </w:rPr>
        <w:t>Int. J. Hydrogen Energy</w:t>
      </w:r>
      <w:r w:rsidR="007D393B" w:rsidRPr="004368D5">
        <w:rPr>
          <w:lang w:val="en-US"/>
        </w:rPr>
        <w:t>, 48.</w:t>
      </w:r>
    </w:p>
    <w:p w14:paraId="590906DE" w14:textId="6A4F836D" w:rsidR="00DB1E47" w:rsidRPr="004368D5" w:rsidRDefault="00DB1E47" w:rsidP="00583BFC">
      <w:pPr>
        <w:pStyle w:val="CETReferencetext"/>
        <w:rPr>
          <w:lang w:val="en-US"/>
        </w:rPr>
      </w:pPr>
      <w:r w:rsidRPr="004368D5">
        <w:rPr>
          <w:lang w:val="en-US"/>
        </w:rPr>
        <w:t>I</w:t>
      </w:r>
      <w:r w:rsidR="0059473A" w:rsidRPr="004368D5">
        <w:rPr>
          <w:lang w:val="en-US"/>
        </w:rPr>
        <w:t xml:space="preserve">nternational </w:t>
      </w:r>
      <w:r w:rsidRPr="004368D5">
        <w:rPr>
          <w:lang w:val="en-US"/>
        </w:rPr>
        <w:t>E</w:t>
      </w:r>
      <w:r w:rsidR="0059473A" w:rsidRPr="004368D5">
        <w:rPr>
          <w:lang w:val="en-US"/>
        </w:rPr>
        <w:t xml:space="preserve">nergy </w:t>
      </w:r>
      <w:r w:rsidRPr="004368D5">
        <w:rPr>
          <w:lang w:val="en-US"/>
        </w:rPr>
        <w:t>A</w:t>
      </w:r>
      <w:r w:rsidR="0059473A" w:rsidRPr="004368D5">
        <w:rPr>
          <w:lang w:val="en-US"/>
        </w:rPr>
        <w:t>gency</w:t>
      </w:r>
      <w:r w:rsidRPr="004368D5">
        <w:rPr>
          <w:lang w:val="en-US"/>
        </w:rPr>
        <w:t>, 2022, Global Hydrogen Review 2022</w:t>
      </w:r>
      <w:r w:rsidR="0059473A" w:rsidRPr="004368D5">
        <w:rPr>
          <w:lang w:val="en-US"/>
        </w:rPr>
        <w:t>.</w:t>
      </w:r>
    </w:p>
    <w:p w14:paraId="10A05BB6" w14:textId="67024206" w:rsidR="00F9083E" w:rsidRPr="004368D5" w:rsidRDefault="00F9083E" w:rsidP="00583BFC">
      <w:pPr>
        <w:pStyle w:val="CETReferencetext"/>
        <w:rPr>
          <w:lang w:val="en-US"/>
        </w:rPr>
      </w:pPr>
      <w:r w:rsidRPr="004368D5">
        <w:rPr>
          <w:lang w:val="en-US"/>
        </w:rPr>
        <w:t xml:space="preserve">Kumar S., Mahto D.G., 2013, Recent trends in industrial and other engineering applications of non-destructive testing: a review, </w:t>
      </w:r>
      <w:r w:rsidR="002F5188" w:rsidRPr="004368D5">
        <w:rPr>
          <w:lang w:val="en-US"/>
        </w:rPr>
        <w:t>Int. J. Sci. Eng. Res.</w:t>
      </w:r>
      <w:r w:rsidRPr="004368D5">
        <w:rPr>
          <w:lang w:val="en-US"/>
        </w:rPr>
        <w:t>, 4(9)</w:t>
      </w:r>
      <w:r w:rsidR="006D5A73" w:rsidRPr="004368D5">
        <w:rPr>
          <w:lang w:val="en-US"/>
        </w:rPr>
        <w:t>.</w:t>
      </w:r>
    </w:p>
    <w:p w14:paraId="2749D7E8" w14:textId="77375D93" w:rsidR="00CC024F" w:rsidRDefault="00CC024F" w:rsidP="00583BFC">
      <w:pPr>
        <w:pStyle w:val="CETReferencetext"/>
        <w:rPr>
          <w:lang w:val="en-US"/>
        </w:rPr>
      </w:pPr>
      <w:r w:rsidRPr="004368D5">
        <w:rPr>
          <w:lang w:val="en-US"/>
        </w:rPr>
        <w:t xml:space="preserve">Leoni L., </w:t>
      </w:r>
      <w:proofErr w:type="spellStart"/>
      <w:r w:rsidRPr="004368D5">
        <w:rPr>
          <w:lang w:val="en-US"/>
        </w:rPr>
        <w:t>BahooToroody</w:t>
      </w:r>
      <w:proofErr w:type="spellEnd"/>
      <w:r w:rsidRPr="004368D5">
        <w:rPr>
          <w:lang w:val="en-US"/>
        </w:rPr>
        <w:t xml:space="preserve"> A., De Carlo F., Paltrinieri N., 2019, Developing a </w:t>
      </w:r>
      <w:r w:rsidR="00F717A2" w:rsidRPr="004368D5">
        <w:rPr>
          <w:lang w:val="en-US"/>
        </w:rPr>
        <w:t>r</w:t>
      </w:r>
      <w:r w:rsidRPr="004368D5">
        <w:rPr>
          <w:lang w:val="en-US"/>
        </w:rPr>
        <w:t>isk-</w:t>
      </w:r>
      <w:r w:rsidR="00F717A2" w:rsidRPr="004368D5">
        <w:rPr>
          <w:lang w:val="en-US"/>
        </w:rPr>
        <w:t>b</w:t>
      </w:r>
      <w:r w:rsidRPr="004368D5">
        <w:rPr>
          <w:lang w:val="en-US"/>
        </w:rPr>
        <w:t xml:space="preserve">ased maintenance model for a </w:t>
      </w:r>
      <w:r w:rsidR="00F717A2" w:rsidRPr="004368D5">
        <w:rPr>
          <w:lang w:val="en-US"/>
        </w:rPr>
        <w:t>n</w:t>
      </w:r>
      <w:r w:rsidRPr="004368D5">
        <w:rPr>
          <w:lang w:val="en-US"/>
        </w:rPr>
        <w:t xml:space="preserve">atural </w:t>
      </w:r>
      <w:r w:rsidR="00F717A2" w:rsidRPr="004368D5">
        <w:rPr>
          <w:lang w:val="en-US"/>
        </w:rPr>
        <w:t>g</w:t>
      </w:r>
      <w:r w:rsidRPr="004368D5">
        <w:rPr>
          <w:lang w:val="en-US"/>
        </w:rPr>
        <w:t xml:space="preserve">as </w:t>
      </w:r>
      <w:r w:rsidR="00F717A2" w:rsidRPr="004368D5">
        <w:rPr>
          <w:lang w:val="en-US"/>
        </w:rPr>
        <w:t>r</w:t>
      </w:r>
      <w:r w:rsidRPr="004368D5">
        <w:rPr>
          <w:lang w:val="en-US"/>
        </w:rPr>
        <w:t xml:space="preserve">egulating and </w:t>
      </w:r>
      <w:r w:rsidR="00F717A2" w:rsidRPr="004368D5">
        <w:rPr>
          <w:lang w:val="en-US"/>
        </w:rPr>
        <w:t>m</w:t>
      </w:r>
      <w:r w:rsidRPr="004368D5">
        <w:rPr>
          <w:lang w:val="en-US"/>
        </w:rPr>
        <w:t xml:space="preserve">etering </w:t>
      </w:r>
      <w:r w:rsidR="00F717A2" w:rsidRPr="004368D5">
        <w:rPr>
          <w:lang w:val="en-US"/>
        </w:rPr>
        <w:t>s</w:t>
      </w:r>
      <w:r w:rsidRPr="004368D5">
        <w:rPr>
          <w:lang w:val="en-US"/>
        </w:rPr>
        <w:t>tation using Bayesian Network</w:t>
      </w:r>
      <w:r w:rsidR="00F717A2" w:rsidRPr="004368D5">
        <w:rPr>
          <w:lang w:val="en-US"/>
        </w:rPr>
        <w:t>,</w:t>
      </w:r>
      <w:r w:rsidRPr="004368D5">
        <w:rPr>
          <w:lang w:val="en-US"/>
        </w:rPr>
        <w:t xml:space="preserve"> </w:t>
      </w:r>
      <w:r w:rsidR="001375D4" w:rsidRPr="004368D5">
        <w:rPr>
          <w:lang w:val="en-US"/>
        </w:rPr>
        <w:t>J. Loss Prev. Process Ind.</w:t>
      </w:r>
      <w:r w:rsidRPr="004368D5">
        <w:rPr>
          <w:lang w:val="en-US"/>
        </w:rPr>
        <w:t>, 57.</w:t>
      </w:r>
    </w:p>
    <w:p w14:paraId="7DF24937" w14:textId="05824D92" w:rsidR="00875D75" w:rsidRDefault="00875D75" w:rsidP="00875D75">
      <w:pPr>
        <w:pStyle w:val="CETReferencetext"/>
        <w:rPr>
          <w:lang w:val="en-US"/>
        </w:rPr>
      </w:pPr>
      <w:proofErr w:type="spellStart"/>
      <w:r w:rsidRPr="00CA2A96">
        <w:rPr>
          <w:lang w:val="en-US"/>
        </w:rPr>
        <w:t>Nakhal</w:t>
      </w:r>
      <w:proofErr w:type="spellEnd"/>
      <w:r w:rsidRPr="00CA2A96">
        <w:rPr>
          <w:lang w:val="en-US"/>
        </w:rPr>
        <w:t xml:space="preserve"> </w:t>
      </w:r>
      <w:r w:rsidR="00146B20">
        <w:rPr>
          <w:lang w:val="en-US"/>
        </w:rPr>
        <w:t>A.</w:t>
      </w:r>
      <w:r w:rsidRPr="00CA2A96">
        <w:rPr>
          <w:lang w:val="en-US"/>
        </w:rPr>
        <w:t xml:space="preserve">A.J., Patriarca R., </w:t>
      </w:r>
      <w:proofErr w:type="spellStart"/>
      <w:r w:rsidRPr="00CA2A96">
        <w:rPr>
          <w:lang w:val="en-US"/>
        </w:rPr>
        <w:t>Tronci</w:t>
      </w:r>
      <w:proofErr w:type="spellEnd"/>
      <w:r w:rsidRPr="00CA2A96">
        <w:rPr>
          <w:lang w:val="en-US"/>
        </w:rPr>
        <w:t xml:space="preserve"> M., Agnello P., Ansaldi S.M., Ledda A</w:t>
      </w:r>
      <w:r w:rsidR="00A663DE" w:rsidRPr="00CA2A96">
        <w:rPr>
          <w:lang w:val="en-US"/>
        </w:rPr>
        <w:t xml:space="preserve">, </w:t>
      </w:r>
      <w:r w:rsidRPr="00CA2A96">
        <w:rPr>
          <w:lang w:val="en-US"/>
        </w:rPr>
        <w:t>2022</w:t>
      </w:r>
      <w:r w:rsidR="00A663DE" w:rsidRPr="00CA2A96">
        <w:rPr>
          <w:lang w:val="en-US"/>
        </w:rPr>
        <w:t>,</w:t>
      </w:r>
      <w:r w:rsidRPr="00CA2A96">
        <w:rPr>
          <w:lang w:val="en-US"/>
        </w:rPr>
        <w:t xml:space="preserve"> A STAMP Model for Safety Analysis in Industrial Plants</w:t>
      </w:r>
      <w:r w:rsidR="00A663DE" w:rsidRPr="00CA2A96">
        <w:rPr>
          <w:lang w:val="en-US"/>
        </w:rPr>
        <w:t>,</w:t>
      </w:r>
      <w:r w:rsidRPr="00CA2A96">
        <w:rPr>
          <w:lang w:val="en-US"/>
        </w:rPr>
        <w:t xml:space="preserve"> Che</w:t>
      </w:r>
      <w:r w:rsidR="00A663DE" w:rsidRPr="00CA2A96">
        <w:rPr>
          <w:lang w:val="en-US"/>
        </w:rPr>
        <w:t>m.</w:t>
      </w:r>
      <w:r w:rsidRPr="00CA2A96">
        <w:rPr>
          <w:lang w:val="en-US"/>
        </w:rPr>
        <w:t xml:space="preserve"> Eng</w:t>
      </w:r>
      <w:r w:rsidR="00A663DE" w:rsidRPr="00CA2A96">
        <w:rPr>
          <w:lang w:val="en-US"/>
        </w:rPr>
        <w:t>.</w:t>
      </w:r>
      <w:r w:rsidRPr="00CA2A96">
        <w:rPr>
          <w:lang w:val="en-US"/>
        </w:rPr>
        <w:t xml:space="preserve"> </w:t>
      </w:r>
      <w:r w:rsidRPr="00911791">
        <w:rPr>
          <w:lang w:val="en-US"/>
        </w:rPr>
        <w:t>Trans</w:t>
      </w:r>
      <w:r w:rsidR="00A663DE" w:rsidRPr="00911791">
        <w:rPr>
          <w:lang w:val="en-US"/>
        </w:rPr>
        <w:t>.</w:t>
      </w:r>
      <w:r w:rsidRPr="00911791">
        <w:rPr>
          <w:lang w:val="en-US"/>
        </w:rPr>
        <w:t>, 91</w:t>
      </w:r>
      <w:r w:rsidR="001C1D33" w:rsidRPr="00911791">
        <w:rPr>
          <w:lang w:val="en-US"/>
        </w:rPr>
        <w:t>.</w:t>
      </w:r>
    </w:p>
    <w:p w14:paraId="7273F77B" w14:textId="4EA447AB" w:rsidR="006C7F43" w:rsidRPr="00694721" w:rsidRDefault="006C7F43" w:rsidP="00875D75">
      <w:pPr>
        <w:pStyle w:val="CETReferencetext"/>
        <w:rPr>
          <w:lang w:val="en-US"/>
        </w:rPr>
      </w:pPr>
      <w:r w:rsidRPr="00694721">
        <w:rPr>
          <w:lang w:val="en-US"/>
        </w:rPr>
        <w:t xml:space="preserve">Patriarca R., </w:t>
      </w:r>
      <w:proofErr w:type="spellStart"/>
      <w:r w:rsidRPr="00694721">
        <w:rPr>
          <w:lang w:val="en-US"/>
        </w:rPr>
        <w:t>Chatzimichailidou</w:t>
      </w:r>
      <w:proofErr w:type="spellEnd"/>
      <w:r w:rsidRPr="00694721">
        <w:rPr>
          <w:lang w:val="en-US"/>
        </w:rPr>
        <w:t xml:space="preserve"> M., Karanikas N., Di </w:t>
      </w:r>
      <w:proofErr w:type="spellStart"/>
      <w:r w:rsidRPr="00694721">
        <w:rPr>
          <w:lang w:val="en-US"/>
        </w:rPr>
        <w:t>Gravio</w:t>
      </w:r>
      <w:proofErr w:type="spellEnd"/>
      <w:r w:rsidRPr="00694721">
        <w:rPr>
          <w:lang w:val="en-US"/>
        </w:rPr>
        <w:t xml:space="preserve"> G., 2022, </w:t>
      </w:r>
      <w:r w:rsidR="00694721" w:rsidRPr="00694721">
        <w:rPr>
          <w:lang w:val="en-US"/>
        </w:rPr>
        <w:t xml:space="preserve">The past and present of System-Theoretic Accident Model </w:t>
      </w:r>
      <w:r w:rsidR="0045170B">
        <w:rPr>
          <w:lang w:val="en-US"/>
        </w:rPr>
        <w:t>a</w:t>
      </w:r>
      <w:r w:rsidR="00694721" w:rsidRPr="00694721">
        <w:rPr>
          <w:lang w:val="en-US"/>
        </w:rPr>
        <w:t>nd Processes and its associated techniques: A scoping review</w:t>
      </w:r>
      <w:r w:rsidR="00694721">
        <w:rPr>
          <w:lang w:val="en-US"/>
        </w:rPr>
        <w:t xml:space="preserve">, </w:t>
      </w:r>
      <w:proofErr w:type="spellStart"/>
      <w:r w:rsidR="00694721">
        <w:rPr>
          <w:lang w:val="en-US"/>
        </w:rPr>
        <w:t>Saf</w:t>
      </w:r>
      <w:proofErr w:type="spellEnd"/>
      <w:r w:rsidR="00230F40">
        <w:rPr>
          <w:lang w:val="en-US"/>
        </w:rPr>
        <w:t>.</w:t>
      </w:r>
      <w:r w:rsidR="00694721">
        <w:rPr>
          <w:lang w:val="en-US"/>
        </w:rPr>
        <w:t xml:space="preserve"> Sci</w:t>
      </w:r>
      <w:r w:rsidR="00230F40">
        <w:rPr>
          <w:lang w:val="en-US"/>
        </w:rPr>
        <w:t>.</w:t>
      </w:r>
      <w:r w:rsidR="00694721">
        <w:rPr>
          <w:lang w:val="en-US"/>
        </w:rPr>
        <w:t>, 146.</w:t>
      </w:r>
    </w:p>
    <w:p w14:paraId="1B342DC9" w14:textId="3ADA1808" w:rsidR="00875D75" w:rsidRPr="004368D5" w:rsidRDefault="00875D75" w:rsidP="00875D75">
      <w:pPr>
        <w:pStyle w:val="CETReferencetext"/>
        <w:rPr>
          <w:lang w:val="en-US"/>
        </w:rPr>
      </w:pPr>
      <w:r w:rsidRPr="00CA2A96">
        <w:rPr>
          <w:lang w:val="en-US"/>
        </w:rPr>
        <w:t xml:space="preserve">Simone F., </w:t>
      </w:r>
      <w:proofErr w:type="spellStart"/>
      <w:r w:rsidR="001C1D33" w:rsidRPr="00CA2A96">
        <w:rPr>
          <w:lang w:val="en-US"/>
        </w:rPr>
        <w:t>Nakhal</w:t>
      </w:r>
      <w:proofErr w:type="spellEnd"/>
      <w:r w:rsidRPr="00CA2A96">
        <w:rPr>
          <w:lang w:val="en-US"/>
        </w:rPr>
        <w:t xml:space="preserve"> </w:t>
      </w:r>
      <w:r w:rsidR="001C1D33" w:rsidRPr="00CA2A96">
        <w:rPr>
          <w:lang w:val="en-US"/>
        </w:rPr>
        <w:t>A</w:t>
      </w:r>
      <w:r w:rsidR="00146B20">
        <w:rPr>
          <w:lang w:val="en-US"/>
        </w:rPr>
        <w:t>.</w:t>
      </w:r>
      <w:r w:rsidRPr="00CA2A96">
        <w:rPr>
          <w:lang w:val="en-US"/>
        </w:rPr>
        <w:t>A.J</w:t>
      </w:r>
      <w:r w:rsidR="00466F96" w:rsidRPr="00CA2A96">
        <w:rPr>
          <w:lang w:val="en-US"/>
        </w:rPr>
        <w:t>.</w:t>
      </w:r>
      <w:r w:rsidRPr="00CA2A96">
        <w:rPr>
          <w:lang w:val="en-US"/>
        </w:rPr>
        <w:t>,</w:t>
      </w:r>
      <w:r w:rsidR="00CA2A96" w:rsidRPr="00CA2A96">
        <w:rPr>
          <w:lang w:val="en-US"/>
        </w:rPr>
        <w:t xml:space="preserve"> Di</w:t>
      </w:r>
      <w:r w:rsidRPr="00CA2A96">
        <w:rPr>
          <w:lang w:val="en-US"/>
        </w:rPr>
        <w:t xml:space="preserve"> </w:t>
      </w:r>
      <w:proofErr w:type="spellStart"/>
      <w:r w:rsidRPr="00CA2A96">
        <w:rPr>
          <w:lang w:val="en-US"/>
        </w:rPr>
        <w:t>Gravio</w:t>
      </w:r>
      <w:proofErr w:type="spellEnd"/>
      <w:r w:rsidRPr="00CA2A96">
        <w:rPr>
          <w:lang w:val="en-US"/>
        </w:rPr>
        <w:t xml:space="preserve"> G., Patriarca R.</w:t>
      </w:r>
      <w:r w:rsidR="00CA2A96" w:rsidRPr="00CA2A96">
        <w:rPr>
          <w:lang w:val="en-US"/>
        </w:rPr>
        <w:t xml:space="preserve">, </w:t>
      </w:r>
      <w:r w:rsidRPr="00CA2A96">
        <w:rPr>
          <w:lang w:val="en-US"/>
        </w:rPr>
        <w:t>2023</w:t>
      </w:r>
      <w:r w:rsidR="00CA2A96">
        <w:rPr>
          <w:lang w:val="en-US"/>
        </w:rPr>
        <w:t>,</w:t>
      </w:r>
      <w:r w:rsidRPr="00CA2A96">
        <w:rPr>
          <w:lang w:val="en-US"/>
        </w:rPr>
        <w:t xml:space="preserve"> </w:t>
      </w:r>
      <w:r w:rsidRPr="00875D75">
        <w:rPr>
          <w:lang w:val="en-US"/>
        </w:rPr>
        <w:t>Thinking in Systems, Sifting Through Simulations: A Way Ahead for Cyber Resilience Assessment</w:t>
      </w:r>
      <w:r w:rsidR="00CA2A96">
        <w:rPr>
          <w:lang w:val="en-US"/>
        </w:rPr>
        <w:t>,</w:t>
      </w:r>
      <w:r w:rsidRPr="00875D75">
        <w:rPr>
          <w:lang w:val="en-US"/>
        </w:rPr>
        <w:t xml:space="preserve"> IEEE Access, 11</w:t>
      </w:r>
      <w:r w:rsidR="00CA2A96">
        <w:rPr>
          <w:lang w:val="en-US"/>
        </w:rPr>
        <w:t>.</w:t>
      </w:r>
    </w:p>
    <w:p w14:paraId="3B65B6EF" w14:textId="69F2A82C" w:rsidR="00DA20DA" w:rsidRPr="004368D5" w:rsidRDefault="00DA20DA" w:rsidP="00583BFC">
      <w:pPr>
        <w:pStyle w:val="CETReferencetext"/>
        <w:rPr>
          <w:lang w:val="en-US"/>
        </w:rPr>
      </w:pPr>
      <w:r w:rsidRPr="004368D5">
        <w:rPr>
          <w:lang w:val="en-US"/>
        </w:rPr>
        <w:t xml:space="preserve">Sivia D., Skilling J., 2006, Data Analysis – A Bayesian </w:t>
      </w:r>
      <w:r w:rsidR="007F32B8" w:rsidRPr="004368D5">
        <w:rPr>
          <w:lang w:val="en-US"/>
        </w:rPr>
        <w:t>T</w:t>
      </w:r>
      <w:r w:rsidRPr="004368D5">
        <w:rPr>
          <w:lang w:val="en-US"/>
        </w:rPr>
        <w:t>utorial</w:t>
      </w:r>
      <w:r w:rsidR="007F32B8" w:rsidRPr="004368D5">
        <w:rPr>
          <w:lang w:val="en-US"/>
        </w:rPr>
        <w:t xml:space="preserve"> Second Edition</w:t>
      </w:r>
      <w:r w:rsidRPr="004368D5">
        <w:rPr>
          <w:lang w:val="en-US"/>
        </w:rPr>
        <w:t>, Oxford, UK.</w:t>
      </w:r>
    </w:p>
    <w:p w14:paraId="0A909226" w14:textId="31A6098E" w:rsidR="006F6348" w:rsidRPr="00583BFC" w:rsidRDefault="006F6348" w:rsidP="00FF07CD">
      <w:pPr>
        <w:pStyle w:val="CETReferencetext"/>
        <w:rPr>
          <w:lang w:val="en-US"/>
        </w:rPr>
      </w:pPr>
      <w:r w:rsidRPr="004368D5">
        <w:rPr>
          <w:lang w:val="en-US"/>
        </w:rPr>
        <w:t xml:space="preserve">Zhang J., Shi M., Lang X., You Q., Jing Y., Huang D., Dai H., Kang J., </w:t>
      </w:r>
      <w:r w:rsidR="00FF07CD" w:rsidRPr="004368D5">
        <w:rPr>
          <w:lang w:val="en-US"/>
        </w:rPr>
        <w:t xml:space="preserve">2024, Dynamic risk evaluation of hydrogen station leakage based on fuzzy dynamic Bayesian network, </w:t>
      </w:r>
      <w:r w:rsidR="00C43B4A" w:rsidRPr="004368D5">
        <w:rPr>
          <w:lang w:val="en-US"/>
        </w:rPr>
        <w:t>Int. J. Hydrogen Energy</w:t>
      </w:r>
      <w:r w:rsidR="002609CC" w:rsidRPr="004368D5">
        <w:rPr>
          <w:lang w:val="en-US"/>
        </w:rPr>
        <w:t>, 50</w:t>
      </w:r>
      <w:r w:rsidR="00FF07CD" w:rsidRPr="004368D5">
        <w:rPr>
          <w:lang w:val="en-US"/>
        </w:rPr>
        <w:t>.</w:t>
      </w:r>
    </w:p>
    <w:sectPr w:rsidR="006F6348" w:rsidRPr="00583BFC" w:rsidSect="004C34BF">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15D54" w14:textId="77777777" w:rsidR="004C34BF" w:rsidRDefault="004C34BF" w:rsidP="004F5E36">
      <w:r>
        <w:separator/>
      </w:r>
    </w:p>
  </w:endnote>
  <w:endnote w:type="continuationSeparator" w:id="0">
    <w:p w14:paraId="05FBD099" w14:textId="77777777" w:rsidR="004C34BF" w:rsidRDefault="004C34B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8F75E" w14:textId="77777777" w:rsidR="004C34BF" w:rsidRDefault="004C34BF" w:rsidP="004F5E36">
      <w:r>
        <w:separator/>
      </w:r>
    </w:p>
  </w:footnote>
  <w:footnote w:type="continuationSeparator" w:id="0">
    <w:p w14:paraId="21597A6D" w14:textId="77777777" w:rsidR="004C34BF" w:rsidRDefault="004C34B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F8372D"/>
    <w:multiLevelType w:val="hybridMultilevel"/>
    <w:tmpl w:val="6C964D4E"/>
    <w:lvl w:ilvl="0" w:tplc="1A904EA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E2A580C"/>
    <w:multiLevelType w:val="hybridMultilevel"/>
    <w:tmpl w:val="39EC7514"/>
    <w:lvl w:ilvl="0" w:tplc="E91C5CAA">
      <w:start w:val="1"/>
      <w:numFmt w:val="decimal"/>
      <w:lvlText w:val="%1."/>
      <w:lvlJc w:val="left"/>
      <w:pPr>
        <w:ind w:left="720" w:hanging="360"/>
      </w:pPr>
      <w:rPr>
        <w:rFonts w:ascii="Arial" w:eastAsia="Times New Roman" w:hAnsi="Arial"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2FA91541"/>
    <w:multiLevelType w:val="hybridMultilevel"/>
    <w:tmpl w:val="83E8DB6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5EC3751"/>
    <w:multiLevelType w:val="multilevel"/>
    <w:tmpl w:val="CFFC7EA0"/>
    <w:lvl w:ilvl="0">
      <w:start w:val="1"/>
      <w:numFmt w:val="decimal"/>
      <w:lvlText w:val="%1"/>
      <w:lvlJc w:val="left"/>
      <w:pPr>
        <w:ind w:left="410" w:hanging="410"/>
      </w:pPr>
      <w:rPr>
        <w:rFonts w:hint="default"/>
      </w:rPr>
    </w:lvl>
    <w:lvl w:ilvl="1">
      <w:start w:val="1"/>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2"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20D5E6E"/>
    <w:multiLevelType w:val="hybridMultilevel"/>
    <w:tmpl w:val="E4088AFA"/>
    <w:lvl w:ilvl="0" w:tplc="18D28F8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63561F05"/>
    <w:multiLevelType w:val="multilevel"/>
    <w:tmpl w:val="415E40E0"/>
    <w:lvl w:ilvl="0">
      <w:start w:val="1"/>
      <w:numFmt w:val="decimal"/>
      <w:lvlText w:val="%1"/>
      <w:lvlJc w:val="left"/>
      <w:pPr>
        <w:ind w:left="720" w:hanging="360"/>
      </w:pPr>
      <w:rPr>
        <w:rFonts w:hint="default"/>
      </w:rPr>
    </w:lvl>
    <w:lvl w:ilvl="1">
      <w:start w:val="1"/>
      <w:numFmt w:val="decimal"/>
      <w:isLgl/>
      <w:lvlText w:val="%1.%2"/>
      <w:lvlJc w:val="left"/>
      <w:pPr>
        <w:ind w:left="770" w:hanging="4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63E34C79"/>
    <w:multiLevelType w:val="hybridMultilevel"/>
    <w:tmpl w:val="E3E8D6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77A0557"/>
    <w:multiLevelType w:val="hybridMultilevel"/>
    <w:tmpl w:val="1C30AC52"/>
    <w:lvl w:ilvl="0" w:tplc="429814C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30305860">
    <w:abstractNumId w:val="12"/>
  </w:num>
  <w:num w:numId="2" w16cid:durableId="1939479859">
    <w:abstractNumId w:val="8"/>
  </w:num>
  <w:num w:numId="3" w16cid:durableId="976295760">
    <w:abstractNumId w:val="3"/>
  </w:num>
  <w:num w:numId="4" w16cid:durableId="23678545">
    <w:abstractNumId w:val="2"/>
  </w:num>
  <w:num w:numId="5" w16cid:durableId="1901554720">
    <w:abstractNumId w:val="1"/>
  </w:num>
  <w:num w:numId="6" w16cid:durableId="1979601308">
    <w:abstractNumId w:val="0"/>
  </w:num>
  <w:num w:numId="7" w16cid:durableId="1215388478">
    <w:abstractNumId w:val="9"/>
  </w:num>
  <w:num w:numId="8" w16cid:durableId="759717833">
    <w:abstractNumId w:val="7"/>
  </w:num>
  <w:num w:numId="9" w16cid:durableId="815683955">
    <w:abstractNumId w:val="6"/>
  </w:num>
  <w:num w:numId="10" w16cid:durableId="1066416165">
    <w:abstractNumId w:val="5"/>
  </w:num>
  <w:num w:numId="11" w16cid:durableId="438722583">
    <w:abstractNumId w:val="4"/>
  </w:num>
  <w:num w:numId="12" w16cid:durableId="733702629">
    <w:abstractNumId w:val="21"/>
  </w:num>
  <w:num w:numId="13" w16cid:durableId="1573659240">
    <w:abstractNumId w:val="15"/>
  </w:num>
  <w:num w:numId="14" w16cid:durableId="2092192635">
    <w:abstractNumId w:val="22"/>
  </w:num>
  <w:num w:numId="15" w16cid:durableId="1115637783">
    <w:abstractNumId w:val="28"/>
  </w:num>
  <w:num w:numId="16" w16cid:durableId="635987207">
    <w:abstractNumId w:val="26"/>
  </w:num>
  <w:num w:numId="17" w16cid:durableId="1476411020">
    <w:abstractNumId w:val="14"/>
  </w:num>
  <w:num w:numId="18" w16cid:durableId="2106877164">
    <w:abstractNumId w:val="15"/>
    <w:lvlOverride w:ilvl="0">
      <w:startOverride w:val="1"/>
    </w:lvlOverride>
  </w:num>
  <w:num w:numId="19" w16cid:durableId="1650403514">
    <w:abstractNumId w:val="20"/>
  </w:num>
  <w:num w:numId="20" w16cid:durableId="536504040">
    <w:abstractNumId w:val="19"/>
  </w:num>
  <w:num w:numId="21" w16cid:durableId="518815501">
    <w:abstractNumId w:val="17"/>
  </w:num>
  <w:num w:numId="22" w16cid:durableId="299530822">
    <w:abstractNumId w:val="16"/>
  </w:num>
  <w:num w:numId="23" w16cid:durableId="620039024">
    <w:abstractNumId w:val="12"/>
    <w:lvlOverride w:ilvl="0">
      <w:startOverride w:val="1"/>
    </w:lvlOverride>
    <w:lvlOverride w:ilvl="1">
      <w:startOverride w:val="4"/>
    </w:lvlOverride>
  </w:num>
  <w:num w:numId="24" w16cid:durableId="1240097569">
    <w:abstractNumId w:val="12"/>
    <w:lvlOverride w:ilvl="0">
      <w:startOverride w:val="1"/>
    </w:lvlOverride>
    <w:lvlOverride w:ilvl="1">
      <w:startOverride w:val="4"/>
    </w:lvlOverride>
  </w:num>
  <w:num w:numId="25" w16cid:durableId="1629311454">
    <w:abstractNumId w:val="12"/>
    <w:lvlOverride w:ilvl="0">
      <w:startOverride w:val="1"/>
    </w:lvlOverride>
    <w:lvlOverride w:ilvl="1">
      <w:startOverride w:val="4"/>
    </w:lvlOverride>
  </w:num>
  <w:num w:numId="26" w16cid:durableId="1040781465">
    <w:abstractNumId w:val="12"/>
    <w:lvlOverride w:ilvl="0">
      <w:startOverride w:val="1"/>
    </w:lvlOverride>
    <w:lvlOverride w:ilvl="1">
      <w:startOverride w:val="4"/>
    </w:lvlOverride>
  </w:num>
  <w:num w:numId="27" w16cid:durableId="515190954">
    <w:abstractNumId w:val="11"/>
  </w:num>
  <w:num w:numId="28" w16cid:durableId="1741976409">
    <w:abstractNumId w:val="25"/>
  </w:num>
  <w:num w:numId="29" w16cid:durableId="940072070">
    <w:abstractNumId w:val="13"/>
  </w:num>
  <w:num w:numId="30" w16cid:durableId="1645697290">
    <w:abstractNumId w:val="27"/>
  </w:num>
  <w:num w:numId="31" w16cid:durableId="474950658">
    <w:abstractNumId w:val="10"/>
  </w:num>
  <w:num w:numId="32" w16cid:durableId="402488868">
    <w:abstractNumId w:val="23"/>
  </w:num>
  <w:num w:numId="33" w16cid:durableId="556087279">
    <w:abstractNumId w:val="18"/>
  </w:num>
  <w:num w:numId="34" w16cid:durableId="61787471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1D0"/>
    <w:rsid w:val="000027C0"/>
    <w:rsid w:val="00002B03"/>
    <w:rsid w:val="00002B83"/>
    <w:rsid w:val="00003941"/>
    <w:rsid w:val="000052FB"/>
    <w:rsid w:val="0001090F"/>
    <w:rsid w:val="000117CB"/>
    <w:rsid w:val="00013321"/>
    <w:rsid w:val="0001465A"/>
    <w:rsid w:val="00016838"/>
    <w:rsid w:val="00021EFE"/>
    <w:rsid w:val="000224E4"/>
    <w:rsid w:val="00024954"/>
    <w:rsid w:val="0002576F"/>
    <w:rsid w:val="0003148D"/>
    <w:rsid w:val="00031EEC"/>
    <w:rsid w:val="000356C8"/>
    <w:rsid w:val="00036EB8"/>
    <w:rsid w:val="00040128"/>
    <w:rsid w:val="00045703"/>
    <w:rsid w:val="00045E7C"/>
    <w:rsid w:val="00046A82"/>
    <w:rsid w:val="000478CF"/>
    <w:rsid w:val="000502B2"/>
    <w:rsid w:val="00051566"/>
    <w:rsid w:val="00051D07"/>
    <w:rsid w:val="000527B3"/>
    <w:rsid w:val="0006139D"/>
    <w:rsid w:val="00062A9A"/>
    <w:rsid w:val="0006449C"/>
    <w:rsid w:val="000644EE"/>
    <w:rsid w:val="00065058"/>
    <w:rsid w:val="00065D13"/>
    <w:rsid w:val="00066587"/>
    <w:rsid w:val="000665CC"/>
    <w:rsid w:val="000668F4"/>
    <w:rsid w:val="00072519"/>
    <w:rsid w:val="000747A5"/>
    <w:rsid w:val="000818A2"/>
    <w:rsid w:val="000842B0"/>
    <w:rsid w:val="000859F5"/>
    <w:rsid w:val="00086C39"/>
    <w:rsid w:val="000905CD"/>
    <w:rsid w:val="000922AF"/>
    <w:rsid w:val="00093228"/>
    <w:rsid w:val="00093E17"/>
    <w:rsid w:val="00095D68"/>
    <w:rsid w:val="00096806"/>
    <w:rsid w:val="0009726B"/>
    <w:rsid w:val="00097658"/>
    <w:rsid w:val="000A03B2"/>
    <w:rsid w:val="000A4D47"/>
    <w:rsid w:val="000A6523"/>
    <w:rsid w:val="000A710D"/>
    <w:rsid w:val="000B077E"/>
    <w:rsid w:val="000B24CA"/>
    <w:rsid w:val="000B4970"/>
    <w:rsid w:val="000B63AF"/>
    <w:rsid w:val="000B6822"/>
    <w:rsid w:val="000B7A44"/>
    <w:rsid w:val="000C104F"/>
    <w:rsid w:val="000C3346"/>
    <w:rsid w:val="000C4861"/>
    <w:rsid w:val="000D0268"/>
    <w:rsid w:val="000D13D6"/>
    <w:rsid w:val="000D34BE"/>
    <w:rsid w:val="000D56E0"/>
    <w:rsid w:val="000E046C"/>
    <w:rsid w:val="000E102F"/>
    <w:rsid w:val="000E36F1"/>
    <w:rsid w:val="000E3A73"/>
    <w:rsid w:val="000E3B71"/>
    <w:rsid w:val="000E3D67"/>
    <w:rsid w:val="000E414A"/>
    <w:rsid w:val="000E7948"/>
    <w:rsid w:val="000F093C"/>
    <w:rsid w:val="000F0D2C"/>
    <w:rsid w:val="000F1B3B"/>
    <w:rsid w:val="000F44D4"/>
    <w:rsid w:val="000F4CD3"/>
    <w:rsid w:val="000F5AA3"/>
    <w:rsid w:val="000F5D0B"/>
    <w:rsid w:val="000F6AEB"/>
    <w:rsid w:val="000F787B"/>
    <w:rsid w:val="00106436"/>
    <w:rsid w:val="00106ACD"/>
    <w:rsid w:val="00106B28"/>
    <w:rsid w:val="00106B41"/>
    <w:rsid w:val="0011649B"/>
    <w:rsid w:val="0012091F"/>
    <w:rsid w:val="001224B2"/>
    <w:rsid w:val="001241C5"/>
    <w:rsid w:val="001245D3"/>
    <w:rsid w:val="00125DFF"/>
    <w:rsid w:val="00126BC2"/>
    <w:rsid w:val="001308B6"/>
    <w:rsid w:val="0013121F"/>
    <w:rsid w:val="00131FE6"/>
    <w:rsid w:val="0013263F"/>
    <w:rsid w:val="00132F9B"/>
    <w:rsid w:val="00132FF0"/>
    <w:rsid w:val="001331DF"/>
    <w:rsid w:val="00133A5B"/>
    <w:rsid w:val="00133B30"/>
    <w:rsid w:val="00134365"/>
    <w:rsid w:val="00134DE4"/>
    <w:rsid w:val="0013633F"/>
    <w:rsid w:val="001375D4"/>
    <w:rsid w:val="0014034D"/>
    <w:rsid w:val="00141ADF"/>
    <w:rsid w:val="001423D8"/>
    <w:rsid w:val="00144D16"/>
    <w:rsid w:val="00146B20"/>
    <w:rsid w:val="001476F4"/>
    <w:rsid w:val="0015007B"/>
    <w:rsid w:val="0015059A"/>
    <w:rsid w:val="00150E59"/>
    <w:rsid w:val="00152DE3"/>
    <w:rsid w:val="00153847"/>
    <w:rsid w:val="001547E6"/>
    <w:rsid w:val="00154D20"/>
    <w:rsid w:val="00154EF6"/>
    <w:rsid w:val="00157709"/>
    <w:rsid w:val="00160594"/>
    <w:rsid w:val="00163A5D"/>
    <w:rsid w:val="00164CF9"/>
    <w:rsid w:val="001667A6"/>
    <w:rsid w:val="001703A7"/>
    <w:rsid w:val="001707B9"/>
    <w:rsid w:val="00170B7C"/>
    <w:rsid w:val="00170CFE"/>
    <w:rsid w:val="0017172D"/>
    <w:rsid w:val="001762F1"/>
    <w:rsid w:val="001765D3"/>
    <w:rsid w:val="00180581"/>
    <w:rsid w:val="00183645"/>
    <w:rsid w:val="00184AD6"/>
    <w:rsid w:val="001861A5"/>
    <w:rsid w:val="0018631D"/>
    <w:rsid w:val="001871E5"/>
    <w:rsid w:val="00190B3D"/>
    <w:rsid w:val="001965C5"/>
    <w:rsid w:val="00197EF8"/>
    <w:rsid w:val="001A1BAA"/>
    <w:rsid w:val="001A346D"/>
    <w:rsid w:val="001A359F"/>
    <w:rsid w:val="001A4AF7"/>
    <w:rsid w:val="001B0349"/>
    <w:rsid w:val="001B0D73"/>
    <w:rsid w:val="001B1E93"/>
    <w:rsid w:val="001B4EC6"/>
    <w:rsid w:val="001B65C1"/>
    <w:rsid w:val="001C191B"/>
    <w:rsid w:val="001C1D33"/>
    <w:rsid w:val="001C2F5B"/>
    <w:rsid w:val="001C3C02"/>
    <w:rsid w:val="001C43A8"/>
    <w:rsid w:val="001C470C"/>
    <w:rsid w:val="001C4F81"/>
    <w:rsid w:val="001C684B"/>
    <w:rsid w:val="001D0C02"/>
    <w:rsid w:val="001D0CFB"/>
    <w:rsid w:val="001D0E1B"/>
    <w:rsid w:val="001D2264"/>
    <w:rsid w:val="001D2721"/>
    <w:rsid w:val="001D53FC"/>
    <w:rsid w:val="001D6DE2"/>
    <w:rsid w:val="001D70D2"/>
    <w:rsid w:val="001D7A0F"/>
    <w:rsid w:val="001E2929"/>
    <w:rsid w:val="001E2BA3"/>
    <w:rsid w:val="001E3195"/>
    <w:rsid w:val="001E41A0"/>
    <w:rsid w:val="001E5721"/>
    <w:rsid w:val="001F1864"/>
    <w:rsid w:val="001F18FB"/>
    <w:rsid w:val="001F42A5"/>
    <w:rsid w:val="001F52CC"/>
    <w:rsid w:val="001F73D0"/>
    <w:rsid w:val="001F7B9D"/>
    <w:rsid w:val="001F7C10"/>
    <w:rsid w:val="00201C93"/>
    <w:rsid w:val="00202063"/>
    <w:rsid w:val="00207BA4"/>
    <w:rsid w:val="0021391A"/>
    <w:rsid w:val="002139A9"/>
    <w:rsid w:val="0021536B"/>
    <w:rsid w:val="00215AE0"/>
    <w:rsid w:val="0021614B"/>
    <w:rsid w:val="00221BF3"/>
    <w:rsid w:val="002224B4"/>
    <w:rsid w:val="0022268B"/>
    <w:rsid w:val="00224524"/>
    <w:rsid w:val="00230E98"/>
    <w:rsid w:val="00230F40"/>
    <w:rsid w:val="002337CF"/>
    <w:rsid w:val="00236C28"/>
    <w:rsid w:val="00237071"/>
    <w:rsid w:val="00240126"/>
    <w:rsid w:val="00242CB3"/>
    <w:rsid w:val="002447EF"/>
    <w:rsid w:val="00251550"/>
    <w:rsid w:val="002517F8"/>
    <w:rsid w:val="002520CD"/>
    <w:rsid w:val="00252FF2"/>
    <w:rsid w:val="002531E0"/>
    <w:rsid w:val="00254E40"/>
    <w:rsid w:val="00256E87"/>
    <w:rsid w:val="0025792C"/>
    <w:rsid w:val="00260587"/>
    <w:rsid w:val="002609CC"/>
    <w:rsid w:val="00260DED"/>
    <w:rsid w:val="00261C13"/>
    <w:rsid w:val="002621A0"/>
    <w:rsid w:val="0026328B"/>
    <w:rsid w:val="00263B05"/>
    <w:rsid w:val="00267510"/>
    <w:rsid w:val="0027221A"/>
    <w:rsid w:val="0027522F"/>
    <w:rsid w:val="00275B61"/>
    <w:rsid w:val="0027678C"/>
    <w:rsid w:val="0027798E"/>
    <w:rsid w:val="00280652"/>
    <w:rsid w:val="00280FAF"/>
    <w:rsid w:val="00282656"/>
    <w:rsid w:val="00282F6C"/>
    <w:rsid w:val="00292CB7"/>
    <w:rsid w:val="00295805"/>
    <w:rsid w:val="00296B83"/>
    <w:rsid w:val="002A17B1"/>
    <w:rsid w:val="002A3CE2"/>
    <w:rsid w:val="002A4992"/>
    <w:rsid w:val="002A762C"/>
    <w:rsid w:val="002A7E28"/>
    <w:rsid w:val="002B2366"/>
    <w:rsid w:val="002B2DE9"/>
    <w:rsid w:val="002B4015"/>
    <w:rsid w:val="002B488B"/>
    <w:rsid w:val="002B4EEE"/>
    <w:rsid w:val="002B78CE"/>
    <w:rsid w:val="002C11C8"/>
    <w:rsid w:val="002C2FB6"/>
    <w:rsid w:val="002C43E6"/>
    <w:rsid w:val="002C5122"/>
    <w:rsid w:val="002C6A0A"/>
    <w:rsid w:val="002D4554"/>
    <w:rsid w:val="002D5FF5"/>
    <w:rsid w:val="002D69B8"/>
    <w:rsid w:val="002D6F6C"/>
    <w:rsid w:val="002D74BC"/>
    <w:rsid w:val="002E0006"/>
    <w:rsid w:val="002E06B6"/>
    <w:rsid w:val="002E216C"/>
    <w:rsid w:val="002E25E9"/>
    <w:rsid w:val="002E5FA7"/>
    <w:rsid w:val="002F0EDD"/>
    <w:rsid w:val="002F236E"/>
    <w:rsid w:val="002F3309"/>
    <w:rsid w:val="002F333D"/>
    <w:rsid w:val="002F5188"/>
    <w:rsid w:val="003008CE"/>
    <w:rsid w:val="003009B7"/>
    <w:rsid w:val="00300E56"/>
    <w:rsid w:val="00301300"/>
    <w:rsid w:val="00301ECB"/>
    <w:rsid w:val="0030469C"/>
    <w:rsid w:val="00304A2E"/>
    <w:rsid w:val="0030532B"/>
    <w:rsid w:val="0030585D"/>
    <w:rsid w:val="003066FB"/>
    <w:rsid w:val="00307F0A"/>
    <w:rsid w:val="00310604"/>
    <w:rsid w:val="003110B2"/>
    <w:rsid w:val="00316979"/>
    <w:rsid w:val="00321CA6"/>
    <w:rsid w:val="00323763"/>
    <w:rsid w:val="00323822"/>
    <w:rsid w:val="00326065"/>
    <w:rsid w:val="003277B8"/>
    <w:rsid w:val="00330BA8"/>
    <w:rsid w:val="00332C72"/>
    <w:rsid w:val="003332AB"/>
    <w:rsid w:val="003340C2"/>
    <w:rsid w:val="0033452D"/>
    <w:rsid w:val="00334C09"/>
    <w:rsid w:val="00335BCA"/>
    <w:rsid w:val="00336BF3"/>
    <w:rsid w:val="003419AD"/>
    <w:rsid w:val="00350D0A"/>
    <w:rsid w:val="003569C5"/>
    <w:rsid w:val="0036019A"/>
    <w:rsid w:val="0036076C"/>
    <w:rsid w:val="003639F2"/>
    <w:rsid w:val="00364636"/>
    <w:rsid w:val="00366D34"/>
    <w:rsid w:val="00366F30"/>
    <w:rsid w:val="0036719A"/>
    <w:rsid w:val="003671D4"/>
    <w:rsid w:val="003712ED"/>
    <w:rsid w:val="003723D4"/>
    <w:rsid w:val="003751D5"/>
    <w:rsid w:val="003764B1"/>
    <w:rsid w:val="0037733F"/>
    <w:rsid w:val="00381905"/>
    <w:rsid w:val="003820AA"/>
    <w:rsid w:val="003822C4"/>
    <w:rsid w:val="00383923"/>
    <w:rsid w:val="00384CC8"/>
    <w:rsid w:val="0038570C"/>
    <w:rsid w:val="003871FD"/>
    <w:rsid w:val="003919CC"/>
    <w:rsid w:val="00391E7D"/>
    <w:rsid w:val="00392F99"/>
    <w:rsid w:val="00397CCE"/>
    <w:rsid w:val="00397D7F"/>
    <w:rsid w:val="003A1E30"/>
    <w:rsid w:val="003A2829"/>
    <w:rsid w:val="003A2CC8"/>
    <w:rsid w:val="003A449A"/>
    <w:rsid w:val="003A7D1C"/>
    <w:rsid w:val="003B0F54"/>
    <w:rsid w:val="003B2213"/>
    <w:rsid w:val="003B304B"/>
    <w:rsid w:val="003B3146"/>
    <w:rsid w:val="003C215E"/>
    <w:rsid w:val="003C241A"/>
    <w:rsid w:val="003C5077"/>
    <w:rsid w:val="003C6CA0"/>
    <w:rsid w:val="003D0098"/>
    <w:rsid w:val="003D161F"/>
    <w:rsid w:val="003D22BC"/>
    <w:rsid w:val="003D32CA"/>
    <w:rsid w:val="003D423E"/>
    <w:rsid w:val="003E110E"/>
    <w:rsid w:val="003E1C34"/>
    <w:rsid w:val="003E3C41"/>
    <w:rsid w:val="003E6B2E"/>
    <w:rsid w:val="003F015E"/>
    <w:rsid w:val="003F1652"/>
    <w:rsid w:val="003F2D0D"/>
    <w:rsid w:val="003F5F9B"/>
    <w:rsid w:val="00400414"/>
    <w:rsid w:val="00402DA6"/>
    <w:rsid w:val="0040389C"/>
    <w:rsid w:val="004045C8"/>
    <w:rsid w:val="0040490D"/>
    <w:rsid w:val="0040569B"/>
    <w:rsid w:val="004056A2"/>
    <w:rsid w:val="0041077B"/>
    <w:rsid w:val="00410F71"/>
    <w:rsid w:val="004115C3"/>
    <w:rsid w:val="0041446B"/>
    <w:rsid w:val="004170FD"/>
    <w:rsid w:val="00417DF5"/>
    <w:rsid w:val="0042233A"/>
    <w:rsid w:val="004304D7"/>
    <w:rsid w:val="004305E4"/>
    <w:rsid w:val="00430F48"/>
    <w:rsid w:val="00435040"/>
    <w:rsid w:val="004368D5"/>
    <w:rsid w:val="00437C36"/>
    <w:rsid w:val="0044329C"/>
    <w:rsid w:val="0045170B"/>
    <w:rsid w:val="00453E24"/>
    <w:rsid w:val="004542E8"/>
    <w:rsid w:val="00457456"/>
    <w:rsid w:val="004577FE"/>
    <w:rsid w:val="00457876"/>
    <w:rsid w:val="00457B9C"/>
    <w:rsid w:val="00457D0E"/>
    <w:rsid w:val="0046164A"/>
    <w:rsid w:val="004628D2"/>
    <w:rsid w:val="00462DCD"/>
    <w:rsid w:val="004648AD"/>
    <w:rsid w:val="004652CD"/>
    <w:rsid w:val="00466152"/>
    <w:rsid w:val="00466F96"/>
    <w:rsid w:val="0046702B"/>
    <w:rsid w:val="0046739C"/>
    <w:rsid w:val="00467CE7"/>
    <w:rsid w:val="004703A9"/>
    <w:rsid w:val="00473C1F"/>
    <w:rsid w:val="004760DE"/>
    <w:rsid w:val="004763D7"/>
    <w:rsid w:val="00480EED"/>
    <w:rsid w:val="004825EE"/>
    <w:rsid w:val="00491D91"/>
    <w:rsid w:val="00493F06"/>
    <w:rsid w:val="0049599A"/>
    <w:rsid w:val="00496422"/>
    <w:rsid w:val="004A004E"/>
    <w:rsid w:val="004A0C6A"/>
    <w:rsid w:val="004A24CF"/>
    <w:rsid w:val="004A2B25"/>
    <w:rsid w:val="004A32CC"/>
    <w:rsid w:val="004B2516"/>
    <w:rsid w:val="004B32C0"/>
    <w:rsid w:val="004B6F77"/>
    <w:rsid w:val="004C03D6"/>
    <w:rsid w:val="004C34BF"/>
    <w:rsid w:val="004C3D1D"/>
    <w:rsid w:val="004C582C"/>
    <w:rsid w:val="004C5E6D"/>
    <w:rsid w:val="004C6CA6"/>
    <w:rsid w:val="004C7913"/>
    <w:rsid w:val="004D544C"/>
    <w:rsid w:val="004E17B1"/>
    <w:rsid w:val="004E4DD6"/>
    <w:rsid w:val="004E5747"/>
    <w:rsid w:val="004E637A"/>
    <w:rsid w:val="004E77D0"/>
    <w:rsid w:val="004F5A7B"/>
    <w:rsid w:val="004F5E36"/>
    <w:rsid w:val="005007F2"/>
    <w:rsid w:val="0050553D"/>
    <w:rsid w:val="00506FAB"/>
    <w:rsid w:val="00507B47"/>
    <w:rsid w:val="00507BEF"/>
    <w:rsid w:val="00507CC9"/>
    <w:rsid w:val="00507D70"/>
    <w:rsid w:val="005119A5"/>
    <w:rsid w:val="0051308F"/>
    <w:rsid w:val="005147AB"/>
    <w:rsid w:val="0051769D"/>
    <w:rsid w:val="005217A2"/>
    <w:rsid w:val="00521FEA"/>
    <w:rsid w:val="00523675"/>
    <w:rsid w:val="0052422D"/>
    <w:rsid w:val="00526644"/>
    <w:rsid w:val="005278B7"/>
    <w:rsid w:val="00530F1A"/>
    <w:rsid w:val="00532016"/>
    <w:rsid w:val="0053260E"/>
    <w:rsid w:val="00533D94"/>
    <w:rsid w:val="00534033"/>
    <w:rsid w:val="005340B7"/>
    <w:rsid w:val="005346C8"/>
    <w:rsid w:val="00534BFB"/>
    <w:rsid w:val="00543011"/>
    <w:rsid w:val="005438B8"/>
    <w:rsid w:val="00543E7D"/>
    <w:rsid w:val="00547A68"/>
    <w:rsid w:val="00547EE9"/>
    <w:rsid w:val="00551C85"/>
    <w:rsid w:val="005531C9"/>
    <w:rsid w:val="00553FBC"/>
    <w:rsid w:val="00554736"/>
    <w:rsid w:val="0056059E"/>
    <w:rsid w:val="00570C43"/>
    <w:rsid w:val="00571C6F"/>
    <w:rsid w:val="0057693B"/>
    <w:rsid w:val="0057707A"/>
    <w:rsid w:val="005828DE"/>
    <w:rsid w:val="0058304B"/>
    <w:rsid w:val="00583BFC"/>
    <w:rsid w:val="00586A00"/>
    <w:rsid w:val="00587711"/>
    <w:rsid w:val="00587EFC"/>
    <w:rsid w:val="0059473A"/>
    <w:rsid w:val="00595153"/>
    <w:rsid w:val="005A7759"/>
    <w:rsid w:val="005B132A"/>
    <w:rsid w:val="005B2110"/>
    <w:rsid w:val="005B373D"/>
    <w:rsid w:val="005B61E6"/>
    <w:rsid w:val="005C184C"/>
    <w:rsid w:val="005C45C9"/>
    <w:rsid w:val="005C4B10"/>
    <w:rsid w:val="005C50CC"/>
    <w:rsid w:val="005C6C11"/>
    <w:rsid w:val="005C77E1"/>
    <w:rsid w:val="005D3B18"/>
    <w:rsid w:val="005D4DC2"/>
    <w:rsid w:val="005D668A"/>
    <w:rsid w:val="005D6A2F"/>
    <w:rsid w:val="005D7483"/>
    <w:rsid w:val="005E0AFA"/>
    <w:rsid w:val="005E10AD"/>
    <w:rsid w:val="005E1A82"/>
    <w:rsid w:val="005E1B83"/>
    <w:rsid w:val="005E2C09"/>
    <w:rsid w:val="005E33E8"/>
    <w:rsid w:val="005E584B"/>
    <w:rsid w:val="005E794C"/>
    <w:rsid w:val="005F09AB"/>
    <w:rsid w:val="005F0A28"/>
    <w:rsid w:val="005F0E5E"/>
    <w:rsid w:val="005F1C74"/>
    <w:rsid w:val="005F4661"/>
    <w:rsid w:val="005F6421"/>
    <w:rsid w:val="005F7392"/>
    <w:rsid w:val="00600535"/>
    <w:rsid w:val="006009EB"/>
    <w:rsid w:val="0060168F"/>
    <w:rsid w:val="00602589"/>
    <w:rsid w:val="006030FB"/>
    <w:rsid w:val="00610CD6"/>
    <w:rsid w:val="006139D5"/>
    <w:rsid w:val="00615422"/>
    <w:rsid w:val="00615507"/>
    <w:rsid w:val="006169FE"/>
    <w:rsid w:val="00620DEE"/>
    <w:rsid w:val="00621F92"/>
    <w:rsid w:val="0062280A"/>
    <w:rsid w:val="00622A1D"/>
    <w:rsid w:val="0062546C"/>
    <w:rsid w:val="00625639"/>
    <w:rsid w:val="006259AD"/>
    <w:rsid w:val="00626547"/>
    <w:rsid w:val="006270FE"/>
    <w:rsid w:val="00627B6C"/>
    <w:rsid w:val="00630BF6"/>
    <w:rsid w:val="00631643"/>
    <w:rsid w:val="00631B33"/>
    <w:rsid w:val="00632AFB"/>
    <w:rsid w:val="006333EA"/>
    <w:rsid w:val="006370FC"/>
    <w:rsid w:val="0064184D"/>
    <w:rsid w:val="006422CC"/>
    <w:rsid w:val="006438EA"/>
    <w:rsid w:val="00645589"/>
    <w:rsid w:val="00650CED"/>
    <w:rsid w:val="00653985"/>
    <w:rsid w:val="006545AF"/>
    <w:rsid w:val="00656DBB"/>
    <w:rsid w:val="00660E3E"/>
    <w:rsid w:val="0066110C"/>
    <w:rsid w:val="00662E74"/>
    <w:rsid w:val="0066429F"/>
    <w:rsid w:val="00665323"/>
    <w:rsid w:val="006671DF"/>
    <w:rsid w:val="006706AA"/>
    <w:rsid w:val="00671A87"/>
    <w:rsid w:val="0067218B"/>
    <w:rsid w:val="00674835"/>
    <w:rsid w:val="006776DC"/>
    <w:rsid w:val="00680C23"/>
    <w:rsid w:val="006850AB"/>
    <w:rsid w:val="00685CFF"/>
    <w:rsid w:val="00692CE8"/>
    <w:rsid w:val="00693766"/>
    <w:rsid w:val="00694721"/>
    <w:rsid w:val="006966DA"/>
    <w:rsid w:val="006A3281"/>
    <w:rsid w:val="006A55CB"/>
    <w:rsid w:val="006A6B93"/>
    <w:rsid w:val="006A7B40"/>
    <w:rsid w:val="006B2FAA"/>
    <w:rsid w:val="006B4888"/>
    <w:rsid w:val="006B669E"/>
    <w:rsid w:val="006C02D8"/>
    <w:rsid w:val="006C1DDE"/>
    <w:rsid w:val="006C27F0"/>
    <w:rsid w:val="006C2E45"/>
    <w:rsid w:val="006C359C"/>
    <w:rsid w:val="006C3771"/>
    <w:rsid w:val="006C40C4"/>
    <w:rsid w:val="006C5579"/>
    <w:rsid w:val="006C7EC5"/>
    <w:rsid w:val="006C7F43"/>
    <w:rsid w:val="006D5A73"/>
    <w:rsid w:val="006D62C8"/>
    <w:rsid w:val="006D646D"/>
    <w:rsid w:val="006D6E8B"/>
    <w:rsid w:val="006E6508"/>
    <w:rsid w:val="006E737D"/>
    <w:rsid w:val="006E7E03"/>
    <w:rsid w:val="006F0FA2"/>
    <w:rsid w:val="006F2EE3"/>
    <w:rsid w:val="006F43EB"/>
    <w:rsid w:val="006F6348"/>
    <w:rsid w:val="007004A2"/>
    <w:rsid w:val="007030B6"/>
    <w:rsid w:val="0070399E"/>
    <w:rsid w:val="00703CF7"/>
    <w:rsid w:val="007059BA"/>
    <w:rsid w:val="00713973"/>
    <w:rsid w:val="00720A24"/>
    <w:rsid w:val="00720CE0"/>
    <w:rsid w:val="00723866"/>
    <w:rsid w:val="00724366"/>
    <w:rsid w:val="00726CF0"/>
    <w:rsid w:val="00732386"/>
    <w:rsid w:val="00732709"/>
    <w:rsid w:val="00732783"/>
    <w:rsid w:val="00734495"/>
    <w:rsid w:val="0073514D"/>
    <w:rsid w:val="00741DB0"/>
    <w:rsid w:val="0074253E"/>
    <w:rsid w:val="00742D15"/>
    <w:rsid w:val="007447F3"/>
    <w:rsid w:val="0074678C"/>
    <w:rsid w:val="0075000D"/>
    <w:rsid w:val="00753440"/>
    <w:rsid w:val="00754028"/>
    <w:rsid w:val="0075499F"/>
    <w:rsid w:val="00755790"/>
    <w:rsid w:val="00757B85"/>
    <w:rsid w:val="00757C4A"/>
    <w:rsid w:val="007611DC"/>
    <w:rsid w:val="00764AAD"/>
    <w:rsid w:val="00765A81"/>
    <w:rsid w:val="007661C8"/>
    <w:rsid w:val="00767E34"/>
    <w:rsid w:val="0077098D"/>
    <w:rsid w:val="00772351"/>
    <w:rsid w:val="007727C9"/>
    <w:rsid w:val="007741E7"/>
    <w:rsid w:val="007757E6"/>
    <w:rsid w:val="00780F29"/>
    <w:rsid w:val="007817D7"/>
    <w:rsid w:val="007826E7"/>
    <w:rsid w:val="0078432C"/>
    <w:rsid w:val="007847F1"/>
    <w:rsid w:val="00787BEB"/>
    <w:rsid w:val="007931FA"/>
    <w:rsid w:val="007A021C"/>
    <w:rsid w:val="007A26DE"/>
    <w:rsid w:val="007A365D"/>
    <w:rsid w:val="007A38B2"/>
    <w:rsid w:val="007A3E79"/>
    <w:rsid w:val="007A4861"/>
    <w:rsid w:val="007A52FD"/>
    <w:rsid w:val="007A7BBA"/>
    <w:rsid w:val="007B0AAB"/>
    <w:rsid w:val="007B0C50"/>
    <w:rsid w:val="007B3054"/>
    <w:rsid w:val="007B3242"/>
    <w:rsid w:val="007B3D04"/>
    <w:rsid w:val="007B48F9"/>
    <w:rsid w:val="007B7A08"/>
    <w:rsid w:val="007C0110"/>
    <w:rsid w:val="007C04A7"/>
    <w:rsid w:val="007C0BA3"/>
    <w:rsid w:val="007C1A43"/>
    <w:rsid w:val="007C1F4B"/>
    <w:rsid w:val="007C2A37"/>
    <w:rsid w:val="007D0B9B"/>
    <w:rsid w:val="007D3497"/>
    <w:rsid w:val="007D393B"/>
    <w:rsid w:val="007D59C6"/>
    <w:rsid w:val="007E32AD"/>
    <w:rsid w:val="007E410D"/>
    <w:rsid w:val="007E4C7B"/>
    <w:rsid w:val="007E7BD0"/>
    <w:rsid w:val="007F0DEA"/>
    <w:rsid w:val="007F31ED"/>
    <w:rsid w:val="007F32B8"/>
    <w:rsid w:val="007F3BC1"/>
    <w:rsid w:val="007F64B3"/>
    <w:rsid w:val="007F663F"/>
    <w:rsid w:val="0080013E"/>
    <w:rsid w:val="008034D0"/>
    <w:rsid w:val="00805F47"/>
    <w:rsid w:val="00810488"/>
    <w:rsid w:val="00813288"/>
    <w:rsid w:val="008168FC"/>
    <w:rsid w:val="008226EF"/>
    <w:rsid w:val="0082362D"/>
    <w:rsid w:val="00825DD9"/>
    <w:rsid w:val="00827D04"/>
    <w:rsid w:val="00830996"/>
    <w:rsid w:val="0083338C"/>
    <w:rsid w:val="008345F1"/>
    <w:rsid w:val="00835103"/>
    <w:rsid w:val="008363F9"/>
    <w:rsid w:val="00837CC5"/>
    <w:rsid w:val="00842569"/>
    <w:rsid w:val="008438A9"/>
    <w:rsid w:val="00844836"/>
    <w:rsid w:val="00850FC4"/>
    <w:rsid w:val="00851872"/>
    <w:rsid w:val="00852679"/>
    <w:rsid w:val="00854BCE"/>
    <w:rsid w:val="00854C81"/>
    <w:rsid w:val="00857E17"/>
    <w:rsid w:val="00861C85"/>
    <w:rsid w:val="00862C4F"/>
    <w:rsid w:val="00862F23"/>
    <w:rsid w:val="00863522"/>
    <w:rsid w:val="0086354F"/>
    <w:rsid w:val="008639F9"/>
    <w:rsid w:val="00865B07"/>
    <w:rsid w:val="008667EA"/>
    <w:rsid w:val="00872C38"/>
    <w:rsid w:val="00875D75"/>
    <w:rsid w:val="0087637F"/>
    <w:rsid w:val="00877807"/>
    <w:rsid w:val="00892493"/>
    <w:rsid w:val="008926BD"/>
    <w:rsid w:val="00892AD5"/>
    <w:rsid w:val="00892C55"/>
    <w:rsid w:val="00894ACA"/>
    <w:rsid w:val="00894C4B"/>
    <w:rsid w:val="008A1512"/>
    <w:rsid w:val="008A2ADA"/>
    <w:rsid w:val="008A3853"/>
    <w:rsid w:val="008A48B2"/>
    <w:rsid w:val="008B0656"/>
    <w:rsid w:val="008B3AD1"/>
    <w:rsid w:val="008C169D"/>
    <w:rsid w:val="008C202A"/>
    <w:rsid w:val="008D0D5A"/>
    <w:rsid w:val="008D32B9"/>
    <w:rsid w:val="008D3D7E"/>
    <w:rsid w:val="008D403A"/>
    <w:rsid w:val="008D433B"/>
    <w:rsid w:val="008D5DA8"/>
    <w:rsid w:val="008E1158"/>
    <w:rsid w:val="008E45D8"/>
    <w:rsid w:val="008E566E"/>
    <w:rsid w:val="008E67FE"/>
    <w:rsid w:val="008F2D4A"/>
    <w:rsid w:val="008F5DBC"/>
    <w:rsid w:val="008F79AA"/>
    <w:rsid w:val="00900442"/>
    <w:rsid w:val="0090161A"/>
    <w:rsid w:val="00901EB6"/>
    <w:rsid w:val="00903A1A"/>
    <w:rsid w:val="00904C62"/>
    <w:rsid w:val="009106C6"/>
    <w:rsid w:val="00911791"/>
    <w:rsid w:val="009118EC"/>
    <w:rsid w:val="00912AA2"/>
    <w:rsid w:val="00914285"/>
    <w:rsid w:val="009144A1"/>
    <w:rsid w:val="00922BA8"/>
    <w:rsid w:val="00923BC8"/>
    <w:rsid w:val="00924DAC"/>
    <w:rsid w:val="00924F77"/>
    <w:rsid w:val="00927058"/>
    <w:rsid w:val="009278DB"/>
    <w:rsid w:val="00931342"/>
    <w:rsid w:val="00932260"/>
    <w:rsid w:val="00933A85"/>
    <w:rsid w:val="00936711"/>
    <w:rsid w:val="00940687"/>
    <w:rsid w:val="009412C5"/>
    <w:rsid w:val="00941441"/>
    <w:rsid w:val="00942750"/>
    <w:rsid w:val="0094501E"/>
    <w:rsid w:val="009450CE"/>
    <w:rsid w:val="00946FDB"/>
    <w:rsid w:val="00947179"/>
    <w:rsid w:val="0095164B"/>
    <w:rsid w:val="0095327D"/>
    <w:rsid w:val="00954090"/>
    <w:rsid w:val="00954869"/>
    <w:rsid w:val="009559CF"/>
    <w:rsid w:val="009573E7"/>
    <w:rsid w:val="0096064F"/>
    <w:rsid w:val="00962D05"/>
    <w:rsid w:val="00963E05"/>
    <w:rsid w:val="00965A77"/>
    <w:rsid w:val="00967843"/>
    <w:rsid w:val="00967D54"/>
    <w:rsid w:val="00970AAD"/>
    <w:rsid w:val="00971028"/>
    <w:rsid w:val="00971BFD"/>
    <w:rsid w:val="00971FB1"/>
    <w:rsid w:val="0097267E"/>
    <w:rsid w:val="00974B1F"/>
    <w:rsid w:val="0098164E"/>
    <w:rsid w:val="009820F5"/>
    <w:rsid w:val="00982E2D"/>
    <w:rsid w:val="0098644B"/>
    <w:rsid w:val="00986EED"/>
    <w:rsid w:val="009879E6"/>
    <w:rsid w:val="00993B84"/>
    <w:rsid w:val="00996483"/>
    <w:rsid w:val="00996F5A"/>
    <w:rsid w:val="00997172"/>
    <w:rsid w:val="0099756A"/>
    <w:rsid w:val="009A171A"/>
    <w:rsid w:val="009A30A1"/>
    <w:rsid w:val="009A61E7"/>
    <w:rsid w:val="009A6FC0"/>
    <w:rsid w:val="009B041A"/>
    <w:rsid w:val="009B1AB5"/>
    <w:rsid w:val="009B274D"/>
    <w:rsid w:val="009B2827"/>
    <w:rsid w:val="009B2B39"/>
    <w:rsid w:val="009B3533"/>
    <w:rsid w:val="009B3956"/>
    <w:rsid w:val="009B5E0E"/>
    <w:rsid w:val="009B6182"/>
    <w:rsid w:val="009C37C3"/>
    <w:rsid w:val="009C4F02"/>
    <w:rsid w:val="009C7C86"/>
    <w:rsid w:val="009D16B2"/>
    <w:rsid w:val="009D202E"/>
    <w:rsid w:val="009D2E22"/>
    <w:rsid w:val="009D2FF7"/>
    <w:rsid w:val="009D3BC6"/>
    <w:rsid w:val="009D5BF8"/>
    <w:rsid w:val="009E254A"/>
    <w:rsid w:val="009E5D8F"/>
    <w:rsid w:val="009E7884"/>
    <w:rsid w:val="009E788A"/>
    <w:rsid w:val="009F0E08"/>
    <w:rsid w:val="009F4769"/>
    <w:rsid w:val="009F4909"/>
    <w:rsid w:val="009F6291"/>
    <w:rsid w:val="00A04994"/>
    <w:rsid w:val="00A05866"/>
    <w:rsid w:val="00A07593"/>
    <w:rsid w:val="00A12EEB"/>
    <w:rsid w:val="00A1301D"/>
    <w:rsid w:val="00A1692E"/>
    <w:rsid w:val="00A1763D"/>
    <w:rsid w:val="00A17CEC"/>
    <w:rsid w:val="00A2314B"/>
    <w:rsid w:val="00A24199"/>
    <w:rsid w:val="00A25AC3"/>
    <w:rsid w:val="00A26697"/>
    <w:rsid w:val="00A27EF0"/>
    <w:rsid w:val="00A30042"/>
    <w:rsid w:val="00A317B8"/>
    <w:rsid w:val="00A33A10"/>
    <w:rsid w:val="00A34BB7"/>
    <w:rsid w:val="00A37311"/>
    <w:rsid w:val="00A41273"/>
    <w:rsid w:val="00A41843"/>
    <w:rsid w:val="00A42361"/>
    <w:rsid w:val="00A437D2"/>
    <w:rsid w:val="00A44DF3"/>
    <w:rsid w:val="00A450F1"/>
    <w:rsid w:val="00A460C1"/>
    <w:rsid w:val="00A47BFF"/>
    <w:rsid w:val="00A50B20"/>
    <w:rsid w:val="00A511A7"/>
    <w:rsid w:val="00A51390"/>
    <w:rsid w:val="00A5348D"/>
    <w:rsid w:val="00A542FB"/>
    <w:rsid w:val="00A55773"/>
    <w:rsid w:val="00A60D13"/>
    <w:rsid w:val="00A610E4"/>
    <w:rsid w:val="00A64003"/>
    <w:rsid w:val="00A640FB"/>
    <w:rsid w:val="00A663DE"/>
    <w:rsid w:val="00A66470"/>
    <w:rsid w:val="00A6738B"/>
    <w:rsid w:val="00A7102A"/>
    <w:rsid w:val="00A72745"/>
    <w:rsid w:val="00A75235"/>
    <w:rsid w:val="00A765FC"/>
    <w:rsid w:val="00A76EFC"/>
    <w:rsid w:val="00A80879"/>
    <w:rsid w:val="00A80E6A"/>
    <w:rsid w:val="00A82AEB"/>
    <w:rsid w:val="00A83CEF"/>
    <w:rsid w:val="00A84D4F"/>
    <w:rsid w:val="00A85FE7"/>
    <w:rsid w:val="00A90226"/>
    <w:rsid w:val="00A91010"/>
    <w:rsid w:val="00A91DEA"/>
    <w:rsid w:val="00A93465"/>
    <w:rsid w:val="00A97B53"/>
    <w:rsid w:val="00A97F29"/>
    <w:rsid w:val="00AA4978"/>
    <w:rsid w:val="00AA702E"/>
    <w:rsid w:val="00AA7A44"/>
    <w:rsid w:val="00AB0964"/>
    <w:rsid w:val="00AB455D"/>
    <w:rsid w:val="00AB4757"/>
    <w:rsid w:val="00AB5011"/>
    <w:rsid w:val="00AB5A77"/>
    <w:rsid w:val="00AB6901"/>
    <w:rsid w:val="00AC051E"/>
    <w:rsid w:val="00AC06EE"/>
    <w:rsid w:val="00AC103B"/>
    <w:rsid w:val="00AC1B08"/>
    <w:rsid w:val="00AC1F9A"/>
    <w:rsid w:val="00AC26DB"/>
    <w:rsid w:val="00AC3766"/>
    <w:rsid w:val="00AC5F60"/>
    <w:rsid w:val="00AC7368"/>
    <w:rsid w:val="00AD0252"/>
    <w:rsid w:val="00AD16B9"/>
    <w:rsid w:val="00AD5BE2"/>
    <w:rsid w:val="00AE377D"/>
    <w:rsid w:val="00AE6F49"/>
    <w:rsid w:val="00AF07EF"/>
    <w:rsid w:val="00AF0EBA"/>
    <w:rsid w:val="00AF24F6"/>
    <w:rsid w:val="00AF2EA5"/>
    <w:rsid w:val="00AF4056"/>
    <w:rsid w:val="00B000AF"/>
    <w:rsid w:val="00B02C8A"/>
    <w:rsid w:val="00B0655A"/>
    <w:rsid w:val="00B10330"/>
    <w:rsid w:val="00B13AD1"/>
    <w:rsid w:val="00B17F8B"/>
    <w:rsid w:val="00B17FBD"/>
    <w:rsid w:val="00B21F06"/>
    <w:rsid w:val="00B23F55"/>
    <w:rsid w:val="00B241CA"/>
    <w:rsid w:val="00B256FC"/>
    <w:rsid w:val="00B27AD4"/>
    <w:rsid w:val="00B315A6"/>
    <w:rsid w:val="00B31813"/>
    <w:rsid w:val="00B32EA7"/>
    <w:rsid w:val="00B33365"/>
    <w:rsid w:val="00B454B2"/>
    <w:rsid w:val="00B46DA9"/>
    <w:rsid w:val="00B54AFC"/>
    <w:rsid w:val="00B57B36"/>
    <w:rsid w:val="00B57E6F"/>
    <w:rsid w:val="00B678C9"/>
    <w:rsid w:val="00B67E95"/>
    <w:rsid w:val="00B7524D"/>
    <w:rsid w:val="00B80FC4"/>
    <w:rsid w:val="00B84565"/>
    <w:rsid w:val="00B8686D"/>
    <w:rsid w:val="00B87926"/>
    <w:rsid w:val="00B87EBE"/>
    <w:rsid w:val="00B93F69"/>
    <w:rsid w:val="00B94550"/>
    <w:rsid w:val="00B95C23"/>
    <w:rsid w:val="00B965BC"/>
    <w:rsid w:val="00B97F39"/>
    <w:rsid w:val="00BA105E"/>
    <w:rsid w:val="00BA1D0E"/>
    <w:rsid w:val="00BA38F8"/>
    <w:rsid w:val="00BA4D8A"/>
    <w:rsid w:val="00BA5E60"/>
    <w:rsid w:val="00BA679B"/>
    <w:rsid w:val="00BB09EE"/>
    <w:rsid w:val="00BB1DDC"/>
    <w:rsid w:val="00BB2007"/>
    <w:rsid w:val="00BC1926"/>
    <w:rsid w:val="00BC26C1"/>
    <w:rsid w:val="00BC30C9"/>
    <w:rsid w:val="00BD077D"/>
    <w:rsid w:val="00BD22A6"/>
    <w:rsid w:val="00BD45A2"/>
    <w:rsid w:val="00BE2127"/>
    <w:rsid w:val="00BE3E58"/>
    <w:rsid w:val="00BF0221"/>
    <w:rsid w:val="00BF4C09"/>
    <w:rsid w:val="00BF7661"/>
    <w:rsid w:val="00C01616"/>
    <w:rsid w:val="00C0162B"/>
    <w:rsid w:val="00C02EE3"/>
    <w:rsid w:val="00C03018"/>
    <w:rsid w:val="00C03A40"/>
    <w:rsid w:val="00C05FB3"/>
    <w:rsid w:val="00C068ED"/>
    <w:rsid w:val="00C118C8"/>
    <w:rsid w:val="00C20265"/>
    <w:rsid w:val="00C22E0C"/>
    <w:rsid w:val="00C23A27"/>
    <w:rsid w:val="00C31882"/>
    <w:rsid w:val="00C345B1"/>
    <w:rsid w:val="00C37D6F"/>
    <w:rsid w:val="00C40142"/>
    <w:rsid w:val="00C42EE7"/>
    <w:rsid w:val="00C43AB5"/>
    <w:rsid w:val="00C43B4A"/>
    <w:rsid w:val="00C51A09"/>
    <w:rsid w:val="00C52C3C"/>
    <w:rsid w:val="00C57182"/>
    <w:rsid w:val="00C57863"/>
    <w:rsid w:val="00C60F2B"/>
    <w:rsid w:val="00C6132F"/>
    <w:rsid w:val="00C61CA7"/>
    <w:rsid w:val="00C62A24"/>
    <w:rsid w:val="00C655FD"/>
    <w:rsid w:val="00C6679F"/>
    <w:rsid w:val="00C6688D"/>
    <w:rsid w:val="00C671E9"/>
    <w:rsid w:val="00C70599"/>
    <w:rsid w:val="00C70B3D"/>
    <w:rsid w:val="00C7208B"/>
    <w:rsid w:val="00C728C5"/>
    <w:rsid w:val="00C72BBA"/>
    <w:rsid w:val="00C75407"/>
    <w:rsid w:val="00C80282"/>
    <w:rsid w:val="00C824AC"/>
    <w:rsid w:val="00C870A8"/>
    <w:rsid w:val="00C9113A"/>
    <w:rsid w:val="00C91CFD"/>
    <w:rsid w:val="00C92447"/>
    <w:rsid w:val="00C94434"/>
    <w:rsid w:val="00C945E7"/>
    <w:rsid w:val="00C94685"/>
    <w:rsid w:val="00C97563"/>
    <w:rsid w:val="00CA0368"/>
    <w:rsid w:val="00CA0D75"/>
    <w:rsid w:val="00CA1C95"/>
    <w:rsid w:val="00CA2A96"/>
    <w:rsid w:val="00CA4119"/>
    <w:rsid w:val="00CA4C79"/>
    <w:rsid w:val="00CA5199"/>
    <w:rsid w:val="00CA5A9C"/>
    <w:rsid w:val="00CA6034"/>
    <w:rsid w:val="00CB333F"/>
    <w:rsid w:val="00CB616F"/>
    <w:rsid w:val="00CB62A8"/>
    <w:rsid w:val="00CB675A"/>
    <w:rsid w:val="00CC024F"/>
    <w:rsid w:val="00CC4C20"/>
    <w:rsid w:val="00CC5E88"/>
    <w:rsid w:val="00CD07C8"/>
    <w:rsid w:val="00CD0D90"/>
    <w:rsid w:val="00CD130A"/>
    <w:rsid w:val="00CD3517"/>
    <w:rsid w:val="00CD58FA"/>
    <w:rsid w:val="00CD5FE2"/>
    <w:rsid w:val="00CD77FF"/>
    <w:rsid w:val="00CE0E50"/>
    <w:rsid w:val="00CE6A5B"/>
    <w:rsid w:val="00CE7C68"/>
    <w:rsid w:val="00CF442F"/>
    <w:rsid w:val="00CF482C"/>
    <w:rsid w:val="00CF4ADF"/>
    <w:rsid w:val="00CF4B08"/>
    <w:rsid w:val="00D02B4C"/>
    <w:rsid w:val="00D040C4"/>
    <w:rsid w:val="00D051AE"/>
    <w:rsid w:val="00D1034B"/>
    <w:rsid w:val="00D115C4"/>
    <w:rsid w:val="00D11AE9"/>
    <w:rsid w:val="00D12D6E"/>
    <w:rsid w:val="00D176B3"/>
    <w:rsid w:val="00D17CD9"/>
    <w:rsid w:val="00D20064"/>
    <w:rsid w:val="00D2120A"/>
    <w:rsid w:val="00D26800"/>
    <w:rsid w:val="00D27BF4"/>
    <w:rsid w:val="00D34179"/>
    <w:rsid w:val="00D400E8"/>
    <w:rsid w:val="00D40599"/>
    <w:rsid w:val="00D45881"/>
    <w:rsid w:val="00D458AD"/>
    <w:rsid w:val="00D46B7E"/>
    <w:rsid w:val="00D523C2"/>
    <w:rsid w:val="00D52C25"/>
    <w:rsid w:val="00D556D3"/>
    <w:rsid w:val="00D57C84"/>
    <w:rsid w:val="00D57CD9"/>
    <w:rsid w:val="00D6057D"/>
    <w:rsid w:val="00D60A43"/>
    <w:rsid w:val="00D62AB8"/>
    <w:rsid w:val="00D67BE8"/>
    <w:rsid w:val="00D70094"/>
    <w:rsid w:val="00D72F6C"/>
    <w:rsid w:val="00D7609F"/>
    <w:rsid w:val="00D77A35"/>
    <w:rsid w:val="00D836C5"/>
    <w:rsid w:val="00D84576"/>
    <w:rsid w:val="00D867B7"/>
    <w:rsid w:val="00D907A4"/>
    <w:rsid w:val="00D94925"/>
    <w:rsid w:val="00DA05C5"/>
    <w:rsid w:val="00DA1399"/>
    <w:rsid w:val="00DA20DA"/>
    <w:rsid w:val="00DA24C6"/>
    <w:rsid w:val="00DA2F08"/>
    <w:rsid w:val="00DA4D7B"/>
    <w:rsid w:val="00DA539C"/>
    <w:rsid w:val="00DB09FE"/>
    <w:rsid w:val="00DB1D09"/>
    <w:rsid w:val="00DB1E47"/>
    <w:rsid w:val="00DB2968"/>
    <w:rsid w:val="00DC27D9"/>
    <w:rsid w:val="00DC3D7D"/>
    <w:rsid w:val="00DD1356"/>
    <w:rsid w:val="00DD62C1"/>
    <w:rsid w:val="00DE264A"/>
    <w:rsid w:val="00DE66C2"/>
    <w:rsid w:val="00DF5072"/>
    <w:rsid w:val="00E006C1"/>
    <w:rsid w:val="00E02D18"/>
    <w:rsid w:val="00E03250"/>
    <w:rsid w:val="00E041E7"/>
    <w:rsid w:val="00E045B3"/>
    <w:rsid w:val="00E06375"/>
    <w:rsid w:val="00E06C6C"/>
    <w:rsid w:val="00E06D52"/>
    <w:rsid w:val="00E211BD"/>
    <w:rsid w:val="00E22306"/>
    <w:rsid w:val="00E233DE"/>
    <w:rsid w:val="00E23CA1"/>
    <w:rsid w:val="00E240B3"/>
    <w:rsid w:val="00E24EC4"/>
    <w:rsid w:val="00E2682D"/>
    <w:rsid w:val="00E317CD"/>
    <w:rsid w:val="00E35251"/>
    <w:rsid w:val="00E35CCF"/>
    <w:rsid w:val="00E361F5"/>
    <w:rsid w:val="00E372EA"/>
    <w:rsid w:val="00E37D8F"/>
    <w:rsid w:val="00E409A8"/>
    <w:rsid w:val="00E42130"/>
    <w:rsid w:val="00E50C12"/>
    <w:rsid w:val="00E50C29"/>
    <w:rsid w:val="00E5248F"/>
    <w:rsid w:val="00E55935"/>
    <w:rsid w:val="00E57126"/>
    <w:rsid w:val="00E64A62"/>
    <w:rsid w:val="00E65B91"/>
    <w:rsid w:val="00E71804"/>
    <w:rsid w:val="00E7209D"/>
    <w:rsid w:val="00E72EAD"/>
    <w:rsid w:val="00E76FCF"/>
    <w:rsid w:val="00E77223"/>
    <w:rsid w:val="00E8083F"/>
    <w:rsid w:val="00E83378"/>
    <w:rsid w:val="00E8528B"/>
    <w:rsid w:val="00E85B94"/>
    <w:rsid w:val="00E8756D"/>
    <w:rsid w:val="00E87F59"/>
    <w:rsid w:val="00E90467"/>
    <w:rsid w:val="00E90AFC"/>
    <w:rsid w:val="00E90E1F"/>
    <w:rsid w:val="00E91390"/>
    <w:rsid w:val="00E920CE"/>
    <w:rsid w:val="00E93C8C"/>
    <w:rsid w:val="00E9466A"/>
    <w:rsid w:val="00E95D43"/>
    <w:rsid w:val="00E9616C"/>
    <w:rsid w:val="00E96B97"/>
    <w:rsid w:val="00E978D0"/>
    <w:rsid w:val="00EA4613"/>
    <w:rsid w:val="00EA6364"/>
    <w:rsid w:val="00EA7F91"/>
    <w:rsid w:val="00EB1523"/>
    <w:rsid w:val="00EB41E2"/>
    <w:rsid w:val="00EB5710"/>
    <w:rsid w:val="00EB5E81"/>
    <w:rsid w:val="00EB652C"/>
    <w:rsid w:val="00EB672C"/>
    <w:rsid w:val="00EC0E49"/>
    <w:rsid w:val="00EC101F"/>
    <w:rsid w:val="00EC1D9F"/>
    <w:rsid w:val="00EC6928"/>
    <w:rsid w:val="00EC7457"/>
    <w:rsid w:val="00EC7C42"/>
    <w:rsid w:val="00ED3B56"/>
    <w:rsid w:val="00ED3C6F"/>
    <w:rsid w:val="00ED3D53"/>
    <w:rsid w:val="00ED4061"/>
    <w:rsid w:val="00ED4933"/>
    <w:rsid w:val="00ED5606"/>
    <w:rsid w:val="00EE0131"/>
    <w:rsid w:val="00EE17B0"/>
    <w:rsid w:val="00EE2BCB"/>
    <w:rsid w:val="00EE4C9D"/>
    <w:rsid w:val="00EE7E33"/>
    <w:rsid w:val="00EF06D9"/>
    <w:rsid w:val="00EF1853"/>
    <w:rsid w:val="00EF31A4"/>
    <w:rsid w:val="00EF4BBA"/>
    <w:rsid w:val="00EF5E90"/>
    <w:rsid w:val="00F00DE0"/>
    <w:rsid w:val="00F03B38"/>
    <w:rsid w:val="00F04BF6"/>
    <w:rsid w:val="00F058D6"/>
    <w:rsid w:val="00F11744"/>
    <w:rsid w:val="00F2002A"/>
    <w:rsid w:val="00F219E7"/>
    <w:rsid w:val="00F2652B"/>
    <w:rsid w:val="00F26D5C"/>
    <w:rsid w:val="00F30C64"/>
    <w:rsid w:val="00F32BA2"/>
    <w:rsid w:val="00F32CDB"/>
    <w:rsid w:val="00F34178"/>
    <w:rsid w:val="00F34332"/>
    <w:rsid w:val="00F361BB"/>
    <w:rsid w:val="00F42D6D"/>
    <w:rsid w:val="00F43ABA"/>
    <w:rsid w:val="00F506CA"/>
    <w:rsid w:val="00F51814"/>
    <w:rsid w:val="00F528AB"/>
    <w:rsid w:val="00F52F7F"/>
    <w:rsid w:val="00F5623E"/>
    <w:rsid w:val="00F565FE"/>
    <w:rsid w:val="00F61FE8"/>
    <w:rsid w:val="00F62810"/>
    <w:rsid w:val="00F63A70"/>
    <w:rsid w:val="00F70016"/>
    <w:rsid w:val="00F717A2"/>
    <w:rsid w:val="00F7293C"/>
    <w:rsid w:val="00F72FAC"/>
    <w:rsid w:val="00F74DA7"/>
    <w:rsid w:val="00F7534E"/>
    <w:rsid w:val="00F76B55"/>
    <w:rsid w:val="00F80200"/>
    <w:rsid w:val="00F809A4"/>
    <w:rsid w:val="00F80A0A"/>
    <w:rsid w:val="00F82161"/>
    <w:rsid w:val="00F846F8"/>
    <w:rsid w:val="00F84AEA"/>
    <w:rsid w:val="00F84D50"/>
    <w:rsid w:val="00F85972"/>
    <w:rsid w:val="00F85B62"/>
    <w:rsid w:val="00F85C1C"/>
    <w:rsid w:val="00F9083E"/>
    <w:rsid w:val="00FA101A"/>
    <w:rsid w:val="00FA21D0"/>
    <w:rsid w:val="00FA5F5F"/>
    <w:rsid w:val="00FA76D2"/>
    <w:rsid w:val="00FB0481"/>
    <w:rsid w:val="00FB219F"/>
    <w:rsid w:val="00FB6216"/>
    <w:rsid w:val="00FB730C"/>
    <w:rsid w:val="00FC2695"/>
    <w:rsid w:val="00FC2894"/>
    <w:rsid w:val="00FC38D2"/>
    <w:rsid w:val="00FC3E03"/>
    <w:rsid w:val="00FC3FC1"/>
    <w:rsid w:val="00FD0C18"/>
    <w:rsid w:val="00FD5A0F"/>
    <w:rsid w:val="00FE22C5"/>
    <w:rsid w:val="00FE38AD"/>
    <w:rsid w:val="00FF07CD"/>
    <w:rsid w:val="00FF1CAD"/>
    <w:rsid w:val="00FF6E3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PlaceholderText">
    <w:name w:val="Placeholder Text"/>
    <w:basedOn w:val="DefaultParagraphFont"/>
    <w:uiPriority w:val="99"/>
    <w:semiHidden/>
    <w:rsid w:val="006D646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00766">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48858">
      <w:bodyDiv w:val="1"/>
      <w:marLeft w:val="0"/>
      <w:marRight w:val="0"/>
      <w:marTop w:val="0"/>
      <w:marBottom w:val="0"/>
      <w:divBdr>
        <w:top w:val="none" w:sz="0" w:space="0" w:color="auto"/>
        <w:left w:val="none" w:sz="0" w:space="0" w:color="auto"/>
        <w:bottom w:val="none" w:sz="0" w:space="0" w:color="auto"/>
        <w:right w:val="none" w:sz="0" w:space="0" w:color="auto"/>
      </w:divBdr>
    </w:div>
    <w:div w:id="1913081623">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3918</Words>
  <Characters>20767</Characters>
  <Application>Microsoft Office Word</Application>
  <DocSecurity>0</DocSecurity>
  <Lines>173</Lines>
  <Paragraphs>49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Alessandro Campari</cp:lastModifiedBy>
  <cp:revision>984</cp:revision>
  <cp:lastPrinted>2015-05-12T18:31:00Z</cp:lastPrinted>
  <dcterms:created xsi:type="dcterms:W3CDTF">2017-11-20T08:58:00Z</dcterms:created>
  <dcterms:modified xsi:type="dcterms:W3CDTF">2024-04-08T10:43:00Z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SIP_Label_569d45fb-9dfc-4372-bc20-0ee25b1d5709_Enabled">
    <vt:lpwstr>true</vt:lpwstr>
  </property>
  <property fmtid="{D5CDD505-2E9C-101B-9397-08002B2CF9AE}" pid="5" name="MSIP_Label_569d45fb-9dfc-4372-bc20-0ee25b1d5709_SetDate">
    <vt:lpwstr>2024-02-22T13:31:26Z</vt:lpwstr>
  </property>
  <property fmtid="{D5CDD505-2E9C-101B-9397-08002B2CF9AE}" pid="6" name="MSIP_Label_569d45fb-9dfc-4372-bc20-0ee25b1d5709_Method">
    <vt:lpwstr>Privileged</vt:lpwstr>
  </property>
  <property fmtid="{D5CDD505-2E9C-101B-9397-08002B2CF9AE}" pid="7" name="MSIP_Label_569d45fb-9dfc-4372-bc20-0ee25b1d5709_Name">
    <vt:lpwstr>Public</vt:lpwstr>
  </property>
  <property fmtid="{D5CDD505-2E9C-101B-9397-08002B2CF9AE}" pid="8" name="MSIP_Label_569d45fb-9dfc-4372-bc20-0ee25b1d5709_SiteId">
    <vt:lpwstr>09a10672-822f-4467-a5ba-5bb375967c05</vt:lpwstr>
  </property>
  <property fmtid="{D5CDD505-2E9C-101B-9397-08002B2CF9AE}" pid="9" name="MSIP_Label_569d45fb-9dfc-4372-bc20-0ee25b1d5709_ActionId">
    <vt:lpwstr>5945c652-88d3-4e11-a0f3-777055ea603f</vt:lpwstr>
  </property>
  <property fmtid="{D5CDD505-2E9C-101B-9397-08002B2CF9AE}" pid="10" name="MSIP_Label_569d45fb-9dfc-4372-bc20-0ee25b1d5709_ContentBits">
    <vt:lpwstr>0</vt:lpwstr>
  </property>
</Properties>
</file>