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6"/>
        <w:gridCol w:w="1843"/>
      </w:tblGrid>
      <w:tr w:rsidR="000A03B2" w:rsidRPr="00CF0F60"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CF0F60" w:rsidRDefault="000A03B2" w:rsidP="00DE264A">
            <w:pPr>
              <w:tabs>
                <w:tab w:val="left" w:pos="-108"/>
              </w:tabs>
              <w:ind w:left="-108"/>
              <w:rPr>
                <w:rFonts w:cs="Arial"/>
                <w:b/>
                <w:bCs/>
                <w:i/>
                <w:iCs/>
                <w:color w:val="000066"/>
                <w:sz w:val="12"/>
                <w:szCs w:val="12"/>
                <w:lang w:val="en-US"/>
              </w:rPr>
            </w:pPr>
            <w:r w:rsidRPr="003D20DC">
              <w:rPr>
                <w:rFonts w:ascii="AdvP6960" w:hAnsi="AdvP6960" w:cs="AdvP6960"/>
                <w:noProof/>
                <w:color w:val="241F20"/>
                <w:szCs w:val="18"/>
                <w:lang w:val="en-US"/>
              </w:rPr>
              <w:drawing>
                <wp:inline distT="0" distB="0" distL="0" distR="0" wp14:anchorId="02B7C3D3" wp14:editId="5EE03112">
                  <wp:extent cx="640080" cy="373380"/>
                  <wp:effectExtent l="0" t="0" r="7620" b="7620"/>
                  <wp:docPr id="5" name="Immagine 1"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CF0F60">
              <w:rPr>
                <w:rFonts w:ascii="AdvP6960" w:hAnsi="AdvP6960" w:cs="AdvP6960"/>
                <w:color w:val="241F20"/>
                <w:szCs w:val="18"/>
                <w:lang w:val="en-US"/>
              </w:rPr>
              <w:t xml:space="preserve"> </w:t>
            </w:r>
            <w:r w:rsidRPr="00CF0F60">
              <w:rPr>
                <w:rFonts w:cs="Arial"/>
                <w:b/>
                <w:bCs/>
                <w:i/>
                <w:iCs/>
                <w:color w:val="000066"/>
                <w:lang w:val="en-US"/>
              </w:rPr>
              <w:t>CHEMICAL ENGINEERING</w:t>
            </w:r>
            <w:r w:rsidRPr="00CF0F60">
              <w:rPr>
                <w:rFonts w:cs="Arial"/>
                <w:b/>
                <w:bCs/>
                <w:i/>
                <w:iCs/>
                <w:color w:val="0033FF"/>
                <w:lang w:val="en-US"/>
              </w:rPr>
              <w:t xml:space="preserve"> </w:t>
            </w:r>
            <w:r w:rsidRPr="00CF0F60">
              <w:rPr>
                <w:rFonts w:cs="Arial"/>
                <w:b/>
                <w:bCs/>
                <w:i/>
                <w:iCs/>
                <w:color w:val="666666"/>
                <w:lang w:val="en-US"/>
              </w:rPr>
              <w:t>TRANSACTIONS</w:t>
            </w:r>
            <w:r w:rsidRPr="00CF0F60">
              <w:rPr>
                <w:color w:val="333333"/>
                <w:lang w:val="en-US"/>
              </w:rPr>
              <w:t xml:space="preserve"> </w:t>
            </w:r>
            <w:r w:rsidRPr="00CF0F60">
              <w:rPr>
                <w:rFonts w:cs="Arial"/>
                <w:b/>
                <w:bCs/>
                <w:i/>
                <w:iCs/>
                <w:color w:val="000066"/>
                <w:sz w:val="27"/>
                <w:szCs w:val="27"/>
                <w:lang w:val="en-US"/>
              </w:rPr>
              <w:br/>
            </w:r>
          </w:p>
          <w:p w14:paraId="4B780582" w14:textId="38BD1662" w:rsidR="000A03B2" w:rsidRPr="00CF0F60" w:rsidRDefault="00A76EFC" w:rsidP="00B57E6F">
            <w:pPr>
              <w:tabs>
                <w:tab w:val="left" w:pos="-108"/>
              </w:tabs>
              <w:ind w:left="-108"/>
              <w:rPr>
                <w:rFonts w:cs="Arial"/>
                <w:b/>
                <w:bCs/>
                <w:i/>
                <w:iCs/>
                <w:color w:val="000066"/>
                <w:sz w:val="22"/>
                <w:szCs w:val="22"/>
                <w:lang w:val="en-US"/>
              </w:rPr>
            </w:pPr>
            <w:r w:rsidRPr="00CF0F60">
              <w:rPr>
                <w:rFonts w:cs="Arial"/>
                <w:b/>
                <w:bCs/>
                <w:i/>
                <w:iCs/>
                <w:color w:val="000066"/>
                <w:sz w:val="22"/>
                <w:szCs w:val="22"/>
                <w:lang w:val="en-US"/>
              </w:rPr>
              <w:t xml:space="preserve">VOL. </w:t>
            </w:r>
            <w:r w:rsidR="00825DD9" w:rsidRPr="00CF0F60">
              <w:rPr>
                <w:rFonts w:cs="Arial"/>
                <w:b/>
                <w:bCs/>
                <w:i/>
                <w:iCs/>
                <w:color w:val="000066"/>
                <w:sz w:val="22"/>
                <w:szCs w:val="22"/>
                <w:lang w:val="en-US"/>
              </w:rPr>
              <w:t>xxx</w:t>
            </w:r>
            <w:r w:rsidR="007B48F9" w:rsidRPr="00CF0F60">
              <w:rPr>
                <w:rFonts w:cs="Arial"/>
                <w:b/>
                <w:bCs/>
                <w:i/>
                <w:iCs/>
                <w:color w:val="000066"/>
                <w:sz w:val="22"/>
                <w:szCs w:val="22"/>
                <w:lang w:val="en-US"/>
              </w:rPr>
              <w:t>,</w:t>
            </w:r>
            <w:r w:rsidR="00FA5F5F" w:rsidRPr="00CF0F60">
              <w:rPr>
                <w:rFonts w:cs="Arial"/>
                <w:b/>
                <w:bCs/>
                <w:i/>
                <w:iCs/>
                <w:color w:val="000066"/>
                <w:sz w:val="22"/>
                <w:szCs w:val="22"/>
                <w:lang w:val="en-US"/>
              </w:rPr>
              <w:t xml:space="preserve"> 20</w:t>
            </w:r>
            <w:r w:rsidR="00DF5072" w:rsidRPr="00CF0F60">
              <w:rPr>
                <w:rFonts w:cs="Arial"/>
                <w:b/>
                <w:bCs/>
                <w:i/>
                <w:iCs/>
                <w:color w:val="000066"/>
                <w:sz w:val="22"/>
                <w:szCs w:val="22"/>
                <w:lang w:val="en-US"/>
              </w:rPr>
              <w:t>2</w:t>
            </w:r>
            <w:r w:rsidR="00825DD9" w:rsidRPr="00CF0F60">
              <w:rPr>
                <w:rFonts w:cs="Arial"/>
                <w:b/>
                <w:bCs/>
                <w:i/>
                <w:iCs/>
                <w:color w:val="000066"/>
                <w:sz w:val="22"/>
                <w:szCs w:val="22"/>
                <w:lang w:val="en-US"/>
              </w:rPr>
              <w:t>4</w:t>
            </w:r>
          </w:p>
        </w:tc>
        <w:tc>
          <w:tcPr>
            <w:tcW w:w="1843" w:type="dxa"/>
            <w:tcBorders>
              <w:left w:val="single" w:sz="4" w:space="0" w:color="auto"/>
              <w:bottom w:val="nil"/>
              <w:right w:val="single" w:sz="4" w:space="0" w:color="auto"/>
            </w:tcBorders>
          </w:tcPr>
          <w:p w14:paraId="56782132" w14:textId="77777777" w:rsidR="000A03B2" w:rsidRPr="00CF0F60" w:rsidRDefault="000A03B2" w:rsidP="00CD5FE2">
            <w:pPr>
              <w:spacing w:line="140" w:lineRule="atLeast"/>
              <w:jc w:val="right"/>
              <w:rPr>
                <w:rFonts w:cs="Arial"/>
                <w:sz w:val="14"/>
                <w:szCs w:val="14"/>
                <w:lang w:val="en-US"/>
              </w:rPr>
            </w:pPr>
            <w:r w:rsidRPr="00CF0F60">
              <w:rPr>
                <w:rFonts w:cs="Arial"/>
                <w:sz w:val="14"/>
                <w:szCs w:val="14"/>
                <w:lang w:val="en-US"/>
              </w:rPr>
              <w:t>A publication of</w:t>
            </w:r>
          </w:p>
          <w:p w14:paraId="599E5441" w14:textId="77777777" w:rsidR="000A03B2" w:rsidRPr="00CF0F60" w:rsidRDefault="000A03B2" w:rsidP="00CD5FE2">
            <w:pPr>
              <w:jc w:val="right"/>
              <w:rPr>
                <w:lang w:val="en-US"/>
              </w:rPr>
            </w:pPr>
            <w:r w:rsidRPr="003D20DC">
              <w:rPr>
                <w:noProof/>
                <w:lang w:val="en-US"/>
              </w:rPr>
              <w:drawing>
                <wp:inline distT="0" distB="0" distL="0" distR="0" wp14:anchorId="59C75AF4" wp14:editId="4FF92432">
                  <wp:extent cx="670560" cy="358140"/>
                  <wp:effectExtent l="0" t="0" r="0" b="3810"/>
                  <wp:docPr id="6" name="Immagine 2"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2B6979" w14:paraId="380FA3CD" w14:textId="77777777" w:rsidTr="00DE264A">
        <w:trPr>
          <w:trHeight w:val="567"/>
          <w:jc w:val="center"/>
        </w:trPr>
        <w:tc>
          <w:tcPr>
            <w:tcW w:w="6946" w:type="dxa"/>
            <w:vMerge/>
            <w:tcBorders>
              <w:right w:val="single" w:sz="4" w:space="0" w:color="auto"/>
            </w:tcBorders>
          </w:tcPr>
          <w:p w14:paraId="39E5E4C1" w14:textId="77777777" w:rsidR="000A03B2" w:rsidRPr="00CF0F60" w:rsidRDefault="000A03B2" w:rsidP="00CD5FE2">
            <w:pPr>
              <w:tabs>
                <w:tab w:val="left" w:pos="-108"/>
              </w:tabs>
              <w:rPr>
                <w:lang w:val="en-US"/>
              </w:rPr>
            </w:pPr>
          </w:p>
        </w:tc>
        <w:tc>
          <w:tcPr>
            <w:tcW w:w="1843" w:type="dxa"/>
            <w:tcBorders>
              <w:left w:val="single" w:sz="4" w:space="0" w:color="auto"/>
              <w:bottom w:val="nil"/>
              <w:right w:val="single" w:sz="4" w:space="0" w:color="auto"/>
            </w:tcBorders>
          </w:tcPr>
          <w:p w14:paraId="43858A98" w14:textId="77777777" w:rsidR="000A03B2" w:rsidRPr="00CF0F60" w:rsidRDefault="000A03B2" w:rsidP="00CD5FE2">
            <w:pPr>
              <w:spacing w:line="140" w:lineRule="atLeast"/>
              <w:jc w:val="right"/>
              <w:rPr>
                <w:rFonts w:cs="Arial"/>
                <w:sz w:val="14"/>
                <w:szCs w:val="14"/>
                <w:lang w:val="en-US"/>
              </w:rPr>
            </w:pPr>
            <w:r w:rsidRPr="00CF0F60">
              <w:rPr>
                <w:rFonts w:cs="Arial"/>
                <w:sz w:val="14"/>
                <w:szCs w:val="14"/>
                <w:lang w:val="en-US"/>
              </w:rPr>
              <w:t>The Italian Association</w:t>
            </w:r>
          </w:p>
          <w:p w14:paraId="7522B1D2" w14:textId="77777777" w:rsidR="000A03B2" w:rsidRPr="00CF0F60" w:rsidRDefault="000A03B2" w:rsidP="00CD5FE2">
            <w:pPr>
              <w:spacing w:line="140" w:lineRule="atLeast"/>
              <w:jc w:val="right"/>
              <w:rPr>
                <w:rFonts w:cs="Arial"/>
                <w:sz w:val="14"/>
                <w:szCs w:val="14"/>
                <w:lang w:val="en-US"/>
              </w:rPr>
            </w:pPr>
            <w:r w:rsidRPr="00CF0F60">
              <w:rPr>
                <w:rFonts w:cs="Arial"/>
                <w:sz w:val="14"/>
                <w:szCs w:val="14"/>
                <w:lang w:val="en-US"/>
              </w:rPr>
              <w:t>of Chemical Engineering</w:t>
            </w:r>
          </w:p>
          <w:p w14:paraId="4F0CC5DE" w14:textId="47FDB2FC" w:rsidR="000A03B2" w:rsidRPr="00CF0F60" w:rsidRDefault="000D0268" w:rsidP="00CD5FE2">
            <w:pPr>
              <w:spacing w:line="140" w:lineRule="atLeast"/>
              <w:jc w:val="right"/>
              <w:rPr>
                <w:rFonts w:cs="Arial"/>
                <w:sz w:val="13"/>
                <w:szCs w:val="13"/>
                <w:lang w:val="en-US"/>
              </w:rPr>
            </w:pPr>
            <w:r w:rsidRPr="00CF0F60">
              <w:rPr>
                <w:rFonts w:cs="Arial"/>
                <w:sz w:val="13"/>
                <w:szCs w:val="13"/>
                <w:lang w:val="en-US"/>
              </w:rPr>
              <w:t>Online at www.cetjournal.it</w:t>
            </w:r>
          </w:p>
        </w:tc>
      </w:tr>
      <w:tr w:rsidR="000A03B2" w:rsidRPr="002B6979" w14:paraId="2D1B7169" w14:textId="77777777" w:rsidTr="00DE264A">
        <w:trPr>
          <w:trHeight w:val="68"/>
          <w:jc w:val="center"/>
        </w:trPr>
        <w:tc>
          <w:tcPr>
            <w:tcW w:w="8789" w:type="dxa"/>
            <w:gridSpan w:val="2"/>
          </w:tcPr>
          <w:p w14:paraId="4B0BB442" w14:textId="4EADF2C2" w:rsidR="00300E56" w:rsidRPr="003D20DC" w:rsidRDefault="00300E56" w:rsidP="00B57E6F">
            <w:pPr>
              <w:ind w:left="-107"/>
              <w:outlineLvl w:val="2"/>
              <w:rPr>
                <w:rFonts w:ascii="Tahoma" w:hAnsi="Tahoma" w:cs="Tahoma"/>
                <w:bCs/>
                <w:color w:val="000000"/>
                <w:sz w:val="14"/>
                <w:szCs w:val="14"/>
              </w:rPr>
            </w:pPr>
            <w:r w:rsidRPr="003D20DC">
              <w:rPr>
                <w:rFonts w:ascii="Tahoma" w:hAnsi="Tahoma" w:cs="Tahoma"/>
                <w:iCs/>
                <w:color w:val="333333"/>
                <w:sz w:val="14"/>
                <w:szCs w:val="14"/>
              </w:rPr>
              <w:t>Guest Editors:</w:t>
            </w:r>
            <w:r w:rsidR="00904C62" w:rsidRPr="003D20DC">
              <w:rPr>
                <w:rFonts w:ascii="Tahoma" w:hAnsi="Tahoma" w:cs="Tahoma"/>
                <w:iCs/>
                <w:color w:val="333333"/>
                <w:sz w:val="14"/>
                <w:szCs w:val="14"/>
              </w:rPr>
              <w:t xml:space="preserve"> </w:t>
            </w:r>
            <w:r w:rsidR="00B57E6F" w:rsidRPr="003D20DC">
              <w:rPr>
                <w:rFonts w:ascii="Tahoma" w:hAnsi="Tahoma" w:cs="Tahoma"/>
                <w:color w:val="000000"/>
                <w:sz w:val="14"/>
                <w:szCs w:val="14"/>
                <w:shd w:val="clear" w:color="auto" w:fill="FFFFFF"/>
              </w:rPr>
              <w:t xml:space="preserve">Valerio Cozzani, </w:t>
            </w:r>
            <w:r w:rsidR="001331DF" w:rsidRPr="003D20DC">
              <w:rPr>
                <w:rFonts w:ascii="Tahoma" w:hAnsi="Tahoma" w:cs="Tahoma"/>
                <w:color w:val="000000"/>
                <w:sz w:val="14"/>
                <w:szCs w:val="14"/>
                <w:shd w:val="clear" w:color="auto" w:fill="FFFFFF"/>
              </w:rPr>
              <w:t>Bruno Fabiano</w:t>
            </w:r>
            <w:r w:rsidR="00B57E6F" w:rsidRPr="003D20DC">
              <w:rPr>
                <w:rFonts w:ascii="Tahoma" w:hAnsi="Tahoma" w:cs="Tahoma"/>
                <w:color w:val="000000"/>
                <w:sz w:val="14"/>
                <w:szCs w:val="14"/>
                <w:shd w:val="clear" w:color="auto" w:fill="FFFFFF"/>
              </w:rPr>
              <w:t xml:space="preserve">, </w:t>
            </w:r>
            <w:r w:rsidR="00B57E6F" w:rsidRPr="003D20DC">
              <w:rPr>
                <w:rFonts w:ascii="Tahoma" w:hAnsi="Tahoma" w:cs="Tahoma"/>
                <w:bCs/>
                <w:color w:val="000000"/>
                <w:sz w:val="14"/>
                <w:szCs w:val="14"/>
              </w:rPr>
              <w:t>Genserik Reniers</w:t>
            </w:r>
          </w:p>
          <w:p w14:paraId="1B0F1814" w14:textId="7E8B8C7E" w:rsidR="000A03B2" w:rsidRPr="00CF0F60" w:rsidRDefault="00FA5F5F" w:rsidP="00B57E6F">
            <w:pPr>
              <w:tabs>
                <w:tab w:val="left" w:pos="-108"/>
              </w:tabs>
              <w:spacing w:line="140" w:lineRule="atLeast"/>
              <w:ind w:left="-107"/>
              <w:rPr>
                <w:lang w:val="en-US"/>
              </w:rPr>
            </w:pPr>
            <w:r w:rsidRPr="00CF0F60">
              <w:rPr>
                <w:rFonts w:ascii="Tahoma" w:hAnsi="Tahoma" w:cs="Tahoma"/>
                <w:iCs/>
                <w:color w:val="333333"/>
                <w:sz w:val="14"/>
                <w:szCs w:val="14"/>
                <w:lang w:val="en-US"/>
              </w:rPr>
              <w:t>Copyright © 20</w:t>
            </w:r>
            <w:r w:rsidR="00DF5072" w:rsidRPr="00CF0F60">
              <w:rPr>
                <w:rFonts w:ascii="Tahoma" w:hAnsi="Tahoma" w:cs="Tahoma"/>
                <w:iCs/>
                <w:color w:val="333333"/>
                <w:sz w:val="14"/>
                <w:szCs w:val="14"/>
                <w:lang w:val="en-US"/>
              </w:rPr>
              <w:t>2</w:t>
            </w:r>
            <w:r w:rsidR="00825DD9" w:rsidRPr="00CF0F60">
              <w:rPr>
                <w:rFonts w:ascii="Tahoma" w:hAnsi="Tahoma" w:cs="Tahoma"/>
                <w:iCs/>
                <w:color w:val="333333"/>
                <w:sz w:val="14"/>
                <w:szCs w:val="14"/>
                <w:lang w:val="en-US"/>
              </w:rPr>
              <w:t>4</w:t>
            </w:r>
            <w:r w:rsidR="00904C62" w:rsidRPr="00CF0F60">
              <w:rPr>
                <w:rFonts w:ascii="Tahoma" w:hAnsi="Tahoma" w:cs="Tahoma"/>
                <w:iCs/>
                <w:color w:val="333333"/>
                <w:sz w:val="14"/>
                <w:szCs w:val="14"/>
                <w:lang w:val="en-US"/>
              </w:rPr>
              <w:t xml:space="preserve">, AIDIC </w:t>
            </w:r>
            <w:proofErr w:type="spellStart"/>
            <w:r w:rsidR="00904C62" w:rsidRPr="00CF0F60">
              <w:rPr>
                <w:rFonts w:ascii="Tahoma" w:hAnsi="Tahoma" w:cs="Tahoma"/>
                <w:iCs/>
                <w:color w:val="333333"/>
                <w:sz w:val="14"/>
                <w:szCs w:val="14"/>
                <w:lang w:val="en-US"/>
              </w:rPr>
              <w:t>Servizi</w:t>
            </w:r>
            <w:proofErr w:type="spellEnd"/>
            <w:r w:rsidR="00904C62" w:rsidRPr="00CF0F60">
              <w:rPr>
                <w:rFonts w:ascii="Tahoma" w:hAnsi="Tahoma" w:cs="Tahoma"/>
                <w:iCs/>
                <w:color w:val="333333"/>
                <w:sz w:val="14"/>
                <w:szCs w:val="14"/>
                <w:lang w:val="en-US"/>
              </w:rPr>
              <w:t xml:space="preserve"> </w:t>
            </w:r>
            <w:proofErr w:type="spellStart"/>
            <w:r w:rsidR="00904C62" w:rsidRPr="00CF0F60">
              <w:rPr>
                <w:rFonts w:ascii="Tahoma" w:hAnsi="Tahoma" w:cs="Tahoma"/>
                <w:iCs/>
                <w:color w:val="333333"/>
                <w:sz w:val="14"/>
                <w:szCs w:val="14"/>
                <w:lang w:val="en-US"/>
              </w:rPr>
              <w:t>S.r.l</w:t>
            </w:r>
            <w:proofErr w:type="spellEnd"/>
            <w:r w:rsidR="00904C62" w:rsidRPr="00CF0F60">
              <w:rPr>
                <w:rFonts w:ascii="Tahoma" w:hAnsi="Tahoma" w:cs="Tahoma"/>
                <w:iCs/>
                <w:color w:val="333333"/>
                <w:sz w:val="14"/>
                <w:szCs w:val="14"/>
                <w:lang w:val="en-US"/>
              </w:rPr>
              <w:t>.</w:t>
            </w:r>
            <w:r w:rsidR="00300E56" w:rsidRPr="00CF0F60">
              <w:rPr>
                <w:rFonts w:ascii="Tahoma" w:hAnsi="Tahoma" w:cs="Tahoma"/>
                <w:iCs/>
                <w:color w:val="333333"/>
                <w:sz w:val="14"/>
                <w:szCs w:val="14"/>
                <w:lang w:val="en-US"/>
              </w:rPr>
              <w:br/>
            </w:r>
            <w:r w:rsidR="00300E56" w:rsidRPr="00CF0F60">
              <w:rPr>
                <w:rFonts w:ascii="Tahoma" w:hAnsi="Tahoma" w:cs="Tahoma"/>
                <w:b/>
                <w:iCs/>
                <w:color w:val="000000"/>
                <w:sz w:val="14"/>
                <w:szCs w:val="14"/>
                <w:lang w:val="en-US"/>
              </w:rPr>
              <w:t>ISBN</w:t>
            </w:r>
            <w:r w:rsidR="00300E56" w:rsidRPr="00CF0F60">
              <w:rPr>
                <w:rFonts w:ascii="Tahoma" w:hAnsi="Tahoma" w:cs="Tahoma"/>
                <w:iCs/>
                <w:color w:val="000000"/>
                <w:sz w:val="14"/>
                <w:szCs w:val="14"/>
                <w:lang w:val="en-US"/>
              </w:rPr>
              <w:t xml:space="preserve"> </w:t>
            </w:r>
            <w:r w:rsidR="00825DD9" w:rsidRPr="00CF0F60">
              <w:rPr>
                <w:rFonts w:ascii="Tahoma" w:hAnsi="Tahoma" w:cs="Tahoma"/>
                <w:sz w:val="14"/>
                <w:szCs w:val="14"/>
                <w:lang w:val="en-US"/>
              </w:rPr>
              <w:t>979-12-81206-11-3</w:t>
            </w:r>
            <w:r w:rsidR="007B48F9" w:rsidRPr="00CF0F60">
              <w:rPr>
                <w:rFonts w:ascii="Tahoma" w:hAnsi="Tahoma" w:cs="Tahoma"/>
                <w:iCs/>
                <w:color w:val="333333"/>
                <w:sz w:val="14"/>
                <w:szCs w:val="14"/>
                <w:lang w:val="en-US"/>
              </w:rPr>
              <w:t>;</w:t>
            </w:r>
            <w:r w:rsidR="00300E56" w:rsidRPr="00CF0F60">
              <w:rPr>
                <w:rFonts w:ascii="Tahoma" w:hAnsi="Tahoma" w:cs="Tahoma"/>
                <w:iCs/>
                <w:color w:val="333333"/>
                <w:sz w:val="14"/>
                <w:szCs w:val="14"/>
                <w:lang w:val="en-US"/>
              </w:rPr>
              <w:t xml:space="preserve"> </w:t>
            </w:r>
            <w:r w:rsidR="00300E56" w:rsidRPr="00CF0F60">
              <w:rPr>
                <w:rFonts w:ascii="Tahoma" w:hAnsi="Tahoma" w:cs="Tahoma"/>
                <w:b/>
                <w:iCs/>
                <w:color w:val="333333"/>
                <w:sz w:val="14"/>
                <w:szCs w:val="14"/>
                <w:lang w:val="en-US"/>
              </w:rPr>
              <w:t>ISSN</w:t>
            </w:r>
            <w:r w:rsidR="00300E56" w:rsidRPr="00CF0F60">
              <w:rPr>
                <w:rFonts w:ascii="Tahoma" w:hAnsi="Tahoma" w:cs="Tahoma"/>
                <w:iCs/>
                <w:color w:val="333333"/>
                <w:sz w:val="14"/>
                <w:szCs w:val="14"/>
                <w:lang w:val="en-US"/>
              </w:rPr>
              <w:t xml:space="preserve"> 2283-9216</w:t>
            </w:r>
          </w:p>
        </w:tc>
      </w:tr>
    </w:tbl>
    <w:p w14:paraId="10DAA130" w14:textId="77777777" w:rsidR="000A03B2" w:rsidRPr="003D20DC" w:rsidRDefault="000A03B2" w:rsidP="000A03B2">
      <w:pPr>
        <w:pStyle w:val="CETAuthors"/>
        <w:rPr>
          <w:lang w:val="en-US"/>
        </w:rPr>
        <w:sectPr w:rsidR="000A03B2" w:rsidRPr="003D20DC" w:rsidSect="00CD5FE2">
          <w:type w:val="continuous"/>
          <w:pgSz w:w="11906" w:h="16838" w:code="9"/>
          <w:pgMar w:top="1701" w:right="1418" w:bottom="1701" w:left="1701" w:header="1701" w:footer="0" w:gutter="0"/>
          <w:cols w:space="708"/>
          <w:titlePg/>
          <w:docGrid w:linePitch="360"/>
        </w:sectPr>
      </w:pPr>
    </w:p>
    <w:p w14:paraId="2D28CE0A" w14:textId="77777777" w:rsidR="00ED1D1C" w:rsidRPr="003D20DC" w:rsidRDefault="00ED1D1C" w:rsidP="00ED1D1C">
      <w:pPr>
        <w:pStyle w:val="CETTitle"/>
        <w:rPr>
          <w:lang w:val="en-US"/>
        </w:rPr>
      </w:pPr>
      <w:r w:rsidRPr="003D20DC">
        <w:rPr>
          <w:lang w:val="en-US"/>
        </w:rPr>
        <w:t xml:space="preserve">Fibers Explosion Severity: </w:t>
      </w:r>
      <w:proofErr w:type="gramStart"/>
      <w:r w:rsidRPr="003D20DC">
        <w:rPr>
          <w:lang w:val="en-US"/>
        </w:rPr>
        <w:t>a</w:t>
      </w:r>
      <w:proofErr w:type="gramEnd"/>
      <w:r w:rsidRPr="003D20DC">
        <w:rPr>
          <w:lang w:val="en-US"/>
        </w:rPr>
        <w:t xml:space="preserve"> Parametric Study on the Fiber Geometry</w:t>
      </w:r>
    </w:p>
    <w:p w14:paraId="11752309" w14:textId="77777777" w:rsidR="00ED1D1C" w:rsidRPr="003D20DC" w:rsidRDefault="00ED1D1C" w:rsidP="00ED1D1C">
      <w:pPr>
        <w:pStyle w:val="CETAuthors"/>
        <w:rPr>
          <w:lang w:val="it-IT"/>
        </w:rPr>
      </w:pPr>
      <w:r w:rsidRPr="003D20DC">
        <w:rPr>
          <w:lang w:val="it-IT"/>
        </w:rPr>
        <w:t>Sabrina Copelli</w:t>
      </w:r>
      <w:r w:rsidRPr="003D20DC">
        <w:rPr>
          <w:vertAlign w:val="superscript"/>
          <w:lang w:val="it-IT"/>
        </w:rPr>
        <w:t>a*</w:t>
      </w:r>
      <w:r w:rsidRPr="003D20DC">
        <w:rPr>
          <w:lang w:val="it-IT"/>
        </w:rPr>
        <w:t>, Renato Rota</w:t>
      </w:r>
      <w:r w:rsidRPr="003D20DC">
        <w:rPr>
          <w:vertAlign w:val="superscript"/>
          <w:lang w:val="it-IT"/>
        </w:rPr>
        <w:t>b</w:t>
      </w:r>
    </w:p>
    <w:p w14:paraId="55CDDC19" w14:textId="77777777" w:rsidR="00ED1D1C" w:rsidRPr="003D20DC" w:rsidRDefault="00ED1D1C" w:rsidP="00ED1D1C">
      <w:pPr>
        <w:pStyle w:val="CETAddress"/>
        <w:rPr>
          <w:lang w:val="it-IT"/>
        </w:rPr>
      </w:pPr>
      <w:r w:rsidRPr="003D20DC">
        <w:rPr>
          <w:vertAlign w:val="superscript"/>
          <w:lang w:val="it-IT"/>
        </w:rPr>
        <w:t>a</w:t>
      </w:r>
      <w:r w:rsidRPr="003D20DC">
        <w:rPr>
          <w:lang w:val="it-IT"/>
        </w:rPr>
        <w:t xml:space="preserve"> Università degli Studi dell’Insubria, Dipartimento di Scienza e Alta Tecnologia, via G.B. Vico 46 – 21100 Varese (Italy)</w:t>
      </w:r>
    </w:p>
    <w:p w14:paraId="55817E07" w14:textId="77777777" w:rsidR="00ED1D1C" w:rsidRPr="003D20DC" w:rsidRDefault="00ED1D1C" w:rsidP="00ED1D1C">
      <w:pPr>
        <w:pStyle w:val="CETAddress"/>
        <w:rPr>
          <w:lang w:val="it-IT"/>
        </w:rPr>
      </w:pPr>
      <w:r w:rsidRPr="003D20DC">
        <w:rPr>
          <w:vertAlign w:val="superscript"/>
          <w:lang w:val="it-IT"/>
        </w:rPr>
        <w:t>b</w:t>
      </w:r>
      <w:r w:rsidRPr="003D20DC">
        <w:rPr>
          <w:lang w:val="it-IT"/>
        </w:rPr>
        <w:t xml:space="preserve"> Politecnico di Milano, Dipartimento di Chimica, Materiali e Ingegneria Chimica “Giulio Natta”, Piazza L. da Vinci 32 – 20133 Milano (Italy)</w:t>
      </w:r>
    </w:p>
    <w:p w14:paraId="63CCAF4D" w14:textId="38F3DCD8" w:rsidR="00ED1D1C" w:rsidRPr="003D20DC" w:rsidRDefault="00ED1D1C" w:rsidP="00ED1D1C">
      <w:pPr>
        <w:pStyle w:val="CETemail"/>
        <w:rPr>
          <w:lang w:val="en-US"/>
        </w:rPr>
      </w:pPr>
      <w:r w:rsidRPr="003D20DC">
        <w:rPr>
          <w:lang w:val="en-US"/>
        </w:rPr>
        <w:t>*sabrina.copelli@uninsubria.it</w:t>
      </w:r>
    </w:p>
    <w:p w14:paraId="3E6E183B" w14:textId="123FB37E" w:rsidR="00ED1D1C" w:rsidRDefault="00ED1D1C" w:rsidP="00ED1D1C">
      <w:pPr>
        <w:pStyle w:val="CETHeading1"/>
        <w:numPr>
          <w:ilvl w:val="0"/>
          <w:numId w:val="0"/>
        </w:numPr>
        <w:jc w:val="both"/>
        <w:rPr>
          <w:b w:val="0"/>
          <w:sz w:val="18"/>
        </w:rPr>
      </w:pPr>
      <w:r w:rsidRPr="003D20DC">
        <w:rPr>
          <w:b w:val="0"/>
          <w:sz w:val="18"/>
        </w:rPr>
        <w:t xml:space="preserve">Even though explosive incidents involving organic fibrous materials have happened in </w:t>
      </w:r>
      <w:proofErr w:type="gramStart"/>
      <w:r w:rsidRPr="003D20DC">
        <w:rPr>
          <w:b w:val="0"/>
          <w:sz w:val="18"/>
        </w:rPr>
        <w:t>a number of</w:t>
      </w:r>
      <w:proofErr w:type="gramEnd"/>
      <w:r w:rsidRPr="003D20DC">
        <w:rPr>
          <w:b w:val="0"/>
          <w:sz w:val="18"/>
        </w:rPr>
        <w:t xml:space="preserve"> industries, the literature has very few research about the explosibility of fibers. This may have to do with people's lack of awareness of the possibility of explosions caused by fibers, which are frequently thought to be unlikely to explode. </w:t>
      </w:r>
      <w:r w:rsidR="004451DA" w:rsidRPr="003D20DC">
        <w:rPr>
          <w:b w:val="0"/>
          <w:sz w:val="18"/>
        </w:rPr>
        <w:t xml:space="preserve">Nevertheless, they </w:t>
      </w:r>
      <w:r w:rsidRPr="003D20DC">
        <w:rPr>
          <w:b w:val="0"/>
          <w:sz w:val="18"/>
        </w:rPr>
        <w:t xml:space="preserve">may provide a significant risk </w:t>
      </w:r>
      <w:r w:rsidR="004451DA" w:rsidRPr="003D20DC">
        <w:rPr>
          <w:b w:val="0"/>
          <w:sz w:val="18"/>
        </w:rPr>
        <w:t xml:space="preserve">which </w:t>
      </w:r>
      <w:r w:rsidRPr="003D20DC">
        <w:rPr>
          <w:b w:val="0"/>
          <w:sz w:val="18"/>
        </w:rPr>
        <w:t xml:space="preserve">needs to be </w:t>
      </w:r>
      <w:proofErr w:type="gramStart"/>
      <w:r w:rsidRPr="003D20DC">
        <w:rPr>
          <w:b w:val="0"/>
          <w:sz w:val="18"/>
        </w:rPr>
        <w:t>taken into account</w:t>
      </w:r>
      <w:proofErr w:type="gramEnd"/>
      <w:r w:rsidRPr="003D20DC">
        <w:rPr>
          <w:b w:val="0"/>
          <w:sz w:val="18"/>
        </w:rPr>
        <w:t xml:space="preserve"> throughout </w:t>
      </w:r>
      <w:r w:rsidR="004451DA" w:rsidRPr="003D20DC">
        <w:rPr>
          <w:b w:val="0"/>
          <w:sz w:val="18"/>
        </w:rPr>
        <w:t xml:space="preserve">a </w:t>
      </w:r>
      <w:r w:rsidRPr="003D20DC">
        <w:rPr>
          <w:b w:val="0"/>
          <w:sz w:val="18"/>
        </w:rPr>
        <w:t xml:space="preserve">risk assessment process. More specifically, only a small number of studies </w:t>
      </w:r>
      <w:r w:rsidR="003A32A5" w:rsidRPr="003D20DC">
        <w:rPr>
          <w:b w:val="0"/>
          <w:sz w:val="18"/>
        </w:rPr>
        <w:t>regarding</w:t>
      </w:r>
      <w:r w:rsidRPr="003D20DC">
        <w:rPr>
          <w:b w:val="0"/>
          <w:sz w:val="18"/>
        </w:rPr>
        <w:t xml:space="preserve"> fiber explosion model</w:t>
      </w:r>
      <w:r w:rsidR="003A32A5" w:rsidRPr="003D20DC">
        <w:rPr>
          <w:b w:val="0"/>
          <w:sz w:val="18"/>
        </w:rPr>
        <w:t>l</w:t>
      </w:r>
      <w:r w:rsidRPr="003D20DC">
        <w:rPr>
          <w:b w:val="0"/>
          <w:sz w:val="18"/>
        </w:rPr>
        <w:t xml:space="preserve">ing </w:t>
      </w:r>
      <w:r w:rsidR="003A32A5" w:rsidRPr="003D20DC">
        <w:rPr>
          <w:b w:val="0"/>
          <w:sz w:val="18"/>
        </w:rPr>
        <w:t xml:space="preserve">has been published </w:t>
      </w:r>
      <w:r w:rsidR="0051143B" w:rsidRPr="003D20DC">
        <w:rPr>
          <w:b w:val="0"/>
          <w:sz w:val="18"/>
        </w:rPr>
        <w:t xml:space="preserve">in order </w:t>
      </w:r>
      <w:r w:rsidRPr="003D20DC">
        <w:rPr>
          <w:b w:val="0"/>
          <w:sz w:val="18"/>
        </w:rPr>
        <w:t xml:space="preserve">to gain a better understanding of the primary controlling factors </w:t>
      </w:r>
      <w:r w:rsidR="0051143B" w:rsidRPr="003D20DC">
        <w:rPr>
          <w:b w:val="0"/>
          <w:sz w:val="18"/>
        </w:rPr>
        <w:t xml:space="preserve">which </w:t>
      </w:r>
      <w:r w:rsidRPr="003D20DC">
        <w:rPr>
          <w:b w:val="0"/>
          <w:sz w:val="18"/>
        </w:rPr>
        <w:t xml:space="preserve">can affect the explosion severity. </w:t>
      </w:r>
      <w:r w:rsidR="00A26ACB" w:rsidRPr="003D20DC">
        <w:rPr>
          <w:b w:val="0"/>
          <w:sz w:val="18"/>
        </w:rPr>
        <w:t xml:space="preserve">Such </w:t>
      </w:r>
      <w:r w:rsidRPr="003D20DC">
        <w:rPr>
          <w:b w:val="0"/>
          <w:sz w:val="18"/>
        </w:rPr>
        <w:t xml:space="preserve">studies primarily </w:t>
      </w:r>
      <w:proofErr w:type="gramStart"/>
      <w:r w:rsidR="00410548" w:rsidRPr="003D20DC">
        <w:rPr>
          <w:b w:val="0"/>
          <w:sz w:val="18"/>
        </w:rPr>
        <w:t>refers</w:t>
      </w:r>
      <w:proofErr w:type="gramEnd"/>
      <w:r w:rsidR="00410548" w:rsidRPr="003D20DC">
        <w:rPr>
          <w:b w:val="0"/>
          <w:sz w:val="18"/>
        </w:rPr>
        <w:t xml:space="preserve"> to an </w:t>
      </w:r>
      <w:r w:rsidRPr="003D20DC">
        <w:rPr>
          <w:b w:val="0"/>
          <w:sz w:val="18"/>
        </w:rPr>
        <w:t>equivalent diameter approach, in which the elongated fiber is mode</w:t>
      </w:r>
      <w:r w:rsidR="00410548" w:rsidRPr="003D20DC">
        <w:rPr>
          <w:b w:val="0"/>
          <w:sz w:val="18"/>
        </w:rPr>
        <w:t>l</w:t>
      </w:r>
      <w:r w:rsidRPr="003D20DC">
        <w:rPr>
          <w:b w:val="0"/>
          <w:sz w:val="18"/>
        </w:rPr>
        <w:t xml:space="preserve">led as an equivalent sphere with an effective diameter. This approach, while useful in calculating the primary explosion characteristics, is inherently incapable of differentiating between the effects of increasing </w:t>
      </w:r>
      <w:r w:rsidR="00BD3FA0" w:rsidRPr="003D20DC">
        <w:rPr>
          <w:b w:val="0"/>
          <w:sz w:val="18"/>
        </w:rPr>
        <w:t xml:space="preserve">either </w:t>
      </w:r>
      <w:r w:rsidRPr="003D20DC">
        <w:rPr>
          <w:b w:val="0"/>
          <w:sz w:val="18"/>
        </w:rPr>
        <w:t xml:space="preserve">the fiber length or </w:t>
      </w:r>
      <w:r w:rsidR="006061AF" w:rsidRPr="003D20DC">
        <w:rPr>
          <w:b w:val="0"/>
          <w:sz w:val="18"/>
        </w:rPr>
        <w:t xml:space="preserve">the </w:t>
      </w:r>
      <w:r w:rsidRPr="003D20DC">
        <w:rPr>
          <w:b w:val="0"/>
          <w:sz w:val="18"/>
        </w:rPr>
        <w:t xml:space="preserve">diameter. A variety of physical and chemical processes, including heat transfer between external and internal particles, pyrolysis and/or devolatilization reactions, and the combustion of volatiles, take place during a fiber explosion. These processes exhibit distinct characteristic times </w:t>
      </w:r>
      <w:r w:rsidR="006061AF" w:rsidRPr="003D20DC">
        <w:rPr>
          <w:b w:val="0"/>
          <w:sz w:val="18"/>
        </w:rPr>
        <w:t xml:space="preserve">which </w:t>
      </w:r>
      <w:r w:rsidRPr="003D20DC">
        <w:rPr>
          <w:b w:val="0"/>
          <w:sz w:val="18"/>
        </w:rPr>
        <w:t xml:space="preserve">vary depending on the fiber diameter and length. A comprehensive mathematical model that can account for the cylindrical-like geometry of a fiber can explain this discrepancy. This makes possible to differentiate between the effects of varying </w:t>
      </w:r>
      <w:r w:rsidR="00FF720D" w:rsidRPr="003D20DC">
        <w:rPr>
          <w:b w:val="0"/>
          <w:sz w:val="18"/>
        </w:rPr>
        <w:t xml:space="preserve">both </w:t>
      </w:r>
      <w:r w:rsidRPr="003D20DC">
        <w:rPr>
          <w:b w:val="0"/>
          <w:sz w:val="18"/>
        </w:rPr>
        <w:t xml:space="preserve">the fiber length and </w:t>
      </w:r>
      <w:r w:rsidR="00FF720D" w:rsidRPr="003D20DC">
        <w:rPr>
          <w:b w:val="0"/>
          <w:sz w:val="18"/>
        </w:rPr>
        <w:t xml:space="preserve">the </w:t>
      </w:r>
      <w:r w:rsidRPr="003D20DC">
        <w:rPr>
          <w:b w:val="0"/>
          <w:sz w:val="18"/>
        </w:rPr>
        <w:t xml:space="preserve">diameter, so demonstrating through a parametric analysis how </w:t>
      </w:r>
      <w:r w:rsidR="00FF720D" w:rsidRPr="003D20DC">
        <w:rPr>
          <w:b w:val="0"/>
          <w:sz w:val="18"/>
        </w:rPr>
        <w:t xml:space="preserve">such </w:t>
      </w:r>
      <w:r w:rsidRPr="003D20DC">
        <w:rPr>
          <w:b w:val="0"/>
          <w:sz w:val="18"/>
        </w:rPr>
        <w:t xml:space="preserve">parameters </w:t>
      </w:r>
      <w:r w:rsidR="00FF720D" w:rsidRPr="003D20DC">
        <w:rPr>
          <w:b w:val="0"/>
          <w:sz w:val="18"/>
        </w:rPr>
        <w:t xml:space="preserve">can </w:t>
      </w:r>
      <w:r w:rsidRPr="003D20DC">
        <w:rPr>
          <w:b w:val="0"/>
          <w:sz w:val="18"/>
        </w:rPr>
        <w:t>affect the severity of the explosion.</w:t>
      </w:r>
    </w:p>
    <w:p w14:paraId="27C233ED" w14:textId="1A5C81E5" w:rsidR="004742EB" w:rsidRPr="003D20DC" w:rsidRDefault="007A090E" w:rsidP="003D20DC">
      <w:pPr>
        <w:pStyle w:val="CETListbullets"/>
      </w:pPr>
      <w:r w:rsidRPr="003D20DC">
        <w:rPr>
          <w:lang w:val="en-US"/>
        </w:rPr>
        <w:t xml:space="preserve">Keywords: </w:t>
      </w:r>
      <w:r w:rsidR="00B61707" w:rsidRPr="003D20DC">
        <w:rPr>
          <w:lang w:val="en-US"/>
        </w:rPr>
        <w:t>Fibers explos</w:t>
      </w:r>
      <w:r w:rsidR="00E70595">
        <w:rPr>
          <w:lang w:val="en-US"/>
        </w:rPr>
        <w:t>ibility, Dust Explosion Modelling, Fibers Safety Assessment</w:t>
      </w:r>
      <w:r w:rsidR="0050421D">
        <w:rPr>
          <w:lang w:val="en-US"/>
        </w:rPr>
        <w:t>.</w:t>
      </w:r>
    </w:p>
    <w:p w14:paraId="20A4618F" w14:textId="77777777" w:rsidR="00ED1D1C" w:rsidRPr="003D20DC" w:rsidRDefault="00ED1D1C" w:rsidP="00633BC2">
      <w:pPr>
        <w:pStyle w:val="CETHeading1"/>
        <w:numPr>
          <w:ilvl w:val="0"/>
          <w:numId w:val="23"/>
        </w:numPr>
      </w:pPr>
      <w:r w:rsidRPr="003D20DC">
        <w:t>Introduction</w:t>
      </w:r>
    </w:p>
    <w:p w14:paraId="5D3F616C" w14:textId="512D7307" w:rsidR="00ED1D1C" w:rsidRPr="003D20DC" w:rsidRDefault="00ED1D1C" w:rsidP="00ED1D1C">
      <w:pPr>
        <w:pStyle w:val="CETBodytext"/>
      </w:pPr>
      <w:r w:rsidRPr="003D20DC">
        <w:t xml:space="preserve">Although explosion accidents involving fibrous materials </w:t>
      </w:r>
      <w:r w:rsidR="00FF720D" w:rsidRPr="003D20DC">
        <w:t xml:space="preserve">have </w:t>
      </w:r>
      <w:r w:rsidRPr="003D20DC">
        <w:t>occurred in several industries</w:t>
      </w:r>
      <w:r w:rsidR="0088113D">
        <w:t xml:space="preserve"> (</w:t>
      </w:r>
      <w:r w:rsidR="007A7E63">
        <w:t>e.g.</w:t>
      </w:r>
      <w:r w:rsidR="00A03C5F">
        <w:t xml:space="preserve">, </w:t>
      </w:r>
      <w:r w:rsidR="007F4BDC">
        <w:t xml:space="preserve">Harbin </w:t>
      </w:r>
      <w:r w:rsidR="00A03C5F">
        <w:t xml:space="preserve">linen fibers </w:t>
      </w:r>
      <w:r w:rsidR="007F4BDC">
        <w:t xml:space="preserve">explosion in </w:t>
      </w:r>
      <w:r w:rsidR="001B1452">
        <w:t xml:space="preserve">1987, </w:t>
      </w:r>
      <w:r w:rsidR="008E7B46">
        <w:t xml:space="preserve">Massachusetts </w:t>
      </w:r>
      <w:r w:rsidR="00CB08FA">
        <w:t xml:space="preserve">flock fire and explosion in 1995, </w:t>
      </w:r>
      <w:r w:rsidR="007F4BDC">
        <w:t>Ita</w:t>
      </w:r>
      <w:r w:rsidR="00034097">
        <w:t xml:space="preserve">ly nylon flocks </w:t>
      </w:r>
      <w:r w:rsidR="0082205F">
        <w:t xml:space="preserve">and wool dusts </w:t>
      </w:r>
      <w:r w:rsidR="00034097">
        <w:t>explosion</w:t>
      </w:r>
      <w:r w:rsidR="0082205F">
        <w:t>s</w:t>
      </w:r>
      <w:r w:rsidR="00034097">
        <w:t xml:space="preserve"> in 2001</w:t>
      </w:r>
      <w:r w:rsidR="00CB08FA">
        <w:t xml:space="preserve"> – see </w:t>
      </w:r>
      <w:r w:rsidR="00020FBE">
        <w:t>Dust Safety Science report</w:t>
      </w:r>
      <w:r w:rsidR="00AC2B40">
        <w:t xml:space="preserve"> 20</w:t>
      </w:r>
      <w:r w:rsidR="00DD63C3">
        <w:t>20</w:t>
      </w:r>
      <w:r w:rsidR="0088113D">
        <w:t>)</w:t>
      </w:r>
      <w:r w:rsidR="00531AC1" w:rsidRPr="003D20DC">
        <w:t>, especially in the textile sector</w:t>
      </w:r>
      <w:r w:rsidR="00E61AF2" w:rsidRPr="003D20DC">
        <w:t xml:space="preserve"> (</w:t>
      </w:r>
      <w:r w:rsidR="00D1716C">
        <w:t>Yuan et al., 2015</w:t>
      </w:r>
      <w:r w:rsidR="00E61AF2" w:rsidRPr="003D20DC">
        <w:t>)</w:t>
      </w:r>
      <w:r w:rsidRPr="003D20DC">
        <w:t>,</w:t>
      </w:r>
      <w:r w:rsidR="00CF0F60">
        <w:t xml:space="preserve"> </w:t>
      </w:r>
      <w:r w:rsidRPr="003D20DC">
        <w:t xml:space="preserve">relatively few studies on the explosibility of fibers </w:t>
      </w:r>
      <w:r w:rsidR="0022280B" w:rsidRPr="003D20DC">
        <w:t xml:space="preserve">can be recovered </w:t>
      </w:r>
      <w:r w:rsidR="00872493" w:rsidRPr="00C658F8">
        <w:t>in the scientific literature</w:t>
      </w:r>
      <w:r w:rsidR="00872493" w:rsidRPr="00872493">
        <w:t xml:space="preserve"> </w:t>
      </w:r>
      <w:r w:rsidRPr="003D20DC">
        <w:t>(e.g., Amyotte et al., 2012; Iarossi et al., 2013; Marmo et al., 2018). This is possibly related to the</w:t>
      </w:r>
      <w:r w:rsidR="00BF2AEA">
        <w:t xml:space="preserve"> </w:t>
      </w:r>
      <w:r w:rsidRPr="003D20DC">
        <w:t>low degree of consciousness of the risk of explosions due to fibers, which are often considered unlikely to explode. However, they can introduce a non-negligible hazard that should be considered in the risk assessment procedure. More specifically, very few papers using the modelling of fiber explosions to better understand the main controlling phenomena able to influence the explosion severity</w:t>
      </w:r>
      <w:r w:rsidR="00DE1F21">
        <w:t xml:space="preserve"> </w:t>
      </w:r>
      <w:r w:rsidR="00DE1F21" w:rsidRPr="00C658F8">
        <w:t>have been published</w:t>
      </w:r>
      <w:r w:rsidR="00DE1F21">
        <w:t>.</w:t>
      </w:r>
      <w:r w:rsidRPr="003D20DC">
        <w:t xml:space="preserve"> </w:t>
      </w:r>
      <w:r w:rsidR="00DE1F21">
        <w:t>T</w:t>
      </w:r>
      <w:r w:rsidR="00DE1F21" w:rsidRPr="003D20DC">
        <w:t xml:space="preserve">hese </w:t>
      </w:r>
      <w:r w:rsidRPr="003D20DC">
        <w:t xml:space="preserve">contributes mainly relies on the equivalent diameter approach (e.g., </w:t>
      </w:r>
      <w:proofErr w:type="spellStart"/>
      <w:r w:rsidRPr="003D20DC">
        <w:t>Portarapillo</w:t>
      </w:r>
      <w:proofErr w:type="spellEnd"/>
      <w:r w:rsidRPr="003D20DC">
        <w:t xml:space="preserve"> et al., 2022)</w:t>
      </w:r>
      <w:r w:rsidR="00DE1F21">
        <w:t>;</w:t>
      </w:r>
      <w:r w:rsidRPr="003D20DC">
        <w:t xml:space="preserve"> that is, the elongated fiber is modelled as an equivalent sphere with an effective diameter. While quite effective in estimating the main explosion parameters (e.g., Russo et al., 2013), this approach is intrinsically unable to distinguish the effect of increasing either the fiber diameter or the fiber length. As a matter of fact, in a fiber explosion different physical and chemical processes occur, such as: external and internal particle heat transfer, pyrolysis/ and/or devolatilization reactions, volatiles combustion. In a previous paper (Copelli et al.</w:t>
      </w:r>
      <w:r w:rsidR="002B6979">
        <w:t>,</w:t>
      </w:r>
      <w:r w:rsidRPr="003D20DC">
        <w:t xml:space="preserve"> 2019), a detailed mathematical model able to account for all these phenomena in spherical coordinates (that is, </w:t>
      </w:r>
      <w:r w:rsidR="005D0D33" w:rsidRPr="003D20DC">
        <w:t>bas</w:t>
      </w:r>
      <w:r w:rsidR="005D0D33">
        <w:t>ing</w:t>
      </w:r>
      <w:r w:rsidR="005D0D33" w:rsidRPr="003D20DC">
        <w:t xml:space="preserve"> </w:t>
      </w:r>
      <w:r w:rsidRPr="003D20DC">
        <w:t xml:space="preserve">on the assumption that the dust particles can be approximated as small spheres) has been presented and validated by comparison with several experimental </w:t>
      </w:r>
      <w:proofErr w:type="spellStart"/>
      <w:r w:rsidRPr="003D20DC">
        <w:t>K</w:t>
      </w:r>
      <w:r w:rsidRPr="003D20DC">
        <w:rPr>
          <w:vertAlign w:val="subscript"/>
        </w:rPr>
        <w:t>st</w:t>
      </w:r>
      <w:proofErr w:type="spellEnd"/>
      <w:r w:rsidRPr="003D20DC">
        <w:t xml:space="preserve"> data (since this parameter both plays a fundamental role in estimating the magnitude of a dust explosion and it is also used to design the emergency release devices for </w:t>
      </w:r>
      <w:r w:rsidRPr="003D20DC">
        <w:lastRenderedPageBreak/>
        <w:t>protecting vessels and/or silos against an internal explosion). In this work, we extended the previously presented mathematical model to fibers by changing the coordinates from spherical to cylindrical. In this way, the effect of changing either the fiber diameter or the fiber length can be distinguished, therefore clearly elucidating the effect of both these parameters on the explosion severity through a parametric analysis.</w:t>
      </w:r>
      <w:r w:rsidR="00D06425">
        <w:t xml:space="preserve"> Results </w:t>
      </w:r>
      <w:r w:rsidR="00953DA4">
        <w:t xml:space="preserve">coming out from this study </w:t>
      </w:r>
      <w:r w:rsidR="00D06425">
        <w:t>can be used for safety assessment purposes in al</w:t>
      </w:r>
      <w:r w:rsidR="00EA0E08">
        <w:t xml:space="preserve">l industries where fibers are </w:t>
      </w:r>
      <w:r w:rsidR="00953DA4">
        <w:t xml:space="preserve">produced and / or handled. </w:t>
      </w:r>
    </w:p>
    <w:p w14:paraId="63894818" w14:textId="68F75F33" w:rsidR="00ED1D1C" w:rsidRPr="003D20DC" w:rsidRDefault="00ED1D1C" w:rsidP="00633BC2">
      <w:pPr>
        <w:pStyle w:val="CETHeading1"/>
        <w:numPr>
          <w:ilvl w:val="0"/>
          <w:numId w:val="23"/>
        </w:numPr>
      </w:pPr>
      <w:r w:rsidRPr="003D20DC">
        <w:t>Mathematical model</w:t>
      </w:r>
    </w:p>
    <w:p w14:paraId="68CC7602" w14:textId="77777777" w:rsidR="00435127" w:rsidRDefault="00ED1D1C" w:rsidP="00ED1D1C">
      <w:pPr>
        <w:pStyle w:val="CETBodytext"/>
      </w:pPr>
      <w:r w:rsidRPr="003D20DC">
        <w:t xml:space="preserve">Organic dust explosions proceed through several processes, whose relative importance can be assessed by estimating the values of various dimensionless numbers. The main processes involved are: </w:t>
      </w:r>
    </w:p>
    <w:p w14:paraId="5363CA34" w14:textId="65C87C46" w:rsidR="00435127" w:rsidRDefault="00ED1D1C" w:rsidP="003D20DC">
      <w:pPr>
        <w:pStyle w:val="CETBodytext"/>
        <w:numPr>
          <w:ilvl w:val="0"/>
          <w:numId w:val="24"/>
        </w:numPr>
      </w:pPr>
      <w:r w:rsidRPr="003D20DC">
        <w:t xml:space="preserve">particle heating (which can be controlled by either the internal heat conduction or the external heat transfer, as identified by the </w:t>
      </w:r>
      <w:proofErr w:type="spellStart"/>
      <w:r w:rsidRPr="003D20DC">
        <w:t>Biot</w:t>
      </w:r>
      <w:proofErr w:type="spellEnd"/>
      <w:r w:rsidRPr="003D20DC">
        <w:t xml:space="preserve"> number (representing the ratio of the internal heat conduction characteristic time to the external heat transfer characteristic time</w:t>
      </w:r>
      <w:proofErr w:type="gramStart"/>
      <w:r w:rsidRPr="003D20DC">
        <w:t>);</w:t>
      </w:r>
      <w:proofErr w:type="gramEnd"/>
      <w:r w:rsidRPr="003D20DC">
        <w:t xml:space="preserve"> </w:t>
      </w:r>
    </w:p>
    <w:p w14:paraId="796B8C76" w14:textId="5754758D" w:rsidR="00435127" w:rsidRDefault="00ED1D1C" w:rsidP="00435127">
      <w:pPr>
        <w:pStyle w:val="CETBodytext"/>
        <w:numPr>
          <w:ilvl w:val="0"/>
          <w:numId w:val="24"/>
        </w:numPr>
      </w:pPr>
      <w:r w:rsidRPr="003D20DC">
        <w:t xml:space="preserve">particle devolatilization due to pyrolysis (in this case, the </w:t>
      </w:r>
      <w:proofErr w:type="spellStart"/>
      <w:r w:rsidRPr="003D20DC">
        <w:t>Damkohler</w:t>
      </w:r>
      <w:proofErr w:type="spellEnd"/>
      <w:r w:rsidRPr="003D20DC">
        <w:t xml:space="preserve"> number compares the external heat transfer characteristic time and the pyrolysis characteristic time, while the Thiele number compares the characteristic time of conduction heat transfer and the pyrolysis characteristic time</w:t>
      </w:r>
      <w:proofErr w:type="gramStart"/>
      <w:r w:rsidRPr="003D20DC">
        <w:t>);</w:t>
      </w:r>
      <w:proofErr w:type="gramEnd"/>
      <w:r w:rsidRPr="003D20DC">
        <w:t xml:space="preserve"> </w:t>
      </w:r>
    </w:p>
    <w:p w14:paraId="3B5F5417" w14:textId="5E2E802E" w:rsidR="003F4312" w:rsidRDefault="00ED1D1C" w:rsidP="00435127">
      <w:pPr>
        <w:pStyle w:val="CETBodytext"/>
        <w:numPr>
          <w:ilvl w:val="0"/>
          <w:numId w:val="24"/>
        </w:numPr>
      </w:pPr>
      <w:r w:rsidRPr="003D20DC">
        <w:t>combustion of the gases produced by dust pyrolysis (the ratio of the volatile combustion time to the pyrolysis characteristic time</w:t>
      </w:r>
      <w:r w:rsidR="00766F53">
        <w:t>,</w:t>
      </w:r>
      <w:r w:rsidRPr="003D20DC">
        <w:t xml:space="preserve"> </w:t>
      </w:r>
      <w:r w:rsidR="00A031E2">
        <w:t xml:space="preserve">that is </w:t>
      </w:r>
      <w:r w:rsidRPr="003D20DC">
        <w:t>the so-called Pc number</w:t>
      </w:r>
      <w:r w:rsidR="00A031E2">
        <w:t>,</w:t>
      </w:r>
      <w:r w:rsidRPr="003D20DC">
        <w:t xml:space="preserve"> can be used)</w:t>
      </w:r>
      <w:r w:rsidR="003F4312">
        <w:t>.</w:t>
      </w:r>
    </w:p>
    <w:p w14:paraId="1DF2C3D8" w14:textId="48EF6E4E" w:rsidR="00ED1D1C" w:rsidRPr="003D20DC" w:rsidRDefault="003F4312" w:rsidP="00ED1D1C">
      <w:pPr>
        <w:pStyle w:val="CETBodytext"/>
      </w:pPr>
      <w:r>
        <w:t>These phenomena</w:t>
      </w:r>
      <w:r w:rsidR="00131CBF">
        <w:t xml:space="preserve">, </w:t>
      </w:r>
      <w:r w:rsidR="00ED1D1C" w:rsidRPr="003D20DC">
        <w:t>in turns</w:t>
      </w:r>
      <w:r w:rsidR="00131CBF">
        <w:t>,</w:t>
      </w:r>
      <w:r w:rsidR="00ED1D1C" w:rsidRPr="003D20DC">
        <w:t xml:space="preserve"> heat the dust particles.</w:t>
      </w:r>
      <w:r w:rsidR="00131CBF">
        <w:t xml:space="preserve"> </w:t>
      </w:r>
      <w:r w:rsidR="00ED1D1C" w:rsidRPr="003D20DC">
        <w:t xml:space="preserve">While chemical phenomena are not expected to be influenced markedly by the particle geometry, the heating processes are. </w:t>
      </w:r>
    </w:p>
    <w:p w14:paraId="5CC43066" w14:textId="6C97B5AC" w:rsidR="002B76CB" w:rsidRDefault="00ED1D1C" w:rsidP="00ED1D1C">
      <w:pPr>
        <w:pStyle w:val="CETBodytext"/>
      </w:pPr>
      <w:r w:rsidRPr="003D20DC">
        <w:t xml:space="preserve">For instance, the power entering the particle from </w:t>
      </w:r>
      <w:r w:rsidR="000738E4">
        <w:t>a</w:t>
      </w:r>
      <w:r w:rsidR="000738E4" w:rsidRPr="003D20DC">
        <w:t xml:space="preserve"> </w:t>
      </w:r>
      <w:r w:rsidRPr="003D20DC">
        <w:t xml:space="preserve">hot environment </w:t>
      </w:r>
      <w:r w:rsidR="00840EE3">
        <w:t>(</w:t>
      </w:r>
      <w:r w:rsidR="00AF3796">
        <w:t xml:space="preserve">which </w:t>
      </w:r>
      <w:r w:rsidR="00AF3796" w:rsidRPr="003D20DC">
        <w:t>surround</w:t>
      </w:r>
      <w:r w:rsidR="00AF3796">
        <w:t>s it</w:t>
      </w:r>
      <w:r w:rsidR="00840EE3">
        <w:t>)</w:t>
      </w:r>
      <w:r w:rsidR="00AF3796" w:rsidRPr="003D20DC">
        <w:t xml:space="preserve"> </w:t>
      </w:r>
      <w:r w:rsidR="00AF3796" w:rsidRPr="00C658F8">
        <w:t>is proportional to</w:t>
      </w:r>
      <w:r w:rsidR="00AF3796">
        <w:t xml:space="preserve"> </w:t>
      </w:r>
      <w:r w:rsidR="00AF3796" w:rsidRPr="00C658F8">
        <w:t>the external particle surface (</w:t>
      </w:r>
      <w:r w:rsidR="00AF3796" w:rsidRPr="00C658F8">
        <w:rPr>
          <w:i/>
          <w:iCs/>
        </w:rPr>
        <w:t>A</w:t>
      </w:r>
      <w:r w:rsidR="00AF3796" w:rsidRPr="00C658F8">
        <w:t>)</w:t>
      </w:r>
      <w:r w:rsidRPr="003D20DC">
        <w:t>, while the thermal inertia of the particle</w:t>
      </w:r>
      <w:r w:rsidR="00AF3796">
        <w:t xml:space="preserve"> </w:t>
      </w:r>
      <w:r w:rsidR="00AF3796" w:rsidRPr="00C658F8">
        <w:t>is proportional to</w:t>
      </w:r>
      <w:r w:rsidR="00AF3796">
        <w:t xml:space="preserve"> </w:t>
      </w:r>
      <w:r w:rsidR="00AF3796" w:rsidRPr="00C658F8">
        <w:t>the particle volume (</w:t>
      </w:r>
      <w:r w:rsidR="00AF3796" w:rsidRPr="00C658F8">
        <w:rPr>
          <w:i/>
          <w:iCs/>
        </w:rPr>
        <w:t>V</w:t>
      </w:r>
      <w:r w:rsidR="00AF3796" w:rsidRPr="00C658F8">
        <w:t>)</w:t>
      </w:r>
      <w:r w:rsidRPr="003D20DC">
        <w:t xml:space="preserve">. Therefore, the ratio </w:t>
      </w:r>
      <w:r w:rsidRPr="003D20DC">
        <w:rPr>
          <w:i/>
          <w:iCs/>
        </w:rPr>
        <w:t>A/V</w:t>
      </w:r>
      <w:r w:rsidRPr="003D20DC">
        <w:t xml:space="preserve"> </w:t>
      </w:r>
      <w:r w:rsidR="00863568">
        <w:t xml:space="preserve">(external particle surface to volume) </w:t>
      </w:r>
      <w:r w:rsidRPr="003D20DC">
        <w:t>influences the heating rate of the particle and</w:t>
      </w:r>
      <w:r w:rsidR="00A446AE">
        <w:t>,</w:t>
      </w:r>
      <w:r w:rsidRPr="003D20DC">
        <w:t xml:space="preserve"> consequently</w:t>
      </w:r>
      <w:r w:rsidR="00A446AE">
        <w:t>,</w:t>
      </w:r>
      <w:r w:rsidRPr="003D20DC">
        <w:t xml:space="preserve"> the velocity of the volatile</w:t>
      </w:r>
      <w:r w:rsidR="00A446AE">
        <w:t>s</w:t>
      </w:r>
      <w:r w:rsidRPr="003D20DC">
        <w:t xml:space="preserve"> production through pyrolysis and the subsequent power release</w:t>
      </w:r>
      <w:r w:rsidR="00100F08">
        <w:t>d</w:t>
      </w:r>
      <w:r w:rsidRPr="003D20DC">
        <w:t xml:space="preserve"> by the combustion of such volatiles. The larger the </w:t>
      </w:r>
      <w:r w:rsidRPr="003D20DC">
        <w:rPr>
          <w:i/>
          <w:iCs/>
        </w:rPr>
        <w:t>A/V</w:t>
      </w:r>
      <w:r w:rsidRPr="003D20DC">
        <w:t xml:space="preserve"> ratio, the faster the heating rate of the particle is. </w:t>
      </w:r>
      <w:proofErr w:type="gramStart"/>
      <w:r w:rsidRPr="003D20DC">
        <w:t>Assuming that</w:t>
      </w:r>
      <w:proofErr w:type="gramEnd"/>
      <w:r w:rsidRPr="003D20DC">
        <w:t xml:space="preserve"> the heat transfer </w:t>
      </w:r>
      <w:r w:rsidR="001544F4">
        <w:t xml:space="preserve">phenomenon </w:t>
      </w:r>
      <w:r w:rsidR="008E7420">
        <w:t>develop</w:t>
      </w:r>
      <w:r w:rsidR="008E7420" w:rsidRPr="003D20DC">
        <w:t xml:space="preserve">s </w:t>
      </w:r>
      <w:r w:rsidRPr="003D20DC">
        <w:t xml:space="preserve">mainly </w:t>
      </w:r>
      <w:r w:rsidR="008E7420">
        <w:t>along</w:t>
      </w:r>
      <w:r w:rsidR="008E7420" w:rsidRPr="003D20DC">
        <w:t xml:space="preserve"> </w:t>
      </w:r>
      <w:r w:rsidRPr="003D20DC">
        <w:t>one coordinate</w:t>
      </w:r>
      <w:r w:rsidR="002A0F0C">
        <w:t>, different types of particles cane be distinguished from a ge</w:t>
      </w:r>
      <w:r w:rsidR="002B76CB">
        <w:t xml:space="preserve">ometric point of view: </w:t>
      </w:r>
    </w:p>
    <w:p w14:paraId="50D38A24" w14:textId="1120F589" w:rsidR="008F15DC" w:rsidRDefault="002B76CB" w:rsidP="002B76CB">
      <w:pPr>
        <w:pStyle w:val="CETBodytext"/>
        <w:numPr>
          <w:ilvl w:val="0"/>
          <w:numId w:val="26"/>
        </w:numPr>
      </w:pPr>
      <w:r w:rsidRPr="00C658F8">
        <w:t>“flat”</w:t>
      </w:r>
      <w:r w:rsidR="008F15DC">
        <w:t>, representative of</w:t>
      </w:r>
      <w:r w:rsidR="00ED1D1C" w:rsidRPr="003D20DC">
        <w:t xml:space="preserve"> thin </w:t>
      </w:r>
      <w:r w:rsidR="008F15DC">
        <w:t>particles</w:t>
      </w:r>
      <w:r w:rsidR="00ED1D1C" w:rsidRPr="003D20DC">
        <w:t xml:space="preserve"> </w:t>
      </w:r>
      <w:r w:rsidR="001200CF">
        <w:t>(</w:t>
      </w:r>
      <w:proofErr w:type="gramStart"/>
      <w:r w:rsidR="001200CF">
        <w:t>e.g.</w:t>
      </w:r>
      <w:proofErr w:type="gramEnd"/>
      <w:r w:rsidR="001200CF">
        <w:t xml:space="preserve"> she</w:t>
      </w:r>
      <w:r w:rsidR="002273C3">
        <w:t>e</w:t>
      </w:r>
      <w:r w:rsidR="001200CF">
        <w:t>ts</w:t>
      </w:r>
      <w:r w:rsidR="00CB537D">
        <w:t>, slabs</w:t>
      </w:r>
      <w:r w:rsidR="00A93394">
        <w:t>, etc..</w:t>
      </w:r>
      <w:r w:rsidR="002273C3">
        <w:t xml:space="preserve">) </w:t>
      </w:r>
      <w:r w:rsidR="00ED1D1C" w:rsidRPr="003D20DC">
        <w:t xml:space="preserve">with </w:t>
      </w:r>
      <w:r w:rsidR="002273C3">
        <w:t xml:space="preserve">the </w:t>
      </w:r>
      <w:r w:rsidR="00ED1D1C" w:rsidRPr="003D20DC">
        <w:t xml:space="preserve">dimension </w:t>
      </w:r>
      <w:r w:rsidR="00C11A8A">
        <w:t>through</w:t>
      </w:r>
      <w:r w:rsidR="00C11A8A" w:rsidRPr="003D20DC">
        <w:t xml:space="preserve"> </w:t>
      </w:r>
      <w:r w:rsidR="00ED1D1C" w:rsidRPr="003D20DC">
        <w:t>the heat transfer proceeds much smaller than the other two</w:t>
      </w:r>
      <w:r w:rsidR="008F15DC">
        <w:t xml:space="preserve"> </w:t>
      </w:r>
      <w:r w:rsidR="008F15DC" w:rsidRPr="00C658F8">
        <w:t>(see Fumagalli et al., 2017)</w:t>
      </w:r>
      <w:r w:rsidR="00ED1D1C" w:rsidRPr="003D20DC">
        <w:t xml:space="preserve">; </w:t>
      </w:r>
    </w:p>
    <w:p w14:paraId="27334DFF" w14:textId="75F72237" w:rsidR="002F6CEA" w:rsidRDefault="00ED1D1C" w:rsidP="002B76CB">
      <w:pPr>
        <w:pStyle w:val="CETBodytext"/>
        <w:numPr>
          <w:ilvl w:val="0"/>
          <w:numId w:val="26"/>
        </w:numPr>
      </w:pPr>
      <w:r w:rsidRPr="003D20DC">
        <w:t xml:space="preserve">“spherical”, </w:t>
      </w:r>
      <w:r w:rsidR="008312F7">
        <w:t xml:space="preserve">representative of </w:t>
      </w:r>
      <w:r w:rsidR="002273C3">
        <w:t xml:space="preserve">round shape </w:t>
      </w:r>
      <w:r w:rsidR="008312F7">
        <w:t xml:space="preserve">particles </w:t>
      </w:r>
      <w:r w:rsidRPr="003D20DC">
        <w:t xml:space="preserve">where the heat transfer proceeds along the particle </w:t>
      </w:r>
      <w:proofErr w:type="gramStart"/>
      <w:r w:rsidRPr="003D20DC">
        <w:t>radius;</w:t>
      </w:r>
      <w:proofErr w:type="gramEnd"/>
      <w:r w:rsidRPr="003D20DC">
        <w:t xml:space="preserve"> </w:t>
      </w:r>
    </w:p>
    <w:p w14:paraId="3B24F1D8" w14:textId="65F66644" w:rsidR="007F6D09" w:rsidRDefault="00ED1D1C" w:rsidP="002B76CB">
      <w:pPr>
        <w:pStyle w:val="CETBodytext"/>
        <w:numPr>
          <w:ilvl w:val="0"/>
          <w:numId w:val="26"/>
        </w:numPr>
      </w:pPr>
      <w:r w:rsidRPr="003D20DC">
        <w:t>“cylindrical”</w:t>
      </w:r>
      <w:r w:rsidR="002F6CEA">
        <w:t>, representative of particles</w:t>
      </w:r>
      <w:r w:rsidRPr="003D20DC">
        <w:t xml:space="preserve"> </w:t>
      </w:r>
      <w:r w:rsidR="007F6D09">
        <w:t xml:space="preserve">characterized by </w:t>
      </w:r>
      <w:r w:rsidRPr="003D20DC">
        <w:t xml:space="preserve">length larger than the diameter, </w:t>
      </w:r>
      <w:r w:rsidR="007F6D09">
        <w:t xml:space="preserve">(that is, </w:t>
      </w:r>
      <w:r w:rsidRPr="003D20DC">
        <w:t>L/D&gt;&gt;1</w:t>
      </w:r>
      <w:r w:rsidR="007F6D09">
        <w:t>)</w:t>
      </w:r>
      <w:r w:rsidRPr="003D20DC">
        <w:t>, where the heat is transferred mainly along the cylinder radius while the heat entering the two flat surfaces can be neglected</w:t>
      </w:r>
      <w:r w:rsidR="007F6D09">
        <w:t>.</w:t>
      </w:r>
    </w:p>
    <w:p w14:paraId="054FE773" w14:textId="7A1EA1AA" w:rsidR="00ED1D1C" w:rsidRPr="003D20DC" w:rsidRDefault="007F6D09" w:rsidP="00624C2B">
      <w:pPr>
        <w:pStyle w:val="CETBodytext"/>
      </w:pPr>
      <w:r>
        <w:t xml:space="preserve">All these </w:t>
      </w:r>
      <w:r w:rsidR="000F2904">
        <w:t>geometries are depicted in F</w:t>
      </w:r>
      <w:r w:rsidR="00ED1D1C" w:rsidRPr="003D20DC">
        <w:t>igure 1</w:t>
      </w:r>
      <w:r w:rsidR="000F2904">
        <w:t>.</w:t>
      </w:r>
      <w:r w:rsidR="00ED1D1C" w:rsidRPr="003D20DC">
        <w:t xml:space="preserve"> </w:t>
      </w:r>
    </w:p>
    <w:p w14:paraId="656EE02C" w14:textId="77777777" w:rsidR="00ED1D1C" w:rsidRPr="003D20DC" w:rsidRDefault="00ED1D1C" w:rsidP="00ED1D1C">
      <w:pPr>
        <w:pStyle w:val="CETBodytext"/>
      </w:pPr>
    </w:p>
    <w:p w14:paraId="699AD711" w14:textId="77777777" w:rsidR="00ED1D1C" w:rsidRDefault="00ED1D1C" w:rsidP="00ED1D1C">
      <w:pPr>
        <w:pStyle w:val="CETBodytext"/>
      </w:pPr>
      <w:r w:rsidRPr="00CF0F60">
        <w:rPr>
          <w:noProof/>
        </w:rPr>
        <w:drawing>
          <wp:inline distT="0" distB="0" distL="0" distR="0" wp14:anchorId="5D4A1B08" wp14:editId="28F925CF">
            <wp:extent cx="3793956" cy="1963238"/>
            <wp:effectExtent l="0" t="0" r="0" b="0"/>
            <wp:docPr id="159603209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01955" cy="1967377"/>
                    </a:xfrm>
                    <a:prstGeom prst="rect">
                      <a:avLst/>
                    </a:prstGeom>
                    <a:noFill/>
                    <a:ln>
                      <a:noFill/>
                    </a:ln>
                  </pic:spPr>
                </pic:pic>
              </a:graphicData>
            </a:graphic>
          </wp:inline>
        </w:drawing>
      </w:r>
    </w:p>
    <w:p w14:paraId="1C65D1BB" w14:textId="1A827CDF" w:rsidR="005B3B88" w:rsidRPr="003D20DC" w:rsidRDefault="003F2E38" w:rsidP="003D20DC">
      <w:pPr>
        <w:pStyle w:val="CETBodytext"/>
        <w:numPr>
          <w:ilvl w:val="0"/>
          <w:numId w:val="25"/>
        </w:numPr>
      </w:pPr>
      <w:r>
        <w:t xml:space="preserve">                            </w:t>
      </w:r>
      <w:r w:rsidR="00E64359">
        <w:t xml:space="preserve">     </w:t>
      </w:r>
      <w:r>
        <w:t xml:space="preserve">      b)                                            c)</w:t>
      </w:r>
    </w:p>
    <w:p w14:paraId="74399445" w14:textId="042CE308" w:rsidR="00ED1D1C" w:rsidRPr="003D20DC" w:rsidRDefault="00ED1D1C" w:rsidP="00ED1D1C">
      <w:pPr>
        <w:pStyle w:val="CETCaption"/>
        <w:rPr>
          <w:lang w:val="en-US"/>
        </w:rPr>
      </w:pPr>
      <w:r w:rsidRPr="003D20DC">
        <w:rPr>
          <w:rStyle w:val="CETCaptionCarattere"/>
          <w:i/>
          <w:lang w:val="en-US"/>
        </w:rPr>
        <w:t>Figure 1: Different particle geometries</w:t>
      </w:r>
      <w:r w:rsidR="00624C2B">
        <w:rPr>
          <w:rStyle w:val="CETCaptionCarattere"/>
          <w:i/>
          <w:lang w:val="en-US"/>
        </w:rPr>
        <w:t xml:space="preserve">: a) </w:t>
      </w:r>
      <w:r w:rsidR="007A3271">
        <w:rPr>
          <w:rStyle w:val="CETCaptionCarattere"/>
          <w:i/>
          <w:lang w:val="en-US"/>
        </w:rPr>
        <w:t>“flat”, b) “spherical”, and c) “cylindrical”.</w:t>
      </w:r>
      <w:r w:rsidRPr="003D20DC">
        <w:rPr>
          <w:rStyle w:val="CETCaptionCarattere"/>
          <w:i/>
          <w:lang w:val="en-US"/>
        </w:rPr>
        <w:t xml:space="preserve"> D indicates the characteristic particle size.</w:t>
      </w:r>
    </w:p>
    <w:p w14:paraId="3E96D173" w14:textId="49D8EAFA" w:rsidR="00624C2B" w:rsidRDefault="007A3271" w:rsidP="00624C2B">
      <w:pPr>
        <w:pStyle w:val="CETBodytext"/>
      </w:pPr>
      <w:r>
        <w:t>T</w:t>
      </w:r>
      <w:r w:rsidR="00624C2B" w:rsidRPr="00C658F8">
        <w:t xml:space="preserve">he ratio of the external heat transfer area to the particle volume depends on </w:t>
      </w:r>
      <w:r w:rsidR="003F4D68">
        <w:t xml:space="preserve">the geometry </w:t>
      </w:r>
      <w:r w:rsidR="00404974">
        <w:t>considered representative of the particle shape</w:t>
      </w:r>
      <w:r w:rsidR="00495095">
        <w:t xml:space="preserve"> </w:t>
      </w:r>
      <w:r w:rsidR="00624C2B" w:rsidRPr="00C658F8">
        <w:t xml:space="preserve">through </w:t>
      </w:r>
      <w:r w:rsidR="00495095">
        <w:t xml:space="preserve">the following </w:t>
      </w:r>
      <w:r w:rsidR="00624C2B" w:rsidRPr="00C658F8">
        <w:t>simple approximated relations</w:t>
      </w:r>
      <w:r w:rsidR="000B523A">
        <w:t>hips</w:t>
      </w:r>
      <w:r w:rsidR="00624C2B" w:rsidRPr="00C658F8">
        <w:t xml:space="preserve">. </w:t>
      </w:r>
    </w:p>
    <w:p w14:paraId="1339C50B" w14:textId="77777777" w:rsidR="000B523A" w:rsidRDefault="00624C2B" w:rsidP="00624C2B">
      <w:pPr>
        <w:pStyle w:val="CETBodytext"/>
      </w:pPr>
      <w:r w:rsidRPr="00C658F8">
        <w:lastRenderedPageBreak/>
        <w:t>For thin “flat particles”</w:t>
      </w:r>
      <w:r w:rsidR="000B523A">
        <w:t>:</w:t>
      </w:r>
    </w:p>
    <w:tbl>
      <w:tblPr>
        <w:tblW w:w="5000" w:type="pct"/>
        <w:tblLook w:val="04A0" w:firstRow="1" w:lastRow="0" w:firstColumn="1" w:lastColumn="0" w:noHBand="0" w:noVBand="1"/>
      </w:tblPr>
      <w:tblGrid>
        <w:gridCol w:w="8188"/>
        <w:gridCol w:w="815"/>
      </w:tblGrid>
      <w:tr w:rsidR="006D0D04" w:rsidRPr="00B57B36" w14:paraId="433EFFE9" w14:textId="77777777" w:rsidTr="00C658F8">
        <w:tc>
          <w:tcPr>
            <w:tcW w:w="8188" w:type="dxa"/>
            <w:shd w:val="clear" w:color="auto" w:fill="auto"/>
            <w:vAlign w:val="center"/>
          </w:tcPr>
          <w:p w14:paraId="791BB646" w14:textId="250C0FA9" w:rsidR="0081687D" w:rsidRPr="0081687D" w:rsidRDefault="004F3A0D" w:rsidP="0081687D">
            <w:pPr>
              <w:pStyle w:val="CETEquation"/>
            </w:pPr>
            <m:oMathPara>
              <m:oMathParaPr>
                <m:jc m:val="left"/>
              </m:oMathParaPr>
              <m:oMath>
                <m:f>
                  <m:fPr>
                    <m:ctrlPr>
                      <w:rPr>
                        <w:rFonts w:ascii="Cambria Math" w:hAnsi="Cambria Math"/>
                        <w:i/>
                      </w:rPr>
                    </m:ctrlPr>
                  </m:fPr>
                  <m:num>
                    <m:r>
                      <w:rPr>
                        <w:rFonts w:ascii="Cambria Math" w:hAnsi="Cambria Math"/>
                      </w:rPr>
                      <m:t>A</m:t>
                    </m:r>
                  </m:num>
                  <m:den>
                    <m:r>
                      <w:rPr>
                        <w:rFonts w:ascii="Cambria Math" w:hAnsi="Cambria Math"/>
                      </w:rPr>
                      <m:t>V</m:t>
                    </m:r>
                  </m:den>
                </m:f>
                <m:r>
                  <w:rPr>
                    <w:rFonts w:ascii="Cambria Math" w:hAnsi="Cambria Math"/>
                  </w:rPr>
                  <m:t>≈</m:t>
                </m:r>
                <m:f>
                  <m:fPr>
                    <m:ctrlPr>
                      <w:rPr>
                        <w:rFonts w:ascii="Cambria Math" w:hAnsi="Cambria Math"/>
                        <w:i/>
                      </w:rPr>
                    </m:ctrlPr>
                  </m:fPr>
                  <m:num>
                    <m:r>
                      <w:rPr>
                        <w:rFonts w:ascii="Cambria Math" w:hAnsi="Cambria Math"/>
                      </w:rPr>
                      <m:t>2a</m:t>
                    </m:r>
                  </m:num>
                  <m:den>
                    <m:r>
                      <w:rPr>
                        <w:rFonts w:ascii="Cambria Math" w:hAnsi="Cambria Math"/>
                      </w:rPr>
                      <m:t>aD</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D</m:t>
                    </m:r>
                  </m:den>
                </m:f>
              </m:oMath>
            </m:oMathPara>
          </w:p>
        </w:tc>
        <w:tc>
          <w:tcPr>
            <w:tcW w:w="815" w:type="dxa"/>
            <w:shd w:val="clear" w:color="auto" w:fill="auto"/>
            <w:vAlign w:val="center"/>
          </w:tcPr>
          <w:p w14:paraId="372C8D8C" w14:textId="77777777" w:rsidR="006D0D04" w:rsidRPr="00B57B36" w:rsidRDefault="006D0D04" w:rsidP="00C658F8">
            <w:pPr>
              <w:pStyle w:val="CETEquation"/>
              <w:jc w:val="right"/>
            </w:pPr>
            <w:r w:rsidRPr="00B57B36">
              <w:t>(1)</w:t>
            </w:r>
          </w:p>
        </w:tc>
      </w:tr>
    </w:tbl>
    <w:p w14:paraId="44B4E6E8" w14:textId="1EC08BD7" w:rsidR="000B523A" w:rsidRDefault="00624C2B" w:rsidP="00624C2B">
      <w:pPr>
        <w:pStyle w:val="CETBodytext"/>
      </w:pPr>
      <w:r w:rsidRPr="00C658F8">
        <w:t xml:space="preserve">where </w:t>
      </w:r>
      <m:oMath>
        <m:r>
          <w:rPr>
            <w:rFonts w:ascii="Cambria Math" w:hAnsi="Cambria Math"/>
          </w:rPr>
          <m:t>a</m:t>
        </m:r>
      </m:oMath>
      <w:r w:rsidR="00CB537D">
        <w:t xml:space="preserve"> </w:t>
      </w:r>
      <w:r w:rsidRPr="00C658F8">
        <w:t xml:space="preserve">is the surface of a single face of the slab and </w:t>
      </w:r>
      <m:oMath>
        <m:r>
          <w:rPr>
            <w:rFonts w:ascii="Cambria Math" w:hAnsi="Cambria Math"/>
          </w:rPr>
          <m:t>D</m:t>
        </m:r>
      </m:oMath>
      <w:r w:rsidRPr="00C658F8">
        <w:t xml:space="preserve"> is the slab thickness</w:t>
      </w:r>
      <w:r w:rsidR="002E0510">
        <w:t xml:space="preserve"> </w:t>
      </w:r>
      <w:r w:rsidR="00412A44">
        <w:t>(characteristic dimension)</w:t>
      </w:r>
      <w:r w:rsidR="000B523A">
        <w:t>.</w:t>
      </w:r>
      <w:r w:rsidRPr="00C658F8">
        <w:t xml:space="preserve"> </w:t>
      </w:r>
    </w:p>
    <w:p w14:paraId="726F1F85" w14:textId="5BC16A48" w:rsidR="004C60B5" w:rsidRDefault="000B523A" w:rsidP="00624C2B">
      <w:pPr>
        <w:pStyle w:val="CETBodytext"/>
      </w:pPr>
      <w:r>
        <w:t>F</w:t>
      </w:r>
      <w:r w:rsidR="00624C2B" w:rsidRPr="00C658F8">
        <w:t>or “spherical particles”</w:t>
      </w:r>
      <w:r w:rsidR="004C60B5">
        <w:t>:</w:t>
      </w:r>
    </w:p>
    <w:tbl>
      <w:tblPr>
        <w:tblW w:w="5000" w:type="pct"/>
        <w:tblLook w:val="04A0" w:firstRow="1" w:lastRow="0" w:firstColumn="1" w:lastColumn="0" w:noHBand="0" w:noVBand="1"/>
      </w:tblPr>
      <w:tblGrid>
        <w:gridCol w:w="8188"/>
        <w:gridCol w:w="815"/>
      </w:tblGrid>
      <w:tr w:rsidR="00412A44" w:rsidRPr="00B57B36" w14:paraId="0E6DAE2D" w14:textId="77777777" w:rsidTr="00C658F8">
        <w:tc>
          <w:tcPr>
            <w:tcW w:w="8188" w:type="dxa"/>
            <w:shd w:val="clear" w:color="auto" w:fill="auto"/>
            <w:vAlign w:val="center"/>
          </w:tcPr>
          <w:p w14:paraId="07C9E441" w14:textId="1E7DC651" w:rsidR="00412A44" w:rsidRPr="0081687D" w:rsidRDefault="004F3A0D" w:rsidP="00C658F8">
            <w:pPr>
              <w:pStyle w:val="CETEquation"/>
            </w:pPr>
            <m:oMathPara>
              <m:oMathParaPr>
                <m:jc m:val="left"/>
              </m:oMathParaPr>
              <m:oMath>
                <m:f>
                  <m:fPr>
                    <m:ctrlPr>
                      <w:rPr>
                        <w:rFonts w:ascii="Cambria Math" w:hAnsi="Cambria Math"/>
                        <w:i/>
                      </w:rPr>
                    </m:ctrlPr>
                  </m:fPr>
                  <m:num>
                    <m:r>
                      <w:rPr>
                        <w:rFonts w:ascii="Cambria Math" w:hAnsi="Cambria Math"/>
                      </w:rPr>
                      <m:t>A</m:t>
                    </m:r>
                  </m:num>
                  <m:den>
                    <m:r>
                      <w:rPr>
                        <w:rFonts w:ascii="Cambria Math" w:hAnsi="Cambria Math"/>
                      </w:rPr>
                      <m:t>V</m:t>
                    </m:r>
                  </m:den>
                </m:f>
                <m:r>
                  <w:rPr>
                    <w:rFonts w:ascii="Cambria Math" w:hAnsi="Cambria Math"/>
                  </w:rPr>
                  <m:t>≈</m:t>
                </m:r>
                <m:f>
                  <m:fPr>
                    <m:ctrlPr>
                      <w:rPr>
                        <w:rFonts w:ascii="Cambria Math" w:hAnsi="Cambria Math"/>
                        <w:i/>
                      </w:rPr>
                    </m:ctrlPr>
                  </m:fPr>
                  <m:num>
                    <m:r>
                      <w:rPr>
                        <w:rFonts w:ascii="Cambria Math" w:hAnsi="Cambria Math"/>
                      </w:rPr>
                      <m:t>π</m:t>
                    </m:r>
                    <m:sSup>
                      <m:sSupPr>
                        <m:ctrlPr>
                          <w:rPr>
                            <w:rFonts w:ascii="Cambria Math" w:hAnsi="Cambria Math"/>
                            <w:i/>
                          </w:rPr>
                        </m:ctrlPr>
                      </m:sSupPr>
                      <m:e>
                        <m:r>
                          <w:rPr>
                            <w:rFonts w:ascii="Cambria Math" w:hAnsi="Cambria Math"/>
                          </w:rPr>
                          <m:t>D</m:t>
                        </m:r>
                      </m:e>
                      <m:sup>
                        <m:r>
                          <w:rPr>
                            <w:rFonts w:ascii="Cambria Math" w:hAnsi="Cambria Math"/>
                          </w:rPr>
                          <m:t>2</m:t>
                        </m:r>
                      </m:sup>
                    </m:sSup>
                  </m:num>
                  <m:den>
                    <m:f>
                      <m:fPr>
                        <m:ctrlPr>
                          <w:rPr>
                            <w:rFonts w:ascii="Cambria Math" w:hAnsi="Cambria Math"/>
                            <w:i/>
                          </w:rPr>
                        </m:ctrlPr>
                      </m:fPr>
                      <m:num>
                        <m:r>
                          <w:rPr>
                            <w:rFonts w:ascii="Cambria Math" w:hAnsi="Cambria Math"/>
                          </w:rPr>
                          <m:t>π</m:t>
                        </m:r>
                        <m:sSup>
                          <m:sSupPr>
                            <m:ctrlPr>
                              <w:rPr>
                                <w:rFonts w:ascii="Cambria Math" w:hAnsi="Cambria Math"/>
                                <w:i/>
                              </w:rPr>
                            </m:ctrlPr>
                          </m:sSupPr>
                          <m:e>
                            <m:r>
                              <w:rPr>
                                <w:rFonts w:ascii="Cambria Math" w:hAnsi="Cambria Math"/>
                              </w:rPr>
                              <m:t>D</m:t>
                            </m:r>
                          </m:e>
                          <m:sup>
                            <m:r>
                              <w:rPr>
                                <w:rFonts w:ascii="Cambria Math" w:hAnsi="Cambria Math"/>
                              </w:rPr>
                              <m:t>3</m:t>
                            </m:r>
                          </m:sup>
                        </m:sSup>
                      </m:num>
                      <m:den>
                        <m:r>
                          <w:rPr>
                            <w:rFonts w:ascii="Cambria Math" w:hAnsi="Cambria Math"/>
                          </w:rPr>
                          <m:t>6</m:t>
                        </m:r>
                      </m:den>
                    </m:f>
                  </m:den>
                </m:f>
                <m:r>
                  <w:rPr>
                    <w:rFonts w:ascii="Cambria Math" w:hAnsi="Cambria Math"/>
                  </w:rPr>
                  <m:t>=</m:t>
                </m:r>
                <m:f>
                  <m:fPr>
                    <m:ctrlPr>
                      <w:rPr>
                        <w:rFonts w:ascii="Cambria Math" w:hAnsi="Cambria Math"/>
                        <w:i/>
                      </w:rPr>
                    </m:ctrlPr>
                  </m:fPr>
                  <m:num>
                    <m:r>
                      <w:rPr>
                        <w:rFonts w:ascii="Cambria Math" w:hAnsi="Cambria Math"/>
                      </w:rPr>
                      <m:t>6</m:t>
                    </m:r>
                  </m:num>
                  <m:den>
                    <m:r>
                      <w:rPr>
                        <w:rFonts w:ascii="Cambria Math" w:hAnsi="Cambria Math"/>
                      </w:rPr>
                      <m:t>D</m:t>
                    </m:r>
                  </m:den>
                </m:f>
              </m:oMath>
            </m:oMathPara>
          </w:p>
        </w:tc>
        <w:tc>
          <w:tcPr>
            <w:tcW w:w="815" w:type="dxa"/>
            <w:shd w:val="clear" w:color="auto" w:fill="auto"/>
            <w:vAlign w:val="center"/>
          </w:tcPr>
          <w:p w14:paraId="6746490F" w14:textId="1F17D7B7" w:rsidR="00412A44" w:rsidRPr="00B57B36" w:rsidRDefault="00412A44" w:rsidP="00C658F8">
            <w:pPr>
              <w:pStyle w:val="CETEquation"/>
              <w:jc w:val="right"/>
            </w:pPr>
            <w:r w:rsidRPr="00B57B36">
              <w:t>(</w:t>
            </w:r>
            <w:r>
              <w:t>2</w:t>
            </w:r>
            <w:r w:rsidRPr="00B57B36">
              <w:t>)</w:t>
            </w:r>
          </w:p>
        </w:tc>
      </w:tr>
    </w:tbl>
    <w:p w14:paraId="414445EB" w14:textId="083B7C94" w:rsidR="00412A44" w:rsidRDefault="00127948" w:rsidP="00624C2B">
      <w:pPr>
        <w:pStyle w:val="CETBodytext"/>
      </w:pPr>
      <w:r>
        <w:t xml:space="preserve">where </w:t>
      </w:r>
      <m:oMath>
        <m:r>
          <w:rPr>
            <w:rFonts w:ascii="Cambria Math" w:hAnsi="Cambria Math"/>
          </w:rPr>
          <m:t>D</m:t>
        </m:r>
      </m:oMath>
      <w:r>
        <w:t xml:space="preserve"> is the characteristic diameter of the particle.</w:t>
      </w:r>
    </w:p>
    <w:p w14:paraId="000C4800" w14:textId="16BFDC31" w:rsidR="004C60B5" w:rsidRDefault="004C60B5" w:rsidP="00624C2B">
      <w:pPr>
        <w:pStyle w:val="CETBodytext"/>
      </w:pPr>
      <w:r>
        <w:t>F</w:t>
      </w:r>
      <w:r w:rsidR="00624C2B" w:rsidRPr="00C658F8">
        <w:t>or “cylindrical particles”</w:t>
      </w:r>
      <w:r>
        <w:t>:</w:t>
      </w:r>
      <w:r w:rsidR="00624C2B" w:rsidRPr="00C658F8">
        <w:t xml:space="preserve"> </w:t>
      </w:r>
    </w:p>
    <w:tbl>
      <w:tblPr>
        <w:tblW w:w="5000" w:type="pct"/>
        <w:tblLook w:val="04A0" w:firstRow="1" w:lastRow="0" w:firstColumn="1" w:lastColumn="0" w:noHBand="0" w:noVBand="1"/>
      </w:tblPr>
      <w:tblGrid>
        <w:gridCol w:w="8188"/>
        <w:gridCol w:w="815"/>
      </w:tblGrid>
      <w:tr w:rsidR="00127948" w:rsidRPr="00B57B36" w14:paraId="3360BF5B" w14:textId="77777777" w:rsidTr="00C658F8">
        <w:tc>
          <w:tcPr>
            <w:tcW w:w="8188" w:type="dxa"/>
            <w:shd w:val="clear" w:color="auto" w:fill="auto"/>
            <w:vAlign w:val="center"/>
          </w:tcPr>
          <w:p w14:paraId="4BAECD99" w14:textId="7B2BC5B0" w:rsidR="00127948" w:rsidRPr="0081687D" w:rsidRDefault="004F3A0D" w:rsidP="00C658F8">
            <w:pPr>
              <w:pStyle w:val="CETEquation"/>
            </w:pPr>
            <m:oMathPara>
              <m:oMathParaPr>
                <m:jc m:val="left"/>
              </m:oMathParaPr>
              <m:oMath>
                <m:f>
                  <m:fPr>
                    <m:ctrlPr>
                      <w:rPr>
                        <w:rFonts w:ascii="Cambria Math" w:hAnsi="Cambria Math"/>
                        <w:i/>
                      </w:rPr>
                    </m:ctrlPr>
                  </m:fPr>
                  <m:num>
                    <m:r>
                      <w:rPr>
                        <w:rFonts w:ascii="Cambria Math" w:hAnsi="Cambria Math"/>
                      </w:rPr>
                      <m:t>A</m:t>
                    </m:r>
                  </m:num>
                  <m:den>
                    <m:r>
                      <w:rPr>
                        <w:rFonts w:ascii="Cambria Math" w:hAnsi="Cambria Math"/>
                      </w:rPr>
                      <m:t>V</m:t>
                    </m:r>
                  </m:den>
                </m:f>
                <m:r>
                  <w:rPr>
                    <w:rFonts w:ascii="Cambria Math" w:hAnsi="Cambria Math"/>
                  </w:rPr>
                  <m:t>≈</m:t>
                </m:r>
                <m:f>
                  <m:fPr>
                    <m:ctrlPr>
                      <w:rPr>
                        <w:rFonts w:ascii="Cambria Math" w:hAnsi="Cambria Math"/>
                        <w:i/>
                      </w:rPr>
                    </m:ctrlPr>
                  </m:fPr>
                  <m:num>
                    <m:r>
                      <w:rPr>
                        <w:rFonts w:ascii="Cambria Math" w:hAnsi="Cambria Math"/>
                      </w:rPr>
                      <m:t>πDL</m:t>
                    </m:r>
                  </m:num>
                  <m:den>
                    <m:f>
                      <m:fPr>
                        <m:ctrlPr>
                          <w:rPr>
                            <w:rFonts w:ascii="Cambria Math" w:hAnsi="Cambria Math"/>
                            <w:i/>
                          </w:rPr>
                        </m:ctrlPr>
                      </m:fPr>
                      <m:num>
                        <m:r>
                          <w:rPr>
                            <w:rFonts w:ascii="Cambria Math" w:hAnsi="Cambria Math"/>
                          </w:rPr>
                          <m:t>π</m:t>
                        </m:r>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L</m:t>
                        </m:r>
                      </m:num>
                      <m:den>
                        <m:r>
                          <w:rPr>
                            <w:rFonts w:ascii="Cambria Math" w:hAnsi="Cambria Math"/>
                          </w:rPr>
                          <m:t>4</m:t>
                        </m:r>
                      </m:den>
                    </m:f>
                  </m:den>
                </m:f>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D</m:t>
                    </m:r>
                  </m:den>
                </m:f>
              </m:oMath>
            </m:oMathPara>
          </w:p>
        </w:tc>
        <w:tc>
          <w:tcPr>
            <w:tcW w:w="815" w:type="dxa"/>
            <w:shd w:val="clear" w:color="auto" w:fill="auto"/>
            <w:vAlign w:val="center"/>
          </w:tcPr>
          <w:p w14:paraId="0C124153" w14:textId="78EB4FCA" w:rsidR="00127948" w:rsidRPr="00B57B36" w:rsidRDefault="00127948" w:rsidP="00C658F8">
            <w:pPr>
              <w:pStyle w:val="CETEquation"/>
              <w:jc w:val="right"/>
            </w:pPr>
            <w:r w:rsidRPr="00B57B36">
              <w:t>(</w:t>
            </w:r>
            <w:r w:rsidR="00D56AE3">
              <w:t>3</w:t>
            </w:r>
            <w:r w:rsidRPr="00B57B36">
              <w:t>)</w:t>
            </w:r>
          </w:p>
        </w:tc>
      </w:tr>
    </w:tbl>
    <w:p w14:paraId="061E861A" w14:textId="34E59780" w:rsidR="00127948" w:rsidRDefault="00127948" w:rsidP="00624C2B">
      <w:pPr>
        <w:pStyle w:val="CETBodytext"/>
      </w:pPr>
      <w:r>
        <w:t xml:space="preserve">where </w:t>
      </w:r>
      <m:oMath>
        <m:r>
          <w:rPr>
            <w:rFonts w:ascii="Cambria Math" w:hAnsi="Cambria Math"/>
          </w:rPr>
          <m:t>D</m:t>
        </m:r>
      </m:oMath>
      <w:r>
        <w:t xml:space="preserve"> is the characteristic diameter of the particle</w:t>
      </w:r>
      <w:r w:rsidR="00D56AE3">
        <w:t xml:space="preserve"> and </w:t>
      </w:r>
      <m:oMath>
        <m:r>
          <w:rPr>
            <w:rFonts w:ascii="Cambria Math" w:hAnsi="Cambria Math"/>
          </w:rPr>
          <m:t>L</m:t>
        </m:r>
      </m:oMath>
      <w:r w:rsidR="00D56AE3">
        <w:t xml:space="preserve"> its length.</w:t>
      </w:r>
    </w:p>
    <w:p w14:paraId="15E71AFE" w14:textId="36DC1968" w:rsidR="00ED1D1C" w:rsidRPr="003D20DC" w:rsidRDefault="00624C2B" w:rsidP="00ED1D1C">
      <w:pPr>
        <w:pStyle w:val="CETBodytext"/>
      </w:pPr>
      <w:r w:rsidRPr="00C658F8">
        <w:t xml:space="preserve">Therefore, the </w:t>
      </w:r>
      <w:r w:rsidRPr="003D20DC">
        <w:rPr>
          <w:i/>
          <w:iCs/>
        </w:rPr>
        <w:t>A/V</w:t>
      </w:r>
      <w:r w:rsidRPr="00C658F8">
        <w:t xml:space="preserve"> ratio always increases when decreasing the characteristic particle size, </w:t>
      </w:r>
      <w:r w:rsidRPr="003D20DC">
        <w:rPr>
          <w:i/>
          <w:iCs/>
        </w:rPr>
        <w:t>D</w:t>
      </w:r>
      <w:r w:rsidRPr="00C658F8">
        <w:t>; in particular, it always increases linearly with 1/D</w:t>
      </w:r>
      <w:r w:rsidR="00F71564">
        <w:t>,</w:t>
      </w:r>
      <w:r w:rsidRPr="00C658F8">
        <w:t xml:space="preserve"> while it is not influenced by other geometrical dimensions</w:t>
      </w:r>
      <w:r w:rsidR="00F71564">
        <w:t>.</w:t>
      </w:r>
      <w:r w:rsidRPr="00C658F8">
        <w:t xml:space="preserve"> </w:t>
      </w:r>
      <w:r w:rsidR="00F71564">
        <w:t>I</w:t>
      </w:r>
      <w:r w:rsidRPr="00C658F8">
        <w:t>n other words, changing the surface of a single face of the slab for thin “flat particles” or the fiber length for long “cylindrical particles” is not expected to influence significantly the A/V ratio.</w:t>
      </w:r>
      <w:r w:rsidR="00125963">
        <w:t xml:space="preserve"> </w:t>
      </w:r>
      <w:r w:rsidR="00ED1D1C" w:rsidRPr="003D20DC">
        <w:t>The geometry can also influence the heat transfer rate inside the particle. The characteristic time of the heat conduction process (that is, the characteristic time of the particle heating) can be approximated by the ratio of the squared distance along with the heat has to be transferred (</w:t>
      </w:r>
      <w:r w:rsidR="00ED1D1C" w:rsidRPr="003D20DC">
        <w:rPr>
          <w:i/>
          <w:iCs/>
        </w:rPr>
        <w:t>D/2</w:t>
      </w:r>
      <w:r w:rsidR="00ED1D1C" w:rsidRPr="003D20DC">
        <w:t xml:space="preserve"> for all the geometries) to the thermal diffusivity of the particle. Therefore, the characteristic time of heat transfer rate inside the particle always decreases when decreasing the characteristic particle size, </w:t>
      </w:r>
      <w:r w:rsidR="00ED1D1C" w:rsidRPr="003D20DC">
        <w:rPr>
          <w:i/>
          <w:iCs/>
        </w:rPr>
        <w:t>D</w:t>
      </w:r>
      <w:r w:rsidR="00ED1D1C" w:rsidRPr="003D20DC">
        <w:t>. Thus</w:t>
      </w:r>
      <w:r w:rsidR="00DC370E">
        <w:t>,</w:t>
      </w:r>
      <w:r w:rsidR="00ED1D1C" w:rsidRPr="003D20DC">
        <w:t xml:space="preserve"> summarizing, the characteristic time of the particle heating is expected to decrease when decreasing the characteristic particle size, </w:t>
      </w:r>
      <w:r w:rsidR="00ED1D1C" w:rsidRPr="003D20DC">
        <w:rPr>
          <w:i/>
          <w:iCs/>
        </w:rPr>
        <w:t>D</w:t>
      </w:r>
      <w:r w:rsidR="00ED1D1C" w:rsidRPr="003D20DC">
        <w:t xml:space="preserve">, while it is not expected to be influenced significantly by other geometrical dimensions. Let us now discuss the effect of halving the volume of a particle (which means doubling the number of particles while keeping unchanged the massive dust concentration in the environment) in different ways for the three </w:t>
      </w:r>
      <w:proofErr w:type="gramStart"/>
      <w:r w:rsidR="00ED1D1C" w:rsidRPr="003D20DC">
        <w:t>aforementioned geometries</w:t>
      </w:r>
      <w:proofErr w:type="gramEnd"/>
      <w:r w:rsidR="00ED1D1C" w:rsidRPr="003D20DC">
        <w:t>.</w:t>
      </w:r>
    </w:p>
    <w:p w14:paraId="3E6DDEB0" w14:textId="1A1725D1" w:rsidR="00ED1D1C" w:rsidRPr="003D20DC" w:rsidRDefault="00ED1D1C" w:rsidP="00ED1D1C">
      <w:pPr>
        <w:pStyle w:val="CETBodytext"/>
      </w:pPr>
      <w:r w:rsidRPr="003D20DC">
        <w:t>For thin “flat particles” we can halve the volume of a single particle either by halving the particle thickness or the surface of the slab face. However, while halving the particle thickness leads to decrease the characteristic time of the particle heating, halving the slab surface of the particle leaves the characteristic time of the particle heating almost unchanged.</w:t>
      </w:r>
      <w:r w:rsidR="002F44E4">
        <w:t xml:space="preserve"> </w:t>
      </w:r>
      <w:r w:rsidRPr="003D20DC">
        <w:t xml:space="preserve">For “spherical particles” we can halve the volume only by reducing (of a factor equal to </w:t>
      </w:r>
      <m:oMath>
        <m:rad>
          <m:radPr>
            <m:ctrlPr>
              <w:rPr>
                <w:rFonts w:ascii="Cambria Math" w:hAnsi="Cambria Math"/>
                <w:i/>
              </w:rPr>
            </m:ctrlPr>
          </m:radPr>
          <m:deg>
            <m:r>
              <w:rPr>
                <w:rFonts w:ascii="Cambria Math" w:hAnsi="Cambria Math"/>
              </w:rPr>
              <m:t>3</m:t>
            </m:r>
          </m:deg>
          <m:e>
            <m:r>
              <w:rPr>
                <w:rFonts w:ascii="Cambria Math" w:hAnsi="Cambria Math"/>
              </w:rPr>
              <m:t>2</m:t>
            </m:r>
          </m:e>
        </m:rad>
      </m:oMath>
      <w:r w:rsidRPr="003D20DC">
        <w:t>) the particle diameter. This means that reducing the particle volume necessarily leads to decrease the characteristic time of the particle heating.</w:t>
      </w:r>
    </w:p>
    <w:p w14:paraId="1804D0DE" w14:textId="30917C60" w:rsidR="00ED1D1C" w:rsidRPr="003D20DC" w:rsidRDefault="00ED1D1C" w:rsidP="00ED1D1C">
      <w:pPr>
        <w:pStyle w:val="CETBodytext"/>
      </w:pPr>
      <w:r w:rsidRPr="003D20DC">
        <w:t>For long “cylindrical particles” we can halve the volume of a single particle either by reducing (of a factor equal to</w:t>
      </w:r>
      <w:r w:rsidR="00903282">
        <w:t xml:space="preserve"> </w:t>
      </w:r>
      <m:oMath>
        <m:rad>
          <m:radPr>
            <m:degHide m:val="1"/>
            <m:ctrlPr>
              <w:rPr>
                <w:rFonts w:ascii="Cambria Math" w:hAnsi="Cambria Math"/>
                <w:i/>
              </w:rPr>
            </m:ctrlPr>
          </m:radPr>
          <m:deg/>
          <m:e>
            <m:r>
              <w:rPr>
                <w:rFonts w:ascii="Cambria Math" w:hAnsi="Cambria Math"/>
              </w:rPr>
              <m:t>2</m:t>
            </m:r>
          </m:e>
        </m:rad>
      </m:oMath>
      <w:r w:rsidRPr="003D20DC">
        <w:t>) the fiber diameter or by halving the length of the fiber. However, while reducing the fiber diameter leads to decrease the characteristic time of the particle heating, halving the length of the fiber leaves the characteristic time of the particle heating almost unchanged.</w:t>
      </w:r>
      <w:r w:rsidR="00C01943">
        <w:t xml:space="preserve"> </w:t>
      </w:r>
    </w:p>
    <w:p w14:paraId="0BCDA0B4" w14:textId="5C0EC952" w:rsidR="00ED1D1C" w:rsidRPr="003D20DC" w:rsidRDefault="00C02208" w:rsidP="00ED1D1C">
      <w:pPr>
        <w:pStyle w:val="CETBodytext"/>
      </w:pPr>
      <w:r>
        <w:t xml:space="preserve">Therefore, </w:t>
      </w:r>
      <w:r w:rsidR="007D65F6">
        <w:t>according to the previous</w:t>
      </w:r>
      <w:r w:rsidR="00C01943">
        <w:t xml:space="preserve"> consideration</w:t>
      </w:r>
      <w:r>
        <w:t>s</w:t>
      </w:r>
      <w:r w:rsidR="00C01943">
        <w:t>, m</w:t>
      </w:r>
      <w:r w:rsidR="00C01943" w:rsidRPr="003D20DC">
        <w:t xml:space="preserve">odelling </w:t>
      </w:r>
      <w:r w:rsidR="00C01943">
        <w:t>a</w:t>
      </w:r>
      <w:r w:rsidR="00C01943" w:rsidRPr="003D20DC">
        <w:t xml:space="preserve"> </w:t>
      </w:r>
      <w:r w:rsidR="00ED1D1C" w:rsidRPr="003D20DC">
        <w:t xml:space="preserve">non-spherical particle as </w:t>
      </w:r>
      <w:r w:rsidR="00C01943">
        <w:t xml:space="preserve">an </w:t>
      </w:r>
      <w:r w:rsidR="00ED1D1C" w:rsidRPr="003D20DC">
        <w:t xml:space="preserve">equivalent sphere with an effective diameter is not expected to reproduce correctly </w:t>
      </w:r>
      <w:r w:rsidR="00FF3D88">
        <w:t xml:space="preserve">the heat transfer dynamics (that is, </w:t>
      </w:r>
      <w:r w:rsidR="00ED1D1C" w:rsidRPr="003D20DC">
        <w:t>a model accounting explicitly for the model geometry is required</w:t>
      </w:r>
      <w:r w:rsidR="00FF3D88">
        <w:t>)</w:t>
      </w:r>
      <w:r w:rsidR="00ED1D1C" w:rsidRPr="003D20DC">
        <w:t xml:space="preserve">. In a typical detailed model for organic dust explosions (e.g., Copelli et al. 2019), the geometry is involved in the constitutive equations through </w:t>
      </w:r>
      <m:oMath>
        <m:r>
          <w:rPr>
            <w:rFonts w:ascii="Cambria Math" w:hAnsi="Cambria Math" w:cs="Cambria Math"/>
          </w:rPr>
          <m:t>∇</m:t>
        </m:r>
      </m:oMath>
      <w:r w:rsidR="00ED1D1C" w:rsidRPr="00CF0F60">
        <w:t xml:space="preserve"> </w:t>
      </w:r>
      <w:r w:rsidR="00ED1D1C" w:rsidRPr="003D20DC">
        <w:t xml:space="preserve">and </w:t>
      </w:r>
      <m:oMath>
        <m:sSup>
          <m:sSupPr>
            <m:ctrlPr>
              <w:rPr>
                <w:rFonts w:ascii="Cambria Math" w:hAnsi="Cambria Math" w:cs="Cambria Math"/>
                <w:i/>
              </w:rPr>
            </m:ctrlPr>
          </m:sSupPr>
          <m:e>
            <m:r>
              <w:rPr>
                <w:rFonts w:ascii="Cambria Math" w:hAnsi="Cambria Math" w:cs="Cambria Math"/>
              </w:rPr>
              <m:t>∇</m:t>
            </m:r>
          </m:e>
          <m:sup>
            <m:r>
              <w:rPr>
                <w:rFonts w:ascii="Cambria Math" w:hAnsi="Cambria Math" w:cs="Cambria Math"/>
              </w:rPr>
              <m:t>2</m:t>
            </m:r>
          </m:sup>
        </m:sSup>
      </m:oMath>
      <w:r w:rsidR="00ED1D1C" w:rsidRPr="003D20DC">
        <w:t xml:space="preserve"> mathematical operators, which have different mathematical formulations when changing the particle geometry</w:t>
      </w:r>
      <w:r w:rsidR="00A11215">
        <w:t>,</w:t>
      </w:r>
      <w:r w:rsidR="00ED1D1C" w:rsidRPr="003D20DC">
        <w:t xml:space="preserve"> as summarized in Table 1. </w:t>
      </w:r>
    </w:p>
    <w:p w14:paraId="6A9ADAE0" w14:textId="38FB479C" w:rsidR="00ED1D1C" w:rsidRPr="003D20DC" w:rsidRDefault="00ED1D1C" w:rsidP="00ED1D1C">
      <w:pPr>
        <w:pStyle w:val="CETTabletitle"/>
        <w:rPr>
          <w:lang w:val="en-US"/>
        </w:rPr>
      </w:pPr>
      <w:r w:rsidRPr="003D20DC">
        <w:rPr>
          <w:lang w:val="en-US"/>
        </w:rPr>
        <w:t>Table 1: One-dimension divergence and Laplacian mathematical operators for various geometries.</w:t>
      </w:r>
      <w:r w:rsidR="002F44E4">
        <w:rPr>
          <w:lang w:val="en-US"/>
        </w:rPr>
        <w:t xml:space="preserve"> </w:t>
      </w:r>
      <w:r w:rsidR="002F44E4" w:rsidRPr="002F44E4">
        <w:rPr>
          <w:lang w:val="en-US"/>
        </w:rPr>
        <w:t>x and r refer to the single coordinate involved in the heat transfer phenomen</w:t>
      </w:r>
      <w:r w:rsidR="002F44E4">
        <w:rPr>
          <w:lang w:val="en-US"/>
        </w:rPr>
        <w:t>on.</w:t>
      </w:r>
    </w:p>
    <w:tbl>
      <w:tblPr>
        <w:tblW w:w="8789"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985"/>
        <w:gridCol w:w="2268"/>
        <w:gridCol w:w="2268"/>
        <w:gridCol w:w="2268"/>
      </w:tblGrid>
      <w:tr w:rsidR="00AA1C21" w:rsidRPr="00CF0F60" w14:paraId="3B8A8E1F" w14:textId="77777777" w:rsidTr="00331049">
        <w:tc>
          <w:tcPr>
            <w:tcW w:w="1985" w:type="dxa"/>
            <w:tcBorders>
              <w:top w:val="single" w:sz="12" w:space="0" w:color="008000"/>
              <w:bottom w:val="single" w:sz="6" w:space="0" w:color="008000"/>
            </w:tcBorders>
            <w:shd w:val="clear" w:color="auto" w:fill="FFFFFF"/>
          </w:tcPr>
          <w:p w14:paraId="64D7DD70" w14:textId="77777777" w:rsidR="00AA1C21" w:rsidRPr="003D20DC" w:rsidRDefault="00AA1C21" w:rsidP="008F31D8">
            <w:pPr>
              <w:pStyle w:val="CETBodytext"/>
              <w:jc w:val="right"/>
            </w:pPr>
          </w:p>
        </w:tc>
        <w:tc>
          <w:tcPr>
            <w:tcW w:w="6804" w:type="dxa"/>
            <w:gridSpan w:val="3"/>
            <w:tcBorders>
              <w:top w:val="single" w:sz="12" w:space="0" w:color="008000"/>
              <w:bottom w:val="single" w:sz="6" w:space="0" w:color="008000"/>
            </w:tcBorders>
            <w:shd w:val="clear" w:color="auto" w:fill="FFFFFF"/>
          </w:tcPr>
          <w:p w14:paraId="02B381E3" w14:textId="6E0ED38D" w:rsidR="00AA1C21" w:rsidRPr="003D20DC" w:rsidRDefault="00AA1C21" w:rsidP="008F31D8">
            <w:pPr>
              <w:pStyle w:val="CETBodytext"/>
              <w:ind w:right="-1"/>
              <w:jc w:val="center"/>
              <w:rPr>
                <w:rFonts w:cs="Arial"/>
                <w:szCs w:val="18"/>
              </w:rPr>
            </w:pPr>
            <w:r w:rsidRPr="003D20DC">
              <w:t>G</w:t>
            </w:r>
            <w:r w:rsidRPr="00CF0F60">
              <w:t>eometry</w:t>
            </w:r>
          </w:p>
        </w:tc>
      </w:tr>
      <w:tr w:rsidR="00ED1D1C" w:rsidRPr="00CF0F60" w14:paraId="1AE3C6D0" w14:textId="77777777" w:rsidTr="008F31D8">
        <w:tc>
          <w:tcPr>
            <w:tcW w:w="1985" w:type="dxa"/>
            <w:tcBorders>
              <w:top w:val="single" w:sz="12" w:space="0" w:color="008000"/>
              <w:bottom w:val="single" w:sz="6" w:space="0" w:color="008000"/>
            </w:tcBorders>
            <w:shd w:val="clear" w:color="auto" w:fill="FFFFFF"/>
          </w:tcPr>
          <w:p w14:paraId="273D855F" w14:textId="77777777" w:rsidR="00AA1C21" w:rsidRPr="00CF0F60" w:rsidRDefault="00AA1C21" w:rsidP="008F31D8">
            <w:pPr>
              <w:pStyle w:val="CETBodytext"/>
            </w:pPr>
          </w:p>
          <w:p w14:paraId="0FB0A6BC" w14:textId="4705092B" w:rsidR="00ED1D1C" w:rsidRPr="003D20DC" w:rsidRDefault="00ED1D1C" w:rsidP="008F31D8">
            <w:pPr>
              <w:pStyle w:val="CETBodytext"/>
            </w:pPr>
            <w:r w:rsidRPr="00CF0F60">
              <w:t>Mathematical operator</w:t>
            </w:r>
          </w:p>
        </w:tc>
        <w:tc>
          <w:tcPr>
            <w:tcW w:w="2268" w:type="dxa"/>
            <w:tcBorders>
              <w:top w:val="single" w:sz="12" w:space="0" w:color="008000"/>
              <w:bottom w:val="single" w:sz="6" w:space="0" w:color="008000"/>
            </w:tcBorders>
            <w:shd w:val="clear" w:color="auto" w:fill="FFFFFF"/>
          </w:tcPr>
          <w:p w14:paraId="06F941DB" w14:textId="77777777" w:rsidR="00ED1D1C" w:rsidRPr="003D20DC" w:rsidRDefault="00ED1D1C" w:rsidP="008F31D8">
            <w:pPr>
              <w:pStyle w:val="CETBodytext"/>
              <w:jc w:val="center"/>
            </w:pPr>
            <w:r w:rsidRPr="003D20DC">
              <w:t>C</w:t>
            </w:r>
            <w:r w:rsidRPr="00CF0F60">
              <w:t>artesian</w:t>
            </w:r>
          </w:p>
        </w:tc>
        <w:tc>
          <w:tcPr>
            <w:tcW w:w="2268" w:type="dxa"/>
            <w:tcBorders>
              <w:top w:val="single" w:sz="12" w:space="0" w:color="008000"/>
              <w:bottom w:val="single" w:sz="6" w:space="0" w:color="008000"/>
            </w:tcBorders>
            <w:shd w:val="clear" w:color="auto" w:fill="FFFFFF"/>
          </w:tcPr>
          <w:p w14:paraId="236033F2" w14:textId="77777777" w:rsidR="00ED1D1C" w:rsidRPr="003D20DC" w:rsidRDefault="00ED1D1C" w:rsidP="008F31D8">
            <w:pPr>
              <w:pStyle w:val="CETBodytext"/>
              <w:jc w:val="center"/>
            </w:pPr>
            <w:r w:rsidRPr="003D20DC">
              <w:t>Spherical</w:t>
            </w:r>
          </w:p>
        </w:tc>
        <w:tc>
          <w:tcPr>
            <w:tcW w:w="2268" w:type="dxa"/>
            <w:tcBorders>
              <w:top w:val="single" w:sz="12" w:space="0" w:color="008000"/>
              <w:bottom w:val="single" w:sz="6" w:space="0" w:color="008000"/>
            </w:tcBorders>
            <w:shd w:val="clear" w:color="auto" w:fill="FFFFFF"/>
          </w:tcPr>
          <w:p w14:paraId="3CB58608" w14:textId="77777777" w:rsidR="00ED1D1C" w:rsidRPr="003D20DC" w:rsidRDefault="00ED1D1C" w:rsidP="008F31D8">
            <w:pPr>
              <w:pStyle w:val="CETBodytext"/>
              <w:ind w:right="-1"/>
              <w:jc w:val="center"/>
              <w:rPr>
                <w:rFonts w:cs="Arial"/>
                <w:szCs w:val="18"/>
              </w:rPr>
            </w:pPr>
            <w:r w:rsidRPr="003D20DC">
              <w:rPr>
                <w:rFonts w:cs="Arial"/>
                <w:szCs w:val="18"/>
              </w:rPr>
              <w:t>Cylindrical</w:t>
            </w:r>
          </w:p>
        </w:tc>
      </w:tr>
      <w:tr w:rsidR="00ED1D1C" w:rsidRPr="00CF0F60" w14:paraId="74790FA2" w14:textId="77777777" w:rsidTr="008F31D8">
        <w:tc>
          <w:tcPr>
            <w:tcW w:w="1985" w:type="dxa"/>
            <w:shd w:val="clear" w:color="auto" w:fill="FFFFFF"/>
            <w:vAlign w:val="center"/>
          </w:tcPr>
          <w:p w14:paraId="2F4ECE3D" w14:textId="77777777" w:rsidR="00ED1D1C" w:rsidRPr="003D20DC" w:rsidRDefault="00ED1D1C" w:rsidP="008F31D8">
            <w:pPr>
              <w:pStyle w:val="CETBodytext"/>
              <w:jc w:val="center"/>
            </w:pPr>
            <m:oMathPara>
              <m:oMath>
                <m:r>
                  <w:rPr>
                    <w:rFonts w:ascii="Cambria Math" w:hAnsi="Cambria Math" w:cs="Cambria Math"/>
                  </w:rPr>
                  <m:t>∇</m:t>
                </m:r>
                <m:r>
                  <w:rPr>
                    <w:rFonts w:ascii="Cambria Math"/>
                  </w:rPr>
                  <m:t>f</m:t>
                </m:r>
              </m:oMath>
            </m:oMathPara>
          </w:p>
        </w:tc>
        <w:tc>
          <w:tcPr>
            <w:tcW w:w="2268" w:type="dxa"/>
            <w:shd w:val="clear" w:color="auto" w:fill="FFFFFF"/>
            <w:vAlign w:val="center"/>
          </w:tcPr>
          <w:p w14:paraId="7D4AC83B" w14:textId="77777777" w:rsidR="00ED1D1C" w:rsidRPr="003D20DC" w:rsidRDefault="004F3A0D" w:rsidP="008F31D8">
            <w:pPr>
              <w:pStyle w:val="CETBodytext"/>
              <w:jc w:val="center"/>
            </w:pPr>
            <m:oMathPara>
              <m:oMath>
                <m:f>
                  <m:fPr>
                    <m:ctrlPr>
                      <w:rPr>
                        <w:rFonts w:ascii="Cambria Math" w:hAnsi="Cambria Math"/>
                        <w:i/>
                      </w:rPr>
                    </m:ctrlPr>
                  </m:fPr>
                  <m:num>
                    <m:r>
                      <w:rPr>
                        <w:rFonts w:ascii="Cambria Math"/>
                      </w:rPr>
                      <m:t>∂f</m:t>
                    </m:r>
                  </m:num>
                  <m:den>
                    <m:r>
                      <w:rPr>
                        <w:rFonts w:ascii="Cambria Math"/>
                      </w:rPr>
                      <m:t>∂x</m:t>
                    </m:r>
                  </m:den>
                </m:f>
              </m:oMath>
            </m:oMathPara>
          </w:p>
        </w:tc>
        <w:tc>
          <w:tcPr>
            <w:tcW w:w="2268" w:type="dxa"/>
            <w:shd w:val="clear" w:color="auto" w:fill="FFFFFF"/>
            <w:vAlign w:val="center"/>
          </w:tcPr>
          <w:p w14:paraId="38F089FA" w14:textId="77777777" w:rsidR="00ED1D1C" w:rsidRPr="003D20DC" w:rsidRDefault="004F3A0D" w:rsidP="008F31D8">
            <w:pPr>
              <w:pStyle w:val="CETBodytext"/>
              <w:jc w:val="center"/>
            </w:pPr>
            <m:oMathPara>
              <m:oMath>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r</m:t>
                        </m:r>
                      </m:e>
                      <m:sup>
                        <m:r>
                          <w:rPr>
                            <w:rFonts w:ascii="Cambria Math" w:hAnsi="Cambria Math"/>
                          </w:rPr>
                          <m:t>2</m:t>
                        </m:r>
                      </m:sup>
                    </m:sSup>
                  </m:den>
                </m:f>
                <m:f>
                  <m:fPr>
                    <m:ctrlPr>
                      <w:rPr>
                        <w:rFonts w:ascii="Cambria Math" w:hAnsi="Cambria Math"/>
                        <w:i/>
                      </w:rPr>
                    </m:ctrlPr>
                  </m:fPr>
                  <m:num>
                    <m:r>
                      <w:rPr>
                        <w:rFonts w:ascii="Cambria Math" w:hAnsi="Cambria Math"/>
                      </w:rPr>
                      <m:t>∂</m:t>
                    </m:r>
                  </m:num>
                  <m:den>
                    <m:r>
                      <w:rPr>
                        <w:rFonts w:ascii="Cambria Math" w:hAnsi="Cambria Math"/>
                      </w:rPr>
                      <m:t>∂r</m:t>
                    </m:r>
                  </m:den>
                </m:f>
                <m:d>
                  <m:dPr>
                    <m:ctrlPr>
                      <w:rPr>
                        <w:rFonts w:ascii="Cambria Math" w:hAnsi="Cambria Math"/>
                        <w:i/>
                      </w:rPr>
                    </m:ctrlPr>
                  </m:dPr>
                  <m:e>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f</m:t>
                    </m:r>
                  </m:e>
                </m:d>
                <m:r>
                  <w:rPr>
                    <w:rFonts w:ascii="Cambria Math" w:hAnsi="Cambria Math"/>
                  </w:rPr>
                  <m:t>=</m:t>
                </m:r>
                <m:f>
                  <m:fPr>
                    <m:ctrlPr>
                      <w:rPr>
                        <w:rFonts w:ascii="Cambria Math" w:hAnsi="Cambria Math"/>
                        <w:i/>
                      </w:rPr>
                    </m:ctrlPr>
                  </m:fPr>
                  <m:num>
                    <m:r>
                      <w:rPr>
                        <w:rFonts w:ascii="Cambria Math"/>
                      </w:rPr>
                      <m:t>∂f</m:t>
                    </m:r>
                  </m:num>
                  <m:den>
                    <m:r>
                      <w:rPr>
                        <w:rFonts w:ascii="Cambria Math"/>
                      </w:rPr>
                      <m:t>∂r</m:t>
                    </m:r>
                  </m:den>
                </m:f>
                <m:r>
                  <w:rPr>
                    <w:rFonts w:ascii="Cambria Math"/>
                  </w:rPr>
                  <m:t>+</m:t>
                </m:r>
                <m:f>
                  <m:fPr>
                    <m:ctrlPr>
                      <w:rPr>
                        <w:rFonts w:ascii="Cambria Math" w:hAnsi="Cambria Math"/>
                        <w:i/>
                      </w:rPr>
                    </m:ctrlPr>
                  </m:fPr>
                  <m:num>
                    <m:r>
                      <w:rPr>
                        <w:rFonts w:ascii="Cambria Math"/>
                      </w:rPr>
                      <m:t>2</m:t>
                    </m:r>
                  </m:num>
                  <m:den>
                    <m:r>
                      <w:rPr>
                        <w:rFonts w:ascii="Cambria Math"/>
                      </w:rPr>
                      <m:t>r</m:t>
                    </m:r>
                  </m:den>
                </m:f>
                <m:r>
                  <w:rPr>
                    <w:rFonts w:ascii="Cambria Math" w:hAnsi="Cambria Math"/>
                  </w:rPr>
                  <m:t>f</m:t>
                </m:r>
              </m:oMath>
            </m:oMathPara>
          </w:p>
        </w:tc>
        <w:tc>
          <w:tcPr>
            <w:tcW w:w="2268" w:type="dxa"/>
            <w:shd w:val="clear" w:color="auto" w:fill="FFFFFF"/>
            <w:vAlign w:val="center"/>
          </w:tcPr>
          <w:p w14:paraId="7EEA101C" w14:textId="77777777" w:rsidR="00ED1D1C" w:rsidRPr="003D20DC" w:rsidRDefault="004F3A0D" w:rsidP="008F31D8">
            <w:pPr>
              <w:pStyle w:val="CETBodytext"/>
              <w:ind w:right="-1"/>
              <w:jc w:val="center"/>
              <w:rPr>
                <w:rFonts w:cs="Arial"/>
                <w:szCs w:val="18"/>
              </w:rPr>
            </w:pPr>
            <m:oMathPara>
              <m:oMath>
                <m:f>
                  <m:fPr>
                    <m:ctrlPr>
                      <w:rPr>
                        <w:rFonts w:ascii="Cambria Math" w:hAnsi="Cambria Math"/>
                        <w:i/>
                      </w:rPr>
                    </m:ctrlPr>
                  </m:fPr>
                  <m:num>
                    <m:r>
                      <w:rPr>
                        <w:rFonts w:ascii="Cambria Math" w:hAnsi="Cambria Math"/>
                      </w:rPr>
                      <m:t>1</m:t>
                    </m:r>
                  </m:num>
                  <m:den>
                    <m:r>
                      <w:rPr>
                        <w:rFonts w:ascii="Cambria Math" w:hAnsi="Cambria Math"/>
                      </w:rPr>
                      <m:t>r</m:t>
                    </m:r>
                  </m:den>
                </m:f>
                <m:f>
                  <m:fPr>
                    <m:ctrlPr>
                      <w:rPr>
                        <w:rFonts w:ascii="Cambria Math" w:hAnsi="Cambria Math"/>
                        <w:i/>
                      </w:rPr>
                    </m:ctrlPr>
                  </m:fPr>
                  <m:num>
                    <m:r>
                      <w:rPr>
                        <w:rFonts w:ascii="Cambria Math" w:hAnsi="Cambria Math"/>
                      </w:rPr>
                      <m:t>∂</m:t>
                    </m:r>
                  </m:num>
                  <m:den>
                    <m:r>
                      <w:rPr>
                        <w:rFonts w:ascii="Cambria Math" w:hAnsi="Cambria Math"/>
                      </w:rPr>
                      <m:t>∂r</m:t>
                    </m:r>
                  </m:den>
                </m:f>
                <m:d>
                  <m:dPr>
                    <m:ctrlPr>
                      <w:rPr>
                        <w:rFonts w:ascii="Cambria Math" w:hAnsi="Cambria Math"/>
                        <w:i/>
                      </w:rPr>
                    </m:ctrlPr>
                  </m:dPr>
                  <m:e>
                    <m:r>
                      <w:rPr>
                        <w:rFonts w:ascii="Cambria Math" w:hAnsi="Cambria Math"/>
                      </w:rPr>
                      <m:t>rf</m:t>
                    </m:r>
                  </m:e>
                </m:d>
                <m:r>
                  <w:rPr>
                    <w:rFonts w:ascii="Cambria Math" w:hAnsi="Cambria Math"/>
                  </w:rPr>
                  <m:t>=</m:t>
                </m:r>
                <m:f>
                  <m:fPr>
                    <m:ctrlPr>
                      <w:rPr>
                        <w:rFonts w:ascii="Cambria Math" w:hAnsi="Cambria Math"/>
                        <w:i/>
                      </w:rPr>
                    </m:ctrlPr>
                  </m:fPr>
                  <m:num>
                    <m:r>
                      <w:rPr>
                        <w:rFonts w:ascii="Cambria Math"/>
                      </w:rPr>
                      <m:t>∂f</m:t>
                    </m:r>
                  </m:num>
                  <m:den>
                    <m:r>
                      <w:rPr>
                        <w:rFonts w:ascii="Cambria Math"/>
                      </w:rPr>
                      <m:t>∂r</m:t>
                    </m:r>
                  </m:den>
                </m:f>
                <m:r>
                  <w:rPr>
                    <w:rFonts w:ascii="Cambria Math"/>
                  </w:rPr>
                  <m:t>+</m:t>
                </m:r>
                <m:f>
                  <m:fPr>
                    <m:ctrlPr>
                      <w:rPr>
                        <w:rFonts w:ascii="Cambria Math" w:hAnsi="Cambria Math"/>
                        <w:i/>
                      </w:rPr>
                    </m:ctrlPr>
                  </m:fPr>
                  <m:num>
                    <m:r>
                      <w:rPr>
                        <w:rFonts w:ascii="Cambria Math" w:hAnsi="Cambria Math"/>
                      </w:rPr>
                      <m:t>f</m:t>
                    </m:r>
                  </m:num>
                  <m:den>
                    <m:r>
                      <w:rPr>
                        <w:rFonts w:ascii="Cambria Math"/>
                      </w:rPr>
                      <m:t>r</m:t>
                    </m:r>
                  </m:den>
                </m:f>
              </m:oMath>
            </m:oMathPara>
          </w:p>
        </w:tc>
      </w:tr>
      <w:tr w:rsidR="00ED1D1C" w:rsidRPr="00CF0F60" w14:paraId="1E623A86" w14:textId="77777777" w:rsidTr="008F31D8">
        <w:tc>
          <w:tcPr>
            <w:tcW w:w="1985" w:type="dxa"/>
            <w:shd w:val="clear" w:color="auto" w:fill="FFFFFF"/>
            <w:vAlign w:val="center"/>
          </w:tcPr>
          <w:p w14:paraId="6359B7A8" w14:textId="77777777" w:rsidR="00ED1D1C" w:rsidRPr="003D20DC" w:rsidRDefault="004F3A0D" w:rsidP="008F31D8">
            <w:pPr>
              <w:pStyle w:val="CETBodytext"/>
              <w:ind w:right="-1"/>
              <w:jc w:val="center"/>
              <w:rPr>
                <w:rFonts w:cs="Arial"/>
                <w:szCs w:val="18"/>
              </w:rPr>
            </w:pPr>
            <m:oMathPara>
              <m:oMath>
                <m:sSup>
                  <m:sSupPr>
                    <m:ctrlPr>
                      <w:rPr>
                        <w:rFonts w:ascii="Cambria Math" w:hAnsi="Cambria Math" w:cs="Cambria Math"/>
                        <w:i/>
                      </w:rPr>
                    </m:ctrlPr>
                  </m:sSupPr>
                  <m:e>
                    <m:r>
                      <w:rPr>
                        <w:rFonts w:ascii="Cambria Math" w:hAnsi="Cambria Math" w:cs="Cambria Math"/>
                      </w:rPr>
                      <m:t>∇</m:t>
                    </m:r>
                  </m:e>
                  <m:sup>
                    <m:r>
                      <w:rPr>
                        <w:rFonts w:ascii="Cambria Math" w:hAnsi="Cambria Math" w:cs="Cambria Math"/>
                      </w:rPr>
                      <m:t>2</m:t>
                    </m:r>
                  </m:sup>
                </m:sSup>
                <m:r>
                  <w:rPr>
                    <w:rFonts w:ascii="Cambria Math"/>
                  </w:rPr>
                  <m:t>f</m:t>
                </m:r>
              </m:oMath>
            </m:oMathPara>
          </w:p>
        </w:tc>
        <w:tc>
          <w:tcPr>
            <w:tcW w:w="2268" w:type="dxa"/>
            <w:shd w:val="clear" w:color="auto" w:fill="FFFFFF"/>
            <w:vAlign w:val="center"/>
          </w:tcPr>
          <w:p w14:paraId="03E780FA" w14:textId="77777777" w:rsidR="00ED1D1C" w:rsidRPr="003D20DC" w:rsidRDefault="004F3A0D" w:rsidP="008F31D8">
            <w:pPr>
              <w:pStyle w:val="CETBodytext"/>
              <w:ind w:right="-1"/>
              <w:jc w:val="center"/>
              <w:rPr>
                <w:rFonts w:cs="Arial"/>
                <w:szCs w:val="18"/>
              </w:rPr>
            </w:pPr>
            <m:oMathPara>
              <m:oMath>
                <m:f>
                  <m:fPr>
                    <m:ctrlPr>
                      <w:rPr>
                        <w:rFonts w:ascii="Cambria Math" w:hAnsi="Cambria Math"/>
                        <w:i/>
                      </w:rPr>
                    </m:ctrlPr>
                  </m:fPr>
                  <m:num>
                    <m:sSup>
                      <m:sSupPr>
                        <m:ctrlPr>
                          <w:rPr>
                            <w:rFonts w:ascii="Cambria Math" w:hAnsi="Cambria Math"/>
                            <w:i/>
                          </w:rPr>
                        </m:ctrlPr>
                      </m:sSupPr>
                      <m:e>
                        <m:r>
                          <w:rPr>
                            <w:rFonts w:ascii="Cambria Math"/>
                          </w:rPr>
                          <m:t>∂</m:t>
                        </m:r>
                      </m:e>
                      <m:sup>
                        <m:r>
                          <w:rPr>
                            <w:rFonts w:ascii="Cambria Math"/>
                          </w:rPr>
                          <m:t>2</m:t>
                        </m:r>
                      </m:sup>
                    </m:sSup>
                    <m:r>
                      <w:rPr>
                        <w:rFonts w:ascii="Cambria Math"/>
                      </w:rPr>
                      <m:t>f</m:t>
                    </m:r>
                  </m:num>
                  <m:den>
                    <m:r>
                      <w:rPr>
                        <w:rFonts w:ascii="Cambria Math"/>
                      </w:rPr>
                      <m:t>∂</m:t>
                    </m:r>
                    <m:sSup>
                      <m:sSupPr>
                        <m:ctrlPr>
                          <w:rPr>
                            <w:rFonts w:ascii="Cambria Math" w:hAnsi="Cambria Math"/>
                            <w:i/>
                          </w:rPr>
                        </m:ctrlPr>
                      </m:sSupPr>
                      <m:e>
                        <m:r>
                          <w:rPr>
                            <w:rFonts w:ascii="Cambria Math"/>
                          </w:rPr>
                          <m:t>x</m:t>
                        </m:r>
                      </m:e>
                      <m:sup>
                        <m:r>
                          <w:rPr>
                            <w:rFonts w:ascii="Cambria Math"/>
                          </w:rPr>
                          <m:t>2</m:t>
                        </m:r>
                      </m:sup>
                    </m:sSup>
                  </m:den>
                </m:f>
              </m:oMath>
            </m:oMathPara>
          </w:p>
        </w:tc>
        <w:tc>
          <w:tcPr>
            <w:tcW w:w="2268" w:type="dxa"/>
            <w:shd w:val="clear" w:color="auto" w:fill="FFFFFF"/>
            <w:vAlign w:val="center"/>
          </w:tcPr>
          <w:p w14:paraId="634B9B3C" w14:textId="77777777" w:rsidR="00ED1D1C" w:rsidRPr="003D20DC" w:rsidRDefault="004F3A0D" w:rsidP="008F31D8">
            <w:pPr>
              <w:pStyle w:val="CETBodytext"/>
              <w:ind w:right="-1"/>
              <w:jc w:val="center"/>
              <w:rPr>
                <w:rFonts w:cs="Arial"/>
                <w:szCs w:val="18"/>
              </w:rPr>
            </w:pPr>
            <m:oMathPara>
              <m:oMath>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r</m:t>
                        </m:r>
                      </m:e>
                      <m:sup>
                        <m:r>
                          <w:rPr>
                            <w:rFonts w:ascii="Cambria Math" w:hAnsi="Cambria Math"/>
                          </w:rPr>
                          <m:t>2</m:t>
                        </m:r>
                      </m:sup>
                    </m:sSup>
                  </m:den>
                </m:f>
                <m:f>
                  <m:fPr>
                    <m:ctrlPr>
                      <w:rPr>
                        <w:rFonts w:ascii="Cambria Math" w:hAnsi="Cambria Math"/>
                        <w:i/>
                      </w:rPr>
                    </m:ctrlPr>
                  </m:fPr>
                  <m:num>
                    <m:r>
                      <w:rPr>
                        <w:rFonts w:ascii="Cambria Math" w:hAnsi="Cambria Math"/>
                      </w:rPr>
                      <m:t>∂</m:t>
                    </m:r>
                  </m:num>
                  <m:den>
                    <m:r>
                      <w:rPr>
                        <w:rFonts w:ascii="Cambria Math" w:hAnsi="Cambria Math"/>
                      </w:rPr>
                      <m:t>∂r</m:t>
                    </m:r>
                  </m:den>
                </m:f>
                <m:d>
                  <m:dPr>
                    <m:ctrlPr>
                      <w:rPr>
                        <w:rFonts w:ascii="Cambria Math" w:hAnsi="Cambria Math"/>
                        <w:i/>
                      </w:rPr>
                    </m:ctrlPr>
                  </m:dPr>
                  <m:e>
                    <m:sSup>
                      <m:sSupPr>
                        <m:ctrlPr>
                          <w:rPr>
                            <w:rFonts w:ascii="Cambria Math" w:hAnsi="Cambria Math"/>
                            <w:i/>
                          </w:rPr>
                        </m:ctrlPr>
                      </m:sSupPr>
                      <m:e>
                        <m:r>
                          <w:rPr>
                            <w:rFonts w:ascii="Cambria Math" w:hAnsi="Cambria Math"/>
                          </w:rPr>
                          <m:t>r</m:t>
                        </m:r>
                      </m:e>
                      <m:sup>
                        <m:r>
                          <w:rPr>
                            <w:rFonts w:ascii="Cambria Math" w:hAnsi="Cambria Math"/>
                          </w:rPr>
                          <m:t>2</m:t>
                        </m:r>
                      </m:sup>
                    </m:sSup>
                    <m:f>
                      <m:fPr>
                        <m:ctrlPr>
                          <w:rPr>
                            <w:rFonts w:ascii="Cambria Math" w:hAnsi="Cambria Math"/>
                            <w:i/>
                          </w:rPr>
                        </m:ctrlPr>
                      </m:fPr>
                      <m:num>
                        <m:r>
                          <w:rPr>
                            <w:rFonts w:ascii="Cambria Math" w:hAnsi="Cambria Math"/>
                          </w:rPr>
                          <m:t>∂f</m:t>
                        </m:r>
                      </m:num>
                      <m:den>
                        <m:r>
                          <w:rPr>
                            <w:rFonts w:ascii="Cambria Math" w:hAnsi="Cambria Math"/>
                          </w:rPr>
                          <m:t>∂r</m:t>
                        </m:r>
                      </m:den>
                    </m:f>
                  </m:e>
                </m:d>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rPr>
                          <m:t>∂</m:t>
                        </m:r>
                      </m:e>
                      <m:sup>
                        <m:r>
                          <w:rPr>
                            <w:rFonts w:ascii="Cambria Math"/>
                          </w:rPr>
                          <m:t>2</m:t>
                        </m:r>
                      </m:sup>
                    </m:sSup>
                    <m:r>
                      <w:rPr>
                        <w:rFonts w:ascii="Cambria Math"/>
                      </w:rPr>
                      <m:t>f</m:t>
                    </m:r>
                  </m:num>
                  <m:den>
                    <m:r>
                      <w:rPr>
                        <w:rFonts w:ascii="Cambria Math"/>
                      </w:rPr>
                      <m:t>∂</m:t>
                    </m:r>
                    <m:sSup>
                      <m:sSupPr>
                        <m:ctrlPr>
                          <w:rPr>
                            <w:rFonts w:ascii="Cambria Math" w:hAnsi="Cambria Math"/>
                            <w:i/>
                          </w:rPr>
                        </m:ctrlPr>
                      </m:sSupPr>
                      <m:e>
                        <m:r>
                          <w:rPr>
                            <w:rFonts w:ascii="Cambria Math"/>
                          </w:rPr>
                          <m:t>r</m:t>
                        </m:r>
                      </m:e>
                      <m:sup>
                        <m:r>
                          <w:rPr>
                            <w:rFonts w:ascii="Cambria Math"/>
                          </w:rPr>
                          <m:t>2</m:t>
                        </m:r>
                      </m:sup>
                    </m:sSup>
                  </m:den>
                </m:f>
                <m:r>
                  <w:rPr>
                    <w:rFonts w:ascii="Cambria Math"/>
                  </w:rPr>
                  <m:t>+</m:t>
                </m:r>
                <m:f>
                  <m:fPr>
                    <m:ctrlPr>
                      <w:rPr>
                        <w:rFonts w:ascii="Cambria Math" w:hAnsi="Cambria Math"/>
                        <w:i/>
                      </w:rPr>
                    </m:ctrlPr>
                  </m:fPr>
                  <m:num>
                    <m:r>
                      <w:rPr>
                        <w:rFonts w:ascii="Cambria Math"/>
                      </w:rPr>
                      <m:t>2</m:t>
                    </m:r>
                  </m:num>
                  <m:den>
                    <m:r>
                      <w:rPr>
                        <w:rFonts w:ascii="Cambria Math"/>
                      </w:rPr>
                      <m:t>r</m:t>
                    </m:r>
                  </m:den>
                </m:f>
                <m:f>
                  <m:fPr>
                    <m:ctrlPr>
                      <w:rPr>
                        <w:rFonts w:ascii="Cambria Math" w:hAnsi="Cambria Math"/>
                        <w:i/>
                      </w:rPr>
                    </m:ctrlPr>
                  </m:fPr>
                  <m:num>
                    <m:r>
                      <w:rPr>
                        <w:rFonts w:ascii="Cambria Math" w:hAnsi="Cambria Math"/>
                      </w:rPr>
                      <m:t>∂f</m:t>
                    </m:r>
                  </m:num>
                  <m:den>
                    <m:r>
                      <w:rPr>
                        <w:rFonts w:ascii="Cambria Math" w:hAnsi="Cambria Math"/>
                      </w:rPr>
                      <m:t>∂r</m:t>
                    </m:r>
                  </m:den>
                </m:f>
              </m:oMath>
            </m:oMathPara>
          </w:p>
        </w:tc>
        <w:tc>
          <w:tcPr>
            <w:tcW w:w="2268" w:type="dxa"/>
            <w:shd w:val="clear" w:color="auto" w:fill="FFFFFF"/>
            <w:vAlign w:val="center"/>
          </w:tcPr>
          <w:p w14:paraId="668F3146" w14:textId="77777777" w:rsidR="00ED1D1C" w:rsidRPr="003D20DC" w:rsidRDefault="004F3A0D" w:rsidP="008F31D8">
            <w:pPr>
              <w:pStyle w:val="CETBodytext"/>
              <w:ind w:right="-1"/>
              <w:jc w:val="center"/>
              <w:rPr>
                <w:rFonts w:cs="Arial"/>
                <w:szCs w:val="18"/>
              </w:rPr>
            </w:pPr>
            <m:oMathPara>
              <m:oMath>
                <m:f>
                  <m:fPr>
                    <m:ctrlPr>
                      <w:rPr>
                        <w:rFonts w:ascii="Cambria Math" w:hAnsi="Cambria Math"/>
                        <w:i/>
                      </w:rPr>
                    </m:ctrlPr>
                  </m:fPr>
                  <m:num>
                    <m:r>
                      <w:rPr>
                        <w:rFonts w:ascii="Cambria Math" w:hAnsi="Cambria Math"/>
                      </w:rPr>
                      <m:t>1</m:t>
                    </m:r>
                  </m:num>
                  <m:den>
                    <m:r>
                      <w:rPr>
                        <w:rFonts w:ascii="Cambria Math" w:hAnsi="Cambria Math"/>
                      </w:rPr>
                      <m:t>r</m:t>
                    </m:r>
                  </m:den>
                </m:f>
                <m:f>
                  <m:fPr>
                    <m:ctrlPr>
                      <w:rPr>
                        <w:rFonts w:ascii="Cambria Math" w:hAnsi="Cambria Math"/>
                        <w:i/>
                      </w:rPr>
                    </m:ctrlPr>
                  </m:fPr>
                  <m:num>
                    <m:r>
                      <w:rPr>
                        <w:rFonts w:ascii="Cambria Math" w:hAnsi="Cambria Math"/>
                      </w:rPr>
                      <m:t>∂</m:t>
                    </m:r>
                  </m:num>
                  <m:den>
                    <m:r>
                      <w:rPr>
                        <w:rFonts w:ascii="Cambria Math" w:hAnsi="Cambria Math"/>
                      </w:rPr>
                      <m:t>∂r</m:t>
                    </m:r>
                  </m:den>
                </m:f>
                <m:d>
                  <m:dPr>
                    <m:ctrlPr>
                      <w:rPr>
                        <w:rFonts w:ascii="Cambria Math" w:hAnsi="Cambria Math"/>
                        <w:i/>
                      </w:rPr>
                    </m:ctrlPr>
                  </m:dPr>
                  <m:e>
                    <m:r>
                      <w:rPr>
                        <w:rFonts w:ascii="Cambria Math" w:hAnsi="Cambria Math"/>
                      </w:rPr>
                      <m:t>r</m:t>
                    </m:r>
                    <m:f>
                      <m:fPr>
                        <m:ctrlPr>
                          <w:rPr>
                            <w:rFonts w:ascii="Cambria Math" w:hAnsi="Cambria Math"/>
                            <w:i/>
                          </w:rPr>
                        </m:ctrlPr>
                      </m:fPr>
                      <m:num>
                        <m:r>
                          <w:rPr>
                            <w:rFonts w:ascii="Cambria Math" w:hAnsi="Cambria Math"/>
                          </w:rPr>
                          <m:t>∂f</m:t>
                        </m:r>
                      </m:num>
                      <m:den>
                        <m:r>
                          <w:rPr>
                            <w:rFonts w:ascii="Cambria Math" w:hAnsi="Cambria Math"/>
                          </w:rPr>
                          <m:t>∂r</m:t>
                        </m:r>
                      </m:den>
                    </m:f>
                  </m:e>
                </m:d>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rPr>
                          <m:t>∂</m:t>
                        </m:r>
                      </m:e>
                      <m:sup>
                        <m:r>
                          <w:rPr>
                            <w:rFonts w:ascii="Cambria Math"/>
                          </w:rPr>
                          <m:t>2</m:t>
                        </m:r>
                      </m:sup>
                    </m:sSup>
                    <m:r>
                      <w:rPr>
                        <w:rFonts w:ascii="Cambria Math"/>
                      </w:rPr>
                      <m:t>f</m:t>
                    </m:r>
                  </m:num>
                  <m:den>
                    <m:r>
                      <w:rPr>
                        <w:rFonts w:ascii="Cambria Math"/>
                      </w:rPr>
                      <m:t>∂</m:t>
                    </m:r>
                    <m:sSup>
                      <m:sSupPr>
                        <m:ctrlPr>
                          <w:rPr>
                            <w:rFonts w:ascii="Cambria Math" w:hAnsi="Cambria Math"/>
                            <w:i/>
                          </w:rPr>
                        </m:ctrlPr>
                      </m:sSupPr>
                      <m:e>
                        <m:r>
                          <w:rPr>
                            <w:rFonts w:ascii="Cambria Math"/>
                          </w:rPr>
                          <m:t>r</m:t>
                        </m:r>
                      </m:e>
                      <m:sup>
                        <m:r>
                          <w:rPr>
                            <w:rFonts w:ascii="Cambria Math"/>
                          </w:rPr>
                          <m:t>2</m:t>
                        </m:r>
                      </m:sup>
                    </m:sSup>
                  </m:den>
                </m:f>
                <m:r>
                  <w:rPr>
                    <w:rFonts w:ascii="Cambria Math"/>
                  </w:rPr>
                  <m:t>+</m:t>
                </m:r>
                <m:f>
                  <m:fPr>
                    <m:ctrlPr>
                      <w:rPr>
                        <w:rFonts w:ascii="Cambria Math" w:hAnsi="Cambria Math"/>
                        <w:i/>
                      </w:rPr>
                    </m:ctrlPr>
                  </m:fPr>
                  <m:num>
                    <m:r>
                      <w:rPr>
                        <w:rFonts w:ascii="Cambria Math"/>
                      </w:rPr>
                      <m:t>1</m:t>
                    </m:r>
                  </m:num>
                  <m:den>
                    <m:r>
                      <w:rPr>
                        <w:rFonts w:ascii="Cambria Math"/>
                      </w:rPr>
                      <m:t>r</m:t>
                    </m:r>
                  </m:den>
                </m:f>
                <m:f>
                  <m:fPr>
                    <m:ctrlPr>
                      <w:rPr>
                        <w:rFonts w:ascii="Cambria Math" w:hAnsi="Cambria Math"/>
                        <w:i/>
                      </w:rPr>
                    </m:ctrlPr>
                  </m:fPr>
                  <m:num>
                    <m:r>
                      <w:rPr>
                        <w:rFonts w:ascii="Cambria Math" w:hAnsi="Cambria Math"/>
                      </w:rPr>
                      <m:t>∂f</m:t>
                    </m:r>
                  </m:num>
                  <m:den>
                    <m:r>
                      <w:rPr>
                        <w:rFonts w:ascii="Cambria Math" w:hAnsi="Cambria Math"/>
                      </w:rPr>
                      <m:t>∂r</m:t>
                    </m:r>
                  </m:den>
                </m:f>
              </m:oMath>
            </m:oMathPara>
          </w:p>
        </w:tc>
      </w:tr>
    </w:tbl>
    <w:p w14:paraId="1278D244" w14:textId="77777777" w:rsidR="00E64359" w:rsidRPr="003D20DC" w:rsidRDefault="00E64359" w:rsidP="003D20DC">
      <w:pPr>
        <w:pStyle w:val="CETBodytext"/>
        <w:spacing w:before="240"/>
      </w:pPr>
    </w:p>
    <w:p w14:paraId="0ED5E52C" w14:textId="7EE7BA73" w:rsidR="00ED1D1C" w:rsidRPr="003D20DC" w:rsidRDefault="00ED1D1C" w:rsidP="00ED1D1C">
      <w:pPr>
        <w:pStyle w:val="CETBodytext"/>
      </w:pPr>
      <w:r w:rsidRPr="003D20DC">
        <w:lastRenderedPageBreak/>
        <w:t>Therefore, the same mathematical model discussed elsewhere (Copelli et al.</w:t>
      </w:r>
      <w:r w:rsidR="00474FC2">
        <w:t>,</w:t>
      </w:r>
      <w:r w:rsidRPr="003D20DC">
        <w:t xml:space="preserve"> 2019</w:t>
      </w:r>
      <w:r w:rsidR="00364FC3">
        <w:t>,</w:t>
      </w:r>
      <w:r w:rsidRPr="003D20DC">
        <w:t xml:space="preserve"> to which the reader is referred to for all the details) </w:t>
      </w:r>
      <w:r w:rsidR="00364FC3">
        <w:t>was</w:t>
      </w:r>
      <w:r w:rsidRPr="003D20DC">
        <w:t xml:space="preserve"> properly modified in the mathematical operators from spherical to cylindrical coordinates to investigate the effect of changing the fiber length and diameter on the explosion severity </w:t>
      </w:r>
      <w:r w:rsidR="00364FC3">
        <w:t>(</w:t>
      </w:r>
      <w:r w:rsidRPr="003D20DC">
        <w:t xml:space="preserve">summarized in the </w:t>
      </w:r>
      <w:proofErr w:type="spellStart"/>
      <w:r w:rsidRPr="003D20DC">
        <w:t>K</w:t>
      </w:r>
      <w:r w:rsidRPr="003D20DC">
        <w:rPr>
          <w:vertAlign w:val="subscript"/>
        </w:rPr>
        <w:t>st</w:t>
      </w:r>
      <w:proofErr w:type="spellEnd"/>
      <w:r w:rsidRPr="003D20DC">
        <w:t xml:space="preserve"> value</w:t>
      </w:r>
      <w:r w:rsidR="00364FC3">
        <w:t>)</w:t>
      </w:r>
      <w:r w:rsidRPr="003D20DC">
        <w:t>.</w:t>
      </w:r>
      <w:r w:rsidR="00E64359">
        <w:t xml:space="preserve"> </w:t>
      </w:r>
      <w:r w:rsidRPr="003D20DC">
        <w:t xml:space="preserve">It should be mentioned that the length of the fibers can strongly influence the dispersibility of the fibers in air, therefore influencing indirectly the explosion severity. This peculiar aspect cannot be accounted for by the mathematical model used to predict the </w:t>
      </w:r>
      <w:proofErr w:type="spellStart"/>
      <w:r w:rsidRPr="003D20DC">
        <w:t>K</w:t>
      </w:r>
      <w:r w:rsidRPr="003D20DC">
        <w:rPr>
          <w:vertAlign w:val="subscript"/>
        </w:rPr>
        <w:t>st</w:t>
      </w:r>
      <w:proofErr w:type="spellEnd"/>
      <w:r w:rsidRPr="003D20DC">
        <w:t xml:space="preserve"> value and</w:t>
      </w:r>
      <w:r w:rsidR="00364FC3">
        <w:t>,</w:t>
      </w:r>
      <w:r w:rsidRPr="003D20DC">
        <w:t xml:space="preserve"> consequently</w:t>
      </w:r>
      <w:r w:rsidR="00364FC3">
        <w:t>,</w:t>
      </w:r>
      <w:r w:rsidRPr="003D20DC">
        <w:t xml:space="preserve"> it was not investigated in the present work.</w:t>
      </w:r>
    </w:p>
    <w:p w14:paraId="3EC58AB2" w14:textId="1DE2C188" w:rsidR="00ED1D1C" w:rsidRPr="003D20DC" w:rsidRDefault="00ED1D1C" w:rsidP="0050164E">
      <w:pPr>
        <w:pStyle w:val="CETHeading1"/>
        <w:numPr>
          <w:ilvl w:val="0"/>
          <w:numId w:val="23"/>
        </w:numPr>
      </w:pPr>
      <w:r w:rsidRPr="003D20DC">
        <w:t>Results and discussion</w:t>
      </w:r>
    </w:p>
    <w:p w14:paraId="3B66B3F8" w14:textId="25C01AC2" w:rsidR="00ED1D1C" w:rsidRPr="003D20DC" w:rsidRDefault="00ED1D1C" w:rsidP="00ED1D1C">
      <w:pPr>
        <w:pStyle w:val="CETBodytext"/>
      </w:pPr>
      <w:r w:rsidRPr="003D20DC">
        <w:t>The qualitative effect of changing the fiber diameter was investigated considering a typical organic fiber</w:t>
      </w:r>
      <w:r w:rsidR="005B249B">
        <w:t xml:space="preserve"> </w:t>
      </w:r>
      <w:r w:rsidR="004460AD">
        <w:t>(in this work corn starch was considered</w:t>
      </w:r>
      <w:r w:rsidR="00A146BB">
        <w:t xml:space="preserve">, see </w:t>
      </w:r>
      <w:r w:rsidR="00154FE4">
        <w:t xml:space="preserve">Table 1 in </w:t>
      </w:r>
      <w:r w:rsidR="00A146BB">
        <w:t>Copelli et al. 2019 for all the main parameters</w:t>
      </w:r>
      <w:r w:rsidR="00154FE4">
        <w:t xml:space="preserve"> values</w:t>
      </w:r>
      <w:r w:rsidR="004460AD">
        <w:t xml:space="preserve">) </w:t>
      </w:r>
      <w:r w:rsidRPr="003D20DC">
        <w:t xml:space="preserve">with </w:t>
      </w:r>
      <w:r w:rsidR="003A6E86">
        <w:t>250</w:t>
      </w:r>
      <w:r w:rsidR="003A6E86" w:rsidRPr="003D20DC">
        <w:t xml:space="preserve"> </w:t>
      </w:r>
      <w:proofErr w:type="spellStart"/>
      <w:r w:rsidRPr="003D20DC">
        <w:rPr>
          <w:rFonts w:cs="Arial"/>
        </w:rPr>
        <w:t>μ</w:t>
      </w:r>
      <w:r w:rsidRPr="003D20DC">
        <w:t>m</w:t>
      </w:r>
      <w:proofErr w:type="spellEnd"/>
      <w:r w:rsidRPr="003D20DC">
        <w:t xml:space="preserve"> length</w:t>
      </w:r>
      <w:r w:rsidR="00297E43">
        <w:t xml:space="preserve">, </w:t>
      </w:r>
      <w:r w:rsidRPr="003D20DC">
        <w:t xml:space="preserve">where the computed </w:t>
      </w:r>
      <w:proofErr w:type="spellStart"/>
      <w:r w:rsidRPr="003D20DC">
        <w:t>K</w:t>
      </w:r>
      <w:r w:rsidRPr="003D20DC">
        <w:rPr>
          <w:vertAlign w:val="subscript"/>
        </w:rPr>
        <w:t>st</w:t>
      </w:r>
      <w:proofErr w:type="spellEnd"/>
      <w:r w:rsidRPr="003D20DC">
        <w:t xml:space="preserve"> values were made dimensionless with respect to the minimum value computed. </w:t>
      </w:r>
      <w:r w:rsidR="00573154">
        <w:t>Results are reported in Figure 2</w:t>
      </w:r>
      <w:r w:rsidR="002C6BF4">
        <w:t>.</w:t>
      </w:r>
      <w:r w:rsidR="00573154">
        <w:t xml:space="preserve"> </w:t>
      </w:r>
      <w:r w:rsidRPr="003D20DC">
        <w:t>We can see that below a threshold diameter value</w:t>
      </w:r>
      <w:r w:rsidR="00D55FFE">
        <w:t xml:space="preserve"> (in this case 50 </w:t>
      </w:r>
      <w:proofErr w:type="spellStart"/>
      <w:r w:rsidR="00D55FFE" w:rsidRPr="00C658F8">
        <w:rPr>
          <w:rFonts w:cs="Arial"/>
        </w:rPr>
        <w:t>μ</w:t>
      </w:r>
      <w:r w:rsidR="00D55FFE" w:rsidRPr="00C658F8">
        <w:t>m</w:t>
      </w:r>
      <w:proofErr w:type="spellEnd"/>
      <w:r w:rsidR="00D55FFE">
        <w:t>)</w:t>
      </w:r>
      <w:r w:rsidRPr="003D20DC">
        <w:t xml:space="preserve">, the computed </w:t>
      </w:r>
      <w:proofErr w:type="spellStart"/>
      <w:r w:rsidRPr="003D20DC">
        <w:t>K</w:t>
      </w:r>
      <w:r w:rsidRPr="003D20DC">
        <w:rPr>
          <w:vertAlign w:val="subscript"/>
        </w:rPr>
        <w:t>st</w:t>
      </w:r>
      <w:proofErr w:type="spellEnd"/>
      <w:r w:rsidRPr="003D20DC">
        <w:t xml:space="preserve"> sharply increased up to several time the asymptotic value reached by increasing the fiber diameter</w:t>
      </w:r>
      <w:r w:rsidR="005D6485">
        <w:t xml:space="preserve"> (that is, 1)</w:t>
      </w:r>
      <w:r w:rsidRPr="003D20DC">
        <w:t>.</w:t>
      </w:r>
    </w:p>
    <w:p w14:paraId="692A606E" w14:textId="4D1E8E70" w:rsidR="00ED1D1C" w:rsidRPr="003D20DC" w:rsidRDefault="00D55FFE" w:rsidP="003D20DC">
      <w:pPr>
        <w:pStyle w:val="CETBodytext"/>
        <w:jc w:val="center"/>
      </w:pPr>
      <w:r>
        <w:rPr>
          <w:noProof/>
        </w:rPr>
        <w:drawing>
          <wp:inline distT="0" distB="0" distL="0" distR="0" wp14:anchorId="284B3575" wp14:editId="3601C5B3">
            <wp:extent cx="3364217" cy="2523066"/>
            <wp:effectExtent l="0" t="0" r="8255" b="0"/>
            <wp:docPr id="993425517" name="Immagine 4" descr="Immagine che contiene testo, Diagramma, diagramma,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425517" name="Immagine 4" descr="Immagine che contiene testo, Diagramma, diagramma, linea&#10;&#10;Descrizione generata automaticamente"/>
                    <pic:cNvPicPr/>
                  </pic:nvPicPr>
                  <pic:blipFill>
                    <a:blip r:embed="rId11"/>
                    <a:stretch>
                      <a:fillRect/>
                    </a:stretch>
                  </pic:blipFill>
                  <pic:spPr>
                    <a:xfrm>
                      <a:off x="0" y="0"/>
                      <a:ext cx="3372397" cy="2529200"/>
                    </a:xfrm>
                    <a:prstGeom prst="rect">
                      <a:avLst/>
                    </a:prstGeom>
                  </pic:spPr>
                </pic:pic>
              </a:graphicData>
            </a:graphic>
          </wp:inline>
        </w:drawing>
      </w:r>
    </w:p>
    <w:p w14:paraId="4BB63E36" w14:textId="7DF86294" w:rsidR="00ED1D1C" w:rsidRDefault="00ED1D1C" w:rsidP="00CC255D">
      <w:pPr>
        <w:pStyle w:val="CETCaption"/>
        <w:rPr>
          <w:rStyle w:val="CETCaptionCarattere"/>
          <w:i/>
          <w:lang w:val="en-US"/>
        </w:rPr>
      </w:pPr>
      <w:r w:rsidRPr="003D20DC">
        <w:rPr>
          <w:rStyle w:val="CETCaptionCarattere"/>
          <w:i/>
          <w:lang w:val="en-US"/>
        </w:rPr>
        <w:t xml:space="preserve">Figure 2: </w:t>
      </w:r>
      <w:r w:rsidRPr="00741D62">
        <w:t>Qualitative effect of changing the fiber diameter</w:t>
      </w:r>
      <w:r w:rsidR="00545CB3" w:rsidRPr="00741D62">
        <w:t xml:space="preserve"> while keeping constant the </w:t>
      </w:r>
      <w:proofErr w:type="spellStart"/>
      <w:r w:rsidR="00545CB3" w:rsidRPr="00741D62">
        <w:t>fiber</w:t>
      </w:r>
      <w:proofErr w:type="spellEnd"/>
      <w:r w:rsidR="00545CB3" w:rsidRPr="00741D62">
        <w:t xml:space="preserve"> length at </w:t>
      </w:r>
      <w:r w:rsidR="00D73216">
        <w:t>25</w:t>
      </w:r>
      <w:r w:rsidR="00D73216" w:rsidRPr="00741D62">
        <w:t xml:space="preserve">0 </w:t>
      </w:r>
      <w:r w:rsidR="00545CB3" w:rsidRPr="00741D62">
        <w:rPr>
          <w:rFonts w:cs="Arial"/>
        </w:rPr>
        <w:t>µ</w:t>
      </w:r>
      <w:r w:rsidR="00545CB3" w:rsidRPr="00741D62">
        <w:t>m</w:t>
      </w:r>
      <w:r w:rsidR="00CC255D" w:rsidRPr="00C658F8">
        <w:rPr>
          <w:rStyle w:val="CETCaptionCarattere"/>
          <w:i/>
          <w:lang w:val="en-US"/>
        </w:rPr>
        <w:t>.</w:t>
      </w:r>
    </w:p>
    <w:p w14:paraId="6DC50734" w14:textId="1FDD966D" w:rsidR="005D6485" w:rsidRPr="00C658F8" w:rsidRDefault="005D6485" w:rsidP="005D6485">
      <w:pPr>
        <w:pStyle w:val="CETBodytext"/>
      </w:pPr>
      <w:r w:rsidRPr="00C658F8">
        <w:t xml:space="preserve">However, as expected, a different behavior was found when changing the fiber length for a typical organic fiber with 25 </w:t>
      </w:r>
      <w:proofErr w:type="spellStart"/>
      <w:r w:rsidRPr="00C658F8">
        <w:rPr>
          <w:rFonts w:cs="Arial"/>
        </w:rPr>
        <w:t>μ</w:t>
      </w:r>
      <w:r w:rsidRPr="00C658F8">
        <w:t>m</w:t>
      </w:r>
      <w:proofErr w:type="spellEnd"/>
      <w:r w:rsidRPr="00C658F8">
        <w:t xml:space="preserve"> diameter, as summarized in Figure 3. In this case the computed </w:t>
      </w:r>
      <w:proofErr w:type="spellStart"/>
      <w:r w:rsidRPr="00C658F8">
        <w:t>K</w:t>
      </w:r>
      <w:r w:rsidRPr="00C658F8">
        <w:rPr>
          <w:vertAlign w:val="subscript"/>
        </w:rPr>
        <w:t>st</w:t>
      </w:r>
      <w:proofErr w:type="spellEnd"/>
      <w:r w:rsidRPr="00C658F8">
        <w:t xml:space="preserve"> </w:t>
      </w:r>
      <w:r w:rsidR="00152738">
        <w:t xml:space="preserve">value </w:t>
      </w:r>
      <w:r w:rsidR="00E64359">
        <w:t>are</w:t>
      </w:r>
      <w:r w:rsidRPr="00C658F8">
        <w:t xml:space="preserve"> almost insensitive to changes in the fiber length value.</w:t>
      </w:r>
      <w:r w:rsidR="00E64359">
        <w:t xml:space="preserve"> </w:t>
      </w:r>
    </w:p>
    <w:p w14:paraId="297D80E6" w14:textId="18B82AE8" w:rsidR="00ED1D1C" w:rsidRPr="003D20DC" w:rsidRDefault="00E64359" w:rsidP="00ED1D1C">
      <w:pPr>
        <w:pStyle w:val="CETBodytext"/>
        <w:jc w:val="center"/>
      </w:pPr>
      <w:r>
        <w:rPr>
          <w:noProof/>
        </w:rPr>
        <w:drawing>
          <wp:inline distT="0" distB="0" distL="0" distR="0" wp14:anchorId="7005E67E" wp14:editId="28164C41">
            <wp:extent cx="3317664" cy="2488154"/>
            <wp:effectExtent l="0" t="0" r="0" b="7620"/>
            <wp:docPr id="1086906330" name="Immagine 6" descr="Immagine che contiene testo, schermat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906330" name="Immagine 6" descr="Immagine che contiene testo, schermata, linea, diagramma&#10;&#10;Descrizione generata automaticamente"/>
                    <pic:cNvPicPr/>
                  </pic:nvPicPr>
                  <pic:blipFill>
                    <a:blip r:embed="rId12"/>
                    <a:stretch>
                      <a:fillRect/>
                    </a:stretch>
                  </pic:blipFill>
                  <pic:spPr>
                    <a:xfrm>
                      <a:off x="0" y="0"/>
                      <a:ext cx="3324748" cy="2493467"/>
                    </a:xfrm>
                    <a:prstGeom prst="rect">
                      <a:avLst/>
                    </a:prstGeom>
                  </pic:spPr>
                </pic:pic>
              </a:graphicData>
            </a:graphic>
          </wp:inline>
        </w:drawing>
      </w:r>
    </w:p>
    <w:p w14:paraId="4EC6C4E1" w14:textId="425CE8AC" w:rsidR="00ED1D1C" w:rsidRPr="003D20DC" w:rsidRDefault="00ED1D1C" w:rsidP="00ED1D1C">
      <w:pPr>
        <w:pStyle w:val="CETCaption"/>
        <w:rPr>
          <w:lang w:val="en-US"/>
        </w:rPr>
      </w:pPr>
      <w:r w:rsidRPr="003D20DC">
        <w:rPr>
          <w:rStyle w:val="CETCaptionCarattere"/>
          <w:i/>
          <w:lang w:val="en-US"/>
        </w:rPr>
        <w:t xml:space="preserve">Figure 3: </w:t>
      </w:r>
      <w:r w:rsidRPr="003D20DC">
        <w:rPr>
          <w:lang w:val="en-US"/>
        </w:rPr>
        <w:t>Qualitative effect of changing the fiber length</w:t>
      </w:r>
      <w:r w:rsidR="00545CB3" w:rsidRPr="003D20DC">
        <w:rPr>
          <w:lang w:val="en-US"/>
        </w:rPr>
        <w:t xml:space="preserve"> while keeping constant the fiber diameter at 25 </w:t>
      </w:r>
      <w:r w:rsidR="00545CB3" w:rsidRPr="003D20DC">
        <w:rPr>
          <w:rFonts w:cs="Arial"/>
          <w:lang w:val="en-US"/>
        </w:rPr>
        <w:t>µ</w:t>
      </w:r>
      <w:r w:rsidR="00545CB3" w:rsidRPr="003D20DC">
        <w:rPr>
          <w:lang w:val="en-US"/>
        </w:rPr>
        <w:t>m</w:t>
      </w:r>
      <w:r w:rsidRPr="003D20DC">
        <w:rPr>
          <w:rStyle w:val="CETCaptionCarattere"/>
          <w:i/>
          <w:lang w:val="en-US"/>
        </w:rPr>
        <w:t>.</w:t>
      </w:r>
    </w:p>
    <w:p w14:paraId="3A7BD6F6" w14:textId="0687CA19" w:rsidR="00ED1D1C" w:rsidRDefault="00ED1D1C" w:rsidP="00ED1D1C">
      <w:pPr>
        <w:pStyle w:val="CETBodytext"/>
      </w:pPr>
      <w:r w:rsidRPr="003D20DC">
        <w:lastRenderedPageBreak/>
        <w:t xml:space="preserve">The differences in the </w:t>
      </w:r>
      <w:proofErr w:type="spellStart"/>
      <w:r w:rsidRPr="003D20DC">
        <w:t>K</w:t>
      </w:r>
      <w:r w:rsidRPr="003D20DC">
        <w:rPr>
          <w:vertAlign w:val="subscript"/>
        </w:rPr>
        <w:t>st</w:t>
      </w:r>
      <w:proofErr w:type="spellEnd"/>
      <w:r w:rsidRPr="003D20DC">
        <w:t xml:space="preserve"> values computed accounting or not for the cylindrical geometry of the fiber is summarized in Figure 4</w:t>
      </w:r>
      <w:r w:rsidR="001E5F64">
        <w:t>,</w:t>
      </w:r>
      <w:r w:rsidRPr="003D20DC">
        <w:t xml:space="preserve"> as a function of the fiber diameter</w:t>
      </w:r>
      <w:r w:rsidR="001E5F64">
        <w:t>,</w:t>
      </w:r>
      <w:r w:rsidRPr="003D20DC">
        <w:t xml:space="preserve"> and in Figure 5</w:t>
      </w:r>
      <w:r w:rsidR="008C4C35">
        <w:t>,</w:t>
      </w:r>
      <w:r w:rsidRPr="003D20DC">
        <w:t xml:space="preserve"> as a function of the fiber length. These figures report the ratio of the </w:t>
      </w:r>
      <w:proofErr w:type="spellStart"/>
      <w:r w:rsidRPr="003D20DC">
        <w:t>K</w:t>
      </w:r>
      <w:r w:rsidRPr="003D20DC">
        <w:rPr>
          <w:vertAlign w:val="subscript"/>
        </w:rPr>
        <w:t>st</w:t>
      </w:r>
      <w:proofErr w:type="spellEnd"/>
      <w:r w:rsidRPr="003D20DC">
        <w:t xml:space="preserve"> values computed representing the fiber as a cylinder to those computed representing the fiber as an equivalent sphere with the cross-sectional area equal to that of the cylindrical fiber (as reported in the work of Russo et al., 2013).</w:t>
      </w:r>
      <w:r w:rsidR="008C4C35">
        <w:t xml:space="preserve"> Particularly, the equivalent </w:t>
      </w:r>
      <w:r w:rsidR="008D6843">
        <w:t>sphere diameter (</w:t>
      </w:r>
      <m:oMath>
        <m:sSub>
          <m:sSubPr>
            <m:ctrlPr>
              <w:rPr>
                <w:rFonts w:ascii="Cambria Math" w:hAnsi="Cambria Math"/>
                <w:i/>
              </w:rPr>
            </m:ctrlPr>
          </m:sSubPr>
          <m:e>
            <m:r>
              <w:rPr>
                <w:rFonts w:ascii="Cambria Math" w:hAnsi="Cambria Math"/>
              </w:rPr>
              <m:t>D</m:t>
            </m:r>
          </m:e>
          <m:sub>
            <m:r>
              <w:rPr>
                <w:rFonts w:ascii="Cambria Math" w:hAnsi="Cambria Math"/>
              </w:rPr>
              <m:t>eq</m:t>
            </m:r>
          </m:sub>
        </m:sSub>
      </m:oMath>
      <w:r w:rsidR="008D6843">
        <w:t>) was calculated using Eq. (4).</w:t>
      </w:r>
    </w:p>
    <w:tbl>
      <w:tblPr>
        <w:tblW w:w="5000" w:type="pct"/>
        <w:tblLook w:val="04A0" w:firstRow="1" w:lastRow="0" w:firstColumn="1" w:lastColumn="0" w:noHBand="0" w:noVBand="1"/>
      </w:tblPr>
      <w:tblGrid>
        <w:gridCol w:w="8188"/>
        <w:gridCol w:w="815"/>
      </w:tblGrid>
      <w:tr w:rsidR="008D6843" w:rsidRPr="00B57B36" w14:paraId="337286A1" w14:textId="77777777" w:rsidTr="00C658F8">
        <w:tc>
          <w:tcPr>
            <w:tcW w:w="8188" w:type="dxa"/>
            <w:shd w:val="clear" w:color="auto" w:fill="auto"/>
            <w:vAlign w:val="center"/>
          </w:tcPr>
          <w:p w14:paraId="531F41B3" w14:textId="5818AC86" w:rsidR="008D6843" w:rsidRPr="0081687D" w:rsidRDefault="004F3A0D" w:rsidP="00C658F8">
            <w:pPr>
              <w:pStyle w:val="CETEquation"/>
            </w:pPr>
            <m:oMathPara>
              <m:oMathParaPr>
                <m:jc m:val="left"/>
              </m:oMathParaPr>
              <m:oMath>
                <m:sSub>
                  <m:sSubPr>
                    <m:ctrlPr>
                      <w:rPr>
                        <w:rFonts w:ascii="Cambria Math" w:hAnsi="Cambria Math"/>
                        <w:i/>
                      </w:rPr>
                    </m:ctrlPr>
                  </m:sSubPr>
                  <m:e>
                    <m:r>
                      <w:rPr>
                        <w:rFonts w:ascii="Cambria Math" w:hAnsi="Cambria Math"/>
                      </w:rPr>
                      <m:t>D</m:t>
                    </m:r>
                  </m:e>
                  <m:sub>
                    <m:r>
                      <w:rPr>
                        <w:rFonts w:ascii="Cambria Math" w:hAnsi="Cambria Math"/>
                      </w:rPr>
                      <m:t>eq</m:t>
                    </m:r>
                  </m:sub>
                </m:sSub>
                <m:r>
                  <w:rPr>
                    <w:rFonts w:ascii="Cambria Math" w:hAnsi="Cambria Math"/>
                  </w:rPr>
                  <m:t>=2∙</m:t>
                </m:r>
                <m:rad>
                  <m:radPr>
                    <m:degHide m:val="1"/>
                    <m:ctrlPr>
                      <w:rPr>
                        <w:rFonts w:ascii="Cambria Math" w:hAnsi="Cambria Math"/>
                        <w:i/>
                      </w:rPr>
                    </m:ctrlPr>
                  </m:radPr>
                  <m:deg/>
                  <m:e>
                    <m:r>
                      <w:rPr>
                        <w:rFonts w:ascii="Cambria Math" w:hAnsi="Cambria Math"/>
                      </w:rPr>
                      <m:t>D∙</m:t>
                    </m:r>
                    <m:f>
                      <m:fPr>
                        <m:ctrlPr>
                          <w:rPr>
                            <w:rFonts w:ascii="Cambria Math" w:hAnsi="Cambria Math"/>
                            <w:i/>
                          </w:rPr>
                        </m:ctrlPr>
                      </m:fPr>
                      <m:num>
                        <m:r>
                          <w:rPr>
                            <w:rFonts w:ascii="Cambria Math" w:hAnsi="Cambria Math"/>
                          </w:rPr>
                          <m:t>L</m:t>
                        </m:r>
                      </m:num>
                      <m:den>
                        <m:r>
                          <w:rPr>
                            <w:rFonts w:ascii="Cambria Math" w:hAnsi="Cambria Math"/>
                          </w:rPr>
                          <m:t>π</m:t>
                        </m:r>
                      </m:den>
                    </m:f>
                  </m:e>
                </m:rad>
              </m:oMath>
            </m:oMathPara>
          </w:p>
        </w:tc>
        <w:tc>
          <w:tcPr>
            <w:tcW w:w="815" w:type="dxa"/>
            <w:shd w:val="clear" w:color="auto" w:fill="auto"/>
            <w:vAlign w:val="center"/>
          </w:tcPr>
          <w:p w14:paraId="712855DA" w14:textId="7CFFAF73" w:rsidR="008D6843" w:rsidRPr="00B57B36" w:rsidRDefault="008D6843" w:rsidP="00C658F8">
            <w:pPr>
              <w:pStyle w:val="CETEquation"/>
              <w:jc w:val="right"/>
            </w:pPr>
            <w:r w:rsidRPr="00B57B36">
              <w:t>(</w:t>
            </w:r>
            <w:r>
              <w:t>4</w:t>
            </w:r>
            <w:r w:rsidRPr="00B57B36">
              <w:t>)</w:t>
            </w:r>
          </w:p>
        </w:tc>
      </w:tr>
    </w:tbl>
    <w:p w14:paraId="44C80E87" w14:textId="1E8DE676" w:rsidR="00EB13A2" w:rsidRPr="003D20DC" w:rsidRDefault="003F36A0" w:rsidP="00ED1D1C">
      <w:pPr>
        <w:pStyle w:val="CETBodytext"/>
      </w:pPr>
      <w:r>
        <w:t xml:space="preserve">where </w:t>
      </w:r>
      <w:r w:rsidRPr="003D20DC">
        <w:rPr>
          <w:i/>
          <w:iCs/>
        </w:rPr>
        <w:t>D</w:t>
      </w:r>
      <w:r>
        <w:t xml:space="preserve"> is the original diameter of the fiber and </w:t>
      </w:r>
      <w:r w:rsidRPr="003D20DC">
        <w:rPr>
          <w:i/>
          <w:iCs/>
        </w:rPr>
        <w:t>L</w:t>
      </w:r>
      <w:r>
        <w:t xml:space="preserve"> its original length.</w:t>
      </w:r>
    </w:p>
    <w:p w14:paraId="3BF2726F" w14:textId="21E6C408" w:rsidR="00ED1D1C" w:rsidRPr="003D20DC" w:rsidRDefault="00ED1D1C" w:rsidP="00ED1D1C">
      <w:pPr>
        <w:pStyle w:val="CETBodytext"/>
      </w:pPr>
      <w:r w:rsidRPr="003D20DC">
        <w:t xml:space="preserve">Figure 4 shows </w:t>
      </w:r>
      <w:r w:rsidR="00397250">
        <w:t xml:space="preserve">a </w:t>
      </w:r>
      <w:r w:rsidR="00A31EC0">
        <w:t>de</w:t>
      </w:r>
      <w:r w:rsidR="00397250">
        <w:t xml:space="preserve">creasing trend of the ratio between </w:t>
      </w:r>
      <w:r w:rsidR="00881761">
        <w:t xml:space="preserve">the deflagration index calculated </w:t>
      </w:r>
      <w:r w:rsidR="00C933AF">
        <w:t xml:space="preserve">for fibers (that is, implementing </w:t>
      </w:r>
      <w:r w:rsidR="00B53F0A">
        <w:t>a</w:t>
      </w:r>
      <w:r w:rsidR="00C933AF">
        <w:t xml:space="preserve"> model </w:t>
      </w:r>
      <w:r w:rsidR="00881761">
        <w:t>using cylindrical coor</w:t>
      </w:r>
      <w:r w:rsidR="00C933AF">
        <w:t xml:space="preserve">dinates) </w:t>
      </w:r>
      <w:r w:rsidR="00DD1B24">
        <w:t>and that</w:t>
      </w:r>
      <w:r w:rsidR="00C933AF">
        <w:t xml:space="preserve"> </w:t>
      </w:r>
      <w:r w:rsidR="00B53F0A">
        <w:t>one calculated for an equivalent sphere (that is, implementing a model using spherical coordinates)</w:t>
      </w:r>
      <w:r w:rsidR="00FB77E7">
        <w:t xml:space="preserve"> as a function of the fiber diameters</w:t>
      </w:r>
      <w:r w:rsidR="00B53F0A">
        <w:t xml:space="preserve">. </w:t>
      </w:r>
      <w:r w:rsidR="00385B3A">
        <w:t>P</w:t>
      </w:r>
      <w:r w:rsidR="004E5C39">
        <w:t xml:space="preserve">articularly, </w:t>
      </w:r>
      <w:r w:rsidR="00D51D89">
        <w:t xml:space="preserve">it is possible to observe how considering a fiber as an equivalent sphere tends </w:t>
      </w:r>
      <w:r w:rsidR="00350AF6">
        <w:t xml:space="preserve">to </w:t>
      </w:r>
      <w:r w:rsidR="00A31EC0">
        <w:t>under</w:t>
      </w:r>
      <w:r w:rsidR="00350AF6">
        <w:t xml:space="preserve">estimate </w:t>
      </w:r>
      <w:r w:rsidR="008C528B">
        <w:t xml:space="preserve">the value of the </w:t>
      </w:r>
      <w:proofErr w:type="spellStart"/>
      <w:r w:rsidR="008C528B">
        <w:t>K</w:t>
      </w:r>
      <w:r w:rsidR="008C528B" w:rsidRPr="00474FC2">
        <w:rPr>
          <w:vertAlign w:val="subscript"/>
        </w:rPr>
        <w:t>st</w:t>
      </w:r>
      <w:proofErr w:type="spellEnd"/>
      <w:r w:rsidR="008C528B">
        <w:t xml:space="preserve"> </w:t>
      </w:r>
      <w:r w:rsidR="00002801">
        <w:t xml:space="preserve">for </w:t>
      </w:r>
      <w:r w:rsidR="00385B3A">
        <w:t>small</w:t>
      </w:r>
      <w:r w:rsidR="00B23115">
        <w:t xml:space="preserve"> fiber mean diameters </w:t>
      </w:r>
      <w:r w:rsidR="00385B3A">
        <w:t>up to a factor 10</w:t>
      </w:r>
      <w:r w:rsidR="00811F58">
        <w:t xml:space="preserve"> (even if </w:t>
      </w:r>
      <w:r w:rsidR="00603675">
        <w:t xml:space="preserve">the </w:t>
      </w:r>
      <w:r w:rsidR="00945035">
        <w:t xml:space="preserve">reliability </w:t>
      </w:r>
      <w:r w:rsidR="0070067E">
        <w:t xml:space="preserve">of such theoretical </w:t>
      </w:r>
      <w:proofErr w:type="spellStart"/>
      <w:r w:rsidR="0070067E">
        <w:t>K</w:t>
      </w:r>
      <w:r w:rsidR="0070067E" w:rsidRPr="00474FC2">
        <w:rPr>
          <w:vertAlign w:val="subscript"/>
        </w:rPr>
        <w:t>st</w:t>
      </w:r>
      <w:proofErr w:type="spellEnd"/>
      <w:r w:rsidR="0070067E">
        <w:t xml:space="preserve"> value could be </w:t>
      </w:r>
      <w:r w:rsidR="00BD5303">
        <w:t>not so high)</w:t>
      </w:r>
      <w:r w:rsidR="0046772E">
        <w:t xml:space="preserve">; on the contrary, when high fiber diameters </w:t>
      </w:r>
      <w:r w:rsidR="00831520">
        <w:t xml:space="preserve">are considered </w:t>
      </w:r>
      <w:proofErr w:type="spellStart"/>
      <w:r w:rsidR="00BD5303">
        <w:t>K</w:t>
      </w:r>
      <w:r w:rsidR="00BD5303" w:rsidRPr="00474FC2">
        <w:rPr>
          <w:vertAlign w:val="subscript"/>
        </w:rPr>
        <w:t>st</w:t>
      </w:r>
      <w:proofErr w:type="spellEnd"/>
      <w:r w:rsidR="00BD5303">
        <w:t xml:space="preserve"> value are almost the same </w:t>
      </w:r>
      <w:r w:rsidR="008D150E">
        <w:t>as considering the fiber as a</w:t>
      </w:r>
      <w:r w:rsidR="005E6746">
        <w:t>n equivalent</w:t>
      </w:r>
      <w:r w:rsidR="008D150E">
        <w:t xml:space="preserve"> sphere</w:t>
      </w:r>
      <w:r w:rsidR="00C842B4">
        <w:t xml:space="preserve"> (t</w:t>
      </w:r>
      <w:r w:rsidR="005E6746">
        <w:t xml:space="preserve">his last observation is quite reasonable because </w:t>
      </w:r>
      <w:r w:rsidR="00EF426E">
        <w:t xml:space="preserve">we are </w:t>
      </w:r>
      <w:r w:rsidR="00304405">
        <w:t xml:space="preserve">simply </w:t>
      </w:r>
      <w:r w:rsidR="00EF426E">
        <w:t xml:space="preserve">approaching </w:t>
      </w:r>
      <w:r w:rsidR="00C842B4">
        <w:t>the round shape).</w:t>
      </w:r>
    </w:p>
    <w:p w14:paraId="5F1CE8B6" w14:textId="2CFB29AB" w:rsidR="00ED1D1C" w:rsidRPr="003D20DC" w:rsidRDefault="00A31EC0" w:rsidP="00ED1D1C">
      <w:pPr>
        <w:pStyle w:val="CETBodytext"/>
        <w:jc w:val="center"/>
      </w:pPr>
      <w:r>
        <w:rPr>
          <w:noProof/>
        </w:rPr>
        <w:drawing>
          <wp:inline distT="0" distB="0" distL="0" distR="0" wp14:anchorId="5B85D92E" wp14:editId="7656FD1B">
            <wp:extent cx="3685962" cy="2764367"/>
            <wp:effectExtent l="0" t="0" r="0" b="0"/>
            <wp:docPr id="576474916" name="Immagine 5" descr="Immagine che contiene testo, schermata, numero,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474916" name="Immagine 5" descr="Immagine che contiene testo, schermata, numero, linea&#10;&#10;Descrizione generata automaticamente"/>
                    <pic:cNvPicPr/>
                  </pic:nvPicPr>
                  <pic:blipFill>
                    <a:blip r:embed="rId13"/>
                    <a:stretch>
                      <a:fillRect/>
                    </a:stretch>
                  </pic:blipFill>
                  <pic:spPr>
                    <a:xfrm>
                      <a:off x="0" y="0"/>
                      <a:ext cx="3692313" cy="2769130"/>
                    </a:xfrm>
                    <a:prstGeom prst="rect">
                      <a:avLst/>
                    </a:prstGeom>
                  </pic:spPr>
                </pic:pic>
              </a:graphicData>
            </a:graphic>
          </wp:inline>
        </w:drawing>
      </w:r>
    </w:p>
    <w:p w14:paraId="0A225623" w14:textId="19F0CF2A" w:rsidR="00ED1D1C" w:rsidRDefault="00ED1D1C" w:rsidP="00ED1D1C">
      <w:pPr>
        <w:pStyle w:val="CETCaption"/>
        <w:rPr>
          <w:rStyle w:val="CETCaptionCarattere"/>
          <w:i/>
          <w:lang w:val="en-US"/>
        </w:rPr>
      </w:pPr>
      <w:r w:rsidRPr="003D20DC">
        <w:rPr>
          <w:rStyle w:val="CETCaptionCarattere"/>
          <w:i/>
          <w:lang w:val="en-US"/>
        </w:rPr>
        <w:t xml:space="preserve">Figure 4: </w:t>
      </w:r>
      <w:r w:rsidRPr="003D20DC">
        <w:rPr>
          <w:lang w:val="en-US"/>
        </w:rPr>
        <w:t>Qualitative effect of changing the fiber diameter when considering the fiber as a cylinder or an equivalent sphere</w:t>
      </w:r>
      <w:r w:rsidR="00007B35">
        <w:rPr>
          <w:lang w:val="en-US"/>
        </w:rPr>
        <w:t xml:space="preserve"> (</w:t>
      </w:r>
      <w:r w:rsidR="00407D56">
        <w:rPr>
          <w:lang w:val="en-US"/>
        </w:rPr>
        <w:t xml:space="preserve">fiber </w:t>
      </w:r>
      <w:r w:rsidR="00007B35">
        <w:rPr>
          <w:lang w:val="en-US"/>
        </w:rPr>
        <w:t xml:space="preserve">length </w:t>
      </w:r>
      <w:r w:rsidR="00407D56">
        <w:rPr>
          <w:lang w:val="en-US"/>
        </w:rPr>
        <w:t xml:space="preserve">is kept constant at 250 </w:t>
      </w:r>
      <w:r w:rsidR="00C73117" w:rsidRPr="00C658F8">
        <w:rPr>
          <w:rFonts w:cs="Arial"/>
          <w:lang w:val="en-US"/>
        </w:rPr>
        <w:t>µ</w:t>
      </w:r>
      <w:r w:rsidR="00C73117" w:rsidRPr="00C658F8">
        <w:rPr>
          <w:lang w:val="en-US"/>
        </w:rPr>
        <w:t>m</w:t>
      </w:r>
      <w:r w:rsidR="00407D56">
        <w:rPr>
          <w:lang w:val="en-US"/>
        </w:rPr>
        <w:t>)</w:t>
      </w:r>
      <w:r w:rsidRPr="003D20DC">
        <w:rPr>
          <w:rStyle w:val="CETCaptionCarattere"/>
          <w:i/>
          <w:lang w:val="en-US"/>
        </w:rPr>
        <w:t>.</w:t>
      </w:r>
    </w:p>
    <w:p w14:paraId="583C9948" w14:textId="2D2AA01C" w:rsidR="00745734" w:rsidRDefault="00367282" w:rsidP="00745734">
      <w:pPr>
        <w:pStyle w:val="CETBodytext"/>
      </w:pPr>
      <w:r>
        <w:t>Furthermore</w:t>
      </w:r>
      <w:r w:rsidR="00D63BBF">
        <w:t>,</w:t>
      </w:r>
      <w:r w:rsidR="00745734" w:rsidRPr="00C658F8">
        <w:t xml:space="preserve"> </w:t>
      </w:r>
      <w:r w:rsidR="00F35AFB">
        <w:t>when considering the effect of an increase of the fiber length</w:t>
      </w:r>
      <w:r w:rsidR="00F17440">
        <w:t>,</w:t>
      </w:r>
      <w:r w:rsidR="00D827F6">
        <w:t xml:space="preserve"> </w:t>
      </w:r>
      <w:r w:rsidR="00E87AC5">
        <w:t xml:space="preserve">keeping constant the </w:t>
      </w:r>
      <w:r w:rsidR="00F17440">
        <w:t xml:space="preserve">diameter, </w:t>
      </w:r>
      <w:r w:rsidR="001E70CF">
        <w:t xml:space="preserve">it is possible to observe (see Figure 5) </w:t>
      </w:r>
      <w:r w:rsidR="00704139">
        <w:t>an un</w:t>
      </w:r>
      <w:r w:rsidR="000411E7">
        <w:t>u</w:t>
      </w:r>
      <w:r w:rsidR="00704139">
        <w:t>sual beha</w:t>
      </w:r>
      <w:r w:rsidR="000411E7">
        <w:t>vior</w:t>
      </w:r>
      <w:r w:rsidR="00745734" w:rsidRPr="00C658F8">
        <w:t>.</w:t>
      </w:r>
      <w:r w:rsidR="00745734">
        <w:t xml:space="preserve"> </w:t>
      </w:r>
      <w:r w:rsidR="000411E7">
        <w:t xml:space="preserve">There is always an underestimation of the </w:t>
      </w:r>
      <w:proofErr w:type="spellStart"/>
      <w:r w:rsidR="000411E7">
        <w:t>K</w:t>
      </w:r>
      <w:r w:rsidR="000411E7" w:rsidRPr="00474FC2">
        <w:rPr>
          <w:vertAlign w:val="subscript"/>
        </w:rPr>
        <w:t>st</w:t>
      </w:r>
      <w:proofErr w:type="spellEnd"/>
      <w:r w:rsidR="000411E7">
        <w:t xml:space="preserve"> value when considering </w:t>
      </w:r>
      <w:r w:rsidR="001C1AE5">
        <w:t xml:space="preserve">the fiber as </w:t>
      </w:r>
      <w:r w:rsidR="00F546EE">
        <w:t>an equivalent sphere</w:t>
      </w:r>
      <w:r w:rsidR="006473E3">
        <w:t>,</w:t>
      </w:r>
      <w:r w:rsidR="00F546EE">
        <w:t xml:space="preserve"> </w:t>
      </w:r>
      <w:r w:rsidR="001F185F">
        <w:t xml:space="preserve">but such an underestimation seems to be quite constant (apart when the fiber length is </w:t>
      </w:r>
      <w:r w:rsidR="009146C4">
        <w:t xml:space="preserve">very </w:t>
      </w:r>
      <w:r w:rsidR="009C4C75">
        <w:t>small</w:t>
      </w:r>
      <w:r w:rsidR="00EA10BE">
        <w:t>)</w:t>
      </w:r>
      <w:r w:rsidR="00526E44">
        <w:t xml:space="preserve"> in accordance with the results reported in Figure 3</w:t>
      </w:r>
      <w:r w:rsidR="00F53002">
        <w:t xml:space="preserve">. </w:t>
      </w:r>
    </w:p>
    <w:p w14:paraId="72705597" w14:textId="401D7461" w:rsidR="00E52ACD" w:rsidRDefault="00C44133" w:rsidP="00745734">
      <w:pPr>
        <w:pStyle w:val="CETBodytext"/>
      </w:pPr>
      <w:r>
        <w:t xml:space="preserve">Both the results </w:t>
      </w:r>
      <w:r w:rsidR="003917C5">
        <w:t xml:space="preserve">reported, respectively, in </w:t>
      </w:r>
      <w:r w:rsidR="006F0B0B">
        <w:t>Figures</w:t>
      </w:r>
      <w:r w:rsidR="003917C5">
        <w:t xml:space="preserve"> </w:t>
      </w:r>
      <w:r w:rsidR="003D5D55">
        <w:t>4 and 5 are</w:t>
      </w:r>
      <w:r>
        <w:t xml:space="preserve"> </w:t>
      </w:r>
      <w:r w:rsidR="00285BBE">
        <w:t xml:space="preserve">quite predictable because, being the </w:t>
      </w:r>
      <w:r w:rsidR="00994952">
        <w:t>radial direction</w:t>
      </w:r>
      <w:r w:rsidR="0094275C">
        <w:t xml:space="preserve"> the most important </w:t>
      </w:r>
      <w:r w:rsidR="00994952">
        <w:t>through which the heat is transferred</w:t>
      </w:r>
      <w:r w:rsidR="005162DC">
        <w:t xml:space="preserve">, the most influencing </w:t>
      </w:r>
      <w:r w:rsidR="0094275C">
        <w:t xml:space="preserve">parameter </w:t>
      </w:r>
      <w:r w:rsidR="005162DC">
        <w:t>is the diameter</w:t>
      </w:r>
      <w:r w:rsidR="003D5D55">
        <w:t xml:space="preserve"> (not the length)</w:t>
      </w:r>
      <w:r w:rsidR="00384324">
        <w:t xml:space="preserve">. </w:t>
      </w:r>
      <w:r w:rsidR="003D5D55">
        <w:t>Moreover, d</w:t>
      </w:r>
      <w:r w:rsidR="00351E20">
        <w:t xml:space="preserve">ue to the definition of </w:t>
      </w:r>
      <w:r w:rsidR="009254E1">
        <w:t>equivalent diameter reported in Eq. (4)</w:t>
      </w:r>
      <w:r w:rsidR="00924A50">
        <w:t xml:space="preserve">, which is </w:t>
      </w:r>
      <w:r w:rsidR="006E7E4C">
        <w:t>proportional to the square root of the fiber length</w:t>
      </w:r>
      <w:r w:rsidR="009254E1">
        <w:t xml:space="preserve">, the diameters </w:t>
      </w:r>
      <w:r w:rsidR="00410400">
        <w:t>of the equiva</w:t>
      </w:r>
      <w:r w:rsidR="0035119D">
        <w:t xml:space="preserve">lent </w:t>
      </w:r>
      <w:r w:rsidR="00776C47">
        <w:t xml:space="preserve">spheres </w:t>
      </w:r>
      <w:r w:rsidR="006E7E4C">
        <w:t>are</w:t>
      </w:r>
      <w:r w:rsidR="0054620B">
        <w:t xml:space="preserve"> all major with respect to the </w:t>
      </w:r>
      <w:r w:rsidR="00290AD2">
        <w:t xml:space="preserve">original fibers diameters: this </w:t>
      </w:r>
      <w:r w:rsidR="002C5A8C">
        <w:t xml:space="preserve">always </w:t>
      </w:r>
      <w:r w:rsidR="00290AD2">
        <w:t>result</w:t>
      </w:r>
      <w:r w:rsidR="00012909">
        <w:t>s</w:t>
      </w:r>
      <w:r w:rsidR="00290AD2">
        <w:t xml:space="preserve"> in an unavoidable underestimation of the </w:t>
      </w:r>
      <w:proofErr w:type="spellStart"/>
      <w:r w:rsidR="00182385">
        <w:t>K</w:t>
      </w:r>
      <w:r w:rsidR="00182385" w:rsidRPr="00474FC2">
        <w:rPr>
          <w:vertAlign w:val="subscript"/>
        </w:rPr>
        <w:t>st</w:t>
      </w:r>
      <w:proofErr w:type="spellEnd"/>
      <w:r w:rsidR="00182385">
        <w:t xml:space="preserve"> value</w:t>
      </w:r>
      <w:r w:rsidR="00012909">
        <w:t>s</w:t>
      </w:r>
      <w:r w:rsidR="00182385">
        <w:t xml:space="preserve"> for fibers</w:t>
      </w:r>
      <w:r w:rsidR="006F0B0B">
        <w:t xml:space="preserve"> </w:t>
      </w:r>
      <w:r w:rsidR="00F95CE0">
        <w:t xml:space="preserve">when </w:t>
      </w:r>
      <w:r w:rsidR="006F0B0B">
        <w:t>treated as equivalent spheres</w:t>
      </w:r>
      <w:r w:rsidR="00182385">
        <w:t xml:space="preserve">. </w:t>
      </w:r>
    </w:p>
    <w:p w14:paraId="62B5FF0C" w14:textId="77777777" w:rsidR="007A0A2A" w:rsidRPr="00745734" w:rsidRDefault="007A0A2A" w:rsidP="003D20DC">
      <w:pPr>
        <w:pStyle w:val="CETBodytext"/>
      </w:pPr>
    </w:p>
    <w:p w14:paraId="624F3163" w14:textId="1BB1D0B5" w:rsidR="00ED1D1C" w:rsidRPr="003D20DC" w:rsidRDefault="00D827F6" w:rsidP="00ED1D1C">
      <w:pPr>
        <w:pStyle w:val="CETBodytext"/>
        <w:jc w:val="center"/>
      </w:pPr>
      <w:r>
        <w:rPr>
          <w:noProof/>
        </w:rPr>
        <w:lastRenderedPageBreak/>
        <w:drawing>
          <wp:inline distT="0" distB="0" distL="0" distR="0" wp14:anchorId="1DF8B22E" wp14:editId="0468187E">
            <wp:extent cx="3525090" cy="2643717"/>
            <wp:effectExtent l="0" t="0" r="0" b="4445"/>
            <wp:docPr id="474154847" name="Immagine 7" descr="Immagine che contiene testo, linea, schermata,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154847" name="Immagine 7" descr="Immagine che contiene testo, linea, schermata, numero&#10;&#10;Descrizione generata automaticamente"/>
                    <pic:cNvPicPr/>
                  </pic:nvPicPr>
                  <pic:blipFill>
                    <a:blip r:embed="rId14"/>
                    <a:stretch>
                      <a:fillRect/>
                    </a:stretch>
                  </pic:blipFill>
                  <pic:spPr>
                    <a:xfrm>
                      <a:off x="0" y="0"/>
                      <a:ext cx="3530895" cy="2648070"/>
                    </a:xfrm>
                    <a:prstGeom prst="rect">
                      <a:avLst/>
                    </a:prstGeom>
                  </pic:spPr>
                </pic:pic>
              </a:graphicData>
            </a:graphic>
          </wp:inline>
        </w:drawing>
      </w:r>
    </w:p>
    <w:p w14:paraId="13269768" w14:textId="00DFA199" w:rsidR="00ED1D1C" w:rsidRDefault="00ED1D1C" w:rsidP="00ED1D1C">
      <w:pPr>
        <w:pStyle w:val="CETCaption"/>
        <w:rPr>
          <w:rStyle w:val="CETCaptionCarattere"/>
          <w:i/>
          <w:lang w:val="en-US"/>
        </w:rPr>
      </w:pPr>
      <w:r w:rsidRPr="003D20DC">
        <w:rPr>
          <w:rStyle w:val="CETCaptionCarattere"/>
          <w:i/>
          <w:lang w:val="en-US"/>
        </w:rPr>
        <w:t xml:space="preserve">Figure 5: </w:t>
      </w:r>
      <w:r w:rsidRPr="003D20DC">
        <w:rPr>
          <w:lang w:val="en-US"/>
        </w:rPr>
        <w:t xml:space="preserve">Qualitative effect of changing the fiber length when considering the fiber as a cylinder </w:t>
      </w:r>
      <w:r w:rsidR="00D02688">
        <w:rPr>
          <w:lang w:val="en-US"/>
        </w:rPr>
        <w:t>vs.</w:t>
      </w:r>
      <w:r w:rsidR="00D02688" w:rsidRPr="003D20DC">
        <w:rPr>
          <w:lang w:val="en-US"/>
        </w:rPr>
        <w:t xml:space="preserve"> </w:t>
      </w:r>
      <w:r w:rsidRPr="003D20DC">
        <w:rPr>
          <w:lang w:val="en-US"/>
        </w:rPr>
        <w:t>an equivalent sphere</w:t>
      </w:r>
      <w:r w:rsidR="00C73117">
        <w:rPr>
          <w:lang w:val="en-US"/>
        </w:rPr>
        <w:t xml:space="preserve"> (fiber mean diameter is kept constant </w:t>
      </w:r>
      <w:r w:rsidR="009146C4">
        <w:rPr>
          <w:lang w:val="en-US"/>
        </w:rPr>
        <w:t xml:space="preserve">at 25 </w:t>
      </w:r>
      <w:r w:rsidR="009146C4" w:rsidRPr="00C658F8">
        <w:rPr>
          <w:rFonts w:cs="Arial"/>
          <w:lang w:val="en-US"/>
        </w:rPr>
        <w:t>µ</w:t>
      </w:r>
      <w:r w:rsidR="009146C4" w:rsidRPr="00C658F8">
        <w:rPr>
          <w:lang w:val="en-US"/>
        </w:rPr>
        <w:t>m</w:t>
      </w:r>
      <w:r w:rsidR="009146C4">
        <w:rPr>
          <w:lang w:val="en-US"/>
        </w:rPr>
        <w:t>)</w:t>
      </w:r>
      <w:r w:rsidRPr="003D20DC">
        <w:rPr>
          <w:rStyle w:val="CETCaptionCarattere"/>
          <w:i/>
          <w:lang w:val="en-US"/>
        </w:rPr>
        <w:t>.</w:t>
      </w:r>
    </w:p>
    <w:p w14:paraId="4A8B2E99" w14:textId="5EA4AE27" w:rsidR="00ED1D1C" w:rsidRPr="003D20DC" w:rsidRDefault="00ED1D1C" w:rsidP="0060737C">
      <w:pPr>
        <w:pStyle w:val="CETHeading1"/>
        <w:numPr>
          <w:ilvl w:val="0"/>
          <w:numId w:val="23"/>
        </w:numPr>
      </w:pPr>
      <w:r w:rsidRPr="003D20DC">
        <w:t>Conclusions</w:t>
      </w:r>
    </w:p>
    <w:p w14:paraId="588777CD" w14:textId="7D6A8E41" w:rsidR="00ED1D1C" w:rsidRPr="003D20DC" w:rsidRDefault="00C61CBD" w:rsidP="00ED1D1C">
      <w:pPr>
        <w:pStyle w:val="CETBodytext"/>
      </w:pPr>
      <w:r w:rsidRPr="003D20DC">
        <w:t>In this work a mathematical model to account for the fiber geometry</w:t>
      </w:r>
      <w:r>
        <w:t xml:space="preserve"> was</w:t>
      </w:r>
      <w:r w:rsidRPr="003D20DC">
        <w:t xml:space="preserve"> proposed</w:t>
      </w:r>
      <w:r w:rsidR="00795A60">
        <w:t>.</w:t>
      </w:r>
      <w:r>
        <w:t xml:space="preserve"> </w:t>
      </w:r>
      <w:r w:rsidR="00975AD7">
        <w:t xml:space="preserve">According to the results </w:t>
      </w:r>
      <w:r w:rsidR="003C41C2">
        <w:t>achieved, d</w:t>
      </w:r>
      <w:r w:rsidR="00ED1D1C" w:rsidRPr="003D20DC">
        <w:t xml:space="preserve">ifferent </w:t>
      </w:r>
      <w:r w:rsidR="00E06E13">
        <w:t xml:space="preserve">variations of the </w:t>
      </w:r>
      <w:proofErr w:type="spellStart"/>
      <w:r w:rsidR="00ED1D1C" w:rsidRPr="003D20DC">
        <w:t>K</w:t>
      </w:r>
      <w:r w:rsidR="00ED1D1C" w:rsidRPr="003D20DC">
        <w:rPr>
          <w:vertAlign w:val="subscript"/>
        </w:rPr>
        <w:t>st</w:t>
      </w:r>
      <w:proofErr w:type="spellEnd"/>
      <w:r w:rsidR="00ED1D1C" w:rsidRPr="003D20DC">
        <w:t xml:space="preserve"> values are expected when either the length or </w:t>
      </w:r>
      <w:r w:rsidR="00A70B91">
        <w:t xml:space="preserve">the </w:t>
      </w:r>
      <w:r w:rsidR="00ED1D1C" w:rsidRPr="003D20DC">
        <w:t>diameter</w:t>
      </w:r>
      <w:r w:rsidR="00E06E13">
        <w:t xml:space="preserve"> </w:t>
      </w:r>
      <w:r w:rsidR="00A70B91">
        <w:t xml:space="preserve">of the fiber </w:t>
      </w:r>
      <w:r w:rsidR="00E06E13">
        <w:t>are modified</w:t>
      </w:r>
      <w:r w:rsidR="00ED1D1C" w:rsidRPr="003D20DC">
        <w:t xml:space="preserve">. </w:t>
      </w:r>
      <w:r w:rsidR="00E06E13">
        <w:t xml:space="preserve">Particularly, an increase of the fiber diameter implies a diminishing in the </w:t>
      </w:r>
      <w:r w:rsidR="00A70B91">
        <w:t xml:space="preserve">corresponding </w:t>
      </w:r>
      <w:proofErr w:type="spellStart"/>
      <w:r w:rsidR="00E06E13">
        <w:t>K</w:t>
      </w:r>
      <w:r w:rsidR="00E06E13" w:rsidRPr="008710AE">
        <w:rPr>
          <w:vertAlign w:val="subscript"/>
        </w:rPr>
        <w:t>st</w:t>
      </w:r>
      <w:proofErr w:type="spellEnd"/>
      <w:r w:rsidR="00E06E13">
        <w:t xml:space="preserve"> value, while an increase of the fiber length seems to be quite</w:t>
      </w:r>
      <w:r w:rsidR="008710AE">
        <w:t xml:space="preserve"> uni</w:t>
      </w:r>
      <w:r w:rsidR="00BE615D">
        <w:t>nfluencing</w:t>
      </w:r>
      <w:r w:rsidR="008710AE">
        <w:t xml:space="preserve">. </w:t>
      </w:r>
      <w:r w:rsidR="00ED1D1C" w:rsidRPr="003D20DC">
        <w:t>This behavior cannot be predicted by mathematical models representing the fiber as an equivalent sphere</w:t>
      </w:r>
      <w:r w:rsidR="00BE615D">
        <w:t xml:space="preserve"> (that is, combining in a single lumped parameter, the equivalent diameter</w:t>
      </w:r>
      <w:r w:rsidR="00873C8F">
        <w:t xml:space="preserve">, the information </w:t>
      </w:r>
      <w:r w:rsidR="004B3B92">
        <w:t xml:space="preserve">related to </w:t>
      </w:r>
      <w:r w:rsidR="004F3A0D">
        <w:t xml:space="preserve">both </w:t>
      </w:r>
      <w:r w:rsidR="004B3B92">
        <w:t>fiber length and diameter)</w:t>
      </w:r>
      <w:r w:rsidR="00ED1D1C" w:rsidRPr="003D20DC">
        <w:t xml:space="preserve">. Moreover, it </w:t>
      </w:r>
      <w:r w:rsidR="003447B8">
        <w:t>was</w:t>
      </w:r>
      <w:r w:rsidR="00ED1D1C" w:rsidRPr="003D20DC">
        <w:t xml:space="preserve"> found that the </w:t>
      </w:r>
      <w:proofErr w:type="spellStart"/>
      <w:r w:rsidR="00ED1D1C" w:rsidRPr="003D20DC">
        <w:t>K</w:t>
      </w:r>
      <w:r w:rsidR="00ED1D1C" w:rsidRPr="003D20DC">
        <w:rPr>
          <w:vertAlign w:val="subscript"/>
        </w:rPr>
        <w:t>st</w:t>
      </w:r>
      <w:proofErr w:type="spellEnd"/>
      <w:r w:rsidR="00ED1D1C" w:rsidRPr="003D20DC">
        <w:t xml:space="preserve"> values predicted by approximating the fiber as an equivalent sphere can differ up a factor of about </w:t>
      </w:r>
      <w:r w:rsidR="003447B8">
        <w:t>10</w:t>
      </w:r>
      <w:r w:rsidR="003447B8" w:rsidRPr="003D20DC">
        <w:t xml:space="preserve"> </w:t>
      </w:r>
      <w:r w:rsidR="00ED1D1C" w:rsidRPr="003D20DC">
        <w:t>from the values predicted when accounting properly for the fiber geometry.</w:t>
      </w:r>
      <w:r w:rsidR="00AD5CAA">
        <w:t xml:space="preserve"> </w:t>
      </w:r>
    </w:p>
    <w:p w14:paraId="600BD39B" w14:textId="77777777" w:rsidR="00ED1D1C" w:rsidRPr="00CF0F60" w:rsidRDefault="00ED1D1C" w:rsidP="00ED1D1C">
      <w:pPr>
        <w:pStyle w:val="CETReference"/>
        <w:rPr>
          <w:lang w:val="en-US"/>
        </w:rPr>
      </w:pPr>
      <w:r w:rsidRPr="00CF0F60">
        <w:rPr>
          <w:lang w:val="en-US"/>
        </w:rPr>
        <w:t xml:space="preserve">References </w:t>
      </w:r>
    </w:p>
    <w:p w14:paraId="40C1BCDF" w14:textId="77777777" w:rsidR="00ED1D1C" w:rsidRPr="003D20DC" w:rsidRDefault="00ED1D1C" w:rsidP="00ED1D1C">
      <w:pPr>
        <w:pStyle w:val="CETReferencetext"/>
        <w:rPr>
          <w:lang w:val="en-US"/>
        </w:rPr>
      </w:pPr>
      <w:r w:rsidRPr="003D20DC">
        <w:rPr>
          <w:lang w:val="en-US"/>
        </w:rPr>
        <w:t xml:space="preserve">Amyotte, P., Khan, F., Boilard, S., Iarossi, I., Cloney, C., </w:t>
      </w:r>
      <w:proofErr w:type="spellStart"/>
      <w:r w:rsidRPr="003D20DC">
        <w:rPr>
          <w:lang w:val="en-US"/>
        </w:rPr>
        <w:t>Dastidar</w:t>
      </w:r>
      <w:proofErr w:type="spellEnd"/>
      <w:r w:rsidRPr="003D20DC">
        <w:rPr>
          <w:lang w:val="en-US"/>
        </w:rPr>
        <w:t>, A., Eckhoff, R., Marmo, L., Ripley, R., 2012, Explosibility of nontraditional dusts: experimental and modeling challenges, Inst. Chem. Eng. Symp. Ser. 83–90.</w:t>
      </w:r>
    </w:p>
    <w:p w14:paraId="63778F80" w14:textId="77777777" w:rsidR="00ED1D1C" w:rsidRDefault="00ED1D1C" w:rsidP="00ED1D1C">
      <w:pPr>
        <w:pStyle w:val="CETReferencetext"/>
        <w:rPr>
          <w:lang w:val="en-US"/>
        </w:rPr>
      </w:pPr>
      <w:r w:rsidRPr="003D20DC">
        <w:rPr>
          <w:lang w:val="en-US"/>
        </w:rPr>
        <w:t xml:space="preserve">Copelli S., Barozzi M., Scotton M., Fumagalli A., </w:t>
      </w:r>
      <w:proofErr w:type="spellStart"/>
      <w:r w:rsidRPr="003D20DC">
        <w:rPr>
          <w:lang w:val="en-US"/>
        </w:rPr>
        <w:t>Derudi</w:t>
      </w:r>
      <w:proofErr w:type="spellEnd"/>
      <w:r w:rsidRPr="003D20DC">
        <w:rPr>
          <w:lang w:val="en-US"/>
        </w:rPr>
        <w:t xml:space="preserve"> M., Rota R., 2019, A predictive model for the estimation of the deflagration index of organic dusts, Process Safety Env. Prot., 126, 329-338.</w:t>
      </w:r>
    </w:p>
    <w:p w14:paraId="3ECA881D" w14:textId="6FA28195" w:rsidR="006F4EBB" w:rsidRPr="003D20DC" w:rsidRDefault="006F4EBB" w:rsidP="00ED1D1C">
      <w:pPr>
        <w:pStyle w:val="CETReferencetext"/>
        <w:rPr>
          <w:lang w:val="en-US"/>
        </w:rPr>
      </w:pPr>
      <w:r>
        <w:rPr>
          <w:lang w:val="en-US"/>
        </w:rPr>
        <w:t xml:space="preserve">Dust Safety Science, </w:t>
      </w:r>
      <w:hyperlink r:id="rId15" w:history="1">
        <w:r w:rsidRPr="00450168">
          <w:rPr>
            <w:rStyle w:val="Collegamentoipertestuale"/>
            <w:lang w:val="en-US"/>
          </w:rPr>
          <w:t>https://dustsafetyscience.com/textile-industries/</w:t>
        </w:r>
      </w:hyperlink>
      <w:r>
        <w:rPr>
          <w:lang w:val="en-US"/>
        </w:rPr>
        <w:t xml:space="preserve">, last access </w:t>
      </w:r>
      <w:r w:rsidR="00DC46C6">
        <w:rPr>
          <w:lang w:val="en-US"/>
        </w:rPr>
        <w:t>28 March 2024.</w:t>
      </w:r>
    </w:p>
    <w:p w14:paraId="7CC90F31" w14:textId="5ADE6218" w:rsidR="00ED1D1C" w:rsidRPr="003D20DC" w:rsidRDefault="00ED1D1C" w:rsidP="00ED1D1C">
      <w:pPr>
        <w:pStyle w:val="CETReferencetext"/>
        <w:rPr>
          <w:lang w:val="en-US"/>
        </w:rPr>
      </w:pPr>
      <w:r w:rsidRPr="00CF0F60">
        <w:rPr>
          <w:lang w:val="en-US"/>
        </w:rPr>
        <w:t xml:space="preserve">Fumagalli A., </w:t>
      </w:r>
      <w:proofErr w:type="spellStart"/>
      <w:r w:rsidRPr="00CF0F60">
        <w:rPr>
          <w:lang w:val="en-US"/>
        </w:rPr>
        <w:t>Derudi</w:t>
      </w:r>
      <w:proofErr w:type="spellEnd"/>
      <w:r w:rsidRPr="00CF0F60">
        <w:rPr>
          <w:lang w:val="en-US"/>
        </w:rPr>
        <w:t xml:space="preserve"> M., Rota R., </w:t>
      </w:r>
      <w:proofErr w:type="spellStart"/>
      <w:r w:rsidRPr="00CF0F60">
        <w:rPr>
          <w:lang w:val="en-US"/>
        </w:rPr>
        <w:t>Snoeys</w:t>
      </w:r>
      <w:proofErr w:type="spellEnd"/>
      <w:r w:rsidRPr="00CF0F60">
        <w:rPr>
          <w:lang w:val="en-US"/>
        </w:rPr>
        <w:t xml:space="preserve"> J., Copelli S., 2017, </w:t>
      </w:r>
      <w:r w:rsidRPr="003D20DC">
        <w:rPr>
          <w:lang w:val="en-US"/>
        </w:rPr>
        <w:t>Prediction of the deflagration index for organic dusts as a function of the mean particle diameter, J. Loss Prev. Process Ind.</w:t>
      </w:r>
      <w:r w:rsidR="007222AF">
        <w:rPr>
          <w:lang w:val="en-US"/>
        </w:rPr>
        <w:t>,</w:t>
      </w:r>
      <w:r w:rsidRPr="003D20DC">
        <w:rPr>
          <w:lang w:val="en-US"/>
        </w:rPr>
        <w:t xml:space="preserve"> 50, 67 – 74.</w:t>
      </w:r>
    </w:p>
    <w:p w14:paraId="4858C801" w14:textId="77777777" w:rsidR="00ED1D1C" w:rsidRPr="003D20DC" w:rsidRDefault="00ED1D1C" w:rsidP="00ED1D1C">
      <w:pPr>
        <w:pStyle w:val="CETReferencetext"/>
        <w:rPr>
          <w:lang w:val="en-US"/>
        </w:rPr>
      </w:pPr>
      <w:r w:rsidRPr="003D20DC">
        <w:rPr>
          <w:lang w:val="en-US"/>
        </w:rPr>
        <w:t xml:space="preserve">Iarossi I., Amyotte P.R., Khan F.I., Marmo L., </w:t>
      </w:r>
      <w:proofErr w:type="spellStart"/>
      <w:r w:rsidRPr="003D20DC">
        <w:rPr>
          <w:lang w:val="en-US"/>
        </w:rPr>
        <w:t>Dastidar</w:t>
      </w:r>
      <w:proofErr w:type="spellEnd"/>
      <w:r w:rsidRPr="003D20DC">
        <w:rPr>
          <w:lang w:val="en-US"/>
        </w:rPr>
        <w:t xml:space="preserve"> A.G., Eckhoff R.K., 2013, Explosibility of polyamide and polyester fibers, J. Loss Prev. Process Ind., 26 (6), 1627 – 1633. </w:t>
      </w:r>
    </w:p>
    <w:p w14:paraId="10FDBC49" w14:textId="77777777" w:rsidR="00ED1D1C" w:rsidRPr="003D20DC" w:rsidRDefault="00ED1D1C" w:rsidP="00ED1D1C">
      <w:pPr>
        <w:pStyle w:val="CETReferencetext"/>
        <w:rPr>
          <w:lang w:val="en-US"/>
        </w:rPr>
      </w:pPr>
      <w:r w:rsidRPr="00CF0F60">
        <w:rPr>
          <w:lang w:val="en-US"/>
        </w:rPr>
        <w:t xml:space="preserve">Marmo L., Sanchirico R., Di Benedetto A., Di Sarli V., Riccio D., Danzi E., 2018, </w:t>
      </w:r>
      <w:r w:rsidRPr="003D20DC">
        <w:rPr>
          <w:lang w:val="en-US"/>
        </w:rPr>
        <w:t>Study of the explosible properties of textile dusts, J. Loss Prev. Process Ind., 54, 110 – 122.</w:t>
      </w:r>
    </w:p>
    <w:p w14:paraId="712D01E7" w14:textId="77777777" w:rsidR="00ED1D1C" w:rsidRPr="003D20DC" w:rsidRDefault="00ED1D1C" w:rsidP="00ED1D1C">
      <w:pPr>
        <w:pStyle w:val="CETReferencetext"/>
        <w:rPr>
          <w:lang w:val="en-US"/>
        </w:rPr>
      </w:pPr>
      <w:proofErr w:type="spellStart"/>
      <w:r w:rsidRPr="003D20DC">
        <w:rPr>
          <w:lang w:val="en-US"/>
        </w:rPr>
        <w:t>Portarapillo</w:t>
      </w:r>
      <w:proofErr w:type="spellEnd"/>
      <w:r w:rsidRPr="003D20DC">
        <w:rPr>
          <w:lang w:val="en-US"/>
        </w:rPr>
        <w:t xml:space="preserve"> M., Danzi E., Guida G., Luciani G., Marmo L., Sanchirico R., Di Benedetto A., 2022, On the flammable behavior of non-traditional dusts: dimensionless numbers evaluation for nylon 6,6 short fibers, J. Loss Prev. Process Ind., 78, 104815.</w:t>
      </w:r>
    </w:p>
    <w:p w14:paraId="5A13856B" w14:textId="66084179" w:rsidR="006B4888" w:rsidRDefault="00ED1D1C" w:rsidP="00ED1D1C">
      <w:pPr>
        <w:pStyle w:val="CETReferencetext"/>
        <w:rPr>
          <w:lang w:val="en-US"/>
        </w:rPr>
      </w:pPr>
      <w:r w:rsidRPr="003D20DC">
        <w:rPr>
          <w:lang w:val="en-US"/>
        </w:rPr>
        <w:t>Russo, P., Amyotte, P.R., Khan, F.I., Di Benedetto, A., 2013, Modelling of the effect of size on flocculent dust explosions, J. Loss Prev. Process. Ind.</w:t>
      </w:r>
      <w:r w:rsidR="007222AF">
        <w:rPr>
          <w:lang w:val="en-US"/>
        </w:rPr>
        <w:t>,</w:t>
      </w:r>
      <w:r w:rsidRPr="003D20DC">
        <w:rPr>
          <w:lang w:val="en-US"/>
        </w:rPr>
        <w:t xml:space="preserve"> 26, 1634–1638.</w:t>
      </w:r>
    </w:p>
    <w:p w14:paraId="19C4FC68" w14:textId="01B21EE0" w:rsidR="004628D2" w:rsidRPr="00CF0F60" w:rsidRDefault="00075ADB" w:rsidP="003D20DC">
      <w:pPr>
        <w:pStyle w:val="CETReferencetext"/>
      </w:pPr>
      <w:r w:rsidRPr="00075ADB">
        <w:rPr>
          <w:lang w:val="en-US"/>
        </w:rPr>
        <w:t>Yuan</w:t>
      </w:r>
      <w:r w:rsidR="00D96F6A">
        <w:rPr>
          <w:lang w:val="en-US"/>
        </w:rPr>
        <w:t xml:space="preserve"> Z.</w:t>
      </w:r>
      <w:r w:rsidRPr="00075ADB">
        <w:rPr>
          <w:lang w:val="en-US"/>
        </w:rPr>
        <w:t xml:space="preserve">, </w:t>
      </w:r>
      <w:proofErr w:type="spellStart"/>
      <w:r w:rsidRPr="00075ADB">
        <w:rPr>
          <w:lang w:val="en-US"/>
        </w:rPr>
        <w:t>Khakzad</w:t>
      </w:r>
      <w:proofErr w:type="spellEnd"/>
      <w:r w:rsidR="00D96F6A">
        <w:rPr>
          <w:lang w:val="en-US"/>
        </w:rPr>
        <w:t xml:space="preserve"> N.</w:t>
      </w:r>
      <w:r w:rsidRPr="00075ADB">
        <w:rPr>
          <w:lang w:val="en-US"/>
        </w:rPr>
        <w:t>, Khan</w:t>
      </w:r>
      <w:r w:rsidR="00D96F6A">
        <w:rPr>
          <w:lang w:val="en-US"/>
        </w:rPr>
        <w:t xml:space="preserve"> F.</w:t>
      </w:r>
      <w:r w:rsidRPr="00075ADB">
        <w:rPr>
          <w:lang w:val="en-US"/>
        </w:rPr>
        <w:t>, Amyotte</w:t>
      </w:r>
      <w:r w:rsidR="00D96F6A">
        <w:rPr>
          <w:lang w:val="en-US"/>
        </w:rPr>
        <w:t xml:space="preserve"> P.</w:t>
      </w:r>
      <w:r w:rsidRPr="00075ADB">
        <w:rPr>
          <w:lang w:val="en-US"/>
        </w:rPr>
        <w:t>,</w:t>
      </w:r>
      <w:r w:rsidR="00D96F6A">
        <w:rPr>
          <w:lang w:val="en-US"/>
        </w:rPr>
        <w:t xml:space="preserve"> 2015</w:t>
      </w:r>
      <w:r w:rsidR="004A1B87">
        <w:rPr>
          <w:lang w:val="en-US"/>
        </w:rPr>
        <w:t>,</w:t>
      </w:r>
      <w:r w:rsidR="00847D62">
        <w:rPr>
          <w:lang w:val="en-US"/>
        </w:rPr>
        <w:t xml:space="preserve"> </w:t>
      </w:r>
      <w:r w:rsidRPr="00075ADB">
        <w:rPr>
          <w:lang w:val="en-US"/>
        </w:rPr>
        <w:t>Dust explosions: A threat to the process industries,</w:t>
      </w:r>
      <w:r w:rsidR="00847D62">
        <w:rPr>
          <w:lang w:val="en-US"/>
        </w:rPr>
        <w:t xml:space="preserve"> </w:t>
      </w:r>
      <w:r w:rsidRPr="00075ADB">
        <w:rPr>
          <w:lang w:val="en-US"/>
        </w:rPr>
        <w:t>Process Safety Env</w:t>
      </w:r>
      <w:r w:rsidR="00847D62">
        <w:rPr>
          <w:lang w:val="en-US"/>
        </w:rPr>
        <w:t>.</w:t>
      </w:r>
      <w:r w:rsidRPr="00075ADB">
        <w:rPr>
          <w:lang w:val="en-US"/>
        </w:rPr>
        <w:t xml:space="preserve"> Prot</w:t>
      </w:r>
      <w:r w:rsidR="00847D62">
        <w:rPr>
          <w:lang w:val="en-US"/>
        </w:rPr>
        <w:t>.</w:t>
      </w:r>
      <w:r w:rsidRPr="00075ADB">
        <w:rPr>
          <w:lang w:val="en-US"/>
        </w:rPr>
        <w:t>,</w:t>
      </w:r>
      <w:r w:rsidR="00847D62">
        <w:rPr>
          <w:lang w:val="en-US"/>
        </w:rPr>
        <w:t xml:space="preserve"> </w:t>
      </w:r>
      <w:r w:rsidRPr="00075ADB">
        <w:rPr>
          <w:lang w:val="en-US"/>
        </w:rPr>
        <w:t>98,</w:t>
      </w:r>
      <w:r w:rsidR="00847D62">
        <w:rPr>
          <w:lang w:val="en-US"/>
        </w:rPr>
        <w:t xml:space="preserve"> </w:t>
      </w:r>
      <w:r w:rsidRPr="00075ADB">
        <w:rPr>
          <w:lang w:val="en-US"/>
        </w:rPr>
        <w:t>57-71</w:t>
      </w:r>
      <w:r w:rsidR="00847D62">
        <w:rPr>
          <w:lang w:val="en-US"/>
        </w:rPr>
        <w:t>.</w:t>
      </w:r>
    </w:p>
    <w:sectPr w:rsidR="004628D2" w:rsidRPr="00CF0F60"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133290" w14:textId="77777777" w:rsidR="00B63E58" w:rsidRDefault="00B63E58" w:rsidP="004F5E36">
      <w:r>
        <w:separator/>
      </w:r>
    </w:p>
  </w:endnote>
  <w:endnote w:type="continuationSeparator" w:id="0">
    <w:p w14:paraId="594C31AC" w14:textId="77777777" w:rsidR="00B63E58" w:rsidRDefault="00B63E58"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82AA97" w14:textId="77777777" w:rsidR="00B63E58" w:rsidRDefault="00B63E58" w:rsidP="004F5E36">
      <w:r>
        <w:separator/>
      </w:r>
    </w:p>
  </w:footnote>
  <w:footnote w:type="continuationSeparator" w:id="0">
    <w:p w14:paraId="051D4983" w14:textId="77777777" w:rsidR="00B63E58" w:rsidRDefault="00B63E58"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6105471"/>
    <w:multiLevelType w:val="hybridMultilevel"/>
    <w:tmpl w:val="C06EF206"/>
    <w:lvl w:ilvl="0" w:tplc="DB246D9E">
      <w:start w:val="1"/>
      <w:numFmt w:val="lowerLetter"/>
      <w:lvlText w:val="%1)"/>
      <w:lvlJc w:val="left"/>
      <w:pPr>
        <w:ind w:left="1010" w:hanging="360"/>
      </w:pPr>
      <w:rPr>
        <w:rFonts w:hint="default"/>
      </w:rPr>
    </w:lvl>
    <w:lvl w:ilvl="1" w:tplc="04100019" w:tentative="1">
      <w:start w:val="1"/>
      <w:numFmt w:val="lowerLetter"/>
      <w:lvlText w:val="%2."/>
      <w:lvlJc w:val="left"/>
      <w:pPr>
        <w:ind w:left="1730" w:hanging="360"/>
      </w:pPr>
    </w:lvl>
    <w:lvl w:ilvl="2" w:tplc="0410001B" w:tentative="1">
      <w:start w:val="1"/>
      <w:numFmt w:val="lowerRoman"/>
      <w:lvlText w:val="%3."/>
      <w:lvlJc w:val="right"/>
      <w:pPr>
        <w:ind w:left="2450" w:hanging="180"/>
      </w:pPr>
    </w:lvl>
    <w:lvl w:ilvl="3" w:tplc="0410000F" w:tentative="1">
      <w:start w:val="1"/>
      <w:numFmt w:val="decimal"/>
      <w:lvlText w:val="%4."/>
      <w:lvlJc w:val="left"/>
      <w:pPr>
        <w:ind w:left="3170" w:hanging="360"/>
      </w:pPr>
    </w:lvl>
    <w:lvl w:ilvl="4" w:tplc="04100019" w:tentative="1">
      <w:start w:val="1"/>
      <w:numFmt w:val="lowerLetter"/>
      <w:lvlText w:val="%5."/>
      <w:lvlJc w:val="left"/>
      <w:pPr>
        <w:ind w:left="3890" w:hanging="360"/>
      </w:pPr>
    </w:lvl>
    <w:lvl w:ilvl="5" w:tplc="0410001B" w:tentative="1">
      <w:start w:val="1"/>
      <w:numFmt w:val="lowerRoman"/>
      <w:lvlText w:val="%6."/>
      <w:lvlJc w:val="right"/>
      <w:pPr>
        <w:ind w:left="4610" w:hanging="180"/>
      </w:pPr>
    </w:lvl>
    <w:lvl w:ilvl="6" w:tplc="0410000F" w:tentative="1">
      <w:start w:val="1"/>
      <w:numFmt w:val="decimal"/>
      <w:lvlText w:val="%7."/>
      <w:lvlJc w:val="left"/>
      <w:pPr>
        <w:ind w:left="5330" w:hanging="360"/>
      </w:pPr>
    </w:lvl>
    <w:lvl w:ilvl="7" w:tplc="04100019" w:tentative="1">
      <w:start w:val="1"/>
      <w:numFmt w:val="lowerLetter"/>
      <w:lvlText w:val="%8."/>
      <w:lvlJc w:val="left"/>
      <w:pPr>
        <w:ind w:left="6050" w:hanging="360"/>
      </w:pPr>
    </w:lvl>
    <w:lvl w:ilvl="8" w:tplc="0410001B" w:tentative="1">
      <w:start w:val="1"/>
      <w:numFmt w:val="lowerRoman"/>
      <w:lvlText w:val="%9."/>
      <w:lvlJc w:val="right"/>
      <w:pPr>
        <w:ind w:left="6770" w:hanging="180"/>
      </w:pPr>
    </w:lvl>
  </w:abstractNum>
  <w:abstractNum w:abstractNumId="11" w15:restartNumberingAfterBreak="0">
    <w:nsid w:val="12962A0F"/>
    <w:multiLevelType w:val="hybridMultilevel"/>
    <w:tmpl w:val="8BF23D36"/>
    <w:lvl w:ilvl="0" w:tplc="0E8E9C96">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3" w15:restartNumberingAfterBreak="0">
    <w:nsid w:val="2BF87EA7"/>
    <w:multiLevelType w:val="hybridMultilevel"/>
    <w:tmpl w:val="1A8CAAEC"/>
    <w:lvl w:ilvl="0" w:tplc="C336735C">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1"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632C6471"/>
    <w:multiLevelType w:val="hybridMultilevel"/>
    <w:tmpl w:val="BD2E1F6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030305860">
    <w:abstractNumId w:val="12"/>
  </w:num>
  <w:num w:numId="2" w16cid:durableId="1939479859">
    <w:abstractNumId w:val="8"/>
  </w:num>
  <w:num w:numId="3" w16cid:durableId="976295760">
    <w:abstractNumId w:val="3"/>
  </w:num>
  <w:num w:numId="4" w16cid:durableId="23678545">
    <w:abstractNumId w:val="2"/>
  </w:num>
  <w:num w:numId="5" w16cid:durableId="1901554720">
    <w:abstractNumId w:val="1"/>
  </w:num>
  <w:num w:numId="6" w16cid:durableId="1979601308">
    <w:abstractNumId w:val="0"/>
  </w:num>
  <w:num w:numId="7" w16cid:durableId="1215388478">
    <w:abstractNumId w:val="9"/>
  </w:num>
  <w:num w:numId="8" w16cid:durableId="759717833">
    <w:abstractNumId w:val="7"/>
  </w:num>
  <w:num w:numId="9" w16cid:durableId="815683955">
    <w:abstractNumId w:val="6"/>
  </w:num>
  <w:num w:numId="10" w16cid:durableId="1066416165">
    <w:abstractNumId w:val="5"/>
  </w:num>
  <w:num w:numId="11" w16cid:durableId="438722583">
    <w:abstractNumId w:val="4"/>
  </w:num>
  <w:num w:numId="12" w16cid:durableId="733702629">
    <w:abstractNumId w:val="20"/>
  </w:num>
  <w:num w:numId="13" w16cid:durableId="1573659240">
    <w:abstractNumId w:val="15"/>
  </w:num>
  <w:num w:numId="14" w16cid:durableId="2092192635">
    <w:abstractNumId w:val="21"/>
  </w:num>
  <w:num w:numId="15" w16cid:durableId="1115637783">
    <w:abstractNumId w:val="24"/>
  </w:num>
  <w:num w:numId="16" w16cid:durableId="635987207">
    <w:abstractNumId w:val="23"/>
  </w:num>
  <w:num w:numId="17" w16cid:durableId="1476411020">
    <w:abstractNumId w:val="14"/>
  </w:num>
  <w:num w:numId="18" w16cid:durableId="2106877164">
    <w:abstractNumId w:val="15"/>
    <w:lvlOverride w:ilvl="0">
      <w:startOverride w:val="1"/>
    </w:lvlOverride>
  </w:num>
  <w:num w:numId="19" w16cid:durableId="1650403514">
    <w:abstractNumId w:val="19"/>
  </w:num>
  <w:num w:numId="20" w16cid:durableId="536504040">
    <w:abstractNumId w:val="18"/>
  </w:num>
  <w:num w:numId="21" w16cid:durableId="518815501">
    <w:abstractNumId w:val="17"/>
  </w:num>
  <w:num w:numId="22" w16cid:durableId="299530822">
    <w:abstractNumId w:val="16"/>
  </w:num>
  <w:num w:numId="23" w16cid:durableId="1758865472">
    <w:abstractNumId w:val="22"/>
  </w:num>
  <w:num w:numId="24" w16cid:durableId="1449281062">
    <w:abstractNumId w:val="13"/>
  </w:num>
  <w:num w:numId="25" w16cid:durableId="1348409844">
    <w:abstractNumId w:val="10"/>
  </w:num>
  <w:num w:numId="26" w16cid:durableId="17431427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2801"/>
    <w:rsid w:val="00003676"/>
    <w:rsid w:val="000052FB"/>
    <w:rsid w:val="000057B7"/>
    <w:rsid w:val="00007B35"/>
    <w:rsid w:val="000117CB"/>
    <w:rsid w:val="00012909"/>
    <w:rsid w:val="00020FBE"/>
    <w:rsid w:val="0003148D"/>
    <w:rsid w:val="00031EEC"/>
    <w:rsid w:val="00034097"/>
    <w:rsid w:val="000411E7"/>
    <w:rsid w:val="00041DED"/>
    <w:rsid w:val="00051566"/>
    <w:rsid w:val="00053DCB"/>
    <w:rsid w:val="00062A9A"/>
    <w:rsid w:val="00065058"/>
    <w:rsid w:val="000738E4"/>
    <w:rsid w:val="00075ADB"/>
    <w:rsid w:val="00086C39"/>
    <w:rsid w:val="00090CFD"/>
    <w:rsid w:val="000A03B2"/>
    <w:rsid w:val="000B523A"/>
    <w:rsid w:val="000D0268"/>
    <w:rsid w:val="000D34BE"/>
    <w:rsid w:val="000E102F"/>
    <w:rsid w:val="000E36F1"/>
    <w:rsid w:val="000E3A73"/>
    <w:rsid w:val="000E414A"/>
    <w:rsid w:val="000F093C"/>
    <w:rsid w:val="000F2904"/>
    <w:rsid w:val="000F787B"/>
    <w:rsid w:val="00100F08"/>
    <w:rsid w:val="00106B28"/>
    <w:rsid w:val="001200CF"/>
    <w:rsid w:val="0012091F"/>
    <w:rsid w:val="00125963"/>
    <w:rsid w:val="00126BC2"/>
    <w:rsid w:val="00127948"/>
    <w:rsid w:val="001308B6"/>
    <w:rsid w:val="0013121F"/>
    <w:rsid w:val="00131CBF"/>
    <w:rsid w:val="00131FE6"/>
    <w:rsid w:val="0013263F"/>
    <w:rsid w:val="00132ADF"/>
    <w:rsid w:val="001331DF"/>
    <w:rsid w:val="00134DE4"/>
    <w:rsid w:val="0014034D"/>
    <w:rsid w:val="001427FE"/>
    <w:rsid w:val="00144D16"/>
    <w:rsid w:val="00150E59"/>
    <w:rsid w:val="00152738"/>
    <w:rsid w:val="00152DE3"/>
    <w:rsid w:val="001544F4"/>
    <w:rsid w:val="00154FE4"/>
    <w:rsid w:val="00164CF9"/>
    <w:rsid w:val="001667A6"/>
    <w:rsid w:val="00167D07"/>
    <w:rsid w:val="00170950"/>
    <w:rsid w:val="001734DE"/>
    <w:rsid w:val="00182385"/>
    <w:rsid w:val="00184AD6"/>
    <w:rsid w:val="001A4AF7"/>
    <w:rsid w:val="001B0349"/>
    <w:rsid w:val="001B1452"/>
    <w:rsid w:val="001B1E93"/>
    <w:rsid w:val="001B65C1"/>
    <w:rsid w:val="001C1AE5"/>
    <w:rsid w:val="001C684B"/>
    <w:rsid w:val="001D0CFB"/>
    <w:rsid w:val="001D53FC"/>
    <w:rsid w:val="001E5F64"/>
    <w:rsid w:val="001E70CF"/>
    <w:rsid w:val="001F185F"/>
    <w:rsid w:val="001F42A5"/>
    <w:rsid w:val="001F7B9D"/>
    <w:rsid w:val="00201C93"/>
    <w:rsid w:val="00206539"/>
    <w:rsid w:val="002224B4"/>
    <w:rsid w:val="0022280B"/>
    <w:rsid w:val="002273C3"/>
    <w:rsid w:val="002447EF"/>
    <w:rsid w:val="002452D1"/>
    <w:rsid w:val="00251550"/>
    <w:rsid w:val="00263B05"/>
    <w:rsid w:val="0027221A"/>
    <w:rsid w:val="00275B61"/>
    <w:rsid w:val="00280FAF"/>
    <w:rsid w:val="00282656"/>
    <w:rsid w:val="00285BBE"/>
    <w:rsid w:val="00290AD2"/>
    <w:rsid w:val="00296B83"/>
    <w:rsid w:val="00297E43"/>
    <w:rsid w:val="002A0F0C"/>
    <w:rsid w:val="002B4015"/>
    <w:rsid w:val="002B6979"/>
    <w:rsid w:val="002B76CB"/>
    <w:rsid w:val="002B78CE"/>
    <w:rsid w:val="002C2FB6"/>
    <w:rsid w:val="002C5A8C"/>
    <w:rsid w:val="002C6BF4"/>
    <w:rsid w:val="002E0510"/>
    <w:rsid w:val="002E5FA7"/>
    <w:rsid w:val="002F3309"/>
    <w:rsid w:val="002F44E4"/>
    <w:rsid w:val="002F6CEA"/>
    <w:rsid w:val="003008CE"/>
    <w:rsid w:val="003009B7"/>
    <w:rsid w:val="00300E56"/>
    <w:rsid w:val="00304405"/>
    <w:rsid w:val="0030469C"/>
    <w:rsid w:val="00321CA6"/>
    <w:rsid w:val="00323763"/>
    <w:rsid w:val="00334C09"/>
    <w:rsid w:val="00335C76"/>
    <w:rsid w:val="0034264A"/>
    <w:rsid w:val="003447B8"/>
    <w:rsid w:val="00350AF6"/>
    <w:rsid w:val="0035119D"/>
    <w:rsid w:val="00351E20"/>
    <w:rsid w:val="00364FC3"/>
    <w:rsid w:val="00367282"/>
    <w:rsid w:val="003723D4"/>
    <w:rsid w:val="00381905"/>
    <w:rsid w:val="00384324"/>
    <w:rsid w:val="00384CC8"/>
    <w:rsid w:val="00385B3A"/>
    <w:rsid w:val="003871FD"/>
    <w:rsid w:val="003917C5"/>
    <w:rsid w:val="00397250"/>
    <w:rsid w:val="003A1E30"/>
    <w:rsid w:val="003A2829"/>
    <w:rsid w:val="003A32A5"/>
    <w:rsid w:val="003A6E86"/>
    <w:rsid w:val="003A7D1C"/>
    <w:rsid w:val="003B304B"/>
    <w:rsid w:val="003B3146"/>
    <w:rsid w:val="003C41C2"/>
    <w:rsid w:val="003D20DC"/>
    <w:rsid w:val="003D5D55"/>
    <w:rsid w:val="003F015E"/>
    <w:rsid w:val="003F2E38"/>
    <w:rsid w:val="003F36A0"/>
    <w:rsid w:val="003F4312"/>
    <w:rsid w:val="003F4D68"/>
    <w:rsid w:val="00400414"/>
    <w:rsid w:val="004006D0"/>
    <w:rsid w:val="00404974"/>
    <w:rsid w:val="00407D56"/>
    <w:rsid w:val="00410400"/>
    <w:rsid w:val="00410548"/>
    <w:rsid w:val="00412A44"/>
    <w:rsid w:val="0041446B"/>
    <w:rsid w:val="00435127"/>
    <w:rsid w:val="004352C3"/>
    <w:rsid w:val="0044329C"/>
    <w:rsid w:val="004451DA"/>
    <w:rsid w:val="004460AD"/>
    <w:rsid w:val="00453E24"/>
    <w:rsid w:val="00457456"/>
    <w:rsid w:val="004577FE"/>
    <w:rsid w:val="00457B9C"/>
    <w:rsid w:val="0046164A"/>
    <w:rsid w:val="004628D2"/>
    <w:rsid w:val="00462DCD"/>
    <w:rsid w:val="004648AD"/>
    <w:rsid w:val="0046772E"/>
    <w:rsid w:val="004703A9"/>
    <w:rsid w:val="004742EB"/>
    <w:rsid w:val="00474FC2"/>
    <w:rsid w:val="004760DE"/>
    <w:rsid w:val="004763D7"/>
    <w:rsid w:val="00495095"/>
    <w:rsid w:val="00496062"/>
    <w:rsid w:val="00496F3B"/>
    <w:rsid w:val="004A004E"/>
    <w:rsid w:val="004A1B87"/>
    <w:rsid w:val="004A24CF"/>
    <w:rsid w:val="004B3B92"/>
    <w:rsid w:val="004C3D1D"/>
    <w:rsid w:val="004C60B5"/>
    <w:rsid w:val="004C7913"/>
    <w:rsid w:val="004D3C0F"/>
    <w:rsid w:val="004E4DD6"/>
    <w:rsid w:val="004E5C39"/>
    <w:rsid w:val="004F3A0D"/>
    <w:rsid w:val="004F5E36"/>
    <w:rsid w:val="0050164E"/>
    <w:rsid w:val="0050421D"/>
    <w:rsid w:val="00507B47"/>
    <w:rsid w:val="00507BEF"/>
    <w:rsid w:val="00507CC9"/>
    <w:rsid w:val="0051143B"/>
    <w:rsid w:val="005119A5"/>
    <w:rsid w:val="005162DC"/>
    <w:rsid w:val="00526E44"/>
    <w:rsid w:val="005278B7"/>
    <w:rsid w:val="00531AC1"/>
    <w:rsid w:val="00532016"/>
    <w:rsid w:val="005346C8"/>
    <w:rsid w:val="00543E7D"/>
    <w:rsid w:val="00545CB3"/>
    <w:rsid w:val="0054620B"/>
    <w:rsid w:val="00547A68"/>
    <w:rsid w:val="005531C9"/>
    <w:rsid w:val="00570C43"/>
    <w:rsid w:val="00573154"/>
    <w:rsid w:val="005A1400"/>
    <w:rsid w:val="005B2110"/>
    <w:rsid w:val="005B249B"/>
    <w:rsid w:val="005B2940"/>
    <w:rsid w:val="005B3B88"/>
    <w:rsid w:val="005B61E6"/>
    <w:rsid w:val="005C77E1"/>
    <w:rsid w:val="005D0D33"/>
    <w:rsid w:val="005D6485"/>
    <w:rsid w:val="005D668A"/>
    <w:rsid w:val="005D6A2F"/>
    <w:rsid w:val="005E1A82"/>
    <w:rsid w:val="005E6746"/>
    <w:rsid w:val="005E794C"/>
    <w:rsid w:val="005F0A28"/>
    <w:rsid w:val="005F0E5E"/>
    <w:rsid w:val="005F4661"/>
    <w:rsid w:val="00600535"/>
    <w:rsid w:val="00603675"/>
    <w:rsid w:val="006061AF"/>
    <w:rsid w:val="0060737C"/>
    <w:rsid w:val="00610CD6"/>
    <w:rsid w:val="00620DEE"/>
    <w:rsid w:val="00621F92"/>
    <w:rsid w:val="0062280A"/>
    <w:rsid w:val="00624C2B"/>
    <w:rsid w:val="00625639"/>
    <w:rsid w:val="00631B33"/>
    <w:rsid w:val="00633BC2"/>
    <w:rsid w:val="0064184D"/>
    <w:rsid w:val="006422CC"/>
    <w:rsid w:val="006473E3"/>
    <w:rsid w:val="00660E3E"/>
    <w:rsid w:val="00662E74"/>
    <w:rsid w:val="00665323"/>
    <w:rsid w:val="00680C23"/>
    <w:rsid w:val="00693766"/>
    <w:rsid w:val="006A3281"/>
    <w:rsid w:val="006B4888"/>
    <w:rsid w:val="006C2E45"/>
    <w:rsid w:val="006C359C"/>
    <w:rsid w:val="006C43DD"/>
    <w:rsid w:val="006C5579"/>
    <w:rsid w:val="006D0D04"/>
    <w:rsid w:val="006D6E8B"/>
    <w:rsid w:val="006E737D"/>
    <w:rsid w:val="006E7E4C"/>
    <w:rsid w:val="006F0B0B"/>
    <w:rsid w:val="006F4EBB"/>
    <w:rsid w:val="0070067E"/>
    <w:rsid w:val="00704139"/>
    <w:rsid w:val="00713973"/>
    <w:rsid w:val="00716E6F"/>
    <w:rsid w:val="00720A24"/>
    <w:rsid w:val="007222AF"/>
    <w:rsid w:val="00732386"/>
    <w:rsid w:val="0073514D"/>
    <w:rsid w:val="00741D62"/>
    <w:rsid w:val="007447F3"/>
    <w:rsid w:val="00745734"/>
    <w:rsid w:val="0075499F"/>
    <w:rsid w:val="00757C71"/>
    <w:rsid w:val="007661C8"/>
    <w:rsid w:val="00766F53"/>
    <w:rsid w:val="0077098D"/>
    <w:rsid w:val="00776C47"/>
    <w:rsid w:val="007931FA"/>
    <w:rsid w:val="007955F3"/>
    <w:rsid w:val="00795A60"/>
    <w:rsid w:val="007A090E"/>
    <w:rsid w:val="007A0A2A"/>
    <w:rsid w:val="007A3271"/>
    <w:rsid w:val="007A4861"/>
    <w:rsid w:val="007A7BBA"/>
    <w:rsid w:val="007A7E63"/>
    <w:rsid w:val="007B0C50"/>
    <w:rsid w:val="007B48F9"/>
    <w:rsid w:val="007C1A43"/>
    <w:rsid w:val="007D65F6"/>
    <w:rsid w:val="007F4BDC"/>
    <w:rsid w:val="007F6D09"/>
    <w:rsid w:val="0080013E"/>
    <w:rsid w:val="00811F58"/>
    <w:rsid w:val="00813288"/>
    <w:rsid w:val="0081687D"/>
    <w:rsid w:val="008168FC"/>
    <w:rsid w:val="0082205F"/>
    <w:rsid w:val="00825DD9"/>
    <w:rsid w:val="00830996"/>
    <w:rsid w:val="008312F7"/>
    <w:rsid w:val="00831520"/>
    <w:rsid w:val="008345F1"/>
    <w:rsid w:val="00840EE3"/>
    <w:rsid w:val="00847D62"/>
    <w:rsid w:val="00863568"/>
    <w:rsid w:val="00865B07"/>
    <w:rsid w:val="008667EA"/>
    <w:rsid w:val="008710AE"/>
    <w:rsid w:val="00872493"/>
    <w:rsid w:val="00873C8F"/>
    <w:rsid w:val="0087637F"/>
    <w:rsid w:val="0088113D"/>
    <w:rsid w:val="00881761"/>
    <w:rsid w:val="00892AD5"/>
    <w:rsid w:val="008A1512"/>
    <w:rsid w:val="008C4C35"/>
    <w:rsid w:val="008C528B"/>
    <w:rsid w:val="008D150E"/>
    <w:rsid w:val="008D32B9"/>
    <w:rsid w:val="008D433B"/>
    <w:rsid w:val="008D6843"/>
    <w:rsid w:val="008E566E"/>
    <w:rsid w:val="008E7420"/>
    <w:rsid w:val="008E7B46"/>
    <w:rsid w:val="008F15DC"/>
    <w:rsid w:val="008F68A8"/>
    <w:rsid w:val="008F6DEF"/>
    <w:rsid w:val="0090161A"/>
    <w:rsid w:val="00901EB6"/>
    <w:rsid w:val="00903282"/>
    <w:rsid w:val="00904C62"/>
    <w:rsid w:val="009146C4"/>
    <w:rsid w:val="00922BA8"/>
    <w:rsid w:val="00924A50"/>
    <w:rsid w:val="00924DAC"/>
    <w:rsid w:val="009254E1"/>
    <w:rsid w:val="00927058"/>
    <w:rsid w:val="00942750"/>
    <w:rsid w:val="0094275C"/>
    <w:rsid w:val="00945035"/>
    <w:rsid w:val="009450CE"/>
    <w:rsid w:val="00947179"/>
    <w:rsid w:val="00950E66"/>
    <w:rsid w:val="0095164B"/>
    <w:rsid w:val="00953DA4"/>
    <w:rsid w:val="00954090"/>
    <w:rsid w:val="009573E7"/>
    <w:rsid w:val="00963E05"/>
    <w:rsid w:val="00967843"/>
    <w:rsid w:val="00967D54"/>
    <w:rsid w:val="00971028"/>
    <w:rsid w:val="00975AD7"/>
    <w:rsid w:val="009936E0"/>
    <w:rsid w:val="00993B84"/>
    <w:rsid w:val="00994952"/>
    <w:rsid w:val="00996483"/>
    <w:rsid w:val="00996F5A"/>
    <w:rsid w:val="009B041A"/>
    <w:rsid w:val="009C37C3"/>
    <w:rsid w:val="009C4C75"/>
    <w:rsid w:val="009C7C86"/>
    <w:rsid w:val="009D2FF7"/>
    <w:rsid w:val="009E7884"/>
    <w:rsid w:val="009E788A"/>
    <w:rsid w:val="009F0E08"/>
    <w:rsid w:val="00A031E2"/>
    <w:rsid w:val="00A03C5F"/>
    <w:rsid w:val="00A11215"/>
    <w:rsid w:val="00A146BB"/>
    <w:rsid w:val="00A1763D"/>
    <w:rsid w:val="00A17CEC"/>
    <w:rsid w:val="00A26ACB"/>
    <w:rsid w:val="00A27EF0"/>
    <w:rsid w:val="00A31EC0"/>
    <w:rsid w:val="00A42361"/>
    <w:rsid w:val="00A446AE"/>
    <w:rsid w:val="00A50B20"/>
    <w:rsid w:val="00A51390"/>
    <w:rsid w:val="00A60D13"/>
    <w:rsid w:val="00A632FE"/>
    <w:rsid w:val="00A70B91"/>
    <w:rsid w:val="00A72745"/>
    <w:rsid w:val="00A76EFC"/>
    <w:rsid w:val="00A91010"/>
    <w:rsid w:val="00A93394"/>
    <w:rsid w:val="00A97F29"/>
    <w:rsid w:val="00AA1919"/>
    <w:rsid w:val="00AA1C21"/>
    <w:rsid w:val="00AA702E"/>
    <w:rsid w:val="00AB0964"/>
    <w:rsid w:val="00AB5011"/>
    <w:rsid w:val="00AC2B40"/>
    <w:rsid w:val="00AC7368"/>
    <w:rsid w:val="00AD16B9"/>
    <w:rsid w:val="00AD5CAA"/>
    <w:rsid w:val="00AE377D"/>
    <w:rsid w:val="00AF0EBA"/>
    <w:rsid w:val="00AF3796"/>
    <w:rsid w:val="00B02C8A"/>
    <w:rsid w:val="00B17FBD"/>
    <w:rsid w:val="00B23115"/>
    <w:rsid w:val="00B315A6"/>
    <w:rsid w:val="00B31813"/>
    <w:rsid w:val="00B33365"/>
    <w:rsid w:val="00B53F0A"/>
    <w:rsid w:val="00B57B36"/>
    <w:rsid w:val="00B57E6F"/>
    <w:rsid w:val="00B61707"/>
    <w:rsid w:val="00B63E58"/>
    <w:rsid w:val="00B74FB1"/>
    <w:rsid w:val="00B7766B"/>
    <w:rsid w:val="00B8686D"/>
    <w:rsid w:val="00B917DE"/>
    <w:rsid w:val="00B93F69"/>
    <w:rsid w:val="00BB1DDC"/>
    <w:rsid w:val="00BC30C9"/>
    <w:rsid w:val="00BD077D"/>
    <w:rsid w:val="00BD3FA0"/>
    <w:rsid w:val="00BD5303"/>
    <w:rsid w:val="00BE3E58"/>
    <w:rsid w:val="00BE615D"/>
    <w:rsid w:val="00BF2AEA"/>
    <w:rsid w:val="00C01616"/>
    <w:rsid w:val="00C0162B"/>
    <w:rsid w:val="00C01943"/>
    <w:rsid w:val="00C02208"/>
    <w:rsid w:val="00C068ED"/>
    <w:rsid w:val="00C11A8A"/>
    <w:rsid w:val="00C22E0C"/>
    <w:rsid w:val="00C345B1"/>
    <w:rsid w:val="00C35590"/>
    <w:rsid w:val="00C40142"/>
    <w:rsid w:val="00C424A0"/>
    <w:rsid w:val="00C44133"/>
    <w:rsid w:val="00C52C3C"/>
    <w:rsid w:val="00C57182"/>
    <w:rsid w:val="00C57863"/>
    <w:rsid w:val="00C61CBD"/>
    <w:rsid w:val="00C655FD"/>
    <w:rsid w:val="00C73117"/>
    <w:rsid w:val="00C74AA0"/>
    <w:rsid w:val="00C75407"/>
    <w:rsid w:val="00C842B4"/>
    <w:rsid w:val="00C870A8"/>
    <w:rsid w:val="00C933AF"/>
    <w:rsid w:val="00C94434"/>
    <w:rsid w:val="00CA0D75"/>
    <w:rsid w:val="00CA1C95"/>
    <w:rsid w:val="00CA5A9C"/>
    <w:rsid w:val="00CB08FA"/>
    <w:rsid w:val="00CB537D"/>
    <w:rsid w:val="00CC255D"/>
    <w:rsid w:val="00CC4C20"/>
    <w:rsid w:val="00CD3517"/>
    <w:rsid w:val="00CD5FE2"/>
    <w:rsid w:val="00CE7C68"/>
    <w:rsid w:val="00CF0F60"/>
    <w:rsid w:val="00CF4533"/>
    <w:rsid w:val="00D02688"/>
    <w:rsid w:val="00D02B4C"/>
    <w:rsid w:val="00D03E3B"/>
    <w:rsid w:val="00D040C4"/>
    <w:rsid w:val="00D06425"/>
    <w:rsid w:val="00D1716C"/>
    <w:rsid w:val="00D46B7E"/>
    <w:rsid w:val="00D51D89"/>
    <w:rsid w:val="00D55FFE"/>
    <w:rsid w:val="00D56AE3"/>
    <w:rsid w:val="00D57C84"/>
    <w:rsid w:val="00D6057D"/>
    <w:rsid w:val="00D63BBF"/>
    <w:rsid w:val="00D73216"/>
    <w:rsid w:val="00D77583"/>
    <w:rsid w:val="00D81AE5"/>
    <w:rsid w:val="00D827F6"/>
    <w:rsid w:val="00D836C5"/>
    <w:rsid w:val="00D84576"/>
    <w:rsid w:val="00D96F6A"/>
    <w:rsid w:val="00DA1399"/>
    <w:rsid w:val="00DA24C6"/>
    <w:rsid w:val="00DA4D7B"/>
    <w:rsid w:val="00DC370E"/>
    <w:rsid w:val="00DC46C6"/>
    <w:rsid w:val="00DC52CE"/>
    <w:rsid w:val="00DD1B24"/>
    <w:rsid w:val="00DD63C3"/>
    <w:rsid w:val="00DE1F21"/>
    <w:rsid w:val="00DE264A"/>
    <w:rsid w:val="00DE7ADD"/>
    <w:rsid w:val="00DF5072"/>
    <w:rsid w:val="00E02D18"/>
    <w:rsid w:val="00E041E7"/>
    <w:rsid w:val="00E06E13"/>
    <w:rsid w:val="00E17682"/>
    <w:rsid w:val="00E23CA1"/>
    <w:rsid w:val="00E36054"/>
    <w:rsid w:val="00E409A8"/>
    <w:rsid w:val="00E50C12"/>
    <w:rsid w:val="00E52ACD"/>
    <w:rsid w:val="00E61AF2"/>
    <w:rsid w:val="00E64359"/>
    <w:rsid w:val="00E65B91"/>
    <w:rsid w:val="00E66859"/>
    <w:rsid w:val="00E70595"/>
    <w:rsid w:val="00E7209D"/>
    <w:rsid w:val="00E72EAD"/>
    <w:rsid w:val="00E77223"/>
    <w:rsid w:val="00E8528B"/>
    <w:rsid w:val="00E85B94"/>
    <w:rsid w:val="00E87AC5"/>
    <w:rsid w:val="00E978D0"/>
    <w:rsid w:val="00EA0E08"/>
    <w:rsid w:val="00EA10BE"/>
    <w:rsid w:val="00EA4613"/>
    <w:rsid w:val="00EA7F91"/>
    <w:rsid w:val="00EB13A2"/>
    <w:rsid w:val="00EB1523"/>
    <w:rsid w:val="00EC0E49"/>
    <w:rsid w:val="00EC101F"/>
    <w:rsid w:val="00EC1D9F"/>
    <w:rsid w:val="00ED1D1C"/>
    <w:rsid w:val="00EE0131"/>
    <w:rsid w:val="00EE17B0"/>
    <w:rsid w:val="00EF06D9"/>
    <w:rsid w:val="00EF426E"/>
    <w:rsid w:val="00F17440"/>
    <w:rsid w:val="00F30C64"/>
    <w:rsid w:val="00F32BA2"/>
    <w:rsid w:val="00F32CDB"/>
    <w:rsid w:val="00F35AFB"/>
    <w:rsid w:val="00F5001B"/>
    <w:rsid w:val="00F53002"/>
    <w:rsid w:val="00F546EE"/>
    <w:rsid w:val="00F565FE"/>
    <w:rsid w:val="00F63A70"/>
    <w:rsid w:val="00F71564"/>
    <w:rsid w:val="00F7534E"/>
    <w:rsid w:val="00F83FB8"/>
    <w:rsid w:val="00F95CE0"/>
    <w:rsid w:val="00FA21D0"/>
    <w:rsid w:val="00FA5F5F"/>
    <w:rsid w:val="00FB730C"/>
    <w:rsid w:val="00FB77E7"/>
    <w:rsid w:val="00FC2695"/>
    <w:rsid w:val="00FC3E03"/>
    <w:rsid w:val="00FC3FC1"/>
    <w:rsid w:val="00FD7690"/>
    <w:rsid w:val="00FF3D88"/>
    <w:rsid w:val="00FF685F"/>
    <w:rsid w:val="00FF720D"/>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DE5B9DFA-7F9F-497B-A0F7-CB1436FA9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qFormat/>
    <w:rsid w:val="00EB13A2"/>
    <w:pPr>
      <w:spacing w:after="0" w:line="240" w:lineRule="auto"/>
    </w:pPr>
    <w:rPr>
      <w:rFonts w:ascii="Times New Roman" w:eastAsia="Times New Roman" w:hAnsi="Times New Roman" w:cs="Times New Roman"/>
      <w:sz w:val="24"/>
      <w:szCs w:val="24"/>
      <w:lang w:eastAsia="it-IT"/>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ind w:left="220" w:hanging="220"/>
    </w:pPr>
  </w:style>
  <w:style w:type="paragraph" w:styleId="Indice2">
    <w:name w:val="index 2"/>
    <w:basedOn w:val="Normale"/>
    <w:next w:val="Normale"/>
    <w:autoRedefine/>
    <w:uiPriority w:val="99"/>
    <w:semiHidden/>
    <w:unhideWhenUsed/>
    <w:rsid w:val="0003148D"/>
    <w:pPr>
      <w:ind w:left="440" w:hanging="220"/>
    </w:pPr>
  </w:style>
  <w:style w:type="paragraph" w:styleId="Indice3">
    <w:name w:val="index 3"/>
    <w:basedOn w:val="Normale"/>
    <w:next w:val="Normale"/>
    <w:autoRedefine/>
    <w:uiPriority w:val="99"/>
    <w:semiHidden/>
    <w:unhideWhenUsed/>
    <w:rsid w:val="0003148D"/>
    <w:pPr>
      <w:ind w:left="660" w:hanging="220"/>
    </w:pPr>
  </w:style>
  <w:style w:type="paragraph" w:styleId="Indice4">
    <w:name w:val="index 4"/>
    <w:basedOn w:val="Normale"/>
    <w:next w:val="Normale"/>
    <w:autoRedefine/>
    <w:uiPriority w:val="99"/>
    <w:semiHidden/>
    <w:unhideWhenUsed/>
    <w:rsid w:val="0003148D"/>
    <w:pPr>
      <w:ind w:left="880" w:hanging="220"/>
    </w:pPr>
  </w:style>
  <w:style w:type="paragraph" w:styleId="Indice5">
    <w:name w:val="index 5"/>
    <w:basedOn w:val="Normale"/>
    <w:next w:val="Normale"/>
    <w:autoRedefine/>
    <w:uiPriority w:val="99"/>
    <w:semiHidden/>
    <w:unhideWhenUsed/>
    <w:rsid w:val="0003148D"/>
    <w:pPr>
      <w:ind w:left="1100" w:hanging="220"/>
    </w:pPr>
  </w:style>
  <w:style w:type="paragraph" w:styleId="Indice6">
    <w:name w:val="index 6"/>
    <w:basedOn w:val="Normale"/>
    <w:next w:val="Normale"/>
    <w:autoRedefine/>
    <w:uiPriority w:val="99"/>
    <w:semiHidden/>
    <w:unhideWhenUsed/>
    <w:rsid w:val="0003148D"/>
    <w:pPr>
      <w:ind w:left="1320" w:hanging="220"/>
    </w:pPr>
  </w:style>
  <w:style w:type="paragraph" w:styleId="Indice7">
    <w:name w:val="index 7"/>
    <w:basedOn w:val="Normale"/>
    <w:next w:val="Normale"/>
    <w:autoRedefine/>
    <w:uiPriority w:val="99"/>
    <w:semiHidden/>
    <w:unhideWhenUsed/>
    <w:rsid w:val="0003148D"/>
    <w:pPr>
      <w:ind w:left="1540" w:hanging="220"/>
    </w:pPr>
  </w:style>
  <w:style w:type="paragraph" w:styleId="Indice8">
    <w:name w:val="index 8"/>
    <w:basedOn w:val="Normale"/>
    <w:next w:val="Normale"/>
    <w:autoRedefine/>
    <w:uiPriority w:val="99"/>
    <w:semiHidden/>
    <w:unhideWhenUsed/>
    <w:rsid w:val="0003148D"/>
    <w:pPr>
      <w:ind w:left="1760" w:hanging="220"/>
    </w:pPr>
  </w:style>
  <w:style w:type="paragraph" w:styleId="Indice9">
    <w:name w:val="index 9"/>
    <w:basedOn w:val="Normale"/>
    <w:next w:val="Normale"/>
    <w:autoRedefine/>
    <w:uiPriority w:val="99"/>
    <w:semiHidden/>
    <w:unhideWhenUsed/>
    <w:rsid w:val="0003148D"/>
    <w:pPr>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ind w:left="2880"/>
    </w:pPr>
    <w:rPr>
      <w:rFonts w:asciiTheme="majorHAnsi" w:eastAsiaTheme="majorEastAsia" w:hAnsiTheme="majorHAnsi" w:cstheme="majorBidi"/>
    </w:rPr>
  </w:style>
  <w:style w:type="paragraph" w:styleId="IndirizzoHTML">
    <w:name w:val="HTML Address"/>
    <w:basedOn w:val="Normale"/>
    <w:link w:val="IndirizzoHTMLCarattere"/>
    <w:uiPriority w:val="99"/>
    <w:semiHidden/>
    <w:unhideWhenUsed/>
    <w:rsid w:val="0003148D"/>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enter" w:pos="4819"/>
        <w:tab w:val="right" w:pos="9638"/>
      </w:tabs>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enter" w:pos="4819"/>
        <w:tab w:val="right" w:pos="9638"/>
      </w:tabs>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paragraph" w:styleId="Revisione">
    <w:name w:val="Revision"/>
    <w:hidden/>
    <w:uiPriority w:val="99"/>
    <w:semiHidden/>
    <w:rsid w:val="001734DE"/>
    <w:pPr>
      <w:spacing w:after="0" w:line="240" w:lineRule="auto"/>
    </w:pPr>
    <w:rPr>
      <w:rFonts w:ascii="Arial" w:eastAsia="Times New Roman" w:hAnsi="Arial" w:cs="Times New Roman"/>
      <w:sz w:val="18"/>
      <w:szCs w:val="20"/>
      <w:lang w:val="en-GB"/>
    </w:rPr>
  </w:style>
  <w:style w:type="character" w:styleId="Menzionenonrisolta">
    <w:name w:val="Unresolved Mention"/>
    <w:basedOn w:val="Carpredefinitoparagrafo"/>
    <w:uiPriority w:val="99"/>
    <w:semiHidden/>
    <w:unhideWhenUsed/>
    <w:rsid w:val="006F4EBB"/>
    <w:rPr>
      <w:color w:val="605E5C"/>
      <w:shd w:val="clear" w:color="auto" w:fill="E1DFDD"/>
    </w:rPr>
  </w:style>
  <w:style w:type="character" w:styleId="Testosegnaposto">
    <w:name w:val="Placeholder Text"/>
    <w:basedOn w:val="Carpredefinitoparagrafo"/>
    <w:uiPriority w:val="99"/>
    <w:semiHidden/>
    <w:rsid w:val="006D0D0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7439330">
      <w:bodyDiv w:val="1"/>
      <w:marLeft w:val="0"/>
      <w:marRight w:val="0"/>
      <w:marTop w:val="0"/>
      <w:marBottom w:val="0"/>
      <w:divBdr>
        <w:top w:val="none" w:sz="0" w:space="0" w:color="auto"/>
        <w:left w:val="none" w:sz="0" w:space="0" w:color="auto"/>
        <w:bottom w:val="none" w:sz="0" w:space="0" w:color="auto"/>
        <w:right w:val="none" w:sz="0" w:space="0" w:color="auto"/>
      </w:divBdr>
      <w:divsChild>
        <w:div w:id="1630086981">
          <w:marLeft w:val="0"/>
          <w:marRight w:val="0"/>
          <w:marTop w:val="0"/>
          <w:marBottom w:val="0"/>
          <w:divBdr>
            <w:top w:val="none" w:sz="0" w:space="0" w:color="auto"/>
            <w:left w:val="none" w:sz="0" w:space="0" w:color="auto"/>
            <w:bottom w:val="none" w:sz="0" w:space="0" w:color="auto"/>
            <w:right w:val="none" w:sz="0" w:space="0" w:color="auto"/>
          </w:divBdr>
          <w:divsChild>
            <w:div w:id="49213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5" Type="http://schemas.openxmlformats.org/officeDocument/2006/relationships/webSettings" Target="webSettings.xml"/><Relationship Id="rId15" Type="http://schemas.openxmlformats.org/officeDocument/2006/relationships/hyperlink" Target="https://dustsafetyscience.com/textile-industries/" TargetMode="Externa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t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300F71-191D-47BC-A8C1-3D0E84510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724</TotalTime>
  <Pages>6</Pages>
  <Words>2870</Words>
  <Characters>16362</Characters>
  <Application>Microsoft Office Word</Application>
  <DocSecurity>0</DocSecurity>
  <Lines>136</Lines>
  <Paragraphs>38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19194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Copelli Sabrina</cp:lastModifiedBy>
  <cp:revision>318</cp:revision>
  <cp:lastPrinted>2015-05-12T18:31:00Z</cp:lastPrinted>
  <dcterms:created xsi:type="dcterms:W3CDTF">2017-11-20T08:58:00Z</dcterms:created>
  <dcterms:modified xsi:type="dcterms:W3CDTF">2024-03-30T07:30:00Z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