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1A1EE2" w14:paraId="2A131A54" w14:textId="77777777" w:rsidTr="00DE264A">
        <w:trPr>
          <w:trHeight w:val="852"/>
          <w:jc w:val="center"/>
        </w:trPr>
        <w:tc>
          <w:tcPr>
            <w:tcW w:w="6946" w:type="dxa"/>
            <w:vMerge w:val="restart"/>
            <w:tcBorders>
              <w:right w:val="single" w:sz="4" w:space="0" w:color="auto"/>
            </w:tcBorders>
          </w:tcPr>
          <w:p w14:paraId="38C3D2BA" w14:textId="77777777" w:rsidR="000A03B2" w:rsidRPr="001A1EE2" w:rsidRDefault="000A03B2" w:rsidP="00DE264A">
            <w:pPr>
              <w:tabs>
                <w:tab w:val="left" w:pos="-108"/>
              </w:tabs>
              <w:ind w:left="-108"/>
              <w:jc w:val="left"/>
              <w:rPr>
                <w:rFonts w:cs="Arial"/>
                <w:b/>
                <w:bCs/>
                <w:i/>
                <w:iCs/>
                <w:color w:val="000066"/>
                <w:sz w:val="12"/>
                <w:szCs w:val="12"/>
                <w:lang w:eastAsia="it-IT"/>
              </w:rPr>
            </w:pPr>
            <w:r w:rsidRPr="001A1EE2">
              <w:rPr>
                <w:rFonts w:ascii="AdvP6960" w:hAnsi="AdvP6960" w:cs="AdvP6960"/>
                <w:noProof/>
                <w:color w:val="241F20"/>
                <w:szCs w:val="18"/>
                <w:lang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1A1EE2">
              <w:rPr>
                <w:rFonts w:ascii="AdvP6960" w:hAnsi="AdvP6960" w:cs="AdvP6960"/>
                <w:color w:val="241F20"/>
                <w:szCs w:val="18"/>
                <w:lang w:eastAsia="it-IT"/>
              </w:rPr>
              <w:t xml:space="preserve"> </w:t>
            </w:r>
            <w:r w:rsidRPr="001A1EE2">
              <w:rPr>
                <w:rFonts w:cs="Arial"/>
                <w:b/>
                <w:bCs/>
                <w:i/>
                <w:iCs/>
                <w:color w:val="000066"/>
                <w:sz w:val="24"/>
                <w:szCs w:val="24"/>
                <w:lang w:eastAsia="it-IT"/>
              </w:rPr>
              <w:t>CHEMICAL ENGINEERING</w:t>
            </w:r>
            <w:r w:rsidRPr="001A1EE2">
              <w:rPr>
                <w:rFonts w:cs="Arial"/>
                <w:b/>
                <w:bCs/>
                <w:i/>
                <w:iCs/>
                <w:color w:val="0033FF"/>
                <w:sz w:val="24"/>
                <w:szCs w:val="24"/>
                <w:lang w:eastAsia="it-IT"/>
              </w:rPr>
              <w:t xml:space="preserve"> </w:t>
            </w:r>
            <w:r w:rsidRPr="001A1EE2">
              <w:rPr>
                <w:rFonts w:cs="Arial"/>
                <w:b/>
                <w:bCs/>
                <w:i/>
                <w:iCs/>
                <w:color w:val="666666"/>
                <w:sz w:val="24"/>
                <w:szCs w:val="24"/>
                <w:lang w:eastAsia="it-IT"/>
              </w:rPr>
              <w:t>TRANSACTIONS</w:t>
            </w:r>
            <w:r w:rsidRPr="001A1EE2">
              <w:rPr>
                <w:color w:val="333333"/>
                <w:sz w:val="24"/>
                <w:szCs w:val="24"/>
                <w:lang w:eastAsia="it-IT"/>
              </w:rPr>
              <w:t xml:space="preserve"> </w:t>
            </w:r>
            <w:r w:rsidRPr="001A1EE2">
              <w:rPr>
                <w:rFonts w:cs="Arial"/>
                <w:b/>
                <w:bCs/>
                <w:i/>
                <w:iCs/>
                <w:color w:val="000066"/>
                <w:sz w:val="27"/>
                <w:szCs w:val="27"/>
                <w:lang w:eastAsia="it-IT"/>
              </w:rPr>
              <w:br/>
            </w:r>
          </w:p>
          <w:p w14:paraId="4B780582" w14:textId="38BD1662" w:rsidR="000A03B2" w:rsidRPr="001A1EE2" w:rsidRDefault="00A76EFC" w:rsidP="00B57E6F">
            <w:pPr>
              <w:tabs>
                <w:tab w:val="left" w:pos="-108"/>
              </w:tabs>
              <w:ind w:left="-108"/>
              <w:rPr>
                <w:rFonts w:cs="Arial"/>
                <w:b/>
                <w:bCs/>
                <w:i/>
                <w:iCs/>
                <w:color w:val="000066"/>
                <w:sz w:val="22"/>
                <w:szCs w:val="22"/>
                <w:lang w:eastAsia="it-IT"/>
              </w:rPr>
            </w:pPr>
            <w:r w:rsidRPr="001A1EE2">
              <w:rPr>
                <w:rFonts w:cs="Arial"/>
                <w:b/>
                <w:bCs/>
                <w:i/>
                <w:iCs/>
                <w:color w:val="000066"/>
                <w:sz w:val="22"/>
                <w:szCs w:val="22"/>
                <w:lang w:eastAsia="it-IT"/>
              </w:rPr>
              <w:t xml:space="preserve">VOL. </w:t>
            </w:r>
            <w:r w:rsidR="00825DD9" w:rsidRPr="001A1EE2">
              <w:rPr>
                <w:rFonts w:cs="Arial"/>
                <w:b/>
                <w:bCs/>
                <w:i/>
                <w:iCs/>
                <w:color w:val="000066"/>
                <w:sz w:val="22"/>
                <w:szCs w:val="22"/>
                <w:lang w:eastAsia="it-IT"/>
              </w:rPr>
              <w:t>xxx</w:t>
            </w:r>
            <w:r w:rsidR="007B48F9" w:rsidRPr="001A1EE2">
              <w:rPr>
                <w:rFonts w:cs="Arial"/>
                <w:b/>
                <w:bCs/>
                <w:i/>
                <w:iCs/>
                <w:color w:val="000066"/>
                <w:sz w:val="22"/>
                <w:szCs w:val="22"/>
                <w:lang w:eastAsia="it-IT"/>
              </w:rPr>
              <w:t>,</w:t>
            </w:r>
            <w:r w:rsidR="00FA5F5F" w:rsidRPr="001A1EE2">
              <w:rPr>
                <w:rFonts w:cs="Arial"/>
                <w:b/>
                <w:bCs/>
                <w:i/>
                <w:iCs/>
                <w:color w:val="000066"/>
                <w:sz w:val="22"/>
                <w:szCs w:val="22"/>
                <w:lang w:eastAsia="it-IT"/>
              </w:rPr>
              <w:t xml:space="preserve"> 20</w:t>
            </w:r>
            <w:r w:rsidR="00DF5072" w:rsidRPr="001A1EE2">
              <w:rPr>
                <w:rFonts w:cs="Arial"/>
                <w:b/>
                <w:bCs/>
                <w:i/>
                <w:iCs/>
                <w:color w:val="000066"/>
                <w:sz w:val="22"/>
                <w:szCs w:val="22"/>
                <w:lang w:eastAsia="it-IT"/>
              </w:rPr>
              <w:t>2</w:t>
            </w:r>
            <w:r w:rsidR="00825DD9" w:rsidRPr="001A1EE2">
              <w:rPr>
                <w:rFonts w:cs="Arial"/>
                <w:b/>
                <w:bCs/>
                <w:i/>
                <w:iCs/>
                <w:color w:val="000066"/>
                <w:sz w:val="22"/>
                <w:szCs w:val="22"/>
                <w:lang w:eastAsia="it-IT"/>
              </w:rPr>
              <w:t>4</w:t>
            </w:r>
          </w:p>
        </w:tc>
        <w:tc>
          <w:tcPr>
            <w:tcW w:w="1843" w:type="dxa"/>
            <w:tcBorders>
              <w:left w:val="single" w:sz="4" w:space="0" w:color="auto"/>
              <w:bottom w:val="nil"/>
              <w:right w:val="single" w:sz="4" w:space="0" w:color="auto"/>
            </w:tcBorders>
          </w:tcPr>
          <w:p w14:paraId="56782132" w14:textId="77777777" w:rsidR="000A03B2" w:rsidRPr="001A1EE2" w:rsidRDefault="000A03B2" w:rsidP="00CD5FE2">
            <w:pPr>
              <w:spacing w:line="140" w:lineRule="atLeast"/>
              <w:jc w:val="right"/>
              <w:rPr>
                <w:rFonts w:cs="Arial"/>
                <w:sz w:val="14"/>
                <w:szCs w:val="14"/>
              </w:rPr>
            </w:pPr>
            <w:r w:rsidRPr="001A1EE2">
              <w:rPr>
                <w:rFonts w:cs="Arial"/>
                <w:sz w:val="14"/>
                <w:szCs w:val="14"/>
              </w:rPr>
              <w:t>A publication of</w:t>
            </w:r>
          </w:p>
          <w:p w14:paraId="599E5441" w14:textId="77777777" w:rsidR="000A03B2" w:rsidRPr="001A1EE2" w:rsidRDefault="000A03B2" w:rsidP="00CD5FE2">
            <w:pPr>
              <w:jc w:val="right"/>
            </w:pPr>
            <w:r w:rsidRPr="001A1EE2">
              <w:rPr>
                <w:noProof/>
                <w:lang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25F7" w14:paraId="380FA3CD" w14:textId="77777777" w:rsidTr="00DE264A">
        <w:trPr>
          <w:trHeight w:val="567"/>
          <w:jc w:val="center"/>
        </w:trPr>
        <w:tc>
          <w:tcPr>
            <w:tcW w:w="6946" w:type="dxa"/>
            <w:vMerge/>
            <w:tcBorders>
              <w:right w:val="single" w:sz="4" w:space="0" w:color="auto"/>
            </w:tcBorders>
          </w:tcPr>
          <w:p w14:paraId="39E5E4C1" w14:textId="77777777" w:rsidR="000A03B2" w:rsidRPr="001A1EE2" w:rsidRDefault="000A03B2" w:rsidP="00CD5FE2">
            <w:pPr>
              <w:tabs>
                <w:tab w:val="left" w:pos="-108"/>
              </w:tabs>
            </w:pPr>
          </w:p>
        </w:tc>
        <w:tc>
          <w:tcPr>
            <w:tcW w:w="1843" w:type="dxa"/>
            <w:tcBorders>
              <w:left w:val="single" w:sz="4" w:space="0" w:color="auto"/>
              <w:bottom w:val="nil"/>
              <w:right w:val="single" w:sz="4" w:space="0" w:color="auto"/>
            </w:tcBorders>
          </w:tcPr>
          <w:p w14:paraId="43858A98" w14:textId="77777777" w:rsidR="000A03B2" w:rsidRPr="00A53C42" w:rsidRDefault="000A03B2" w:rsidP="00CD5FE2">
            <w:pPr>
              <w:spacing w:line="140" w:lineRule="atLeast"/>
              <w:jc w:val="right"/>
              <w:rPr>
                <w:rFonts w:cs="Arial"/>
                <w:sz w:val="14"/>
                <w:szCs w:val="14"/>
              </w:rPr>
            </w:pPr>
            <w:r w:rsidRPr="00A53C42">
              <w:rPr>
                <w:rFonts w:cs="Arial"/>
                <w:sz w:val="14"/>
                <w:szCs w:val="14"/>
              </w:rPr>
              <w:t>The Italian Association</w:t>
            </w:r>
          </w:p>
          <w:p w14:paraId="7522B1D2" w14:textId="77777777" w:rsidR="000A03B2" w:rsidRPr="00A53C42" w:rsidRDefault="000A03B2" w:rsidP="00CD5FE2">
            <w:pPr>
              <w:spacing w:line="140" w:lineRule="atLeast"/>
              <w:jc w:val="right"/>
              <w:rPr>
                <w:rFonts w:cs="Arial"/>
                <w:sz w:val="14"/>
                <w:szCs w:val="14"/>
              </w:rPr>
            </w:pPr>
            <w:r w:rsidRPr="00A53C42">
              <w:rPr>
                <w:rFonts w:cs="Arial"/>
                <w:sz w:val="14"/>
                <w:szCs w:val="14"/>
              </w:rPr>
              <w:t>of Chemical Engineering</w:t>
            </w:r>
          </w:p>
          <w:p w14:paraId="4F0CC5DE" w14:textId="47FDB2FC" w:rsidR="000A03B2" w:rsidRPr="00B525F7" w:rsidRDefault="000D0268" w:rsidP="00CD5FE2">
            <w:pPr>
              <w:spacing w:line="140" w:lineRule="atLeast"/>
              <w:jc w:val="right"/>
              <w:rPr>
                <w:rFonts w:cs="Arial"/>
                <w:sz w:val="13"/>
                <w:szCs w:val="13"/>
                <w:lang w:val="nb-NO"/>
              </w:rPr>
            </w:pPr>
            <w:r w:rsidRPr="00B525F7">
              <w:rPr>
                <w:rFonts w:cs="Arial"/>
                <w:sz w:val="13"/>
                <w:szCs w:val="13"/>
                <w:lang w:val="nb-NO"/>
              </w:rPr>
              <w:t>Online at www.cetjournal.it</w:t>
            </w:r>
          </w:p>
        </w:tc>
      </w:tr>
      <w:tr w:rsidR="000A03B2" w:rsidRPr="001A1EE2" w14:paraId="2D1B7169" w14:textId="77777777" w:rsidTr="00DE264A">
        <w:trPr>
          <w:trHeight w:val="68"/>
          <w:jc w:val="center"/>
        </w:trPr>
        <w:tc>
          <w:tcPr>
            <w:tcW w:w="8789" w:type="dxa"/>
            <w:gridSpan w:val="2"/>
          </w:tcPr>
          <w:p w14:paraId="4B0BB442" w14:textId="4EADF2C2" w:rsidR="00300E56" w:rsidRPr="00701335" w:rsidRDefault="00300E56" w:rsidP="00B57E6F">
            <w:pPr>
              <w:ind w:left="-107"/>
              <w:outlineLvl w:val="2"/>
              <w:rPr>
                <w:rFonts w:ascii="Tahoma" w:hAnsi="Tahoma" w:cs="Tahoma"/>
                <w:bCs/>
                <w:color w:val="000000"/>
                <w:sz w:val="14"/>
                <w:szCs w:val="14"/>
                <w:lang w:val="it-IT" w:eastAsia="it-IT"/>
              </w:rPr>
            </w:pPr>
            <w:r w:rsidRPr="00701335">
              <w:rPr>
                <w:rFonts w:ascii="Tahoma" w:hAnsi="Tahoma" w:cs="Tahoma"/>
                <w:iCs/>
                <w:color w:val="333333"/>
                <w:sz w:val="14"/>
                <w:szCs w:val="14"/>
                <w:lang w:val="it-IT" w:eastAsia="it-IT"/>
              </w:rPr>
              <w:t>Guest Editors:</w:t>
            </w:r>
            <w:r w:rsidR="00904C62" w:rsidRPr="00701335">
              <w:rPr>
                <w:rFonts w:ascii="Tahoma" w:hAnsi="Tahoma" w:cs="Tahoma"/>
                <w:iCs/>
                <w:color w:val="333333"/>
                <w:sz w:val="14"/>
                <w:szCs w:val="14"/>
                <w:lang w:val="it-IT" w:eastAsia="it-IT"/>
              </w:rPr>
              <w:t xml:space="preserve"> </w:t>
            </w:r>
            <w:r w:rsidR="00B57E6F" w:rsidRPr="00701335">
              <w:rPr>
                <w:rFonts w:ascii="Tahoma" w:hAnsi="Tahoma" w:cs="Tahoma"/>
                <w:color w:val="000000"/>
                <w:sz w:val="14"/>
                <w:szCs w:val="14"/>
                <w:shd w:val="clear" w:color="auto" w:fill="FFFFFF"/>
                <w:lang w:val="it-IT"/>
              </w:rPr>
              <w:t xml:space="preserve">Valerio Cozzani, </w:t>
            </w:r>
            <w:r w:rsidR="001331DF" w:rsidRPr="00701335">
              <w:rPr>
                <w:rFonts w:ascii="Tahoma" w:hAnsi="Tahoma" w:cs="Tahoma"/>
                <w:color w:val="000000"/>
                <w:sz w:val="14"/>
                <w:szCs w:val="14"/>
                <w:shd w:val="clear" w:color="auto" w:fill="FFFFFF"/>
                <w:lang w:val="it-IT"/>
              </w:rPr>
              <w:t>Bruno Fabiano</w:t>
            </w:r>
            <w:r w:rsidR="00B57E6F" w:rsidRPr="00701335">
              <w:rPr>
                <w:rFonts w:ascii="Tahoma" w:hAnsi="Tahoma" w:cs="Tahoma"/>
                <w:color w:val="000000"/>
                <w:sz w:val="14"/>
                <w:szCs w:val="14"/>
                <w:shd w:val="clear" w:color="auto" w:fill="FFFFFF"/>
                <w:lang w:val="it-IT"/>
              </w:rPr>
              <w:t xml:space="preserve">, </w:t>
            </w:r>
            <w:r w:rsidR="00B57E6F" w:rsidRPr="00701335">
              <w:rPr>
                <w:rFonts w:ascii="Tahoma" w:hAnsi="Tahoma" w:cs="Tahoma"/>
                <w:bCs/>
                <w:color w:val="000000"/>
                <w:sz w:val="14"/>
                <w:szCs w:val="14"/>
                <w:lang w:val="it-IT" w:eastAsia="it-IT"/>
              </w:rPr>
              <w:t>Genserik Reniers</w:t>
            </w:r>
          </w:p>
          <w:p w14:paraId="1B0F1814" w14:textId="7E8B8C7E" w:rsidR="000A03B2" w:rsidRPr="001A1EE2" w:rsidRDefault="00FA5F5F" w:rsidP="00B57E6F">
            <w:pPr>
              <w:tabs>
                <w:tab w:val="left" w:pos="-108"/>
              </w:tabs>
              <w:spacing w:line="140" w:lineRule="atLeast"/>
              <w:ind w:left="-107"/>
              <w:jc w:val="left"/>
            </w:pPr>
            <w:r w:rsidRPr="001A1EE2">
              <w:rPr>
                <w:rFonts w:ascii="Tahoma" w:hAnsi="Tahoma" w:cs="Tahoma"/>
                <w:iCs/>
                <w:color w:val="333333"/>
                <w:sz w:val="14"/>
                <w:szCs w:val="14"/>
                <w:lang w:eastAsia="it-IT"/>
              </w:rPr>
              <w:t>Copyright © 20</w:t>
            </w:r>
            <w:r w:rsidR="00DF5072" w:rsidRPr="001A1EE2">
              <w:rPr>
                <w:rFonts w:ascii="Tahoma" w:hAnsi="Tahoma" w:cs="Tahoma"/>
                <w:iCs/>
                <w:color w:val="333333"/>
                <w:sz w:val="14"/>
                <w:szCs w:val="14"/>
                <w:lang w:eastAsia="it-IT"/>
              </w:rPr>
              <w:t>2</w:t>
            </w:r>
            <w:r w:rsidR="00825DD9" w:rsidRPr="001A1EE2">
              <w:rPr>
                <w:rFonts w:ascii="Tahoma" w:hAnsi="Tahoma" w:cs="Tahoma"/>
                <w:iCs/>
                <w:color w:val="333333"/>
                <w:sz w:val="14"/>
                <w:szCs w:val="14"/>
                <w:lang w:eastAsia="it-IT"/>
              </w:rPr>
              <w:t>4</w:t>
            </w:r>
            <w:r w:rsidR="00904C62" w:rsidRPr="001A1EE2">
              <w:rPr>
                <w:rFonts w:ascii="Tahoma" w:hAnsi="Tahoma" w:cs="Tahoma"/>
                <w:iCs/>
                <w:color w:val="333333"/>
                <w:sz w:val="14"/>
                <w:szCs w:val="14"/>
                <w:lang w:eastAsia="it-IT"/>
              </w:rPr>
              <w:t xml:space="preserve">, AIDIC </w:t>
            </w:r>
            <w:proofErr w:type="spellStart"/>
            <w:r w:rsidR="00904C62" w:rsidRPr="001A1EE2">
              <w:rPr>
                <w:rFonts w:ascii="Tahoma" w:hAnsi="Tahoma" w:cs="Tahoma"/>
                <w:iCs/>
                <w:color w:val="333333"/>
                <w:sz w:val="14"/>
                <w:szCs w:val="14"/>
                <w:lang w:eastAsia="it-IT"/>
              </w:rPr>
              <w:t>Servizi</w:t>
            </w:r>
            <w:proofErr w:type="spellEnd"/>
            <w:r w:rsidR="00904C62" w:rsidRPr="001A1EE2">
              <w:rPr>
                <w:rFonts w:ascii="Tahoma" w:hAnsi="Tahoma" w:cs="Tahoma"/>
                <w:iCs/>
                <w:color w:val="333333"/>
                <w:sz w:val="14"/>
                <w:szCs w:val="14"/>
                <w:lang w:eastAsia="it-IT"/>
              </w:rPr>
              <w:t xml:space="preserve"> </w:t>
            </w:r>
            <w:proofErr w:type="spellStart"/>
            <w:r w:rsidR="00904C62" w:rsidRPr="001A1EE2">
              <w:rPr>
                <w:rFonts w:ascii="Tahoma" w:hAnsi="Tahoma" w:cs="Tahoma"/>
                <w:iCs/>
                <w:color w:val="333333"/>
                <w:sz w:val="14"/>
                <w:szCs w:val="14"/>
                <w:lang w:eastAsia="it-IT"/>
              </w:rPr>
              <w:t>S.r.l</w:t>
            </w:r>
            <w:proofErr w:type="spellEnd"/>
            <w:r w:rsidR="00904C62" w:rsidRPr="001A1EE2">
              <w:rPr>
                <w:rFonts w:ascii="Tahoma" w:hAnsi="Tahoma" w:cs="Tahoma"/>
                <w:iCs/>
                <w:color w:val="333333"/>
                <w:sz w:val="14"/>
                <w:szCs w:val="14"/>
                <w:lang w:eastAsia="it-IT"/>
              </w:rPr>
              <w:t>.</w:t>
            </w:r>
            <w:r w:rsidR="00300E56" w:rsidRPr="001A1EE2">
              <w:rPr>
                <w:rFonts w:ascii="Tahoma" w:hAnsi="Tahoma" w:cs="Tahoma"/>
                <w:iCs/>
                <w:color w:val="333333"/>
                <w:sz w:val="14"/>
                <w:szCs w:val="14"/>
                <w:lang w:eastAsia="it-IT"/>
              </w:rPr>
              <w:br/>
            </w:r>
            <w:r w:rsidR="00300E56" w:rsidRPr="001A1EE2">
              <w:rPr>
                <w:rFonts w:ascii="Tahoma" w:hAnsi="Tahoma" w:cs="Tahoma"/>
                <w:b/>
                <w:iCs/>
                <w:color w:val="000000"/>
                <w:sz w:val="14"/>
                <w:szCs w:val="14"/>
                <w:lang w:eastAsia="it-IT"/>
              </w:rPr>
              <w:t>ISBN</w:t>
            </w:r>
            <w:r w:rsidR="00300E56" w:rsidRPr="001A1EE2">
              <w:rPr>
                <w:rFonts w:ascii="Tahoma" w:hAnsi="Tahoma" w:cs="Tahoma"/>
                <w:iCs/>
                <w:color w:val="000000"/>
                <w:sz w:val="14"/>
                <w:szCs w:val="14"/>
                <w:lang w:eastAsia="it-IT"/>
              </w:rPr>
              <w:t xml:space="preserve"> </w:t>
            </w:r>
            <w:r w:rsidR="00825DD9" w:rsidRPr="001A1EE2">
              <w:rPr>
                <w:rFonts w:ascii="Tahoma" w:hAnsi="Tahoma" w:cs="Tahoma"/>
                <w:sz w:val="14"/>
                <w:szCs w:val="14"/>
                <w:lang w:eastAsia="it-IT"/>
              </w:rPr>
              <w:t>979-12-81206-11-3</w:t>
            </w:r>
            <w:r w:rsidR="007B48F9" w:rsidRPr="001A1EE2">
              <w:rPr>
                <w:rFonts w:ascii="Tahoma" w:hAnsi="Tahoma" w:cs="Tahoma"/>
                <w:iCs/>
                <w:color w:val="333333"/>
                <w:sz w:val="14"/>
                <w:szCs w:val="14"/>
                <w:lang w:eastAsia="it-IT"/>
              </w:rPr>
              <w:t>;</w:t>
            </w:r>
            <w:r w:rsidR="00300E56" w:rsidRPr="001A1EE2">
              <w:rPr>
                <w:rFonts w:ascii="Tahoma" w:hAnsi="Tahoma" w:cs="Tahoma"/>
                <w:iCs/>
                <w:color w:val="333333"/>
                <w:sz w:val="14"/>
                <w:szCs w:val="14"/>
                <w:lang w:eastAsia="it-IT"/>
              </w:rPr>
              <w:t xml:space="preserve"> </w:t>
            </w:r>
            <w:r w:rsidR="00300E56" w:rsidRPr="001A1EE2">
              <w:rPr>
                <w:rFonts w:ascii="Tahoma" w:hAnsi="Tahoma" w:cs="Tahoma"/>
                <w:b/>
                <w:iCs/>
                <w:color w:val="333333"/>
                <w:sz w:val="14"/>
                <w:szCs w:val="14"/>
                <w:lang w:eastAsia="it-IT"/>
              </w:rPr>
              <w:t>ISSN</w:t>
            </w:r>
            <w:r w:rsidR="00300E56" w:rsidRPr="001A1EE2">
              <w:rPr>
                <w:rFonts w:ascii="Tahoma" w:hAnsi="Tahoma" w:cs="Tahoma"/>
                <w:iCs/>
                <w:color w:val="333333"/>
                <w:sz w:val="14"/>
                <w:szCs w:val="14"/>
                <w:lang w:eastAsia="it-IT"/>
              </w:rPr>
              <w:t xml:space="preserve"> 2283-9216</w:t>
            </w:r>
          </w:p>
        </w:tc>
      </w:tr>
    </w:tbl>
    <w:p w14:paraId="10DAA130" w14:textId="77777777" w:rsidR="000A03B2" w:rsidRPr="001A1EE2" w:rsidRDefault="000A03B2" w:rsidP="000A03B2">
      <w:pPr>
        <w:pStyle w:val="CETAuthors"/>
        <w:rPr>
          <w:noProof w:val="0"/>
        </w:rPr>
        <w:sectPr w:rsidR="000A03B2" w:rsidRPr="001A1EE2" w:rsidSect="000E71E1">
          <w:type w:val="continuous"/>
          <w:pgSz w:w="11906" w:h="16838" w:code="9"/>
          <w:pgMar w:top="1701" w:right="1418" w:bottom="1701" w:left="1701" w:header="1701" w:footer="0" w:gutter="0"/>
          <w:cols w:space="708"/>
          <w:titlePg/>
          <w:docGrid w:linePitch="360"/>
        </w:sectPr>
      </w:pPr>
    </w:p>
    <w:p w14:paraId="2E667253" w14:textId="09E6CDC2" w:rsidR="00E978D0" w:rsidRPr="001A1EE2" w:rsidRDefault="00224CCC" w:rsidP="00665323">
      <w:pPr>
        <w:pStyle w:val="CETTitle"/>
      </w:pPr>
      <w:r w:rsidRPr="001A1EE2">
        <w:t>Understanding Natech Accident Scenarios at Carbon Capture and Storage (CCS) Plants</w:t>
      </w:r>
    </w:p>
    <w:p w14:paraId="0488FED2" w14:textId="0E0D7DB8" w:rsidR="00B57E6F" w:rsidRPr="00701335" w:rsidRDefault="00224CCC" w:rsidP="00B57E6F">
      <w:pPr>
        <w:pStyle w:val="CETAuthors"/>
        <w:rPr>
          <w:noProof w:val="0"/>
          <w:lang w:val="it-IT"/>
        </w:rPr>
      </w:pPr>
      <w:r w:rsidRPr="00701335">
        <w:rPr>
          <w:noProof w:val="0"/>
          <w:lang w:val="it-IT"/>
        </w:rPr>
        <w:t xml:space="preserve">Federica </w:t>
      </w:r>
      <w:proofErr w:type="spellStart"/>
      <w:proofErr w:type="gramStart"/>
      <w:r w:rsidRPr="00701335">
        <w:rPr>
          <w:noProof w:val="0"/>
          <w:lang w:val="it-IT"/>
        </w:rPr>
        <w:t>Tamb</w:t>
      </w:r>
      <w:r w:rsidR="00421B69" w:rsidRPr="00701335">
        <w:rPr>
          <w:noProof w:val="0"/>
          <w:lang w:val="it-IT"/>
        </w:rPr>
        <w:t>uri</w:t>
      </w:r>
      <w:r w:rsidRPr="00701335">
        <w:rPr>
          <w:noProof w:val="0"/>
          <w:lang w:val="it-IT"/>
        </w:rPr>
        <w:t>ni</w:t>
      </w:r>
      <w:r w:rsidR="00421B69" w:rsidRPr="00701335">
        <w:rPr>
          <w:noProof w:val="0"/>
          <w:vertAlign w:val="superscript"/>
          <w:lang w:val="it-IT"/>
        </w:rPr>
        <w:t>a</w:t>
      </w:r>
      <w:proofErr w:type="spellEnd"/>
      <w:r w:rsidR="001E76BF" w:rsidRPr="00701335">
        <w:rPr>
          <w:noProof w:val="0"/>
          <w:vertAlign w:val="superscript"/>
          <w:lang w:val="it-IT"/>
        </w:rPr>
        <w:t>,</w:t>
      </w:r>
      <w:r w:rsidR="00965B55" w:rsidRPr="00701335">
        <w:rPr>
          <w:noProof w:val="0"/>
          <w:vertAlign w:val="superscript"/>
          <w:lang w:val="it-IT"/>
        </w:rPr>
        <w:t>*</w:t>
      </w:r>
      <w:proofErr w:type="gramEnd"/>
      <w:r w:rsidRPr="00701335">
        <w:rPr>
          <w:noProof w:val="0"/>
          <w:lang w:val="it-IT"/>
        </w:rPr>
        <w:t>, Federica Ricci</w:t>
      </w:r>
      <w:r w:rsidR="00421B69" w:rsidRPr="00701335">
        <w:rPr>
          <w:noProof w:val="0"/>
          <w:vertAlign w:val="superscript"/>
          <w:lang w:val="it-IT"/>
        </w:rPr>
        <w:t>a</w:t>
      </w:r>
      <w:r w:rsidRPr="00701335">
        <w:rPr>
          <w:noProof w:val="0"/>
          <w:lang w:val="it-IT"/>
        </w:rPr>
        <w:t xml:space="preserve">, </w:t>
      </w:r>
      <w:r w:rsidR="00421B69" w:rsidRPr="00701335">
        <w:rPr>
          <w:noProof w:val="0"/>
          <w:lang w:val="it-IT"/>
        </w:rPr>
        <w:t xml:space="preserve">Dimitrios </w:t>
      </w:r>
      <w:proofErr w:type="spellStart"/>
      <w:r w:rsidR="00421B69" w:rsidRPr="00701335">
        <w:rPr>
          <w:noProof w:val="0"/>
          <w:lang w:val="it-IT"/>
        </w:rPr>
        <w:t>Tzioutzios</w:t>
      </w:r>
      <w:r w:rsidR="009D2B5C" w:rsidRPr="00701335">
        <w:rPr>
          <w:noProof w:val="0"/>
          <w:vertAlign w:val="superscript"/>
          <w:lang w:val="it-IT"/>
        </w:rPr>
        <w:t>b</w:t>
      </w:r>
      <w:proofErr w:type="spellEnd"/>
      <w:r w:rsidR="00421B69" w:rsidRPr="00701335">
        <w:rPr>
          <w:noProof w:val="0"/>
          <w:lang w:val="it-IT"/>
        </w:rPr>
        <w:t xml:space="preserve">, Nicola </w:t>
      </w:r>
      <w:proofErr w:type="spellStart"/>
      <w:r w:rsidR="00421B69" w:rsidRPr="00701335">
        <w:rPr>
          <w:noProof w:val="0"/>
          <w:lang w:val="it-IT"/>
        </w:rPr>
        <w:t>Paltrinieri</w:t>
      </w:r>
      <w:r w:rsidR="009D2B5C" w:rsidRPr="00701335">
        <w:rPr>
          <w:noProof w:val="0"/>
          <w:vertAlign w:val="superscript"/>
          <w:lang w:val="it-IT"/>
        </w:rPr>
        <w:t>b</w:t>
      </w:r>
      <w:proofErr w:type="spellEnd"/>
      <w:r w:rsidR="00C078A9" w:rsidRPr="00701335">
        <w:rPr>
          <w:noProof w:val="0"/>
          <w:lang w:val="it-IT"/>
        </w:rPr>
        <w:t xml:space="preserve">, Valerio </w:t>
      </w:r>
      <w:proofErr w:type="spellStart"/>
      <w:r w:rsidR="00C078A9" w:rsidRPr="00701335">
        <w:rPr>
          <w:noProof w:val="0"/>
          <w:lang w:val="it-IT"/>
        </w:rPr>
        <w:t>Cozzani</w:t>
      </w:r>
      <w:r w:rsidR="00C078A9" w:rsidRPr="00701335">
        <w:rPr>
          <w:noProof w:val="0"/>
          <w:vertAlign w:val="superscript"/>
          <w:lang w:val="it-IT"/>
        </w:rPr>
        <w:t>a</w:t>
      </w:r>
      <w:proofErr w:type="spellEnd"/>
    </w:p>
    <w:p w14:paraId="3E0A0C83" w14:textId="77777777" w:rsidR="008815FE" w:rsidRPr="00701335" w:rsidRDefault="00B57E6F" w:rsidP="00B57E6F">
      <w:pPr>
        <w:pStyle w:val="CETAddress"/>
        <w:rPr>
          <w:noProof w:val="0"/>
          <w:lang w:val="it-IT"/>
        </w:rPr>
      </w:pPr>
      <w:r w:rsidRPr="00701335">
        <w:rPr>
          <w:noProof w:val="0"/>
          <w:vertAlign w:val="superscript"/>
          <w:lang w:val="it-IT"/>
        </w:rPr>
        <w:t>a</w:t>
      </w:r>
      <w:r w:rsidR="008815FE" w:rsidRPr="00701335">
        <w:rPr>
          <w:noProof w:val="0"/>
          <w:lang w:val="it-IT"/>
        </w:rPr>
        <w:t>LISES - Dipartimento di Ingegneria Civile, Chimica, Ambientale e dei Materiali, Alma Mater Studiorum - Università di Bologna, 40131 Bologna, Italy</w:t>
      </w:r>
    </w:p>
    <w:p w14:paraId="3D72B0B0" w14:textId="16C3178E" w:rsidR="00B57E6F" w:rsidRPr="001A1EE2" w:rsidRDefault="00B57E6F" w:rsidP="00B57E6F">
      <w:pPr>
        <w:pStyle w:val="CETAddress"/>
        <w:rPr>
          <w:noProof w:val="0"/>
        </w:rPr>
      </w:pPr>
      <w:r w:rsidRPr="001A1EE2">
        <w:rPr>
          <w:noProof w:val="0"/>
          <w:vertAlign w:val="superscript"/>
        </w:rPr>
        <w:t>b</w:t>
      </w:r>
      <w:r w:rsidR="009D2B5C" w:rsidRPr="001A1EE2">
        <w:rPr>
          <w:noProof w:val="0"/>
        </w:rPr>
        <w:t>Department of Mechanical and Industrial Engineering, NTNU – Norwegian University of Science and Technology, 7034, Trondheim, Norway</w:t>
      </w:r>
    </w:p>
    <w:p w14:paraId="73F1267A" w14:textId="6CE72C5B" w:rsidR="00B57E6F" w:rsidRPr="001A1EE2" w:rsidRDefault="00FF2011" w:rsidP="00B57E6F">
      <w:pPr>
        <w:pStyle w:val="CETemail"/>
        <w:rPr>
          <w:noProof w:val="0"/>
        </w:rPr>
      </w:pPr>
      <w:r w:rsidRPr="001A1EE2">
        <w:rPr>
          <w:noProof w:val="0"/>
        </w:rPr>
        <w:t>federica.tamburini9</w:t>
      </w:r>
      <w:r w:rsidR="00B57E6F" w:rsidRPr="001A1EE2">
        <w:rPr>
          <w:noProof w:val="0"/>
        </w:rPr>
        <w:t>@</w:t>
      </w:r>
      <w:r w:rsidRPr="001A1EE2">
        <w:rPr>
          <w:noProof w:val="0"/>
        </w:rPr>
        <w:t>unibo.it</w:t>
      </w:r>
    </w:p>
    <w:p w14:paraId="12314919" w14:textId="23044851" w:rsidR="00B62446" w:rsidRPr="001A1EE2" w:rsidRDefault="00993313" w:rsidP="00600535">
      <w:pPr>
        <w:pStyle w:val="CETBodytext"/>
        <w:rPr>
          <w:lang w:val="en-GB"/>
        </w:rPr>
      </w:pPr>
      <w:r w:rsidRPr="001A1EE2">
        <w:rPr>
          <w:lang w:val="en-GB"/>
        </w:rPr>
        <w:t xml:space="preserve">Natural hazards </w:t>
      </w:r>
      <w:r w:rsidR="00B62446" w:rsidRPr="001A1EE2">
        <w:rPr>
          <w:lang w:val="en-GB"/>
        </w:rPr>
        <w:t>hold</w:t>
      </w:r>
      <w:r w:rsidRPr="001A1EE2">
        <w:rPr>
          <w:lang w:val="en-GB"/>
        </w:rPr>
        <w:t xml:space="preserve"> the potential to </w:t>
      </w:r>
      <w:r w:rsidR="005D06E8" w:rsidRPr="001A1EE2">
        <w:rPr>
          <w:lang w:val="en-GB"/>
        </w:rPr>
        <w:t>impact</w:t>
      </w:r>
      <w:r w:rsidR="00C078A9" w:rsidRPr="001A1EE2">
        <w:rPr>
          <w:lang w:val="en-GB"/>
        </w:rPr>
        <w:t xml:space="preserve"> </w:t>
      </w:r>
      <w:r w:rsidRPr="001A1EE2">
        <w:rPr>
          <w:lang w:val="en-GB"/>
        </w:rPr>
        <w:t xml:space="preserve">technological infrastructure, triggering multiple disasters and exposing </w:t>
      </w:r>
      <w:r w:rsidR="00B62446" w:rsidRPr="001A1EE2">
        <w:rPr>
          <w:lang w:val="en-GB"/>
        </w:rPr>
        <w:t xml:space="preserve">both </w:t>
      </w:r>
      <w:r w:rsidRPr="001A1EE2">
        <w:rPr>
          <w:lang w:val="en-GB"/>
        </w:rPr>
        <w:t xml:space="preserve">the population and the environment at risk. </w:t>
      </w:r>
      <w:r w:rsidR="00224AD8" w:rsidRPr="001A1EE2">
        <w:rPr>
          <w:lang w:val="en-GB"/>
        </w:rPr>
        <w:t>The</w:t>
      </w:r>
      <w:r w:rsidRPr="001A1EE2">
        <w:rPr>
          <w:lang w:val="en-GB"/>
        </w:rPr>
        <w:t xml:space="preserve"> </w:t>
      </w:r>
      <w:r w:rsidR="00B62446" w:rsidRPr="001A1EE2">
        <w:rPr>
          <w:lang w:val="en-GB"/>
        </w:rPr>
        <w:t>continuous rise</w:t>
      </w:r>
      <w:r w:rsidRPr="001A1EE2">
        <w:rPr>
          <w:lang w:val="en-GB"/>
        </w:rPr>
        <w:t xml:space="preserve"> in carbon emissions from anthropogenic activities</w:t>
      </w:r>
      <w:r w:rsidR="005F6F81" w:rsidRPr="001A1EE2">
        <w:rPr>
          <w:lang w:val="en-GB"/>
        </w:rPr>
        <w:t xml:space="preserve"> </w:t>
      </w:r>
      <w:r w:rsidR="005D06E8" w:rsidRPr="001A1EE2">
        <w:rPr>
          <w:lang w:val="en-GB"/>
        </w:rPr>
        <w:t xml:space="preserve">has </w:t>
      </w:r>
      <w:r w:rsidR="00B62446" w:rsidRPr="001A1EE2">
        <w:rPr>
          <w:lang w:val="en-GB"/>
        </w:rPr>
        <w:t>led to</w:t>
      </w:r>
      <w:r w:rsidR="006B5C77" w:rsidRPr="001A1EE2">
        <w:rPr>
          <w:lang w:val="en-GB"/>
        </w:rPr>
        <w:t xml:space="preserve"> </w:t>
      </w:r>
      <w:r w:rsidRPr="001A1EE2">
        <w:rPr>
          <w:lang w:val="en-GB"/>
        </w:rPr>
        <w:t>an escalating climate change crisis, contributing to increased frequency and severity of Natech (Natural Hazard-Triggered Technological</w:t>
      </w:r>
      <w:r w:rsidR="00EF1EFA" w:rsidRPr="001A1EE2">
        <w:rPr>
          <w:lang w:val="en-GB"/>
        </w:rPr>
        <w:t xml:space="preserve"> Disasters</w:t>
      </w:r>
      <w:r w:rsidRPr="001A1EE2">
        <w:rPr>
          <w:lang w:val="en-GB"/>
        </w:rPr>
        <w:t>) scenarios</w:t>
      </w:r>
      <w:r w:rsidR="006B5C77" w:rsidRPr="001A1EE2">
        <w:rPr>
          <w:lang w:val="en-GB"/>
        </w:rPr>
        <w:t>. Th</w:t>
      </w:r>
      <w:r w:rsidR="00B525F7">
        <w:rPr>
          <w:lang w:val="en-GB"/>
        </w:rPr>
        <w:t>ese</w:t>
      </w:r>
      <w:r w:rsidR="006B5C77" w:rsidRPr="001A1EE2">
        <w:rPr>
          <w:lang w:val="en-GB"/>
        </w:rPr>
        <w:t xml:space="preserve"> scenarios pose</w:t>
      </w:r>
      <w:r w:rsidR="00F72D3D">
        <w:rPr>
          <w:lang w:val="en-GB"/>
        </w:rPr>
        <w:t xml:space="preserve"> </w:t>
      </w:r>
      <w:r w:rsidR="001447DD" w:rsidRPr="001A1EE2">
        <w:rPr>
          <w:lang w:val="en-GB"/>
        </w:rPr>
        <w:t>significant threats to</w:t>
      </w:r>
      <w:r w:rsidRPr="001A1EE2">
        <w:rPr>
          <w:lang w:val="en-GB"/>
        </w:rPr>
        <w:t xml:space="preserve"> critical infrastructure, </w:t>
      </w:r>
      <w:r w:rsidR="001447DD" w:rsidRPr="001A1EE2">
        <w:rPr>
          <w:lang w:val="en-GB"/>
        </w:rPr>
        <w:t>including</w:t>
      </w:r>
      <w:r w:rsidRPr="001A1EE2">
        <w:rPr>
          <w:lang w:val="en-GB"/>
        </w:rPr>
        <w:t xml:space="preserve"> Carbon Capture and Storage (CCS) plants.</w:t>
      </w:r>
      <w:r w:rsidR="00BC3A26" w:rsidRPr="001A1EE2">
        <w:rPr>
          <w:lang w:val="en-GB"/>
        </w:rPr>
        <w:t xml:space="preserve"> CCS </w:t>
      </w:r>
      <w:r w:rsidR="00B74A6E" w:rsidRPr="001A1EE2">
        <w:rPr>
          <w:lang w:val="en-GB"/>
        </w:rPr>
        <w:t>serves</w:t>
      </w:r>
      <w:r w:rsidR="00BC3A26" w:rsidRPr="001A1EE2">
        <w:rPr>
          <w:lang w:val="en-GB"/>
        </w:rPr>
        <w:t xml:space="preserve"> as a </w:t>
      </w:r>
      <w:r w:rsidR="00B74A6E" w:rsidRPr="001A1EE2">
        <w:rPr>
          <w:lang w:val="en-GB"/>
        </w:rPr>
        <w:t>crucial</w:t>
      </w:r>
      <w:r w:rsidR="00BC3A26" w:rsidRPr="001A1EE2">
        <w:rPr>
          <w:lang w:val="en-GB"/>
        </w:rPr>
        <w:t xml:space="preserve"> short-term decarbonization solution</w:t>
      </w:r>
      <w:r w:rsidR="00275E03" w:rsidRPr="001A1EE2">
        <w:rPr>
          <w:lang w:val="en-GB"/>
        </w:rPr>
        <w:t xml:space="preserve"> </w:t>
      </w:r>
      <w:r w:rsidR="0054498D" w:rsidRPr="001A1EE2">
        <w:rPr>
          <w:lang w:val="en-GB"/>
        </w:rPr>
        <w:t xml:space="preserve">able to </w:t>
      </w:r>
      <w:proofErr w:type="spellStart"/>
      <w:r w:rsidR="00B74A6E" w:rsidRPr="001A1EE2">
        <w:rPr>
          <w:lang w:val="en-GB"/>
        </w:rPr>
        <w:t>combact</w:t>
      </w:r>
      <w:proofErr w:type="spellEnd"/>
      <w:r w:rsidRPr="001A1EE2">
        <w:rPr>
          <w:lang w:val="en-GB"/>
        </w:rPr>
        <w:t xml:space="preserve"> global warming</w:t>
      </w:r>
      <w:r w:rsidR="00695927" w:rsidRPr="001A1EE2">
        <w:rPr>
          <w:lang w:val="en-GB"/>
        </w:rPr>
        <w:t xml:space="preserve">. </w:t>
      </w:r>
      <w:r w:rsidR="00C078A9" w:rsidRPr="001A1EE2">
        <w:rPr>
          <w:lang w:val="en-GB"/>
        </w:rPr>
        <w:t>However, c</w:t>
      </w:r>
      <w:r w:rsidR="000A0F98" w:rsidRPr="001A1EE2">
        <w:rPr>
          <w:lang w:val="en-GB"/>
        </w:rPr>
        <w:t xml:space="preserve">limate change-related extreme weather events </w:t>
      </w:r>
      <w:r w:rsidR="00C078A9" w:rsidRPr="001A1EE2">
        <w:rPr>
          <w:lang w:val="en-GB"/>
        </w:rPr>
        <w:t>may</w:t>
      </w:r>
      <w:r w:rsidR="000A0F98" w:rsidRPr="001A1EE2">
        <w:rPr>
          <w:lang w:val="en-GB"/>
        </w:rPr>
        <w:t xml:space="preserve"> cause Natech </w:t>
      </w:r>
      <w:r w:rsidR="00C537CD" w:rsidRPr="001A1EE2">
        <w:rPr>
          <w:lang w:val="en-GB"/>
        </w:rPr>
        <w:t>scenarios</w:t>
      </w:r>
      <w:r w:rsidR="000A0F98" w:rsidRPr="001A1EE2">
        <w:rPr>
          <w:lang w:val="en-GB"/>
        </w:rPr>
        <w:t xml:space="preserve"> in CCS facilities</w:t>
      </w:r>
      <w:r w:rsidR="005D06E8" w:rsidRPr="001A1EE2">
        <w:rPr>
          <w:lang w:val="en-GB"/>
        </w:rPr>
        <w:t xml:space="preserve">, compromising equipment </w:t>
      </w:r>
      <w:r w:rsidR="00E83697" w:rsidRPr="001A1EE2">
        <w:rPr>
          <w:lang w:val="en-GB"/>
        </w:rPr>
        <w:t xml:space="preserve">integrity </w:t>
      </w:r>
      <w:r w:rsidR="005D06E8" w:rsidRPr="001A1EE2">
        <w:rPr>
          <w:lang w:val="en-GB"/>
        </w:rPr>
        <w:t>and releasing stored carbon dioxide (CO</w:t>
      </w:r>
      <w:r w:rsidR="005D06E8" w:rsidRPr="001A1EE2">
        <w:rPr>
          <w:vertAlign w:val="subscript"/>
          <w:lang w:val="en-GB"/>
        </w:rPr>
        <w:t>2</w:t>
      </w:r>
      <w:r w:rsidR="005D06E8" w:rsidRPr="001A1EE2">
        <w:rPr>
          <w:lang w:val="en-GB"/>
        </w:rPr>
        <w:t>) and other substances.</w:t>
      </w:r>
      <w:r w:rsidR="00FE3ED0" w:rsidRPr="001A1EE2">
        <w:rPr>
          <w:lang w:val="en-GB"/>
        </w:rPr>
        <w:t xml:space="preserve"> </w:t>
      </w:r>
      <w:r w:rsidR="0031153C" w:rsidRPr="001A1EE2">
        <w:rPr>
          <w:lang w:val="en-GB"/>
        </w:rPr>
        <w:t>This</w:t>
      </w:r>
      <w:r w:rsidR="000A0F98" w:rsidRPr="001A1EE2">
        <w:rPr>
          <w:lang w:val="en-GB"/>
        </w:rPr>
        <w:t xml:space="preserve"> </w:t>
      </w:r>
      <w:r w:rsidR="002F5BB7" w:rsidRPr="001A1EE2">
        <w:rPr>
          <w:lang w:val="en-GB"/>
        </w:rPr>
        <w:t>exacerbates</w:t>
      </w:r>
      <w:r w:rsidR="000A0F98" w:rsidRPr="001A1EE2">
        <w:rPr>
          <w:lang w:val="en-GB"/>
        </w:rPr>
        <w:t xml:space="preserve"> global warming, contaminate</w:t>
      </w:r>
      <w:r w:rsidR="002F5BB7" w:rsidRPr="001A1EE2">
        <w:rPr>
          <w:lang w:val="en-GB"/>
        </w:rPr>
        <w:t>s</w:t>
      </w:r>
      <w:r w:rsidR="000A0F98" w:rsidRPr="001A1EE2">
        <w:rPr>
          <w:lang w:val="en-GB"/>
        </w:rPr>
        <w:t xml:space="preserve"> flood waters, or </w:t>
      </w:r>
      <w:r w:rsidR="002F5BB7" w:rsidRPr="001A1EE2">
        <w:rPr>
          <w:lang w:val="en-GB"/>
        </w:rPr>
        <w:t>induces</w:t>
      </w:r>
      <w:r w:rsidR="000A0F98" w:rsidRPr="001A1EE2">
        <w:rPr>
          <w:lang w:val="en-GB"/>
        </w:rPr>
        <w:t xml:space="preserve"> fire. </w:t>
      </w:r>
      <w:r w:rsidR="00BE212B" w:rsidRPr="001A1EE2">
        <w:rPr>
          <w:lang w:val="en-GB"/>
        </w:rPr>
        <w:t xml:space="preserve">The intricate link between climate change, Natech events, and resilient CCS infrastructure underscores the importance </w:t>
      </w:r>
      <w:r w:rsidRPr="001A1EE2">
        <w:rPr>
          <w:lang w:val="en-GB"/>
        </w:rPr>
        <w:t xml:space="preserve">of climate change mitigation and adaptation strategies. Given the lack of literature regarding Natech scenarios affecting CCS plants, </w:t>
      </w:r>
      <w:r w:rsidR="0031153C" w:rsidRPr="001A1EE2">
        <w:rPr>
          <w:lang w:val="en-GB"/>
        </w:rPr>
        <w:t>this</w:t>
      </w:r>
      <w:r w:rsidRPr="001A1EE2">
        <w:rPr>
          <w:lang w:val="en-GB"/>
        </w:rPr>
        <w:t xml:space="preserve"> paper </w:t>
      </w:r>
      <w:r w:rsidR="0031153C" w:rsidRPr="001A1EE2">
        <w:rPr>
          <w:lang w:val="en-GB"/>
        </w:rPr>
        <w:t xml:space="preserve">investigates </w:t>
      </w:r>
      <w:r w:rsidRPr="001A1EE2">
        <w:rPr>
          <w:lang w:val="en-GB"/>
        </w:rPr>
        <w:t xml:space="preserve">the CCS value chain with the </w:t>
      </w:r>
      <w:r w:rsidR="00C33DA9" w:rsidRPr="001A1EE2">
        <w:rPr>
          <w:lang w:val="en-GB"/>
        </w:rPr>
        <w:t>objective</w:t>
      </w:r>
      <w:r w:rsidRPr="001A1EE2">
        <w:rPr>
          <w:lang w:val="en-GB"/>
        </w:rPr>
        <w:t xml:space="preserve"> of identifying</w:t>
      </w:r>
      <w:r w:rsidR="00ED2914" w:rsidRPr="001A1EE2">
        <w:rPr>
          <w:lang w:val="en-GB"/>
        </w:rPr>
        <w:t xml:space="preserve"> </w:t>
      </w:r>
      <w:r w:rsidR="00DA187A" w:rsidRPr="001A1EE2">
        <w:rPr>
          <w:lang w:val="en-GB"/>
        </w:rPr>
        <w:t xml:space="preserve">vulnerable </w:t>
      </w:r>
      <w:r w:rsidR="00F2110E" w:rsidRPr="001A1EE2">
        <w:rPr>
          <w:lang w:val="en-GB"/>
        </w:rPr>
        <w:t>components</w:t>
      </w:r>
      <w:r w:rsidR="00DA187A" w:rsidRPr="001A1EE2">
        <w:rPr>
          <w:lang w:val="en-GB"/>
        </w:rPr>
        <w:t xml:space="preserve"> </w:t>
      </w:r>
      <w:r w:rsidR="0043084D">
        <w:rPr>
          <w:lang w:val="en-GB"/>
        </w:rPr>
        <w:t>to</w:t>
      </w:r>
      <w:r w:rsidR="00DA187A" w:rsidRPr="001A1EE2">
        <w:rPr>
          <w:lang w:val="en-GB"/>
        </w:rPr>
        <w:t xml:space="preserve"> potential natural events</w:t>
      </w:r>
      <w:r w:rsidRPr="001A1EE2">
        <w:rPr>
          <w:lang w:val="en-GB"/>
        </w:rPr>
        <w:t xml:space="preserve">. An inherent safety approach is applied to </w:t>
      </w:r>
      <w:r w:rsidR="00C2607C" w:rsidRPr="001A1EE2">
        <w:rPr>
          <w:lang w:val="en-GB"/>
        </w:rPr>
        <w:t>assess</w:t>
      </w:r>
      <w:r w:rsidR="00F37ED4" w:rsidRPr="001A1EE2">
        <w:rPr>
          <w:lang w:val="en-GB"/>
        </w:rPr>
        <w:t xml:space="preserve"> how risk increases</w:t>
      </w:r>
      <w:r w:rsidR="00FF4145" w:rsidRPr="001A1EE2">
        <w:rPr>
          <w:lang w:val="en-GB"/>
        </w:rPr>
        <w:t xml:space="preserve"> considering natural events as potential causes of </w:t>
      </w:r>
      <w:r w:rsidR="00A20E43" w:rsidRPr="001A1EE2">
        <w:rPr>
          <w:lang w:val="en-GB"/>
        </w:rPr>
        <w:t xml:space="preserve">equipment </w:t>
      </w:r>
      <w:r w:rsidR="00FF4145" w:rsidRPr="001A1EE2">
        <w:rPr>
          <w:lang w:val="en-GB"/>
        </w:rPr>
        <w:t>failure</w:t>
      </w:r>
      <w:r w:rsidRPr="001A1EE2">
        <w:rPr>
          <w:lang w:val="en-GB"/>
        </w:rPr>
        <w:t>.</w:t>
      </w:r>
      <w:bookmarkStart w:id="0" w:name="_Hlk495475023"/>
      <w:r w:rsidR="0031642E">
        <w:rPr>
          <w:lang w:val="en-GB"/>
        </w:rPr>
        <w:t xml:space="preserve"> </w:t>
      </w:r>
      <w:r w:rsidR="00AA1668" w:rsidRPr="001A1EE2">
        <w:rPr>
          <w:lang w:val="en-GB"/>
        </w:rPr>
        <w:t>This study on Natech risks in CCS plants aims to enhance environmental protection, secure critical infrastructure, and foster a resilient, sustainable future.</w:t>
      </w:r>
    </w:p>
    <w:bookmarkEnd w:id="0"/>
    <w:p w14:paraId="476B2F2E" w14:textId="33F2BF41" w:rsidR="00600535" w:rsidRPr="001A1EE2" w:rsidRDefault="00600535" w:rsidP="00600535">
      <w:pPr>
        <w:pStyle w:val="CETHeading1"/>
        <w:rPr>
          <w:lang w:val="en-GB"/>
        </w:rPr>
      </w:pPr>
      <w:r w:rsidRPr="001A1EE2">
        <w:rPr>
          <w:lang w:val="en-GB"/>
        </w:rPr>
        <w:t>Introduction</w:t>
      </w:r>
    </w:p>
    <w:p w14:paraId="48FE53C6" w14:textId="75B56EC9" w:rsidR="00AA1668" w:rsidRPr="001A1EE2" w:rsidRDefault="00825FD4" w:rsidP="00B76E22">
      <w:pPr>
        <w:pStyle w:val="CETBodytext"/>
        <w:rPr>
          <w:lang w:val="en-GB"/>
        </w:rPr>
      </w:pPr>
      <w:r w:rsidRPr="001A1EE2">
        <w:rPr>
          <w:lang w:val="en-GB"/>
        </w:rPr>
        <w:t xml:space="preserve">In </w:t>
      </w:r>
      <w:r w:rsidR="002E37BF" w:rsidRPr="001A1EE2">
        <w:rPr>
          <w:lang w:val="en-GB"/>
        </w:rPr>
        <w:t>the chemical and process industry</w:t>
      </w:r>
      <w:r w:rsidR="00E428FD" w:rsidRPr="001A1EE2">
        <w:rPr>
          <w:lang w:val="en-GB"/>
        </w:rPr>
        <w:t xml:space="preserve">, </w:t>
      </w:r>
      <w:r w:rsidR="008F5E16" w:rsidRPr="001A1EE2">
        <w:rPr>
          <w:lang w:val="en-GB"/>
        </w:rPr>
        <w:t>serious</w:t>
      </w:r>
      <w:r w:rsidR="0008670A" w:rsidRPr="001A1EE2">
        <w:rPr>
          <w:lang w:val="en-GB"/>
        </w:rPr>
        <w:t xml:space="preserve"> accidents can be triggered by natural events impacting </w:t>
      </w:r>
      <w:r w:rsidR="008400FF" w:rsidRPr="001A1EE2">
        <w:rPr>
          <w:lang w:val="en-GB"/>
        </w:rPr>
        <w:t>process and storage equipment</w:t>
      </w:r>
      <w:r w:rsidR="000D1222" w:rsidRPr="001A1EE2">
        <w:rPr>
          <w:lang w:val="en-GB"/>
        </w:rPr>
        <w:t xml:space="preserve"> </w:t>
      </w:r>
      <w:r w:rsidR="00B64A0A">
        <w:rPr>
          <w:lang w:val="en-GB"/>
        </w:rPr>
        <w:t>(</w:t>
      </w:r>
      <w:r w:rsidR="00B64A0A" w:rsidRPr="001A1EE2">
        <w:rPr>
          <w:rStyle w:val="CETCaptionCarattere"/>
          <w:i w:val="0"/>
        </w:rPr>
        <w:t>Cozzani et al.</w:t>
      </w:r>
      <w:r w:rsidR="00B64A0A">
        <w:rPr>
          <w:rStyle w:val="CETCaptionCarattere"/>
          <w:i w:val="0"/>
        </w:rPr>
        <w:t>,</w:t>
      </w:r>
      <w:r w:rsidR="00B64A0A" w:rsidRPr="001A1EE2">
        <w:rPr>
          <w:rStyle w:val="CETCaptionCarattere"/>
          <w:i w:val="0"/>
        </w:rPr>
        <w:t xml:space="preserve"> 2010)</w:t>
      </w:r>
      <w:r w:rsidR="000F1D68" w:rsidRPr="001A1EE2">
        <w:rPr>
          <w:lang w:val="en-GB"/>
        </w:rPr>
        <w:t>.</w:t>
      </w:r>
      <w:r w:rsidR="00D934F7" w:rsidRPr="001A1EE2">
        <w:rPr>
          <w:lang w:val="en-GB"/>
        </w:rPr>
        <w:t xml:space="preserve"> </w:t>
      </w:r>
      <w:r w:rsidR="00D0347E" w:rsidRPr="001A1EE2">
        <w:rPr>
          <w:lang w:val="en-GB"/>
        </w:rPr>
        <w:t xml:space="preserve">These </w:t>
      </w:r>
      <w:r w:rsidR="00BC10F1" w:rsidRPr="001A1EE2">
        <w:rPr>
          <w:lang w:val="en-GB"/>
        </w:rPr>
        <w:t>kind</w:t>
      </w:r>
      <w:r w:rsidR="00D0347E" w:rsidRPr="001A1EE2">
        <w:rPr>
          <w:lang w:val="en-GB"/>
        </w:rPr>
        <w:t>s</w:t>
      </w:r>
      <w:r w:rsidR="00BC10F1" w:rsidRPr="001A1EE2">
        <w:rPr>
          <w:lang w:val="en-GB"/>
        </w:rPr>
        <w:t xml:space="preserve"> of accidents are called Natech </w:t>
      </w:r>
      <w:r w:rsidR="00DE4888" w:rsidRPr="001A1EE2">
        <w:rPr>
          <w:lang w:val="en-GB"/>
        </w:rPr>
        <w:t>(Natural Hazard-Triggered Technological</w:t>
      </w:r>
      <w:r w:rsidR="00EF1EFA" w:rsidRPr="001A1EE2">
        <w:rPr>
          <w:lang w:val="en-GB"/>
        </w:rPr>
        <w:t xml:space="preserve"> Disasters</w:t>
      </w:r>
      <w:r w:rsidR="00DE4888" w:rsidRPr="001A1EE2">
        <w:rPr>
          <w:lang w:val="en-GB"/>
        </w:rPr>
        <w:t xml:space="preserve">) </w:t>
      </w:r>
      <w:r w:rsidR="008E1691" w:rsidRPr="001A1EE2">
        <w:rPr>
          <w:lang w:val="en-GB"/>
        </w:rPr>
        <w:t>scenarios</w:t>
      </w:r>
      <w:r w:rsidR="00A10DF8" w:rsidRPr="001A1EE2">
        <w:rPr>
          <w:lang w:val="en-GB"/>
        </w:rPr>
        <w:t xml:space="preserve"> and may lead to extremely severe consequences</w:t>
      </w:r>
      <w:r w:rsidR="001A172B" w:rsidRPr="001A1EE2">
        <w:rPr>
          <w:lang w:val="en-GB"/>
        </w:rPr>
        <w:t xml:space="preserve"> </w:t>
      </w:r>
      <w:r w:rsidR="003F35E9" w:rsidRPr="001A1EE2">
        <w:rPr>
          <w:lang w:val="en-GB"/>
        </w:rPr>
        <w:t>with respect to</w:t>
      </w:r>
      <w:r w:rsidR="001A172B" w:rsidRPr="001A1EE2">
        <w:rPr>
          <w:lang w:val="en-GB"/>
        </w:rPr>
        <w:t xml:space="preserve"> </w:t>
      </w:r>
      <w:r w:rsidR="00891241" w:rsidRPr="001A1EE2">
        <w:rPr>
          <w:lang w:val="en-GB"/>
        </w:rPr>
        <w:t>human</w:t>
      </w:r>
      <w:r w:rsidR="001A172B" w:rsidRPr="001A1EE2">
        <w:rPr>
          <w:lang w:val="en-GB"/>
        </w:rPr>
        <w:t xml:space="preserve"> and asset</w:t>
      </w:r>
      <w:r w:rsidR="003F35E9" w:rsidRPr="001A1EE2">
        <w:rPr>
          <w:lang w:val="en-GB"/>
        </w:rPr>
        <w:t xml:space="preserve"> targets</w:t>
      </w:r>
      <w:r w:rsidR="007B19AC" w:rsidRPr="001A1EE2">
        <w:rPr>
          <w:lang w:val="en-GB"/>
        </w:rPr>
        <w:t xml:space="preserve">, </w:t>
      </w:r>
      <w:r w:rsidR="0065509A" w:rsidRPr="001A1EE2">
        <w:rPr>
          <w:lang w:val="en-GB"/>
        </w:rPr>
        <w:t xml:space="preserve">involving </w:t>
      </w:r>
      <w:r w:rsidR="007B19AC" w:rsidRPr="001A1EE2">
        <w:rPr>
          <w:lang w:val="en-GB"/>
        </w:rPr>
        <w:t>e</w:t>
      </w:r>
      <w:r w:rsidR="001A172B" w:rsidRPr="001A1EE2">
        <w:rPr>
          <w:lang w:val="en-GB"/>
        </w:rPr>
        <w:t>quipment damage</w:t>
      </w:r>
      <w:r w:rsidR="0065509A" w:rsidRPr="001A1EE2">
        <w:rPr>
          <w:lang w:val="en-GB"/>
        </w:rPr>
        <w:t>s</w:t>
      </w:r>
      <w:r w:rsidR="001A172B" w:rsidRPr="001A1EE2">
        <w:rPr>
          <w:lang w:val="en-GB"/>
        </w:rPr>
        <w:t xml:space="preserve"> and hazardous</w:t>
      </w:r>
      <w:r w:rsidR="00ED0AFE" w:rsidRPr="001A1EE2">
        <w:rPr>
          <w:lang w:val="en-GB"/>
        </w:rPr>
        <w:t xml:space="preserve"> substances release</w:t>
      </w:r>
      <w:r w:rsidR="0065509A" w:rsidRPr="001A1EE2">
        <w:rPr>
          <w:lang w:val="en-GB"/>
        </w:rPr>
        <w:t>s</w:t>
      </w:r>
      <w:r w:rsidR="00ED0AFE" w:rsidRPr="001A1EE2">
        <w:rPr>
          <w:lang w:val="en-GB"/>
        </w:rPr>
        <w:t xml:space="preserve"> </w:t>
      </w:r>
      <w:r w:rsidR="00452FEC" w:rsidRPr="001A1EE2">
        <w:rPr>
          <w:lang w:val="en-GB"/>
        </w:rPr>
        <w:t xml:space="preserve">that cause </w:t>
      </w:r>
      <w:r w:rsidR="00ED0AFE" w:rsidRPr="001A1EE2">
        <w:rPr>
          <w:lang w:val="en-GB"/>
        </w:rPr>
        <w:t>toxic dispersion</w:t>
      </w:r>
      <w:r w:rsidR="0065509A" w:rsidRPr="001A1EE2">
        <w:rPr>
          <w:lang w:val="en-GB"/>
        </w:rPr>
        <w:t>s</w:t>
      </w:r>
      <w:r w:rsidR="00ED0AFE" w:rsidRPr="001A1EE2">
        <w:rPr>
          <w:lang w:val="en-GB"/>
        </w:rPr>
        <w:t>, explosion</w:t>
      </w:r>
      <w:r w:rsidR="0065509A" w:rsidRPr="001A1EE2">
        <w:rPr>
          <w:lang w:val="en-GB"/>
        </w:rPr>
        <w:t>s</w:t>
      </w:r>
      <w:r w:rsidR="00ED0AFE" w:rsidRPr="001A1EE2">
        <w:rPr>
          <w:lang w:val="en-GB"/>
        </w:rPr>
        <w:t>, fire</w:t>
      </w:r>
      <w:r w:rsidR="0065509A" w:rsidRPr="001A1EE2">
        <w:rPr>
          <w:lang w:val="en-GB"/>
        </w:rPr>
        <w:t>s</w:t>
      </w:r>
      <w:r w:rsidR="00D22586" w:rsidRPr="001A1EE2">
        <w:rPr>
          <w:lang w:val="en-GB"/>
        </w:rPr>
        <w:t xml:space="preserve">, </w:t>
      </w:r>
      <w:r w:rsidR="00ED0AFE" w:rsidRPr="001A1EE2">
        <w:rPr>
          <w:lang w:val="en-GB"/>
        </w:rPr>
        <w:t>o</w:t>
      </w:r>
      <w:r w:rsidR="00865E6F" w:rsidRPr="001A1EE2">
        <w:rPr>
          <w:lang w:val="en-GB"/>
        </w:rPr>
        <w:t>r</w:t>
      </w:r>
      <w:r w:rsidR="00ED0AFE" w:rsidRPr="001A1EE2">
        <w:rPr>
          <w:lang w:val="en-GB"/>
        </w:rPr>
        <w:t xml:space="preserve"> environmental </w:t>
      </w:r>
      <w:r w:rsidR="00865E6F" w:rsidRPr="001A1EE2">
        <w:rPr>
          <w:lang w:val="en-GB"/>
        </w:rPr>
        <w:t>contamination</w:t>
      </w:r>
      <w:r w:rsidR="00C6197A" w:rsidRPr="001A1EE2">
        <w:rPr>
          <w:lang w:val="en-GB"/>
        </w:rPr>
        <w:t xml:space="preserve"> (Antonioni et al., 2015)</w:t>
      </w:r>
      <w:r w:rsidR="00ED0AFE" w:rsidRPr="001A1EE2">
        <w:rPr>
          <w:lang w:val="en-GB"/>
        </w:rPr>
        <w:t>.</w:t>
      </w:r>
      <w:r w:rsidR="00865E6F" w:rsidRPr="001A1EE2">
        <w:rPr>
          <w:lang w:val="en-GB"/>
        </w:rPr>
        <w:t xml:space="preserve"> </w:t>
      </w:r>
      <w:r w:rsidR="006D1433" w:rsidRPr="001A1EE2">
        <w:rPr>
          <w:lang w:val="en-GB"/>
        </w:rPr>
        <w:t xml:space="preserve">Among all the typologies of natural </w:t>
      </w:r>
      <w:r w:rsidR="004632F4" w:rsidRPr="001A1EE2">
        <w:rPr>
          <w:lang w:val="en-GB"/>
        </w:rPr>
        <w:t>calamities</w:t>
      </w:r>
      <w:r w:rsidR="006D1433" w:rsidRPr="001A1EE2">
        <w:rPr>
          <w:lang w:val="en-GB"/>
        </w:rPr>
        <w:t xml:space="preserve">, </w:t>
      </w:r>
      <w:r w:rsidR="00865E6F" w:rsidRPr="001A1EE2">
        <w:rPr>
          <w:lang w:val="en-GB"/>
        </w:rPr>
        <w:t>an increase in</w:t>
      </w:r>
      <w:r w:rsidR="006D1433" w:rsidRPr="001A1EE2">
        <w:rPr>
          <w:lang w:val="en-GB"/>
        </w:rPr>
        <w:t xml:space="preserve"> the number of hydro-meteorological events </w:t>
      </w:r>
      <w:r w:rsidR="00D0347E" w:rsidRPr="001A1EE2">
        <w:rPr>
          <w:lang w:val="en-GB"/>
        </w:rPr>
        <w:t>has been</w:t>
      </w:r>
      <w:r w:rsidR="00180771" w:rsidRPr="001A1EE2">
        <w:rPr>
          <w:lang w:val="en-GB"/>
        </w:rPr>
        <w:t xml:space="preserve"> observed</w:t>
      </w:r>
      <w:r w:rsidR="00D0347E" w:rsidRPr="001A1EE2">
        <w:rPr>
          <w:lang w:val="en-GB"/>
        </w:rPr>
        <w:t xml:space="preserve"> in the last few years</w:t>
      </w:r>
      <w:r w:rsidR="006D1433" w:rsidRPr="001A1EE2">
        <w:rPr>
          <w:lang w:val="en-GB"/>
        </w:rPr>
        <w:t>, and their frequency and severity are expected to grow</w:t>
      </w:r>
      <w:r w:rsidR="00180771" w:rsidRPr="001A1EE2">
        <w:rPr>
          <w:lang w:val="en-GB"/>
        </w:rPr>
        <w:t xml:space="preserve"> </w:t>
      </w:r>
      <w:r w:rsidR="006D1433" w:rsidRPr="001A1EE2">
        <w:rPr>
          <w:lang w:val="en-GB"/>
        </w:rPr>
        <w:t>further due to climate change</w:t>
      </w:r>
      <w:r w:rsidR="00AD6306" w:rsidRPr="001A1EE2">
        <w:rPr>
          <w:lang w:val="en-GB"/>
        </w:rPr>
        <w:t xml:space="preserve"> (Cruz and Krausmann, 2013)</w:t>
      </w:r>
      <w:r w:rsidR="00910615" w:rsidRPr="001A1EE2">
        <w:rPr>
          <w:lang w:val="en-GB"/>
        </w:rPr>
        <w:t xml:space="preserve">. </w:t>
      </w:r>
      <w:r w:rsidR="0054159B" w:rsidRPr="001A1EE2">
        <w:rPr>
          <w:lang w:val="en-GB"/>
        </w:rPr>
        <w:t>Considering</w:t>
      </w:r>
      <w:r w:rsidR="00721920" w:rsidRPr="001A1EE2">
        <w:rPr>
          <w:lang w:val="en-GB"/>
        </w:rPr>
        <w:t xml:space="preserve"> these premises, it is thus</w:t>
      </w:r>
      <w:r w:rsidR="00530278" w:rsidRPr="001A1EE2">
        <w:rPr>
          <w:lang w:val="en-GB"/>
        </w:rPr>
        <w:t xml:space="preserve"> </w:t>
      </w:r>
      <w:r w:rsidR="00721920" w:rsidRPr="001A1EE2">
        <w:rPr>
          <w:lang w:val="en-GB"/>
        </w:rPr>
        <w:t xml:space="preserve">possible that also Natech risk related to flooding </w:t>
      </w:r>
      <w:proofErr w:type="gramStart"/>
      <w:r w:rsidR="00721920" w:rsidRPr="001A1EE2">
        <w:rPr>
          <w:lang w:val="en-GB"/>
        </w:rPr>
        <w:t>m</w:t>
      </w:r>
      <w:r w:rsidR="00C220C3">
        <w:rPr>
          <w:lang w:val="en-GB"/>
        </w:rPr>
        <w:t>ay</w:t>
      </w:r>
      <w:r w:rsidR="002A528B">
        <w:rPr>
          <w:lang w:val="en-GB"/>
        </w:rPr>
        <w:t xml:space="preserve"> </w:t>
      </w:r>
      <w:r w:rsidR="00530278" w:rsidRPr="001A1EE2">
        <w:rPr>
          <w:lang w:val="en-GB"/>
        </w:rPr>
        <w:t xml:space="preserve"> </w:t>
      </w:r>
      <w:r w:rsidR="00721920" w:rsidRPr="001A1EE2">
        <w:rPr>
          <w:lang w:val="en-GB"/>
        </w:rPr>
        <w:t>significantly</w:t>
      </w:r>
      <w:proofErr w:type="gramEnd"/>
      <w:r w:rsidR="00721920" w:rsidRPr="001A1EE2">
        <w:rPr>
          <w:lang w:val="en-GB"/>
        </w:rPr>
        <w:t xml:space="preserve"> grow in the foreseeable future</w:t>
      </w:r>
      <w:r w:rsidR="00AD6306" w:rsidRPr="001A1EE2">
        <w:rPr>
          <w:lang w:val="en-GB"/>
        </w:rPr>
        <w:t xml:space="preserve"> (Caratozzolo et al., 2022)</w:t>
      </w:r>
      <w:r w:rsidR="00A40D3A" w:rsidRPr="001A1EE2">
        <w:rPr>
          <w:lang w:val="en-GB"/>
        </w:rPr>
        <w:t>.</w:t>
      </w:r>
    </w:p>
    <w:p w14:paraId="39E496CD" w14:textId="17D93486" w:rsidR="00B76E22" w:rsidRPr="001A1EE2" w:rsidRDefault="003718DA" w:rsidP="00B76E22">
      <w:pPr>
        <w:pStyle w:val="CETBodytext"/>
        <w:rPr>
          <w:lang w:val="en-GB"/>
        </w:rPr>
      </w:pPr>
      <w:r w:rsidRPr="001A1EE2">
        <w:rPr>
          <w:lang w:val="en-GB"/>
        </w:rPr>
        <w:t>At the same time, the</w:t>
      </w:r>
      <w:r w:rsidR="00825FD4" w:rsidRPr="001A1EE2">
        <w:rPr>
          <w:lang w:val="en-GB"/>
        </w:rPr>
        <w:t xml:space="preserve"> </w:t>
      </w:r>
      <w:r w:rsidR="004A7A6B" w:rsidRPr="001A1EE2">
        <w:rPr>
          <w:lang w:val="en-GB"/>
        </w:rPr>
        <w:t>interest in</w:t>
      </w:r>
      <w:r w:rsidR="00825FD4" w:rsidRPr="001A1EE2">
        <w:rPr>
          <w:lang w:val="en-GB"/>
        </w:rPr>
        <w:t xml:space="preserve"> climate change </w:t>
      </w:r>
      <w:r w:rsidRPr="001A1EE2">
        <w:rPr>
          <w:lang w:val="en-GB"/>
        </w:rPr>
        <w:t>is prompting</w:t>
      </w:r>
      <w:r w:rsidR="00506263" w:rsidRPr="001A1EE2">
        <w:rPr>
          <w:lang w:val="en-GB"/>
        </w:rPr>
        <w:t xml:space="preserve"> </w:t>
      </w:r>
      <w:r w:rsidR="004A7A6B" w:rsidRPr="001A1EE2">
        <w:rPr>
          <w:lang w:val="en-GB"/>
        </w:rPr>
        <w:t>industries and organizations</w:t>
      </w:r>
      <w:r w:rsidR="00506263" w:rsidRPr="001A1EE2">
        <w:rPr>
          <w:lang w:val="en-GB"/>
        </w:rPr>
        <w:t xml:space="preserve"> to implement</w:t>
      </w:r>
      <w:r w:rsidR="00825FD4" w:rsidRPr="001A1EE2">
        <w:rPr>
          <w:lang w:val="en-GB"/>
        </w:rPr>
        <w:t xml:space="preserve"> decarbonization technologies </w:t>
      </w:r>
      <w:r w:rsidR="008A4F82" w:rsidRPr="001A1EE2">
        <w:rPr>
          <w:lang w:val="en-GB"/>
        </w:rPr>
        <w:t>aimed at</w:t>
      </w:r>
      <w:r w:rsidR="004D3971" w:rsidRPr="001A1EE2">
        <w:rPr>
          <w:lang w:val="en-GB"/>
        </w:rPr>
        <w:t xml:space="preserve"> </w:t>
      </w:r>
      <w:r w:rsidR="001E75BB" w:rsidRPr="001A1EE2">
        <w:rPr>
          <w:lang w:val="en-GB"/>
        </w:rPr>
        <w:t>consti</w:t>
      </w:r>
      <w:r w:rsidR="00872A92" w:rsidRPr="001A1EE2">
        <w:rPr>
          <w:lang w:val="en-GB"/>
        </w:rPr>
        <w:t>tuting a more</w:t>
      </w:r>
      <w:r w:rsidR="00825FD4" w:rsidRPr="001A1EE2">
        <w:rPr>
          <w:lang w:val="en-GB"/>
        </w:rPr>
        <w:t xml:space="preserve"> environmentally conscious future.</w:t>
      </w:r>
      <w:r w:rsidR="00412AED" w:rsidRPr="001A1EE2">
        <w:rPr>
          <w:lang w:val="en-GB"/>
        </w:rPr>
        <w:t xml:space="preserve"> </w:t>
      </w:r>
      <w:r w:rsidR="00B76E22" w:rsidRPr="001A1EE2">
        <w:rPr>
          <w:lang w:val="en-GB"/>
        </w:rPr>
        <w:t xml:space="preserve">Among these innovations, </w:t>
      </w:r>
      <w:r w:rsidR="00D0347E" w:rsidRPr="001A1EE2">
        <w:rPr>
          <w:lang w:val="en-GB"/>
        </w:rPr>
        <w:t xml:space="preserve">the </w:t>
      </w:r>
      <w:r w:rsidR="00B76E22" w:rsidRPr="001A1EE2">
        <w:rPr>
          <w:lang w:val="en-GB"/>
        </w:rPr>
        <w:t>Carbon Capture and S</w:t>
      </w:r>
      <w:r w:rsidR="004373F2" w:rsidRPr="001A1EE2">
        <w:rPr>
          <w:lang w:val="en-GB"/>
        </w:rPr>
        <w:t>torage</w:t>
      </w:r>
      <w:r w:rsidR="00B76E22" w:rsidRPr="001A1EE2">
        <w:rPr>
          <w:lang w:val="en-GB"/>
        </w:rPr>
        <w:t xml:space="preserve"> (CCS) </w:t>
      </w:r>
      <w:r w:rsidR="0065509A" w:rsidRPr="001A1EE2">
        <w:rPr>
          <w:lang w:val="en-GB"/>
        </w:rPr>
        <w:t xml:space="preserve">strategy </w:t>
      </w:r>
      <w:r w:rsidR="00B76E22" w:rsidRPr="001A1EE2">
        <w:rPr>
          <w:lang w:val="en-GB"/>
        </w:rPr>
        <w:t xml:space="preserve">represents a </w:t>
      </w:r>
      <w:r w:rsidR="004373F2" w:rsidRPr="001A1EE2">
        <w:rPr>
          <w:lang w:val="en-GB"/>
        </w:rPr>
        <w:t>promising</w:t>
      </w:r>
      <w:r w:rsidR="00B76E22" w:rsidRPr="001A1EE2">
        <w:rPr>
          <w:lang w:val="en-GB"/>
        </w:rPr>
        <w:t xml:space="preserve"> emissions mitigation method in the prolonged period of the energy transition towards the full </w:t>
      </w:r>
      <w:r w:rsidR="00CD308E" w:rsidRPr="001A1EE2">
        <w:rPr>
          <w:lang w:val="en-GB"/>
        </w:rPr>
        <w:t>replacement</w:t>
      </w:r>
      <w:r w:rsidR="00B76E22" w:rsidRPr="001A1EE2">
        <w:rPr>
          <w:lang w:val="en-GB"/>
        </w:rPr>
        <w:t xml:space="preserve"> of energy fossil fuels</w:t>
      </w:r>
      <w:r w:rsidR="00351BB7" w:rsidRPr="001A1EE2">
        <w:rPr>
          <w:lang w:val="en-GB"/>
        </w:rPr>
        <w:t xml:space="preserve"> (Tamburini et al., 202</w:t>
      </w:r>
      <w:r w:rsidR="009B7947" w:rsidRPr="001A1EE2">
        <w:rPr>
          <w:lang w:val="en-GB"/>
        </w:rPr>
        <w:t>4</w:t>
      </w:r>
      <w:r w:rsidR="00351BB7" w:rsidRPr="001A1EE2">
        <w:rPr>
          <w:lang w:val="en-GB"/>
        </w:rPr>
        <w:t>)</w:t>
      </w:r>
      <w:r w:rsidR="00B76E22" w:rsidRPr="001A1EE2">
        <w:rPr>
          <w:lang w:val="en-GB"/>
        </w:rPr>
        <w:t>.</w:t>
      </w:r>
      <w:r w:rsidR="004373F2" w:rsidRPr="001A1EE2">
        <w:rPr>
          <w:lang w:val="en-GB"/>
        </w:rPr>
        <w:t xml:space="preserve"> This s</w:t>
      </w:r>
      <w:r w:rsidR="004D2C8E" w:rsidRPr="001A1EE2">
        <w:rPr>
          <w:lang w:val="en-GB"/>
        </w:rPr>
        <w:t>trategy</w:t>
      </w:r>
      <w:r w:rsidR="00B76E22" w:rsidRPr="001A1EE2">
        <w:rPr>
          <w:lang w:val="en-GB"/>
        </w:rPr>
        <w:t xml:space="preserve"> entails four main steps: (1) Capture, which consists</w:t>
      </w:r>
      <w:r w:rsidR="00D0347E" w:rsidRPr="001A1EE2">
        <w:rPr>
          <w:lang w:val="en-GB"/>
        </w:rPr>
        <w:t xml:space="preserve"> of a</w:t>
      </w:r>
      <w:r w:rsidR="00B76E22" w:rsidRPr="001A1EE2">
        <w:rPr>
          <w:lang w:val="en-GB"/>
        </w:rPr>
        <w:t xml:space="preserve"> set of </w:t>
      </w:r>
      <w:r w:rsidR="0065509A" w:rsidRPr="001A1EE2">
        <w:rPr>
          <w:lang w:val="en-GB"/>
        </w:rPr>
        <w:t xml:space="preserve">techniques </w:t>
      </w:r>
      <w:r w:rsidR="00B76E22" w:rsidRPr="001A1EE2">
        <w:rPr>
          <w:lang w:val="en-GB"/>
        </w:rPr>
        <w:t>enabling the separation of released CO</w:t>
      </w:r>
      <w:r w:rsidR="00B76E22" w:rsidRPr="001A1EE2">
        <w:rPr>
          <w:vertAlign w:val="subscript"/>
          <w:lang w:val="en-GB"/>
        </w:rPr>
        <w:t>2</w:t>
      </w:r>
      <w:r w:rsidR="00B76E22" w:rsidRPr="001A1EE2">
        <w:rPr>
          <w:lang w:val="en-GB"/>
        </w:rPr>
        <w:t xml:space="preserve"> from large anthropogenic emitting sources; (2) Conditioning, in which the captured CO</w:t>
      </w:r>
      <w:r w:rsidR="00B76E22" w:rsidRPr="001A1EE2">
        <w:rPr>
          <w:vertAlign w:val="subscript"/>
          <w:lang w:val="en-GB"/>
        </w:rPr>
        <w:t>2</w:t>
      </w:r>
      <w:r w:rsidR="00B76E22" w:rsidRPr="001A1EE2">
        <w:rPr>
          <w:lang w:val="en-GB"/>
        </w:rPr>
        <w:t xml:space="preserve"> stream is processed to achieve the thermodynamic and purity conditions required for the </w:t>
      </w:r>
      <w:r w:rsidR="00B76E22" w:rsidRPr="001A1EE2">
        <w:rPr>
          <w:lang w:val="en-GB"/>
        </w:rPr>
        <w:lastRenderedPageBreak/>
        <w:t>subsequent transport mode; (3) Transport, where CO</w:t>
      </w:r>
      <w:r w:rsidR="00B76E22" w:rsidRPr="001A1EE2">
        <w:rPr>
          <w:vertAlign w:val="subscript"/>
          <w:lang w:val="en-GB"/>
        </w:rPr>
        <w:t>2</w:t>
      </w:r>
      <w:r w:rsidR="00B76E22" w:rsidRPr="001A1EE2">
        <w:rPr>
          <w:lang w:val="en-GB"/>
        </w:rPr>
        <w:t xml:space="preserve"> is conveyed from the capture and conditioning site to the storage injection </w:t>
      </w:r>
      <w:r w:rsidR="00096E8E" w:rsidRPr="001A1EE2">
        <w:rPr>
          <w:lang w:val="en-GB"/>
        </w:rPr>
        <w:t>location</w:t>
      </w:r>
      <w:r w:rsidR="00B76E22" w:rsidRPr="001A1EE2">
        <w:rPr>
          <w:lang w:val="en-GB"/>
        </w:rPr>
        <w:t xml:space="preserve"> through rail and road tankers, ships or pipelines; and lastly (4) Storage, which involves the final injection of CO</w:t>
      </w:r>
      <w:r w:rsidR="00B76E22" w:rsidRPr="001A1EE2">
        <w:rPr>
          <w:vertAlign w:val="subscript"/>
          <w:lang w:val="en-GB"/>
        </w:rPr>
        <w:t>2</w:t>
      </w:r>
      <w:r w:rsidR="00B76E22" w:rsidRPr="001A1EE2">
        <w:rPr>
          <w:lang w:val="en-GB"/>
        </w:rPr>
        <w:t xml:space="preserve"> into geologic reservoirs where it is permanently stored</w:t>
      </w:r>
      <w:r w:rsidR="00C6197A" w:rsidRPr="001A1EE2">
        <w:rPr>
          <w:lang w:val="en-GB"/>
        </w:rPr>
        <w:t xml:space="preserve"> (I</w:t>
      </w:r>
      <w:r w:rsidR="00FC348E" w:rsidRPr="001A1EE2">
        <w:rPr>
          <w:lang w:val="en-GB"/>
        </w:rPr>
        <w:t>PCC</w:t>
      </w:r>
      <w:r w:rsidR="00C6197A" w:rsidRPr="001A1EE2">
        <w:rPr>
          <w:lang w:val="en-GB"/>
        </w:rPr>
        <w:t>, 2005)</w:t>
      </w:r>
      <w:r w:rsidR="00B76E22" w:rsidRPr="001A1EE2">
        <w:rPr>
          <w:lang w:val="en-GB"/>
        </w:rPr>
        <w:t>.</w:t>
      </w:r>
      <w:r w:rsidR="004D2C8E" w:rsidRPr="001A1EE2">
        <w:rPr>
          <w:lang w:val="en-GB"/>
        </w:rPr>
        <w:t xml:space="preserve"> In Figure 1, the CCS value chain process </w:t>
      </w:r>
      <w:r w:rsidR="0052623A" w:rsidRPr="001A1EE2">
        <w:rPr>
          <w:lang w:val="en-GB"/>
        </w:rPr>
        <w:t>arrangement</w:t>
      </w:r>
      <w:r w:rsidR="004D2C8E" w:rsidRPr="001A1EE2">
        <w:rPr>
          <w:lang w:val="en-GB"/>
        </w:rPr>
        <w:t xml:space="preserve"> is schematized.</w:t>
      </w:r>
    </w:p>
    <w:p w14:paraId="4AA247EC" w14:textId="4EAE1216" w:rsidR="007145A8" w:rsidRPr="001A1EE2" w:rsidRDefault="007145A8" w:rsidP="00B76E22">
      <w:pPr>
        <w:pStyle w:val="CETBodytext"/>
        <w:rPr>
          <w:lang w:val="en-GB"/>
        </w:rPr>
      </w:pPr>
    </w:p>
    <w:p w14:paraId="06F8A3C6" w14:textId="39A0A2B8" w:rsidR="007145A8" w:rsidRPr="001A1EE2" w:rsidRDefault="007145A8" w:rsidP="00B76E22">
      <w:pPr>
        <w:pStyle w:val="CETBodytext"/>
        <w:rPr>
          <w:lang w:val="en-GB"/>
        </w:rPr>
      </w:pPr>
      <w:r w:rsidRPr="001A1EE2">
        <w:rPr>
          <w:noProof/>
          <w:lang w:val="en-GB"/>
        </w:rPr>
        <w:drawing>
          <wp:inline distT="0" distB="0" distL="0" distR="0" wp14:anchorId="0F108784" wp14:editId="54E648CC">
            <wp:extent cx="5579745" cy="1999858"/>
            <wp:effectExtent l="0" t="0" r="1905" b="63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79745" cy="1999858"/>
                    </a:xfrm>
                    <a:prstGeom prst="rect">
                      <a:avLst/>
                    </a:prstGeom>
                    <a:noFill/>
                    <a:ln>
                      <a:noFill/>
                    </a:ln>
                  </pic:spPr>
                </pic:pic>
              </a:graphicData>
            </a:graphic>
          </wp:inline>
        </w:drawing>
      </w:r>
    </w:p>
    <w:p w14:paraId="590C8405" w14:textId="50DBE658" w:rsidR="00036780" w:rsidRPr="001A1EE2" w:rsidRDefault="008F3321" w:rsidP="004D2C8E">
      <w:pPr>
        <w:pStyle w:val="CETCaption"/>
      </w:pPr>
      <w:r w:rsidRPr="001A1EE2">
        <w:rPr>
          <w:rStyle w:val="CETCaptionCarattere"/>
          <w:i/>
        </w:rPr>
        <w:t>Figure 1: Schem</w:t>
      </w:r>
      <w:r w:rsidR="00A503B4" w:rsidRPr="001A1EE2">
        <w:rPr>
          <w:rStyle w:val="CETCaptionCarattere"/>
          <w:i/>
        </w:rPr>
        <w:t>e</w:t>
      </w:r>
      <w:r w:rsidRPr="001A1EE2">
        <w:rPr>
          <w:rStyle w:val="CETCaptionCarattere"/>
          <w:i/>
        </w:rPr>
        <w:t xml:space="preserve"> of the Carbon </w:t>
      </w:r>
      <w:r w:rsidR="00A503B4" w:rsidRPr="001A1EE2">
        <w:rPr>
          <w:rStyle w:val="CETCaptionCarattere"/>
          <w:i/>
        </w:rPr>
        <w:t>Capture and Storage (CCS) value chain.</w:t>
      </w:r>
    </w:p>
    <w:p w14:paraId="23ADAE82" w14:textId="55CC7487" w:rsidR="00036780" w:rsidRPr="001A1EE2" w:rsidRDefault="00036780" w:rsidP="00451673">
      <w:pPr>
        <w:pStyle w:val="CETBodytext"/>
        <w:rPr>
          <w:lang w:val="en-GB"/>
        </w:rPr>
      </w:pPr>
      <w:r w:rsidRPr="001A1EE2">
        <w:rPr>
          <w:lang w:val="en-GB"/>
        </w:rPr>
        <w:t xml:space="preserve">While CCS technology offers a compelling solution to the </w:t>
      </w:r>
      <w:r w:rsidR="00BE2085" w:rsidRPr="001A1EE2">
        <w:rPr>
          <w:lang w:val="en-GB"/>
        </w:rPr>
        <w:t>global warming</w:t>
      </w:r>
      <w:r w:rsidRPr="001A1EE2">
        <w:rPr>
          <w:lang w:val="en-GB"/>
        </w:rPr>
        <w:t xml:space="preserve"> crisis, </w:t>
      </w:r>
      <w:r w:rsidR="00BE2085" w:rsidRPr="001A1EE2">
        <w:rPr>
          <w:lang w:val="en-GB"/>
        </w:rPr>
        <w:t xml:space="preserve">its implementation </w:t>
      </w:r>
      <w:r w:rsidR="00E42E60" w:rsidRPr="001A1EE2">
        <w:rPr>
          <w:lang w:val="en-GB"/>
        </w:rPr>
        <w:t xml:space="preserve">raises concerns regarding </w:t>
      </w:r>
      <w:r w:rsidR="00451673" w:rsidRPr="001A1EE2">
        <w:rPr>
          <w:lang w:val="en-GB"/>
        </w:rPr>
        <w:t>t</w:t>
      </w:r>
      <w:r w:rsidRPr="001A1EE2">
        <w:rPr>
          <w:lang w:val="en-GB"/>
        </w:rPr>
        <w:t xml:space="preserve">he vulnerability of CCS infrastructure to Natech scenarios. Earthquakes, floods, and other natural disasters can pose significant threats to the integrity of CCS systems, potentially </w:t>
      </w:r>
      <w:r w:rsidR="009A793C" w:rsidRPr="001A1EE2">
        <w:rPr>
          <w:lang w:val="en-GB"/>
        </w:rPr>
        <w:t>threatening</w:t>
      </w:r>
      <w:r w:rsidRPr="001A1EE2">
        <w:rPr>
          <w:lang w:val="en-GB"/>
        </w:rPr>
        <w:t xml:space="preserve"> their effectiveness in mitigating climate change.</w:t>
      </w:r>
      <w:r w:rsidR="00C1216E" w:rsidRPr="001A1EE2">
        <w:rPr>
          <w:lang w:val="en-GB"/>
        </w:rPr>
        <w:t xml:space="preserve"> </w:t>
      </w:r>
      <w:r w:rsidR="00A442A9" w:rsidRPr="001A1EE2">
        <w:rPr>
          <w:lang w:val="en-GB"/>
        </w:rPr>
        <w:t xml:space="preserve">As the adoption of CCS technology is gaining momentum, it becomes imperative to </w:t>
      </w:r>
      <w:r w:rsidR="00FA208B" w:rsidRPr="001A1EE2">
        <w:rPr>
          <w:lang w:val="en-GB"/>
        </w:rPr>
        <w:t>investigate</w:t>
      </w:r>
      <w:r w:rsidR="00A442A9" w:rsidRPr="001A1EE2">
        <w:rPr>
          <w:lang w:val="en-GB"/>
        </w:rPr>
        <w:t xml:space="preserve"> and fortify these systems against the unpredictable forces of nature.</w:t>
      </w:r>
    </w:p>
    <w:p w14:paraId="4DC0D373" w14:textId="24A57DC9" w:rsidR="00407257" w:rsidRPr="001A1EE2" w:rsidRDefault="001849CE" w:rsidP="00451673">
      <w:pPr>
        <w:pStyle w:val="CETBodytext"/>
        <w:rPr>
          <w:rStyle w:val="CETCaptionCarattere"/>
          <w:i w:val="0"/>
        </w:rPr>
      </w:pPr>
      <w:r w:rsidRPr="001A1EE2">
        <w:rPr>
          <w:lang w:val="en-GB"/>
        </w:rPr>
        <w:t xml:space="preserve">Even though many </w:t>
      </w:r>
      <w:r w:rsidR="00B66A47" w:rsidRPr="001A1EE2">
        <w:rPr>
          <w:lang w:val="en-GB"/>
        </w:rPr>
        <w:t xml:space="preserve">studies </w:t>
      </w:r>
      <w:r w:rsidRPr="001A1EE2">
        <w:rPr>
          <w:lang w:val="en-GB"/>
        </w:rPr>
        <w:t xml:space="preserve">discussed the increase in </w:t>
      </w:r>
      <w:r w:rsidR="00C078A9" w:rsidRPr="001A1EE2">
        <w:rPr>
          <w:lang w:val="en-GB"/>
        </w:rPr>
        <w:t xml:space="preserve">the return period and intensity of </w:t>
      </w:r>
      <w:r w:rsidR="00C93B6E" w:rsidRPr="001A1EE2">
        <w:rPr>
          <w:lang w:val="en-GB"/>
        </w:rPr>
        <w:t xml:space="preserve">natural disasters </w:t>
      </w:r>
      <w:r w:rsidR="00C078A9" w:rsidRPr="001A1EE2">
        <w:rPr>
          <w:lang w:val="en-GB"/>
        </w:rPr>
        <w:t>caused by</w:t>
      </w:r>
      <w:r w:rsidR="00C93B6E" w:rsidRPr="001A1EE2">
        <w:rPr>
          <w:lang w:val="en-GB"/>
        </w:rPr>
        <w:t xml:space="preserve"> climate change and investigated chemical and process equipment vulnerabilities to Natech scenarios</w:t>
      </w:r>
      <w:r w:rsidR="008F4402" w:rsidRPr="001A1EE2">
        <w:rPr>
          <w:lang w:val="en-GB"/>
        </w:rPr>
        <w:t xml:space="preserve"> </w:t>
      </w:r>
      <w:r w:rsidR="008F4402" w:rsidRPr="001A1EE2">
        <w:rPr>
          <w:rStyle w:val="CETCaptionCarattere"/>
          <w:i w:val="0"/>
        </w:rPr>
        <w:t>(Ricci et al., 2021)</w:t>
      </w:r>
      <w:r w:rsidR="008F4402" w:rsidRPr="001A1EE2">
        <w:rPr>
          <w:rFonts w:cs="Arial"/>
          <w:lang w:val="en-GB"/>
        </w:rPr>
        <w:t>—to our knowledge—</w:t>
      </w:r>
      <w:r w:rsidR="00C93B6E" w:rsidRPr="001A1EE2">
        <w:rPr>
          <w:lang w:val="en-GB"/>
        </w:rPr>
        <w:t xml:space="preserve">the intricate connection </w:t>
      </w:r>
      <w:r w:rsidR="00C93B6E" w:rsidRPr="001A1EE2">
        <w:rPr>
          <w:rStyle w:val="CETCaptionCarattere"/>
          <w:i w:val="0"/>
        </w:rPr>
        <w:t xml:space="preserve">between climate change, Natech scenarios, and resilient CCS infrastructure has never been </w:t>
      </w:r>
      <w:r w:rsidR="004A6DC8" w:rsidRPr="001A1EE2">
        <w:rPr>
          <w:rStyle w:val="CETCaptionCarattere"/>
          <w:i w:val="0"/>
        </w:rPr>
        <w:t xml:space="preserve">studied before. Therefore, </w:t>
      </w:r>
      <w:r w:rsidR="00D0347E" w:rsidRPr="001A1EE2">
        <w:rPr>
          <w:lang w:val="en-GB"/>
        </w:rPr>
        <w:t xml:space="preserve">the present study </w:t>
      </w:r>
      <w:r w:rsidR="00643056" w:rsidRPr="001A1EE2">
        <w:rPr>
          <w:lang w:val="en-GB"/>
        </w:rPr>
        <w:t xml:space="preserve">proposes a novel framework to </w:t>
      </w:r>
      <w:r w:rsidR="00CC0668" w:rsidRPr="001A1EE2">
        <w:rPr>
          <w:lang w:val="en-GB"/>
        </w:rPr>
        <w:t xml:space="preserve">investigate </w:t>
      </w:r>
      <w:r w:rsidR="007377F2" w:rsidRPr="001A1EE2">
        <w:rPr>
          <w:lang w:val="en-GB"/>
        </w:rPr>
        <w:t>the CCS value chain</w:t>
      </w:r>
      <w:r w:rsidR="00D00257" w:rsidRPr="001A1EE2">
        <w:rPr>
          <w:lang w:val="en-GB"/>
        </w:rPr>
        <w:t xml:space="preserve"> and</w:t>
      </w:r>
      <w:r w:rsidR="00D0347E" w:rsidRPr="001A1EE2">
        <w:rPr>
          <w:lang w:val="en-GB"/>
        </w:rPr>
        <w:t xml:space="preserve"> identify</w:t>
      </w:r>
      <w:r w:rsidR="00407257" w:rsidRPr="001A1EE2">
        <w:rPr>
          <w:rStyle w:val="CETCaptionCarattere"/>
          <w:i w:val="0"/>
        </w:rPr>
        <w:t xml:space="preserve"> vulnerable elements </w:t>
      </w:r>
      <w:r w:rsidR="00D0347E" w:rsidRPr="001A1EE2">
        <w:rPr>
          <w:rStyle w:val="CETCaptionCarattere"/>
          <w:i w:val="0"/>
        </w:rPr>
        <w:t>concerning</w:t>
      </w:r>
      <w:r w:rsidR="007377F2" w:rsidRPr="001A1EE2">
        <w:rPr>
          <w:rStyle w:val="CETCaptionCarattere"/>
          <w:i w:val="0"/>
        </w:rPr>
        <w:t xml:space="preserve"> flood </w:t>
      </w:r>
      <w:r w:rsidR="006F2771" w:rsidRPr="001A1EE2">
        <w:rPr>
          <w:rStyle w:val="CETCaptionCarattere"/>
          <w:i w:val="0"/>
        </w:rPr>
        <w:t>and</w:t>
      </w:r>
      <w:r w:rsidR="007377F2" w:rsidRPr="001A1EE2">
        <w:rPr>
          <w:rStyle w:val="CETCaptionCarattere"/>
          <w:i w:val="0"/>
        </w:rPr>
        <w:t xml:space="preserve"> earthquake scenarios</w:t>
      </w:r>
      <w:r w:rsidR="00407257" w:rsidRPr="001A1EE2">
        <w:rPr>
          <w:rStyle w:val="CETCaptionCarattere"/>
          <w:i w:val="0"/>
        </w:rPr>
        <w:t>.</w:t>
      </w:r>
      <w:r w:rsidR="004A6DC8" w:rsidRPr="001A1EE2">
        <w:rPr>
          <w:rStyle w:val="CETCaptionCarattere"/>
          <w:i w:val="0"/>
        </w:rPr>
        <w:t xml:space="preserve"> </w:t>
      </w:r>
      <w:r w:rsidR="00C078A9" w:rsidRPr="001A1EE2">
        <w:rPr>
          <w:rStyle w:val="CETCaptionCarattere"/>
          <w:i w:val="0"/>
        </w:rPr>
        <w:t>A</w:t>
      </w:r>
      <w:r w:rsidR="00407257" w:rsidRPr="001A1EE2">
        <w:rPr>
          <w:rStyle w:val="CETCaptionCarattere"/>
          <w:i w:val="0"/>
        </w:rPr>
        <w:t xml:space="preserve"> </w:t>
      </w:r>
      <w:r w:rsidR="00360F9B" w:rsidRPr="001A1EE2">
        <w:rPr>
          <w:rStyle w:val="CETCaptionCarattere"/>
          <w:i w:val="0"/>
        </w:rPr>
        <w:t xml:space="preserve">preliminary consequence assessment </w:t>
      </w:r>
      <w:r w:rsidR="000F6FDC" w:rsidRPr="001A1EE2">
        <w:rPr>
          <w:rStyle w:val="CETCaptionCarattere"/>
          <w:i w:val="0"/>
        </w:rPr>
        <w:t>is</w:t>
      </w:r>
      <w:r w:rsidR="00360F9B" w:rsidRPr="001A1EE2">
        <w:rPr>
          <w:rStyle w:val="CETCaptionCarattere"/>
          <w:i w:val="0"/>
        </w:rPr>
        <w:t xml:space="preserve"> </w:t>
      </w:r>
      <w:r w:rsidR="00C078A9" w:rsidRPr="001A1EE2">
        <w:rPr>
          <w:rStyle w:val="CETCaptionCarattere"/>
          <w:i w:val="0"/>
        </w:rPr>
        <w:t xml:space="preserve">then </w:t>
      </w:r>
      <w:r w:rsidR="00360F9B" w:rsidRPr="001A1EE2">
        <w:rPr>
          <w:rStyle w:val="CETCaptionCarattere"/>
          <w:i w:val="0"/>
        </w:rPr>
        <w:t>performed</w:t>
      </w:r>
      <w:r w:rsidR="00CD60DA" w:rsidRPr="001A1EE2">
        <w:rPr>
          <w:rStyle w:val="CETCaptionCarattere"/>
          <w:i w:val="0"/>
        </w:rPr>
        <w:t xml:space="preserve"> </w:t>
      </w:r>
      <w:r w:rsidR="00360F9B" w:rsidRPr="001A1EE2">
        <w:rPr>
          <w:rStyle w:val="CETCaptionCarattere"/>
          <w:i w:val="0"/>
        </w:rPr>
        <w:t xml:space="preserve">through </w:t>
      </w:r>
      <w:r w:rsidR="00407257" w:rsidRPr="001A1EE2">
        <w:rPr>
          <w:rStyle w:val="CETCaptionCarattere"/>
          <w:i w:val="0"/>
        </w:rPr>
        <w:t>inherent safety approach</w:t>
      </w:r>
      <w:r w:rsidR="00360F9B" w:rsidRPr="001A1EE2">
        <w:rPr>
          <w:rStyle w:val="CETCaptionCarattere"/>
          <w:i w:val="0"/>
        </w:rPr>
        <w:t xml:space="preserve">es </w:t>
      </w:r>
      <w:r w:rsidR="00407257" w:rsidRPr="001A1EE2">
        <w:rPr>
          <w:rStyle w:val="CETCaptionCarattere"/>
          <w:i w:val="0"/>
        </w:rPr>
        <w:t xml:space="preserve">to </w:t>
      </w:r>
      <w:r w:rsidR="00360F9B" w:rsidRPr="001A1EE2">
        <w:rPr>
          <w:rStyle w:val="CETCaptionCarattere"/>
          <w:i w:val="0"/>
        </w:rPr>
        <w:t>highlight</w:t>
      </w:r>
      <w:r w:rsidR="00407257" w:rsidRPr="001A1EE2">
        <w:rPr>
          <w:rStyle w:val="CETCaptionCarattere"/>
          <w:i w:val="0"/>
        </w:rPr>
        <w:t xml:space="preserve"> how </w:t>
      </w:r>
      <w:r w:rsidR="00360F9B" w:rsidRPr="001A1EE2">
        <w:rPr>
          <w:rStyle w:val="CETCaptionCarattere"/>
          <w:i w:val="0"/>
        </w:rPr>
        <w:t xml:space="preserve">natural phenomena </w:t>
      </w:r>
      <w:r w:rsidR="00913BF5" w:rsidRPr="001A1EE2">
        <w:rPr>
          <w:rStyle w:val="CETCaptionCarattere"/>
          <w:i w:val="0"/>
        </w:rPr>
        <w:t xml:space="preserve">impact and tend to increase </w:t>
      </w:r>
      <w:r w:rsidR="00407257" w:rsidRPr="001A1EE2">
        <w:rPr>
          <w:rStyle w:val="CETCaptionCarattere"/>
          <w:i w:val="0"/>
        </w:rPr>
        <w:t xml:space="preserve">risk </w:t>
      </w:r>
      <w:r w:rsidR="009F1092" w:rsidRPr="001A1EE2">
        <w:rPr>
          <w:rStyle w:val="CETCaptionCarattere"/>
          <w:i w:val="0"/>
        </w:rPr>
        <w:t>when assume</w:t>
      </w:r>
      <w:r w:rsidR="008E4866" w:rsidRPr="001A1EE2">
        <w:rPr>
          <w:rStyle w:val="CETCaptionCarattere"/>
          <w:i w:val="0"/>
        </w:rPr>
        <w:t>d</w:t>
      </w:r>
      <w:r w:rsidR="009F1092" w:rsidRPr="001A1EE2">
        <w:rPr>
          <w:rStyle w:val="CETCaptionCarattere"/>
          <w:i w:val="0"/>
        </w:rPr>
        <w:t xml:space="preserve"> as</w:t>
      </w:r>
      <w:r w:rsidR="00407257" w:rsidRPr="001A1EE2">
        <w:rPr>
          <w:rStyle w:val="CETCaptionCarattere"/>
          <w:i w:val="0"/>
        </w:rPr>
        <w:t xml:space="preserve"> causes of equipment failure.</w:t>
      </w:r>
    </w:p>
    <w:p w14:paraId="35C68E59" w14:textId="4E7DBF6D" w:rsidR="00B320FA" w:rsidRPr="001A1EE2" w:rsidRDefault="00B320FA" w:rsidP="008F3F02">
      <w:pPr>
        <w:pStyle w:val="CETBodytext"/>
        <w:rPr>
          <w:rStyle w:val="CETCaptionCarattere"/>
          <w:i w:val="0"/>
        </w:rPr>
      </w:pPr>
      <w:r w:rsidRPr="001A1EE2">
        <w:rPr>
          <w:rStyle w:val="CETCaptionCarattere"/>
          <w:i w:val="0"/>
        </w:rPr>
        <w:t xml:space="preserve">In the following, Section 2 </w:t>
      </w:r>
      <w:r w:rsidR="00213B19" w:rsidRPr="001A1EE2">
        <w:rPr>
          <w:rStyle w:val="CETCaptionCarattere"/>
          <w:i w:val="0"/>
        </w:rPr>
        <w:t xml:space="preserve">introduces the methodology adopted to </w:t>
      </w:r>
      <w:r w:rsidR="00FA0ACD" w:rsidRPr="001A1EE2">
        <w:rPr>
          <w:rStyle w:val="CETCaptionCarattere"/>
          <w:i w:val="0"/>
        </w:rPr>
        <w:t>assess the inherent safety i</w:t>
      </w:r>
      <w:r w:rsidR="00320BEE" w:rsidRPr="001A1EE2">
        <w:rPr>
          <w:rStyle w:val="CETCaptionCarattere"/>
          <w:i w:val="0"/>
        </w:rPr>
        <w:t>ndexes</w:t>
      </w:r>
      <w:r w:rsidR="00FA0ACD" w:rsidRPr="001A1EE2">
        <w:rPr>
          <w:rStyle w:val="CETCaptionCarattere"/>
          <w:i w:val="0"/>
        </w:rPr>
        <w:t xml:space="preserve"> </w:t>
      </w:r>
      <w:r w:rsidR="00E43C79" w:rsidRPr="001A1EE2">
        <w:rPr>
          <w:rStyle w:val="CETCaptionCarattere"/>
          <w:i w:val="0"/>
        </w:rPr>
        <w:t xml:space="preserve">and Section 3 </w:t>
      </w:r>
      <w:r w:rsidR="00546C2F" w:rsidRPr="001A1EE2">
        <w:rPr>
          <w:rStyle w:val="CETCaptionCarattere"/>
          <w:i w:val="0"/>
        </w:rPr>
        <w:t>presents</w:t>
      </w:r>
      <w:r w:rsidRPr="001A1EE2">
        <w:rPr>
          <w:rStyle w:val="CETCaptionCarattere"/>
          <w:i w:val="0"/>
        </w:rPr>
        <w:t xml:space="preserve"> </w:t>
      </w:r>
      <w:r w:rsidR="00E43C79" w:rsidRPr="001A1EE2">
        <w:rPr>
          <w:rStyle w:val="CETCaptionCarattere"/>
          <w:i w:val="0"/>
        </w:rPr>
        <w:t xml:space="preserve">the application of the procedure to a specific </w:t>
      </w:r>
      <w:r w:rsidR="00546C2F" w:rsidRPr="001A1EE2">
        <w:rPr>
          <w:rStyle w:val="CETCaptionCarattere"/>
          <w:i w:val="0"/>
        </w:rPr>
        <w:t xml:space="preserve">notional </w:t>
      </w:r>
      <w:r w:rsidR="00E43C79" w:rsidRPr="001A1EE2">
        <w:rPr>
          <w:rStyle w:val="CETCaptionCarattere"/>
          <w:i w:val="0"/>
        </w:rPr>
        <w:t>case stud</w:t>
      </w:r>
      <w:r w:rsidR="00447290" w:rsidRPr="001A1EE2">
        <w:rPr>
          <w:rStyle w:val="CETCaptionCarattere"/>
          <w:i w:val="0"/>
        </w:rPr>
        <w:t>y</w:t>
      </w:r>
      <w:r w:rsidRPr="001A1EE2">
        <w:rPr>
          <w:rStyle w:val="CETCaptionCarattere"/>
          <w:i w:val="0"/>
        </w:rPr>
        <w:t>.</w:t>
      </w:r>
      <w:r w:rsidR="00546C2F" w:rsidRPr="001A1EE2">
        <w:rPr>
          <w:rStyle w:val="CETCaptionCarattere"/>
          <w:i w:val="0"/>
        </w:rPr>
        <w:t xml:space="preserve"> Then, t</w:t>
      </w:r>
      <w:r w:rsidRPr="001A1EE2">
        <w:rPr>
          <w:rStyle w:val="CETCaptionCarattere"/>
          <w:i w:val="0"/>
        </w:rPr>
        <w:t xml:space="preserve">he results are </w:t>
      </w:r>
      <w:r w:rsidR="002C5A29" w:rsidRPr="001A1EE2">
        <w:rPr>
          <w:rStyle w:val="CETCaptionCarattere"/>
          <w:i w:val="0"/>
        </w:rPr>
        <w:t>displayed</w:t>
      </w:r>
      <w:r w:rsidRPr="001A1EE2">
        <w:rPr>
          <w:rStyle w:val="CETCaptionCarattere"/>
          <w:i w:val="0"/>
        </w:rPr>
        <w:t xml:space="preserve"> and discussed in Section 4. Finally, </w:t>
      </w:r>
      <w:r w:rsidR="008F3F02" w:rsidRPr="001A1EE2">
        <w:rPr>
          <w:rStyle w:val="CETCaptionCarattere"/>
          <w:i w:val="0"/>
        </w:rPr>
        <w:t>some conclusive remarks are outlined in</w:t>
      </w:r>
      <w:r w:rsidRPr="001A1EE2">
        <w:rPr>
          <w:rStyle w:val="CETCaptionCarattere"/>
          <w:i w:val="0"/>
        </w:rPr>
        <w:t xml:space="preserve"> Section 5.</w:t>
      </w:r>
    </w:p>
    <w:p w14:paraId="22CB3E47" w14:textId="000DFA4C" w:rsidR="0091522B" w:rsidRPr="001A1EE2" w:rsidRDefault="00816EB7" w:rsidP="001B6EA1">
      <w:pPr>
        <w:pStyle w:val="CETHeading1"/>
        <w:rPr>
          <w:lang w:val="en-GB"/>
        </w:rPr>
      </w:pPr>
      <w:r w:rsidRPr="001A1EE2">
        <w:rPr>
          <w:lang w:val="en-GB"/>
        </w:rPr>
        <w:t>Methodology</w:t>
      </w:r>
    </w:p>
    <w:p w14:paraId="002B67FD" w14:textId="5E9A948A" w:rsidR="00B675BA" w:rsidRPr="001A1EE2" w:rsidRDefault="00C10468" w:rsidP="00B675BA">
      <w:pPr>
        <w:pStyle w:val="CETBodytext"/>
        <w:rPr>
          <w:lang w:val="en-GB"/>
        </w:rPr>
      </w:pPr>
      <w:r w:rsidRPr="001A1EE2">
        <w:rPr>
          <w:lang w:val="en-GB"/>
        </w:rPr>
        <w:t xml:space="preserve">The methodology </w:t>
      </w:r>
      <w:r w:rsidR="009A25DA" w:rsidRPr="001A1EE2">
        <w:rPr>
          <w:lang w:val="en-GB"/>
        </w:rPr>
        <w:t>proposed in the current study</w:t>
      </w:r>
      <w:r w:rsidR="00723F1A" w:rsidRPr="001A1EE2">
        <w:rPr>
          <w:lang w:val="en-GB"/>
        </w:rPr>
        <w:t>, schematized in Figure 2,</w:t>
      </w:r>
      <w:r w:rsidR="009A25DA" w:rsidRPr="001A1EE2">
        <w:rPr>
          <w:lang w:val="en-GB"/>
        </w:rPr>
        <w:t xml:space="preserve"> aims </w:t>
      </w:r>
      <w:r w:rsidR="00D0347E" w:rsidRPr="001A1EE2">
        <w:rPr>
          <w:lang w:val="en-GB"/>
        </w:rPr>
        <w:t>to investigate</w:t>
      </w:r>
      <w:r w:rsidR="009A25DA" w:rsidRPr="001A1EE2">
        <w:rPr>
          <w:lang w:val="en-GB"/>
        </w:rPr>
        <w:t xml:space="preserve"> how </w:t>
      </w:r>
      <w:r w:rsidR="00D0347E" w:rsidRPr="001A1EE2">
        <w:rPr>
          <w:lang w:val="en-GB"/>
        </w:rPr>
        <w:t xml:space="preserve">floods </w:t>
      </w:r>
      <w:r w:rsidR="00D12D95" w:rsidRPr="001A1EE2">
        <w:rPr>
          <w:lang w:val="en-GB"/>
        </w:rPr>
        <w:t xml:space="preserve">and earthquakes </w:t>
      </w:r>
      <w:r w:rsidR="00D0347E" w:rsidRPr="001A1EE2">
        <w:rPr>
          <w:lang w:val="en-GB"/>
        </w:rPr>
        <w:t xml:space="preserve">may affect </w:t>
      </w:r>
      <w:r w:rsidR="00D12D95" w:rsidRPr="001A1EE2">
        <w:rPr>
          <w:lang w:val="en-GB"/>
        </w:rPr>
        <w:t xml:space="preserve">the integrity of CCS equipment </w:t>
      </w:r>
      <w:r w:rsidR="00F4363D" w:rsidRPr="001A1EE2">
        <w:rPr>
          <w:lang w:val="en-GB"/>
        </w:rPr>
        <w:t xml:space="preserve">and </w:t>
      </w:r>
      <w:r w:rsidR="00D0347E" w:rsidRPr="001A1EE2">
        <w:rPr>
          <w:lang w:val="en-GB"/>
        </w:rPr>
        <w:t xml:space="preserve">to identify </w:t>
      </w:r>
      <w:r w:rsidR="00F4363D" w:rsidRPr="001A1EE2">
        <w:rPr>
          <w:lang w:val="en-GB"/>
        </w:rPr>
        <w:t xml:space="preserve">inherent safety </w:t>
      </w:r>
      <w:r w:rsidR="007E6C91" w:rsidRPr="001A1EE2">
        <w:rPr>
          <w:lang w:val="en-GB"/>
        </w:rPr>
        <w:t>indicators</w:t>
      </w:r>
      <w:r w:rsidR="00570DD1" w:rsidRPr="001A1EE2">
        <w:rPr>
          <w:lang w:val="en-GB"/>
        </w:rPr>
        <w:t xml:space="preserve"> in the context of risk assessment.</w:t>
      </w:r>
      <w:r w:rsidR="003E63B1" w:rsidRPr="001A1EE2">
        <w:rPr>
          <w:lang w:val="en-GB"/>
        </w:rPr>
        <w:t xml:space="preserve"> This provides a preliminary view of the increase in damage induced by Natech scenarios on CCS facilities compared to conventional scenarios.</w:t>
      </w:r>
    </w:p>
    <w:p w14:paraId="6CD4E8EA" w14:textId="57842416" w:rsidR="005F07FA" w:rsidRPr="001A1EE2" w:rsidRDefault="006E0DE5" w:rsidP="00E472C3">
      <w:pPr>
        <w:pStyle w:val="CETBodytext"/>
        <w:rPr>
          <w:lang w:val="en-GB"/>
        </w:rPr>
      </w:pPr>
      <w:r w:rsidRPr="001A1EE2">
        <w:rPr>
          <w:lang w:val="en-GB"/>
        </w:rPr>
        <w:t>The starting point of the methodology consist</w:t>
      </w:r>
      <w:r w:rsidR="00A07B16" w:rsidRPr="001A1EE2">
        <w:rPr>
          <w:lang w:val="en-GB"/>
        </w:rPr>
        <w:t>s</w:t>
      </w:r>
      <w:r w:rsidRPr="001A1EE2">
        <w:rPr>
          <w:lang w:val="en-GB"/>
        </w:rPr>
        <w:t xml:space="preserve"> </w:t>
      </w:r>
      <w:r w:rsidR="00D0347E" w:rsidRPr="001A1EE2">
        <w:rPr>
          <w:lang w:val="en-GB"/>
        </w:rPr>
        <w:t xml:space="preserve">of </w:t>
      </w:r>
      <w:r w:rsidRPr="001A1EE2">
        <w:rPr>
          <w:lang w:val="en-GB"/>
        </w:rPr>
        <w:t>identifying reference flood and seismic conditions</w:t>
      </w:r>
      <w:r w:rsidR="0095451D" w:rsidRPr="001A1EE2">
        <w:rPr>
          <w:lang w:val="en-GB"/>
        </w:rPr>
        <w:t xml:space="preserve">, </w:t>
      </w:r>
      <w:r w:rsidR="005B1507" w:rsidRPr="001A1EE2">
        <w:rPr>
          <w:lang w:val="en-GB"/>
        </w:rPr>
        <w:t>thus establishing</w:t>
      </w:r>
      <w:r w:rsidR="000D3337" w:rsidRPr="001A1EE2">
        <w:rPr>
          <w:lang w:val="en-GB"/>
        </w:rPr>
        <w:t xml:space="preserve"> the reference </w:t>
      </w:r>
      <w:r w:rsidR="00D128F7" w:rsidRPr="001A1EE2">
        <w:rPr>
          <w:lang w:val="en-GB"/>
        </w:rPr>
        <w:t xml:space="preserve">events to be </w:t>
      </w:r>
      <w:proofErr w:type="spellStart"/>
      <w:r w:rsidR="00D128F7" w:rsidRPr="001A1EE2">
        <w:rPr>
          <w:lang w:val="en-GB"/>
        </w:rPr>
        <w:t>analyzed</w:t>
      </w:r>
      <w:proofErr w:type="spellEnd"/>
      <w:r w:rsidR="00D128F7" w:rsidRPr="001A1EE2">
        <w:rPr>
          <w:lang w:val="en-GB"/>
        </w:rPr>
        <w:t xml:space="preserve">. Each scenario is </w:t>
      </w:r>
      <w:r w:rsidR="00D128F7" w:rsidRPr="009516E9">
        <w:rPr>
          <w:lang w:val="en-GB"/>
        </w:rPr>
        <w:t xml:space="preserve">characterized by a specific intensity and frequency of occurrence. </w:t>
      </w:r>
      <w:r w:rsidR="00D0347E" w:rsidRPr="009516E9">
        <w:rPr>
          <w:lang w:val="en-GB"/>
        </w:rPr>
        <w:t xml:space="preserve">As for the frequency, this can be obtained through the estimation of the return period of a natural event or via the exceedance probability. </w:t>
      </w:r>
      <w:r w:rsidR="00917954" w:rsidRPr="009516E9">
        <w:rPr>
          <w:lang w:val="en-GB"/>
        </w:rPr>
        <w:t>Focusing on t</w:t>
      </w:r>
      <w:r w:rsidR="00BE5439" w:rsidRPr="009516E9">
        <w:rPr>
          <w:lang w:val="en-GB"/>
        </w:rPr>
        <w:t>he severity of the scenarios</w:t>
      </w:r>
      <w:r w:rsidR="008D798F" w:rsidRPr="009516E9">
        <w:rPr>
          <w:lang w:val="en-GB"/>
        </w:rPr>
        <w:t xml:space="preserve">, </w:t>
      </w:r>
      <w:r w:rsidR="00917954" w:rsidRPr="009516E9">
        <w:rPr>
          <w:lang w:val="en-GB"/>
        </w:rPr>
        <w:t xml:space="preserve">flood intensity can be </w:t>
      </w:r>
      <w:r w:rsidR="00BE5439" w:rsidRPr="009516E9">
        <w:rPr>
          <w:lang w:val="en-GB"/>
        </w:rPr>
        <w:t xml:space="preserve">defined by </w:t>
      </w:r>
      <w:r w:rsidR="006735C2" w:rsidRPr="009516E9">
        <w:rPr>
          <w:lang w:val="en-GB"/>
        </w:rPr>
        <w:t xml:space="preserve">means of </w:t>
      </w:r>
      <w:r w:rsidR="00517B7A" w:rsidRPr="009516E9">
        <w:rPr>
          <w:lang w:val="en-GB"/>
        </w:rPr>
        <w:t xml:space="preserve">impact vectors composed of </w:t>
      </w:r>
      <w:r w:rsidR="00771808" w:rsidRPr="009516E9">
        <w:rPr>
          <w:lang w:val="en-GB"/>
        </w:rPr>
        <w:t xml:space="preserve">two </w:t>
      </w:r>
      <w:r w:rsidR="00177A77" w:rsidRPr="009516E9">
        <w:rPr>
          <w:lang w:val="en-GB"/>
        </w:rPr>
        <w:t>element</w:t>
      </w:r>
      <w:r w:rsidR="00771808" w:rsidRPr="009516E9">
        <w:rPr>
          <w:lang w:val="en-GB"/>
        </w:rPr>
        <w:t>s: water depth and water velocity</w:t>
      </w:r>
      <w:r w:rsidR="00D0347E" w:rsidRPr="009516E9">
        <w:rPr>
          <w:lang w:val="en-GB"/>
        </w:rPr>
        <w:t xml:space="preserve">. </w:t>
      </w:r>
      <w:r w:rsidR="00E103A0" w:rsidRPr="009516E9">
        <w:rPr>
          <w:lang w:val="en-GB"/>
        </w:rPr>
        <w:t>With regard to</w:t>
      </w:r>
      <w:r w:rsidR="003E663F" w:rsidRPr="009516E9">
        <w:rPr>
          <w:lang w:val="en-GB"/>
        </w:rPr>
        <w:t xml:space="preserve"> </w:t>
      </w:r>
      <w:r w:rsidR="00F535FE" w:rsidRPr="009516E9">
        <w:rPr>
          <w:lang w:val="en-GB"/>
        </w:rPr>
        <w:t>earthquakes, specific</w:t>
      </w:r>
      <w:r w:rsidR="00AD6D3D" w:rsidRPr="009516E9">
        <w:rPr>
          <w:lang w:val="en-GB"/>
        </w:rPr>
        <w:t xml:space="preserve"> seismic instrumental parameters for structural applications such as the Peak Ground Acceleration (PGA) </w:t>
      </w:r>
      <w:r w:rsidR="000B54B2" w:rsidRPr="009516E9">
        <w:rPr>
          <w:lang w:val="en-GB"/>
        </w:rPr>
        <w:t>or</w:t>
      </w:r>
      <w:r w:rsidR="00AD6D3D" w:rsidRPr="009516E9">
        <w:rPr>
          <w:lang w:val="en-GB"/>
        </w:rPr>
        <w:t xml:space="preserve"> the Peak Ground Velocity (PGV) </w:t>
      </w:r>
      <w:r w:rsidR="00D0347E" w:rsidRPr="009516E9">
        <w:rPr>
          <w:lang w:val="en-GB"/>
        </w:rPr>
        <w:t xml:space="preserve">can </w:t>
      </w:r>
      <w:r w:rsidR="00AD6D3D" w:rsidRPr="009516E9">
        <w:rPr>
          <w:lang w:val="en-GB"/>
        </w:rPr>
        <w:t xml:space="preserve">be </w:t>
      </w:r>
      <w:r w:rsidR="00CF734E" w:rsidRPr="009516E9">
        <w:rPr>
          <w:lang w:val="en-GB"/>
        </w:rPr>
        <w:t>assumed</w:t>
      </w:r>
      <w:r w:rsidR="00AD6D3D" w:rsidRPr="009516E9">
        <w:rPr>
          <w:lang w:val="en-GB"/>
        </w:rPr>
        <w:t xml:space="preserve"> (Lanzano et al., </w:t>
      </w:r>
      <w:r w:rsidR="00422F6F" w:rsidRPr="009516E9">
        <w:rPr>
          <w:lang w:val="en-GB"/>
        </w:rPr>
        <w:t>2014)</w:t>
      </w:r>
      <w:r w:rsidR="00AD6D3D" w:rsidRPr="009516E9">
        <w:rPr>
          <w:lang w:val="en-GB"/>
        </w:rPr>
        <w:t xml:space="preserve">. </w:t>
      </w:r>
      <w:r w:rsidR="00D0347E" w:rsidRPr="009516E9">
        <w:rPr>
          <w:lang w:val="en-GB"/>
        </w:rPr>
        <w:t xml:space="preserve">Clearly enough, the definition of frequency and intensity of a natural event are strictly interconnected. </w:t>
      </w:r>
      <w:r w:rsidR="009D072F" w:rsidRPr="009516E9">
        <w:rPr>
          <w:lang w:val="en-GB"/>
        </w:rPr>
        <w:t>These data a</w:t>
      </w:r>
      <w:r w:rsidR="009D072F" w:rsidRPr="001A1EE2">
        <w:rPr>
          <w:lang w:val="en-GB"/>
        </w:rPr>
        <w:t>re usually available from local authorities through hydrological and geological studies, respectively</w:t>
      </w:r>
      <w:r w:rsidR="004A760F" w:rsidRPr="001A1EE2">
        <w:rPr>
          <w:lang w:val="en-GB"/>
        </w:rPr>
        <w:t xml:space="preserve"> (Antonioni et al., 2015)</w:t>
      </w:r>
      <w:r w:rsidR="009D072F" w:rsidRPr="001A1EE2">
        <w:rPr>
          <w:lang w:val="en-GB"/>
        </w:rPr>
        <w:t>.</w:t>
      </w:r>
      <w:r w:rsidR="002C73A2" w:rsidRPr="001A1EE2">
        <w:rPr>
          <w:lang w:val="en-GB"/>
        </w:rPr>
        <w:t xml:space="preserve"> Then, </w:t>
      </w:r>
      <w:r w:rsidR="00C242C7" w:rsidRPr="001A1EE2">
        <w:rPr>
          <w:lang w:val="en-GB"/>
        </w:rPr>
        <w:t xml:space="preserve">the most critical </w:t>
      </w:r>
      <w:r w:rsidR="00CC4C1A" w:rsidRPr="001A1EE2">
        <w:rPr>
          <w:lang w:val="en-GB"/>
        </w:rPr>
        <w:t xml:space="preserve">equipment </w:t>
      </w:r>
      <w:r w:rsidR="00C242C7" w:rsidRPr="001A1EE2">
        <w:rPr>
          <w:lang w:val="en-GB"/>
        </w:rPr>
        <w:t xml:space="preserve">in the </w:t>
      </w:r>
      <w:r w:rsidR="00CC4C1A" w:rsidRPr="001A1EE2">
        <w:rPr>
          <w:lang w:val="en-GB"/>
        </w:rPr>
        <w:t xml:space="preserve">CCS </w:t>
      </w:r>
      <w:r w:rsidR="00C078A9" w:rsidRPr="001A1EE2">
        <w:rPr>
          <w:lang w:val="en-GB"/>
        </w:rPr>
        <w:t>system</w:t>
      </w:r>
      <w:r w:rsidR="00CC4C1A" w:rsidRPr="001A1EE2">
        <w:rPr>
          <w:lang w:val="en-GB"/>
        </w:rPr>
        <w:t xml:space="preserve"> </w:t>
      </w:r>
      <w:r w:rsidR="00FE7D07" w:rsidRPr="001A1EE2">
        <w:rPr>
          <w:lang w:val="en-GB"/>
        </w:rPr>
        <w:t>shall</w:t>
      </w:r>
      <w:r w:rsidR="00F96BA1" w:rsidRPr="001A1EE2">
        <w:rPr>
          <w:lang w:val="en-GB"/>
        </w:rPr>
        <w:t xml:space="preserve"> be selected based on </w:t>
      </w:r>
      <w:r w:rsidR="00C835B5" w:rsidRPr="001A1EE2">
        <w:rPr>
          <w:lang w:val="en-GB"/>
        </w:rPr>
        <w:t>th</w:t>
      </w:r>
      <w:r w:rsidR="00493DEF" w:rsidRPr="001A1EE2">
        <w:rPr>
          <w:lang w:val="en-GB"/>
        </w:rPr>
        <w:t>e</w:t>
      </w:r>
      <w:r w:rsidR="00DF2044" w:rsidRPr="001A1EE2">
        <w:rPr>
          <w:lang w:val="en-GB"/>
        </w:rPr>
        <w:t xml:space="preserve"> available</w:t>
      </w:r>
      <w:r w:rsidR="00C242C7" w:rsidRPr="001A1EE2">
        <w:rPr>
          <w:lang w:val="en-GB"/>
        </w:rPr>
        <w:t xml:space="preserve"> </w:t>
      </w:r>
      <w:r w:rsidR="00F96BA1" w:rsidRPr="001A1EE2">
        <w:rPr>
          <w:lang w:val="en-GB"/>
        </w:rPr>
        <w:t>operating conditions</w:t>
      </w:r>
      <w:r w:rsidR="00DF2044" w:rsidRPr="001A1EE2">
        <w:rPr>
          <w:lang w:val="en-GB"/>
        </w:rPr>
        <w:t>.</w:t>
      </w:r>
      <w:r w:rsidR="008C188C" w:rsidRPr="001A1EE2">
        <w:rPr>
          <w:lang w:val="en-GB"/>
        </w:rPr>
        <w:t xml:space="preserve"> </w:t>
      </w:r>
      <w:r w:rsidR="006C4FDD" w:rsidRPr="001A1EE2">
        <w:rPr>
          <w:lang w:val="en-GB"/>
        </w:rPr>
        <w:t xml:space="preserve">After that, equipment vulnerability models need to </w:t>
      </w:r>
      <w:r w:rsidR="000B2A23" w:rsidRPr="001A1EE2">
        <w:rPr>
          <w:lang w:val="en-GB"/>
        </w:rPr>
        <w:t xml:space="preserve">be applied to each target item to </w:t>
      </w:r>
      <w:r w:rsidR="00911E03" w:rsidRPr="001A1EE2">
        <w:rPr>
          <w:lang w:val="en-GB"/>
        </w:rPr>
        <w:t>assess the equipment damage probability</w:t>
      </w:r>
      <w:r w:rsidR="00A704B7" w:rsidRPr="001A1EE2">
        <w:rPr>
          <w:lang w:val="en-GB"/>
        </w:rPr>
        <w:t xml:space="preserve"> and </w:t>
      </w:r>
      <w:r w:rsidR="00707BB7" w:rsidRPr="001A1EE2">
        <w:rPr>
          <w:lang w:val="en-GB"/>
        </w:rPr>
        <w:t xml:space="preserve">conventional models shall be </w:t>
      </w:r>
      <w:r w:rsidR="00644D46" w:rsidRPr="001A1EE2">
        <w:rPr>
          <w:lang w:val="en-GB"/>
        </w:rPr>
        <w:t>used</w:t>
      </w:r>
      <w:r w:rsidR="00707BB7" w:rsidRPr="001A1EE2">
        <w:rPr>
          <w:lang w:val="en-GB"/>
        </w:rPr>
        <w:t xml:space="preserve"> to evaluate the consequences </w:t>
      </w:r>
      <w:r w:rsidR="00D8021D" w:rsidRPr="001A1EE2">
        <w:rPr>
          <w:lang w:val="en-GB"/>
        </w:rPr>
        <w:t>of Natech scenarios.</w:t>
      </w:r>
      <w:r w:rsidR="00754A1C" w:rsidRPr="001A1EE2">
        <w:rPr>
          <w:lang w:val="en-GB"/>
        </w:rPr>
        <w:t xml:space="preserve"> </w:t>
      </w:r>
      <w:r w:rsidR="00E61FB9" w:rsidRPr="001A1EE2">
        <w:rPr>
          <w:lang w:val="en-GB"/>
        </w:rPr>
        <w:t>Finally</w:t>
      </w:r>
      <w:r w:rsidR="003E66FA" w:rsidRPr="001A1EE2">
        <w:rPr>
          <w:lang w:val="en-GB"/>
        </w:rPr>
        <w:t xml:space="preserve">, </w:t>
      </w:r>
      <w:r w:rsidR="00C078A9" w:rsidRPr="001A1EE2">
        <w:rPr>
          <w:lang w:val="en-GB"/>
        </w:rPr>
        <w:t xml:space="preserve">the </w:t>
      </w:r>
      <w:r w:rsidR="00621170" w:rsidRPr="001A1EE2">
        <w:rPr>
          <w:lang w:val="en-GB"/>
        </w:rPr>
        <w:t xml:space="preserve">two </w:t>
      </w:r>
      <w:r w:rsidR="003E66FA" w:rsidRPr="001A1EE2">
        <w:rPr>
          <w:lang w:val="en-GB"/>
        </w:rPr>
        <w:t xml:space="preserve">inherent safety </w:t>
      </w:r>
      <w:r w:rsidR="00BC43A7" w:rsidRPr="001A1EE2">
        <w:rPr>
          <w:lang w:val="en-GB"/>
        </w:rPr>
        <w:t>indices</w:t>
      </w:r>
      <w:r w:rsidR="00C078A9" w:rsidRPr="001A1EE2">
        <w:rPr>
          <w:lang w:val="en-GB"/>
        </w:rPr>
        <w:t xml:space="preserve"> introduced by </w:t>
      </w:r>
      <w:r w:rsidR="008575EF" w:rsidRPr="001A1EE2">
        <w:rPr>
          <w:lang w:val="en-GB"/>
        </w:rPr>
        <w:t>Tugnoli et al.</w:t>
      </w:r>
      <w:r w:rsidR="00C078A9" w:rsidRPr="001A1EE2">
        <w:rPr>
          <w:lang w:val="en-GB"/>
        </w:rPr>
        <w:t xml:space="preserve"> (2007)</w:t>
      </w:r>
      <w:r w:rsidR="00621170" w:rsidRPr="001A1EE2">
        <w:rPr>
          <w:lang w:val="en-GB"/>
        </w:rPr>
        <w:t xml:space="preserve">, </w:t>
      </w:r>
      <w:r w:rsidR="00621170" w:rsidRPr="001A1EE2">
        <w:rPr>
          <w:rStyle w:val="CETCaptionCarattere"/>
          <w:i w:val="0"/>
        </w:rPr>
        <w:t>the potential hazard index (PI) and the inherent hazard index (HI),</w:t>
      </w:r>
      <w:r w:rsidR="007B7058" w:rsidRPr="001A1EE2">
        <w:rPr>
          <w:lang w:val="en-GB"/>
        </w:rPr>
        <w:t xml:space="preserve"> </w:t>
      </w:r>
      <w:r w:rsidR="003E66FA" w:rsidRPr="001A1EE2">
        <w:rPr>
          <w:lang w:val="en-GB"/>
        </w:rPr>
        <w:t xml:space="preserve">are calculated with the aim of </w:t>
      </w:r>
      <w:r w:rsidR="00B2451B" w:rsidRPr="001A1EE2">
        <w:rPr>
          <w:lang w:val="en-GB"/>
        </w:rPr>
        <w:t>providing</w:t>
      </w:r>
      <w:r w:rsidR="003E66FA" w:rsidRPr="001A1EE2">
        <w:rPr>
          <w:lang w:val="en-GB"/>
        </w:rPr>
        <w:t xml:space="preserve"> a preliminary </w:t>
      </w:r>
      <w:r w:rsidR="003E66FA" w:rsidRPr="001A1EE2">
        <w:rPr>
          <w:lang w:val="en-GB"/>
        </w:rPr>
        <w:lastRenderedPageBreak/>
        <w:t>quantification of risk</w:t>
      </w:r>
      <w:r w:rsidR="0052623A" w:rsidRPr="001A1EE2">
        <w:rPr>
          <w:rStyle w:val="CETCaptionCarattere"/>
          <w:i w:val="0"/>
        </w:rPr>
        <w:t>.</w:t>
      </w:r>
      <w:r w:rsidR="00CA7EC2" w:rsidRPr="001A1EE2">
        <w:rPr>
          <w:rStyle w:val="CETCaptionCarattere"/>
          <w:i w:val="0"/>
        </w:rPr>
        <w:t xml:space="preserve"> </w:t>
      </w:r>
      <w:r w:rsidR="00C078A9" w:rsidRPr="001A1EE2">
        <w:rPr>
          <w:rStyle w:val="CETCaptionCarattere"/>
          <w:i w:val="0"/>
        </w:rPr>
        <w:t>The</w:t>
      </w:r>
      <w:r w:rsidR="00CA7EC2" w:rsidRPr="001A1EE2">
        <w:rPr>
          <w:rStyle w:val="CETCaptionCarattere"/>
          <w:i w:val="0"/>
        </w:rPr>
        <w:t xml:space="preserve"> PI </w:t>
      </w:r>
      <w:r w:rsidR="00C078A9" w:rsidRPr="001A1EE2">
        <w:rPr>
          <w:rStyle w:val="CETCaptionCarattere"/>
          <w:i w:val="0"/>
        </w:rPr>
        <w:t xml:space="preserve">index </w:t>
      </w:r>
      <w:r w:rsidR="00CA7EC2" w:rsidRPr="001A1EE2">
        <w:rPr>
          <w:rStyle w:val="CETCaptionCarattere"/>
          <w:i w:val="0"/>
        </w:rPr>
        <w:t>represents the effects that may arise from the worst-case accident, providing a roug</w:t>
      </w:r>
      <w:r w:rsidR="00C87FE6" w:rsidRPr="001A1EE2">
        <w:rPr>
          <w:rStyle w:val="CETCaptionCarattere"/>
          <w:i w:val="0"/>
        </w:rPr>
        <w:t>h</w:t>
      </w:r>
      <w:r w:rsidR="00CA7EC2" w:rsidRPr="001A1EE2">
        <w:rPr>
          <w:rStyle w:val="CETCaptionCarattere"/>
          <w:i w:val="0"/>
        </w:rPr>
        <w:t xml:space="preserve"> estimation of the impacted area, </w:t>
      </w:r>
      <w:r w:rsidR="00C078A9" w:rsidRPr="001A1EE2">
        <w:rPr>
          <w:rStyle w:val="CETCaptionCarattere"/>
          <w:i w:val="0"/>
        </w:rPr>
        <w:t xml:space="preserve">while the </w:t>
      </w:r>
      <w:r w:rsidR="00CA7EC2" w:rsidRPr="001A1EE2">
        <w:rPr>
          <w:rStyle w:val="CETCaptionCarattere"/>
          <w:i w:val="0"/>
        </w:rPr>
        <w:t xml:space="preserve">HI </w:t>
      </w:r>
      <w:r w:rsidR="00C078A9" w:rsidRPr="001A1EE2">
        <w:rPr>
          <w:rStyle w:val="CETCaptionCarattere"/>
          <w:i w:val="0"/>
        </w:rPr>
        <w:t xml:space="preserve">index </w:t>
      </w:r>
      <w:r w:rsidR="00CA7EC2" w:rsidRPr="001A1EE2">
        <w:rPr>
          <w:rStyle w:val="CETCaptionCarattere"/>
          <w:i w:val="0"/>
        </w:rPr>
        <w:t xml:space="preserve">represents the effects that may result from the worst credible accident, </w:t>
      </w:r>
      <w:r w:rsidR="00C87FE6" w:rsidRPr="001A1EE2">
        <w:rPr>
          <w:rStyle w:val="CETCaptionCarattere"/>
          <w:i w:val="0"/>
        </w:rPr>
        <w:t>considering</w:t>
      </w:r>
      <w:r w:rsidR="00CA7EC2" w:rsidRPr="001A1EE2">
        <w:rPr>
          <w:rStyle w:val="CETCaptionCarattere"/>
          <w:i w:val="0"/>
        </w:rPr>
        <w:t xml:space="preserve"> the probability of equipment failure (</w:t>
      </w:r>
      <w:proofErr w:type="spellStart"/>
      <w:r w:rsidR="00CA7EC2" w:rsidRPr="001A1EE2">
        <w:rPr>
          <w:rStyle w:val="CETCaptionCarattere"/>
          <w:i w:val="0"/>
        </w:rPr>
        <w:t>Crivellari</w:t>
      </w:r>
      <w:proofErr w:type="spellEnd"/>
      <w:r w:rsidR="00CA7EC2" w:rsidRPr="001A1EE2">
        <w:rPr>
          <w:rStyle w:val="CETCaptionCarattere"/>
          <w:i w:val="0"/>
        </w:rPr>
        <w:t xml:space="preserve"> et al., 2018). </w:t>
      </w:r>
      <w:r w:rsidR="00C078A9" w:rsidRPr="001A1EE2">
        <w:rPr>
          <w:rStyle w:val="CETCaptionCarattere"/>
          <w:i w:val="0"/>
        </w:rPr>
        <w:t>In order t</w:t>
      </w:r>
      <w:r w:rsidR="00E472C3" w:rsidRPr="001A1EE2">
        <w:rPr>
          <w:lang w:val="en-GB"/>
        </w:rPr>
        <w:t>o compare indices before and after considering Natech scenarios, an evaluation of the in</w:t>
      </w:r>
      <w:r w:rsidR="00C078A9" w:rsidRPr="001A1EE2">
        <w:rPr>
          <w:lang w:val="en-GB"/>
        </w:rPr>
        <w:t>herent</w:t>
      </w:r>
      <w:r w:rsidR="00E472C3" w:rsidRPr="001A1EE2">
        <w:rPr>
          <w:lang w:val="en-GB"/>
        </w:rPr>
        <w:t xml:space="preserve"> safety </w:t>
      </w:r>
      <w:r w:rsidR="00C078A9" w:rsidRPr="001A1EE2">
        <w:rPr>
          <w:lang w:val="en-GB"/>
        </w:rPr>
        <w:t>with respect to</w:t>
      </w:r>
      <w:r w:rsidR="00E472C3" w:rsidRPr="001A1EE2">
        <w:rPr>
          <w:lang w:val="en-GB"/>
        </w:rPr>
        <w:t xml:space="preserve"> conventional scenarios due to internal failures is also performed.</w:t>
      </w:r>
    </w:p>
    <w:p w14:paraId="50D32F5F" w14:textId="77777777" w:rsidR="008D798F" w:rsidRPr="001A1EE2" w:rsidRDefault="008D798F" w:rsidP="00E472C3">
      <w:pPr>
        <w:pStyle w:val="CETBodytext"/>
        <w:rPr>
          <w:lang w:val="en-GB"/>
        </w:rPr>
      </w:pPr>
    </w:p>
    <w:p w14:paraId="482D7E8E" w14:textId="003E56DD" w:rsidR="00F55D5D" w:rsidRPr="001A1EE2" w:rsidRDefault="00775855" w:rsidP="00D870F3">
      <w:pPr>
        <w:pStyle w:val="CETBodytext"/>
        <w:jc w:val="left"/>
        <w:rPr>
          <w:lang w:val="en-GB"/>
        </w:rPr>
      </w:pPr>
      <w:r w:rsidRPr="001A1EE2">
        <w:rPr>
          <w:noProof/>
          <w:lang w:val="en-GB"/>
        </w:rPr>
        <w:drawing>
          <wp:inline distT="0" distB="0" distL="0" distR="0" wp14:anchorId="64C2FF07" wp14:editId="3D30324C">
            <wp:extent cx="3382032" cy="4045306"/>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82032" cy="4045306"/>
                    </a:xfrm>
                    <a:prstGeom prst="rect">
                      <a:avLst/>
                    </a:prstGeom>
                    <a:noFill/>
                    <a:ln>
                      <a:noFill/>
                    </a:ln>
                  </pic:spPr>
                </pic:pic>
              </a:graphicData>
            </a:graphic>
          </wp:inline>
        </w:drawing>
      </w:r>
    </w:p>
    <w:p w14:paraId="0DE38B85" w14:textId="777DB6AB" w:rsidR="00B675BA" w:rsidRPr="001A1EE2" w:rsidRDefault="00B675BA" w:rsidP="008D5B3B">
      <w:pPr>
        <w:pStyle w:val="CETCaption"/>
        <w:rPr>
          <w:rStyle w:val="CETCaptionCarattere"/>
          <w:i/>
        </w:rPr>
      </w:pPr>
      <w:r w:rsidRPr="001A1EE2">
        <w:rPr>
          <w:rStyle w:val="CETCaptionCarattere"/>
          <w:i/>
        </w:rPr>
        <w:t xml:space="preserve">Figure 2: </w:t>
      </w:r>
      <w:r w:rsidR="004843AD" w:rsidRPr="001A1EE2">
        <w:rPr>
          <w:rStyle w:val="CETCaptionCarattere"/>
          <w:i/>
        </w:rPr>
        <w:t xml:space="preserve">Methodology </w:t>
      </w:r>
      <w:r w:rsidR="002D1A4F" w:rsidRPr="001A1EE2">
        <w:rPr>
          <w:rStyle w:val="CETCaptionCarattere"/>
          <w:i/>
        </w:rPr>
        <w:t>proposed in the current study.</w:t>
      </w:r>
    </w:p>
    <w:p w14:paraId="59F85E36" w14:textId="00CF4C2F" w:rsidR="005F07FA" w:rsidRPr="001A1EE2" w:rsidRDefault="005F07FA" w:rsidP="005F07FA">
      <w:pPr>
        <w:pStyle w:val="CETBodytext"/>
        <w:rPr>
          <w:rStyle w:val="CETCaptionCarattere"/>
          <w:i w:val="0"/>
        </w:rPr>
      </w:pPr>
      <w:r w:rsidRPr="001A1EE2">
        <w:rPr>
          <w:lang w:val="en-GB"/>
        </w:rPr>
        <w:t>It is worth noting that the current analysis does not account for domino effect</w:t>
      </w:r>
      <w:r w:rsidR="00C16294" w:rsidRPr="001A1EE2">
        <w:rPr>
          <w:lang w:val="en-GB"/>
        </w:rPr>
        <w:t>s</w:t>
      </w:r>
      <w:r w:rsidRPr="001A1EE2">
        <w:rPr>
          <w:lang w:val="en-GB"/>
        </w:rPr>
        <w:t>, common escalation scenario</w:t>
      </w:r>
      <w:r w:rsidR="00C16294" w:rsidRPr="001A1EE2">
        <w:rPr>
          <w:lang w:val="en-GB"/>
        </w:rPr>
        <w:t>s</w:t>
      </w:r>
      <w:r w:rsidRPr="001A1EE2">
        <w:rPr>
          <w:lang w:val="en-GB"/>
        </w:rPr>
        <w:t xml:space="preserve"> </w:t>
      </w:r>
      <w:r w:rsidR="00BC3AC3" w:rsidRPr="001A1EE2">
        <w:rPr>
          <w:lang w:val="en-GB"/>
        </w:rPr>
        <w:t>that often follow</w:t>
      </w:r>
      <w:r w:rsidRPr="001A1EE2">
        <w:rPr>
          <w:lang w:val="en-GB"/>
        </w:rPr>
        <w:t xml:space="preserve"> Natech events (Misuri et al., 2020).</w:t>
      </w:r>
    </w:p>
    <w:p w14:paraId="677EBFF0" w14:textId="7BCA83DD" w:rsidR="00600535" w:rsidRPr="001A1EE2" w:rsidRDefault="00023DEC" w:rsidP="00B31EEF">
      <w:pPr>
        <w:pStyle w:val="CETHeading1"/>
        <w:rPr>
          <w:lang w:val="en-GB"/>
        </w:rPr>
      </w:pPr>
      <w:r w:rsidRPr="001A1EE2">
        <w:rPr>
          <w:lang w:val="en-GB"/>
        </w:rPr>
        <w:t>Case</w:t>
      </w:r>
      <w:r w:rsidR="00787F76" w:rsidRPr="001A1EE2">
        <w:rPr>
          <w:lang w:val="en-GB"/>
        </w:rPr>
        <w:t xml:space="preserve"> study</w:t>
      </w:r>
    </w:p>
    <w:p w14:paraId="27D8862C" w14:textId="351FAC07" w:rsidR="00FA410E" w:rsidRPr="001A1EE2" w:rsidRDefault="002142E1" w:rsidP="0079087E">
      <w:pPr>
        <w:pStyle w:val="CETBodytext"/>
        <w:rPr>
          <w:lang w:val="en-GB"/>
        </w:rPr>
      </w:pPr>
      <w:r w:rsidRPr="001A1EE2">
        <w:rPr>
          <w:lang w:val="en-GB"/>
        </w:rPr>
        <w:t xml:space="preserve">The </w:t>
      </w:r>
      <w:r w:rsidR="00B22E44" w:rsidRPr="001A1EE2">
        <w:rPr>
          <w:lang w:val="en-GB"/>
        </w:rPr>
        <w:t xml:space="preserve">proposed methodology </w:t>
      </w:r>
      <w:r w:rsidR="00683DAD" w:rsidRPr="001A1EE2">
        <w:rPr>
          <w:lang w:val="en-GB"/>
        </w:rPr>
        <w:t>was applied to a notional case study.</w:t>
      </w:r>
      <w:r w:rsidR="006A36ED" w:rsidRPr="001A1EE2">
        <w:rPr>
          <w:lang w:val="en-GB"/>
        </w:rPr>
        <w:t xml:space="preserve"> It</w:t>
      </w:r>
      <w:r w:rsidR="002C1474" w:rsidRPr="001A1EE2">
        <w:rPr>
          <w:lang w:val="en-GB"/>
        </w:rPr>
        <w:t xml:space="preserve"> entails </w:t>
      </w:r>
      <w:r w:rsidR="00BC7C18" w:rsidRPr="001A1EE2">
        <w:rPr>
          <w:lang w:val="en-GB"/>
        </w:rPr>
        <w:t xml:space="preserve">a </w:t>
      </w:r>
      <w:r w:rsidR="006363AC" w:rsidRPr="001A1EE2">
        <w:rPr>
          <w:lang w:val="en-GB"/>
        </w:rPr>
        <w:t>CCS system that</w:t>
      </w:r>
      <w:r w:rsidR="0000384D" w:rsidRPr="001A1EE2">
        <w:rPr>
          <w:lang w:val="en-GB"/>
        </w:rPr>
        <w:t xml:space="preserve"> involves </w:t>
      </w:r>
      <w:r w:rsidR="002C1474" w:rsidRPr="001A1EE2">
        <w:rPr>
          <w:lang w:val="en-GB"/>
        </w:rPr>
        <w:t xml:space="preserve">the capture </w:t>
      </w:r>
      <w:r w:rsidR="0000384D" w:rsidRPr="001A1EE2">
        <w:rPr>
          <w:lang w:val="en-GB"/>
        </w:rPr>
        <w:t xml:space="preserve">of </w:t>
      </w:r>
      <w:r w:rsidR="00760D49" w:rsidRPr="001A1EE2">
        <w:rPr>
          <w:lang w:val="en-GB"/>
        </w:rPr>
        <w:t>CO</w:t>
      </w:r>
      <w:r w:rsidR="00760D49" w:rsidRPr="001A1EE2">
        <w:rPr>
          <w:vertAlign w:val="subscript"/>
          <w:lang w:val="en-GB"/>
        </w:rPr>
        <w:t>2</w:t>
      </w:r>
      <w:r w:rsidR="0000384D" w:rsidRPr="001A1EE2">
        <w:rPr>
          <w:lang w:val="en-GB"/>
        </w:rPr>
        <w:t xml:space="preserve"> emissions from the stacks of a thermoelectric plant</w:t>
      </w:r>
      <w:r w:rsidR="004E67D4" w:rsidRPr="001A1EE2">
        <w:rPr>
          <w:lang w:val="en-GB"/>
        </w:rPr>
        <w:t xml:space="preserve"> </w:t>
      </w:r>
      <w:r w:rsidR="00F341BB" w:rsidRPr="001A1EE2">
        <w:rPr>
          <w:lang w:val="en-GB"/>
        </w:rPr>
        <w:t xml:space="preserve">via an </w:t>
      </w:r>
      <w:r w:rsidR="004E67D4" w:rsidRPr="001A1EE2">
        <w:rPr>
          <w:lang w:val="en-GB"/>
        </w:rPr>
        <w:t>a</w:t>
      </w:r>
      <w:r w:rsidR="003867E5" w:rsidRPr="001A1EE2">
        <w:rPr>
          <w:lang w:val="en-GB"/>
        </w:rPr>
        <w:t>bsorption</w:t>
      </w:r>
      <w:r w:rsidR="004E67D4" w:rsidRPr="001A1EE2">
        <w:rPr>
          <w:lang w:val="en-GB"/>
        </w:rPr>
        <w:t>-based Post-Combustion Capture (PCC) process</w:t>
      </w:r>
      <w:r w:rsidR="0000384D" w:rsidRPr="001A1EE2">
        <w:rPr>
          <w:lang w:val="en-GB"/>
        </w:rPr>
        <w:t>, compression and</w:t>
      </w:r>
      <w:r w:rsidR="002C1474" w:rsidRPr="001A1EE2">
        <w:rPr>
          <w:lang w:val="en-GB"/>
        </w:rPr>
        <w:t xml:space="preserve"> transport</w:t>
      </w:r>
      <w:r w:rsidR="0000384D" w:rsidRPr="001A1EE2">
        <w:rPr>
          <w:lang w:val="en-GB"/>
        </w:rPr>
        <w:t>, via pipeline</w:t>
      </w:r>
      <w:r w:rsidR="002C1474" w:rsidRPr="001A1EE2">
        <w:rPr>
          <w:lang w:val="en-GB"/>
        </w:rPr>
        <w:t>s</w:t>
      </w:r>
      <w:r w:rsidR="0000384D" w:rsidRPr="001A1EE2">
        <w:rPr>
          <w:lang w:val="en-GB"/>
        </w:rPr>
        <w:t>, to a depleted natural gas field where they will be permanently stored.</w:t>
      </w:r>
      <w:r w:rsidR="000309E9" w:rsidRPr="001A1EE2">
        <w:rPr>
          <w:lang w:val="en-GB"/>
        </w:rPr>
        <w:t xml:space="preserve"> </w:t>
      </w:r>
      <w:r w:rsidR="006A6E2E" w:rsidRPr="001A1EE2">
        <w:rPr>
          <w:lang w:val="en-GB"/>
        </w:rPr>
        <w:t>CO</w:t>
      </w:r>
      <w:r w:rsidR="006A6E2E" w:rsidRPr="001A1EE2">
        <w:rPr>
          <w:vertAlign w:val="subscript"/>
          <w:lang w:val="en-GB"/>
        </w:rPr>
        <w:t>2</w:t>
      </w:r>
      <w:r w:rsidR="006A6E2E" w:rsidRPr="001A1EE2">
        <w:rPr>
          <w:lang w:val="en-GB"/>
        </w:rPr>
        <w:t xml:space="preserve"> is transported in its dense </w:t>
      </w:r>
      <w:r w:rsidR="00051D5B" w:rsidRPr="001A1EE2">
        <w:rPr>
          <w:lang w:val="en-GB"/>
        </w:rPr>
        <w:t>phase;</w:t>
      </w:r>
      <w:r w:rsidR="006A6E2E" w:rsidRPr="001A1EE2">
        <w:rPr>
          <w:lang w:val="en-GB"/>
        </w:rPr>
        <w:t xml:space="preserve"> </w:t>
      </w:r>
      <w:r w:rsidR="00051D5B" w:rsidRPr="001A1EE2">
        <w:rPr>
          <w:lang w:val="en-GB"/>
        </w:rPr>
        <w:t>thus,</w:t>
      </w:r>
      <w:r w:rsidR="006A6E2E" w:rsidRPr="001A1EE2">
        <w:rPr>
          <w:lang w:val="en-GB"/>
        </w:rPr>
        <w:t xml:space="preserve"> the </w:t>
      </w:r>
      <w:r w:rsidR="003867E5" w:rsidRPr="001A1EE2">
        <w:rPr>
          <w:lang w:val="en-GB"/>
        </w:rPr>
        <w:t>c</w:t>
      </w:r>
      <w:r w:rsidR="006A6E2E" w:rsidRPr="001A1EE2">
        <w:rPr>
          <w:lang w:val="en-GB"/>
        </w:rPr>
        <w:t>onditioning stage</w:t>
      </w:r>
      <w:r w:rsidR="00051D5B" w:rsidRPr="001A1EE2">
        <w:rPr>
          <w:lang w:val="en-GB"/>
        </w:rPr>
        <w:t xml:space="preserve"> </w:t>
      </w:r>
      <w:r w:rsidR="006C6CAA" w:rsidRPr="001A1EE2">
        <w:rPr>
          <w:lang w:val="en-GB"/>
        </w:rPr>
        <w:t xml:space="preserve">involves </w:t>
      </w:r>
      <w:r w:rsidR="000309E9" w:rsidRPr="001A1EE2">
        <w:rPr>
          <w:lang w:val="en-GB"/>
        </w:rPr>
        <w:t>a series of inter-cooled compression, liquefaction</w:t>
      </w:r>
      <w:r w:rsidR="00D0347E" w:rsidRPr="001A1EE2">
        <w:rPr>
          <w:lang w:val="en-GB"/>
        </w:rPr>
        <w:t>,</w:t>
      </w:r>
      <w:r w:rsidR="000309E9" w:rsidRPr="001A1EE2">
        <w:rPr>
          <w:lang w:val="en-GB"/>
        </w:rPr>
        <w:t xml:space="preserve"> and pumping units</w:t>
      </w:r>
      <w:r w:rsidR="000C721D" w:rsidRPr="001A1EE2">
        <w:rPr>
          <w:lang w:val="en-GB"/>
        </w:rPr>
        <w:t xml:space="preserve"> working at high pressures and temperatures</w:t>
      </w:r>
      <w:r w:rsidR="006133A5" w:rsidRPr="001A1EE2">
        <w:rPr>
          <w:lang w:val="en-GB"/>
        </w:rPr>
        <w:t>.</w:t>
      </w:r>
      <w:r w:rsidR="005B2710" w:rsidRPr="001A1EE2">
        <w:rPr>
          <w:lang w:val="en-GB"/>
        </w:rPr>
        <w:t xml:space="preserve"> These operating conditions make this stage the most critical</w:t>
      </w:r>
      <w:r w:rsidR="00C078A9" w:rsidRPr="001A1EE2">
        <w:rPr>
          <w:lang w:val="en-GB"/>
        </w:rPr>
        <w:t>. T</w:t>
      </w:r>
      <w:r w:rsidR="005B2710" w:rsidRPr="001A1EE2">
        <w:rPr>
          <w:lang w:val="en-GB"/>
        </w:rPr>
        <w:t xml:space="preserve">herefore, the equipment </w:t>
      </w:r>
      <w:r w:rsidR="00D0347E" w:rsidRPr="001A1EE2">
        <w:rPr>
          <w:lang w:val="en-GB"/>
        </w:rPr>
        <w:t xml:space="preserve">items </w:t>
      </w:r>
      <w:r w:rsidR="00B8158D" w:rsidRPr="001A1EE2">
        <w:rPr>
          <w:lang w:val="en-GB"/>
        </w:rPr>
        <w:t xml:space="preserve">present in the </w:t>
      </w:r>
      <w:r w:rsidR="003867E5" w:rsidRPr="001A1EE2">
        <w:rPr>
          <w:lang w:val="en-GB"/>
        </w:rPr>
        <w:t>c</w:t>
      </w:r>
      <w:r w:rsidR="00223B2F" w:rsidRPr="001A1EE2">
        <w:rPr>
          <w:lang w:val="en-GB"/>
        </w:rPr>
        <w:t>onditioning</w:t>
      </w:r>
      <w:r w:rsidR="00B8158D" w:rsidRPr="001A1EE2">
        <w:rPr>
          <w:lang w:val="en-GB"/>
        </w:rPr>
        <w:t xml:space="preserve"> section</w:t>
      </w:r>
      <w:r w:rsidR="00971E8D" w:rsidRPr="001A1EE2">
        <w:rPr>
          <w:lang w:val="en-GB"/>
        </w:rPr>
        <w:t xml:space="preserve"> of the plant</w:t>
      </w:r>
      <w:r w:rsidR="00B8158D" w:rsidRPr="001A1EE2">
        <w:rPr>
          <w:lang w:val="en-GB"/>
        </w:rPr>
        <w:t xml:space="preserve"> are the target</w:t>
      </w:r>
      <w:r w:rsidR="00722F49" w:rsidRPr="001A1EE2">
        <w:rPr>
          <w:lang w:val="en-GB"/>
        </w:rPr>
        <w:t xml:space="preserve"> </w:t>
      </w:r>
      <w:r w:rsidR="00220DD3" w:rsidRPr="001A1EE2">
        <w:rPr>
          <w:lang w:val="en-GB"/>
        </w:rPr>
        <w:t>identified through</w:t>
      </w:r>
      <w:r w:rsidR="00C03FD6" w:rsidRPr="001A1EE2">
        <w:rPr>
          <w:lang w:val="en-GB"/>
        </w:rPr>
        <w:t xml:space="preserve"> the methodology</w:t>
      </w:r>
      <w:r w:rsidR="00FA410E" w:rsidRPr="001A1EE2">
        <w:rPr>
          <w:lang w:val="en-GB"/>
        </w:rPr>
        <w:t xml:space="preserve"> and are reported</w:t>
      </w:r>
      <w:r w:rsidR="00867979" w:rsidRPr="001A1EE2">
        <w:rPr>
          <w:lang w:val="en-GB"/>
        </w:rPr>
        <w:t xml:space="preserve"> in Figure 3.</w:t>
      </w:r>
    </w:p>
    <w:p w14:paraId="362137DD" w14:textId="77777777" w:rsidR="00D90409" w:rsidRPr="001A1EE2" w:rsidRDefault="00D90409" w:rsidP="0079087E">
      <w:pPr>
        <w:pStyle w:val="CETBodytext"/>
        <w:rPr>
          <w:lang w:val="en-GB"/>
        </w:rPr>
      </w:pPr>
    </w:p>
    <w:p w14:paraId="054C8EF3" w14:textId="5243F92F" w:rsidR="00D90409" w:rsidRPr="001A1EE2" w:rsidRDefault="000F4748" w:rsidP="0079087E">
      <w:pPr>
        <w:pStyle w:val="CETBodytext"/>
        <w:rPr>
          <w:lang w:val="en-GB"/>
        </w:rPr>
      </w:pPr>
      <w:r w:rsidRPr="001A1EE2">
        <w:rPr>
          <w:noProof/>
          <w:lang w:val="en-GB"/>
        </w:rPr>
        <w:drawing>
          <wp:inline distT="0" distB="0" distL="0" distR="0" wp14:anchorId="65DF092E" wp14:editId="484D22FC">
            <wp:extent cx="5581650" cy="876300"/>
            <wp:effectExtent l="0" t="0" r="0" b="0"/>
            <wp:docPr id="4" name="Immagine 1" descr="Figura conditio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a conditioni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81650" cy="876300"/>
                    </a:xfrm>
                    <a:prstGeom prst="rect">
                      <a:avLst/>
                    </a:prstGeom>
                    <a:noFill/>
                    <a:ln>
                      <a:noFill/>
                    </a:ln>
                  </pic:spPr>
                </pic:pic>
              </a:graphicData>
            </a:graphic>
          </wp:inline>
        </w:drawing>
      </w:r>
    </w:p>
    <w:p w14:paraId="507A9925" w14:textId="4B5D3FB6" w:rsidR="00867979" w:rsidRPr="001A1EE2" w:rsidRDefault="00867979" w:rsidP="00867979">
      <w:pPr>
        <w:pStyle w:val="CETCaption"/>
        <w:rPr>
          <w:rStyle w:val="CETCaptionCarattere"/>
          <w:i/>
        </w:rPr>
      </w:pPr>
      <w:r w:rsidRPr="001A1EE2">
        <w:rPr>
          <w:rStyle w:val="CETCaptionCarattere"/>
          <w:i/>
        </w:rPr>
        <w:t xml:space="preserve">Figure </w:t>
      </w:r>
      <w:r w:rsidR="00AD67F5" w:rsidRPr="001A1EE2">
        <w:rPr>
          <w:rStyle w:val="CETCaptionCarattere"/>
          <w:i/>
        </w:rPr>
        <w:t>3</w:t>
      </w:r>
      <w:r w:rsidRPr="001A1EE2">
        <w:rPr>
          <w:rStyle w:val="CETCaptionCarattere"/>
          <w:i/>
        </w:rPr>
        <w:t xml:space="preserve">: </w:t>
      </w:r>
      <w:r w:rsidRPr="00960031">
        <w:rPr>
          <w:rStyle w:val="CETCaptionCarattere"/>
          <w:i/>
        </w:rPr>
        <w:t xml:space="preserve">Reference </w:t>
      </w:r>
      <w:r w:rsidRPr="009516E9">
        <w:rPr>
          <w:rStyle w:val="CETCaptionCarattere"/>
          <w:i/>
        </w:rPr>
        <w:t>process scheme of the</w:t>
      </w:r>
      <w:r w:rsidR="00AD67F5" w:rsidRPr="009516E9">
        <w:rPr>
          <w:rStyle w:val="CETCaptionCarattere"/>
          <w:i/>
        </w:rPr>
        <w:t xml:space="preserve"> CO</w:t>
      </w:r>
      <w:r w:rsidR="00AD67F5" w:rsidRPr="009516E9">
        <w:rPr>
          <w:rStyle w:val="CETCaptionCarattere"/>
          <w:i/>
          <w:vertAlign w:val="subscript"/>
        </w:rPr>
        <w:t>2</w:t>
      </w:r>
      <w:r w:rsidRPr="009516E9">
        <w:rPr>
          <w:rStyle w:val="CETCaptionCarattere"/>
          <w:i/>
          <w:vertAlign w:val="subscript"/>
        </w:rPr>
        <w:t xml:space="preserve"> </w:t>
      </w:r>
      <w:r w:rsidRPr="009516E9">
        <w:rPr>
          <w:rStyle w:val="CETCaptionCarattere"/>
          <w:i/>
        </w:rPr>
        <w:t>conditioning unit</w:t>
      </w:r>
      <w:r w:rsidR="00AD67F5" w:rsidRPr="009516E9">
        <w:rPr>
          <w:rStyle w:val="CETCaptionCarattere"/>
          <w:i/>
        </w:rPr>
        <w:t xml:space="preserve"> considered in the case study</w:t>
      </w:r>
      <w:r w:rsidR="005A728C" w:rsidRPr="009516E9">
        <w:rPr>
          <w:rStyle w:val="CETCaptionCarattere"/>
          <w:i/>
        </w:rPr>
        <w:t xml:space="preserve"> (compressor</w:t>
      </w:r>
      <w:r w:rsidR="000314AA" w:rsidRPr="009516E9">
        <w:rPr>
          <w:rStyle w:val="CETCaptionCarattere"/>
          <w:i/>
        </w:rPr>
        <w:t>s</w:t>
      </w:r>
      <w:r w:rsidR="005A728C" w:rsidRPr="009516E9">
        <w:rPr>
          <w:rStyle w:val="CETCaptionCarattere"/>
          <w:i/>
        </w:rPr>
        <w:t xml:space="preserve"> (C), coolers (H), and separators (S)</w:t>
      </w:r>
      <w:r w:rsidR="000314AA" w:rsidRPr="009516E9">
        <w:rPr>
          <w:rStyle w:val="CETCaptionCarattere"/>
          <w:i/>
        </w:rPr>
        <w:t>).</w:t>
      </w:r>
    </w:p>
    <w:p w14:paraId="695D0FD6" w14:textId="1411EB43" w:rsidR="00BD7E28" w:rsidRPr="001A1EE2" w:rsidRDefault="00BD7E28" w:rsidP="00BD7E28">
      <w:pPr>
        <w:pStyle w:val="CETBodytext"/>
        <w:rPr>
          <w:lang w:val="en-GB"/>
        </w:rPr>
      </w:pPr>
      <w:r w:rsidRPr="001A1EE2">
        <w:rPr>
          <w:lang w:val="en-GB"/>
        </w:rPr>
        <w:lastRenderedPageBreak/>
        <w:t>Details regarding equipment features are then summarized in Table 1.</w:t>
      </w:r>
    </w:p>
    <w:p w14:paraId="769C404F" w14:textId="1B175679" w:rsidR="00FA410E" w:rsidRPr="001A1EE2" w:rsidRDefault="00FA410E" w:rsidP="00FA410E">
      <w:pPr>
        <w:pStyle w:val="CETTabletitle"/>
      </w:pPr>
      <w:r w:rsidRPr="001A1EE2">
        <w:t>Table 1: Main features</w:t>
      </w:r>
      <w:r w:rsidR="00330E72" w:rsidRPr="001A1EE2">
        <w:t xml:space="preserve"> of the target equipment considered in the case study</w:t>
      </w:r>
      <w:r w:rsidRPr="001A1EE2">
        <w:t>.</w:t>
      </w:r>
    </w:p>
    <w:tbl>
      <w:tblPr>
        <w:tblW w:w="5000" w:type="pct"/>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2197"/>
        <w:gridCol w:w="2197"/>
        <w:gridCol w:w="2200"/>
        <w:gridCol w:w="2193"/>
      </w:tblGrid>
      <w:tr w:rsidR="00FA410E" w:rsidRPr="001A1EE2" w14:paraId="2DC47BD2" w14:textId="77777777" w:rsidTr="0016011B">
        <w:tc>
          <w:tcPr>
            <w:tcW w:w="1250" w:type="pct"/>
            <w:tcBorders>
              <w:top w:val="single" w:sz="12" w:space="0" w:color="008000"/>
              <w:bottom w:val="single" w:sz="6" w:space="0" w:color="008000"/>
            </w:tcBorders>
            <w:shd w:val="clear" w:color="auto" w:fill="FFFFFF"/>
          </w:tcPr>
          <w:p w14:paraId="635C1F4B" w14:textId="28B35BFA" w:rsidR="00FA410E" w:rsidRPr="001A1EE2" w:rsidRDefault="004C3C20" w:rsidP="00272D34">
            <w:pPr>
              <w:pStyle w:val="CETBodytext"/>
              <w:jc w:val="left"/>
              <w:rPr>
                <w:b/>
                <w:bCs/>
                <w:lang w:val="en-GB"/>
              </w:rPr>
            </w:pPr>
            <w:r w:rsidRPr="001A1EE2">
              <w:rPr>
                <w:b/>
                <w:bCs/>
                <w:lang w:val="en-GB"/>
              </w:rPr>
              <w:t>Features</w:t>
            </w:r>
          </w:p>
        </w:tc>
        <w:tc>
          <w:tcPr>
            <w:tcW w:w="1250" w:type="pct"/>
            <w:tcBorders>
              <w:top w:val="single" w:sz="12" w:space="0" w:color="008000"/>
              <w:bottom w:val="single" w:sz="6" w:space="0" w:color="008000"/>
            </w:tcBorders>
            <w:shd w:val="clear" w:color="auto" w:fill="FFFFFF"/>
          </w:tcPr>
          <w:p w14:paraId="60295F2E" w14:textId="35C93895" w:rsidR="004E166C" w:rsidRPr="001A1EE2" w:rsidRDefault="00AE5599" w:rsidP="00272D34">
            <w:pPr>
              <w:pStyle w:val="CETBodytext"/>
              <w:jc w:val="left"/>
              <w:rPr>
                <w:b/>
                <w:bCs/>
                <w:lang w:val="en-GB"/>
              </w:rPr>
            </w:pPr>
            <w:r w:rsidRPr="001A1EE2">
              <w:rPr>
                <w:b/>
                <w:bCs/>
                <w:lang w:val="en-GB"/>
              </w:rPr>
              <w:t>Compressors</w:t>
            </w:r>
            <w:r w:rsidR="00701335">
              <w:rPr>
                <w:b/>
                <w:bCs/>
                <w:lang w:val="en-GB"/>
              </w:rPr>
              <w:t xml:space="preserve"> (C)</w:t>
            </w:r>
          </w:p>
        </w:tc>
        <w:tc>
          <w:tcPr>
            <w:tcW w:w="1252" w:type="pct"/>
            <w:tcBorders>
              <w:top w:val="single" w:sz="12" w:space="0" w:color="008000"/>
              <w:bottom w:val="single" w:sz="6" w:space="0" w:color="008000"/>
            </w:tcBorders>
            <w:shd w:val="clear" w:color="auto" w:fill="FFFFFF"/>
          </w:tcPr>
          <w:p w14:paraId="2E3546DF" w14:textId="0C9352DB" w:rsidR="00FA410E" w:rsidRPr="001A1EE2" w:rsidRDefault="00AE5599" w:rsidP="00272D34">
            <w:pPr>
              <w:pStyle w:val="CETBodytext"/>
              <w:jc w:val="left"/>
              <w:rPr>
                <w:b/>
                <w:bCs/>
                <w:lang w:val="en-GB"/>
              </w:rPr>
            </w:pPr>
            <w:r w:rsidRPr="001A1EE2">
              <w:rPr>
                <w:b/>
                <w:bCs/>
                <w:lang w:val="en-GB"/>
              </w:rPr>
              <w:t>Coolers</w:t>
            </w:r>
            <w:r w:rsidR="00701335">
              <w:rPr>
                <w:b/>
                <w:bCs/>
                <w:lang w:val="en-GB"/>
              </w:rPr>
              <w:t xml:space="preserve"> (H)</w:t>
            </w:r>
          </w:p>
        </w:tc>
        <w:tc>
          <w:tcPr>
            <w:tcW w:w="1248" w:type="pct"/>
            <w:tcBorders>
              <w:top w:val="single" w:sz="12" w:space="0" w:color="008000"/>
              <w:bottom w:val="single" w:sz="6" w:space="0" w:color="008000"/>
            </w:tcBorders>
            <w:shd w:val="clear" w:color="auto" w:fill="FFFFFF"/>
          </w:tcPr>
          <w:p w14:paraId="4CECA6B6" w14:textId="5A8C27E1" w:rsidR="00FA410E" w:rsidRPr="001A1EE2" w:rsidRDefault="00AE5599" w:rsidP="00272D34">
            <w:pPr>
              <w:pStyle w:val="CETBodytext"/>
              <w:jc w:val="left"/>
              <w:rPr>
                <w:b/>
                <w:bCs/>
                <w:lang w:val="en-GB"/>
              </w:rPr>
            </w:pPr>
            <w:r w:rsidRPr="001A1EE2">
              <w:rPr>
                <w:b/>
                <w:bCs/>
                <w:lang w:val="en-GB"/>
              </w:rPr>
              <w:t>Separators</w:t>
            </w:r>
            <w:r w:rsidR="00701335">
              <w:rPr>
                <w:b/>
                <w:bCs/>
                <w:lang w:val="en-GB"/>
              </w:rPr>
              <w:t xml:space="preserve"> (S)</w:t>
            </w:r>
          </w:p>
        </w:tc>
      </w:tr>
      <w:tr w:rsidR="006C1A22" w:rsidRPr="001A1EE2" w14:paraId="68E81376" w14:textId="77777777" w:rsidTr="0016011B">
        <w:tc>
          <w:tcPr>
            <w:tcW w:w="1250" w:type="pct"/>
            <w:shd w:val="clear" w:color="auto" w:fill="FFFFFF"/>
          </w:tcPr>
          <w:p w14:paraId="4DA93BDD" w14:textId="1D0C8F47" w:rsidR="006C1A22" w:rsidRPr="001A1EE2" w:rsidRDefault="006C1A22" w:rsidP="00272D34">
            <w:pPr>
              <w:pStyle w:val="CETBodytext"/>
              <w:jc w:val="left"/>
              <w:rPr>
                <w:lang w:val="en-GB"/>
              </w:rPr>
            </w:pPr>
            <w:r w:rsidRPr="001A1EE2">
              <w:rPr>
                <w:lang w:val="en-GB"/>
              </w:rPr>
              <w:t>Units</w:t>
            </w:r>
          </w:p>
        </w:tc>
        <w:tc>
          <w:tcPr>
            <w:tcW w:w="1250" w:type="pct"/>
            <w:shd w:val="clear" w:color="auto" w:fill="FFFFFF"/>
          </w:tcPr>
          <w:p w14:paraId="706A62C7" w14:textId="6E76DBEE" w:rsidR="006C1A22" w:rsidRPr="001A1EE2" w:rsidRDefault="00650C6A" w:rsidP="00272D34">
            <w:pPr>
              <w:pStyle w:val="CETBodytext"/>
              <w:jc w:val="left"/>
              <w:rPr>
                <w:lang w:val="en-GB"/>
              </w:rPr>
            </w:pPr>
            <w:r w:rsidRPr="001A1EE2">
              <w:rPr>
                <w:lang w:val="en-GB"/>
              </w:rPr>
              <w:t>6</w:t>
            </w:r>
          </w:p>
        </w:tc>
        <w:tc>
          <w:tcPr>
            <w:tcW w:w="1252" w:type="pct"/>
            <w:shd w:val="clear" w:color="auto" w:fill="FFFFFF"/>
          </w:tcPr>
          <w:p w14:paraId="3C5C4FCC" w14:textId="60E03444" w:rsidR="006C1A22" w:rsidRPr="001A1EE2" w:rsidRDefault="00650C6A" w:rsidP="00272D34">
            <w:pPr>
              <w:pStyle w:val="CETBodytext"/>
              <w:jc w:val="left"/>
              <w:rPr>
                <w:lang w:val="en-GB"/>
              </w:rPr>
            </w:pPr>
            <w:r w:rsidRPr="001A1EE2">
              <w:rPr>
                <w:lang w:val="en-GB"/>
              </w:rPr>
              <w:t>6</w:t>
            </w:r>
          </w:p>
        </w:tc>
        <w:tc>
          <w:tcPr>
            <w:tcW w:w="1248" w:type="pct"/>
            <w:shd w:val="clear" w:color="auto" w:fill="FFFFFF"/>
          </w:tcPr>
          <w:p w14:paraId="3C6E2757" w14:textId="144209D2" w:rsidR="006C1A22" w:rsidRPr="001A1EE2" w:rsidRDefault="00650C6A" w:rsidP="00272D34">
            <w:pPr>
              <w:pStyle w:val="CETBodytext"/>
              <w:jc w:val="left"/>
              <w:rPr>
                <w:lang w:val="en-GB"/>
              </w:rPr>
            </w:pPr>
            <w:r w:rsidRPr="001A1EE2">
              <w:rPr>
                <w:lang w:val="en-GB"/>
              </w:rPr>
              <w:t>4</w:t>
            </w:r>
          </w:p>
        </w:tc>
      </w:tr>
      <w:tr w:rsidR="00FA410E" w:rsidRPr="001A1EE2" w14:paraId="40620683" w14:textId="77777777" w:rsidTr="0016011B">
        <w:tc>
          <w:tcPr>
            <w:tcW w:w="1250" w:type="pct"/>
            <w:shd w:val="clear" w:color="auto" w:fill="FFFFFF"/>
          </w:tcPr>
          <w:p w14:paraId="65CEE9C0" w14:textId="6CC6F271" w:rsidR="00FA410E" w:rsidRPr="001A1EE2" w:rsidRDefault="00E92707" w:rsidP="00272D34">
            <w:pPr>
              <w:pStyle w:val="CETBodytext"/>
              <w:jc w:val="left"/>
              <w:rPr>
                <w:lang w:val="en-GB"/>
              </w:rPr>
            </w:pPr>
            <w:r w:rsidRPr="001A1EE2">
              <w:rPr>
                <w:lang w:val="en-GB"/>
              </w:rPr>
              <w:t>Substance</w:t>
            </w:r>
          </w:p>
        </w:tc>
        <w:tc>
          <w:tcPr>
            <w:tcW w:w="1250" w:type="pct"/>
            <w:shd w:val="clear" w:color="auto" w:fill="FFFFFF"/>
          </w:tcPr>
          <w:p w14:paraId="4DEA4902" w14:textId="6493DF5F" w:rsidR="00FA410E" w:rsidRPr="001A1EE2" w:rsidRDefault="0016011B" w:rsidP="00272D34">
            <w:pPr>
              <w:pStyle w:val="CETBodytext"/>
              <w:jc w:val="left"/>
              <w:rPr>
                <w:lang w:val="en-GB"/>
              </w:rPr>
            </w:pPr>
            <w:r w:rsidRPr="001A1EE2">
              <w:rPr>
                <w:lang w:val="en-GB"/>
              </w:rPr>
              <w:t>CO</w:t>
            </w:r>
            <w:r w:rsidRPr="001A1EE2">
              <w:rPr>
                <w:vertAlign w:val="subscript"/>
                <w:lang w:val="en-GB"/>
              </w:rPr>
              <w:t>2</w:t>
            </w:r>
          </w:p>
        </w:tc>
        <w:tc>
          <w:tcPr>
            <w:tcW w:w="1252" w:type="pct"/>
            <w:shd w:val="clear" w:color="auto" w:fill="FFFFFF"/>
          </w:tcPr>
          <w:p w14:paraId="2FFFBEE6" w14:textId="156B0015" w:rsidR="00FA410E" w:rsidRPr="001A1EE2" w:rsidRDefault="0016011B" w:rsidP="00272D34">
            <w:pPr>
              <w:pStyle w:val="CETBodytext"/>
              <w:jc w:val="left"/>
              <w:rPr>
                <w:lang w:val="en-GB"/>
              </w:rPr>
            </w:pPr>
            <w:r w:rsidRPr="001A1EE2">
              <w:rPr>
                <w:lang w:val="en-GB"/>
              </w:rPr>
              <w:t>CO</w:t>
            </w:r>
            <w:r w:rsidRPr="001A1EE2">
              <w:rPr>
                <w:vertAlign w:val="subscript"/>
                <w:lang w:val="en-GB"/>
              </w:rPr>
              <w:t>2</w:t>
            </w:r>
          </w:p>
        </w:tc>
        <w:tc>
          <w:tcPr>
            <w:tcW w:w="1248" w:type="pct"/>
            <w:shd w:val="clear" w:color="auto" w:fill="FFFFFF"/>
          </w:tcPr>
          <w:p w14:paraId="014B49FC" w14:textId="2A0B00DF" w:rsidR="00FA410E" w:rsidRPr="001A1EE2" w:rsidRDefault="0016011B" w:rsidP="00272D34">
            <w:pPr>
              <w:pStyle w:val="CETBodytext"/>
              <w:jc w:val="left"/>
              <w:rPr>
                <w:lang w:val="en-GB"/>
              </w:rPr>
            </w:pPr>
            <w:r w:rsidRPr="001A1EE2">
              <w:rPr>
                <w:lang w:val="en-GB"/>
              </w:rPr>
              <w:t>CO</w:t>
            </w:r>
            <w:r w:rsidRPr="001A1EE2">
              <w:rPr>
                <w:vertAlign w:val="subscript"/>
                <w:lang w:val="en-GB"/>
              </w:rPr>
              <w:t>2</w:t>
            </w:r>
          </w:p>
        </w:tc>
      </w:tr>
      <w:tr w:rsidR="00FA410E" w:rsidRPr="001A1EE2" w14:paraId="4FC3347C" w14:textId="77777777" w:rsidTr="0016011B">
        <w:tc>
          <w:tcPr>
            <w:tcW w:w="1250" w:type="pct"/>
            <w:shd w:val="clear" w:color="auto" w:fill="FFFFFF"/>
          </w:tcPr>
          <w:p w14:paraId="0BA0B1C0" w14:textId="0C887620" w:rsidR="00DC6E0E" w:rsidRPr="001A1EE2" w:rsidRDefault="00DC6E0E" w:rsidP="00272D34">
            <w:pPr>
              <w:pStyle w:val="CETBodytext"/>
              <w:ind w:right="-1"/>
              <w:jc w:val="left"/>
              <w:rPr>
                <w:rFonts w:cs="Arial"/>
                <w:szCs w:val="18"/>
                <w:lang w:val="en-GB"/>
              </w:rPr>
            </w:pPr>
            <w:r w:rsidRPr="001A1EE2">
              <w:rPr>
                <w:rFonts w:cs="Arial"/>
                <w:szCs w:val="18"/>
                <w:lang w:val="en-GB"/>
              </w:rPr>
              <w:t>Pressure (bar)</w:t>
            </w:r>
          </w:p>
        </w:tc>
        <w:tc>
          <w:tcPr>
            <w:tcW w:w="1250" w:type="pct"/>
            <w:shd w:val="clear" w:color="auto" w:fill="FFFFFF"/>
          </w:tcPr>
          <w:p w14:paraId="2ECFCFBE" w14:textId="08C0269A" w:rsidR="00FA410E" w:rsidRPr="001A1EE2" w:rsidRDefault="0016011B" w:rsidP="00272D34">
            <w:pPr>
              <w:pStyle w:val="CETBodytext"/>
              <w:ind w:right="-1"/>
              <w:jc w:val="left"/>
              <w:rPr>
                <w:rFonts w:cs="Arial"/>
                <w:szCs w:val="18"/>
                <w:lang w:val="en-GB"/>
              </w:rPr>
            </w:pPr>
            <w:r w:rsidRPr="001A1EE2">
              <w:rPr>
                <w:rFonts w:cs="Arial"/>
                <w:szCs w:val="18"/>
                <w:lang w:val="en-GB"/>
              </w:rPr>
              <w:t xml:space="preserve">1.8 </w:t>
            </w:r>
            <w:r w:rsidR="00A92979" w:rsidRPr="001A1EE2">
              <w:rPr>
                <w:rFonts w:cs="Arial"/>
                <w:szCs w:val="18"/>
                <w:lang w:val="en-GB"/>
              </w:rPr>
              <w:t>–</w:t>
            </w:r>
            <w:r w:rsidRPr="001A1EE2">
              <w:rPr>
                <w:rFonts w:cs="Arial"/>
                <w:szCs w:val="18"/>
                <w:lang w:val="en-GB"/>
              </w:rPr>
              <w:t xml:space="preserve"> 120</w:t>
            </w:r>
          </w:p>
        </w:tc>
        <w:tc>
          <w:tcPr>
            <w:tcW w:w="1252" w:type="pct"/>
            <w:shd w:val="clear" w:color="auto" w:fill="FFFFFF"/>
          </w:tcPr>
          <w:p w14:paraId="75618051" w14:textId="5A251254" w:rsidR="00FA410E" w:rsidRPr="001A1EE2" w:rsidRDefault="002240D6" w:rsidP="00272D34">
            <w:pPr>
              <w:pStyle w:val="CETBodytext"/>
              <w:ind w:right="-1"/>
              <w:jc w:val="left"/>
              <w:rPr>
                <w:rFonts w:cs="Arial"/>
                <w:szCs w:val="18"/>
                <w:lang w:val="en-GB"/>
              </w:rPr>
            </w:pPr>
            <w:r w:rsidRPr="001A1EE2">
              <w:rPr>
                <w:rFonts w:cs="Arial"/>
                <w:szCs w:val="18"/>
                <w:lang w:val="en-GB"/>
              </w:rPr>
              <w:t xml:space="preserve">3.6 </w:t>
            </w:r>
            <w:r w:rsidR="00A92979" w:rsidRPr="001A1EE2">
              <w:rPr>
                <w:rFonts w:cs="Arial"/>
                <w:szCs w:val="18"/>
                <w:lang w:val="en-GB"/>
              </w:rPr>
              <w:t>–</w:t>
            </w:r>
            <w:r w:rsidRPr="001A1EE2">
              <w:rPr>
                <w:rFonts w:cs="Arial"/>
                <w:szCs w:val="18"/>
                <w:lang w:val="en-GB"/>
              </w:rPr>
              <w:t xml:space="preserve"> 120</w:t>
            </w:r>
          </w:p>
        </w:tc>
        <w:tc>
          <w:tcPr>
            <w:tcW w:w="1248" w:type="pct"/>
            <w:shd w:val="clear" w:color="auto" w:fill="FFFFFF"/>
          </w:tcPr>
          <w:p w14:paraId="38848A87" w14:textId="083F68E0" w:rsidR="00FA410E" w:rsidRPr="001A1EE2" w:rsidRDefault="002240D6" w:rsidP="00272D34">
            <w:pPr>
              <w:pStyle w:val="CETBodytext"/>
              <w:ind w:right="-1"/>
              <w:jc w:val="left"/>
              <w:rPr>
                <w:rFonts w:cs="Arial"/>
                <w:szCs w:val="18"/>
                <w:lang w:val="en-GB"/>
              </w:rPr>
            </w:pPr>
            <w:r w:rsidRPr="001A1EE2">
              <w:rPr>
                <w:rFonts w:cs="Arial"/>
                <w:szCs w:val="18"/>
                <w:lang w:val="en-GB"/>
              </w:rPr>
              <w:t>3.6</w:t>
            </w:r>
            <w:r w:rsidR="00A92979" w:rsidRPr="001A1EE2">
              <w:rPr>
                <w:rFonts w:cs="Arial"/>
                <w:szCs w:val="18"/>
                <w:lang w:val="en-GB"/>
              </w:rPr>
              <w:t xml:space="preserve"> – </w:t>
            </w:r>
            <w:r w:rsidRPr="001A1EE2">
              <w:rPr>
                <w:rFonts w:cs="Arial"/>
                <w:szCs w:val="18"/>
                <w:lang w:val="en-GB"/>
              </w:rPr>
              <w:t>30</w:t>
            </w:r>
          </w:p>
        </w:tc>
      </w:tr>
      <w:tr w:rsidR="00A67BD4" w:rsidRPr="001A1EE2" w14:paraId="729ADE90" w14:textId="77777777" w:rsidTr="0016011B">
        <w:tc>
          <w:tcPr>
            <w:tcW w:w="1250" w:type="pct"/>
            <w:shd w:val="clear" w:color="auto" w:fill="FFFFFF"/>
          </w:tcPr>
          <w:p w14:paraId="79CAE6CF" w14:textId="11680F76" w:rsidR="00A67BD4" w:rsidRPr="001A1EE2" w:rsidRDefault="00A67BD4" w:rsidP="00A67BD4">
            <w:pPr>
              <w:pStyle w:val="CETBodytext"/>
              <w:ind w:right="-1"/>
              <w:jc w:val="left"/>
              <w:rPr>
                <w:rFonts w:cs="Arial"/>
                <w:szCs w:val="18"/>
                <w:lang w:val="en-GB"/>
              </w:rPr>
            </w:pPr>
            <w:r w:rsidRPr="001A1EE2">
              <w:rPr>
                <w:rFonts w:cs="Arial"/>
                <w:szCs w:val="18"/>
                <w:lang w:val="en-GB"/>
              </w:rPr>
              <w:t>Temperature (°C)</w:t>
            </w:r>
          </w:p>
        </w:tc>
        <w:tc>
          <w:tcPr>
            <w:tcW w:w="1250" w:type="pct"/>
            <w:shd w:val="clear" w:color="auto" w:fill="FFFFFF"/>
          </w:tcPr>
          <w:p w14:paraId="78058563" w14:textId="7B998849" w:rsidR="00A67BD4" w:rsidRPr="001A1EE2" w:rsidRDefault="00A92979" w:rsidP="00A67BD4">
            <w:pPr>
              <w:pStyle w:val="CETBodytext"/>
              <w:ind w:right="-1"/>
              <w:jc w:val="left"/>
              <w:rPr>
                <w:rFonts w:cs="Arial"/>
                <w:szCs w:val="18"/>
                <w:lang w:val="en-GB"/>
              </w:rPr>
            </w:pPr>
            <w:r w:rsidRPr="001A1EE2">
              <w:rPr>
                <w:rFonts w:cs="Arial"/>
                <w:szCs w:val="18"/>
                <w:lang w:val="en-GB"/>
              </w:rPr>
              <w:t>40 – 111.6</w:t>
            </w:r>
          </w:p>
        </w:tc>
        <w:tc>
          <w:tcPr>
            <w:tcW w:w="1252" w:type="pct"/>
            <w:shd w:val="clear" w:color="auto" w:fill="FFFFFF"/>
          </w:tcPr>
          <w:p w14:paraId="06DB2047" w14:textId="59746C9F" w:rsidR="00A67BD4" w:rsidRPr="001A1EE2" w:rsidRDefault="00626B49" w:rsidP="00A67BD4">
            <w:pPr>
              <w:pStyle w:val="CETBodytext"/>
              <w:ind w:right="-1"/>
              <w:jc w:val="left"/>
              <w:rPr>
                <w:rFonts w:cs="Arial"/>
                <w:szCs w:val="18"/>
                <w:lang w:val="en-GB"/>
              </w:rPr>
            </w:pPr>
            <w:r w:rsidRPr="001A1EE2">
              <w:rPr>
                <w:rFonts w:cs="Arial"/>
                <w:szCs w:val="18"/>
                <w:lang w:val="en-GB"/>
              </w:rPr>
              <w:t>40 – 111.6</w:t>
            </w:r>
          </w:p>
        </w:tc>
        <w:tc>
          <w:tcPr>
            <w:tcW w:w="1248" w:type="pct"/>
            <w:shd w:val="clear" w:color="auto" w:fill="FFFFFF"/>
          </w:tcPr>
          <w:p w14:paraId="1F71FA45" w14:textId="2CD0D00D" w:rsidR="00A67BD4" w:rsidRPr="001A1EE2" w:rsidRDefault="00626B49" w:rsidP="00A67BD4">
            <w:pPr>
              <w:pStyle w:val="CETBodytext"/>
              <w:ind w:right="-1"/>
              <w:jc w:val="left"/>
              <w:rPr>
                <w:rFonts w:cs="Arial"/>
                <w:szCs w:val="18"/>
                <w:lang w:val="en-GB"/>
              </w:rPr>
            </w:pPr>
            <w:r w:rsidRPr="001A1EE2">
              <w:rPr>
                <w:rFonts w:cs="Arial"/>
                <w:szCs w:val="18"/>
                <w:lang w:val="en-GB"/>
              </w:rPr>
              <w:t>40</w:t>
            </w:r>
          </w:p>
        </w:tc>
      </w:tr>
      <w:tr w:rsidR="00FA410E" w:rsidRPr="001A1EE2" w14:paraId="34375F3A" w14:textId="77777777" w:rsidTr="0016011B">
        <w:tc>
          <w:tcPr>
            <w:tcW w:w="1250" w:type="pct"/>
            <w:shd w:val="clear" w:color="auto" w:fill="FFFFFF"/>
          </w:tcPr>
          <w:p w14:paraId="0EC151EA" w14:textId="0F2E6198" w:rsidR="00FA410E" w:rsidRPr="001A1EE2" w:rsidRDefault="009D4441" w:rsidP="00272D34">
            <w:pPr>
              <w:pStyle w:val="CETBodytext"/>
              <w:ind w:right="-1"/>
              <w:jc w:val="left"/>
              <w:rPr>
                <w:rFonts w:cs="Arial"/>
                <w:szCs w:val="18"/>
                <w:lang w:val="en-GB"/>
              </w:rPr>
            </w:pPr>
            <w:r w:rsidRPr="001A1EE2">
              <w:rPr>
                <w:rFonts w:cs="Arial"/>
                <w:szCs w:val="18"/>
                <w:lang w:val="en-GB"/>
              </w:rPr>
              <w:t>Diameter (m)</w:t>
            </w:r>
          </w:p>
        </w:tc>
        <w:tc>
          <w:tcPr>
            <w:tcW w:w="1250" w:type="pct"/>
            <w:shd w:val="clear" w:color="auto" w:fill="FFFFFF"/>
          </w:tcPr>
          <w:p w14:paraId="297041D2" w14:textId="72EA1CE8" w:rsidR="00FA410E" w:rsidRPr="001A1EE2" w:rsidRDefault="006F2AA6" w:rsidP="00272D34">
            <w:pPr>
              <w:pStyle w:val="CETBodytext"/>
              <w:ind w:right="-1"/>
              <w:jc w:val="left"/>
              <w:rPr>
                <w:rFonts w:cs="Arial"/>
                <w:szCs w:val="18"/>
                <w:lang w:val="en-GB"/>
              </w:rPr>
            </w:pPr>
            <w:r w:rsidRPr="001A1EE2">
              <w:rPr>
                <w:rFonts w:cs="Arial"/>
                <w:szCs w:val="18"/>
                <w:lang w:val="en-GB"/>
              </w:rPr>
              <w:t>/</w:t>
            </w:r>
          </w:p>
        </w:tc>
        <w:tc>
          <w:tcPr>
            <w:tcW w:w="1252" w:type="pct"/>
            <w:shd w:val="clear" w:color="auto" w:fill="FFFFFF"/>
          </w:tcPr>
          <w:p w14:paraId="5299D786" w14:textId="76B884AF" w:rsidR="00FA410E" w:rsidRPr="001A1EE2" w:rsidRDefault="00375C11" w:rsidP="00272D34">
            <w:pPr>
              <w:pStyle w:val="CETBodytext"/>
              <w:ind w:right="-1"/>
              <w:jc w:val="left"/>
              <w:rPr>
                <w:rFonts w:cs="Arial"/>
                <w:szCs w:val="18"/>
                <w:lang w:val="en-GB"/>
              </w:rPr>
            </w:pPr>
            <w:r w:rsidRPr="001A1EE2">
              <w:rPr>
                <w:rFonts w:cs="Arial"/>
                <w:szCs w:val="18"/>
                <w:lang w:val="en-GB"/>
              </w:rPr>
              <w:t>0.9 – 1.2</w:t>
            </w:r>
          </w:p>
        </w:tc>
        <w:tc>
          <w:tcPr>
            <w:tcW w:w="1248" w:type="pct"/>
            <w:shd w:val="clear" w:color="auto" w:fill="FFFFFF"/>
          </w:tcPr>
          <w:p w14:paraId="72EE1F65" w14:textId="1F2125DB" w:rsidR="00FA410E" w:rsidRPr="001A1EE2" w:rsidRDefault="006F15F6" w:rsidP="00272D34">
            <w:pPr>
              <w:pStyle w:val="CETBodytext"/>
              <w:ind w:right="-1"/>
              <w:jc w:val="left"/>
              <w:rPr>
                <w:rFonts w:cs="Arial"/>
                <w:szCs w:val="18"/>
                <w:lang w:val="en-GB"/>
              </w:rPr>
            </w:pPr>
            <w:r w:rsidRPr="001A1EE2">
              <w:rPr>
                <w:rFonts w:cs="Arial"/>
                <w:szCs w:val="18"/>
                <w:lang w:val="en-GB"/>
              </w:rPr>
              <w:t>5.3 – 9.3</w:t>
            </w:r>
          </w:p>
        </w:tc>
      </w:tr>
      <w:tr w:rsidR="00FA410E" w:rsidRPr="001A1EE2" w14:paraId="2BD3E213" w14:textId="77777777" w:rsidTr="0016011B">
        <w:tc>
          <w:tcPr>
            <w:tcW w:w="1250" w:type="pct"/>
            <w:shd w:val="clear" w:color="auto" w:fill="FFFFFF"/>
          </w:tcPr>
          <w:p w14:paraId="4B4CFF86" w14:textId="72EA8575" w:rsidR="00FA410E" w:rsidRPr="001A1EE2" w:rsidRDefault="009D4441" w:rsidP="00272D34">
            <w:pPr>
              <w:pStyle w:val="CETBodytext"/>
              <w:ind w:right="-1"/>
              <w:jc w:val="left"/>
              <w:rPr>
                <w:rFonts w:cs="Arial"/>
                <w:szCs w:val="18"/>
                <w:lang w:val="en-GB"/>
              </w:rPr>
            </w:pPr>
            <w:r w:rsidRPr="001A1EE2">
              <w:rPr>
                <w:rFonts w:cs="Arial"/>
                <w:szCs w:val="18"/>
                <w:lang w:val="en-GB"/>
              </w:rPr>
              <w:t>Length/Height (m)</w:t>
            </w:r>
          </w:p>
        </w:tc>
        <w:tc>
          <w:tcPr>
            <w:tcW w:w="1250" w:type="pct"/>
            <w:shd w:val="clear" w:color="auto" w:fill="FFFFFF"/>
          </w:tcPr>
          <w:p w14:paraId="63F38E25" w14:textId="1A63DE5B" w:rsidR="00FA410E" w:rsidRPr="001A1EE2" w:rsidRDefault="006F2AA6" w:rsidP="00272D34">
            <w:pPr>
              <w:pStyle w:val="CETBodytext"/>
              <w:ind w:right="-1"/>
              <w:jc w:val="left"/>
              <w:rPr>
                <w:rFonts w:cs="Arial"/>
                <w:szCs w:val="18"/>
                <w:lang w:val="en-GB"/>
              </w:rPr>
            </w:pPr>
            <w:r w:rsidRPr="001A1EE2">
              <w:rPr>
                <w:rFonts w:cs="Arial"/>
                <w:szCs w:val="18"/>
                <w:lang w:val="en-GB"/>
              </w:rPr>
              <w:t>/</w:t>
            </w:r>
          </w:p>
        </w:tc>
        <w:tc>
          <w:tcPr>
            <w:tcW w:w="1252" w:type="pct"/>
            <w:shd w:val="clear" w:color="auto" w:fill="FFFFFF"/>
          </w:tcPr>
          <w:p w14:paraId="11A112D0" w14:textId="7038D4CF" w:rsidR="00FA410E" w:rsidRPr="001A1EE2" w:rsidRDefault="00890C55" w:rsidP="00272D34">
            <w:pPr>
              <w:pStyle w:val="CETBodytext"/>
              <w:ind w:right="-1"/>
              <w:jc w:val="left"/>
              <w:rPr>
                <w:rFonts w:cs="Arial"/>
                <w:szCs w:val="18"/>
                <w:lang w:val="en-GB"/>
              </w:rPr>
            </w:pPr>
            <w:r w:rsidRPr="001A1EE2">
              <w:rPr>
                <w:rFonts w:cs="Arial"/>
                <w:szCs w:val="18"/>
                <w:lang w:val="en-GB"/>
              </w:rPr>
              <w:t>7.4 – 9.3</w:t>
            </w:r>
          </w:p>
        </w:tc>
        <w:tc>
          <w:tcPr>
            <w:tcW w:w="1248" w:type="pct"/>
            <w:shd w:val="clear" w:color="auto" w:fill="FFFFFF"/>
          </w:tcPr>
          <w:p w14:paraId="6B5B6238" w14:textId="5AF60C8B" w:rsidR="00FA410E" w:rsidRPr="001A1EE2" w:rsidRDefault="006F15F6" w:rsidP="00272D34">
            <w:pPr>
              <w:pStyle w:val="CETBodytext"/>
              <w:ind w:right="-1"/>
              <w:jc w:val="left"/>
              <w:rPr>
                <w:rFonts w:cs="Arial"/>
                <w:szCs w:val="18"/>
                <w:lang w:val="en-GB"/>
              </w:rPr>
            </w:pPr>
            <w:r w:rsidRPr="001A1EE2">
              <w:rPr>
                <w:rFonts w:cs="Arial"/>
                <w:szCs w:val="18"/>
                <w:lang w:val="en-GB"/>
              </w:rPr>
              <w:t>8.</w:t>
            </w:r>
            <w:r w:rsidR="007201A6" w:rsidRPr="001A1EE2">
              <w:rPr>
                <w:rFonts w:cs="Arial"/>
                <w:szCs w:val="18"/>
                <w:lang w:val="en-GB"/>
              </w:rPr>
              <w:t>4</w:t>
            </w:r>
            <w:r w:rsidRPr="001A1EE2">
              <w:rPr>
                <w:rFonts w:cs="Arial"/>
                <w:szCs w:val="18"/>
                <w:lang w:val="en-GB"/>
              </w:rPr>
              <w:t xml:space="preserve"> – </w:t>
            </w:r>
            <w:r w:rsidR="007201A6" w:rsidRPr="001A1EE2">
              <w:rPr>
                <w:rFonts w:cs="Arial"/>
                <w:szCs w:val="18"/>
                <w:lang w:val="en-GB"/>
              </w:rPr>
              <w:t>14</w:t>
            </w:r>
            <w:r w:rsidRPr="001A1EE2">
              <w:rPr>
                <w:rFonts w:cs="Arial"/>
                <w:szCs w:val="18"/>
                <w:lang w:val="en-GB"/>
              </w:rPr>
              <w:t>.3</w:t>
            </w:r>
          </w:p>
        </w:tc>
      </w:tr>
    </w:tbl>
    <w:p w14:paraId="3A18D323" w14:textId="77777777" w:rsidR="00FB562F" w:rsidRPr="001A1EE2" w:rsidRDefault="00FB562F" w:rsidP="00FB562F">
      <w:pPr>
        <w:pStyle w:val="CETBodytext"/>
        <w:rPr>
          <w:lang w:val="en-GB"/>
        </w:rPr>
      </w:pPr>
    </w:p>
    <w:p w14:paraId="4D9145BB" w14:textId="64503768" w:rsidR="00FB562F" w:rsidRPr="001A1EE2" w:rsidRDefault="00FB562F" w:rsidP="00FB562F">
      <w:pPr>
        <w:pStyle w:val="CETBodytext"/>
        <w:rPr>
          <w:lang w:val="en-GB"/>
        </w:rPr>
      </w:pPr>
      <w:r w:rsidRPr="001A1EE2">
        <w:rPr>
          <w:lang w:val="en-GB"/>
        </w:rPr>
        <w:t xml:space="preserve">Table 2 and Table 3 </w:t>
      </w:r>
      <w:r w:rsidR="00690CA2" w:rsidRPr="001A1EE2">
        <w:rPr>
          <w:lang w:val="en-GB"/>
        </w:rPr>
        <w:t>show</w:t>
      </w:r>
      <w:r w:rsidRPr="001A1EE2">
        <w:rPr>
          <w:lang w:val="en-GB"/>
        </w:rPr>
        <w:t xml:space="preserve"> the flood and seismic reference scenarios, respectively. In the first case (F1) of Table 2, high-depth flood with limited speed is taken into account. On the contrary, in the other cases (F2, F3, and F4) lower severity flood conditions are considered, but characterized by a lower return period and, thus, a higher occurrence frequency. For what concerns earthquakes, a single scenario</w:t>
      </w:r>
      <w:r w:rsidR="00EC7513" w:rsidRPr="001A1EE2">
        <w:rPr>
          <w:lang w:val="en-GB"/>
        </w:rPr>
        <w:t>,</w:t>
      </w:r>
      <w:r w:rsidRPr="001A1EE2">
        <w:rPr>
          <w:lang w:val="en-GB"/>
        </w:rPr>
        <w:t xml:space="preserve"> whose exceedance probability data are reported in Table 3</w:t>
      </w:r>
      <w:r w:rsidR="00EC7513" w:rsidRPr="001A1EE2">
        <w:rPr>
          <w:lang w:val="en-GB"/>
        </w:rPr>
        <w:t>,</w:t>
      </w:r>
      <w:r w:rsidR="001353BD" w:rsidRPr="001A1EE2">
        <w:rPr>
          <w:lang w:val="en-GB"/>
        </w:rPr>
        <w:t xml:space="preserve"> is examined.</w:t>
      </w:r>
    </w:p>
    <w:p w14:paraId="592CEA07" w14:textId="634632B7" w:rsidR="00FB562F" w:rsidRPr="001A1EE2" w:rsidRDefault="00FB562F" w:rsidP="00FB562F">
      <w:pPr>
        <w:pStyle w:val="CETBodytext"/>
        <w:rPr>
          <w:lang w:val="en-GB"/>
        </w:rPr>
      </w:pPr>
      <w:r w:rsidRPr="001A1EE2">
        <w:rPr>
          <w:rStyle w:val="CETCaptionCarattere"/>
          <w:i w:val="0"/>
        </w:rPr>
        <w:t>To estimate the damage probabilities of compressors (C), coolers (H), and separators (S), equipment vulnerability models from Caratozzolo et al. (2022) for floods and from Salzano et al. (2009) for earthquakes are used. In the case of compressor damage in the context of flooding, no vulnerability model is available. In the present study it is assumed that in flood scenarios characterized by relatively lower water heights, the equipment remains undamaged; whereas, in scenarios marked by higher water levels, the equipment fails due to submersion. For more detailed information on the failure modes of the equipment resulting from floods and earthquakes, refer to Cozzani et al. (2010), Khakzad and Van Gelder (2018) and Karagiannakis et al. (2022)</w:t>
      </w:r>
      <w:r w:rsidR="00CC4AC1">
        <w:rPr>
          <w:rStyle w:val="CETCaptionCarattere"/>
          <w:i w:val="0"/>
        </w:rPr>
        <w:t>.</w:t>
      </w:r>
    </w:p>
    <w:p w14:paraId="6A5167CF" w14:textId="5B243EBE" w:rsidR="00600535" w:rsidRPr="001A1EE2" w:rsidRDefault="00600535" w:rsidP="00600535">
      <w:pPr>
        <w:pStyle w:val="CETTabletitle"/>
      </w:pPr>
      <w:r w:rsidRPr="001A1EE2">
        <w:t xml:space="preserve">Table </w:t>
      </w:r>
      <w:r w:rsidR="0085022E" w:rsidRPr="001A1EE2">
        <w:t>2</w:t>
      </w:r>
      <w:r w:rsidRPr="001A1EE2">
        <w:t xml:space="preserve">: </w:t>
      </w:r>
      <w:r w:rsidR="002C5CD6" w:rsidRPr="001A1EE2">
        <w:t xml:space="preserve">Flood </w:t>
      </w:r>
      <w:r w:rsidR="00E2731E" w:rsidRPr="001A1EE2">
        <w:t>reference scenarios</w:t>
      </w:r>
      <w:r w:rsidR="001F704C" w:rsidRPr="001A1EE2">
        <w:t xml:space="preserve"> </w:t>
      </w:r>
      <w:r w:rsidR="001353BD" w:rsidRPr="001A1EE2">
        <w:t>considered</w:t>
      </w:r>
      <w:r w:rsidR="001F704C" w:rsidRPr="001A1EE2">
        <w:t xml:space="preserve"> for the case study.</w:t>
      </w:r>
    </w:p>
    <w:tbl>
      <w:tblPr>
        <w:tblW w:w="5000" w:type="pct"/>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2196"/>
        <w:gridCol w:w="2197"/>
        <w:gridCol w:w="2197"/>
        <w:gridCol w:w="2197"/>
      </w:tblGrid>
      <w:tr w:rsidR="00F10650" w:rsidRPr="001A1EE2" w14:paraId="4B29AA51" w14:textId="0DCEA633" w:rsidTr="00F10650">
        <w:tc>
          <w:tcPr>
            <w:tcW w:w="1250" w:type="pct"/>
            <w:tcBorders>
              <w:top w:val="single" w:sz="12" w:space="0" w:color="008000"/>
              <w:bottom w:val="single" w:sz="6" w:space="0" w:color="008000"/>
            </w:tcBorders>
            <w:shd w:val="clear" w:color="auto" w:fill="FFFFFF"/>
          </w:tcPr>
          <w:p w14:paraId="500859EC" w14:textId="6598E8F5" w:rsidR="00F10650" w:rsidRPr="001A1EE2" w:rsidRDefault="00F10650" w:rsidP="002C5CD6">
            <w:pPr>
              <w:pStyle w:val="CETBodytext"/>
              <w:jc w:val="left"/>
              <w:rPr>
                <w:b/>
                <w:bCs/>
                <w:lang w:val="en-GB"/>
              </w:rPr>
            </w:pPr>
            <w:r w:rsidRPr="001A1EE2">
              <w:rPr>
                <w:b/>
                <w:bCs/>
                <w:lang w:val="en-GB"/>
              </w:rPr>
              <w:t xml:space="preserve">Flood </w:t>
            </w:r>
            <w:r w:rsidR="008969F3" w:rsidRPr="001A1EE2">
              <w:rPr>
                <w:b/>
                <w:bCs/>
                <w:lang w:val="en-GB"/>
              </w:rPr>
              <w:t>scenario</w:t>
            </w:r>
          </w:p>
        </w:tc>
        <w:tc>
          <w:tcPr>
            <w:tcW w:w="1250" w:type="pct"/>
            <w:tcBorders>
              <w:top w:val="single" w:sz="12" w:space="0" w:color="008000"/>
              <w:bottom w:val="single" w:sz="6" w:space="0" w:color="008000"/>
            </w:tcBorders>
            <w:shd w:val="clear" w:color="auto" w:fill="FFFFFF"/>
          </w:tcPr>
          <w:p w14:paraId="41510CA8" w14:textId="362DE326" w:rsidR="00F10650" w:rsidRPr="009516E9" w:rsidRDefault="00F10650" w:rsidP="002C5CD6">
            <w:pPr>
              <w:pStyle w:val="CETBodytext"/>
              <w:jc w:val="left"/>
              <w:rPr>
                <w:b/>
                <w:bCs/>
                <w:lang w:val="en-GB"/>
              </w:rPr>
            </w:pPr>
            <w:r w:rsidRPr="009516E9">
              <w:rPr>
                <w:b/>
                <w:bCs/>
                <w:lang w:val="en-GB"/>
              </w:rPr>
              <w:t xml:space="preserve">Return </w:t>
            </w:r>
            <w:r w:rsidR="00655A2B" w:rsidRPr="009516E9">
              <w:rPr>
                <w:b/>
                <w:bCs/>
                <w:lang w:val="en-GB"/>
              </w:rPr>
              <w:t xml:space="preserve">period </w:t>
            </w:r>
            <w:r w:rsidRPr="009516E9">
              <w:rPr>
                <w:b/>
                <w:bCs/>
                <w:lang w:val="en-GB"/>
              </w:rPr>
              <w:t>(y)</w:t>
            </w:r>
          </w:p>
        </w:tc>
        <w:tc>
          <w:tcPr>
            <w:tcW w:w="1250" w:type="pct"/>
            <w:tcBorders>
              <w:top w:val="single" w:sz="12" w:space="0" w:color="008000"/>
              <w:bottom w:val="single" w:sz="6" w:space="0" w:color="008000"/>
            </w:tcBorders>
            <w:shd w:val="clear" w:color="auto" w:fill="FFFFFF"/>
          </w:tcPr>
          <w:p w14:paraId="6B6E97E3" w14:textId="50D4F165" w:rsidR="00F10650" w:rsidRPr="009516E9" w:rsidRDefault="001E27D3" w:rsidP="002C5CD6">
            <w:pPr>
              <w:pStyle w:val="CETBodytext"/>
              <w:jc w:val="left"/>
              <w:rPr>
                <w:b/>
                <w:bCs/>
                <w:lang w:val="en-GB"/>
              </w:rPr>
            </w:pPr>
            <w:r w:rsidRPr="009516E9">
              <w:rPr>
                <w:b/>
                <w:bCs/>
                <w:lang w:val="en-GB"/>
              </w:rPr>
              <w:t>Water</w:t>
            </w:r>
            <w:r w:rsidR="00F10650" w:rsidRPr="009516E9">
              <w:rPr>
                <w:b/>
                <w:bCs/>
                <w:lang w:val="en-GB"/>
              </w:rPr>
              <w:t xml:space="preserve"> depth (m)</w:t>
            </w:r>
          </w:p>
        </w:tc>
        <w:tc>
          <w:tcPr>
            <w:tcW w:w="1250" w:type="pct"/>
            <w:tcBorders>
              <w:top w:val="single" w:sz="12" w:space="0" w:color="008000"/>
              <w:bottom w:val="single" w:sz="6" w:space="0" w:color="008000"/>
            </w:tcBorders>
            <w:shd w:val="clear" w:color="auto" w:fill="FFFFFF"/>
          </w:tcPr>
          <w:p w14:paraId="0CC5C18D" w14:textId="68BB2984" w:rsidR="00F10650" w:rsidRPr="009516E9" w:rsidRDefault="001E27D3" w:rsidP="002C5CD6">
            <w:pPr>
              <w:pStyle w:val="CETBodytext"/>
              <w:jc w:val="left"/>
              <w:rPr>
                <w:b/>
                <w:bCs/>
                <w:lang w:val="en-GB"/>
              </w:rPr>
            </w:pPr>
            <w:r w:rsidRPr="009516E9">
              <w:rPr>
                <w:b/>
                <w:bCs/>
                <w:lang w:val="en-GB"/>
              </w:rPr>
              <w:t>Water velocity</w:t>
            </w:r>
            <w:r w:rsidR="00F10650" w:rsidRPr="009516E9">
              <w:rPr>
                <w:b/>
                <w:bCs/>
                <w:lang w:val="en-GB"/>
              </w:rPr>
              <w:t xml:space="preserve"> (m/s)</w:t>
            </w:r>
          </w:p>
        </w:tc>
      </w:tr>
      <w:tr w:rsidR="00F10650" w:rsidRPr="001A1EE2" w14:paraId="18FA68DB" w14:textId="334A2D53" w:rsidTr="00F10650">
        <w:tc>
          <w:tcPr>
            <w:tcW w:w="1250" w:type="pct"/>
            <w:shd w:val="clear" w:color="auto" w:fill="FFFFFF"/>
          </w:tcPr>
          <w:p w14:paraId="1877D42D" w14:textId="49439319" w:rsidR="00F10650" w:rsidRPr="001A1EE2" w:rsidRDefault="00F10650" w:rsidP="002C5CD6">
            <w:pPr>
              <w:pStyle w:val="CETBodytext"/>
              <w:jc w:val="left"/>
              <w:rPr>
                <w:lang w:val="en-GB"/>
              </w:rPr>
            </w:pPr>
            <w:r w:rsidRPr="001A1EE2">
              <w:rPr>
                <w:lang w:val="en-GB"/>
              </w:rPr>
              <w:t>F1</w:t>
            </w:r>
          </w:p>
        </w:tc>
        <w:tc>
          <w:tcPr>
            <w:tcW w:w="1250" w:type="pct"/>
            <w:shd w:val="clear" w:color="auto" w:fill="FFFFFF"/>
          </w:tcPr>
          <w:p w14:paraId="431C645F" w14:textId="4DFD12BF" w:rsidR="00F10650" w:rsidRPr="001A1EE2" w:rsidRDefault="000854EC" w:rsidP="002C5CD6">
            <w:pPr>
              <w:pStyle w:val="CETBodytext"/>
              <w:jc w:val="left"/>
              <w:rPr>
                <w:lang w:val="en-GB"/>
              </w:rPr>
            </w:pPr>
            <w:r w:rsidRPr="001A1EE2">
              <w:rPr>
                <w:lang w:val="en-GB"/>
              </w:rPr>
              <w:t>500</w:t>
            </w:r>
          </w:p>
        </w:tc>
        <w:tc>
          <w:tcPr>
            <w:tcW w:w="1250" w:type="pct"/>
            <w:shd w:val="clear" w:color="auto" w:fill="FFFFFF"/>
          </w:tcPr>
          <w:p w14:paraId="48136FAE" w14:textId="2CCDDE82" w:rsidR="00F10650" w:rsidRPr="001A1EE2" w:rsidRDefault="00F10650" w:rsidP="002C5CD6">
            <w:pPr>
              <w:pStyle w:val="CETBodytext"/>
              <w:jc w:val="left"/>
              <w:rPr>
                <w:lang w:val="en-GB"/>
              </w:rPr>
            </w:pPr>
            <w:r w:rsidRPr="001A1EE2">
              <w:rPr>
                <w:lang w:val="en-GB"/>
              </w:rPr>
              <w:t>4.2</w:t>
            </w:r>
          </w:p>
        </w:tc>
        <w:tc>
          <w:tcPr>
            <w:tcW w:w="1250" w:type="pct"/>
            <w:shd w:val="clear" w:color="auto" w:fill="FFFFFF"/>
          </w:tcPr>
          <w:p w14:paraId="2CB03BEE" w14:textId="1A9E13D9" w:rsidR="00F10650" w:rsidRPr="001A1EE2" w:rsidRDefault="00F10650" w:rsidP="002C5CD6">
            <w:pPr>
              <w:pStyle w:val="CETBodytext"/>
              <w:jc w:val="left"/>
              <w:rPr>
                <w:lang w:val="en-GB"/>
              </w:rPr>
            </w:pPr>
            <w:r w:rsidRPr="001A1EE2">
              <w:rPr>
                <w:lang w:val="en-GB"/>
              </w:rPr>
              <w:t>0.88</w:t>
            </w:r>
          </w:p>
        </w:tc>
      </w:tr>
      <w:tr w:rsidR="00036749" w:rsidRPr="001A1EE2" w14:paraId="1777C522" w14:textId="48543141" w:rsidTr="00F10650">
        <w:tc>
          <w:tcPr>
            <w:tcW w:w="1250" w:type="pct"/>
            <w:shd w:val="clear" w:color="auto" w:fill="FFFFFF"/>
          </w:tcPr>
          <w:p w14:paraId="59954EC2" w14:textId="258726C1" w:rsidR="00036749" w:rsidRPr="001A1EE2" w:rsidRDefault="00036749" w:rsidP="00036749">
            <w:pPr>
              <w:pStyle w:val="CETBodytext"/>
              <w:ind w:right="-1"/>
              <w:jc w:val="left"/>
              <w:rPr>
                <w:rFonts w:cs="Arial"/>
                <w:szCs w:val="18"/>
                <w:lang w:val="en-GB"/>
              </w:rPr>
            </w:pPr>
            <w:r w:rsidRPr="001A1EE2">
              <w:rPr>
                <w:rFonts w:cs="Arial"/>
                <w:szCs w:val="18"/>
                <w:lang w:val="en-GB"/>
              </w:rPr>
              <w:t>F2</w:t>
            </w:r>
          </w:p>
        </w:tc>
        <w:tc>
          <w:tcPr>
            <w:tcW w:w="1250" w:type="pct"/>
            <w:shd w:val="clear" w:color="auto" w:fill="FFFFFF"/>
          </w:tcPr>
          <w:p w14:paraId="73ABD8D9" w14:textId="534643C9" w:rsidR="00036749" w:rsidRPr="001A1EE2" w:rsidRDefault="00036749" w:rsidP="00036749">
            <w:pPr>
              <w:pStyle w:val="CETBodytext"/>
              <w:ind w:right="-1"/>
              <w:jc w:val="left"/>
              <w:rPr>
                <w:rFonts w:cs="Arial"/>
                <w:szCs w:val="18"/>
                <w:lang w:val="en-GB"/>
              </w:rPr>
            </w:pPr>
            <w:r w:rsidRPr="001A1EE2">
              <w:rPr>
                <w:rFonts w:cs="Arial"/>
                <w:szCs w:val="18"/>
                <w:lang w:val="en-GB"/>
              </w:rPr>
              <w:t>100</w:t>
            </w:r>
          </w:p>
        </w:tc>
        <w:tc>
          <w:tcPr>
            <w:tcW w:w="1250" w:type="pct"/>
            <w:shd w:val="clear" w:color="auto" w:fill="FFFFFF"/>
          </w:tcPr>
          <w:p w14:paraId="4FFB40F7" w14:textId="49A34AD7" w:rsidR="00036749" w:rsidRPr="001A1EE2" w:rsidRDefault="00036749" w:rsidP="00036749">
            <w:pPr>
              <w:pStyle w:val="CETBodytext"/>
              <w:ind w:right="-1"/>
              <w:jc w:val="left"/>
              <w:rPr>
                <w:rFonts w:cs="Arial"/>
                <w:szCs w:val="18"/>
                <w:lang w:val="en-GB"/>
              </w:rPr>
            </w:pPr>
            <w:r w:rsidRPr="001A1EE2">
              <w:rPr>
                <w:rFonts w:cs="Arial"/>
                <w:szCs w:val="18"/>
                <w:lang w:val="en-GB"/>
              </w:rPr>
              <w:t>0.23</w:t>
            </w:r>
          </w:p>
        </w:tc>
        <w:tc>
          <w:tcPr>
            <w:tcW w:w="1250" w:type="pct"/>
            <w:shd w:val="clear" w:color="auto" w:fill="FFFFFF"/>
          </w:tcPr>
          <w:p w14:paraId="74F8316C" w14:textId="187AE543" w:rsidR="00036749" w:rsidRPr="001A1EE2" w:rsidRDefault="00036749" w:rsidP="00036749">
            <w:pPr>
              <w:pStyle w:val="CETBodytext"/>
              <w:ind w:right="-1"/>
              <w:jc w:val="left"/>
              <w:rPr>
                <w:rFonts w:cs="Arial"/>
                <w:szCs w:val="18"/>
                <w:lang w:val="en-GB"/>
              </w:rPr>
            </w:pPr>
            <w:r w:rsidRPr="001A1EE2">
              <w:rPr>
                <w:rFonts w:cs="Arial"/>
                <w:szCs w:val="18"/>
                <w:lang w:val="en-GB"/>
              </w:rPr>
              <w:t>0</w:t>
            </w:r>
          </w:p>
        </w:tc>
      </w:tr>
      <w:tr w:rsidR="00036749" w:rsidRPr="001A1EE2" w14:paraId="279EA2E8" w14:textId="377C38B4" w:rsidTr="00F10650">
        <w:tc>
          <w:tcPr>
            <w:tcW w:w="1250" w:type="pct"/>
            <w:shd w:val="clear" w:color="auto" w:fill="FFFFFF"/>
          </w:tcPr>
          <w:p w14:paraId="6D6224AC" w14:textId="745D185F" w:rsidR="00036749" w:rsidRPr="001A1EE2" w:rsidRDefault="00036749" w:rsidP="00036749">
            <w:pPr>
              <w:pStyle w:val="CETBodytext"/>
              <w:ind w:right="-1"/>
              <w:jc w:val="left"/>
              <w:rPr>
                <w:rFonts w:cs="Arial"/>
                <w:szCs w:val="18"/>
                <w:lang w:val="en-GB"/>
              </w:rPr>
            </w:pPr>
            <w:r w:rsidRPr="001A1EE2">
              <w:rPr>
                <w:rFonts w:cs="Arial"/>
                <w:szCs w:val="18"/>
                <w:lang w:val="en-GB"/>
              </w:rPr>
              <w:t>F3</w:t>
            </w:r>
          </w:p>
        </w:tc>
        <w:tc>
          <w:tcPr>
            <w:tcW w:w="1250" w:type="pct"/>
            <w:shd w:val="clear" w:color="auto" w:fill="FFFFFF"/>
          </w:tcPr>
          <w:p w14:paraId="677DB252" w14:textId="150F8471" w:rsidR="00036749" w:rsidRPr="001A1EE2" w:rsidRDefault="00036749" w:rsidP="00036749">
            <w:pPr>
              <w:pStyle w:val="CETBodytext"/>
              <w:ind w:right="-1"/>
              <w:jc w:val="left"/>
              <w:rPr>
                <w:rFonts w:cs="Arial"/>
                <w:szCs w:val="18"/>
                <w:lang w:val="en-GB"/>
              </w:rPr>
            </w:pPr>
            <w:r w:rsidRPr="001A1EE2">
              <w:rPr>
                <w:rFonts w:cs="Arial"/>
                <w:szCs w:val="18"/>
                <w:lang w:val="en-GB"/>
              </w:rPr>
              <w:t>20</w:t>
            </w:r>
          </w:p>
        </w:tc>
        <w:tc>
          <w:tcPr>
            <w:tcW w:w="1250" w:type="pct"/>
            <w:shd w:val="clear" w:color="auto" w:fill="FFFFFF"/>
          </w:tcPr>
          <w:p w14:paraId="6925D883" w14:textId="56C4E586" w:rsidR="00036749" w:rsidRPr="001A1EE2" w:rsidRDefault="00036749" w:rsidP="00036749">
            <w:pPr>
              <w:pStyle w:val="CETBodytext"/>
              <w:ind w:right="-1"/>
              <w:jc w:val="left"/>
              <w:rPr>
                <w:rFonts w:cs="Arial"/>
                <w:szCs w:val="18"/>
                <w:lang w:val="en-GB"/>
              </w:rPr>
            </w:pPr>
            <w:r w:rsidRPr="001A1EE2">
              <w:rPr>
                <w:rFonts w:cs="Arial"/>
                <w:szCs w:val="18"/>
                <w:lang w:val="en-GB"/>
              </w:rPr>
              <w:t>0.</w:t>
            </w:r>
            <w:r w:rsidR="007A2D21" w:rsidRPr="001A1EE2">
              <w:rPr>
                <w:rFonts w:cs="Arial"/>
                <w:szCs w:val="18"/>
                <w:lang w:val="en-GB"/>
              </w:rPr>
              <w:t>30</w:t>
            </w:r>
          </w:p>
        </w:tc>
        <w:tc>
          <w:tcPr>
            <w:tcW w:w="1250" w:type="pct"/>
            <w:shd w:val="clear" w:color="auto" w:fill="FFFFFF"/>
          </w:tcPr>
          <w:p w14:paraId="6BF00782" w14:textId="7A4A10BA" w:rsidR="00036749" w:rsidRPr="001A1EE2" w:rsidRDefault="00036749" w:rsidP="00036749">
            <w:pPr>
              <w:pStyle w:val="CETBodytext"/>
              <w:ind w:right="-1"/>
              <w:jc w:val="left"/>
              <w:rPr>
                <w:rFonts w:cs="Arial"/>
                <w:szCs w:val="18"/>
                <w:lang w:val="en-GB"/>
              </w:rPr>
            </w:pPr>
            <w:r w:rsidRPr="001A1EE2">
              <w:rPr>
                <w:rFonts w:cs="Arial"/>
                <w:szCs w:val="18"/>
                <w:lang w:val="en-GB"/>
              </w:rPr>
              <w:t>0</w:t>
            </w:r>
          </w:p>
        </w:tc>
      </w:tr>
      <w:tr w:rsidR="00036749" w:rsidRPr="001A1EE2" w14:paraId="08BFAB4B" w14:textId="636417AE" w:rsidTr="00F10650">
        <w:tc>
          <w:tcPr>
            <w:tcW w:w="1250" w:type="pct"/>
            <w:shd w:val="clear" w:color="auto" w:fill="FFFFFF"/>
          </w:tcPr>
          <w:p w14:paraId="44BFEDB4" w14:textId="41C46BF9" w:rsidR="00036749" w:rsidRPr="001A1EE2" w:rsidRDefault="00036749" w:rsidP="00036749">
            <w:pPr>
              <w:pStyle w:val="CETBodytext"/>
              <w:ind w:right="-1"/>
              <w:jc w:val="left"/>
              <w:rPr>
                <w:rFonts w:cs="Arial"/>
                <w:szCs w:val="18"/>
                <w:lang w:val="en-GB"/>
              </w:rPr>
            </w:pPr>
            <w:r w:rsidRPr="001A1EE2">
              <w:rPr>
                <w:rFonts w:cs="Arial"/>
                <w:szCs w:val="18"/>
                <w:lang w:val="en-GB"/>
              </w:rPr>
              <w:t>F4</w:t>
            </w:r>
          </w:p>
        </w:tc>
        <w:tc>
          <w:tcPr>
            <w:tcW w:w="1250" w:type="pct"/>
            <w:shd w:val="clear" w:color="auto" w:fill="FFFFFF"/>
          </w:tcPr>
          <w:p w14:paraId="3CFA3E24" w14:textId="6EC1AC66" w:rsidR="00036749" w:rsidRPr="001A1EE2" w:rsidRDefault="00036749" w:rsidP="00036749">
            <w:pPr>
              <w:pStyle w:val="CETBodytext"/>
              <w:ind w:right="-1"/>
              <w:jc w:val="left"/>
              <w:rPr>
                <w:rFonts w:cs="Arial"/>
                <w:szCs w:val="18"/>
                <w:lang w:val="en-GB"/>
              </w:rPr>
            </w:pPr>
            <w:r w:rsidRPr="001A1EE2">
              <w:rPr>
                <w:rFonts w:cs="Arial"/>
                <w:szCs w:val="18"/>
                <w:lang w:val="en-GB"/>
              </w:rPr>
              <w:t>5</w:t>
            </w:r>
          </w:p>
        </w:tc>
        <w:tc>
          <w:tcPr>
            <w:tcW w:w="1250" w:type="pct"/>
            <w:shd w:val="clear" w:color="auto" w:fill="FFFFFF"/>
          </w:tcPr>
          <w:p w14:paraId="120EF36D" w14:textId="16FFBC6B" w:rsidR="00036749" w:rsidRPr="001A1EE2" w:rsidRDefault="00036749" w:rsidP="00036749">
            <w:pPr>
              <w:pStyle w:val="CETBodytext"/>
              <w:ind w:right="-1"/>
              <w:jc w:val="left"/>
              <w:rPr>
                <w:rFonts w:cs="Arial"/>
                <w:szCs w:val="18"/>
                <w:lang w:val="en-GB"/>
              </w:rPr>
            </w:pPr>
            <w:r w:rsidRPr="001A1EE2">
              <w:rPr>
                <w:rFonts w:cs="Arial"/>
                <w:szCs w:val="18"/>
                <w:lang w:val="en-GB"/>
              </w:rPr>
              <w:t>0.21</w:t>
            </w:r>
          </w:p>
        </w:tc>
        <w:tc>
          <w:tcPr>
            <w:tcW w:w="1250" w:type="pct"/>
            <w:shd w:val="clear" w:color="auto" w:fill="FFFFFF"/>
          </w:tcPr>
          <w:p w14:paraId="629D58B0" w14:textId="6BEC15FB" w:rsidR="00036749" w:rsidRPr="001A1EE2" w:rsidRDefault="00036749" w:rsidP="00036749">
            <w:pPr>
              <w:pStyle w:val="CETBodytext"/>
              <w:ind w:right="-1"/>
              <w:jc w:val="left"/>
              <w:rPr>
                <w:rFonts w:cs="Arial"/>
                <w:szCs w:val="18"/>
                <w:lang w:val="en-GB"/>
              </w:rPr>
            </w:pPr>
            <w:r w:rsidRPr="001A1EE2">
              <w:rPr>
                <w:rFonts w:cs="Arial"/>
                <w:szCs w:val="18"/>
                <w:lang w:val="en-GB"/>
              </w:rPr>
              <w:t>0</w:t>
            </w:r>
          </w:p>
        </w:tc>
      </w:tr>
    </w:tbl>
    <w:p w14:paraId="09D72579" w14:textId="22B82B44" w:rsidR="00CF2D1D" w:rsidRPr="001A1EE2" w:rsidRDefault="006749EF" w:rsidP="006749EF">
      <w:pPr>
        <w:pStyle w:val="CETTabletitle"/>
      </w:pPr>
      <w:r w:rsidRPr="001A1EE2">
        <w:t xml:space="preserve">Table 3: </w:t>
      </w:r>
      <w:r w:rsidRPr="001A1EE2">
        <w:rPr>
          <w:rStyle w:val="CETCaptionCarattere"/>
          <w:i/>
        </w:rPr>
        <w:t>Seismic exceedance probability data considered for the case study</w:t>
      </w:r>
      <w:r w:rsidRPr="001A1EE2">
        <w:t>.</w:t>
      </w:r>
    </w:p>
    <w:tbl>
      <w:tblPr>
        <w:tblW w:w="2501" w:type="pct"/>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2977"/>
        <w:gridCol w:w="1418"/>
      </w:tblGrid>
      <w:tr w:rsidR="001A5F36" w:rsidRPr="001A1EE2" w14:paraId="56B0174C" w14:textId="77777777" w:rsidTr="001A5F36">
        <w:tc>
          <w:tcPr>
            <w:tcW w:w="3387" w:type="pct"/>
            <w:tcBorders>
              <w:top w:val="single" w:sz="12" w:space="0" w:color="008000"/>
              <w:bottom w:val="single" w:sz="6" w:space="0" w:color="008000"/>
            </w:tcBorders>
            <w:shd w:val="clear" w:color="auto" w:fill="FFFFFF"/>
          </w:tcPr>
          <w:p w14:paraId="46A9059A" w14:textId="0136D2C5" w:rsidR="001A5F36" w:rsidRPr="001A1EE2" w:rsidRDefault="001A5F36" w:rsidP="001E3685">
            <w:pPr>
              <w:pStyle w:val="CETBodytext"/>
              <w:jc w:val="left"/>
              <w:rPr>
                <w:b/>
                <w:bCs/>
                <w:lang w:val="en-GB"/>
              </w:rPr>
            </w:pPr>
            <w:r w:rsidRPr="001A1EE2">
              <w:rPr>
                <w:b/>
                <w:bCs/>
                <w:lang w:val="en-GB"/>
              </w:rPr>
              <w:t>Exceedance probability (y</w:t>
            </w:r>
            <w:r w:rsidRPr="001A1EE2">
              <w:rPr>
                <w:rFonts w:ascii="Cambria Math" w:hAnsi="Cambria Math" w:cs="Cambria Math"/>
                <w:b/>
                <w:bCs/>
                <w:lang w:val="en-GB"/>
              </w:rPr>
              <w:t>⁻</w:t>
            </w:r>
            <w:r w:rsidRPr="001A1EE2">
              <w:rPr>
                <w:rFonts w:cs="Arial"/>
                <w:b/>
                <w:bCs/>
                <w:lang w:val="en-GB"/>
              </w:rPr>
              <w:t>¹</w:t>
            </w:r>
            <w:r w:rsidRPr="001A1EE2">
              <w:rPr>
                <w:b/>
                <w:bCs/>
                <w:lang w:val="en-GB"/>
              </w:rPr>
              <w:t>)</w:t>
            </w:r>
          </w:p>
        </w:tc>
        <w:tc>
          <w:tcPr>
            <w:tcW w:w="1613" w:type="pct"/>
            <w:tcBorders>
              <w:top w:val="single" w:sz="12" w:space="0" w:color="008000"/>
              <w:bottom w:val="single" w:sz="6" w:space="0" w:color="008000"/>
            </w:tcBorders>
            <w:shd w:val="clear" w:color="auto" w:fill="FFFFFF"/>
          </w:tcPr>
          <w:p w14:paraId="5D48BC4F" w14:textId="6EA2A79D" w:rsidR="001A5F36" w:rsidRPr="001A1EE2" w:rsidRDefault="001A5F36" w:rsidP="001E3685">
            <w:pPr>
              <w:pStyle w:val="CETBodytext"/>
              <w:jc w:val="left"/>
              <w:rPr>
                <w:b/>
                <w:bCs/>
                <w:lang w:val="en-GB"/>
              </w:rPr>
            </w:pPr>
            <w:r w:rsidRPr="001A1EE2">
              <w:rPr>
                <w:b/>
                <w:bCs/>
                <w:lang w:val="en-GB"/>
              </w:rPr>
              <w:t>PGA (g)</w:t>
            </w:r>
          </w:p>
        </w:tc>
      </w:tr>
      <w:tr w:rsidR="001A5F36" w:rsidRPr="001A1EE2" w14:paraId="5C42906E" w14:textId="77777777" w:rsidTr="001A5F36">
        <w:tc>
          <w:tcPr>
            <w:tcW w:w="3387" w:type="pct"/>
            <w:shd w:val="clear" w:color="auto" w:fill="FFFFFF"/>
          </w:tcPr>
          <w:p w14:paraId="485F2C9E" w14:textId="762A9275" w:rsidR="001A5F36" w:rsidRPr="001A1EE2" w:rsidRDefault="001A5F36" w:rsidP="001E3685">
            <w:pPr>
              <w:pStyle w:val="CETBodytext"/>
              <w:jc w:val="left"/>
              <w:rPr>
                <w:lang w:val="en-GB"/>
              </w:rPr>
            </w:pPr>
            <w:r w:rsidRPr="001A1EE2">
              <w:rPr>
                <w:lang w:val="en-GB"/>
              </w:rPr>
              <w:t>0.01</w:t>
            </w:r>
          </w:p>
        </w:tc>
        <w:tc>
          <w:tcPr>
            <w:tcW w:w="1613" w:type="pct"/>
            <w:shd w:val="clear" w:color="auto" w:fill="FFFFFF"/>
          </w:tcPr>
          <w:p w14:paraId="063F912E" w14:textId="6E09F6A0" w:rsidR="001A5F36" w:rsidRPr="001A1EE2" w:rsidRDefault="001A5F36" w:rsidP="001E3685">
            <w:pPr>
              <w:pStyle w:val="CETBodytext"/>
              <w:jc w:val="left"/>
              <w:rPr>
                <w:lang w:val="en-GB"/>
              </w:rPr>
            </w:pPr>
            <w:r w:rsidRPr="001A1EE2">
              <w:rPr>
                <w:lang w:val="en-GB"/>
              </w:rPr>
              <w:t>0.07</w:t>
            </w:r>
          </w:p>
        </w:tc>
      </w:tr>
      <w:tr w:rsidR="001A5F36" w:rsidRPr="001A1EE2" w14:paraId="65413451" w14:textId="77777777" w:rsidTr="001A5F36">
        <w:tc>
          <w:tcPr>
            <w:tcW w:w="3387" w:type="pct"/>
            <w:shd w:val="clear" w:color="auto" w:fill="FFFFFF"/>
          </w:tcPr>
          <w:p w14:paraId="56F87921" w14:textId="257A4B42" w:rsidR="001A5F36" w:rsidRPr="001A1EE2" w:rsidRDefault="001A5F36" w:rsidP="001E3685">
            <w:pPr>
              <w:pStyle w:val="CETBodytext"/>
              <w:ind w:right="-1"/>
              <w:jc w:val="left"/>
              <w:rPr>
                <w:rFonts w:cs="Arial"/>
                <w:szCs w:val="18"/>
                <w:lang w:val="en-GB"/>
              </w:rPr>
            </w:pPr>
            <w:r w:rsidRPr="001A1EE2">
              <w:rPr>
                <w:rFonts w:cs="Arial"/>
                <w:szCs w:val="18"/>
                <w:lang w:val="en-GB"/>
              </w:rPr>
              <w:t>0.001</w:t>
            </w:r>
          </w:p>
        </w:tc>
        <w:tc>
          <w:tcPr>
            <w:tcW w:w="1613" w:type="pct"/>
            <w:shd w:val="clear" w:color="auto" w:fill="FFFFFF"/>
          </w:tcPr>
          <w:p w14:paraId="154BDD14" w14:textId="36A87D5E" w:rsidR="001A5F36" w:rsidRPr="001A1EE2" w:rsidRDefault="001A5F36" w:rsidP="001E3685">
            <w:pPr>
              <w:pStyle w:val="CETBodytext"/>
              <w:ind w:right="-1"/>
              <w:jc w:val="left"/>
              <w:rPr>
                <w:rFonts w:cs="Arial"/>
                <w:szCs w:val="18"/>
                <w:lang w:val="en-GB"/>
              </w:rPr>
            </w:pPr>
            <w:r w:rsidRPr="001A1EE2">
              <w:rPr>
                <w:rFonts w:cs="Arial"/>
                <w:szCs w:val="18"/>
                <w:lang w:val="en-GB"/>
              </w:rPr>
              <w:t>0.36</w:t>
            </w:r>
          </w:p>
        </w:tc>
      </w:tr>
      <w:tr w:rsidR="001A5F36" w:rsidRPr="001A1EE2" w14:paraId="7124EA70" w14:textId="77777777" w:rsidTr="001A5F36">
        <w:tc>
          <w:tcPr>
            <w:tcW w:w="3387" w:type="pct"/>
            <w:shd w:val="clear" w:color="auto" w:fill="FFFFFF"/>
          </w:tcPr>
          <w:p w14:paraId="1DBB20EA" w14:textId="1891EAF2" w:rsidR="001A5F36" w:rsidRPr="001A1EE2" w:rsidRDefault="001A5F36" w:rsidP="001E3685">
            <w:pPr>
              <w:pStyle w:val="CETBodytext"/>
              <w:ind w:right="-1"/>
              <w:jc w:val="left"/>
              <w:rPr>
                <w:rFonts w:cs="Arial"/>
                <w:szCs w:val="18"/>
                <w:lang w:val="en-GB"/>
              </w:rPr>
            </w:pPr>
            <w:r w:rsidRPr="001A1EE2">
              <w:rPr>
                <w:rFonts w:cs="Arial"/>
                <w:szCs w:val="18"/>
                <w:lang w:val="en-GB"/>
              </w:rPr>
              <w:t>0.00001</w:t>
            </w:r>
          </w:p>
        </w:tc>
        <w:tc>
          <w:tcPr>
            <w:tcW w:w="1613" w:type="pct"/>
            <w:shd w:val="clear" w:color="auto" w:fill="FFFFFF"/>
          </w:tcPr>
          <w:p w14:paraId="2EEA6875" w14:textId="03195D2B" w:rsidR="001A5F36" w:rsidRPr="001A1EE2" w:rsidRDefault="001A5F36" w:rsidP="001E3685">
            <w:pPr>
              <w:pStyle w:val="CETBodytext"/>
              <w:ind w:right="-1"/>
              <w:jc w:val="left"/>
              <w:rPr>
                <w:rFonts w:cs="Arial"/>
                <w:szCs w:val="18"/>
                <w:lang w:val="en-GB"/>
              </w:rPr>
            </w:pPr>
            <w:r w:rsidRPr="001A1EE2">
              <w:rPr>
                <w:rFonts w:cs="Arial"/>
                <w:szCs w:val="18"/>
                <w:lang w:val="en-GB"/>
              </w:rPr>
              <w:t>1.31</w:t>
            </w:r>
          </w:p>
        </w:tc>
      </w:tr>
    </w:tbl>
    <w:p w14:paraId="2C0DF243" w14:textId="77777777" w:rsidR="006749EF" w:rsidRPr="001A1EE2" w:rsidRDefault="006749EF" w:rsidP="006749EF">
      <w:pPr>
        <w:pStyle w:val="CETBodytext"/>
        <w:rPr>
          <w:lang w:val="en-GB"/>
        </w:rPr>
      </w:pPr>
    </w:p>
    <w:p w14:paraId="6C11F51C" w14:textId="2FD6B0FF" w:rsidR="004F12F5" w:rsidRPr="001A1EE2" w:rsidRDefault="00D0347E" w:rsidP="001D7451">
      <w:pPr>
        <w:pStyle w:val="CETBodytext"/>
        <w:rPr>
          <w:rStyle w:val="CETCaptionCarattere"/>
          <w:i w:val="0"/>
        </w:rPr>
      </w:pPr>
      <w:r w:rsidRPr="001A1EE2">
        <w:rPr>
          <w:rStyle w:val="CETCaptionCarattere"/>
          <w:i w:val="0"/>
        </w:rPr>
        <w:t>T</w:t>
      </w:r>
      <w:r w:rsidR="006A6C41" w:rsidRPr="001A1EE2">
        <w:rPr>
          <w:rStyle w:val="CETCaptionCarattere"/>
          <w:i w:val="0"/>
        </w:rPr>
        <w:t xml:space="preserve">o perform the consequence analysis, details regarding reference release </w:t>
      </w:r>
      <w:r w:rsidRPr="001A1EE2">
        <w:rPr>
          <w:rStyle w:val="CETCaptionCarattere"/>
          <w:i w:val="0"/>
        </w:rPr>
        <w:t>states</w:t>
      </w:r>
      <w:r w:rsidR="006A6C41" w:rsidRPr="001A1EE2">
        <w:rPr>
          <w:rStyle w:val="CETCaptionCarattere"/>
          <w:i w:val="0"/>
        </w:rPr>
        <w:t xml:space="preserve"> and final </w:t>
      </w:r>
      <w:r w:rsidRPr="001A1EE2">
        <w:rPr>
          <w:rStyle w:val="CETCaptionCarattere"/>
          <w:i w:val="0"/>
        </w:rPr>
        <w:t xml:space="preserve">scenarios </w:t>
      </w:r>
      <w:r w:rsidR="006A6C41" w:rsidRPr="001A1EE2">
        <w:rPr>
          <w:rStyle w:val="CETCaptionCarattere"/>
          <w:i w:val="0"/>
        </w:rPr>
        <w:t xml:space="preserve">must be defined. </w:t>
      </w:r>
      <w:r w:rsidR="00275F37" w:rsidRPr="001A1EE2">
        <w:rPr>
          <w:rStyle w:val="CETCaptionCarattere"/>
          <w:i w:val="0"/>
        </w:rPr>
        <w:t>Since t</w:t>
      </w:r>
      <w:r w:rsidR="007D3EAF" w:rsidRPr="001A1EE2">
        <w:rPr>
          <w:rStyle w:val="CETCaptionCarattere"/>
          <w:i w:val="0"/>
        </w:rPr>
        <w:t xml:space="preserve">he substance involved in the </w:t>
      </w:r>
      <w:r w:rsidR="00BB1DB6" w:rsidRPr="009516E9">
        <w:rPr>
          <w:rStyle w:val="CETCaptionCarattere"/>
          <w:i w:val="0"/>
        </w:rPr>
        <w:t>c</w:t>
      </w:r>
      <w:r w:rsidR="007D3EAF" w:rsidRPr="009516E9">
        <w:rPr>
          <w:rStyle w:val="CETCaptionCarattere"/>
          <w:i w:val="0"/>
        </w:rPr>
        <w:t>onditioning unit is CO</w:t>
      </w:r>
      <w:r w:rsidR="007D3EAF" w:rsidRPr="009516E9">
        <w:rPr>
          <w:rStyle w:val="CETCaptionCarattere"/>
          <w:i w:val="0"/>
          <w:vertAlign w:val="subscript"/>
        </w:rPr>
        <w:t>2</w:t>
      </w:r>
      <w:r w:rsidR="007D3EAF" w:rsidRPr="009516E9">
        <w:rPr>
          <w:rStyle w:val="CETCaptionCarattere"/>
          <w:i w:val="0"/>
        </w:rPr>
        <w:t>,</w:t>
      </w:r>
      <w:r w:rsidR="00275F37" w:rsidRPr="009516E9">
        <w:rPr>
          <w:rStyle w:val="CETCaptionCarattere"/>
          <w:i w:val="0"/>
        </w:rPr>
        <w:t xml:space="preserve"> </w:t>
      </w:r>
      <w:r w:rsidR="007D3EAF" w:rsidRPr="009516E9">
        <w:rPr>
          <w:rStyle w:val="CETCaptionCarattere"/>
          <w:i w:val="0"/>
        </w:rPr>
        <w:t>the only</w:t>
      </w:r>
      <w:r w:rsidR="00C90EE7" w:rsidRPr="009516E9">
        <w:rPr>
          <w:rStyle w:val="CETCaptionCarattere"/>
          <w:i w:val="0"/>
        </w:rPr>
        <w:t xml:space="preserve"> potential scenario arising from the equipment failure</w:t>
      </w:r>
      <w:r w:rsidR="001C124A" w:rsidRPr="009516E9">
        <w:rPr>
          <w:rStyle w:val="CETCaptionCarattere"/>
          <w:i w:val="0"/>
        </w:rPr>
        <w:t xml:space="preserve"> is the</w:t>
      </w:r>
      <w:r w:rsidR="00535033" w:rsidRPr="009516E9">
        <w:rPr>
          <w:rStyle w:val="CETCaptionCarattere"/>
          <w:i w:val="0"/>
        </w:rPr>
        <w:t xml:space="preserve"> toxic </w:t>
      </w:r>
      <w:r w:rsidRPr="009516E9">
        <w:rPr>
          <w:rStyle w:val="CETCaptionCarattere"/>
          <w:i w:val="0"/>
        </w:rPr>
        <w:t>gas dispersion</w:t>
      </w:r>
      <w:r w:rsidR="001C124A" w:rsidRPr="009516E9">
        <w:rPr>
          <w:rStyle w:val="CETCaptionCarattere"/>
          <w:i w:val="0"/>
        </w:rPr>
        <w:t>.</w:t>
      </w:r>
      <w:r w:rsidR="00D12428" w:rsidRPr="009516E9">
        <w:rPr>
          <w:rStyle w:val="CETCaptionCarattere"/>
          <w:i w:val="0"/>
        </w:rPr>
        <w:t xml:space="preserve"> Indeed, </w:t>
      </w:r>
      <w:r w:rsidR="00B60254" w:rsidRPr="009516E9">
        <w:rPr>
          <w:rStyle w:val="CETCaptionCarattere"/>
          <w:i w:val="0"/>
        </w:rPr>
        <w:t>CO</w:t>
      </w:r>
      <w:r w:rsidR="00B60254" w:rsidRPr="009516E9">
        <w:rPr>
          <w:rStyle w:val="CETCaptionCarattere"/>
          <w:i w:val="0"/>
          <w:vertAlign w:val="subscript"/>
        </w:rPr>
        <w:t>2</w:t>
      </w:r>
      <w:r w:rsidR="00B60254" w:rsidRPr="009516E9">
        <w:rPr>
          <w:rStyle w:val="CETCaptionCarattere"/>
          <w:i w:val="0"/>
        </w:rPr>
        <w:t xml:space="preserve"> </w:t>
      </w:r>
      <w:r w:rsidR="0042084E" w:rsidRPr="009516E9">
        <w:rPr>
          <w:rStyle w:val="CETCaptionCarattere"/>
          <w:i w:val="0"/>
        </w:rPr>
        <w:t xml:space="preserve">is classified only as </w:t>
      </w:r>
      <w:r w:rsidR="00B60254" w:rsidRPr="009516E9">
        <w:rPr>
          <w:rStyle w:val="CETCaptionCarattere"/>
          <w:i w:val="0"/>
        </w:rPr>
        <w:t>a mildly toxic substance</w:t>
      </w:r>
      <w:r w:rsidR="00631EA6" w:rsidRPr="009516E9">
        <w:rPr>
          <w:rStyle w:val="CETCaptionCarattere"/>
          <w:i w:val="0"/>
        </w:rPr>
        <w:t xml:space="preserve"> (NIOSH, 2007)</w:t>
      </w:r>
      <w:r w:rsidR="00B60254" w:rsidRPr="009516E9">
        <w:rPr>
          <w:rStyle w:val="CETCaptionCarattere"/>
          <w:i w:val="0"/>
        </w:rPr>
        <w:t xml:space="preserve">. </w:t>
      </w:r>
      <w:r w:rsidR="004E2356" w:rsidRPr="009516E9">
        <w:rPr>
          <w:rStyle w:val="CETCaptionCarattere"/>
          <w:i w:val="0"/>
        </w:rPr>
        <w:t>Also</w:t>
      </w:r>
      <w:r w:rsidR="00B60254" w:rsidRPr="009516E9">
        <w:rPr>
          <w:rStyle w:val="CETCaptionCarattere"/>
          <w:i w:val="0"/>
        </w:rPr>
        <w:t>, CO</w:t>
      </w:r>
      <w:r w:rsidR="00B60254" w:rsidRPr="009516E9">
        <w:rPr>
          <w:rStyle w:val="CETCaptionCarattere"/>
          <w:i w:val="0"/>
          <w:vertAlign w:val="subscript"/>
        </w:rPr>
        <w:t>2</w:t>
      </w:r>
      <w:r w:rsidR="00B60254" w:rsidRPr="009516E9">
        <w:rPr>
          <w:rStyle w:val="CETCaptionCarattere"/>
          <w:i w:val="0"/>
        </w:rPr>
        <w:t xml:space="preserve"> </w:t>
      </w:r>
      <w:r w:rsidR="004C6C25" w:rsidRPr="009516E9">
        <w:rPr>
          <w:rStyle w:val="CETCaptionCarattere"/>
          <w:i w:val="0"/>
        </w:rPr>
        <w:t xml:space="preserve">may </w:t>
      </w:r>
      <w:r w:rsidR="00B60254" w:rsidRPr="009516E9">
        <w:rPr>
          <w:rStyle w:val="CETCaptionCarattere"/>
          <w:i w:val="0"/>
        </w:rPr>
        <w:t xml:space="preserve">represent a </w:t>
      </w:r>
      <w:proofErr w:type="gramStart"/>
      <w:r w:rsidR="00B60254" w:rsidRPr="009516E9">
        <w:rPr>
          <w:rStyle w:val="CETCaptionCarattere"/>
          <w:i w:val="0"/>
        </w:rPr>
        <w:t>physical stressor</w:t>
      </w:r>
      <w:r w:rsidR="009F0E0A" w:rsidRPr="009516E9">
        <w:rPr>
          <w:rStyle w:val="CETCaptionCarattere"/>
          <w:i w:val="0"/>
        </w:rPr>
        <w:t>s</w:t>
      </w:r>
      <w:proofErr w:type="gramEnd"/>
      <w:r w:rsidR="00B60254" w:rsidRPr="009516E9">
        <w:rPr>
          <w:rStyle w:val="CETCaptionCarattere"/>
          <w:i w:val="0"/>
        </w:rPr>
        <w:t xml:space="preserve"> </w:t>
      </w:r>
      <w:r w:rsidR="003B02A0" w:rsidRPr="009516E9">
        <w:rPr>
          <w:rStyle w:val="CETCaptionCarattere"/>
          <w:i w:val="0"/>
        </w:rPr>
        <w:t xml:space="preserve">due to the </w:t>
      </w:r>
      <w:r w:rsidR="009F0E0A" w:rsidRPr="009516E9">
        <w:rPr>
          <w:rStyle w:val="CETCaptionCarattere"/>
          <w:i w:val="0"/>
        </w:rPr>
        <w:t>extremely low temperature</w:t>
      </w:r>
      <w:r w:rsidR="00702415" w:rsidRPr="009516E9">
        <w:rPr>
          <w:rStyle w:val="CETCaptionCarattere"/>
          <w:i w:val="0"/>
        </w:rPr>
        <w:t>s</w:t>
      </w:r>
      <w:r w:rsidR="009F0E0A" w:rsidRPr="009516E9">
        <w:rPr>
          <w:rStyle w:val="CETCaptionCarattere"/>
          <w:i w:val="0"/>
        </w:rPr>
        <w:t xml:space="preserve"> it reaches after the release</w:t>
      </w:r>
      <w:r w:rsidR="00631EA6" w:rsidRPr="009516E9">
        <w:rPr>
          <w:rStyle w:val="CETCaptionCarattere"/>
          <w:i w:val="0"/>
        </w:rPr>
        <w:t xml:space="preserve"> (Tamburini et al., 2023)</w:t>
      </w:r>
      <w:r w:rsidR="003B02A0" w:rsidRPr="009516E9">
        <w:rPr>
          <w:rStyle w:val="CETCaptionCarattere"/>
          <w:i w:val="0"/>
        </w:rPr>
        <w:t>.</w:t>
      </w:r>
      <w:r w:rsidR="00BC6EA4" w:rsidRPr="009516E9">
        <w:rPr>
          <w:rStyle w:val="CETCaptionCarattere"/>
          <w:i w:val="0"/>
        </w:rPr>
        <w:t xml:space="preserve"> However,</w:t>
      </w:r>
      <w:r w:rsidR="003F10F2" w:rsidRPr="009516E9">
        <w:rPr>
          <w:rStyle w:val="CETCaptionCarattere"/>
          <w:i w:val="0"/>
        </w:rPr>
        <w:t xml:space="preserve"> this scenario </w:t>
      </w:r>
      <w:r w:rsidR="00E72AC7" w:rsidRPr="009516E9">
        <w:rPr>
          <w:rStyle w:val="CETCaptionCarattere"/>
          <w:i w:val="0"/>
        </w:rPr>
        <w:t>is not supposed to contribute to</w:t>
      </w:r>
      <w:r w:rsidR="001A1EE2" w:rsidRPr="009516E9">
        <w:rPr>
          <w:rStyle w:val="CETCaptionCarattere"/>
          <w:i w:val="0"/>
        </w:rPr>
        <w:t xml:space="preserve"> </w:t>
      </w:r>
      <w:r w:rsidR="006B1718" w:rsidRPr="009516E9">
        <w:rPr>
          <w:rStyle w:val="CETCaptionCarattere"/>
          <w:i w:val="0"/>
        </w:rPr>
        <w:t>any</w:t>
      </w:r>
      <w:r w:rsidR="001A1EE2" w:rsidRPr="009516E9">
        <w:rPr>
          <w:rStyle w:val="CETCaptionCarattere"/>
          <w:i w:val="0"/>
        </w:rPr>
        <w:t xml:space="preserve"> damage</w:t>
      </w:r>
      <w:r w:rsidR="006B1718" w:rsidRPr="009516E9">
        <w:rPr>
          <w:rStyle w:val="CETCaptionCarattere"/>
          <w:i w:val="0"/>
        </w:rPr>
        <w:t>s</w:t>
      </w:r>
      <w:r w:rsidR="000358A3">
        <w:rPr>
          <w:rStyle w:val="CETCaptionCarattere"/>
          <w:i w:val="0"/>
        </w:rPr>
        <w:t>,</w:t>
      </w:r>
      <w:r w:rsidR="001A1EE2" w:rsidRPr="009516E9">
        <w:rPr>
          <w:rStyle w:val="CETCaptionCarattere"/>
          <w:i w:val="0"/>
        </w:rPr>
        <w:t xml:space="preserve"> given</w:t>
      </w:r>
      <w:r w:rsidR="003F10F2" w:rsidRPr="009516E9">
        <w:rPr>
          <w:rStyle w:val="CETCaptionCarattere"/>
          <w:i w:val="0"/>
        </w:rPr>
        <w:t xml:space="preserve"> the rapid sublimation of the small </w:t>
      </w:r>
      <w:r w:rsidR="005F5257" w:rsidRPr="009516E9">
        <w:rPr>
          <w:rStyle w:val="CETCaptionCarattere"/>
          <w:i w:val="0"/>
        </w:rPr>
        <w:t>dry ice</w:t>
      </w:r>
      <w:r w:rsidR="005F5C07" w:rsidRPr="001A1EE2">
        <w:rPr>
          <w:rStyle w:val="CETCaptionCarattere"/>
          <w:i w:val="0"/>
        </w:rPr>
        <w:t xml:space="preserve"> particles</w:t>
      </w:r>
      <w:r w:rsidR="00FB5A7F">
        <w:rPr>
          <w:rStyle w:val="CETCaptionCarattere"/>
          <w:i w:val="0"/>
        </w:rPr>
        <w:t xml:space="preserve"> originated following spill events</w:t>
      </w:r>
      <w:r w:rsidR="005F5C07" w:rsidRPr="001A1EE2">
        <w:rPr>
          <w:rStyle w:val="CETCaptionCarattere"/>
          <w:i w:val="0"/>
        </w:rPr>
        <w:t>. Furt</w:t>
      </w:r>
      <w:r w:rsidR="001A1EE2" w:rsidRPr="001A1EE2">
        <w:rPr>
          <w:rStyle w:val="CETCaptionCarattere"/>
          <w:i w:val="0"/>
        </w:rPr>
        <w:t>h</w:t>
      </w:r>
      <w:r w:rsidR="005F5C07" w:rsidRPr="001A1EE2">
        <w:rPr>
          <w:rStyle w:val="CETCaptionCarattere"/>
          <w:i w:val="0"/>
        </w:rPr>
        <w:t>ermore, o</w:t>
      </w:r>
      <w:r w:rsidR="003B02A0" w:rsidRPr="001A1EE2">
        <w:rPr>
          <w:rStyle w:val="CETCaptionCarattere"/>
          <w:i w:val="0"/>
        </w:rPr>
        <w:t>w</w:t>
      </w:r>
      <w:r w:rsidR="006D6D79" w:rsidRPr="001A1EE2">
        <w:rPr>
          <w:rStyle w:val="CETCaptionCarattere"/>
          <w:i w:val="0"/>
        </w:rPr>
        <w:t>ing to the characteristics of CO</w:t>
      </w:r>
      <w:r w:rsidR="006D6D79" w:rsidRPr="001A1EE2">
        <w:rPr>
          <w:rStyle w:val="CETCaptionCarattere"/>
          <w:i w:val="0"/>
          <w:vertAlign w:val="subscript"/>
        </w:rPr>
        <w:t>2</w:t>
      </w:r>
      <w:r w:rsidR="006D6D79" w:rsidRPr="001A1EE2">
        <w:rPr>
          <w:rStyle w:val="CETCaptionCarattere"/>
          <w:i w:val="0"/>
        </w:rPr>
        <w:t xml:space="preserve">, the </w:t>
      </w:r>
      <w:r w:rsidR="005F5C07" w:rsidRPr="001A1EE2">
        <w:rPr>
          <w:rStyle w:val="CETCaptionCarattere"/>
          <w:i w:val="0"/>
        </w:rPr>
        <w:t xml:space="preserve">safety </w:t>
      </w:r>
      <w:r w:rsidR="006D6D79" w:rsidRPr="001A1EE2">
        <w:rPr>
          <w:rStyle w:val="CETCaptionCarattere"/>
          <w:i w:val="0"/>
        </w:rPr>
        <w:t>assessment d</w:t>
      </w:r>
      <w:r w:rsidR="00834733" w:rsidRPr="001A1EE2">
        <w:rPr>
          <w:rStyle w:val="CETCaptionCarattere"/>
          <w:i w:val="0"/>
        </w:rPr>
        <w:t>o</w:t>
      </w:r>
      <w:r w:rsidR="00B24AC9" w:rsidRPr="001A1EE2">
        <w:rPr>
          <w:rStyle w:val="CETCaptionCarattere"/>
          <w:i w:val="0"/>
        </w:rPr>
        <w:t>es</w:t>
      </w:r>
      <w:r w:rsidR="006D6D79" w:rsidRPr="001A1EE2">
        <w:rPr>
          <w:rStyle w:val="CETCaptionCarattere"/>
          <w:i w:val="0"/>
        </w:rPr>
        <w:t xml:space="preserve"> not account for scenarios involving chemical interactions between the released substance and flood</w:t>
      </w:r>
      <w:r w:rsidR="00CF657B" w:rsidRPr="001A1EE2">
        <w:rPr>
          <w:rStyle w:val="CETCaptionCarattere"/>
          <w:i w:val="0"/>
        </w:rPr>
        <w:t xml:space="preserve"> </w:t>
      </w:r>
      <w:r w:rsidR="006D6D79" w:rsidRPr="001A1EE2">
        <w:rPr>
          <w:rStyle w:val="CETCaptionCarattere"/>
          <w:i w:val="0"/>
        </w:rPr>
        <w:t>water.</w:t>
      </w:r>
      <w:r w:rsidR="006A6C41" w:rsidRPr="001A1EE2">
        <w:rPr>
          <w:rStyle w:val="CETCaptionCarattere"/>
          <w:i w:val="0"/>
        </w:rPr>
        <w:t xml:space="preserve"> </w:t>
      </w:r>
      <w:r w:rsidR="008D26D5" w:rsidRPr="001A1EE2">
        <w:rPr>
          <w:rStyle w:val="CETCaptionCarattere"/>
          <w:i w:val="0"/>
        </w:rPr>
        <w:t xml:space="preserve">Physical effects associated </w:t>
      </w:r>
      <w:r w:rsidRPr="001A1EE2">
        <w:rPr>
          <w:rStyle w:val="CETCaptionCarattere"/>
          <w:i w:val="0"/>
        </w:rPr>
        <w:t xml:space="preserve">with </w:t>
      </w:r>
      <w:r w:rsidR="008D26D5" w:rsidRPr="001A1EE2">
        <w:rPr>
          <w:rStyle w:val="CETCaptionCarattere"/>
          <w:i w:val="0"/>
        </w:rPr>
        <w:t>the final outcome</w:t>
      </w:r>
      <w:r w:rsidR="00E01DCE" w:rsidRPr="001A1EE2">
        <w:rPr>
          <w:rStyle w:val="CETCaptionCarattere"/>
          <w:i w:val="0"/>
        </w:rPr>
        <w:t xml:space="preserve"> </w:t>
      </w:r>
      <w:r w:rsidR="003037BB" w:rsidRPr="001A1EE2">
        <w:rPr>
          <w:rStyle w:val="CETCaptionCarattere"/>
          <w:i w:val="0"/>
        </w:rPr>
        <w:t>are</w:t>
      </w:r>
      <w:r w:rsidR="008D26D5" w:rsidRPr="001A1EE2">
        <w:rPr>
          <w:rStyle w:val="CETCaptionCarattere"/>
          <w:i w:val="0"/>
        </w:rPr>
        <w:t xml:space="preserve"> evaluate</w:t>
      </w:r>
      <w:r w:rsidR="003C53BC" w:rsidRPr="001A1EE2">
        <w:rPr>
          <w:rStyle w:val="CETCaptionCarattere"/>
          <w:i w:val="0"/>
        </w:rPr>
        <w:t>d</w:t>
      </w:r>
      <w:r w:rsidR="008D26D5" w:rsidRPr="001A1EE2">
        <w:rPr>
          <w:rStyle w:val="CETCaptionCarattere"/>
          <w:i w:val="0"/>
        </w:rPr>
        <w:t xml:space="preserve"> by means of PHAST </w:t>
      </w:r>
      <w:r w:rsidR="007112D8" w:rsidRPr="001A1EE2">
        <w:rPr>
          <w:rStyle w:val="CETCaptionCarattere"/>
          <w:i w:val="0"/>
        </w:rPr>
        <w:t xml:space="preserve">8.4 </w:t>
      </w:r>
      <w:r w:rsidR="008D26D5" w:rsidRPr="001A1EE2">
        <w:rPr>
          <w:rStyle w:val="CETCaptionCarattere"/>
          <w:i w:val="0"/>
        </w:rPr>
        <w:t>software</w:t>
      </w:r>
      <w:r w:rsidR="003C53BC" w:rsidRPr="001A1EE2">
        <w:rPr>
          <w:rStyle w:val="CETCaptionCarattere"/>
          <w:i w:val="0"/>
        </w:rPr>
        <w:t xml:space="preserve"> (DNV, 2023</w:t>
      </w:r>
      <w:r w:rsidR="003A5791" w:rsidRPr="001A1EE2">
        <w:rPr>
          <w:rStyle w:val="CETCaptionCarattere"/>
          <w:i w:val="0"/>
        </w:rPr>
        <w:t>)</w:t>
      </w:r>
      <w:r w:rsidR="003A5791" w:rsidRPr="001A1EE2">
        <w:rPr>
          <w:lang w:val="en-GB"/>
        </w:rPr>
        <w:t xml:space="preserve"> </w:t>
      </w:r>
      <w:r w:rsidR="003A5791" w:rsidRPr="001A1EE2">
        <w:rPr>
          <w:rStyle w:val="CETCaptionCarattere"/>
          <w:i w:val="0"/>
        </w:rPr>
        <w:t xml:space="preserve">according to conventional procedures </w:t>
      </w:r>
      <w:r w:rsidR="00BA0CB7" w:rsidRPr="001A1EE2">
        <w:rPr>
          <w:lang w:val="en-GB"/>
        </w:rPr>
        <w:t>(</w:t>
      </w:r>
      <w:proofErr w:type="spellStart"/>
      <w:r w:rsidR="00BA0CB7" w:rsidRPr="001A1EE2">
        <w:rPr>
          <w:rStyle w:val="CETCaptionCarattere"/>
          <w:i w:val="0"/>
        </w:rPr>
        <w:t>Uijt</w:t>
      </w:r>
      <w:proofErr w:type="spellEnd"/>
      <w:r w:rsidR="00BA0CB7" w:rsidRPr="001A1EE2">
        <w:rPr>
          <w:rStyle w:val="CETCaptionCarattere"/>
          <w:i w:val="0"/>
        </w:rPr>
        <w:t xml:space="preserve"> de Haag and Ale, 1999)</w:t>
      </w:r>
      <w:r w:rsidR="00AE7907" w:rsidRPr="001A1EE2">
        <w:rPr>
          <w:rStyle w:val="CETCaptionCarattere"/>
          <w:i w:val="0"/>
        </w:rPr>
        <w:t xml:space="preserve"> and assuming two different safety</w:t>
      </w:r>
      <w:r w:rsidR="0063647A" w:rsidRPr="001A1EE2">
        <w:rPr>
          <w:rStyle w:val="CETCaptionCarattere"/>
          <w:i w:val="0"/>
        </w:rPr>
        <w:t xml:space="preserve"> concentration</w:t>
      </w:r>
      <w:r w:rsidR="00AE7907" w:rsidRPr="001A1EE2">
        <w:rPr>
          <w:rStyle w:val="CETCaptionCarattere"/>
          <w:i w:val="0"/>
        </w:rPr>
        <w:t xml:space="preserve"> thresholds</w:t>
      </w:r>
      <w:r w:rsidR="008D0BFF" w:rsidRPr="001A1EE2">
        <w:rPr>
          <w:rStyle w:val="CETCaptionCarattere"/>
          <w:i w:val="0"/>
        </w:rPr>
        <w:t xml:space="preserve"> for CO</w:t>
      </w:r>
      <w:r w:rsidR="008D0BFF" w:rsidRPr="001A1EE2">
        <w:rPr>
          <w:rStyle w:val="CETCaptionCarattere"/>
          <w:i w:val="0"/>
          <w:vertAlign w:val="subscript"/>
        </w:rPr>
        <w:t>2</w:t>
      </w:r>
      <w:r w:rsidR="00AE7907" w:rsidRPr="001A1EE2">
        <w:rPr>
          <w:rStyle w:val="CETCaptionCarattere"/>
          <w:i w:val="0"/>
        </w:rPr>
        <w:t xml:space="preserve">: </w:t>
      </w:r>
      <w:r w:rsidR="00C21D54" w:rsidRPr="001A1EE2">
        <w:rPr>
          <w:rStyle w:val="CETCaptionCarattere"/>
          <w:i w:val="0"/>
        </w:rPr>
        <w:t xml:space="preserve">the </w:t>
      </w:r>
      <w:bookmarkStart w:id="1" w:name="_Hlk158025267"/>
      <w:r w:rsidR="00AA44A3" w:rsidRPr="001A1EE2">
        <w:rPr>
          <w:rStyle w:val="CETCaptionCarattere"/>
          <w:i w:val="0"/>
        </w:rPr>
        <w:t xml:space="preserve">Immediately Dangerous To Life or Health </w:t>
      </w:r>
      <w:bookmarkEnd w:id="1"/>
      <w:r w:rsidR="00AA44A3" w:rsidRPr="001A1EE2">
        <w:rPr>
          <w:rStyle w:val="CETCaptionCarattere"/>
          <w:i w:val="0"/>
        </w:rPr>
        <w:t>(</w:t>
      </w:r>
      <w:r w:rsidR="00C21D54" w:rsidRPr="001A1EE2">
        <w:rPr>
          <w:rStyle w:val="CETCaptionCarattere"/>
          <w:i w:val="0"/>
        </w:rPr>
        <w:t>IDLH</w:t>
      </w:r>
      <w:r w:rsidR="00AA44A3" w:rsidRPr="001A1EE2">
        <w:rPr>
          <w:rStyle w:val="CETCaptionCarattere"/>
          <w:i w:val="0"/>
        </w:rPr>
        <w:t>)</w:t>
      </w:r>
      <w:r w:rsidR="008D0BFF" w:rsidRPr="001A1EE2">
        <w:rPr>
          <w:rStyle w:val="CETCaptionCarattere"/>
          <w:i w:val="0"/>
        </w:rPr>
        <w:t>, equal to 40</w:t>
      </w:r>
      <w:r w:rsidR="004F6FFF" w:rsidRPr="001A1EE2">
        <w:rPr>
          <w:rStyle w:val="CETCaptionCarattere"/>
          <w:i w:val="0"/>
        </w:rPr>
        <w:t>,</w:t>
      </w:r>
      <w:r w:rsidR="008D0BFF" w:rsidRPr="001A1EE2">
        <w:rPr>
          <w:rStyle w:val="CETCaptionCarattere"/>
          <w:i w:val="0"/>
        </w:rPr>
        <w:t>000 ppm</w:t>
      </w:r>
      <w:r w:rsidR="00CF3EDC" w:rsidRPr="001A1EE2">
        <w:rPr>
          <w:rStyle w:val="CETCaptionCarattere"/>
          <w:i w:val="0"/>
        </w:rPr>
        <w:t xml:space="preserve"> (NIOSH, 2007)</w:t>
      </w:r>
      <w:r w:rsidR="008D0BFF" w:rsidRPr="001A1EE2">
        <w:rPr>
          <w:rStyle w:val="CETCaptionCarattere"/>
          <w:i w:val="0"/>
        </w:rPr>
        <w:t>,</w:t>
      </w:r>
      <w:r w:rsidR="00C21D54" w:rsidRPr="001A1EE2">
        <w:rPr>
          <w:rStyle w:val="CETCaptionCarattere"/>
          <w:i w:val="0"/>
        </w:rPr>
        <w:t xml:space="preserve"> and</w:t>
      </w:r>
      <w:r w:rsidR="00AA44A3" w:rsidRPr="001A1EE2">
        <w:rPr>
          <w:rStyle w:val="CETCaptionCarattere"/>
          <w:i w:val="0"/>
        </w:rPr>
        <w:t xml:space="preserve"> the</w:t>
      </w:r>
      <w:r w:rsidR="0091206F" w:rsidRPr="001A1EE2">
        <w:rPr>
          <w:lang w:val="en-GB"/>
        </w:rPr>
        <w:t xml:space="preserve"> </w:t>
      </w:r>
      <w:r w:rsidR="0091206F" w:rsidRPr="001A1EE2">
        <w:rPr>
          <w:rStyle w:val="CETCaptionCarattere"/>
          <w:i w:val="0"/>
        </w:rPr>
        <w:t>Lethal Concentration (LC50), referred to a death probability of 50</w:t>
      </w:r>
      <w:r w:rsidR="00D60F39" w:rsidRPr="001A1EE2">
        <w:rPr>
          <w:rStyle w:val="CETCaptionCarattere"/>
          <w:i w:val="0"/>
        </w:rPr>
        <w:t xml:space="preserve"> </w:t>
      </w:r>
      <w:r w:rsidR="0091206F" w:rsidRPr="001A1EE2">
        <w:rPr>
          <w:rStyle w:val="CETCaptionCarattere"/>
          <w:i w:val="0"/>
        </w:rPr>
        <w:t>% after inhalation exposure of 30 min</w:t>
      </w:r>
      <w:r w:rsidR="008D0BFF" w:rsidRPr="001A1EE2">
        <w:rPr>
          <w:rStyle w:val="CETCaptionCarattere"/>
          <w:i w:val="0"/>
        </w:rPr>
        <w:t>, equal to 92</w:t>
      </w:r>
      <w:r w:rsidR="004F6FFF" w:rsidRPr="001A1EE2">
        <w:rPr>
          <w:rStyle w:val="CETCaptionCarattere"/>
          <w:i w:val="0"/>
        </w:rPr>
        <w:t>,</w:t>
      </w:r>
      <w:r w:rsidR="008D0BFF" w:rsidRPr="001A1EE2">
        <w:rPr>
          <w:rStyle w:val="CETCaptionCarattere"/>
          <w:i w:val="0"/>
        </w:rPr>
        <w:t>000 ppm</w:t>
      </w:r>
      <w:r w:rsidR="00357E4A" w:rsidRPr="001A1EE2">
        <w:rPr>
          <w:rStyle w:val="CETCaptionCarattere"/>
          <w:i w:val="0"/>
        </w:rPr>
        <w:t xml:space="preserve"> (Harper et al., 20</w:t>
      </w:r>
      <w:r w:rsidR="00CF3EDC" w:rsidRPr="001A1EE2">
        <w:rPr>
          <w:rStyle w:val="CETCaptionCarattere"/>
          <w:i w:val="0"/>
        </w:rPr>
        <w:t>1</w:t>
      </w:r>
      <w:r w:rsidR="00357E4A" w:rsidRPr="001A1EE2">
        <w:rPr>
          <w:rStyle w:val="CETCaptionCarattere"/>
          <w:i w:val="0"/>
        </w:rPr>
        <w:t>1)</w:t>
      </w:r>
      <w:r w:rsidR="003A5791" w:rsidRPr="001A1EE2">
        <w:rPr>
          <w:rStyle w:val="CETCaptionCarattere"/>
          <w:i w:val="0"/>
        </w:rPr>
        <w:t>.</w:t>
      </w:r>
      <w:r w:rsidR="00CF4F90" w:rsidRPr="001A1EE2">
        <w:rPr>
          <w:rStyle w:val="CETCaptionCarattere"/>
          <w:i w:val="0"/>
        </w:rPr>
        <w:t xml:space="preserve"> Based on the assumptions reported in Antonioni et al. (2015) for pressurized vessels</w:t>
      </w:r>
      <w:r w:rsidR="00E931BD" w:rsidRPr="001A1EE2">
        <w:rPr>
          <w:rStyle w:val="CETCaptionCarattere"/>
          <w:i w:val="0"/>
        </w:rPr>
        <w:t xml:space="preserve"> (i.e., coolers and separators in the present case study)</w:t>
      </w:r>
      <w:r w:rsidR="00CF4F90" w:rsidRPr="001A1EE2">
        <w:rPr>
          <w:rStyle w:val="CETCaptionCarattere"/>
          <w:i w:val="0"/>
        </w:rPr>
        <w:t>,</w:t>
      </w:r>
      <w:r w:rsidR="000B3F09" w:rsidRPr="001A1EE2">
        <w:rPr>
          <w:rStyle w:val="CETCaptionCarattere"/>
          <w:i w:val="0"/>
        </w:rPr>
        <w:t xml:space="preserve"> </w:t>
      </w:r>
      <w:r w:rsidR="00591609" w:rsidRPr="001A1EE2">
        <w:rPr>
          <w:rStyle w:val="CETCaptionCarattere"/>
          <w:i w:val="0"/>
        </w:rPr>
        <w:t>the release event</w:t>
      </w:r>
      <w:r w:rsidR="000B3F09" w:rsidRPr="001A1EE2">
        <w:rPr>
          <w:rStyle w:val="CETCaptionCarattere"/>
          <w:i w:val="0"/>
        </w:rPr>
        <w:t xml:space="preserve"> selected as the most severe due to flooding is</w:t>
      </w:r>
      <w:r w:rsidR="004420E7" w:rsidRPr="001A1EE2">
        <w:rPr>
          <w:rStyle w:val="CETCaptionCarattere"/>
          <w:i w:val="0"/>
        </w:rPr>
        <w:t xml:space="preserve"> the</w:t>
      </w:r>
      <w:r w:rsidR="000B3F09" w:rsidRPr="001A1EE2">
        <w:rPr>
          <w:rStyle w:val="CETCaptionCarattere"/>
          <w:i w:val="0"/>
        </w:rPr>
        <w:t xml:space="preserve"> </w:t>
      </w:r>
      <w:r w:rsidR="004420E7" w:rsidRPr="001A1EE2">
        <w:rPr>
          <w:rStyle w:val="CETCaptionCarattere"/>
          <w:i w:val="0"/>
        </w:rPr>
        <w:t>full-bore</w:t>
      </w:r>
      <w:r w:rsidR="00591609" w:rsidRPr="001A1EE2">
        <w:rPr>
          <w:rStyle w:val="CETCaptionCarattere"/>
          <w:i w:val="0"/>
        </w:rPr>
        <w:t xml:space="preserve"> rupture</w:t>
      </w:r>
      <w:r w:rsidR="00204E2F" w:rsidRPr="001A1EE2">
        <w:rPr>
          <w:rStyle w:val="CETCaptionCarattere"/>
          <w:i w:val="0"/>
        </w:rPr>
        <w:t xml:space="preserve"> (FBR)</w:t>
      </w:r>
      <w:r w:rsidR="00591609" w:rsidRPr="001A1EE2">
        <w:rPr>
          <w:rStyle w:val="CETCaptionCarattere"/>
          <w:i w:val="0"/>
        </w:rPr>
        <w:t xml:space="preserve"> of pipe connections</w:t>
      </w:r>
      <w:r w:rsidR="00E931BD" w:rsidRPr="001A1EE2">
        <w:rPr>
          <w:rStyle w:val="CETCaptionCarattere"/>
          <w:i w:val="0"/>
        </w:rPr>
        <w:t>.</w:t>
      </w:r>
      <w:r w:rsidR="002A2573" w:rsidRPr="001A1EE2">
        <w:rPr>
          <w:rStyle w:val="CETCaptionCarattere"/>
          <w:i w:val="0"/>
        </w:rPr>
        <w:t xml:space="preserve"> This event </w:t>
      </w:r>
      <w:r w:rsidRPr="001A1EE2">
        <w:rPr>
          <w:rStyle w:val="CETCaptionCarattere"/>
          <w:i w:val="0"/>
        </w:rPr>
        <w:t xml:space="preserve">is </w:t>
      </w:r>
      <w:r w:rsidR="002A2573" w:rsidRPr="001A1EE2">
        <w:rPr>
          <w:rStyle w:val="CETCaptionCarattere"/>
          <w:i w:val="0"/>
        </w:rPr>
        <w:t>the most critical also for compressors, as suggested by Salzano et al. (20</w:t>
      </w:r>
      <w:r w:rsidR="00753EF5" w:rsidRPr="001A1EE2">
        <w:rPr>
          <w:rStyle w:val="CETCaptionCarattere"/>
          <w:i w:val="0"/>
        </w:rPr>
        <w:t>09).</w:t>
      </w:r>
      <w:r w:rsidR="00E931BD" w:rsidRPr="001A1EE2">
        <w:rPr>
          <w:rStyle w:val="CETCaptionCarattere"/>
          <w:i w:val="0"/>
        </w:rPr>
        <w:t xml:space="preserve"> Contrarily, </w:t>
      </w:r>
      <w:r w:rsidR="009D04D7" w:rsidRPr="001A1EE2">
        <w:rPr>
          <w:rStyle w:val="CETCaptionCarattere"/>
          <w:i w:val="0"/>
        </w:rPr>
        <w:t>three different reference release mode</w:t>
      </w:r>
      <w:r w:rsidR="003539C5" w:rsidRPr="001A1EE2">
        <w:rPr>
          <w:rStyle w:val="CETCaptionCarattere"/>
          <w:i w:val="0"/>
        </w:rPr>
        <w:t>s</w:t>
      </w:r>
      <w:r w:rsidR="009D04D7" w:rsidRPr="001A1EE2">
        <w:rPr>
          <w:rStyle w:val="CETCaptionCarattere"/>
          <w:i w:val="0"/>
        </w:rPr>
        <w:t xml:space="preserve"> </w:t>
      </w:r>
      <w:r w:rsidR="00E91DD6" w:rsidRPr="001A1EE2">
        <w:rPr>
          <w:rStyle w:val="CETCaptionCarattere"/>
          <w:i w:val="0"/>
        </w:rPr>
        <w:t>can be</w:t>
      </w:r>
      <w:r w:rsidR="004420E7" w:rsidRPr="001A1EE2">
        <w:rPr>
          <w:rStyle w:val="CETCaptionCarattere"/>
          <w:i w:val="0"/>
        </w:rPr>
        <w:t xml:space="preserve"> assumed</w:t>
      </w:r>
      <w:r w:rsidR="00C4033D" w:rsidRPr="001A1EE2">
        <w:rPr>
          <w:rStyle w:val="CETCaptionCarattere"/>
          <w:i w:val="0"/>
        </w:rPr>
        <w:t xml:space="preserve"> for </w:t>
      </w:r>
      <w:r w:rsidR="00753EF5" w:rsidRPr="001A1EE2">
        <w:rPr>
          <w:rStyle w:val="CETCaptionCarattere"/>
          <w:i w:val="0"/>
        </w:rPr>
        <w:t xml:space="preserve">earthquake-affected </w:t>
      </w:r>
      <w:r w:rsidR="004B3234" w:rsidRPr="001A1EE2">
        <w:rPr>
          <w:rStyle w:val="CETCaptionCarattere"/>
          <w:i w:val="0"/>
        </w:rPr>
        <w:t>separators and coolers</w:t>
      </w:r>
      <w:r w:rsidR="009D04D7" w:rsidRPr="001A1EE2">
        <w:rPr>
          <w:rStyle w:val="CETCaptionCarattere"/>
          <w:i w:val="0"/>
        </w:rPr>
        <w:t xml:space="preserve">: (1) </w:t>
      </w:r>
      <w:r w:rsidR="006642FC" w:rsidRPr="001A1EE2">
        <w:rPr>
          <w:rStyle w:val="CETCaptionCarattere"/>
          <w:i w:val="0"/>
        </w:rPr>
        <w:t>the release from</w:t>
      </w:r>
      <w:r w:rsidR="00D51B7C" w:rsidRPr="001A1EE2">
        <w:rPr>
          <w:rStyle w:val="CETCaptionCarattere"/>
          <w:i w:val="0"/>
        </w:rPr>
        <w:t xml:space="preserve"> a</w:t>
      </w:r>
      <w:r w:rsidR="006642FC" w:rsidRPr="001A1EE2">
        <w:rPr>
          <w:rStyle w:val="CETCaptionCarattere"/>
          <w:i w:val="0"/>
        </w:rPr>
        <w:t xml:space="preserve"> leak </w:t>
      </w:r>
      <w:r w:rsidR="009908D9" w:rsidRPr="001A1EE2">
        <w:rPr>
          <w:rStyle w:val="CETCaptionCarattere"/>
          <w:i w:val="0"/>
        </w:rPr>
        <w:t xml:space="preserve">with </w:t>
      </w:r>
      <w:r w:rsidR="006642FC" w:rsidRPr="001A1EE2">
        <w:rPr>
          <w:rStyle w:val="CETCaptionCarattere"/>
          <w:i w:val="0"/>
        </w:rPr>
        <w:t>a diameter of 10 % the nominal diameter</w:t>
      </w:r>
      <w:r w:rsidR="00D51B7C" w:rsidRPr="001A1EE2">
        <w:rPr>
          <w:rStyle w:val="CETCaptionCarattere"/>
          <w:i w:val="0"/>
        </w:rPr>
        <w:t xml:space="preserve"> of </w:t>
      </w:r>
      <w:r w:rsidR="00F33596" w:rsidRPr="001A1EE2">
        <w:rPr>
          <w:rStyle w:val="CETCaptionCarattere"/>
          <w:i w:val="0"/>
        </w:rPr>
        <w:t>pipe connections</w:t>
      </w:r>
      <w:r w:rsidR="009C55A7" w:rsidRPr="001A1EE2">
        <w:rPr>
          <w:rStyle w:val="CETCaptionCarattere"/>
          <w:i w:val="0"/>
        </w:rPr>
        <w:t xml:space="preserve"> (L1)</w:t>
      </w:r>
      <w:r w:rsidR="00F33596" w:rsidRPr="001A1EE2">
        <w:rPr>
          <w:rStyle w:val="CETCaptionCarattere"/>
          <w:i w:val="0"/>
        </w:rPr>
        <w:t xml:space="preserve">; (2) the release from a leak </w:t>
      </w:r>
      <w:r w:rsidR="009908D9" w:rsidRPr="001A1EE2">
        <w:rPr>
          <w:rStyle w:val="CETCaptionCarattere"/>
          <w:i w:val="0"/>
        </w:rPr>
        <w:t xml:space="preserve">with </w:t>
      </w:r>
      <w:r w:rsidR="00F33596" w:rsidRPr="001A1EE2">
        <w:rPr>
          <w:rStyle w:val="CETCaptionCarattere"/>
          <w:i w:val="0"/>
        </w:rPr>
        <w:t>a diameter of 22 % the nominal diameter of pipe connections</w:t>
      </w:r>
      <w:r w:rsidR="009C55A7" w:rsidRPr="001A1EE2">
        <w:rPr>
          <w:rStyle w:val="CETCaptionCarattere"/>
          <w:i w:val="0"/>
        </w:rPr>
        <w:t xml:space="preserve"> (L2)</w:t>
      </w:r>
      <w:r w:rsidR="00F33596" w:rsidRPr="001A1EE2">
        <w:rPr>
          <w:rStyle w:val="CETCaptionCarattere"/>
          <w:i w:val="0"/>
        </w:rPr>
        <w:t xml:space="preserve">; and (3) </w:t>
      </w:r>
      <w:r w:rsidR="00D43CE3" w:rsidRPr="001A1EE2">
        <w:rPr>
          <w:rStyle w:val="CETCaptionCarattere"/>
          <w:i w:val="0"/>
        </w:rPr>
        <w:t xml:space="preserve">the </w:t>
      </w:r>
      <w:r w:rsidR="00204E2F" w:rsidRPr="001A1EE2">
        <w:rPr>
          <w:rStyle w:val="CETCaptionCarattere"/>
          <w:i w:val="0"/>
        </w:rPr>
        <w:t>FBR of pipe connections</w:t>
      </w:r>
      <w:r w:rsidR="00D43CE3" w:rsidRPr="001A1EE2">
        <w:rPr>
          <w:rStyle w:val="CETCaptionCarattere"/>
          <w:i w:val="0"/>
        </w:rPr>
        <w:t>.</w:t>
      </w:r>
      <w:r w:rsidR="00CF772B" w:rsidRPr="001A1EE2">
        <w:rPr>
          <w:rStyle w:val="CETCaptionCarattere"/>
          <w:i w:val="0"/>
        </w:rPr>
        <w:t xml:space="preserve"> </w:t>
      </w:r>
      <w:r w:rsidR="00426314" w:rsidRPr="001A1EE2">
        <w:rPr>
          <w:lang w:val="en-GB"/>
        </w:rPr>
        <w:t xml:space="preserve">In order to demonstrate the importance of accounting for Natech scenarios in the </w:t>
      </w:r>
      <w:r w:rsidR="00426314" w:rsidRPr="001A1EE2">
        <w:rPr>
          <w:lang w:val="en-GB"/>
        </w:rPr>
        <w:lastRenderedPageBreak/>
        <w:t>context of risk assessment,</w:t>
      </w:r>
      <w:r w:rsidR="00275896" w:rsidRPr="001A1EE2">
        <w:rPr>
          <w:lang w:val="en-GB"/>
        </w:rPr>
        <w:t xml:space="preserve"> the failure probability due to </w:t>
      </w:r>
      <w:r w:rsidR="00057203" w:rsidRPr="001A1EE2">
        <w:rPr>
          <w:lang w:val="en-GB"/>
        </w:rPr>
        <w:t xml:space="preserve">conventional </w:t>
      </w:r>
      <w:r w:rsidR="00275896" w:rsidRPr="001A1EE2">
        <w:rPr>
          <w:lang w:val="en-GB"/>
        </w:rPr>
        <w:t xml:space="preserve">internal failures </w:t>
      </w:r>
      <w:r w:rsidR="00C25BE7" w:rsidRPr="001A1EE2">
        <w:rPr>
          <w:lang w:val="en-GB"/>
        </w:rPr>
        <w:t>is</w:t>
      </w:r>
      <w:r w:rsidR="00275896" w:rsidRPr="001A1EE2">
        <w:rPr>
          <w:lang w:val="en-GB"/>
        </w:rPr>
        <w:t xml:space="preserve"> estimated following </w:t>
      </w:r>
      <w:r w:rsidR="00C25BE7" w:rsidRPr="001A1EE2">
        <w:rPr>
          <w:lang w:val="en-GB"/>
        </w:rPr>
        <w:t xml:space="preserve">standard </w:t>
      </w:r>
      <w:r w:rsidR="00BA24A4" w:rsidRPr="001A1EE2">
        <w:rPr>
          <w:lang w:val="en-GB"/>
        </w:rPr>
        <w:t>approache</w:t>
      </w:r>
      <w:r w:rsidR="00C67AC5" w:rsidRPr="001A1EE2">
        <w:rPr>
          <w:lang w:val="en-GB"/>
        </w:rPr>
        <w:t>s</w:t>
      </w:r>
      <w:r w:rsidR="00BA24A4" w:rsidRPr="001A1EE2">
        <w:rPr>
          <w:lang w:val="en-GB"/>
        </w:rPr>
        <w:t xml:space="preserve"> present in </w:t>
      </w:r>
      <w:proofErr w:type="spellStart"/>
      <w:r w:rsidR="00BA24A4" w:rsidRPr="001A1EE2">
        <w:rPr>
          <w:rStyle w:val="CETCaptionCarattere"/>
          <w:i w:val="0"/>
        </w:rPr>
        <w:t>Uijt</w:t>
      </w:r>
      <w:proofErr w:type="spellEnd"/>
      <w:r w:rsidR="00BA24A4" w:rsidRPr="001A1EE2">
        <w:rPr>
          <w:rStyle w:val="CETCaptionCarattere"/>
          <w:i w:val="0"/>
        </w:rPr>
        <w:t xml:space="preserve"> de Haag and Ale</w:t>
      </w:r>
      <w:r w:rsidR="00B50ED1" w:rsidRPr="001A1EE2">
        <w:rPr>
          <w:rStyle w:val="CETCaptionCarattere"/>
          <w:i w:val="0"/>
        </w:rPr>
        <w:t xml:space="preserve"> (</w:t>
      </w:r>
      <w:r w:rsidR="00BA24A4" w:rsidRPr="001A1EE2">
        <w:rPr>
          <w:rStyle w:val="CETCaptionCarattere"/>
          <w:i w:val="0"/>
        </w:rPr>
        <w:t>1999).</w:t>
      </w:r>
      <w:r w:rsidR="002F1976" w:rsidRPr="001A1EE2">
        <w:rPr>
          <w:rStyle w:val="CETCaptionCarattere"/>
          <w:i w:val="0"/>
        </w:rPr>
        <w:t xml:space="preserve"> </w:t>
      </w:r>
      <w:r w:rsidR="00266202" w:rsidRPr="001A1EE2">
        <w:rPr>
          <w:rStyle w:val="CETCaptionCarattere"/>
          <w:i w:val="0"/>
        </w:rPr>
        <w:t>Finally, t</w:t>
      </w:r>
      <w:r w:rsidR="002F1976" w:rsidRPr="001A1EE2">
        <w:rPr>
          <w:rStyle w:val="CETCaptionCarattere"/>
          <w:i w:val="0"/>
        </w:rPr>
        <w:t xml:space="preserve">he last step of the methodology is carried out </w:t>
      </w:r>
      <w:r w:rsidRPr="001A1EE2">
        <w:rPr>
          <w:rStyle w:val="CETCaptionCarattere"/>
          <w:i w:val="0"/>
        </w:rPr>
        <w:t xml:space="preserve">by </w:t>
      </w:r>
      <w:r w:rsidR="002F1976" w:rsidRPr="001A1EE2">
        <w:rPr>
          <w:rStyle w:val="CETCaptionCarattere"/>
          <w:i w:val="0"/>
        </w:rPr>
        <w:t>estimating</w:t>
      </w:r>
      <w:r w:rsidR="00621170" w:rsidRPr="001A1EE2">
        <w:rPr>
          <w:rStyle w:val="CETCaptionCarattere"/>
          <w:i w:val="0"/>
        </w:rPr>
        <w:t xml:space="preserve"> the</w:t>
      </w:r>
      <w:r w:rsidR="002F1976" w:rsidRPr="001A1EE2">
        <w:rPr>
          <w:rStyle w:val="CETCaptionCarattere"/>
          <w:i w:val="0"/>
        </w:rPr>
        <w:t xml:space="preserve"> </w:t>
      </w:r>
      <w:r w:rsidR="00DF72BF" w:rsidRPr="001A1EE2">
        <w:rPr>
          <w:rStyle w:val="CETCaptionCarattere"/>
          <w:i w:val="0"/>
        </w:rPr>
        <w:t>two</w:t>
      </w:r>
      <w:r w:rsidR="00621170" w:rsidRPr="001A1EE2">
        <w:rPr>
          <w:rStyle w:val="CETCaptionCarattere"/>
          <w:i w:val="0"/>
        </w:rPr>
        <w:t xml:space="preserve"> </w:t>
      </w:r>
      <w:proofErr w:type="spellStart"/>
      <w:r w:rsidR="00621170" w:rsidRPr="001A1EE2">
        <w:rPr>
          <w:rStyle w:val="CETCaptionCarattere"/>
          <w:i w:val="0"/>
        </w:rPr>
        <w:t>aformentioned</w:t>
      </w:r>
      <w:proofErr w:type="spellEnd"/>
      <w:r w:rsidR="002F1976" w:rsidRPr="001A1EE2">
        <w:rPr>
          <w:rStyle w:val="CETCaptionCarattere"/>
          <w:i w:val="0"/>
        </w:rPr>
        <w:t xml:space="preserve"> inherent safety </w:t>
      </w:r>
      <w:r w:rsidR="007D418F" w:rsidRPr="001A1EE2">
        <w:rPr>
          <w:rStyle w:val="CETCaptionCarattere"/>
          <w:i w:val="0"/>
        </w:rPr>
        <w:t>index</w:t>
      </w:r>
      <w:r w:rsidR="00DF72BF" w:rsidRPr="001A1EE2">
        <w:rPr>
          <w:rStyle w:val="CETCaptionCarattere"/>
          <w:i w:val="0"/>
        </w:rPr>
        <w:t>es</w:t>
      </w:r>
      <w:r w:rsidR="00621170" w:rsidRPr="001A1EE2">
        <w:rPr>
          <w:rStyle w:val="CETCaptionCarattere"/>
          <w:i w:val="0"/>
        </w:rPr>
        <w:t xml:space="preserve"> for both the damage thresholds considered.</w:t>
      </w:r>
    </w:p>
    <w:p w14:paraId="5495984A" w14:textId="04A1C872" w:rsidR="00C0702B" w:rsidRPr="001A1EE2" w:rsidRDefault="00807AF4" w:rsidP="00CF2D1D">
      <w:pPr>
        <w:pStyle w:val="CETHeading1"/>
        <w:rPr>
          <w:lang w:val="en-GB"/>
        </w:rPr>
      </w:pPr>
      <w:r w:rsidRPr="001A1EE2">
        <w:rPr>
          <w:lang w:val="en-GB"/>
        </w:rPr>
        <w:t>R</w:t>
      </w:r>
      <w:r w:rsidR="00C0702B" w:rsidRPr="001A1EE2">
        <w:rPr>
          <w:lang w:val="en-GB"/>
        </w:rPr>
        <w:t>esults and discussion</w:t>
      </w:r>
    </w:p>
    <w:p w14:paraId="675A6A01" w14:textId="7D8CD1DF" w:rsidR="007A123C" w:rsidRPr="001A1EE2" w:rsidRDefault="00E977F9" w:rsidP="008479E9">
      <w:pPr>
        <w:pStyle w:val="CETBodytext"/>
        <w:rPr>
          <w:lang w:val="en-GB"/>
        </w:rPr>
      </w:pPr>
      <w:r w:rsidRPr="001A1EE2">
        <w:rPr>
          <w:lang w:val="en-GB"/>
        </w:rPr>
        <w:t xml:space="preserve">The application of the methodology </w:t>
      </w:r>
      <w:r w:rsidR="006B0467" w:rsidRPr="001A1EE2">
        <w:rPr>
          <w:lang w:val="en-GB"/>
        </w:rPr>
        <w:t>allow</w:t>
      </w:r>
      <w:r w:rsidR="00083E06" w:rsidRPr="001A1EE2">
        <w:rPr>
          <w:lang w:val="en-GB"/>
        </w:rPr>
        <w:t>s</w:t>
      </w:r>
      <w:r w:rsidR="00E27819">
        <w:rPr>
          <w:lang w:val="en-GB"/>
        </w:rPr>
        <w:t xml:space="preserve"> for</w:t>
      </w:r>
      <w:r w:rsidR="006B0467" w:rsidRPr="001A1EE2">
        <w:rPr>
          <w:lang w:val="en-GB"/>
        </w:rPr>
        <w:t xml:space="preserve"> obtain</w:t>
      </w:r>
      <w:r w:rsidR="00526664" w:rsidRPr="001A1EE2">
        <w:rPr>
          <w:lang w:val="en-GB"/>
        </w:rPr>
        <w:t>ing</w:t>
      </w:r>
      <w:r w:rsidR="006B0467" w:rsidRPr="001A1EE2">
        <w:rPr>
          <w:lang w:val="en-GB"/>
        </w:rPr>
        <w:t xml:space="preserve"> the</w:t>
      </w:r>
      <w:r w:rsidR="00083E06" w:rsidRPr="001A1EE2">
        <w:rPr>
          <w:lang w:val="en-GB"/>
        </w:rPr>
        <w:t xml:space="preserve"> equipment</w:t>
      </w:r>
      <w:r w:rsidR="006B0467" w:rsidRPr="001A1EE2">
        <w:rPr>
          <w:lang w:val="en-GB"/>
        </w:rPr>
        <w:t xml:space="preserve"> failure frequenc</w:t>
      </w:r>
      <w:r w:rsidR="00083E06" w:rsidRPr="001A1EE2">
        <w:rPr>
          <w:lang w:val="en-GB"/>
        </w:rPr>
        <w:t>ies</w:t>
      </w:r>
      <w:r w:rsidR="008E69E2" w:rsidRPr="001A1EE2">
        <w:rPr>
          <w:lang w:val="en-GB"/>
        </w:rPr>
        <w:t xml:space="preserve"> </w:t>
      </w:r>
      <w:r w:rsidR="006B0467" w:rsidRPr="001A1EE2">
        <w:rPr>
          <w:lang w:val="en-GB"/>
        </w:rPr>
        <w:t>reported i</w:t>
      </w:r>
      <w:r w:rsidR="00083E06" w:rsidRPr="001A1EE2">
        <w:rPr>
          <w:lang w:val="en-GB"/>
        </w:rPr>
        <w:t>n F</w:t>
      </w:r>
      <w:r w:rsidR="00CF54BA" w:rsidRPr="001A1EE2">
        <w:rPr>
          <w:lang w:val="en-GB"/>
        </w:rPr>
        <w:t xml:space="preserve">igure </w:t>
      </w:r>
      <w:r w:rsidR="002D4D2C" w:rsidRPr="001A1EE2">
        <w:rPr>
          <w:lang w:val="en-GB"/>
        </w:rPr>
        <w:t>4</w:t>
      </w:r>
      <w:r w:rsidR="00CF54BA" w:rsidRPr="001A1EE2">
        <w:rPr>
          <w:lang w:val="en-GB"/>
        </w:rPr>
        <w:t>.</w:t>
      </w:r>
      <w:r w:rsidR="0082112D" w:rsidRPr="001A1EE2">
        <w:rPr>
          <w:lang w:val="en-GB"/>
        </w:rPr>
        <w:t xml:space="preserve"> </w:t>
      </w:r>
      <w:r w:rsidR="00526664" w:rsidRPr="001A1EE2">
        <w:rPr>
          <w:lang w:val="en-GB"/>
        </w:rPr>
        <w:t xml:space="preserve">These are consistent across all categories of equipment. Essentially, all </w:t>
      </w:r>
      <w:r w:rsidR="008E69E2" w:rsidRPr="001A1EE2">
        <w:rPr>
          <w:lang w:val="en-GB"/>
        </w:rPr>
        <w:t>equipment items</w:t>
      </w:r>
      <w:r w:rsidR="00526664" w:rsidRPr="001A1EE2">
        <w:rPr>
          <w:lang w:val="en-GB"/>
        </w:rPr>
        <w:t xml:space="preserve"> experience failures due to internal damage events for all </w:t>
      </w:r>
      <w:r w:rsidR="008E69E2" w:rsidRPr="001A1EE2">
        <w:rPr>
          <w:lang w:val="en-GB"/>
        </w:rPr>
        <w:t xml:space="preserve">the </w:t>
      </w:r>
      <w:r w:rsidR="00526664" w:rsidRPr="001A1EE2">
        <w:rPr>
          <w:lang w:val="en-GB"/>
        </w:rPr>
        <w:t xml:space="preserve">considered reference release modes. </w:t>
      </w:r>
      <w:r w:rsidR="003858EE" w:rsidRPr="001A1EE2">
        <w:rPr>
          <w:lang w:val="en-GB"/>
        </w:rPr>
        <w:t>Floods</w:t>
      </w:r>
      <w:r w:rsidR="00526664" w:rsidRPr="001A1EE2">
        <w:rPr>
          <w:lang w:val="en-GB"/>
        </w:rPr>
        <w:t xml:space="preserve">, however, emerge as a </w:t>
      </w:r>
      <w:r w:rsidR="00D0347E" w:rsidRPr="001A1EE2">
        <w:rPr>
          <w:lang w:val="en-GB"/>
        </w:rPr>
        <w:t xml:space="preserve">cause of </w:t>
      </w:r>
      <w:r w:rsidR="00526664" w:rsidRPr="001A1EE2">
        <w:rPr>
          <w:lang w:val="en-GB"/>
        </w:rPr>
        <w:t xml:space="preserve">failure only </w:t>
      </w:r>
      <w:r w:rsidR="008E69E2" w:rsidRPr="001A1EE2">
        <w:rPr>
          <w:lang w:val="en-GB"/>
        </w:rPr>
        <w:t>in the case of</w:t>
      </w:r>
      <w:r w:rsidR="00526664" w:rsidRPr="001A1EE2">
        <w:rPr>
          <w:lang w:val="en-GB"/>
        </w:rPr>
        <w:t xml:space="preserve"> coolers</w:t>
      </w:r>
      <w:r w:rsidR="00C11C85" w:rsidRPr="001A1EE2">
        <w:rPr>
          <w:lang w:val="en-GB"/>
        </w:rPr>
        <w:t xml:space="preserve"> subjected to the FBR release mode</w:t>
      </w:r>
      <w:r w:rsidR="00526664" w:rsidRPr="001A1EE2">
        <w:rPr>
          <w:lang w:val="en-GB"/>
        </w:rPr>
        <w:t>, as indicated by the green bar in the chart.</w:t>
      </w:r>
      <w:r w:rsidR="00F973BA" w:rsidRPr="001A1EE2">
        <w:rPr>
          <w:lang w:val="en-GB"/>
        </w:rPr>
        <w:t xml:space="preserve"> </w:t>
      </w:r>
      <w:r w:rsidR="00526664" w:rsidRPr="001A1EE2">
        <w:rPr>
          <w:lang w:val="en-GB"/>
        </w:rPr>
        <w:t xml:space="preserve">Separators and compressors, </w:t>
      </w:r>
      <w:r w:rsidR="00D0347E" w:rsidRPr="001A1EE2">
        <w:rPr>
          <w:lang w:val="en-GB"/>
        </w:rPr>
        <w:t>instead</w:t>
      </w:r>
      <w:r w:rsidR="00526664" w:rsidRPr="001A1EE2">
        <w:rPr>
          <w:lang w:val="en-GB"/>
        </w:rPr>
        <w:t xml:space="preserve">, </w:t>
      </w:r>
      <w:r w:rsidR="00095242" w:rsidRPr="001A1EE2">
        <w:rPr>
          <w:lang w:val="en-GB"/>
        </w:rPr>
        <w:t xml:space="preserve">are </w:t>
      </w:r>
      <w:r w:rsidR="00526664" w:rsidRPr="001A1EE2">
        <w:rPr>
          <w:lang w:val="en-GB"/>
        </w:rPr>
        <w:t>not</w:t>
      </w:r>
      <w:r w:rsidR="00095242" w:rsidRPr="001A1EE2">
        <w:rPr>
          <w:lang w:val="en-GB"/>
        </w:rPr>
        <w:t xml:space="preserve"> expected to</w:t>
      </w:r>
      <w:r w:rsidR="00526664" w:rsidRPr="001A1EE2">
        <w:rPr>
          <w:lang w:val="en-GB"/>
        </w:rPr>
        <w:t xml:space="preserve"> fail </w:t>
      </w:r>
      <w:r w:rsidR="008E69E2" w:rsidRPr="001A1EE2">
        <w:rPr>
          <w:lang w:val="en-GB"/>
        </w:rPr>
        <w:t>in the case of</w:t>
      </w:r>
      <w:r w:rsidR="00526664" w:rsidRPr="001A1EE2">
        <w:rPr>
          <w:lang w:val="en-GB"/>
        </w:rPr>
        <w:t xml:space="preserve"> </w:t>
      </w:r>
      <w:r w:rsidR="00095242" w:rsidRPr="001A1EE2">
        <w:rPr>
          <w:lang w:val="en-GB"/>
        </w:rPr>
        <w:t xml:space="preserve">the </w:t>
      </w:r>
      <w:r w:rsidR="00526664" w:rsidRPr="001A1EE2">
        <w:rPr>
          <w:lang w:val="en-GB"/>
        </w:rPr>
        <w:t>flood</w:t>
      </w:r>
      <w:r w:rsidR="008E69E2" w:rsidRPr="001A1EE2">
        <w:rPr>
          <w:lang w:val="en-GB"/>
        </w:rPr>
        <w:t xml:space="preserve"> </w:t>
      </w:r>
      <w:r w:rsidR="00095242" w:rsidRPr="001A1EE2">
        <w:rPr>
          <w:lang w:val="en-GB"/>
        </w:rPr>
        <w:t>scenarios considered</w:t>
      </w:r>
      <w:r w:rsidR="00526664" w:rsidRPr="001A1EE2">
        <w:rPr>
          <w:lang w:val="en-GB"/>
        </w:rPr>
        <w:t xml:space="preserve">. </w:t>
      </w:r>
      <w:r w:rsidR="007C1E56" w:rsidRPr="001A1EE2">
        <w:rPr>
          <w:lang w:val="en-GB"/>
        </w:rPr>
        <w:t>Actually,</w:t>
      </w:r>
      <w:r w:rsidR="007C7FA6" w:rsidRPr="001A1EE2">
        <w:rPr>
          <w:lang w:val="en-GB"/>
        </w:rPr>
        <w:t xml:space="preserve"> in the case of separators,</w:t>
      </w:r>
      <w:r w:rsidR="007C1E56" w:rsidRPr="001A1EE2">
        <w:rPr>
          <w:lang w:val="en-GB"/>
        </w:rPr>
        <w:t xml:space="preserve"> </w:t>
      </w:r>
      <w:r w:rsidR="009E0267" w:rsidRPr="001A1EE2">
        <w:rPr>
          <w:lang w:val="en-GB"/>
        </w:rPr>
        <w:t xml:space="preserve">the critical </w:t>
      </w:r>
      <w:r w:rsidR="004C3E4E">
        <w:rPr>
          <w:lang w:val="en-GB"/>
        </w:rPr>
        <w:t>water</w:t>
      </w:r>
      <w:r w:rsidR="004C3E4E" w:rsidRPr="001A1EE2">
        <w:rPr>
          <w:lang w:val="en-GB"/>
        </w:rPr>
        <w:t xml:space="preserve"> </w:t>
      </w:r>
      <w:r w:rsidR="009E0267" w:rsidRPr="001A1EE2">
        <w:rPr>
          <w:lang w:val="en-GB"/>
        </w:rPr>
        <w:t>velocity does not exceed the reference velocity values reported in Table 2, wh</w:t>
      </w:r>
      <w:r w:rsidR="007C1E56" w:rsidRPr="001A1EE2">
        <w:rPr>
          <w:lang w:val="en-GB"/>
        </w:rPr>
        <w:t xml:space="preserve">ile </w:t>
      </w:r>
      <w:r w:rsidR="007C7FA6" w:rsidRPr="001A1EE2">
        <w:rPr>
          <w:lang w:val="en-GB"/>
        </w:rPr>
        <w:t>for</w:t>
      </w:r>
      <w:r w:rsidR="007C1E56" w:rsidRPr="001A1EE2">
        <w:rPr>
          <w:lang w:val="en-GB"/>
        </w:rPr>
        <w:t xml:space="preserve"> compressors</w:t>
      </w:r>
      <w:r w:rsidR="007C7FA6" w:rsidRPr="001A1EE2">
        <w:rPr>
          <w:lang w:val="en-GB"/>
        </w:rPr>
        <w:t>,</w:t>
      </w:r>
      <w:r w:rsidR="007C1E56" w:rsidRPr="001A1EE2">
        <w:rPr>
          <w:lang w:val="en-GB"/>
        </w:rPr>
        <w:t xml:space="preserve"> </w:t>
      </w:r>
      <w:r w:rsidR="00796C17" w:rsidRPr="001A1EE2">
        <w:rPr>
          <w:lang w:val="en-GB"/>
        </w:rPr>
        <w:t xml:space="preserve">the </w:t>
      </w:r>
      <w:r w:rsidR="004C3E4E">
        <w:rPr>
          <w:lang w:val="en-GB"/>
        </w:rPr>
        <w:t>water depth</w:t>
      </w:r>
      <w:r w:rsidR="00526664" w:rsidRPr="001A1EE2">
        <w:rPr>
          <w:lang w:val="en-GB"/>
        </w:rPr>
        <w:t xml:space="preserve"> </w:t>
      </w:r>
      <w:r w:rsidR="007C1E56" w:rsidRPr="001A1EE2">
        <w:rPr>
          <w:lang w:val="en-GB"/>
        </w:rPr>
        <w:t>is</w:t>
      </w:r>
      <w:r w:rsidR="00FC5044" w:rsidRPr="001A1EE2">
        <w:rPr>
          <w:lang w:val="en-GB"/>
        </w:rPr>
        <w:t xml:space="preserve"> </w:t>
      </w:r>
      <w:r w:rsidR="00526664" w:rsidRPr="001A1EE2">
        <w:rPr>
          <w:lang w:val="en-GB"/>
        </w:rPr>
        <w:t>not</w:t>
      </w:r>
      <w:r w:rsidR="00FC5044" w:rsidRPr="001A1EE2">
        <w:rPr>
          <w:lang w:val="en-GB"/>
        </w:rPr>
        <w:t xml:space="preserve"> sufficient to</w:t>
      </w:r>
      <w:r w:rsidR="00526664" w:rsidRPr="001A1EE2">
        <w:rPr>
          <w:lang w:val="en-GB"/>
        </w:rPr>
        <w:t xml:space="preserve"> submerge the equipment. In contrast, earthquakes significantly impact all equipment in the conditioning unit. Overall, coolers with pipe connections affected by </w:t>
      </w:r>
      <w:r w:rsidR="00AC2B82" w:rsidRPr="001A1EE2">
        <w:rPr>
          <w:lang w:val="en-GB"/>
        </w:rPr>
        <w:t>FBRs</w:t>
      </w:r>
      <w:r w:rsidR="00526664" w:rsidRPr="001A1EE2">
        <w:rPr>
          <w:lang w:val="en-GB"/>
        </w:rPr>
        <w:t xml:space="preserve"> exhibit the highest frequency of failure, approximately 0.002 y</w:t>
      </w:r>
      <w:r w:rsidR="00526664" w:rsidRPr="001A1EE2">
        <w:rPr>
          <w:vertAlign w:val="superscript"/>
          <w:lang w:val="en-GB"/>
        </w:rPr>
        <w:t>-1</w:t>
      </w:r>
      <w:r w:rsidR="00526664" w:rsidRPr="001A1EE2">
        <w:rPr>
          <w:lang w:val="en-GB"/>
        </w:rPr>
        <w:t>.</w:t>
      </w:r>
    </w:p>
    <w:p w14:paraId="3F3CD134" w14:textId="77777777" w:rsidR="0086749F" w:rsidRPr="001A1EE2" w:rsidRDefault="0086749F" w:rsidP="008479E9">
      <w:pPr>
        <w:pStyle w:val="CETBodytext"/>
        <w:rPr>
          <w:lang w:val="en-GB"/>
        </w:rPr>
      </w:pPr>
    </w:p>
    <w:p w14:paraId="18F63D77" w14:textId="77777777" w:rsidR="001C6D1A" w:rsidRPr="001C6D1A" w:rsidRDefault="00291851" w:rsidP="001C6D1A">
      <w:pPr>
        <w:pStyle w:val="CETBodytext"/>
        <w:rPr>
          <w:rStyle w:val="CETCaptionCarattere"/>
          <w:i w:val="0"/>
          <w:lang w:val="en-US"/>
        </w:rPr>
      </w:pPr>
      <w:r w:rsidRPr="001A1EE2">
        <w:rPr>
          <w:noProof/>
        </w:rPr>
        <w:drawing>
          <wp:inline distT="0" distB="0" distL="0" distR="0" wp14:anchorId="638BAAE4" wp14:editId="6B9D1C7E">
            <wp:extent cx="2882091" cy="1704109"/>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83559" cy="1704977"/>
                    </a:xfrm>
                    <a:prstGeom prst="rect">
                      <a:avLst/>
                    </a:prstGeom>
                    <a:noFill/>
                    <a:ln>
                      <a:noFill/>
                    </a:ln>
                  </pic:spPr>
                </pic:pic>
              </a:graphicData>
            </a:graphic>
          </wp:inline>
        </w:drawing>
      </w:r>
    </w:p>
    <w:p w14:paraId="5ABEE308" w14:textId="60257B40" w:rsidR="007A123C" w:rsidRPr="009516E9" w:rsidRDefault="00136CBB" w:rsidP="001C6D1A">
      <w:pPr>
        <w:pStyle w:val="CETCaption"/>
        <w:rPr>
          <w:rStyle w:val="CETCaptionCarattere"/>
          <w:i/>
        </w:rPr>
      </w:pPr>
      <w:r w:rsidRPr="001A1EE2">
        <w:rPr>
          <w:rStyle w:val="CETCaptionCarattere"/>
          <w:i/>
        </w:rPr>
        <w:t xml:space="preserve">Figure </w:t>
      </w:r>
      <w:r w:rsidR="002D4D2C" w:rsidRPr="001A1EE2">
        <w:rPr>
          <w:rStyle w:val="CETCaptionCarattere"/>
          <w:i/>
        </w:rPr>
        <w:t>4</w:t>
      </w:r>
      <w:r w:rsidRPr="001A1EE2">
        <w:rPr>
          <w:rStyle w:val="CETCaptionCarattere"/>
          <w:i/>
        </w:rPr>
        <w:t>:</w:t>
      </w:r>
      <w:r w:rsidR="00EF3DB7" w:rsidRPr="001A1EE2">
        <w:rPr>
          <w:rStyle w:val="CETCaptionCarattere"/>
          <w:i/>
        </w:rPr>
        <w:t xml:space="preserve"> </w:t>
      </w:r>
      <w:r w:rsidR="00785B02" w:rsidRPr="001A1EE2">
        <w:rPr>
          <w:rStyle w:val="CETCaptionCarattere"/>
          <w:i/>
        </w:rPr>
        <w:t xml:space="preserve">Equipment failure frequency due to internal </w:t>
      </w:r>
      <w:r w:rsidR="00785B02" w:rsidRPr="009516E9">
        <w:rPr>
          <w:rStyle w:val="CETCaptionCarattere"/>
          <w:i/>
        </w:rPr>
        <w:t>and external causes</w:t>
      </w:r>
      <w:r w:rsidR="009A2C5B" w:rsidRPr="009516E9">
        <w:rPr>
          <w:rStyle w:val="CETCaptionCarattere"/>
          <w:i/>
        </w:rPr>
        <w:t xml:space="preserve"> for </w:t>
      </w:r>
      <w:r w:rsidR="00F5456E" w:rsidRPr="009516E9">
        <w:rPr>
          <w:rStyle w:val="CETCaptionCarattere"/>
          <w:i/>
        </w:rPr>
        <w:t>L1</w:t>
      </w:r>
      <w:r w:rsidR="009A2C5B" w:rsidRPr="009516E9">
        <w:rPr>
          <w:rStyle w:val="CETCaptionCarattere"/>
          <w:i/>
        </w:rPr>
        <w:t xml:space="preserve">, </w:t>
      </w:r>
      <w:r w:rsidR="00F5456E" w:rsidRPr="009516E9">
        <w:rPr>
          <w:rStyle w:val="CETCaptionCarattere"/>
          <w:i/>
        </w:rPr>
        <w:t xml:space="preserve">L2, </w:t>
      </w:r>
      <w:r w:rsidR="009A2C5B" w:rsidRPr="009516E9">
        <w:rPr>
          <w:rStyle w:val="CETCaptionCarattere"/>
          <w:i/>
        </w:rPr>
        <w:t xml:space="preserve">and </w:t>
      </w:r>
      <w:r w:rsidR="00F5456E" w:rsidRPr="009516E9">
        <w:rPr>
          <w:rStyle w:val="CETCaptionCarattere"/>
          <w:i/>
        </w:rPr>
        <w:t>FBR</w:t>
      </w:r>
      <w:r w:rsidR="009A2C5B" w:rsidRPr="009516E9">
        <w:rPr>
          <w:rStyle w:val="CETCaptionCarattere"/>
          <w:i/>
        </w:rPr>
        <w:t>.</w:t>
      </w:r>
    </w:p>
    <w:p w14:paraId="53613D08" w14:textId="439103ED" w:rsidR="00820118" w:rsidRPr="001A1EE2" w:rsidRDefault="003A0296" w:rsidP="00F13745">
      <w:pPr>
        <w:pStyle w:val="CETBodytext"/>
        <w:rPr>
          <w:rStyle w:val="CETCaptionCarattere"/>
          <w:i w:val="0"/>
          <w:highlight w:val="yellow"/>
        </w:rPr>
      </w:pPr>
      <w:r w:rsidRPr="009516E9">
        <w:rPr>
          <w:rStyle w:val="CETCaptionCarattere"/>
          <w:i w:val="0"/>
        </w:rPr>
        <w:t xml:space="preserve">The last step of the methodology involves evaluating the potential and inherent hazard </w:t>
      </w:r>
      <w:r w:rsidR="007606C3" w:rsidRPr="009516E9">
        <w:rPr>
          <w:rStyle w:val="CETCaptionCarattere"/>
          <w:i w:val="0"/>
        </w:rPr>
        <w:t>indices</w:t>
      </w:r>
      <w:r w:rsidR="009414C9" w:rsidRPr="009516E9">
        <w:rPr>
          <w:rStyle w:val="CETCaptionCarattere"/>
          <w:i w:val="0"/>
        </w:rPr>
        <w:t xml:space="preserve">, according to the definition provided in </w:t>
      </w:r>
      <w:r w:rsidR="007A6675" w:rsidRPr="009516E9">
        <w:rPr>
          <w:rStyle w:val="CETCaptionCarattere"/>
          <w:i w:val="0"/>
        </w:rPr>
        <w:t>Section 2</w:t>
      </w:r>
      <w:r w:rsidRPr="009516E9">
        <w:rPr>
          <w:rStyle w:val="CETCaptionCarattere"/>
          <w:i w:val="0"/>
        </w:rPr>
        <w:t xml:space="preserve">. </w:t>
      </w:r>
      <w:r w:rsidR="007C1E56" w:rsidRPr="009516E9">
        <w:rPr>
          <w:rStyle w:val="CETCaptionCarattere"/>
          <w:i w:val="0"/>
        </w:rPr>
        <w:t>As obvious</w:t>
      </w:r>
      <w:r w:rsidRPr="009516E9">
        <w:rPr>
          <w:rStyle w:val="CETCaptionCarattere"/>
          <w:i w:val="0"/>
        </w:rPr>
        <w:t>, the</w:t>
      </w:r>
      <w:r w:rsidR="006C51D3" w:rsidRPr="009516E9">
        <w:rPr>
          <w:rStyle w:val="CETCaptionCarattere"/>
          <w:i w:val="0"/>
        </w:rPr>
        <w:t xml:space="preserve"> estimated</w:t>
      </w:r>
      <w:r w:rsidRPr="009516E9">
        <w:rPr>
          <w:rStyle w:val="CETCaptionCarattere"/>
          <w:i w:val="0"/>
        </w:rPr>
        <w:t xml:space="preserve"> PI for the IDLH is higher than that associated with the LC50, since the IDLH (40,000 ppm) is lower than the LC50 (92,000 ppm).</w:t>
      </w:r>
      <w:r w:rsidR="00027F11" w:rsidRPr="009516E9">
        <w:rPr>
          <w:rStyle w:val="CETCaptionCarattere"/>
          <w:i w:val="0"/>
        </w:rPr>
        <w:t xml:space="preserve"> A </w:t>
      </w:r>
      <w:r w:rsidR="00AC2B82" w:rsidRPr="009516E9">
        <w:rPr>
          <w:rStyle w:val="CETCaptionCarattere"/>
          <w:i w:val="0"/>
        </w:rPr>
        <w:t xml:space="preserve">PI </w:t>
      </w:r>
      <w:r w:rsidR="00027F11" w:rsidRPr="009516E9">
        <w:rPr>
          <w:rStyle w:val="CETCaptionCarattere"/>
          <w:i w:val="0"/>
        </w:rPr>
        <w:t>value of around</w:t>
      </w:r>
      <w:r w:rsidR="00027F11" w:rsidRPr="001A1EE2">
        <w:rPr>
          <w:rStyle w:val="CETCaptionCarattere"/>
          <w:i w:val="0"/>
        </w:rPr>
        <w:t xml:space="preserve"> 10</w:t>
      </w:r>
      <w:r w:rsidR="00027F11" w:rsidRPr="001A1EE2">
        <w:rPr>
          <w:rStyle w:val="CETCaptionCarattere"/>
          <w:i w:val="0"/>
          <w:vertAlign w:val="superscript"/>
        </w:rPr>
        <w:t>5</w:t>
      </w:r>
      <w:r w:rsidR="00027F11" w:rsidRPr="001A1EE2">
        <w:rPr>
          <w:rStyle w:val="CETCaptionCarattere"/>
          <w:i w:val="0"/>
        </w:rPr>
        <w:t xml:space="preserve"> m</w:t>
      </w:r>
      <w:r w:rsidR="00027F11" w:rsidRPr="001A1EE2">
        <w:rPr>
          <w:rStyle w:val="CETCaptionCarattere"/>
          <w:i w:val="0"/>
          <w:vertAlign w:val="superscript"/>
        </w:rPr>
        <w:t>2</w:t>
      </w:r>
      <w:r w:rsidR="00027F11" w:rsidRPr="001A1EE2">
        <w:rPr>
          <w:rStyle w:val="CETCaptionCarattere"/>
          <w:i w:val="0"/>
        </w:rPr>
        <w:t xml:space="preserve"> for the IDLH and </w:t>
      </w:r>
      <w:r w:rsidR="007C1E56" w:rsidRPr="001A1EE2">
        <w:rPr>
          <w:rStyle w:val="CETCaptionCarattere"/>
          <w:i w:val="0"/>
        </w:rPr>
        <w:t>a value of</w:t>
      </w:r>
      <w:r w:rsidR="00027F11" w:rsidRPr="001A1EE2">
        <w:rPr>
          <w:rStyle w:val="CETCaptionCarattere"/>
          <w:i w:val="0"/>
        </w:rPr>
        <w:t xml:space="preserve"> 10</w:t>
      </w:r>
      <w:r w:rsidR="00027F11" w:rsidRPr="001A1EE2">
        <w:rPr>
          <w:rStyle w:val="CETCaptionCarattere"/>
          <w:i w:val="0"/>
          <w:vertAlign w:val="superscript"/>
        </w:rPr>
        <w:t>4</w:t>
      </w:r>
      <w:r w:rsidR="00027F11" w:rsidRPr="001A1EE2">
        <w:rPr>
          <w:rStyle w:val="CETCaptionCarattere"/>
          <w:i w:val="0"/>
        </w:rPr>
        <w:t xml:space="preserve"> m</w:t>
      </w:r>
      <w:r w:rsidR="00027F11" w:rsidRPr="001A1EE2">
        <w:rPr>
          <w:rStyle w:val="CETCaptionCarattere"/>
          <w:i w:val="0"/>
          <w:vertAlign w:val="superscript"/>
        </w:rPr>
        <w:t>2</w:t>
      </w:r>
      <w:r w:rsidR="00027F11" w:rsidRPr="001A1EE2">
        <w:rPr>
          <w:rStyle w:val="CETCaptionCarattere"/>
          <w:i w:val="0"/>
        </w:rPr>
        <w:t xml:space="preserve"> for the LC50 are obtained.</w:t>
      </w:r>
      <w:r w:rsidRPr="001A1EE2">
        <w:rPr>
          <w:rStyle w:val="CETCaptionCarattere"/>
          <w:i w:val="0"/>
        </w:rPr>
        <w:t xml:space="preserve"> The same trend can be identified for HI as well</w:t>
      </w:r>
      <w:r w:rsidR="00820118" w:rsidRPr="001A1EE2">
        <w:rPr>
          <w:rStyle w:val="CETCaptionCarattere"/>
          <w:i w:val="0"/>
        </w:rPr>
        <w:t>, as</w:t>
      </w:r>
      <w:r w:rsidR="00EF3DB7" w:rsidRPr="001A1EE2">
        <w:rPr>
          <w:rStyle w:val="CETCaptionCarattere"/>
          <w:i w:val="0"/>
        </w:rPr>
        <w:t xml:space="preserve"> displayed in Figure </w:t>
      </w:r>
      <w:r w:rsidR="002D4D2C" w:rsidRPr="001A1EE2">
        <w:rPr>
          <w:rStyle w:val="CETCaptionCarattere"/>
          <w:i w:val="0"/>
        </w:rPr>
        <w:t>5</w:t>
      </w:r>
      <w:r w:rsidR="00EF3DB7" w:rsidRPr="001A1EE2">
        <w:rPr>
          <w:rStyle w:val="CETCaptionCarattere"/>
          <w:i w:val="0"/>
        </w:rPr>
        <w:t>.</w:t>
      </w:r>
      <w:r w:rsidR="0078313D" w:rsidRPr="001A1EE2">
        <w:rPr>
          <w:rStyle w:val="CETCaptionCarattere"/>
          <w:i w:val="0"/>
        </w:rPr>
        <w:t xml:space="preserve"> </w:t>
      </w:r>
    </w:p>
    <w:p w14:paraId="6735AF45" w14:textId="1191D7C4" w:rsidR="00EF3DB7" w:rsidRPr="001A1EE2" w:rsidRDefault="00EF3DB7" w:rsidP="00CA3845">
      <w:pPr>
        <w:pStyle w:val="CETBodytext"/>
        <w:rPr>
          <w:rStyle w:val="CETCaptionCarattere"/>
          <w:i w:val="0"/>
          <w:highlight w:val="yellow"/>
        </w:rPr>
      </w:pPr>
    </w:p>
    <w:p w14:paraId="5162F186" w14:textId="242C22D0" w:rsidR="00EF3DB7" w:rsidRPr="001C6D1A" w:rsidRDefault="00291851" w:rsidP="001C6D1A">
      <w:pPr>
        <w:pStyle w:val="CETBodytext"/>
        <w:rPr>
          <w:rStyle w:val="CETCaptionCarattere"/>
          <w:i w:val="0"/>
          <w:lang w:val="en-US"/>
        </w:rPr>
      </w:pPr>
      <w:r w:rsidRPr="001A1EE2">
        <w:rPr>
          <w:rStyle w:val="CETCaptionCarattere"/>
          <w:i w:val="0"/>
          <w:noProof/>
        </w:rPr>
        <w:drawing>
          <wp:inline distT="0" distB="0" distL="0" distR="0" wp14:anchorId="452D1963" wp14:editId="72A8DBA2">
            <wp:extent cx="2874231" cy="2175163"/>
            <wp:effectExtent l="0" t="0" r="254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90612" cy="2187560"/>
                    </a:xfrm>
                    <a:prstGeom prst="rect">
                      <a:avLst/>
                    </a:prstGeom>
                    <a:noFill/>
                    <a:ln>
                      <a:noFill/>
                    </a:ln>
                  </pic:spPr>
                </pic:pic>
              </a:graphicData>
            </a:graphic>
          </wp:inline>
        </w:drawing>
      </w:r>
    </w:p>
    <w:p w14:paraId="230F2AAF" w14:textId="2971A786" w:rsidR="00EF3DB7" w:rsidRPr="009516E9" w:rsidRDefault="00EF3DB7" w:rsidP="00EF3DB7">
      <w:pPr>
        <w:pStyle w:val="CETCaption"/>
        <w:rPr>
          <w:rStyle w:val="CETCaptionCarattere"/>
          <w:i/>
        </w:rPr>
      </w:pPr>
      <w:r w:rsidRPr="001A1EE2">
        <w:rPr>
          <w:rStyle w:val="CETCaptionCarattere"/>
          <w:i/>
        </w:rPr>
        <w:t xml:space="preserve">Figure </w:t>
      </w:r>
      <w:r w:rsidR="002D4D2C" w:rsidRPr="001A1EE2">
        <w:rPr>
          <w:rStyle w:val="CETCaptionCarattere"/>
          <w:i/>
        </w:rPr>
        <w:t>5</w:t>
      </w:r>
      <w:r w:rsidRPr="001A1EE2">
        <w:rPr>
          <w:rStyle w:val="CETCaptionCarattere"/>
          <w:i/>
        </w:rPr>
        <w:t xml:space="preserve">: Inherent safety indicator (HI) calculated </w:t>
      </w:r>
      <w:r w:rsidR="007F60F4" w:rsidRPr="001A1EE2">
        <w:rPr>
          <w:rStyle w:val="CETCaptionCarattere"/>
          <w:i/>
        </w:rPr>
        <w:t xml:space="preserve">in correspondence of </w:t>
      </w:r>
      <w:r w:rsidR="007F60F4" w:rsidRPr="009516E9">
        <w:rPr>
          <w:rStyle w:val="CETCaptionCarattere"/>
          <w:i/>
        </w:rPr>
        <w:t>the</w:t>
      </w:r>
      <w:r w:rsidRPr="009516E9">
        <w:rPr>
          <w:rStyle w:val="CETCaptionCarattere"/>
          <w:i/>
        </w:rPr>
        <w:t xml:space="preserve"> IDLH</w:t>
      </w:r>
      <w:r w:rsidR="00C03A70" w:rsidRPr="009516E9">
        <w:rPr>
          <w:rStyle w:val="CETCaptionCarattere"/>
          <w:i/>
        </w:rPr>
        <w:t xml:space="preserve"> and the</w:t>
      </w:r>
      <w:r w:rsidRPr="009516E9">
        <w:rPr>
          <w:rStyle w:val="CETCaptionCarattere"/>
          <w:i/>
        </w:rPr>
        <w:t xml:space="preserve"> LC50</w:t>
      </w:r>
      <w:r w:rsidR="00415326" w:rsidRPr="009516E9">
        <w:rPr>
          <w:rStyle w:val="CETCaptionCarattere"/>
          <w:i/>
        </w:rPr>
        <w:t>.</w:t>
      </w:r>
    </w:p>
    <w:p w14:paraId="54CB559B" w14:textId="1C848ED7" w:rsidR="00CA3845" w:rsidRPr="001A1EE2" w:rsidRDefault="00BB3DD3" w:rsidP="00CA3845">
      <w:pPr>
        <w:pStyle w:val="CETBodytext"/>
        <w:rPr>
          <w:rStyle w:val="CETCaptionCarattere"/>
          <w:i w:val="0"/>
        </w:rPr>
      </w:pPr>
      <w:r w:rsidRPr="009516E9">
        <w:rPr>
          <w:rStyle w:val="CETCaptionCarattere"/>
          <w:i w:val="0"/>
        </w:rPr>
        <w:t xml:space="preserve">Based </w:t>
      </w:r>
      <w:r w:rsidR="00AE1827" w:rsidRPr="009516E9">
        <w:rPr>
          <w:rStyle w:val="CETCaptionCarattere"/>
          <w:i w:val="0"/>
        </w:rPr>
        <w:t>o</w:t>
      </w:r>
      <w:r w:rsidR="00792FBD" w:rsidRPr="009516E9">
        <w:rPr>
          <w:rStyle w:val="CETCaptionCarattere"/>
          <w:i w:val="0"/>
        </w:rPr>
        <w:t>n the definition</w:t>
      </w:r>
      <w:r w:rsidR="001920C3" w:rsidRPr="009516E9">
        <w:rPr>
          <w:rStyle w:val="CETCaptionCarattere"/>
          <w:i w:val="0"/>
        </w:rPr>
        <w:t xml:space="preserve"> of PI</w:t>
      </w:r>
      <w:r w:rsidR="00792FBD" w:rsidRPr="009516E9">
        <w:rPr>
          <w:rStyle w:val="CETCaptionCarattere"/>
          <w:i w:val="0"/>
        </w:rPr>
        <w:t xml:space="preserve">, </w:t>
      </w:r>
      <w:r w:rsidR="001920C3" w:rsidRPr="009516E9">
        <w:rPr>
          <w:rStyle w:val="CETCaptionCarattere"/>
          <w:i w:val="0"/>
        </w:rPr>
        <w:t>it</w:t>
      </w:r>
      <w:r w:rsidR="00792FBD" w:rsidRPr="009516E9">
        <w:rPr>
          <w:rStyle w:val="CETCaptionCarattere"/>
          <w:i w:val="0"/>
        </w:rPr>
        <w:t xml:space="preserve"> is independent </w:t>
      </w:r>
      <w:r w:rsidR="003A0296" w:rsidRPr="009516E9">
        <w:rPr>
          <w:rStyle w:val="CETCaptionCarattere"/>
          <w:i w:val="0"/>
        </w:rPr>
        <w:t xml:space="preserve">of </w:t>
      </w:r>
      <w:r w:rsidR="00792FBD" w:rsidRPr="009516E9">
        <w:rPr>
          <w:rStyle w:val="CETCaptionCarattere"/>
          <w:i w:val="0"/>
        </w:rPr>
        <w:t>the failure cause</w:t>
      </w:r>
      <w:r w:rsidR="00027F11" w:rsidRPr="009516E9">
        <w:rPr>
          <w:rStyle w:val="CETCaptionCarattere"/>
          <w:i w:val="0"/>
        </w:rPr>
        <w:t xml:space="preserve">. </w:t>
      </w:r>
      <w:r w:rsidR="00D0347E" w:rsidRPr="009516E9">
        <w:rPr>
          <w:rStyle w:val="CETCaptionCarattere"/>
          <w:i w:val="0"/>
        </w:rPr>
        <w:t>Thus, no modification in its value occurs when considering additional failure causes</w:t>
      </w:r>
      <w:r w:rsidR="00F33947" w:rsidRPr="009516E9">
        <w:rPr>
          <w:rStyle w:val="CETCaptionCarattere"/>
          <w:i w:val="0"/>
        </w:rPr>
        <w:t>,</w:t>
      </w:r>
      <w:r w:rsidR="00D0347E" w:rsidRPr="009516E9">
        <w:rPr>
          <w:rStyle w:val="CETCaptionCarattere"/>
          <w:i w:val="0"/>
        </w:rPr>
        <w:t xml:space="preserve"> such as natural events</w:t>
      </w:r>
      <w:r w:rsidR="007939FF" w:rsidRPr="009516E9">
        <w:rPr>
          <w:rStyle w:val="CETCaptionCarattere"/>
          <w:i w:val="0"/>
        </w:rPr>
        <w:t>.</w:t>
      </w:r>
      <w:r w:rsidR="003A0296" w:rsidRPr="009516E9">
        <w:rPr>
          <w:lang w:val="en-GB"/>
        </w:rPr>
        <w:t xml:space="preserve"> </w:t>
      </w:r>
      <w:r w:rsidR="0021040B" w:rsidRPr="009516E9">
        <w:rPr>
          <w:lang w:val="en-GB"/>
        </w:rPr>
        <w:t xml:space="preserve">Meanwhile, HI, </w:t>
      </w:r>
      <w:r w:rsidR="0021040B" w:rsidRPr="009516E9">
        <w:rPr>
          <w:rStyle w:val="CETCaptionCarattere"/>
          <w:i w:val="0"/>
        </w:rPr>
        <w:t>accounting for the occurrence frequency of failure causes</w:t>
      </w:r>
      <w:r w:rsidR="0021040B" w:rsidRPr="009516E9">
        <w:rPr>
          <w:lang w:val="en-GB"/>
        </w:rPr>
        <w:t xml:space="preserve">, is influenced by both </w:t>
      </w:r>
      <w:proofErr w:type="spellStart"/>
      <w:r w:rsidR="0021040B" w:rsidRPr="009516E9">
        <w:rPr>
          <w:lang w:val="en-GB"/>
        </w:rPr>
        <w:t>conventonal</w:t>
      </w:r>
      <w:proofErr w:type="spellEnd"/>
      <w:r w:rsidR="0021040B" w:rsidRPr="009516E9">
        <w:rPr>
          <w:lang w:val="en-GB"/>
        </w:rPr>
        <w:t xml:space="preserve"> and </w:t>
      </w:r>
      <w:proofErr w:type="spellStart"/>
      <w:r w:rsidR="0021040B" w:rsidRPr="009516E9">
        <w:rPr>
          <w:lang w:val="en-GB"/>
        </w:rPr>
        <w:t>Natech</w:t>
      </w:r>
      <w:proofErr w:type="spellEnd"/>
      <w:r w:rsidR="0021040B" w:rsidRPr="009516E9">
        <w:rPr>
          <w:lang w:val="en-GB"/>
        </w:rPr>
        <w:t xml:space="preserve"> contributions, as depicted in Figure </w:t>
      </w:r>
      <w:r w:rsidR="002D4D2C" w:rsidRPr="009516E9">
        <w:rPr>
          <w:lang w:val="en-GB"/>
        </w:rPr>
        <w:t>5</w:t>
      </w:r>
      <w:r w:rsidR="0021040B" w:rsidRPr="009516E9">
        <w:rPr>
          <w:lang w:val="en-GB"/>
        </w:rPr>
        <w:t>.</w:t>
      </w:r>
      <w:r w:rsidR="003A0296" w:rsidRPr="009516E9">
        <w:rPr>
          <w:rStyle w:val="CETCaptionCarattere"/>
          <w:i w:val="0"/>
        </w:rPr>
        <w:t xml:space="preserve"> Natech accidents increase the inherent hazard indexes, with </w:t>
      </w:r>
      <w:r w:rsidR="00DE7F51" w:rsidRPr="009516E9">
        <w:rPr>
          <w:rStyle w:val="CETCaptionCarattere"/>
          <w:i w:val="0"/>
        </w:rPr>
        <w:t>flood events</w:t>
      </w:r>
      <w:r w:rsidR="003A0296" w:rsidRPr="009516E9">
        <w:rPr>
          <w:rStyle w:val="CETCaptionCarattere"/>
          <w:i w:val="0"/>
        </w:rPr>
        <w:t xml:space="preserve"> impacting more than</w:t>
      </w:r>
      <w:r w:rsidR="00E677C1">
        <w:rPr>
          <w:rStyle w:val="CETCaptionCarattere"/>
          <w:i w:val="0"/>
        </w:rPr>
        <w:t xml:space="preserve"> the</w:t>
      </w:r>
      <w:r w:rsidR="003A0296" w:rsidRPr="009516E9">
        <w:rPr>
          <w:rStyle w:val="CETCaptionCarattere"/>
          <w:i w:val="0"/>
        </w:rPr>
        <w:t xml:space="preserve"> </w:t>
      </w:r>
      <w:r w:rsidR="00DE7F51" w:rsidRPr="009516E9">
        <w:rPr>
          <w:rStyle w:val="CETCaptionCarattere"/>
          <w:i w:val="0"/>
        </w:rPr>
        <w:lastRenderedPageBreak/>
        <w:t>seismic activity</w:t>
      </w:r>
      <w:r w:rsidR="003A0296" w:rsidRPr="009516E9">
        <w:rPr>
          <w:rStyle w:val="CETCaptionCarattere"/>
          <w:i w:val="0"/>
        </w:rPr>
        <w:t xml:space="preserve">. For the IDLH damage threshold, Natech accidents </w:t>
      </w:r>
      <w:r w:rsidR="00151006" w:rsidRPr="009516E9">
        <w:rPr>
          <w:rStyle w:val="CETCaptionCarattere"/>
          <w:i w:val="0"/>
        </w:rPr>
        <w:t>raise</w:t>
      </w:r>
      <w:r w:rsidR="003A0296" w:rsidRPr="009516E9">
        <w:rPr>
          <w:rStyle w:val="CETCaptionCarattere"/>
          <w:i w:val="0"/>
        </w:rPr>
        <w:t xml:space="preserve"> the conventional HI by about</w:t>
      </w:r>
      <w:r w:rsidR="003A0296" w:rsidRPr="001A1EE2">
        <w:rPr>
          <w:rStyle w:val="CETCaptionCarattere"/>
          <w:i w:val="0"/>
        </w:rPr>
        <w:t xml:space="preserve"> </w:t>
      </w:r>
      <w:r w:rsidR="008E69E2" w:rsidRPr="001A1EE2">
        <w:rPr>
          <w:rStyle w:val="CETCaptionCarattere"/>
          <w:i w:val="0"/>
        </w:rPr>
        <w:t>three orders of magnitude</w:t>
      </w:r>
      <w:r w:rsidR="003A0296" w:rsidRPr="001A1EE2">
        <w:rPr>
          <w:rStyle w:val="CETCaptionCarattere"/>
          <w:i w:val="0"/>
        </w:rPr>
        <w:t xml:space="preserve">. A </w:t>
      </w:r>
      <w:r w:rsidR="00D0347E" w:rsidRPr="001A1EE2">
        <w:rPr>
          <w:rStyle w:val="CETCaptionCarattere"/>
          <w:i w:val="0"/>
        </w:rPr>
        <w:t xml:space="preserve">not negligible </w:t>
      </w:r>
      <w:r w:rsidR="003A0296" w:rsidRPr="001A1EE2">
        <w:rPr>
          <w:rStyle w:val="CETCaptionCarattere"/>
          <w:i w:val="0"/>
        </w:rPr>
        <w:t xml:space="preserve">increase is also detected for the HI associated with the LC50. In this case, the HI is approximately </w:t>
      </w:r>
      <w:r w:rsidR="004B0238" w:rsidRPr="001A1EE2">
        <w:rPr>
          <w:rStyle w:val="CETCaptionCarattere"/>
          <w:i w:val="0"/>
        </w:rPr>
        <w:t>eight</w:t>
      </w:r>
      <w:r w:rsidR="003A0296" w:rsidRPr="001A1EE2">
        <w:rPr>
          <w:rStyle w:val="CETCaptionCarattere"/>
          <w:i w:val="0"/>
        </w:rPr>
        <w:t xml:space="preserve"> times higher than the conventional one. These findings underscore the importance of considering natural </w:t>
      </w:r>
      <w:r w:rsidR="00F33947" w:rsidRPr="001A1EE2">
        <w:rPr>
          <w:rStyle w:val="CETCaptionCarattere"/>
          <w:i w:val="0"/>
        </w:rPr>
        <w:t xml:space="preserve">hazards </w:t>
      </w:r>
      <w:r w:rsidR="003A0296" w:rsidRPr="001A1EE2">
        <w:rPr>
          <w:rStyle w:val="CETCaptionCarattere"/>
          <w:i w:val="0"/>
        </w:rPr>
        <w:t>as potential causes of equipment failure in a CCS facility.</w:t>
      </w:r>
    </w:p>
    <w:p w14:paraId="68D26B83" w14:textId="65A3B64D" w:rsidR="00600535" w:rsidRPr="001A1EE2" w:rsidRDefault="00600535" w:rsidP="00C0702B">
      <w:pPr>
        <w:pStyle w:val="CETHeading1"/>
        <w:rPr>
          <w:lang w:val="en-GB"/>
        </w:rPr>
      </w:pPr>
      <w:r w:rsidRPr="001A1EE2">
        <w:rPr>
          <w:lang w:val="en-GB"/>
        </w:rPr>
        <w:t>Conclusions</w:t>
      </w:r>
    </w:p>
    <w:p w14:paraId="69DBE490" w14:textId="6D72AD9F" w:rsidR="00170825" w:rsidRPr="001A1EE2" w:rsidRDefault="003054ED" w:rsidP="00600535">
      <w:pPr>
        <w:pStyle w:val="CETBodytext"/>
        <w:rPr>
          <w:lang w:val="en-GB"/>
        </w:rPr>
      </w:pPr>
      <w:r w:rsidRPr="001A1EE2">
        <w:rPr>
          <w:lang w:val="en-GB"/>
        </w:rPr>
        <w:t xml:space="preserve">The current paper </w:t>
      </w:r>
      <w:r w:rsidR="00E80435" w:rsidRPr="001A1EE2">
        <w:rPr>
          <w:lang w:val="en-GB"/>
        </w:rPr>
        <w:t xml:space="preserve">explored </w:t>
      </w:r>
      <w:r w:rsidR="00492EE4" w:rsidRPr="001A1EE2">
        <w:rPr>
          <w:lang w:val="en-GB"/>
        </w:rPr>
        <w:t xml:space="preserve">the impact of natural hazards, specifically </w:t>
      </w:r>
      <w:r w:rsidR="00E80435" w:rsidRPr="001A1EE2">
        <w:rPr>
          <w:lang w:val="en-GB"/>
        </w:rPr>
        <w:t xml:space="preserve">floods </w:t>
      </w:r>
      <w:r w:rsidR="00492EE4" w:rsidRPr="001A1EE2">
        <w:rPr>
          <w:lang w:val="en-GB"/>
        </w:rPr>
        <w:t>and earthquakes, on potential accidents within a generic conditioning unit of a CCS plant. The study</w:t>
      </w:r>
      <w:r w:rsidR="00643056" w:rsidRPr="001A1EE2">
        <w:rPr>
          <w:lang w:val="en-GB"/>
        </w:rPr>
        <w:t xml:space="preserve"> proposed a novel framework to</w:t>
      </w:r>
      <w:r w:rsidR="00492EE4" w:rsidRPr="001A1EE2">
        <w:rPr>
          <w:lang w:val="en-GB"/>
        </w:rPr>
        <w:t xml:space="preserve"> </w:t>
      </w:r>
      <w:r w:rsidR="00E80435" w:rsidRPr="001A1EE2">
        <w:rPr>
          <w:lang w:val="en-GB"/>
        </w:rPr>
        <w:t>identif</w:t>
      </w:r>
      <w:r w:rsidR="00643056" w:rsidRPr="001A1EE2">
        <w:rPr>
          <w:lang w:val="en-GB"/>
        </w:rPr>
        <w:t>y</w:t>
      </w:r>
      <w:r w:rsidR="00E80435" w:rsidRPr="001A1EE2">
        <w:rPr>
          <w:lang w:val="en-GB"/>
        </w:rPr>
        <w:t xml:space="preserve"> </w:t>
      </w:r>
      <w:r w:rsidR="00492EE4" w:rsidRPr="001A1EE2">
        <w:rPr>
          <w:lang w:val="en-GB"/>
        </w:rPr>
        <w:t xml:space="preserve">vulnerable components based on equipment failure frequency and </w:t>
      </w:r>
      <w:r w:rsidR="00E80435" w:rsidRPr="001A1EE2">
        <w:rPr>
          <w:lang w:val="en-GB"/>
        </w:rPr>
        <w:t xml:space="preserve">evaluated </w:t>
      </w:r>
      <w:r w:rsidR="00492EE4" w:rsidRPr="001A1EE2">
        <w:rPr>
          <w:lang w:val="en-GB"/>
        </w:rPr>
        <w:t xml:space="preserve">damage distances associated with distinct reference release modes. </w:t>
      </w:r>
      <w:r w:rsidR="006D4035" w:rsidRPr="001A1EE2">
        <w:rPr>
          <w:lang w:val="en-GB"/>
        </w:rPr>
        <w:t xml:space="preserve">Subsequently, </w:t>
      </w:r>
      <w:r w:rsidR="00ED5F6F" w:rsidRPr="001A1EE2">
        <w:rPr>
          <w:lang w:val="en-GB"/>
        </w:rPr>
        <w:t>inherent</w:t>
      </w:r>
      <w:r w:rsidR="00492EE4" w:rsidRPr="001A1EE2">
        <w:rPr>
          <w:lang w:val="en-GB"/>
        </w:rPr>
        <w:t xml:space="preserve"> safety indic</w:t>
      </w:r>
      <w:r w:rsidR="006B462F" w:rsidRPr="001A1EE2">
        <w:rPr>
          <w:lang w:val="en-GB"/>
        </w:rPr>
        <w:t>es</w:t>
      </w:r>
      <w:r w:rsidR="00492EE4" w:rsidRPr="001A1EE2">
        <w:rPr>
          <w:lang w:val="en-GB"/>
        </w:rPr>
        <w:t xml:space="preserve"> </w:t>
      </w:r>
      <w:r w:rsidR="00E80435" w:rsidRPr="001A1EE2">
        <w:rPr>
          <w:lang w:val="en-GB"/>
        </w:rPr>
        <w:t xml:space="preserve">were </w:t>
      </w:r>
      <w:r w:rsidR="00492EE4" w:rsidRPr="001A1EE2">
        <w:rPr>
          <w:lang w:val="en-GB"/>
        </w:rPr>
        <w:t>calculated to tangibly assess the impact of natural</w:t>
      </w:r>
      <w:r w:rsidR="00E80435" w:rsidRPr="001A1EE2">
        <w:rPr>
          <w:lang w:val="en-GB"/>
        </w:rPr>
        <w:t xml:space="preserve"> </w:t>
      </w:r>
      <w:r w:rsidR="006B462F" w:rsidRPr="001A1EE2">
        <w:rPr>
          <w:lang w:val="en-GB"/>
        </w:rPr>
        <w:t>events</w:t>
      </w:r>
      <w:r w:rsidR="00492EE4" w:rsidRPr="001A1EE2">
        <w:rPr>
          <w:lang w:val="en-GB"/>
        </w:rPr>
        <w:t xml:space="preserve"> on human safety and asset protection. The findings conclusively demonstrate</w:t>
      </w:r>
      <w:r w:rsidR="00E80435" w:rsidRPr="001A1EE2">
        <w:rPr>
          <w:lang w:val="en-GB"/>
        </w:rPr>
        <w:t>d</w:t>
      </w:r>
      <w:r w:rsidR="00492EE4" w:rsidRPr="001A1EE2">
        <w:rPr>
          <w:lang w:val="en-GB"/>
        </w:rPr>
        <w:t xml:space="preserve"> a significant escalation in the probability of CCS </w:t>
      </w:r>
      <w:r w:rsidR="003A19FF" w:rsidRPr="001A1EE2">
        <w:rPr>
          <w:lang w:val="en-GB"/>
        </w:rPr>
        <w:t xml:space="preserve">conditioning </w:t>
      </w:r>
      <w:r w:rsidR="00492EE4" w:rsidRPr="001A1EE2">
        <w:rPr>
          <w:lang w:val="en-GB"/>
        </w:rPr>
        <w:t xml:space="preserve">equipment failure </w:t>
      </w:r>
      <w:r w:rsidR="00E80435" w:rsidRPr="001A1EE2">
        <w:rPr>
          <w:lang w:val="en-GB"/>
        </w:rPr>
        <w:t xml:space="preserve">due to </w:t>
      </w:r>
      <w:r w:rsidR="00492EE4" w:rsidRPr="001A1EE2">
        <w:rPr>
          <w:lang w:val="en-GB"/>
        </w:rPr>
        <w:t xml:space="preserve">natural </w:t>
      </w:r>
      <w:r w:rsidR="00E80435" w:rsidRPr="001A1EE2">
        <w:rPr>
          <w:rStyle w:val="CETCaptionCarattere"/>
          <w:i w:val="0"/>
        </w:rPr>
        <w:t>hazards</w:t>
      </w:r>
      <w:r w:rsidR="00492EE4" w:rsidRPr="001A1EE2">
        <w:rPr>
          <w:lang w:val="en-GB"/>
        </w:rPr>
        <w:t>.</w:t>
      </w:r>
      <w:r w:rsidR="007C53A6" w:rsidRPr="001A1EE2">
        <w:rPr>
          <w:lang w:val="en-GB"/>
        </w:rPr>
        <w:t xml:space="preserve"> Recognizing the risk </w:t>
      </w:r>
      <w:r w:rsidR="007C1E56" w:rsidRPr="001A1EE2">
        <w:rPr>
          <w:lang w:val="en-GB"/>
        </w:rPr>
        <w:t xml:space="preserve">increase </w:t>
      </w:r>
      <w:r w:rsidR="007C53A6" w:rsidRPr="001A1EE2">
        <w:rPr>
          <w:lang w:val="en-GB"/>
        </w:rPr>
        <w:t>introduced by these events is crucial for</w:t>
      </w:r>
      <w:r w:rsidR="007C1E56" w:rsidRPr="001A1EE2">
        <w:rPr>
          <w:lang w:val="en-GB"/>
        </w:rPr>
        <w:t xml:space="preserve"> </w:t>
      </w:r>
      <w:r w:rsidR="007C53A6" w:rsidRPr="001A1EE2">
        <w:rPr>
          <w:lang w:val="en-GB"/>
        </w:rPr>
        <w:t xml:space="preserve">comprehensive risk </w:t>
      </w:r>
      <w:r w:rsidR="00C1760E" w:rsidRPr="001A1EE2">
        <w:rPr>
          <w:lang w:val="en-GB"/>
        </w:rPr>
        <w:t>management</w:t>
      </w:r>
      <w:r w:rsidR="00C1760E" w:rsidRPr="001A1EE2" w:rsidDel="00C1760E">
        <w:rPr>
          <w:lang w:val="en-GB"/>
        </w:rPr>
        <w:t xml:space="preserve"> </w:t>
      </w:r>
      <w:r w:rsidR="007C53A6" w:rsidRPr="001A1EE2">
        <w:rPr>
          <w:lang w:val="en-GB"/>
        </w:rPr>
        <w:t xml:space="preserve">and </w:t>
      </w:r>
      <w:r w:rsidR="00C1760E" w:rsidRPr="001A1EE2">
        <w:rPr>
          <w:lang w:val="en-GB"/>
        </w:rPr>
        <w:t>planning</w:t>
      </w:r>
      <w:r w:rsidR="007C53A6" w:rsidRPr="001A1EE2">
        <w:rPr>
          <w:lang w:val="en-GB"/>
        </w:rPr>
        <w:t>. Integrating considerations of potential Nat</w:t>
      </w:r>
      <w:r w:rsidR="008A7FDE" w:rsidRPr="001A1EE2">
        <w:rPr>
          <w:lang w:val="en-GB"/>
        </w:rPr>
        <w:t>e</w:t>
      </w:r>
      <w:r w:rsidR="007C53A6" w:rsidRPr="001A1EE2">
        <w:rPr>
          <w:lang w:val="en-GB"/>
        </w:rPr>
        <w:t>ch accidents becomes essential to comprehend how the overall risk evolves in the presence of such phenomena, diverging from risks solely associated with internal failures.</w:t>
      </w:r>
      <w:r w:rsidR="00032C9B" w:rsidRPr="001A1EE2">
        <w:rPr>
          <w:lang w:val="en-GB"/>
        </w:rPr>
        <w:t xml:space="preserve"> </w:t>
      </w:r>
      <w:r w:rsidR="00F12724" w:rsidRPr="001A1EE2">
        <w:rPr>
          <w:lang w:val="en-GB"/>
        </w:rPr>
        <w:t>Expanding on this basic framework, f</w:t>
      </w:r>
      <w:r w:rsidR="00032C9B" w:rsidRPr="001A1EE2">
        <w:rPr>
          <w:lang w:val="en-GB"/>
        </w:rPr>
        <w:t xml:space="preserve">uture </w:t>
      </w:r>
      <w:r w:rsidR="00F12724" w:rsidRPr="001A1EE2">
        <w:rPr>
          <w:lang w:val="en-GB"/>
        </w:rPr>
        <w:t>studies may</w:t>
      </w:r>
      <w:r w:rsidR="00AE4F04" w:rsidRPr="001A1EE2">
        <w:rPr>
          <w:lang w:val="en-GB"/>
        </w:rPr>
        <w:t xml:space="preserve"> be </w:t>
      </w:r>
      <w:r w:rsidR="00536830" w:rsidRPr="001A1EE2">
        <w:rPr>
          <w:lang w:val="en-GB"/>
        </w:rPr>
        <w:t>devoted</w:t>
      </w:r>
      <w:r w:rsidR="00AE4F04" w:rsidRPr="001A1EE2">
        <w:rPr>
          <w:lang w:val="en-GB"/>
        </w:rPr>
        <w:t xml:space="preserve"> to </w:t>
      </w:r>
      <w:r w:rsidR="00536830" w:rsidRPr="001A1EE2">
        <w:rPr>
          <w:lang w:val="en-GB"/>
        </w:rPr>
        <w:t>applying</w:t>
      </w:r>
      <w:r w:rsidR="00032C9B" w:rsidRPr="001A1EE2">
        <w:rPr>
          <w:lang w:val="en-GB"/>
        </w:rPr>
        <w:t xml:space="preserve"> the </w:t>
      </w:r>
      <w:r w:rsidR="00E80435" w:rsidRPr="001A1EE2">
        <w:rPr>
          <w:lang w:val="en-GB"/>
        </w:rPr>
        <w:t xml:space="preserve">proposed </w:t>
      </w:r>
      <w:r w:rsidR="00032C9B" w:rsidRPr="001A1EE2">
        <w:rPr>
          <w:lang w:val="en-GB"/>
        </w:rPr>
        <w:t xml:space="preserve">methodology to the other sections of </w:t>
      </w:r>
      <w:r w:rsidR="00AE4F04" w:rsidRPr="001A1EE2">
        <w:rPr>
          <w:lang w:val="en-GB"/>
        </w:rPr>
        <w:t>the CCS value chain</w:t>
      </w:r>
      <w:r w:rsidR="009E6D59" w:rsidRPr="001A1EE2">
        <w:rPr>
          <w:lang w:val="en-GB"/>
        </w:rPr>
        <w:t>, also including natural events not considered</w:t>
      </w:r>
      <w:r w:rsidR="00F12724" w:rsidRPr="001A1EE2">
        <w:rPr>
          <w:lang w:val="en-GB"/>
        </w:rPr>
        <w:t xml:space="preserve"> here</w:t>
      </w:r>
      <w:r w:rsidR="009505C7" w:rsidRPr="001A1EE2">
        <w:rPr>
          <w:lang w:val="en-GB"/>
        </w:rPr>
        <w:t>,</w:t>
      </w:r>
      <w:r w:rsidR="00AE4F04" w:rsidRPr="001A1EE2">
        <w:rPr>
          <w:lang w:val="en-GB"/>
        </w:rPr>
        <w:t xml:space="preserve"> in order to </w:t>
      </w:r>
      <w:r w:rsidR="00F12724" w:rsidRPr="001A1EE2">
        <w:rPr>
          <w:lang w:val="en-GB"/>
        </w:rPr>
        <w:t xml:space="preserve">obtain </w:t>
      </w:r>
      <w:r w:rsidR="00AE4F04" w:rsidRPr="001A1EE2">
        <w:rPr>
          <w:lang w:val="en-GB"/>
        </w:rPr>
        <w:t xml:space="preserve">a </w:t>
      </w:r>
      <w:r w:rsidR="00F12724" w:rsidRPr="001A1EE2">
        <w:rPr>
          <w:lang w:val="en-GB"/>
        </w:rPr>
        <w:t>thorough</w:t>
      </w:r>
      <w:r w:rsidR="00AE4F04" w:rsidRPr="001A1EE2">
        <w:rPr>
          <w:lang w:val="en-GB"/>
        </w:rPr>
        <w:t xml:space="preserve"> </w:t>
      </w:r>
      <w:r w:rsidR="00032C9B" w:rsidRPr="001A1EE2">
        <w:rPr>
          <w:lang w:val="en-GB"/>
        </w:rPr>
        <w:t>over</w:t>
      </w:r>
      <w:r w:rsidR="00AE4F04" w:rsidRPr="001A1EE2">
        <w:rPr>
          <w:lang w:val="en-GB"/>
        </w:rPr>
        <w:t>view of the risk</w:t>
      </w:r>
      <w:r w:rsidR="00F12724" w:rsidRPr="001A1EE2">
        <w:rPr>
          <w:lang w:val="en-GB"/>
        </w:rPr>
        <w:t>s</w:t>
      </w:r>
      <w:r w:rsidR="00AE4F04" w:rsidRPr="001A1EE2">
        <w:rPr>
          <w:lang w:val="en-GB"/>
        </w:rPr>
        <w:t xml:space="preserve"> associated with </w:t>
      </w:r>
      <w:r w:rsidR="00562625" w:rsidRPr="001A1EE2">
        <w:rPr>
          <w:lang w:val="en-GB"/>
        </w:rPr>
        <w:t xml:space="preserve">CCS plants. </w:t>
      </w:r>
      <w:r w:rsidR="005139A0" w:rsidRPr="001A1EE2">
        <w:rPr>
          <w:lang w:val="en-GB"/>
        </w:rPr>
        <w:t>This insight is pivotal for enhancing risk mitigation strategies and ensuring the resilience of CCS systems in the face of diverse challenges.</w:t>
      </w:r>
    </w:p>
    <w:p w14:paraId="428B022A" w14:textId="4662C7BA" w:rsidR="00E65B91" w:rsidRPr="001A1EE2" w:rsidRDefault="00600535" w:rsidP="009F1BB1">
      <w:pPr>
        <w:pStyle w:val="CETReference"/>
      </w:pPr>
      <w:r w:rsidRPr="009516E9">
        <w:t>References</w:t>
      </w:r>
    </w:p>
    <w:p w14:paraId="597DBA8B" w14:textId="17A69700" w:rsidR="002D4D2C" w:rsidRPr="001A1EE2" w:rsidRDefault="002D4D2C" w:rsidP="006F04D1">
      <w:pPr>
        <w:pStyle w:val="CETReferencetext"/>
      </w:pPr>
      <w:r w:rsidRPr="001A1EE2">
        <w:t>Antonioni G., Landucci G., Necci A., Gheorghiu D., Cozzani V., 2015, Quantitative assessment of risk due to NaTech scenarios caused by floods, Reliability Engineering and System Safety, 142, 334-345.</w:t>
      </w:r>
    </w:p>
    <w:p w14:paraId="476A48A7" w14:textId="77777777" w:rsidR="002D4D2C" w:rsidRPr="001A1EE2" w:rsidRDefault="002D4D2C" w:rsidP="006754B5">
      <w:pPr>
        <w:pStyle w:val="CETReferencetext"/>
      </w:pPr>
      <w:r w:rsidRPr="001A1EE2">
        <w:t>Caratozzolo V., Misuri A., Cozzani V., 2022, A generalized equipment vulnerability model for the quantitative risk assessment of horizontal vessels involved in Natech scenarios triggered by floods, Reliability Engineering and System Safety, 223, 108504.</w:t>
      </w:r>
    </w:p>
    <w:p w14:paraId="5372068F" w14:textId="77777777" w:rsidR="002D4D2C" w:rsidRPr="001A1EE2" w:rsidRDefault="002D4D2C" w:rsidP="006754B5">
      <w:pPr>
        <w:pStyle w:val="CETReferencetext"/>
      </w:pPr>
      <w:r w:rsidRPr="001A1EE2">
        <w:t xml:space="preserve">Cozzani V., </w:t>
      </w:r>
      <w:proofErr w:type="spellStart"/>
      <w:r w:rsidRPr="001A1EE2">
        <w:t>Campedel</w:t>
      </w:r>
      <w:proofErr w:type="spellEnd"/>
      <w:r w:rsidRPr="001A1EE2">
        <w:t xml:space="preserve"> M., Renni E., Krausmann E., 2010, Industrial accidents triggered by flood events: Analysis of past accidents, Journal of Hazardous Materials, 175 (1-3), 501-509.</w:t>
      </w:r>
    </w:p>
    <w:p w14:paraId="58727842" w14:textId="77777777" w:rsidR="002D4D2C" w:rsidRPr="001A1EE2" w:rsidRDefault="002D4D2C" w:rsidP="009B68F0">
      <w:pPr>
        <w:pStyle w:val="CETReferencetext"/>
      </w:pPr>
      <w:proofErr w:type="spellStart"/>
      <w:r w:rsidRPr="001A1EE2">
        <w:t>Crivellari</w:t>
      </w:r>
      <w:proofErr w:type="spellEnd"/>
      <w:r w:rsidRPr="001A1EE2">
        <w:t xml:space="preserve"> A., Tugnoli A., Cozzani V., </w:t>
      </w:r>
      <w:proofErr w:type="spellStart"/>
      <w:r w:rsidRPr="001A1EE2">
        <w:t>Macini</w:t>
      </w:r>
      <w:proofErr w:type="spellEnd"/>
      <w:r w:rsidRPr="001A1EE2">
        <w:t xml:space="preserve"> P., 2018, Systematic Methodology for Inherent Safety Indicators Assessment of Early Design Stages of Offshore Oil &amp; Gas Projects, Chemical Engineering Transactions, 67, 691-696.</w:t>
      </w:r>
    </w:p>
    <w:p w14:paraId="3A7C73CA" w14:textId="77777777" w:rsidR="002D4D2C" w:rsidRPr="001A1EE2" w:rsidRDefault="002D4D2C" w:rsidP="00B65E04">
      <w:pPr>
        <w:pStyle w:val="CETReferencetext"/>
      </w:pPr>
      <w:r w:rsidRPr="001A1EE2">
        <w:t>Cruz A.M., Krausmann E., 2013, Vulnerability of the oil and gas sector to climate change and extreme weather events, Climatic Change, 121, 41–53.</w:t>
      </w:r>
    </w:p>
    <w:p w14:paraId="5372D0DE" w14:textId="77777777" w:rsidR="002D4D2C" w:rsidRPr="001A1EE2" w:rsidRDefault="002D4D2C" w:rsidP="00CA4CA0">
      <w:pPr>
        <w:pStyle w:val="CETReferencetext"/>
      </w:pPr>
      <w:r w:rsidRPr="001A1EE2">
        <w:t>DNV, 2023, PHAST 8.4 software.</w:t>
      </w:r>
    </w:p>
    <w:p w14:paraId="76C3AF3C" w14:textId="77777777" w:rsidR="002D4D2C" w:rsidRPr="001A1EE2" w:rsidRDefault="002D4D2C" w:rsidP="00357E4A">
      <w:pPr>
        <w:pStyle w:val="CETReferencetext"/>
      </w:pPr>
      <w:r w:rsidRPr="001A1EE2">
        <w:t>Harper P., Wilday J., Bilio, M., 2011, Assessment of the major hazard potential of carbon dioxide (CO2), 1–28.</w:t>
      </w:r>
    </w:p>
    <w:p w14:paraId="4C2681CA" w14:textId="77777777" w:rsidR="002D4D2C" w:rsidRPr="001A1EE2" w:rsidRDefault="002D4D2C" w:rsidP="002D1C9C">
      <w:pPr>
        <w:pStyle w:val="CETReferencetext"/>
      </w:pPr>
      <w:r w:rsidRPr="001A1EE2">
        <w:t>Intergovernmental Panel on Climate Change (IPCC) [Metz, B., O. Davidson, H. C. de Coninck, M. Loos, and L. A. Meyer (eds.)], 2005, IPCC Special Report on Carbon Dioxide Capture and Storage, Cambridge University Press, Cambridge, United Kingdom and New York, NY, USA.</w:t>
      </w:r>
    </w:p>
    <w:p w14:paraId="7C4DF8EC" w14:textId="77777777" w:rsidR="002D4D2C" w:rsidRPr="001A1EE2" w:rsidRDefault="002D4D2C" w:rsidP="004E440F">
      <w:pPr>
        <w:pStyle w:val="CETReferencetext"/>
      </w:pPr>
      <w:r w:rsidRPr="001A1EE2">
        <w:t>Karagiannakis G., Di Sarno L., Necci A., Krausmann E., 2022, Seismic risk assessment of supporting structures and process piping for accident prevention in chemical facilities, International Journal of Disaster Risk Reduction, 69, 102748.</w:t>
      </w:r>
    </w:p>
    <w:p w14:paraId="56536E11" w14:textId="77777777" w:rsidR="002D4D2C" w:rsidRPr="001A1EE2" w:rsidRDefault="002D4D2C" w:rsidP="001F6D8B">
      <w:pPr>
        <w:pStyle w:val="CETReferencetext"/>
      </w:pPr>
      <w:r w:rsidRPr="001A1EE2">
        <w:t xml:space="preserve">Khakzad N., Van Gelder P., 2018, Vulnerability of industrial plants to flood-induced </w:t>
      </w:r>
      <w:proofErr w:type="spellStart"/>
      <w:r w:rsidRPr="001A1EE2">
        <w:t>natechs</w:t>
      </w:r>
      <w:proofErr w:type="spellEnd"/>
      <w:r w:rsidRPr="001A1EE2">
        <w:t>: A Bayesian network approach, Reliability Engineering and System Safety, 169, 403–411.</w:t>
      </w:r>
    </w:p>
    <w:p w14:paraId="3101F7C8" w14:textId="77777777" w:rsidR="002D4D2C" w:rsidRPr="001A1EE2" w:rsidRDefault="002D4D2C" w:rsidP="00A34B8A">
      <w:pPr>
        <w:pStyle w:val="CETReferencetext"/>
      </w:pPr>
      <w:r w:rsidRPr="001A1EE2">
        <w:t xml:space="preserve">Lanzano G., Salzano E., Santucci de </w:t>
      </w:r>
      <w:proofErr w:type="spellStart"/>
      <w:r w:rsidRPr="001A1EE2">
        <w:t>Magistris</w:t>
      </w:r>
      <w:proofErr w:type="spellEnd"/>
      <w:r w:rsidRPr="001A1EE2">
        <w:t xml:space="preserve"> F., </w:t>
      </w:r>
      <w:proofErr w:type="spellStart"/>
      <w:r w:rsidRPr="001A1EE2">
        <w:t>Fabbrocino</w:t>
      </w:r>
      <w:proofErr w:type="spellEnd"/>
      <w:r w:rsidRPr="001A1EE2">
        <w:t xml:space="preserve"> G., 2014, Seismic vulnerability of gas and liquid buried pipelines, Journal of Loss Prevention in the Process Industries, 28, 72-78.</w:t>
      </w:r>
    </w:p>
    <w:p w14:paraId="338B724C" w14:textId="77777777" w:rsidR="002D4D2C" w:rsidRPr="001A1EE2" w:rsidRDefault="002D4D2C" w:rsidP="00A34B8A">
      <w:pPr>
        <w:pStyle w:val="CETReferencetext"/>
      </w:pPr>
      <w:r w:rsidRPr="001A1EE2">
        <w:t>Misuri A., Antonioni G., Cozzani V., 2020, Quantitative risk assessment of domino effect in Natech scenarios triggered by lightning, Process Safety and Environmental Protection, 64, 104095.</w:t>
      </w:r>
    </w:p>
    <w:p w14:paraId="07ACA1C2" w14:textId="77777777" w:rsidR="002D4D2C" w:rsidRPr="001A1EE2" w:rsidRDefault="002D4D2C" w:rsidP="00A34B8A">
      <w:pPr>
        <w:pStyle w:val="CETReferencetext"/>
      </w:pPr>
      <w:r w:rsidRPr="001A1EE2">
        <w:t>NIOSH, 2007, Pocket Guide for Chemical Hazards.</w:t>
      </w:r>
    </w:p>
    <w:p w14:paraId="04C64248" w14:textId="77777777" w:rsidR="002D4D2C" w:rsidRPr="001A1EE2" w:rsidRDefault="002D4D2C" w:rsidP="00E50EE5">
      <w:pPr>
        <w:pStyle w:val="CETReferencetext"/>
      </w:pPr>
      <w:r w:rsidRPr="001A1EE2">
        <w:t>Ricci F., Casson Moreno V., Cozzani V., 2021, A comprehensive analysis of the occurrence of Natech events in the process industry, Process Safety and Environmental Protection, 147, 703–713.</w:t>
      </w:r>
    </w:p>
    <w:p w14:paraId="44E97D7A" w14:textId="77777777" w:rsidR="002D4D2C" w:rsidRPr="001A1EE2" w:rsidRDefault="002D4D2C" w:rsidP="00C93942">
      <w:pPr>
        <w:pStyle w:val="CETReferencetext"/>
      </w:pPr>
      <w:r w:rsidRPr="001A1EE2">
        <w:t xml:space="preserve">Salzano E., Garcia Agreda A., Di Carluccio A., </w:t>
      </w:r>
      <w:proofErr w:type="spellStart"/>
      <w:r w:rsidRPr="001A1EE2">
        <w:t>Fabbrocino</w:t>
      </w:r>
      <w:proofErr w:type="spellEnd"/>
      <w:r w:rsidRPr="001A1EE2">
        <w:t xml:space="preserve"> G., 2009, Risk assessment and early warning systems for industrial facilities in seismic zones, Reliability Engineering and System Safety, 94, 1577–1584.</w:t>
      </w:r>
    </w:p>
    <w:p w14:paraId="4C7F8970" w14:textId="5D665BD4" w:rsidR="002D4D2C" w:rsidRDefault="002D4D2C" w:rsidP="002D1C9C">
      <w:pPr>
        <w:pStyle w:val="CETReferencetext"/>
      </w:pPr>
      <w:r w:rsidRPr="001A1EE2">
        <w:t>Tamburini F., Bonvicini S., Cozzani V., 202</w:t>
      </w:r>
      <w:r w:rsidR="009B7947" w:rsidRPr="001A1EE2">
        <w:t>4</w:t>
      </w:r>
      <w:r w:rsidRPr="001A1EE2">
        <w:t>,</w:t>
      </w:r>
      <w:r w:rsidR="009B7947" w:rsidRPr="001A1EE2">
        <w:t xml:space="preserve"> Consequences of subsea CO</w:t>
      </w:r>
      <w:r w:rsidR="009B7947" w:rsidRPr="001A1EE2">
        <w:rPr>
          <w:vertAlign w:val="subscript"/>
        </w:rPr>
        <w:t>2</w:t>
      </w:r>
      <w:r w:rsidR="009B7947" w:rsidRPr="001A1EE2">
        <w:t xml:space="preserve"> blowouts in shallow water</w:t>
      </w:r>
      <w:r w:rsidRPr="001A1EE2">
        <w:t>,</w:t>
      </w:r>
      <w:r w:rsidR="009B7947" w:rsidRPr="001A1EE2">
        <w:t xml:space="preserve"> Process Safety and Environmental Protection, 183, 203-216</w:t>
      </w:r>
      <w:r w:rsidRPr="001A1EE2">
        <w:t>.</w:t>
      </w:r>
    </w:p>
    <w:p w14:paraId="53C8588A" w14:textId="77777777" w:rsidR="002D4D2C" w:rsidRPr="001A1EE2" w:rsidRDefault="002D4D2C" w:rsidP="0088742A">
      <w:pPr>
        <w:pStyle w:val="CETReferencetext"/>
      </w:pPr>
      <w:proofErr w:type="spellStart"/>
      <w:r w:rsidRPr="001A1EE2">
        <w:t>Tugnoli</w:t>
      </w:r>
      <w:proofErr w:type="spellEnd"/>
      <w:r w:rsidRPr="001A1EE2">
        <w:t xml:space="preserve"> A., Cozzani V., Landucci G., 2007, A </w:t>
      </w:r>
      <w:proofErr w:type="gramStart"/>
      <w:r w:rsidRPr="001A1EE2">
        <w:t>consequence based</w:t>
      </w:r>
      <w:proofErr w:type="gramEnd"/>
      <w:r w:rsidRPr="001A1EE2">
        <w:t xml:space="preserve"> approach to the quantitative assessment of inherent safety, AIChE Journal, 53, 3171-3182.</w:t>
      </w:r>
    </w:p>
    <w:p w14:paraId="47F99194" w14:textId="77777777" w:rsidR="002D4D2C" w:rsidRPr="009B68F0" w:rsidRDefault="002D4D2C" w:rsidP="007A2D21">
      <w:pPr>
        <w:pStyle w:val="CETReferencetext"/>
      </w:pPr>
      <w:proofErr w:type="spellStart"/>
      <w:r w:rsidRPr="001A1EE2">
        <w:t>Uijt</w:t>
      </w:r>
      <w:proofErr w:type="spellEnd"/>
      <w:r w:rsidRPr="001A1EE2">
        <w:t xml:space="preserve"> de Haag P.A.M., Ale B.J.M., 1999, Guidelines for Quantitative Risk Assessment (Purple Book), Committee for the Prevention of Disasters, The Hague, The Netherlands.</w:t>
      </w:r>
    </w:p>
    <w:sectPr w:rsidR="002D4D2C" w:rsidRPr="009B68F0" w:rsidSect="000E71E1">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1D07E9" w14:textId="77777777" w:rsidR="000E71E1" w:rsidRPr="001A1EE2" w:rsidRDefault="000E71E1" w:rsidP="004F5E36">
      <w:r w:rsidRPr="001A1EE2">
        <w:separator/>
      </w:r>
    </w:p>
  </w:endnote>
  <w:endnote w:type="continuationSeparator" w:id="0">
    <w:p w14:paraId="55109121" w14:textId="77777777" w:rsidR="000E71E1" w:rsidRPr="001A1EE2" w:rsidRDefault="000E71E1" w:rsidP="004F5E36">
      <w:r w:rsidRPr="001A1EE2">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76DD8C" w14:textId="77777777" w:rsidR="000E71E1" w:rsidRPr="001A1EE2" w:rsidRDefault="000E71E1" w:rsidP="004F5E36">
      <w:r w:rsidRPr="001A1EE2">
        <w:separator/>
      </w:r>
    </w:p>
  </w:footnote>
  <w:footnote w:type="continuationSeparator" w:id="0">
    <w:p w14:paraId="78F949A1" w14:textId="77777777" w:rsidR="000E71E1" w:rsidRPr="001A1EE2" w:rsidRDefault="000E71E1" w:rsidP="004F5E36">
      <w:r w:rsidRPr="001A1EE2">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1CAD5CE7"/>
    <w:multiLevelType w:val="hybridMultilevel"/>
    <w:tmpl w:val="B52856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438217E"/>
    <w:multiLevelType w:val="multilevel"/>
    <w:tmpl w:val="9704E3A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1418" w:firstLine="0"/>
      </w:pPr>
      <w:rPr>
        <w:rFonts w:hint="default"/>
      </w:rPr>
    </w:lvl>
    <w:lvl w:ilvl="3">
      <w:start w:val="1"/>
      <w:numFmt w:val="decimal"/>
      <w:pStyle w:val="Tabellasemplic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2"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9"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950622882">
    <w:abstractNumId w:val="11"/>
  </w:num>
  <w:num w:numId="2" w16cid:durableId="1959529786">
    <w:abstractNumId w:val="8"/>
  </w:num>
  <w:num w:numId="3" w16cid:durableId="1096249431">
    <w:abstractNumId w:val="3"/>
  </w:num>
  <w:num w:numId="4" w16cid:durableId="1499660909">
    <w:abstractNumId w:val="2"/>
  </w:num>
  <w:num w:numId="5" w16cid:durableId="476799527">
    <w:abstractNumId w:val="1"/>
  </w:num>
  <w:num w:numId="6" w16cid:durableId="553547410">
    <w:abstractNumId w:val="0"/>
  </w:num>
  <w:num w:numId="7" w16cid:durableId="1176458947">
    <w:abstractNumId w:val="9"/>
  </w:num>
  <w:num w:numId="8" w16cid:durableId="1405951605">
    <w:abstractNumId w:val="7"/>
  </w:num>
  <w:num w:numId="9" w16cid:durableId="1981036120">
    <w:abstractNumId w:val="6"/>
  </w:num>
  <w:num w:numId="10" w16cid:durableId="1170751468">
    <w:abstractNumId w:val="5"/>
  </w:num>
  <w:num w:numId="11" w16cid:durableId="2109302674">
    <w:abstractNumId w:val="4"/>
  </w:num>
  <w:num w:numId="12" w16cid:durableId="1798715046">
    <w:abstractNumId w:val="18"/>
  </w:num>
  <w:num w:numId="13" w16cid:durableId="1808475550">
    <w:abstractNumId w:val="13"/>
  </w:num>
  <w:num w:numId="14" w16cid:durableId="1753965326">
    <w:abstractNumId w:val="19"/>
  </w:num>
  <w:num w:numId="15" w16cid:durableId="168639124">
    <w:abstractNumId w:val="21"/>
  </w:num>
  <w:num w:numId="16" w16cid:durableId="401028465">
    <w:abstractNumId w:val="20"/>
  </w:num>
  <w:num w:numId="17" w16cid:durableId="976836098">
    <w:abstractNumId w:val="12"/>
  </w:num>
  <w:num w:numId="18" w16cid:durableId="1809546358">
    <w:abstractNumId w:val="13"/>
    <w:lvlOverride w:ilvl="0">
      <w:startOverride w:val="1"/>
    </w:lvlOverride>
  </w:num>
  <w:num w:numId="19" w16cid:durableId="1537692677">
    <w:abstractNumId w:val="17"/>
  </w:num>
  <w:num w:numId="20" w16cid:durableId="1757751083">
    <w:abstractNumId w:val="16"/>
  </w:num>
  <w:num w:numId="21" w16cid:durableId="800004446">
    <w:abstractNumId w:val="15"/>
  </w:num>
  <w:num w:numId="22" w16cid:durableId="1860463343">
    <w:abstractNumId w:val="14"/>
  </w:num>
  <w:num w:numId="23" w16cid:durableId="42403266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TI0NzezsDA3M7MwMTJW0lEKTi0uzszPAykwNKkFAG6qifgtAAAA"/>
  </w:docVars>
  <w:rsids>
    <w:rsidRoot w:val="000E414A"/>
    <w:rsid w:val="000027C0"/>
    <w:rsid w:val="0000384D"/>
    <w:rsid w:val="000052FB"/>
    <w:rsid w:val="00006351"/>
    <w:rsid w:val="000104F9"/>
    <w:rsid w:val="000117CB"/>
    <w:rsid w:val="000130EB"/>
    <w:rsid w:val="00013733"/>
    <w:rsid w:val="00017A6B"/>
    <w:rsid w:val="000229AE"/>
    <w:rsid w:val="00023DEC"/>
    <w:rsid w:val="0002489B"/>
    <w:rsid w:val="00024B1E"/>
    <w:rsid w:val="000276F3"/>
    <w:rsid w:val="00027F11"/>
    <w:rsid w:val="000309E9"/>
    <w:rsid w:val="0003148D"/>
    <w:rsid w:val="000314AA"/>
    <w:rsid w:val="00031E68"/>
    <w:rsid w:val="00031EEC"/>
    <w:rsid w:val="00032C9B"/>
    <w:rsid w:val="00034126"/>
    <w:rsid w:val="0003550A"/>
    <w:rsid w:val="0003589E"/>
    <w:rsid w:val="000358A3"/>
    <w:rsid w:val="000366AA"/>
    <w:rsid w:val="00036749"/>
    <w:rsid w:val="00036780"/>
    <w:rsid w:val="000378F9"/>
    <w:rsid w:val="000408CC"/>
    <w:rsid w:val="0004207F"/>
    <w:rsid w:val="00044119"/>
    <w:rsid w:val="00045DC6"/>
    <w:rsid w:val="000510EE"/>
    <w:rsid w:val="00051414"/>
    <w:rsid w:val="00051566"/>
    <w:rsid w:val="00051D5B"/>
    <w:rsid w:val="00051D61"/>
    <w:rsid w:val="00052127"/>
    <w:rsid w:val="00053EF1"/>
    <w:rsid w:val="00056109"/>
    <w:rsid w:val="00057203"/>
    <w:rsid w:val="00060354"/>
    <w:rsid w:val="000607CA"/>
    <w:rsid w:val="0006112B"/>
    <w:rsid w:val="00062A9A"/>
    <w:rsid w:val="00065058"/>
    <w:rsid w:val="00065CEF"/>
    <w:rsid w:val="00066D13"/>
    <w:rsid w:val="00067FBD"/>
    <w:rsid w:val="00070197"/>
    <w:rsid w:val="00070A30"/>
    <w:rsid w:val="0007352C"/>
    <w:rsid w:val="00083E06"/>
    <w:rsid w:val="000854EC"/>
    <w:rsid w:val="0008670A"/>
    <w:rsid w:val="00086C39"/>
    <w:rsid w:val="00087B2E"/>
    <w:rsid w:val="00091F31"/>
    <w:rsid w:val="00092B24"/>
    <w:rsid w:val="00095242"/>
    <w:rsid w:val="000963AD"/>
    <w:rsid w:val="00096E8E"/>
    <w:rsid w:val="00097D54"/>
    <w:rsid w:val="000A03B2"/>
    <w:rsid w:val="000A0F98"/>
    <w:rsid w:val="000A276C"/>
    <w:rsid w:val="000A467A"/>
    <w:rsid w:val="000A5B11"/>
    <w:rsid w:val="000B2A23"/>
    <w:rsid w:val="000B314E"/>
    <w:rsid w:val="000B3970"/>
    <w:rsid w:val="000B3C12"/>
    <w:rsid w:val="000B3F09"/>
    <w:rsid w:val="000B54B2"/>
    <w:rsid w:val="000C2AB9"/>
    <w:rsid w:val="000C5133"/>
    <w:rsid w:val="000C721D"/>
    <w:rsid w:val="000C77F6"/>
    <w:rsid w:val="000D0268"/>
    <w:rsid w:val="000D05F9"/>
    <w:rsid w:val="000D1222"/>
    <w:rsid w:val="000D175B"/>
    <w:rsid w:val="000D1B0F"/>
    <w:rsid w:val="000D3337"/>
    <w:rsid w:val="000D34BE"/>
    <w:rsid w:val="000D3AE2"/>
    <w:rsid w:val="000D3B1F"/>
    <w:rsid w:val="000E03C6"/>
    <w:rsid w:val="000E0DA2"/>
    <w:rsid w:val="000E0FFB"/>
    <w:rsid w:val="000E102F"/>
    <w:rsid w:val="000E1C55"/>
    <w:rsid w:val="000E20E0"/>
    <w:rsid w:val="000E20FB"/>
    <w:rsid w:val="000E36F1"/>
    <w:rsid w:val="000E3A73"/>
    <w:rsid w:val="000E414A"/>
    <w:rsid w:val="000E71E1"/>
    <w:rsid w:val="000F093C"/>
    <w:rsid w:val="000F1D68"/>
    <w:rsid w:val="000F3E5B"/>
    <w:rsid w:val="000F4748"/>
    <w:rsid w:val="000F5D18"/>
    <w:rsid w:val="000F66CA"/>
    <w:rsid w:val="000F6FDC"/>
    <w:rsid w:val="000F787B"/>
    <w:rsid w:val="00103EB7"/>
    <w:rsid w:val="001042E4"/>
    <w:rsid w:val="001055FB"/>
    <w:rsid w:val="00106B28"/>
    <w:rsid w:val="001071DD"/>
    <w:rsid w:val="00115DB1"/>
    <w:rsid w:val="00117D17"/>
    <w:rsid w:val="0012091F"/>
    <w:rsid w:val="00122010"/>
    <w:rsid w:val="00124290"/>
    <w:rsid w:val="00124D0C"/>
    <w:rsid w:val="00125CC5"/>
    <w:rsid w:val="001268A1"/>
    <w:rsid w:val="00126BC2"/>
    <w:rsid w:val="00130510"/>
    <w:rsid w:val="001307EB"/>
    <w:rsid w:val="001308B6"/>
    <w:rsid w:val="00130B2E"/>
    <w:rsid w:val="0013121F"/>
    <w:rsid w:val="00131FE6"/>
    <w:rsid w:val="0013263F"/>
    <w:rsid w:val="001331DF"/>
    <w:rsid w:val="00134DE4"/>
    <w:rsid w:val="001353BD"/>
    <w:rsid w:val="00136CBB"/>
    <w:rsid w:val="001402B1"/>
    <w:rsid w:val="0014034D"/>
    <w:rsid w:val="00144625"/>
    <w:rsid w:val="001447DD"/>
    <w:rsid w:val="00144D16"/>
    <w:rsid w:val="001458CD"/>
    <w:rsid w:val="00145933"/>
    <w:rsid w:val="001471D4"/>
    <w:rsid w:val="00147E6A"/>
    <w:rsid w:val="00150E59"/>
    <w:rsid w:val="00151006"/>
    <w:rsid w:val="00151D74"/>
    <w:rsid w:val="00152DE3"/>
    <w:rsid w:val="001536AC"/>
    <w:rsid w:val="00154082"/>
    <w:rsid w:val="00154319"/>
    <w:rsid w:val="0015476D"/>
    <w:rsid w:val="001572B3"/>
    <w:rsid w:val="0016011B"/>
    <w:rsid w:val="00163F17"/>
    <w:rsid w:val="001644A6"/>
    <w:rsid w:val="00164CF9"/>
    <w:rsid w:val="001666B9"/>
    <w:rsid w:val="001667A6"/>
    <w:rsid w:val="00167015"/>
    <w:rsid w:val="00167E45"/>
    <w:rsid w:val="00170825"/>
    <w:rsid w:val="001722EC"/>
    <w:rsid w:val="001740C8"/>
    <w:rsid w:val="001743A1"/>
    <w:rsid w:val="00174BAB"/>
    <w:rsid w:val="00175566"/>
    <w:rsid w:val="00177A77"/>
    <w:rsid w:val="00180771"/>
    <w:rsid w:val="0018197B"/>
    <w:rsid w:val="00183290"/>
    <w:rsid w:val="00183E27"/>
    <w:rsid w:val="001849CE"/>
    <w:rsid w:val="00184AD6"/>
    <w:rsid w:val="001865C0"/>
    <w:rsid w:val="00191552"/>
    <w:rsid w:val="00191848"/>
    <w:rsid w:val="001920C3"/>
    <w:rsid w:val="00193847"/>
    <w:rsid w:val="0019498D"/>
    <w:rsid w:val="00196A08"/>
    <w:rsid w:val="001A172B"/>
    <w:rsid w:val="001A1EE2"/>
    <w:rsid w:val="001A2D4F"/>
    <w:rsid w:val="001A4AF7"/>
    <w:rsid w:val="001A5F36"/>
    <w:rsid w:val="001A6FF5"/>
    <w:rsid w:val="001B0349"/>
    <w:rsid w:val="001B0EBE"/>
    <w:rsid w:val="001B0FC4"/>
    <w:rsid w:val="001B1E93"/>
    <w:rsid w:val="001B24C3"/>
    <w:rsid w:val="001B2AD4"/>
    <w:rsid w:val="001B3607"/>
    <w:rsid w:val="001B3BD8"/>
    <w:rsid w:val="001B40EB"/>
    <w:rsid w:val="001B42A8"/>
    <w:rsid w:val="001B4623"/>
    <w:rsid w:val="001B5DFB"/>
    <w:rsid w:val="001B65C1"/>
    <w:rsid w:val="001B686B"/>
    <w:rsid w:val="001B6EA1"/>
    <w:rsid w:val="001C124A"/>
    <w:rsid w:val="001C3B25"/>
    <w:rsid w:val="001C4B60"/>
    <w:rsid w:val="001C4F84"/>
    <w:rsid w:val="001C550F"/>
    <w:rsid w:val="001C684B"/>
    <w:rsid w:val="001C6D1A"/>
    <w:rsid w:val="001D0CFB"/>
    <w:rsid w:val="001D1C70"/>
    <w:rsid w:val="001D4539"/>
    <w:rsid w:val="001D53FC"/>
    <w:rsid w:val="001D7434"/>
    <w:rsid w:val="001D7451"/>
    <w:rsid w:val="001E03C5"/>
    <w:rsid w:val="001E27D3"/>
    <w:rsid w:val="001E4674"/>
    <w:rsid w:val="001E5F97"/>
    <w:rsid w:val="001E6402"/>
    <w:rsid w:val="001E75BB"/>
    <w:rsid w:val="001E76BF"/>
    <w:rsid w:val="001E7E40"/>
    <w:rsid w:val="001E7F61"/>
    <w:rsid w:val="001F0A7E"/>
    <w:rsid w:val="001F1752"/>
    <w:rsid w:val="001F42A5"/>
    <w:rsid w:val="001F6D8B"/>
    <w:rsid w:val="001F704C"/>
    <w:rsid w:val="001F7A0F"/>
    <w:rsid w:val="001F7B9D"/>
    <w:rsid w:val="0020000B"/>
    <w:rsid w:val="00201C93"/>
    <w:rsid w:val="00201F87"/>
    <w:rsid w:val="00204E2F"/>
    <w:rsid w:val="002061A0"/>
    <w:rsid w:val="0021040B"/>
    <w:rsid w:val="00210AB7"/>
    <w:rsid w:val="00213B19"/>
    <w:rsid w:val="002142E1"/>
    <w:rsid w:val="002208B0"/>
    <w:rsid w:val="00220DD3"/>
    <w:rsid w:val="00221BF4"/>
    <w:rsid w:val="002224B4"/>
    <w:rsid w:val="00223B2F"/>
    <w:rsid w:val="002240D6"/>
    <w:rsid w:val="00224AD8"/>
    <w:rsid w:val="00224CCC"/>
    <w:rsid w:val="00236706"/>
    <w:rsid w:val="00240827"/>
    <w:rsid w:val="00240863"/>
    <w:rsid w:val="002447EF"/>
    <w:rsid w:val="00245EE8"/>
    <w:rsid w:val="002461EB"/>
    <w:rsid w:val="00251550"/>
    <w:rsid w:val="00251F46"/>
    <w:rsid w:val="002537B1"/>
    <w:rsid w:val="00255181"/>
    <w:rsid w:val="0026385A"/>
    <w:rsid w:val="00263B05"/>
    <w:rsid w:val="00266202"/>
    <w:rsid w:val="00270431"/>
    <w:rsid w:val="002712A5"/>
    <w:rsid w:val="0027221A"/>
    <w:rsid w:val="00275896"/>
    <w:rsid w:val="00275A5D"/>
    <w:rsid w:val="00275B61"/>
    <w:rsid w:val="00275E03"/>
    <w:rsid w:val="00275F37"/>
    <w:rsid w:val="002776CE"/>
    <w:rsid w:val="0028039F"/>
    <w:rsid w:val="00280FAF"/>
    <w:rsid w:val="00281049"/>
    <w:rsid w:val="00282656"/>
    <w:rsid w:val="00286802"/>
    <w:rsid w:val="00290CDB"/>
    <w:rsid w:val="00291851"/>
    <w:rsid w:val="00291946"/>
    <w:rsid w:val="002955F1"/>
    <w:rsid w:val="00295FB7"/>
    <w:rsid w:val="00296B83"/>
    <w:rsid w:val="002A2573"/>
    <w:rsid w:val="002A528B"/>
    <w:rsid w:val="002A7798"/>
    <w:rsid w:val="002B0D0D"/>
    <w:rsid w:val="002B2BB4"/>
    <w:rsid w:val="002B35E5"/>
    <w:rsid w:val="002B4015"/>
    <w:rsid w:val="002B4CCF"/>
    <w:rsid w:val="002B78CE"/>
    <w:rsid w:val="002C0217"/>
    <w:rsid w:val="002C1474"/>
    <w:rsid w:val="002C2FB6"/>
    <w:rsid w:val="002C3EB4"/>
    <w:rsid w:val="002C4AC2"/>
    <w:rsid w:val="002C5A29"/>
    <w:rsid w:val="002C5CD6"/>
    <w:rsid w:val="002C6281"/>
    <w:rsid w:val="002C658E"/>
    <w:rsid w:val="002C73A2"/>
    <w:rsid w:val="002C776A"/>
    <w:rsid w:val="002D0CE6"/>
    <w:rsid w:val="002D1658"/>
    <w:rsid w:val="002D1A4F"/>
    <w:rsid w:val="002D1C9C"/>
    <w:rsid w:val="002D4D2C"/>
    <w:rsid w:val="002D54F6"/>
    <w:rsid w:val="002D762A"/>
    <w:rsid w:val="002E192B"/>
    <w:rsid w:val="002E1F77"/>
    <w:rsid w:val="002E37BF"/>
    <w:rsid w:val="002E5FA7"/>
    <w:rsid w:val="002F1976"/>
    <w:rsid w:val="002F3309"/>
    <w:rsid w:val="002F5BB7"/>
    <w:rsid w:val="002F78E8"/>
    <w:rsid w:val="003008CE"/>
    <w:rsid w:val="003009B7"/>
    <w:rsid w:val="00300E56"/>
    <w:rsid w:val="003012E1"/>
    <w:rsid w:val="003037BB"/>
    <w:rsid w:val="0030449B"/>
    <w:rsid w:val="0030469C"/>
    <w:rsid w:val="003054ED"/>
    <w:rsid w:val="003059AE"/>
    <w:rsid w:val="003071CA"/>
    <w:rsid w:val="0031153C"/>
    <w:rsid w:val="00311E2C"/>
    <w:rsid w:val="0031642E"/>
    <w:rsid w:val="003203F8"/>
    <w:rsid w:val="00320BEE"/>
    <w:rsid w:val="00321CA6"/>
    <w:rsid w:val="00323763"/>
    <w:rsid w:val="003245FE"/>
    <w:rsid w:val="00326D0C"/>
    <w:rsid w:val="0033088F"/>
    <w:rsid w:val="00330E72"/>
    <w:rsid w:val="00333DD4"/>
    <w:rsid w:val="00334515"/>
    <w:rsid w:val="00334C09"/>
    <w:rsid w:val="003429C4"/>
    <w:rsid w:val="0034443C"/>
    <w:rsid w:val="00345AE2"/>
    <w:rsid w:val="0035066F"/>
    <w:rsid w:val="00351B11"/>
    <w:rsid w:val="00351BB7"/>
    <w:rsid w:val="00351DCA"/>
    <w:rsid w:val="00352603"/>
    <w:rsid w:val="003539C5"/>
    <w:rsid w:val="003565D1"/>
    <w:rsid w:val="00357E4A"/>
    <w:rsid w:val="00360F9B"/>
    <w:rsid w:val="0036289C"/>
    <w:rsid w:val="003633DF"/>
    <w:rsid w:val="003633F3"/>
    <w:rsid w:val="003656C8"/>
    <w:rsid w:val="00365D2A"/>
    <w:rsid w:val="00365DF7"/>
    <w:rsid w:val="00366274"/>
    <w:rsid w:val="00367362"/>
    <w:rsid w:val="0037089D"/>
    <w:rsid w:val="003718DA"/>
    <w:rsid w:val="003723D4"/>
    <w:rsid w:val="00375C11"/>
    <w:rsid w:val="00377B02"/>
    <w:rsid w:val="0038027E"/>
    <w:rsid w:val="00380C9A"/>
    <w:rsid w:val="00381905"/>
    <w:rsid w:val="00384CC8"/>
    <w:rsid w:val="003858EE"/>
    <w:rsid w:val="003867E5"/>
    <w:rsid w:val="003871FD"/>
    <w:rsid w:val="00393E21"/>
    <w:rsid w:val="00394345"/>
    <w:rsid w:val="003948BD"/>
    <w:rsid w:val="003968AD"/>
    <w:rsid w:val="003971AF"/>
    <w:rsid w:val="003A0296"/>
    <w:rsid w:val="003A14E6"/>
    <w:rsid w:val="003A19FF"/>
    <w:rsid w:val="003A1E30"/>
    <w:rsid w:val="003A2829"/>
    <w:rsid w:val="003A2A46"/>
    <w:rsid w:val="003A5791"/>
    <w:rsid w:val="003A621E"/>
    <w:rsid w:val="003A7D1C"/>
    <w:rsid w:val="003B02A0"/>
    <w:rsid w:val="003B17C9"/>
    <w:rsid w:val="003B2DE1"/>
    <w:rsid w:val="003B304B"/>
    <w:rsid w:val="003B3146"/>
    <w:rsid w:val="003B3181"/>
    <w:rsid w:val="003B634F"/>
    <w:rsid w:val="003B6A68"/>
    <w:rsid w:val="003C27D4"/>
    <w:rsid w:val="003C53BC"/>
    <w:rsid w:val="003C6645"/>
    <w:rsid w:val="003D39A7"/>
    <w:rsid w:val="003D7CBD"/>
    <w:rsid w:val="003E13E6"/>
    <w:rsid w:val="003E1E6F"/>
    <w:rsid w:val="003E63B1"/>
    <w:rsid w:val="003E663F"/>
    <w:rsid w:val="003E66FA"/>
    <w:rsid w:val="003E6C7A"/>
    <w:rsid w:val="003F015E"/>
    <w:rsid w:val="003F10F2"/>
    <w:rsid w:val="003F253F"/>
    <w:rsid w:val="003F32F5"/>
    <w:rsid w:val="003F35E9"/>
    <w:rsid w:val="003F3D95"/>
    <w:rsid w:val="00400414"/>
    <w:rsid w:val="00400A8C"/>
    <w:rsid w:val="00403218"/>
    <w:rsid w:val="004043AE"/>
    <w:rsid w:val="0040496C"/>
    <w:rsid w:val="00405233"/>
    <w:rsid w:val="004054A3"/>
    <w:rsid w:val="00407257"/>
    <w:rsid w:val="004118CE"/>
    <w:rsid w:val="00412AED"/>
    <w:rsid w:val="00413140"/>
    <w:rsid w:val="004138D6"/>
    <w:rsid w:val="0041446B"/>
    <w:rsid w:val="00415326"/>
    <w:rsid w:val="00417D75"/>
    <w:rsid w:val="0042084E"/>
    <w:rsid w:val="00420FED"/>
    <w:rsid w:val="00421B69"/>
    <w:rsid w:val="00422943"/>
    <w:rsid w:val="00422A37"/>
    <w:rsid w:val="00422AAD"/>
    <w:rsid w:val="00422F6F"/>
    <w:rsid w:val="00424345"/>
    <w:rsid w:val="00424FFF"/>
    <w:rsid w:val="00425B37"/>
    <w:rsid w:val="00426314"/>
    <w:rsid w:val="0043084D"/>
    <w:rsid w:val="00432B80"/>
    <w:rsid w:val="00435109"/>
    <w:rsid w:val="004373F2"/>
    <w:rsid w:val="00437A97"/>
    <w:rsid w:val="004420E7"/>
    <w:rsid w:val="0044329C"/>
    <w:rsid w:val="00447290"/>
    <w:rsid w:val="00451673"/>
    <w:rsid w:val="00451787"/>
    <w:rsid w:val="00452FEC"/>
    <w:rsid w:val="00453E24"/>
    <w:rsid w:val="00457456"/>
    <w:rsid w:val="004577FE"/>
    <w:rsid w:val="00457A29"/>
    <w:rsid w:val="00457B9C"/>
    <w:rsid w:val="0046164A"/>
    <w:rsid w:val="004628D2"/>
    <w:rsid w:val="00462DCD"/>
    <w:rsid w:val="00462E63"/>
    <w:rsid w:val="004632F4"/>
    <w:rsid w:val="00463CBE"/>
    <w:rsid w:val="004648AD"/>
    <w:rsid w:val="004671FF"/>
    <w:rsid w:val="004703A9"/>
    <w:rsid w:val="004725E9"/>
    <w:rsid w:val="004728C1"/>
    <w:rsid w:val="004757DC"/>
    <w:rsid w:val="00475E9C"/>
    <w:rsid w:val="00475EA3"/>
    <w:rsid w:val="004760DE"/>
    <w:rsid w:val="004763D7"/>
    <w:rsid w:val="00477AB4"/>
    <w:rsid w:val="00480A12"/>
    <w:rsid w:val="004843AD"/>
    <w:rsid w:val="00486912"/>
    <w:rsid w:val="0048700B"/>
    <w:rsid w:val="004873C5"/>
    <w:rsid w:val="00491509"/>
    <w:rsid w:val="00492EE4"/>
    <w:rsid w:val="00493DEF"/>
    <w:rsid w:val="00494138"/>
    <w:rsid w:val="004A004E"/>
    <w:rsid w:val="004A24CF"/>
    <w:rsid w:val="004A4CD9"/>
    <w:rsid w:val="004A6B16"/>
    <w:rsid w:val="004A6DC8"/>
    <w:rsid w:val="004A760F"/>
    <w:rsid w:val="004A77F0"/>
    <w:rsid w:val="004A7A6B"/>
    <w:rsid w:val="004B0238"/>
    <w:rsid w:val="004B07EA"/>
    <w:rsid w:val="004B17C6"/>
    <w:rsid w:val="004B3234"/>
    <w:rsid w:val="004B4858"/>
    <w:rsid w:val="004B71B0"/>
    <w:rsid w:val="004C0E60"/>
    <w:rsid w:val="004C1E74"/>
    <w:rsid w:val="004C1F17"/>
    <w:rsid w:val="004C3C20"/>
    <w:rsid w:val="004C3D1D"/>
    <w:rsid w:val="004C3E4E"/>
    <w:rsid w:val="004C552A"/>
    <w:rsid w:val="004C5848"/>
    <w:rsid w:val="004C6C25"/>
    <w:rsid w:val="004C7913"/>
    <w:rsid w:val="004D12F5"/>
    <w:rsid w:val="004D2C8E"/>
    <w:rsid w:val="004D389F"/>
    <w:rsid w:val="004D3971"/>
    <w:rsid w:val="004D3BBB"/>
    <w:rsid w:val="004D7EAA"/>
    <w:rsid w:val="004E0729"/>
    <w:rsid w:val="004E166C"/>
    <w:rsid w:val="004E1832"/>
    <w:rsid w:val="004E2356"/>
    <w:rsid w:val="004E440F"/>
    <w:rsid w:val="004E4DD6"/>
    <w:rsid w:val="004E67D4"/>
    <w:rsid w:val="004F0FEF"/>
    <w:rsid w:val="004F12F5"/>
    <w:rsid w:val="004F3DAA"/>
    <w:rsid w:val="004F4F1F"/>
    <w:rsid w:val="004F5E36"/>
    <w:rsid w:val="004F5F24"/>
    <w:rsid w:val="004F6FFF"/>
    <w:rsid w:val="00501326"/>
    <w:rsid w:val="00505079"/>
    <w:rsid w:val="00506263"/>
    <w:rsid w:val="00506E0F"/>
    <w:rsid w:val="00507A6E"/>
    <w:rsid w:val="00507B47"/>
    <w:rsid w:val="00507BEF"/>
    <w:rsid w:val="00507CC9"/>
    <w:rsid w:val="005104A1"/>
    <w:rsid w:val="005119A5"/>
    <w:rsid w:val="005128AD"/>
    <w:rsid w:val="005139A0"/>
    <w:rsid w:val="00514053"/>
    <w:rsid w:val="00517B7A"/>
    <w:rsid w:val="00521053"/>
    <w:rsid w:val="00525659"/>
    <w:rsid w:val="0052623A"/>
    <w:rsid w:val="00526664"/>
    <w:rsid w:val="005278B7"/>
    <w:rsid w:val="00530278"/>
    <w:rsid w:val="00531F11"/>
    <w:rsid w:val="00532016"/>
    <w:rsid w:val="00532AE0"/>
    <w:rsid w:val="00532B1E"/>
    <w:rsid w:val="005346C8"/>
    <w:rsid w:val="00535033"/>
    <w:rsid w:val="005355BA"/>
    <w:rsid w:val="00536830"/>
    <w:rsid w:val="005374B3"/>
    <w:rsid w:val="0054013C"/>
    <w:rsid w:val="0054159B"/>
    <w:rsid w:val="00541F55"/>
    <w:rsid w:val="00543E7D"/>
    <w:rsid w:val="0054498D"/>
    <w:rsid w:val="0054503D"/>
    <w:rsid w:val="005467BA"/>
    <w:rsid w:val="00546C2F"/>
    <w:rsid w:val="00547A68"/>
    <w:rsid w:val="005506B5"/>
    <w:rsid w:val="005531C9"/>
    <w:rsid w:val="005537B4"/>
    <w:rsid w:val="005563C5"/>
    <w:rsid w:val="00556B73"/>
    <w:rsid w:val="00562625"/>
    <w:rsid w:val="00564EFF"/>
    <w:rsid w:val="00565402"/>
    <w:rsid w:val="00570C41"/>
    <w:rsid w:val="00570C43"/>
    <w:rsid w:val="00570CDD"/>
    <w:rsid w:val="00570DD1"/>
    <w:rsid w:val="005715EC"/>
    <w:rsid w:val="005735C1"/>
    <w:rsid w:val="00573603"/>
    <w:rsid w:val="0057570B"/>
    <w:rsid w:val="0057694E"/>
    <w:rsid w:val="00585D7D"/>
    <w:rsid w:val="005869CE"/>
    <w:rsid w:val="00591317"/>
    <w:rsid w:val="00591609"/>
    <w:rsid w:val="00597255"/>
    <w:rsid w:val="005973F7"/>
    <w:rsid w:val="00597F7B"/>
    <w:rsid w:val="005A3FAF"/>
    <w:rsid w:val="005A728C"/>
    <w:rsid w:val="005B1507"/>
    <w:rsid w:val="005B2110"/>
    <w:rsid w:val="005B2710"/>
    <w:rsid w:val="005B2C49"/>
    <w:rsid w:val="005B456A"/>
    <w:rsid w:val="005B61E6"/>
    <w:rsid w:val="005C1F32"/>
    <w:rsid w:val="005C368E"/>
    <w:rsid w:val="005C6813"/>
    <w:rsid w:val="005C77E1"/>
    <w:rsid w:val="005D06E8"/>
    <w:rsid w:val="005D1F36"/>
    <w:rsid w:val="005D20C5"/>
    <w:rsid w:val="005D2179"/>
    <w:rsid w:val="005D292E"/>
    <w:rsid w:val="005D3C2D"/>
    <w:rsid w:val="005D503A"/>
    <w:rsid w:val="005D5A8C"/>
    <w:rsid w:val="005D65DC"/>
    <w:rsid w:val="005D668A"/>
    <w:rsid w:val="005D6A2F"/>
    <w:rsid w:val="005D7E44"/>
    <w:rsid w:val="005E1A82"/>
    <w:rsid w:val="005E415B"/>
    <w:rsid w:val="005E7764"/>
    <w:rsid w:val="005E794C"/>
    <w:rsid w:val="005E7973"/>
    <w:rsid w:val="005E7CD7"/>
    <w:rsid w:val="005F07FA"/>
    <w:rsid w:val="005F0A28"/>
    <w:rsid w:val="005F0E5E"/>
    <w:rsid w:val="005F4661"/>
    <w:rsid w:val="005F4720"/>
    <w:rsid w:val="005F4BF5"/>
    <w:rsid w:val="005F5257"/>
    <w:rsid w:val="005F5C07"/>
    <w:rsid w:val="005F6F81"/>
    <w:rsid w:val="0060018E"/>
    <w:rsid w:val="00600535"/>
    <w:rsid w:val="006008F7"/>
    <w:rsid w:val="00600A90"/>
    <w:rsid w:val="00603C60"/>
    <w:rsid w:val="0060416E"/>
    <w:rsid w:val="00610CD6"/>
    <w:rsid w:val="006133A5"/>
    <w:rsid w:val="00620DEE"/>
    <w:rsid w:val="00621170"/>
    <w:rsid w:val="00621F92"/>
    <w:rsid w:val="0062280A"/>
    <w:rsid w:val="0062410B"/>
    <w:rsid w:val="00625639"/>
    <w:rsid w:val="00626B49"/>
    <w:rsid w:val="006310AF"/>
    <w:rsid w:val="00631B33"/>
    <w:rsid w:val="00631EA6"/>
    <w:rsid w:val="00632DD4"/>
    <w:rsid w:val="0063591F"/>
    <w:rsid w:val="006363AC"/>
    <w:rsid w:val="0063647A"/>
    <w:rsid w:val="0064184D"/>
    <w:rsid w:val="006422CC"/>
    <w:rsid w:val="00643056"/>
    <w:rsid w:val="00644D46"/>
    <w:rsid w:val="006509EB"/>
    <w:rsid w:val="00650C6A"/>
    <w:rsid w:val="0065238E"/>
    <w:rsid w:val="00654C4E"/>
    <w:rsid w:val="0065509A"/>
    <w:rsid w:val="00655A2B"/>
    <w:rsid w:val="00660E3E"/>
    <w:rsid w:val="00662E74"/>
    <w:rsid w:val="006642FC"/>
    <w:rsid w:val="00665323"/>
    <w:rsid w:val="00670856"/>
    <w:rsid w:val="00670EDD"/>
    <w:rsid w:val="00673189"/>
    <w:rsid w:val="006735C2"/>
    <w:rsid w:val="006749EF"/>
    <w:rsid w:val="00674A86"/>
    <w:rsid w:val="006754B5"/>
    <w:rsid w:val="00675A02"/>
    <w:rsid w:val="00675A53"/>
    <w:rsid w:val="00680C23"/>
    <w:rsid w:val="006813E8"/>
    <w:rsid w:val="00683DAD"/>
    <w:rsid w:val="00690376"/>
    <w:rsid w:val="00690CA2"/>
    <w:rsid w:val="00693766"/>
    <w:rsid w:val="00695927"/>
    <w:rsid w:val="006A0544"/>
    <w:rsid w:val="006A165D"/>
    <w:rsid w:val="006A1C61"/>
    <w:rsid w:val="006A1DAE"/>
    <w:rsid w:val="006A3281"/>
    <w:rsid w:val="006A36ED"/>
    <w:rsid w:val="006A6C41"/>
    <w:rsid w:val="006A6E2E"/>
    <w:rsid w:val="006B0467"/>
    <w:rsid w:val="006B1718"/>
    <w:rsid w:val="006B183E"/>
    <w:rsid w:val="006B280E"/>
    <w:rsid w:val="006B462F"/>
    <w:rsid w:val="006B4842"/>
    <w:rsid w:val="006B4888"/>
    <w:rsid w:val="006B4D51"/>
    <w:rsid w:val="006B5C77"/>
    <w:rsid w:val="006B6E17"/>
    <w:rsid w:val="006B78AE"/>
    <w:rsid w:val="006C10FA"/>
    <w:rsid w:val="006C1A22"/>
    <w:rsid w:val="006C1DB8"/>
    <w:rsid w:val="006C2E45"/>
    <w:rsid w:val="006C359C"/>
    <w:rsid w:val="006C4FDD"/>
    <w:rsid w:val="006C51D3"/>
    <w:rsid w:val="006C5579"/>
    <w:rsid w:val="006C6CAA"/>
    <w:rsid w:val="006C6EE1"/>
    <w:rsid w:val="006D0191"/>
    <w:rsid w:val="006D1386"/>
    <w:rsid w:val="006D1433"/>
    <w:rsid w:val="006D2D36"/>
    <w:rsid w:val="006D4035"/>
    <w:rsid w:val="006D6D79"/>
    <w:rsid w:val="006D6E8B"/>
    <w:rsid w:val="006D71E3"/>
    <w:rsid w:val="006E015F"/>
    <w:rsid w:val="006E095C"/>
    <w:rsid w:val="006E0DE5"/>
    <w:rsid w:val="006E1176"/>
    <w:rsid w:val="006E2688"/>
    <w:rsid w:val="006E37E3"/>
    <w:rsid w:val="006E3F8D"/>
    <w:rsid w:val="006E737D"/>
    <w:rsid w:val="006F04D1"/>
    <w:rsid w:val="006F15F6"/>
    <w:rsid w:val="006F2771"/>
    <w:rsid w:val="006F2AA6"/>
    <w:rsid w:val="006F2D5D"/>
    <w:rsid w:val="007002AD"/>
    <w:rsid w:val="00701335"/>
    <w:rsid w:val="00702415"/>
    <w:rsid w:val="00703AAF"/>
    <w:rsid w:val="007059D6"/>
    <w:rsid w:val="00707BB7"/>
    <w:rsid w:val="00710494"/>
    <w:rsid w:val="007112D8"/>
    <w:rsid w:val="0071294B"/>
    <w:rsid w:val="00712D97"/>
    <w:rsid w:val="00713973"/>
    <w:rsid w:val="007145A8"/>
    <w:rsid w:val="007201A6"/>
    <w:rsid w:val="0072061C"/>
    <w:rsid w:val="00720A24"/>
    <w:rsid w:val="0072110F"/>
    <w:rsid w:val="00721920"/>
    <w:rsid w:val="00722F49"/>
    <w:rsid w:val="00723F1A"/>
    <w:rsid w:val="00730DB8"/>
    <w:rsid w:val="00732386"/>
    <w:rsid w:val="0073380F"/>
    <w:rsid w:val="0073514D"/>
    <w:rsid w:val="007377F2"/>
    <w:rsid w:val="00737ACC"/>
    <w:rsid w:val="00737EE6"/>
    <w:rsid w:val="00740DA4"/>
    <w:rsid w:val="00742177"/>
    <w:rsid w:val="007423E3"/>
    <w:rsid w:val="007447F3"/>
    <w:rsid w:val="00752B14"/>
    <w:rsid w:val="007532E6"/>
    <w:rsid w:val="0075349C"/>
    <w:rsid w:val="00753EF5"/>
    <w:rsid w:val="0075499F"/>
    <w:rsid w:val="00754A1C"/>
    <w:rsid w:val="007606C3"/>
    <w:rsid w:val="00760C96"/>
    <w:rsid w:val="00760D49"/>
    <w:rsid w:val="00761D3E"/>
    <w:rsid w:val="007649A3"/>
    <w:rsid w:val="00764B81"/>
    <w:rsid w:val="00764C53"/>
    <w:rsid w:val="007661C8"/>
    <w:rsid w:val="00766DA4"/>
    <w:rsid w:val="0077098D"/>
    <w:rsid w:val="00770CF2"/>
    <w:rsid w:val="00771808"/>
    <w:rsid w:val="007718B8"/>
    <w:rsid w:val="00771EB6"/>
    <w:rsid w:val="00771F20"/>
    <w:rsid w:val="00773A37"/>
    <w:rsid w:val="0077559E"/>
    <w:rsid w:val="00775855"/>
    <w:rsid w:val="007758AD"/>
    <w:rsid w:val="007764C9"/>
    <w:rsid w:val="0077788B"/>
    <w:rsid w:val="00780395"/>
    <w:rsid w:val="0078313D"/>
    <w:rsid w:val="0078329B"/>
    <w:rsid w:val="00785B02"/>
    <w:rsid w:val="00787F76"/>
    <w:rsid w:val="0079087E"/>
    <w:rsid w:val="00792F23"/>
    <w:rsid w:val="00792FBD"/>
    <w:rsid w:val="007931FA"/>
    <w:rsid w:val="007933C5"/>
    <w:rsid w:val="007939FF"/>
    <w:rsid w:val="00796C17"/>
    <w:rsid w:val="007A123C"/>
    <w:rsid w:val="007A233C"/>
    <w:rsid w:val="007A2D21"/>
    <w:rsid w:val="007A3560"/>
    <w:rsid w:val="007A4641"/>
    <w:rsid w:val="007A4861"/>
    <w:rsid w:val="007A6675"/>
    <w:rsid w:val="007A7339"/>
    <w:rsid w:val="007A7BBA"/>
    <w:rsid w:val="007B0C50"/>
    <w:rsid w:val="007B19AC"/>
    <w:rsid w:val="007B383A"/>
    <w:rsid w:val="007B481A"/>
    <w:rsid w:val="007B48F9"/>
    <w:rsid w:val="007B6425"/>
    <w:rsid w:val="007B7058"/>
    <w:rsid w:val="007C090D"/>
    <w:rsid w:val="007C0BDE"/>
    <w:rsid w:val="007C1A43"/>
    <w:rsid w:val="007C1E56"/>
    <w:rsid w:val="007C53A6"/>
    <w:rsid w:val="007C6685"/>
    <w:rsid w:val="007C6AB7"/>
    <w:rsid w:val="007C7FA6"/>
    <w:rsid w:val="007D072B"/>
    <w:rsid w:val="007D07FE"/>
    <w:rsid w:val="007D27C0"/>
    <w:rsid w:val="007D3EAF"/>
    <w:rsid w:val="007D418F"/>
    <w:rsid w:val="007D5B33"/>
    <w:rsid w:val="007D61B3"/>
    <w:rsid w:val="007E0829"/>
    <w:rsid w:val="007E3A8C"/>
    <w:rsid w:val="007E5175"/>
    <w:rsid w:val="007E6C91"/>
    <w:rsid w:val="007F14B7"/>
    <w:rsid w:val="007F3765"/>
    <w:rsid w:val="007F55CA"/>
    <w:rsid w:val="007F5D9D"/>
    <w:rsid w:val="007F60F4"/>
    <w:rsid w:val="0080013E"/>
    <w:rsid w:val="00800172"/>
    <w:rsid w:val="0080043B"/>
    <w:rsid w:val="00807AF4"/>
    <w:rsid w:val="008114B2"/>
    <w:rsid w:val="0081186F"/>
    <w:rsid w:val="00812789"/>
    <w:rsid w:val="00813288"/>
    <w:rsid w:val="00813EC7"/>
    <w:rsid w:val="008168FC"/>
    <w:rsid w:val="00816EB7"/>
    <w:rsid w:val="00817661"/>
    <w:rsid w:val="008176B8"/>
    <w:rsid w:val="00820118"/>
    <w:rsid w:val="0082112D"/>
    <w:rsid w:val="00821952"/>
    <w:rsid w:val="00821EF7"/>
    <w:rsid w:val="008229FB"/>
    <w:rsid w:val="00823120"/>
    <w:rsid w:val="00823C35"/>
    <w:rsid w:val="008249F4"/>
    <w:rsid w:val="00825DD9"/>
    <w:rsid w:val="00825FD4"/>
    <w:rsid w:val="00830996"/>
    <w:rsid w:val="00831E23"/>
    <w:rsid w:val="00832059"/>
    <w:rsid w:val="008341F3"/>
    <w:rsid w:val="008345F1"/>
    <w:rsid w:val="00834733"/>
    <w:rsid w:val="00835166"/>
    <w:rsid w:val="008400FF"/>
    <w:rsid w:val="00840626"/>
    <w:rsid w:val="00842341"/>
    <w:rsid w:val="00842B75"/>
    <w:rsid w:val="008430F4"/>
    <w:rsid w:val="00844C2E"/>
    <w:rsid w:val="00845F39"/>
    <w:rsid w:val="008479E9"/>
    <w:rsid w:val="0085022E"/>
    <w:rsid w:val="0085140F"/>
    <w:rsid w:val="0085335E"/>
    <w:rsid w:val="00853D63"/>
    <w:rsid w:val="00855356"/>
    <w:rsid w:val="008575EF"/>
    <w:rsid w:val="00860BD8"/>
    <w:rsid w:val="0086138E"/>
    <w:rsid w:val="0086274D"/>
    <w:rsid w:val="008629BB"/>
    <w:rsid w:val="00865B07"/>
    <w:rsid w:val="00865CD7"/>
    <w:rsid w:val="00865E6F"/>
    <w:rsid w:val="008667EA"/>
    <w:rsid w:val="0086749F"/>
    <w:rsid w:val="00867979"/>
    <w:rsid w:val="00872A92"/>
    <w:rsid w:val="0087637F"/>
    <w:rsid w:val="008815FE"/>
    <w:rsid w:val="00883146"/>
    <w:rsid w:val="00884EA8"/>
    <w:rsid w:val="008870F0"/>
    <w:rsid w:val="0088742A"/>
    <w:rsid w:val="00890C55"/>
    <w:rsid w:val="00891241"/>
    <w:rsid w:val="008912E2"/>
    <w:rsid w:val="008918DA"/>
    <w:rsid w:val="00892525"/>
    <w:rsid w:val="00892AD5"/>
    <w:rsid w:val="008935C2"/>
    <w:rsid w:val="00893771"/>
    <w:rsid w:val="00894F0F"/>
    <w:rsid w:val="008958E5"/>
    <w:rsid w:val="008969F3"/>
    <w:rsid w:val="008970B8"/>
    <w:rsid w:val="008A1512"/>
    <w:rsid w:val="008A18B2"/>
    <w:rsid w:val="008A297B"/>
    <w:rsid w:val="008A3A93"/>
    <w:rsid w:val="008A4F82"/>
    <w:rsid w:val="008A7FDE"/>
    <w:rsid w:val="008B1253"/>
    <w:rsid w:val="008B24BF"/>
    <w:rsid w:val="008B2B7A"/>
    <w:rsid w:val="008B3583"/>
    <w:rsid w:val="008B3C44"/>
    <w:rsid w:val="008B4E48"/>
    <w:rsid w:val="008B7A30"/>
    <w:rsid w:val="008C188C"/>
    <w:rsid w:val="008C3404"/>
    <w:rsid w:val="008C39D4"/>
    <w:rsid w:val="008C49C1"/>
    <w:rsid w:val="008C5FEE"/>
    <w:rsid w:val="008D0BFF"/>
    <w:rsid w:val="008D14C1"/>
    <w:rsid w:val="008D22E3"/>
    <w:rsid w:val="008D26D5"/>
    <w:rsid w:val="008D32B9"/>
    <w:rsid w:val="008D433B"/>
    <w:rsid w:val="008D5B3B"/>
    <w:rsid w:val="008D798F"/>
    <w:rsid w:val="008E0133"/>
    <w:rsid w:val="008E1691"/>
    <w:rsid w:val="008E1DCD"/>
    <w:rsid w:val="008E4866"/>
    <w:rsid w:val="008E5191"/>
    <w:rsid w:val="008E566E"/>
    <w:rsid w:val="008E69E2"/>
    <w:rsid w:val="008E7F76"/>
    <w:rsid w:val="008F3321"/>
    <w:rsid w:val="008F3F02"/>
    <w:rsid w:val="008F4402"/>
    <w:rsid w:val="008F5E16"/>
    <w:rsid w:val="008F67B3"/>
    <w:rsid w:val="008F7490"/>
    <w:rsid w:val="009006D9"/>
    <w:rsid w:val="0090161A"/>
    <w:rsid w:val="00901EB6"/>
    <w:rsid w:val="00901FB6"/>
    <w:rsid w:val="00902307"/>
    <w:rsid w:val="00903163"/>
    <w:rsid w:val="009035E9"/>
    <w:rsid w:val="00903EC4"/>
    <w:rsid w:val="00904C62"/>
    <w:rsid w:val="00905523"/>
    <w:rsid w:val="009074EB"/>
    <w:rsid w:val="00910615"/>
    <w:rsid w:val="00911E03"/>
    <w:rsid w:val="0091206F"/>
    <w:rsid w:val="00913B7E"/>
    <w:rsid w:val="00913BF5"/>
    <w:rsid w:val="0091522B"/>
    <w:rsid w:val="009154CB"/>
    <w:rsid w:val="0091633E"/>
    <w:rsid w:val="00916954"/>
    <w:rsid w:val="00917954"/>
    <w:rsid w:val="009179F0"/>
    <w:rsid w:val="00921446"/>
    <w:rsid w:val="00922BA8"/>
    <w:rsid w:val="00924DAC"/>
    <w:rsid w:val="00925BF8"/>
    <w:rsid w:val="009267E2"/>
    <w:rsid w:val="00927058"/>
    <w:rsid w:val="00934090"/>
    <w:rsid w:val="0093482A"/>
    <w:rsid w:val="00934F1D"/>
    <w:rsid w:val="009410E0"/>
    <w:rsid w:val="009414C9"/>
    <w:rsid w:val="00942750"/>
    <w:rsid w:val="009449FB"/>
    <w:rsid w:val="009450CE"/>
    <w:rsid w:val="0094683B"/>
    <w:rsid w:val="00947179"/>
    <w:rsid w:val="009505C7"/>
    <w:rsid w:val="0095164B"/>
    <w:rsid w:val="009516E9"/>
    <w:rsid w:val="00954090"/>
    <w:rsid w:val="009541B7"/>
    <w:rsid w:val="0095451D"/>
    <w:rsid w:val="0095543C"/>
    <w:rsid w:val="00955541"/>
    <w:rsid w:val="00955D7F"/>
    <w:rsid w:val="00955E11"/>
    <w:rsid w:val="009573E7"/>
    <w:rsid w:val="00960031"/>
    <w:rsid w:val="00962AFF"/>
    <w:rsid w:val="00963E05"/>
    <w:rsid w:val="009654F9"/>
    <w:rsid w:val="00965545"/>
    <w:rsid w:val="0096583B"/>
    <w:rsid w:val="00965B55"/>
    <w:rsid w:val="00967843"/>
    <w:rsid w:val="00967D54"/>
    <w:rsid w:val="00971028"/>
    <w:rsid w:val="00971410"/>
    <w:rsid w:val="00971E8D"/>
    <w:rsid w:val="00975926"/>
    <w:rsid w:val="009802A5"/>
    <w:rsid w:val="009802B7"/>
    <w:rsid w:val="00984240"/>
    <w:rsid w:val="00987A11"/>
    <w:rsid w:val="009908D9"/>
    <w:rsid w:val="00992B1B"/>
    <w:rsid w:val="00993313"/>
    <w:rsid w:val="00993B84"/>
    <w:rsid w:val="00996483"/>
    <w:rsid w:val="00996F5A"/>
    <w:rsid w:val="009A25DA"/>
    <w:rsid w:val="009A281C"/>
    <w:rsid w:val="009A2C5B"/>
    <w:rsid w:val="009A54FA"/>
    <w:rsid w:val="009A793C"/>
    <w:rsid w:val="009B041A"/>
    <w:rsid w:val="009B18A7"/>
    <w:rsid w:val="009B19A6"/>
    <w:rsid w:val="009B2D35"/>
    <w:rsid w:val="009B62E3"/>
    <w:rsid w:val="009B68F0"/>
    <w:rsid w:val="009B7947"/>
    <w:rsid w:val="009C1144"/>
    <w:rsid w:val="009C1DC8"/>
    <w:rsid w:val="009C37C3"/>
    <w:rsid w:val="009C48A0"/>
    <w:rsid w:val="009C55A7"/>
    <w:rsid w:val="009C5B5B"/>
    <w:rsid w:val="009C7C86"/>
    <w:rsid w:val="009D04D7"/>
    <w:rsid w:val="009D072F"/>
    <w:rsid w:val="009D2B5C"/>
    <w:rsid w:val="009D2C9C"/>
    <w:rsid w:val="009D2ED0"/>
    <w:rsid w:val="009D2FF7"/>
    <w:rsid w:val="009D32C3"/>
    <w:rsid w:val="009D4441"/>
    <w:rsid w:val="009D4698"/>
    <w:rsid w:val="009D5A8B"/>
    <w:rsid w:val="009E0267"/>
    <w:rsid w:val="009E0A3E"/>
    <w:rsid w:val="009E4C42"/>
    <w:rsid w:val="009E5240"/>
    <w:rsid w:val="009E5FA7"/>
    <w:rsid w:val="009E63DF"/>
    <w:rsid w:val="009E6D59"/>
    <w:rsid w:val="009E7884"/>
    <w:rsid w:val="009E788A"/>
    <w:rsid w:val="009F0C4F"/>
    <w:rsid w:val="009F0E08"/>
    <w:rsid w:val="009F0E0A"/>
    <w:rsid w:val="009F1092"/>
    <w:rsid w:val="009F1BB1"/>
    <w:rsid w:val="009F394D"/>
    <w:rsid w:val="009F7955"/>
    <w:rsid w:val="00A038DD"/>
    <w:rsid w:val="00A03AFD"/>
    <w:rsid w:val="00A03D48"/>
    <w:rsid w:val="00A072DD"/>
    <w:rsid w:val="00A07B16"/>
    <w:rsid w:val="00A07C66"/>
    <w:rsid w:val="00A10DF8"/>
    <w:rsid w:val="00A1763D"/>
    <w:rsid w:val="00A17C4D"/>
    <w:rsid w:val="00A17CEC"/>
    <w:rsid w:val="00A20681"/>
    <w:rsid w:val="00A20E43"/>
    <w:rsid w:val="00A25AA2"/>
    <w:rsid w:val="00A27EF0"/>
    <w:rsid w:val="00A302B6"/>
    <w:rsid w:val="00A309C3"/>
    <w:rsid w:val="00A3101A"/>
    <w:rsid w:val="00A3122E"/>
    <w:rsid w:val="00A321E7"/>
    <w:rsid w:val="00A33F2D"/>
    <w:rsid w:val="00A34B8A"/>
    <w:rsid w:val="00A3559E"/>
    <w:rsid w:val="00A40D3A"/>
    <w:rsid w:val="00A416FF"/>
    <w:rsid w:val="00A42361"/>
    <w:rsid w:val="00A442A9"/>
    <w:rsid w:val="00A4712A"/>
    <w:rsid w:val="00A503B4"/>
    <w:rsid w:val="00A50B20"/>
    <w:rsid w:val="00A51390"/>
    <w:rsid w:val="00A530DF"/>
    <w:rsid w:val="00A53C42"/>
    <w:rsid w:val="00A56B1D"/>
    <w:rsid w:val="00A60D13"/>
    <w:rsid w:val="00A63FCC"/>
    <w:rsid w:val="00A66BC7"/>
    <w:rsid w:val="00A67BD4"/>
    <w:rsid w:val="00A704B7"/>
    <w:rsid w:val="00A71170"/>
    <w:rsid w:val="00A716D3"/>
    <w:rsid w:val="00A72745"/>
    <w:rsid w:val="00A72CD2"/>
    <w:rsid w:val="00A763D5"/>
    <w:rsid w:val="00A76EFC"/>
    <w:rsid w:val="00A7760C"/>
    <w:rsid w:val="00A808D0"/>
    <w:rsid w:val="00A81A52"/>
    <w:rsid w:val="00A8219D"/>
    <w:rsid w:val="00A82BE4"/>
    <w:rsid w:val="00A82FCA"/>
    <w:rsid w:val="00A83CAA"/>
    <w:rsid w:val="00A84519"/>
    <w:rsid w:val="00A84BA1"/>
    <w:rsid w:val="00A84DFE"/>
    <w:rsid w:val="00A86BA3"/>
    <w:rsid w:val="00A91010"/>
    <w:rsid w:val="00A91973"/>
    <w:rsid w:val="00A91C63"/>
    <w:rsid w:val="00A92979"/>
    <w:rsid w:val="00A92DEB"/>
    <w:rsid w:val="00A93E79"/>
    <w:rsid w:val="00A94088"/>
    <w:rsid w:val="00A97F29"/>
    <w:rsid w:val="00AA00FA"/>
    <w:rsid w:val="00AA1668"/>
    <w:rsid w:val="00AA44A3"/>
    <w:rsid w:val="00AA702E"/>
    <w:rsid w:val="00AA75B8"/>
    <w:rsid w:val="00AB0964"/>
    <w:rsid w:val="00AB0F5F"/>
    <w:rsid w:val="00AB5011"/>
    <w:rsid w:val="00AB6413"/>
    <w:rsid w:val="00AC0770"/>
    <w:rsid w:val="00AC2B82"/>
    <w:rsid w:val="00AC39A0"/>
    <w:rsid w:val="00AC4926"/>
    <w:rsid w:val="00AC7368"/>
    <w:rsid w:val="00AD16B9"/>
    <w:rsid w:val="00AD6306"/>
    <w:rsid w:val="00AD67F5"/>
    <w:rsid w:val="00AD6D3D"/>
    <w:rsid w:val="00AE0732"/>
    <w:rsid w:val="00AE1827"/>
    <w:rsid w:val="00AE269E"/>
    <w:rsid w:val="00AE377D"/>
    <w:rsid w:val="00AE4916"/>
    <w:rsid w:val="00AE4F04"/>
    <w:rsid w:val="00AE5599"/>
    <w:rsid w:val="00AE7907"/>
    <w:rsid w:val="00AE7B83"/>
    <w:rsid w:val="00AF0EBA"/>
    <w:rsid w:val="00AF1682"/>
    <w:rsid w:val="00AF19AA"/>
    <w:rsid w:val="00AF50AD"/>
    <w:rsid w:val="00AF6A70"/>
    <w:rsid w:val="00AF6E2E"/>
    <w:rsid w:val="00AF7C65"/>
    <w:rsid w:val="00B0152B"/>
    <w:rsid w:val="00B02C8A"/>
    <w:rsid w:val="00B035E3"/>
    <w:rsid w:val="00B03D6A"/>
    <w:rsid w:val="00B07D7F"/>
    <w:rsid w:val="00B10A54"/>
    <w:rsid w:val="00B117D4"/>
    <w:rsid w:val="00B13FBC"/>
    <w:rsid w:val="00B14552"/>
    <w:rsid w:val="00B148CB"/>
    <w:rsid w:val="00B15BCE"/>
    <w:rsid w:val="00B1760D"/>
    <w:rsid w:val="00B17FBD"/>
    <w:rsid w:val="00B22E44"/>
    <w:rsid w:val="00B2451B"/>
    <w:rsid w:val="00B24AC9"/>
    <w:rsid w:val="00B261A3"/>
    <w:rsid w:val="00B265F6"/>
    <w:rsid w:val="00B308EA"/>
    <w:rsid w:val="00B3094D"/>
    <w:rsid w:val="00B315A6"/>
    <w:rsid w:val="00B31813"/>
    <w:rsid w:val="00B31EEF"/>
    <w:rsid w:val="00B320FA"/>
    <w:rsid w:val="00B33365"/>
    <w:rsid w:val="00B40B26"/>
    <w:rsid w:val="00B41A06"/>
    <w:rsid w:val="00B422C9"/>
    <w:rsid w:val="00B45361"/>
    <w:rsid w:val="00B4755F"/>
    <w:rsid w:val="00B50047"/>
    <w:rsid w:val="00B504E8"/>
    <w:rsid w:val="00B50ED1"/>
    <w:rsid w:val="00B517A0"/>
    <w:rsid w:val="00B525F7"/>
    <w:rsid w:val="00B53D0B"/>
    <w:rsid w:val="00B55209"/>
    <w:rsid w:val="00B57B36"/>
    <w:rsid w:val="00B57E6F"/>
    <w:rsid w:val="00B600D4"/>
    <w:rsid w:val="00B60254"/>
    <w:rsid w:val="00B60659"/>
    <w:rsid w:val="00B62446"/>
    <w:rsid w:val="00B632D7"/>
    <w:rsid w:val="00B64A0A"/>
    <w:rsid w:val="00B65E04"/>
    <w:rsid w:val="00B66A47"/>
    <w:rsid w:val="00B672BA"/>
    <w:rsid w:val="00B675BA"/>
    <w:rsid w:val="00B703C6"/>
    <w:rsid w:val="00B714CD"/>
    <w:rsid w:val="00B74A6E"/>
    <w:rsid w:val="00B75A50"/>
    <w:rsid w:val="00B76E22"/>
    <w:rsid w:val="00B8158D"/>
    <w:rsid w:val="00B8315D"/>
    <w:rsid w:val="00B8589E"/>
    <w:rsid w:val="00B8686D"/>
    <w:rsid w:val="00B9040B"/>
    <w:rsid w:val="00B91466"/>
    <w:rsid w:val="00B920D3"/>
    <w:rsid w:val="00B92BD9"/>
    <w:rsid w:val="00B93C9F"/>
    <w:rsid w:val="00B93F69"/>
    <w:rsid w:val="00B966D6"/>
    <w:rsid w:val="00B96E4D"/>
    <w:rsid w:val="00B97DDA"/>
    <w:rsid w:val="00BA0CB7"/>
    <w:rsid w:val="00BA24A4"/>
    <w:rsid w:val="00BA2A6A"/>
    <w:rsid w:val="00BA3222"/>
    <w:rsid w:val="00BA5AD0"/>
    <w:rsid w:val="00BB1DB6"/>
    <w:rsid w:val="00BB1DDC"/>
    <w:rsid w:val="00BB25F9"/>
    <w:rsid w:val="00BB3DD3"/>
    <w:rsid w:val="00BB5796"/>
    <w:rsid w:val="00BB64D5"/>
    <w:rsid w:val="00BC1075"/>
    <w:rsid w:val="00BC10F1"/>
    <w:rsid w:val="00BC135D"/>
    <w:rsid w:val="00BC165B"/>
    <w:rsid w:val="00BC170E"/>
    <w:rsid w:val="00BC30C9"/>
    <w:rsid w:val="00BC3A26"/>
    <w:rsid w:val="00BC3AC3"/>
    <w:rsid w:val="00BC43A7"/>
    <w:rsid w:val="00BC4674"/>
    <w:rsid w:val="00BC6EA4"/>
    <w:rsid w:val="00BC78CE"/>
    <w:rsid w:val="00BC7C18"/>
    <w:rsid w:val="00BD077D"/>
    <w:rsid w:val="00BD09EC"/>
    <w:rsid w:val="00BD2B7F"/>
    <w:rsid w:val="00BD4487"/>
    <w:rsid w:val="00BD5E53"/>
    <w:rsid w:val="00BD7E28"/>
    <w:rsid w:val="00BE2085"/>
    <w:rsid w:val="00BE212B"/>
    <w:rsid w:val="00BE3287"/>
    <w:rsid w:val="00BE3E58"/>
    <w:rsid w:val="00BE5439"/>
    <w:rsid w:val="00BE790C"/>
    <w:rsid w:val="00BF19ED"/>
    <w:rsid w:val="00C01616"/>
    <w:rsid w:val="00C0162B"/>
    <w:rsid w:val="00C03A70"/>
    <w:rsid w:val="00C03F2C"/>
    <w:rsid w:val="00C03FD6"/>
    <w:rsid w:val="00C046E2"/>
    <w:rsid w:val="00C050FD"/>
    <w:rsid w:val="00C068ED"/>
    <w:rsid w:val="00C06FEB"/>
    <w:rsid w:val="00C0702B"/>
    <w:rsid w:val="00C078A9"/>
    <w:rsid w:val="00C10468"/>
    <w:rsid w:val="00C111A3"/>
    <w:rsid w:val="00C11C85"/>
    <w:rsid w:val="00C1216E"/>
    <w:rsid w:val="00C1320C"/>
    <w:rsid w:val="00C14435"/>
    <w:rsid w:val="00C16294"/>
    <w:rsid w:val="00C162B2"/>
    <w:rsid w:val="00C16FB8"/>
    <w:rsid w:val="00C1760E"/>
    <w:rsid w:val="00C21ACA"/>
    <w:rsid w:val="00C21D54"/>
    <w:rsid w:val="00C220C3"/>
    <w:rsid w:val="00C2234C"/>
    <w:rsid w:val="00C22E0C"/>
    <w:rsid w:val="00C242C7"/>
    <w:rsid w:val="00C25018"/>
    <w:rsid w:val="00C25BE7"/>
    <w:rsid w:val="00C2607C"/>
    <w:rsid w:val="00C328B7"/>
    <w:rsid w:val="00C32978"/>
    <w:rsid w:val="00C33DA9"/>
    <w:rsid w:val="00C345B1"/>
    <w:rsid w:val="00C40142"/>
    <w:rsid w:val="00C4033D"/>
    <w:rsid w:val="00C412B2"/>
    <w:rsid w:val="00C423C3"/>
    <w:rsid w:val="00C4373D"/>
    <w:rsid w:val="00C44EA5"/>
    <w:rsid w:val="00C4533B"/>
    <w:rsid w:val="00C500FA"/>
    <w:rsid w:val="00C50D4E"/>
    <w:rsid w:val="00C52C3C"/>
    <w:rsid w:val="00C53426"/>
    <w:rsid w:val="00C537CD"/>
    <w:rsid w:val="00C54C37"/>
    <w:rsid w:val="00C5675D"/>
    <w:rsid w:val="00C56848"/>
    <w:rsid w:val="00C57182"/>
    <w:rsid w:val="00C57863"/>
    <w:rsid w:val="00C6197A"/>
    <w:rsid w:val="00C655FD"/>
    <w:rsid w:val="00C67AC5"/>
    <w:rsid w:val="00C7437D"/>
    <w:rsid w:val="00C74940"/>
    <w:rsid w:val="00C75407"/>
    <w:rsid w:val="00C835B5"/>
    <w:rsid w:val="00C83DDC"/>
    <w:rsid w:val="00C86F65"/>
    <w:rsid w:val="00C870A8"/>
    <w:rsid w:val="00C8793C"/>
    <w:rsid w:val="00C87FE6"/>
    <w:rsid w:val="00C90EE7"/>
    <w:rsid w:val="00C9261B"/>
    <w:rsid w:val="00C93942"/>
    <w:rsid w:val="00C93B6E"/>
    <w:rsid w:val="00C94434"/>
    <w:rsid w:val="00C966D9"/>
    <w:rsid w:val="00C97357"/>
    <w:rsid w:val="00C97A45"/>
    <w:rsid w:val="00CA0D75"/>
    <w:rsid w:val="00CA1C95"/>
    <w:rsid w:val="00CA2DC0"/>
    <w:rsid w:val="00CA3845"/>
    <w:rsid w:val="00CA4CA0"/>
    <w:rsid w:val="00CA5A9C"/>
    <w:rsid w:val="00CA6B31"/>
    <w:rsid w:val="00CA7A95"/>
    <w:rsid w:val="00CA7EC2"/>
    <w:rsid w:val="00CB31E8"/>
    <w:rsid w:val="00CC0668"/>
    <w:rsid w:val="00CC2427"/>
    <w:rsid w:val="00CC2B42"/>
    <w:rsid w:val="00CC3FC5"/>
    <w:rsid w:val="00CC4AC1"/>
    <w:rsid w:val="00CC4C1A"/>
    <w:rsid w:val="00CC4C20"/>
    <w:rsid w:val="00CC5538"/>
    <w:rsid w:val="00CD308E"/>
    <w:rsid w:val="00CD3245"/>
    <w:rsid w:val="00CD3517"/>
    <w:rsid w:val="00CD3BA9"/>
    <w:rsid w:val="00CD5734"/>
    <w:rsid w:val="00CD5FE2"/>
    <w:rsid w:val="00CD60DA"/>
    <w:rsid w:val="00CD7B8F"/>
    <w:rsid w:val="00CE0CAE"/>
    <w:rsid w:val="00CE3E64"/>
    <w:rsid w:val="00CE7C68"/>
    <w:rsid w:val="00CF2404"/>
    <w:rsid w:val="00CF2D1D"/>
    <w:rsid w:val="00CF34D5"/>
    <w:rsid w:val="00CF3EDC"/>
    <w:rsid w:val="00CF4F90"/>
    <w:rsid w:val="00CF4FAA"/>
    <w:rsid w:val="00CF54BA"/>
    <w:rsid w:val="00CF5696"/>
    <w:rsid w:val="00CF657B"/>
    <w:rsid w:val="00CF734E"/>
    <w:rsid w:val="00CF772B"/>
    <w:rsid w:val="00D00257"/>
    <w:rsid w:val="00D02034"/>
    <w:rsid w:val="00D0281E"/>
    <w:rsid w:val="00D02B4C"/>
    <w:rsid w:val="00D0347E"/>
    <w:rsid w:val="00D040C4"/>
    <w:rsid w:val="00D06399"/>
    <w:rsid w:val="00D07280"/>
    <w:rsid w:val="00D12428"/>
    <w:rsid w:val="00D128F7"/>
    <w:rsid w:val="00D12D95"/>
    <w:rsid w:val="00D16C62"/>
    <w:rsid w:val="00D17906"/>
    <w:rsid w:val="00D2180B"/>
    <w:rsid w:val="00D22586"/>
    <w:rsid w:val="00D262DB"/>
    <w:rsid w:val="00D2798B"/>
    <w:rsid w:val="00D30D28"/>
    <w:rsid w:val="00D33EC2"/>
    <w:rsid w:val="00D400C8"/>
    <w:rsid w:val="00D41242"/>
    <w:rsid w:val="00D42EF1"/>
    <w:rsid w:val="00D43CE3"/>
    <w:rsid w:val="00D44479"/>
    <w:rsid w:val="00D4651C"/>
    <w:rsid w:val="00D46B7E"/>
    <w:rsid w:val="00D51181"/>
    <w:rsid w:val="00D51B7C"/>
    <w:rsid w:val="00D53905"/>
    <w:rsid w:val="00D55C52"/>
    <w:rsid w:val="00D57C84"/>
    <w:rsid w:val="00D6057D"/>
    <w:rsid w:val="00D608F2"/>
    <w:rsid w:val="00D60A94"/>
    <w:rsid w:val="00D60F39"/>
    <w:rsid w:val="00D61889"/>
    <w:rsid w:val="00D65C94"/>
    <w:rsid w:val="00D73CF6"/>
    <w:rsid w:val="00D8021D"/>
    <w:rsid w:val="00D8085D"/>
    <w:rsid w:val="00D836C5"/>
    <w:rsid w:val="00D84576"/>
    <w:rsid w:val="00D8639A"/>
    <w:rsid w:val="00D870F3"/>
    <w:rsid w:val="00D90409"/>
    <w:rsid w:val="00D911A6"/>
    <w:rsid w:val="00D934F7"/>
    <w:rsid w:val="00D94DB1"/>
    <w:rsid w:val="00D96604"/>
    <w:rsid w:val="00DA1399"/>
    <w:rsid w:val="00DA187A"/>
    <w:rsid w:val="00DA1ACA"/>
    <w:rsid w:val="00DA24C6"/>
    <w:rsid w:val="00DA2DBE"/>
    <w:rsid w:val="00DA2F2F"/>
    <w:rsid w:val="00DA4D7B"/>
    <w:rsid w:val="00DA692B"/>
    <w:rsid w:val="00DB3D41"/>
    <w:rsid w:val="00DB419E"/>
    <w:rsid w:val="00DB483D"/>
    <w:rsid w:val="00DB50D9"/>
    <w:rsid w:val="00DB6C78"/>
    <w:rsid w:val="00DC0158"/>
    <w:rsid w:val="00DC2309"/>
    <w:rsid w:val="00DC34F1"/>
    <w:rsid w:val="00DC3584"/>
    <w:rsid w:val="00DC372A"/>
    <w:rsid w:val="00DC4B2B"/>
    <w:rsid w:val="00DC5802"/>
    <w:rsid w:val="00DC6E0E"/>
    <w:rsid w:val="00DD0A23"/>
    <w:rsid w:val="00DD5ACA"/>
    <w:rsid w:val="00DD6815"/>
    <w:rsid w:val="00DE1382"/>
    <w:rsid w:val="00DE264A"/>
    <w:rsid w:val="00DE3218"/>
    <w:rsid w:val="00DE3811"/>
    <w:rsid w:val="00DE3A8E"/>
    <w:rsid w:val="00DE4888"/>
    <w:rsid w:val="00DE5335"/>
    <w:rsid w:val="00DE7F51"/>
    <w:rsid w:val="00DF0341"/>
    <w:rsid w:val="00DF04AF"/>
    <w:rsid w:val="00DF04E1"/>
    <w:rsid w:val="00DF069E"/>
    <w:rsid w:val="00DF06EA"/>
    <w:rsid w:val="00DF2044"/>
    <w:rsid w:val="00DF5072"/>
    <w:rsid w:val="00DF6897"/>
    <w:rsid w:val="00DF72BF"/>
    <w:rsid w:val="00DF76FA"/>
    <w:rsid w:val="00E01DCE"/>
    <w:rsid w:val="00E02D18"/>
    <w:rsid w:val="00E039AE"/>
    <w:rsid w:val="00E041E7"/>
    <w:rsid w:val="00E04324"/>
    <w:rsid w:val="00E04439"/>
    <w:rsid w:val="00E103A0"/>
    <w:rsid w:val="00E10C48"/>
    <w:rsid w:val="00E12F1D"/>
    <w:rsid w:val="00E1607C"/>
    <w:rsid w:val="00E17C52"/>
    <w:rsid w:val="00E23CA1"/>
    <w:rsid w:val="00E24E7E"/>
    <w:rsid w:val="00E25D08"/>
    <w:rsid w:val="00E261DD"/>
    <w:rsid w:val="00E2731E"/>
    <w:rsid w:val="00E27819"/>
    <w:rsid w:val="00E37045"/>
    <w:rsid w:val="00E40267"/>
    <w:rsid w:val="00E409A8"/>
    <w:rsid w:val="00E428FD"/>
    <w:rsid w:val="00E42E60"/>
    <w:rsid w:val="00E43C79"/>
    <w:rsid w:val="00E472C3"/>
    <w:rsid w:val="00E50020"/>
    <w:rsid w:val="00E506B1"/>
    <w:rsid w:val="00E50C12"/>
    <w:rsid w:val="00E50C65"/>
    <w:rsid w:val="00E50EE5"/>
    <w:rsid w:val="00E50FDE"/>
    <w:rsid w:val="00E5547F"/>
    <w:rsid w:val="00E57091"/>
    <w:rsid w:val="00E57751"/>
    <w:rsid w:val="00E57F64"/>
    <w:rsid w:val="00E60EA1"/>
    <w:rsid w:val="00E61FB9"/>
    <w:rsid w:val="00E650CB"/>
    <w:rsid w:val="00E65B91"/>
    <w:rsid w:val="00E66D68"/>
    <w:rsid w:val="00E67474"/>
    <w:rsid w:val="00E677C1"/>
    <w:rsid w:val="00E7209D"/>
    <w:rsid w:val="00E72AC7"/>
    <w:rsid w:val="00E72EAD"/>
    <w:rsid w:val="00E730E7"/>
    <w:rsid w:val="00E76EFB"/>
    <w:rsid w:val="00E77223"/>
    <w:rsid w:val="00E80435"/>
    <w:rsid w:val="00E81735"/>
    <w:rsid w:val="00E834C1"/>
    <w:rsid w:val="00E83697"/>
    <w:rsid w:val="00E8528B"/>
    <w:rsid w:val="00E85B94"/>
    <w:rsid w:val="00E87689"/>
    <w:rsid w:val="00E902F5"/>
    <w:rsid w:val="00E91DD6"/>
    <w:rsid w:val="00E92707"/>
    <w:rsid w:val="00E931BD"/>
    <w:rsid w:val="00E97450"/>
    <w:rsid w:val="00E977F9"/>
    <w:rsid w:val="00E978D0"/>
    <w:rsid w:val="00EA1201"/>
    <w:rsid w:val="00EA2EC7"/>
    <w:rsid w:val="00EA4613"/>
    <w:rsid w:val="00EA7F91"/>
    <w:rsid w:val="00EB028A"/>
    <w:rsid w:val="00EB0E32"/>
    <w:rsid w:val="00EB1523"/>
    <w:rsid w:val="00EB2A87"/>
    <w:rsid w:val="00EB591E"/>
    <w:rsid w:val="00EB7524"/>
    <w:rsid w:val="00EC00FB"/>
    <w:rsid w:val="00EC0E49"/>
    <w:rsid w:val="00EC101F"/>
    <w:rsid w:val="00EC1D9F"/>
    <w:rsid w:val="00EC33FA"/>
    <w:rsid w:val="00EC7513"/>
    <w:rsid w:val="00EC7718"/>
    <w:rsid w:val="00EC77DA"/>
    <w:rsid w:val="00ED0AFE"/>
    <w:rsid w:val="00ED18AC"/>
    <w:rsid w:val="00ED2914"/>
    <w:rsid w:val="00ED32B7"/>
    <w:rsid w:val="00ED5F6F"/>
    <w:rsid w:val="00ED78ED"/>
    <w:rsid w:val="00EE0131"/>
    <w:rsid w:val="00EE17B0"/>
    <w:rsid w:val="00EE19F9"/>
    <w:rsid w:val="00EE6BBB"/>
    <w:rsid w:val="00EF06D9"/>
    <w:rsid w:val="00EF08BC"/>
    <w:rsid w:val="00EF0B5C"/>
    <w:rsid w:val="00EF1EFA"/>
    <w:rsid w:val="00EF269F"/>
    <w:rsid w:val="00EF3DB7"/>
    <w:rsid w:val="00EF5363"/>
    <w:rsid w:val="00EF6CD4"/>
    <w:rsid w:val="00F07399"/>
    <w:rsid w:val="00F07428"/>
    <w:rsid w:val="00F078A6"/>
    <w:rsid w:val="00F10650"/>
    <w:rsid w:val="00F11F3C"/>
    <w:rsid w:val="00F12642"/>
    <w:rsid w:val="00F12724"/>
    <w:rsid w:val="00F13745"/>
    <w:rsid w:val="00F15153"/>
    <w:rsid w:val="00F15AB6"/>
    <w:rsid w:val="00F2110E"/>
    <w:rsid w:val="00F216BD"/>
    <w:rsid w:val="00F30C64"/>
    <w:rsid w:val="00F30CFF"/>
    <w:rsid w:val="00F3148D"/>
    <w:rsid w:val="00F3193A"/>
    <w:rsid w:val="00F32BA2"/>
    <w:rsid w:val="00F32CDB"/>
    <w:rsid w:val="00F33596"/>
    <w:rsid w:val="00F33947"/>
    <w:rsid w:val="00F341BB"/>
    <w:rsid w:val="00F342A0"/>
    <w:rsid w:val="00F3446D"/>
    <w:rsid w:val="00F35AAB"/>
    <w:rsid w:val="00F35F56"/>
    <w:rsid w:val="00F36FFF"/>
    <w:rsid w:val="00F37ED4"/>
    <w:rsid w:val="00F4363D"/>
    <w:rsid w:val="00F50DBB"/>
    <w:rsid w:val="00F5189A"/>
    <w:rsid w:val="00F535FE"/>
    <w:rsid w:val="00F541B5"/>
    <w:rsid w:val="00F5456E"/>
    <w:rsid w:val="00F55877"/>
    <w:rsid w:val="00F55D5D"/>
    <w:rsid w:val="00F565FE"/>
    <w:rsid w:val="00F6104D"/>
    <w:rsid w:val="00F63A70"/>
    <w:rsid w:val="00F70046"/>
    <w:rsid w:val="00F70C73"/>
    <w:rsid w:val="00F728D4"/>
    <w:rsid w:val="00F72D3D"/>
    <w:rsid w:val="00F7338C"/>
    <w:rsid w:val="00F7421F"/>
    <w:rsid w:val="00F7534E"/>
    <w:rsid w:val="00F83DB5"/>
    <w:rsid w:val="00F910DE"/>
    <w:rsid w:val="00F94E24"/>
    <w:rsid w:val="00F94E3C"/>
    <w:rsid w:val="00F953D0"/>
    <w:rsid w:val="00F96BA1"/>
    <w:rsid w:val="00F97093"/>
    <w:rsid w:val="00F973BA"/>
    <w:rsid w:val="00FA0ACD"/>
    <w:rsid w:val="00FA208B"/>
    <w:rsid w:val="00FA21D0"/>
    <w:rsid w:val="00FA2ABC"/>
    <w:rsid w:val="00FA3A9E"/>
    <w:rsid w:val="00FA410E"/>
    <w:rsid w:val="00FA5F5F"/>
    <w:rsid w:val="00FA60AC"/>
    <w:rsid w:val="00FB282B"/>
    <w:rsid w:val="00FB41B8"/>
    <w:rsid w:val="00FB562F"/>
    <w:rsid w:val="00FB5A7C"/>
    <w:rsid w:val="00FB5A7F"/>
    <w:rsid w:val="00FB5FA7"/>
    <w:rsid w:val="00FB730C"/>
    <w:rsid w:val="00FB785D"/>
    <w:rsid w:val="00FC0E7E"/>
    <w:rsid w:val="00FC200A"/>
    <w:rsid w:val="00FC2695"/>
    <w:rsid w:val="00FC348E"/>
    <w:rsid w:val="00FC3E03"/>
    <w:rsid w:val="00FC3FC1"/>
    <w:rsid w:val="00FC5044"/>
    <w:rsid w:val="00FD06CE"/>
    <w:rsid w:val="00FD3886"/>
    <w:rsid w:val="00FD6341"/>
    <w:rsid w:val="00FE35F2"/>
    <w:rsid w:val="00FE3ED0"/>
    <w:rsid w:val="00FE5BB9"/>
    <w:rsid w:val="00FE7D07"/>
    <w:rsid w:val="00FF0ED8"/>
    <w:rsid w:val="00FF2011"/>
    <w:rsid w:val="00FF2518"/>
    <w:rsid w:val="00FF38B8"/>
    <w:rsid w:val="00FF3F9A"/>
    <w:rsid w:val="00FF4145"/>
    <w:rsid w:val="00FF5247"/>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DE5B9DFA-7F9F-497B-A0F7-CB1436FA97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clear" w:pos="360"/>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91522B"/>
    <w:pPr>
      <w:keepNext/>
      <w:numPr>
        <w:ilvl w:val="2"/>
        <w:numId w:val="1"/>
      </w:numPr>
      <w:suppressAutoHyphens/>
      <w:spacing w:before="120" w:after="120" w:line="240" w:lineRule="auto"/>
      <w:ind w:left="0"/>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91522B"/>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aragrafoelenco">
    <w:name w:val="List Paragraph"/>
    <w:basedOn w:val="Normale"/>
    <w:uiPriority w:val="34"/>
    <w:rsid w:val="00280FAF"/>
    <w:pPr>
      <w:ind w:left="720"/>
      <w:contextualSpacing/>
    </w:pPr>
  </w:style>
  <w:style w:type="character" w:styleId="Menzionenonrisolta">
    <w:name w:val="Unresolved Mention"/>
    <w:basedOn w:val="Carpredefinitoparagrafo"/>
    <w:uiPriority w:val="99"/>
    <w:semiHidden/>
    <w:unhideWhenUsed/>
    <w:rsid w:val="00BF19ED"/>
    <w:rPr>
      <w:color w:val="605E5C"/>
      <w:shd w:val="clear" w:color="auto" w:fill="E1DFDD"/>
    </w:rPr>
  </w:style>
  <w:style w:type="paragraph" w:styleId="Revisione">
    <w:name w:val="Revision"/>
    <w:hidden/>
    <w:uiPriority w:val="99"/>
    <w:semiHidden/>
    <w:rsid w:val="005F4720"/>
    <w:pPr>
      <w:spacing w:after="0" w:line="240" w:lineRule="auto"/>
    </w:pPr>
    <w:rPr>
      <w:rFonts w:ascii="Arial" w:eastAsia="Times New Roman" w:hAnsi="Arial" w:cs="Times New Roman"/>
      <w:sz w:val="18"/>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5263148">
      <w:bodyDiv w:val="1"/>
      <w:marLeft w:val="0"/>
      <w:marRight w:val="0"/>
      <w:marTop w:val="0"/>
      <w:marBottom w:val="0"/>
      <w:divBdr>
        <w:top w:val="none" w:sz="0" w:space="0" w:color="auto"/>
        <w:left w:val="none" w:sz="0" w:space="0" w:color="auto"/>
        <w:bottom w:val="none" w:sz="0" w:space="0" w:color="auto"/>
        <w:right w:val="none" w:sz="0" w:space="0" w:color="auto"/>
      </w:divBdr>
    </w:div>
    <w:div w:id="460461026">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906807">
      <w:bodyDiv w:val="1"/>
      <w:marLeft w:val="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18487257">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emf"/><Relationship Id="rId2" Type="http://schemas.openxmlformats.org/officeDocument/2006/relationships/customXml" Target="../customXml/item2.xml"/><Relationship Id="rId16"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C4C6A64E1D8D64DB72BF6FAECF33E35" ma:contentTypeVersion="18" ma:contentTypeDescription="Create a new document." ma:contentTypeScope="" ma:versionID="281526d0b31ac2ae2938e13c223f6c02">
  <xsd:schema xmlns:xsd="http://www.w3.org/2001/XMLSchema" xmlns:xs="http://www.w3.org/2001/XMLSchema" xmlns:p="http://schemas.microsoft.com/office/2006/metadata/properties" xmlns:ns3="41924ef3-be3b-4f5f-b8f6-08e33d84337f" xmlns:ns4="38ba9029-60e4-49e0-8001-760c76b081d1" targetNamespace="http://schemas.microsoft.com/office/2006/metadata/properties" ma:root="true" ma:fieldsID="a8098066dfd2b6faff8ac708efd8c255" ns3:_="" ns4:_="">
    <xsd:import namespace="41924ef3-be3b-4f5f-b8f6-08e33d84337f"/>
    <xsd:import namespace="38ba9029-60e4-49e0-8001-760c76b081d1"/>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GenerationTime" minOccurs="0"/>
                <xsd:element ref="ns4:MediaServiceEventHashCode" minOccurs="0"/>
                <xsd:element ref="ns4:MediaServiceDateTaken" minOccurs="0"/>
                <xsd:element ref="ns4:MediaServiceOCR" minOccurs="0"/>
                <xsd:element ref="ns4:MediaServiceAutoKeyPoints" minOccurs="0"/>
                <xsd:element ref="ns4:MediaServiceKeyPoints" minOccurs="0"/>
                <xsd:element ref="ns4:MediaLengthInSeconds" minOccurs="0"/>
                <xsd:element ref="ns4:_activity" minOccurs="0"/>
                <xsd:element ref="ns4:MediaServiceObjectDetectorVersions" minOccurs="0"/>
                <xsd:element ref="ns4:MediaServiceLocation"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924ef3-be3b-4f5f-b8f6-08e33d84337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8ba9029-60e4-49e0-8001-760c76b081d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activity xmlns="38ba9029-60e4-49e0-8001-760c76b081d1" xsi:nil="true"/>
  </documentManagement>
</p:properties>
</file>

<file path=customXml/itemProps1.xml><?xml version="1.0" encoding="utf-8"?>
<ds:datastoreItem xmlns:ds="http://schemas.openxmlformats.org/officeDocument/2006/customXml" ds:itemID="{349E647C-ECEF-4E5D-8089-E4CAA6AA20F5}">
  <ds:schemaRefs>
    <ds:schemaRef ds:uri="http://schemas.openxmlformats.org/officeDocument/2006/bibliography"/>
  </ds:schemaRefs>
</ds:datastoreItem>
</file>

<file path=customXml/itemProps2.xml><?xml version="1.0" encoding="utf-8"?>
<ds:datastoreItem xmlns:ds="http://schemas.openxmlformats.org/officeDocument/2006/customXml" ds:itemID="{FA13856E-957A-46FD-A22E-00BFFFC2674C}">
  <ds:schemaRefs>
    <ds:schemaRef ds:uri="http://schemas.microsoft.com/sharepoint/v3/contenttype/forms"/>
  </ds:schemaRefs>
</ds:datastoreItem>
</file>

<file path=customXml/itemProps3.xml><?xml version="1.0" encoding="utf-8"?>
<ds:datastoreItem xmlns:ds="http://schemas.openxmlformats.org/officeDocument/2006/customXml" ds:itemID="{F4184002-4FAD-42D6-B160-2D14FCF401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924ef3-be3b-4f5f-b8f6-08e33d84337f"/>
    <ds:schemaRef ds:uri="38ba9029-60e4-49e0-8001-760c76b081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90CADD5-3536-483C-83D2-09E0A28CB55F}">
  <ds:schemaRefs>
    <ds:schemaRef ds:uri="http://schemas.microsoft.com/office/2006/metadata/properties"/>
    <ds:schemaRef ds:uri="http://schemas.microsoft.com/office/infopath/2007/PartnerControls"/>
    <ds:schemaRef ds:uri="38ba9029-60e4-49e0-8001-760c76b081d1"/>
  </ds:schemaRefs>
</ds:datastoreItem>
</file>

<file path=docProps/app.xml><?xml version="1.0" encoding="utf-8"?>
<Properties xmlns="http://schemas.openxmlformats.org/officeDocument/2006/extended-properties" xmlns:vt="http://schemas.openxmlformats.org/officeDocument/2006/docPropsVTypes">
  <Template>Normal</Template>
  <TotalTime>557</TotalTime>
  <Pages>6</Pages>
  <Words>3168</Words>
  <Characters>18058</Characters>
  <Application>Microsoft Office Word</Application>
  <DocSecurity>0</DocSecurity>
  <Lines>150</Lines>
  <Paragraphs>42</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Dipartimento CMIC - Politecnico di Milano</Company>
  <LinksUpToDate>false</LinksUpToDate>
  <CharactersWithSpaces>21184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Federica Tamburini</cp:lastModifiedBy>
  <cp:revision>158</cp:revision>
  <cp:lastPrinted>2015-05-12T18:31:00Z</cp:lastPrinted>
  <dcterms:created xsi:type="dcterms:W3CDTF">2024-02-01T18:03:00Z</dcterms:created>
  <dcterms:modified xsi:type="dcterms:W3CDTF">2024-03-27T21:00:00Z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y fmtid="{D5CDD505-2E9C-101B-9397-08002B2CF9AE}" pid="4" name="ContentTypeId">
    <vt:lpwstr>0x0101001C4C6A64E1D8D64DB72BF6FAECF33E35</vt:lpwstr>
  </property>
</Properties>
</file>