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509E91DC"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proofErr w:type="spellStart"/>
            <w:r w:rsidR="00B57E6F" w:rsidRPr="00825DD9">
              <w:rPr>
                <w:rFonts w:ascii="Tahoma" w:hAnsi="Tahoma" w:cs="Tahoma"/>
                <w:bCs/>
                <w:color w:val="000000"/>
                <w:sz w:val="14"/>
                <w:szCs w:val="14"/>
                <w:lang w:val="it-IT" w:eastAsia="it-IT"/>
              </w:rPr>
              <w:t>Genserik</w:t>
            </w:r>
            <w:proofErr w:type="spellEnd"/>
            <w:r w:rsidR="00B57E6F" w:rsidRPr="00825DD9">
              <w:rPr>
                <w:rFonts w:ascii="Tahoma" w:hAnsi="Tahoma" w:cs="Tahoma"/>
                <w:bCs/>
                <w:color w:val="000000"/>
                <w:sz w:val="14"/>
                <w:szCs w:val="14"/>
                <w:lang w:val="it-IT" w:eastAsia="it-IT"/>
              </w:rPr>
              <w:t xml:space="preserve"> </w:t>
            </w:r>
            <w:proofErr w:type="spellStart"/>
            <w:r w:rsidR="00B57E6F" w:rsidRPr="00825DD9">
              <w:rPr>
                <w:rFonts w:ascii="Tahoma" w:hAnsi="Tahoma" w:cs="Tahoma"/>
                <w:bCs/>
                <w:color w:val="000000"/>
                <w:sz w:val="14"/>
                <w:szCs w:val="14"/>
                <w:lang w:val="it-IT" w:eastAsia="it-IT"/>
              </w:rPr>
              <w:t>Reniers</w:t>
            </w:r>
            <w:proofErr w:type="spellEnd"/>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Servizi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39714781" w:rsidR="00E978D0" w:rsidRPr="00665323" w:rsidRDefault="000E5DF9" w:rsidP="00665323">
      <w:pPr>
        <w:pStyle w:val="CETTitle"/>
      </w:pPr>
      <w:r w:rsidRPr="000E5DF9">
        <w:t>On the Time to Flaming of Flammable Liquids</w:t>
      </w:r>
    </w:p>
    <w:p w14:paraId="0488FED2" w14:textId="2DBF3897" w:rsidR="00B57E6F" w:rsidRPr="003E5DC8" w:rsidRDefault="00BF1AC6" w:rsidP="00B57E6F">
      <w:pPr>
        <w:pStyle w:val="CETAuthors"/>
        <w:rPr>
          <w:lang w:val="it-IT"/>
        </w:rPr>
      </w:pPr>
      <w:r w:rsidRPr="003E5DC8">
        <w:rPr>
          <w:lang w:val="it-IT"/>
        </w:rPr>
        <w:t>Benedetta Anna De Liso</w:t>
      </w:r>
      <w:r w:rsidR="00B57E6F" w:rsidRPr="003E5DC8">
        <w:rPr>
          <w:lang w:val="it-IT"/>
        </w:rPr>
        <w:t xml:space="preserve">, </w:t>
      </w:r>
      <w:r w:rsidRPr="003E5DC8">
        <w:rPr>
          <w:lang w:val="it-IT"/>
        </w:rPr>
        <w:t>Gianmaria Pio</w:t>
      </w:r>
      <w:r w:rsidR="00B57E6F" w:rsidRPr="003E5DC8">
        <w:rPr>
          <w:lang w:val="it-IT"/>
        </w:rPr>
        <w:t xml:space="preserve">, </w:t>
      </w:r>
      <w:r w:rsidR="00111B09" w:rsidRPr="003E5DC8">
        <w:rPr>
          <w:lang w:val="it-IT"/>
        </w:rPr>
        <w:t>Ernesto Salzano*</w:t>
      </w:r>
    </w:p>
    <w:p w14:paraId="6B2D21B3" w14:textId="24E0CA1D" w:rsidR="00B57E6F" w:rsidRPr="007F5E4D" w:rsidRDefault="007F5E4D" w:rsidP="00B57E6F">
      <w:pPr>
        <w:pStyle w:val="CETAddress"/>
        <w:rPr>
          <w:lang w:val="it-IT"/>
        </w:rPr>
      </w:pPr>
      <w:r w:rsidRPr="007F5E4D">
        <w:rPr>
          <w:lang w:val="it-IT"/>
        </w:rPr>
        <w:t>Dipartimento di Ingegneria Civile, Chimica, Ambientale e dei Materiali, Università di Bologna, Via Umberto Terracini 28,</w:t>
      </w:r>
      <w:r w:rsidR="00572882">
        <w:rPr>
          <w:lang w:val="it-IT"/>
        </w:rPr>
        <w:t xml:space="preserve"> </w:t>
      </w:r>
      <w:r w:rsidRPr="007F5E4D">
        <w:rPr>
          <w:lang w:val="it-IT"/>
        </w:rPr>
        <w:t>40131 Bologna (Italy)</w:t>
      </w:r>
    </w:p>
    <w:p w14:paraId="73F1267A" w14:textId="54F56EC8" w:rsidR="00B57E6F" w:rsidRPr="00B57B36" w:rsidRDefault="00AA3FAD" w:rsidP="00B57E6F">
      <w:pPr>
        <w:pStyle w:val="CETemail"/>
      </w:pPr>
      <w:r>
        <w:t>ernesto.salzano@unibo.it</w:t>
      </w:r>
      <w:r w:rsidRPr="00B57B36">
        <w:t xml:space="preserve"> </w:t>
      </w:r>
    </w:p>
    <w:p w14:paraId="69674703" w14:textId="60307CD4" w:rsidR="00962C0C" w:rsidRPr="00B12D80" w:rsidRDefault="00962C0C" w:rsidP="00962C0C">
      <w:pPr>
        <w:pStyle w:val="CETListbullets"/>
        <w:ind w:left="0" w:firstLine="0"/>
      </w:pPr>
      <w:r>
        <w:t xml:space="preserve">Flammable liquids </w:t>
      </w:r>
      <w:r w:rsidR="00C652B7">
        <w:t xml:space="preserve">typically adopted in </w:t>
      </w:r>
      <w:r w:rsidR="00E764B4">
        <w:t xml:space="preserve">chemical and industrial processes </w:t>
      </w:r>
      <w:r>
        <w:t xml:space="preserve">can be subjected to intense heat radiation due to nearby hot surfaces or fires. A second cascading event is then likely because the flash point </w:t>
      </w:r>
      <w:r w:rsidR="00E764B4">
        <w:t>can be</w:t>
      </w:r>
      <w:r>
        <w:t xml:space="preserve"> easily reached and the surrounding environment can provide sufficient energy for ignition. Nevertheless, the flaming condition is not necessarily reached instantaneously if no direct (e.g., spark) ignition is present. Hence, a time to flaming, i.e., in the absence of an ignition source, is extremely relevant for the active and passive fire protection of flammable liquid, as the minimum time for intervention can be defined before developing a pool fire and for the correct evaluation of domino effects, in analogy with gas fires. In addition, a complete characterization of liquid behaviour under radiant heating is essential to guarantee safe operations, prevention measures, robust databases and optimized design. Therefore, this work reports the results for three </w:t>
      </w:r>
      <w:r w:rsidR="00881A89">
        <w:t xml:space="preserve">liquid solvent </w:t>
      </w:r>
      <w:r>
        <w:t xml:space="preserve">representative classes of substances: </w:t>
      </w:r>
      <w:proofErr w:type="spellStart"/>
      <w:r>
        <w:t>i</w:t>
      </w:r>
      <w:proofErr w:type="spellEnd"/>
      <w:r>
        <w:t xml:space="preserve">) </w:t>
      </w:r>
      <w:r w:rsidR="00881A89">
        <w:t>hexane</w:t>
      </w:r>
      <w:r>
        <w:t xml:space="preserve">, ii) </w:t>
      </w:r>
      <w:r w:rsidR="00881A89">
        <w:t>ethyl acetate</w:t>
      </w:r>
      <w:r>
        <w:t xml:space="preserve">, and iii) </w:t>
      </w:r>
      <w:r w:rsidR="005D6FC6">
        <w:t>ethanol</w:t>
      </w:r>
      <w:r>
        <w:t xml:space="preserve">. </w:t>
      </w:r>
      <w:r w:rsidR="002529A6">
        <w:t xml:space="preserve">A bench scale facility was adopted for the characterization of mass and energy aspects involving a pool fire of the investigated substances. </w:t>
      </w:r>
      <w:r w:rsidR="00E67F07">
        <w:t>Among the others, t</w:t>
      </w:r>
      <w:r w:rsidR="00104DA5">
        <w:t xml:space="preserve">he </w:t>
      </w:r>
      <w:r w:rsidR="00BD7D1A">
        <w:t xml:space="preserve">ignitability </w:t>
      </w:r>
      <w:r w:rsidR="00BF119D">
        <w:t xml:space="preserve">and </w:t>
      </w:r>
      <w:r w:rsidR="00BD7D1A">
        <w:t>the intensity of the generated pool fires were evaluated exp</w:t>
      </w:r>
      <w:r w:rsidR="00BF119D">
        <w:t>erimentally in term</w:t>
      </w:r>
      <w:r w:rsidR="00E67F07">
        <w:t>s</w:t>
      </w:r>
      <w:r w:rsidR="00BF119D">
        <w:t xml:space="preserve"> of </w:t>
      </w:r>
      <w:r w:rsidR="00BD7D1A">
        <w:t>mass burning rate</w:t>
      </w:r>
      <w:r w:rsidR="00BF119D">
        <w:t>, heat release rate,</w:t>
      </w:r>
      <w:r w:rsidR="00BD7D1A">
        <w:t xml:space="preserve"> and combustion efficiency</w:t>
      </w:r>
      <w:r w:rsidR="00E67F07">
        <w:t>.</w:t>
      </w:r>
      <w:r w:rsidR="00BD7D1A">
        <w:t xml:space="preserve"> </w:t>
      </w:r>
      <w:r w:rsidR="000B3455">
        <w:t xml:space="preserve">Different </w:t>
      </w:r>
      <w:r w:rsidR="002529A6">
        <w:t>boundary conditions</w:t>
      </w:r>
      <w:r w:rsidR="000B3455">
        <w:t xml:space="preserve"> were tested to identify the optimized set of </w:t>
      </w:r>
      <w:r w:rsidR="002529A6">
        <w:t xml:space="preserve">conditions for a robust evaluation of the safety aspects of </w:t>
      </w:r>
      <w:r w:rsidR="002529A6" w:rsidRPr="00B12D80">
        <w:t xml:space="preserve">liquid. </w:t>
      </w:r>
      <w:r w:rsidRPr="00B12D80">
        <w:t xml:space="preserve">Results </w:t>
      </w:r>
      <w:r w:rsidR="00B12D80" w:rsidRPr="00B12D80">
        <w:t>showed the most relevant trends in terms of ignitability of liquid species and combustion intensity during the pseudo-steady state regime of a pool fire. In addition, indications on the boundary conditions to be considered for a robust and consistent dataset were provided in this work</w:t>
      </w:r>
      <w:r w:rsidR="002772D2">
        <w:t>.</w:t>
      </w:r>
    </w:p>
    <w:p w14:paraId="476B2F2E" w14:textId="42EBC916" w:rsidR="00600535" w:rsidRPr="00B57B36" w:rsidRDefault="00600535" w:rsidP="00600535">
      <w:pPr>
        <w:pStyle w:val="CETHeading1"/>
        <w:rPr>
          <w:lang w:val="en-GB"/>
        </w:rPr>
      </w:pPr>
      <w:r w:rsidRPr="00B57B36">
        <w:rPr>
          <w:lang w:val="en-GB"/>
        </w:rPr>
        <w:t>Introduction</w:t>
      </w:r>
    </w:p>
    <w:p w14:paraId="62EA6452" w14:textId="7ABEE4C8" w:rsidR="006E55EC" w:rsidRDefault="009C5F79" w:rsidP="0008646D">
      <w:pPr>
        <w:pStyle w:val="CETListbullets"/>
        <w:ind w:left="0" w:firstLine="0"/>
      </w:pPr>
      <w:r w:rsidRPr="0094623E">
        <w:t xml:space="preserve">Within the intricate landscape of the chemical industry, the strategic utilization of liquid solvents is integral to a </w:t>
      </w:r>
      <w:r w:rsidR="004A589E" w:rsidRPr="0094623E">
        <w:t>multitude</w:t>
      </w:r>
      <w:r w:rsidRPr="0094623E">
        <w:t xml:space="preserve"> of processes, spanning from chemical synthesis to separation reactions and beyond. </w:t>
      </w:r>
      <w:r w:rsidR="001320AC">
        <w:t>In addition, the renewed interest in energy storage systems</w:t>
      </w:r>
      <w:r w:rsidR="00553B9F">
        <w:t xml:space="preserve"> for a more sustainable supply chain</w:t>
      </w:r>
      <w:r w:rsidR="001320AC">
        <w:t xml:space="preserve"> </w:t>
      </w:r>
      <w:r w:rsidR="00B96318">
        <w:t xml:space="preserve">involving liquid solvents </w:t>
      </w:r>
      <w:r w:rsidR="001320AC">
        <w:t xml:space="preserve">has introduced </w:t>
      </w:r>
      <w:r w:rsidR="00B96318">
        <w:t xml:space="preserve">alternative formulations and operative conditions within the available applications </w:t>
      </w:r>
      <w:r w:rsidR="00B97FC0">
        <w:t xml:space="preserve">for flammable liquids. </w:t>
      </w:r>
      <w:r w:rsidR="00553B9F">
        <w:t>Hence</w:t>
      </w:r>
      <w:r w:rsidRPr="0094623E">
        <w:t>, a nuanced exploration of the inherent risks associated with these solvents at each stage of their lifecycle is indispensable for ensuring operational efficiency and safety</w:t>
      </w:r>
      <w:r w:rsidR="00966A3C" w:rsidRPr="0094623E">
        <w:t xml:space="preserve"> </w:t>
      </w:r>
      <w:r w:rsidR="007F1510" w:rsidRPr="0094623E">
        <w:fldChar w:fldCharType="begin" w:fldLock="1"/>
      </w:r>
      <w:r w:rsidR="000E1B55" w:rsidRPr="0094623E">
        <w:instrText>ADDIN CSL_CITATION {"citationItems":[{"id":"ITEM-1","itemData":{"DOI":"10.1007/978-94-009-1549-7_4","author":[{"dropping-particle":"","family":"Rogers","given":"R. L.","non-dropping-particle":"","parse-names":false,"suffix":""}],"container-title":"Directory of Solvents","id":"ITEM-1","issued":{"date-parts":[["1996"]]},"page":"70-81","title":"Solvent flammability and reactivity hazards","type":"article-journal"},"uris":["http://www.mendeley.com/documents/?uuid=061175db-0e8b-437e-9086-a7d7b07bb007"]}],"mendeley":{"formattedCitation":"(Rogers, 1996)","plainTextFormattedCitation":"(Rogers, 1996)","previouslyFormattedCitation":"(Rogers, 1996)"},"properties":{"noteIndex":0},"schema":"https://github.com/citation-style-language/schema/raw/master/csl-citation.json"}</w:instrText>
      </w:r>
      <w:r w:rsidR="007F1510" w:rsidRPr="0094623E">
        <w:fldChar w:fldCharType="separate"/>
      </w:r>
      <w:r w:rsidR="007F1510" w:rsidRPr="0094623E">
        <w:rPr>
          <w:noProof/>
        </w:rPr>
        <w:t>(Rogers, 1996)</w:t>
      </w:r>
      <w:r w:rsidR="007F1510" w:rsidRPr="0094623E">
        <w:fldChar w:fldCharType="end"/>
      </w:r>
      <w:r w:rsidRPr="0094623E">
        <w:t>.</w:t>
      </w:r>
      <w:r w:rsidR="004A589E" w:rsidRPr="0094623E">
        <w:t xml:space="preserve"> </w:t>
      </w:r>
    </w:p>
    <w:p w14:paraId="1585258E" w14:textId="6587E3BB" w:rsidR="006E55EC" w:rsidRDefault="006E55EC" w:rsidP="0008646D">
      <w:pPr>
        <w:pStyle w:val="CETListbullets"/>
        <w:ind w:left="0" w:firstLine="0"/>
      </w:pPr>
      <w:r>
        <w:t>Handling and t</w:t>
      </w:r>
      <w:r w:rsidR="009C5F79" w:rsidRPr="0094623E">
        <w:t xml:space="preserve">ransportation of these solvents unveils a potential minefield of hazards, ranging from leakage and dispersion to the formation of flammable atmospheres. </w:t>
      </w:r>
      <w:r>
        <w:t>Based on the presence of an immediate or delayed ignition source or its absence, different scenarios can be considered, as described in detail in well-established literature</w:t>
      </w:r>
      <w:r w:rsidR="00621DA3">
        <w:t xml:space="preserve"> </w:t>
      </w:r>
      <w:r w:rsidR="0077504E">
        <w:fldChar w:fldCharType="begin" w:fldLock="1"/>
      </w:r>
      <w:r w:rsidR="007B1892">
        <w:instrText>ADDIN CSL_CITATION {"citationItems":[{"id":"ITEM-1","itemData":{"author":[{"dropping-particle":"","family":"Uijt de Haag, P. A. M., &amp; Ale","given":"B. J. M.","non-dropping-particle":"","parse-names":false,"suffix":""}],"id":"ITEM-1","issued":{"date-parts":[["2005"]]},"title":"Guidelines for Quantitative Risk Assessment (Purple book)","type":"book"},"uris":["http://www.mendeley.com/documents/?uuid=a3bf24ca-4da0-4751-b287-51e60ddc2a9d"]}],"mendeley":{"formattedCitation":"(Uijt de Haag, P. A. M., &amp; Ale, 2005)","plainTextFormattedCitation":"(Uijt de Haag, P. A. M., &amp; Ale, 2005)","previouslyFormattedCitation":"(Uijt de Haag, P. A. M., &amp; Ale, 2005)"},"properties":{"noteIndex":0},"schema":"https://github.com/citation-style-language/schema/raw/master/csl-citation.json"}</w:instrText>
      </w:r>
      <w:r w:rsidR="0077504E">
        <w:fldChar w:fldCharType="separate"/>
      </w:r>
      <w:r w:rsidR="0077504E" w:rsidRPr="0077504E">
        <w:rPr>
          <w:noProof/>
        </w:rPr>
        <w:t>(Uijt de Haag, P. A. M., &amp; Ale, 2005)</w:t>
      </w:r>
      <w:r w:rsidR="0077504E">
        <w:fldChar w:fldCharType="end"/>
      </w:r>
      <w:r>
        <w:t xml:space="preserve">. </w:t>
      </w:r>
      <w:r w:rsidR="009C5F79" w:rsidRPr="0094623E">
        <w:t xml:space="preserve">The dynamic interplay of </w:t>
      </w:r>
      <w:r w:rsidR="0008646D">
        <w:t xml:space="preserve">several </w:t>
      </w:r>
      <w:r w:rsidR="009C5F79" w:rsidRPr="0094623E">
        <w:t xml:space="preserve">factors </w:t>
      </w:r>
      <w:r w:rsidR="0008646D">
        <w:t xml:space="preserve">including </w:t>
      </w:r>
      <w:r w:rsidR="009C5F79" w:rsidRPr="0094623E">
        <w:t xml:space="preserve">volatility, </w:t>
      </w:r>
      <w:r w:rsidR="004A589E" w:rsidRPr="0094623E">
        <w:t>vapour</w:t>
      </w:r>
      <w:r w:rsidR="009C5F79" w:rsidRPr="0094623E">
        <w:t xml:space="preserve"> pressure, and reactivity during transit necessitates a meticulous risk assessment</w:t>
      </w:r>
      <w:r w:rsidR="00164E3A" w:rsidRPr="0094623E">
        <w:t xml:space="preserve"> </w:t>
      </w:r>
      <w:r w:rsidR="007E08DF">
        <w:t xml:space="preserve">and consequence analysis </w:t>
      </w:r>
      <w:r w:rsidR="00164E3A" w:rsidRPr="0094623E">
        <w:fldChar w:fldCharType="begin" w:fldLock="1"/>
      </w:r>
      <w:r w:rsidR="0094623E" w:rsidRPr="0094623E">
        <w:instrText>ADDIN CSL_CITATION {"citationItems":[{"id":"ITEM-1","itemData":{"DOI":"10.2298/HEMIND220909002S","ISSN":"22177426","abstract":"Technogenic risk is the result of creation and development of hazards that originate from accidents in the technosphere. It involves emissions of hazardous industrial substances into the work and natural environments, fires, radioactive contamination, and contamination by toxic substances during their transport and storage. The qualitative and quantitative technogenic risk assessment has to be performed during the use, handling, transport, and storage of hazardous substances if it is decided that specific environmental elements at a specific location are likely to become exposed to hazardous substances, leading to environmental degradation. This paper discusses vulnerability zones – specifically, the high lethality zone and the irreversible effects zone – that are formed due to hazardous events or accidents in the paints and varnishes industry. Accidents are discussed in terms of exposure to solvents classified as hazardous to ecosystem components, the biosphere, anthroposphere, and the human population during their atmospheric dispersion. The vulnerability zones are designated using the REHRA (Rapid Environmental and Health Risk Assessment) methodology and their spatial arrangement is used to perform the risk assessment for the purpose of notifying authorized institutions and the public about a potentially increased risk at the hazard location and/or the immediate vicinity.","author":[{"dropping-particle":"","family":"Stojadinović","given":"Danijela J.","non-dropping-particle":"","parse-names":false,"suffix":""},{"dropping-particle":"V.","family":"Đorđević","given":"Amelija","non-dropping-particle":"","parse-names":false,"suffix":""},{"dropping-particle":"","family":"Krstić","given":"Ivan M.","non-dropping-particle":"","parse-names":false,"suffix":""},{"dropping-particle":"","family":"Radosavljević","given":"Jasmina M.","non-dropping-particle":"","parse-names":false,"suffix":""}],"container-title":"Hemijska Industrija","id":"ITEM-1","issue":"2","issued":{"date-parts":[["2023"]]},"page":"111-127","title":"Atmospheric release of organic solvents due to hazardous events in the paints and varnishes industry","type":"article-journal","volume":"77"},"uris":["http://www.mendeley.com/documents/?uuid=7b20960f-71e4-40d2-9afa-8d411907ae7b"]}],"mendeley":{"formattedCitation":"(Stojadinović et al., 2023)","plainTextFormattedCitation":"(Stojadinović et al., 2023)","previouslyFormattedCitation":"(Stojadinović et al., 2023)"},"properties":{"noteIndex":0},"schema":"https://github.com/citation-style-language/schema/raw/master/csl-citation.json"}</w:instrText>
      </w:r>
      <w:r w:rsidR="00164E3A" w:rsidRPr="0094623E">
        <w:fldChar w:fldCharType="separate"/>
      </w:r>
      <w:r w:rsidR="00164E3A" w:rsidRPr="0094623E">
        <w:rPr>
          <w:noProof/>
        </w:rPr>
        <w:t>(Stojadinović et al., 2023)</w:t>
      </w:r>
      <w:r w:rsidR="00164E3A" w:rsidRPr="0094623E">
        <w:fldChar w:fldCharType="end"/>
      </w:r>
      <w:r w:rsidR="009C5F79" w:rsidRPr="0094623E">
        <w:t xml:space="preserve">. </w:t>
      </w:r>
      <w:r w:rsidR="001320AC">
        <w:t>In this sense, u</w:t>
      </w:r>
      <w:r w:rsidR="009C5F79" w:rsidRPr="0094623E">
        <w:t>nderstanding the physicochemical properties of solvents is essential for implementing effective preventative measures against potential spills or accidents</w:t>
      </w:r>
      <w:r w:rsidR="003B00FF" w:rsidRPr="0094623E">
        <w:t xml:space="preserve"> </w:t>
      </w:r>
      <w:r w:rsidR="00A22388" w:rsidRPr="0094623E">
        <w:fldChar w:fldCharType="begin" w:fldLock="1"/>
      </w:r>
      <w:r w:rsidR="00164E3A" w:rsidRPr="0094623E">
        <w:instrText>ADDIN CSL_CITATION {"citationItems":[{"id":"ITEM-1","itemData":{"DOI":"10.1016/j.jhazmat.2010.01.033","ISSN":"03043894","PMID":"20116168","abstract":"Flash point is the most important variable employed to characterize fire and explosion hazard of liquids. The models developed for predicting the flash point of partially miscible mixtures in the literature to date are all based on the assumption of liquid-liquid equilibrium. In real-world environments, however, the liquid-liquid equilibrium assumption does not always hold, such as the collection or accumulation of waste solvents without stirring, where complete stirring for a period of time is usually used to ensure the liquid phases being in equilibrium. This study investigated the effect of stirring on the flash-point behavior of binary partially miscible mixtures. Two series of partially miscible binary mixtures were employed to elucidate the effect of stirring. The first series was aqueous-organic mixtures, including water. +. 1-butanol, water. +. 2-butanol, water. +. isobutanol, water. +. 1-pentanol, and water. +. octane; the second series was the mixtures of two flammable solvents, which included methanol. +. decane, methanol. +. 2,2,4-trimethylpentane, and methanol. +. octane. Results reveal that for binary aqueous-organic solutions the flash-point values of unstirred mixtures were located between those of the completely stirred mixtures and those of the flammable component. Therefore, risk assessment could be done based on the flammable component flash-point value. However, for the assurance of safety, it is suggested to completely stir those mixtures before handling to reduce the risk. © 2010 Elsevier B.V.","author":[{"dropping-particle":"","family":"Liaw","given":"Horng Jang","non-dropping-particle":"","parse-names":false,"suffix":""},{"dropping-particle":"","family":"Gerbaud","given":"Vincent","non-dropping-particle":"","parse-names":false,"suffix":""},{"dropping-particle":"","family":"Chen","given":"Chan Cheng","non-dropping-particle":"","parse-names":false,"suffix":""},{"dropping-particle":"","family":"Shu","given":"Chi Min","non-dropping-particle":"","parse-names":false,"suffix":""}],"container-title":"Journal of Hazardous Materials","id":"ITEM-1","issue":"1-3","issued":{"date-parts":[["2010"]]},"page":"1093-1101","title":"Effect of stirring on the safety of flammable liquid mixtures","type":"article-journal","volume":"177"},"uris":["http://www.mendeley.com/documents/?uuid=92142996-856e-41bb-bdf8-f68f098ed60c"]}],"mendeley":{"formattedCitation":"(Liaw et al., 2010)","plainTextFormattedCitation":"(Liaw et al., 2010)","previouslyFormattedCitation":"(Liaw et al., 2010)"},"properties":{"noteIndex":0},"schema":"https://github.com/citation-style-language/schema/raw/master/csl-citation.json"}</w:instrText>
      </w:r>
      <w:r w:rsidR="00A22388" w:rsidRPr="0094623E">
        <w:fldChar w:fldCharType="separate"/>
      </w:r>
      <w:r w:rsidR="00A22388" w:rsidRPr="0094623E">
        <w:rPr>
          <w:noProof/>
        </w:rPr>
        <w:t>(Liaw et al., 2010)</w:t>
      </w:r>
      <w:r w:rsidR="00A22388" w:rsidRPr="0094623E">
        <w:fldChar w:fldCharType="end"/>
      </w:r>
      <w:r w:rsidR="0008646D">
        <w:t xml:space="preserve">. </w:t>
      </w:r>
    </w:p>
    <w:p w14:paraId="5A35FD3A" w14:textId="16C515E2" w:rsidR="003634C6" w:rsidRPr="0094623E" w:rsidRDefault="009C5F79" w:rsidP="003634C6">
      <w:pPr>
        <w:pStyle w:val="CETListbullets"/>
        <w:ind w:left="0" w:firstLine="0"/>
      </w:pPr>
      <w:r w:rsidRPr="003E37AF">
        <w:t xml:space="preserve">The </w:t>
      </w:r>
      <w:r w:rsidR="004A589E" w:rsidRPr="003E37AF">
        <w:t>spectre</w:t>
      </w:r>
      <w:r w:rsidRPr="003E37AF">
        <w:t xml:space="preserve"> of accidental scenarios, notably pool fires, looms large during the handling and storage of these solvents. The formation of a combustible liquid layer on a flat surface poses a substantial risk, with the potential for catastrophic consequences</w:t>
      </w:r>
      <w:r w:rsidR="0094623E" w:rsidRPr="003E37AF">
        <w:t xml:space="preserve"> </w:t>
      </w:r>
      <w:r w:rsidR="0094623E" w:rsidRPr="003E37AF">
        <w:fldChar w:fldCharType="begin" w:fldLock="1"/>
      </w:r>
      <w:r w:rsidR="00C347BE" w:rsidRPr="003E37AF">
        <w:instrText>ADDIN CSL_CITATION {"citationItems":[{"id":"ITEM-1","itemData":{"DOI":"10.1016/j.combustflame.2013.09.028","ISSN":"00102180","abstract":"The effects of altering the lower thermal boundary condition of a methanol pool from -5. °C to 50. °C was investigated within a 90. mm diameter and 12. mm deep quartz burner under steady state burning condition in a quiescent air environment. Both the burning rate and the flame height were observed to increase by 15% with increasing bottom temperature over this range of bottom boundary conditions. The temperature and velocity within the liquid were measured by a single thermocouple traversed through the pool and PIV, respectively, in order to better understand the transport of mass and energy in the liquid. Temperature measurements revealed a distinct two-layer vertical thermal structure with the upper layer of the pool being almost uniform and near the boiling temperature of the fuel, while the lower layer experienced an increasing temperature gradient as the bottom boundary temperature was lowered. The thickness of the thermally uniform layer increased as the bottom temperature was increased. The measured fluid velocity showed a complementary two-layer structure with the upper layer being dominated by a pair of counter-rotating vortices that kept this portion of the liquid well mixed and transferred heat from the hot pool wall to the pool center, while the flow in the lower layer was uniformly low in value and vertical. A model was presented to aid in understanding the energy transfer within the liquid phase. In the lower layer, the Peclet Number was in the order of unity and required that the energy transfer throughout the liquid phase to be modeled as a combination of conduction and convection. Using this physical model, the change in burning rate over the full 55. °C change in bottom temperature was predicted within 2%, thereby supporting the proposed mechanism for energy transfer into the pool's depth. © 2013 The Combustion Institute.","author":[{"dropping-particle":"","family":"Vali","given":"Alireza","non-dropping-particle":"","parse-names":false,"suffix":""},{"dropping-particle":"","family":"Nobes","given":"David S.","non-dropping-particle":"","parse-names":false,"suffix":""},{"dropping-particle":"","family":"Kostiuk","given":"Larry W.","non-dropping-particle":"","parse-names":false,"suffix":""}],"container-title":"Combustion and Flame","id":"ITEM-1","issue":"4","issued":{"date-parts":[["2014"]]},"page":"1076-1084","title":"Transport phenomena within the liquid phase of a laboratory-scale circular methanol pool fire","type":"article-journal","volume":"161"},"uris":["http://www.mendeley.com/documents/?uuid=7954fbce-a645-4d6b-975d-ea5f07877ade"]}],"mendeley":{"formattedCitation":"(Vali et al., 2014)","plainTextFormattedCitation":"(Vali et al., 2014)","previouslyFormattedCitation":"(Vali et al., 2014)"},"properties":{"noteIndex":0},"schema":"https://github.com/citation-style-language/schema/raw/master/csl-citation.json"}</w:instrText>
      </w:r>
      <w:r w:rsidR="0094623E" w:rsidRPr="003E37AF">
        <w:fldChar w:fldCharType="separate"/>
      </w:r>
      <w:r w:rsidR="0094623E" w:rsidRPr="003E37AF">
        <w:rPr>
          <w:noProof/>
        </w:rPr>
        <w:t>(Vali et al., 2014)</w:t>
      </w:r>
      <w:r w:rsidR="0094623E" w:rsidRPr="003E37AF">
        <w:fldChar w:fldCharType="end"/>
      </w:r>
      <w:r w:rsidRPr="003E37AF">
        <w:t xml:space="preserve">. </w:t>
      </w:r>
      <w:r w:rsidR="00306EC8" w:rsidRPr="003E37AF">
        <w:t>The repercussions are two-fold: the flash point is easily attained, and the ambient environment provides sufficient energy for potential ignition, initiating a sequence of events that may lead to severe consequences</w:t>
      </w:r>
      <w:r w:rsidR="00C347BE" w:rsidRPr="003E37AF">
        <w:t xml:space="preserve"> </w:t>
      </w:r>
      <w:r w:rsidR="00C347BE" w:rsidRPr="003E37AF">
        <w:fldChar w:fldCharType="begin" w:fldLock="1"/>
      </w:r>
      <w:r w:rsidR="00B0324A" w:rsidRPr="003E37AF">
        <w:instrText>ADDIN CSL_CITATION {"citationItems":[{"id":"ITEM-1","itemData":{"DOI":"10.1016/j.firesaf.2014.05.003","ISSN":"03797112","abstract":"Experiments in a real-scale room were done on water mist application to a pool fire. A fire produced with fuel oil in a 35 cm cylindrical pool was used, with a heat release rate reaching 75 kW in stationary conditions. Water application was studied with a nominal flow rate equal to 25 l/min provided by a set of four nozzles, injecting droplets with mean Sauter diameter equal to 112μm. Observations of fire suppression in these conditions showed two behaviors, which were analyzed and detailed with the help of numerical simulations conducted with FDS.v5. On one hand, a fast suppression (about 10 s required) was observed when water mist was applied to a developed fire. In this case, droplets were injected into a hot environment and thus evaporated strongly, generating a significant vapor concentration and resulting in a fast gas cooling and in an inerting effect. On the other hand, when the mist was applied early, fire growth was controlled, but its suppression required a longer application (about 1 min) and only occurred after a significant cooling of the flame and the liquid pool. These two mechanisms were detailed numerically through mass and energy balances for both the gas and the liquid phases and could help to derive suppression model improvements. © 2014 Elsevier Ltd.","author":[{"dropping-particle":"","family":"Jenft","given":"A.","non-dropping-particle":"","parse-names":false,"suffix":""},{"dropping-particle":"","family":"Collin","given":"A.","non-dropping-particle":"","parse-names":false,"suffix":""},{"dropping-particle":"","family":"Boulet","given":"P.","non-dropping-particle":"","parse-names":false,"suffix":""},{"dropping-particle":"","family":"Pianet","given":"G.","non-dropping-particle":"","parse-names":false,"suffix":""},{"dropping-particle":"","family":"Breton","given":"A.","non-dropping-particle":"","parse-names":false,"suffix":""},{"dropping-particle":"","family":"Muller","given":"A.","non-dropping-particle":"","parse-names":false,"suffix":""}],"container-title":"Fire Safety Journal","id":"ITEM-1","issued":{"date-parts":[["2014"]]},"page":"1-12","title":"Experimental and numerical study of pool fire suppression using water mist","type":"article-journal","volume":"67"},"uris":["http://www.mendeley.com/documents/?uuid=4fb17caa-5c46-4e99-8a61-9c43d792820f"]}],"mendeley":{"formattedCitation":"(Jenft et al., 2014)","plainTextFormattedCitation":"(Jenft et al., 2014)","previouslyFormattedCitation":"(Jenft et al., 2014)"},"properties":{"noteIndex":0},"schema":"https://github.com/citation-style-language/schema/raw/master/csl-citation.json"}</w:instrText>
      </w:r>
      <w:r w:rsidR="00C347BE" w:rsidRPr="003E37AF">
        <w:fldChar w:fldCharType="separate"/>
      </w:r>
      <w:r w:rsidR="00C347BE" w:rsidRPr="003E37AF">
        <w:rPr>
          <w:noProof/>
        </w:rPr>
        <w:t>(Jenft et al., 2014)</w:t>
      </w:r>
      <w:r w:rsidR="00C347BE" w:rsidRPr="003E37AF">
        <w:fldChar w:fldCharType="end"/>
      </w:r>
      <w:r w:rsidR="00306EC8" w:rsidRPr="003E37AF">
        <w:t xml:space="preserve">. The time it takes for a flammable liquid to </w:t>
      </w:r>
      <w:r w:rsidR="00306EC8" w:rsidRPr="003E37AF">
        <w:lastRenderedPageBreak/>
        <w:t>transition into a flaming state, especially in the absence of a direct ignition source, emerges as a paramount consideration. This temporal aspect, known as the time to flaming, plays a pivotal role in shaping effective strategies for both active and passive fire protection measures</w:t>
      </w:r>
      <w:r w:rsidR="00250FA3">
        <w:t xml:space="preserve"> together with the overall reactivity</w:t>
      </w:r>
      <w:r w:rsidR="00397BC0">
        <w:t xml:space="preserve"> </w:t>
      </w:r>
      <w:r w:rsidR="00397BC0">
        <w:fldChar w:fldCharType="begin" w:fldLock="1"/>
      </w:r>
      <w:r w:rsidR="00A911FF">
        <w:instrText>ADDIN CSL_CITATION {"citationItems":[{"id":"ITEM-1","itemData":{"DOI":"10.1021/acs.iecr.3c00402","ISSN":"15205045","abstract":"The partial oxidation of ethylene in a methane atmosphere by pure oxygen is the most important industrial process for the synthesis of ethylene oxide. However, due to the high reactivity and exothermicity of the reaction system, the overall production is limited by kinetic and safety issues. The shift toward mild operative conditions can support the management of undesirable side reactions, enhancing the performance of the whole process. In the future, the direct use of liquefied ethylene and oxygen-enriched air, a low-cost waste in membrane-based nitrogen production, can provide convenient sources for heat removal as well as promote the use of innovative and more sustainable solutions. This work is focused on the experimental and numerical characterization of the oxidation of ethylene/methane/nitrogen/oxygen mixtures at different operative conditions, including extremely low temperatures, and oxidant compositions. To this aim, the laminar burning velocity and flammability limits were first measured utilizing the heat flux burner and compared with detailed kinetic mechanisms and experiments retrieved from the current literature. The reported data were adopted to identify the operational limits for innovative processes, paving the way to unlocking the potential of innovative chemistry at extreme conditions. Eventually, key performance indicators accounting for kinetic and safety aspects were defined to identify the most sustainable and convenient operative conditions.","author":[{"dropping-particle":"","family":"Liso","given":"Benedetta Anna","non-dropping-particle":"De","parse-names":false,"suffix":""},{"dropping-particle":"","family":"Palma","given":"Vincenzo","non-dropping-particle":"","parse-names":false,"suffix":""},{"dropping-particle":"","family":"Pio","given":"Gianmaria","non-dropping-particle":"","parse-names":false,"suffix":""},{"dropping-particle":"","family":"Renda","given":"Simona","non-dropping-particle":"","parse-names":false,"suffix":""},{"dropping-particle":"","family":"Salzano","given":"Ernesto","non-dropping-particle":"","parse-names":false,"suffix":""}],"container-title":"Industrial and Engineering Chemistry Research","id":"ITEM-1","issue":"18","issued":{"date-parts":[["2023"]]},"page":"6943-6952","title":"Extremely Low Temperatures for the Synthesis of Ethylene Oxide","type":"article-journal","volume":"62"},"uris":["http://www.mendeley.com/documents/?uuid=f8a4a73c-f11a-42c5-bcfc-8028f65d374f"]}],"mendeley":{"formattedCitation":"(De Liso et al., 2023)","plainTextFormattedCitation":"(De Liso et al., 2023)","previouslyFormattedCitation":"(De Liso et al., 2023)"},"properties":{"noteIndex":0},"schema":"https://github.com/citation-style-language/schema/raw/master/csl-citation.json"}</w:instrText>
      </w:r>
      <w:r w:rsidR="00397BC0">
        <w:fldChar w:fldCharType="separate"/>
      </w:r>
      <w:r w:rsidR="00397BC0" w:rsidRPr="00397BC0">
        <w:rPr>
          <w:noProof/>
        </w:rPr>
        <w:t>(De Liso et al., 2023)</w:t>
      </w:r>
      <w:r w:rsidR="00397BC0">
        <w:fldChar w:fldCharType="end"/>
      </w:r>
      <w:r w:rsidR="00306EC8" w:rsidRPr="003E37AF">
        <w:t>.</w:t>
      </w:r>
      <w:r w:rsidR="00D01C10" w:rsidRPr="003E37AF">
        <w:t xml:space="preserve"> </w:t>
      </w:r>
      <w:r w:rsidR="00B52BE7" w:rsidRPr="003E37AF">
        <w:t xml:space="preserve">Unlike scenarios involving immediate ignition sources like sparks, the </w:t>
      </w:r>
      <w:r w:rsidR="00A3168A">
        <w:t>path</w:t>
      </w:r>
      <w:r w:rsidR="00B52BE7" w:rsidRPr="003E37AF">
        <w:t xml:space="preserve"> to a flaming condition is nuanced and necessitates a </w:t>
      </w:r>
      <w:r w:rsidR="003634C6">
        <w:t>specific</w:t>
      </w:r>
      <w:r w:rsidR="00B52BE7" w:rsidRPr="003E37AF">
        <w:t xml:space="preserve"> </w:t>
      </w:r>
      <w:r w:rsidR="003634C6">
        <w:t xml:space="preserve">analysis </w:t>
      </w:r>
      <w:r w:rsidR="00B52BE7" w:rsidRPr="003E37AF">
        <w:t>of the temporal dynamics involved.</w:t>
      </w:r>
      <w:r w:rsidR="00857739">
        <w:t xml:space="preserve"> </w:t>
      </w:r>
      <w:r w:rsidR="003634C6">
        <w:t xml:space="preserve">Indeed, the evaluation of the possible auto-ignition as well as ignition delay can represent a paramount step, in agreement with the classical approach implemented for solid- </w:t>
      </w:r>
      <w:r w:rsidR="005D0D8D">
        <w:fldChar w:fldCharType="begin" w:fldLock="1"/>
      </w:r>
      <w:r w:rsidR="00321B85">
        <w:instrText>ADDIN CSL_CITATION {"citationItems":[{"id":"ITEM-1","itemData":{"DOI":"10.3303/CET1977023","ISSN":"22839216","abstract":"Mechanical sparks and friction are one of the most common causes of ignition of flammable gas and dust clouds. Mechanical sparks can arise due to processes involving friction, grinding or impact and can occur e.g. in case of disturbances in rotating equipment causing the rotating parts of the machinery (repeatedly) to come into contact with each other at relative high speeds. Also, application of hand tools such as drills, grinding machines, welding and cutting torches and hammers can lead to the generation of mechanical sparks. Single impact sparks may arise due to collisions between two objects. Accident statistics concerning dust explosions occurring in Germany indicate mechanical sparks and friction as the ignition source in 32.7 % of the incidents (Jeske and Beck, 1997). Billinge (1979) presented an overview of 66 incidents where gases or vapours were ignited by something referred to as frictional ignition. 68 % of the reported incidents were caused by impact, 20 % by friction and 12 % by cutting and grinding operations. Generally, speaking it is unclear whether the ignition occurred by mechanical sparks or by a hot surface generated by the impact/friction. The fraction of gas and vapour explosions ignited by mechanical sparks and frictional heat is unknown. Mechanical sparks are caused by friction, rubbing or single or multiple impacts of objects of similar or dissimilar materials causing small parts of this material to be torn loose. These small pieces of material are due to the energy absorbed hot and may during their flight start burning resulting in very high temperatures. Melting and evaporation of this mechanical spark may cause it to burst increasing its surface area and thereby its incendivity. This article reviews work performed addressing ignition of gas and dust clouds by mechanical sparks and friction. The review starts from the work performed in connection with coal mine explosions performed in the 1950's and 1960's and works published since then. The majority of the reviewed literature concerns experimental work but also theoretical studies have been included in the review.","author":[{"dropping-particle":"","family":"Wingerden","given":"Kees","non-dropping-particle":"Van","parse-names":false,"suffix":""}],"container-title":"Chemical Engineering Transactions","id":"ITEM-1","issued":{"date-parts":[["2019"]]},"page":"133-138","title":"Mechanical sparks as an ignition source of gas and dust explosions","type":"article-journal","volume":"77"},"uris":["http://www.mendeley.com/documents/?uuid=d7e2323b-d338-460f-8ffd-bb40ba13b5c1"]}],"mendeley":{"formattedCitation":"(Van Wingerden, 2019)","plainTextFormattedCitation":"(Van Wingerden, 2019)","previouslyFormattedCitation":"(Van Wingerden, 2019)"},"properties":{"noteIndex":0},"schema":"https://github.com/citation-style-language/schema/raw/master/csl-citation.json"}</w:instrText>
      </w:r>
      <w:r w:rsidR="005D0D8D">
        <w:fldChar w:fldCharType="separate"/>
      </w:r>
      <w:r w:rsidR="005D0D8D" w:rsidRPr="005D0D8D">
        <w:rPr>
          <w:noProof/>
        </w:rPr>
        <w:t>(Van Wingerden, 2019)</w:t>
      </w:r>
      <w:r w:rsidR="005D0D8D">
        <w:fldChar w:fldCharType="end"/>
      </w:r>
      <w:r w:rsidR="005D0D8D">
        <w:t>,</w:t>
      </w:r>
      <w:r w:rsidR="003634C6">
        <w:t xml:space="preserve"> gaseous-</w:t>
      </w:r>
      <w:r w:rsidR="00A911FF">
        <w:fldChar w:fldCharType="begin" w:fldLock="1"/>
      </w:r>
      <w:r w:rsidR="00450A2E">
        <w:instrText>ADDIN CSL_CITATION {"citationItems":[{"id":"ITEM-1","itemData":{"DOI":"10.1016/j.combustflame.2022.112080","ISSN":"15562921","abstract":"Light alkenes are common combustion intermediates for a variety of fuels. Therefore, understanding their oxidation and pyrolysis chemistry is key to building detailed mechanisms for heavier fuels. This work was focused on the development and evaluation of a detailed kinetic mechanism suitable for the combustion of light alkenes up to C4 without the use of tuned parameters, instead, the parameter values come from first principles or direct measurements. The generated mechanism accurately estimates the laminar burning velocity (Su) and ignition delay time (IDT) of light alkenes available in the literature, which represent fundamental combustion properties at a wide range of conditions. Because each parameter is thought to have a physically realistic value, not tuned to these measurements, the new model could be used as a sub-mechanism in models for other applications. The reaction network was generated with the open-source Reaction Mechanism Generator (RMG) software. Sensitivity analyses were performed under wide ranges of temperatures and pressures, allowing for the identification of the most impactful species and reactions. Based on these, a comprehensive thermochemistry database, including calculations on 550 molecules performed in this work at the CBS-QB3 level of theory, and a kinetic library, including theoretically-derived reaction rates retrieved from the literature, were built and used in the mechanism generation. The developed mechanism was compared against several existing detailed kinetic mechanisms for ethene, propene, 1-butene, 2-butene, and isobutene. The newly generated model is the most accurate among the ones analyzed, in terms of fractional bias and normalized mean square error. Hence, this new model was used to analyze the chemistry of alkene combustion. Key rate coefficients were compared, to identify the cause of deviations between the models and possible areas for further improvements.","author":[{"dropping-particle":"","family":"Pio","given":"Gianmaria","non-dropping-particle":"","parse-names":false,"suffix":""},{"dropping-particle":"","family":"Dong","given":"Xiaorui","non-dropping-particle":"","parse-names":false,"suffix":""},{"dropping-particle":"","family":"Salzano","given":"Ernesto","non-dropping-particle":"","parse-names":false,"suffix":""},{"dropping-particle":"","family":"Green","given":"William H.","non-dropping-particle":"","parse-names":false,"suffix":""}],"container-title":"Combustion and Flame","id":"ITEM-1","issued":{"date-parts":[["2022","7","1"]]},"publisher":"Elsevier Inc.","title":"Automatically generated model for light alkene combustion","type":"article-journal","volume":"241"},"uris":["http://www.mendeley.com/documents/?uuid=f2198922-feef-3115-ada8-e3f597c8069b"]}],"mendeley":{"formattedCitation":"(Pio et al., 2022)","plainTextFormattedCitation":"(Pio et al., 2022)","previouslyFormattedCitation":"(Pio et al., 2022)"},"properties":{"noteIndex":0},"schema":"https://github.com/citation-style-language/schema/raw/master/csl-citation.json"}</w:instrText>
      </w:r>
      <w:r w:rsidR="00A911FF">
        <w:fldChar w:fldCharType="separate"/>
      </w:r>
      <w:r w:rsidR="00A911FF" w:rsidRPr="00A911FF">
        <w:rPr>
          <w:noProof/>
        </w:rPr>
        <w:t>(Pio et al., 2022)</w:t>
      </w:r>
      <w:r w:rsidR="00A911FF">
        <w:fldChar w:fldCharType="end"/>
      </w:r>
      <w:r w:rsidR="003634C6">
        <w:t>, and dust-related fires</w:t>
      </w:r>
      <w:r w:rsidR="000737EC">
        <w:t xml:space="preserve"> </w:t>
      </w:r>
      <w:r w:rsidR="000737EC">
        <w:fldChar w:fldCharType="begin" w:fldLock="1"/>
      </w:r>
      <w:r w:rsidR="005D0D8D">
        <w:instrText>ADDIN CSL_CITATION {"citationItems":[{"id":"ITEM-1","itemData":{"DOI":"10.1016/j.firesaf.2021.103292","ISSN":"03797112","abstract":"Transition from smoldering to flaming fire in cotton is investigated experimentally for five different sample sizes. Two different modes of transition are identified: early and late transition. Early transition to flaming occurs when smoldering combustion forms a hot glowing core inside a sample. As the smoldering burns through to the outside of the sample, air moves more easily into the core, resulting in a change in smoldering direction from reverse to forward smoldering, causing increased heat production and flaming. Late transition to flaming occurs occasionally after most of a sample is consumed by smoldering, and where randomly appearing glowing spots ignite flammable vapor from smoldering processes. The current setup consists of cotton samples where one side of the sample is situated next to a lightweight concrete block forming a boundary. Cotton samples with density 80 kg/m³ with dimensions equal to or larger than 0.45 m · 0.45 m · 0.15 m high, consistently give early transition to flaming, while smaller samples have early, late or no transition. By identifying an experimental set-up with a sample size that assures transition from smoldering to flaming, the transition phenomenon can be studied in even more detail.","author":[{"dropping-particle":"","family":"Hagen","given":"Bjarne C.","non-dropping-particle":"","parse-names":false,"suffix":""},{"dropping-particle":"","family":"Meyer","given":"Anita K.","non-dropping-particle":"","parse-names":false,"suffix":""}],"container-title":"Fire Safety Journal","id":"ITEM-1","issued":{"date-parts":[["2021"]]},"title":"From smoldering to flaming fire: Different modes of transition","type":"article-journal","volume":"121"},"uris":["http://www.mendeley.com/documents/?uuid=c4472596-d461-4950-915b-09af7509684d"]}],"mendeley":{"formattedCitation":"(Hagen and Meyer, 2021)","plainTextFormattedCitation":"(Hagen and Meyer, 2021)","previouslyFormattedCitation":"(Hagen and Meyer, 2021)"},"properties":{"noteIndex":0},"schema":"https://github.com/citation-style-language/schema/raw/master/csl-citation.json"}</w:instrText>
      </w:r>
      <w:r w:rsidR="000737EC">
        <w:fldChar w:fldCharType="separate"/>
      </w:r>
      <w:r w:rsidR="000737EC" w:rsidRPr="000737EC">
        <w:rPr>
          <w:noProof/>
        </w:rPr>
        <w:t>(Hagen and Meyer, 2021)</w:t>
      </w:r>
      <w:r w:rsidR="000737EC">
        <w:fldChar w:fldCharType="end"/>
      </w:r>
      <w:r w:rsidR="000737EC">
        <w:t>.</w:t>
      </w:r>
    </w:p>
    <w:p w14:paraId="2A5CA2B4" w14:textId="4EAB94AD" w:rsidR="00F23C98" w:rsidRDefault="001B4D13" w:rsidP="009C5F79">
      <w:pPr>
        <w:pStyle w:val="CETBodytext"/>
        <w:rPr>
          <w:lang w:val="en-GB"/>
        </w:rPr>
      </w:pPr>
      <w:r w:rsidRPr="001B4D13">
        <w:rPr>
          <w:lang w:val="en-GB"/>
        </w:rPr>
        <w:t>A pool fire is characterized by the establishment of a diffusion flame on top of a</w:t>
      </w:r>
      <w:r>
        <w:rPr>
          <w:lang w:val="en-GB"/>
        </w:rPr>
        <w:t xml:space="preserve"> </w:t>
      </w:r>
      <w:r w:rsidRPr="001B4D13">
        <w:rPr>
          <w:lang w:val="en-GB"/>
        </w:rPr>
        <w:t>horizontal fuel where buoyancy forces, turbulence and molecular diffusion are all transport mechanisms</w:t>
      </w:r>
      <w:r w:rsidR="000F22D7">
        <w:rPr>
          <w:lang w:val="en-GB"/>
        </w:rPr>
        <w:t xml:space="preserve">. </w:t>
      </w:r>
      <w:r w:rsidR="000F22D7" w:rsidRPr="000F22D7">
        <w:rPr>
          <w:lang w:val="en-GB"/>
        </w:rPr>
        <w:t>Mass burning rate, flame radiation properties, such as emissivity and temperature, and flame geometrical characteristics</w:t>
      </w:r>
      <w:r w:rsidR="000F22D7">
        <w:rPr>
          <w:lang w:val="en-GB"/>
        </w:rPr>
        <w:t xml:space="preserve"> </w:t>
      </w:r>
      <w:r w:rsidR="000F22D7" w:rsidRPr="000F22D7">
        <w:rPr>
          <w:lang w:val="en-GB"/>
        </w:rPr>
        <w:t xml:space="preserve">including height, shape and </w:t>
      </w:r>
      <w:r w:rsidR="000F22D7">
        <w:rPr>
          <w:lang w:val="en-GB"/>
        </w:rPr>
        <w:t>diameter</w:t>
      </w:r>
      <w:r w:rsidR="00BA16CF">
        <w:rPr>
          <w:lang w:val="en-GB"/>
        </w:rPr>
        <w:t>,</w:t>
      </w:r>
      <w:r w:rsidR="000F22D7" w:rsidRPr="000F22D7">
        <w:rPr>
          <w:lang w:val="en-GB"/>
        </w:rPr>
        <w:t xml:space="preserve"> are dominant factors in </w:t>
      </w:r>
      <w:r w:rsidR="00E04856">
        <w:rPr>
          <w:lang w:val="en-GB"/>
        </w:rPr>
        <w:t xml:space="preserve">the </w:t>
      </w:r>
      <w:r w:rsidR="000F22D7" w:rsidRPr="000F22D7">
        <w:rPr>
          <w:lang w:val="en-GB"/>
        </w:rPr>
        <w:t>determination of thermal radiation flux from pool fires</w:t>
      </w:r>
      <w:r w:rsidR="00840A7F">
        <w:rPr>
          <w:lang w:val="en-GB"/>
        </w:rPr>
        <w:t xml:space="preserve"> </w:t>
      </w:r>
      <w:r w:rsidR="00840A7F">
        <w:rPr>
          <w:lang w:val="en-GB"/>
        </w:rPr>
        <w:fldChar w:fldCharType="begin" w:fldLock="1"/>
      </w:r>
      <w:r w:rsidR="00E22067">
        <w:rPr>
          <w:lang w:val="en-GB"/>
        </w:rPr>
        <w:instrText>ADDIN CSL_CITATION {"citationItems":[{"id":"ITEM-1","itemData":{"DOI":"10.1016/S0082-0784(98)80125-2","ISSN":"00820784","abstract":"This review attempts to extract, from the particularly abundant literature devoted to the study of pool fires, some pertinent contributions to some of the issues that should be addressed to meet fire-safety requirements. The author tries to successively address the characteristics of pool fire flame and plume structure, including flame height, the entrainment of air, the pulsation of the flame and the influence of cross-flow, the formation and properties of soot, the heat feedback, and mass burning, including radiation transport and radiative energy blockage, by considering experimental approaches and some numerical modeling. It appears that among the various parameters that play an important role in the characterization of pool fires, some have already been satisfactorily taken into account but some have not. Definitively, the full understanding and the realistic modeling of key phenomena like the pulsating nature of air entrainment, the formation and the characterization of soot, or the radiative energy blockage near the surface of the pool require more basic research, especially for establishing a systematic methodology to evaluate the real threat due to large pool fires and to provide solutions to control their impact.","author":[{"dropping-particle":"","family":"Joulain","given":"Pierre","non-dropping-particle":"","parse-names":false,"suffix":""}],"container-title":"Symposium (International) on Combustion","id":"ITEM-1","issue":"2","issued":{"date-parts":[["1998"]]},"page":"2691-2706","title":"The behavior of pool fires: State of the art and new insights","type":"article-journal","volume":"27"},"uris":["http://www.mendeley.com/documents/?uuid=07ee27ee-d19e-4318-bf8d-5ae64eafe09b"]}],"mendeley":{"formattedCitation":"(Joulain, 1998)","plainTextFormattedCitation":"(Joulain, 1998)","previouslyFormattedCitation":"(Joulain, 1998)"},"properties":{"noteIndex":0},"schema":"https://github.com/citation-style-language/schema/raw/master/csl-citation.json"}</w:instrText>
      </w:r>
      <w:r w:rsidR="00840A7F">
        <w:rPr>
          <w:lang w:val="en-GB"/>
        </w:rPr>
        <w:fldChar w:fldCharType="separate"/>
      </w:r>
      <w:r w:rsidR="00840A7F" w:rsidRPr="00840A7F">
        <w:rPr>
          <w:noProof/>
          <w:lang w:val="en-GB"/>
        </w:rPr>
        <w:t>(Joulain, 1998)</w:t>
      </w:r>
      <w:r w:rsidR="00840A7F">
        <w:rPr>
          <w:lang w:val="en-GB"/>
        </w:rPr>
        <w:fldChar w:fldCharType="end"/>
      </w:r>
      <w:r w:rsidR="00BA16CF">
        <w:rPr>
          <w:lang w:val="en-GB"/>
        </w:rPr>
        <w:t>.</w:t>
      </w:r>
      <w:r w:rsidR="00C16081">
        <w:rPr>
          <w:lang w:val="en-GB"/>
        </w:rPr>
        <w:t xml:space="preserve"> Besides, robust databases for these parameters can have beneficial effects on the accuracy of advanced numerical simulations</w:t>
      </w:r>
      <w:r w:rsidR="00450A2E">
        <w:rPr>
          <w:lang w:val="en-GB"/>
        </w:rPr>
        <w:t xml:space="preserve"> </w:t>
      </w:r>
      <w:r w:rsidR="00450A2E">
        <w:rPr>
          <w:lang w:val="en-GB"/>
        </w:rPr>
        <w:fldChar w:fldCharType="begin" w:fldLock="1"/>
      </w:r>
      <w:r w:rsidR="00450A2E">
        <w:rPr>
          <w:lang w:val="en-GB"/>
        </w:rPr>
        <w:instrText>ADDIN CSL_CITATION {"citationItems":[{"id":"ITEM-1","itemData":{"DOI":"10.1016/j.jlp.2019.06.002","ISSN":"09504230","abstract":"Liquefied natural gas (LNG) has been largely indicated as a promising alternative solution for the transportation and storage of natural gas. In the case of accidental release on the ground, a pool fire scenario may occur. Despite the relevance of this accident, due to its likelihood and potential to trigger domino effects, accurate analyses addressing the characterization of pool fires of LNG are still missing. In this work, the fire dynamic simulator (FDS) has been adopted for the evaluation of the effects of the released amount of fuel and its composition (methane, ethane, and propane), on the thermal and chemical properties of small-scale LNG pool fire. More specifically, the heat release rate, the burning rate, the flame height, and thermal radiation, at different initial conditions, have been evaluated for pool having diameter smaller than 10 m. Safety distances have been calculated for all the investigated conditions, as well. Results have also been compared with data and correlations retrieved from the current literature. The equation of Thomas seems to work properly for the definition of the height over diameter ratio of the LNG pool fire for all the mixture and the investigated diameters. The addition of ethane and propane significantly affects the obtained results, especially in terms of radiative thermal radiation peaks, thus indicating the inadequacy of the commonly adopted assumption of pure methane as single, surrogate species for the LNG mixture.","author":[{"dropping-particle":"","family":"Pio","given":"Gianmaria","non-dropping-particle":"","parse-names":false,"suffix":""},{"dropping-particle":"","family":"Carboni","given":"Mattia","non-dropping-particle":"","parse-names":false,"suffix":""},{"dropping-particle":"","family":"Iannaccone","given":"Tommaso","non-dropping-particle":"","parse-names":false,"suffix":""},{"dropping-particle":"","family":"Cozzani","given":"Valerio","non-dropping-particle":"","parse-names":false,"suffix":""},{"dropping-particle":"","family":"Salzano","given":"Ernesto","non-dropping-particle":"","parse-names":false,"suffix":""}],"container-title":"Journal of Loss Prevention in the Process Industries","id":"ITEM-1","issued":{"date-parts":[["2019"]]},"page":"82-88","title":"Numerical simulation of small-scale pool fires of LNG","type":"article-journal","volume":"61"},"uris":["http://www.mendeley.com/documents/?uuid=57e901b9-1317-4522-bac9-4ee0ab6ccd9e"]}],"mendeley":{"formattedCitation":"(Pio et al., 2019a)","manualFormatting":"(Pio et al., 2019)","plainTextFormattedCitation":"(Pio et al., 2019a)"},"properties":{"noteIndex":0},"schema":"https://github.com/citation-style-language/schema/raw/master/csl-citation.json"}</w:instrText>
      </w:r>
      <w:r w:rsidR="00450A2E">
        <w:rPr>
          <w:lang w:val="en-GB"/>
        </w:rPr>
        <w:fldChar w:fldCharType="separate"/>
      </w:r>
      <w:r w:rsidR="00450A2E" w:rsidRPr="00450A2E">
        <w:rPr>
          <w:noProof/>
          <w:lang w:val="en-GB"/>
        </w:rPr>
        <w:t>(Pio et al., 2019)</w:t>
      </w:r>
      <w:r w:rsidR="00450A2E">
        <w:rPr>
          <w:lang w:val="en-GB"/>
        </w:rPr>
        <w:fldChar w:fldCharType="end"/>
      </w:r>
      <w:r w:rsidR="00C16081">
        <w:rPr>
          <w:lang w:val="en-GB"/>
        </w:rPr>
        <w:t>.</w:t>
      </w:r>
      <w:r w:rsidR="00840A7F">
        <w:rPr>
          <w:lang w:val="en-GB"/>
        </w:rPr>
        <w:t xml:space="preserve"> </w:t>
      </w:r>
      <w:r w:rsidR="00B52BE7" w:rsidRPr="003E37AF">
        <w:rPr>
          <w:lang w:val="en-GB"/>
        </w:rPr>
        <w:t>In this context, experimental assessments become indispensable, shedding light on the intricacies of flammable liquid behavio</w:t>
      </w:r>
      <w:r w:rsidR="003634C6">
        <w:rPr>
          <w:lang w:val="en-GB"/>
        </w:rPr>
        <w:t>u</w:t>
      </w:r>
      <w:r w:rsidR="00B52BE7" w:rsidRPr="003E37AF">
        <w:rPr>
          <w:lang w:val="en-GB"/>
        </w:rPr>
        <w:t>r under radiant heating</w:t>
      </w:r>
      <w:r w:rsidR="00762094" w:rsidRPr="003E37AF">
        <w:rPr>
          <w:lang w:val="en-GB"/>
        </w:rPr>
        <w:t xml:space="preserve"> </w:t>
      </w:r>
      <w:r w:rsidR="00B0324A" w:rsidRPr="003E37AF">
        <w:rPr>
          <w:lang w:val="en-GB"/>
        </w:rPr>
        <w:fldChar w:fldCharType="begin" w:fldLock="1"/>
      </w:r>
      <w:r w:rsidR="003E37AF" w:rsidRPr="003E37AF">
        <w:rPr>
          <w:lang w:val="en-GB"/>
        </w:rPr>
        <w:instrText xml:space="preserve">ADDIN CSL_CITATION {"citationItems":[{"id":"ITEM-1","itemData":{"DOI":"10.1007/s11630-020-1335-x","ISSN":"1993033X","abstract":"An experimental study was carried out to investigate the flame characterization and temperature profile for single and multiple pool fire with the influence of cross wind. There were 13 test cases in total, categorized into circle and rectangle fuel pans, with diameter (or equivalent diameter) ranged from 50 mm to 300 mm. Kerosene was used for the fuel of pool fire. Some K-type thermocouples were arranged around the flame to monitor the flame temperature, while the flame tilt angle was measured based on the photograph of flame for different case. Firstly, it can be found that there are three phases, including preheating, steady burning and extinguishing phase, during the flame evolution. The maximum temperature near the fuel surface is </w:instrText>
      </w:r>
      <w:r w:rsidR="003E37AF" w:rsidRPr="003E37AF">
        <w:rPr>
          <w:rFonts w:ascii="Cambria Math" w:hAnsi="Cambria Math" w:cs="Cambria Math"/>
          <w:lang w:val="en-GB"/>
        </w:rPr>
        <w:instrText>∼</w:instrText>
      </w:r>
      <w:r w:rsidR="003E37AF" w:rsidRPr="003E37AF">
        <w:rPr>
          <w:lang w:val="en-GB"/>
        </w:rPr>
        <w:instrText>1040 K, which is higher than that of flame plume (</w:instrText>
      </w:r>
      <w:r w:rsidR="003E37AF" w:rsidRPr="003E37AF">
        <w:rPr>
          <w:rFonts w:ascii="Cambria Math" w:hAnsi="Cambria Math" w:cs="Cambria Math"/>
          <w:lang w:val="en-GB"/>
        </w:rPr>
        <w:instrText>∼</w:instrText>
      </w:r>
      <w:r w:rsidR="003E37AF" w:rsidRPr="003E37AF">
        <w:rPr>
          <w:lang w:val="en-GB"/>
        </w:rPr>
        <w:instrText xml:space="preserve">600 K), in the steady burning phase of circle single pool fire (D=300 mm), while the average burning rate is </w:instrText>
      </w:r>
      <w:r w:rsidR="003E37AF" w:rsidRPr="003E37AF">
        <w:rPr>
          <w:rFonts w:ascii="Cambria Math" w:hAnsi="Cambria Math" w:cs="Cambria Math"/>
          <w:lang w:val="en-GB"/>
        </w:rPr>
        <w:instrText>∼</w:instrText>
      </w:r>
      <w:r w:rsidR="003E37AF" w:rsidRPr="003E37AF">
        <w:rPr>
          <w:lang w:val="en-GB"/>
        </w:rPr>
        <w:instrText>1.525 g/s. In addition, the burning rates of all cases were measured and compared with the current predicted method. Typically, the flame morphology of single/multiple pool fire at different cross wind speed (ranging from 0 to 3.5 m/s) was analyzed, and it is found that the results for single pool fire agree with Thomas model and AGA model well, which are not suitable for multiple pool fire. Finally, the temperature profile of different case was measured with various wind speed.","author":[{"dropping-particle":"","family":"Chen","given":"Zhen","non-dropping-particle":"","parse-names":false,"suffix":""},{"dropping-particle":"","family":"Wei","given":"Xiaolin","non-dropping-particle":"","parse-names":false,"suffix":""},{"dropping-particle":"","family":"Li","given":"Teng","non-dropping-particle":"","parse-names":false,"suffix":""}],"container-title":"Journal of Thermal Science","id":"ITEM-1","issue":"1","issued":{"date-parts":[["2021"]]},"page":"324-332","title":"Experimental Investigation on Flame Characterization and Temperature Profile of Single/Multiple Pool Fire in Cross Wind","type":"article-journal","volume":"30"},"uris":["http://www.mendeley.com/documents/?uuid=69befdea-4963-438d-9d84-e1f964df2f50"]}],"mendeley":{"formattedCitation":"(Chen et al., 2021)","plainTextFormattedCitation":"(Chen et al., 2021)","previouslyFormattedCitation":"(Chen et al., 2021)"},"properties":{"noteIndex":0},"schema":"https://github.com/citation-style-language/schema/raw/master/csl-citation.json"}</w:instrText>
      </w:r>
      <w:r w:rsidR="00B0324A" w:rsidRPr="003E37AF">
        <w:rPr>
          <w:lang w:val="en-GB"/>
        </w:rPr>
        <w:fldChar w:fldCharType="separate"/>
      </w:r>
      <w:r w:rsidR="00B0324A" w:rsidRPr="003E37AF">
        <w:rPr>
          <w:noProof/>
          <w:lang w:val="en-GB"/>
        </w:rPr>
        <w:t>(Chen et al., 2021)</w:t>
      </w:r>
      <w:r w:rsidR="00B0324A" w:rsidRPr="003E37AF">
        <w:rPr>
          <w:lang w:val="en-GB"/>
        </w:rPr>
        <w:fldChar w:fldCharType="end"/>
      </w:r>
      <w:r w:rsidR="00B52BE7" w:rsidRPr="003E37AF">
        <w:rPr>
          <w:lang w:val="en-GB"/>
        </w:rPr>
        <w:t>. The significance of such evaluations is underscored by their ability to define a minimum intervention time, providing a critical window before the escalation to a pool fire. This temporal insight is crucial not only for mitigating immediate risks but also for evaluating domino effects, aligning with established practices in gas and dust fire assessments</w:t>
      </w:r>
      <w:r w:rsidR="00021111" w:rsidRPr="003E37AF">
        <w:rPr>
          <w:lang w:val="en-GB"/>
        </w:rPr>
        <w:t xml:space="preserve"> </w:t>
      </w:r>
      <w:r w:rsidR="003E37AF" w:rsidRPr="003E37AF">
        <w:rPr>
          <w:lang w:val="en-GB"/>
        </w:rPr>
        <w:fldChar w:fldCharType="begin" w:fldLock="1"/>
      </w:r>
      <w:r w:rsidR="000318B9">
        <w:rPr>
          <w:lang w:val="en-GB"/>
        </w:rPr>
        <w:instrText>ADDIN CSL_CITATION {"citationItems":[{"id":"ITEM-1","itemData":{"DOI":"10.3303/CET2291014","ISSN":"22839216","abstract":"In industrial safety, engulfing pool fires can cause damages and collapse of process vessels with catastrophic consequences. This work investigates the ethoxylation of 1-dodecanol as a case-study with a multiscale approach able to analyse scenarios of runaway triggered by a pool fire engulfing the reactor. The aim is to understand whether and when the cooling power of the external heat exchanger can prevent dangerous temperature build-up in the chemical reactor.","author":[{"dropping-particle":"","family":"Florit","given":"Federico","non-dropping-particle":"","parse-names":false,"suffix":""},{"dropping-particle":"","family":"Busini","given":"Valentina","non-dropping-particle":"","parse-names":false,"suffix":""},{"dropping-particle":"","family":"Favrin","given":"Simone","non-dropping-particle":"","parse-names":false,"suffix":""},{"dropping-particle":"","family":"Rota","given":"Renato","non-dropping-particle":"","parse-names":false,"suffix":""},{"dropping-particle":"","family":"Derudi","given":"Marco","non-dropping-particle":"","parse-names":false,"suffix":""}],"container-title":"Chemical Engineering Transactions","id":"ITEM-1","issued":{"date-parts":[["2022"]]},"page":"79-84","title":"Reaction Runaway as a Domino Effect of Pool Fire Engulfing an Ethoxylation Reactor","type":"article-journal","volume":"91"},"uris":["http://www.mendeley.com/documents/?uuid=d445c650-e89f-4713-990b-1f141cfa8097"]}],"mendeley":{"formattedCitation":"(Florit et al., 2022)","plainTextFormattedCitation":"(Florit et al., 2022)","previouslyFormattedCitation":"(Florit et al., 2022)"},"properties":{"noteIndex":0},"schema":"https://github.com/citation-style-language/schema/raw/master/csl-citation.json"}</w:instrText>
      </w:r>
      <w:r w:rsidR="003E37AF" w:rsidRPr="003E37AF">
        <w:rPr>
          <w:lang w:val="en-GB"/>
        </w:rPr>
        <w:fldChar w:fldCharType="separate"/>
      </w:r>
      <w:r w:rsidR="003E37AF" w:rsidRPr="003E37AF">
        <w:rPr>
          <w:noProof/>
          <w:lang w:val="en-GB"/>
        </w:rPr>
        <w:t>(Florit et al., 2022)</w:t>
      </w:r>
      <w:r w:rsidR="003E37AF" w:rsidRPr="003E37AF">
        <w:rPr>
          <w:lang w:val="en-GB"/>
        </w:rPr>
        <w:fldChar w:fldCharType="end"/>
      </w:r>
      <w:r w:rsidR="00B52BE7" w:rsidRPr="003E37AF">
        <w:rPr>
          <w:lang w:val="en-GB"/>
        </w:rPr>
        <w:t>.</w:t>
      </w:r>
      <w:r w:rsidR="00840A7F">
        <w:rPr>
          <w:lang w:val="en-GB"/>
        </w:rPr>
        <w:t xml:space="preserve"> </w:t>
      </w:r>
    </w:p>
    <w:p w14:paraId="4BFDD99D" w14:textId="12958A16" w:rsidR="00C506DF" w:rsidRDefault="00E141EC" w:rsidP="009C5F79">
      <w:pPr>
        <w:pStyle w:val="CETBodytext"/>
        <w:rPr>
          <w:lang w:val="en-GB"/>
        </w:rPr>
      </w:pPr>
      <w:r>
        <w:rPr>
          <w:lang w:val="en-GB"/>
        </w:rPr>
        <w:t xml:space="preserve">Extensive research has demonstrated </w:t>
      </w:r>
      <w:r w:rsidR="00B12D80">
        <w:rPr>
          <w:lang w:val="en-GB"/>
        </w:rPr>
        <w:t>that</w:t>
      </w:r>
      <w:r>
        <w:rPr>
          <w:lang w:val="en-GB"/>
        </w:rPr>
        <w:t xml:space="preserve"> the pool diameter plays an essential role in the dynamics and consequences of a pool fire</w:t>
      </w:r>
      <w:r w:rsidR="005D0D8D">
        <w:rPr>
          <w:lang w:val="en-GB"/>
        </w:rPr>
        <w:t xml:space="preserve"> </w:t>
      </w:r>
      <w:r w:rsidR="00321B85">
        <w:rPr>
          <w:lang w:val="en-GB"/>
        </w:rPr>
        <w:fldChar w:fldCharType="begin" w:fldLock="1"/>
      </w:r>
      <w:r w:rsidR="00FC6C82">
        <w:rPr>
          <w:lang w:val="en-GB"/>
        </w:rPr>
        <w:instrText>ADDIN CSL_CITATION {"citationItems":[{"id":"ITEM-1","itemData":{"DOI":"10.1016/j.pecs.2022.101070","ISSN":"03601285","abstract":"Pool fire is generally described as a diffusion combustion process that occurs above a horizontal fuel surface (composed of gaseous or volatile condensed fuel) with low (</w:instrText>
      </w:r>
      <w:r w:rsidR="00FC6C82">
        <w:rPr>
          <w:rFonts w:ascii="Cambria Math" w:hAnsi="Cambria Math" w:cs="Cambria Math"/>
          <w:lang w:val="en-GB"/>
        </w:rPr>
        <w:instrText>∼</w:instrText>
      </w:r>
      <w:r w:rsidR="00FC6C82">
        <w:rPr>
          <w:lang w:val="en-GB"/>
        </w:rPr>
        <w:instrText>zero) initial momentum. Fundamentally, this type of diffusion combustion can be represented by basic forms ranging from a small laminar candle flame, to a turbulent medium-scale sofa fire, and up a storage tank fire, or even a massive forest fire. Pool fire research thus not only has fundamental scientific significance for the study of classical diffusion combustion, but also plays an important role in practical fire safety engineering. Therefore, pool fire is recognized as one of the canonical configurations in both the combustion and fire science communities. Pool fire research involves a rich, multilateral, and bidirectional coupling of fluid mechanics with scalar transport, combustion, and heat transfer. Because of the unabated large-scale disasters that can occur and the numerous and complex 'unknowns' involved in pool fires, several new questions have been raised with accompanying solutions and old questions have been revisited, particularly in recent decades. Significant developments have occurred from a variety of different perspectives in terms of pool fire dynamics, and thus the scientific progress made must be summarized in a systematic manner. This paper provides a comprehensive review of the basic fundamentals of pool fires, including the scale effect, the wind effect, pressure and gravity effects, and multi-pool fire dynamics, with particular focus on recent advances in this century. As the fundamentals of pool fires, the theoretical progress made with regard to burning rates, air entrainment, flame pulsation, the morphological characteristics of flames, radiation, and the dimensional modelling are reviewed first, followed by new insights into the fluid mechanics involved, radiative heat transfer and combustion modeling. With regard to the scale effect, recent experimental and theoretical advances in internal thermal transport and fluid motions within the liquid-phase fuel, lip height effects, and heat transfer blockage are summarized systematically. Furthermore, new understandings of aspects including heat feedback and the burning rate, flame tilt, flame length and instability, flame sag and base drag, and soot and radiation behavior under wind, pressure and gravity effects are reviewed. The growing research into the onset and the merging dynamics of multiple pool fires …","author":[{"dropping-particle":"","family":"Chen","given":"Yuhang","non-dropping-particle":"","parse-names":false,"suffix":""},{"dropping-particle":"","family":"Fang","given":"Jun","non-dropping-particle":"","parse-names":false,"suffix":""},{"dropping-particle":"","family":"Zhang","given":"Xiaolei","non-dropping-particle":"","parse-names":false,"suffix":""},{"dropping-particle":"","family":"Miao","given":"Yanli","non-dropping-particle":"","parse-names":false,"suffix":""},{"dropping-particle":"","family":"Lin","given":"Yujie","non-dropping-particle":"","parse-names":false,"suffix":""},{"dropping-particle":"","family":"Tu","given":"Ran","non-dropping-particle":"","parse-names":false,"suffix":""},{"dropping-particle":"","family":"Hu","given":"Longhua","non-dropping-particle":"","parse-names":false,"suffix":""}],"container-title":"Progress in Energy and Combustion Science","id":"ITEM-1","issue":"November 2021","issued":{"date-parts":[["2023"]]},"page":"101070","publisher":"Elsevier Ltd","title":"Pool fire dynamics: Principles, models and recent advances","type":"article-journal","volume":"95"},"uris":["http://www.mendeley.com/documents/?uuid=a731bfbc-2a13-4740-b1a7-ae2814aa800c"]}],"mendeley":{"formattedCitation":"(Chen et al., 2023)","plainTextFormattedCitation":"(Chen et al., 2023)","previouslyFormattedCitation":"(Chen et al., 2023)"},"properties":{"noteIndex":0},"schema":"https://github.com/citation-style-language/schema/raw/master/csl-citation.json"}</w:instrText>
      </w:r>
      <w:r w:rsidR="00321B85">
        <w:rPr>
          <w:lang w:val="en-GB"/>
        </w:rPr>
        <w:fldChar w:fldCharType="separate"/>
      </w:r>
      <w:r w:rsidR="00321B85" w:rsidRPr="00321B85">
        <w:rPr>
          <w:noProof/>
          <w:lang w:val="en-GB"/>
        </w:rPr>
        <w:t>(Chen et al., 2023)</w:t>
      </w:r>
      <w:r w:rsidR="00321B85">
        <w:rPr>
          <w:lang w:val="en-GB"/>
        </w:rPr>
        <w:fldChar w:fldCharType="end"/>
      </w:r>
      <w:r w:rsidR="00321B85">
        <w:rPr>
          <w:lang w:val="en-GB"/>
        </w:rPr>
        <w:t>.</w:t>
      </w:r>
      <w:r>
        <w:rPr>
          <w:lang w:val="en-GB"/>
        </w:rPr>
        <w:t xml:space="preserve"> Indeed, different governing burning modes can be attributed based on the analysed range. More specifically, </w:t>
      </w:r>
      <w:proofErr w:type="spellStart"/>
      <w:r>
        <w:rPr>
          <w:lang w:val="en-GB"/>
        </w:rPr>
        <w:t>Babrauskas</w:t>
      </w:r>
      <w:proofErr w:type="spellEnd"/>
      <w:r>
        <w:rPr>
          <w:lang w:val="en-GB"/>
        </w:rPr>
        <w:t xml:space="preserve"> (1983)</w:t>
      </w:r>
      <w:r w:rsidR="00321B85">
        <w:rPr>
          <w:lang w:val="en-GB"/>
        </w:rPr>
        <w:t xml:space="preserve"> </w:t>
      </w:r>
      <w:r w:rsidR="00FC6C82">
        <w:rPr>
          <w:lang w:val="en-GB"/>
        </w:rPr>
        <w:fldChar w:fldCharType="begin" w:fldLock="1"/>
      </w:r>
      <w:r w:rsidR="00FB2991">
        <w:rPr>
          <w:lang w:val="en-GB"/>
        </w:rPr>
        <w:instrText>ADDIN CSL_CITATION {"citationItems":[{"id":"ITEM-1","itemData":{"DOI":"10.1007/BF02380810","ISBN":"0015-2684","ISSN":"00152684","abstract":"Data for estimating the burning rate and heat output of large pool fires (diameter â‰³ 0.2 m) are compiled and computational equations presented. Since a large scatter in the reported data is noted, attention is also focused on areas where further research is most needed in order to improve predictability. Â© 1983 The National Fire Protection Association.","author":[{"dropping-particle":"","family":"Babrauskas","given":"Vytenis","non-dropping-particle":"","parse-names":false,"suffix":""}],"container-title":"Fire Technology","id":"ITEM-1","issue":"4","issued":{"date-parts":[["1983"]]},"page":"251-261","title":"Estimating large pool fire burning rates","type":"article-journal","volume":"19"},"uris":["http://www.mendeley.com/documents/?uuid=4e387d35-71e8-42de-986c-d27382b5a597"]}],"mendeley":{"formattedCitation":"(Babrauskas, 1983)","plainTextFormattedCitation":"(Babrauskas, 1983)","previouslyFormattedCitation":"(Babrauskas, 1983)"},"properties":{"noteIndex":0},"schema":"https://github.com/citation-style-language/schema/raw/master/csl-citation.json"}</w:instrText>
      </w:r>
      <w:r w:rsidR="00FC6C82">
        <w:rPr>
          <w:lang w:val="en-GB"/>
        </w:rPr>
        <w:fldChar w:fldCharType="separate"/>
      </w:r>
      <w:r w:rsidR="00FC6C82" w:rsidRPr="00FC6C82">
        <w:rPr>
          <w:noProof/>
          <w:lang w:val="en-GB"/>
        </w:rPr>
        <w:t>(Babrauskas, 1983)</w:t>
      </w:r>
      <w:r w:rsidR="00FC6C82">
        <w:rPr>
          <w:lang w:val="en-GB"/>
        </w:rPr>
        <w:fldChar w:fldCharType="end"/>
      </w:r>
      <w:r>
        <w:rPr>
          <w:lang w:val="en-GB"/>
        </w:rPr>
        <w:t xml:space="preserve"> attributed convective laminar flames to pool</w:t>
      </w:r>
      <w:r w:rsidR="00B12D80">
        <w:rPr>
          <w:lang w:val="en-GB"/>
        </w:rPr>
        <w:t>s</w:t>
      </w:r>
      <w:r>
        <w:rPr>
          <w:lang w:val="en-GB"/>
        </w:rPr>
        <w:t xml:space="preserve"> having </w:t>
      </w:r>
      <w:r w:rsidR="00B12D80">
        <w:rPr>
          <w:lang w:val="en-GB"/>
        </w:rPr>
        <w:t xml:space="preserve">a </w:t>
      </w:r>
      <w:r>
        <w:rPr>
          <w:lang w:val="en-GB"/>
        </w:rPr>
        <w:t xml:space="preserve">diameter smaller than 5 cm, convective turbulent flame </w:t>
      </w:r>
      <w:r w:rsidR="00B12D80">
        <w:rPr>
          <w:lang w:val="en-GB"/>
        </w:rPr>
        <w:t>to</w:t>
      </w:r>
      <w:r>
        <w:rPr>
          <w:lang w:val="en-GB"/>
        </w:rPr>
        <w:t xml:space="preserve"> pools having </w:t>
      </w:r>
      <w:r w:rsidR="00B12D80">
        <w:rPr>
          <w:lang w:val="en-GB"/>
        </w:rPr>
        <w:t xml:space="preserve">a </w:t>
      </w:r>
      <w:r>
        <w:rPr>
          <w:lang w:val="en-GB"/>
        </w:rPr>
        <w:t xml:space="preserve">diameter within the range </w:t>
      </w:r>
      <w:r w:rsidR="00B12D80">
        <w:rPr>
          <w:lang w:val="en-GB"/>
        </w:rPr>
        <w:t xml:space="preserve">of </w:t>
      </w:r>
      <w:r>
        <w:rPr>
          <w:lang w:val="en-GB"/>
        </w:rPr>
        <w:t xml:space="preserve">5 – 20 cm, radiative optically thin flames </w:t>
      </w:r>
      <w:r w:rsidR="00B12D80">
        <w:rPr>
          <w:lang w:val="en-GB"/>
        </w:rPr>
        <w:t>to</w:t>
      </w:r>
      <w:r>
        <w:rPr>
          <w:lang w:val="en-GB"/>
        </w:rPr>
        <w:t xml:space="preserve"> pools having </w:t>
      </w:r>
      <w:r w:rsidR="00B12D80">
        <w:rPr>
          <w:lang w:val="en-GB"/>
        </w:rPr>
        <w:t xml:space="preserve">a </w:t>
      </w:r>
      <w:r>
        <w:rPr>
          <w:lang w:val="en-GB"/>
        </w:rPr>
        <w:t>diameter included in 20 – 100 cm, and radiative optically thick flames for pool larger than 1 m as a diameter. Quite obviously, the validity of these ranges can be affected by the chemical composition of the analysed flammable substances. Regardless of the classification, t</w:t>
      </w:r>
      <w:r w:rsidR="00F23C98">
        <w:rPr>
          <w:lang w:val="en-GB"/>
        </w:rPr>
        <w:t xml:space="preserve">he population of experimental databases have allowed for the development of empirical correlations for a preliminary assessment of the main combustion characteristics of </w:t>
      </w:r>
      <w:r w:rsidR="00B12D80">
        <w:rPr>
          <w:lang w:val="en-GB"/>
        </w:rPr>
        <w:t xml:space="preserve">a </w:t>
      </w:r>
      <w:r w:rsidR="00F23C98">
        <w:rPr>
          <w:lang w:val="en-GB"/>
        </w:rPr>
        <w:t xml:space="preserve">pool fire. As a way of example, the pioneering work of </w:t>
      </w:r>
      <w:proofErr w:type="spellStart"/>
      <w:r w:rsidR="00F23C98">
        <w:rPr>
          <w:lang w:val="en-GB"/>
        </w:rPr>
        <w:t>Hottel</w:t>
      </w:r>
      <w:proofErr w:type="spellEnd"/>
      <w:r w:rsidR="00FC6C82">
        <w:rPr>
          <w:lang w:val="en-GB"/>
        </w:rPr>
        <w:t xml:space="preserve"> </w:t>
      </w:r>
      <w:r w:rsidR="00FB2991">
        <w:rPr>
          <w:lang w:val="en-GB"/>
        </w:rPr>
        <w:fldChar w:fldCharType="begin" w:fldLock="1"/>
      </w:r>
      <w:r w:rsidR="002311AA">
        <w:rPr>
          <w:lang w:val="en-GB"/>
        </w:rPr>
        <w:instrText>ADDIN CSL_CITATION {"citationItems":[{"id":"ITEM-1","itemData":{"author":[{"dropping-particle":"","family":"Hottel","given":"Hoyt C.","non-dropping-particle":"","parse-names":false,"suffix":""}],"container-title":"Fire Research Abstracts and Reviews","id":"ITEM-1","issued":{"date-parts":[["1959"]]},"title":"Review of Certain Laws Governing Diffusive Burning of Liquids","type":"article-journal","volume":"1"},"uris":["http://www.mendeley.com/documents/?uuid=636701ba-9074-4a2f-bcd8-f9fff80b2649"]}],"mendeley":{"formattedCitation":"(Hottel, 1959)","plainTextFormattedCitation":"(Hottel, 1959)","previouslyFormattedCitation":"(Hottel, 1959)"},"properties":{"noteIndex":0},"schema":"https://github.com/citation-style-language/schema/raw/master/csl-citation.json"}</w:instrText>
      </w:r>
      <w:r w:rsidR="00FB2991">
        <w:rPr>
          <w:lang w:val="en-GB"/>
        </w:rPr>
        <w:fldChar w:fldCharType="separate"/>
      </w:r>
      <w:r w:rsidR="00FB2991" w:rsidRPr="00FB2991">
        <w:rPr>
          <w:noProof/>
          <w:lang w:val="en-GB"/>
        </w:rPr>
        <w:t>(Hottel, 1959)</w:t>
      </w:r>
      <w:r w:rsidR="00FB2991">
        <w:rPr>
          <w:lang w:val="en-GB"/>
        </w:rPr>
        <w:fldChar w:fldCharType="end"/>
      </w:r>
      <w:r w:rsidR="00FB2991">
        <w:rPr>
          <w:lang w:val="en-GB"/>
        </w:rPr>
        <w:t xml:space="preserve"> </w:t>
      </w:r>
      <w:r w:rsidR="00F23C98">
        <w:rPr>
          <w:lang w:val="en-GB"/>
        </w:rPr>
        <w:t xml:space="preserve">is worth </w:t>
      </w:r>
      <w:r w:rsidR="00250FA3">
        <w:rPr>
          <w:lang w:val="en-GB"/>
        </w:rPr>
        <w:t>mentioning</w:t>
      </w:r>
      <w:r w:rsidR="00F23C98">
        <w:rPr>
          <w:lang w:val="en-GB"/>
        </w:rPr>
        <w:t xml:space="preserve">. Indeed, the resulting correlations for the evaluation of the mass burning rate and flame height as a function of the pool diameter </w:t>
      </w:r>
      <w:r w:rsidR="00B12D80">
        <w:rPr>
          <w:lang w:val="en-GB"/>
        </w:rPr>
        <w:t>are</w:t>
      </w:r>
      <w:r w:rsidR="00F23C98">
        <w:rPr>
          <w:lang w:val="en-GB"/>
        </w:rPr>
        <w:t xml:space="preserve"> still considered a benchmark for further developments </w:t>
      </w:r>
      <w:r w:rsidR="002311AA">
        <w:rPr>
          <w:lang w:val="en-GB"/>
        </w:rPr>
        <w:fldChar w:fldCharType="begin" w:fldLock="1"/>
      </w:r>
      <w:r w:rsidR="00450A2E">
        <w:rPr>
          <w:lang w:val="en-GB"/>
        </w:rPr>
        <w:instrText>ADDIN CSL_CITATION {"citationItems":[{"id":"ITEM-1","itemData":{"DOI":"10.1016/j.fuel.2019.115676","ISSN":"00162361","abstract":"The prediction of flame extinction, soot formation and heat transfer for kerosene (pool) fires is a key aspect for the characterisation of aviation fuels. In particular, one of the main numerical challenges is the description of complex interactions of chemical and physical phenomena. This work is devoted to the individuation of an optimised surrogate mixture for the development of a detailed chemical model describing liquid fuel pyrolysis, homogeneous combustion and the formation of soot precursors, as well as the implementation of the obtained kinetic mechanism in open source computational fluid dynamics (CFD). To this aim, the primary combustion products and corresponding rate determining step into the production paths are identified by means of sensitivity and reaction paths analyses under several initial conditions representative for the investigated scenarios. The results show that a binary mixture composed of 92%v n-decane and 8%v toluene reproduces the aviation fuel properties. Based on the numerical results obtained in this work for aviation fuel, it holds that the mass burning rate m''kgm-2s-1 dependence with pool diameter (Dp) expressed in meters is: m''=0.47∙1-exp-3.61∙Dp A reduced (detailed) kinetic mechanism consisting of 14 reactions is obtained and implemented in a CFD model. The numerical results are in accordance with experimental data retrieved from the literature. The observed data consistency validates the adopted procedure and allows for further considerations on soot precursor formation in case of diffusive flames of aviation fuel.","author":[{"dropping-particle":"","family":"Pio","given":"Gianmaria","non-dropping-particle":"","parse-names":false,"suffix":""},{"dropping-particle":"","family":"Carboni","given":"Mattia","non-dropping-particle":"","parse-names":false,"suffix":""},{"dropping-particle":"","family":"Salzano","given":"Ernesto","non-dropping-particle":"","parse-names":false,"suffix":""}],"container-title":"Fuel","id":"ITEM-1","issued":{"date-parts":[["2019"]]},"page":"115676","publisher":"Elsevier","title":"Realistic aviation fuel chemistry in computational fluid dynamics","type":"article-journal","volume":"254"},"uris":["http://www.mendeley.com/documents/?uuid=3bb5f683-ab28-455c-bbe3-154d3585b801"]}],"mendeley":{"formattedCitation":"(Pio et al., 2019b)","plainTextFormattedCitation":"(Pio et al., 2019b)","previouslyFormattedCitation":"(Pio et al., 2019)"},"properties":{"noteIndex":0},"schema":"https://github.com/citation-style-language/schema/raw/master/csl-citation.json"}</w:instrText>
      </w:r>
      <w:r w:rsidR="002311AA">
        <w:rPr>
          <w:lang w:val="en-GB"/>
        </w:rPr>
        <w:fldChar w:fldCharType="separate"/>
      </w:r>
      <w:r w:rsidR="00450A2E" w:rsidRPr="00450A2E">
        <w:rPr>
          <w:noProof/>
          <w:lang w:val="en-GB"/>
        </w:rPr>
        <w:t>(Pio et al., 2019b)</w:t>
      </w:r>
      <w:r w:rsidR="002311AA">
        <w:rPr>
          <w:lang w:val="en-GB"/>
        </w:rPr>
        <w:fldChar w:fldCharType="end"/>
      </w:r>
      <w:r w:rsidR="00F23C98">
        <w:rPr>
          <w:lang w:val="en-GB"/>
        </w:rPr>
        <w:t>.</w:t>
      </w:r>
      <w:r>
        <w:rPr>
          <w:lang w:val="en-GB"/>
        </w:rPr>
        <w:t xml:space="preserve"> </w:t>
      </w:r>
      <w:r w:rsidR="0013740C">
        <w:rPr>
          <w:lang w:val="en-GB"/>
        </w:rPr>
        <w:t xml:space="preserve">However, considering the scope of the posed target, most </w:t>
      </w:r>
      <w:r w:rsidR="00B12D80">
        <w:rPr>
          <w:lang w:val="en-GB"/>
        </w:rPr>
        <w:t xml:space="preserve">of </w:t>
      </w:r>
      <w:r w:rsidR="0013740C">
        <w:rPr>
          <w:lang w:val="en-GB"/>
        </w:rPr>
        <w:t>the available experimental tests can suffer f</w:t>
      </w:r>
      <w:r w:rsidR="00B12D80">
        <w:rPr>
          <w:lang w:val="en-GB"/>
        </w:rPr>
        <w:t>rom</w:t>
      </w:r>
      <w:r w:rsidR="0013740C">
        <w:rPr>
          <w:lang w:val="en-GB"/>
        </w:rPr>
        <w:t xml:space="preserve"> uncertainties, unpredictability, or discontinuity of boundary conditions, especially </w:t>
      </w:r>
      <w:r w:rsidR="00B12D80">
        <w:rPr>
          <w:lang w:val="en-GB"/>
        </w:rPr>
        <w:t>in</w:t>
      </w:r>
      <w:r w:rsidR="0013740C">
        <w:rPr>
          <w:lang w:val="en-GB"/>
        </w:rPr>
        <w:t xml:space="preserve"> the case of large-scale tests. In this sense, the realization of a robust database at small or medium scales can be recommended. Besides, the production of a controlled and monitored atmosphere can be highly desirable to generate experimental data suitable for the development of specific models and correlations reproducing industrial</w:t>
      </w:r>
      <w:r w:rsidR="00B12D80">
        <w:rPr>
          <w:lang w:val="en-GB"/>
        </w:rPr>
        <w:t>-</w:t>
      </w:r>
      <w:r w:rsidR="0013740C">
        <w:rPr>
          <w:lang w:val="en-GB"/>
        </w:rPr>
        <w:t xml:space="preserve">relevant conditions. In this sense, defining the </w:t>
      </w:r>
      <w:r w:rsidR="00553B9F">
        <w:rPr>
          <w:lang w:val="en-GB"/>
        </w:rPr>
        <w:t>intensity of external heat flux reaching a liquid at a temperature above its flash point is paramount</w:t>
      </w:r>
      <w:r w:rsidR="009147D4">
        <w:rPr>
          <w:lang w:val="en-GB"/>
        </w:rPr>
        <w:t xml:space="preserve"> </w:t>
      </w:r>
      <w:r w:rsidR="009147D4">
        <w:rPr>
          <w:lang w:val="en-GB"/>
        </w:rPr>
        <w:fldChar w:fldCharType="begin" w:fldLock="1"/>
      </w:r>
      <w:r w:rsidR="00D7170B">
        <w:rPr>
          <w:lang w:val="en-GB"/>
        </w:rPr>
        <w:instrText>ADDIN CSL_CITATION {"citationItems":[{"id":"ITEM-1","itemData":{"DOI":"10.1016/j.firesaf.2021.103449","ISSN":"03797112","abstract":"The cone calorimeter is traditionally used to measure the response of solid materials to radiant heating. Liquids are also commonly tested, but the methods employed are varied and inconsistent. There is a need to understand how the experimental conditions impact test results, and to develop formal guidance on a testing protocol for liquids. The cone calorimeter can be used to characterize the fire performance of liquids according to their propensities for ignition, boiling, and burning, as well as their combustion characteristics. A review of the literature was carried out to understand the breadth of apparatus and procedures used to date and their impacts on test results. From this, a series of recommendations were developed for adapting the test protocol for liquids. The vessel used should be circular; steel, borosilicate glass, or fused quartz; positioned on 13 mm of flat ceramic fiber insulation within a larger spillage containment pan; and have a diameter between 65 mm and 90 mm. Liquid depths of 10 mm should be used, and tests should be nominally be conducted at a heat flux of 10 kW</w:instrText>
      </w:r>
      <w:r w:rsidR="00D7170B">
        <w:rPr>
          <w:rFonts w:ascii="Cambria Math" w:hAnsi="Cambria Math" w:cs="Cambria Math"/>
          <w:lang w:val="en-GB"/>
        </w:rPr>
        <w:instrText>⋅</w:instrText>
      </w:r>
      <w:r w:rsidR="00D7170B">
        <w:rPr>
          <w:lang w:val="en-GB"/>
        </w:rPr>
        <w:instrText>m</w:instrText>
      </w:r>
      <w:r w:rsidR="00D7170B">
        <w:rPr>
          <w:rFonts w:cs="Arial"/>
          <w:lang w:val="en-GB"/>
        </w:rPr>
        <w:instrText>−</w:instrText>
      </w:r>
      <w:r w:rsidR="00D7170B">
        <w:rPr>
          <w:lang w:val="en-GB"/>
        </w:rPr>
        <w:instrText>2. This work provides the necessary technical basis for adoption of a consistent methodology for cone calorimeter testing of liquids.","author":[{"dropping-particle":"","family":"DiDomizio","given":"Matthew J.","non-dropping-particle":"","parse-names":false,"suffix":""},{"dropping-particle":"","family":"Ibrahimli","given":"Vusal","non-dropping-particle":"","parse-names":false,"suffix":""},{"dropping-particle":"","family":"Weckman","given":"Elizabeth J.","non-dropping-particle":"","parse-names":false,"suffix":""}],"container-title":"Fire Safety Journal","id":"ITEM-1","issued":{"date-parts":[["2021"]]},"page":"103449","publisher":"Elsevier Ltd","title":"Testing of liquids with the cone calorimeter","type":"article-journal","volume":"126"},"uris":["http://www.mendeley.com/documents/?uuid=4d7fc24a-3b7b-43d3-90c4-0e6d5c1aeec7"]}],"mendeley":{"formattedCitation":"(DiDomizio et al., 2021)","plainTextFormattedCitation":"(DiDomizio et al., 2021)","previouslyFormattedCitation":"(DiDomizio et al., 2021)"},"properties":{"noteIndex":0},"schema":"https://github.com/citation-style-language/schema/raw/master/csl-citation.json"}</w:instrText>
      </w:r>
      <w:r w:rsidR="009147D4">
        <w:rPr>
          <w:lang w:val="en-GB"/>
        </w:rPr>
        <w:fldChar w:fldCharType="separate"/>
      </w:r>
      <w:r w:rsidR="009147D4" w:rsidRPr="009147D4">
        <w:rPr>
          <w:noProof/>
          <w:lang w:val="en-GB"/>
        </w:rPr>
        <w:t>(DiDomizio et al., 2021)</w:t>
      </w:r>
      <w:r w:rsidR="009147D4">
        <w:rPr>
          <w:lang w:val="en-GB"/>
        </w:rPr>
        <w:fldChar w:fldCharType="end"/>
      </w:r>
      <w:r w:rsidR="00553B9F">
        <w:rPr>
          <w:lang w:val="en-GB"/>
        </w:rPr>
        <w:t>.</w:t>
      </w:r>
      <w:r w:rsidR="00C506DF">
        <w:rPr>
          <w:lang w:val="en-GB"/>
        </w:rPr>
        <w:t xml:space="preserve"> </w:t>
      </w:r>
      <w:r>
        <w:rPr>
          <w:lang w:val="en-GB"/>
        </w:rPr>
        <w:t>Therefore, a</w:t>
      </w:r>
      <w:r w:rsidR="00586FF2" w:rsidRPr="00C263F8">
        <w:rPr>
          <w:lang w:val="en-GB"/>
        </w:rPr>
        <w:t>n in-depth</w:t>
      </w:r>
      <w:r w:rsidR="009C5F79" w:rsidRPr="00C263F8">
        <w:rPr>
          <w:lang w:val="en-GB"/>
        </w:rPr>
        <w:t xml:space="preserve"> analysis of the thermal and combustion properties of solvents is imperative to develop predictive models that can inform safety protocols. </w:t>
      </w:r>
    </w:p>
    <w:p w14:paraId="668AFF2C" w14:textId="113E790F" w:rsidR="00B307FD" w:rsidRDefault="009C5F79" w:rsidP="009C5F79">
      <w:pPr>
        <w:pStyle w:val="CETBodytext"/>
        <w:rPr>
          <w:lang w:val="en-GB"/>
        </w:rPr>
      </w:pPr>
      <w:r w:rsidRPr="00C263F8">
        <w:rPr>
          <w:lang w:val="en-GB"/>
        </w:rPr>
        <w:t xml:space="preserve">Zooming in on specific solvents, hexane, ethyl acetate, and ethanol emerge as </w:t>
      </w:r>
      <w:r w:rsidRPr="00742600">
        <w:rPr>
          <w:lang w:val="en-GB"/>
        </w:rPr>
        <w:t xml:space="preserve">exemplars, </w:t>
      </w:r>
      <w:r w:rsidR="00F13337" w:rsidRPr="00742600">
        <w:rPr>
          <w:lang w:val="en-GB"/>
        </w:rPr>
        <w:t>each exhibiting distinct characteristics that influence their response to external stimuli</w:t>
      </w:r>
      <w:r w:rsidRPr="00742600">
        <w:rPr>
          <w:lang w:val="en-GB"/>
        </w:rPr>
        <w:t xml:space="preserve">. </w:t>
      </w:r>
      <w:r w:rsidR="00ED3902" w:rsidRPr="00742600">
        <w:t>Hexane, a hydrocarbon solvent, is known for its low flash point</w:t>
      </w:r>
      <w:r w:rsidR="00A7341C" w:rsidRPr="00742600">
        <w:t xml:space="preserve"> (</w:t>
      </w:r>
      <w:proofErr w:type="spellStart"/>
      <w:r w:rsidR="000561B0" w:rsidRPr="00742600">
        <w:t>T</w:t>
      </w:r>
      <w:r w:rsidR="000561B0" w:rsidRPr="00742600">
        <w:rPr>
          <w:vertAlign w:val="subscript"/>
        </w:rPr>
        <w:t>f</w:t>
      </w:r>
      <w:proofErr w:type="spellEnd"/>
      <w:r w:rsidR="000561B0" w:rsidRPr="00742600">
        <w:t xml:space="preserve">: </w:t>
      </w:r>
      <w:r w:rsidR="00085CDE" w:rsidRPr="00742600">
        <w:t>-2</w:t>
      </w:r>
      <w:r w:rsidR="0013482C" w:rsidRPr="00742600">
        <w:t>3</w:t>
      </w:r>
      <w:r w:rsidR="00085CDE" w:rsidRPr="00742600">
        <w:t xml:space="preserve"> °C, </w:t>
      </w:r>
      <w:r w:rsidR="00C263F8" w:rsidRPr="00742600">
        <w:fldChar w:fldCharType="begin" w:fldLock="1"/>
      </w:r>
      <w:r w:rsidR="00D93115" w:rsidRPr="00742600">
        <w:instrText>ADDIN CSL_CITATION {"citationItems":[{"id":"ITEM-1","itemData":{"URL":"https://cameochemicals.noaa.gov/","abstract":"CAMEO Chemicals is a database of hazardous chemical datasheets thatemergency responders and planners can use to get response recommendationsand predict hazards—such as explosions or toxic fumes.","author":[{"dropping-particle":"","family":"Cameo","given":"","non-dropping-particle":"","parse-names":false,"suffix":""}],"container-title":"Report CAMEO Chemicals NOAA","id":"ITEM-1","issued":{"date-parts":[["2023"]]},"title":"CAMEO Chemicals","type":"webpage"},"uris":["http://www.mendeley.com/documents/?uuid=c3316c66-5f0a-48d4-9be9-a55ca95a991f"]}],"mendeley":{"formattedCitation":"(Cameo, 2023)","plainTextFormattedCitation":"(Cameo, 2023)","previouslyFormattedCitation":"(Cameo, 2023)"},"properties":{"noteIndex":0},"schema":"https://github.com/citation-style-language/schema/raw/master/csl-citation.json"}</w:instrText>
      </w:r>
      <w:r w:rsidR="00C263F8" w:rsidRPr="00742600">
        <w:fldChar w:fldCharType="separate"/>
      </w:r>
      <w:r w:rsidR="00D93115" w:rsidRPr="00742600">
        <w:rPr>
          <w:noProof/>
        </w:rPr>
        <w:t>(Cameo, 2023)</w:t>
      </w:r>
      <w:r w:rsidR="00C263F8" w:rsidRPr="00742600">
        <w:fldChar w:fldCharType="end"/>
      </w:r>
      <w:r w:rsidR="00C263F8" w:rsidRPr="00742600">
        <w:t>)</w:t>
      </w:r>
      <w:r w:rsidR="00ED3902" w:rsidRPr="00742600">
        <w:t>, indicating its susceptibility to ignition at relatively low temperatures. Frequently employed in industrial processes such as extraction and cleaning</w:t>
      </w:r>
      <w:r w:rsidR="00271612" w:rsidRPr="00742600">
        <w:t xml:space="preserve"> </w:t>
      </w:r>
      <w:r w:rsidR="00271612" w:rsidRPr="00742600">
        <w:fldChar w:fldCharType="begin" w:fldLock="1"/>
      </w:r>
      <w:r w:rsidR="00E63460" w:rsidRPr="00742600">
        <w:instrText>ADDIN CSL_CITATION {"citationItems":[{"id":"ITEM-1","itemData":{"DOI":"10.1021/acsomega.3c02552","ISSN":"24701343","abstract":"Catalysts played a crucial role in advancing modern human civilization, from ancient times to the industrial revolution. Due to high cost and limited availability of traditional catalysts, there is a need to develop cost-effective, high-activity, and nonprecious metal-based electrocatalysts. Metal-organic frameworks (MOFs) have emerged as an ideal candidate for heterogeneous catalysis due to their physicochemical properties, hybrid inorganic/organic structures, uncoordinated metal sites, and accessible organic sections. MOFs are high nanoporous crystalline materials that can be used as catalysts to facilitate polymerization reactions. Their chemical and structural diversity make them effective for various reactions compared to traditional catalysts. MOFs have been applied in gas storage and separation, ion-exchange, drug delivery, luminescence, sensing, nanofilters, water purification, and catalysis. The review focuses on MOF-enabled heterogeneous catalysis for value-added compound production, including alcohol oxidation, olefin oligomerization, and polymerization reactions. MOFs offer tunable porosity, high spatial density, and single-crystal XRD control over catalyst properties. In this review, MOFs were focused on reactions of CO2 fixation, CO2 reduction, and photoelectrochemical water splitting. Overall, MOFs have great potential as versatile catalysts for diverse applications in the future.","author":[{"dropping-particle":"","family":"Malekshah","given":"Rahime Eshaghi","non-dropping-particle":"","parse-names":false,"suffix":""},{"dropping-particle":"","family":"Moharramnejad","given":"Mojtaba","non-dropping-particle":"","parse-names":false,"suffix":""},{"dropping-particle":"","family":"Gharanli","given":"Sajjad","non-dropping-particle":"","parse-names":false,"suffix":""},{"dropping-particle":"","family":"Shahi","given":"Mehrnaz","non-dropping-particle":"","parse-names":false,"suffix":""},{"dropping-particle":"","family":"Ehsani","given":"Ali","non-dropping-particle":"","parse-names":false,"suffix":""},{"dropping-particle":"","family":"Haribabu","given":"Jebiti","non-dropping-particle":"","parse-names":false,"suffix":""},{"dropping-particle":"","family":"Ouachtak","given":"Hassan","non-dropping-particle":"","parse-names":false,"suffix":""},{"dropping-particle":"","family":"Mirtamizdoust","given":"Babak","non-dropping-particle":"","parse-names":false,"suffix":""},{"dropping-particle":"","family":"Kamwilaisak","given":"Khanita","non-dropping-particle":"","parse-names":false,"suffix":""},{"dropping-particle":"","family":"Sillanpää","given":"Mika","non-dropping-particle":"","parse-names":false,"suffix":""},{"dropping-particle":"","family":"Erfani","given":"Hadi","non-dropping-particle":"","parse-names":false,"suffix":""}],"container-title":"ACS Omega","id":"ITEM-1","issue":"35","issued":{"date-parts":[["2023"]]},"page":"31600-31619","title":"MOFs as Versatile Catalysts: Synthesis Strategies and Applications in Value-Added Compound Production","type":"article-journal","volume":"8"},"uris":["http://www.mendeley.com/documents/?uuid=1f5b2c79-d311-429a-a231-2fd4703e18e1"]}],"mendeley":{"formattedCitation":"(Malekshah et al., 2023)","plainTextFormattedCitation":"(Malekshah et al., 2023)","previouslyFormattedCitation":"(Malekshah et al., 2023)"},"properties":{"noteIndex":0},"schema":"https://github.com/citation-style-language/schema/raw/master/csl-citation.json"}</w:instrText>
      </w:r>
      <w:r w:rsidR="00271612" w:rsidRPr="00742600">
        <w:fldChar w:fldCharType="separate"/>
      </w:r>
      <w:r w:rsidR="00271612" w:rsidRPr="00742600">
        <w:rPr>
          <w:noProof/>
        </w:rPr>
        <w:t>(Malekshah et al., 2023)</w:t>
      </w:r>
      <w:r w:rsidR="00271612" w:rsidRPr="00742600">
        <w:fldChar w:fldCharType="end"/>
      </w:r>
      <w:r w:rsidR="00ED3902" w:rsidRPr="00742600">
        <w:t>. Similarly, ethyl acetate, a commonly used solvent with applications in paints, coatings, and adhesives</w:t>
      </w:r>
      <w:r w:rsidR="00FA4454" w:rsidRPr="00742600">
        <w:t xml:space="preserve"> </w:t>
      </w:r>
      <w:r w:rsidR="00E63460" w:rsidRPr="00742600">
        <w:fldChar w:fldCharType="begin" w:fldLock="1"/>
      </w:r>
      <w:r w:rsidR="00E63460" w:rsidRPr="00742600">
        <w:instrText>ADDIN CSL_CITATION {"citationItems":[{"id":"ITEM-1","itemData":{"DOI":"10.3390/polym15071741","ISSN":"20734360","abstract":"The lining of paintings is a process of conservation science and art restoration used to strengthen, flatten, or consolidate paintings on canvas by attaching by means of adhesives a second canvas to the back of the existing one. To this aim, the prospects of the use of ethyl vinyl acetate (EVA) resins in aqueous dispersion applied as an adhesive in a foam form have been investigated in the present study. The key physical properties of the foam have been investigated, with a deep focus on rheological behavior and the drying rate, comparing the results with those obtained using the liquid products that are commercially available. Dedicated mock-ups have been prepared to test the adhesive for the lining process, inspecting adhesion strength, colorimetric properties, and the influence on the possible chromatic and visual alteration of the surface, also looking at the chemical interaction with painting materials and the deterioration after an artificial ageing process. The results obtained clearly indicated that the proposed technology is very suitable for the targeted application, and an EVA water-based foamed dispersion can be used for paintings’ lining, in view of the ease of application, being an appropriate adhesion, no chemical interaction, nor the deterioration of the painting.","author":[{"dropping-particle":"","family":"Tarantola","given":"Gaia","non-dropping-particle":"","parse-names":false,"suffix":""},{"dropping-particle":"","family":"Medri","given":"Elena","non-dropping-particle":"","parse-names":false,"suffix":""},{"dropping-particle":"","family":"Splendore","given":"Arianna","non-dropping-particle":"","parse-names":false,"suffix":""},{"dropping-particle":"","family":"Russo","given":"Francesca","non-dropping-particle":"Lo","parse-names":false,"suffix":""},{"dropping-particle":"","family":"Matteucci","given":"Chiara","non-dropping-particle":"","parse-names":false,"suffix":""},{"dropping-particle":"","family":"Minelli","given":"Matteo","non-dropping-particle":"","parse-names":false,"suffix":""}],"container-title":"Polymers","id":"ITEM-1","issue":"7","issued":{"date-parts":[["2023"]]},"title":"Liquid Foam-Ethyl Vinyl Acetate Adhesive Systems for Lining Process of Paintings: Prospects of a User-Friendly, Harmless Alternative to Conventional Products","type":"article-journal","volume":"15"},"uris":["http://www.mendeley.com/documents/?uuid=13657279-446d-463d-bd5f-701dc6805f2d"]}],"mendeley":{"formattedCitation":"(Tarantola et al., 2023)","plainTextFormattedCitation":"(Tarantola et al., 2023)","previouslyFormattedCitation":"(Tarantola et al., 2023)"},"properties":{"noteIndex":0},"schema":"https://github.com/citation-style-language/schema/raw/master/csl-citation.json"}</w:instrText>
      </w:r>
      <w:r w:rsidR="00E63460" w:rsidRPr="00742600">
        <w:fldChar w:fldCharType="separate"/>
      </w:r>
      <w:r w:rsidR="00E63460" w:rsidRPr="00742600">
        <w:rPr>
          <w:noProof/>
        </w:rPr>
        <w:t>(Tarantola et al., 2023)</w:t>
      </w:r>
      <w:r w:rsidR="00E63460" w:rsidRPr="00742600">
        <w:fldChar w:fldCharType="end"/>
      </w:r>
      <w:r w:rsidR="00ED3902" w:rsidRPr="00742600">
        <w:t>, exhibits specific characteristics, including a moderate flash point</w:t>
      </w:r>
      <w:r w:rsidR="008532E4" w:rsidRPr="00742600">
        <w:t xml:space="preserve"> (</w:t>
      </w:r>
      <w:proofErr w:type="spellStart"/>
      <w:r w:rsidR="00840A7F" w:rsidRPr="00742600">
        <w:t>T</w:t>
      </w:r>
      <w:r w:rsidR="00840A7F" w:rsidRPr="00742600">
        <w:rPr>
          <w:vertAlign w:val="subscript"/>
        </w:rPr>
        <w:t>f</w:t>
      </w:r>
      <w:proofErr w:type="spellEnd"/>
      <w:r w:rsidR="00840A7F" w:rsidRPr="00742600">
        <w:t>:</w:t>
      </w:r>
      <w:r w:rsidR="00840A7F">
        <w:t xml:space="preserve"> </w:t>
      </w:r>
      <w:r w:rsidR="008532E4" w:rsidRPr="00742600">
        <w:t>-4</w:t>
      </w:r>
      <w:r w:rsidR="00381E8F" w:rsidRPr="00742600">
        <w:t>.4 °C</w:t>
      </w:r>
      <w:r w:rsidR="008532E4" w:rsidRPr="00742600">
        <w:t xml:space="preserve">, </w:t>
      </w:r>
      <w:r w:rsidR="00E63460" w:rsidRPr="00742600">
        <w:fldChar w:fldCharType="begin" w:fldLock="1"/>
      </w:r>
      <w:r w:rsidR="00E63460" w:rsidRPr="00742600">
        <w:instrText>ADDIN CSL_CITATION {"citationItems":[{"id":"ITEM-1","itemData":{"URL":"https://cameochemicals.noaa.gov/","abstract":"CAMEO Chemicals is a database of hazardous chemical datasheets thatemergency responders and planners can use to get response recommendationsand predict hazards—such as explosions or toxic fumes.","author":[{"dropping-particle":"","family":"Cameo","given":"","non-dropping-particle":"","parse-names":false,"suffix":""}],"container-title":"Report CAMEO Chemicals NOAA","id":"ITEM-1","issued":{"date-parts":[["2023"]]},"title":"CAMEO Chemicals","type":"webpage"},"uris":["http://www.mendeley.com/documents/?uuid=c3316c66-5f0a-48d4-9be9-a55ca95a991f"]}],"mendeley":{"formattedCitation":"(Cameo, 2023)","plainTextFormattedCitation":"(Cameo, 2023)","previouslyFormattedCitation":"(Cameo, 2023)"},"properties":{"noteIndex":0},"schema":"https://github.com/citation-style-language/schema/raw/master/csl-citation.json"}</w:instrText>
      </w:r>
      <w:r w:rsidR="00E63460" w:rsidRPr="00742600">
        <w:fldChar w:fldCharType="separate"/>
      </w:r>
      <w:r w:rsidR="00E63460" w:rsidRPr="00742600">
        <w:rPr>
          <w:noProof/>
        </w:rPr>
        <w:t>(Cameo, 2023)</w:t>
      </w:r>
      <w:r w:rsidR="00E63460" w:rsidRPr="00742600">
        <w:fldChar w:fldCharType="end"/>
      </w:r>
      <w:r w:rsidR="008532E4" w:rsidRPr="00742600">
        <w:t>)</w:t>
      </w:r>
      <w:r w:rsidR="00ED3902" w:rsidRPr="00742600">
        <w:t>. Ethanol</w:t>
      </w:r>
      <w:r w:rsidR="000561B0" w:rsidRPr="00742600">
        <w:t xml:space="preserve"> (</w:t>
      </w:r>
      <w:proofErr w:type="spellStart"/>
      <w:r w:rsidR="00840A7F" w:rsidRPr="00742600">
        <w:t>T</w:t>
      </w:r>
      <w:r w:rsidR="00840A7F" w:rsidRPr="00742600">
        <w:rPr>
          <w:vertAlign w:val="subscript"/>
        </w:rPr>
        <w:t>f</w:t>
      </w:r>
      <w:proofErr w:type="spellEnd"/>
      <w:r w:rsidR="00840A7F" w:rsidRPr="00742600">
        <w:t>:</w:t>
      </w:r>
      <w:r w:rsidR="00840A7F">
        <w:t xml:space="preserve"> </w:t>
      </w:r>
      <w:r w:rsidR="000561B0" w:rsidRPr="00742600">
        <w:t xml:space="preserve">12.7°C, </w:t>
      </w:r>
      <w:r w:rsidR="00E63460" w:rsidRPr="00742600">
        <w:fldChar w:fldCharType="begin" w:fldLock="1"/>
      </w:r>
      <w:r w:rsidR="00742600" w:rsidRPr="00742600">
        <w:instrText>ADDIN CSL_CITATION {"citationItems":[{"id":"ITEM-1","itemData":{"URL":"https://cameochemicals.noaa.gov/","abstract":"CAMEO Chemicals is a database of hazardous chemical datasheets thatemergency responders and planners can use to get response recommendationsand predict hazards—such as explosions or toxic fumes.","author":[{"dropping-particle":"","family":"Cameo","given":"","non-dropping-particle":"","parse-names":false,"suffix":""}],"container-title":"Report CAMEO Chemicals NOAA","id":"ITEM-1","issued":{"date-parts":[["2023"]]},"title":"CAMEO Chemicals","type":"webpage"},"uris":["http://www.mendeley.com/documents/?uuid=c3316c66-5f0a-48d4-9be9-a55ca95a991f"]}],"mendeley":{"formattedCitation":"(Cameo, 2023)","plainTextFormattedCitation":"(Cameo, 2023)","previouslyFormattedCitation":"(Cameo, 2023)"},"properties":{"noteIndex":0},"schema":"https://github.com/citation-style-language/schema/raw/master/csl-citation.json"}</w:instrText>
      </w:r>
      <w:r w:rsidR="00E63460" w:rsidRPr="00742600">
        <w:fldChar w:fldCharType="separate"/>
      </w:r>
      <w:r w:rsidR="00E63460" w:rsidRPr="00742600">
        <w:rPr>
          <w:noProof/>
        </w:rPr>
        <w:t>(Cameo, 2023)</w:t>
      </w:r>
      <w:r w:rsidR="00E63460" w:rsidRPr="00742600">
        <w:fldChar w:fldCharType="end"/>
      </w:r>
      <w:r w:rsidR="000561B0" w:rsidRPr="00742600">
        <w:t>)</w:t>
      </w:r>
      <w:r w:rsidR="00ED3902" w:rsidRPr="00742600">
        <w:t xml:space="preserve">, a biofuel and industrial solvent, introduces a multifaceted dimension to the discussion. With its application in the automotive sector as a fuel additive, ethanol </w:t>
      </w:r>
      <w:r w:rsidR="00ED3902" w:rsidRPr="005837B9">
        <w:t>transportation raises intricate safety consideration</w:t>
      </w:r>
      <w:r w:rsidR="00742600" w:rsidRPr="005837B9">
        <w:t xml:space="preserve">s </w:t>
      </w:r>
      <w:r w:rsidR="00742600" w:rsidRPr="005837B9">
        <w:fldChar w:fldCharType="begin" w:fldLock="1"/>
      </w:r>
      <w:r w:rsidR="005837B9" w:rsidRPr="005837B9">
        <w:instrText>ADDIN CSL_CITATION {"citationItems":[{"id":"ITEM-1","itemData":{"DOI":"10.1007/s11356-023-27086-y","ISSN":"16147499","abstract":"The engine tests aimed to produce comparable data for fuel consumption, exhaust emissions, and thermal efficiency. The computational fluid dynamics (CFD) program FLUENT was used to simulate the combustion parameters of a direct injection diesel engine. In-cylinder turbulence is controlled using the RNG k-model. The model’s conclusions are validated when the projected p-curve is compared to the observed p-curve. The thermal efficiency of the 50E50B blend (50% ethanol, 50% biofuel) is higher than the other blends as well as diesel. Diesel has lower brake thermal efficiency among the other fuel blends used. The 10E90B mix (10% ethanol, 90% biofuel) has a lower brake-specific fuel consumption (BSFC) than other blends but is slightly higher than diesel. The temperature of the exhaust gas rises for all mixtures as the brake power is increased. CO emissions from 50E50B are lower than diesel at low loads but slightly greater at heavy loads. According to the emission graphs, the 50E50B blend produces less HC than diesel. NOx emission rises with increasing load in the exhaust parameter for all mixes. A 50E50B biofuel–ethanol combination achieves the highest brake thermal efficiency, 33.59%. The BSFC for diesel is 0.254 kg/kW-hr at maximum load, while the BSFC for the 10E90B mix is 0.269 kg/kW-hr, higher than diesel. In comparison to diesel, BSFC has increased by 5.90%.","author":[{"dropping-particle":"V.","family":"Kolhe","given":"Ajay","non-dropping-particle":"","parse-names":false,"suffix":""},{"dropping-particle":"","family":"Malwe","given":"Prateek D.","non-dropping-particle":"","parse-names":false,"suffix":""},{"dropping-particle":"","family":"Chopkar","given":"Yashraj","non-dropping-particle":"","parse-names":false,"suffix":""},{"dropping-particle":"","family":"Panchal","given":"Hitesh","non-dropping-particle":"","parse-names":false,"suffix":""},{"dropping-particle":"","family":"Ağbulut","given":"Ümit","non-dropping-particle":"","parse-names":false,"suffix":""},{"dropping-particle":"","family":"Mubarak","given":"Nabisab Mujawar","non-dropping-particle":"","parse-names":false,"suffix":""},{"dropping-particle":"","family":"Chowdhury","given":"Subrata","non-dropping-particle":"","parse-names":false,"suffix":""},{"dropping-particle":"","family":"Amesho","given":"Kassian T.T.","non-dropping-particle":"","parse-names":false,"suffix":""}],"container-title":"Environmental Science and Pollution Research","id":"ITEM-1","issue":"60","issued":{"date-parts":[["2023"]]},"page":"125117-125137","title":"Performance analysis of biofuel–ethanol blends in diesel engine and its validation with computational fluid dynamics","type":"article-journal","volume":"30"},"uris":["http://www.mendeley.com/documents/?uuid=1bf5bc76-d291-4d6d-9e7e-8bf45575fc19"]}],"mendeley":{"formattedCitation":"(Kolhe et al., 2023)","plainTextFormattedCitation":"(Kolhe et al., 2023)","previouslyFormattedCitation":"(Kolhe et al., 2023)"},"properties":{"noteIndex":0},"schema":"https://github.com/citation-style-language/schema/raw/master/csl-citation.json"}</w:instrText>
      </w:r>
      <w:r w:rsidR="00742600" w:rsidRPr="005837B9">
        <w:fldChar w:fldCharType="separate"/>
      </w:r>
      <w:r w:rsidR="00742600" w:rsidRPr="005837B9">
        <w:rPr>
          <w:noProof/>
        </w:rPr>
        <w:t>(Kolhe et al., 2023)</w:t>
      </w:r>
      <w:r w:rsidR="00742600" w:rsidRPr="005837B9">
        <w:fldChar w:fldCharType="end"/>
      </w:r>
      <w:r w:rsidR="00ED3902" w:rsidRPr="005837B9">
        <w:t xml:space="preserve">. </w:t>
      </w:r>
      <w:r w:rsidR="0013740C">
        <w:rPr>
          <w:lang w:val="en-GB"/>
        </w:rPr>
        <w:t>The e</w:t>
      </w:r>
      <w:r w:rsidR="009B1121" w:rsidRPr="005837B9">
        <w:rPr>
          <w:lang w:val="en-GB"/>
        </w:rPr>
        <w:t>xperimental exploration of these solvents requires sophisticated methodologies, and the cone calorimeter emerges as a cornerstone in unravelling their combustion behaviour. This apparatus facilitates a detailed analysis of heat release</w:t>
      </w:r>
      <w:r w:rsidR="00C95B8B" w:rsidRPr="005837B9">
        <w:rPr>
          <w:lang w:val="en-GB"/>
        </w:rPr>
        <w:t>d</w:t>
      </w:r>
      <w:r w:rsidR="009B1121" w:rsidRPr="005837B9">
        <w:rPr>
          <w:lang w:val="en-GB"/>
        </w:rPr>
        <w:t>, mass loss, and combustion characteristics, providing invaluable insights into how these solvents respond to varying heat intensities</w:t>
      </w:r>
      <w:r w:rsidR="005837B9">
        <w:rPr>
          <w:lang w:val="en-GB"/>
        </w:rPr>
        <w:t xml:space="preserve"> </w:t>
      </w:r>
      <w:r w:rsidR="005837B9" w:rsidRPr="005837B9">
        <w:rPr>
          <w:lang w:val="en-GB"/>
        </w:rPr>
        <w:fldChar w:fldCharType="begin" w:fldLock="1"/>
      </w:r>
      <w:r w:rsidR="00A4723F">
        <w:rPr>
          <w:lang w:val="en-GB"/>
        </w:rPr>
        <w:instrText>ADDIN CSL_CITATION {"citationItems":[{"id":"ITEM-1","itemData":{"DOI":"10.3390/sym15101925","ISSN":"20738994","abstract":"This paper provides an overview of the significance of precise thermal analysis in the context of lithium-ion battery systems. It underscores the requirement for additional research to create efficient methodologies for modeling and controlling thermal properties, with the ultimate goal of enhancing both the safety and performance of Li-ion batteries. The interaction between temperature regulation and lithium-ion batteries is pivotal due to the intrinsic heat generation within these energy storage systems. A profound understanding of the thermal behaviors exhibited by lithium-ion batteries, along with the implementation of advanced temperature control strategies for battery packs, remains a critical pursuit. Utilizing tailored models to dissect the thermal dynamics of lithium-ion batteries significantly enhances our comprehension of their thermal management across a wide range of operational scenarios. This comprehensive review systematically explores diverse research endeavors that employ simulations and models to unravel intricate thermal characteristics, behavioral nuances, and potential runaway incidents associated with lithium-ion batteries. The primary objective of this review is to underscore the effectiveness of employed characterization methodologies and emphasize the pivotal roles that key parameters—specifically, current rate and temperature—play in shaping thermal dynamics. Notably, the enhancement of thermal design systems is often more feasible than direct alterations to the lithium-ion battery designs themselves. As a result, this thermal review primarily focuses on the realm of thermal systems. The synthesized insights offer a panoramic overview of research findings, with a deeper understanding requiring consultation of specific published studies and their corresponding modeling endeavors.","author":[{"dropping-particle":"","family":"Madani","given":"Seyed Saeed","non-dropping-particle":"","parse-names":false,"suffix":""},{"dropping-particle":"","family":"Ziebert","given":"Carlos","non-dropping-particle":"","parse-names":false,"suffix":""},{"dropping-particle":"","family":"Marzband","given":"Mousa","non-dropping-particle":"","parse-names":false,"suffix":""}],"container-title":"Symmetry","id":"ITEM-1","issue":"10","issued":{"date-parts":[["2023"]]},"title":"Thermal Characteristics and Safety Aspects of Lithium-Ion Batteries: An In-Depth Review","type":"article-journal","volume":"15"},"uris":["http://www.mendeley.com/documents/?uuid=3d3f6a7d-6841-4279-91ca-96136f201783"]}],"mendeley":{"formattedCitation":"(Madani et al., 2023)","plainTextFormattedCitation":"(Madani et al., 2023)","previouslyFormattedCitation":"(Madani et al., 2023)"},"properties":{"noteIndex":0},"schema":"https://github.com/citation-style-language/schema/raw/master/csl-citation.json"}</w:instrText>
      </w:r>
      <w:r w:rsidR="005837B9" w:rsidRPr="005837B9">
        <w:rPr>
          <w:lang w:val="en-GB"/>
        </w:rPr>
        <w:fldChar w:fldCharType="separate"/>
      </w:r>
      <w:r w:rsidR="005837B9" w:rsidRPr="005837B9">
        <w:rPr>
          <w:noProof/>
          <w:lang w:val="en-GB"/>
        </w:rPr>
        <w:t>(Madani et al., 2023)</w:t>
      </w:r>
      <w:r w:rsidR="005837B9" w:rsidRPr="005837B9">
        <w:rPr>
          <w:lang w:val="en-GB"/>
        </w:rPr>
        <w:fldChar w:fldCharType="end"/>
      </w:r>
      <w:r w:rsidR="009B1121" w:rsidRPr="005837B9">
        <w:rPr>
          <w:lang w:val="en-GB"/>
        </w:rPr>
        <w:t>.</w:t>
      </w:r>
    </w:p>
    <w:p w14:paraId="4C3034F8" w14:textId="1F2C70B1" w:rsidR="0013740C" w:rsidRPr="00B307FD" w:rsidRDefault="0013740C" w:rsidP="009C5F79">
      <w:pPr>
        <w:pStyle w:val="CETBodytext"/>
        <w:rPr>
          <w:lang w:val="en-GB"/>
        </w:rPr>
      </w:pPr>
      <w:r>
        <w:rPr>
          <w:lang w:val="en-GB"/>
        </w:rPr>
        <w:t xml:space="preserve">For these reasons, this work presents an experimental campaign devoted to the assessment of the main parameters relevant </w:t>
      </w:r>
      <w:r w:rsidR="00B12D80">
        <w:rPr>
          <w:lang w:val="en-GB"/>
        </w:rPr>
        <w:t>to</w:t>
      </w:r>
      <w:r>
        <w:rPr>
          <w:lang w:val="en-GB"/>
        </w:rPr>
        <w:t xml:space="preserve"> the characterization of a pool fire at a bench scale. To this scope, an innovative and reproducible procedure was developed to guarantee </w:t>
      </w:r>
      <w:r w:rsidR="00B12D80">
        <w:rPr>
          <w:lang w:val="en-GB"/>
        </w:rPr>
        <w:t xml:space="preserve">the </w:t>
      </w:r>
      <w:r>
        <w:rPr>
          <w:lang w:val="en-GB"/>
        </w:rPr>
        <w:t xml:space="preserve">uniformity and robustness of the obtained results. This aspect is essential to populate </w:t>
      </w:r>
      <w:r w:rsidR="00B12D80">
        <w:rPr>
          <w:lang w:val="en-GB"/>
        </w:rPr>
        <w:t xml:space="preserve">a </w:t>
      </w:r>
      <w:r>
        <w:rPr>
          <w:lang w:val="en-GB"/>
        </w:rPr>
        <w:t xml:space="preserve">database suitable for fruitful comparison of flammable liquids as well as for the realization of accurate models dedicated to the consequence analyses. </w:t>
      </w:r>
    </w:p>
    <w:p w14:paraId="188B4016" w14:textId="37C266AB" w:rsidR="00D01C10" w:rsidRPr="00F863FF" w:rsidRDefault="00D01C10" w:rsidP="00F863FF">
      <w:pPr>
        <w:pStyle w:val="CETHeading1"/>
      </w:pPr>
      <w:r w:rsidRPr="00F863FF">
        <w:lastRenderedPageBreak/>
        <w:t>Methodology</w:t>
      </w:r>
    </w:p>
    <w:p w14:paraId="5CCA7482" w14:textId="016D9658" w:rsidR="00884CFD" w:rsidRDefault="00C76A91" w:rsidP="00595E5A">
      <w:pPr>
        <w:pStyle w:val="CETBodytext"/>
        <w:rPr>
          <w:noProof/>
          <w:lang w:val="en-GB"/>
        </w:rPr>
      </w:pPr>
      <w:r w:rsidRPr="00FA3D17">
        <w:rPr>
          <w:lang w:val="en-GB"/>
        </w:rPr>
        <w:t>To delve into the complexities</w:t>
      </w:r>
      <w:r w:rsidR="00884CFD">
        <w:rPr>
          <w:lang w:val="en-GB"/>
        </w:rPr>
        <w:t xml:space="preserve"> of heterogeneous phenomena involved within a pool fire, </w:t>
      </w:r>
      <w:r w:rsidRPr="00FA3D17">
        <w:rPr>
          <w:lang w:val="en-GB"/>
        </w:rPr>
        <w:t>specialized techniques</w:t>
      </w:r>
      <w:r w:rsidR="00F87500">
        <w:rPr>
          <w:lang w:val="en-GB"/>
        </w:rPr>
        <w:t xml:space="preserve"> </w:t>
      </w:r>
      <w:r w:rsidRPr="00FA3D17">
        <w:rPr>
          <w:lang w:val="en-GB"/>
        </w:rPr>
        <w:t>such as the Cone Calorimeter come to the forefront</w:t>
      </w:r>
      <w:r w:rsidR="00884CFD">
        <w:rPr>
          <w:lang w:val="en-GB"/>
        </w:rPr>
        <w:t xml:space="preserve"> for a bench scale</w:t>
      </w:r>
      <w:r w:rsidRPr="00FA3D17">
        <w:rPr>
          <w:lang w:val="en-GB"/>
        </w:rPr>
        <w:t xml:space="preserve">. This instrument, exemplified by the </w:t>
      </w:r>
      <w:proofErr w:type="spellStart"/>
      <w:r w:rsidRPr="00FA3D17">
        <w:rPr>
          <w:lang w:val="en-GB"/>
        </w:rPr>
        <w:t>iCone</w:t>
      </w:r>
      <w:proofErr w:type="spellEnd"/>
      <w:r w:rsidRPr="00FA3D17">
        <w:rPr>
          <w:lang w:val="en-GB"/>
        </w:rPr>
        <w:t xml:space="preserve">+ developed by Fire Testing Technologies Ltd. (UK), facilitates controlled experiments that enable a detailed analysis of </w:t>
      </w:r>
      <w:r w:rsidR="001078E7">
        <w:rPr>
          <w:lang w:val="en-GB"/>
        </w:rPr>
        <w:t>fire behaviour</w:t>
      </w:r>
      <w:r w:rsidRPr="00FA3D17">
        <w:rPr>
          <w:lang w:val="en-GB"/>
        </w:rPr>
        <w:t xml:space="preserve"> for distinct classes of flammable substances.</w:t>
      </w:r>
      <w:r w:rsidR="00EC5710">
        <w:rPr>
          <w:lang w:val="en-GB"/>
        </w:rPr>
        <w:t xml:space="preserve"> </w:t>
      </w:r>
      <w:r w:rsidR="004D55DB">
        <w:rPr>
          <w:lang w:val="en-GB"/>
        </w:rPr>
        <w:t>T</w:t>
      </w:r>
      <w:r w:rsidR="003634C6">
        <w:rPr>
          <w:lang w:val="en-GB"/>
        </w:rPr>
        <w:t>he abovementioned system and the corresponding protocol</w:t>
      </w:r>
      <w:r w:rsidR="002C39C9">
        <w:rPr>
          <w:lang w:val="en-GB"/>
        </w:rPr>
        <w:t xml:space="preserve"> </w:t>
      </w:r>
      <w:r w:rsidR="002C39C9" w:rsidRPr="00C22C4A">
        <w:rPr>
          <w:lang w:val="en-GB"/>
        </w:rPr>
        <w:fldChar w:fldCharType="begin" w:fldLock="1"/>
      </w:r>
      <w:r w:rsidR="002C39C9">
        <w:rPr>
          <w:lang w:val="en-GB"/>
        </w:rPr>
        <w:instrText>ADDIN CSL_CITATION {"citationItems":[{"id":"ITEM-1","itemData":{"id":"ITEM-1","issued":{"date-parts":[["2019"]]},"title":"BS ISO 5660-1 : 2015 + A1 : 2019 — Reaction-to-fire tests — Heat release , smoke production and mass loss rate","type":"article-journal"},"uris":["http://www.mendeley.com/documents/?uuid=588e8270-2e25-4010-9e35-a164022d409d"]}],"mendeley":{"formattedCitation":"(“BS ISO 5660-1 : 2015 + A1 : 2019 — Reaction-to-fire tests — Heat release , smoke production and mass loss rate,” 2019)","manualFormatting":"(ISO 5660, 2019)","plainTextFormattedCitation":"(“BS ISO 5660-1 : 2015 + A1 : 2019 — Reaction-to-fire tests — Heat release , smoke production and mass loss rate,” 2019)","previouslyFormattedCitation":"(“BS ISO 5660-1 : 2015 + A1 : 2019 — Reaction-to-fire tests — Heat release , smoke production and mass loss rate,” 2019)"},"properties":{"noteIndex":0},"schema":"https://github.com/citation-style-language/schema/raw/master/csl-citation.json"}</w:instrText>
      </w:r>
      <w:r w:rsidR="002C39C9" w:rsidRPr="00C22C4A">
        <w:rPr>
          <w:lang w:val="en-GB"/>
        </w:rPr>
        <w:fldChar w:fldCharType="separate"/>
      </w:r>
      <w:r w:rsidR="002C39C9" w:rsidRPr="00C22C4A">
        <w:rPr>
          <w:noProof/>
          <w:lang w:val="en-GB"/>
        </w:rPr>
        <w:t>(ISO 5660, 2019)</w:t>
      </w:r>
      <w:r w:rsidR="002C39C9" w:rsidRPr="00C22C4A">
        <w:rPr>
          <w:lang w:val="en-GB"/>
        </w:rPr>
        <w:fldChar w:fldCharType="end"/>
      </w:r>
      <w:r w:rsidR="00380656">
        <w:rPr>
          <w:lang w:val="en-GB"/>
        </w:rPr>
        <w:t>, including the calc</w:t>
      </w:r>
      <w:r w:rsidR="003745A5">
        <w:rPr>
          <w:lang w:val="en-GB"/>
        </w:rPr>
        <w:t>ulation of uncertainties</w:t>
      </w:r>
      <w:r w:rsidR="002C39C9">
        <w:rPr>
          <w:lang w:val="en-GB"/>
        </w:rPr>
        <w:t xml:space="preserve">, </w:t>
      </w:r>
      <w:r w:rsidR="003634C6">
        <w:rPr>
          <w:lang w:val="en-GB"/>
        </w:rPr>
        <w:t xml:space="preserve">have been extensively </w:t>
      </w:r>
      <w:r w:rsidR="00EC5710">
        <w:rPr>
          <w:lang w:val="en-GB"/>
        </w:rPr>
        <w:t xml:space="preserve">adopted for </w:t>
      </w:r>
      <w:r w:rsidR="00884CFD">
        <w:rPr>
          <w:lang w:val="en-GB"/>
        </w:rPr>
        <w:t xml:space="preserve">the characterization of flame behaviour of </w:t>
      </w:r>
      <w:r w:rsidR="00EC5710">
        <w:rPr>
          <w:lang w:val="en-GB"/>
        </w:rPr>
        <w:t>solid sample</w:t>
      </w:r>
      <w:r w:rsidR="003634C6">
        <w:rPr>
          <w:lang w:val="en-GB"/>
        </w:rPr>
        <w:t>s</w:t>
      </w:r>
      <w:r w:rsidR="00903BD3">
        <w:rPr>
          <w:lang w:val="en-GB"/>
        </w:rPr>
        <w:t xml:space="preserve"> </w:t>
      </w:r>
      <w:r w:rsidR="00903BD3">
        <w:rPr>
          <w:lang w:val="en-GB"/>
        </w:rPr>
        <w:fldChar w:fldCharType="begin" w:fldLock="1"/>
      </w:r>
      <w:r w:rsidR="001B3F32">
        <w:rPr>
          <w:lang w:val="en-GB"/>
        </w:rPr>
        <w:instrText>ADDIN CSL_CITATION {"citationItems":[{"id":"ITEM-1","itemData":{"DOI":"10.1007/s10973-022-11279-7","ISSN":"15882926","abstract":"The cone calorimeter is an efficient instrument used to evaluate the reaction-to-fire properties of measured materials via simulating a forced combustion bench-scale fire scenario. With the increasing use of polymers and plastics in society, it is particularly significant to investigate their combustion behaviors using the cone calorimeter due to their inherent flammability. Therefore, with the aim to provide guidance for developing novel fire-safe polymer composites, this review discusses polymer combustion behaviors under different key operating parameters and setup geometries in a cone calorimeter, including external heat flux, ventilation conditions, ignition source, and sample geometry (thickness and size). Measured reaction-to-fire properties during combustion within the cone calorimeter, such as heat release, smoke production, and gas analysis, are also fully discussed. Lastly, nanofillers in polymer composites and their fire behaviors in cone calorimetry are explored through example polymer systems, including polyethylene (PE), polypropylene (PP), polystyrene (PS), poly(methyl methacrylate) (PMMA), polyamide (PA), and acrylonitrile–butadiene–styrene (ABS).","author":[{"dropping-particle":"","family":"Quan","given":"Yufeng","non-dropping-particle":"","parse-names":false,"suffix":""},{"dropping-particle":"","family":"Zhang","given":"Zhuoran","non-dropping-particle":"","parse-names":false,"suffix":""},{"dropping-particle":"","family":"Tanchak","given":"Rachel N.","non-dropping-particle":"","parse-names":false,"suffix":""},{"dropping-particle":"","family":"Wang","given":"Qingsheng","non-dropping-particle":"","parse-names":false,"suffix":""}],"container-title":"Journal of Thermal Analysis and Calorimetry","id":"ITEM-1","issue":"19","issued":{"date-parts":[["2022"]]},"page":"10209-10234","title":"A review on cone calorimeter for assessment of flame-retarded polymer composites","type":"article-journal","volume":"147"},"uris":["http://www.mendeley.com/documents/?uuid=b3b17394-66ba-48d2-b448-fbb86b8c1fa3"]}],"mendeley":{"formattedCitation":"(Quan et al., 2022)","plainTextFormattedCitation":"(Quan et al., 2022)","previouslyFormattedCitation":"(Quan et al., 2022)"},"properties":{"noteIndex":0},"schema":"https://github.com/citation-style-language/schema/raw/master/csl-citation.json"}</w:instrText>
      </w:r>
      <w:r w:rsidR="00903BD3">
        <w:rPr>
          <w:lang w:val="en-GB"/>
        </w:rPr>
        <w:fldChar w:fldCharType="separate"/>
      </w:r>
      <w:r w:rsidR="00903BD3" w:rsidRPr="00903BD3">
        <w:rPr>
          <w:noProof/>
          <w:lang w:val="en-GB"/>
        </w:rPr>
        <w:t>(Quan et al., 2022)</w:t>
      </w:r>
      <w:r w:rsidR="00903BD3">
        <w:rPr>
          <w:lang w:val="en-GB"/>
        </w:rPr>
        <w:fldChar w:fldCharType="end"/>
      </w:r>
      <w:r w:rsidR="00C506DF">
        <w:rPr>
          <w:lang w:val="en-GB"/>
        </w:rPr>
        <w:t xml:space="preserve">, with </w:t>
      </w:r>
      <w:r w:rsidR="00B12D80">
        <w:rPr>
          <w:lang w:val="en-GB"/>
        </w:rPr>
        <w:t>few</w:t>
      </w:r>
      <w:r w:rsidR="00C506DF">
        <w:rPr>
          <w:lang w:val="en-GB"/>
        </w:rPr>
        <w:t xml:space="preserve"> applications for the liquid case </w:t>
      </w:r>
      <w:r w:rsidR="00275103">
        <w:rPr>
          <w:lang w:val="en-GB"/>
        </w:rPr>
        <w:fldChar w:fldCharType="begin" w:fldLock="1"/>
      </w:r>
      <w:r w:rsidR="00903BD3">
        <w:rPr>
          <w:lang w:val="en-GB"/>
        </w:rPr>
        <w:instrText>ADDIN CSL_CITATION {"citationItems":[{"id":"ITEM-1","itemData":{"DOI":"10.1520/JTE20140401","ISSN":"00903973","abstract":"An important step in calibrating a cone calorimeter apparatus is the determination of gas delay times. Gas concentration measurements must be made simultaneously in time with the main combustion events and processes (i.e., ignition, changes in mass loss rate, smoke production, and observed phenomena) to produce accurate results from the test. The calibration methodology prescribed in ASTM E1354-14e1 does not specify direct measurement of the transit time of gases through the apparatus or the response time of the individual analyzers, instead estimating total delay time by relating the thermal lag in the stack thermocouple to the transient response of the gas analyzers. Other methods to account for gas delay times are used in practice, leading to varying opinions on the method that is most suitable for oxygen consumption calorimetry. Furthermore, studies have shown that analyzer delay times are not consistent test-to-test, but depend on both the characteristics of the gas analyzer and sampling system (gas transit time) and the rates of production or consumption of gaseous species during a particular test (analyzer response time). In the present work, a methodology was proposed for measuring analyzer delay times by injecting a gas mixture of known concentration into the cone calorimeter exhaust stream. Delay times were computed using various methods, including ASTM E1354 and gas injection, and were evaluated with a series of cone calorimeter tests on various materials. Gas delay times determined by the ASTM E1354 method were found to produce inconsistent results for the cone calorimeter used in this study; results were significantly improved when alternative criteria were applied to the method. The square wave method was found to produce very good results for specimens with heat release rates greater than 3kW; however, delay times in carbon monoxide production were not well represented. The gas injection method was found to produce excellent results, closely tracking oxygen consumption, carbon monoxide production, and carbon dioxide production in time, and as a result, the derived heat release rate coincided with observed events.","author":[{"dropping-particle":"","family":"Didomizio","given":"Matthew J.","non-dropping-particle":"","parse-names":false,"suffix":""},{"dropping-particle":"","family":"Weckman","given":"Elizabeth J.","non-dropping-particle":"","parse-names":false,"suffix":""}],"container-title":"Journal of Testing and Evaluation","id":"ITEM-1","issue":"3","issued":{"date-parts":[["2016","5","1"]]},"page":"1050-1063","publisher":"ASTM International","title":"An evaluation of methodologies for determining delay times in the cone calorimeter fire test","type":"article-journal","volume":"44"},"uris":["http://www.mendeley.com/documents/?uuid=03a96791-8f3a-374e-8879-7ff9efc9d30a"]}],"mendeley":{"formattedCitation":"(Didomizio and Weckman, 2016)","plainTextFormattedCitation":"(Didomizio and Weckman, 2016)","previouslyFormattedCitation":"(Didomizio and Weckman, 2016)"},"properties":{"noteIndex":0},"schema":"https://github.com/citation-style-language/schema/raw/master/csl-citation.json"}</w:instrText>
      </w:r>
      <w:r w:rsidR="00275103">
        <w:rPr>
          <w:lang w:val="en-GB"/>
        </w:rPr>
        <w:fldChar w:fldCharType="separate"/>
      </w:r>
      <w:r w:rsidR="00275103" w:rsidRPr="00275103">
        <w:rPr>
          <w:noProof/>
          <w:lang w:val="en-GB"/>
        </w:rPr>
        <w:t>(Di</w:t>
      </w:r>
      <w:r w:rsidR="00AC1058">
        <w:rPr>
          <w:noProof/>
          <w:lang w:val="en-GB"/>
        </w:rPr>
        <w:t>D</w:t>
      </w:r>
      <w:r w:rsidR="00275103" w:rsidRPr="00275103">
        <w:rPr>
          <w:noProof/>
          <w:lang w:val="en-GB"/>
        </w:rPr>
        <w:t>omizio and Weckman, 2016)</w:t>
      </w:r>
      <w:r w:rsidR="00275103">
        <w:rPr>
          <w:lang w:val="en-GB"/>
        </w:rPr>
        <w:fldChar w:fldCharType="end"/>
      </w:r>
      <w:r w:rsidR="003634C6">
        <w:rPr>
          <w:lang w:val="en-GB"/>
        </w:rPr>
        <w:t>. However,</w:t>
      </w:r>
      <w:r w:rsidR="00EC5710">
        <w:rPr>
          <w:lang w:val="en-GB"/>
        </w:rPr>
        <w:t xml:space="preserve"> </w:t>
      </w:r>
      <w:r w:rsidR="004D55DB">
        <w:rPr>
          <w:lang w:val="en-GB"/>
        </w:rPr>
        <w:t>in this work</w:t>
      </w:r>
      <w:r w:rsidR="00B12D80">
        <w:rPr>
          <w:lang w:val="en-GB"/>
        </w:rPr>
        <w:t>,</w:t>
      </w:r>
      <w:r w:rsidR="004D55DB">
        <w:rPr>
          <w:lang w:val="en-GB"/>
        </w:rPr>
        <w:t xml:space="preserve"> </w:t>
      </w:r>
      <w:r w:rsidR="003634C6">
        <w:rPr>
          <w:lang w:val="en-GB"/>
        </w:rPr>
        <w:t xml:space="preserve">an innovative procedure </w:t>
      </w:r>
      <w:r w:rsidR="00C506DF">
        <w:rPr>
          <w:lang w:val="en-GB"/>
        </w:rPr>
        <w:t>was</w:t>
      </w:r>
      <w:r w:rsidR="003634C6">
        <w:rPr>
          <w:lang w:val="en-GB"/>
        </w:rPr>
        <w:t xml:space="preserve"> proposed and implemented to allow for </w:t>
      </w:r>
      <w:r w:rsidR="004D55DB">
        <w:rPr>
          <w:lang w:val="en-GB"/>
        </w:rPr>
        <w:t xml:space="preserve">the </w:t>
      </w:r>
      <w:r w:rsidR="003634C6">
        <w:rPr>
          <w:lang w:val="en-GB"/>
        </w:rPr>
        <w:t xml:space="preserve">evaluation </w:t>
      </w:r>
      <w:r w:rsidR="00250FA3">
        <w:rPr>
          <w:lang w:val="en-GB"/>
        </w:rPr>
        <w:t>employing</w:t>
      </w:r>
      <w:r w:rsidR="00C506DF">
        <w:rPr>
          <w:lang w:val="en-GB"/>
        </w:rPr>
        <w:t xml:space="preserve"> a cone calorimeter equipment item </w:t>
      </w:r>
      <w:r w:rsidR="003634C6">
        <w:rPr>
          <w:lang w:val="en-GB"/>
        </w:rPr>
        <w:t xml:space="preserve">of </w:t>
      </w:r>
      <w:r w:rsidR="004D55DB">
        <w:rPr>
          <w:lang w:val="en-GB"/>
        </w:rPr>
        <w:t>liquid solvents</w:t>
      </w:r>
      <w:r w:rsidR="003634C6">
        <w:rPr>
          <w:lang w:val="en-GB"/>
        </w:rPr>
        <w:t>, as well</w:t>
      </w:r>
      <w:r w:rsidR="004D55DB">
        <w:rPr>
          <w:lang w:val="en-GB"/>
        </w:rPr>
        <w:t xml:space="preserve">. </w:t>
      </w:r>
      <w:r w:rsidR="00884CFD">
        <w:rPr>
          <w:lang w:val="en-GB"/>
        </w:rPr>
        <w:t>This procedure was implemented for the evaluation of pool fires of h</w:t>
      </w:r>
      <w:r w:rsidR="00ED588D">
        <w:rPr>
          <w:lang w:val="en-GB"/>
        </w:rPr>
        <w:t>exane, ethyl acetate</w:t>
      </w:r>
      <w:r w:rsidR="003634C6">
        <w:rPr>
          <w:lang w:val="en-GB"/>
        </w:rPr>
        <w:t>,</w:t>
      </w:r>
      <w:r w:rsidR="00ED588D">
        <w:rPr>
          <w:lang w:val="en-GB"/>
        </w:rPr>
        <w:t xml:space="preserve"> and ethanol</w:t>
      </w:r>
      <w:r w:rsidR="003634C6">
        <w:rPr>
          <w:lang w:val="en-GB"/>
        </w:rPr>
        <w:t>.</w:t>
      </w:r>
      <w:r w:rsidR="00884CFD">
        <w:rPr>
          <w:lang w:val="en-GB"/>
        </w:rPr>
        <w:t xml:space="preserve"> </w:t>
      </w:r>
      <w:r w:rsidR="003634C6">
        <w:rPr>
          <w:lang w:val="en-GB"/>
        </w:rPr>
        <w:t xml:space="preserve">All the investigated compounds were </w:t>
      </w:r>
      <w:r w:rsidR="004A50E4">
        <w:rPr>
          <w:lang w:val="en-GB"/>
        </w:rPr>
        <w:t xml:space="preserve">purchased by Sigma-Aldrich at </w:t>
      </w:r>
      <w:r w:rsidR="00E47B65">
        <w:rPr>
          <w:lang w:val="en-GB"/>
        </w:rPr>
        <w:t xml:space="preserve">the maximum purity degree </w:t>
      </w:r>
      <w:r w:rsidR="00E47B65" w:rsidRPr="00F322ED">
        <w:rPr>
          <w:lang w:val="en-GB"/>
        </w:rPr>
        <w:t>(</w:t>
      </w:r>
      <w:r w:rsidR="00F322ED" w:rsidRPr="00F322ED">
        <w:rPr>
          <w:rFonts w:cs="Arial"/>
          <w:lang w:val="en-GB"/>
        </w:rPr>
        <w:t>≥</w:t>
      </w:r>
      <w:r w:rsidR="00F322ED" w:rsidRPr="00F322ED">
        <w:rPr>
          <w:lang w:val="en-GB"/>
        </w:rPr>
        <w:t xml:space="preserve"> 99%</w:t>
      </w:r>
      <w:r w:rsidR="00AA248C">
        <w:rPr>
          <w:lang w:val="en-GB"/>
        </w:rPr>
        <w:t xml:space="preserve">). </w:t>
      </w:r>
    </w:p>
    <w:p w14:paraId="2D6E3589" w14:textId="417BAE3F" w:rsidR="0074195A" w:rsidRDefault="00884CFD" w:rsidP="00595E5A">
      <w:pPr>
        <w:pStyle w:val="CETBodytext"/>
        <w:rPr>
          <w:lang w:val="en-GB"/>
        </w:rPr>
      </w:pPr>
      <w:r>
        <w:rPr>
          <w:lang w:val="en-GB"/>
        </w:rPr>
        <w:t>The samples were exposed to constant heat fluxes rang</w:t>
      </w:r>
      <w:r w:rsidR="00B12D80">
        <w:rPr>
          <w:lang w:val="en-GB"/>
        </w:rPr>
        <w:t>ing</w:t>
      </w:r>
      <w:r>
        <w:rPr>
          <w:lang w:val="en-GB"/>
        </w:rPr>
        <w:t xml:space="preserve"> from 7 to 50 kW/m</w:t>
      </w:r>
      <w:r w:rsidRPr="004F2167">
        <w:rPr>
          <w:vertAlign w:val="superscript"/>
          <w:lang w:val="en-GB"/>
        </w:rPr>
        <w:t>2</w:t>
      </w:r>
      <w:r>
        <w:rPr>
          <w:lang w:val="en-GB"/>
        </w:rPr>
        <w:t xml:space="preserve"> by a cone</w:t>
      </w:r>
      <w:r w:rsidR="00B12D80">
        <w:rPr>
          <w:lang w:val="en-GB"/>
        </w:rPr>
        <w:t>-</w:t>
      </w:r>
      <w:r>
        <w:rPr>
          <w:lang w:val="en-GB"/>
        </w:rPr>
        <w:t xml:space="preserve">shaped resistance and </w:t>
      </w:r>
      <w:r w:rsidRPr="00A03D6A">
        <w:rPr>
          <w:lang w:val="en-GB"/>
        </w:rPr>
        <w:t>non-immediately ignited</w:t>
      </w:r>
      <w:r>
        <w:rPr>
          <w:lang w:val="en-GB"/>
        </w:rPr>
        <w:t xml:space="preserve"> by the provided electrical sparkler. The specimen was posed in a standardized sample holder having a squared basis with a surface area of 100 cm</w:t>
      </w:r>
      <w:r w:rsidRPr="004F2167">
        <w:rPr>
          <w:vertAlign w:val="superscript"/>
          <w:lang w:val="en-GB"/>
        </w:rPr>
        <w:t>2</w:t>
      </w:r>
      <w:r w:rsidRPr="00884CFD">
        <w:rPr>
          <w:lang w:val="en-GB"/>
        </w:rPr>
        <w:t xml:space="preserve"> </w:t>
      </w:r>
      <w:r>
        <w:rPr>
          <w:lang w:val="en-GB"/>
        </w:rPr>
        <w:t xml:space="preserve">at 2.5 cm from the heat source. A liquid pool having an initial thickness of 1 cm was considered for all tests. </w:t>
      </w:r>
      <w:r w:rsidR="0074195A">
        <w:rPr>
          <w:lang w:val="en-GB"/>
        </w:rPr>
        <w:t xml:space="preserve">The main combustion parameters </w:t>
      </w:r>
      <w:r>
        <w:rPr>
          <w:lang w:val="en-GB"/>
        </w:rPr>
        <w:t xml:space="preserve">involving either the mass or the energy aspects </w:t>
      </w:r>
      <w:r w:rsidR="0074195A">
        <w:rPr>
          <w:lang w:val="en-GB"/>
        </w:rPr>
        <w:t xml:space="preserve">were </w:t>
      </w:r>
      <w:r w:rsidR="00C506DF">
        <w:rPr>
          <w:lang w:val="en-GB"/>
        </w:rPr>
        <w:t>monitored</w:t>
      </w:r>
      <w:r w:rsidR="0074195A">
        <w:rPr>
          <w:lang w:val="en-GB"/>
        </w:rPr>
        <w:t xml:space="preserve"> </w:t>
      </w:r>
      <w:r>
        <w:rPr>
          <w:lang w:val="en-GB"/>
        </w:rPr>
        <w:t xml:space="preserve">by the experimental system. More specifically, </w:t>
      </w:r>
      <w:r w:rsidR="0074195A">
        <w:rPr>
          <w:lang w:val="en-GB"/>
        </w:rPr>
        <w:t xml:space="preserve">the </w:t>
      </w:r>
      <w:r>
        <w:rPr>
          <w:lang w:val="en-GB"/>
        </w:rPr>
        <w:t xml:space="preserve">profiles of </w:t>
      </w:r>
      <w:r w:rsidR="0074195A">
        <w:rPr>
          <w:lang w:val="en-GB"/>
        </w:rPr>
        <w:t xml:space="preserve">mass </w:t>
      </w:r>
      <w:r>
        <w:rPr>
          <w:lang w:val="en-GB"/>
        </w:rPr>
        <w:t xml:space="preserve">and mass burning rate with respect to time were measured through a </w:t>
      </w:r>
      <w:r w:rsidR="0074195A">
        <w:rPr>
          <w:lang w:val="en-GB"/>
        </w:rPr>
        <w:t>load cell</w:t>
      </w:r>
      <w:r>
        <w:rPr>
          <w:lang w:val="en-GB"/>
        </w:rPr>
        <w:t>. T</w:t>
      </w:r>
      <w:r w:rsidR="0074195A">
        <w:rPr>
          <w:lang w:val="en-GB"/>
        </w:rPr>
        <w:t xml:space="preserve">he </w:t>
      </w:r>
      <w:r>
        <w:rPr>
          <w:lang w:val="en-GB"/>
        </w:rPr>
        <w:t xml:space="preserve">exhaust </w:t>
      </w:r>
      <w:r w:rsidR="0074195A">
        <w:rPr>
          <w:lang w:val="en-GB"/>
        </w:rPr>
        <w:t>gas</w:t>
      </w:r>
      <w:r>
        <w:rPr>
          <w:lang w:val="en-GB"/>
        </w:rPr>
        <w:t xml:space="preserve">es were </w:t>
      </w:r>
      <w:r w:rsidR="00DC7B50">
        <w:rPr>
          <w:lang w:val="en-GB"/>
        </w:rPr>
        <w:t>conveyed in a dedicated duct system by a vacuum pump imposing a constant volumetric flow</w:t>
      </w:r>
      <w:r w:rsidR="00B12D80">
        <w:rPr>
          <w:lang w:val="en-GB"/>
        </w:rPr>
        <w:t xml:space="preserve"> </w:t>
      </w:r>
      <w:r w:rsidR="00DC7B50">
        <w:rPr>
          <w:lang w:val="en-GB"/>
        </w:rPr>
        <w:t xml:space="preserve">rate of 24 L/min. The resulting gaseous mixtures were </w:t>
      </w:r>
      <w:r>
        <w:rPr>
          <w:lang w:val="en-GB"/>
        </w:rPr>
        <w:t xml:space="preserve">analysed by using </w:t>
      </w:r>
      <w:r w:rsidR="00B12D80">
        <w:rPr>
          <w:lang w:val="en-GB"/>
        </w:rPr>
        <w:t xml:space="preserve">an </w:t>
      </w:r>
      <w:r w:rsidR="0074195A">
        <w:rPr>
          <w:lang w:val="en-GB"/>
        </w:rPr>
        <w:t>IR analyser and paramagnetic analyser</w:t>
      </w:r>
      <w:r>
        <w:rPr>
          <w:lang w:val="en-GB"/>
        </w:rPr>
        <w:t xml:space="preserve"> to monitor the content of carbon monoxide, carbon dioxide, and oxygen, as well as </w:t>
      </w:r>
      <w:r w:rsidR="00250FA3">
        <w:rPr>
          <w:lang w:val="en-GB"/>
        </w:rPr>
        <w:t>utilizing</w:t>
      </w:r>
      <w:r>
        <w:rPr>
          <w:lang w:val="en-GB"/>
        </w:rPr>
        <w:t xml:space="preserve"> </w:t>
      </w:r>
      <w:r w:rsidR="00B12D80">
        <w:rPr>
          <w:lang w:val="en-GB"/>
        </w:rPr>
        <w:t xml:space="preserve">a </w:t>
      </w:r>
      <w:r w:rsidR="0074195A">
        <w:rPr>
          <w:lang w:val="en-GB"/>
        </w:rPr>
        <w:t>He-Ne laser photometer beam</w:t>
      </w:r>
      <w:r>
        <w:rPr>
          <w:lang w:val="en-GB"/>
        </w:rPr>
        <w:t xml:space="preserve"> for the assessment of soot formation</w:t>
      </w:r>
      <w:r w:rsidR="0074195A">
        <w:rPr>
          <w:lang w:val="en-GB"/>
        </w:rPr>
        <w:t xml:space="preserve">. </w:t>
      </w:r>
      <w:r w:rsidR="00C506DF">
        <w:rPr>
          <w:lang w:val="en-GB"/>
        </w:rPr>
        <w:t xml:space="preserve">The heat release rate was calculated </w:t>
      </w:r>
      <w:r w:rsidR="00250FA3">
        <w:rPr>
          <w:lang w:val="en-GB"/>
        </w:rPr>
        <w:t>based on</w:t>
      </w:r>
      <w:r w:rsidR="00C506DF">
        <w:rPr>
          <w:lang w:val="en-GB"/>
        </w:rPr>
        <w:t xml:space="preserve"> the oxygen consumption method derived from direct measurements of the oxygen volumetric fraction and the flow</w:t>
      </w:r>
      <w:r w:rsidR="00B12D80">
        <w:rPr>
          <w:lang w:val="en-GB"/>
        </w:rPr>
        <w:t xml:space="preserve"> </w:t>
      </w:r>
      <w:r w:rsidR="00C506DF">
        <w:rPr>
          <w:lang w:val="en-GB"/>
        </w:rPr>
        <w:t xml:space="preserve">rate of the exhaust gas. To this scope, </w:t>
      </w:r>
      <w:r w:rsidR="00DC7B50">
        <w:rPr>
          <w:lang w:val="en-GB"/>
        </w:rPr>
        <w:t xml:space="preserve">specific calibrations were carried out to determine the orifice constant coefficient </w:t>
      </w:r>
      <w:proofErr w:type="spellStart"/>
      <w:r w:rsidR="00DC7B50" w:rsidRPr="00DC7B50">
        <w:rPr>
          <w:i/>
          <w:iCs/>
          <w:lang w:val="en-GB"/>
        </w:rPr>
        <w:t>C</w:t>
      </w:r>
      <w:r w:rsidR="00DC7B50">
        <w:rPr>
          <w:lang w:val="en-GB"/>
        </w:rPr>
        <w:t xml:space="preserve"> at</w:t>
      </w:r>
      <w:proofErr w:type="spellEnd"/>
      <w:r w:rsidR="00DC7B50">
        <w:rPr>
          <w:lang w:val="en-GB"/>
        </w:rPr>
        <w:t xml:space="preserve"> operative conditions relevant </w:t>
      </w:r>
      <w:r w:rsidR="00B12D80">
        <w:rPr>
          <w:lang w:val="en-GB"/>
        </w:rPr>
        <w:t>to</w:t>
      </w:r>
      <w:r w:rsidR="00DC7B50">
        <w:rPr>
          <w:lang w:val="en-GB"/>
        </w:rPr>
        <w:t xml:space="preserve"> the experimental campaign described in this section. Eventually, pressure and temperature profiles within the duct dedicated to the exhaust gases were monitored by conveniently placed thermocouples and </w:t>
      </w:r>
      <w:r w:rsidR="006F3AEF">
        <w:rPr>
          <w:lang w:val="en-GB"/>
        </w:rPr>
        <w:t>barometers</w:t>
      </w:r>
      <w:r w:rsidR="00DC7B50">
        <w:rPr>
          <w:lang w:val="en-GB"/>
        </w:rPr>
        <w:t>.</w:t>
      </w:r>
    </w:p>
    <w:p w14:paraId="66DC1D20" w14:textId="5353A3AF" w:rsidR="00D24F95" w:rsidRPr="009E4E71" w:rsidRDefault="00D24F95" w:rsidP="00D24F95">
      <w:pPr>
        <w:pStyle w:val="CETBodytext"/>
        <w:rPr>
          <w:lang w:val="en-GB"/>
        </w:rPr>
      </w:pPr>
      <w:r>
        <w:rPr>
          <w:lang w:val="en-GB"/>
        </w:rPr>
        <w:t xml:space="preserve">The </w:t>
      </w:r>
      <w:r w:rsidR="0095262D">
        <w:rPr>
          <w:lang w:val="en-GB"/>
        </w:rPr>
        <w:t>acquired</w:t>
      </w:r>
      <w:r>
        <w:rPr>
          <w:lang w:val="en-GB"/>
        </w:rPr>
        <w:t xml:space="preserve"> data were compared with experimental measurements from the current literature, once available, and empirical correlations</w:t>
      </w:r>
      <w:r w:rsidR="00AD37F9">
        <w:rPr>
          <w:lang w:val="en-GB"/>
        </w:rPr>
        <w:t xml:space="preserve">. </w:t>
      </w:r>
      <w:r w:rsidRPr="00D24F95">
        <w:t xml:space="preserve">The flame shape and radiative intensity of pool fire are closely related to the burning rate of fuels which is commonly represented by the mass burning rate per unit area. As mentioned before, the combustion rate of usual hydrocarbon fuels can be estimated through well-known correlation </w:t>
      </w:r>
      <w:r w:rsidRPr="00D24F95">
        <w:fldChar w:fldCharType="begin" w:fldLock="1"/>
      </w:r>
      <w:r w:rsidR="000737EC">
        <w:instrText>ADDIN CSL_CITATION {"citationItems":[{"id":"ITEM-1","itemData":{"author":[{"dropping-particle":"","family":"Hottel","given":"Hoyt C.","non-dropping-particle":"","parse-names":false,"suffix":""}],"container-title":"Fire Research Abstracts and Reviews","id":"ITEM-1","issued":{"date-parts":[["1959"]]},"title":"Review of Certain Laws Governing Diffusive Burning of Liquids","type":"article-journal","volume":"1"},"uris":["http://www.mendeley.com/documents/?uuid=636701ba-9074-4a2f-bcd8-f9fff80b2649"]}],"mendeley":{"formattedCitation":"(Hottel, 1959)","plainTextFormattedCitation":"(Hottel, 1959)","previouslyFormattedCitation":"(Hottel, 1959)"},"properties":{"noteIndex":0},"schema":"https://github.com/citation-style-language/schema/raw/master/csl-citation.json"}</w:instrText>
      </w:r>
      <w:r w:rsidRPr="00D24F95">
        <w:fldChar w:fldCharType="separate"/>
      </w:r>
      <w:r w:rsidRPr="00D24F95">
        <w:rPr>
          <w:noProof/>
        </w:rPr>
        <w:t>(Hottel, 1959)</w:t>
      </w:r>
      <w:r w:rsidRPr="00D24F95">
        <w:fldChar w:fldCharType="end"/>
      </w:r>
      <w:r w:rsidRPr="00D24F95">
        <w:t xml:space="preserve"> depending on the diameter of the liquid pool (</w:t>
      </w:r>
      <w:proofErr w:type="spellStart"/>
      <w:r w:rsidRPr="00D24F95">
        <w:rPr>
          <w:i/>
          <w:iCs/>
        </w:rPr>
        <w:t>D</w:t>
      </w:r>
      <w:r w:rsidRPr="00D24F95">
        <w:rPr>
          <w:i/>
          <w:iCs/>
          <w:vertAlign w:val="subscript"/>
        </w:rPr>
        <w:t>p</w:t>
      </w:r>
      <w:proofErr w:type="spellEnd"/>
      <w:r w:rsidRPr="00D24F95">
        <w:t>) and other characteristics such as the absorption-extinction coefficient (k</w:t>
      </w:r>
      <w:r w:rsidRPr="00D24F95">
        <w:rPr>
          <w:rFonts w:cs="Arial"/>
        </w:rPr>
        <w:t>β</w:t>
      </w:r>
      <w:r w:rsidRPr="00D24F95">
        <w:t>) of the flame (Eq</w:t>
      </w:r>
      <w:r w:rsidR="00B152A7">
        <w:t>(</w:t>
      </w:r>
      <w:r>
        <w:t>1</w:t>
      </w:r>
      <w:r w:rsidRPr="00D24F95">
        <w:t>)</w:t>
      </w:r>
      <w:r w:rsidR="00B152A7">
        <w:t>)</w:t>
      </w:r>
      <w:r w:rsidRPr="00D24F95">
        <w:t xml:space="preserve">. </w:t>
      </w:r>
    </w:p>
    <w:p w14:paraId="7B9C7F36" w14:textId="391C3443" w:rsidR="00D24F95" w:rsidRPr="00D24F95" w:rsidRDefault="00D24F95" w:rsidP="00C522D0">
      <w:pPr>
        <w:pStyle w:val="CETBodytext"/>
        <w:tabs>
          <w:tab w:val="clear" w:pos="7100"/>
          <w:tab w:val="right" w:pos="8787"/>
        </w:tabs>
        <w:spacing w:before="120" w:after="120"/>
      </w:pPr>
      <m:oMath>
        <m:r>
          <w:rPr>
            <w:rFonts w:ascii="Cambria Math" w:hAnsi="Cambria Math"/>
          </w:rPr>
          <m:t>MBR=MB</m:t>
        </m:r>
        <m:sSub>
          <m:sSubPr>
            <m:ctrlPr>
              <w:rPr>
                <w:rFonts w:ascii="Cambria Math" w:hAnsi="Cambria Math"/>
                <w:i/>
              </w:rPr>
            </m:ctrlPr>
          </m:sSubPr>
          <m:e>
            <m:r>
              <w:rPr>
                <w:rFonts w:ascii="Cambria Math" w:hAnsi="Cambria Math"/>
              </w:rPr>
              <m:t>R</m:t>
            </m:r>
          </m:e>
          <m:sub>
            <m:r>
              <w:rPr>
                <w:rFonts w:ascii="Cambria Math" w:hAnsi="Cambria Math"/>
              </w:rPr>
              <m:t>i</m:t>
            </m:r>
          </m:sub>
        </m:sSub>
        <m:d>
          <m:dPr>
            <m:ctrlPr>
              <w:rPr>
                <w:rFonts w:ascii="Cambria Math" w:hAnsi="Cambria Math"/>
                <w:i/>
              </w:rPr>
            </m:ctrlPr>
          </m:dPr>
          <m:e>
            <m:r>
              <w:rPr>
                <w:rFonts w:ascii="Cambria Math" w:hAnsi="Cambria Math"/>
              </w:rPr>
              <m:t>1-</m:t>
            </m:r>
            <m:sSup>
              <m:sSupPr>
                <m:ctrlPr>
                  <w:rPr>
                    <w:rFonts w:ascii="Cambria Math" w:hAnsi="Cambria Math"/>
                  </w:rPr>
                </m:ctrlPr>
              </m:sSupPr>
              <m:e>
                <m:r>
                  <w:rPr>
                    <w:rFonts w:ascii="Cambria Math" w:hAnsi="Cambria Math"/>
                  </w:rPr>
                  <m:t>e</m:t>
                </m:r>
                <m:ctrlPr>
                  <w:rPr>
                    <w:rFonts w:ascii="Cambria Math" w:hAnsi="Cambria Math"/>
                    <w:i/>
                  </w:rPr>
                </m:ctrlPr>
              </m:e>
              <m:sup>
                <m:r>
                  <w:rPr>
                    <w:rFonts w:ascii="Cambria Math" w:hAnsi="Cambria Math"/>
                  </w:rPr>
                  <m:t>-kβ∙</m:t>
                </m:r>
                <m:sSub>
                  <m:sSubPr>
                    <m:ctrlPr>
                      <w:rPr>
                        <w:rFonts w:ascii="Cambria Math" w:hAnsi="Cambria Math"/>
                        <w:i/>
                      </w:rPr>
                    </m:ctrlPr>
                  </m:sSubPr>
                  <m:e>
                    <m:r>
                      <w:rPr>
                        <w:rFonts w:ascii="Cambria Math" w:hAnsi="Cambria Math"/>
                      </w:rPr>
                      <m:t>D</m:t>
                    </m:r>
                  </m:e>
                  <m:sub>
                    <m:r>
                      <w:rPr>
                        <w:rFonts w:ascii="Cambria Math" w:hAnsi="Cambria Math"/>
                      </w:rPr>
                      <m:t>p</m:t>
                    </m:r>
                  </m:sub>
                </m:sSub>
              </m:sup>
            </m:sSup>
          </m:e>
        </m:d>
        <m:r>
          <w:rPr>
            <w:rFonts w:ascii="Cambria Math" w:hAnsi="Cambria Math"/>
          </w:rPr>
          <m:t xml:space="preserve"> </m:t>
        </m:r>
      </m:oMath>
      <w:r>
        <w:tab/>
        <w:t>(1)</w:t>
      </w:r>
    </w:p>
    <w:p w14:paraId="150880A7" w14:textId="5BB640DE" w:rsidR="00D24F95" w:rsidRDefault="00D24F95" w:rsidP="00595E5A">
      <w:pPr>
        <w:pStyle w:val="CETBodytext"/>
      </w:pPr>
      <w:r>
        <w:t xml:space="preserve">Besides, the dimensionless number </w:t>
      </w:r>
      <w:r w:rsidRPr="00D24F95">
        <w:rPr>
          <w:i/>
          <w:iCs/>
        </w:rPr>
        <w:t>B</w:t>
      </w:r>
      <w:r>
        <w:t xml:space="preserve"> accounts for the ratio between the heat </w:t>
      </w:r>
      <w:r w:rsidR="008A714F">
        <w:t xml:space="preserve">of gasification </w:t>
      </w:r>
      <w:r>
        <w:t>required to reach the boiling temperature starting from the atmospheric conditions</w:t>
      </w:r>
      <w:r w:rsidR="009B5FD6">
        <w:t xml:space="preserve"> (</w:t>
      </w:r>
      <w:r w:rsidR="00BD351C">
        <w:rPr>
          <w:rFonts w:cs="Arial"/>
        </w:rPr>
        <w:t>∆</w:t>
      </w:r>
      <w:r w:rsidR="00BD351C">
        <w:t>h</w:t>
      </w:r>
      <w:r w:rsidR="00BD351C" w:rsidRPr="00BD351C">
        <w:rPr>
          <w:vertAlign w:val="subscript"/>
        </w:rPr>
        <w:t>g</w:t>
      </w:r>
      <w:r w:rsidR="009B5FD6">
        <w:t>)</w:t>
      </w:r>
      <w:r>
        <w:t xml:space="preserve"> and the </w:t>
      </w:r>
      <w:r w:rsidR="005532E6">
        <w:t xml:space="preserve">measured </w:t>
      </w:r>
      <w:r>
        <w:t>effective heat of combustion</w:t>
      </w:r>
      <w:r w:rsidR="00C666D9">
        <w:t xml:space="preserve"> (EHC)</w:t>
      </w:r>
      <w:r w:rsidR="005532E6">
        <w:t>, i.e., the energy produced by combustion per unit of consumed mass</w:t>
      </w:r>
      <w:r>
        <w:t xml:space="preserve">. It was defined for the sake of uniformity </w:t>
      </w:r>
      <w:r w:rsidR="00B12D80">
        <w:t>in</w:t>
      </w:r>
      <w:r>
        <w:t xml:space="preserve"> the comparison of different species (Eq</w:t>
      </w:r>
      <w:r w:rsidR="00B152A7">
        <w:t>(</w:t>
      </w:r>
      <w:r>
        <w:t>2)</w:t>
      </w:r>
      <w:r w:rsidR="00B152A7">
        <w:t>)</w:t>
      </w:r>
      <w:r>
        <w:t>.</w:t>
      </w:r>
    </w:p>
    <w:p w14:paraId="50CDA52E" w14:textId="5408EEB7" w:rsidR="00D24F95" w:rsidRPr="00D24F95" w:rsidRDefault="00D24F95" w:rsidP="00C522D0">
      <w:pPr>
        <w:pStyle w:val="CETBodytext"/>
        <w:tabs>
          <w:tab w:val="clear" w:pos="7100"/>
          <w:tab w:val="right" w:pos="8787"/>
        </w:tabs>
        <w:spacing w:before="120" w:after="120"/>
      </w:pPr>
      <m:oMath>
        <m:r>
          <w:rPr>
            <w:rFonts w:ascii="Cambria Math" w:hAnsi="Cambria Math"/>
          </w:rPr>
          <m:t xml:space="preserve">B= </m:t>
        </m:r>
        <m:f>
          <m:fPr>
            <m:ctrlPr>
              <w:rPr>
                <w:rFonts w:ascii="Cambria Math" w:hAnsi="Cambria Math"/>
                <w:i/>
              </w:rPr>
            </m:ctrlPr>
          </m:fPr>
          <m:num>
            <m:r>
              <w:rPr>
                <w:rFonts w:ascii="Cambria Math" w:hAnsi="Cambria Math"/>
              </w:rPr>
              <m:t>EHC</m:t>
            </m:r>
          </m:num>
          <m:den>
            <m:sSub>
              <m:sSubPr>
                <m:ctrlPr>
                  <w:rPr>
                    <w:rFonts w:ascii="Cambria Math" w:hAnsi="Cambria Math"/>
                  </w:rPr>
                </m:ctrlPr>
              </m:sSubPr>
              <m:e>
                <m:r>
                  <m:rPr>
                    <m:sty m:val="p"/>
                  </m:rPr>
                  <w:rPr>
                    <w:rFonts w:ascii="Cambria Math" w:hAnsi="Cambria Math" w:cs="Arial"/>
                  </w:rPr>
                  <m:t>∆</m:t>
                </m:r>
                <m:r>
                  <m:rPr>
                    <m:sty m:val="p"/>
                  </m:rPr>
                  <w:rPr>
                    <w:rFonts w:ascii="Cambria Math" w:hAnsi="Cambria Math"/>
                  </w:rPr>
                  <m:t>h</m:t>
                </m:r>
              </m:e>
              <m:sub>
                <m:r>
                  <m:rPr>
                    <m:sty m:val="p"/>
                  </m:rPr>
                  <w:rPr>
                    <w:rFonts w:ascii="Cambria Math" w:hAnsi="Cambria Math"/>
                    <w:vertAlign w:val="subscript"/>
                  </w:rPr>
                  <m:t>g</m:t>
                </m:r>
              </m:sub>
            </m:sSub>
          </m:den>
        </m:f>
      </m:oMath>
      <w:r w:rsidR="00167C53">
        <w:t xml:space="preserve"> </w:t>
      </w:r>
      <w:r>
        <w:tab/>
        <w:t>(2)</w:t>
      </w:r>
    </w:p>
    <w:p w14:paraId="4CB9CED0" w14:textId="4F44D46B" w:rsidR="00C666D9" w:rsidRDefault="00C666D9" w:rsidP="00C666D9">
      <w:pPr>
        <w:pStyle w:val="CETBodytext"/>
      </w:pPr>
      <w:r>
        <w:t>Alongside the experimental data, an additional parameter was included, labelled as the flux time product. The latter is calculated as the product of the time to ignition, the external heat flux and the exposed sample surface area (Eq</w:t>
      </w:r>
      <w:r w:rsidR="00B152A7">
        <w:t>(</w:t>
      </w:r>
      <w:r w:rsidR="00E122B9">
        <w:t>3</w:t>
      </w:r>
      <w:r>
        <w:t>)</w:t>
      </w:r>
      <w:r w:rsidR="00B152A7">
        <w:t>)</w:t>
      </w:r>
      <w:r>
        <w:t xml:space="preserve">, following the definition provided in the current literature </w:t>
      </w:r>
      <w:r>
        <w:fldChar w:fldCharType="begin" w:fldLock="1"/>
      </w:r>
      <w:r>
        <w:instrText>ADDIN CSL_CITATION {"citationItems":[{"id":"ITEM-1","itemData":{"DOI":"10.1016/j.firesaf.2021.103449","ISSN":"03797112","abstract":"The cone calorimeter is traditionally used to measure the response of solid materials to radiant heating. Liquids are also commonly tested, but the methods employed are varied and inconsistent. There is a need to understand how the experimental conditions impact test results, and to develop formal guidance on a testing protocol for liquids. The cone calorimeter can be used to characterize the fire performance of liquids according to their propensities for ignition, boiling, and burning, as well as their combustion characteristics. A review of the literature was carried out to understand the breadth of apparatus and procedures used to date and their impacts on test results. From this, a series of recommendations were developed for adapting the test protocol for liquids. The vessel used should be circular; steel, borosilicate glass, or fused quartz; positioned on 13 mm of flat ceramic fiber insulation within a larger spillage containment pan; and have a diameter between 65 mm and 90 mm. Liquid depths of 10 mm should be used, and tests should be nominally be conducted at a heat flux of 10 kW</w:instrText>
      </w:r>
      <w:r>
        <w:rPr>
          <w:rFonts w:ascii="Cambria Math" w:hAnsi="Cambria Math" w:cs="Cambria Math"/>
        </w:rPr>
        <w:instrText>⋅</w:instrText>
      </w:r>
      <w:r>
        <w:instrText>m</w:instrText>
      </w:r>
      <w:r>
        <w:rPr>
          <w:rFonts w:cs="Arial"/>
        </w:rPr>
        <w:instrText>−</w:instrText>
      </w:r>
      <w:r>
        <w:instrText>2. This work provides the necessary technical basis for adoption of a consistent methodology for cone calorimeter testing of liquids.","author":[{"dropping-particle":"","family":"DiDomizio","given":"Matthew J.","non-dropping-particle":"","parse-names":false,"suffix":""},{"dropping-particle":"","family":"Ibrahimli","given":"Vusal","non-dropping-particle":"","parse-names":false,"suffix":""},{"dropping-particle":"","family":"Weckman","given":"Elizabeth J.","non-dropping-particle":"","parse-names":false,"suffix":""}],"container-title":"Fire Safety Journal","id":"ITEM-1","issued":{"date-parts":[["2021"]]},"page":"103449","publisher":"Elsevier Ltd","title":"Testing of liquids with the cone calorimeter","type":"article-journal","volume":"126"},"uris":["http://www.mendeley.com/documents/?uuid=4d7fc24a-3b7b-43d3-90c4-0e6d5c1aeec7"]}],"mendeley":{"formattedCitation":"(DiDomizio et al., 2021)","plainTextFormattedCitation":"(DiDomizio et al., 2021)","previouslyFormattedCitation":"(DiDomizio et al., 2021)"},"properties":{"noteIndex":0},"schema":"https://github.com/citation-style-language/schema/raw/master/csl-citation.json"}</w:instrText>
      </w:r>
      <w:r>
        <w:fldChar w:fldCharType="separate"/>
      </w:r>
      <w:r w:rsidRPr="00E22067">
        <w:rPr>
          <w:noProof/>
        </w:rPr>
        <w:t>(DiDomizio et al., 2021)</w:t>
      </w:r>
      <w:r>
        <w:fldChar w:fldCharType="end"/>
      </w:r>
      <w:r>
        <w:t>.</w:t>
      </w:r>
    </w:p>
    <w:p w14:paraId="223AD449" w14:textId="77777777" w:rsidR="00C666D9" w:rsidRDefault="00C666D9" w:rsidP="00C522D0">
      <w:pPr>
        <w:pStyle w:val="CETBodytext"/>
        <w:tabs>
          <w:tab w:val="clear" w:pos="7100"/>
          <w:tab w:val="right" w:pos="8787"/>
        </w:tabs>
        <w:spacing w:before="120" w:after="120"/>
      </w:pPr>
      <m:oMath>
        <m:r>
          <w:rPr>
            <w:rFonts w:ascii="Cambria Math" w:hAnsi="Cambria Math"/>
          </w:rPr>
          <m:t>FTP=</m:t>
        </m:r>
        <m:sSub>
          <m:sSubPr>
            <m:ctrlPr>
              <w:rPr>
                <w:rFonts w:ascii="Cambria Math" w:hAnsi="Cambria Math"/>
                <w:i/>
              </w:rPr>
            </m:ctrlPr>
          </m:sSubPr>
          <m:e>
            <m:r>
              <w:rPr>
                <w:rFonts w:ascii="Cambria Math" w:hAnsi="Cambria Math"/>
              </w:rPr>
              <m:t>t</m:t>
            </m:r>
          </m:e>
          <m:sub>
            <m:r>
              <w:rPr>
                <w:rFonts w:ascii="Cambria Math" w:hAnsi="Cambria Math"/>
              </w:rPr>
              <m:t>ig</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s</m:t>
            </m:r>
          </m:sub>
        </m:sSub>
      </m:oMath>
      <w:r>
        <w:tab/>
        <w:t>(3)</w:t>
      </w:r>
    </w:p>
    <w:p w14:paraId="74D15834" w14:textId="77777777" w:rsidR="00C666D9" w:rsidRDefault="00C666D9" w:rsidP="00C666D9">
      <w:pPr>
        <w:pStyle w:val="CETBodytext"/>
        <w:tabs>
          <w:tab w:val="clear" w:pos="7100"/>
          <w:tab w:val="right" w:pos="8787"/>
        </w:tabs>
      </w:pPr>
      <w:r>
        <w:t xml:space="preserve">where </w:t>
      </w:r>
      <m:oMath>
        <m:sSub>
          <m:sSubPr>
            <m:ctrlPr>
              <w:rPr>
                <w:rFonts w:ascii="Cambria Math" w:hAnsi="Cambria Math"/>
                <w:i/>
              </w:rPr>
            </m:ctrlPr>
          </m:sSubPr>
          <m:e>
            <m:r>
              <w:rPr>
                <w:rFonts w:ascii="Cambria Math" w:hAnsi="Cambria Math"/>
              </w:rPr>
              <m:t>t</m:t>
            </m:r>
          </m:e>
          <m:sub>
            <m:r>
              <w:rPr>
                <w:rFonts w:ascii="Cambria Math" w:hAnsi="Cambria Math"/>
              </w:rPr>
              <m:t>ig</m:t>
            </m:r>
          </m:sub>
        </m:sSub>
      </m:oMath>
      <w:r>
        <w:t xml:space="preserve">, </w:t>
      </w:r>
      <m:oMath>
        <m:sSub>
          <m:sSubPr>
            <m:ctrlPr>
              <w:rPr>
                <w:rFonts w:ascii="Cambria Math" w:hAnsi="Cambria Math"/>
                <w:i/>
              </w:rPr>
            </m:ctrlPr>
          </m:sSubPr>
          <m:e>
            <m:r>
              <w:rPr>
                <w:rFonts w:ascii="Cambria Math" w:hAnsi="Cambria Math"/>
              </w:rPr>
              <m:t>q</m:t>
            </m:r>
          </m:e>
          <m:sub>
            <m:r>
              <w:rPr>
                <w:rFonts w:ascii="Cambria Math" w:hAnsi="Cambria Math"/>
              </w:rPr>
              <m:t>e</m:t>
            </m:r>
          </m:sub>
        </m:sSub>
      </m:oMath>
      <w:r>
        <w:t xml:space="preserve">, and </w:t>
      </w:r>
      <m:oMath>
        <m:sSub>
          <m:sSubPr>
            <m:ctrlPr>
              <w:rPr>
                <w:rFonts w:ascii="Cambria Math" w:hAnsi="Cambria Math"/>
                <w:i/>
              </w:rPr>
            </m:ctrlPr>
          </m:sSubPr>
          <m:e>
            <m:r>
              <w:rPr>
                <w:rFonts w:ascii="Cambria Math" w:hAnsi="Cambria Math"/>
              </w:rPr>
              <m:t>A</m:t>
            </m:r>
          </m:e>
          <m:sub>
            <m:r>
              <w:rPr>
                <w:rFonts w:ascii="Cambria Math" w:hAnsi="Cambria Math"/>
              </w:rPr>
              <m:t>s</m:t>
            </m:r>
          </m:sub>
        </m:sSub>
      </m:oMath>
      <w:r>
        <w:t xml:space="preserve"> are respectively the time to ignition, the external flux provided to the sample, and the sample area exposed to the flux. The latter is assumed as a constant throughout the whole experimental campaign and corresponds to the internal area of the specimen.</w:t>
      </w:r>
    </w:p>
    <w:p w14:paraId="483F01E7" w14:textId="04548DA5" w:rsidR="0074195A" w:rsidRDefault="0074195A" w:rsidP="00595E5A">
      <w:pPr>
        <w:pStyle w:val="CETHeading1"/>
      </w:pPr>
      <w:r>
        <w:t>Results</w:t>
      </w:r>
    </w:p>
    <w:p w14:paraId="67BC456E" w14:textId="7EE1D3FC" w:rsidR="0091683A" w:rsidRDefault="00B1203D" w:rsidP="00C666D9">
      <w:pPr>
        <w:pStyle w:val="CETBodytext"/>
      </w:pPr>
      <w:r>
        <w:t>Regardless of the investigated conditions or component</w:t>
      </w:r>
      <w:r w:rsidR="00B12D80">
        <w:t>s</w:t>
      </w:r>
      <w:r>
        <w:t>, growth, pseudo</w:t>
      </w:r>
      <w:r w:rsidR="00B12D80">
        <w:t>-</w:t>
      </w:r>
      <w:r>
        <w:t xml:space="preserve">steady state and decay phases can be distinguished within the mass and energy profiles. The intensity, duration and shape of the measured variations are mostly determined by external heat flux and chemical formulation </w:t>
      </w:r>
      <w:proofErr w:type="spellStart"/>
      <w:r>
        <w:t>analysed</w:t>
      </w:r>
      <w:proofErr w:type="spellEnd"/>
      <w:r>
        <w:t>. For the sake of consistency, i</w:t>
      </w:r>
      <w:r w:rsidR="005C5D08">
        <w:t xml:space="preserve">n the experimental investigation conducted </w:t>
      </w:r>
      <w:r w:rsidR="000C3B24">
        <w:t>in this work</w:t>
      </w:r>
      <w:r w:rsidR="005C5D08">
        <w:t xml:space="preserve"> for </w:t>
      </w:r>
      <w:r w:rsidR="000C3B24">
        <w:t xml:space="preserve">the characterization of bench scale pool fires of </w:t>
      </w:r>
      <w:r w:rsidR="005C5D08">
        <w:t xml:space="preserve">ethanol, hexane, and ethyl acetate, the results obtained under critical flow conditions </w:t>
      </w:r>
      <w:r>
        <w:t xml:space="preserve">and in the quasi-steady state of fully developed combustion </w:t>
      </w:r>
      <w:r w:rsidR="005C5D08">
        <w:t xml:space="preserve">are </w:t>
      </w:r>
      <w:r w:rsidR="005F7E2F">
        <w:t>disclosed</w:t>
      </w:r>
      <w:r w:rsidR="005C5D08">
        <w:t xml:space="preserve">. </w:t>
      </w:r>
      <w:r w:rsidR="000C3B24">
        <w:t xml:space="preserve">More specifically, a critical flow is defined as </w:t>
      </w:r>
      <w:r w:rsidR="000C3B24">
        <w:lastRenderedPageBreak/>
        <w:t xml:space="preserve">the minimum external heat flux required to produce a stable and self-sustained flame in </w:t>
      </w:r>
      <w:r w:rsidR="00B12D80">
        <w:t xml:space="preserve">the </w:t>
      </w:r>
      <w:r w:rsidR="000C3B24">
        <w:t>absence of an external ignition source</w:t>
      </w:r>
      <w:r w:rsidR="00257184">
        <w:t xml:space="preserve"> </w:t>
      </w:r>
      <w:r w:rsidR="00D7170B">
        <w:fldChar w:fldCharType="begin" w:fldLock="1"/>
      </w:r>
      <w:r w:rsidR="00257184">
        <w:instrText>ADDIN CSL_CITATION {"citationItems":[{"id":"ITEM-1","itemData":{"DOI":"10.1016/j.cej.2022.139419","ISSN":"13858947","abstract":"This study investigated the combustion properties of corn stover-derived hydrochars using cone calorimeter. Hydrochars were prepared by hydrothermal carbonization (HTC) at 200, 230, and 260 °C for 30 min. Six different heat fluxes (5–50 kW/m2) were applied to hydrochars to determine critical heat flux (CHF), ignition temperature, thermal response, peak heat release rate (pHRR), thermal hazard risk, and combustion efficiency. Results show that increasing the HTC temperature decreased the CHF and ignition temperature but increased the thermal resistivity. Increasing the heat flux decreased the thermal resistivity and ignition time of all the hydrochars. Thermal hazard analysis indicated that the hydrochars posed lower thermal risk than raw corn stover. Finally, combustion kinetics were proposed using two parallel first order reactions for volatile matters and fixed carbon. The reaction rate of volatile matter was significantly higher than the reaction rate of fixed carbon. HTC increased the fixed carbon activation energies to as high as 24.0 MJ/mol. Overall, HTC forms hydrochars which are less flammable, more stable, and a lower thermally risk material for piloted ignition than raw corn stover.","author":[{"dropping-particle":"","family":"Tahmid Islam","given":"Md","non-dropping-particle":"","parse-names":false,"suffix":""},{"dropping-particle":"","family":"Klinger","given":"Jordan L.","non-dropping-particle":"","parse-names":false,"suffix":""},{"dropping-particle":"","family":"Toufiq Reza","given":"M.","non-dropping-particle":"","parse-names":false,"suffix":""}],"container-title":"Chemical Engineering Journal","id":"ITEM-1","issued":{"date-parts":[["2023"]]},"title":"Evaluating combustion characteristics and combustion kinetics of corn stover-derived hydrochars by cone calorimeter","type":"article-journal","volume":"452"},"uris":["http://www.mendeley.com/documents/?uuid=a0094eee-66e2-40ed-8d48-db8a927a0ad7"]}],"mendeley":{"formattedCitation":"(Tahmid Islam et al., 2023)","plainTextFormattedCitation":"(Tahmid Islam et al., 2023)","previouslyFormattedCitation":"(Tahmid Islam et al., 2023)"},"properties":{"noteIndex":0},"schema":"https://github.com/citation-style-language/schema/raw/master/csl-citation.json"}</w:instrText>
      </w:r>
      <w:r w:rsidR="00D7170B">
        <w:fldChar w:fldCharType="separate"/>
      </w:r>
      <w:r w:rsidR="00D7170B" w:rsidRPr="00D7170B">
        <w:rPr>
          <w:noProof/>
        </w:rPr>
        <w:t>(Tahmid Islam et al., 2023)</w:t>
      </w:r>
      <w:r w:rsidR="00D7170B">
        <w:fldChar w:fldCharType="end"/>
      </w:r>
      <w:r w:rsidR="00257184">
        <w:t>.</w:t>
      </w:r>
      <w:r w:rsidR="000C3B24">
        <w:t xml:space="preserve"> This definition has been largely considered for biomass characterization, with typical values included within the range </w:t>
      </w:r>
      <w:r w:rsidR="00B12D80">
        <w:t xml:space="preserve">of </w:t>
      </w:r>
      <w:r>
        <w:t>1</w:t>
      </w:r>
      <w:r w:rsidR="000C3B24">
        <w:t>5 kW/m</w:t>
      </w:r>
      <w:r w:rsidR="000C3B24" w:rsidRPr="000C3B24">
        <w:rPr>
          <w:vertAlign w:val="superscript"/>
        </w:rPr>
        <w:t>2</w:t>
      </w:r>
      <w:r w:rsidR="000C3B24">
        <w:t xml:space="preserve"> and </w:t>
      </w:r>
      <w:r>
        <w:t>2</w:t>
      </w:r>
      <w:r w:rsidR="000C3B24">
        <w:t>5 kW/m</w:t>
      </w:r>
      <w:r w:rsidR="000C3B24" w:rsidRPr="000C3B24">
        <w:rPr>
          <w:vertAlign w:val="superscript"/>
        </w:rPr>
        <w:t>2</w:t>
      </w:r>
      <w:r w:rsidR="00257184">
        <w:rPr>
          <w:vertAlign w:val="superscript"/>
        </w:rPr>
        <w:t xml:space="preserve"> </w:t>
      </w:r>
      <w:r w:rsidR="00257184">
        <w:rPr>
          <w:vertAlign w:val="superscript"/>
        </w:rPr>
        <w:fldChar w:fldCharType="begin" w:fldLock="1"/>
      </w:r>
      <w:r w:rsidR="00632748">
        <w:rPr>
          <w:vertAlign w:val="superscript"/>
        </w:rPr>
        <w:instrText>ADDIN CSL_CITATION {"citationItems":[{"id":"ITEM-1","itemData":{"DOI":"10.1016/j.firesaf.2021.103449","ISSN":"03797112","abstract":"The cone calorimeter is traditionally used to measure the response of solid materials to radiant heating. Liquids are also commonly tested, but the methods employed are varied and inconsistent. There is a need to understand how the experimental conditions impact test results, and to develop formal guidance on a testing protocol for liquids. The cone calorimeter can be used to characterize the fire performance of liquids according to their propensities for ignition, boiling, and burning, as well as their combustion characteristics. A review of the literature was carried out to understand the breadth of apparatus and procedures used to date and their impacts on test results. From this, a series of recommendations were developed for adapting the test protocol for liquids. The vessel used should be circular; steel, borosilicate glass, or fused quartz; positioned on 13 mm of flat ceramic fiber insulation within a larger spillage containment pan; and have a diameter between 65 mm and 90 mm. Liquid depths of 10 mm should be used, and tests should be nominally be conducted at a heat flux of 10 kW</w:instrText>
      </w:r>
      <w:r w:rsidR="00632748">
        <w:rPr>
          <w:rFonts w:ascii="Cambria Math" w:hAnsi="Cambria Math" w:cs="Cambria Math"/>
          <w:vertAlign w:val="superscript"/>
        </w:rPr>
        <w:instrText>⋅</w:instrText>
      </w:r>
      <w:r w:rsidR="00632748">
        <w:rPr>
          <w:vertAlign w:val="superscript"/>
        </w:rPr>
        <w:instrText>m</w:instrText>
      </w:r>
      <w:r w:rsidR="00632748">
        <w:rPr>
          <w:rFonts w:cs="Arial"/>
          <w:vertAlign w:val="superscript"/>
        </w:rPr>
        <w:instrText>−</w:instrText>
      </w:r>
      <w:r w:rsidR="00632748">
        <w:rPr>
          <w:vertAlign w:val="superscript"/>
        </w:rPr>
        <w:instrText>2. This work provides the necessary technical basis for adoption of a consistent methodology for cone calorimeter testing of liquids.","author":[{"dropping-particle":"","family":"DiDomizio","given":"Matthew J.","non-dropping-particle":"","parse-names":false,"suffix":""},{"dropping-particle":"","family":"Ibrahimli","given":"Vusal","non-dropping-particle":"","parse-names":false,"suffix":""},{"dropping-particle":"","family":"Weckman","given":"Elizabeth J.","non-dropping-particle":"","parse-names":false,"suffix":""}],"container-title":"Fire Safety Journal","id":"ITEM-1","issued":{"date-parts":[["2021"]]},"page":"103449","publisher":"Elsevier Ltd","title":"Testing of liquids with the cone calorimeter","type":"article-journal","volume":"126"},"uris":["http://www.mendeley.com/documents/?uuid=4d7fc24a-3b7b-43d3-90c4-0e6d5c1aeec7"]}],"mendeley":{"formattedCitation":"(DiDomizio et al., 2021)","plainTextFormattedCitation":"(DiDomizio et al., 2021)","previouslyFormattedCitation":"(DiDomizio et al., 2021)"},"properties":{"noteIndex":0},"schema":"https://github.com/citation-style-language/schema/raw/master/csl-citation.json"}</w:instrText>
      </w:r>
      <w:r w:rsidR="00257184">
        <w:rPr>
          <w:vertAlign w:val="superscript"/>
        </w:rPr>
        <w:fldChar w:fldCharType="separate"/>
      </w:r>
      <w:r w:rsidR="00257184" w:rsidRPr="00257184">
        <w:rPr>
          <w:noProof/>
        </w:rPr>
        <w:t>(DiDomizio et al., 2021)</w:t>
      </w:r>
      <w:r w:rsidR="00257184">
        <w:rPr>
          <w:vertAlign w:val="superscript"/>
        </w:rPr>
        <w:fldChar w:fldCharType="end"/>
      </w:r>
      <w:r w:rsidR="000C3B24">
        <w:t>. Nevertheless, to the best of our knowledge, no indications are available on this parameter for the investigated liquids.</w:t>
      </w:r>
      <w:r>
        <w:t xml:space="preserve"> In addition</w:t>
      </w:r>
      <w:r w:rsidR="005C5D08">
        <w:t xml:space="preserve">, </w:t>
      </w:r>
      <w:r w:rsidR="00452EFF">
        <w:fldChar w:fldCharType="begin"/>
      </w:r>
      <w:r w:rsidR="00452EFF">
        <w:instrText xml:space="preserve"> REF _Ref159321477 \h </w:instrText>
      </w:r>
      <w:r w:rsidR="00452EFF">
        <w:fldChar w:fldCharType="separate"/>
      </w:r>
      <w:r w:rsidR="00452EFF">
        <w:t>Table 1</w:t>
      </w:r>
      <w:r w:rsidR="00452EFF">
        <w:fldChar w:fldCharType="end"/>
      </w:r>
      <w:r w:rsidR="000D2A2C">
        <w:t xml:space="preserve"> included the critical heat flux (q</w:t>
      </w:r>
      <w:r w:rsidRPr="00B1203D">
        <w:rPr>
          <w:vertAlign w:val="subscript"/>
        </w:rPr>
        <w:t>c</w:t>
      </w:r>
      <w:r w:rsidR="000D2A2C">
        <w:t xml:space="preserve">), the heat release rate (HRR), the mass burning rate (MBR), the </w:t>
      </w:r>
      <w:r w:rsidR="00A46A66">
        <w:t xml:space="preserve">effective heat of combustion (EHC), the </w:t>
      </w:r>
      <w:r w:rsidR="0080097C">
        <w:t xml:space="preserve">ratio of the yield of </w:t>
      </w:r>
      <w:r w:rsidR="00A46A66">
        <w:t>ca</w:t>
      </w:r>
      <w:r w:rsidR="00E779FB">
        <w:t>r</w:t>
      </w:r>
      <w:r w:rsidR="00A46A66">
        <w:t>bon</w:t>
      </w:r>
      <w:r w:rsidR="00E779FB">
        <w:t xml:space="preserve"> monoxide and carbon dioxide (CO/CO</w:t>
      </w:r>
      <w:r w:rsidR="00E779FB" w:rsidRPr="00743711">
        <w:rPr>
          <w:vertAlign w:val="subscript"/>
        </w:rPr>
        <w:t>2</w:t>
      </w:r>
      <w:r w:rsidR="00E779FB">
        <w:t>) and the s</w:t>
      </w:r>
      <w:r w:rsidR="00F706E3">
        <w:t>pecific smoke</w:t>
      </w:r>
      <w:r w:rsidR="00E779FB">
        <w:t xml:space="preserve"> extinction area (SEA)</w:t>
      </w:r>
      <w:r w:rsidR="0080097C">
        <w:t>. The latter is</w:t>
      </w:r>
      <w:r w:rsidR="005532E6">
        <w:t xml:space="preserve"> based on </w:t>
      </w:r>
      <w:r w:rsidR="00E96C55">
        <w:t xml:space="preserve">the </w:t>
      </w:r>
      <w:r w:rsidR="005532E6">
        <w:t xml:space="preserve">measured light extinction coefficient, </w:t>
      </w:r>
      <w:r w:rsidR="0080097C">
        <w:t>volumetric flowrate of exhaust gas, and MBR</w:t>
      </w:r>
      <w:r w:rsidR="00E96C55">
        <w:t xml:space="preserve">, as described in detail into the dedicated standard </w:t>
      </w:r>
      <w:r w:rsidR="00E96C55" w:rsidRPr="00C22C4A">
        <w:rPr>
          <w:lang w:val="en-GB"/>
        </w:rPr>
        <w:fldChar w:fldCharType="begin" w:fldLock="1"/>
      </w:r>
      <w:r w:rsidR="00E96C55">
        <w:rPr>
          <w:lang w:val="en-GB"/>
        </w:rPr>
        <w:instrText>ADDIN CSL_CITATION {"citationItems":[{"id":"ITEM-1","itemData":{"id":"ITEM-1","issued":{"date-parts":[["2019"]]},"title":"BS ISO 5660-1 : 2015 + A1 : 2019 — Reaction-to-fire tests — Heat release , smoke production and mass loss rate","type":"article-journal"},"uris":["http://www.mendeley.com/documents/?uuid=588e8270-2e25-4010-9e35-a164022d409d"]}],"mendeley":{"formattedCitation":"(“BS ISO 5660-1 : 2015 + A1 : 2019 — Reaction-to-fire tests — Heat release , smoke production and mass loss rate,” 2019)","manualFormatting":"(ISO 5660, 2019)","plainTextFormattedCitation":"(“BS ISO 5660-1 : 2015 + A1 : 2019 — Reaction-to-fire tests — Heat release , smoke production and mass loss rate,” 2019)","previouslyFormattedCitation":"(“BS ISO 5660-1 : 2015 + A1 : 2019 — Reaction-to-fire tests — Heat release , smoke production and mass loss rate,” 2019)"},"properties":{"noteIndex":0},"schema":"https://github.com/citation-style-language/schema/raw/master/csl-citation.json"}</w:instrText>
      </w:r>
      <w:r w:rsidR="00E96C55" w:rsidRPr="00C22C4A">
        <w:rPr>
          <w:lang w:val="en-GB"/>
        </w:rPr>
        <w:fldChar w:fldCharType="separate"/>
      </w:r>
      <w:r w:rsidR="00E96C55" w:rsidRPr="00C22C4A">
        <w:rPr>
          <w:noProof/>
          <w:lang w:val="en-GB"/>
        </w:rPr>
        <w:t>(ISO 5660, 2019)</w:t>
      </w:r>
      <w:r w:rsidR="00E96C55" w:rsidRPr="00C22C4A">
        <w:rPr>
          <w:lang w:val="en-GB"/>
        </w:rPr>
        <w:fldChar w:fldCharType="end"/>
      </w:r>
      <w:r w:rsidR="00E96C55">
        <w:rPr>
          <w:lang w:val="en-GB"/>
        </w:rPr>
        <w:t>.</w:t>
      </w:r>
    </w:p>
    <w:p w14:paraId="760A4C16" w14:textId="0609DAF3" w:rsidR="00452EFF" w:rsidRDefault="00452EFF" w:rsidP="00452EFF">
      <w:pPr>
        <w:pStyle w:val="CETTabletitle"/>
      </w:pPr>
      <w:bookmarkStart w:id="0" w:name="_Ref159321477"/>
      <w:r>
        <w:t xml:space="preserve">Table </w:t>
      </w:r>
      <w:r>
        <w:fldChar w:fldCharType="begin"/>
      </w:r>
      <w:r>
        <w:instrText xml:space="preserve"> SEQ Table \* ARABIC </w:instrText>
      </w:r>
      <w:r>
        <w:fldChar w:fldCharType="separate"/>
      </w:r>
      <w:r>
        <w:t>1</w:t>
      </w:r>
      <w:r>
        <w:fldChar w:fldCharType="end"/>
      </w:r>
      <w:bookmarkEnd w:id="0"/>
      <w:r>
        <w:t xml:space="preserve">: </w:t>
      </w:r>
      <w:r w:rsidRPr="00CA75F4">
        <w:t xml:space="preserve">Main parameters obtained by cone calorimeter test at critical heat fluxes for each solvent in </w:t>
      </w:r>
      <w:r w:rsidR="00B12D80">
        <w:t xml:space="preserve">the </w:t>
      </w:r>
      <w:r w:rsidRPr="00CA75F4">
        <w:t>quasi-steady-state phase</w:t>
      </w:r>
      <w:r>
        <w: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56"/>
        <w:gridCol w:w="1073"/>
        <w:gridCol w:w="1074"/>
        <w:gridCol w:w="1076"/>
        <w:gridCol w:w="1155"/>
        <w:gridCol w:w="1246"/>
        <w:gridCol w:w="1141"/>
        <w:gridCol w:w="766"/>
      </w:tblGrid>
      <w:tr w:rsidR="007B4C2D" w:rsidRPr="00B57B36" w14:paraId="646850BD" w14:textId="36AC111C" w:rsidTr="00452EFF">
        <w:trPr>
          <w:trHeight w:val="238"/>
        </w:trPr>
        <w:tc>
          <w:tcPr>
            <w:tcW w:w="715" w:type="pct"/>
            <w:tcBorders>
              <w:top w:val="single" w:sz="12" w:space="0" w:color="008000"/>
              <w:bottom w:val="single" w:sz="6" w:space="0" w:color="008000"/>
            </w:tcBorders>
            <w:shd w:val="clear" w:color="auto" w:fill="FFFFFF"/>
          </w:tcPr>
          <w:p w14:paraId="4425E9F5" w14:textId="4D2E9E3C" w:rsidR="007B4C2D" w:rsidRPr="00B57B36" w:rsidRDefault="007B4C2D" w:rsidP="005276A7">
            <w:pPr>
              <w:pStyle w:val="CETBodytext"/>
              <w:rPr>
                <w:lang w:val="en-GB"/>
              </w:rPr>
            </w:pPr>
          </w:p>
        </w:tc>
        <w:tc>
          <w:tcPr>
            <w:tcW w:w="611" w:type="pct"/>
            <w:tcBorders>
              <w:top w:val="single" w:sz="12" w:space="0" w:color="008000"/>
              <w:bottom w:val="single" w:sz="6" w:space="0" w:color="008000"/>
            </w:tcBorders>
            <w:shd w:val="clear" w:color="auto" w:fill="FFFFFF"/>
          </w:tcPr>
          <w:p w14:paraId="6283453C" w14:textId="1D19E9D3" w:rsidR="007B4C2D" w:rsidRPr="00473391" w:rsidRDefault="00164BBB" w:rsidP="008D343E">
            <w:pPr>
              <w:pStyle w:val="CETBodytext"/>
              <w:jc w:val="center"/>
              <w:rPr>
                <w:lang w:val="en-GB"/>
              </w:rPr>
            </w:pPr>
            <w:r>
              <w:rPr>
                <w:lang w:val="en-GB"/>
              </w:rPr>
              <w:t>q</w:t>
            </w:r>
            <w:r w:rsidR="00B1203D" w:rsidRPr="00B1203D">
              <w:rPr>
                <w:vertAlign w:val="subscript"/>
                <w:lang w:val="en-GB"/>
              </w:rPr>
              <w:t>c</w:t>
            </w:r>
            <w:r>
              <w:rPr>
                <w:lang w:val="en-GB"/>
              </w:rPr>
              <w:t xml:space="preserve"> [kW/m</w:t>
            </w:r>
            <w:r w:rsidRPr="00164BBB">
              <w:rPr>
                <w:vertAlign w:val="superscript"/>
                <w:lang w:val="en-GB"/>
              </w:rPr>
              <w:t>2</w:t>
            </w:r>
            <w:r>
              <w:rPr>
                <w:lang w:val="en-GB"/>
              </w:rPr>
              <w:t>]</w:t>
            </w:r>
          </w:p>
        </w:tc>
        <w:tc>
          <w:tcPr>
            <w:tcW w:w="611" w:type="pct"/>
            <w:tcBorders>
              <w:top w:val="single" w:sz="12" w:space="0" w:color="008000"/>
              <w:bottom w:val="single" w:sz="6" w:space="0" w:color="008000"/>
            </w:tcBorders>
            <w:shd w:val="clear" w:color="auto" w:fill="FFFFFF"/>
          </w:tcPr>
          <w:p w14:paraId="452FC386" w14:textId="602E125C" w:rsidR="007B4C2D" w:rsidRDefault="007B4C2D" w:rsidP="008D343E">
            <w:pPr>
              <w:pStyle w:val="CETBodytext"/>
              <w:jc w:val="center"/>
              <w:rPr>
                <w:lang w:val="en-GB"/>
              </w:rPr>
            </w:pPr>
            <w:r w:rsidRPr="00473391">
              <w:rPr>
                <w:lang w:val="en-GB"/>
              </w:rPr>
              <w:t>HRR [kW/m</w:t>
            </w:r>
            <w:r w:rsidRPr="00CF1539">
              <w:rPr>
                <w:vertAlign w:val="superscript"/>
                <w:lang w:val="en-GB"/>
              </w:rPr>
              <w:t>2</w:t>
            </w:r>
            <w:r w:rsidRPr="00473391">
              <w:rPr>
                <w:lang w:val="en-GB"/>
              </w:rPr>
              <w:t>]</w:t>
            </w:r>
          </w:p>
        </w:tc>
        <w:tc>
          <w:tcPr>
            <w:tcW w:w="612" w:type="pct"/>
            <w:tcBorders>
              <w:top w:val="single" w:sz="12" w:space="0" w:color="008000"/>
              <w:bottom w:val="single" w:sz="6" w:space="0" w:color="008000"/>
            </w:tcBorders>
            <w:shd w:val="clear" w:color="auto" w:fill="FFFFFF"/>
          </w:tcPr>
          <w:p w14:paraId="7D8D2C40" w14:textId="2EEF68CA" w:rsidR="007B4C2D" w:rsidRPr="00B57B36" w:rsidRDefault="007B4C2D" w:rsidP="008D343E">
            <w:pPr>
              <w:pStyle w:val="CETBodytext"/>
              <w:jc w:val="center"/>
              <w:rPr>
                <w:lang w:val="en-GB"/>
              </w:rPr>
            </w:pPr>
            <w:r w:rsidRPr="00DB74AD">
              <w:rPr>
                <w:lang w:val="en-GB"/>
              </w:rPr>
              <w:t>MBR [</w:t>
            </w:r>
            <w:r>
              <w:rPr>
                <w:lang w:val="en-GB"/>
              </w:rPr>
              <w:t>k</w:t>
            </w:r>
            <w:r w:rsidRPr="00DB74AD">
              <w:rPr>
                <w:lang w:val="en-GB"/>
              </w:rPr>
              <w:t>g/s]</w:t>
            </w:r>
          </w:p>
        </w:tc>
        <w:tc>
          <w:tcPr>
            <w:tcW w:w="657" w:type="pct"/>
            <w:tcBorders>
              <w:top w:val="single" w:sz="12" w:space="0" w:color="008000"/>
              <w:bottom w:val="single" w:sz="6" w:space="0" w:color="008000"/>
            </w:tcBorders>
            <w:shd w:val="clear" w:color="auto" w:fill="FFFFFF"/>
          </w:tcPr>
          <w:p w14:paraId="2BE781B2" w14:textId="49213F0A" w:rsidR="007B4C2D" w:rsidRPr="00B57B36" w:rsidRDefault="007B4C2D" w:rsidP="008D343E">
            <w:pPr>
              <w:pStyle w:val="CETBodytext"/>
              <w:jc w:val="center"/>
              <w:rPr>
                <w:lang w:val="en-GB"/>
              </w:rPr>
            </w:pPr>
            <w:r w:rsidRPr="00DB74AD">
              <w:rPr>
                <w:lang w:val="en-GB"/>
              </w:rPr>
              <w:t>EHC [MJ/kg]</w:t>
            </w:r>
          </w:p>
        </w:tc>
        <w:tc>
          <w:tcPr>
            <w:tcW w:w="709" w:type="pct"/>
            <w:tcBorders>
              <w:top w:val="single" w:sz="12" w:space="0" w:color="008000"/>
              <w:bottom w:val="single" w:sz="6" w:space="0" w:color="008000"/>
            </w:tcBorders>
            <w:shd w:val="clear" w:color="auto" w:fill="FFFFFF"/>
          </w:tcPr>
          <w:p w14:paraId="6B67599C" w14:textId="492BC347" w:rsidR="007B4C2D" w:rsidRPr="00B57B36" w:rsidRDefault="007B4C2D" w:rsidP="008D343E">
            <w:pPr>
              <w:pStyle w:val="CETBodytext"/>
              <w:ind w:right="-1"/>
              <w:jc w:val="center"/>
              <w:rPr>
                <w:rFonts w:cs="Arial"/>
                <w:szCs w:val="18"/>
                <w:lang w:val="en-GB"/>
              </w:rPr>
            </w:pPr>
            <w:r w:rsidRPr="00563CA8">
              <w:rPr>
                <w:rFonts w:cs="Arial"/>
                <w:szCs w:val="18"/>
                <w:lang w:val="en-GB"/>
              </w:rPr>
              <w:t>CO/CO</w:t>
            </w:r>
            <w:r w:rsidRPr="007B4C2D">
              <w:rPr>
                <w:rFonts w:cs="Arial"/>
                <w:szCs w:val="18"/>
                <w:vertAlign w:val="subscript"/>
                <w:lang w:val="en-GB"/>
              </w:rPr>
              <w:t>2</w:t>
            </w:r>
            <w:r w:rsidRPr="00563CA8">
              <w:rPr>
                <w:rFonts w:cs="Arial"/>
                <w:szCs w:val="18"/>
                <w:lang w:val="en-GB"/>
              </w:rPr>
              <w:t xml:space="preserve"> [</w:t>
            </w:r>
            <w:r>
              <w:rPr>
                <w:rFonts w:cs="Arial"/>
                <w:szCs w:val="18"/>
                <w:lang w:val="en-GB"/>
              </w:rPr>
              <w:t>k</w:t>
            </w:r>
            <w:r w:rsidRPr="00563CA8">
              <w:rPr>
                <w:rFonts w:cs="Arial"/>
                <w:szCs w:val="18"/>
                <w:lang w:val="en-GB"/>
              </w:rPr>
              <w:t>g/</w:t>
            </w:r>
            <w:r>
              <w:rPr>
                <w:rFonts w:cs="Arial"/>
                <w:szCs w:val="18"/>
                <w:lang w:val="en-GB"/>
              </w:rPr>
              <w:t>k</w:t>
            </w:r>
            <w:r w:rsidRPr="00563CA8">
              <w:rPr>
                <w:rFonts w:cs="Arial"/>
                <w:szCs w:val="18"/>
                <w:lang w:val="en-GB"/>
              </w:rPr>
              <w:t>g]</w:t>
            </w:r>
          </w:p>
        </w:tc>
        <w:tc>
          <w:tcPr>
            <w:tcW w:w="649" w:type="pct"/>
            <w:tcBorders>
              <w:top w:val="single" w:sz="12" w:space="0" w:color="008000"/>
              <w:bottom w:val="single" w:sz="6" w:space="0" w:color="008000"/>
            </w:tcBorders>
            <w:shd w:val="clear" w:color="auto" w:fill="FFFFFF"/>
          </w:tcPr>
          <w:p w14:paraId="76E5AE9A" w14:textId="4ADBBE62" w:rsidR="007B4C2D" w:rsidRPr="00B57B36" w:rsidRDefault="007B4C2D" w:rsidP="008D343E">
            <w:pPr>
              <w:pStyle w:val="CETBodytext"/>
              <w:ind w:right="-1"/>
              <w:jc w:val="center"/>
              <w:rPr>
                <w:rFonts w:cs="Arial"/>
                <w:szCs w:val="18"/>
                <w:lang w:val="en-GB"/>
              </w:rPr>
            </w:pPr>
            <w:r w:rsidRPr="00563CA8">
              <w:rPr>
                <w:rFonts w:cs="Arial"/>
                <w:szCs w:val="18"/>
                <w:lang w:val="en-GB"/>
              </w:rPr>
              <w:t>SEA [m</w:t>
            </w:r>
            <w:r w:rsidRPr="00CF1539">
              <w:rPr>
                <w:rFonts w:cs="Arial"/>
                <w:szCs w:val="18"/>
                <w:vertAlign w:val="superscript"/>
                <w:lang w:val="en-GB"/>
              </w:rPr>
              <w:t>2</w:t>
            </w:r>
            <w:r w:rsidRPr="00563CA8">
              <w:rPr>
                <w:rFonts w:cs="Arial"/>
                <w:szCs w:val="18"/>
                <w:lang w:val="en-GB"/>
              </w:rPr>
              <w:t>/kg]</w:t>
            </w:r>
          </w:p>
        </w:tc>
        <w:tc>
          <w:tcPr>
            <w:tcW w:w="436" w:type="pct"/>
            <w:tcBorders>
              <w:top w:val="single" w:sz="12" w:space="0" w:color="008000"/>
              <w:bottom w:val="single" w:sz="6" w:space="0" w:color="008000"/>
            </w:tcBorders>
            <w:shd w:val="clear" w:color="auto" w:fill="FFFFFF"/>
          </w:tcPr>
          <w:p w14:paraId="02192B87" w14:textId="3FACA461" w:rsidR="007B4C2D" w:rsidRPr="00563CA8" w:rsidRDefault="007B4C2D" w:rsidP="008D343E">
            <w:pPr>
              <w:pStyle w:val="CETBodytext"/>
              <w:ind w:right="-1"/>
              <w:jc w:val="center"/>
              <w:rPr>
                <w:rFonts w:cs="Arial"/>
                <w:szCs w:val="18"/>
                <w:lang w:val="en-GB"/>
              </w:rPr>
            </w:pPr>
            <w:r w:rsidRPr="00BC27D1">
              <w:rPr>
                <w:rFonts w:cs="Arial"/>
                <w:szCs w:val="18"/>
                <w:lang w:val="en-GB"/>
              </w:rPr>
              <w:t>FTP [kJ]</w:t>
            </w:r>
          </w:p>
        </w:tc>
      </w:tr>
      <w:tr w:rsidR="007B4C2D" w:rsidRPr="00B57B36" w14:paraId="1B877675" w14:textId="65066329" w:rsidTr="00452EFF">
        <w:trPr>
          <w:trHeight w:val="228"/>
        </w:trPr>
        <w:tc>
          <w:tcPr>
            <w:tcW w:w="715" w:type="pct"/>
            <w:shd w:val="clear" w:color="auto" w:fill="FFFFFF"/>
          </w:tcPr>
          <w:p w14:paraId="10EE5A2D" w14:textId="4945B159" w:rsidR="007B4C2D" w:rsidRPr="00B57B36" w:rsidRDefault="007B4C2D" w:rsidP="005276A7">
            <w:pPr>
              <w:pStyle w:val="CETBodytext"/>
              <w:rPr>
                <w:lang w:val="en-GB"/>
              </w:rPr>
            </w:pPr>
            <w:r>
              <w:rPr>
                <w:lang w:val="en-GB"/>
              </w:rPr>
              <w:t>Ethanol</w:t>
            </w:r>
          </w:p>
        </w:tc>
        <w:tc>
          <w:tcPr>
            <w:tcW w:w="611" w:type="pct"/>
            <w:shd w:val="clear" w:color="auto" w:fill="FFFFFF"/>
          </w:tcPr>
          <w:p w14:paraId="2F8F6D7A" w14:textId="1D7251E7" w:rsidR="007B4C2D" w:rsidRDefault="000A12AA" w:rsidP="008D343E">
            <w:pPr>
              <w:pStyle w:val="CETBodytext"/>
              <w:jc w:val="center"/>
              <w:rPr>
                <w:lang w:val="en-GB"/>
              </w:rPr>
            </w:pPr>
            <w:r>
              <w:rPr>
                <w:lang w:val="en-GB"/>
              </w:rPr>
              <w:t>35</w:t>
            </w:r>
          </w:p>
        </w:tc>
        <w:tc>
          <w:tcPr>
            <w:tcW w:w="611" w:type="pct"/>
            <w:shd w:val="clear" w:color="auto" w:fill="FFFFFF"/>
          </w:tcPr>
          <w:p w14:paraId="3E862B09" w14:textId="6132EDCD" w:rsidR="007B4C2D" w:rsidRPr="00B57B36" w:rsidRDefault="007B4C2D" w:rsidP="008D343E">
            <w:pPr>
              <w:pStyle w:val="CETBodytext"/>
              <w:jc w:val="center"/>
              <w:rPr>
                <w:lang w:val="en-GB"/>
              </w:rPr>
            </w:pPr>
            <w:r>
              <w:rPr>
                <w:lang w:val="en-GB"/>
              </w:rPr>
              <w:t>80</w:t>
            </w:r>
            <w:r w:rsidR="00B1203D">
              <w:rPr>
                <w:lang w:val="en-GB"/>
              </w:rPr>
              <w:t>5</w:t>
            </w:r>
          </w:p>
        </w:tc>
        <w:tc>
          <w:tcPr>
            <w:tcW w:w="612" w:type="pct"/>
            <w:shd w:val="clear" w:color="auto" w:fill="FFFFFF"/>
          </w:tcPr>
          <w:p w14:paraId="230618F6" w14:textId="26953EE6" w:rsidR="007B4C2D" w:rsidRPr="00B57B36" w:rsidRDefault="007B4C2D" w:rsidP="008D343E">
            <w:pPr>
              <w:pStyle w:val="CETBodytext"/>
              <w:jc w:val="center"/>
              <w:rPr>
                <w:lang w:val="en-GB"/>
              </w:rPr>
            </w:pPr>
            <w:r>
              <w:rPr>
                <w:lang w:val="en-GB"/>
              </w:rPr>
              <w:t xml:space="preserve">0.32 </w:t>
            </w:r>
            <w:r>
              <w:rPr>
                <w:rFonts w:cs="Arial"/>
                <w:lang w:val="en-GB"/>
              </w:rPr>
              <w:t>∙ 10</w:t>
            </w:r>
            <w:r w:rsidRPr="006E4A36">
              <w:rPr>
                <w:rFonts w:cs="Arial"/>
                <w:vertAlign w:val="superscript"/>
                <w:lang w:val="en-GB"/>
              </w:rPr>
              <w:t>-3</w:t>
            </w:r>
          </w:p>
        </w:tc>
        <w:tc>
          <w:tcPr>
            <w:tcW w:w="657" w:type="pct"/>
            <w:shd w:val="clear" w:color="auto" w:fill="FFFFFF"/>
          </w:tcPr>
          <w:p w14:paraId="3BF85A14" w14:textId="1F1D54F5" w:rsidR="007B4C2D" w:rsidRPr="00B57B36" w:rsidRDefault="007B4C2D" w:rsidP="008D343E">
            <w:pPr>
              <w:pStyle w:val="CETBodytext"/>
              <w:jc w:val="center"/>
              <w:rPr>
                <w:lang w:val="en-GB"/>
              </w:rPr>
            </w:pPr>
            <w:r>
              <w:rPr>
                <w:lang w:val="en-GB"/>
              </w:rPr>
              <w:t>24.98</w:t>
            </w:r>
          </w:p>
        </w:tc>
        <w:tc>
          <w:tcPr>
            <w:tcW w:w="709" w:type="pct"/>
            <w:shd w:val="clear" w:color="auto" w:fill="FFFFFF"/>
          </w:tcPr>
          <w:p w14:paraId="41A47A65" w14:textId="3B1C14EB" w:rsidR="007B4C2D" w:rsidRPr="00B57B36" w:rsidRDefault="007B4C2D" w:rsidP="008D343E">
            <w:pPr>
              <w:pStyle w:val="CETBodytext"/>
              <w:ind w:right="-1"/>
              <w:jc w:val="center"/>
              <w:rPr>
                <w:rFonts w:cs="Arial"/>
                <w:szCs w:val="18"/>
                <w:lang w:val="en-GB"/>
              </w:rPr>
            </w:pPr>
            <w:r>
              <w:rPr>
                <w:rFonts w:cs="Arial"/>
                <w:szCs w:val="18"/>
                <w:lang w:val="en-GB"/>
              </w:rPr>
              <w:t>0.002</w:t>
            </w:r>
          </w:p>
        </w:tc>
        <w:tc>
          <w:tcPr>
            <w:tcW w:w="649" w:type="pct"/>
            <w:shd w:val="clear" w:color="auto" w:fill="FFFFFF"/>
          </w:tcPr>
          <w:p w14:paraId="5DF85952" w14:textId="6503A853" w:rsidR="007B4C2D" w:rsidRPr="00B57B36" w:rsidRDefault="007B4C2D" w:rsidP="008D343E">
            <w:pPr>
              <w:pStyle w:val="CETBodytext"/>
              <w:ind w:right="-1"/>
              <w:jc w:val="center"/>
              <w:rPr>
                <w:rFonts w:cs="Arial"/>
                <w:szCs w:val="18"/>
                <w:lang w:val="en-GB"/>
              </w:rPr>
            </w:pPr>
            <w:r>
              <w:rPr>
                <w:rFonts w:cs="Arial"/>
                <w:szCs w:val="18"/>
                <w:lang w:val="en-GB"/>
              </w:rPr>
              <w:t>0.67</w:t>
            </w:r>
          </w:p>
        </w:tc>
        <w:tc>
          <w:tcPr>
            <w:tcW w:w="436" w:type="pct"/>
            <w:shd w:val="clear" w:color="auto" w:fill="FFFFFF"/>
          </w:tcPr>
          <w:p w14:paraId="41171906" w14:textId="0A95D04A" w:rsidR="007B4C2D" w:rsidRPr="00B57B36" w:rsidRDefault="00D24F95" w:rsidP="008D343E">
            <w:pPr>
              <w:pStyle w:val="CETBodytext"/>
              <w:ind w:right="-1"/>
              <w:jc w:val="center"/>
              <w:rPr>
                <w:rFonts w:cs="Arial"/>
                <w:szCs w:val="18"/>
                <w:lang w:val="en-GB"/>
              </w:rPr>
            </w:pPr>
            <w:r>
              <w:rPr>
                <w:rFonts w:cs="Arial"/>
                <w:szCs w:val="18"/>
                <w:lang w:val="en-GB"/>
              </w:rPr>
              <w:t>1.75</w:t>
            </w:r>
          </w:p>
        </w:tc>
      </w:tr>
      <w:tr w:rsidR="00B1203D" w:rsidRPr="00B57B36" w14:paraId="3BF3BD03" w14:textId="77777777" w:rsidTr="00452EFF">
        <w:trPr>
          <w:trHeight w:val="228"/>
        </w:trPr>
        <w:tc>
          <w:tcPr>
            <w:tcW w:w="715" w:type="pct"/>
            <w:shd w:val="clear" w:color="auto" w:fill="FFFFFF"/>
          </w:tcPr>
          <w:p w14:paraId="2E18B198" w14:textId="5C6B234B" w:rsidR="00B1203D" w:rsidRPr="00B1203D" w:rsidRDefault="00B1203D" w:rsidP="00B1203D">
            <w:pPr>
              <w:pStyle w:val="CETBodytext"/>
              <w:ind w:right="-1"/>
              <w:rPr>
                <w:rFonts w:cs="Arial"/>
                <w:szCs w:val="18"/>
                <w:lang w:val="en-GB"/>
              </w:rPr>
            </w:pPr>
            <w:r>
              <w:rPr>
                <w:rFonts w:cs="Arial"/>
                <w:szCs w:val="18"/>
                <w:lang w:val="en-GB"/>
              </w:rPr>
              <w:t>Hexane</w:t>
            </w:r>
          </w:p>
        </w:tc>
        <w:tc>
          <w:tcPr>
            <w:tcW w:w="611" w:type="pct"/>
            <w:shd w:val="clear" w:color="auto" w:fill="FFFFFF"/>
          </w:tcPr>
          <w:p w14:paraId="0461CF7E" w14:textId="13C3C43A" w:rsidR="00B1203D" w:rsidRPr="00B1203D" w:rsidRDefault="00B1203D" w:rsidP="00B1203D">
            <w:pPr>
              <w:pStyle w:val="CETBodytext"/>
              <w:ind w:right="-1"/>
              <w:jc w:val="center"/>
              <w:rPr>
                <w:rFonts w:cs="Arial"/>
                <w:szCs w:val="18"/>
                <w:lang w:val="en-GB"/>
              </w:rPr>
            </w:pPr>
            <w:r>
              <w:rPr>
                <w:rFonts w:cs="Arial"/>
                <w:szCs w:val="18"/>
                <w:lang w:val="en-GB"/>
              </w:rPr>
              <w:t>25</w:t>
            </w:r>
          </w:p>
        </w:tc>
        <w:tc>
          <w:tcPr>
            <w:tcW w:w="611" w:type="pct"/>
            <w:shd w:val="clear" w:color="auto" w:fill="FFFFFF"/>
          </w:tcPr>
          <w:p w14:paraId="3761BBE3" w14:textId="1A248631" w:rsidR="00B1203D" w:rsidRPr="00B1203D" w:rsidRDefault="00B1203D" w:rsidP="00B1203D">
            <w:pPr>
              <w:pStyle w:val="CETBodytext"/>
              <w:ind w:right="-1"/>
              <w:jc w:val="center"/>
              <w:rPr>
                <w:rFonts w:cs="Arial"/>
                <w:szCs w:val="18"/>
                <w:lang w:val="en-GB"/>
              </w:rPr>
            </w:pPr>
            <w:r>
              <w:rPr>
                <w:rFonts w:cs="Arial"/>
                <w:szCs w:val="18"/>
                <w:lang w:val="en-GB"/>
              </w:rPr>
              <w:t>2728</w:t>
            </w:r>
          </w:p>
        </w:tc>
        <w:tc>
          <w:tcPr>
            <w:tcW w:w="612" w:type="pct"/>
            <w:shd w:val="clear" w:color="auto" w:fill="FFFFFF"/>
          </w:tcPr>
          <w:p w14:paraId="3B71C643" w14:textId="782605F5" w:rsidR="00B1203D" w:rsidRDefault="00B1203D" w:rsidP="008D343E">
            <w:pPr>
              <w:pStyle w:val="CETBodytext"/>
              <w:jc w:val="center"/>
              <w:rPr>
                <w:lang w:val="en-GB"/>
              </w:rPr>
            </w:pPr>
            <w:r>
              <w:rPr>
                <w:rFonts w:cs="Arial"/>
                <w:szCs w:val="18"/>
                <w:lang w:val="en-GB"/>
              </w:rPr>
              <w:t xml:space="preserve">0.59 </w:t>
            </w:r>
            <w:r>
              <w:rPr>
                <w:rFonts w:cs="Arial"/>
                <w:lang w:val="en-GB"/>
              </w:rPr>
              <w:t>∙ 10</w:t>
            </w:r>
            <w:r w:rsidRPr="006E4A36">
              <w:rPr>
                <w:rFonts w:cs="Arial"/>
                <w:vertAlign w:val="superscript"/>
                <w:lang w:val="en-GB"/>
              </w:rPr>
              <w:t>-3</w:t>
            </w:r>
          </w:p>
        </w:tc>
        <w:tc>
          <w:tcPr>
            <w:tcW w:w="657" w:type="pct"/>
            <w:shd w:val="clear" w:color="auto" w:fill="FFFFFF"/>
          </w:tcPr>
          <w:p w14:paraId="16CFC72B" w14:textId="5AEA7599" w:rsidR="00B1203D" w:rsidRDefault="00B1203D" w:rsidP="008D343E">
            <w:pPr>
              <w:pStyle w:val="CETBodytext"/>
              <w:jc w:val="center"/>
              <w:rPr>
                <w:lang w:val="en-GB"/>
              </w:rPr>
            </w:pPr>
            <w:r>
              <w:rPr>
                <w:rFonts w:cs="Arial"/>
                <w:szCs w:val="18"/>
                <w:lang w:val="en-GB"/>
              </w:rPr>
              <w:t>46.40</w:t>
            </w:r>
          </w:p>
        </w:tc>
        <w:tc>
          <w:tcPr>
            <w:tcW w:w="709" w:type="pct"/>
            <w:shd w:val="clear" w:color="auto" w:fill="FFFFFF"/>
          </w:tcPr>
          <w:p w14:paraId="3C187365" w14:textId="4FC2BD0C" w:rsidR="00B1203D" w:rsidRDefault="00B1203D" w:rsidP="008D343E">
            <w:pPr>
              <w:pStyle w:val="CETBodytext"/>
              <w:ind w:right="-1"/>
              <w:jc w:val="center"/>
              <w:rPr>
                <w:rFonts w:cs="Arial"/>
                <w:szCs w:val="18"/>
                <w:lang w:val="en-GB"/>
              </w:rPr>
            </w:pPr>
            <w:r>
              <w:rPr>
                <w:rFonts w:cs="Arial"/>
                <w:szCs w:val="18"/>
                <w:lang w:val="en-GB"/>
              </w:rPr>
              <w:t>0.017</w:t>
            </w:r>
          </w:p>
        </w:tc>
        <w:tc>
          <w:tcPr>
            <w:tcW w:w="649" w:type="pct"/>
            <w:shd w:val="clear" w:color="auto" w:fill="FFFFFF"/>
          </w:tcPr>
          <w:p w14:paraId="110FBB11" w14:textId="68D1A0BD" w:rsidR="00B1203D" w:rsidRDefault="00B1203D" w:rsidP="008D343E">
            <w:pPr>
              <w:pStyle w:val="CETBodytext"/>
              <w:ind w:right="-1"/>
              <w:jc w:val="center"/>
              <w:rPr>
                <w:rFonts w:cs="Arial"/>
                <w:szCs w:val="18"/>
                <w:lang w:val="en-GB"/>
              </w:rPr>
            </w:pPr>
            <w:r>
              <w:rPr>
                <w:rFonts w:cs="Arial"/>
                <w:szCs w:val="18"/>
                <w:lang w:val="en-GB"/>
              </w:rPr>
              <w:t>8.22</w:t>
            </w:r>
          </w:p>
        </w:tc>
        <w:tc>
          <w:tcPr>
            <w:tcW w:w="436" w:type="pct"/>
            <w:shd w:val="clear" w:color="auto" w:fill="FFFFFF"/>
          </w:tcPr>
          <w:p w14:paraId="238838B2" w14:textId="4ABD9B4B" w:rsidR="00B1203D" w:rsidRDefault="00B1203D" w:rsidP="008D343E">
            <w:pPr>
              <w:pStyle w:val="CETBodytext"/>
              <w:ind w:right="-1"/>
              <w:jc w:val="center"/>
              <w:rPr>
                <w:rFonts w:cs="Arial"/>
                <w:szCs w:val="18"/>
                <w:lang w:val="en-GB"/>
              </w:rPr>
            </w:pPr>
            <w:r>
              <w:rPr>
                <w:rFonts w:cs="Arial"/>
                <w:szCs w:val="18"/>
                <w:lang w:val="en-GB"/>
              </w:rPr>
              <w:t>3.75</w:t>
            </w:r>
          </w:p>
        </w:tc>
      </w:tr>
      <w:tr w:rsidR="007B4C2D" w:rsidRPr="00B57B36" w14:paraId="745BDB7C" w14:textId="76F677C6" w:rsidTr="00B1203D">
        <w:trPr>
          <w:trHeight w:val="202"/>
        </w:trPr>
        <w:tc>
          <w:tcPr>
            <w:tcW w:w="715" w:type="pct"/>
            <w:tcBorders>
              <w:bottom w:val="single" w:sz="6" w:space="0" w:color="008000"/>
            </w:tcBorders>
            <w:shd w:val="clear" w:color="auto" w:fill="FFFFFF"/>
          </w:tcPr>
          <w:p w14:paraId="36D82DE9" w14:textId="7E28FED9" w:rsidR="003E1B80" w:rsidRPr="00B57B36" w:rsidRDefault="007B4C2D" w:rsidP="005276A7">
            <w:pPr>
              <w:pStyle w:val="CETBodytext"/>
              <w:ind w:right="-1"/>
              <w:rPr>
                <w:rFonts w:cs="Arial"/>
                <w:szCs w:val="18"/>
                <w:lang w:val="en-GB"/>
              </w:rPr>
            </w:pPr>
            <w:r>
              <w:rPr>
                <w:rFonts w:cs="Arial"/>
                <w:szCs w:val="18"/>
                <w:lang w:val="en-GB"/>
              </w:rPr>
              <w:t>Ethyl acetate</w:t>
            </w:r>
          </w:p>
        </w:tc>
        <w:tc>
          <w:tcPr>
            <w:tcW w:w="611" w:type="pct"/>
            <w:tcBorders>
              <w:bottom w:val="single" w:sz="6" w:space="0" w:color="008000"/>
            </w:tcBorders>
            <w:shd w:val="clear" w:color="auto" w:fill="FFFFFF"/>
          </w:tcPr>
          <w:p w14:paraId="5E2502DD" w14:textId="3BF3B0F8" w:rsidR="000A12AA" w:rsidRDefault="000A12AA" w:rsidP="008D343E">
            <w:pPr>
              <w:pStyle w:val="CETBodytext"/>
              <w:ind w:right="-1"/>
              <w:jc w:val="center"/>
              <w:rPr>
                <w:rFonts w:cs="Arial"/>
                <w:szCs w:val="18"/>
                <w:lang w:val="en-GB"/>
              </w:rPr>
            </w:pPr>
            <w:r>
              <w:rPr>
                <w:rFonts w:cs="Arial"/>
                <w:szCs w:val="18"/>
                <w:lang w:val="en-GB"/>
              </w:rPr>
              <w:t>25</w:t>
            </w:r>
          </w:p>
        </w:tc>
        <w:tc>
          <w:tcPr>
            <w:tcW w:w="611" w:type="pct"/>
            <w:tcBorders>
              <w:bottom w:val="single" w:sz="6" w:space="0" w:color="008000"/>
            </w:tcBorders>
            <w:shd w:val="clear" w:color="auto" w:fill="FFFFFF"/>
          </w:tcPr>
          <w:p w14:paraId="6F7E7139" w14:textId="64A4F30E" w:rsidR="007B4C2D" w:rsidRPr="00B57B36" w:rsidRDefault="007B4C2D" w:rsidP="008D343E">
            <w:pPr>
              <w:pStyle w:val="CETBodytext"/>
              <w:ind w:right="-1"/>
              <w:jc w:val="center"/>
              <w:rPr>
                <w:rFonts w:cs="Arial"/>
                <w:szCs w:val="18"/>
                <w:lang w:val="en-GB"/>
              </w:rPr>
            </w:pPr>
            <w:r>
              <w:rPr>
                <w:rFonts w:cs="Arial"/>
                <w:szCs w:val="18"/>
                <w:lang w:val="en-GB"/>
              </w:rPr>
              <w:t>305</w:t>
            </w:r>
          </w:p>
        </w:tc>
        <w:tc>
          <w:tcPr>
            <w:tcW w:w="612" w:type="pct"/>
            <w:tcBorders>
              <w:bottom w:val="single" w:sz="6" w:space="0" w:color="008000"/>
            </w:tcBorders>
            <w:shd w:val="clear" w:color="auto" w:fill="FFFFFF"/>
          </w:tcPr>
          <w:p w14:paraId="1E662175" w14:textId="36871BC1" w:rsidR="007B4C2D" w:rsidRPr="00B57B36" w:rsidRDefault="007B4C2D" w:rsidP="008D343E">
            <w:pPr>
              <w:pStyle w:val="CETBodytext"/>
              <w:ind w:right="-1"/>
              <w:jc w:val="center"/>
              <w:rPr>
                <w:rFonts w:cs="Arial"/>
                <w:szCs w:val="18"/>
                <w:lang w:val="en-GB"/>
              </w:rPr>
            </w:pPr>
            <w:r>
              <w:rPr>
                <w:rFonts w:cs="Arial"/>
                <w:szCs w:val="18"/>
                <w:lang w:val="en-GB"/>
              </w:rPr>
              <w:t xml:space="preserve">0.17 </w:t>
            </w:r>
            <w:r>
              <w:rPr>
                <w:rFonts w:cs="Arial"/>
                <w:lang w:val="en-GB"/>
              </w:rPr>
              <w:t>∙ 10</w:t>
            </w:r>
            <w:r w:rsidRPr="006E4A36">
              <w:rPr>
                <w:rFonts w:cs="Arial"/>
                <w:vertAlign w:val="superscript"/>
                <w:lang w:val="en-GB"/>
              </w:rPr>
              <w:t>-3</w:t>
            </w:r>
          </w:p>
        </w:tc>
        <w:tc>
          <w:tcPr>
            <w:tcW w:w="657" w:type="pct"/>
            <w:tcBorders>
              <w:bottom w:val="single" w:sz="6" w:space="0" w:color="008000"/>
            </w:tcBorders>
            <w:shd w:val="clear" w:color="auto" w:fill="FFFFFF"/>
          </w:tcPr>
          <w:p w14:paraId="4F1E48DD" w14:textId="7EAEB251" w:rsidR="007B4C2D" w:rsidRPr="00B57B36" w:rsidRDefault="007B4C2D" w:rsidP="008D343E">
            <w:pPr>
              <w:pStyle w:val="CETBodytext"/>
              <w:ind w:right="-1"/>
              <w:jc w:val="center"/>
              <w:rPr>
                <w:rFonts w:cs="Arial"/>
                <w:szCs w:val="18"/>
                <w:lang w:val="en-GB"/>
              </w:rPr>
            </w:pPr>
            <w:r>
              <w:rPr>
                <w:rFonts w:cs="Arial"/>
                <w:szCs w:val="18"/>
                <w:lang w:val="en-GB"/>
              </w:rPr>
              <w:t>17.90</w:t>
            </w:r>
          </w:p>
        </w:tc>
        <w:tc>
          <w:tcPr>
            <w:tcW w:w="709" w:type="pct"/>
            <w:tcBorders>
              <w:bottom w:val="single" w:sz="6" w:space="0" w:color="008000"/>
            </w:tcBorders>
            <w:shd w:val="clear" w:color="auto" w:fill="FFFFFF"/>
          </w:tcPr>
          <w:p w14:paraId="57DE2B70" w14:textId="59AF7012" w:rsidR="007B4C2D" w:rsidRPr="00B57B36" w:rsidRDefault="007B4C2D" w:rsidP="008D343E">
            <w:pPr>
              <w:pStyle w:val="CETBodytext"/>
              <w:ind w:right="-1"/>
              <w:jc w:val="center"/>
              <w:rPr>
                <w:rFonts w:cs="Arial"/>
                <w:szCs w:val="18"/>
                <w:lang w:val="en-GB"/>
              </w:rPr>
            </w:pPr>
            <w:r>
              <w:rPr>
                <w:rFonts w:cs="Arial"/>
                <w:szCs w:val="18"/>
                <w:lang w:val="en-GB"/>
              </w:rPr>
              <w:t>0.016</w:t>
            </w:r>
          </w:p>
        </w:tc>
        <w:tc>
          <w:tcPr>
            <w:tcW w:w="649" w:type="pct"/>
            <w:tcBorders>
              <w:bottom w:val="single" w:sz="6" w:space="0" w:color="008000"/>
            </w:tcBorders>
            <w:shd w:val="clear" w:color="auto" w:fill="FFFFFF"/>
          </w:tcPr>
          <w:p w14:paraId="013549C6" w14:textId="72B8C56C" w:rsidR="007B4C2D" w:rsidRPr="00B57B36" w:rsidRDefault="007B4C2D" w:rsidP="008D343E">
            <w:pPr>
              <w:pStyle w:val="CETBodytext"/>
              <w:ind w:right="-1"/>
              <w:jc w:val="center"/>
              <w:rPr>
                <w:rFonts w:cs="Arial"/>
                <w:szCs w:val="18"/>
                <w:lang w:val="en-GB"/>
              </w:rPr>
            </w:pPr>
            <w:r>
              <w:rPr>
                <w:rFonts w:cs="Arial"/>
                <w:szCs w:val="18"/>
                <w:lang w:val="en-GB"/>
              </w:rPr>
              <w:t>4.87</w:t>
            </w:r>
          </w:p>
        </w:tc>
        <w:tc>
          <w:tcPr>
            <w:tcW w:w="436" w:type="pct"/>
            <w:tcBorders>
              <w:bottom w:val="single" w:sz="6" w:space="0" w:color="008000"/>
            </w:tcBorders>
            <w:shd w:val="clear" w:color="auto" w:fill="FFFFFF"/>
          </w:tcPr>
          <w:p w14:paraId="685DCFFA" w14:textId="704D7A79" w:rsidR="00D667CC" w:rsidRPr="00B57B36" w:rsidRDefault="00D24F95" w:rsidP="00D667CC">
            <w:pPr>
              <w:pStyle w:val="CETBodytext"/>
              <w:ind w:right="-1"/>
              <w:jc w:val="center"/>
              <w:rPr>
                <w:rFonts w:cs="Arial"/>
                <w:szCs w:val="18"/>
                <w:lang w:val="en-GB"/>
              </w:rPr>
            </w:pPr>
            <w:r>
              <w:rPr>
                <w:rFonts w:cs="Arial"/>
                <w:szCs w:val="18"/>
                <w:lang w:val="en-GB"/>
              </w:rPr>
              <w:t>43.75</w:t>
            </w:r>
          </w:p>
        </w:tc>
      </w:tr>
      <w:tr w:rsidR="003E1B80" w:rsidRPr="00B57B36" w14:paraId="764D7A41" w14:textId="77777777" w:rsidTr="0072456E">
        <w:trPr>
          <w:trHeight w:val="271"/>
        </w:trPr>
        <w:tc>
          <w:tcPr>
            <w:tcW w:w="5000" w:type="pct"/>
            <w:gridSpan w:val="8"/>
            <w:tcBorders>
              <w:top w:val="single" w:sz="6" w:space="0" w:color="008000"/>
              <w:bottom w:val="single" w:sz="12" w:space="0" w:color="008000"/>
            </w:tcBorders>
            <w:shd w:val="clear" w:color="auto" w:fill="FFFFFF"/>
          </w:tcPr>
          <w:p w14:paraId="3D90C7CB" w14:textId="744CDCFA" w:rsidR="003E1B80" w:rsidRPr="00DA451D" w:rsidRDefault="00B1203D" w:rsidP="00DA451D">
            <w:pPr>
              <w:pStyle w:val="CETBodytext"/>
              <w:rPr>
                <w:rFonts w:cs="Arial"/>
                <w:szCs w:val="18"/>
              </w:rPr>
            </w:pPr>
            <w:r>
              <w:rPr>
                <w:lang w:val="en-GB"/>
              </w:rPr>
              <w:t>q</w:t>
            </w:r>
            <w:r w:rsidRPr="00B1203D">
              <w:rPr>
                <w:vertAlign w:val="subscript"/>
                <w:lang w:val="en-GB"/>
              </w:rPr>
              <w:t>c</w:t>
            </w:r>
            <w:r w:rsidR="00DA451D">
              <w:t>: critical heat flux; HRR: heat release rate;</w:t>
            </w:r>
            <w:r w:rsidR="0072456E">
              <w:t xml:space="preserve"> MBR: mass burning rate; EHC: effective heat of combustion; CO/CO</w:t>
            </w:r>
            <w:r w:rsidR="0072456E" w:rsidRPr="00743711">
              <w:rPr>
                <w:vertAlign w:val="subscript"/>
              </w:rPr>
              <w:t>2</w:t>
            </w:r>
            <w:r w:rsidR="0072456E">
              <w:t xml:space="preserve">: carbon monoxide and carbon dioxide ratio; SEA: </w:t>
            </w:r>
            <w:r w:rsidR="00F706E3">
              <w:t>smoke</w:t>
            </w:r>
            <w:r w:rsidR="0072456E">
              <w:t xml:space="preserve"> extinction area; FTP: </w:t>
            </w:r>
            <w:r w:rsidR="00ED6A20">
              <w:t>flux time product.</w:t>
            </w:r>
          </w:p>
        </w:tc>
      </w:tr>
    </w:tbl>
    <w:p w14:paraId="07C914AF" w14:textId="77777777" w:rsidR="00A4723F" w:rsidRDefault="00A4723F" w:rsidP="0074195A">
      <w:pPr>
        <w:pStyle w:val="CETBodytext"/>
      </w:pPr>
    </w:p>
    <w:p w14:paraId="2B1A20AE" w14:textId="6FA174EC" w:rsidR="0091683A" w:rsidRDefault="001D1E8E" w:rsidP="0074195A">
      <w:pPr>
        <w:pStyle w:val="CETBodytext"/>
      </w:pPr>
      <w:r>
        <w:t xml:space="preserve">Ethyl acetate and hexane </w:t>
      </w:r>
      <w:r w:rsidR="006867AD" w:rsidRPr="006867AD">
        <w:t>exhibit a</w:t>
      </w:r>
      <w:r>
        <w:t xml:space="preserve"> lower </w:t>
      </w:r>
      <w:r w:rsidR="006867AD" w:rsidRPr="006867AD">
        <w:t>critical heat flux (q</w:t>
      </w:r>
      <w:r w:rsidR="00B1203D" w:rsidRPr="00B1203D">
        <w:rPr>
          <w:vertAlign w:val="subscript"/>
        </w:rPr>
        <w:t>c</w:t>
      </w:r>
      <w:r w:rsidR="006867AD" w:rsidRPr="006867AD">
        <w:t xml:space="preserve">) compared to </w:t>
      </w:r>
      <w:r>
        <w:t>ethanol</w:t>
      </w:r>
      <w:r w:rsidR="006867AD" w:rsidRPr="006867AD">
        <w:t xml:space="preserve">, indicating </w:t>
      </w:r>
      <w:r w:rsidR="003B3EAF">
        <w:t>a</w:t>
      </w:r>
      <w:r>
        <w:t xml:space="preserve"> higher</w:t>
      </w:r>
      <w:r w:rsidR="006867AD" w:rsidRPr="006867AD">
        <w:t xml:space="preserve"> propensity to ignite at lower heat flux levels. </w:t>
      </w:r>
      <w:r w:rsidR="00B1203D">
        <w:t xml:space="preserve">This is </w:t>
      </w:r>
      <w:r w:rsidR="0091683A">
        <w:t>particularly</w:t>
      </w:r>
      <w:r w:rsidR="00B1203D">
        <w:t xml:space="preserve"> relevant if compared with the flash point of each component. Indeed, </w:t>
      </w:r>
      <w:r w:rsidR="0091683A">
        <w:t xml:space="preserve">although the flash points of hexane and ethyl acetate are significantly different, no variation in critical flux can be observed for these species. </w:t>
      </w:r>
      <w:r w:rsidR="0091683A" w:rsidRPr="00EA0D6C">
        <w:t xml:space="preserve">The </w:t>
      </w:r>
      <w:r w:rsidR="0091683A">
        <w:t>f</w:t>
      </w:r>
      <w:r w:rsidR="0091683A" w:rsidRPr="00EA0D6C">
        <w:t xml:space="preserve">lux </w:t>
      </w:r>
      <w:r w:rsidR="0091683A">
        <w:t>t</w:t>
      </w:r>
      <w:r w:rsidR="0091683A" w:rsidRPr="00EA0D6C">
        <w:t xml:space="preserve">ime </w:t>
      </w:r>
      <w:r w:rsidR="0091683A">
        <w:t>p</w:t>
      </w:r>
      <w:r w:rsidR="0091683A" w:rsidRPr="00EA0D6C">
        <w:t>roduct (FTP) values offer a distinctive lens into the energetic aspects of ignition and combustion for each solvent</w:t>
      </w:r>
      <w:r w:rsidR="0091683A">
        <w:t xml:space="preserve">, referring to the total energy imparted to the specimen from external heating </w:t>
      </w:r>
      <w:r w:rsidR="00B12D80">
        <w:t>before</w:t>
      </w:r>
      <w:r w:rsidR="0091683A">
        <w:t xml:space="preserve"> ignition.</w:t>
      </w:r>
      <w:r w:rsidR="0091683A" w:rsidRPr="00EA0D6C">
        <w:t xml:space="preserve"> The higher FTP for ethyl acetate implies a more prolonged and energetically demanding </w:t>
      </w:r>
      <w:r w:rsidR="000103A0">
        <w:t>ignition</w:t>
      </w:r>
      <w:r w:rsidR="0091683A" w:rsidRPr="00EA0D6C">
        <w:t xml:space="preserve">, potentially influencing fire dynamics. </w:t>
      </w:r>
      <w:r w:rsidR="00256B1E">
        <w:t xml:space="preserve">Considering the lower heat flux provided to the sample, this aspect can be attributed mostly to the thermal inertia of the system. </w:t>
      </w:r>
      <w:r w:rsidR="0091683A" w:rsidRPr="00EA0D6C">
        <w:t xml:space="preserve">Meanwhile, the lower FTP values for ethanol and hexane suggest relatively shorter </w:t>
      </w:r>
      <w:r w:rsidR="00256B1E">
        <w:t>ignition processes</w:t>
      </w:r>
      <w:r w:rsidR="0091683A">
        <w:t>.</w:t>
      </w:r>
      <w:r w:rsidR="000103A0">
        <w:t xml:space="preserve"> </w:t>
      </w:r>
    </w:p>
    <w:p w14:paraId="61569FD7" w14:textId="72250653" w:rsidR="001D1E8E" w:rsidRDefault="0091683A" w:rsidP="0074195A">
      <w:pPr>
        <w:pStyle w:val="CETBodytext"/>
      </w:pPr>
      <w:r>
        <w:t xml:space="preserve">Once dealing with the </w:t>
      </w:r>
      <w:r w:rsidR="00D2238C">
        <w:t>energy production at a steady state condition</w:t>
      </w:r>
      <w:r>
        <w:t>, t</w:t>
      </w:r>
      <w:r w:rsidR="006867AD" w:rsidRPr="006867AD">
        <w:t xml:space="preserve">he heat release rate (HRR) for </w:t>
      </w:r>
      <w:r w:rsidR="003B3EAF">
        <w:t>h</w:t>
      </w:r>
      <w:r w:rsidR="006867AD" w:rsidRPr="006867AD">
        <w:t xml:space="preserve">exane is significantly higher </w:t>
      </w:r>
      <w:r w:rsidR="00864660">
        <w:t xml:space="preserve">in its critical conditions </w:t>
      </w:r>
      <w:r w:rsidR="006867AD" w:rsidRPr="006867AD">
        <w:t xml:space="preserve">than </w:t>
      </w:r>
      <w:r w:rsidR="00864660">
        <w:t>the</w:t>
      </w:r>
      <w:r w:rsidR="006867AD" w:rsidRPr="006867AD">
        <w:t xml:space="preserve"> Ethanol and Ethyl acetate, </w:t>
      </w:r>
      <w:r w:rsidR="00D2238C">
        <w:t>because of</w:t>
      </w:r>
      <w:r w:rsidR="006867AD" w:rsidRPr="006867AD">
        <w:t xml:space="preserve"> a more intense combustion process</w:t>
      </w:r>
      <w:r w:rsidR="00D2238C">
        <w:t xml:space="preserve"> demonstrated by the trend in the effective heat of combustion (EHC)</w:t>
      </w:r>
      <w:r w:rsidR="006867AD" w:rsidRPr="006867AD">
        <w:t xml:space="preserve">. </w:t>
      </w:r>
      <w:r w:rsidR="00D2238C">
        <w:t xml:space="preserve">This aspect has positive feedback on the production of </w:t>
      </w:r>
      <w:proofErr w:type="spellStart"/>
      <w:r w:rsidR="00D2238C">
        <w:t>vapour</w:t>
      </w:r>
      <w:proofErr w:type="spellEnd"/>
      <w:r w:rsidR="00D2238C">
        <w:t xml:space="preserve">, as </w:t>
      </w:r>
      <w:r w:rsidR="006867AD" w:rsidRPr="006867AD">
        <w:t>demonstrate</w:t>
      </w:r>
      <w:r w:rsidR="00B12D80">
        <w:t>d</w:t>
      </w:r>
      <w:r w:rsidR="006867AD" w:rsidRPr="006867AD">
        <w:t xml:space="preserve"> </w:t>
      </w:r>
      <w:r w:rsidR="00D2238C">
        <w:t xml:space="preserve">by the similar trend observed for the </w:t>
      </w:r>
      <w:r w:rsidR="006867AD" w:rsidRPr="006867AD">
        <w:t>mass burning rate (MBR)</w:t>
      </w:r>
      <w:r w:rsidR="00D2238C">
        <w:t xml:space="preserve">. These aspects </w:t>
      </w:r>
      <w:r w:rsidR="006867AD" w:rsidRPr="006867AD">
        <w:t>indicat</w:t>
      </w:r>
      <w:r w:rsidR="00D2238C">
        <w:t>e</w:t>
      </w:r>
      <w:r w:rsidR="006867AD" w:rsidRPr="006867AD">
        <w:t xml:space="preserve"> a comparatively slower and less energy-efficient combustion</w:t>
      </w:r>
      <w:r w:rsidR="00356537" w:rsidRPr="00356537">
        <w:t xml:space="preserve"> possibly influenced by the ester functional group in its structure</w:t>
      </w:r>
      <w:r w:rsidR="00A35971">
        <w:t>:</w:t>
      </w:r>
      <w:r w:rsidR="009177B8" w:rsidRPr="009177B8">
        <w:t xml:space="preserve"> </w:t>
      </w:r>
      <w:r w:rsidR="00A35971">
        <w:t>t</w:t>
      </w:r>
      <w:r w:rsidR="00A35971" w:rsidRPr="006B1B83">
        <w:t>he presence of the ester bond and oxygen contributes to a distinctive combustion profile.</w:t>
      </w:r>
      <w:r w:rsidR="00A35971">
        <w:t xml:space="preserve"> </w:t>
      </w:r>
      <w:r w:rsidR="006867AD" w:rsidRPr="006867AD">
        <w:t>The carbon monoxide and carbon dioxide ratio (CO/CO</w:t>
      </w:r>
      <w:r w:rsidR="006867AD" w:rsidRPr="00F47F31">
        <w:rPr>
          <w:vertAlign w:val="subscript"/>
        </w:rPr>
        <w:t>2</w:t>
      </w:r>
      <w:r w:rsidR="006867AD" w:rsidRPr="006867AD">
        <w:t>) is highest for Hexane,</w:t>
      </w:r>
      <w:r w:rsidR="000A70C7" w:rsidRPr="000A70C7">
        <w:t xml:space="preserve"> </w:t>
      </w:r>
      <w:r w:rsidR="000A70C7" w:rsidRPr="00CF5085">
        <w:t>in line with its aliphatic structure</w:t>
      </w:r>
      <w:r w:rsidR="000A70C7">
        <w:t>,</w:t>
      </w:r>
      <w:r w:rsidR="006867AD" w:rsidRPr="006867AD">
        <w:t xml:space="preserve"> emphasizing its </w:t>
      </w:r>
      <w:r w:rsidR="000103A0">
        <w:t>proneness</w:t>
      </w:r>
      <w:r w:rsidR="006867AD" w:rsidRPr="006867AD">
        <w:t xml:space="preserve"> for incomplete combustion. </w:t>
      </w:r>
      <w:r w:rsidR="00D558AD">
        <w:t>The</w:t>
      </w:r>
      <w:r w:rsidR="00C513A9">
        <w:t xml:space="preserve"> elevate</w:t>
      </w:r>
      <w:r w:rsidR="00B12D80">
        <w:t>d</w:t>
      </w:r>
      <w:r w:rsidR="00C513A9">
        <w:t xml:space="preserve"> </w:t>
      </w:r>
      <w:r w:rsidR="007336CF">
        <w:t>s</w:t>
      </w:r>
      <w:r w:rsidR="00F706E3">
        <w:t>moke</w:t>
      </w:r>
      <w:r w:rsidR="007336CF">
        <w:t xml:space="preserve"> ext</w:t>
      </w:r>
      <w:r w:rsidR="002D397B">
        <w:t>inction area (</w:t>
      </w:r>
      <w:r w:rsidR="00C513A9">
        <w:t>SEA</w:t>
      </w:r>
      <w:r w:rsidR="002D397B">
        <w:t>)</w:t>
      </w:r>
      <w:r w:rsidR="00D558AD">
        <w:t xml:space="preserve"> of hexane</w:t>
      </w:r>
      <w:r w:rsidR="00C513A9">
        <w:t xml:space="preserve"> suggests a greater dispersal of combustion</w:t>
      </w:r>
      <w:r w:rsidR="0080082E">
        <w:t xml:space="preserve"> smoke</w:t>
      </w:r>
      <w:r w:rsidR="00C513A9">
        <w:t xml:space="preserve"> </w:t>
      </w:r>
      <w:r w:rsidR="003340C6">
        <w:t>produc</w:t>
      </w:r>
      <w:r w:rsidR="0080082E">
        <w:t>ed</w:t>
      </w:r>
      <w:r w:rsidR="003340C6">
        <w:t xml:space="preserve"> per unit mass. </w:t>
      </w:r>
      <w:r w:rsidR="00D2238C">
        <w:t>T</w:t>
      </w:r>
      <w:r w:rsidR="003340C6">
        <w:t xml:space="preserve">he lower SEA values for ethanol and ethyl acetate imply a more contained release of combustion </w:t>
      </w:r>
      <w:r w:rsidR="00423D92">
        <w:t xml:space="preserve">byproducts per unit mass, pointing towards a potentially more controlled and manageable </w:t>
      </w:r>
      <w:r w:rsidR="003835CB">
        <w:t>oxidation</w:t>
      </w:r>
      <w:r w:rsidR="00D2238C">
        <w:t xml:space="preserve"> for these species</w:t>
      </w:r>
      <w:r w:rsidR="00423D92">
        <w:t>.</w:t>
      </w:r>
    </w:p>
    <w:p w14:paraId="2B95CD3A" w14:textId="6C9B4AE3" w:rsidR="00A84343" w:rsidRDefault="000E33A6" w:rsidP="00152091">
      <w:pPr>
        <w:pStyle w:val="CETBodytext"/>
      </w:pPr>
      <w:r w:rsidRPr="00D24F95">
        <w:fldChar w:fldCharType="begin"/>
      </w:r>
      <w:r w:rsidRPr="00D24F95">
        <w:instrText xml:space="preserve"> REF _Ref159336391 \h  \* MERGEFORMAT </w:instrText>
      </w:r>
      <w:r w:rsidRPr="00D24F95">
        <w:fldChar w:fldCharType="separate"/>
      </w:r>
      <w:r w:rsidRPr="00D24F95">
        <w:t>Figure 1</w:t>
      </w:r>
      <w:r w:rsidRPr="00D24F95">
        <w:fldChar w:fldCharType="end"/>
      </w:r>
      <w:r w:rsidRPr="00D24F95">
        <w:t xml:space="preserve"> </w:t>
      </w:r>
      <w:r w:rsidR="0004445D" w:rsidRPr="00D24F95">
        <w:t>reports</w:t>
      </w:r>
      <w:r w:rsidR="001A63E9" w:rsidRPr="00D24F95">
        <w:t xml:space="preserve"> the mass burning rate </w:t>
      </w:r>
      <w:r w:rsidR="00D24F95" w:rsidRPr="00D24F95">
        <w:t xml:space="preserve">at </w:t>
      </w:r>
      <w:r w:rsidR="00B12D80">
        <w:t xml:space="preserve">the </w:t>
      </w:r>
      <w:r w:rsidR="00D24F95" w:rsidRPr="00D24F95">
        <w:t xml:space="preserve">steady state </w:t>
      </w:r>
      <w:r w:rsidR="00A3168A" w:rsidRPr="00D24F95">
        <w:t xml:space="preserve">obtained in this study </w:t>
      </w:r>
      <w:r w:rsidR="00A3168A">
        <w:t>and retrieved from the current</w:t>
      </w:r>
      <w:r w:rsidR="00A3168A" w:rsidRPr="00D24F95">
        <w:t xml:space="preserve"> literature at different </w:t>
      </w:r>
      <w:r w:rsidR="00A3168A">
        <w:t xml:space="preserve">pool </w:t>
      </w:r>
      <w:r w:rsidR="00A3168A" w:rsidRPr="00D24F95">
        <w:t xml:space="preserve">diameters </w:t>
      </w:r>
      <w:r w:rsidR="00A3168A">
        <w:t xml:space="preserve">and solvents as a function of </w:t>
      </w:r>
      <w:r w:rsidR="00660B09" w:rsidRPr="00D24F95">
        <w:t>the B-number</w:t>
      </w:r>
      <w:r w:rsidR="00D24F95" w:rsidRPr="00D24F95">
        <w:t xml:space="preserve">, </w:t>
      </w:r>
      <w:r w:rsidR="00D24F95">
        <w:t xml:space="preserve">previously </w:t>
      </w:r>
      <w:r w:rsidR="00D24F95" w:rsidRPr="00D24F95">
        <w:t>defined in Eq</w:t>
      </w:r>
      <w:r w:rsidR="00B152A7">
        <w:t>(</w:t>
      </w:r>
      <w:r w:rsidR="00D24F95">
        <w:t>2</w:t>
      </w:r>
      <w:r w:rsidR="00B152A7">
        <w:t>)</w:t>
      </w:r>
      <w:r w:rsidR="00A84343" w:rsidRPr="00D24F95">
        <w:t>.</w:t>
      </w:r>
      <w:r w:rsidR="00C16081">
        <w:t xml:space="preserve"> </w:t>
      </w:r>
    </w:p>
    <w:p w14:paraId="443A1693" w14:textId="77777777" w:rsidR="0051658D" w:rsidRDefault="00256B1E" w:rsidP="00511EBF">
      <w:pPr>
        <w:pStyle w:val="CETBodytext"/>
      </w:pPr>
      <w:r>
        <w:t>At this stage, it is worth mentioning that the data gathered from the literature do not include any indications o</w:t>
      </w:r>
      <w:r w:rsidR="00B12D80">
        <w:t>f</w:t>
      </w:r>
      <w:r>
        <w:t xml:space="preserve"> the external heat flux provided to the sample, as well as a limited set of information on the atmospheric conditions during the reported tests, with obvious implications on the accuracy of these data. For the sake of completeness, a trend line representative for the MBR for large pools reported in the literature (blue line) and a trend line for MBR data retrieved for </w:t>
      </w:r>
      <w:r w:rsidR="00B12D80">
        <w:t xml:space="preserve">a </w:t>
      </w:r>
      <w:r>
        <w:t xml:space="preserve">pool diameter of 20 cm (red line) were reported above together with the one corresponding to an equivalent pool diameter of 11 cm (green line), i.e., the one referring to the newly collected data. </w:t>
      </w:r>
    </w:p>
    <w:p w14:paraId="6FA1B687" w14:textId="74E7E8E6" w:rsidR="0051658D" w:rsidRDefault="0051658D" w:rsidP="00511EBF">
      <w:pPr>
        <w:pStyle w:val="CETBodytext"/>
      </w:pPr>
      <w:r>
        <w:t xml:space="preserve">Focusing on the reported data for hexane, the collected value is included within the data from the literature although it </w:t>
      </w:r>
      <w:r w:rsidR="00250FA3">
        <w:t>corresponds</w:t>
      </w:r>
      <w:r>
        <w:t xml:space="preserve"> to the smallest diameter. Hence, this trend cannot be ca</w:t>
      </w:r>
      <w:r w:rsidR="00250FA3">
        <w:t>ught</w:t>
      </w:r>
      <w:r>
        <w:t xml:space="preserve"> by the correlation proposed by </w:t>
      </w:r>
      <w:proofErr w:type="spellStart"/>
      <w:r>
        <w:t>Hottel</w:t>
      </w:r>
      <w:proofErr w:type="spellEnd"/>
      <w:r>
        <w:t>. However, t</w:t>
      </w:r>
      <w:r w:rsidR="009932A8" w:rsidRPr="009932A8">
        <w:t xml:space="preserve">his discrepancy stems from the analyzed diameter being situated in a region </w:t>
      </w:r>
      <w:r w:rsidR="002A44B4">
        <w:t>dominated</w:t>
      </w:r>
      <w:r w:rsidR="00E65EEB">
        <w:t xml:space="preserve"> by convective turbulence</w:t>
      </w:r>
      <w:r w:rsidR="00FE70AC">
        <w:t>,</w:t>
      </w:r>
      <w:r w:rsidR="002A44B4">
        <w:t xml:space="preserve"> </w:t>
      </w:r>
      <w:r w:rsidR="009932A8" w:rsidRPr="009932A8">
        <w:t xml:space="preserve">where the burning rate </w:t>
      </w:r>
      <w:r w:rsidR="009932A8">
        <w:t>t</w:t>
      </w:r>
      <w:r w:rsidR="00250FA3">
        <w:t>y</w:t>
      </w:r>
      <w:r w:rsidR="009932A8">
        <w:t xml:space="preserve">pically </w:t>
      </w:r>
      <w:r w:rsidR="009932A8" w:rsidRPr="009932A8">
        <w:t>demonstrates an increasing trend as the pool diameter decreases</w:t>
      </w:r>
      <w:r w:rsidR="00102040">
        <w:t xml:space="preserve"> </w:t>
      </w:r>
      <w:r w:rsidR="00511EBF">
        <w:fldChar w:fldCharType="begin" w:fldLock="1"/>
      </w:r>
      <w:r w:rsidR="00397BC0">
        <w:instrText>ADDIN CSL_CITATION {"citationItems":[{"id":"ITEM-1","itemData":{"DOI":"10.1016/j.proeng.2014.10.463","ISSN":"18777058","abstract":"It is the fact that combustion properties of large-scale crude oil pool fire have great significance for security design and firefighting of current crude oil reserves. Burning rate, the flame shape and radiation intensity are the most important parameters for fires properties. According to two-zone theoretical model, there are many calculation models for different parameters. Based on crude oil pool fire experiments in Tomakomai, Japan, several common kinds of model are analyzed. Some conclusions are drawn: Babrauska formula is accurate around 10 m diameter; Thomas model is appropriate for the flame heighten of smaller scale(less than 5 m), while Heskestad model is appropriate for the flame heighten of larger scale (greater than 10 m); when the thermal radiation intensity is greater than 5 kW/m2, Shokri Beyler model is more applicable; when the thermal radiation intensity is less than 1 kW/m2, Point source model is more accurate.","author":[{"dropping-particle":"","family":"Chen","given":"Zhen","non-dropping-particle":"","parse-names":false,"suffix":""},{"dropping-particle":"","family":"Wei","given":"Xiaolin","non-dropping-particle":"","parse-names":false,"suffix":""}],"container-title":"Procedia Engineering","id":"ITEM-1","issued":{"date-parts":[["2014"]]},"page":"514-523","title":"Analysis for combustion properties of crude oil pool fire","type":"article-journal","volume":"84"},"uris":["http://www.mendeley.com/documents/?uuid=30f58c49-b607-4316-a4bc-0bd97145ca57"]}],"mendeley":{"formattedCitation":"(Chen and Wei, 2014)","plainTextFormattedCitation":"(Chen and Wei, 2014)","previouslyFormattedCitation":"(Chen and Wei, 2014)"},"properties":{"noteIndex":0},"schema":"https://github.com/citation-style-language/schema/raw/master/csl-citation.json"}</w:instrText>
      </w:r>
      <w:r w:rsidR="00511EBF">
        <w:fldChar w:fldCharType="separate"/>
      </w:r>
      <w:r w:rsidR="00511EBF" w:rsidRPr="00511EBF">
        <w:rPr>
          <w:noProof/>
        </w:rPr>
        <w:t>(Chen and Wei, 2014)</w:t>
      </w:r>
      <w:r w:rsidR="00511EBF">
        <w:fldChar w:fldCharType="end"/>
      </w:r>
      <w:r w:rsidR="00102040">
        <w:t>.</w:t>
      </w:r>
      <w:r w:rsidR="000A6C04">
        <w:t xml:space="preserve"> </w:t>
      </w:r>
      <w:r w:rsidR="00BC53F3">
        <w:t>This empirical observation extends to ethanol, highlighting that the influence of diameter on the mass burning rate is non-negligible, contrary to assumptions made in pr</w:t>
      </w:r>
      <w:r w:rsidR="00102040">
        <w:t xml:space="preserve">evious </w:t>
      </w:r>
      <w:r w:rsidR="00BC53F3">
        <w:t xml:space="preserve">works </w:t>
      </w:r>
      <w:r w:rsidR="007B1892">
        <w:fldChar w:fldCharType="begin" w:fldLock="1"/>
      </w:r>
      <w:r w:rsidR="00511EBF">
        <w:instrText>ADDIN CSL_CITATION {"citationItems":[{"id":"ITEM-1","itemData":{"author":[{"dropping-particle":"","family":"Gosse","given":"A.","non-dropping-particle":"","parse-names":false,"suffix":""}],"id":"ITEM-1","issued":{"date-parts":[["2000"]]},"title":"BG Technologies Ltd., private communi\u0002cation","type":"article-journal"},"uris":["http://www.mendeley.com/documents/?uuid=dd0e2778-74e9-4303-91db-3fe91e994071"]}],"mendeley":{"formattedCitation":"(Gosse, 2000)","plainTextFormattedCitation":"(Gosse, 2000)","previouslyFormattedCitation":"(Gosse, 2000)"},"properties":{"noteIndex":0},"schema":"https://github.com/citation-style-language/schema/raw/master/csl-citation.json"}</w:instrText>
      </w:r>
      <w:r w:rsidR="007B1892">
        <w:fldChar w:fldCharType="separate"/>
      </w:r>
      <w:r w:rsidR="007B1892" w:rsidRPr="007B1892">
        <w:rPr>
          <w:noProof/>
        </w:rPr>
        <w:t>(Gosse, 2000)</w:t>
      </w:r>
      <w:r w:rsidR="007B1892">
        <w:fldChar w:fldCharType="end"/>
      </w:r>
      <w:r w:rsidR="00BC53F3">
        <w:t>.</w:t>
      </w:r>
      <w:r w:rsidR="00511EBF">
        <w:t xml:space="preserve"> </w:t>
      </w:r>
    </w:p>
    <w:p w14:paraId="29ABF2DE" w14:textId="6300E108" w:rsidR="00C522D0" w:rsidRDefault="0051658D" w:rsidP="00511EBF">
      <w:pPr>
        <w:pStyle w:val="CETBodytext"/>
      </w:pPr>
      <w:r>
        <w:t>Noteworthy</w:t>
      </w:r>
      <w:r w:rsidR="009D18B4">
        <w:t xml:space="preserve">, </w:t>
      </w:r>
      <w:r w:rsidR="009D18B4" w:rsidRPr="009D18B4">
        <w:t xml:space="preserve">a linear trend can be identified for the </w:t>
      </w:r>
      <w:r>
        <w:t xml:space="preserve">MBR </w:t>
      </w:r>
      <w:r w:rsidR="009D18B4" w:rsidRPr="009D18B4">
        <w:t>experimental</w:t>
      </w:r>
      <w:r>
        <w:t>ly</w:t>
      </w:r>
      <w:r w:rsidR="009D18B4" w:rsidRPr="009D18B4">
        <w:t xml:space="preserve"> </w:t>
      </w:r>
      <w:r>
        <w:t xml:space="preserve">collected in this work as a function of the dimensionless number B. This is particularly relevant </w:t>
      </w:r>
      <w:r w:rsidR="00250FA3">
        <w:t>from</w:t>
      </w:r>
      <w:r>
        <w:t xml:space="preserve"> the perspective of</w:t>
      </w:r>
      <w:r w:rsidR="00C522D0">
        <w:t xml:space="preserve"> a possible standardized </w:t>
      </w:r>
      <w:r w:rsidR="00C522D0">
        <w:lastRenderedPageBreak/>
        <w:t>procedure for the characterization of pool fires. Indeed, the MBR is affected by the external heat flux provided to the sample. However, the values documented in existing literature lack clarity or, at the very least, disregard the thermal flux to which the liquid is exposed, a crucial factor that can be measured and controlled in cone calorimeter tests. Therefore, the use of the critical flux as a boundary condition, as proposed in this work, reduces the degree of freedom during the experimental campaign and allows for rigorous and robust analysis</w:t>
      </w:r>
      <w:r w:rsidR="00A9372A">
        <w:t>.</w:t>
      </w:r>
      <w:r w:rsidR="00C522D0">
        <w:t xml:space="preserve"> </w:t>
      </w:r>
    </w:p>
    <w:p w14:paraId="7A242C24" w14:textId="24CA2997" w:rsidR="008D4070" w:rsidRDefault="005116FE" w:rsidP="00511EBF">
      <w:pPr>
        <w:pStyle w:val="CETBodytext"/>
      </w:pPr>
      <w:r>
        <w:rPr>
          <w:noProof/>
        </w:rPr>
        <w:drawing>
          <wp:inline distT="0" distB="0" distL="0" distR="0" wp14:anchorId="03DE4C85" wp14:editId="367D6779">
            <wp:extent cx="5580000" cy="4558346"/>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0"/>
                    <a:srcRect l="5235" t="9348" r="35587" b="4712"/>
                    <a:stretch/>
                  </pic:blipFill>
                  <pic:spPr bwMode="auto">
                    <a:xfrm>
                      <a:off x="0" y="0"/>
                      <a:ext cx="5580000" cy="4558346"/>
                    </a:xfrm>
                    <a:prstGeom prst="rect">
                      <a:avLst/>
                    </a:prstGeom>
                    <a:ln>
                      <a:noFill/>
                    </a:ln>
                    <a:extLst>
                      <a:ext uri="{53640926-AAD7-44D8-BBD7-CCE9431645EC}">
                        <a14:shadowObscured xmlns:a14="http://schemas.microsoft.com/office/drawing/2010/main"/>
                      </a:ext>
                    </a:extLst>
                  </pic:spPr>
                </pic:pic>
              </a:graphicData>
            </a:graphic>
          </wp:inline>
        </w:drawing>
      </w:r>
    </w:p>
    <w:p w14:paraId="30793257" w14:textId="3F61D020" w:rsidR="002D397B" w:rsidRPr="00FC47AF" w:rsidRDefault="008D4070" w:rsidP="00EC7C98">
      <w:pPr>
        <w:pStyle w:val="Didascalia"/>
        <w:rPr>
          <w:rStyle w:val="CETCaptionCarattere"/>
          <w:b w:val="0"/>
          <w:bCs w:val="0"/>
          <w:color w:val="auto"/>
          <w:lang w:val="en-US"/>
        </w:rPr>
      </w:pPr>
      <w:bookmarkStart w:id="1" w:name="_Ref159336391"/>
      <w:r w:rsidRPr="00FC47AF">
        <w:rPr>
          <w:rStyle w:val="CETCaptionCarattere"/>
          <w:b w:val="0"/>
          <w:bCs w:val="0"/>
          <w:color w:val="auto"/>
        </w:rPr>
        <w:t xml:space="preserve">Figure </w:t>
      </w:r>
      <w:r w:rsidRPr="00FC47AF">
        <w:rPr>
          <w:rStyle w:val="CETCaptionCarattere"/>
          <w:b w:val="0"/>
          <w:bCs w:val="0"/>
          <w:color w:val="auto"/>
        </w:rPr>
        <w:fldChar w:fldCharType="begin"/>
      </w:r>
      <w:r w:rsidRPr="00FC47AF">
        <w:rPr>
          <w:rStyle w:val="CETCaptionCarattere"/>
          <w:b w:val="0"/>
          <w:bCs w:val="0"/>
          <w:color w:val="auto"/>
        </w:rPr>
        <w:instrText xml:space="preserve"> SEQ Figure \* ARABIC </w:instrText>
      </w:r>
      <w:r w:rsidRPr="00FC47AF">
        <w:rPr>
          <w:rStyle w:val="CETCaptionCarattere"/>
          <w:b w:val="0"/>
          <w:bCs w:val="0"/>
          <w:color w:val="auto"/>
        </w:rPr>
        <w:fldChar w:fldCharType="separate"/>
      </w:r>
      <w:r w:rsidRPr="00FC47AF">
        <w:rPr>
          <w:rStyle w:val="CETCaptionCarattere"/>
          <w:b w:val="0"/>
          <w:bCs w:val="0"/>
          <w:color w:val="auto"/>
        </w:rPr>
        <w:t>1</w:t>
      </w:r>
      <w:r w:rsidRPr="00FC47AF">
        <w:rPr>
          <w:rStyle w:val="CETCaptionCarattere"/>
          <w:b w:val="0"/>
          <w:bCs w:val="0"/>
          <w:color w:val="auto"/>
        </w:rPr>
        <w:fldChar w:fldCharType="end"/>
      </w:r>
      <w:bookmarkEnd w:id="1"/>
      <w:r w:rsidRPr="00FC47AF">
        <w:rPr>
          <w:rStyle w:val="CETCaptionCarattere"/>
          <w:b w:val="0"/>
          <w:bCs w:val="0"/>
          <w:color w:val="auto"/>
        </w:rPr>
        <w:t xml:space="preserve">: Comparison </w:t>
      </w:r>
      <w:r w:rsidR="00D001DE">
        <w:rPr>
          <w:rStyle w:val="CETCaptionCarattere"/>
          <w:b w:val="0"/>
          <w:bCs w:val="0"/>
          <w:color w:val="auto"/>
        </w:rPr>
        <w:t xml:space="preserve">of </w:t>
      </w:r>
      <w:r w:rsidR="0080097C">
        <w:rPr>
          <w:rStyle w:val="CETCaptionCarattere"/>
          <w:b w:val="0"/>
          <w:bCs w:val="0"/>
          <w:color w:val="auto"/>
        </w:rPr>
        <w:t xml:space="preserve">the trends for the Mass Burning Rate based on newly collected measurements and data from the </w:t>
      </w:r>
      <w:r w:rsidR="00D001DE">
        <w:rPr>
          <w:rStyle w:val="CETCaptionCarattere"/>
          <w:b w:val="0"/>
          <w:bCs w:val="0"/>
          <w:color w:val="auto"/>
        </w:rPr>
        <w:t>literature</w:t>
      </w:r>
      <w:r w:rsidR="00C90F75">
        <w:rPr>
          <w:rStyle w:val="CETCaptionCarattere"/>
          <w:b w:val="0"/>
          <w:bCs w:val="0"/>
          <w:color w:val="auto"/>
        </w:rPr>
        <w:t xml:space="preserve"> </w:t>
      </w:r>
      <w:r w:rsidR="00C90F75">
        <w:rPr>
          <w:rStyle w:val="CETCaptionCarattere"/>
          <w:b w:val="0"/>
          <w:bCs w:val="0"/>
          <w:color w:val="auto"/>
        </w:rPr>
        <w:fldChar w:fldCharType="begin" w:fldLock="1"/>
      </w:r>
      <w:r w:rsidR="00C90F75">
        <w:rPr>
          <w:rStyle w:val="CETCaptionCarattere"/>
          <w:b w:val="0"/>
          <w:bCs w:val="0"/>
          <w:color w:val="auto"/>
        </w:rPr>
        <w:instrText>ADDIN CSL_CITATION {"citationItems":[{"id":"ITEM-1","itemData":{"DOI":"10.1016/j.firesaf.2021.103449","ISSN":"03797112","abstract":"The cone calorimeter is traditionally used to measure the response of solid materials to radiant heating. Liquids are also commonly tested, but the methods employed are varied and inconsistent. There is a need to understand how the experimental conditions impact test results, and to develop formal guidance on a testing protocol for liquids. The cone calorimeter can be used to characterize the fire performance of liquids according to their propensities for ignition, boiling, and burning, as well as their combustion characteristics. A review of the literature was carried out to understand the breadth of apparatus and procedures used to date and their impacts on test results. From this, a series of recommendations were developed for adapting the test protocol for liquids. The vessel used should be circular; steel, borosilicate glass, or fused quartz; positioned on 13 mm of flat ceramic fiber insulation within a larger spillage containment pan; and have a diameter between 65 mm and 90 mm. Liquid depths of 10 mm should be used, and tests should be nominally be conducted at a heat flux of 10 kW</w:instrText>
      </w:r>
      <w:r w:rsidR="00C90F75">
        <w:rPr>
          <w:rStyle w:val="CETCaptionCarattere"/>
          <w:rFonts w:ascii="Cambria Math" w:hAnsi="Cambria Math" w:cs="Cambria Math"/>
          <w:b w:val="0"/>
          <w:bCs w:val="0"/>
          <w:color w:val="auto"/>
        </w:rPr>
        <w:instrText>⋅</w:instrText>
      </w:r>
      <w:r w:rsidR="00C90F75">
        <w:rPr>
          <w:rStyle w:val="CETCaptionCarattere"/>
          <w:b w:val="0"/>
          <w:bCs w:val="0"/>
          <w:color w:val="auto"/>
        </w:rPr>
        <w:instrText>m</w:instrText>
      </w:r>
      <w:r w:rsidR="00C90F75">
        <w:rPr>
          <w:rStyle w:val="CETCaptionCarattere"/>
          <w:rFonts w:cs="Arial"/>
          <w:b w:val="0"/>
          <w:bCs w:val="0"/>
          <w:color w:val="auto"/>
        </w:rPr>
        <w:instrText>−</w:instrText>
      </w:r>
      <w:r w:rsidR="00C90F75">
        <w:rPr>
          <w:rStyle w:val="CETCaptionCarattere"/>
          <w:b w:val="0"/>
          <w:bCs w:val="0"/>
          <w:color w:val="auto"/>
        </w:rPr>
        <w:instrText>2. This work provides the necessary technical basis for adoption of a consistent methodology for cone calorimeter testing of liquids.","author":[{"dropping-particle":"","family":"DiDomizio","given":"Matthew J.","non-dropping-particle":"","parse-names":false,"suffix":""},{"dropping-particle":"","family":"Ibrahimli","given":"Vusal","non-dropping-particle":"","parse-names":false,"suffix":""},{"dropping-particle":"","family":"Weckman","given":"Elizabeth J.","non-dropping-particle":"","parse-names":false,"suffix":""}],"container-title":"Fire Safety Journal","id":"ITEM-1","issued":{"date-parts":[["2021"]]},"page":"103449","publisher":"Elsevier Ltd","title":"Testing of liquids with the cone calorimeter","type":"article-journal","volume":"126"},"uris":["http://www.mendeley.com/documents/?uuid=4d7fc24a-3b7b-43d3-90c4-0e6d5c1aeec7"]}],"mendeley":{"formattedCitation":"(DiDomizio et al., 2021)","plainTextFormattedCitation":"(DiDomizio et al., 2021)","previouslyFormattedCitation":"(DiDomizio et al., 2021)"},"properties":{"noteIndex":0},"schema":"https://github.com/citation-style-language/schema/raw/master/csl-citation.json"}</w:instrText>
      </w:r>
      <w:r w:rsidR="00C90F75">
        <w:rPr>
          <w:rStyle w:val="CETCaptionCarattere"/>
          <w:b w:val="0"/>
          <w:bCs w:val="0"/>
          <w:color w:val="auto"/>
        </w:rPr>
        <w:fldChar w:fldCharType="separate"/>
      </w:r>
      <w:r w:rsidR="00C90F75" w:rsidRPr="00D001DE">
        <w:rPr>
          <w:rStyle w:val="CETCaptionCarattere"/>
          <w:b w:val="0"/>
          <w:bCs w:val="0"/>
          <w:i w:val="0"/>
          <w:noProof/>
          <w:color w:val="auto"/>
        </w:rPr>
        <w:t>(DiDomizio et al., 2021)</w:t>
      </w:r>
      <w:r w:rsidR="00C90F75">
        <w:rPr>
          <w:rStyle w:val="CETCaptionCarattere"/>
          <w:b w:val="0"/>
          <w:bCs w:val="0"/>
          <w:color w:val="auto"/>
        </w:rPr>
        <w:fldChar w:fldCharType="end"/>
      </w:r>
      <w:r w:rsidR="00C90F75">
        <w:rPr>
          <w:rStyle w:val="CETCaptionCarattere"/>
          <w:b w:val="0"/>
          <w:bCs w:val="0"/>
          <w:color w:val="auto"/>
        </w:rPr>
        <w:t xml:space="preserve"> </w:t>
      </w:r>
      <w:r w:rsidR="005532E6">
        <w:rPr>
          <w:rStyle w:val="CETCaptionCarattere"/>
          <w:b w:val="0"/>
          <w:bCs w:val="0"/>
          <w:color w:val="auto"/>
        </w:rPr>
        <w:t xml:space="preserve">at different pool diameters (blue = infinitely large, red = 0.2 m, and green 0.11 m) </w:t>
      </w:r>
      <w:r w:rsidR="00C90F75">
        <w:rPr>
          <w:rStyle w:val="CETCaptionCarattere"/>
          <w:b w:val="0"/>
          <w:bCs w:val="0"/>
          <w:color w:val="auto"/>
        </w:rPr>
        <w:t>obtained at 25 kW/m</w:t>
      </w:r>
      <w:r w:rsidR="00C90F75" w:rsidRPr="00C90F75">
        <w:rPr>
          <w:rStyle w:val="CETCaptionCarattere"/>
          <w:b w:val="0"/>
          <w:bCs w:val="0"/>
          <w:color w:val="auto"/>
          <w:vertAlign w:val="superscript"/>
        </w:rPr>
        <w:t>2</w:t>
      </w:r>
      <w:r w:rsidRPr="00FC47AF">
        <w:rPr>
          <w:rStyle w:val="CETCaptionCarattere"/>
          <w:b w:val="0"/>
          <w:bCs w:val="0"/>
          <w:color w:val="auto"/>
        </w:rPr>
        <w:t xml:space="preserve"> </w:t>
      </w:r>
      <w:r w:rsidR="00D001DE">
        <w:rPr>
          <w:rStyle w:val="CETCaptionCarattere"/>
          <w:b w:val="0"/>
          <w:bCs w:val="0"/>
          <w:color w:val="auto"/>
        </w:rPr>
        <w:t xml:space="preserve">as </w:t>
      </w:r>
      <w:r w:rsidR="00B12D80">
        <w:rPr>
          <w:rStyle w:val="CETCaptionCarattere"/>
          <w:b w:val="0"/>
          <w:bCs w:val="0"/>
          <w:color w:val="auto"/>
        </w:rPr>
        <w:t xml:space="preserve">a </w:t>
      </w:r>
      <w:r w:rsidR="00D001DE">
        <w:rPr>
          <w:rStyle w:val="CETCaptionCarattere"/>
          <w:b w:val="0"/>
          <w:bCs w:val="0"/>
          <w:color w:val="auto"/>
        </w:rPr>
        <w:t>function of B-number</w:t>
      </w:r>
      <w:r w:rsidR="00427017">
        <w:rPr>
          <w:rStyle w:val="CETCaptionCarattere"/>
          <w:b w:val="0"/>
          <w:bCs w:val="0"/>
          <w:color w:val="auto"/>
        </w:rPr>
        <w:t xml:space="preserve"> for </w:t>
      </w:r>
      <w:r w:rsidR="007D2BEC">
        <w:rPr>
          <w:rStyle w:val="CETCaptionCarattere"/>
          <w:b w:val="0"/>
          <w:bCs w:val="0"/>
          <w:color w:val="auto"/>
        </w:rPr>
        <w:t>ethanol</w:t>
      </w:r>
      <w:r w:rsidR="005532E6">
        <w:rPr>
          <w:rStyle w:val="CETCaptionCarattere"/>
          <w:b w:val="0"/>
          <w:bCs w:val="0"/>
          <w:color w:val="auto"/>
        </w:rPr>
        <w:t xml:space="preserve"> (circle)</w:t>
      </w:r>
      <w:r w:rsidR="007D2BEC">
        <w:rPr>
          <w:rStyle w:val="CETCaptionCarattere"/>
          <w:b w:val="0"/>
          <w:bCs w:val="0"/>
          <w:color w:val="auto"/>
        </w:rPr>
        <w:t xml:space="preserve">, ethyl acetate </w:t>
      </w:r>
      <w:r w:rsidR="005532E6">
        <w:rPr>
          <w:rStyle w:val="CETCaptionCarattere"/>
          <w:b w:val="0"/>
          <w:bCs w:val="0"/>
          <w:color w:val="auto"/>
        </w:rPr>
        <w:t xml:space="preserve">(square) </w:t>
      </w:r>
      <w:r w:rsidR="007D2BEC">
        <w:rPr>
          <w:rStyle w:val="CETCaptionCarattere"/>
          <w:b w:val="0"/>
          <w:bCs w:val="0"/>
          <w:color w:val="auto"/>
        </w:rPr>
        <w:t>and hexane</w:t>
      </w:r>
      <w:r w:rsidR="005532E6">
        <w:rPr>
          <w:rStyle w:val="CETCaptionCarattere"/>
          <w:b w:val="0"/>
          <w:bCs w:val="0"/>
          <w:color w:val="auto"/>
        </w:rPr>
        <w:t xml:space="preserve"> (triangle)</w:t>
      </w:r>
      <w:r w:rsidR="007D2BEC">
        <w:rPr>
          <w:rStyle w:val="CETCaptionCarattere"/>
          <w:b w:val="0"/>
          <w:bCs w:val="0"/>
          <w:color w:val="auto"/>
        </w:rPr>
        <w:t>.</w:t>
      </w:r>
      <w:r w:rsidR="008F2B6B">
        <w:rPr>
          <w:rStyle w:val="CETCaptionCarattere"/>
          <w:b w:val="0"/>
          <w:bCs w:val="0"/>
          <w:color w:val="auto"/>
        </w:rPr>
        <w:t xml:space="preserve"> </w:t>
      </w:r>
    </w:p>
    <w:p w14:paraId="532F872F" w14:textId="77777777" w:rsidR="002D397B" w:rsidRPr="006B1B83" w:rsidRDefault="002D397B" w:rsidP="0074195A">
      <w:pPr>
        <w:pStyle w:val="CETBodytext"/>
      </w:pPr>
    </w:p>
    <w:p w14:paraId="2280D35A" w14:textId="77777777" w:rsidR="00B73577" w:rsidRPr="00B57B36" w:rsidRDefault="00B73577" w:rsidP="00B73577">
      <w:pPr>
        <w:pStyle w:val="CETHeading1"/>
        <w:rPr>
          <w:lang w:val="en-GB"/>
        </w:rPr>
      </w:pPr>
      <w:r w:rsidRPr="00B57B36">
        <w:rPr>
          <w:lang w:val="en-GB"/>
        </w:rPr>
        <w:t>Conclusions</w:t>
      </w:r>
    </w:p>
    <w:p w14:paraId="25ACD645" w14:textId="0BD19AF9" w:rsidR="00A4723F" w:rsidRDefault="00256B1E" w:rsidP="0074195A">
      <w:pPr>
        <w:pStyle w:val="CETBodytext"/>
      </w:pPr>
      <w:r>
        <w:t>This work presents an experimental investigation o</w:t>
      </w:r>
      <w:r w:rsidR="00B12D80">
        <w:t>f</w:t>
      </w:r>
      <w:r>
        <w:t xml:space="preserve"> the pool fires of three different species typically used in industrial processes as solvent</w:t>
      </w:r>
      <w:r w:rsidR="00B12D80">
        <w:t>s</w:t>
      </w:r>
      <w:r>
        <w:t xml:space="preserve"> or fuels, namely hexane, ethyl acetate, and ethanol. Different experimental conditions were tested at a bench scale monitoring the most relevant trends for the parameters representative of the energy and mass evolution within the time. This </w:t>
      </w:r>
      <w:r w:rsidR="00B12D80">
        <w:t xml:space="preserve">procedure allowed for the identification of a critical flux, i.e., the minimum external heat flux required to produce a stable and self-sustaining flame. The obtained values of critical flux are in line with the flash point trend. However, if typical parameters for the ignition time are considered, ethanol shows larger ignitability. Additional pieces of information were derived from the analysis of the combustion intensity and effectiveness at a steady-state regime. </w:t>
      </w:r>
      <w:r>
        <w:t xml:space="preserve">The obtained data </w:t>
      </w:r>
      <w:r w:rsidR="00B12D80">
        <w:t>indicate that hexane is more prone to partial oxidation than the other investigated species. Eventually, the effects of pool diameter on the mass burning rate were assessed by comparing the obtained data with experimental measurements and numerical predictions available in the current literature. The gathered information allowed for the definition of a set of boundary conditions and procedural steps to be considered for a robust and consistent analysis of liquid ignition and combustion at a bench scale.</w:t>
      </w:r>
    </w:p>
    <w:p w14:paraId="0B25838E" w14:textId="5F6827F5" w:rsidR="00A4723F" w:rsidRDefault="00131647" w:rsidP="00131647">
      <w:pPr>
        <w:pStyle w:val="CETReference"/>
      </w:pPr>
      <w:r w:rsidRPr="00B57B36">
        <w:lastRenderedPageBreak/>
        <w:t>References</w:t>
      </w:r>
    </w:p>
    <w:p w14:paraId="7D56BDEB" w14:textId="16B544D3" w:rsidR="00E46C0A" w:rsidRDefault="00E46C0A" w:rsidP="00E46C0A">
      <w:pPr>
        <w:pStyle w:val="CETReferencetext"/>
      </w:pPr>
      <w:proofErr w:type="spellStart"/>
      <w:r>
        <w:t>Babrauskas</w:t>
      </w:r>
      <w:proofErr w:type="spellEnd"/>
      <w:r>
        <w:t xml:space="preserve">, V., 1983. Estimating large pool fire burning rates. Fire Technol. 19, 251–261. </w:t>
      </w:r>
    </w:p>
    <w:p w14:paraId="4C1F40BD" w14:textId="21F03423" w:rsidR="00E46C0A" w:rsidRDefault="00E46C0A" w:rsidP="00E46C0A">
      <w:pPr>
        <w:pStyle w:val="CETReferencetext"/>
      </w:pPr>
      <w:r>
        <w:t>BS ISO 5660-1: 2015 + A1: 2019 — Reaction-to-fire tests — Heat release</w:t>
      </w:r>
      <w:r w:rsidR="00C22C4A">
        <w:t>,</w:t>
      </w:r>
      <w:r>
        <w:t xml:space="preserve"> smoke production and mass loss rate, 2019.</w:t>
      </w:r>
    </w:p>
    <w:p w14:paraId="66037DCE" w14:textId="2C2B66F1" w:rsidR="00E46C0A" w:rsidRDefault="00E46C0A" w:rsidP="00E46C0A">
      <w:pPr>
        <w:pStyle w:val="CETReferencetext"/>
      </w:pPr>
      <w:r w:rsidRPr="005E2A78">
        <w:rPr>
          <w:lang w:val="en-US"/>
        </w:rPr>
        <w:t xml:space="preserve">Cameo, 2023. CAMEO Chemicals. </w:t>
      </w:r>
      <w:r>
        <w:t xml:space="preserve">Rep. CAMEO Chem. </w:t>
      </w:r>
      <w:r w:rsidRPr="005E2A78">
        <w:rPr>
          <w:lang w:val="it-IT"/>
        </w:rPr>
        <w:t xml:space="preserve">NOAA. URL </w:t>
      </w:r>
      <w:r w:rsidR="005E2A78" w:rsidRPr="005E2A78">
        <w:rPr>
          <w:lang w:val="it-IT"/>
        </w:rPr>
        <w:t>https://cameochemicals.noaa.gov/</w:t>
      </w:r>
      <w:r w:rsidR="00A3168A" w:rsidRPr="005E2A78">
        <w:rPr>
          <w:lang w:val="it-IT"/>
        </w:rPr>
        <w:t xml:space="preserve">. </w:t>
      </w:r>
      <w:r w:rsidR="00A3168A">
        <w:t>Access 09/2023.</w:t>
      </w:r>
    </w:p>
    <w:p w14:paraId="2EFE3E4D" w14:textId="431E0C1F" w:rsidR="00E46C0A" w:rsidRPr="00A3168A" w:rsidRDefault="00E46C0A" w:rsidP="00E46C0A">
      <w:pPr>
        <w:pStyle w:val="CETReferencetext"/>
      </w:pPr>
      <w:r>
        <w:t xml:space="preserve">Chen, Y., Fang, J., Zhang, X., Miao, Y., Lin, Y., Tu, R., Hu, L., 2023. Pool fire dynamics: Principles, models and recent advances. Prog. Energy Combust. </w:t>
      </w:r>
      <w:r w:rsidRPr="00A3168A">
        <w:t xml:space="preserve">Sci. 95, 101070. </w:t>
      </w:r>
    </w:p>
    <w:p w14:paraId="6AA8CA1D" w14:textId="72C3E750" w:rsidR="00E46C0A" w:rsidRPr="00A3168A" w:rsidRDefault="00E46C0A" w:rsidP="00E46C0A">
      <w:pPr>
        <w:pStyle w:val="CETReferencetext"/>
      </w:pPr>
      <w:r w:rsidRPr="00A3168A">
        <w:t xml:space="preserve">Chen, Z., Wei, X., 2014. </w:t>
      </w:r>
      <w:r>
        <w:t xml:space="preserve">Analysis for combustion properties of crude oil pool fire. </w:t>
      </w:r>
      <w:r w:rsidRPr="00A3168A">
        <w:t xml:space="preserve">Procedia Eng. 84, 514–523. </w:t>
      </w:r>
    </w:p>
    <w:p w14:paraId="685EB8F0" w14:textId="608DD109" w:rsidR="00E46C0A" w:rsidRPr="00E46C0A" w:rsidRDefault="00E46C0A" w:rsidP="00E46C0A">
      <w:pPr>
        <w:pStyle w:val="CETReferencetext"/>
        <w:rPr>
          <w:lang w:val="it-IT"/>
        </w:rPr>
      </w:pPr>
      <w:r w:rsidRPr="00A3168A">
        <w:t xml:space="preserve">Chen, Z., Wei, X., Li, T., 2021. </w:t>
      </w:r>
      <w:r>
        <w:t xml:space="preserve">Experimental Investigation on Flame Characterization and Temperature Profile of Single/Multiple Pool Fire in Cross Wind. J. Therm. </w:t>
      </w:r>
      <w:r w:rsidRPr="00E46C0A">
        <w:rPr>
          <w:lang w:val="it-IT"/>
        </w:rPr>
        <w:t xml:space="preserve">Sci. 30, 324–332. </w:t>
      </w:r>
    </w:p>
    <w:p w14:paraId="14E9B970" w14:textId="3B99328B" w:rsidR="00E46C0A" w:rsidRDefault="00E46C0A" w:rsidP="00E46C0A">
      <w:pPr>
        <w:pStyle w:val="CETReferencetext"/>
      </w:pPr>
      <w:r w:rsidRPr="00E46C0A">
        <w:rPr>
          <w:lang w:val="it-IT"/>
        </w:rPr>
        <w:t xml:space="preserve">De Liso, B.A., Palma, V., Pio, G., Renda, S., Salzano, E., 2023. </w:t>
      </w:r>
      <w:r>
        <w:t xml:space="preserve">Extremely Low Temperatures for the Synthesis of Ethylene Oxide. Ind. Eng. Chem. Res. 62, 6943–6952. </w:t>
      </w:r>
    </w:p>
    <w:p w14:paraId="657BC6E4" w14:textId="7F34C407" w:rsidR="00E46C0A" w:rsidRDefault="00E46C0A" w:rsidP="00E46C0A">
      <w:pPr>
        <w:pStyle w:val="CETReferencetext"/>
      </w:pPr>
      <w:proofErr w:type="spellStart"/>
      <w:r>
        <w:t>DiDomizio</w:t>
      </w:r>
      <w:proofErr w:type="spellEnd"/>
      <w:r>
        <w:t xml:space="preserve">, M.J., </w:t>
      </w:r>
      <w:proofErr w:type="spellStart"/>
      <w:r>
        <w:t>Ibrahimli</w:t>
      </w:r>
      <w:proofErr w:type="spellEnd"/>
      <w:r>
        <w:t xml:space="preserve">, V., </w:t>
      </w:r>
      <w:proofErr w:type="spellStart"/>
      <w:r>
        <w:t>Weckman</w:t>
      </w:r>
      <w:proofErr w:type="spellEnd"/>
      <w:r>
        <w:t xml:space="preserve">, E.J., 2021. Testing of liquids with the cone calorimeter. Fire </w:t>
      </w:r>
      <w:proofErr w:type="spellStart"/>
      <w:r>
        <w:t>Saf</w:t>
      </w:r>
      <w:proofErr w:type="spellEnd"/>
      <w:r>
        <w:t xml:space="preserve">. J. 126, 103449. </w:t>
      </w:r>
    </w:p>
    <w:p w14:paraId="588A046D" w14:textId="28F3B2F8" w:rsidR="00E46C0A" w:rsidRDefault="00E46C0A" w:rsidP="00E46C0A">
      <w:pPr>
        <w:pStyle w:val="CETReferencetext"/>
      </w:pPr>
      <w:proofErr w:type="spellStart"/>
      <w:r>
        <w:t>Di</w:t>
      </w:r>
      <w:r w:rsidR="00AC1058">
        <w:t>D</w:t>
      </w:r>
      <w:r>
        <w:t>omizio</w:t>
      </w:r>
      <w:proofErr w:type="spellEnd"/>
      <w:r>
        <w:t xml:space="preserve">, M.J., </w:t>
      </w:r>
      <w:proofErr w:type="spellStart"/>
      <w:r>
        <w:t>Weckman</w:t>
      </w:r>
      <w:proofErr w:type="spellEnd"/>
      <w:r>
        <w:t xml:space="preserve">, E.J., 2016. An evaluation of methodologies for determining delay times in the cone calorimeter fire test. J. Test. Eval. 44, 1050–1063. </w:t>
      </w:r>
    </w:p>
    <w:p w14:paraId="41D89D25" w14:textId="13A9CE1B" w:rsidR="00E46C0A" w:rsidRDefault="00E46C0A" w:rsidP="00E46C0A">
      <w:pPr>
        <w:pStyle w:val="CETReferencetext"/>
      </w:pPr>
      <w:proofErr w:type="spellStart"/>
      <w:r w:rsidRPr="00A3168A">
        <w:t>Florit</w:t>
      </w:r>
      <w:proofErr w:type="spellEnd"/>
      <w:r w:rsidRPr="00A3168A">
        <w:t xml:space="preserve">, F., </w:t>
      </w:r>
      <w:proofErr w:type="spellStart"/>
      <w:r w:rsidRPr="00A3168A">
        <w:t>Busini</w:t>
      </w:r>
      <w:proofErr w:type="spellEnd"/>
      <w:r w:rsidRPr="00A3168A">
        <w:t xml:space="preserve">, V., </w:t>
      </w:r>
      <w:proofErr w:type="spellStart"/>
      <w:r w:rsidRPr="00A3168A">
        <w:t>Favrin</w:t>
      </w:r>
      <w:proofErr w:type="spellEnd"/>
      <w:r w:rsidRPr="00A3168A">
        <w:t xml:space="preserve">, S., Rota, R., </w:t>
      </w:r>
      <w:proofErr w:type="spellStart"/>
      <w:r w:rsidRPr="00A3168A">
        <w:t>Derudi</w:t>
      </w:r>
      <w:proofErr w:type="spellEnd"/>
      <w:r w:rsidRPr="00A3168A">
        <w:t xml:space="preserve">, M., 2022. </w:t>
      </w:r>
      <w:r>
        <w:t xml:space="preserve">Reaction Runaway as a Domino Effect of Pool Fire Engulfing an Ethoxylation Reactor. Chem. Eng. Trans. 91, 79–84. </w:t>
      </w:r>
    </w:p>
    <w:p w14:paraId="2E115C39" w14:textId="74549E33" w:rsidR="00E46C0A" w:rsidRDefault="00E46C0A" w:rsidP="00E46C0A">
      <w:pPr>
        <w:pStyle w:val="CETReferencetext"/>
      </w:pPr>
      <w:r>
        <w:t>Gosse, A., 2000. BG Technologies Ltd., private communication.</w:t>
      </w:r>
    </w:p>
    <w:p w14:paraId="6B0BD0FE" w14:textId="6D45F3CD" w:rsidR="00E46C0A" w:rsidRDefault="00E46C0A" w:rsidP="00E46C0A">
      <w:pPr>
        <w:pStyle w:val="CETReferencetext"/>
      </w:pPr>
      <w:r>
        <w:t xml:space="preserve">Hagen, B.C., Meyer, A.K., 2021. From </w:t>
      </w:r>
      <w:proofErr w:type="spellStart"/>
      <w:r>
        <w:t>smoldering</w:t>
      </w:r>
      <w:proofErr w:type="spellEnd"/>
      <w:r>
        <w:t xml:space="preserve"> to flaming fire: Different modes of transition. Fire </w:t>
      </w:r>
      <w:proofErr w:type="spellStart"/>
      <w:r>
        <w:t>Saf</w:t>
      </w:r>
      <w:proofErr w:type="spellEnd"/>
      <w:r>
        <w:t xml:space="preserve">. J. 121. </w:t>
      </w:r>
    </w:p>
    <w:p w14:paraId="3F5D9BC1" w14:textId="77777777" w:rsidR="00E46C0A" w:rsidRDefault="00E46C0A" w:rsidP="00E46C0A">
      <w:pPr>
        <w:pStyle w:val="CETReferencetext"/>
      </w:pPr>
      <w:proofErr w:type="spellStart"/>
      <w:r>
        <w:t>Hottel</w:t>
      </w:r>
      <w:proofErr w:type="spellEnd"/>
      <w:r>
        <w:t xml:space="preserve">, H.C., 1959. Review of Certain Laws Governing Diffusive Burning of Liquids. Fire Res. </w:t>
      </w:r>
      <w:proofErr w:type="spellStart"/>
      <w:r>
        <w:t>Abstr</w:t>
      </w:r>
      <w:proofErr w:type="spellEnd"/>
      <w:r>
        <w:t>. Rev. 1.</w:t>
      </w:r>
    </w:p>
    <w:p w14:paraId="052D2225" w14:textId="47377BBA" w:rsidR="00E46C0A" w:rsidRDefault="00E46C0A" w:rsidP="00E46C0A">
      <w:pPr>
        <w:pStyle w:val="CETReferencetext"/>
      </w:pPr>
      <w:proofErr w:type="spellStart"/>
      <w:r>
        <w:t>Jenft</w:t>
      </w:r>
      <w:proofErr w:type="spellEnd"/>
      <w:r>
        <w:t xml:space="preserve">, A., Collin, A., Boulet, P., </w:t>
      </w:r>
      <w:proofErr w:type="spellStart"/>
      <w:r>
        <w:t>Pianet</w:t>
      </w:r>
      <w:proofErr w:type="spellEnd"/>
      <w:r>
        <w:t xml:space="preserve">, G., Breton, A., Muller, A., 2014. Experimental and numerical study of pool fire suppression using water mist. Fire </w:t>
      </w:r>
      <w:proofErr w:type="spellStart"/>
      <w:r>
        <w:t>Saf</w:t>
      </w:r>
      <w:proofErr w:type="spellEnd"/>
      <w:r>
        <w:t xml:space="preserve">. J. 67, 1–12. </w:t>
      </w:r>
    </w:p>
    <w:p w14:paraId="2F838F8D" w14:textId="36926317" w:rsidR="00E46C0A" w:rsidRDefault="00E46C0A" w:rsidP="00E46C0A">
      <w:pPr>
        <w:pStyle w:val="CETReferencetext"/>
      </w:pPr>
      <w:proofErr w:type="spellStart"/>
      <w:r>
        <w:t>Joulain</w:t>
      </w:r>
      <w:proofErr w:type="spellEnd"/>
      <w:r>
        <w:t xml:space="preserve">, P., 1998. The </w:t>
      </w:r>
      <w:proofErr w:type="spellStart"/>
      <w:r>
        <w:t>behavior</w:t>
      </w:r>
      <w:proofErr w:type="spellEnd"/>
      <w:r>
        <w:t xml:space="preserve"> of pool fires: State of the art and new insights. </w:t>
      </w:r>
      <w:proofErr w:type="spellStart"/>
      <w:r>
        <w:t>Symp</w:t>
      </w:r>
      <w:proofErr w:type="spellEnd"/>
      <w:r>
        <w:t xml:space="preserve">. Combust. 27, 2691–2706. </w:t>
      </w:r>
    </w:p>
    <w:p w14:paraId="6526F135" w14:textId="28F03F00" w:rsidR="00E46C0A" w:rsidRDefault="00E46C0A" w:rsidP="00E46C0A">
      <w:pPr>
        <w:pStyle w:val="CETReferencetext"/>
      </w:pPr>
      <w:proofErr w:type="spellStart"/>
      <w:r>
        <w:t>Kolhe</w:t>
      </w:r>
      <w:proofErr w:type="spellEnd"/>
      <w:r>
        <w:t xml:space="preserve">, A. V., </w:t>
      </w:r>
      <w:proofErr w:type="spellStart"/>
      <w:r>
        <w:t>Malwe</w:t>
      </w:r>
      <w:proofErr w:type="spellEnd"/>
      <w:r>
        <w:t xml:space="preserve">, P.D., </w:t>
      </w:r>
      <w:proofErr w:type="spellStart"/>
      <w:r>
        <w:t>Chopkar</w:t>
      </w:r>
      <w:proofErr w:type="spellEnd"/>
      <w:r>
        <w:t xml:space="preserve">, Y., Panchal, H., </w:t>
      </w:r>
      <w:proofErr w:type="spellStart"/>
      <w:r>
        <w:t>Ağbulut</w:t>
      </w:r>
      <w:proofErr w:type="spellEnd"/>
      <w:r>
        <w:t xml:space="preserve">, Ü., Mubarak, N.M., Chowdhury, S., </w:t>
      </w:r>
      <w:proofErr w:type="spellStart"/>
      <w:r>
        <w:t>Amesho</w:t>
      </w:r>
      <w:proofErr w:type="spellEnd"/>
      <w:r>
        <w:t xml:space="preserve">, K.T.T., 2023. Performance analysis of biofuel–ethanol blends in diesel engine and its validation with computational fluid dynamics. Environ. Sci. </w:t>
      </w:r>
      <w:proofErr w:type="spellStart"/>
      <w:r>
        <w:t>Pollut</w:t>
      </w:r>
      <w:proofErr w:type="spellEnd"/>
      <w:r>
        <w:t xml:space="preserve">. Res. 30, 125117–125137. </w:t>
      </w:r>
    </w:p>
    <w:p w14:paraId="2200680E" w14:textId="23ADAE15" w:rsidR="00E46C0A" w:rsidRDefault="00E46C0A" w:rsidP="00E46C0A">
      <w:pPr>
        <w:pStyle w:val="CETReferencetext"/>
      </w:pPr>
      <w:proofErr w:type="spellStart"/>
      <w:r>
        <w:t>Liaw</w:t>
      </w:r>
      <w:proofErr w:type="spellEnd"/>
      <w:r>
        <w:t xml:space="preserve">, H.J., </w:t>
      </w:r>
      <w:proofErr w:type="spellStart"/>
      <w:r>
        <w:t>Gerbaud</w:t>
      </w:r>
      <w:proofErr w:type="spellEnd"/>
      <w:r>
        <w:t>, V., Chen, C.C., Shu, C.M., 2010. Effect of stirring on the safety of flammable liquid mixtures. J. Hazard. Mater. 177, 1093–1101</w:t>
      </w:r>
    </w:p>
    <w:p w14:paraId="04A4A6D9" w14:textId="58FC0F41" w:rsidR="00E46C0A" w:rsidRDefault="00E46C0A" w:rsidP="00E46C0A">
      <w:pPr>
        <w:pStyle w:val="CETReferencetext"/>
      </w:pPr>
      <w:proofErr w:type="spellStart"/>
      <w:r>
        <w:t>Madani</w:t>
      </w:r>
      <w:proofErr w:type="spellEnd"/>
      <w:r>
        <w:t xml:space="preserve">, S.S., </w:t>
      </w:r>
      <w:proofErr w:type="spellStart"/>
      <w:r>
        <w:t>Ziebert</w:t>
      </w:r>
      <w:proofErr w:type="spellEnd"/>
      <w:r>
        <w:t xml:space="preserve">, C., </w:t>
      </w:r>
      <w:proofErr w:type="spellStart"/>
      <w:r>
        <w:t>Marzband</w:t>
      </w:r>
      <w:proofErr w:type="spellEnd"/>
      <w:r>
        <w:t xml:space="preserve">, M., 2023. Thermal Characteristics and Safety Aspects of Lithium-Ion Batteries: An In-Depth Review. Symmetry (Basel). 15. </w:t>
      </w:r>
    </w:p>
    <w:p w14:paraId="3BA18A6E" w14:textId="58E21038" w:rsidR="00E46C0A" w:rsidRPr="00E46C0A" w:rsidRDefault="00E46C0A" w:rsidP="00E46C0A">
      <w:pPr>
        <w:pStyle w:val="CETReferencetext"/>
        <w:rPr>
          <w:lang w:val="it-IT"/>
        </w:rPr>
      </w:pPr>
      <w:proofErr w:type="spellStart"/>
      <w:r>
        <w:t>Malekshah</w:t>
      </w:r>
      <w:proofErr w:type="spellEnd"/>
      <w:r>
        <w:t xml:space="preserve">, R.E., </w:t>
      </w:r>
      <w:proofErr w:type="spellStart"/>
      <w:r>
        <w:t>Moharramnejad</w:t>
      </w:r>
      <w:proofErr w:type="spellEnd"/>
      <w:r>
        <w:t xml:space="preserve">, M., </w:t>
      </w:r>
      <w:proofErr w:type="spellStart"/>
      <w:r>
        <w:t>Gharanli</w:t>
      </w:r>
      <w:proofErr w:type="spellEnd"/>
      <w:r>
        <w:t xml:space="preserve">, S., Shahi, M., </w:t>
      </w:r>
      <w:proofErr w:type="spellStart"/>
      <w:r>
        <w:t>Ehsani</w:t>
      </w:r>
      <w:proofErr w:type="spellEnd"/>
      <w:r>
        <w:t xml:space="preserve">, A., </w:t>
      </w:r>
      <w:proofErr w:type="spellStart"/>
      <w:r>
        <w:t>Haribabu</w:t>
      </w:r>
      <w:proofErr w:type="spellEnd"/>
      <w:r>
        <w:t xml:space="preserve">, J., </w:t>
      </w:r>
      <w:proofErr w:type="spellStart"/>
      <w:r>
        <w:t>Ouachtak</w:t>
      </w:r>
      <w:proofErr w:type="spellEnd"/>
      <w:r>
        <w:t xml:space="preserve">, H., </w:t>
      </w:r>
      <w:proofErr w:type="spellStart"/>
      <w:r>
        <w:t>Mirtamizdoust</w:t>
      </w:r>
      <w:proofErr w:type="spellEnd"/>
      <w:r>
        <w:t xml:space="preserve">, B., </w:t>
      </w:r>
      <w:proofErr w:type="spellStart"/>
      <w:r>
        <w:t>Kamwilaisak</w:t>
      </w:r>
      <w:proofErr w:type="spellEnd"/>
      <w:r>
        <w:t xml:space="preserve">, K., </w:t>
      </w:r>
      <w:proofErr w:type="spellStart"/>
      <w:r>
        <w:t>Sillanpää</w:t>
      </w:r>
      <w:proofErr w:type="spellEnd"/>
      <w:r>
        <w:t xml:space="preserve">, M., </w:t>
      </w:r>
      <w:proofErr w:type="spellStart"/>
      <w:r>
        <w:t>Erfani</w:t>
      </w:r>
      <w:proofErr w:type="spellEnd"/>
      <w:r>
        <w:t xml:space="preserve">, H., 2023. MOFs as Versatile Catalysts: Synthesis Strategies and Applications in Value-Added Compound Production. </w:t>
      </w:r>
      <w:r w:rsidRPr="00E46C0A">
        <w:rPr>
          <w:lang w:val="it-IT"/>
        </w:rPr>
        <w:t xml:space="preserve">ACS Omega 8, 31600–31619. </w:t>
      </w:r>
    </w:p>
    <w:p w14:paraId="3F486F42" w14:textId="73952BDA" w:rsidR="00E46C0A" w:rsidRPr="00A3168A" w:rsidRDefault="00E46C0A" w:rsidP="00E46C0A">
      <w:pPr>
        <w:pStyle w:val="CETReferencetext"/>
      </w:pPr>
      <w:r w:rsidRPr="00E46C0A">
        <w:rPr>
          <w:lang w:val="it-IT"/>
        </w:rPr>
        <w:t xml:space="preserve">Pio, G., Carboni, M., Iannaccone, T., Cozzani, V., Salzano, E., 2019a. </w:t>
      </w:r>
      <w:r>
        <w:t xml:space="preserve">Numerical simulation of small-scale pool fires of LNG. J. Loss Prev. </w:t>
      </w:r>
      <w:r w:rsidRPr="00A3168A">
        <w:t xml:space="preserve">Process Ind. 61, 82–88. </w:t>
      </w:r>
    </w:p>
    <w:p w14:paraId="58E113E3" w14:textId="3CC03F89" w:rsidR="00E46C0A" w:rsidRDefault="00E46C0A" w:rsidP="00E46C0A">
      <w:pPr>
        <w:pStyle w:val="CETReferencetext"/>
      </w:pPr>
      <w:r w:rsidRPr="00A3168A">
        <w:t xml:space="preserve">Pio, G., Carboni, M., Salzano, E., 2019b. </w:t>
      </w:r>
      <w:r>
        <w:t xml:space="preserve">Realistic aviation fuel chemistry in computational fluid dynamics. Fuel 254, 115676. </w:t>
      </w:r>
    </w:p>
    <w:p w14:paraId="4DC4CE4B" w14:textId="36522FA1" w:rsidR="00E46C0A" w:rsidRDefault="00E46C0A" w:rsidP="00E46C0A">
      <w:pPr>
        <w:pStyle w:val="CETReferencetext"/>
      </w:pPr>
      <w:r w:rsidRPr="00A3168A">
        <w:t xml:space="preserve">Pio, G., Dong, X., Salzano, E., Green, W.H., 2022. </w:t>
      </w:r>
      <w:r>
        <w:t xml:space="preserve">Automatically generated model for light alkene combustion. Combust. Flame 241. </w:t>
      </w:r>
    </w:p>
    <w:p w14:paraId="122B037E" w14:textId="09FA0A8F" w:rsidR="00E46C0A" w:rsidRDefault="00E46C0A" w:rsidP="00E46C0A">
      <w:pPr>
        <w:pStyle w:val="CETReferencetext"/>
      </w:pPr>
      <w:r>
        <w:t xml:space="preserve">Quan, Y., Zhang, Z., </w:t>
      </w:r>
      <w:proofErr w:type="spellStart"/>
      <w:r>
        <w:t>Tanchak</w:t>
      </w:r>
      <w:proofErr w:type="spellEnd"/>
      <w:r>
        <w:t xml:space="preserve">, R.N., Wang, Q., 2022. A review on cone calorimeter for assessment of flame-retarded polymer composites. J. Therm. Anal. </w:t>
      </w:r>
      <w:proofErr w:type="spellStart"/>
      <w:r>
        <w:t>Calorim</w:t>
      </w:r>
      <w:proofErr w:type="spellEnd"/>
      <w:r>
        <w:t xml:space="preserve">. 147, 10209–10234. </w:t>
      </w:r>
    </w:p>
    <w:p w14:paraId="1731B000" w14:textId="5873C5F9" w:rsidR="00E46C0A" w:rsidRDefault="00E46C0A" w:rsidP="00E46C0A">
      <w:pPr>
        <w:pStyle w:val="CETReferencetext"/>
      </w:pPr>
      <w:r>
        <w:t xml:space="preserve">Rogers, R.L., 1996. Solvent flammability and reactivity hazards. Dir. Solvents 70–81. </w:t>
      </w:r>
    </w:p>
    <w:p w14:paraId="68399E74" w14:textId="6C7EB9DF" w:rsidR="00E46C0A" w:rsidRDefault="00E46C0A" w:rsidP="00E46C0A">
      <w:pPr>
        <w:pStyle w:val="CETReferencetext"/>
      </w:pPr>
      <w:proofErr w:type="spellStart"/>
      <w:r>
        <w:t>Stojadinović</w:t>
      </w:r>
      <w:proofErr w:type="spellEnd"/>
      <w:r>
        <w:t xml:space="preserve">, D.J., </w:t>
      </w:r>
      <w:proofErr w:type="spellStart"/>
      <w:r>
        <w:t>Đorđević</w:t>
      </w:r>
      <w:proofErr w:type="spellEnd"/>
      <w:r>
        <w:t xml:space="preserve">, A. V., </w:t>
      </w:r>
      <w:proofErr w:type="spellStart"/>
      <w:r>
        <w:t>Krstić</w:t>
      </w:r>
      <w:proofErr w:type="spellEnd"/>
      <w:r>
        <w:t xml:space="preserve">, I.M., </w:t>
      </w:r>
      <w:proofErr w:type="spellStart"/>
      <w:r>
        <w:t>Radosavljević</w:t>
      </w:r>
      <w:proofErr w:type="spellEnd"/>
      <w:r>
        <w:t xml:space="preserve">, J.M., 2023. Atmospheric release of organic solvents due to hazardous events in the paints and varnishes industry. Hem. Ind. 77, 111–127. </w:t>
      </w:r>
    </w:p>
    <w:p w14:paraId="0580B9A9" w14:textId="54AD86BD" w:rsidR="00E46C0A" w:rsidRPr="00E46C0A" w:rsidRDefault="00E46C0A" w:rsidP="00E46C0A">
      <w:pPr>
        <w:pStyle w:val="CETReferencetext"/>
        <w:rPr>
          <w:lang w:val="it-IT"/>
        </w:rPr>
      </w:pPr>
      <w:proofErr w:type="spellStart"/>
      <w:r>
        <w:t>Tahmid</w:t>
      </w:r>
      <w:proofErr w:type="spellEnd"/>
      <w:r>
        <w:t xml:space="preserve"> Islam, M., Klinger, J.L., </w:t>
      </w:r>
      <w:proofErr w:type="spellStart"/>
      <w:r>
        <w:t>Toufiq</w:t>
      </w:r>
      <w:proofErr w:type="spellEnd"/>
      <w:r>
        <w:t xml:space="preserve"> Reza, M., 2023. Evaluating combustion characteristics and combustion kinetics of corn stover-derived </w:t>
      </w:r>
      <w:proofErr w:type="spellStart"/>
      <w:r>
        <w:t>hydrochars</w:t>
      </w:r>
      <w:proofErr w:type="spellEnd"/>
      <w:r>
        <w:t xml:space="preserve"> by cone calorimeter. </w:t>
      </w:r>
      <w:proofErr w:type="spellStart"/>
      <w:r w:rsidRPr="00E46C0A">
        <w:rPr>
          <w:lang w:val="it-IT"/>
        </w:rPr>
        <w:t>Chem</w:t>
      </w:r>
      <w:proofErr w:type="spellEnd"/>
      <w:r w:rsidRPr="00E46C0A">
        <w:rPr>
          <w:lang w:val="it-IT"/>
        </w:rPr>
        <w:t xml:space="preserve">. Eng. J. 452. </w:t>
      </w:r>
    </w:p>
    <w:p w14:paraId="365F42FD" w14:textId="2016DBB3" w:rsidR="00E46C0A" w:rsidRDefault="00E46C0A" w:rsidP="00E46C0A">
      <w:pPr>
        <w:pStyle w:val="CETReferencetext"/>
      </w:pPr>
      <w:r w:rsidRPr="00E46C0A">
        <w:rPr>
          <w:lang w:val="it-IT"/>
        </w:rPr>
        <w:t xml:space="preserve">Tarantola, G., Medri, E., Splendore, A., Lo Russo, F., Matteucci, C., Minelli, M., 2023. </w:t>
      </w:r>
      <w:r>
        <w:t xml:space="preserve">Liquid Foam-Ethyl Vinyl Acetate Adhesive Systems for Lining Process of Paintings: Prospects of a User-Friendly, Harmless Alternative to Conventional Products. Polymers (Basel). 15. </w:t>
      </w:r>
    </w:p>
    <w:p w14:paraId="7F99BF65" w14:textId="77777777" w:rsidR="00E46C0A" w:rsidRDefault="00E46C0A" w:rsidP="00E46C0A">
      <w:pPr>
        <w:pStyle w:val="CETReferencetext"/>
      </w:pPr>
      <w:proofErr w:type="spellStart"/>
      <w:r>
        <w:t>Uijt</w:t>
      </w:r>
      <w:proofErr w:type="spellEnd"/>
      <w:r>
        <w:t xml:space="preserve"> de Haag, P. A. M., &amp; Ale, B.J.M., 2005. Guidelines for Quantitative Risk Assessment (Purple book).</w:t>
      </w:r>
    </w:p>
    <w:p w14:paraId="48507D94" w14:textId="27F7301B" w:rsidR="00E46C0A" w:rsidRDefault="00E46C0A" w:rsidP="00E46C0A">
      <w:pPr>
        <w:pStyle w:val="CETReferencetext"/>
      </w:pPr>
      <w:r>
        <w:t xml:space="preserve">Vali, A., </w:t>
      </w:r>
      <w:proofErr w:type="spellStart"/>
      <w:r>
        <w:t>Nobes</w:t>
      </w:r>
      <w:proofErr w:type="spellEnd"/>
      <w:r>
        <w:t xml:space="preserve">, D.S., </w:t>
      </w:r>
      <w:proofErr w:type="spellStart"/>
      <w:r>
        <w:t>Kostiuk</w:t>
      </w:r>
      <w:proofErr w:type="spellEnd"/>
      <w:r>
        <w:t xml:space="preserve">, L.W., 2014. Transport phenomena within the liquid phase of a laboratory-scale circular methanol pool fire. Combust. Flame 161, 1076–1084. </w:t>
      </w:r>
    </w:p>
    <w:p w14:paraId="52EE6238" w14:textId="50FD39A0" w:rsidR="00E46C0A" w:rsidRDefault="00E46C0A" w:rsidP="00E46C0A">
      <w:pPr>
        <w:pStyle w:val="CETReferencetext"/>
      </w:pPr>
      <w:r>
        <w:t xml:space="preserve">Van </w:t>
      </w:r>
      <w:proofErr w:type="spellStart"/>
      <w:r>
        <w:t>Wingerden</w:t>
      </w:r>
      <w:proofErr w:type="spellEnd"/>
      <w:r>
        <w:t xml:space="preserve">, K., 2019. Mechanical sparks as an ignition source of gas and dust explosions. Chem. Eng. Trans. 77, 133–138. </w:t>
      </w:r>
    </w:p>
    <w:sectPr w:rsidR="00E46C0A"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76185" w14:textId="77777777" w:rsidR="007F62E8" w:rsidRDefault="007F62E8" w:rsidP="004F5E36">
      <w:r>
        <w:separator/>
      </w:r>
    </w:p>
  </w:endnote>
  <w:endnote w:type="continuationSeparator" w:id="0">
    <w:p w14:paraId="200AFD58" w14:textId="77777777" w:rsidR="007F62E8" w:rsidRDefault="007F62E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33BCB" w14:textId="77777777" w:rsidR="007F62E8" w:rsidRDefault="007F62E8" w:rsidP="004F5E36">
      <w:r>
        <w:separator/>
      </w:r>
    </w:p>
  </w:footnote>
  <w:footnote w:type="continuationSeparator" w:id="0">
    <w:p w14:paraId="347350D0" w14:textId="77777777" w:rsidR="007F62E8" w:rsidRDefault="007F62E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MqwFAHLguIctAAAA"/>
  </w:docVars>
  <w:rsids>
    <w:rsidRoot w:val="000E414A"/>
    <w:rsid w:val="000027C0"/>
    <w:rsid w:val="000052FB"/>
    <w:rsid w:val="000072A1"/>
    <w:rsid w:val="000103A0"/>
    <w:rsid w:val="000117CB"/>
    <w:rsid w:val="00020DDC"/>
    <w:rsid w:val="00021111"/>
    <w:rsid w:val="0003148D"/>
    <w:rsid w:val="000318B9"/>
    <w:rsid w:val="00031EEC"/>
    <w:rsid w:val="000435E0"/>
    <w:rsid w:val="0004445D"/>
    <w:rsid w:val="00051560"/>
    <w:rsid w:val="00051566"/>
    <w:rsid w:val="000561B0"/>
    <w:rsid w:val="00062A9A"/>
    <w:rsid w:val="00065058"/>
    <w:rsid w:val="000737EC"/>
    <w:rsid w:val="00085CDE"/>
    <w:rsid w:val="0008646D"/>
    <w:rsid w:val="00086C39"/>
    <w:rsid w:val="0009148F"/>
    <w:rsid w:val="000A03B2"/>
    <w:rsid w:val="000A12AA"/>
    <w:rsid w:val="000A22A7"/>
    <w:rsid w:val="000A25E4"/>
    <w:rsid w:val="000A6C04"/>
    <w:rsid w:val="000A70C7"/>
    <w:rsid w:val="000B27D1"/>
    <w:rsid w:val="000B30A8"/>
    <w:rsid w:val="000B3455"/>
    <w:rsid w:val="000B5D6F"/>
    <w:rsid w:val="000C3B24"/>
    <w:rsid w:val="000D0268"/>
    <w:rsid w:val="000D2A2C"/>
    <w:rsid w:val="000D34BE"/>
    <w:rsid w:val="000E102F"/>
    <w:rsid w:val="000E1B55"/>
    <w:rsid w:val="000E33A6"/>
    <w:rsid w:val="000E36F1"/>
    <w:rsid w:val="000E3A73"/>
    <w:rsid w:val="000E414A"/>
    <w:rsid w:val="000E5DF9"/>
    <w:rsid w:val="000F093C"/>
    <w:rsid w:val="000F22D7"/>
    <w:rsid w:val="000F787B"/>
    <w:rsid w:val="000F7DDB"/>
    <w:rsid w:val="00102040"/>
    <w:rsid w:val="00104DA5"/>
    <w:rsid w:val="00106B28"/>
    <w:rsid w:val="001078E7"/>
    <w:rsid w:val="00111758"/>
    <w:rsid w:val="00111B09"/>
    <w:rsid w:val="0012091F"/>
    <w:rsid w:val="00122E32"/>
    <w:rsid w:val="00126BC2"/>
    <w:rsid w:val="00130518"/>
    <w:rsid w:val="001308B6"/>
    <w:rsid w:val="0013121F"/>
    <w:rsid w:val="00131647"/>
    <w:rsid w:val="00131FE6"/>
    <w:rsid w:val="001320AC"/>
    <w:rsid w:val="0013263F"/>
    <w:rsid w:val="001331DF"/>
    <w:rsid w:val="00133626"/>
    <w:rsid w:val="00133A3F"/>
    <w:rsid w:val="0013482C"/>
    <w:rsid w:val="00134DE4"/>
    <w:rsid w:val="0013740C"/>
    <w:rsid w:val="0014034D"/>
    <w:rsid w:val="00140CC7"/>
    <w:rsid w:val="00144D16"/>
    <w:rsid w:val="00150E59"/>
    <w:rsid w:val="00152091"/>
    <w:rsid w:val="00152DE3"/>
    <w:rsid w:val="00164BBB"/>
    <w:rsid w:val="00164CF9"/>
    <w:rsid w:val="00164E3A"/>
    <w:rsid w:val="001667A6"/>
    <w:rsid w:val="00167C53"/>
    <w:rsid w:val="00171390"/>
    <w:rsid w:val="00176D87"/>
    <w:rsid w:val="00177561"/>
    <w:rsid w:val="00184AD6"/>
    <w:rsid w:val="00195311"/>
    <w:rsid w:val="001A2E90"/>
    <w:rsid w:val="001A4AF7"/>
    <w:rsid w:val="001A63E9"/>
    <w:rsid w:val="001B0349"/>
    <w:rsid w:val="001B1E93"/>
    <w:rsid w:val="001B3F32"/>
    <w:rsid w:val="001B4D13"/>
    <w:rsid w:val="001B65C1"/>
    <w:rsid w:val="001B6C6A"/>
    <w:rsid w:val="001C684B"/>
    <w:rsid w:val="001D0CFB"/>
    <w:rsid w:val="001D1E8E"/>
    <w:rsid w:val="001D53FC"/>
    <w:rsid w:val="001F42A5"/>
    <w:rsid w:val="001F7B9D"/>
    <w:rsid w:val="00201C93"/>
    <w:rsid w:val="002114FC"/>
    <w:rsid w:val="002149AE"/>
    <w:rsid w:val="0021513E"/>
    <w:rsid w:val="002224B4"/>
    <w:rsid w:val="002266FC"/>
    <w:rsid w:val="002311AA"/>
    <w:rsid w:val="0023491B"/>
    <w:rsid w:val="00241438"/>
    <w:rsid w:val="002420D1"/>
    <w:rsid w:val="0024298C"/>
    <w:rsid w:val="002447EF"/>
    <w:rsid w:val="00250FA3"/>
    <w:rsid w:val="00251550"/>
    <w:rsid w:val="002529A6"/>
    <w:rsid w:val="002552B5"/>
    <w:rsid w:val="00256B1E"/>
    <w:rsid w:val="00257184"/>
    <w:rsid w:val="00263B05"/>
    <w:rsid w:val="00271612"/>
    <w:rsid w:val="0027221A"/>
    <w:rsid w:val="00272D97"/>
    <w:rsid w:val="00275103"/>
    <w:rsid w:val="00275B61"/>
    <w:rsid w:val="002772D2"/>
    <w:rsid w:val="00280FAF"/>
    <w:rsid w:val="00282656"/>
    <w:rsid w:val="002927D4"/>
    <w:rsid w:val="00296B83"/>
    <w:rsid w:val="002A2E6A"/>
    <w:rsid w:val="002A36D7"/>
    <w:rsid w:val="002A44B4"/>
    <w:rsid w:val="002B4015"/>
    <w:rsid w:val="002B78CE"/>
    <w:rsid w:val="002C2FB6"/>
    <w:rsid w:val="002C39C9"/>
    <w:rsid w:val="002D397B"/>
    <w:rsid w:val="002E1BFA"/>
    <w:rsid w:val="002E5FA7"/>
    <w:rsid w:val="002F3309"/>
    <w:rsid w:val="003008CE"/>
    <w:rsid w:val="003009B7"/>
    <w:rsid w:val="00300E56"/>
    <w:rsid w:val="0030469C"/>
    <w:rsid w:val="00306EC8"/>
    <w:rsid w:val="00314D50"/>
    <w:rsid w:val="00321B85"/>
    <w:rsid w:val="00321CA6"/>
    <w:rsid w:val="00323763"/>
    <w:rsid w:val="003340C6"/>
    <w:rsid w:val="00334C09"/>
    <w:rsid w:val="00342109"/>
    <w:rsid w:val="00356537"/>
    <w:rsid w:val="003634C6"/>
    <w:rsid w:val="003647BC"/>
    <w:rsid w:val="003723D4"/>
    <w:rsid w:val="003745A5"/>
    <w:rsid w:val="003779D5"/>
    <w:rsid w:val="00380656"/>
    <w:rsid w:val="00381905"/>
    <w:rsid w:val="00381E8F"/>
    <w:rsid w:val="003835CB"/>
    <w:rsid w:val="00384CC8"/>
    <w:rsid w:val="003871FD"/>
    <w:rsid w:val="00397BC0"/>
    <w:rsid w:val="003A1E30"/>
    <w:rsid w:val="003A2829"/>
    <w:rsid w:val="003A7D1C"/>
    <w:rsid w:val="003B00FF"/>
    <w:rsid w:val="003B304B"/>
    <w:rsid w:val="003B3146"/>
    <w:rsid w:val="003B3EAF"/>
    <w:rsid w:val="003B4374"/>
    <w:rsid w:val="003D5C07"/>
    <w:rsid w:val="003D613E"/>
    <w:rsid w:val="003E1B80"/>
    <w:rsid w:val="003E37AF"/>
    <w:rsid w:val="003E4FFF"/>
    <w:rsid w:val="003E5DC8"/>
    <w:rsid w:val="003F015E"/>
    <w:rsid w:val="003F3F34"/>
    <w:rsid w:val="00400414"/>
    <w:rsid w:val="0041446B"/>
    <w:rsid w:val="00423D92"/>
    <w:rsid w:val="00427017"/>
    <w:rsid w:val="00430754"/>
    <w:rsid w:val="00430F3E"/>
    <w:rsid w:val="004312C7"/>
    <w:rsid w:val="0044329C"/>
    <w:rsid w:val="00444CE6"/>
    <w:rsid w:val="004507E9"/>
    <w:rsid w:val="00450A2E"/>
    <w:rsid w:val="00452EFF"/>
    <w:rsid w:val="00453E24"/>
    <w:rsid w:val="00457456"/>
    <w:rsid w:val="004577FE"/>
    <w:rsid w:val="00457B9C"/>
    <w:rsid w:val="004611ED"/>
    <w:rsid w:val="0046164A"/>
    <w:rsid w:val="004628D2"/>
    <w:rsid w:val="00462DCD"/>
    <w:rsid w:val="004648AD"/>
    <w:rsid w:val="00464E81"/>
    <w:rsid w:val="004703A9"/>
    <w:rsid w:val="00473391"/>
    <w:rsid w:val="004733F5"/>
    <w:rsid w:val="004760DE"/>
    <w:rsid w:val="004763D7"/>
    <w:rsid w:val="004A004E"/>
    <w:rsid w:val="004A24CF"/>
    <w:rsid w:val="004A50E4"/>
    <w:rsid w:val="004A589E"/>
    <w:rsid w:val="004C3D1D"/>
    <w:rsid w:val="004C7913"/>
    <w:rsid w:val="004D55DB"/>
    <w:rsid w:val="004E00DE"/>
    <w:rsid w:val="004E4DD6"/>
    <w:rsid w:val="004F2167"/>
    <w:rsid w:val="004F5E36"/>
    <w:rsid w:val="00507B47"/>
    <w:rsid w:val="00507BEF"/>
    <w:rsid w:val="00507CC9"/>
    <w:rsid w:val="005116FE"/>
    <w:rsid w:val="005119A5"/>
    <w:rsid w:val="00511EBF"/>
    <w:rsid w:val="0051658D"/>
    <w:rsid w:val="00526858"/>
    <w:rsid w:val="005278B7"/>
    <w:rsid w:val="00530CD8"/>
    <w:rsid w:val="0053118E"/>
    <w:rsid w:val="00532016"/>
    <w:rsid w:val="00533B88"/>
    <w:rsid w:val="005346C8"/>
    <w:rsid w:val="00540B00"/>
    <w:rsid w:val="00543E7D"/>
    <w:rsid w:val="00547A68"/>
    <w:rsid w:val="005531C9"/>
    <w:rsid w:val="005532E6"/>
    <w:rsid w:val="00553B9F"/>
    <w:rsid w:val="00562A71"/>
    <w:rsid w:val="00563CA8"/>
    <w:rsid w:val="00570C43"/>
    <w:rsid w:val="00572882"/>
    <w:rsid w:val="005837B9"/>
    <w:rsid w:val="00586FF2"/>
    <w:rsid w:val="00595E5A"/>
    <w:rsid w:val="005A4B2A"/>
    <w:rsid w:val="005B2110"/>
    <w:rsid w:val="005B61E6"/>
    <w:rsid w:val="005C5D08"/>
    <w:rsid w:val="005C77E1"/>
    <w:rsid w:val="005D0D8D"/>
    <w:rsid w:val="005D668A"/>
    <w:rsid w:val="005D6A2F"/>
    <w:rsid w:val="005D6FC6"/>
    <w:rsid w:val="005E19E9"/>
    <w:rsid w:val="005E1A82"/>
    <w:rsid w:val="005E2A78"/>
    <w:rsid w:val="005E794C"/>
    <w:rsid w:val="005F0A28"/>
    <w:rsid w:val="005F0E5E"/>
    <w:rsid w:val="005F4661"/>
    <w:rsid w:val="005F7E2F"/>
    <w:rsid w:val="00600535"/>
    <w:rsid w:val="00610CD6"/>
    <w:rsid w:val="00620DEE"/>
    <w:rsid w:val="00621DA3"/>
    <w:rsid w:val="00621F92"/>
    <w:rsid w:val="0062280A"/>
    <w:rsid w:val="00625639"/>
    <w:rsid w:val="00631B33"/>
    <w:rsid w:val="00632748"/>
    <w:rsid w:val="0064184D"/>
    <w:rsid w:val="006422CC"/>
    <w:rsid w:val="006450D6"/>
    <w:rsid w:val="00660B09"/>
    <w:rsid w:val="00660E3E"/>
    <w:rsid w:val="00662E74"/>
    <w:rsid w:val="00665323"/>
    <w:rsid w:val="00671896"/>
    <w:rsid w:val="00680C23"/>
    <w:rsid w:val="006867AD"/>
    <w:rsid w:val="00690E4D"/>
    <w:rsid w:val="00693766"/>
    <w:rsid w:val="006A087F"/>
    <w:rsid w:val="006A3281"/>
    <w:rsid w:val="006B1B83"/>
    <w:rsid w:val="006B4888"/>
    <w:rsid w:val="006C2E45"/>
    <w:rsid w:val="006C359C"/>
    <w:rsid w:val="006C5579"/>
    <w:rsid w:val="006C5A3D"/>
    <w:rsid w:val="006D5EC5"/>
    <w:rsid w:val="006D6E8B"/>
    <w:rsid w:val="006E4A36"/>
    <w:rsid w:val="006E55EC"/>
    <w:rsid w:val="006E737D"/>
    <w:rsid w:val="006F3AEF"/>
    <w:rsid w:val="00713973"/>
    <w:rsid w:val="00720A24"/>
    <w:rsid w:val="0072456E"/>
    <w:rsid w:val="00732386"/>
    <w:rsid w:val="007336CF"/>
    <w:rsid w:val="0073514D"/>
    <w:rsid w:val="00736C98"/>
    <w:rsid w:val="0074195A"/>
    <w:rsid w:val="007424C9"/>
    <w:rsid w:val="00742600"/>
    <w:rsid w:val="00743711"/>
    <w:rsid w:val="007447F3"/>
    <w:rsid w:val="0075499F"/>
    <w:rsid w:val="00754FF7"/>
    <w:rsid w:val="007555A5"/>
    <w:rsid w:val="00761BEB"/>
    <w:rsid w:val="00762094"/>
    <w:rsid w:val="007661C8"/>
    <w:rsid w:val="0076755C"/>
    <w:rsid w:val="0077098D"/>
    <w:rsid w:val="0077504E"/>
    <w:rsid w:val="0077642B"/>
    <w:rsid w:val="00787DB8"/>
    <w:rsid w:val="00787F25"/>
    <w:rsid w:val="0079257A"/>
    <w:rsid w:val="007931FA"/>
    <w:rsid w:val="00794FEC"/>
    <w:rsid w:val="007A4861"/>
    <w:rsid w:val="007A7BBA"/>
    <w:rsid w:val="007B0C50"/>
    <w:rsid w:val="007B1892"/>
    <w:rsid w:val="007B48F9"/>
    <w:rsid w:val="007B4C2D"/>
    <w:rsid w:val="007C1A43"/>
    <w:rsid w:val="007C321D"/>
    <w:rsid w:val="007C74E3"/>
    <w:rsid w:val="007D2BEC"/>
    <w:rsid w:val="007E08DF"/>
    <w:rsid w:val="007F1510"/>
    <w:rsid w:val="007F5E4D"/>
    <w:rsid w:val="007F62E8"/>
    <w:rsid w:val="0080013E"/>
    <w:rsid w:val="0080082E"/>
    <w:rsid w:val="0080097C"/>
    <w:rsid w:val="00810688"/>
    <w:rsid w:val="00813288"/>
    <w:rsid w:val="008168FC"/>
    <w:rsid w:val="008224BD"/>
    <w:rsid w:val="00825DD9"/>
    <w:rsid w:val="008301B1"/>
    <w:rsid w:val="00830996"/>
    <w:rsid w:val="008330EA"/>
    <w:rsid w:val="008345F1"/>
    <w:rsid w:val="00840A7F"/>
    <w:rsid w:val="008532E4"/>
    <w:rsid w:val="00857739"/>
    <w:rsid w:val="00864660"/>
    <w:rsid w:val="00865B07"/>
    <w:rsid w:val="008667EA"/>
    <w:rsid w:val="0087637F"/>
    <w:rsid w:val="00881A89"/>
    <w:rsid w:val="00884CFD"/>
    <w:rsid w:val="00891D77"/>
    <w:rsid w:val="00892AD5"/>
    <w:rsid w:val="008A1512"/>
    <w:rsid w:val="008A714F"/>
    <w:rsid w:val="008B4A12"/>
    <w:rsid w:val="008C1231"/>
    <w:rsid w:val="008D32B9"/>
    <w:rsid w:val="008D343E"/>
    <w:rsid w:val="008D4070"/>
    <w:rsid w:val="008D433B"/>
    <w:rsid w:val="008E566E"/>
    <w:rsid w:val="008F2B6B"/>
    <w:rsid w:val="00900E3D"/>
    <w:rsid w:val="0090161A"/>
    <w:rsid w:val="00901EB6"/>
    <w:rsid w:val="00903BD3"/>
    <w:rsid w:val="00904C62"/>
    <w:rsid w:val="009147D4"/>
    <w:rsid w:val="0091683A"/>
    <w:rsid w:val="009177B8"/>
    <w:rsid w:val="009224D9"/>
    <w:rsid w:val="00922BA8"/>
    <w:rsid w:val="00924DAC"/>
    <w:rsid w:val="00927058"/>
    <w:rsid w:val="00942750"/>
    <w:rsid w:val="00943C7B"/>
    <w:rsid w:val="009450CE"/>
    <w:rsid w:val="0094623E"/>
    <w:rsid w:val="00947179"/>
    <w:rsid w:val="0095164B"/>
    <w:rsid w:val="0095262D"/>
    <w:rsid w:val="00954090"/>
    <w:rsid w:val="00954C21"/>
    <w:rsid w:val="009573E7"/>
    <w:rsid w:val="00962C0C"/>
    <w:rsid w:val="00963E05"/>
    <w:rsid w:val="00964760"/>
    <w:rsid w:val="00966A3C"/>
    <w:rsid w:val="00967843"/>
    <w:rsid w:val="00967D54"/>
    <w:rsid w:val="00970E68"/>
    <w:rsid w:val="00971028"/>
    <w:rsid w:val="00974478"/>
    <w:rsid w:val="009932A8"/>
    <w:rsid w:val="00993B84"/>
    <w:rsid w:val="00996483"/>
    <w:rsid w:val="00996F5A"/>
    <w:rsid w:val="009A1D28"/>
    <w:rsid w:val="009A29D1"/>
    <w:rsid w:val="009A5500"/>
    <w:rsid w:val="009B041A"/>
    <w:rsid w:val="009B1121"/>
    <w:rsid w:val="009B5FD6"/>
    <w:rsid w:val="009C37C3"/>
    <w:rsid w:val="009C5F79"/>
    <w:rsid w:val="009C7C86"/>
    <w:rsid w:val="009D18B4"/>
    <w:rsid w:val="009D2FF7"/>
    <w:rsid w:val="009E3743"/>
    <w:rsid w:val="009E4E71"/>
    <w:rsid w:val="009E7884"/>
    <w:rsid w:val="009E788A"/>
    <w:rsid w:val="009F0E08"/>
    <w:rsid w:val="00A00CD4"/>
    <w:rsid w:val="00A03D6A"/>
    <w:rsid w:val="00A1763D"/>
    <w:rsid w:val="00A17CEC"/>
    <w:rsid w:val="00A22388"/>
    <w:rsid w:val="00A27EF0"/>
    <w:rsid w:val="00A3168A"/>
    <w:rsid w:val="00A35971"/>
    <w:rsid w:val="00A40A5A"/>
    <w:rsid w:val="00A41D4D"/>
    <w:rsid w:val="00A42361"/>
    <w:rsid w:val="00A433FA"/>
    <w:rsid w:val="00A46A66"/>
    <w:rsid w:val="00A4723F"/>
    <w:rsid w:val="00A50B20"/>
    <w:rsid w:val="00A51390"/>
    <w:rsid w:val="00A57AC3"/>
    <w:rsid w:val="00A60D13"/>
    <w:rsid w:val="00A65350"/>
    <w:rsid w:val="00A72745"/>
    <w:rsid w:val="00A7341C"/>
    <w:rsid w:val="00A7561B"/>
    <w:rsid w:val="00A76EFC"/>
    <w:rsid w:val="00A84343"/>
    <w:rsid w:val="00A84E92"/>
    <w:rsid w:val="00A906D3"/>
    <w:rsid w:val="00A91010"/>
    <w:rsid w:val="00A911FF"/>
    <w:rsid w:val="00A9372A"/>
    <w:rsid w:val="00A97F29"/>
    <w:rsid w:val="00AA248C"/>
    <w:rsid w:val="00AA3FAD"/>
    <w:rsid w:val="00AA702E"/>
    <w:rsid w:val="00AB0964"/>
    <w:rsid w:val="00AB5011"/>
    <w:rsid w:val="00AC1058"/>
    <w:rsid w:val="00AC7368"/>
    <w:rsid w:val="00AD16B9"/>
    <w:rsid w:val="00AD37F9"/>
    <w:rsid w:val="00AE377D"/>
    <w:rsid w:val="00AE5AFD"/>
    <w:rsid w:val="00AF0EBA"/>
    <w:rsid w:val="00AF7EFA"/>
    <w:rsid w:val="00B00439"/>
    <w:rsid w:val="00B02C8A"/>
    <w:rsid w:val="00B0324A"/>
    <w:rsid w:val="00B05608"/>
    <w:rsid w:val="00B1203D"/>
    <w:rsid w:val="00B12D80"/>
    <w:rsid w:val="00B152A7"/>
    <w:rsid w:val="00B17FBD"/>
    <w:rsid w:val="00B307FD"/>
    <w:rsid w:val="00B315A6"/>
    <w:rsid w:val="00B31813"/>
    <w:rsid w:val="00B33365"/>
    <w:rsid w:val="00B42CFE"/>
    <w:rsid w:val="00B4488A"/>
    <w:rsid w:val="00B511C4"/>
    <w:rsid w:val="00B52831"/>
    <w:rsid w:val="00B52BE7"/>
    <w:rsid w:val="00B57B36"/>
    <w:rsid w:val="00B57E6F"/>
    <w:rsid w:val="00B73577"/>
    <w:rsid w:val="00B81BBF"/>
    <w:rsid w:val="00B847CB"/>
    <w:rsid w:val="00B866B7"/>
    <w:rsid w:val="00B8686D"/>
    <w:rsid w:val="00B93F69"/>
    <w:rsid w:val="00B96318"/>
    <w:rsid w:val="00B97FC0"/>
    <w:rsid w:val="00BA16CF"/>
    <w:rsid w:val="00BA74C4"/>
    <w:rsid w:val="00BB1DDC"/>
    <w:rsid w:val="00BC27D1"/>
    <w:rsid w:val="00BC30C9"/>
    <w:rsid w:val="00BC53F3"/>
    <w:rsid w:val="00BD077D"/>
    <w:rsid w:val="00BD2A94"/>
    <w:rsid w:val="00BD351C"/>
    <w:rsid w:val="00BD7D1A"/>
    <w:rsid w:val="00BE3E58"/>
    <w:rsid w:val="00BE6F83"/>
    <w:rsid w:val="00BF119D"/>
    <w:rsid w:val="00BF1AC6"/>
    <w:rsid w:val="00BF438D"/>
    <w:rsid w:val="00C01616"/>
    <w:rsid w:val="00C0162B"/>
    <w:rsid w:val="00C068ED"/>
    <w:rsid w:val="00C16081"/>
    <w:rsid w:val="00C22C4A"/>
    <w:rsid w:val="00C22E0C"/>
    <w:rsid w:val="00C263F8"/>
    <w:rsid w:val="00C265E8"/>
    <w:rsid w:val="00C345B1"/>
    <w:rsid w:val="00C347BE"/>
    <w:rsid w:val="00C40142"/>
    <w:rsid w:val="00C419C8"/>
    <w:rsid w:val="00C506DF"/>
    <w:rsid w:val="00C513A9"/>
    <w:rsid w:val="00C522D0"/>
    <w:rsid w:val="00C52C3C"/>
    <w:rsid w:val="00C57182"/>
    <w:rsid w:val="00C57863"/>
    <w:rsid w:val="00C652B7"/>
    <w:rsid w:val="00C655FD"/>
    <w:rsid w:val="00C666D9"/>
    <w:rsid w:val="00C75407"/>
    <w:rsid w:val="00C75ABF"/>
    <w:rsid w:val="00C76A91"/>
    <w:rsid w:val="00C870A8"/>
    <w:rsid w:val="00C90F75"/>
    <w:rsid w:val="00C94434"/>
    <w:rsid w:val="00C95B8B"/>
    <w:rsid w:val="00C97DC3"/>
    <w:rsid w:val="00CA0D75"/>
    <w:rsid w:val="00CA1C95"/>
    <w:rsid w:val="00CA50B6"/>
    <w:rsid w:val="00CA5A9C"/>
    <w:rsid w:val="00CC371D"/>
    <w:rsid w:val="00CC4C20"/>
    <w:rsid w:val="00CD3517"/>
    <w:rsid w:val="00CD40CC"/>
    <w:rsid w:val="00CD5FE2"/>
    <w:rsid w:val="00CD606F"/>
    <w:rsid w:val="00CE2A6A"/>
    <w:rsid w:val="00CE7C68"/>
    <w:rsid w:val="00CF1539"/>
    <w:rsid w:val="00CF5085"/>
    <w:rsid w:val="00D001DE"/>
    <w:rsid w:val="00D01C10"/>
    <w:rsid w:val="00D02B4C"/>
    <w:rsid w:val="00D040C4"/>
    <w:rsid w:val="00D20357"/>
    <w:rsid w:val="00D21407"/>
    <w:rsid w:val="00D2238C"/>
    <w:rsid w:val="00D24F95"/>
    <w:rsid w:val="00D3054D"/>
    <w:rsid w:val="00D321D3"/>
    <w:rsid w:val="00D33BCB"/>
    <w:rsid w:val="00D4494A"/>
    <w:rsid w:val="00D46B7E"/>
    <w:rsid w:val="00D54B5B"/>
    <w:rsid w:val="00D558AD"/>
    <w:rsid w:val="00D57C84"/>
    <w:rsid w:val="00D6057D"/>
    <w:rsid w:val="00D61B07"/>
    <w:rsid w:val="00D6213D"/>
    <w:rsid w:val="00D667CC"/>
    <w:rsid w:val="00D7170B"/>
    <w:rsid w:val="00D73BF6"/>
    <w:rsid w:val="00D758D6"/>
    <w:rsid w:val="00D7771C"/>
    <w:rsid w:val="00D836C5"/>
    <w:rsid w:val="00D84576"/>
    <w:rsid w:val="00D85CE8"/>
    <w:rsid w:val="00D87CA2"/>
    <w:rsid w:val="00D93115"/>
    <w:rsid w:val="00DA1399"/>
    <w:rsid w:val="00DA24C6"/>
    <w:rsid w:val="00DA3823"/>
    <w:rsid w:val="00DA451D"/>
    <w:rsid w:val="00DA4D7B"/>
    <w:rsid w:val="00DB1057"/>
    <w:rsid w:val="00DB74AD"/>
    <w:rsid w:val="00DB784C"/>
    <w:rsid w:val="00DC7B50"/>
    <w:rsid w:val="00DE264A"/>
    <w:rsid w:val="00DF23EA"/>
    <w:rsid w:val="00DF5072"/>
    <w:rsid w:val="00E02D18"/>
    <w:rsid w:val="00E041E7"/>
    <w:rsid w:val="00E04856"/>
    <w:rsid w:val="00E12269"/>
    <w:rsid w:val="00E122B9"/>
    <w:rsid w:val="00E141EC"/>
    <w:rsid w:val="00E22067"/>
    <w:rsid w:val="00E23CA1"/>
    <w:rsid w:val="00E32E21"/>
    <w:rsid w:val="00E409A8"/>
    <w:rsid w:val="00E46C0A"/>
    <w:rsid w:val="00E47B65"/>
    <w:rsid w:val="00E50C12"/>
    <w:rsid w:val="00E63460"/>
    <w:rsid w:val="00E6352A"/>
    <w:rsid w:val="00E65B91"/>
    <w:rsid w:val="00E65EEB"/>
    <w:rsid w:val="00E67F07"/>
    <w:rsid w:val="00E7209D"/>
    <w:rsid w:val="00E72EAD"/>
    <w:rsid w:val="00E7352F"/>
    <w:rsid w:val="00E7362C"/>
    <w:rsid w:val="00E764B4"/>
    <w:rsid w:val="00E77223"/>
    <w:rsid w:val="00E779FB"/>
    <w:rsid w:val="00E77E6E"/>
    <w:rsid w:val="00E8528B"/>
    <w:rsid w:val="00E85B94"/>
    <w:rsid w:val="00E96C55"/>
    <w:rsid w:val="00E978D0"/>
    <w:rsid w:val="00EA0D6C"/>
    <w:rsid w:val="00EA3E23"/>
    <w:rsid w:val="00EA4613"/>
    <w:rsid w:val="00EA7F91"/>
    <w:rsid w:val="00EB04FE"/>
    <w:rsid w:val="00EB1523"/>
    <w:rsid w:val="00EC0799"/>
    <w:rsid w:val="00EC0E49"/>
    <w:rsid w:val="00EC101F"/>
    <w:rsid w:val="00EC1D9F"/>
    <w:rsid w:val="00EC5710"/>
    <w:rsid w:val="00EC7C98"/>
    <w:rsid w:val="00ED3902"/>
    <w:rsid w:val="00ED588D"/>
    <w:rsid w:val="00ED6A20"/>
    <w:rsid w:val="00EE0131"/>
    <w:rsid w:val="00EE17B0"/>
    <w:rsid w:val="00EE1C24"/>
    <w:rsid w:val="00EE6739"/>
    <w:rsid w:val="00EF06D9"/>
    <w:rsid w:val="00F13337"/>
    <w:rsid w:val="00F23C98"/>
    <w:rsid w:val="00F30C64"/>
    <w:rsid w:val="00F322ED"/>
    <w:rsid w:val="00F32BA2"/>
    <w:rsid w:val="00F32CDB"/>
    <w:rsid w:val="00F3664D"/>
    <w:rsid w:val="00F47F31"/>
    <w:rsid w:val="00F565FE"/>
    <w:rsid w:val="00F63A70"/>
    <w:rsid w:val="00F706E3"/>
    <w:rsid w:val="00F70865"/>
    <w:rsid w:val="00F71260"/>
    <w:rsid w:val="00F7534E"/>
    <w:rsid w:val="00F80C75"/>
    <w:rsid w:val="00F832EC"/>
    <w:rsid w:val="00F863FF"/>
    <w:rsid w:val="00F87500"/>
    <w:rsid w:val="00F961E0"/>
    <w:rsid w:val="00FA21D0"/>
    <w:rsid w:val="00FA3D17"/>
    <w:rsid w:val="00FA4454"/>
    <w:rsid w:val="00FA5F5F"/>
    <w:rsid w:val="00FB2991"/>
    <w:rsid w:val="00FB730C"/>
    <w:rsid w:val="00FC2695"/>
    <w:rsid w:val="00FC3E03"/>
    <w:rsid w:val="00FC3FC1"/>
    <w:rsid w:val="00FC47AF"/>
    <w:rsid w:val="00FC5E63"/>
    <w:rsid w:val="00FC6C82"/>
    <w:rsid w:val="00FE70A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08646D"/>
    <w:rPr>
      <w:color w:val="605E5C"/>
      <w:shd w:val="clear" w:color="auto" w:fill="E1DFDD"/>
    </w:rPr>
  </w:style>
  <w:style w:type="character" w:styleId="Testosegnaposto">
    <w:name w:val="Placeholder Text"/>
    <w:basedOn w:val="Carpredefinitoparagrafo"/>
    <w:uiPriority w:val="99"/>
    <w:semiHidden/>
    <w:rsid w:val="0091683A"/>
    <w:rPr>
      <w:color w:val="808080"/>
    </w:rPr>
  </w:style>
  <w:style w:type="character" w:styleId="Collegamentovisitato">
    <w:name w:val="FollowedHyperlink"/>
    <w:basedOn w:val="Carpredefinitoparagrafo"/>
    <w:uiPriority w:val="99"/>
    <w:semiHidden/>
    <w:unhideWhenUsed/>
    <w:rsid w:val="00342109"/>
    <w:rPr>
      <w:color w:val="800080" w:themeColor="followedHyperlink"/>
      <w:u w:val="single"/>
    </w:rPr>
  </w:style>
  <w:style w:type="character" w:customStyle="1" w:styleId="anchor-text">
    <w:name w:val="anchor-text"/>
    <w:basedOn w:val="Carpredefinitoparagrafo"/>
    <w:rsid w:val="00C16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9769">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3912">
      <w:bodyDiv w:val="1"/>
      <w:marLeft w:val="0"/>
      <w:marRight w:val="0"/>
      <w:marTop w:val="0"/>
      <w:marBottom w:val="0"/>
      <w:divBdr>
        <w:top w:val="none" w:sz="0" w:space="0" w:color="auto"/>
        <w:left w:val="none" w:sz="0" w:space="0" w:color="auto"/>
        <w:bottom w:val="none" w:sz="0" w:space="0" w:color="auto"/>
        <w:right w:val="none" w:sz="0" w:space="0" w:color="auto"/>
      </w:divBdr>
    </w:div>
    <w:div w:id="198157021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2652</TotalTime>
  <Pages>6</Pages>
  <Words>4190</Words>
  <Characters>23536</Characters>
  <Application>Microsoft Office Word</Application>
  <DocSecurity>0</DocSecurity>
  <Lines>331</Lines>
  <Paragraphs>106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Benedetta Anna De Liso</cp:lastModifiedBy>
  <cp:revision>20</cp:revision>
  <cp:lastPrinted>2015-05-12T18:31:00Z</cp:lastPrinted>
  <dcterms:created xsi:type="dcterms:W3CDTF">2024-02-23T15:22:00Z</dcterms:created>
  <dcterms:modified xsi:type="dcterms:W3CDTF">2024-04-04T12:02:00Z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4c9e6bba004282e422d897137154df6fbc4e6bc377cd07264999dfe00f1eb5b0</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http://www.zotero.org/styles/industrial-and-engineering-chemistry-research</vt:lpwstr>
  </property>
  <property fmtid="{D5CDD505-2E9C-101B-9397-08002B2CF9AE}" pid="20" name="Mendeley Recent Style Name 7_1">
    <vt:lpwstr>Industrial &amp; Engineering Chemistry Research</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http://www.zotero.org/styles/process-safety-and-environmental-protection</vt:lpwstr>
  </property>
  <property fmtid="{D5CDD505-2E9C-101B-9397-08002B2CF9AE}" pid="24" name="Mendeley Recent Style Name 9_1">
    <vt:lpwstr>Process Safety and Environmental Protection</vt:lpwstr>
  </property>
  <property fmtid="{D5CDD505-2E9C-101B-9397-08002B2CF9AE}" pid="25" name="Mendeley Document_1">
    <vt:lpwstr>True</vt:lpwstr>
  </property>
  <property fmtid="{D5CDD505-2E9C-101B-9397-08002B2CF9AE}" pid="26" name="Mendeley Citation Style_1">
    <vt:lpwstr>http://www.zotero.org/styles/process-safety-and-environmental-protection</vt:lpwstr>
  </property>
  <property fmtid="{D5CDD505-2E9C-101B-9397-08002B2CF9AE}" pid="27" name="Mendeley Unique User Id_1">
    <vt:lpwstr>2fa06e40-0218-3de1-9b3d-da300f8af461</vt:lpwstr>
  </property>
</Properties>
</file>