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8391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88391A" w:rsidRDefault="000A03B2" w:rsidP="00DE264A">
            <w:pPr>
              <w:tabs>
                <w:tab w:val="left" w:pos="-108"/>
              </w:tabs>
              <w:ind w:left="-108"/>
              <w:jc w:val="left"/>
              <w:rPr>
                <w:rFonts w:cs="Arial"/>
                <w:b/>
                <w:bCs/>
                <w:i/>
                <w:iCs/>
                <w:color w:val="000066"/>
                <w:sz w:val="12"/>
                <w:szCs w:val="12"/>
                <w:lang w:val="en-US" w:eastAsia="it-IT"/>
              </w:rPr>
            </w:pPr>
            <w:r w:rsidRPr="0088391A">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8391A">
              <w:rPr>
                <w:rFonts w:ascii="AdvP6960" w:hAnsi="AdvP6960" w:cs="AdvP6960"/>
                <w:color w:val="241F20"/>
                <w:szCs w:val="18"/>
                <w:lang w:val="en-US" w:eastAsia="it-IT"/>
              </w:rPr>
              <w:t xml:space="preserve"> </w:t>
            </w:r>
            <w:r w:rsidRPr="0088391A">
              <w:rPr>
                <w:rFonts w:cs="Arial"/>
                <w:b/>
                <w:bCs/>
                <w:i/>
                <w:iCs/>
                <w:color w:val="000066"/>
                <w:sz w:val="24"/>
                <w:szCs w:val="24"/>
                <w:lang w:val="en-US" w:eastAsia="it-IT"/>
              </w:rPr>
              <w:t>CHEMICAL ENGINEERING</w:t>
            </w:r>
            <w:r w:rsidRPr="0088391A">
              <w:rPr>
                <w:rFonts w:cs="Arial"/>
                <w:b/>
                <w:bCs/>
                <w:i/>
                <w:iCs/>
                <w:color w:val="0033FF"/>
                <w:sz w:val="24"/>
                <w:szCs w:val="24"/>
                <w:lang w:val="en-US" w:eastAsia="it-IT"/>
              </w:rPr>
              <w:t xml:space="preserve"> </w:t>
            </w:r>
            <w:r w:rsidRPr="0088391A">
              <w:rPr>
                <w:rFonts w:cs="Arial"/>
                <w:b/>
                <w:bCs/>
                <w:i/>
                <w:iCs/>
                <w:color w:val="666666"/>
                <w:sz w:val="24"/>
                <w:szCs w:val="24"/>
                <w:lang w:val="en-US" w:eastAsia="it-IT"/>
              </w:rPr>
              <w:t>TRANSACTIONS</w:t>
            </w:r>
            <w:r w:rsidRPr="0088391A">
              <w:rPr>
                <w:color w:val="333333"/>
                <w:sz w:val="24"/>
                <w:szCs w:val="24"/>
                <w:lang w:val="en-US" w:eastAsia="it-IT"/>
              </w:rPr>
              <w:t xml:space="preserve"> </w:t>
            </w:r>
            <w:r w:rsidRPr="0088391A">
              <w:rPr>
                <w:rFonts w:cs="Arial"/>
                <w:b/>
                <w:bCs/>
                <w:i/>
                <w:iCs/>
                <w:color w:val="000066"/>
                <w:sz w:val="27"/>
                <w:szCs w:val="27"/>
                <w:lang w:val="en-US" w:eastAsia="it-IT"/>
              </w:rPr>
              <w:br/>
            </w:r>
          </w:p>
          <w:p w14:paraId="4B780582" w14:textId="38BD1662" w:rsidR="000A03B2" w:rsidRPr="0088391A" w:rsidRDefault="00A76EFC" w:rsidP="00B57E6F">
            <w:pPr>
              <w:tabs>
                <w:tab w:val="left" w:pos="-108"/>
              </w:tabs>
              <w:ind w:left="-108"/>
              <w:rPr>
                <w:rFonts w:cs="Arial"/>
                <w:b/>
                <w:bCs/>
                <w:i/>
                <w:iCs/>
                <w:color w:val="000066"/>
                <w:sz w:val="22"/>
                <w:szCs w:val="22"/>
                <w:lang w:val="en-US" w:eastAsia="it-IT"/>
              </w:rPr>
            </w:pPr>
            <w:r w:rsidRPr="0088391A">
              <w:rPr>
                <w:rFonts w:cs="Arial"/>
                <w:b/>
                <w:bCs/>
                <w:i/>
                <w:iCs/>
                <w:color w:val="000066"/>
                <w:sz w:val="22"/>
                <w:szCs w:val="22"/>
                <w:lang w:val="en-US" w:eastAsia="it-IT"/>
              </w:rPr>
              <w:t xml:space="preserve">VOL. </w:t>
            </w:r>
            <w:r w:rsidR="00825DD9" w:rsidRPr="0088391A">
              <w:rPr>
                <w:rFonts w:cs="Arial"/>
                <w:b/>
                <w:bCs/>
                <w:i/>
                <w:iCs/>
                <w:color w:val="000066"/>
                <w:sz w:val="22"/>
                <w:szCs w:val="22"/>
                <w:lang w:val="en-US" w:eastAsia="it-IT"/>
              </w:rPr>
              <w:t>xxx</w:t>
            </w:r>
            <w:r w:rsidR="007B48F9" w:rsidRPr="0088391A">
              <w:rPr>
                <w:rFonts w:cs="Arial"/>
                <w:b/>
                <w:bCs/>
                <w:i/>
                <w:iCs/>
                <w:color w:val="000066"/>
                <w:sz w:val="22"/>
                <w:szCs w:val="22"/>
                <w:lang w:val="en-US" w:eastAsia="it-IT"/>
              </w:rPr>
              <w:t>,</w:t>
            </w:r>
            <w:r w:rsidR="00FA5F5F" w:rsidRPr="0088391A">
              <w:rPr>
                <w:rFonts w:cs="Arial"/>
                <w:b/>
                <w:bCs/>
                <w:i/>
                <w:iCs/>
                <w:color w:val="000066"/>
                <w:sz w:val="22"/>
                <w:szCs w:val="22"/>
                <w:lang w:val="en-US" w:eastAsia="it-IT"/>
              </w:rPr>
              <w:t xml:space="preserve"> 20</w:t>
            </w:r>
            <w:r w:rsidR="00DF5072" w:rsidRPr="0088391A">
              <w:rPr>
                <w:rFonts w:cs="Arial"/>
                <w:b/>
                <w:bCs/>
                <w:i/>
                <w:iCs/>
                <w:color w:val="000066"/>
                <w:sz w:val="22"/>
                <w:szCs w:val="22"/>
                <w:lang w:val="en-US" w:eastAsia="it-IT"/>
              </w:rPr>
              <w:t>2</w:t>
            </w:r>
            <w:r w:rsidR="00825DD9" w:rsidRPr="0088391A">
              <w:rPr>
                <w:rFonts w:cs="Arial"/>
                <w:b/>
                <w:bCs/>
                <w:i/>
                <w:iCs/>
                <w:color w:val="000066"/>
                <w:sz w:val="22"/>
                <w:szCs w:val="22"/>
                <w:lang w:val="en-US" w:eastAsia="it-IT"/>
              </w:rPr>
              <w:t>4</w:t>
            </w:r>
          </w:p>
        </w:tc>
        <w:tc>
          <w:tcPr>
            <w:tcW w:w="1843" w:type="dxa"/>
            <w:tcBorders>
              <w:left w:val="single" w:sz="4" w:space="0" w:color="auto"/>
              <w:bottom w:val="nil"/>
              <w:right w:val="single" w:sz="4" w:space="0" w:color="auto"/>
            </w:tcBorders>
          </w:tcPr>
          <w:p w14:paraId="56782132" w14:textId="77777777" w:rsidR="000A03B2" w:rsidRPr="0088391A" w:rsidRDefault="000A03B2" w:rsidP="00CD5FE2">
            <w:pPr>
              <w:spacing w:line="140" w:lineRule="atLeast"/>
              <w:jc w:val="right"/>
              <w:rPr>
                <w:rFonts w:cs="Arial"/>
                <w:sz w:val="14"/>
                <w:szCs w:val="14"/>
                <w:lang w:val="en-US"/>
              </w:rPr>
            </w:pPr>
            <w:r w:rsidRPr="0088391A">
              <w:rPr>
                <w:rFonts w:cs="Arial"/>
                <w:sz w:val="14"/>
                <w:szCs w:val="14"/>
                <w:lang w:val="en-US"/>
              </w:rPr>
              <w:t>A publication of</w:t>
            </w:r>
          </w:p>
          <w:p w14:paraId="599E5441" w14:textId="77777777" w:rsidR="000A03B2" w:rsidRPr="0088391A" w:rsidRDefault="000A03B2" w:rsidP="00CD5FE2">
            <w:pPr>
              <w:jc w:val="right"/>
              <w:rPr>
                <w:lang w:val="en-US"/>
              </w:rPr>
            </w:pPr>
            <w:r w:rsidRPr="0088391A">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8391A" w14:paraId="380FA3CD" w14:textId="77777777" w:rsidTr="00DE264A">
        <w:trPr>
          <w:trHeight w:val="567"/>
          <w:jc w:val="center"/>
        </w:trPr>
        <w:tc>
          <w:tcPr>
            <w:tcW w:w="6946" w:type="dxa"/>
            <w:vMerge/>
            <w:tcBorders>
              <w:right w:val="single" w:sz="4" w:space="0" w:color="auto"/>
            </w:tcBorders>
          </w:tcPr>
          <w:p w14:paraId="39E5E4C1" w14:textId="77777777" w:rsidR="000A03B2" w:rsidRPr="0088391A"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88391A" w:rsidRDefault="000A03B2" w:rsidP="00CD5FE2">
            <w:pPr>
              <w:spacing w:line="140" w:lineRule="atLeast"/>
              <w:jc w:val="right"/>
              <w:rPr>
                <w:rFonts w:cs="Arial"/>
                <w:sz w:val="14"/>
                <w:szCs w:val="14"/>
                <w:lang w:val="en-US"/>
              </w:rPr>
            </w:pPr>
            <w:r w:rsidRPr="0088391A">
              <w:rPr>
                <w:rFonts w:cs="Arial"/>
                <w:sz w:val="14"/>
                <w:szCs w:val="14"/>
                <w:lang w:val="en-US"/>
              </w:rPr>
              <w:t>The Italian Association</w:t>
            </w:r>
          </w:p>
          <w:p w14:paraId="7522B1D2" w14:textId="77777777" w:rsidR="000A03B2" w:rsidRPr="0088391A" w:rsidRDefault="000A03B2" w:rsidP="00CD5FE2">
            <w:pPr>
              <w:spacing w:line="140" w:lineRule="atLeast"/>
              <w:jc w:val="right"/>
              <w:rPr>
                <w:rFonts w:cs="Arial"/>
                <w:sz w:val="14"/>
                <w:szCs w:val="14"/>
                <w:lang w:val="en-US"/>
              </w:rPr>
            </w:pPr>
            <w:r w:rsidRPr="0088391A">
              <w:rPr>
                <w:rFonts w:cs="Arial"/>
                <w:sz w:val="14"/>
                <w:szCs w:val="14"/>
                <w:lang w:val="en-US"/>
              </w:rPr>
              <w:t>of Chemical Engineering</w:t>
            </w:r>
          </w:p>
          <w:p w14:paraId="4F0CC5DE" w14:textId="47FDB2FC" w:rsidR="000A03B2" w:rsidRPr="0088391A" w:rsidRDefault="000D0268" w:rsidP="00CD5FE2">
            <w:pPr>
              <w:spacing w:line="140" w:lineRule="atLeast"/>
              <w:jc w:val="right"/>
              <w:rPr>
                <w:rFonts w:cs="Arial"/>
                <w:sz w:val="13"/>
                <w:szCs w:val="13"/>
                <w:lang w:val="en-US"/>
              </w:rPr>
            </w:pPr>
            <w:r w:rsidRPr="0088391A">
              <w:rPr>
                <w:rFonts w:cs="Arial"/>
                <w:sz w:val="13"/>
                <w:szCs w:val="13"/>
                <w:lang w:val="en-US"/>
              </w:rPr>
              <w:t>Online at www.cetjournal.it</w:t>
            </w:r>
          </w:p>
        </w:tc>
      </w:tr>
      <w:tr w:rsidR="000A03B2" w:rsidRPr="0088391A" w14:paraId="2D1B7169" w14:textId="77777777" w:rsidTr="00DE264A">
        <w:trPr>
          <w:trHeight w:val="68"/>
          <w:jc w:val="center"/>
        </w:trPr>
        <w:tc>
          <w:tcPr>
            <w:tcW w:w="8789" w:type="dxa"/>
            <w:gridSpan w:val="2"/>
          </w:tcPr>
          <w:p w14:paraId="4B0BB442" w14:textId="4EADF2C2" w:rsidR="00300E56" w:rsidRPr="009B2EE0" w:rsidRDefault="00300E56" w:rsidP="00B57E6F">
            <w:pPr>
              <w:ind w:left="-107"/>
              <w:outlineLvl w:val="2"/>
              <w:rPr>
                <w:rFonts w:ascii="Tahoma" w:hAnsi="Tahoma" w:cs="Tahoma"/>
                <w:bCs/>
                <w:color w:val="000000"/>
                <w:sz w:val="14"/>
                <w:szCs w:val="14"/>
                <w:lang w:val="it-IT" w:eastAsia="it-IT"/>
              </w:rPr>
            </w:pPr>
            <w:r w:rsidRPr="009B2EE0">
              <w:rPr>
                <w:rFonts w:ascii="Tahoma" w:hAnsi="Tahoma" w:cs="Tahoma"/>
                <w:iCs/>
                <w:color w:val="333333"/>
                <w:sz w:val="14"/>
                <w:szCs w:val="14"/>
                <w:lang w:val="it-IT" w:eastAsia="it-IT"/>
              </w:rPr>
              <w:t>Guest Editors:</w:t>
            </w:r>
            <w:r w:rsidR="00904C62" w:rsidRPr="009B2EE0">
              <w:rPr>
                <w:rFonts w:ascii="Tahoma" w:hAnsi="Tahoma" w:cs="Tahoma"/>
                <w:iCs/>
                <w:color w:val="333333"/>
                <w:sz w:val="14"/>
                <w:szCs w:val="14"/>
                <w:lang w:val="it-IT" w:eastAsia="it-IT"/>
              </w:rPr>
              <w:t xml:space="preserve"> </w:t>
            </w:r>
            <w:r w:rsidR="00B57E6F" w:rsidRPr="009B2EE0">
              <w:rPr>
                <w:rFonts w:ascii="Tahoma" w:hAnsi="Tahoma" w:cs="Tahoma"/>
                <w:color w:val="000000"/>
                <w:sz w:val="14"/>
                <w:szCs w:val="14"/>
                <w:shd w:val="clear" w:color="auto" w:fill="FFFFFF"/>
                <w:lang w:val="it-IT"/>
              </w:rPr>
              <w:t xml:space="preserve">Valerio Cozzani, </w:t>
            </w:r>
            <w:r w:rsidR="001331DF" w:rsidRPr="009B2EE0">
              <w:rPr>
                <w:rFonts w:ascii="Tahoma" w:hAnsi="Tahoma" w:cs="Tahoma"/>
                <w:color w:val="000000"/>
                <w:sz w:val="14"/>
                <w:szCs w:val="14"/>
                <w:shd w:val="clear" w:color="auto" w:fill="FFFFFF"/>
                <w:lang w:val="it-IT"/>
              </w:rPr>
              <w:t>Bruno Fabiano</w:t>
            </w:r>
            <w:r w:rsidR="00B57E6F" w:rsidRPr="009B2EE0">
              <w:rPr>
                <w:rFonts w:ascii="Tahoma" w:hAnsi="Tahoma" w:cs="Tahoma"/>
                <w:color w:val="000000"/>
                <w:sz w:val="14"/>
                <w:szCs w:val="14"/>
                <w:shd w:val="clear" w:color="auto" w:fill="FFFFFF"/>
                <w:lang w:val="it-IT"/>
              </w:rPr>
              <w:t xml:space="preserve">, </w:t>
            </w:r>
            <w:proofErr w:type="spellStart"/>
            <w:r w:rsidR="00B57E6F" w:rsidRPr="009B2EE0">
              <w:rPr>
                <w:rFonts w:ascii="Tahoma" w:hAnsi="Tahoma" w:cs="Tahoma"/>
                <w:bCs/>
                <w:color w:val="000000"/>
                <w:sz w:val="14"/>
                <w:szCs w:val="14"/>
                <w:lang w:val="it-IT" w:eastAsia="it-IT"/>
              </w:rPr>
              <w:t>Genserik</w:t>
            </w:r>
            <w:proofErr w:type="spellEnd"/>
            <w:r w:rsidR="00B57E6F" w:rsidRPr="009B2EE0">
              <w:rPr>
                <w:rFonts w:ascii="Tahoma" w:hAnsi="Tahoma" w:cs="Tahoma"/>
                <w:bCs/>
                <w:color w:val="000000"/>
                <w:sz w:val="14"/>
                <w:szCs w:val="14"/>
                <w:lang w:val="it-IT" w:eastAsia="it-IT"/>
              </w:rPr>
              <w:t xml:space="preserve"> </w:t>
            </w:r>
            <w:proofErr w:type="spellStart"/>
            <w:r w:rsidR="00B57E6F" w:rsidRPr="009B2EE0">
              <w:rPr>
                <w:rFonts w:ascii="Tahoma" w:hAnsi="Tahoma" w:cs="Tahoma"/>
                <w:bCs/>
                <w:color w:val="000000"/>
                <w:sz w:val="14"/>
                <w:szCs w:val="14"/>
                <w:lang w:val="it-IT" w:eastAsia="it-IT"/>
              </w:rPr>
              <w:t>Reniers</w:t>
            </w:r>
            <w:proofErr w:type="spellEnd"/>
          </w:p>
          <w:p w14:paraId="1B0F1814" w14:textId="7E8B8C7E" w:rsidR="000A03B2" w:rsidRPr="0088391A" w:rsidRDefault="00FA5F5F" w:rsidP="00B57E6F">
            <w:pPr>
              <w:tabs>
                <w:tab w:val="left" w:pos="-108"/>
              </w:tabs>
              <w:spacing w:line="140" w:lineRule="atLeast"/>
              <w:ind w:left="-107"/>
              <w:jc w:val="left"/>
              <w:rPr>
                <w:lang w:val="en-US"/>
              </w:rPr>
            </w:pPr>
            <w:r w:rsidRPr="0088391A">
              <w:rPr>
                <w:rFonts w:ascii="Tahoma" w:hAnsi="Tahoma" w:cs="Tahoma"/>
                <w:iCs/>
                <w:color w:val="333333"/>
                <w:sz w:val="14"/>
                <w:szCs w:val="14"/>
                <w:lang w:val="en-US" w:eastAsia="it-IT"/>
              </w:rPr>
              <w:t>Copyright © 20</w:t>
            </w:r>
            <w:r w:rsidR="00DF5072" w:rsidRPr="0088391A">
              <w:rPr>
                <w:rFonts w:ascii="Tahoma" w:hAnsi="Tahoma" w:cs="Tahoma"/>
                <w:iCs/>
                <w:color w:val="333333"/>
                <w:sz w:val="14"/>
                <w:szCs w:val="14"/>
                <w:lang w:val="en-US" w:eastAsia="it-IT"/>
              </w:rPr>
              <w:t>2</w:t>
            </w:r>
            <w:r w:rsidR="00825DD9" w:rsidRPr="0088391A">
              <w:rPr>
                <w:rFonts w:ascii="Tahoma" w:hAnsi="Tahoma" w:cs="Tahoma"/>
                <w:iCs/>
                <w:color w:val="333333"/>
                <w:sz w:val="14"/>
                <w:szCs w:val="14"/>
                <w:lang w:val="en-US" w:eastAsia="it-IT"/>
              </w:rPr>
              <w:t>4</w:t>
            </w:r>
            <w:r w:rsidR="00904C62" w:rsidRPr="0088391A">
              <w:rPr>
                <w:rFonts w:ascii="Tahoma" w:hAnsi="Tahoma" w:cs="Tahoma"/>
                <w:iCs/>
                <w:color w:val="333333"/>
                <w:sz w:val="14"/>
                <w:szCs w:val="14"/>
                <w:lang w:val="en-US" w:eastAsia="it-IT"/>
              </w:rPr>
              <w:t xml:space="preserve">, AIDIC </w:t>
            </w:r>
            <w:proofErr w:type="spellStart"/>
            <w:r w:rsidR="00904C62" w:rsidRPr="0088391A">
              <w:rPr>
                <w:rFonts w:ascii="Tahoma" w:hAnsi="Tahoma" w:cs="Tahoma"/>
                <w:iCs/>
                <w:color w:val="333333"/>
                <w:sz w:val="14"/>
                <w:szCs w:val="14"/>
                <w:lang w:val="en-US" w:eastAsia="it-IT"/>
              </w:rPr>
              <w:t>Servizi</w:t>
            </w:r>
            <w:proofErr w:type="spellEnd"/>
            <w:r w:rsidR="00904C62" w:rsidRPr="0088391A">
              <w:rPr>
                <w:rFonts w:ascii="Tahoma" w:hAnsi="Tahoma" w:cs="Tahoma"/>
                <w:iCs/>
                <w:color w:val="333333"/>
                <w:sz w:val="14"/>
                <w:szCs w:val="14"/>
                <w:lang w:val="en-US" w:eastAsia="it-IT"/>
              </w:rPr>
              <w:t xml:space="preserve"> </w:t>
            </w:r>
            <w:proofErr w:type="spellStart"/>
            <w:r w:rsidR="00904C62" w:rsidRPr="0088391A">
              <w:rPr>
                <w:rFonts w:ascii="Tahoma" w:hAnsi="Tahoma" w:cs="Tahoma"/>
                <w:iCs/>
                <w:color w:val="333333"/>
                <w:sz w:val="14"/>
                <w:szCs w:val="14"/>
                <w:lang w:val="en-US" w:eastAsia="it-IT"/>
              </w:rPr>
              <w:t>S.r.l</w:t>
            </w:r>
            <w:proofErr w:type="spellEnd"/>
            <w:r w:rsidR="00904C62" w:rsidRPr="0088391A">
              <w:rPr>
                <w:rFonts w:ascii="Tahoma" w:hAnsi="Tahoma" w:cs="Tahoma"/>
                <w:iCs/>
                <w:color w:val="333333"/>
                <w:sz w:val="14"/>
                <w:szCs w:val="14"/>
                <w:lang w:val="en-US" w:eastAsia="it-IT"/>
              </w:rPr>
              <w:t>.</w:t>
            </w:r>
            <w:r w:rsidR="00300E56" w:rsidRPr="0088391A">
              <w:rPr>
                <w:rFonts w:ascii="Tahoma" w:hAnsi="Tahoma" w:cs="Tahoma"/>
                <w:iCs/>
                <w:color w:val="333333"/>
                <w:sz w:val="14"/>
                <w:szCs w:val="14"/>
                <w:lang w:val="en-US" w:eastAsia="it-IT"/>
              </w:rPr>
              <w:br/>
            </w:r>
            <w:r w:rsidR="00300E56" w:rsidRPr="0088391A">
              <w:rPr>
                <w:rFonts w:ascii="Tahoma" w:hAnsi="Tahoma" w:cs="Tahoma"/>
                <w:b/>
                <w:iCs/>
                <w:color w:val="000000"/>
                <w:sz w:val="14"/>
                <w:szCs w:val="14"/>
                <w:lang w:val="en-US" w:eastAsia="it-IT"/>
              </w:rPr>
              <w:t>ISBN</w:t>
            </w:r>
            <w:r w:rsidR="00300E56" w:rsidRPr="0088391A">
              <w:rPr>
                <w:rFonts w:ascii="Tahoma" w:hAnsi="Tahoma" w:cs="Tahoma"/>
                <w:iCs/>
                <w:color w:val="000000"/>
                <w:sz w:val="14"/>
                <w:szCs w:val="14"/>
                <w:lang w:val="en-US" w:eastAsia="it-IT"/>
              </w:rPr>
              <w:t xml:space="preserve"> </w:t>
            </w:r>
            <w:r w:rsidR="00825DD9" w:rsidRPr="0088391A">
              <w:rPr>
                <w:rFonts w:ascii="Tahoma" w:hAnsi="Tahoma" w:cs="Tahoma"/>
                <w:sz w:val="14"/>
                <w:szCs w:val="14"/>
                <w:lang w:val="en-US" w:eastAsia="it-IT"/>
              </w:rPr>
              <w:t>979-12-81206-11-3</w:t>
            </w:r>
            <w:r w:rsidR="007B48F9" w:rsidRPr="0088391A">
              <w:rPr>
                <w:rFonts w:ascii="Tahoma" w:hAnsi="Tahoma" w:cs="Tahoma"/>
                <w:iCs/>
                <w:color w:val="333333"/>
                <w:sz w:val="14"/>
                <w:szCs w:val="14"/>
                <w:lang w:val="en-US" w:eastAsia="it-IT"/>
              </w:rPr>
              <w:t>;</w:t>
            </w:r>
            <w:r w:rsidR="00300E56" w:rsidRPr="0088391A">
              <w:rPr>
                <w:rFonts w:ascii="Tahoma" w:hAnsi="Tahoma" w:cs="Tahoma"/>
                <w:iCs/>
                <w:color w:val="333333"/>
                <w:sz w:val="14"/>
                <w:szCs w:val="14"/>
                <w:lang w:val="en-US" w:eastAsia="it-IT"/>
              </w:rPr>
              <w:t xml:space="preserve"> </w:t>
            </w:r>
            <w:r w:rsidR="00300E56" w:rsidRPr="0088391A">
              <w:rPr>
                <w:rFonts w:ascii="Tahoma" w:hAnsi="Tahoma" w:cs="Tahoma"/>
                <w:b/>
                <w:iCs/>
                <w:color w:val="333333"/>
                <w:sz w:val="14"/>
                <w:szCs w:val="14"/>
                <w:lang w:val="en-US" w:eastAsia="it-IT"/>
              </w:rPr>
              <w:t>ISSN</w:t>
            </w:r>
            <w:r w:rsidR="00300E56" w:rsidRPr="0088391A">
              <w:rPr>
                <w:rFonts w:ascii="Tahoma" w:hAnsi="Tahoma" w:cs="Tahoma"/>
                <w:iCs/>
                <w:color w:val="333333"/>
                <w:sz w:val="14"/>
                <w:szCs w:val="14"/>
                <w:lang w:val="en-US" w:eastAsia="it-IT"/>
              </w:rPr>
              <w:t xml:space="preserve"> 2283-9216</w:t>
            </w:r>
          </w:p>
        </w:tc>
      </w:tr>
    </w:tbl>
    <w:p w14:paraId="10DAA130" w14:textId="77777777" w:rsidR="000A03B2" w:rsidRPr="0088391A" w:rsidRDefault="000A03B2" w:rsidP="000A03B2">
      <w:pPr>
        <w:pStyle w:val="CETAuthors"/>
        <w:rPr>
          <w:lang w:val="en-US"/>
        </w:rPr>
        <w:sectPr w:rsidR="000A03B2" w:rsidRPr="0088391A" w:rsidSect="009D47CF">
          <w:type w:val="continuous"/>
          <w:pgSz w:w="11906" w:h="16838" w:code="9"/>
          <w:pgMar w:top="1701" w:right="1418" w:bottom="1701" w:left="1701" w:header="1701" w:footer="0" w:gutter="0"/>
          <w:cols w:space="708"/>
          <w:titlePg/>
          <w:docGrid w:linePitch="360"/>
        </w:sectPr>
      </w:pPr>
    </w:p>
    <w:p w14:paraId="2E667253" w14:textId="3485DA57" w:rsidR="00E978D0" w:rsidRPr="0088391A" w:rsidRDefault="006F478E" w:rsidP="00665323">
      <w:pPr>
        <w:pStyle w:val="CETTitle"/>
        <w:rPr>
          <w:lang w:val="en-US"/>
        </w:rPr>
      </w:pPr>
      <w:r w:rsidRPr="0088391A">
        <w:rPr>
          <w:lang w:val="en-US"/>
        </w:rPr>
        <w:t>Natech Risk from Floods. Vulnerability of critical technical systems containing hazardous substances</w:t>
      </w:r>
    </w:p>
    <w:p w14:paraId="53C51F90" w14:textId="4B70BCE7" w:rsidR="006F478E" w:rsidRPr="009B2EE0" w:rsidRDefault="006F478E" w:rsidP="006F478E">
      <w:pPr>
        <w:pStyle w:val="CETAuthors"/>
        <w:rPr>
          <w:lang w:val="it-IT"/>
        </w:rPr>
      </w:pPr>
      <w:r w:rsidRPr="009B2EE0">
        <w:rPr>
          <w:lang w:val="it-IT"/>
        </w:rPr>
        <w:t>Antonino Muratore</w:t>
      </w:r>
      <w:r w:rsidRPr="009B2EE0">
        <w:rPr>
          <w:vertAlign w:val="superscript"/>
          <w:lang w:val="it-IT"/>
        </w:rPr>
        <w:t>a</w:t>
      </w:r>
      <w:r w:rsidRPr="009B2EE0">
        <w:rPr>
          <w:lang w:val="it-IT"/>
        </w:rPr>
        <w:t>, Giovanni Grillone</w:t>
      </w:r>
      <w:r w:rsidRPr="009B2EE0">
        <w:rPr>
          <w:vertAlign w:val="superscript"/>
          <w:lang w:val="it-IT"/>
        </w:rPr>
        <w:t>b</w:t>
      </w:r>
      <w:r w:rsidRPr="009B2EE0">
        <w:rPr>
          <w:lang w:val="it-IT"/>
        </w:rPr>
        <w:t>, Corrado Delle Site</w:t>
      </w:r>
      <w:r w:rsidRPr="009B2EE0">
        <w:rPr>
          <w:vertAlign w:val="superscript"/>
          <w:lang w:val="it-IT"/>
        </w:rPr>
        <w:t>c</w:t>
      </w:r>
      <w:r w:rsidRPr="009B2EE0">
        <w:rPr>
          <w:lang w:val="it-IT"/>
        </w:rPr>
        <w:t>, Giuseppe Giannelli</w:t>
      </w:r>
      <w:r w:rsidRPr="009B2EE0">
        <w:rPr>
          <w:vertAlign w:val="superscript"/>
          <w:lang w:val="it-IT"/>
        </w:rPr>
        <w:t>a</w:t>
      </w:r>
      <w:r w:rsidRPr="009B2EE0">
        <w:rPr>
          <w:lang w:val="it-IT"/>
        </w:rPr>
        <w:t>, Vincenzo Nastasi</w:t>
      </w:r>
      <w:r w:rsidRPr="009B2EE0">
        <w:rPr>
          <w:vertAlign w:val="superscript"/>
          <w:lang w:val="it-IT"/>
        </w:rPr>
        <w:t>b</w:t>
      </w:r>
    </w:p>
    <w:p w14:paraId="4C58BEDD" w14:textId="77777777" w:rsidR="006F478E" w:rsidRPr="009B2EE0" w:rsidRDefault="006F478E" w:rsidP="006F478E">
      <w:pPr>
        <w:pStyle w:val="CETAddress"/>
        <w:rPr>
          <w:lang w:val="it-IT"/>
        </w:rPr>
      </w:pPr>
      <w:r w:rsidRPr="009B2EE0">
        <w:rPr>
          <w:vertAlign w:val="superscript"/>
          <w:lang w:val="it-IT"/>
        </w:rPr>
        <w:t>a</w:t>
      </w:r>
      <w:r w:rsidRPr="009B2EE0">
        <w:rPr>
          <w:lang w:val="it-IT"/>
        </w:rPr>
        <w:t>Inail, UOT Como, Via Petrarca 4 - 22100 Como, Italy</w:t>
      </w:r>
    </w:p>
    <w:p w14:paraId="039EFF2D" w14:textId="17C95E19" w:rsidR="006F478E" w:rsidRPr="009B2EE0" w:rsidRDefault="006F478E" w:rsidP="006F478E">
      <w:pPr>
        <w:pStyle w:val="CETAddress"/>
        <w:rPr>
          <w:lang w:val="it-IT"/>
        </w:rPr>
      </w:pPr>
      <w:r w:rsidRPr="009B2EE0">
        <w:rPr>
          <w:vertAlign w:val="superscript"/>
          <w:lang w:val="it-IT"/>
        </w:rPr>
        <w:t>b</w:t>
      </w:r>
      <w:r w:rsidRPr="009B2EE0">
        <w:rPr>
          <w:lang w:val="it-IT"/>
        </w:rPr>
        <w:t>Inail, UOT Palermo, Via</w:t>
      </w:r>
      <w:r w:rsidR="00643F63">
        <w:rPr>
          <w:lang w:val="it-IT"/>
        </w:rPr>
        <w:t>le del Fante 58/D</w:t>
      </w:r>
      <w:r w:rsidRPr="009B2EE0">
        <w:rPr>
          <w:lang w:val="it-IT"/>
        </w:rPr>
        <w:t xml:space="preserve"> - 9014</w:t>
      </w:r>
      <w:r w:rsidR="00643F63">
        <w:rPr>
          <w:lang w:val="it-IT"/>
        </w:rPr>
        <w:t>6</w:t>
      </w:r>
      <w:r w:rsidRPr="009B2EE0">
        <w:rPr>
          <w:lang w:val="it-IT"/>
        </w:rPr>
        <w:t xml:space="preserve"> Palermo, Italy</w:t>
      </w:r>
    </w:p>
    <w:p w14:paraId="05B0217D" w14:textId="77777777" w:rsidR="006F478E" w:rsidRPr="009B2EE0" w:rsidRDefault="006F478E" w:rsidP="006F478E">
      <w:pPr>
        <w:pStyle w:val="CETAddress"/>
        <w:rPr>
          <w:lang w:val="it-IT"/>
        </w:rPr>
      </w:pPr>
      <w:r w:rsidRPr="009B2EE0">
        <w:rPr>
          <w:vertAlign w:val="superscript"/>
          <w:lang w:val="it-IT"/>
        </w:rPr>
        <w:t>c</w:t>
      </w:r>
      <w:r w:rsidRPr="009B2EE0">
        <w:rPr>
          <w:lang w:val="it-IT"/>
        </w:rPr>
        <w:t>Inail, DIT, Via Ferruzzi 38/40 - 00143 Roma, Italy</w:t>
      </w:r>
    </w:p>
    <w:p w14:paraId="73F1267A" w14:textId="6EE333EF" w:rsidR="00B57E6F" w:rsidRPr="0088391A" w:rsidRDefault="006F478E" w:rsidP="006F478E">
      <w:pPr>
        <w:pStyle w:val="CETemail"/>
        <w:rPr>
          <w:lang w:val="en-US"/>
        </w:rPr>
      </w:pPr>
      <w:r w:rsidRPr="0088391A">
        <w:rPr>
          <w:lang w:val="en-US"/>
        </w:rPr>
        <w:t>a.muratore@inail.it</w:t>
      </w:r>
    </w:p>
    <w:p w14:paraId="7F631428" w14:textId="17094223" w:rsidR="00C67F5C" w:rsidRDefault="006F478E" w:rsidP="006A21BF">
      <w:pPr>
        <w:pStyle w:val="CETnumberingbullets"/>
        <w:numPr>
          <w:ilvl w:val="0"/>
          <w:numId w:val="0"/>
        </w:numPr>
        <w:jc w:val="both"/>
        <w:rPr>
          <w:lang w:val="en-US"/>
        </w:rPr>
      </w:pPr>
      <w:bookmarkStart w:id="0" w:name="_Hlk495475023"/>
      <w:r w:rsidRPr="0088391A">
        <w:rPr>
          <w:lang w:val="en-US"/>
        </w:rPr>
        <w:t>Natural hazards, such as earthquakes, floods, landslides, lightning, strong winds, etc. can cause release of toxic substances, fires and explosions when they affect critical technical systems of industrial plants that treat, store or transport dangerous substances (e.g.</w:t>
      </w:r>
      <w:r w:rsidR="00652B6E" w:rsidRPr="0088391A">
        <w:rPr>
          <w:lang w:val="en-US"/>
        </w:rPr>
        <w:t>:</w:t>
      </w:r>
      <w:r w:rsidRPr="0088391A">
        <w:rPr>
          <w:lang w:val="en-US"/>
        </w:rPr>
        <w:t xml:space="preserve"> pressure tanks, heat exchangers, columns, pipes, atmospheric tanks, etc.). This type of event is called Natech (Natural Hazard Triggering Technological Disasters). Among the natural events that can impact industrial plants are floods (river floods, high water, debris and mud flows, flash floods); they are a recurring but often overlooked characteristic also </w:t>
      </w:r>
      <w:r w:rsidR="00652B6E" w:rsidRPr="0088391A">
        <w:rPr>
          <w:lang w:val="en-US"/>
        </w:rPr>
        <w:t>considering</w:t>
      </w:r>
      <w:r w:rsidRPr="0088391A">
        <w:rPr>
          <w:lang w:val="en-US"/>
        </w:rPr>
        <w:t xml:space="preserve"> the climate changes we are experiencing.</w:t>
      </w:r>
      <w:r w:rsidR="00652B6E" w:rsidRPr="0088391A">
        <w:rPr>
          <w:lang w:val="en-US"/>
        </w:rPr>
        <w:t xml:space="preserve"> </w:t>
      </w:r>
      <w:r w:rsidRPr="0088391A">
        <w:rPr>
          <w:lang w:val="en-US"/>
        </w:rPr>
        <w:t>A lack of awareness of this type of natural hazard can significantly limit the effectiveness of management approaches against Natech incidents.</w:t>
      </w:r>
    </w:p>
    <w:p w14:paraId="1C9AE56B" w14:textId="65BC83BF" w:rsidR="00D473D9" w:rsidRPr="00293A8E" w:rsidRDefault="00293A8E" w:rsidP="006A21BF">
      <w:pPr>
        <w:pStyle w:val="CETnumberingbullets"/>
        <w:numPr>
          <w:ilvl w:val="0"/>
          <w:numId w:val="0"/>
        </w:numPr>
        <w:jc w:val="both"/>
        <w:rPr>
          <w:rFonts w:cs="Arial"/>
          <w:szCs w:val="18"/>
          <w:lang w:val="en-US"/>
        </w:rPr>
      </w:pPr>
      <w:r w:rsidRPr="00293A8E">
        <w:rPr>
          <w:lang w:val="en-US"/>
        </w:rPr>
        <w:t>In this work, authors propose to analyze vulnerability of the critical technical systems listed above following flood events, introducing a vulnerability index "I</w:t>
      </w:r>
      <w:r w:rsidRPr="00293A8E">
        <w:rPr>
          <w:vertAlign w:val="subscript"/>
          <w:lang w:val="en-US"/>
        </w:rPr>
        <w:t>V</w:t>
      </w:r>
      <w:r w:rsidRPr="00293A8E">
        <w:rPr>
          <w:lang w:val="en-US"/>
        </w:rPr>
        <w:t xml:space="preserve">". </w:t>
      </w:r>
      <w:r w:rsidRPr="00293A8E">
        <w:rPr>
          <w:rFonts w:cs="Arial"/>
          <w:szCs w:val="18"/>
          <w:lang w:val="en-US"/>
        </w:rPr>
        <w:t>Flood vulnerability index "I</w:t>
      </w:r>
      <w:r w:rsidRPr="00293A8E">
        <w:rPr>
          <w:rFonts w:cs="Arial"/>
          <w:szCs w:val="18"/>
          <w:vertAlign w:val="subscript"/>
          <w:lang w:val="en-US"/>
        </w:rPr>
        <w:t>V</w:t>
      </w:r>
      <w:r w:rsidRPr="00293A8E">
        <w:rPr>
          <w:rFonts w:cs="Arial"/>
          <w:szCs w:val="18"/>
          <w:lang w:val="en-US"/>
        </w:rPr>
        <w:t xml:space="preserve">" depends on: </w:t>
      </w:r>
    </w:p>
    <w:p w14:paraId="64F5F76F" w14:textId="5C06224A" w:rsidR="00D473D9" w:rsidRPr="00293A8E" w:rsidRDefault="00AF7AE4" w:rsidP="00AE2951">
      <w:pPr>
        <w:pStyle w:val="CETnumberingbullets"/>
        <w:numPr>
          <w:ilvl w:val="0"/>
          <w:numId w:val="19"/>
        </w:numPr>
        <w:jc w:val="both"/>
        <w:rPr>
          <w:rFonts w:cs="Arial"/>
          <w:szCs w:val="18"/>
          <w:lang w:val="en-US"/>
        </w:rPr>
      </w:pPr>
      <w:r w:rsidRPr="00293A8E">
        <w:rPr>
          <w:rFonts w:cs="Arial"/>
          <w:szCs w:val="18"/>
          <w:lang w:val="en-US"/>
        </w:rPr>
        <w:t>“I</w:t>
      </w:r>
      <w:r w:rsidRPr="00293A8E">
        <w:rPr>
          <w:rFonts w:cs="Arial"/>
          <w:szCs w:val="18"/>
          <w:vertAlign w:val="subscript"/>
          <w:lang w:val="en-US"/>
        </w:rPr>
        <w:t>Ves</w:t>
      </w:r>
      <w:r w:rsidRPr="00293A8E">
        <w:rPr>
          <w:rFonts w:cs="Arial"/>
          <w:szCs w:val="18"/>
          <w:lang w:val="en-US"/>
        </w:rPr>
        <w:t xml:space="preserve">”: </w:t>
      </w:r>
      <w:r w:rsidR="00D473D9" w:rsidRPr="00293A8E">
        <w:rPr>
          <w:rFonts w:cs="Arial"/>
          <w:szCs w:val="18"/>
          <w:lang w:val="en-US"/>
        </w:rPr>
        <w:t>Type of equipment, process storage conditions of the dangerous substances contained</w:t>
      </w:r>
      <w:r w:rsidRPr="00293A8E">
        <w:rPr>
          <w:rFonts w:cs="Arial"/>
          <w:szCs w:val="18"/>
          <w:lang w:val="en-US"/>
        </w:rPr>
        <w:t>;</w:t>
      </w:r>
      <w:r w:rsidR="00D473D9" w:rsidRPr="00293A8E">
        <w:rPr>
          <w:rFonts w:cs="Arial"/>
          <w:szCs w:val="18"/>
          <w:lang w:val="en-US"/>
        </w:rPr>
        <w:t xml:space="preserve"> </w:t>
      </w:r>
    </w:p>
    <w:p w14:paraId="5AFBC74E" w14:textId="419714CF" w:rsidR="00D473D9" w:rsidRPr="00293A8E" w:rsidRDefault="00AF7AE4" w:rsidP="00AE2951">
      <w:pPr>
        <w:pStyle w:val="CETnumberingbullets"/>
        <w:numPr>
          <w:ilvl w:val="0"/>
          <w:numId w:val="19"/>
        </w:numPr>
        <w:jc w:val="both"/>
        <w:rPr>
          <w:rFonts w:cs="Arial"/>
          <w:szCs w:val="18"/>
          <w:lang w:val="en-US"/>
        </w:rPr>
      </w:pPr>
      <w:r w:rsidRPr="00293A8E">
        <w:rPr>
          <w:rFonts w:cs="Arial"/>
          <w:szCs w:val="18"/>
          <w:lang w:val="en-US"/>
        </w:rPr>
        <w:t>“I</w:t>
      </w:r>
      <w:r w:rsidRPr="00293A8E">
        <w:rPr>
          <w:rFonts w:cs="Arial"/>
          <w:szCs w:val="18"/>
          <w:vertAlign w:val="subscript"/>
          <w:lang w:val="en-US"/>
        </w:rPr>
        <w:t>Vdm</w:t>
      </w:r>
      <w:r w:rsidRPr="00293A8E">
        <w:rPr>
          <w:rFonts w:cs="Arial"/>
          <w:szCs w:val="18"/>
          <w:lang w:val="en-US"/>
        </w:rPr>
        <w:t xml:space="preserve">”: </w:t>
      </w:r>
      <w:r w:rsidR="00D473D9" w:rsidRPr="00293A8E">
        <w:rPr>
          <w:rFonts w:cs="Arial"/>
          <w:szCs w:val="18"/>
          <w:lang w:val="en-US"/>
        </w:rPr>
        <w:t>Main Flood Damage to Critical Equipment Mode.</w:t>
      </w:r>
    </w:p>
    <w:p w14:paraId="6776F6D6" w14:textId="0A839CAD" w:rsidR="00293A8E" w:rsidRPr="00293A8E" w:rsidRDefault="003F2457" w:rsidP="00293A8E">
      <w:pPr>
        <w:pStyle w:val="CETnumberingbullets"/>
        <w:numPr>
          <w:ilvl w:val="0"/>
          <w:numId w:val="0"/>
        </w:numPr>
        <w:jc w:val="both"/>
        <w:rPr>
          <w:lang w:val="en-US"/>
        </w:rPr>
      </w:pPr>
      <w:bookmarkStart w:id="1" w:name="_Hlk165710685"/>
      <w:r>
        <w:rPr>
          <w:lang w:val="en-US"/>
        </w:rPr>
        <w:t>“</w:t>
      </w:r>
      <w:r w:rsidR="00293A8E" w:rsidRPr="00293A8E">
        <w:rPr>
          <w:lang w:val="en-US"/>
        </w:rPr>
        <w:t>I</w:t>
      </w:r>
      <w:r w:rsidR="00293A8E" w:rsidRPr="00293A8E">
        <w:rPr>
          <w:vertAlign w:val="subscript"/>
          <w:lang w:val="en-US"/>
        </w:rPr>
        <w:t>V</w:t>
      </w:r>
      <w:r>
        <w:rPr>
          <w:lang w:val="en-US"/>
        </w:rPr>
        <w:t>”</w:t>
      </w:r>
      <w:bookmarkEnd w:id="1"/>
      <w:r w:rsidR="00293A8E" w:rsidRPr="00293A8E">
        <w:rPr>
          <w:lang w:val="en-US"/>
        </w:rPr>
        <w:t xml:space="preserve"> is obtained as the average of </w:t>
      </w:r>
      <w:r>
        <w:rPr>
          <w:lang w:val="en-US"/>
        </w:rPr>
        <w:t>“</w:t>
      </w:r>
      <w:r w:rsidR="00293A8E" w:rsidRPr="00293A8E">
        <w:rPr>
          <w:lang w:val="en-US"/>
        </w:rPr>
        <w:t>I</w:t>
      </w:r>
      <w:r w:rsidR="00293A8E" w:rsidRPr="00293A8E">
        <w:rPr>
          <w:vertAlign w:val="subscript"/>
          <w:lang w:val="en-US"/>
        </w:rPr>
        <w:t>Ves</w:t>
      </w:r>
      <w:r>
        <w:rPr>
          <w:lang w:val="en-US"/>
        </w:rPr>
        <w:t>”</w:t>
      </w:r>
      <w:r w:rsidR="00293A8E" w:rsidRPr="00293A8E">
        <w:rPr>
          <w:lang w:val="en-US"/>
        </w:rPr>
        <w:t xml:space="preserve"> and </w:t>
      </w:r>
      <w:r>
        <w:rPr>
          <w:lang w:val="en-US"/>
        </w:rPr>
        <w:t>“</w:t>
      </w:r>
      <w:r w:rsidR="00293A8E" w:rsidRPr="00293A8E">
        <w:rPr>
          <w:lang w:val="en-US"/>
        </w:rPr>
        <w:t>I</w:t>
      </w:r>
      <w:r w:rsidR="00293A8E" w:rsidRPr="00293A8E">
        <w:rPr>
          <w:vertAlign w:val="subscript"/>
          <w:lang w:val="en-US"/>
        </w:rPr>
        <w:t>Vdm</w:t>
      </w:r>
      <w:r>
        <w:rPr>
          <w:lang w:val="en-US"/>
        </w:rPr>
        <w:t>”</w:t>
      </w:r>
      <w:r w:rsidR="00293A8E" w:rsidRPr="00293A8E">
        <w:rPr>
          <w:lang w:val="en-US"/>
        </w:rPr>
        <w:t xml:space="preserve">. </w:t>
      </w:r>
      <w:r>
        <w:rPr>
          <w:lang w:val="en-US"/>
        </w:rPr>
        <w:t>T</w:t>
      </w:r>
      <w:r w:rsidR="00293A8E" w:rsidRPr="00293A8E">
        <w:rPr>
          <w:lang w:val="en-US"/>
        </w:rPr>
        <w:t xml:space="preserve">his </w:t>
      </w:r>
      <w:r>
        <w:rPr>
          <w:lang w:val="en-US"/>
        </w:rPr>
        <w:t>paper</w:t>
      </w:r>
      <w:r w:rsidR="00293A8E" w:rsidRPr="00293A8E">
        <w:rPr>
          <w:lang w:val="en-US"/>
        </w:rPr>
        <w:t>, after having determined the value of</w:t>
      </w:r>
      <w:r>
        <w:rPr>
          <w:lang w:val="en-US"/>
        </w:rPr>
        <w:t xml:space="preserve"> “</w:t>
      </w:r>
      <w:r w:rsidRPr="00293A8E">
        <w:rPr>
          <w:lang w:val="en-US"/>
        </w:rPr>
        <w:t>I</w:t>
      </w:r>
      <w:r w:rsidRPr="00293A8E">
        <w:rPr>
          <w:vertAlign w:val="subscript"/>
          <w:lang w:val="en-US"/>
        </w:rPr>
        <w:t>V</w:t>
      </w:r>
      <w:r>
        <w:rPr>
          <w:lang w:val="en-US"/>
        </w:rPr>
        <w:t>”</w:t>
      </w:r>
      <w:r w:rsidR="00293A8E" w:rsidRPr="00293A8E">
        <w:rPr>
          <w:lang w:val="en-US"/>
        </w:rPr>
        <w:t xml:space="preserve"> for </w:t>
      </w:r>
      <w:r>
        <w:rPr>
          <w:lang w:val="en-US"/>
        </w:rPr>
        <w:t>single</w:t>
      </w:r>
      <w:r w:rsidR="00293A8E" w:rsidRPr="00293A8E">
        <w:rPr>
          <w:lang w:val="en-US"/>
        </w:rPr>
        <w:t xml:space="preserve"> technical system, </w:t>
      </w:r>
      <w:r>
        <w:rPr>
          <w:lang w:val="en-US"/>
        </w:rPr>
        <w:t>lists</w:t>
      </w:r>
      <w:r w:rsidR="00293A8E" w:rsidRPr="00293A8E">
        <w:rPr>
          <w:lang w:val="en-US"/>
        </w:rPr>
        <w:t xml:space="preserve"> the main prevention and mitigation actions inherent to flood events.</w:t>
      </w:r>
    </w:p>
    <w:p w14:paraId="03BBFCBC" w14:textId="77777777" w:rsidR="006F478E" w:rsidRPr="0088391A" w:rsidRDefault="006F478E" w:rsidP="006A21BF">
      <w:pPr>
        <w:pStyle w:val="CETnumberingbullets"/>
        <w:numPr>
          <w:ilvl w:val="0"/>
          <w:numId w:val="0"/>
        </w:numPr>
        <w:jc w:val="both"/>
        <w:rPr>
          <w:lang w:val="en-US"/>
        </w:rPr>
      </w:pPr>
    </w:p>
    <w:p w14:paraId="37A61FCE" w14:textId="3CF48739" w:rsidR="00DA24C6" w:rsidRPr="0088391A" w:rsidRDefault="006F478E" w:rsidP="006A21BF">
      <w:pPr>
        <w:pStyle w:val="CETnumberingbullets"/>
        <w:numPr>
          <w:ilvl w:val="0"/>
          <w:numId w:val="0"/>
        </w:numPr>
        <w:jc w:val="both"/>
        <w:rPr>
          <w:lang w:val="en-US"/>
        </w:rPr>
      </w:pPr>
      <w:r w:rsidRPr="0088391A">
        <w:rPr>
          <w:lang w:val="en-US"/>
        </w:rPr>
        <w:t>Keywords: Critical technical systems, hazardous substances, floods, natech risk, Seveso directive, vulnerability</w:t>
      </w:r>
      <w:bookmarkEnd w:id="0"/>
    </w:p>
    <w:p w14:paraId="476B2F2E" w14:textId="77777777" w:rsidR="00600535" w:rsidRPr="0088391A" w:rsidRDefault="00600535" w:rsidP="006A21BF">
      <w:pPr>
        <w:pStyle w:val="CETHeading1"/>
      </w:pPr>
      <w:r w:rsidRPr="0088391A">
        <w:t>Introduction</w:t>
      </w:r>
    </w:p>
    <w:p w14:paraId="3B03F9E2" w14:textId="18CABB16" w:rsidR="006F0FB2" w:rsidRPr="0088391A" w:rsidRDefault="006F0FB2" w:rsidP="008442EB">
      <w:pPr>
        <w:pStyle w:val="CETnumberingbullets"/>
        <w:numPr>
          <w:ilvl w:val="0"/>
          <w:numId w:val="0"/>
        </w:numPr>
        <w:jc w:val="both"/>
        <w:rPr>
          <w:lang w:val="en-US"/>
        </w:rPr>
      </w:pPr>
      <w:r w:rsidRPr="0088391A">
        <w:rPr>
          <w:lang w:val="en-US"/>
        </w:rPr>
        <w:t>Statistics show with increasing evidence that Natech events are increasing in terms of frequency. The accident data extracted from the MARS database of the European Commission show that from 1985 to today in EU countries of the approximately 7000 accident events that occurred in industrial sites, approximately 3% of them are classified as Natech, having been induced by natural events such as floods (16%), earthquakes (8%), landslides (7%), strong winds (13%) and lightning strikes (56%). The increase in Natech events is partly due to the growth in the number of industrial structures and the exposed population. Modern societies are more vulnerable, especially in urban areas, due to the concomitant presence of high population densities and concentrations of dangerous industries and infrastructures. One of the aggravating factors of Natech events is connected to the location of these activities in urbanized areas or near which the releases of dangerous substances can endanger the health and lives of many people</w:t>
      </w:r>
      <w:r w:rsidR="00FF07C7" w:rsidRPr="0088391A">
        <w:rPr>
          <w:lang w:val="en-US"/>
        </w:rPr>
        <w:t xml:space="preserve"> </w:t>
      </w:r>
      <w:r w:rsidR="00147FEF" w:rsidRPr="0088391A">
        <w:rPr>
          <w:lang w:val="en-US"/>
        </w:rPr>
        <w:t>(UNI 10617:2019)</w:t>
      </w:r>
      <w:r w:rsidR="004E099A" w:rsidRPr="0088391A">
        <w:rPr>
          <w:lang w:val="en-US"/>
        </w:rPr>
        <w:t>.</w:t>
      </w:r>
    </w:p>
    <w:p w14:paraId="0D6FF2BF" w14:textId="5A6131CE" w:rsidR="00E51C93" w:rsidRPr="0088391A" w:rsidRDefault="0018576A" w:rsidP="008442EB">
      <w:pPr>
        <w:pStyle w:val="CETnumberingbullets"/>
        <w:numPr>
          <w:ilvl w:val="0"/>
          <w:numId w:val="0"/>
        </w:numPr>
        <w:jc w:val="both"/>
        <w:rPr>
          <w:lang w:val="en-US"/>
        </w:rPr>
      </w:pPr>
      <w:r w:rsidRPr="0088391A">
        <w:rPr>
          <w:lang w:val="en-US"/>
        </w:rPr>
        <w:t>Natech</w:t>
      </w:r>
      <w:r w:rsidR="00E51C93" w:rsidRPr="0088391A">
        <w:rPr>
          <w:lang w:val="en-US"/>
        </w:rPr>
        <w:t xml:space="preserve"> risk is a combination of three fundamental factors:</w:t>
      </w:r>
    </w:p>
    <w:p w14:paraId="1AC04D46" w14:textId="0A25E4A5" w:rsidR="00E51C93" w:rsidRPr="001A1738" w:rsidRDefault="00E51C93" w:rsidP="001A1738">
      <w:pPr>
        <w:pStyle w:val="CETListbullets"/>
        <w:numPr>
          <w:ilvl w:val="0"/>
          <w:numId w:val="15"/>
        </w:numPr>
        <w:ind w:left="340" w:hanging="227"/>
      </w:pPr>
      <w:r w:rsidRPr="001A1738">
        <w:t xml:space="preserve">H (Hazard): probability of occurrence of </w:t>
      </w:r>
      <w:r w:rsidR="0018576A" w:rsidRPr="001A1738">
        <w:t>natural</w:t>
      </w:r>
      <w:r w:rsidRPr="001A1738">
        <w:t xml:space="preserve"> event in a fixed time interval and in a certain area</w:t>
      </w:r>
    </w:p>
    <w:p w14:paraId="5E613FA2" w14:textId="10C410E5" w:rsidR="00E51C93" w:rsidRPr="001A1738" w:rsidRDefault="00E51C93" w:rsidP="001A1738">
      <w:pPr>
        <w:pStyle w:val="CETListbullets"/>
        <w:numPr>
          <w:ilvl w:val="0"/>
          <w:numId w:val="15"/>
        </w:numPr>
        <w:ind w:left="340" w:hanging="227"/>
      </w:pPr>
      <w:r w:rsidRPr="001A1738">
        <w:t xml:space="preserve">V (Vulnerability): </w:t>
      </w:r>
      <w:r w:rsidR="00A214E9" w:rsidRPr="001A1738">
        <w:t>Understood as the propensity of critical technical systems containing dangerous substances to suffer damage following a natural event, it can be expressed as expected damage; it is defined as expected because it refers to a phenomenon whose intensity and frequency are not certain, but linked to a probability curve</w:t>
      </w:r>
    </w:p>
    <w:p w14:paraId="53D31573" w14:textId="1274AF74" w:rsidR="00E51C93" w:rsidRPr="0088391A" w:rsidRDefault="00E51C93" w:rsidP="001A1738">
      <w:pPr>
        <w:pStyle w:val="CETListbullets"/>
        <w:numPr>
          <w:ilvl w:val="0"/>
          <w:numId w:val="15"/>
        </w:numPr>
        <w:ind w:left="340" w:hanging="227"/>
        <w:rPr>
          <w:lang w:val="en-US"/>
        </w:rPr>
      </w:pPr>
      <w:r w:rsidRPr="001A1738">
        <w:lastRenderedPageBreak/>
        <w:t>E (Exposure): extent and severity of the damage to the receptors (people, goods, infrastructures, services) potentially</w:t>
      </w:r>
      <w:r w:rsidRPr="0088391A">
        <w:rPr>
          <w:lang w:val="en-US"/>
        </w:rPr>
        <w:t xml:space="preserve"> involved by the effects caused by the </w:t>
      </w:r>
      <w:r w:rsidR="00A214E9" w:rsidRPr="0088391A">
        <w:rPr>
          <w:lang w:val="en-US"/>
        </w:rPr>
        <w:t>natural</w:t>
      </w:r>
      <w:r w:rsidRPr="0088391A">
        <w:rPr>
          <w:lang w:val="en-US"/>
        </w:rPr>
        <w:t xml:space="preserve"> event.</w:t>
      </w:r>
    </w:p>
    <w:p w14:paraId="63EAB052" w14:textId="520F10D9" w:rsidR="00E51C93" w:rsidRPr="0088391A" w:rsidRDefault="00E51C93" w:rsidP="008442EB">
      <w:pPr>
        <w:pStyle w:val="CETnumberingbullets"/>
        <w:numPr>
          <w:ilvl w:val="0"/>
          <w:numId w:val="0"/>
        </w:numPr>
        <w:jc w:val="both"/>
        <w:rPr>
          <w:lang w:val="en-US"/>
        </w:rPr>
      </w:pPr>
      <w:r w:rsidRPr="0088391A">
        <w:rPr>
          <w:lang w:val="en-US"/>
        </w:rPr>
        <w:t>Usually, expresses itself</w:t>
      </w:r>
      <w:r w:rsidR="00FF07C7" w:rsidRPr="0088391A">
        <w:rPr>
          <w:lang w:val="en-US"/>
        </w:rPr>
        <w:t xml:space="preserve"> </w:t>
      </w:r>
      <w:r w:rsidR="00C173D8" w:rsidRPr="0088391A">
        <w:rPr>
          <w:lang w:val="en-US"/>
        </w:rPr>
        <w:t>(Muratore et al., 2022)</w:t>
      </w:r>
      <w:r w:rsidR="00FF07C7" w:rsidRPr="0088391A">
        <w:rPr>
          <w:lang w:val="en-US"/>
        </w:rPr>
        <w:t>:</w:t>
      </w:r>
    </w:p>
    <w:p w14:paraId="3D7B27EF" w14:textId="00379015" w:rsidR="00E51C93" w:rsidRPr="0088391A" w:rsidRDefault="00A214E9" w:rsidP="00CD20BC">
      <w:pPr>
        <w:pStyle w:val="CETnumberingbullets"/>
        <w:numPr>
          <w:ilvl w:val="0"/>
          <w:numId w:val="0"/>
        </w:numPr>
        <w:tabs>
          <w:tab w:val="left" w:pos="8505"/>
        </w:tabs>
        <w:rPr>
          <w:lang w:val="en-US"/>
        </w:rPr>
      </w:pPr>
      <w:r w:rsidRPr="0088391A">
        <w:rPr>
          <w:lang w:val="en-US"/>
        </w:rPr>
        <w:t>Natech</w:t>
      </w:r>
      <w:r w:rsidR="00E51C93" w:rsidRPr="0088391A">
        <w:rPr>
          <w:lang w:val="en-US"/>
        </w:rPr>
        <w:t xml:space="preserve"> Risk =</w:t>
      </w:r>
      <w:r w:rsidRPr="0088391A">
        <w:rPr>
          <w:lang w:val="en-US"/>
        </w:rPr>
        <w:t xml:space="preserve"> </w:t>
      </w:r>
      <w:r w:rsidR="00E51C93" w:rsidRPr="0088391A">
        <w:rPr>
          <w:lang w:val="en-US"/>
        </w:rPr>
        <w:t>f (H,</w:t>
      </w:r>
      <w:r w:rsidR="00FF07C7" w:rsidRPr="0088391A">
        <w:rPr>
          <w:lang w:val="en-US"/>
        </w:rPr>
        <w:t xml:space="preserve"> </w:t>
      </w:r>
      <w:r w:rsidR="00E51C93" w:rsidRPr="0088391A">
        <w:rPr>
          <w:lang w:val="en-US"/>
        </w:rPr>
        <w:t>V,</w:t>
      </w:r>
      <w:r w:rsidR="00FF07C7" w:rsidRPr="0088391A">
        <w:rPr>
          <w:lang w:val="en-US"/>
        </w:rPr>
        <w:t xml:space="preserve"> E) </w:t>
      </w:r>
      <w:r w:rsidR="00CD20BC" w:rsidRPr="0088391A">
        <w:rPr>
          <w:lang w:val="en-US"/>
        </w:rPr>
        <w:tab/>
      </w:r>
      <w:r w:rsidR="00FF07C7" w:rsidRPr="0088391A">
        <w:rPr>
          <w:lang w:val="en-US"/>
        </w:rPr>
        <w:t>(</w:t>
      </w:r>
      <w:r w:rsidR="00E51C93" w:rsidRPr="0088391A">
        <w:rPr>
          <w:lang w:val="en-US"/>
        </w:rPr>
        <w:t>1)</w:t>
      </w:r>
    </w:p>
    <w:p w14:paraId="38B7D61D" w14:textId="77777777" w:rsidR="00E51C93" w:rsidRPr="0088391A" w:rsidRDefault="00E51C93" w:rsidP="008442EB">
      <w:pPr>
        <w:pStyle w:val="CETnumberingbullets"/>
        <w:numPr>
          <w:ilvl w:val="0"/>
          <w:numId w:val="0"/>
        </w:numPr>
        <w:jc w:val="both"/>
        <w:rPr>
          <w:lang w:val="en-US"/>
        </w:rPr>
      </w:pPr>
      <w:r w:rsidRPr="0088391A">
        <w:rPr>
          <w:lang w:val="en-US"/>
        </w:rPr>
        <w:t>Expression (1) is not easy to calculate, because its three variables are characterized by other variables.</w:t>
      </w:r>
    </w:p>
    <w:p w14:paraId="7F9DEBA6" w14:textId="6F91AD6F" w:rsidR="00E51C93" w:rsidRPr="0088391A" w:rsidRDefault="00E51C93" w:rsidP="008442EB">
      <w:pPr>
        <w:pStyle w:val="CETnumberingbullets"/>
        <w:numPr>
          <w:ilvl w:val="0"/>
          <w:numId w:val="0"/>
        </w:numPr>
        <w:jc w:val="both"/>
        <w:rPr>
          <w:lang w:val="en-US"/>
        </w:rPr>
      </w:pPr>
      <w:r w:rsidRPr="0088391A">
        <w:rPr>
          <w:lang w:val="en-US"/>
        </w:rPr>
        <w:t xml:space="preserve">Authors propose a simplified index method regulated by </w:t>
      </w:r>
      <w:r w:rsidR="003272F4">
        <w:rPr>
          <w:lang w:val="en-US"/>
        </w:rPr>
        <w:t>equation</w:t>
      </w:r>
      <w:r w:rsidRPr="0088391A">
        <w:rPr>
          <w:lang w:val="en-US"/>
        </w:rPr>
        <w:t xml:space="preserve"> (2). This method can be applied to the single pressure equipment present within the same establishment:</w:t>
      </w:r>
    </w:p>
    <w:p w14:paraId="0C87839E" w14:textId="035E7E99" w:rsidR="004E099A" w:rsidRPr="0088391A" w:rsidRDefault="00A214E9" w:rsidP="00CD20BC">
      <w:pPr>
        <w:pStyle w:val="CETnumberingbullets"/>
        <w:numPr>
          <w:ilvl w:val="0"/>
          <w:numId w:val="0"/>
        </w:numPr>
        <w:tabs>
          <w:tab w:val="left" w:pos="8505"/>
        </w:tabs>
        <w:rPr>
          <w:lang w:val="en-US"/>
        </w:rPr>
      </w:pPr>
      <w:r w:rsidRPr="0088391A">
        <w:rPr>
          <w:lang w:val="en-US"/>
        </w:rPr>
        <w:t>I</w:t>
      </w:r>
      <w:r w:rsidR="008B2AD0" w:rsidRPr="0088391A">
        <w:rPr>
          <w:vertAlign w:val="subscript"/>
          <w:lang w:val="en-US"/>
        </w:rPr>
        <w:t>NR</w:t>
      </w:r>
      <w:r w:rsidRPr="0088391A">
        <w:rPr>
          <w:lang w:val="en-US"/>
        </w:rPr>
        <w:t xml:space="preserve"> = I</w:t>
      </w:r>
      <w:r w:rsidRPr="0088391A">
        <w:rPr>
          <w:vertAlign w:val="subscript"/>
          <w:lang w:val="en-US"/>
        </w:rPr>
        <w:t>H</w:t>
      </w:r>
      <w:r w:rsidRPr="0088391A">
        <w:rPr>
          <w:lang w:val="en-US"/>
        </w:rPr>
        <w:t xml:space="preserve"> * I</w:t>
      </w:r>
      <w:r w:rsidRPr="0088391A">
        <w:rPr>
          <w:vertAlign w:val="subscript"/>
          <w:lang w:val="en-US"/>
        </w:rPr>
        <w:t>V</w:t>
      </w:r>
      <w:r w:rsidR="00FF07C7" w:rsidRPr="0088391A">
        <w:rPr>
          <w:lang w:val="en-US"/>
        </w:rPr>
        <w:t xml:space="preserve"> </w:t>
      </w:r>
      <w:r w:rsidRPr="0088391A">
        <w:rPr>
          <w:lang w:val="en-US"/>
        </w:rPr>
        <w:t xml:space="preserve">* </w:t>
      </w:r>
      <w:r w:rsidR="00A31551" w:rsidRPr="0088391A">
        <w:rPr>
          <w:lang w:val="en-US"/>
        </w:rPr>
        <w:t>I</w:t>
      </w:r>
      <w:r w:rsidR="00A31551" w:rsidRPr="0088391A">
        <w:rPr>
          <w:vertAlign w:val="subscript"/>
          <w:lang w:val="en-US"/>
        </w:rPr>
        <w:t xml:space="preserve">E </w:t>
      </w:r>
      <w:r w:rsidR="00CD20BC" w:rsidRPr="0088391A">
        <w:rPr>
          <w:vertAlign w:val="subscript"/>
          <w:lang w:val="en-US"/>
        </w:rPr>
        <w:tab/>
      </w:r>
      <w:r w:rsidR="00A31551" w:rsidRPr="0088391A">
        <w:rPr>
          <w:lang w:val="en-US"/>
        </w:rPr>
        <w:t>(2</w:t>
      </w:r>
      <w:r w:rsidR="00530837" w:rsidRPr="0088391A">
        <w:rPr>
          <w:lang w:val="en-US"/>
        </w:rPr>
        <w:t>)</w:t>
      </w:r>
    </w:p>
    <w:p w14:paraId="0D728D02" w14:textId="456B3A44" w:rsidR="004E099A" w:rsidRPr="0088391A" w:rsidRDefault="008B2AD0" w:rsidP="008442EB">
      <w:pPr>
        <w:pStyle w:val="CETnumberingbullets"/>
        <w:numPr>
          <w:ilvl w:val="0"/>
          <w:numId w:val="0"/>
        </w:numPr>
        <w:jc w:val="both"/>
        <w:rPr>
          <w:lang w:val="en-US"/>
        </w:rPr>
      </w:pPr>
      <w:r w:rsidRPr="0088391A">
        <w:rPr>
          <w:lang w:val="en-US"/>
        </w:rPr>
        <w:t xml:space="preserve">Reducing the Natech Risk means intervening on the three factors highlighted above. This can be done on newly located </w:t>
      </w:r>
      <w:r w:rsidR="006A21BF" w:rsidRPr="0088391A">
        <w:rPr>
          <w:lang w:val="en-US"/>
        </w:rPr>
        <w:t>establishments</w:t>
      </w:r>
      <w:r w:rsidRPr="0088391A">
        <w:rPr>
          <w:lang w:val="en-US"/>
        </w:rPr>
        <w:t>. In the presence of existing establishments, therefore already located in a</w:t>
      </w:r>
      <w:r w:rsidR="00EC6760" w:rsidRPr="0088391A">
        <w:rPr>
          <w:lang w:val="en-US"/>
        </w:rPr>
        <w:t>n</w:t>
      </w:r>
      <w:r w:rsidRPr="0088391A">
        <w:rPr>
          <w:lang w:val="en-US"/>
        </w:rPr>
        <w:t xml:space="preserve"> area, little can be done on the "H" and "E" factors, while it is possible to intervene with physical and procedural measures on the "V" vulnerability factor by reducing it.</w:t>
      </w:r>
      <w:r w:rsidR="00EC6760" w:rsidRPr="0088391A">
        <w:rPr>
          <w:lang w:val="en-US"/>
        </w:rPr>
        <w:t xml:space="preserve"> </w:t>
      </w:r>
      <w:r w:rsidR="00615756" w:rsidRPr="0088391A">
        <w:rPr>
          <w:lang w:val="en-US"/>
        </w:rPr>
        <w:t xml:space="preserve">Among the natural events that can impact industrial plants are floods which bring together various phenomena: river floods, high water, flash floods. In fact, </w:t>
      </w:r>
      <w:r w:rsidR="007328C9">
        <w:rPr>
          <w:lang w:val="en-US"/>
        </w:rPr>
        <w:t xml:space="preserve">art. 2 of </w:t>
      </w:r>
      <w:r w:rsidR="00615756" w:rsidRPr="0088391A">
        <w:rPr>
          <w:lang w:val="en-US"/>
        </w:rPr>
        <w:t>Floods Directive</w:t>
      </w:r>
      <w:r w:rsidR="007328C9">
        <w:rPr>
          <w:lang w:val="en-US"/>
        </w:rPr>
        <w:t>,</w:t>
      </w:r>
      <w:r w:rsidR="00615756" w:rsidRPr="0088391A">
        <w:rPr>
          <w:lang w:val="en-US"/>
        </w:rPr>
        <w:t xml:space="preserve"> highlights that </w:t>
      </w:r>
      <w:r w:rsidR="00EC6760" w:rsidRPr="0088391A">
        <w:rPr>
          <w:i/>
          <w:iCs/>
          <w:lang w:val="en-US"/>
        </w:rPr>
        <w:t>‘flood’ means the temporary covering by water of land not normally covered by water. This shall include floods from rivers, mountain torrents, Mediterranean ephemeral water courses, and floods from the sea in coastal areas, and may exclude floods from sewerage systems</w:t>
      </w:r>
      <w:r w:rsidR="00615756" w:rsidRPr="0088391A">
        <w:rPr>
          <w:lang w:val="en-US"/>
        </w:rPr>
        <w:t xml:space="preserve"> </w:t>
      </w:r>
      <w:r w:rsidR="001C334C">
        <w:rPr>
          <w:lang w:val="en-US"/>
        </w:rPr>
        <w:t>(</w:t>
      </w:r>
      <w:r w:rsidR="001C334C" w:rsidRPr="001C334C">
        <w:rPr>
          <w:lang w:val="en-US"/>
        </w:rPr>
        <w:t>European Union,</w:t>
      </w:r>
      <w:r w:rsidR="001C334C">
        <w:rPr>
          <w:lang w:val="en-US"/>
        </w:rPr>
        <w:t xml:space="preserve"> </w:t>
      </w:r>
      <w:r w:rsidR="001C334C" w:rsidRPr="001C334C">
        <w:rPr>
          <w:lang w:val="en-US"/>
        </w:rPr>
        <w:t>Directive 2007/60/EC</w:t>
      </w:r>
      <w:r w:rsidR="001C334C">
        <w:rPr>
          <w:lang w:val="en-US"/>
        </w:rPr>
        <w:t>)</w:t>
      </w:r>
      <w:r w:rsidR="00615756" w:rsidRPr="0088391A">
        <w:rPr>
          <w:lang w:val="en-US"/>
        </w:rPr>
        <w:t>. These natural events of flood origin are recurring but often overlooked feature. A lack of awareness of this type of natural hazard can significantly limit the effectiveness of management approaches against Natech incidents.</w:t>
      </w:r>
    </w:p>
    <w:p w14:paraId="0F4A9DE3" w14:textId="77777777" w:rsidR="00835563" w:rsidRPr="0088391A" w:rsidRDefault="00835563" w:rsidP="008442EB">
      <w:pPr>
        <w:pStyle w:val="CETnumberingbullets"/>
        <w:numPr>
          <w:ilvl w:val="0"/>
          <w:numId w:val="0"/>
        </w:numPr>
        <w:jc w:val="both"/>
        <w:rPr>
          <w:lang w:val="en-US"/>
        </w:rPr>
      </w:pPr>
      <w:r w:rsidRPr="0088391A">
        <w:rPr>
          <w:lang w:val="en-US"/>
        </w:rPr>
        <w:t>This work aims to synthetically analyze the "V" vulnerability of the damage caused to the critical primary containment technical systems previously highlighted following natural flood events through the following steps:</w:t>
      </w:r>
    </w:p>
    <w:p w14:paraId="3C97D326" w14:textId="5D15CDFE" w:rsidR="00835563" w:rsidRPr="001A1738" w:rsidRDefault="00835563" w:rsidP="001A1738">
      <w:pPr>
        <w:pStyle w:val="CETListbullets"/>
        <w:numPr>
          <w:ilvl w:val="0"/>
          <w:numId w:val="15"/>
        </w:numPr>
        <w:ind w:left="340" w:hanging="227"/>
      </w:pPr>
      <w:r w:rsidRPr="001A1738">
        <w:t>Identify the types of critical primary containment technical systems containing dangerous substances (</w:t>
      </w:r>
      <w:r w:rsidR="008442EB" w:rsidRPr="001A1738">
        <w:t xml:space="preserve">e.g.: </w:t>
      </w:r>
      <w:r w:rsidRPr="001A1738">
        <w:t>atmospheric tanks, pressure tanks, reactors, stirrers, distillation columns, heat exchangers, pressure pipes, etc.) by analyzing the storage and process conditions of the dangerous substances contained (e.g.</w:t>
      </w:r>
      <w:r w:rsidR="008442EB" w:rsidRPr="001A1738">
        <w:t>:</w:t>
      </w:r>
      <w:r w:rsidRPr="001A1738">
        <w:t xml:space="preserve"> temperature, pressure, physical state, volume)</w:t>
      </w:r>
    </w:p>
    <w:p w14:paraId="278C2FCC" w14:textId="6EDF7BB8" w:rsidR="00835563" w:rsidRPr="001A1738" w:rsidRDefault="0060069E" w:rsidP="001A1738">
      <w:pPr>
        <w:pStyle w:val="CETListbullets"/>
        <w:numPr>
          <w:ilvl w:val="0"/>
          <w:numId w:val="15"/>
        </w:numPr>
        <w:ind w:left="340" w:hanging="227"/>
      </w:pPr>
      <w:r w:rsidRPr="001A1738">
        <w:t>A</w:t>
      </w:r>
      <w:r w:rsidR="00835563" w:rsidRPr="001A1738">
        <w:t>nalyze all possible damage to the individual technical system (e.g.</w:t>
      </w:r>
      <w:r w:rsidR="008442EB" w:rsidRPr="001A1738">
        <w:t>:</w:t>
      </w:r>
      <w:r w:rsidR="00835563" w:rsidRPr="001A1738">
        <w:t xml:space="preserve"> buckling, rupture of pipes and connections, tearing, displacement, overturning, puncturing damage, ignition and sparking, overfilling, support leg failure, shell-to-button delachment, </w:t>
      </w:r>
      <w:r w:rsidR="008442EB" w:rsidRPr="001A1738">
        <w:t>etc.)</w:t>
      </w:r>
    </w:p>
    <w:p w14:paraId="48127A87" w14:textId="166E60D2" w:rsidR="00835563" w:rsidRPr="001A1738" w:rsidRDefault="0060069E" w:rsidP="001A1738">
      <w:pPr>
        <w:pStyle w:val="CETListbullets"/>
        <w:numPr>
          <w:ilvl w:val="0"/>
          <w:numId w:val="15"/>
        </w:numPr>
        <w:ind w:left="340" w:hanging="227"/>
      </w:pPr>
      <w:r w:rsidRPr="001A1738">
        <w:t>I</w:t>
      </w:r>
      <w:r w:rsidR="00835563" w:rsidRPr="001A1738">
        <w:t>dentify the vulnerability (V) of each critical technical system which as we know is one of the essential factors for determining the natech risk</w:t>
      </w:r>
      <w:r w:rsidRPr="001A1738">
        <w:t xml:space="preserve"> (NR)</w:t>
      </w:r>
      <w:r w:rsidR="00835563" w:rsidRPr="001A1738">
        <w:t xml:space="preserve"> </w:t>
      </w:r>
      <w:r w:rsidR="000B63C8" w:rsidRPr="001A1738">
        <w:t>together</w:t>
      </w:r>
      <w:r w:rsidR="00835563" w:rsidRPr="001A1738">
        <w:t xml:space="preserve"> with the </w:t>
      </w:r>
      <w:r w:rsidRPr="001A1738">
        <w:t>hazard</w:t>
      </w:r>
      <w:r w:rsidR="00835563" w:rsidRPr="001A1738">
        <w:t xml:space="preserve"> (H) and exposure (E)</w:t>
      </w:r>
    </w:p>
    <w:p w14:paraId="07F36995" w14:textId="7D54835E" w:rsidR="00835563" w:rsidRPr="0088391A" w:rsidRDefault="00835563" w:rsidP="001A1738">
      <w:pPr>
        <w:pStyle w:val="CETListbullets"/>
        <w:numPr>
          <w:ilvl w:val="0"/>
          <w:numId w:val="15"/>
        </w:numPr>
        <w:ind w:left="340" w:hanging="227"/>
        <w:rPr>
          <w:lang w:val="en-US"/>
        </w:rPr>
      </w:pPr>
      <w:r w:rsidRPr="001A1738">
        <w:t>Corrective</w:t>
      </w:r>
      <w:r w:rsidRPr="0088391A">
        <w:rPr>
          <w:lang w:val="en-US"/>
        </w:rPr>
        <w:t xml:space="preserve"> prevention and mitigation actions for flood events</w:t>
      </w:r>
    </w:p>
    <w:p w14:paraId="2FC63DDA" w14:textId="2026391F" w:rsidR="004E099A" w:rsidRPr="0088391A" w:rsidRDefault="00835563" w:rsidP="008442EB">
      <w:pPr>
        <w:pStyle w:val="CETnumberingbullets"/>
        <w:numPr>
          <w:ilvl w:val="0"/>
          <w:numId w:val="0"/>
        </w:numPr>
        <w:jc w:val="both"/>
        <w:rPr>
          <w:lang w:val="en-US"/>
        </w:rPr>
      </w:pPr>
      <w:r w:rsidRPr="0088391A">
        <w:rPr>
          <w:lang w:val="en-US"/>
        </w:rPr>
        <w:t>The aim of this work is to focus on identifying the vulnerability of the main critical systems that are involved in a flood.</w:t>
      </w:r>
    </w:p>
    <w:p w14:paraId="408C5040" w14:textId="5CC8A6A0" w:rsidR="00191681" w:rsidRPr="0088391A" w:rsidRDefault="00191681" w:rsidP="008442EB">
      <w:pPr>
        <w:pStyle w:val="CETHeading1"/>
        <w:jc w:val="both"/>
      </w:pPr>
      <w:r w:rsidRPr="0088391A">
        <w:t xml:space="preserve">Actions and effects of floods </w:t>
      </w:r>
      <w:r w:rsidR="005D3358">
        <w:t xml:space="preserve">and flash floods </w:t>
      </w:r>
      <w:r w:rsidRPr="0088391A">
        <w:t xml:space="preserve">on structures, </w:t>
      </w:r>
      <w:r w:rsidR="0032585D" w:rsidRPr="0088391A">
        <w:t>systems,</w:t>
      </w:r>
      <w:r w:rsidRPr="0088391A">
        <w:t xml:space="preserve"> and equipment</w:t>
      </w:r>
    </w:p>
    <w:p w14:paraId="57A53E9D" w14:textId="41ED6A57" w:rsidR="00191681" w:rsidRPr="0088391A" w:rsidRDefault="00142B64" w:rsidP="00A72FE2">
      <w:pPr>
        <w:pStyle w:val="CETnumberingbullets"/>
        <w:numPr>
          <w:ilvl w:val="0"/>
          <w:numId w:val="0"/>
        </w:numPr>
        <w:jc w:val="both"/>
        <w:rPr>
          <w:lang w:val="en-US"/>
        </w:rPr>
      </w:pPr>
      <w:r w:rsidRPr="0088391A">
        <w:rPr>
          <w:lang w:val="en-US"/>
        </w:rPr>
        <w:t>Operator</w:t>
      </w:r>
      <w:r w:rsidR="00191681" w:rsidRPr="0088391A">
        <w:rPr>
          <w:lang w:val="en-US"/>
        </w:rPr>
        <w:t xml:space="preserve"> of an </w:t>
      </w:r>
      <w:r w:rsidRPr="0088391A">
        <w:rPr>
          <w:lang w:val="en-US"/>
        </w:rPr>
        <w:t>establishment</w:t>
      </w:r>
      <w:r w:rsidR="00191681" w:rsidRPr="0088391A">
        <w:rPr>
          <w:lang w:val="en-US"/>
        </w:rPr>
        <w:t xml:space="preserve">, based on information on dangers of flooding in the area where </w:t>
      </w:r>
      <w:r w:rsidRPr="0088391A">
        <w:rPr>
          <w:lang w:val="en-US"/>
        </w:rPr>
        <w:t xml:space="preserve">establishment </w:t>
      </w:r>
      <w:r w:rsidR="00191681" w:rsidRPr="0088391A">
        <w:rPr>
          <w:lang w:val="en-US"/>
        </w:rPr>
        <w:t xml:space="preserve">is located, must integrate </w:t>
      </w:r>
      <w:r w:rsidR="0006334E" w:rsidRPr="0088391A">
        <w:rPr>
          <w:lang w:val="en-US"/>
        </w:rPr>
        <w:t xml:space="preserve">risks </w:t>
      </w:r>
      <w:r w:rsidR="00191681" w:rsidRPr="0088391A">
        <w:rPr>
          <w:lang w:val="en-US"/>
        </w:rPr>
        <w:t>assessment that can be induced by these natural events.</w:t>
      </w:r>
    </w:p>
    <w:p w14:paraId="1428E542" w14:textId="437E5CD8" w:rsidR="00191681" w:rsidRPr="0088391A" w:rsidRDefault="00191681" w:rsidP="00A72FE2">
      <w:pPr>
        <w:pStyle w:val="CETnumberingbullets"/>
        <w:numPr>
          <w:ilvl w:val="0"/>
          <w:numId w:val="0"/>
        </w:numPr>
        <w:jc w:val="both"/>
        <w:rPr>
          <w:lang w:val="en-US"/>
        </w:rPr>
      </w:pPr>
      <w:r w:rsidRPr="0088391A">
        <w:rPr>
          <w:lang w:val="en-US"/>
        </w:rPr>
        <w:t>The actions of flood</w:t>
      </w:r>
      <w:r w:rsidR="0006334E" w:rsidRPr="0088391A">
        <w:rPr>
          <w:lang w:val="en-US"/>
        </w:rPr>
        <w:t>s</w:t>
      </w:r>
      <w:r w:rsidR="005D3358">
        <w:rPr>
          <w:lang w:val="en-US"/>
        </w:rPr>
        <w:t xml:space="preserve"> and flash floods</w:t>
      </w:r>
      <w:r w:rsidRPr="0088391A">
        <w:rPr>
          <w:lang w:val="en-US"/>
        </w:rPr>
        <w:t xml:space="preserve"> on </w:t>
      </w:r>
      <w:r w:rsidR="0006334E" w:rsidRPr="0088391A">
        <w:rPr>
          <w:lang w:val="en-US"/>
        </w:rPr>
        <w:t>establishments</w:t>
      </w:r>
      <w:r w:rsidRPr="0088391A">
        <w:rPr>
          <w:lang w:val="en-US"/>
        </w:rPr>
        <w:t xml:space="preserve"> are:</w:t>
      </w:r>
    </w:p>
    <w:p w14:paraId="695A68B2" w14:textId="44789F49" w:rsidR="00A72FE2" w:rsidRPr="0088391A" w:rsidRDefault="00A72FE2" w:rsidP="00AE2951">
      <w:pPr>
        <w:pStyle w:val="CETnumberingbullets"/>
        <w:numPr>
          <w:ilvl w:val="0"/>
          <w:numId w:val="16"/>
        </w:numPr>
        <w:jc w:val="both"/>
        <w:rPr>
          <w:b/>
          <w:bCs/>
          <w:lang w:val="en-US"/>
        </w:rPr>
      </w:pPr>
      <w:r w:rsidRPr="0088391A">
        <w:rPr>
          <w:b/>
          <w:bCs/>
          <w:lang w:val="en-US"/>
        </w:rPr>
        <w:t>those induced by the presence of water</w:t>
      </w:r>
      <w:r w:rsidR="005D3358">
        <w:rPr>
          <w:b/>
          <w:bCs/>
          <w:lang w:val="en-US"/>
        </w:rPr>
        <w:t xml:space="preserve"> (</w:t>
      </w:r>
      <w:r w:rsidR="005D3358" w:rsidRPr="005D3358">
        <w:rPr>
          <w:b/>
          <w:bCs/>
          <w:lang w:val="en-US"/>
        </w:rPr>
        <w:t>floods with water speed &lt; 1.5 m/s</w:t>
      </w:r>
      <w:r w:rsidR="005D3358">
        <w:rPr>
          <w:b/>
          <w:bCs/>
          <w:lang w:val="en-US"/>
        </w:rPr>
        <w:t>)</w:t>
      </w:r>
      <w:r w:rsidRPr="0088391A">
        <w:rPr>
          <w:b/>
          <w:bCs/>
          <w:lang w:val="en-US"/>
        </w:rPr>
        <w:t>:</w:t>
      </w:r>
    </w:p>
    <w:p w14:paraId="4C6F6E92" w14:textId="15063503" w:rsidR="00A72FE2" w:rsidRPr="0088391A" w:rsidRDefault="00A72FE2" w:rsidP="00A72FE2">
      <w:pPr>
        <w:pStyle w:val="CETnumberingbullets"/>
        <w:numPr>
          <w:ilvl w:val="0"/>
          <w:numId w:val="0"/>
        </w:numPr>
        <w:ind w:left="993" w:hanging="284"/>
        <w:jc w:val="both"/>
        <w:rPr>
          <w:lang w:val="en-US"/>
        </w:rPr>
      </w:pPr>
      <w:r w:rsidRPr="0088391A">
        <w:rPr>
          <w:lang w:val="en-US"/>
        </w:rPr>
        <w:t xml:space="preserve">a1) horizontal hydrostatic thrust (in Newton, N), proportional to the square of the hydrometric height "h" (in </w:t>
      </w:r>
      <w:r w:rsidR="00D704D4" w:rsidRPr="0088391A">
        <w:rPr>
          <w:lang w:val="en-US"/>
        </w:rPr>
        <w:t>meters</w:t>
      </w:r>
      <w:r w:rsidRPr="0088391A">
        <w:rPr>
          <w:lang w:val="en-US"/>
        </w:rPr>
        <w:t>, m) of the flood: F</w:t>
      </w:r>
      <w:r w:rsidRPr="0088391A">
        <w:rPr>
          <w:vertAlign w:val="subscript"/>
          <w:lang w:val="en-US"/>
        </w:rPr>
        <w:t>h</w:t>
      </w:r>
      <w:r w:rsidRPr="0088391A">
        <w:rPr>
          <w:lang w:val="en-US"/>
        </w:rPr>
        <w:t xml:space="preserve"> = </w:t>
      </w:r>
      <w:bookmarkStart w:id="2" w:name="_Hlk158028283"/>
      <w:r w:rsidRPr="0088391A">
        <w:rPr>
          <w:lang w:val="en-US"/>
        </w:rPr>
        <w:t>½ γ b h</w:t>
      </w:r>
      <w:r w:rsidRPr="0088391A">
        <w:rPr>
          <w:vertAlign w:val="superscript"/>
          <w:lang w:val="en-US"/>
        </w:rPr>
        <w:t>2</w:t>
      </w:r>
      <w:bookmarkEnd w:id="2"/>
      <w:r w:rsidRPr="0088391A">
        <w:rPr>
          <w:lang w:val="en-US"/>
        </w:rPr>
        <w:t>; γ</w:t>
      </w:r>
      <w:r w:rsidR="0008187F">
        <w:rPr>
          <w:lang w:val="en-US"/>
        </w:rPr>
        <w:t>=</w:t>
      </w:r>
      <w:r w:rsidR="0008187F" w:rsidRPr="0008187F">
        <w:t xml:space="preserve"> </w:t>
      </w:r>
      <w:r w:rsidR="0008187F" w:rsidRPr="0008187F">
        <w:rPr>
          <w:lang w:val="en-US"/>
        </w:rPr>
        <w:t>ρ</w:t>
      </w:r>
      <w:r w:rsidR="0008187F">
        <w:rPr>
          <w:lang w:val="en-US"/>
        </w:rPr>
        <w:t>*g</w:t>
      </w:r>
      <w:r w:rsidRPr="0088391A">
        <w:rPr>
          <w:lang w:val="en-US"/>
        </w:rPr>
        <w:t xml:space="preserve"> being the specific weight of the water (</w:t>
      </w:r>
      <w:r w:rsidR="0008187F" w:rsidRPr="0008187F">
        <w:rPr>
          <w:lang w:val="en-US"/>
        </w:rPr>
        <w:t xml:space="preserve">approximately 10000 </w:t>
      </w:r>
      <w:r w:rsidRPr="0088391A">
        <w:rPr>
          <w:lang w:val="en-US"/>
        </w:rPr>
        <w:t>in N/m</w:t>
      </w:r>
      <w:r w:rsidRPr="0088391A">
        <w:rPr>
          <w:vertAlign w:val="superscript"/>
          <w:lang w:val="en-US"/>
        </w:rPr>
        <w:t>3</w:t>
      </w:r>
      <w:r w:rsidRPr="0088391A">
        <w:rPr>
          <w:lang w:val="en-US"/>
        </w:rPr>
        <w:t>), while “b” is the width in meters of the stream</w:t>
      </w:r>
    </w:p>
    <w:p w14:paraId="69F1C52E" w14:textId="20D56191" w:rsidR="00A72FE2" w:rsidRPr="0088391A" w:rsidRDefault="00A72FE2" w:rsidP="00A72FE2">
      <w:pPr>
        <w:pStyle w:val="CETnumberingbullets"/>
        <w:numPr>
          <w:ilvl w:val="0"/>
          <w:numId w:val="0"/>
        </w:numPr>
        <w:ind w:left="993" w:hanging="285"/>
        <w:jc w:val="both"/>
        <w:rPr>
          <w:lang w:val="en-US"/>
        </w:rPr>
      </w:pPr>
      <w:r w:rsidRPr="0088391A">
        <w:rPr>
          <w:lang w:val="en-US"/>
        </w:rPr>
        <w:t>a2) the buoyancy force, vertical force from bottom to top in Newton equal to F</w:t>
      </w:r>
      <w:r w:rsidRPr="0088391A">
        <w:rPr>
          <w:vertAlign w:val="subscript"/>
          <w:lang w:val="en-US"/>
        </w:rPr>
        <w:t>v</w:t>
      </w:r>
      <w:r w:rsidRPr="0088391A">
        <w:rPr>
          <w:lang w:val="en-US"/>
        </w:rPr>
        <w:t xml:space="preserve"> = γ A h, where </w:t>
      </w:r>
      <w:r w:rsidR="00206BE1">
        <w:rPr>
          <w:lang w:val="en-US"/>
        </w:rPr>
        <w:t>“</w:t>
      </w:r>
      <w:r w:rsidRPr="0088391A">
        <w:rPr>
          <w:lang w:val="en-US"/>
        </w:rPr>
        <w:t>A</w:t>
      </w:r>
      <w:r w:rsidR="00206BE1">
        <w:rPr>
          <w:lang w:val="en-US"/>
        </w:rPr>
        <w:t>”</w:t>
      </w:r>
      <w:r w:rsidRPr="0088391A">
        <w:rPr>
          <w:lang w:val="en-US"/>
        </w:rPr>
        <w:t xml:space="preserve"> is the area of the horizontal surface in contact with water in m</w:t>
      </w:r>
      <w:r w:rsidRPr="0088391A">
        <w:rPr>
          <w:vertAlign w:val="superscript"/>
          <w:lang w:val="en-US"/>
        </w:rPr>
        <w:t>2</w:t>
      </w:r>
      <w:r w:rsidRPr="0088391A">
        <w:rPr>
          <w:lang w:val="en-US"/>
        </w:rPr>
        <w:t>, while γ and h</w:t>
      </w:r>
      <w:r w:rsidR="001874B2">
        <w:rPr>
          <w:lang w:val="en-US"/>
        </w:rPr>
        <w:t xml:space="preserve"> </w:t>
      </w:r>
      <w:r w:rsidRPr="0088391A">
        <w:rPr>
          <w:lang w:val="en-US"/>
        </w:rPr>
        <w:t>a</w:t>
      </w:r>
      <w:r w:rsidR="001874B2">
        <w:rPr>
          <w:lang w:val="en-US"/>
        </w:rPr>
        <w:t>re</w:t>
      </w:r>
      <w:r w:rsidRPr="0088391A">
        <w:rPr>
          <w:lang w:val="en-US"/>
        </w:rPr>
        <w:t xml:space="preserve"> defined above</w:t>
      </w:r>
    </w:p>
    <w:p w14:paraId="309011C8" w14:textId="071ABE8D" w:rsidR="00191681" w:rsidRPr="0088391A" w:rsidRDefault="00A72FE2" w:rsidP="00A72FE2">
      <w:pPr>
        <w:pStyle w:val="CETnumberingbullets"/>
        <w:numPr>
          <w:ilvl w:val="0"/>
          <w:numId w:val="0"/>
        </w:numPr>
        <w:ind w:left="708"/>
        <w:jc w:val="both"/>
        <w:rPr>
          <w:lang w:val="en-US"/>
        </w:rPr>
      </w:pPr>
      <w:r w:rsidRPr="0088391A">
        <w:rPr>
          <w:lang w:val="en-US"/>
        </w:rPr>
        <w:t>a3) chemical and biological contamination</w:t>
      </w:r>
    </w:p>
    <w:p w14:paraId="1E9B4AD8" w14:textId="618E05AF" w:rsidR="00AC1B28" w:rsidRPr="0088391A" w:rsidRDefault="00AC1B28" w:rsidP="00AE2951">
      <w:pPr>
        <w:pStyle w:val="CETnumberingbullets"/>
        <w:numPr>
          <w:ilvl w:val="0"/>
          <w:numId w:val="16"/>
        </w:numPr>
        <w:jc w:val="both"/>
        <w:rPr>
          <w:b/>
          <w:bCs/>
          <w:lang w:val="en-US"/>
        </w:rPr>
      </w:pPr>
      <w:r w:rsidRPr="0088391A">
        <w:rPr>
          <w:b/>
          <w:bCs/>
          <w:lang w:val="en-US"/>
        </w:rPr>
        <w:t>those determined by speed of the current</w:t>
      </w:r>
      <w:r w:rsidR="005D3358">
        <w:rPr>
          <w:b/>
          <w:bCs/>
          <w:lang w:val="en-US"/>
        </w:rPr>
        <w:t xml:space="preserve"> (</w:t>
      </w:r>
      <w:r w:rsidR="005D3358" w:rsidRPr="005D3358">
        <w:rPr>
          <w:b/>
          <w:bCs/>
          <w:lang w:val="en-US"/>
        </w:rPr>
        <w:t xml:space="preserve">floods </w:t>
      </w:r>
      <w:r w:rsidR="005D3358">
        <w:rPr>
          <w:b/>
          <w:bCs/>
          <w:lang w:val="en-US"/>
        </w:rPr>
        <w:t xml:space="preserve">or flash floods </w:t>
      </w:r>
      <w:r w:rsidR="005D3358" w:rsidRPr="005D3358">
        <w:rPr>
          <w:b/>
          <w:bCs/>
          <w:lang w:val="en-US"/>
        </w:rPr>
        <w:t xml:space="preserve">with water speed </w:t>
      </w:r>
      <w:r w:rsidR="005D3358">
        <w:rPr>
          <w:b/>
          <w:bCs/>
          <w:lang w:val="en-US"/>
        </w:rPr>
        <w:t>&gt;</w:t>
      </w:r>
      <w:r w:rsidR="005D3358" w:rsidRPr="005D3358">
        <w:rPr>
          <w:b/>
          <w:bCs/>
          <w:lang w:val="en-US"/>
        </w:rPr>
        <w:t xml:space="preserve"> 1.5 m/s</w:t>
      </w:r>
      <w:r w:rsidR="005D3358">
        <w:rPr>
          <w:b/>
          <w:bCs/>
          <w:lang w:val="en-US"/>
        </w:rPr>
        <w:t>)</w:t>
      </w:r>
      <w:r w:rsidRPr="0088391A">
        <w:rPr>
          <w:b/>
          <w:bCs/>
          <w:lang w:val="en-US"/>
        </w:rPr>
        <w:t>:</w:t>
      </w:r>
    </w:p>
    <w:p w14:paraId="4693143D" w14:textId="0FD237D3" w:rsidR="00AC1B28" w:rsidRPr="0088391A" w:rsidRDefault="00AC1B28" w:rsidP="00AC1B28">
      <w:pPr>
        <w:pStyle w:val="CETnumberingbullets"/>
        <w:numPr>
          <w:ilvl w:val="0"/>
          <w:numId w:val="0"/>
        </w:numPr>
        <w:ind w:left="993" w:hanging="285"/>
        <w:jc w:val="both"/>
        <w:rPr>
          <w:lang w:val="en-US"/>
        </w:rPr>
      </w:pPr>
      <w:r w:rsidRPr="0088391A">
        <w:rPr>
          <w:lang w:val="en-US"/>
        </w:rPr>
        <w:t>b1) hydrodynamic thrust exerted by the current (in Newton), proportional to the square of the speed “v” of the flood in m/s, F</w:t>
      </w:r>
      <w:r w:rsidRPr="0088391A">
        <w:rPr>
          <w:vertAlign w:val="subscript"/>
          <w:lang w:val="en-US"/>
        </w:rPr>
        <w:t>d</w:t>
      </w:r>
      <w:r w:rsidRPr="0088391A">
        <w:rPr>
          <w:lang w:val="en-US"/>
        </w:rPr>
        <w:t xml:space="preserve"> = thrust + momentum = P A</w:t>
      </w:r>
      <w:r w:rsidR="007B1572">
        <w:rPr>
          <w:lang w:val="en-US"/>
        </w:rPr>
        <w:t xml:space="preserve"> </w:t>
      </w:r>
      <w:r w:rsidRPr="0088391A">
        <w:rPr>
          <w:lang w:val="en-US"/>
        </w:rPr>
        <w:t>+ ρ A v</w:t>
      </w:r>
      <w:r w:rsidRPr="0088391A">
        <w:rPr>
          <w:vertAlign w:val="superscript"/>
          <w:lang w:val="en-US"/>
        </w:rPr>
        <w:t>2</w:t>
      </w:r>
      <w:r w:rsidR="0008187F">
        <w:rPr>
          <w:lang w:val="en-US"/>
        </w:rPr>
        <w:t xml:space="preserve"> =</w:t>
      </w:r>
      <w:r w:rsidRPr="0088391A">
        <w:rPr>
          <w:lang w:val="en-US"/>
        </w:rPr>
        <w:t xml:space="preserve"> </w:t>
      </w:r>
      <w:r w:rsidR="0008187F" w:rsidRPr="0088391A">
        <w:rPr>
          <w:lang w:val="en-US"/>
        </w:rPr>
        <w:t>½ γ b h</w:t>
      </w:r>
      <w:r w:rsidR="0008187F" w:rsidRPr="0088391A">
        <w:rPr>
          <w:vertAlign w:val="superscript"/>
          <w:lang w:val="en-US"/>
        </w:rPr>
        <w:t>2</w:t>
      </w:r>
      <w:r w:rsidR="0008187F">
        <w:rPr>
          <w:vertAlign w:val="superscript"/>
          <w:lang w:val="en-US"/>
        </w:rPr>
        <w:t xml:space="preserve"> </w:t>
      </w:r>
      <w:r w:rsidR="0008187F">
        <w:rPr>
          <w:lang w:val="en-US"/>
        </w:rPr>
        <w:t xml:space="preserve">+ </w:t>
      </w:r>
      <w:r w:rsidR="0008187F" w:rsidRPr="0088391A">
        <w:rPr>
          <w:lang w:val="en-US"/>
        </w:rPr>
        <w:t>ρ A v</w:t>
      </w:r>
      <w:r w:rsidR="0008187F" w:rsidRPr="0088391A">
        <w:rPr>
          <w:vertAlign w:val="superscript"/>
          <w:lang w:val="en-US"/>
        </w:rPr>
        <w:t>2</w:t>
      </w:r>
      <w:r w:rsidR="0008187F">
        <w:rPr>
          <w:lang w:val="en-US"/>
        </w:rPr>
        <w:t xml:space="preserve"> w</w:t>
      </w:r>
      <w:r w:rsidRPr="0088391A">
        <w:rPr>
          <w:lang w:val="en-US"/>
        </w:rPr>
        <w:t>here “P” is the barycentric pressure of area A, while “ρ” is the density of water (approximately 1000 Kg/m</w:t>
      </w:r>
      <w:r w:rsidRPr="0088391A">
        <w:rPr>
          <w:vertAlign w:val="superscript"/>
          <w:lang w:val="en-US"/>
        </w:rPr>
        <w:t>3</w:t>
      </w:r>
      <w:r w:rsidRPr="0088391A">
        <w:rPr>
          <w:lang w:val="en-US"/>
        </w:rPr>
        <w:t>)</w:t>
      </w:r>
      <w:r w:rsidR="006454BB">
        <w:rPr>
          <w:lang w:val="en-US"/>
        </w:rPr>
        <w:t>, i</w:t>
      </w:r>
      <w:r w:rsidR="006454BB" w:rsidRPr="006454BB">
        <w:rPr>
          <w:lang w:val="en-US"/>
        </w:rPr>
        <w:t>n case of water speed v &lt; 1.5 m/s the value of F</w:t>
      </w:r>
      <w:r w:rsidR="006454BB" w:rsidRPr="006454BB">
        <w:rPr>
          <w:vertAlign w:val="subscript"/>
          <w:lang w:val="en-US"/>
        </w:rPr>
        <w:t>d</w:t>
      </w:r>
      <w:r w:rsidR="006454BB" w:rsidRPr="006454BB">
        <w:rPr>
          <w:lang w:val="en-US"/>
        </w:rPr>
        <w:t xml:space="preserve"> is slightly higher than F</w:t>
      </w:r>
      <w:r w:rsidR="006454BB" w:rsidRPr="006454BB">
        <w:rPr>
          <w:vertAlign w:val="subscript"/>
          <w:lang w:val="en-US"/>
        </w:rPr>
        <w:t>h</w:t>
      </w:r>
      <w:r w:rsidR="006454BB" w:rsidRPr="006454BB">
        <w:rPr>
          <w:lang w:val="en-US"/>
        </w:rPr>
        <w:t xml:space="preserve"> (point a1)</w:t>
      </w:r>
    </w:p>
    <w:p w14:paraId="137C44D9" w14:textId="4707A973" w:rsidR="00AC1B28" w:rsidRPr="0088391A" w:rsidRDefault="00AC1B28" w:rsidP="00AC1B28">
      <w:pPr>
        <w:pStyle w:val="CETnumberingbullets"/>
        <w:numPr>
          <w:ilvl w:val="0"/>
          <w:numId w:val="0"/>
        </w:numPr>
        <w:ind w:left="993" w:hanging="285"/>
        <w:jc w:val="both"/>
        <w:rPr>
          <w:lang w:val="en-US"/>
        </w:rPr>
      </w:pPr>
      <w:r w:rsidRPr="0088391A">
        <w:rPr>
          <w:lang w:val="en-US"/>
        </w:rPr>
        <w:t>b2) impact of debris brought by the flood, the impact force expressed in Newton is equal to F</w:t>
      </w:r>
      <w:r w:rsidRPr="0088391A">
        <w:rPr>
          <w:vertAlign w:val="subscript"/>
          <w:lang w:val="en-US"/>
        </w:rPr>
        <w:t xml:space="preserve">i </w:t>
      </w:r>
      <w:r w:rsidRPr="0088391A">
        <w:rPr>
          <w:lang w:val="en-US"/>
        </w:rPr>
        <w:t xml:space="preserve">= mv/t, where </w:t>
      </w:r>
      <w:r w:rsidR="00D93387">
        <w:rPr>
          <w:lang w:val="en-US"/>
        </w:rPr>
        <w:t>“</w:t>
      </w:r>
      <w:r w:rsidRPr="0088391A">
        <w:rPr>
          <w:lang w:val="en-US"/>
        </w:rPr>
        <w:t>m</w:t>
      </w:r>
      <w:r w:rsidR="00D93387">
        <w:rPr>
          <w:lang w:val="en-US"/>
        </w:rPr>
        <w:t>”</w:t>
      </w:r>
      <w:r w:rsidRPr="0088391A">
        <w:rPr>
          <w:lang w:val="en-US"/>
        </w:rPr>
        <w:t xml:space="preserve"> is the mass of the impacting object in Kg, </w:t>
      </w:r>
      <w:r w:rsidR="00D93387">
        <w:rPr>
          <w:lang w:val="en-US"/>
        </w:rPr>
        <w:t>“</w:t>
      </w:r>
      <w:r w:rsidRPr="0088391A">
        <w:rPr>
          <w:lang w:val="en-US"/>
        </w:rPr>
        <w:t>v</w:t>
      </w:r>
      <w:r w:rsidR="00D93387">
        <w:rPr>
          <w:lang w:val="en-US"/>
        </w:rPr>
        <w:t>”</w:t>
      </w:r>
      <w:r w:rsidRPr="0088391A">
        <w:rPr>
          <w:lang w:val="en-US"/>
        </w:rPr>
        <w:t xml:space="preserve"> is the speed of the object and </w:t>
      </w:r>
      <w:r w:rsidR="00D93387">
        <w:rPr>
          <w:lang w:val="en-US"/>
        </w:rPr>
        <w:t>“</w:t>
      </w:r>
      <w:r w:rsidRPr="0088391A">
        <w:rPr>
          <w:lang w:val="en-US"/>
        </w:rPr>
        <w:t>t</w:t>
      </w:r>
      <w:r w:rsidR="00D93387">
        <w:rPr>
          <w:lang w:val="en-US"/>
        </w:rPr>
        <w:t>”</w:t>
      </w:r>
      <w:r w:rsidRPr="0088391A">
        <w:rPr>
          <w:lang w:val="en-US"/>
        </w:rPr>
        <w:t xml:space="preserve"> is the duration in seconds of the impact</w:t>
      </w:r>
    </w:p>
    <w:p w14:paraId="216A06C2" w14:textId="6639743E" w:rsidR="00AC1B28" w:rsidRPr="0088391A" w:rsidRDefault="00AC1B28" w:rsidP="00AC1B28">
      <w:pPr>
        <w:pStyle w:val="CETnumberingbullets"/>
        <w:numPr>
          <w:ilvl w:val="0"/>
          <w:numId w:val="0"/>
        </w:numPr>
        <w:ind w:left="708"/>
        <w:jc w:val="both"/>
        <w:rPr>
          <w:lang w:val="en-US"/>
        </w:rPr>
      </w:pPr>
      <w:r w:rsidRPr="0088391A">
        <w:rPr>
          <w:lang w:val="en-US"/>
        </w:rPr>
        <w:t>b3) washout</w:t>
      </w:r>
    </w:p>
    <w:p w14:paraId="7B9216B7" w14:textId="40143750" w:rsidR="00AC1B28" w:rsidRPr="0088391A" w:rsidRDefault="00AC1B28" w:rsidP="00AC1B28">
      <w:pPr>
        <w:pStyle w:val="CETnumberingbullets"/>
        <w:numPr>
          <w:ilvl w:val="0"/>
          <w:numId w:val="0"/>
        </w:numPr>
        <w:ind w:left="708"/>
        <w:jc w:val="both"/>
        <w:rPr>
          <w:lang w:val="en-US"/>
        </w:rPr>
      </w:pPr>
      <w:r w:rsidRPr="0088391A">
        <w:rPr>
          <w:lang w:val="en-US"/>
        </w:rPr>
        <w:t>b4) undermining of the foundations</w:t>
      </w:r>
    </w:p>
    <w:p w14:paraId="2E7E6D4F" w14:textId="60CE04E4" w:rsidR="00AC1B28" w:rsidRPr="0088391A" w:rsidRDefault="002211E4" w:rsidP="00AC1B28">
      <w:pPr>
        <w:pStyle w:val="CETnumberingbullets"/>
        <w:numPr>
          <w:ilvl w:val="0"/>
          <w:numId w:val="0"/>
        </w:numPr>
        <w:jc w:val="both"/>
        <w:rPr>
          <w:lang w:val="en-US"/>
        </w:rPr>
      </w:pPr>
      <w:r w:rsidRPr="0088391A">
        <w:rPr>
          <w:lang w:val="en-US"/>
        </w:rPr>
        <w:t>C</w:t>
      </w:r>
      <w:r w:rsidR="00AC1B28" w:rsidRPr="0088391A">
        <w:rPr>
          <w:lang w:val="en-US"/>
        </w:rPr>
        <w:t xml:space="preserve">onsequences of actions described above </w:t>
      </w:r>
      <w:r w:rsidRPr="0088391A">
        <w:rPr>
          <w:lang w:val="en-US"/>
        </w:rPr>
        <w:t>[</w:t>
      </w:r>
      <w:r w:rsidR="00AC1B28" w:rsidRPr="0088391A">
        <w:rPr>
          <w:lang w:val="en-US"/>
        </w:rPr>
        <w:t>points a) and b)</w:t>
      </w:r>
      <w:r w:rsidRPr="0088391A">
        <w:rPr>
          <w:lang w:val="en-US"/>
        </w:rPr>
        <w:t>]</w:t>
      </w:r>
      <w:r w:rsidR="00AC1B28" w:rsidRPr="0088391A">
        <w:rPr>
          <w:lang w:val="en-US"/>
        </w:rPr>
        <w:t xml:space="preserve"> may consist in damage to buildings and storage and process equipment which may induce: 1) dispersion and transport of substances through air, water and soil dangerous for humans and environment; 2) development of violent reactions due to contact between water and </w:t>
      </w:r>
      <w:r w:rsidR="00AC1B28" w:rsidRPr="0088391A">
        <w:rPr>
          <w:lang w:val="en-US"/>
        </w:rPr>
        <w:lastRenderedPageBreak/>
        <w:t>chemical compounds that can generate toxic gases; 3) triggering of fires and explosions, with the probability of involving other equipment containing dangerous substances (domino effect).</w:t>
      </w:r>
    </w:p>
    <w:p w14:paraId="6E385F23" w14:textId="6E274772" w:rsidR="00D52EDE" w:rsidRPr="0088391A" w:rsidRDefault="00AC1B28" w:rsidP="00D52EDE">
      <w:pPr>
        <w:pStyle w:val="CETnumberingbullets"/>
        <w:numPr>
          <w:ilvl w:val="0"/>
          <w:numId w:val="0"/>
        </w:numPr>
        <w:jc w:val="both"/>
        <w:rPr>
          <w:lang w:val="en-US"/>
        </w:rPr>
      </w:pPr>
      <w:r w:rsidRPr="0088391A">
        <w:rPr>
          <w:lang w:val="en-US"/>
        </w:rPr>
        <w:t>In addition, among consequences</w:t>
      </w:r>
      <w:r w:rsidR="006F7938" w:rsidRPr="0088391A">
        <w:rPr>
          <w:lang w:val="en-US"/>
        </w:rPr>
        <w:t>,</w:t>
      </w:r>
      <w:r w:rsidRPr="0088391A">
        <w:rPr>
          <w:lang w:val="en-US"/>
        </w:rPr>
        <w:t xml:space="preserve"> we can </w:t>
      </w:r>
      <w:r w:rsidR="006F7938" w:rsidRPr="0088391A">
        <w:rPr>
          <w:lang w:val="en-US"/>
        </w:rPr>
        <w:t>have</w:t>
      </w:r>
      <w:r w:rsidRPr="0088391A">
        <w:rPr>
          <w:lang w:val="en-US"/>
        </w:rPr>
        <w:t xml:space="preserve"> interruption of electricity supply, damage to fire prevention systems, damage to IT systems, etc.</w:t>
      </w:r>
    </w:p>
    <w:p w14:paraId="03A6A453" w14:textId="013565F2" w:rsidR="00D52EDE" w:rsidRPr="0088391A" w:rsidRDefault="007116DB" w:rsidP="00D52EDE">
      <w:pPr>
        <w:pStyle w:val="CETHeading1"/>
      </w:pPr>
      <w:r w:rsidRPr="0088391A">
        <w:t>Flood vulnerability of critical equipment</w:t>
      </w:r>
    </w:p>
    <w:p w14:paraId="7D149087" w14:textId="77777777" w:rsidR="007116DB" w:rsidRPr="0088391A" w:rsidRDefault="007116DB" w:rsidP="007116DB">
      <w:pPr>
        <w:pStyle w:val="CETnumberingbullets"/>
        <w:numPr>
          <w:ilvl w:val="0"/>
          <w:numId w:val="0"/>
        </w:numPr>
        <w:jc w:val="both"/>
        <w:rPr>
          <w:lang w:val="en-US"/>
        </w:rPr>
      </w:pPr>
      <w:r w:rsidRPr="0088391A">
        <w:rPr>
          <w:lang w:val="en-US"/>
        </w:rPr>
        <w:t>In this article, critical equipment refers to technical systems for the primary containment of dangerous substances that may be involved in accidents sequences due to natural causes of flood origin.</w:t>
      </w:r>
    </w:p>
    <w:p w14:paraId="1803136B" w14:textId="0A549DB3" w:rsidR="007116DB" w:rsidRPr="0088391A" w:rsidRDefault="00181E96" w:rsidP="007116DB">
      <w:pPr>
        <w:pStyle w:val="CETnumberingbullets"/>
        <w:numPr>
          <w:ilvl w:val="0"/>
          <w:numId w:val="0"/>
        </w:numPr>
        <w:jc w:val="both"/>
        <w:rPr>
          <w:lang w:val="en-US"/>
        </w:rPr>
      </w:pPr>
      <w:r w:rsidRPr="0088391A">
        <w:rPr>
          <w:lang w:val="en-US"/>
        </w:rPr>
        <w:t xml:space="preserve">Establishments </w:t>
      </w:r>
      <w:r w:rsidR="007116DB" w:rsidRPr="0088391A">
        <w:rPr>
          <w:lang w:val="en-US"/>
        </w:rPr>
        <w:t xml:space="preserve">where these technical primary containment systems are present are: </w:t>
      </w:r>
      <w:r w:rsidRPr="0088391A">
        <w:rPr>
          <w:lang w:val="en-US"/>
        </w:rPr>
        <w:t>c</w:t>
      </w:r>
      <w:r w:rsidR="007116DB" w:rsidRPr="0088391A">
        <w:rPr>
          <w:lang w:val="en-US"/>
        </w:rPr>
        <w:t xml:space="preserve">hemical plants, </w:t>
      </w:r>
      <w:r w:rsidRPr="0088391A">
        <w:rPr>
          <w:lang w:val="en-US"/>
        </w:rPr>
        <w:t>p</w:t>
      </w:r>
      <w:r w:rsidR="007116DB" w:rsidRPr="0088391A">
        <w:rPr>
          <w:lang w:val="en-US"/>
        </w:rPr>
        <w:t>etrochemical plants, refineries, petroleum product depots (liquids), liquefied gas depots (LPG, LNG)</w:t>
      </w:r>
      <w:r w:rsidRPr="0088391A">
        <w:rPr>
          <w:lang w:val="en-US"/>
        </w:rPr>
        <w:t xml:space="preserve">, </w:t>
      </w:r>
      <w:r w:rsidR="007116DB" w:rsidRPr="0088391A">
        <w:rPr>
          <w:lang w:val="en-US"/>
        </w:rPr>
        <w:t>regasification plants</w:t>
      </w:r>
      <w:r w:rsidR="00323A94">
        <w:rPr>
          <w:lang w:val="en-US"/>
        </w:rPr>
        <w:t>,</w:t>
      </w:r>
      <w:r w:rsidR="007116DB" w:rsidRPr="0088391A">
        <w:rPr>
          <w:lang w:val="en-US"/>
        </w:rPr>
        <w:t xml:space="preserve"> energy production systems, etc.</w:t>
      </w:r>
    </w:p>
    <w:p w14:paraId="5A9F9E9A" w14:textId="31A0179C" w:rsidR="007116DB" w:rsidRPr="0088391A" w:rsidRDefault="007116DB" w:rsidP="009820DF">
      <w:pPr>
        <w:pStyle w:val="CETnumberingbullets"/>
        <w:numPr>
          <w:ilvl w:val="0"/>
          <w:numId w:val="0"/>
        </w:numPr>
        <w:jc w:val="both"/>
        <w:rPr>
          <w:lang w:val="en-US"/>
        </w:rPr>
      </w:pPr>
      <w:r w:rsidRPr="0088391A">
        <w:rPr>
          <w:lang w:val="en-US"/>
        </w:rPr>
        <w:t>In order to determine the "I</w:t>
      </w:r>
      <w:r w:rsidRPr="0088391A">
        <w:rPr>
          <w:vertAlign w:val="subscript"/>
          <w:lang w:val="en-US"/>
        </w:rPr>
        <w:t>V</w:t>
      </w:r>
      <w:r w:rsidRPr="0088391A">
        <w:rPr>
          <w:lang w:val="en-US"/>
        </w:rPr>
        <w:t>" flood vulnerability index of the aforementioned technical systems of primary containment of dangerous substances for the primary containment of dangerous substances, authors believe that it depends on: 1) type of equipment (e.g. atmospheric tank or under pressure</w:t>
      </w:r>
      <w:r w:rsidR="00181E96" w:rsidRPr="0088391A">
        <w:rPr>
          <w:lang w:val="en-US"/>
        </w:rPr>
        <w:t xml:space="preserve"> tank</w:t>
      </w:r>
      <w:r w:rsidRPr="0088391A">
        <w:rPr>
          <w:lang w:val="en-US"/>
        </w:rPr>
        <w:t>); 2) type of dangerous substance; 3) storage operating conditions (pressure, temperatures, physical state, volume);</w:t>
      </w:r>
      <w:r w:rsidR="009820DF" w:rsidRPr="0088391A">
        <w:rPr>
          <w:lang w:val="en-US"/>
        </w:rPr>
        <w:t xml:space="preserve"> </w:t>
      </w:r>
      <w:r w:rsidRPr="0088391A">
        <w:rPr>
          <w:lang w:val="en-US"/>
        </w:rPr>
        <w:t xml:space="preserve">4) </w:t>
      </w:r>
      <w:r w:rsidR="009820DF" w:rsidRPr="0088391A">
        <w:rPr>
          <w:lang w:val="en-US"/>
        </w:rPr>
        <w:t>t</w:t>
      </w:r>
      <w:r w:rsidRPr="0088391A">
        <w:rPr>
          <w:lang w:val="en-US"/>
        </w:rPr>
        <w:t>he different ways of damage depending on each type of equipment. In reference to this, the following are considered separately:</w:t>
      </w:r>
    </w:p>
    <w:p w14:paraId="043DDCCD" w14:textId="5ED1C590" w:rsidR="009820DF" w:rsidRPr="001A1738" w:rsidRDefault="009820DF" w:rsidP="001A1738">
      <w:pPr>
        <w:pStyle w:val="CETListbullets"/>
        <w:numPr>
          <w:ilvl w:val="0"/>
          <w:numId w:val="15"/>
        </w:numPr>
        <w:ind w:left="340" w:hanging="227"/>
      </w:pPr>
      <w:r w:rsidRPr="001A1738">
        <w:t>I</w:t>
      </w:r>
      <w:r w:rsidRPr="001A1738">
        <w:rPr>
          <w:vertAlign w:val="subscript"/>
        </w:rPr>
        <w:t>Ves</w:t>
      </w:r>
      <w:r w:rsidRPr="001A1738">
        <w:t>, equipment and substances</w:t>
      </w:r>
      <w:r w:rsidR="00B416DB" w:rsidRPr="001A1738">
        <w:t xml:space="preserve"> vulnerability index</w:t>
      </w:r>
    </w:p>
    <w:p w14:paraId="544C58EC" w14:textId="6B328E3A" w:rsidR="009820DF" w:rsidRPr="0088391A" w:rsidRDefault="009820DF" w:rsidP="001A1738">
      <w:pPr>
        <w:pStyle w:val="CETListbullets"/>
        <w:numPr>
          <w:ilvl w:val="0"/>
          <w:numId w:val="15"/>
        </w:numPr>
        <w:ind w:left="340" w:hanging="227"/>
        <w:rPr>
          <w:lang w:val="en-US"/>
        </w:rPr>
      </w:pPr>
      <w:r w:rsidRPr="001A1738">
        <w:t>I</w:t>
      </w:r>
      <w:r w:rsidRPr="001A1738">
        <w:rPr>
          <w:vertAlign w:val="subscript"/>
        </w:rPr>
        <w:t>Vdm</w:t>
      </w:r>
      <w:r w:rsidRPr="0088391A">
        <w:rPr>
          <w:lang w:val="en-US"/>
        </w:rPr>
        <w:t>, damage mode vulnerability index</w:t>
      </w:r>
    </w:p>
    <w:p w14:paraId="0FFC3545" w14:textId="51BB384A" w:rsidR="009820DF" w:rsidRPr="0088391A" w:rsidRDefault="009820DF" w:rsidP="009820DF">
      <w:pPr>
        <w:pStyle w:val="CETnumberingbullets"/>
        <w:numPr>
          <w:ilvl w:val="0"/>
          <w:numId w:val="0"/>
        </w:numPr>
        <w:jc w:val="both"/>
        <w:rPr>
          <w:lang w:val="en-US"/>
        </w:rPr>
      </w:pPr>
      <w:r w:rsidRPr="0088391A">
        <w:rPr>
          <w:lang w:val="en-US"/>
        </w:rPr>
        <w:t>In reference to this, the value "I</w:t>
      </w:r>
      <w:r w:rsidRPr="0088391A">
        <w:rPr>
          <w:vertAlign w:val="subscript"/>
          <w:lang w:val="en-US"/>
        </w:rPr>
        <w:t>V</w:t>
      </w:r>
      <w:r w:rsidRPr="0088391A">
        <w:rPr>
          <w:lang w:val="en-US"/>
        </w:rPr>
        <w:t>" is taken as average of "I</w:t>
      </w:r>
      <w:r w:rsidRPr="0088391A">
        <w:rPr>
          <w:vertAlign w:val="subscript"/>
          <w:lang w:val="en-US"/>
        </w:rPr>
        <w:t>Ves</w:t>
      </w:r>
      <w:r w:rsidRPr="0088391A">
        <w:rPr>
          <w:lang w:val="en-US"/>
        </w:rPr>
        <w:t>" and "I</w:t>
      </w:r>
      <w:r w:rsidRPr="0088391A">
        <w:rPr>
          <w:vertAlign w:val="subscript"/>
          <w:lang w:val="en-US"/>
        </w:rPr>
        <w:t>Vdm</w:t>
      </w:r>
      <w:r w:rsidRPr="0088391A">
        <w:rPr>
          <w:lang w:val="en-US"/>
        </w:rPr>
        <w:t>":</w:t>
      </w:r>
    </w:p>
    <w:p w14:paraId="4BA38A0B" w14:textId="24869F13" w:rsidR="009820DF" w:rsidRPr="0088391A" w:rsidRDefault="009820DF" w:rsidP="00A56397">
      <w:pPr>
        <w:pStyle w:val="CETnumberingbullets"/>
        <w:numPr>
          <w:ilvl w:val="0"/>
          <w:numId w:val="0"/>
        </w:numPr>
        <w:tabs>
          <w:tab w:val="left" w:pos="8505"/>
        </w:tabs>
        <w:rPr>
          <w:lang w:val="en-US"/>
        </w:rPr>
      </w:pPr>
      <w:r w:rsidRPr="0088391A">
        <w:rPr>
          <w:lang w:val="en-US"/>
        </w:rPr>
        <w:t>I</w:t>
      </w:r>
      <w:r w:rsidRPr="0088391A">
        <w:rPr>
          <w:vertAlign w:val="subscript"/>
          <w:lang w:val="en-US"/>
        </w:rPr>
        <w:t>V</w:t>
      </w:r>
      <w:r w:rsidRPr="0088391A">
        <w:rPr>
          <w:lang w:val="en-US"/>
        </w:rPr>
        <w:t xml:space="preserve"> = (I</w:t>
      </w:r>
      <w:r w:rsidRPr="0088391A">
        <w:rPr>
          <w:vertAlign w:val="subscript"/>
          <w:lang w:val="en-US"/>
        </w:rPr>
        <w:t>Ves</w:t>
      </w:r>
      <w:r w:rsidRPr="0088391A">
        <w:rPr>
          <w:lang w:val="en-US"/>
        </w:rPr>
        <w:t xml:space="preserve"> + I</w:t>
      </w:r>
      <w:r w:rsidRPr="0088391A">
        <w:rPr>
          <w:vertAlign w:val="subscript"/>
          <w:lang w:val="en-US"/>
        </w:rPr>
        <w:t>Vdm</w:t>
      </w:r>
      <w:r w:rsidRPr="0088391A">
        <w:rPr>
          <w:lang w:val="en-US"/>
        </w:rPr>
        <w:t>) / 2</w:t>
      </w:r>
      <w:r w:rsidR="00A56397" w:rsidRPr="0088391A">
        <w:rPr>
          <w:lang w:val="en-US"/>
        </w:rPr>
        <w:tab/>
      </w:r>
      <w:r w:rsidRPr="0088391A">
        <w:rPr>
          <w:lang w:val="en-US"/>
        </w:rPr>
        <w:t>(3)</w:t>
      </w:r>
    </w:p>
    <w:p w14:paraId="01BEDB61" w14:textId="1899A377" w:rsidR="00F2370D" w:rsidRPr="0088391A" w:rsidRDefault="00F2370D" w:rsidP="00C974F8">
      <w:pPr>
        <w:pStyle w:val="CETheadingx"/>
      </w:pPr>
      <w:r w:rsidRPr="0088391A">
        <w:t>Type of equipment, process storage conditions of the dangerous substances contained. “I</w:t>
      </w:r>
      <w:r w:rsidRPr="0088391A">
        <w:rPr>
          <w:vertAlign w:val="subscript"/>
        </w:rPr>
        <w:t>Ves</w:t>
      </w:r>
      <w:r w:rsidRPr="0088391A">
        <w:t>” determination</w:t>
      </w:r>
    </w:p>
    <w:p w14:paraId="2CAE3F40" w14:textId="3C267650" w:rsidR="009820DF" w:rsidRPr="0088391A" w:rsidRDefault="003A2446" w:rsidP="00F2370D">
      <w:pPr>
        <w:pStyle w:val="CETnumberingbullets"/>
        <w:numPr>
          <w:ilvl w:val="0"/>
          <w:numId w:val="0"/>
        </w:numPr>
        <w:jc w:val="both"/>
        <w:rPr>
          <w:lang w:val="en-US"/>
        </w:rPr>
      </w:pPr>
      <w:r w:rsidRPr="0088391A">
        <w:rPr>
          <w:lang w:val="en-US"/>
        </w:rPr>
        <w:t>To determine value of flood vulnerability linked to technical systems for primary containment of dangerous substances</w:t>
      </w:r>
      <w:r w:rsidR="00C974F8" w:rsidRPr="0088391A">
        <w:rPr>
          <w:lang w:val="en-US"/>
        </w:rPr>
        <w:t xml:space="preserve"> "I</w:t>
      </w:r>
      <w:r w:rsidR="00C974F8" w:rsidRPr="0088391A">
        <w:rPr>
          <w:vertAlign w:val="subscript"/>
          <w:lang w:val="en-US"/>
        </w:rPr>
        <w:t>Ves</w:t>
      </w:r>
      <w:r w:rsidR="00C974F8" w:rsidRPr="0088391A">
        <w:rPr>
          <w:lang w:val="en-US"/>
        </w:rPr>
        <w:t>"</w:t>
      </w:r>
      <w:r w:rsidRPr="0088391A">
        <w:rPr>
          <w:lang w:val="en-US"/>
        </w:rPr>
        <w:t>, it is necessary to analyze dangerous substance</w:t>
      </w:r>
      <w:r w:rsidR="00323A94">
        <w:rPr>
          <w:lang w:val="en-US"/>
        </w:rPr>
        <w:t>,</w:t>
      </w:r>
      <w:r w:rsidRPr="0088391A">
        <w:rPr>
          <w:lang w:val="en-US"/>
        </w:rPr>
        <w:t xml:space="preserve"> type of equipment and type of hypothesized rupture.</w:t>
      </w:r>
    </w:p>
    <w:p w14:paraId="5DDADE8F" w14:textId="77777777" w:rsidR="001615BC" w:rsidRPr="0088391A" w:rsidRDefault="001615BC" w:rsidP="00F2370D">
      <w:pPr>
        <w:pStyle w:val="CETnumberingbullets"/>
        <w:numPr>
          <w:ilvl w:val="0"/>
          <w:numId w:val="0"/>
        </w:numPr>
        <w:jc w:val="both"/>
        <w:rPr>
          <w:lang w:val="en-US"/>
        </w:rPr>
      </w:pPr>
    </w:p>
    <w:p w14:paraId="016F669C" w14:textId="2D266869" w:rsidR="009820DF" w:rsidRPr="0088391A" w:rsidRDefault="001615BC" w:rsidP="000A368C">
      <w:pPr>
        <w:pStyle w:val="CETnumberingbullets"/>
        <w:numPr>
          <w:ilvl w:val="0"/>
          <w:numId w:val="0"/>
        </w:numPr>
        <w:ind w:firstLine="426"/>
        <w:jc w:val="both"/>
        <w:rPr>
          <w:b/>
          <w:bCs/>
          <w:lang w:val="en-US"/>
        </w:rPr>
      </w:pPr>
      <w:bookmarkStart w:id="3" w:name="_Hlk157608936"/>
      <w:r w:rsidRPr="0088391A">
        <w:rPr>
          <w:b/>
          <w:bCs/>
          <w:lang w:val="en-US"/>
        </w:rPr>
        <w:t xml:space="preserve">A) </w:t>
      </w:r>
      <w:bookmarkStart w:id="4" w:name="_Hlk163496154"/>
      <w:r w:rsidRPr="0088391A">
        <w:rPr>
          <w:b/>
          <w:bCs/>
          <w:lang w:val="en-US"/>
        </w:rPr>
        <w:t>Hazardous substances and storage operating conditions</w:t>
      </w:r>
    </w:p>
    <w:bookmarkEnd w:id="4"/>
    <w:p w14:paraId="08CA9C95" w14:textId="4FFCC172" w:rsidR="001615BC" w:rsidRPr="0088391A" w:rsidRDefault="001615BC" w:rsidP="000A368C">
      <w:pPr>
        <w:pStyle w:val="CETnumberingbullets"/>
        <w:numPr>
          <w:ilvl w:val="0"/>
          <w:numId w:val="0"/>
        </w:numPr>
        <w:jc w:val="both"/>
        <w:rPr>
          <w:lang w:val="en-US"/>
        </w:rPr>
      </w:pPr>
      <w:r w:rsidRPr="0088391A">
        <w:rPr>
          <w:lang w:val="en-US"/>
        </w:rPr>
        <w:t xml:space="preserve">It is important to register dangerous substances present in </w:t>
      </w:r>
      <w:r w:rsidR="0025251D" w:rsidRPr="0088391A">
        <w:rPr>
          <w:lang w:val="en-US"/>
        </w:rPr>
        <w:t>establishment</w:t>
      </w:r>
      <w:r w:rsidRPr="0088391A">
        <w:rPr>
          <w:lang w:val="en-US"/>
        </w:rPr>
        <w:t xml:space="preserve"> through analysis of the safety data sheets through, for example, the danger indications (H phrases or additional information on the EUH 0xx dangers reported in </w:t>
      </w:r>
      <w:r w:rsidR="000A368C" w:rsidRPr="0088391A">
        <w:rPr>
          <w:lang w:val="en-US"/>
        </w:rPr>
        <w:t xml:space="preserve">CLP </w:t>
      </w:r>
      <w:r w:rsidRPr="0088391A">
        <w:rPr>
          <w:lang w:val="en-US"/>
        </w:rPr>
        <w:t>European Regulation n. 1272/2008).</w:t>
      </w:r>
      <w:r w:rsidR="006454BB">
        <w:rPr>
          <w:lang w:val="en-US"/>
        </w:rPr>
        <w:t xml:space="preserve"> </w:t>
      </w:r>
      <w:r w:rsidR="006F64B5" w:rsidRPr="0088391A">
        <w:rPr>
          <w:lang w:val="en-US"/>
        </w:rPr>
        <w:t>W</w:t>
      </w:r>
      <w:r w:rsidRPr="0088391A">
        <w:rPr>
          <w:lang w:val="en-US"/>
        </w:rPr>
        <w:t xml:space="preserve">e can </w:t>
      </w:r>
      <w:r w:rsidR="006F64B5" w:rsidRPr="0088391A">
        <w:rPr>
          <w:lang w:val="en-US"/>
        </w:rPr>
        <w:t>have</w:t>
      </w:r>
      <w:r w:rsidRPr="0088391A">
        <w:rPr>
          <w:lang w:val="en-US"/>
        </w:rPr>
        <w:t xml:space="preserve"> substances sensitive to heat (H251, H252, H240, H241, H242, H230, H231), substances reacting with water (H260, H261, EUH 014, EUH 029, EUH 031 and EUH032), substances reacting with air (H250, EUH 019).</w:t>
      </w:r>
    </w:p>
    <w:bookmarkEnd w:id="3"/>
    <w:p w14:paraId="5FE5BA6C" w14:textId="79CC886D" w:rsidR="001615BC" w:rsidRPr="0088391A" w:rsidRDefault="001615BC" w:rsidP="000A368C">
      <w:pPr>
        <w:pStyle w:val="CETnumberingbullets"/>
        <w:numPr>
          <w:ilvl w:val="0"/>
          <w:numId w:val="0"/>
        </w:numPr>
        <w:jc w:val="both"/>
        <w:rPr>
          <w:lang w:val="en-US"/>
        </w:rPr>
      </w:pPr>
      <w:r w:rsidRPr="0088391A">
        <w:rPr>
          <w:lang w:val="en-US"/>
        </w:rPr>
        <w:t>Furthermore, it is necessary to take into consideration process and storage conditions of dangerous substances and how these influence possible accident scenarios; for example, here are some qualitative considerations that usually help the risk analyst</w:t>
      </w:r>
      <w:r w:rsidR="00687071" w:rsidRPr="0088391A">
        <w:rPr>
          <w:lang w:val="en-US"/>
        </w:rPr>
        <w:t xml:space="preserve"> (Landucci et al., 2014)</w:t>
      </w:r>
      <w:r w:rsidRPr="0088391A">
        <w:rPr>
          <w:lang w:val="en-US"/>
        </w:rPr>
        <w:t>:</w:t>
      </w:r>
    </w:p>
    <w:p w14:paraId="0B2DA737" w14:textId="36C70219" w:rsidR="001615BC" w:rsidRPr="001A1738" w:rsidRDefault="000A368C" w:rsidP="001A1738">
      <w:pPr>
        <w:pStyle w:val="CETListbullets"/>
        <w:numPr>
          <w:ilvl w:val="0"/>
          <w:numId w:val="15"/>
        </w:numPr>
        <w:ind w:left="340" w:hanging="227"/>
      </w:pPr>
      <w:r w:rsidRPr="001A1738">
        <w:t>H</w:t>
      </w:r>
      <w:r w:rsidR="001615BC" w:rsidRPr="001A1738">
        <w:t>igher storage and process temperature of the dangerous substances present, greater damage occurs following release scenarios</w:t>
      </w:r>
    </w:p>
    <w:p w14:paraId="7174A49F" w14:textId="03096406" w:rsidR="001615BC" w:rsidRPr="001A1738" w:rsidRDefault="00C323A0" w:rsidP="001A1738">
      <w:pPr>
        <w:pStyle w:val="CETListbullets"/>
        <w:numPr>
          <w:ilvl w:val="0"/>
          <w:numId w:val="15"/>
        </w:numPr>
        <w:ind w:left="340" w:hanging="227"/>
      </w:pPr>
      <w:r w:rsidRPr="001A1738">
        <w:t>H</w:t>
      </w:r>
      <w:r w:rsidR="001615BC" w:rsidRPr="001A1738">
        <w:t>igh pressure produces a driving force that results in a high rate of release of hazardous material in the event of rupture or leakage of a primary container of hazardous substance. Furthermore, a pressurized gas means more substance present in the storage. Furthermore, in the event of structural failure of the pressure storage, the projection of fragments in all directions must be taken into consideration</w:t>
      </w:r>
    </w:p>
    <w:p w14:paraId="22DC5815" w14:textId="0CA5030C" w:rsidR="001615BC" w:rsidRPr="001A1738" w:rsidRDefault="00C323A0" w:rsidP="001A1738">
      <w:pPr>
        <w:pStyle w:val="CETListbullets"/>
        <w:numPr>
          <w:ilvl w:val="0"/>
          <w:numId w:val="15"/>
        </w:numPr>
        <w:ind w:left="340" w:hanging="227"/>
      </w:pPr>
      <w:r w:rsidRPr="001A1738">
        <w:t>S</w:t>
      </w:r>
      <w:r w:rsidR="001615BC" w:rsidRPr="001A1738">
        <w:t>tate of matter influences quantity of dangerous substance present. Liquids contain a greater quantity of hazardous substances per unit volume than gases. However, gases have other properties that make them dangerous</w:t>
      </w:r>
      <w:r w:rsidRPr="001A1738">
        <w:t>, t</w:t>
      </w:r>
      <w:r w:rsidR="001615BC" w:rsidRPr="001A1738">
        <w:t>hey are usually stored and processed at high pressure</w:t>
      </w:r>
    </w:p>
    <w:p w14:paraId="7A2BDBE4" w14:textId="3172982F" w:rsidR="001615BC" w:rsidRPr="001A1738" w:rsidRDefault="001615BC" w:rsidP="001A1738">
      <w:pPr>
        <w:pStyle w:val="CETListbullets"/>
        <w:numPr>
          <w:ilvl w:val="0"/>
          <w:numId w:val="15"/>
        </w:numPr>
        <w:ind w:left="340" w:hanging="227"/>
      </w:pPr>
      <w:r w:rsidRPr="001A1738">
        <w:t>Gases liquefied under pressure (e.g. LPG, LNG) have dangerous properties of both liquids and gases. They have a high density, comparable to those of liquids, are stored under pressure and evaporate immediately after release</w:t>
      </w:r>
    </w:p>
    <w:p w14:paraId="2398A6FA" w14:textId="609B76AF" w:rsidR="00F12A80" w:rsidRPr="0088391A" w:rsidRDefault="00C323A0" w:rsidP="001A1738">
      <w:pPr>
        <w:pStyle w:val="CETListbullets"/>
        <w:numPr>
          <w:ilvl w:val="0"/>
          <w:numId w:val="15"/>
        </w:numPr>
        <w:ind w:left="340" w:hanging="227"/>
        <w:rPr>
          <w:lang w:val="en-US"/>
        </w:rPr>
      </w:pPr>
      <w:r w:rsidRPr="001A1738">
        <w:t>A further</w:t>
      </w:r>
      <w:r w:rsidRPr="0088391A">
        <w:rPr>
          <w:lang w:val="en-US"/>
        </w:rPr>
        <w:t xml:space="preserve"> important aspect is the volume of hazardous chemicals. Higher volumes lead to larger accident scenarios, leading them to affect the outside of establishment </w:t>
      </w:r>
    </w:p>
    <w:p w14:paraId="09566A18" w14:textId="77777777" w:rsidR="001615BC" w:rsidRPr="0088391A" w:rsidRDefault="001615BC" w:rsidP="000A368C">
      <w:pPr>
        <w:pStyle w:val="CETnumberingbullets"/>
        <w:numPr>
          <w:ilvl w:val="0"/>
          <w:numId w:val="0"/>
        </w:numPr>
        <w:jc w:val="both"/>
        <w:rPr>
          <w:lang w:val="en-US"/>
        </w:rPr>
      </w:pPr>
    </w:p>
    <w:p w14:paraId="0A6DFB68" w14:textId="371AB700" w:rsidR="001615BC" w:rsidRPr="0088391A" w:rsidRDefault="001615BC" w:rsidP="000A368C">
      <w:pPr>
        <w:pStyle w:val="CETnumberingbullets"/>
        <w:numPr>
          <w:ilvl w:val="0"/>
          <w:numId w:val="0"/>
        </w:numPr>
        <w:ind w:firstLine="426"/>
        <w:jc w:val="both"/>
        <w:rPr>
          <w:b/>
          <w:bCs/>
          <w:lang w:val="en-US"/>
        </w:rPr>
      </w:pPr>
      <w:r w:rsidRPr="0088391A">
        <w:rPr>
          <w:b/>
          <w:bCs/>
          <w:lang w:val="en-US"/>
        </w:rPr>
        <w:t xml:space="preserve">B) </w:t>
      </w:r>
      <w:r w:rsidR="00E813C6" w:rsidRPr="0088391A">
        <w:rPr>
          <w:b/>
          <w:bCs/>
          <w:lang w:val="en-US"/>
        </w:rPr>
        <w:t>Types of primary containers of dangerous substances</w:t>
      </w:r>
    </w:p>
    <w:p w14:paraId="515C170E" w14:textId="77777777" w:rsidR="004A7D7F" w:rsidRPr="0088391A" w:rsidRDefault="004A7D7F" w:rsidP="000A368C">
      <w:pPr>
        <w:pStyle w:val="CETnumberingbullets"/>
        <w:numPr>
          <w:ilvl w:val="0"/>
          <w:numId w:val="0"/>
        </w:numPr>
        <w:jc w:val="both"/>
        <w:rPr>
          <w:b/>
          <w:bCs/>
          <w:lang w:val="en-US"/>
        </w:rPr>
      </w:pPr>
    </w:p>
    <w:p w14:paraId="67B6AE2B" w14:textId="16EB4974" w:rsidR="004A7D7F" w:rsidRPr="0088391A" w:rsidRDefault="004A7D7F" w:rsidP="000A368C">
      <w:pPr>
        <w:pStyle w:val="CETnumberingbullets"/>
        <w:numPr>
          <w:ilvl w:val="0"/>
          <w:numId w:val="0"/>
        </w:numPr>
        <w:jc w:val="both"/>
        <w:rPr>
          <w:b/>
          <w:bCs/>
          <w:lang w:val="en-US"/>
        </w:rPr>
      </w:pPr>
      <w:r w:rsidRPr="0088391A">
        <w:rPr>
          <w:b/>
          <w:bCs/>
          <w:lang w:val="en-US"/>
        </w:rPr>
        <w:t>Atmospheric tanks (anchored and unanchored) containing liquid substances</w:t>
      </w:r>
    </w:p>
    <w:p w14:paraId="4874B67D" w14:textId="711DE9C3" w:rsidR="004A7D7F" w:rsidRPr="0088391A" w:rsidRDefault="004A7D7F" w:rsidP="000A368C">
      <w:pPr>
        <w:pStyle w:val="CETnumberingbullets"/>
        <w:numPr>
          <w:ilvl w:val="0"/>
          <w:numId w:val="0"/>
        </w:numPr>
        <w:jc w:val="both"/>
        <w:rPr>
          <w:lang w:val="en-US"/>
        </w:rPr>
      </w:pPr>
      <w:r w:rsidRPr="0088391A">
        <w:rPr>
          <w:lang w:val="en-US"/>
        </w:rPr>
        <w:t xml:space="preserve">Anchored ones require solid foundations and a fixing mechanism </w:t>
      </w:r>
      <w:r w:rsidR="003041B5" w:rsidRPr="0088391A">
        <w:rPr>
          <w:lang w:val="en-US"/>
        </w:rPr>
        <w:t>to</w:t>
      </w:r>
      <w:r w:rsidRPr="0088391A">
        <w:rPr>
          <w:lang w:val="en-US"/>
        </w:rPr>
        <w:t xml:space="preserve"> resist horizontal forces (earthquake, floods, etc.). Unanchored atmospheric tanks are particularly subject to horizontal forces, nevertheless, their use is more widespread because they are less expensive from the construction point of view.</w:t>
      </w:r>
    </w:p>
    <w:p w14:paraId="4089AE14" w14:textId="239DCFBC" w:rsidR="004A7D7F" w:rsidRPr="0088391A" w:rsidRDefault="004A7D7F" w:rsidP="000A368C">
      <w:pPr>
        <w:pStyle w:val="CETnumberingbullets"/>
        <w:numPr>
          <w:ilvl w:val="0"/>
          <w:numId w:val="0"/>
        </w:numPr>
        <w:jc w:val="both"/>
        <w:rPr>
          <w:lang w:val="en-US"/>
        </w:rPr>
      </w:pPr>
      <w:r w:rsidRPr="0088391A">
        <w:rPr>
          <w:lang w:val="en-US"/>
        </w:rPr>
        <w:lastRenderedPageBreak/>
        <w:t>In reference to this we can, with expert judgment, identify I</w:t>
      </w:r>
      <w:r w:rsidRPr="0088391A">
        <w:rPr>
          <w:vertAlign w:val="subscript"/>
          <w:lang w:val="en-US"/>
        </w:rPr>
        <w:t>Ves</w:t>
      </w:r>
      <w:r w:rsidRPr="0088391A">
        <w:rPr>
          <w:lang w:val="en-US"/>
        </w:rPr>
        <w:t>, based on values ranging from 1 to 4:</w:t>
      </w:r>
    </w:p>
    <w:p w14:paraId="7CE818D8" w14:textId="6341A886" w:rsidR="004A7D7F" w:rsidRPr="0088391A" w:rsidRDefault="004A7D7F" w:rsidP="000A368C">
      <w:pPr>
        <w:pStyle w:val="CETnumberingbullets"/>
        <w:numPr>
          <w:ilvl w:val="0"/>
          <w:numId w:val="0"/>
        </w:numPr>
        <w:jc w:val="both"/>
        <w:rPr>
          <w:lang w:val="en-US"/>
        </w:rPr>
      </w:pPr>
      <w:r w:rsidRPr="0088391A">
        <w:rPr>
          <w:lang w:val="en-US"/>
        </w:rPr>
        <w:t>Atmospheric tanks anchored with double bottoms and containment basins, which contain combustible liquids and with maximum filling: I</w:t>
      </w:r>
      <w:r w:rsidRPr="0088391A">
        <w:rPr>
          <w:vertAlign w:val="subscript"/>
          <w:lang w:val="en-US"/>
        </w:rPr>
        <w:t>Ves</w:t>
      </w:r>
      <w:r w:rsidR="007E77A8" w:rsidRPr="0088391A">
        <w:rPr>
          <w:vertAlign w:val="subscript"/>
          <w:lang w:val="en-US"/>
        </w:rPr>
        <w:t xml:space="preserve"> </w:t>
      </w:r>
      <w:r w:rsidR="007E77A8" w:rsidRPr="0088391A">
        <w:rPr>
          <w:lang w:val="en-US"/>
        </w:rPr>
        <w:t xml:space="preserve">= </w:t>
      </w:r>
      <w:r w:rsidRPr="0088391A">
        <w:rPr>
          <w:lang w:val="en-US"/>
        </w:rPr>
        <w:t>3; if the filling is 50%: I</w:t>
      </w:r>
      <w:r w:rsidRPr="0088391A">
        <w:rPr>
          <w:vertAlign w:val="subscript"/>
          <w:lang w:val="en-US"/>
        </w:rPr>
        <w:t>Ves</w:t>
      </w:r>
      <w:r w:rsidRPr="0088391A">
        <w:rPr>
          <w:lang w:val="en-US"/>
        </w:rPr>
        <w:t xml:space="preserve"> = 2</w:t>
      </w:r>
      <w:r w:rsidR="007E77A8" w:rsidRPr="0088391A">
        <w:rPr>
          <w:lang w:val="en-US"/>
        </w:rPr>
        <w:t>.</w:t>
      </w:r>
    </w:p>
    <w:p w14:paraId="7684598F" w14:textId="03C81511" w:rsidR="004A7D7F" w:rsidRPr="0088391A" w:rsidRDefault="004A7D7F" w:rsidP="000A368C">
      <w:pPr>
        <w:pStyle w:val="CETnumberingbullets"/>
        <w:numPr>
          <w:ilvl w:val="0"/>
          <w:numId w:val="0"/>
        </w:numPr>
        <w:jc w:val="both"/>
        <w:rPr>
          <w:lang w:val="en-US"/>
        </w:rPr>
      </w:pPr>
      <w:r w:rsidRPr="0088391A">
        <w:rPr>
          <w:lang w:val="en-US"/>
        </w:rPr>
        <w:t>Atmospheric tanks not anchored and with maximum filling: I</w:t>
      </w:r>
      <w:r w:rsidRPr="0088391A">
        <w:rPr>
          <w:vertAlign w:val="subscript"/>
          <w:lang w:val="en-US"/>
        </w:rPr>
        <w:t>Ves</w:t>
      </w:r>
      <w:r w:rsidRPr="0088391A">
        <w:rPr>
          <w:lang w:val="en-US"/>
        </w:rPr>
        <w:t xml:space="preserve"> = 4; if the filling is 50%: I</w:t>
      </w:r>
      <w:r w:rsidRPr="0088391A">
        <w:rPr>
          <w:vertAlign w:val="subscript"/>
          <w:lang w:val="en-US"/>
        </w:rPr>
        <w:t>Ves</w:t>
      </w:r>
      <w:r w:rsidRPr="0088391A">
        <w:rPr>
          <w:lang w:val="en-US"/>
        </w:rPr>
        <w:t xml:space="preserve"> = 3.</w:t>
      </w:r>
    </w:p>
    <w:p w14:paraId="50F015B9" w14:textId="5FD6F1BC" w:rsidR="001615BC" w:rsidRPr="0088391A" w:rsidRDefault="001615BC" w:rsidP="000A368C">
      <w:pPr>
        <w:pStyle w:val="CETnumberingbullets"/>
        <w:numPr>
          <w:ilvl w:val="0"/>
          <w:numId w:val="0"/>
        </w:numPr>
        <w:jc w:val="both"/>
        <w:rPr>
          <w:lang w:val="en-US"/>
        </w:rPr>
      </w:pPr>
    </w:p>
    <w:p w14:paraId="698EB644" w14:textId="6A182302" w:rsidR="004A7D7F" w:rsidRPr="0088391A" w:rsidRDefault="004A7D7F" w:rsidP="000A368C">
      <w:pPr>
        <w:pStyle w:val="CETnumberingbullets"/>
        <w:numPr>
          <w:ilvl w:val="0"/>
          <w:numId w:val="0"/>
        </w:numPr>
        <w:jc w:val="both"/>
        <w:rPr>
          <w:lang w:val="en-US"/>
        </w:rPr>
      </w:pPr>
      <w:r w:rsidRPr="0088391A">
        <w:rPr>
          <w:b/>
          <w:bCs/>
          <w:lang w:val="en-US"/>
        </w:rPr>
        <w:t>Pressure tanks, reactors, agitators, columns, heat exchangers, pressure pipes</w:t>
      </w:r>
    </w:p>
    <w:p w14:paraId="44C92A6C" w14:textId="733CA6FE" w:rsidR="004F4C4D" w:rsidRPr="0088391A" w:rsidRDefault="007E77A8" w:rsidP="000A368C">
      <w:pPr>
        <w:pStyle w:val="CETnumberingbullets"/>
        <w:numPr>
          <w:ilvl w:val="0"/>
          <w:numId w:val="0"/>
        </w:numPr>
        <w:jc w:val="both"/>
        <w:rPr>
          <w:lang w:val="en-US"/>
        </w:rPr>
      </w:pPr>
      <w:r w:rsidRPr="0088391A">
        <w:rPr>
          <w:lang w:val="en-US"/>
        </w:rPr>
        <w:t xml:space="preserve">For this type of equipment, built in Europe according to 2014/68/EU </w:t>
      </w:r>
      <w:r w:rsidR="00B91694">
        <w:rPr>
          <w:lang w:val="en-US"/>
        </w:rPr>
        <w:t>D</w:t>
      </w:r>
      <w:r w:rsidRPr="0088391A">
        <w:rPr>
          <w:lang w:val="en-US"/>
        </w:rPr>
        <w:t>irective (PED – Pressure Equipment Directive), it is possible to determine the PED risk category: I, II, III, IV (going from I to IV, the risk increases). PED Directive</w:t>
      </w:r>
      <w:r w:rsidR="004A7D7F" w:rsidRPr="0088391A">
        <w:rPr>
          <w:lang w:val="en-US"/>
        </w:rPr>
        <w:t xml:space="preserve"> contains specific tables from which the PED risk category can be obtained based on</w:t>
      </w:r>
      <w:r w:rsidRPr="0088391A">
        <w:rPr>
          <w:lang w:val="en-US"/>
        </w:rPr>
        <w:t xml:space="preserve"> </w:t>
      </w:r>
      <w:r w:rsidR="004A7D7F" w:rsidRPr="0088391A">
        <w:rPr>
          <w:lang w:val="en-US"/>
        </w:rPr>
        <w:t xml:space="preserve">pressure energy contained (Pressure, Volume or DN for pipes) and the dangerousness or non-dangerousness of the fluid contained. </w:t>
      </w:r>
      <w:r w:rsidRPr="0088391A">
        <w:rPr>
          <w:lang w:val="en-US"/>
        </w:rPr>
        <w:t>A</w:t>
      </w:r>
      <w:r w:rsidR="004A7D7F" w:rsidRPr="0088391A">
        <w:rPr>
          <w:lang w:val="en-US"/>
        </w:rPr>
        <w:t>uthors propose</w:t>
      </w:r>
      <w:r w:rsidRPr="0088391A">
        <w:rPr>
          <w:lang w:val="en-US"/>
        </w:rPr>
        <w:t>,</w:t>
      </w:r>
      <w:r w:rsidR="004A7D7F" w:rsidRPr="0088391A">
        <w:rPr>
          <w:lang w:val="en-US"/>
        </w:rPr>
        <w:t xml:space="preserve"> with expert judgment</w:t>
      </w:r>
      <w:r w:rsidRPr="0088391A">
        <w:rPr>
          <w:lang w:val="en-US"/>
        </w:rPr>
        <w:t>,</w:t>
      </w:r>
      <w:r w:rsidR="004A7D7F" w:rsidRPr="0088391A">
        <w:rPr>
          <w:lang w:val="en-US"/>
        </w:rPr>
        <w:t xml:space="preserve"> to identify I</w:t>
      </w:r>
      <w:r w:rsidR="004A7D7F" w:rsidRPr="0088391A">
        <w:rPr>
          <w:vertAlign w:val="subscript"/>
          <w:lang w:val="en-US"/>
        </w:rPr>
        <w:t>Ves</w:t>
      </w:r>
      <w:r w:rsidR="004A7D7F" w:rsidRPr="0088391A">
        <w:rPr>
          <w:lang w:val="en-US"/>
        </w:rPr>
        <w:t xml:space="preserve"> as reported in </w:t>
      </w:r>
      <w:r w:rsidR="0028274C">
        <w:rPr>
          <w:lang w:val="en-US"/>
        </w:rPr>
        <w:t>t</w:t>
      </w:r>
      <w:r w:rsidR="004A7D7F" w:rsidRPr="0088391A">
        <w:rPr>
          <w:lang w:val="en-US"/>
        </w:rPr>
        <w:t>able 1, below</w:t>
      </w:r>
      <w:r w:rsidR="00B91694">
        <w:rPr>
          <w:lang w:val="en-US"/>
        </w:rPr>
        <w:t xml:space="preserve"> </w:t>
      </w:r>
      <w:r w:rsidR="00B91694" w:rsidRPr="00B91694">
        <w:rPr>
          <w:lang w:val="en-US"/>
        </w:rPr>
        <w:t>(Muratore et al., 2023)</w:t>
      </w:r>
      <w:r w:rsidR="004A7D7F" w:rsidRPr="0088391A">
        <w:rPr>
          <w:lang w:val="en-US"/>
        </w:rPr>
        <w:t>.</w:t>
      </w:r>
    </w:p>
    <w:p w14:paraId="45E07622" w14:textId="27773D05" w:rsidR="00D23730" w:rsidRPr="0088391A" w:rsidRDefault="00D23730" w:rsidP="000A368C">
      <w:pPr>
        <w:pStyle w:val="CETTabletitle"/>
        <w:jc w:val="both"/>
        <w:rPr>
          <w:lang w:val="en-US"/>
        </w:rPr>
      </w:pPr>
      <w:bookmarkStart w:id="5" w:name="_Hlk157612353"/>
      <w:r w:rsidRPr="0088391A">
        <w:rPr>
          <w:lang w:val="en-US"/>
        </w:rPr>
        <w:t>Table 1: Vulnerability index “I</w:t>
      </w:r>
      <w:r w:rsidRPr="0088391A">
        <w:rPr>
          <w:vertAlign w:val="subscript"/>
          <w:lang w:val="en-US"/>
        </w:rPr>
        <w:t>Ves</w:t>
      </w:r>
      <w:r w:rsidRPr="0088391A">
        <w:rPr>
          <w:lang w:val="en-US"/>
        </w:rPr>
        <w:t>” for different types of pressure equipment</w:t>
      </w:r>
      <w:bookmarkEnd w:id="5"/>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71"/>
        <w:gridCol w:w="969"/>
        <w:gridCol w:w="968"/>
        <w:gridCol w:w="833"/>
        <w:gridCol w:w="841"/>
        <w:gridCol w:w="841"/>
        <w:gridCol w:w="841"/>
        <w:gridCol w:w="841"/>
        <w:gridCol w:w="841"/>
        <w:gridCol w:w="841"/>
      </w:tblGrid>
      <w:tr w:rsidR="00B43622" w:rsidRPr="0088391A" w14:paraId="4149081F" w14:textId="431A3A85" w:rsidTr="00B43622">
        <w:tc>
          <w:tcPr>
            <w:tcW w:w="971" w:type="dxa"/>
            <w:tcBorders>
              <w:top w:val="single" w:sz="12" w:space="0" w:color="008000"/>
              <w:bottom w:val="single" w:sz="6" w:space="0" w:color="008000"/>
            </w:tcBorders>
            <w:shd w:val="clear" w:color="auto" w:fill="FFFFFF"/>
          </w:tcPr>
          <w:p w14:paraId="75595B8C" w14:textId="14608E9B" w:rsidR="00C713B8" w:rsidRPr="0088391A" w:rsidRDefault="00C713B8" w:rsidP="00C713B8">
            <w:pPr>
              <w:pStyle w:val="CETBodytext"/>
              <w:rPr>
                <w:sz w:val="16"/>
                <w:szCs w:val="16"/>
              </w:rPr>
            </w:pPr>
            <w:bookmarkStart w:id="6" w:name="_Hlk157954856"/>
          </w:p>
        </w:tc>
        <w:tc>
          <w:tcPr>
            <w:tcW w:w="969" w:type="dxa"/>
            <w:tcBorders>
              <w:top w:val="single" w:sz="12" w:space="0" w:color="008000"/>
              <w:bottom w:val="single" w:sz="6" w:space="0" w:color="008000"/>
            </w:tcBorders>
            <w:shd w:val="clear" w:color="auto" w:fill="FFFFFF"/>
          </w:tcPr>
          <w:p w14:paraId="0019FF34" w14:textId="6F6E9EA1" w:rsidR="00C713B8" w:rsidRPr="0088391A" w:rsidRDefault="00C713B8" w:rsidP="00C713B8">
            <w:pPr>
              <w:pStyle w:val="CETBodytext"/>
              <w:jc w:val="left"/>
              <w:rPr>
                <w:sz w:val="16"/>
                <w:szCs w:val="16"/>
              </w:rPr>
            </w:pPr>
            <w:r w:rsidRPr="0088391A">
              <w:rPr>
                <w:sz w:val="16"/>
                <w:szCs w:val="16"/>
              </w:rPr>
              <w:t xml:space="preserve">Pipeline </w:t>
            </w:r>
          </w:p>
        </w:tc>
        <w:tc>
          <w:tcPr>
            <w:tcW w:w="968" w:type="dxa"/>
            <w:tcBorders>
              <w:top w:val="single" w:sz="12" w:space="0" w:color="008000"/>
              <w:bottom w:val="single" w:sz="6" w:space="0" w:color="008000"/>
            </w:tcBorders>
            <w:shd w:val="clear" w:color="auto" w:fill="FFFFFF"/>
          </w:tcPr>
          <w:p w14:paraId="00600C64" w14:textId="0220E5DE" w:rsidR="00C713B8" w:rsidRPr="0088391A" w:rsidRDefault="00C713B8" w:rsidP="00C713B8">
            <w:pPr>
              <w:pStyle w:val="CETBodytext"/>
              <w:jc w:val="left"/>
              <w:rPr>
                <w:sz w:val="16"/>
                <w:szCs w:val="16"/>
              </w:rPr>
            </w:pPr>
            <w:r w:rsidRPr="0088391A">
              <w:rPr>
                <w:sz w:val="16"/>
                <w:szCs w:val="16"/>
              </w:rPr>
              <w:t>Pipeline</w:t>
            </w:r>
          </w:p>
        </w:tc>
        <w:tc>
          <w:tcPr>
            <w:tcW w:w="833" w:type="dxa"/>
            <w:tcBorders>
              <w:top w:val="single" w:sz="12" w:space="0" w:color="008000"/>
              <w:bottom w:val="single" w:sz="6" w:space="0" w:color="008000"/>
            </w:tcBorders>
            <w:shd w:val="clear" w:color="auto" w:fill="FFFFFF"/>
          </w:tcPr>
          <w:p w14:paraId="7FC80908" w14:textId="1B269411" w:rsidR="00C713B8" w:rsidRPr="0088391A" w:rsidRDefault="00C713B8" w:rsidP="00C713B8">
            <w:pPr>
              <w:pStyle w:val="CETBodytext"/>
              <w:ind w:right="-1"/>
              <w:jc w:val="left"/>
              <w:rPr>
                <w:rFonts w:cs="Arial"/>
                <w:sz w:val="16"/>
                <w:szCs w:val="16"/>
              </w:rPr>
            </w:pPr>
            <w:r w:rsidRPr="0088391A">
              <w:rPr>
                <w:sz w:val="16"/>
                <w:szCs w:val="16"/>
              </w:rPr>
              <w:t>Pipeline</w:t>
            </w:r>
          </w:p>
        </w:tc>
        <w:tc>
          <w:tcPr>
            <w:tcW w:w="841" w:type="dxa"/>
            <w:tcBorders>
              <w:top w:val="single" w:sz="12" w:space="0" w:color="008000"/>
              <w:bottom w:val="single" w:sz="6" w:space="0" w:color="008000"/>
            </w:tcBorders>
            <w:shd w:val="clear" w:color="auto" w:fill="FFFFFF"/>
          </w:tcPr>
          <w:p w14:paraId="380F62AB" w14:textId="70213B17" w:rsidR="00C713B8" w:rsidRPr="0088391A" w:rsidRDefault="00C713B8" w:rsidP="00C713B8">
            <w:pPr>
              <w:pStyle w:val="CETBodytext"/>
              <w:ind w:right="-1"/>
              <w:jc w:val="left"/>
              <w:rPr>
                <w:rFonts w:cs="Arial"/>
                <w:sz w:val="16"/>
                <w:szCs w:val="16"/>
              </w:rPr>
            </w:pPr>
            <w:r w:rsidRPr="0088391A">
              <w:rPr>
                <w:rFonts w:cs="Arial"/>
                <w:sz w:val="16"/>
                <w:szCs w:val="16"/>
              </w:rPr>
              <w:t>Tall and lean pressure equipment (*)</w:t>
            </w:r>
          </w:p>
        </w:tc>
        <w:tc>
          <w:tcPr>
            <w:tcW w:w="841" w:type="dxa"/>
            <w:tcBorders>
              <w:top w:val="single" w:sz="12" w:space="0" w:color="008000"/>
              <w:bottom w:val="single" w:sz="6" w:space="0" w:color="008000"/>
            </w:tcBorders>
            <w:shd w:val="clear" w:color="auto" w:fill="FFFFFF"/>
          </w:tcPr>
          <w:p w14:paraId="6043CDC1" w14:textId="765257DA" w:rsidR="00C713B8" w:rsidRPr="0088391A" w:rsidRDefault="00C713B8" w:rsidP="00C713B8">
            <w:pPr>
              <w:pStyle w:val="CETBodytext"/>
              <w:ind w:right="-1"/>
              <w:jc w:val="left"/>
              <w:rPr>
                <w:rFonts w:cs="Arial"/>
                <w:sz w:val="16"/>
                <w:szCs w:val="16"/>
              </w:rPr>
            </w:pPr>
            <w:r w:rsidRPr="0088391A">
              <w:rPr>
                <w:rFonts w:cs="Arial"/>
                <w:sz w:val="16"/>
                <w:szCs w:val="16"/>
              </w:rPr>
              <w:t>Tall and lean pressure equipment (*)</w:t>
            </w:r>
          </w:p>
        </w:tc>
        <w:tc>
          <w:tcPr>
            <w:tcW w:w="841" w:type="dxa"/>
            <w:tcBorders>
              <w:top w:val="single" w:sz="12" w:space="0" w:color="008000"/>
              <w:bottom w:val="single" w:sz="6" w:space="0" w:color="008000"/>
            </w:tcBorders>
            <w:shd w:val="clear" w:color="auto" w:fill="FFFFFF"/>
          </w:tcPr>
          <w:p w14:paraId="2439531C" w14:textId="50013BFB" w:rsidR="00C713B8" w:rsidRPr="0088391A" w:rsidRDefault="00C713B8" w:rsidP="00C713B8">
            <w:pPr>
              <w:pStyle w:val="CETBodytext"/>
              <w:ind w:right="-1"/>
              <w:jc w:val="left"/>
              <w:rPr>
                <w:rFonts w:cs="Arial"/>
                <w:sz w:val="16"/>
                <w:szCs w:val="16"/>
              </w:rPr>
            </w:pPr>
            <w:r w:rsidRPr="0088391A">
              <w:rPr>
                <w:rFonts w:cs="Arial"/>
                <w:sz w:val="16"/>
                <w:szCs w:val="16"/>
              </w:rPr>
              <w:t>Tall and lean pressure equipment (*)</w:t>
            </w:r>
          </w:p>
        </w:tc>
        <w:tc>
          <w:tcPr>
            <w:tcW w:w="841" w:type="dxa"/>
            <w:tcBorders>
              <w:top w:val="single" w:sz="12" w:space="0" w:color="008000"/>
              <w:bottom w:val="single" w:sz="6" w:space="0" w:color="008000"/>
            </w:tcBorders>
            <w:shd w:val="clear" w:color="auto" w:fill="FFFFFF"/>
          </w:tcPr>
          <w:p w14:paraId="46362586" w14:textId="40469E98" w:rsidR="00C713B8" w:rsidRPr="0088391A" w:rsidRDefault="00C713B8" w:rsidP="00C713B8">
            <w:pPr>
              <w:pStyle w:val="CETBodytext"/>
              <w:ind w:right="-1"/>
              <w:jc w:val="left"/>
              <w:rPr>
                <w:rFonts w:cs="Arial"/>
                <w:sz w:val="16"/>
                <w:szCs w:val="16"/>
              </w:rPr>
            </w:pPr>
            <w:r w:rsidRPr="0088391A">
              <w:rPr>
                <w:rFonts w:cs="Arial"/>
                <w:sz w:val="16"/>
                <w:szCs w:val="16"/>
              </w:rPr>
              <w:t>Stubby pressure equipment (**)</w:t>
            </w:r>
          </w:p>
        </w:tc>
        <w:tc>
          <w:tcPr>
            <w:tcW w:w="841" w:type="dxa"/>
            <w:tcBorders>
              <w:top w:val="single" w:sz="12" w:space="0" w:color="008000"/>
              <w:bottom w:val="single" w:sz="6" w:space="0" w:color="008000"/>
            </w:tcBorders>
            <w:shd w:val="clear" w:color="auto" w:fill="FFFFFF"/>
          </w:tcPr>
          <w:p w14:paraId="264A630B" w14:textId="70DD8D71" w:rsidR="00C713B8" w:rsidRPr="0088391A" w:rsidRDefault="00C713B8" w:rsidP="00C713B8">
            <w:pPr>
              <w:pStyle w:val="CETBodytext"/>
              <w:ind w:right="-1"/>
              <w:jc w:val="left"/>
              <w:rPr>
                <w:rFonts w:cs="Arial"/>
                <w:sz w:val="16"/>
                <w:szCs w:val="16"/>
              </w:rPr>
            </w:pPr>
            <w:r w:rsidRPr="0088391A">
              <w:rPr>
                <w:rFonts w:cs="Arial"/>
                <w:sz w:val="16"/>
                <w:szCs w:val="16"/>
              </w:rPr>
              <w:t>Stubby pressure equipment (**)</w:t>
            </w:r>
          </w:p>
        </w:tc>
        <w:tc>
          <w:tcPr>
            <w:tcW w:w="841" w:type="dxa"/>
            <w:tcBorders>
              <w:top w:val="single" w:sz="12" w:space="0" w:color="008000"/>
              <w:bottom w:val="single" w:sz="6" w:space="0" w:color="008000"/>
            </w:tcBorders>
            <w:shd w:val="clear" w:color="auto" w:fill="FFFFFF"/>
          </w:tcPr>
          <w:p w14:paraId="0EC65CEA" w14:textId="072173BE" w:rsidR="00C713B8" w:rsidRPr="0088391A" w:rsidRDefault="00C713B8" w:rsidP="00C713B8">
            <w:pPr>
              <w:pStyle w:val="CETBodytext"/>
              <w:ind w:right="-1"/>
              <w:jc w:val="left"/>
              <w:rPr>
                <w:rFonts w:cs="Arial"/>
                <w:sz w:val="16"/>
                <w:szCs w:val="16"/>
              </w:rPr>
            </w:pPr>
            <w:r w:rsidRPr="0088391A">
              <w:rPr>
                <w:rFonts w:cs="Arial"/>
                <w:sz w:val="16"/>
                <w:szCs w:val="16"/>
              </w:rPr>
              <w:t>Stubby pressure equipment (**)</w:t>
            </w:r>
          </w:p>
        </w:tc>
      </w:tr>
      <w:tr w:rsidR="00C713B8" w:rsidRPr="0088391A" w14:paraId="4E9EACEC" w14:textId="77777777" w:rsidTr="00B43622">
        <w:tc>
          <w:tcPr>
            <w:tcW w:w="971" w:type="dxa"/>
            <w:tcBorders>
              <w:top w:val="single" w:sz="12" w:space="0" w:color="008000"/>
              <w:bottom w:val="single" w:sz="6" w:space="0" w:color="008000"/>
            </w:tcBorders>
            <w:shd w:val="clear" w:color="auto" w:fill="FFFFFF"/>
          </w:tcPr>
          <w:p w14:paraId="595980ED" w14:textId="77777777" w:rsidR="00C713B8" w:rsidRPr="0088391A" w:rsidRDefault="00C713B8" w:rsidP="00C713B8">
            <w:pPr>
              <w:pStyle w:val="CETBodytext"/>
              <w:rPr>
                <w:sz w:val="16"/>
                <w:szCs w:val="16"/>
              </w:rPr>
            </w:pPr>
          </w:p>
        </w:tc>
        <w:tc>
          <w:tcPr>
            <w:tcW w:w="969" w:type="dxa"/>
            <w:tcBorders>
              <w:top w:val="single" w:sz="12" w:space="0" w:color="008000"/>
              <w:bottom w:val="single" w:sz="6" w:space="0" w:color="008000"/>
            </w:tcBorders>
            <w:shd w:val="clear" w:color="auto" w:fill="FFFFFF"/>
          </w:tcPr>
          <w:p w14:paraId="59B3DBD6" w14:textId="0ED1A445" w:rsidR="00C713B8" w:rsidRPr="0088391A" w:rsidRDefault="00C713B8" w:rsidP="00C713B8">
            <w:pPr>
              <w:pStyle w:val="CETBodytext"/>
              <w:rPr>
                <w:sz w:val="16"/>
                <w:szCs w:val="16"/>
              </w:rPr>
            </w:pPr>
            <w:r w:rsidRPr="0088391A">
              <w:rPr>
                <w:rFonts w:cs="Arial"/>
                <w:sz w:val="16"/>
                <w:szCs w:val="16"/>
              </w:rPr>
              <w:t>R1</w:t>
            </w:r>
          </w:p>
        </w:tc>
        <w:tc>
          <w:tcPr>
            <w:tcW w:w="968" w:type="dxa"/>
            <w:tcBorders>
              <w:top w:val="single" w:sz="12" w:space="0" w:color="008000"/>
              <w:bottom w:val="single" w:sz="6" w:space="0" w:color="008000"/>
            </w:tcBorders>
            <w:shd w:val="clear" w:color="auto" w:fill="FFFFFF"/>
          </w:tcPr>
          <w:p w14:paraId="6405957B" w14:textId="1B97ACB5" w:rsidR="00C713B8" w:rsidRPr="0088391A" w:rsidRDefault="00C713B8" w:rsidP="00C713B8">
            <w:pPr>
              <w:pStyle w:val="CETBodytext"/>
              <w:rPr>
                <w:sz w:val="16"/>
                <w:szCs w:val="16"/>
              </w:rPr>
            </w:pPr>
            <w:r w:rsidRPr="0088391A">
              <w:rPr>
                <w:rFonts w:cs="Arial"/>
                <w:sz w:val="16"/>
                <w:szCs w:val="16"/>
              </w:rPr>
              <w:t>R2</w:t>
            </w:r>
          </w:p>
        </w:tc>
        <w:tc>
          <w:tcPr>
            <w:tcW w:w="833" w:type="dxa"/>
            <w:tcBorders>
              <w:top w:val="single" w:sz="12" w:space="0" w:color="008000"/>
              <w:bottom w:val="single" w:sz="6" w:space="0" w:color="008000"/>
            </w:tcBorders>
            <w:shd w:val="clear" w:color="auto" w:fill="FFFFFF"/>
          </w:tcPr>
          <w:p w14:paraId="4544695F" w14:textId="24C953BA" w:rsidR="00C713B8" w:rsidRPr="0088391A" w:rsidRDefault="00C713B8" w:rsidP="00C713B8">
            <w:pPr>
              <w:pStyle w:val="CETBodytext"/>
              <w:ind w:right="-1"/>
              <w:jc w:val="left"/>
              <w:rPr>
                <w:sz w:val="16"/>
                <w:szCs w:val="16"/>
              </w:rPr>
            </w:pPr>
            <w:r w:rsidRPr="0088391A">
              <w:rPr>
                <w:rFonts w:cs="Arial"/>
                <w:sz w:val="16"/>
                <w:szCs w:val="16"/>
              </w:rPr>
              <w:t>R3</w:t>
            </w:r>
          </w:p>
        </w:tc>
        <w:tc>
          <w:tcPr>
            <w:tcW w:w="841" w:type="dxa"/>
            <w:tcBorders>
              <w:top w:val="single" w:sz="12" w:space="0" w:color="008000"/>
              <w:bottom w:val="single" w:sz="6" w:space="0" w:color="008000"/>
            </w:tcBorders>
            <w:shd w:val="clear" w:color="auto" w:fill="FFFFFF"/>
          </w:tcPr>
          <w:p w14:paraId="6C8B4B9C" w14:textId="5A9DD458" w:rsidR="00C713B8" w:rsidRPr="0088391A" w:rsidRDefault="00C713B8" w:rsidP="00C713B8">
            <w:pPr>
              <w:pStyle w:val="CETBodytext"/>
              <w:ind w:right="-1"/>
              <w:jc w:val="left"/>
              <w:rPr>
                <w:rFonts w:cs="Arial"/>
                <w:sz w:val="16"/>
                <w:szCs w:val="16"/>
              </w:rPr>
            </w:pPr>
            <w:r w:rsidRPr="0088391A">
              <w:rPr>
                <w:rFonts w:cs="Arial"/>
                <w:sz w:val="16"/>
                <w:szCs w:val="16"/>
              </w:rPr>
              <w:t>R1</w:t>
            </w:r>
          </w:p>
        </w:tc>
        <w:tc>
          <w:tcPr>
            <w:tcW w:w="841" w:type="dxa"/>
            <w:tcBorders>
              <w:top w:val="single" w:sz="12" w:space="0" w:color="008000"/>
              <w:bottom w:val="single" w:sz="6" w:space="0" w:color="008000"/>
            </w:tcBorders>
            <w:shd w:val="clear" w:color="auto" w:fill="FFFFFF"/>
          </w:tcPr>
          <w:p w14:paraId="36E0814E" w14:textId="73E822A3" w:rsidR="00C713B8" w:rsidRPr="0088391A" w:rsidRDefault="00C713B8" w:rsidP="00C713B8">
            <w:pPr>
              <w:pStyle w:val="CETBodytext"/>
              <w:ind w:right="-1"/>
              <w:jc w:val="left"/>
              <w:rPr>
                <w:rFonts w:cs="Arial"/>
                <w:sz w:val="16"/>
                <w:szCs w:val="16"/>
              </w:rPr>
            </w:pPr>
            <w:r w:rsidRPr="0088391A">
              <w:rPr>
                <w:rFonts w:cs="Arial"/>
                <w:sz w:val="16"/>
                <w:szCs w:val="16"/>
              </w:rPr>
              <w:t>R2</w:t>
            </w:r>
          </w:p>
        </w:tc>
        <w:tc>
          <w:tcPr>
            <w:tcW w:w="841" w:type="dxa"/>
            <w:tcBorders>
              <w:top w:val="single" w:sz="12" w:space="0" w:color="008000"/>
              <w:bottom w:val="single" w:sz="6" w:space="0" w:color="008000"/>
            </w:tcBorders>
            <w:shd w:val="clear" w:color="auto" w:fill="FFFFFF"/>
          </w:tcPr>
          <w:p w14:paraId="5DCD5AE3" w14:textId="2B85ABEC" w:rsidR="00C713B8" w:rsidRPr="0088391A" w:rsidRDefault="00C713B8" w:rsidP="00C713B8">
            <w:pPr>
              <w:pStyle w:val="CETBodytext"/>
              <w:ind w:right="-1"/>
              <w:rPr>
                <w:rFonts w:cs="Arial"/>
                <w:sz w:val="16"/>
                <w:szCs w:val="16"/>
              </w:rPr>
            </w:pPr>
            <w:r w:rsidRPr="0088391A">
              <w:rPr>
                <w:rFonts w:cs="Arial"/>
                <w:sz w:val="16"/>
                <w:szCs w:val="16"/>
              </w:rPr>
              <w:t>R3</w:t>
            </w:r>
          </w:p>
        </w:tc>
        <w:tc>
          <w:tcPr>
            <w:tcW w:w="841" w:type="dxa"/>
            <w:tcBorders>
              <w:top w:val="single" w:sz="12" w:space="0" w:color="008000"/>
              <w:bottom w:val="single" w:sz="6" w:space="0" w:color="008000"/>
            </w:tcBorders>
            <w:shd w:val="clear" w:color="auto" w:fill="FFFFFF"/>
          </w:tcPr>
          <w:p w14:paraId="2A24903B" w14:textId="42213501" w:rsidR="00C713B8" w:rsidRPr="0088391A" w:rsidRDefault="00C713B8" w:rsidP="00C713B8">
            <w:pPr>
              <w:pStyle w:val="CETBodytext"/>
              <w:ind w:right="-1"/>
              <w:rPr>
                <w:rFonts w:cs="Arial"/>
                <w:sz w:val="16"/>
                <w:szCs w:val="16"/>
              </w:rPr>
            </w:pPr>
            <w:r w:rsidRPr="0088391A">
              <w:rPr>
                <w:rFonts w:cs="Arial"/>
                <w:sz w:val="16"/>
                <w:szCs w:val="16"/>
              </w:rPr>
              <w:t>R1</w:t>
            </w:r>
          </w:p>
        </w:tc>
        <w:tc>
          <w:tcPr>
            <w:tcW w:w="841" w:type="dxa"/>
            <w:tcBorders>
              <w:top w:val="single" w:sz="12" w:space="0" w:color="008000"/>
              <w:bottom w:val="single" w:sz="6" w:space="0" w:color="008000"/>
            </w:tcBorders>
            <w:shd w:val="clear" w:color="auto" w:fill="FFFFFF"/>
          </w:tcPr>
          <w:p w14:paraId="57BDF223" w14:textId="0EFB5104" w:rsidR="00C713B8" w:rsidRPr="0088391A" w:rsidRDefault="00C713B8" w:rsidP="00C713B8">
            <w:pPr>
              <w:pStyle w:val="CETBodytext"/>
              <w:ind w:right="-1"/>
              <w:rPr>
                <w:rFonts w:cs="Arial"/>
                <w:sz w:val="16"/>
                <w:szCs w:val="16"/>
              </w:rPr>
            </w:pPr>
            <w:r w:rsidRPr="0088391A">
              <w:rPr>
                <w:rFonts w:cs="Arial"/>
                <w:sz w:val="16"/>
                <w:szCs w:val="16"/>
              </w:rPr>
              <w:t>R2</w:t>
            </w:r>
          </w:p>
        </w:tc>
        <w:tc>
          <w:tcPr>
            <w:tcW w:w="841" w:type="dxa"/>
            <w:tcBorders>
              <w:top w:val="single" w:sz="12" w:space="0" w:color="008000"/>
              <w:bottom w:val="single" w:sz="6" w:space="0" w:color="008000"/>
            </w:tcBorders>
            <w:shd w:val="clear" w:color="auto" w:fill="FFFFFF"/>
          </w:tcPr>
          <w:p w14:paraId="2CFF063A" w14:textId="5A5FBE46" w:rsidR="00C713B8" w:rsidRPr="0088391A" w:rsidRDefault="00C713B8" w:rsidP="00C713B8">
            <w:pPr>
              <w:pStyle w:val="CETBodytext"/>
              <w:ind w:right="-1"/>
              <w:rPr>
                <w:rFonts w:cs="Arial"/>
                <w:sz w:val="16"/>
                <w:szCs w:val="16"/>
              </w:rPr>
            </w:pPr>
            <w:r w:rsidRPr="0088391A">
              <w:rPr>
                <w:rFonts w:cs="Arial"/>
                <w:sz w:val="16"/>
                <w:szCs w:val="16"/>
              </w:rPr>
              <w:t>R3</w:t>
            </w:r>
          </w:p>
        </w:tc>
      </w:tr>
      <w:tr w:rsidR="00C713B8" w:rsidRPr="0088391A" w14:paraId="5C2D42DD" w14:textId="6AE72E29" w:rsidTr="00B43622">
        <w:tc>
          <w:tcPr>
            <w:tcW w:w="971" w:type="dxa"/>
            <w:shd w:val="clear" w:color="auto" w:fill="FFFFFF"/>
          </w:tcPr>
          <w:p w14:paraId="29C96A79" w14:textId="19CE5225" w:rsidR="00C713B8" w:rsidRPr="0088391A" w:rsidRDefault="00C713B8" w:rsidP="00C713B8">
            <w:pPr>
              <w:pStyle w:val="CETBodytext"/>
              <w:jc w:val="left"/>
              <w:rPr>
                <w:sz w:val="16"/>
                <w:szCs w:val="16"/>
              </w:rPr>
            </w:pPr>
            <w:r w:rsidRPr="0088391A">
              <w:rPr>
                <w:rFonts w:cs="Arial"/>
                <w:sz w:val="16"/>
                <w:szCs w:val="16"/>
              </w:rPr>
              <w:t>Cat. PED: IV</w:t>
            </w:r>
          </w:p>
        </w:tc>
        <w:tc>
          <w:tcPr>
            <w:tcW w:w="969" w:type="dxa"/>
            <w:shd w:val="clear" w:color="auto" w:fill="FFFFFF"/>
          </w:tcPr>
          <w:p w14:paraId="2F067C4D" w14:textId="031200A7" w:rsidR="00C713B8" w:rsidRPr="0088391A" w:rsidRDefault="00C713B8" w:rsidP="00C713B8">
            <w:pPr>
              <w:pStyle w:val="CETBodytext"/>
              <w:rPr>
                <w:sz w:val="16"/>
                <w:szCs w:val="16"/>
              </w:rPr>
            </w:pPr>
            <w:r w:rsidRPr="0088391A">
              <w:rPr>
                <w:rFonts w:cs="Arial"/>
                <w:sz w:val="16"/>
                <w:szCs w:val="16"/>
              </w:rPr>
              <w:t>Not Applicable</w:t>
            </w:r>
          </w:p>
        </w:tc>
        <w:tc>
          <w:tcPr>
            <w:tcW w:w="968" w:type="dxa"/>
            <w:shd w:val="clear" w:color="auto" w:fill="FFFFFF"/>
          </w:tcPr>
          <w:p w14:paraId="26DB4F5F" w14:textId="64AFA9F5" w:rsidR="00C713B8" w:rsidRPr="0088391A" w:rsidRDefault="00C713B8" w:rsidP="00C713B8">
            <w:pPr>
              <w:pStyle w:val="CETBodytext"/>
              <w:rPr>
                <w:sz w:val="16"/>
                <w:szCs w:val="16"/>
              </w:rPr>
            </w:pPr>
            <w:r w:rsidRPr="0088391A">
              <w:rPr>
                <w:rFonts w:cs="Arial"/>
                <w:sz w:val="16"/>
                <w:szCs w:val="16"/>
              </w:rPr>
              <w:t>Not Applicable</w:t>
            </w:r>
          </w:p>
        </w:tc>
        <w:tc>
          <w:tcPr>
            <w:tcW w:w="833" w:type="dxa"/>
            <w:shd w:val="clear" w:color="auto" w:fill="FFFFFF"/>
          </w:tcPr>
          <w:p w14:paraId="4680A83B" w14:textId="42180B0D" w:rsidR="00C713B8" w:rsidRPr="0088391A" w:rsidRDefault="00C713B8" w:rsidP="00C713B8">
            <w:pPr>
              <w:pStyle w:val="CETBodytext"/>
              <w:ind w:right="-1"/>
              <w:rPr>
                <w:rFonts w:cs="Arial"/>
                <w:sz w:val="16"/>
                <w:szCs w:val="16"/>
              </w:rPr>
            </w:pPr>
            <w:r w:rsidRPr="0088391A">
              <w:rPr>
                <w:rFonts w:cs="Arial"/>
                <w:sz w:val="16"/>
                <w:szCs w:val="16"/>
              </w:rPr>
              <w:t>Not Applicable</w:t>
            </w:r>
          </w:p>
        </w:tc>
        <w:tc>
          <w:tcPr>
            <w:tcW w:w="841" w:type="dxa"/>
            <w:shd w:val="clear" w:color="auto" w:fill="FFFFFF"/>
          </w:tcPr>
          <w:p w14:paraId="50C2CC87" w14:textId="2F6CC38C" w:rsidR="00C713B8" w:rsidRPr="0088391A" w:rsidRDefault="00C713B8" w:rsidP="00C713B8">
            <w:pPr>
              <w:pStyle w:val="CETBodytext"/>
              <w:ind w:right="-1"/>
              <w:rPr>
                <w:rFonts w:cs="Arial"/>
                <w:sz w:val="16"/>
                <w:szCs w:val="16"/>
              </w:rPr>
            </w:pPr>
            <w:r w:rsidRPr="0088391A">
              <w:rPr>
                <w:rFonts w:cs="Arial"/>
                <w:sz w:val="16"/>
                <w:szCs w:val="16"/>
              </w:rPr>
              <w:t>4</w:t>
            </w:r>
          </w:p>
        </w:tc>
        <w:tc>
          <w:tcPr>
            <w:tcW w:w="841" w:type="dxa"/>
            <w:shd w:val="clear" w:color="auto" w:fill="FFFFFF"/>
          </w:tcPr>
          <w:p w14:paraId="41E2BABA" w14:textId="7A9692D2" w:rsidR="00C713B8" w:rsidRPr="0088391A" w:rsidRDefault="00C713B8" w:rsidP="00C713B8">
            <w:pPr>
              <w:pStyle w:val="CETBodytext"/>
              <w:ind w:right="-1"/>
              <w:rPr>
                <w:rFonts w:cs="Arial"/>
                <w:sz w:val="16"/>
                <w:szCs w:val="16"/>
              </w:rPr>
            </w:pPr>
            <w:r w:rsidRPr="0088391A">
              <w:rPr>
                <w:rFonts w:cs="Arial"/>
                <w:sz w:val="16"/>
                <w:szCs w:val="16"/>
              </w:rPr>
              <w:t>4</w:t>
            </w:r>
          </w:p>
        </w:tc>
        <w:tc>
          <w:tcPr>
            <w:tcW w:w="841" w:type="dxa"/>
            <w:shd w:val="clear" w:color="auto" w:fill="FFFFFF"/>
          </w:tcPr>
          <w:p w14:paraId="322257B3" w14:textId="7D8B6EA2" w:rsidR="00C713B8" w:rsidRPr="0088391A" w:rsidRDefault="00C713B8" w:rsidP="00C713B8">
            <w:pPr>
              <w:pStyle w:val="CETBodytext"/>
              <w:ind w:right="-1"/>
              <w:rPr>
                <w:rFonts w:cs="Arial"/>
                <w:sz w:val="16"/>
                <w:szCs w:val="16"/>
              </w:rPr>
            </w:pPr>
            <w:r w:rsidRPr="0088391A">
              <w:rPr>
                <w:rFonts w:cs="Arial"/>
                <w:sz w:val="16"/>
                <w:szCs w:val="16"/>
              </w:rPr>
              <w:t>4</w:t>
            </w:r>
          </w:p>
        </w:tc>
        <w:tc>
          <w:tcPr>
            <w:tcW w:w="841" w:type="dxa"/>
            <w:shd w:val="clear" w:color="auto" w:fill="FFFFFF"/>
          </w:tcPr>
          <w:p w14:paraId="6A8B379B" w14:textId="69202FDD" w:rsidR="00C713B8" w:rsidRPr="0088391A" w:rsidRDefault="00C713B8" w:rsidP="00C713B8">
            <w:pPr>
              <w:pStyle w:val="CETBodytext"/>
              <w:ind w:right="-1"/>
              <w:rPr>
                <w:rFonts w:cs="Arial"/>
                <w:sz w:val="16"/>
                <w:szCs w:val="16"/>
              </w:rPr>
            </w:pPr>
            <w:r w:rsidRPr="0088391A">
              <w:rPr>
                <w:rFonts w:cs="Arial"/>
                <w:sz w:val="16"/>
                <w:szCs w:val="16"/>
              </w:rPr>
              <w:t>3</w:t>
            </w:r>
          </w:p>
        </w:tc>
        <w:tc>
          <w:tcPr>
            <w:tcW w:w="841" w:type="dxa"/>
            <w:shd w:val="clear" w:color="auto" w:fill="FFFFFF"/>
          </w:tcPr>
          <w:p w14:paraId="79E11D61" w14:textId="12D92A99" w:rsidR="00C713B8" w:rsidRPr="0088391A" w:rsidRDefault="00C713B8" w:rsidP="00C713B8">
            <w:pPr>
              <w:pStyle w:val="CETBodytext"/>
              <w:ind w:right="-1"/>
              <w:rPr>
                <w:rFonts w:cs="Arial"/>
                <w:sz w:val="16"/>
                <w:szCs w:val="16"/>
              </w:rPr>
            </w:pPr>
            <w:r w:rsidRPr="0088391A">
              <w:rPr>
                <w:rFonts w:cs="Arial"/>
                <w:sz w:val="16"/>
                <w:szCs w:val="16"/>
              </w:rPr>
              <w:t>3</w:t>
            </w:r>
          </w:p>
        </w:tc>
        <w:tc>
          <w:tcPr>
            <w:tcW w:w="841" w:type="dxa"/>
            <w:shd w:val="clear" w:color="auto" w:fill="FFFFFF"/>
          </w:tcPr>
          <w:p w14:paraId="4C311DE7" w14:textId="3043E5FB" w:rsidR="00C713B8" w:rsidRPr="0088391A" w:rsidRDefault="00C713B8" w:rsidP="00C713B8">
            <w:pPr>
              <w:pStyle w:val="CETBodytext"/>
              <w:ind w:right="-1"/>
              <w:rPr>
                <w:rFonts w:cs="Arial"/>
                <w:sz w:val="16"/>
                <w:szCs w:val="16"/>
              </w:rPr>
            </w:pPr>
            <w:r w:rsidRPr="0088391A">
              <w:rPr>
                <w:rFonts w:cs="Arial"/>
                <w:sz w:val="16"/>
                <w:szCs w:val="16"/>
              </w:rPr>
              <w:t>2</w:t>
            </w:r>
          </w:p>
        </w:tc>
      </w:tr>
      <w:tr w:rsidR="00C713B8" w:rsidRPr="0088391A" w14:paraId="11BAC5A6" w14:textId="77777777" w:rsidTr="00B43622">
        <w:tc>
          <w:tcPr>
            <w:tcW w:w="971" w:type="dxa"/>
            <w:shd w:val="clear" w:color="auto" w:fill="FFFFFF"/>
          </w:tcPr>
          <w:p w14:paraId="24896E98" w14:textId="1B320B64" w:rsidR="00C713B8" w:rsidRPr="0088391A" w:rsidRDefault="00C713B8" w:rsidP="00C713B8">
            <w:pPr>
              <w:pStyle w:val="CETBodytext"/>
              <w:jc w:val="left"/>
              <w:rPr>
                <w:sz w:val="16"/>
                <w:szCs w:val="16"/>
              </w:rPr>
            </w:pPr>
            <w:r w:rsidRPr="0088391A">
              <w:rPr>
                <w:rFonts w:cs="Arial"/>
                <w:sz w:val="16"/>
                <w:szCs w:val="16"/>
              </w:rPr>
              <w:t>Cat. PED: III</w:t>
            </w:r>
          </w:p>
        </w:tc>
        <w:tc>
          <w:tcPr>
            <w:tcW w:w="969" w:type="dxa"/>
            <w:shd w:val="clear" w:color="auto" w:fill="FFFFFF"/>
          </w:tcPr>
          <w:p w14:paraId="4764958F" w14:textId="59AF0863" w:rsidR="00C713B8" w:rsidRPr="0088391A" w:rsidRDefault="00C713B8" w:rsidP="00C713B8">
            <w:pPr>
              <w:pStyle w:val="CETBodytext"/>
              <w:rPr>
                <w:sz w:val="16"/>
                <w:szCs w:val="16"/>
              </w:rPr>
            </w:pPr>
            <w:r w:rsidRPr="0088391A">
              <w:rPr>
                <w:rFonts w:cs="Arial"/>
                <w:sz w:val="16"/>
                <w:szCs w:val="16"/>
              </w:rPr>
              <w:t>3</w:t>
            </w:r>
          </w:p>
        </w:tc>
        <w:tc>
          <w:tcPr>
            <w:tcW w:w="968" w:type="dxa"/>
            <w:shd w:val="clear" w:color="auto" w:fill="FFFFFF"/>
          </w:tcPr>
          <w:p w14:paraId="78CA6EB4" w14:textId="2BFC8656" w:rsidR="00C713B8" w:rsidRPr="0088391A" w:rsidRDefault="00C713B8" w:rsidP="00C713B8">
            <w:pPr>
              <w:pStyle w:val="CETBodytext"/>
              <w:rPr>
                <w:sz w:val="16"/>
                <w:szCs w:val="16"/>
              </w:rPr>
            </w:pPr>
            <w:r w:rsidRPr="0088391A">
              <w:rPr>
                <w:rFonts w:cs="Arial"/>
                <w:sz w:val="16"/>
                <w:szCs w:val="16"/>
              </w:rPr>
              <w:t>3</w:t>
            </w:r>
          </w:p>
        </w:tc>
        <w:tc>
          <w:tcPr>
            <w:tcW w:w="833" w:type="dxa"/>
            <w:shd w:val="clear" w:color="auto" w:fill="FFFFFF"/>
          </w:tcPr>
          <w:p w14:paraId="0905F4D7" w14:textId="35E4AABC" w:rsidR="00C713B8" w:rsidRPr="0088391A" w:rsidRDefault="00C713B8" w:rsidP="00C713B8">
            <w:pPr>
              <w:pStyle w:val="CETBodytext"/>
              <w:ind w:right="-1"/>
              <w:rPr>
                <w:rFonts w:cs="Arial"/>
                <w:sz w:val="16"/>
                <w:szCs w:val="16"/>
              </w:rPr>
            </w:pPr>
            <w:r w:rsidRPr="0088391A">
              <w:rPr>
                <w:rFonts w:cs="Arial"/>
                <w:sz w:val="16"/>
                <w:szCs w:val="16"/>
              </w:rPr>
              <w:t>2</w:t>
            </w:r>
          </w:p>
        </w:tc>
        <w:tc>
          <w:tcPr>
            <w:tcW w:w="841" w:type="dxa"/>
            <w:shd w:val="clear" w:color="auto" w:fill="FFFFFF"/>
          </w:tcPr>
          <w:p w14:paraId="448EA2EA" w14:textId="07AF3AFA" w:rsidR="00C713B8" w:rsidRPr="0088391A" w:rsidRDefault="00C713B8" w:rsidP="00C713B8">
            <w:pPr>
              <w:pStyle w:val="CETBodytext"/>
              <w:ind w:right="-1"/>
              <w:rPr>
                <w:rFonts w:cs="Arial"/>
                <w:sz w:val="16"/>
                <w:szCs w:val="16"/>
              </w:rPr>
            </w:pPr>
            <w:r w:rsidRPr="0088391A">
              <w:rPr>
                <w:rFonts w:cs="Arial"/>
                <w:sz w:val="16"/>
                <w:szCs w:val="16"/>
              </w:rPr>
              <w:t>3</w:t>
            </w:r>
          </w:p>
        </w:tc>
        <w:tc>
          <w:tcPr>
            <w:tcW w:w="841" w:type="dxa"/>
            <w:shd w:val="clear" w:color="auto" w:fill="FFFFFF"/>
          </w:tcPr>
          <w:p w14:paraId="2F0CB770" w14:textId="1BBD383B" w:rsidR="00C713B8" w:rsidRPr="0088391A" w:rsidRDefault="00C713B8" w:rsidP="00C713B8">
            <w:pPr>
              <w:pStyle w:val="CETBodytext"/>
              <w:ind w:right="-1"/>
              <w:rPr>
                <w:rFonts w:cs="Arial"/>
                <w:sz w:val="16"/>
                <w:szCs w:val="16"/>
              </w:rPr>
            </w:pPr>
            <w:r w:rsidRPr="0088391A">
              <w:rPr>
                <w:rFonts w:cs="Arial"/>
                <w:sz w:val="16"/>
                <w:szCs w:val="16"/>
              </w:rPr>
              <w:t>3</w:t>
            </w:r>
          </w:p>
        </w:tc>
        <w:tc>
          <w:tcPr>
            <w:tcW w:w="841" w:type="dxa"/>
            <w:shd w:val="clear" w:color="auto" w:fill="FFFFFF"/>
          </w:tcPr>
          <w:p w14:paraId="15E601A8" w14:textId="6919B747" w:rsidR="00C713B8" w:rsidRPr="0088391A" w:rsidRDefault="00C713B8" w:rsidP="00C713B8">
            <w:pPr>
              <w:pStyle w:val="CETBodytext"/>
              <w:ind w:right="-1"/>
              <w:rPr>
                <w:rFonts w:cs="Arial"/>
                <w:sz w:val="16"/>
                <w:szCs w:val="16"/>
              </w:rPr>
            </w:pPr>
            <w:r w:rsidRPr="0088391A">
              <w:rPr>
                <w:rFonts w:cs="Arial"/>
                <w:sz w:val="16"/>
                <w:szCs w:val="16"/>
              </w:rPr>
              <w:t>3</w:t>
            </w:r>
          </w:p>
        </w:tc>
        <w:tc>
          <w:tcPr>
            <w:tcW w:w="841" w:type="dxa"/>
            <w:shd w:val="clear" w:color="auto" w:fill="FFFFFF"/>
          </w:tcPr>
          <w:p w14:paraId="33DA45D3" w14:textId="7AB7E2D0" w:rsidR="00C713B8" w:rsidRPr="0088391A" w:rsidRDefault="00C713B8" w:rsidP="00C713B8">
            <w:pPr>
              <w:pStyle w:val="CETBodytext"/>
              <w:ind w:right="-1"/>
              <w:rPr>
                <w:rFonts w:cs="Arial"/>
                <w:sz w:val="16"/>
                <w:szCs w:val="16"/>
              </w:rPr>
            </w:pPr>
            <w:r w:rsidRPr="0088391A">
              <w:rPr>
                <w:rFonts w:cs="Arial"/>
                <w:sz w:val="16"/>
                <w:szCs w:val="16"/>
              </w:rPr>
              <w:t>2</w:t>
            </w:r>
          </w:p>
        </w:tc>
        <w:tc>
          <w:tcPr>
            <w:tcW w:w="841" w:type="dxa"/>
            <w:shd w:val="clear" w:color="auto" w:fill="FFFFFF"/>
          </w:tcPr>
          <w:p w14:paraId="57B5878B" w14:textId="4087DC55" w:rsidR="00C713B8" w:rsidRPr="0088391A" w:rsidRDefault="00C713B8" w:rsidP="00C713B8">
            <w:pPr>
              <w:pStyle w:val="CETBodytext"/>
              <w:ind w:right="-1"/>
              <w:rPr>
                <w:rFonts w:cs="Arial"/>
                <w:sz w:val="16"/>
                <w:szCs w:val="16"/>
              </w:rPr>
            </w:pPr>
            <w:r w:rsidRPr="0088391A">
              <w:rPr>
                <w:rFonts w:cs="Arial"/>
                <w:sz w:val="16"/>
                <w:szCs w:val="16"/>
              </w:rPr>
              <w:t>2</w:t>
            </w:r>
          </w:p>
        </w:tc>
        <w:tc>
          <w:tcPr>
            <w:tcW w:w="841" w:type="dxa"/>
            <w:shd w:val="clear" w:color="auto" w:fill="FFFFFF"/>
          </w:tcPr>
          <w:p w14:paraId="6A1DBBCE" w14:textId="5C4E18D3" w:rsidR="00C713B8" w:rsidRPr="0088391A" w:rsidRDefault="00C713B8" w:rsidP="00C713B8">
            <w:pPr>
              <w:pStyle w:val="CETBodytext"/>
              <w:ind w:right="-1"/>
              <w:rPr>
                <w:rFonts w:cs="Arial"/>
                <w:sz w:val="16"/>
                <w:szCs w:val="16"/>
              </w:rPr>
            </w:pPr>
            <w:r w:rsidRPr="0088391A">
              <w:rPr>
                <w:rFonts w:cs="Arial"/>
                <w:sz w:val="16"/>
                <w:szCs w:val="16"/>
              </w:rPr>
              <w:t>2</w:t>
            </w:r>
          </w:p>
        </w:tc>
      </w:tr>
      <w:tr w:rsidR="00C713B8" w:rsidRPr="0088391A" w14:paraId="72053587" w14:textId="77777777" w:rsidTr="00B43622">
        <w:tc>
          <w:tcPr>
            <w:tcW w:w="971" w:type="dxa"/>
            <w:shd w:val="clear" w:color="auto" w:fill="FFFFFF"/>
          </w:tcPr>
          <w:p w14:paraId="4644D665" w14:textId="1AE3C57B" w:rsidR="00C713B8" w:rsidRPr="0088391A" w:rsidRDefault="00C713B8" w:rsidP="00B43622">
            <w:pPr>
              <w:pStyle w:val="CETBodytext"/>
              <w:jc w:val="left"/>
              <w:rPr>
                <w:sz w:val="16"/>
                <w:szCs w:val="16"/>
              </w:rPr>
            </w:pPr>
            <w:r w:rsidRPr="0088391A">
              <w:rPr>
                <w:rFonts w:cs="Arial"/>
                <w:sz w:val="16"/>
                <w:szCs w:val="16"/>
              </w:rPr>
              <w:t>Cat. PED: II</w:t>
            </w:r>
          </w:p>
        </w:tc>
        <w:tc>
          <w:tcPr>
            <w:tcW w:w="969" w:type="dxa"/>
            <w:shd w:val="clear" w:color="auto" w:fill="FFFFFF"/>
          </w:tcPr>
          <w:p w14:paraId="59E1BE5A" w14:textId="1EA1521E" w:rsidR="00C713B8" w:rsidRPr="0088391A" w:rsidRDefault="00C713B8" w:rsidP="00C713B8">
            <w:pPr>
              <w:pStyle w:val="CETBodytext"/>
              <w:rPr>
                <w:sz w:val="16"/>
                <w:szCs w:val="16"/>
              </w:rPr>
            </w:pPr>
            <w:r w:rsidRPr="0088391A">
              <w:rPr>
                <w:rFonts w:cs="Arial"/>
                <w:sz w:val="16"/>
                <w:szCs w:val="16"/>
              </w:rPr>
              <w:t>3</w:t>
            </w:r>
          </w:p>
        </w:tc>
        <w:tc>
          <w:tcPr>
            <w:tcW w:w="968" w:type="dxa"/>
            <w:shd w:val="clear" w:color="auto" w:fill="FFFFFF"/>
          </w:tcPr>
          <w:p w14:paraId="44505E7C" w14:textId="5563993B" w:rsidR="00C713B8" w:rsidRPr="0088391A" w:rsidRDefault="00C713B8" w:rsidP="00C713B8">
            <w:pPr>
              <w:pStyle w:val="CETBodytext"/>
              <w:rPr>
                <w:sz w:val="16"/>
                <w:szCs w:val="16"/>
              </w:rPr>
            </w:pPr>
            <w:r w:rsidRPr="0088391A">
              <w:rPr>
                <w:rFonts w:cs="Arial"/>
                <w:sz w:val="16"/>
                <w:szCs w:val="16"/>
              </w:rPr>
              <w:t>2</w:t>
            </w:r>
          </w:p>
        </w:tc>
        <w:tc>
          <w:tcPr>
            <w:tcW w:w="833" w:type="dxa"/>
            <w:shd w:val="clear" w:color="auto" w:fill="FFFFFF"/>
          </w:tcPr>
          <w:p w14:paraId="5A458214" w14:textId="664F671D" w:rsidR="00C713B8" w:rsidRPr="0088391A" w:rsidRDefault="00C713B8" w:rsidP="00C713B8">
            <w:pPr>
              <w:pStyle w:val="CETBodytext"/>
              <w:ind w:right="-1"/>
              <w:rPr>
                <w:rFonts w:cs="Arial"/>
                <w:sz w:val="16"/>
                <w:szCs w:val="16"/>
              </w:rPr>
            </w:pPr>
            <w:r w:rsidRPr="0088391A">
              <w:rPr>
                <w:rFonts w:cs="Arial"/>
                <w:sz w:val="16"/>
                <w:szCs w:val="16"/>
              </w:rPr>
              <w:t>2</w:t>
            </w:r>
          </w:p>
        </w:tc>
        <w:tc>
          <w:tcPr>
            <w:tcW w:w="841" w:type="dxa"/>
            <w:shd w:val="clear" w:color="auto" w:fill="FFFFFF"/>
          </w:tcPr>
          <w:p w14:paraId="379C1A99" w14:textId="4E568D70" w:rsidR="00C713B8" w:rsidRPr="0088391A" w:rsidRDefault="00C713B8" w:rsidP="00C713B8">
            <w:pPr>
              <w:pStyle w:val="CETBodytext"/>
              <w:ind w:right="-1"/>
              <w:rPr>
                <w:rFonts w:cs="Arial"/>
                <w:sz w:val="16"/>
                <w:szCs w:val="16"/>
              </w:rPr>
            </w:pPr>
            <w:r w:rsidRPr="0088391A">
              <w:rPr>
                <w:rFonts w:cs="Arial"/>
                <w:sz w:val="16"/>
                <w:szCs w:val="16"/>
              </w:rPr>
              <w:t>3</w:t>
            </w:r>
          </w:p>
        </w:tc>
        <w:tc>
          <w:tcPr>
            <w:tcW w:w="841" w:type="dxa"/>
            <w:shd w:val="clear" w:color="auto" w:fill="FFFFFF"/>
          </w:tcPr>
          <w:p w14:paraId="7AB5378B" w14:textId="7626D9E7" w:rsidR="00C713B8" w:rsidRPr="0088391A" w:rsidRDefault="00C713B8" w:rsidP="00C713B8">
            <w:pPr>
              <w:pStyle w:val="CETBodytext"/>
              <w:ind w:right="-1"/>
              <w:rPr>
                <w:rFonts w:cs="Arial"/>
                <w:sz w:val="16"/>
                <w:szCs w:val="16"/>
              </w:rPr>
            </w:pPr>
            <w:r w:rsidRPr="0088391A">
              <w:rPr>
                <w:rFonts w:cs="Arial"/>
                <w:sz w:val="16"/>
                <w:szCs w:val="16"/>
              </w:rPr>
              <w:t>2</w:t>
            </w:r>
          </w:p>
        </w:tc>
        <w:tc>
          <w:tcPr>
            <w:tcW w:w="841" w:type="dxa"/>
            <w:shd w:val="clear" w:color="auto" w:fill="FFFFFF"/>
          </w:tcPr>
          <w:p w14:paraId="1520D924" w14:textId="63906026" w:rsidR="00C713B8" w:rsidRPr="0088391A" w:rsidRDefault="00C713B8" w:rsidP="00C713B8">
            <w:pPr>
              <w:pStyle w:val="CETBodytext"/>
              <w:ind w:right="-1"/>
              <w:rPr>
                <w:rFonts w:cs="Arial"/>
                <w:sz w:val="16"/>
                <w:szCs w:val="16"/>
              </w:rPr>
            </w:pPr>
            <w:r w:rsidRPr="0088391A">
              <w:rPr>
                <w:rFonts w:cs="Arial"/>
                <w:sz w:val="16"/>
                <w:szCs w:val="16"/>
              </w:rPr>
              <w:t>2</w:t>
            </w:r>
          </w:p>
        </w:tc>
        <w:tc>
          <w:tcPr>
            <w:tcW w:w="841" w:type="dxa"/>
            <w:shd w:val="clear" w:color="auto" w:fill="FFFFFF"/>
          </w:tcPr>
          <w:p w14:paraId="2837077B" w14:textId="17CA6792" w:rsidR="00C713B8" w:rsidRPr="0088391A" w:rsidRDefault="00C713B8" w:rsidP="00C713B8">
            <w:pPr>
              <w:pStyle w:val="CETBodytext"/>
              <w:ind w:right="-1"/>
              <w:rPr>
                <w:rFonts w:cs="Arial"/>
                <w:sz w:val="16"/>
                <w:szCs w:val="16"/>
              </w:rPr>
            </w:pPr>
            <w:r w:rsidRPr="0088391A">
              <w:rPr>
                <w:rFonts w:cs="Arial"/>
                <w:sz w:val="16"/>
                <w:szCs w:val="16"/>
              </w:rPr>
              <w:t>2</w:t>
            </w:r>
          </w:p>
        </w:tc>
        <w:tc>
          <w:tcPr>
            <w:tcW w:w="841" w:type="dxa"/>
            <w:shd w:val="clear" w:color="auto" w:fill="FFFFFF"/>
          </w:tcPr>
          <w:p w14:paraId="6226C582" w14:textId="0CE924C7" w:rsidR="00C713B8" w:rsidRPr="0088391A" w:rsidRDefault="00C713B8" w:rsidP="00C713B8">
            <w:pPr>
              <w:pStyle w:val="CETBodytext"/>
              <w:ind w:right="-1"/>
              <w:rPr>
                <w:rFonts w:cs="Arial"/>
                <w:sz w:val="16"/>
                <w:szCs w:val="16"/>
              </w:rPr>
            </w:pPr>
            <w:r w:rsidRPr="0088391A">
              <w:rPr>
                <w:rFonts w:cs="Arial"/>
                <w:sz w:val="16"/>
                <w:szCs w:val="16"/>
              </w:rPr>
              <w:t>1</w:t>
            </w:r>
          </w:p>
        </w:tc>
        <w:tc>
          <w:tcPr>
            <w:tcW w:w="841" w:type="dxa"/>
            <w:shd w:val="clear" w:color="auto" w:fill="FFFFFF"/>
          </w:tcPr>
          <w:p w14:paraId="0474058A" w14:textId="66949C67" w:rsidR="00C713B8" w:rsidRPr="0088391A" w:rsidRDefault="00C713B8" w:rsidP="00C713B8">
            <w:pPr>
              <w:pStyle w:val="CETBodytext"/>
              <w:ind w:right="-1"/>
              <w:rPr>
                <w:rFonts w:cs="Arial"/>
                <w:sz w:val="16"/>
                <w:szCs w:val="16"/>
              </w:rPr>
            </w:pPr>
            <w:r w:rsidRPr="0088391A">
              <w:rPr>
                <w:rFonts w:cs="Arial"/>
                <w:sz w:val="16"/>
                <w:szCs w:val="16"/>
              </w:rPr>
              <w:t>1</w:t>
            </w:r>
          </w:p>
        </w:tc>
      </w:tr>
      <w:tr w:rsidR="00C713B8" w:rsidRPr="0088391A" w14:paraId="3F0F9EF7" w14:textId="77777777" w:rsidTr="00B43622">
        <w:tc>
          <w:tcPr>
            <w:tcW w:w="971" w:type="dxa"/>
            <w:shd w:val="clear" w:color="auto" w:fill="FFFFFF"/>
          </w:tcPr>
          <w:p w14:paraId="5BDE19BA" w14:textId="2F1BB436" w:rsidR="00C713B8" w:rsidRPr="0088391A" w:rsidRDefault="00C713B8" w:rsidP="00B43622">
            <w:pPr>
              <w:pStyle w:val="CETBodytext"/>
              <w:jc w:val="left"/>
              <w:rPr>
                <w:sz w:val="16"/>
                <w:szCs w:val="16"/>
              </w:rPr>
            </w:pPr>
            <w:r w:rsidRPr="0088391A">
              <w:rPr>
                <w:rFonts w:cs="Arial"/>
                <w:sz w:val="16"/>
                <w:szCs w:val="16"/>
              </w:rPr>
              <w:t>Cat. PED: I</w:t>
            </w:r>
          </w:p>
        </w:tc>
        <w:tc>
          <w:tcPr>
            <w:tcW w:w="969" w:type="dxa"/>
            <w:shd w:val="clear" w:color="auto" w:fill="FFFFFF"/>
          </w:tcPr>
          <w:p w14:paraId="728DD4B3" w14:textId="4F71FB1A" w:rsidR="00C713B8" w:rsidRPr="0088391A" w:rsidRDefault="00C713B8" w:rsidP="00C713B8">
            <w:pPr>
              <w:pStyle w:val="CETBodytext"/>
              <w:rPr>
                <w:sz w:val="16"/>
                <w:szCs w:val="16"/>
              </w:rPr>
            </w:pPr>
            <w:r w:rsidRPr="0088391A">
              <w:rPr>
                <w:rFonts w:cs="Arial"/>
                <w:sz w:val="16"/>
                <w:szCs w:val="16"/>
              </w:rPr>
              <w:t>1</w:t>
            </w:r>
          </w:p>
        </w:tc>
        <w:tc>
          <w:tcPr>
            <w:tcW w:w="968" w:type="dxa"/>
            <w:shd w:val="clear" w:color="auto" w:fill="FFFFFF"/>
          </w:tcPr>
          <w:p w14:paraId="4625D8F4" w14:textId="38F530F3" w:rsidR="00C713B8" w:rsidRPr="0088391A" w:rsidRDefault="00C713B8" w:rsidP="00C713B8">
            <w:pPr>
              <w:pStyle w:val="CETBodytext"/>
              <w:rPr>
                <w:sz w:val="16"/>
                <w:szCs w:val="16"/>
              </w:rPr>
            </w:pPr>
            <w:r w:rsidRPr="0088391A">
              <w:rPr>
                <w:rFonts w:cs="Arial"/>
                <w:sz w:val="16"/>
                <w:szCs w:val="16"/>
              </w:rPr>
              <w:t>1</w:t>
            </w:r>
          </w:p>
        </w:tc>
        <w:tc>
          <w:tcPr>
            <w:tcW w:w="833" w:type="dxa"/>
            <w:shd w:val="clear" w:color="auto" w:fill="FFFFFF"/>
          </w:tcPr>
          <w:p w14:paraId="3500E148" w14:textId="58D97661" w:rsidR="00C713B8" w:rsidRPr="0088391A" w:rsidRDefault="00C713B8" w:rsidP="00C713B8">
            <w:pPr>
              <w:pStyle w:val="CETBodytext"/>
              <w:ind w:right="-1"/>
              <w:rPr>
                <w:rFonts w:cs="Arial"/>
                <w:sz w:val="16"/>
                <w:szCs w:val="16"/>
              </w:rPr>
            </w:pPr>
            <w:r w:rsidRPr="0088391A">
              <w:rPr>
                <w:rFonts w:cs="Arial"/>
                <w:sz w:val="16"/>
                <w:szCs w:val="16"/>
              </w:rPr>
              <w:t>1</w:t>
            </w:r>
          </w:p>
        </w:tc>
        <w:tc>
          <w:tcPr>
            <w:tcW w:w="841" w:type="dxa"/>
            <w:shd w:val="clear" w:color="auto" w:fill="FFFFFF"/>
          </w:tcPr>
          <w:p w14:paraId="7DCF5C6C" w14:textId="6064CD58" w:rsidR="00C713B8" w:rsidRPr="0088391A" w:rsidRDefault="00C713B8" w:rsidP="00C713B8">
            <w:pPr>
              <w:pStyle w:val="CETBodytext"/>
              <w:ind w:right="-1"/>
              <w:rPr>
                <w:rFonts w:cs="Arial"/>
                <w:sz w:val="16"/>
                <w:szCs w:val="16"/>
              </w:rPr>
            </w:pPr>
            <w:r w:rsidRPr="0088391A">
              <w:rPr>
                <w:rFonts w:cs="Arial"/>
                <w:sz w:val="16"/>
                <w:szCs w:val="16"/>
              </w:rPr>
              <w:t>2</w:t>
            </w:r>
          </w:p>
        </w:tc>
        <w:tc>
          <w:tcPr>
            <w:tcW w:w="841" w:type="dxa"/>
            <w:shd w:val="clear" w:color="auto" w:fill="FFFFFF"/>
          </w:tcPr>
          <w:p w14:paraId="17199033" w14:textId="63BC1416" w:rsidR="00C713B8" w:rsidRPr="0088391A" w:rsidRDefault="00C713B8" w:rsidP="00C713B8">
            <w:pPr>
              <w:pStyle w:val="CETBodytext"/>
              <w:ind w:right="-1"/>
              <w:rPr>
                <w:rFonts w:cs="Arial"/>
                <w:sz w:val="16"/>
                <w:szCs w:val="16"/>
              </w:rPr>
            </w:pPr>
            <w:r w:rsidRPr="0088391A">
              <w:rPr>
                <w:rFonts w:cs="Arial"/>
                <w:sz w:val="16"/>
                <w:szCs w:val="16"/>
              </w:rPr>
              <w:t>2</w:t>
            </w:r>
          </w:p>
        </w:tc>
        <w:tc>
          <w:tcPr>
            <w:tcW w:w="841" w:type="dxa"/>
            <w:shd w:val="clear" w:color="auto" w:fill="FFFFFF"/>
          </w:tcPr>
          <w:p w14:paraId="4ABDBCD5" w14:textId="6DD7C0F1" w:rsidR="00C713B8" w:rsidRPr="0088391A" w:rsidRDefault="00C713B8" w:rsidP="00C713B8">
            <w:pPr>
              <w:pStyle w:val="CETBodytext"/>
              <w:ind w:right="-1"/>
              <w:rPr>
                <w:rFonts w:cs="Arial"/>
                <w:sz w:val="16"/>
                <w:szCs w:val="16"/>
              </w:rPr>
            </w:pPr>
            <w:r w:rsidRPr="0088391A">
              <w:rPr>
                <w:rFonts w:cs="Arial"/>
                <w:sz w:val="16"/>
                <w:szCs w:val="16"/>
              </w:rPr>
              <w:t>2</w:t>
            </w:r>
          </w:p>
        </w:tc>
        <w:tc>
          <w:tcPr>
            <w:tcW w:w="841" w:type="dxa"/>
            <w:shd w:val="clear" w:color="auto" w:fill="FFFFFF"/>
          </w:tcPr>
          <w:p w14:paraId="6C021C15" w14:textId="0A83E8BF" w:rsidR="00C713B8" w:rsidRPr="0088391A" w:rsidRDefault="00C713B8" w:rsidP="00C713B8">
            <w:pPr>
              <w:pStyle w:val="CETBodytext"/>
              <w:ind w:right="-1"/>
              <w:rPr>
                <w:rFonts w:cs="Arial"/>
                <w:sz w:val="16"/>
                <w:szCs w:val="16"/>
              </w:rPr>
            </w:pPr>
            <w:r w:rsidRPr="0088391A">
              <w:rPr>
                <w:rFonts w:cs="Arial"/>
                <w:sz w:val="16"/>
                <w:szCs w:val="16"/>
              </w:rPr>
              <w:t>1</w:t>
            </w:r>
          </w:p>
        </w:tc>
        <w:tc>
          <w:tcPr>
            <w:tcW w:w="841" w:type="dxa"/>
            <w:shd w:val="clear" w:color="auto" w:fill="FFFFFF"/>
          </w:tcPr>
          <w:p w14:paraId="27FC3044" w14:textId="5904AD22" w:rsidR="00C713B8" w:rsidRPr="0088391A" w:rsidRDefault="00C713B8" w:rsidP="00C713B8">
            <w:pPr>
              <w:pStyle w:val="CETBodytext"/>
              <w:ind w:right="-1"/>
              <w:rPr>
                <w:rFonts w:cs="Arial"/>
                <w:sz w:val="16"/>
                <w:szCs w:val="16"/>
              </w:rPr>
            </w:pPr>
            <w:r w:rsidRPr="0088391A">
              <w:rPr>
                <w:rFonts w:cs="Arial"/>
                <w:sz w:val="16"/>
                <w:szCs w:val="16"/>
              </w:rPr>
              <w:t>1</w:t>
            </w:r>
          </w:p>
        </w:tc>
        <w:tc>
          <w:tcPr>
            <w:tcW w:w="841" w:type="dxa"/>
            <w:shd w:val="clear" w:color="auto" w:fill="FFFFFF"/>
          </w:tcPr>
          <w:p w14:paraId="10D46411" w14:textId="09E66608" w:rsidR="00C713B8" w:rsidRPr="0088391A" w:rsidRDefault="00C713B8" w:rsidP="00C713B8">
            <w:pPr>
              <w:pStyle w:val="CETBodytext"/>
              <w:ind w:right="-1"/>
              <w:rPr>
                <w:rFonts w:cs="Arial"/>
                <w:sz w:val="16"/>
                <w:szCs w:val="16"/>
              </w:rPr>
            </w:pPr>
            <w:r w:rsidRPr="0088391A">
              <w:rPr>
                <w:rFonts w:cs="Arial"/>
                <w:sz w:val="16"/>
                <w:szCs w:val="16"/>
              </w:rPr>
              <w:t>1</w:t>
            </w:r>
          </w:p>
        </w:tc>
      </w:tr>
    </w:tbl>
    <w:bookmarkEnd w:id="6"/>
    <w:p w14:paraId="1F369177" w14:textId="6D64F958" w:rsidR="004F4C4D" w:rsidRPr="0088391A" w:rsidRDefault="00D23730" w:rsidP="000A368C">
      <w:pPr>
        <w:pStyle w:val="CETnumberingbullets"/>
        <w:numPr>
          <w:ilvl w:val="0"/>
          <w:numId w:val="0"/>
        </w:numPr>
        <w:jc w:val="both"/>
        <w:rPr>
          <w:sz w:val="14"/>
          <w:szCs w:val="14"/>
          <w:lang w:val="en-US"/>
        </w:rPr>
      </w:pPr>
      <w:r w:rsidRPr="0088391A">
        <w:rPr>
          <w:sz w:val="14"/>
          <w:szCs w:val="14"/>
          <w:lang w:val="en-US"/>
        </w:rPr>
        <w:t>(*) Equipment in which height (h)/radius (r) is greater than 4 (h/r&gt;4)</w:t>
      </w:r>
      <w:r w:rsidR="00B43622" w:rsidRPr="0088391A">
        <w:rPr>
          <w:sz w:val="14"/>
          <w:szCs w:val="14"/>
          <w:lang w:val="en-US"/>
        </w:rPr>
        <w:t>.</w:t>
      </w:r>
      <w:r w:rsidR="00181524" w:rsidRPr="0088391A">
        <w:rPr>
          <w:sz w:val="14"/>
          <w:szCs w:val="14"/>
          <w:lang w:val="en-US"/>
        </w:rPr>
        <w:t xml:space="preserve"> </w:t>
      </w:r>
      <w:r w:rsidRPr="0088391A">
        <w:rPr>
          <w:sz w:val="14"/>
          <w:szCs w:val="14"/>
          <w:lang w:val="en-US"/>
        </w:rPr>
        <w:t>(**) Equipment in which height (h)/radius (r) is less than 4 (h/r&lt;4)</w:t>
      </w:r>
      <w:r w:rsidR="00B43622" w:rsidRPr="0088391A">
        <w:rPr>
          <w:sz w:val="14"/>
          <w:szCs w:val="14"/>
          <w:lang w:val="en-US"/>
        </w:rPr>
        <w:t>.</w:t>
      </w:r>
    </w:p>
    <w:p w14:paraId="7A734E78" w14:textId="77777777" w:rsidR="004F4C4D" w:rsidRPr="0088391A" w:rsidRDefault="004F4C4D" w:rsidP="000A368C">
      <w:pPr>
        <w:pStyle w:val="CETnumberingbullets"/>
        <w:numPr>
          <w:ilvl w:val="0"/>
          <w:numId w:val="0"/>
        </w:numPr>
        <w:jc w:val="both"/>
        <w:rPr>
          <w:lang w:val="en-US"/>
        </w:rPr>
      </w:pPr>
    </w:p>
    <w:p w14:paraId="1CC45892" w14:textId="2BF6A93A" w:rsidR="00D23730" w:rsidRPr="0088391A" w:rsidRDefault="00D23730" w:rsidP="000A368C">
      <w:pPr>
        <w:pStyle w:val="CETnumberingbullets"/>
        <w:numPr>
          <w:ilvl w:val="0"/>
          <w:numId w:val="0"/>
        </w:numPr>
        <w:jc w:val="both"/>
        <w:rPr>
          <w:lang w:val="en-US"/>
        </w:rPr>
      </w:pPr>
      <w:r w:rsidRPr="0088391A">
        <w:rPr>
          <w:lang w:val="en-US"/>
        </w:rPr>
        <w:t>To determine the type of failure of a flood equipment we can distinguish: slow submergence or low speed wave with release category R1 and R2; high speed submersion (Flash Flood) with release category R1, R2 and R3.</w:t>
      </w:r>
      <w:r w:rsidR="002D7B40" w:rsidRPr="0088391A">
        <w:rPr>
          <w:lang w:val="en-US"/>
        </w:rPr>
        <w:t xml:space="preserve"> </w:t>
      </w:r>
      <w:r w:rsidR="0036216B" w:rsidRPr="0088391A">
        <w:rPr>
          <w:lang w:val="en-US"/>
        </w:rPr>
        <w:t>For R1 we define a break that results in the instantaneous release of the entire contents (in less than 2 minutes). For R2 we define a break that causes the continuous release of the entire contents (in more than 10 minutes). For R3 we define a failure that involves the continuous release from a hole with an equivalent diameter of 10 mm</w:t>
      </w:r>
      <w:r w:rsidRPr="0088391A">
        <w:rPr>
          <w:lang w:val="en-US"/>
        </w:rPr>
        <w:t>.</w:t>
      </w:r>
    </w:p>
    <w:p w14:paraId="4D3A575D" w14:textId="2536B35B" w:rsidR="00D23730" w:rsidRPr="0088391A" w:rsidRDefault="00D23730" w:rsidP="000A368C">
      <w:pPr>
        <w:pStyle w:val="CETheadingx"/>
        <w:jc w:val="both"/>
      </w:pPr>
      <w:r w:rsidRPr="0088391A">
        <w:t>Main flood damage to critical equipment. “I</w:t>
      </w:r>
      <w:r w:rsidRPr="0088391A">
        <w:rPr>
          <w:vertAlign w:val="subscript"/>
        </w:rPr>
        <w:t>Vdm</w:t>
      </w:r>
      <w:r w:rsidRPr="0088391A">
        <w:t>” determination</w:t>
      </w:r>
    </w:p>
    <w:p w14:paraId="59D1194C" w14:textId="2C8C1130" w:rsidR="00023C1E" w:rsidRPr="0088391A" w:rsidRDefault="00023C1E" w:rsidP="000A368C">
      <w:pPr>
        <w:pStyle w:val="CETBodytext"/>
      </w:pPr>
      <w:r w:rsidRPr="0088391A">
        <w:t xml:space="preserve">The main flood damage to critical primary containment equipment is reported below </w:t>
      </w:r>
      <w:r w:rsidR="00C173D8" w:rsidRPr="0088391A">
        <w:t>(Necci, Krausmann, 2022)</w:t>
      </w:r>
      <w:r w:rsidRPr="0088391A">
        <w:t>:</w:t>
      </w:r>
    </w:p>
    <w:p w14:paraId="45C46794" w14:textId="4C1CB543" w:rsidR="00023C1E" w:rsidRPr="0088391A" w:rsidRDefault="00023C1E" w:rsidP="000A368C">
      <w:pPr>
        <w:pStyle w:val="CETBodytext"/>
      </w:pPr>
      <w:r w:rsidRPr="0088391A">
        <w:rPr>
          <w:b/>
          <w:bCs/>
        </w:rPr>
        <w:t>Buckling damage</w:t>
      </w:r>
      <w:r w:rsidRPr="0088391A">
        <w:t xml:space="preserve">: </w:t>
      </w:r>
      <w:r w:rsidR="008532FD" w:rsidRPr="0088391A">
        <w:t>Deformation of metal enclosures is typical for many types of natural hazards when a sudden load affects the structure.</w:t>
      </w:r>
    </w:p>
    <w:p w14:paraId="1AC672FB" w14:textId="7335A38A" w:rsidR="00023C1E" w:rsidRPr="0088391A" w:rsidRDefault="00023C1E" w:rsidP="000A368C">
      <w:pPr>
        <w:pStyle w:val="CETBodytext"/>
      </w:pPr>
      <w:r w:rsidRPr="0088391A">
        <w:rPr>
          <w:b/>
          <w:bCs/>
        </w:rPr>
        <w:t>Rupture of pipes and fittings</w:t>
      </w:r>
      <w:r w:rsidRPr="0088391A">
        <w:t xml:space="preserve">: </w:t>
      </w:r>
      <w:r w:rsidR="008532FD" w:rsidRPr="0088391A">
        <w:t>Damage to piping typically results in loss of containment. Earthquakes and floods have been responsible for deformation and rupture of pipe networks especially at flanges and other types of connections by displacement of units connected to the network</w:t>
      </w:r>
      <w:r w:rsidRPr="0088391A">
        <w:t>.</w:t>
      </w:r>
    </w:p>
    <w:p w14:paraId="4A35D555" w14:textId="27DADD57" w:rsidR="00023C1E" w:rsidRPr="0088391A" w:rsidRDefault="00023C1E" w:rsidP="000A368C">
      <w:pPr>
        <w:pStyle w:val="CETBodytext"/>
      </w:pPr>
      <w:r w:rsidRPr="0088391A">
        <w:rPr>
          <w:b/>
          <w:bCs/>
        </w:rPr>
        <w:t>Tearing of metal shell</w:t>
      </w:r>
      <w:r w:rsidRPr="0088391A">
        <w:t xml:space="preserve">: </w:t>
      </w:r>
      <w:r w:rsidR="008532FD" w:rsidRPr="0088391A">
        <w:t xml:space="preserve">When the deformation is sufficiently large, the metal sheets that compose the shell of a vessel may fall apart and cause a </w:t>
      </w:r>
      <w:r w:rsidRPr="0088391A">
        <w:t xml:space="preserve">loss of containment </w:t>
      </w:r>
      <w:r w:rsidR="008532FD" w:rsidRPr="0088391A">
        <w:t>(</w:t>
      </w:r>
      <w:r w:rsidRPr="0088391A">
        <w:t>LOC).</w:t>
      </w:r>
    </w:p>
    <w:p w14:paraId="0E460908" w14:textId="3615BFF0" w:rsidR="00023C1E" w:rsidRPr="0088391A" w:rsidRDefault="00023C1E" w:rsidP="000A368C">
      <w:pPr>
        <w:pStyle w:val="CETBodytext"/>
      </w:pPr>
      <w:r w:rsidRPr="0088391A">
        <w:rPr>
          <w:b/>
          <w:bCs/>
        </w:rPr>
        <w:t>Detachment of the shell-to-bottom connection</w:t>
      </w:r>
      <w:r w:rsidRPr="0088391A">
        <w:t xml:space="preserve">: </w:t>
      </w:r>
      <w:r w:rsidR="0066733B" w:rsidRPr="0088391A">
        <w:t>In most atmospheric storage tanks the shell walls and bottom can be composed of two separate metal sheets. When buckling affects the lower part of a vessel, the annular connection between the wall and the bottom is heavily stressed.</w:t>
      </w:r>
    </w:p>
    <w:p w14:paraId="2FD521A5" w14:textId="51991F67" w:rsidR="00023C1E" w:rsidRPr="0088391A" w:rsidRDefault="00023C1E" w:rsidP="000A368C">
      <w:pPr>
        <w:pStyle w:val="CETBodytext"/>
      </w:pPr>
      <w:r w:rsidRPr="0088391A">
        <w:rPr>
          <w:b/>
          <w:bCs/>
        </w:rPr>
        <w:t>Support leg failure</w:t>
      </w:r>
      <w:r w:rsidRPr="0088391A">
        <w:t xml:space="preserve">: </w:t>
      </w:r>
      <w:r w:rsidR="0066733B" w:rsidRPr="0088391A">
        <w:t>Many equipment units have support legs to sustain their weight. These legs are typically designed to sustain the equipment’s own weight including its content and some horizontal excitation. In the case of earthquakes, lateral loads can exceed the design specification of support legs and cause their failure, resulting in the entire equipment to collapse on the ground</w:t>
      </w:r>
      <w:r w:rsidRPr="0088391A">
        <w:t>.</w:t>
      </w:r>
    </w:p>
    <w:p w14:paraId="1E787117" w14:textId="6F545D5A" w:rsidR="00023C1E" w:rsidRPr="0088391A" w:rsidRDefault="00023C1E" w:rsidP="000A368C">
      <w:pPr>
        <w:pStyle w:val="CETBodytext"/>
      </w:pPr>
      <w:r w:rsidRPr="0088391A">
        <w:rPr>
          <w:b/>
          <w:bCs/>
        </w:rPr>
        <w:t>Displacement and overturning</w:t>
      </w:r>
      <w:r w:rsidRPr="0088391A">
        <w:t xml:space="preserve">: </w:t>
      </w:r>
      <w:r w:rsidR="0066733B" w:rsidRPr="0088391A">
        <w:t>F</w:t>
      </w:r>
      <w:r w:rsidRPr="0088391A">
        <w:t>lood (as well as earthquake) can exert strong forces on equipment, creating translation and rotation phenomena which can lead to a loss of contents.</w:t>
      </w:r>
    </w:p>
    <w:p w14:paraId="0D973109" w14:textId="4F9A3D04" w:rsidR="00023C1E" w:rsidRPr="0088391A" w:rsidRDefault="00023C1E" w:rsidP="000A368C">
      <w:pPr>
        <w:pStyle w:val="CETBodytext"/>
      </w:pPr>
      <w:r w:rsidRPr="0088391A">
        <w:rPr>
          <w:b/>
          <w:bCs/>
        </w:rPr>
        <w:t>Puncturing damage</w:t>
      </w:r>
      <w:r w:rsidRPr="0088391A">
        <w:t xml:space="preserve">: </w:t>
      </w:r>
      <w:r w:rsidR="0066733B" w:rsidRPr="0088391A">
        <w:t>S</w:t>
      </w:r>
      <w:r w:rsidRPr="0088391A">
        <w:t xml:space="preserve">harp objects pushed by floods, earthquakes, winds, etc. against equipment and pipes can cause deformations and holes with loss of </w:t>
      </w:r>
      <w:r w:rsidR="0066733B" w:rsidRPr="0088391A">
        <w:t>containment</w:t>
      </w:r>
      <w:r w:rsidRPr="0088391A">
        <w:t>.</w:t>
      </w:r>
    </w:p>
    <w:p w14:paraId="7C40EA27" w14:textId="2B4FE0AB" w:rsidR="00023C1E" w:rsidRPr="0088391A" w:rsidRDefault="00023C1E" w:rsidP="000A368C">
      <w:pPr>
        <w:pStyle w:val="CETBodytext"/>
      </w:pPr>
      <w:r w:rsidRPr="0088391A">
        <w:rPr>
          <w:b/>
          <w:bCs/>
        </w:rPr>
        <w:t>Ignition and sparking</w:t>
      </w:r>
      <w:r w:rsidRPr="0088391A">
        <w:t xml:space="preserve">: </w:t>
      </w:r>
      <w:r w:rsidR="008E0FD5" w:rsidRPr="0088391A">
        <w:t>I</w:t>
      </w:r>
      <w:r w:rsidRPr="0088391A">
        <w:t xml:space="preserve">n addition to lightning, another cause of ignition </w:t>
      </w:r>
      <w:r w:rsidR="008E0FD5" w:rsidRPr="0088391A">
        <w:t>are</w:t>
      </w:r>
      <w:r w:rsidRPr="0088391A">
        <w:t xml:space="preserve"> earthquakes and floods. They can induce violent movements of metal parts which can collide or brush against each other generating sparks.</w:t>
      </w:r>
    </w:p>
    <w:p w14:paraId="6163C9BC" w14:textId="232D44D5" w:rsidR="00023C1E" w:rsidRPr="0088391A" w:rsidRDefault="00023C1E" w:rsidP="000A368C">
      <w:pPr>
        <w:pStyle w:val="CETBodytext"/>
      </w:pPr>
      <w:r w:rsidRPr="0088391A">
        <w:rPr>
          <w:b/>
          <w:bCs/>
        </w:rPr>
        <w:t>Overfilling</w:t>
      </w:r>
      <w:r w:rsidRPr="0088391A">
        <w:t xml:space="preserve">: </w:t>
      </w:r>
      <w:r w:rsidR="008E0FD5" w:rsidRPr="0088391A">
        <w:t>Water can pour into important units containing hazardous materials during flooding and heavy rain events.</w:t>
      </w:r>
      <w:r w:rsidRPr="0088391A">
        <w:t xml:space="preserve"> </w:t>
      </w:r>
      <w:r w:rsidR="008E0FD5" w:rsidRPr="0088391A">
        <w:t>In this case, the unit is not technically damaged, but its function and containment are compromised</w:t>
      </w:r>
      <w:r w:rsidRPr="0088391A">
        <w:t>. This is a frequent LOC event for process plant parts.</w:t>
      </w:r>
    </w:p>
    <w:p w14:paraId="52DE9717" w14:textId="51134AAF" w:rsidR="00191681" w:rsidRPr="0088391A" w:rsidRDefault="00023C1E" w:rsidP="000A368C">
      <w:pPr>
        <w:pStyle w:val="CETBodytext"/>
      </w:pPr>
      <w:r w:rsidRPr="0088391A">
        <w:lastRenderedPageBreak/>
        <w:t>Below is table 2, where the various modes of damage due to flooding are related to the main primary critical technical systems that contain dangerous substances</w:t>
      </w:r>
      <w:r w:rsidR="00147FEF" w:rsidRPr="0088391A">
        <w:t xml:space="preserve"> (Necci, Krausmann, 2022)</w:t>
      </w:r>
      <w:r w:rsidRPr="0088391A">
        <w:t>.</w:t>
      </w:r>
    </w:p>
    <w:p w14:paraId="586793A3" w14:textId="77777777" w:rsidR="00023C1E" w:rsidRPr="0088391A" w:rsidRDefault="00023C1E" w:rsidP="000A368C">
      <w:pPr>
        <w:pStyle w:val="CETBodytext"/>
      </w:pPr>
    </w:p>
    <w:p w14:paraId="6DBD95D9" w14:textId="2ECF29D3" w:rsidR="00191681" w:rsidRPr="0088391A" w:rsidRDefault="00023C1E" w:rsidP="000A368C">
      <w:pPr>
        <w:pStyle w:val="CETBodytext"/>
        <w:rPr>
          <w:i/>
          <w:iCs/>
        </w:rPr>
      </w:pPr>
      <w:r w:rsidRPr="0088391A">
        <w:rPr>
          <w:i/>
          <w:iCs/>
        </w:rPr>
        <w:t xml:space="preserve">Table 2: </w:t>
      </w:r>
      <w:r w:rsidR="00153865" w:rsidRPr="0088391A">
        <w:rPr>
          <w:i/>
          <w:iCs/>
        </w:rPr>
        <w:t>Damage modes vs Critical Technical Systems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70"/>
        <w:gridCol w:w="953"/>
        <w:gridCol w:w="953"/>
        <w:gridCol w:w="953"/>
        <w:gridCol w:w="952"/>
        <w:gridCol w:w="1001"/>
        <w:gridCol w:w="951"/>
        <w:gridCol w:w="931"/>
        <w:gridCol w:w="825"/>
      </w:tblGrid>
      <w:tr w:rsidR="00B43622" w:rsidRPr="0088391A" w14:paraId="5740EC4F" w14:textId="77777777" w:rsidTr="009B2EE0">
        <w:tc>
          <w:tcPr>
            <w:tcW w:w="1923" w:type="dxa"/>
            <w:gridSpan w:val="2"/>
            <w:tcBorders>
              <w:top w:val="single" w:sz="12" w:space="0" w:color="008000"/>
              <w:bottom w:val="single" w:sz="6" w:space="0" w:color="008000"/>
            </w:tcBorders>
            <w:shd w:val="clear" w:color="auto" w:fill="FFFFFF"/>
          </w:tcPr>
          <w:p w14:paraId="363E0EEC" w14:textId="20B8A91F" w:rsidR="00B43622" w:rsidRPr="0088391A" w:rsidRDefault="00B43622" w:rsidP="00B43622">
            <w:pPr>
              <w:pStyle w:val="CETBodytext"/>
              <w:jc w:val="left"/>
              <w:rPr>
                <w:sz w:val="16"/>
                <w:szCs w:val="16"/>
              </w:rPr>
            </w:pPr>
            <w:r w:rsidRPr="0088391A">
              <w:rPr>
                <w:sz w:val="16"/>
                <w:szCs w:val="16"/>
              </w:rPr>
              <w:t>Damage Mode</w:t>
            </w:r>
          </w:p>
        </w:tc>
        <w:tc>
          <w:tcPr>
            <w:tcW w:w="953" w:type="dxa"/>
            <w:tcBorders>
              <w:top w:val="single" w:sz="12" w:space="0" w:color="008000"/>
              <w:bottom w:val="single" w:sz="6" w:space="0" w:color="008000"/>
            </w:tcBorders>
            <w:shd w:val="clear" w:color="auto" w:fill="FFFFFF"/>
          </w:tcPr>
          <w:p w14:paraId="5C444591" w14:textId="247BA38D" w:rsidR="00B43622" w:rsidRPr="0088391A" w:rsidRDefault="00B43622" w:rsidP="00B43622">
            <w:pPr>
              <w:pStyle w:val="CETBodytext"/>
              <w:jc w:val="left"/>
              <w:rPr>
                <w:sz w:val="16"/>
                <w:szCs w:val="16"/>
              </w:rPr>
            </w:pPr>
          </w:p>
        </w:tc>
        <w:tc>
          <w:tcPr>
            <w:tcW w:w="953" w:type="dxa"/>
            <w:tcBorders>
              <w:top w:val="single" w:sz="12" w:space="0" w:color="008000"/>
              <w:bottom w:val="single" w:sz="6" w:space="0" w:color="008000"/>
            </w:tcBorders>
            <w:shd w:val="clear" w:color="auto" w:fill="FFFFFF"/>
          </w:tcPr>
          <w:p w14:paraId="5CDE081A" w14:textId="0FC6E4CD" w:rsidR="00B43622" w:rsidRPr="0088391A" w:rsidRDefault="00B43622" w:rsidP="00B43622">
            <w:pPr>
              <w:pStyle w:val="CETBodytext"/>
              <w:jc w:val="left"/>
              <w:rPr>
                <w:sz w:val="16"/>
                <w:szCs w:val="16"/>
              </w:rPr>
            </w:pPr>
            <w:r w:rsidRPr="0088391A">
              <w:rPr>
                <w:sz w:val="16"/>
                <w:szCs w:val="16"/>
              </w:rPr>
              <w:t>Flood (1)</w:t>
            </w:r>
          </w:p>
        </w:tc>
        <w:tc>
          <w:tcPr>
            <w:tcW w:w="952" w:type="dxa"/>
            <w:tcBorders>
              <w:top w:val="single" w:sz="12" w:space="0" w:color="008000"/>
              <w:bottom w:val="single" w:sz="6" w:space="0" w:color="008000"/>
            </w:tcBorders>
            <w:shd w:val="clear" w:color="auto" w:fill="FFFFFF"/>
          </w:tcPr>
          <w:p w14:paraId="4CE9AF14" w14:textId="4F613D32" w:rsidR="00B43622" w:rsidRPr="0088391A" w:rsidRDefault="00B43622" w:rsidP="00B43622">
            <w:pPr>
              <w:pStyle w:val="CETBodytext"/>
              <w:jc w:val="left"/>
              <w:rPr>
                <w:sz w:val="16"/>
                <w:szCs w:val="16"/>
              </w:rPr>
            </w:pPr>
            <w:r w:rsidRPr="0088391A">
              <w:rPr>
                <w:sz w:val="16"/>
                <w:szCs w:val="16"/>
              </w:rPr>
              <w:t>Flash Flood (2)</w:t>
            </w:r>
          </w:p>
        </w:tc>
        <w:tc>
          <w:tcPr>
            <w:tcW w:w="1001" w:type="dxa"/>
            <w:tcBorders>
              <w:top w:val="single" w:sz="12" w:space="0" w:color="008000"/>
              <w:bottom w:val="single" w:sz="6" w:space="0" w:color="008000"/>
            </w:tcBorders>
            <w:shd w:val="clear" w:color="auto" w:fill="FFFFFF"/>
          </w:tcPr>
          <w:p w14:paraId="3BEE5FBE" w14:textId="16A957A0" w:rsidR="00B43622" w:rsidRPr="0088391A" w:rsidRDefault="00B43622" w:rsidP="00B43622">
            <w:pPr>
              <w:pStyle w:val="CETBodytext"/>
              <w:ind w:right="-1"/>
              <w:jc w:val="left"/>
              <w:rPr>
                <w:rFonts w:cs="Arial"/>
                <w:sz w:val="16"/>
                <w:szCs w:val="16"/>
              </w:rPr>
            </w:pPr>
            <w:r w:rsidRPr="0088391A">
              <w:rPr>
                <w:sz w:val="16"/>
                <w:szCs w:val="16"/>
              </w:rPr>
              <w:t>Atmospheric Tanks</w:t>
            </w:r>
          </w:p>
        </w:tc>
        <w:tc>
          <w:tcPr>
            <w:tcW w:w="951" w:type="dxa"/>
            <w:tcBorders>
              <w:top w:val="single" w:sz="12" w:space="0" w:color="008000"/>
              <w:bottom w:val="single" w:sz="6" w:space="0" w:color="008000"/>
            </w:tcBorders>
            <w:shd w:val="clear" w:color="auto" w:fill="FFFFFF"/>
          </w:tcPr>
          <w:p w14:paraId="42DBCED2" w14:textId="231E4491" w:rsidR="00B43622" w:rsidRPr="0088391A" w:rsidRDefault="00B43622" w:rsidP="00B43622">
            <w:pPr>
              <w:pStyle w:val="CETBodytext"/>
              <w:ind w:right="-1"/>
              <w:jc w:val="left"/>
              <w:rPr>
                <w:rFonts w:cs="Arial"/>
                <w:sz w:val="16"/>
                <w:szCs w:val="16"/>
              </w:rPr>
            </w:pPr>
            <w:r w:rsidRPr="0088391A">
              <w:rPr>
                <w:sz w:val="16"/>
                <w:szCs w:val="16"/>
              </w:rPr>
              <w:t>Pressurized tanks</w:t>
            </w:r>
          </w:p>
        </w:tc>
        <w:tc>
          <w:tcPr>
            <w:tcW w:w="931" w:type="dxa"/>
            <w:tcBorders>
              <w:top w:val="single" w:sz="12" w:space="0" w:color="008000"/>
              <w:bottom w:val="single" w:sz="6" w:space="0" w:color="008000"/>
            </w:tcBorders>
            <w:shd w:val="clear" w:color="auto" w:fill="FFFFFF"/>
          </w:tcPr>
          <w:p w14:paraId="059A1D1E" w14:textId="3C91E4CD" w:rsidR="00B43622" w:rsidRPr="0088391A" w:rsidRDefault="00B43622" w:rsidP="00B43622">
            <w:pPr>
              <w:pStyle w:val="CETBodytext"/>
              <w:ind w:right="-1"/>
              <w:jc w:val="left"/>
              <w:rPr>
                <w:rFonts w:cs="Arial"/>
                <w:sz w:val="16"/>
                <w:szCs w:val="16"/>
              </w:rPr>
            </w:pPr>
            <w:r w:rsidRPr="0088391A">
              <w:rPr>
                <w:sz w:val="16"/>
                <w:szCs w:val="16"/>
              </w:rPr>
              <w:t>Heat exchangers</w:t>
            </w:r>
          </w:p>
        </w:tc>
        <w:tc>
          <w:tcPr>
            <w:tcW w:w="825" w:type="dxa"/>
            <w:tcBorders>
              <w:top w:val="single" w:sz="12" w:space="0" w:color="008000"/>
              <w:bottom w:val="single" w:sz="6" w:space="0" w:color="008000"/>
            </w:tcBorders>
            <w:shd w:val="clear" w:color="auto" w:fill="FFFFFF"/>
          </w:tcPr>
          <w:p w14:paraId="045BBEAD" w14:textId="52A98F06" w:rsidR="00B43622" w:rsidRPr="0088391A" w:rsidRDefault="00B43622" w:rsidP="00B43622">
            <w:pPr>
              <w:pStyle w:val="CETBodytext"/>
              <w:ind w:right="-1"/>
              <w:jc w:val="left"/>
              <w:rPr>
                <w:rFonts w:cs="Arial"/>
                <w:sz w:val="16"/>
                <w:szCs w:val="16"/>
              </w:rPr>
            </w:pPr>
            <w:r w:rsidRPr="0088391A">
              <w:rPr>
                <w:sz w:val="16"/>
                <w:szCs w:val="16"/>
              </w:rPr>
              <w:t>Pipes under pressure</w:t>
            </w:r>
          </w:p>
        </w:tc>
      </w:tr>
      <w:tr w:rsidR="00B43622" w:rsidRPr="0088391A" w14:paraId="0E8B36FA" w14:textId="77777777" w:rsidTr="009B2EE0">
        <w:tc>
          <w:tcPr>
            <w:tcW w:w="970" w:type="dxa"/>
            <w:shd w:val="clear" w:color="auto" w:fill="FFFFFF"/>
          </w:tcPr>
          <w:p w14:paraId="09CFEB7D" w14:textId="3E92E95D" w:rsidR="00B43622" w:rsidRPr="0088391A" w:rsidRDefault="00B43622" w:rsidP="00B43622">
            <w:pPr>
              <w:pStyle w:val="CETBodytext"/>
              <w:jc w:val="left"/>
              <w:rPr>
                <w:sz w:val="16"/>
                <w:szCs w:val="16"/>
              </w:rPr>
            </w:pPr>
            <w:r w:rsidRPr="0088391A">
              <w:rPr>
                <w:sz w:val="16"/>
                <w:szCs w:val="16"/>
              </w:rPr>
              <w:t>Buckling</w:t>
            </w:r>
          </w:p>
        </w:tc>
        <w:tc>
          <w:tcPr>
            <w:tcW w:w="953" w:type="dxa"/>
            <w:shd w:val="clear" w:color="auto" w:fill="FFFFFF"/>
          </w:tcPr>
          <w:p w14:paraId="7E022502" w14:textId="77777777" w:rsidR="00B43622" w:rsidRPr="0088391A" w:rsidRDefault="00B43622" w:rsidP="00B43622">
            <w:pPr>
              <w:pStyle w:val="CETBodytext"/>
              <w:rPr>
                <w:sz w:val="16"/>
                <w:szCs w:val="16"/>
              </w:rPr>
            </w:pPr>
          </w:p>
        </w:tc>
        <w:tc>
          <w:tcPr>
            <w:tcW w:w="953" w:type="dxa"/>
            <w:shd w:val="clear" w:color="auto" w:fill="FFFFFF"/>
          </w:tcPr>
          <w:p w14:paraId="6E8F2F77" w14:textId="05CF5525" w:rsidR="00B43622" w:rsidRPr="0088391A" w:rsidRDefault="00B43622" w:rsidP="00B43622">
            <w:pPr>
              <w:pStyle w:val="CETBodytext"/>
              <w:rPr>
                <w:sz w:val="16"/>
                <w:szCs w:val="16"/>
              </w:rPr>
            </w:pPr>
          </w:p>
        </w:tc>
        <w:tc>
          <w:tcPr>
            <w:tcW w:w="953" w:type="dxa"/>
            <w:shd w:val="clear" w:color="auto" w:fill="FFFFFF"/>
          </w:tcPr>
          <w:p w14:paraId="0889CF8A" w14:textId="422DB540" w:rsidR="00B43622" w:rsidRPr="0088391A" w:rsidRDefault="00B43622" w:rsidP="00B43622">
            <w:pPr>
              <w:pStyle w:val="CETBodytext"/>
              <w:rPr>
                <w:sz w:val="16"/>
                <w:szCs w:val="16"/>
              </w:rPr>
            </w:pPr>
            <w:r w:rsidRPr="0088391A">
              <w:rPr>
                <w:sz w:val="16"/>
                <w:szCs w:val="16"/>
              </w:rPr>
              <w:t>X</w:t>
            </w:r>
          </w:p>
        </w:tc>
        <w:tc>
          <w:tcPr>
            <w:tcW w:w="952" w:type="dxa"/>
            <w:shd w:val="clear" w:color="auto" w:fill="FFFFFF"/>
          </w:tcPr>
          <w:p w14:paraId="29EB8C4B" w14:textId="5E1EEA42" w:rsidR="00B43622" w:rsidRPr="0088391A" w:rsidRDefault="00B43622" w:rsidP="00B43622">
            <w:pPr>
              <w:pStyle w:val="CETBodytext"/>
              <w:rPr>
                <w:sz w:val="16"/>
                <w:szCs w:val="16"/>
              </w:rPr>
            </w:pPr>
            <w:r w:rsidRPr="0088391A">
              <w:rPr>
                <w:sz w:val="16"/>
                <w:szCs w:val="16"/>
              </w:rPr>
              <w:t>X</w:t>
            </w:r>
          </w:p>
        </w:tc>
        <w:tc>
          <w:tcPr>
            <w:tcW w:w="1001" w:type="dxa"/>
            <w:shd w:val="clear" w:color="auto" w:fill="FFFFFF"/>
          </w:tcPr>
          <w:p w14:paraId="4C71E4B3" w14:textId="630DD099" w:rsidR="00B43622" w:rsidRPr="0088391A" w:rsidRDefault="00B43622" w:rsidP="00B43622">
            <w:pPr>
              <w:pStyle w:val="CETBodytext"/>
              <w:ind w:right="-1"/>
              <w:rPr>
                <w:rFonts w:cs="Arial"/>
                <w:sz w:val="16"/>
                <w:szCs w:val="16"/>
              </w:rPr>
            </w:pPr>
            <w:r w:rsidRPr="0088391A">
              <w:rPr>
                <w:sz w:val="16"/>
                <w:szCs w:val="16"/>
              </w:rPr>
              <w:t>X</w:t>
            </w:r>
          </w:p>
        </w:tc>
        <w:tc>
          <w:tcPr>
            <w:tcW w:w="951" w:type="dxa"/>
            <w:shd w:val="clear" w:color="auto" w:fill="FFFFFF"/>
          </w:tcPr>
          <w:p w14:paraId="485F7D7F" w14:textId="41CB22DA" w:rsidR="00B43622" w:rsidRPr="0088391A" w:rsidRDefault="00B43622" w:rsidP="00B43622">
            <w:pPr>
              <w:pStyle w:val="CETBodytext"/>
              <w:ind w:right="-1"/>
              <w:rPr>
                <w:rFonts w:cs="Arial"/>
                <w:sz w:val="16"/>
                <w:szCs w:val="16"/>
              </w:rPr>
            </w:pPr>
          </w:p>
        </w:tc>
        <w:tc>
          <w:tcPr>
            <w:tcW w:w="931" w:type="dxa"/>
            <w:shd w:val="clear" w:color="auto" w:fill="FFFFFF"/>
          </w:tcPr>
          <w:p w14:paraId="125E3C25" w14:textId="2929C083" w:rsidR="00B43622" w:rsidRPr="0088391A" w:rsidRDefault="00B43622" w:rsidP="00B43622">
            <w:pPr>
              <w:pStyle w:val="CETBodytext"/>
              <w:ind w:right="-1"/>
              <w:rPr>
                <w:rFonts w:cs="Arial"/>
                <w:sz w:val="16"/>
                <w:szCs w:val="16"/>
              </w:rPr>
            </w:pPr>
          </w:p>
        </w:tc>
        <w:tc>
          <w:tcPr>
            <w:tcW w:w="825" w:type="dxa"/>
            <w:shd w:val="clear" w:color="auto" w:fill="FFFFFF"/>
          </w:tcPr>
          <w:p w14:paraId="44360419" w14:textId="240869A1" w:rsidR="00B43622" w:rsidRPr="0088391A" w:rsidRDefault="00B43622" w:rsidP="00B43622">
            <w:pPr>
              <w:pStyle w:val="CETBodytext"/>
              <w:ind w:right="-1"/>
              <w:rPr>
                <w:rFonts w:cs="Arial"/>
                <w:sz w:val="16"/>
                <w:szCs w:val="16"/>
              </w:rPr>
            </w:pPr>
            <w:r w:rsidRPr="0088391A">
              <w:rPr>
                <w:sz w:val="16"/>
                <w:szCs w:val="16"/>
              </w:rPr>
              <w:t xml:space="preserve"> </w:t>
            </w:r>
          </w:p>
        </w:tc>
      </w:tr>
      <w:tr w:rsidR="00B43622" w:rsidRPr="0088391A" w14:paraId="67271323" w14:textId="77777777" w:rsidTr="009B2EE0">
        <w:tc>
          <w:tcPr>
            <w:tcW w:w="2876" w:type="dxa"/>
            <w:gridSpan w:val="3"/>
            <w:shd w:val="clear" w:color="auto" w:fill="FFFFFF"/>
          </w:tcPr>
          <w:p w14:paraId="1AC661D6" w14:textId="78878E97" w:rsidR="00B43622" w:rsidRPr="0088391A" w:rsidRDefault="00B43622" w:rsidP="00B43622">
            <w:pPr>
              <w:pStyle w:val="CETBodytext"/>
              <w:rPr>
                <w:sz w:val="16"/>
                <w:szCs w:val="16"/>
              </w:rPr>
            </w:pPr>
            <w:r w:rsidRPr="0088391A">
              <w:rPr>
                <w:sz w:val="16"/>
                <w:szCs w:val="16"/>
              </w:rPr>
              <w:t>Rupture of pipes and fittings</w:t>
            </w:r>
          </w:p>
        </w:tc>
        <w:tc>
          <w:tcPr>
            <w:tcW w:w="953" w:type="dxa"/>
            <w:shd w:val="clear" w:color="auto" w:fill="FFFFFF"/>
          </w:tcPr>
          <w:p w14:paraId="18E3F47D" w14:textId="061CD28F" w:rsidR="00B43622" w:rsidRPr="0088391A" w:rsidRDefault="00B43622" w:rsidP="00B43622">
            <w:pPr>
              <w:pStyle w:val="CETBodytext"/>
              <w:rPr>
                <w:rFonts w:cs="Arial"/>
                <w:sz w:val="16"/>
                <w:szCs w:val="16"/>
              </w:rPr>
            </w:pPr>
            <w:r w:rsidRPr="0088391A">
              <w:rPr>
                <w:sz w:val="16"/>
                <w:szCs w:val="16"/>
              </w:rPr>
              <w:t>X</w:t>
            </w:r>
          </w:p>
        </w:tc>
        <w:tc>
          <w:tcPr>
            <w:tcW w:w="952" w:type="dxa"/>
            <w:shd w:val="clear" w:color="auto" w:fill="FFFFFF"/>
          </w:tcPr>
          <w:p w14:paraId="7C272876" w14:textId="4E1771FB" w:rsidR="00B43622" w:rsidRPr="0088391A" w:rsidRDefault="00B43622" w:rsidP="00B43622">
            <w:pPr>
              <w:pStyle w:val="CETBodytext"/>
              <w:rPr>
                <w:rFonts w:cs="Arial"/>
                <w:sz w:val="16"/>
                <w:szCs w:val="16"/>
              </w:rPr>
            </w:pPr>
            <w:r w:rsidRPr="0088391A">
              <w:rPr>
                <w:sz w:val="16"/>
                <w:szCs w:val="16"/>
              </w:rPr>
              <w:t>X</w:t>
            </w:r>
          </w:p>
        </w:tc>
        <w:tc>
          <w:tcPr>
            <w:tcW w:w="1001" w:type="dxa"/>
            <w:shd w:val="clear" w:color="auto" w:fill="FFFFFF"/>
          </w:tcPr>
          <w:p w14:paraId="05483AE5" w14:textId="747C9088" w:rsidR="00B43622" w:rsidRPr="0088391A" w:rsidRDefault="00B43622" w:rsidP="00B43622">
            <w:pPr>
              <w:pStyle w:val="CETBodytext"/>
              <w:ind w:right="-1"/>
              <w:rPr>
                <w:rFonts w:cs="Arial"/>
                <w:sz w:val="16"/>
                <w:szCs w:val="16"/>
              </w:rPr>
            </w:pPr>
            <w:r w:rsidRPr="0088391A">
              <w:rPr>
                <w:sz w:val="16"/>
                <w:szCs w:val="16"/>
              </w:rPr>
              <w:t>X</w:t>
            </w:r>
          </w:p>
        </w:tc>
        <w:tc>
          <w:tcPr>
            <w:tcW w:w="951" w:type="dxa"/>
            <w:shd w:val="clear" w:color="auto" w:fill="FFFFFF"/>
          </w:tcPr>
          <w:p w14:paraId="3F0818C4" w14:textId="69C1B640" w:rsidR="00B43622" w:rsidRPr="0088391A" w:rsidRDefault="00B43622" w:rsidP="00B43622">
            <w:pPr>
              <w:pStyle w:val="CETBodytext"/>
              <w:ind w:right="-1"/>
              <w:rPr>
                <w:rFonts w:cs="Arial"/>
                <w:sz w:val="16"/>
                <w:szCs w:val="16"/>
              </w:rPr>
            </w:pPr>
            <w:r w:rsidRPr="0088391A">
              <w:rPr>
                <w:sz w:val="16"/>
                <w:szCs w:val="16"/>
              </w:rPr>
              <w:t>X</w:t>
            </w:r>
          </w:p>
        </w:tc>
        <w:tc>
          <w:tcPr>
            <w:tcW w:w="931" w:type="dxa"/>
            <w:shd w:val="clear" w:color="auto" w:fill="FFFFFF"/>
          </w:tcPr>
          <w:p w14:paraId="34AAEC2C" w14:textId="4779B766" w:rsidR="00B43622" w:rsidRPr="0088391A" w:rsidRDefault="00B43622" w:rsidP="00B43622">
            <w:pPr>
              <w:pStyle w:val="CETBodytext"/>
              <w:ind w:right="-1"/>
              <w:rPr>
                <w:rFonts w:cs="Arial"/>
                <w:sz w:val="16"/>
                <w:szCs w:val="16"/>
              </w:rPr>
            </w:pPr>
            <w:r w:rsidRPr="0088391A">
              <w:rPr>
                <w:sz w:val="16"/>
                <w:szCs w:val="16"/>
              </w:rPr>
              <w:t>X</w:t>
            </w:r>
          </w:p>
        </w:tc>
        <w:tc>
          <w:tcPr>
            <w:tcW w:w="825" w:type="dxa"/>
            <w:shd w:val="clear" w:color="auto" w:fill="FFFFFF"/>
          </w:tcPr>
          <w:p w14:paraId="1C332D14" w14:textId="237DB174" w:rsidR="00B43622" w:rsidRPr="0088391A" w:rsidRDefault="00B43622" w:rsidP="00B43622">
            <w:pPr>
              <w:pStyle w:val="CETBodytext"/>
              <w:ind w:right="-1"/>
              <w:rPr>
                <w:rFonts w:cs="Arial"/>
                <w:sz w:val="16"/>
                <w:szCs w:val="16"/>
              </w:rPr>
            </w:pPr>
            <w:r w:rsidRPr="0088391A">
              <w:rPr>
                <w:sz w:val="16"/>
                <w:szCs w:val="16"/>
              </w:rPr>
              <w:t>X</w:t>
            </w:r>
          </w:p>
        </w:tc>
      </w:tr>
      <w:tr w:rsidR="00B43622" w:rsidRPr="0088391A" w14:paraId="189A6F1B" w14:textId="77777777" w:rsidTr="009B2EE0">
        <w:tc>
          <w:tcPr>
            <w:tcW w:w="970" w:type="dxa"/>
            <w:shd w:val="clear" w:color="auto" w:fill="FFFFFF"/>
          </w:tcPr>
          <w:p w14:paraId="1ED2B8ED" w14:textId="280D6A1C" w:rsidR="00B43622" w:rsidRPr="0088391A" w:rsidRDefault="00B43622" w:rsidP="00B43622">
            <w:pPr>
              <w:pStyle w:val="CETBodytext"/>
              <w:jc w:val="left"/>
              <w:rPr>
                <w:rFonts w:cs="Arial"/>
                <w:sz w:val="16"/>
                <w:szCs w:val="16"/>
              </w:rPr>
            </w:pPr>
            <w:r w:rsidRPr="0088391A">
              <w:rPr>
                <w:sz w:val="16"/>
                <w:szCs w:val="16"/>
              </w:rPr>
              <w:t>Tearing</w:t>
            </w:r>
          </w:p>
        </w:tc>
        <w:tc>
          <w:tcPr>
            <w:tcW w:w="953" w:type="dxa"/>
            <w:shd w:val="clear" w:color="auto" w:fill="FFFFFF"/>
          </w:tcPr>
          <w:p w14:paraId="750DF36C" w14:textId="77777777" w:rsidR="00B43622" w:rsidRPr="0088391A" w:rsidRDefault="00B43622" w:rsidP="00B43622">
            <w:pPr>
              <w:pStyle w:val="CETBodytext"/>
              <w:rPr>
                <w:sz w:val="16"/>
                <w:szCs w:val="16"/>
              </w:rPr>
            </w:pPr>
          </w:p>
        </w:tc>
        <w:tc>
          <w:tcPr>
            <w:tcW w:w="953" w:type="dxa"/>
            <w:shd w:val="clear" w:color="auto" w:fill="FFFFFF"/>
          </w:tcPr>
          <w:p w14:paraId="7D0C6C73" w14:textId="282380B9" w:rsidR="00B43622" w:rsidRPr="0088391A" w:rsidRDefault="00B43622" w:rsidP="00B43622">
            <w:pPr>
              <w:pStyle w:val="CETBodytext"/>
              <w:rPr>
                <w:sz w:val="16"/>
                <w:szCs w:val="16"/>
              </w:rPr>
            </w:pPr>
          </w:p>
        </w:tc>
        <w:tc>
          <w:tcPr>
            <w:tcW w:w="953" w:type="dxa"/>
            <w:shd w:val="clear" w:color="auto" w:fill="FFFFFF"/>
          </w:tcPr>
          <w:p w14:paraId="150D2634" w14:textId="47A416D3" w:rsidR="00B43622" w:rsidRPr="0088391A" w:rsidRDefault="00B43622" w:rsidP="00B43622">
            <w:pPr>
              <w:pStyle w:val="CETBodytext"/>
              <w:rPr>
                <w:rFonts w:cs="Arial"/>
                <w:sz w:val="16"/>
                <w:szCs w:val="16"/>
              </w:rPr>
            </w:pPr>
            <w:r w:rsidRPr="0088391A">
              <w:rPr>
                <w:sz w:val="16"/>
                <w:szCs w:val="16"/>
              </w:rPr>
              <w:t>X</w:t>
            </w:r>
          </w:p>
        </w:tc>
        <w:tc>
          <w:tcPr>
            <w:tcW w:w="952" w:type="dxa"/>
            <w:shd w:val="clear" w:color="auto" w:fill="FFFFFF"/>
          </w:tcPr>
          <w:p w14:paraId="347F6505" w14:textId="6788FDFE" w:rsidR="00B43622" w:rsidRPr="0088391A" w:rsidRDefault="00B43622" w:rsidP="00B43622">
            <w:pPr>
              <w:pStyle w:val="CETBodytext"/>
              <w:rPr>
                <w:rFonts w:cs="Arial"/>
                <w:sz w:val="16"/>
                <w:szCs w:val="16"/>
              </w:rPr>
            </w:pPr>
            <w:r w:rsidRPr="0088391A">
              <w:rPr>
                <w:sz w:val="16"/>
                <w:szCs w:val="16"/>
              </w:rPr>
              <w:t>X</w:t>
            </w:r>
          </w:p>
        </w:tc>
        <w:tc>
          <w:tcPr>
            <w:tcW w:w="1001" w:type="dxa"/>
            <w:shd w:val="clear" w:color="auto" w:fill="FFFFFF"/>
          </w:tcPr>
          <w:p w14:paraId="16533946" w14:textId="0D84ECF7" w:rsidR="00B43622" w:rsidRPr="0088391A" w:rsidRDefault="00B43622" w:rsidP="00B43622">
            <w:pPr>
              <w:pStyle w:val="CETBodytext"/>
              <w:ind w:right="-1"/>
              <w:rPr>
                <w:rFonts w:cs="Arial"/>
                <w:sz w:val="16"/>
                <w:szCs w:val="16"/>
              </w:rPr>
            </w:pPr>
            <w:r w:rsidRPr="0088391A">
              <w:rPr>
                <w:sz w:val="16"/>
                <w:szCs w:val="16"/>
              </w:rPr>
              <w:t>X</w:t>
            </w:r>
          </w:p>
        </w:tc>
        <w:tc>
          <w:tcPr>
            <w:tcW w:w="951" w:type="dxa"/>
            <w:shd w:val="clear" w:color="auto" w:fill="FFFFFF"/>
          </w:tcPr>
          <w:p w14:paraId="11C8FEB6" w14:textId="77777777" w:rsidR="00B43622" w:rsidRPr="0088391A" w:rsidRDefault="00B43622" w:rsidP="00B43622">
            <w:pPr>
              <w:pStyle w:val="CETBodytext"/>
              <w:ind w:right="-1"/>
              <w:rPr>
                <w:rFonts w:cs="Arial"/>
                <w:sz w:val="16"/>
                <w:szCs w:val="16"/>
              </w:rPr>
            </w:pPr>
          </w:p>
        </w:tc>
        <w:tc>
          <w:tcPr>
            <w:tcW w:w="931" w:type="dxa"/>
            <w:shd w:val="clear" w:color="auto" w:fill="FFFFFF"/>
          </w:tcPr>
          <w:p w14:paraId="66E03C25" w14:textId="77777777" w:rsidR="00B43622" w:rsidRPr="0088391A" w:rsidRDefault="00B43622" w:rsidP="00B43622">
            <w:pPr>
              <w:pStyle w:val="CETBodytext"/>
              <w:ind w:right="-1"/>
              <w:rPr>
                <w:rFonts w:cs="Arial"/>
                <w:sz w:val="16"/>
                <w:szCs w:val="16"/>
              </w:rPr>
            </w:pPr>
          </w:p>
        </w:tc>
        <w:tc>
          <w:tcPr>
            <w:tcW w:w="825" w:type="dxa"/>
            <w:shd w:val="clear" w:color="auto" w:fill="FFFFFF"/>
          </w:tcPr>
          <w:p w14:paraId="437041D7" w14:textId="77777777" w:rsidR="00B43622" w:rsidRPr="0088391A" w:rsidRDefault="00B43622" w:rsidP="00B43622">
            <w:pPr>
              <w:pStyle w:val="CETBodytext"/>
              <w:ind w:right="-1"/>
              <w:rPr>
                <w:rFonts w:cs="Arial"/>
                <w:sz w:val="16"/>
                <w:szCs w:val="16"/>
              </w:rPr>
            </w:pPr>
          </w:p>
        </w:tc>
      </w:tr>
      <w:tr w:rsidR="00B43622" w:rsidRPr="0088391A" w14:paraId="5AA8B36D" w14:textId="77777777" w:rsidTr="009B2EE0">
        <w:tc>
          <w:tcPr>
            <w:tcW w:w="1923" w:type="dxa"/>
            <w:gridSpan w:val="2"/>
            <w:shd w:val="clear" w:color="auto" w:fill="FFFFFF"/>
          </w:tcPr>
          <w:p w14:paraId="4BD2CF6F" w14:textId="3928D1BB" w:rsidR="00B43622" w:rsidRPr="0088391A" w:rsidRDefault="00B43622" w:rsidP="00B43622">
            <w:pPr>
              <w:pStyle w:val="CETBodytext"/>
              <w:rPr>
                <w:rFonts w:cs="Arial"/>
                <w:sz w:val="16"/>
                <w:szCs w:val="16"/>
              </w:rPr>
            </w:pPr>
            <w:r w:rsidRPr="0088391A">
              <w:rPr>
                <w:sz w:val="16"/>
                <w:szCs w:val="16"/>
              </w:rPr>
              <w:t>Detachment of the shell-to-bottom connection</w:t>
            </w:r>
          </w:p>
        </w:tc>
        <w:tc>
          <w:tcPr>
            <w:tcW w:w="953" w:type="dxa"/>
            <w:shd w:val="clear" w:color="auto" w:fill="FFFFFF"/>
          </w:tcPr>
          <w:p w14:paraId="5D3F2E74" w14:textId="33407B9C" w:rsidR="00B43622" w:rsidRPr="0088391A" w:rsidRDefault="00B43622" w:rsidP="00B43622">
            <w:pPr>
              <w:pStyle w:val="CETBodytext"/>
              <w:rPr>
                <w:rFonts w:cs="Arial"/>
                <w:sz w:val="16"/>
                <w:szCs w:val="16"/>
              </w:rPr>
            </w:pPr>
          </w:p>
        </w:tc>
        <w:tc>
          <w:tcPr>
            <w:tcW w:w="953" w:type="dxa"/>
            <w:shd w:val="clear" w:color="auto" w:fill="FFFFFF"/>
          </w:tcPr>
          <w:p w14:paraId="5D3BB71F" w14:textId="60A962C6" w:rsidR="00B43622" w:rsidRPr="0088391A" w:rsidRDefault="00B43622" w:rsidP="00B43622">
            <w:pPr>
              <w:pStyle w:val="CETBodytext"/>
              <w:rPr>
                <w:rFonts w:cs="Arial"/>
                <w:sz w:val="16"/>
                <w:szCs w:val="16"/>
              </w:rPr>
            </w:pPr>
          </w:p>
        </w:tc>
        <w:tc>
          <w:tcPr>
            <w:tcW w:w="952" w:type="dxa"/>
            <w:shd w:val="clear" w:color="auto" w:fill="FFFFFF"/>
          </w:tcPr>
          <w:p w14:paraId="56ED18F8" w14:textId="33826BEC" w:rsidR="00B43622" w:rsidRPr="0088391A" w:rsidRDefault="00B43622" w:rsidP="00B43622">
            <w:pPr>
              <w:pStyle w:val="CETBodytext"/>
              <w:rPr>
                <w:rFonts w:cs="Arial"/>
                <w:sz w:val="16"/>
                <w:szCs w:val="16"/>
              </w:rPr>
            </w:pPr>
            <w:r w:rsidRPr="0088391A">
              <w:rPr>
                <w:sz w:val="16"/>
                <w:szCs w:val="16"/>
              </w:rPr>
              <w:t>X</w:t>
            </w:r>
          </w:p>
        </w:tc>
        <w:tc>
          <w:tcPr>
            <w:tcW w:w="1001" w:type="dxa"/>
            <w:shd w:val="clear" w:color="auto" w:fill="FFFFFF"/>
          </w:tcPr>
          <w:p w14:paraId="60E3D3D5" w14:textId="2D73191F" w:rsidR="00B43622" w:rsidRPr="0088391A" w:rsidRDefault="00B43622" w:rsidP="00B43622">
            <w:pPr>
              <w:pStyle w:val="CETBodytext"/>
              <w:ind w:right="-1"/>
              <w:rPr>
                <w:rFonts w:cs="Arial"/>
                <w:sz w:val="16"/>
                <w:szCs w:val="16"/>
              </w:rPr>
            </w:pPr>
            <w:r w:rsidRPr="0088391A">
              <w:rPr>
                <w:sz w:val="16"/>
                <w:szCs w:val="16"/>
              </w:rPr>
              <w:t>X</w:t>
            </w:r>
          </w:p>
        </w:tc>
        <w:tc>
          <w:tcPr>
            <w:tcW w:w="951" w:type="dxa"/>
            <w:shd w:val="clear" w:color="auto" w:fill="FFFFFF"/>
          </w:tcPr>
          <w:p w14:paraId="1F42883E" w14:textId="77777777" w:rsidR="00B43622" w:rsidRPr="0088391A" w:rsidRDefault="00B43622" w:rsidP="00B43622">
            <w:pPr>
              <w:pStyle w:val="CETBodytext"/>
              <w:ind w:right="-1"/>
              <w:rPr>
                <w:rFonts w:cs="Arial"/>
                <w:sz w:val="16"/>
                <w:szCs w:val="16"/>
              </w:rPr>
            </w:pPr>
          </w:p>
        </w:tc>
        <w:tc>
          <w:tcPr>
            <w:tcW w:w="931" w:type="dxa"/>
            <w:shd w:val="clear" w:color="auto" w:fill="FFFFFF"/>
          </w:tcPr>
          <w:p w14:paraId="567181A6" w14:textId="77777777" w:rsidR="00B43622" w:rsidRPr="0088391A" w:rsidRDefault="00B43622" w:rsidP="00B43622">
            <w:pPr>
              <w:pStyle w:val="CETBodytext"/>
              <w:ind w:right="-1"/>
              <w:rPr>
                <w:rFonts w:cs="Arial"/>
                <w:sz w:val="16"/>
                <w:szCs w:val="16"/>
              </w:rPr>
            </w:pPr>
          </w:p>
        </w:tc>
        <w:tc>
          <w:tcPr>
            <w:tcW w:w="825" w:type="dxa"/>
            <w:shd w:val="clear" w:color="auto" w:fill="FFFFFF"/>
          </w:tcPr>
          <w:p w14:paraId="5B878FF3" w14:textId="77777777" w:rsidR="00B43622" w:rsidRPr="0088391A" w:rsidRDefault="00B43622" w:rsidP="00B43622">
            <w:pPr>
              <w:pStyle w:val="CETBodytext"/>
              <w:ind w:right="-1"/>
              <w:rPr>
                <w:rFonts w:cs="Arial"/>
                <w:sz w:val="16"/>
                <w:szCs w:val="16"/>
              </w:rPr>
            </w:pPr>
          </w:p>
        </w:tc>
      </w:tr>
      <w:tr w:rsidR="00B43622" w:rsidRPr="0088391A" w14:paraId="66726631" w14:textId="77777777" w:rsidTr="009B2EE0">
        <w:tc>
          <w:tcPr>
            <w:tcW w:w="1923" w:type="dxa"/>
            <w:gridSpan w:val="2"/>
            <w:shd w:val="clear" w:color="auto" w:fill="FFFFFF"/>
          </w:tcPr>
          <w:p w14:paraId="74D8A9C7" w14:textId="099A7762" w:rsidR="00B43622" w:rsidRPr="0088391A" w:rsidRDefault="00B43622" w:rsidP="00B43622">
            <w:pPr>
              <w:pStyle w:val="CETBodytext"/>
              <w:rPr>
                <w:rFonts w:cs="Arial"/>
                <w:sz w:val="16"/>
                <w:szCs w:val="16"/>
              </w:rPr>
            </w:pPr>
            <w:r w:rsidRPr="0088391A">
              <w:rPr>
                <w:sz w:val="16"/>
                <w:szCs w:val="16"/>
              </w:rPr>
              <w:t>Support leg failure</w:t>
            </w:r>
          </w:p>
        </w:tc>
        <w:tc>
          <w:tcPr>
            <w:tcW w:w="953" w:type="dxa"/>
            <w:shd w:val="clear" w:color="auto" w:fill="FFFFFF"/>
          </w:tcPr>
          <w:p w14:paraId="21BD021F" w14:textId="716CC544" w:rsidR="00B43622" w:rsidRPr="0088391A" w:rsidRDefault="00B43622" w:rsidP="00B43622">
            <w:pPr>
              <w:pStyle w:val="CETBodytext"/>
              <w:rPr>
                <w:rFonts w:cs="Arial"/>
                <w:sz w:val="16"/>
                <w:szCs w:val="16"/>
              </w:rPr>
            </w:pPr>
          </w:p>
        </w:tc>
        <w:tc>
          <w:tcPr>
            <w:tcW w:w="953" w:type="dxa"/>
            <w:shd w:val="clear" w:color="auto" w:fill="FFFFFF"/>
          </w:tcPr>
          <w:p w14:paraId="0FE9EB26" w14:textId="5BE600E4" w:rsidR="00B43622" w:rsidRPr="0088391A" w:rsidRDefault="00B43622" w:rsidP="00B43622">
            <w:pPr>
              <w:pStyle w:val="CETBodytext"/>
              <w:rPr>
                <w:rFonts w:cs="Arial"/>
                <w:sz w:val="16"/>
                <w:szCs w:val="16"/>
              </w:rPr>
            </w:pPr>
          </w:p>
        </w:tc>
        <w:tc>
          <w:tcPr>
            <w:tcW w:w="952" w:type="dxa"/>
            <w:shd w:val="clear" w:color="auto" w:fill="FFFFFF"/>
          </w:tcPr>
          <w:p w14:paraId="1BEEBC0A" w14:textId="58E2DD93" w:rsidR="00B43622" w:rsidRPr="0088391A" w:rsidRDefault="00B43622" w:rsidP="00B43622">
            <w:pPr>
              <w:pStyle w:val="CETBodytext"/>
              <w:rPr>
                <w:rFonts w:cs="Arial"/>
                <w:sz w:val="16"/>
                <w:szCs w:val="16"/>
              </w:rPr>
            </w:pPr>
            <w:r w:rsidRPr="0088391A">
              <w:rPr>
                <w:sz w:val="16"/>
                <w:szCs w:val="16"/>
              </w:rPr>
              <w:t>X</w:t>
            </w:r>
          </w:p>
        </w:tc>
        <w:tc>
          <w:tcPr>
            <w:tcW w:w="1001" w:type="dxa"/>
            <w:shd w:val="clear" w:color="auto" w:fill="FFFFFF"/>
          </w:tcPr>
          <w:p w14:paraId="30B09E0E" w14:textId="125B2B5E" w:rsidR="00B43622" w:rsidRPr="0088391A" w:rsidRDefault="00B43622" w:rsidP="00B43622">
            <w:pPr>
              <w:pStyle w:val="CETBodytext"/>
              <w:ind w:right="-1"/>
              <w:rPr>
                <w:rFonts w:cs="Arial"/>
                <w:sz w:val="16"/>
                <w:szCs w:val="16"/>
              </w:rPr>
            </w:pPr>
            <w:r w:rsidRPr="0088391A">
              <w:rPr>
                <w:sz w:val="16"/>
                <w:szCs w:val="16"/>
              </w:rPr>
              <w:t>X</w:t>
            </w:r>
          </w:p>
        </w:tc>
        <w:tc>
          <w:tcPr>
            <w:tcW w:w="951" w:type="dxa"/>
            <w:shd w:val="clear" w:color="auto" w:fill="FFFFFF"/>
          </w:tcPr>
          <w:p w14:paraId="02AC5170" w14:textId="4E9B7C41" w:rsidR="00B43622" w:rsidRPr="0088391A" w:rsidRDefault="00B43622" w:rsidP="00B43622">
            <w:pPr>
              <w:pStyle w:val="CETBodytext"/>
              <w:ind w:right="-1"/>
              <w:rPr>
                <w:rFonts w:cs="Arial"/>
                <w:sz w:val="16"/>
                <w:szCs w:val="16"/>
              </w:rPr>
            </w:pPr>
            <w:r w:rsidRPr="0088391A">
              <w:rPr>
                <w:sz w:val="16"/>
                <w:szCs w:val="16"/>
              </w:rPr>
              <w:t>X</w:t>
            </w:r>
          </w:p>
        </w:tc>
        <w:tc>
          <w:tcPr>
            <w:tcW w:w="931" w:type="dxa"/>
            <w:shd w:val="clear" w:color="auto" w:fill="FFFFFF"/>
          </w:tcPr>
          <w:p w14:paraId="27BCDAB4" w14:textId="3DFAB1EA" w:rsidR="00B43622" w:rsidRPr="0088391A" w:rsidRDefault="00B43622" w:rsidP="00B43622">
            <w:pPr>
              <w:pStyle w:val="CETBodytext"/>
              <w:ind w:right="-1"/>
              <w:rPr>
                <w:rFonts w:cs="Arial"/>
                <w:sz w:val="16"/>
                <w:szCs w:val="16"/>
              </w:rPr>
            </w:pPr>
            <w:r w:rsidRPr="0088391A">
              <w:rPr>
                <w:sz w:val="16"/>
                <w:szCs w:val="16"/>
              </w:rPr>
              <w:t>X</w:t>
            </w:r>
          </w:p>
        </w:tc>
        <w:tc>
          <w:tcPr>
            <w:tcW w:w="825" w:type="dxa"/>
            <w:shd w:val="clear" w:color="auto" w:fill="FFFFFF"/>
          </w:tcPr>
          <w:p w14:paraId="131EFAE5" w14:textId="558831DA" w:rsidR="00B43622" w:rsidRPr="0088391A" w:rsidRDefault="00B43622" w:rsidP="00B43622">
            <w:pPr>
              <w:pStyle w:val="CETBodytext"/>
              <w:ind w:right="-1"/>
              <w:rPr>
                <w:rFonts w:cs="Arial"/>
                <w:sz w:val="16"/>
                <w:szCs w:val="16"/>
              </w:rPr>
            </w:pPr>
            <w:r w:rsidRPr="0088391A">
              <w:rPr>
                <w:sz w:val="16"/>
                <w:szCs w:val="16"/>
              </w:rPr>
              <w:t>X</w:t>
            </w:r>
          </w:p>
        </w:tc>
      </w:tr>
      <w:tr w:rsidR="00B43622" w:rsidRPr="0088391A" w14:paraId="797EB206" w14:textId="77777777" w:rsidTr="009B2EE0">
        <w:tc>
          <w:tcPr>
            <w:tcW w:w="2876" w:type="dxa"/>
            <w:gridSpan w:val="3"/>
            <w:shd w:val="clear" w:color="auto" w:fill="FFFFFF"/>
          </w:tcPr>
          <w:p w14:paraId="0CEA65DB" w14:textId="67864F43" w:rsidR="00B43622" w:rsidRPr="0088391A" w:rsidRDefault="00B43622" w:rsidP="00B43622">
            <w:pPr>
              <w:pStyle w:val="CETBodytext"/>
              <w:rPr>
                <w:sz w:val="16"/>
                <w:szCs w:val="16"/>
              </w:rPr>
            </w:pPr>
            <w:r w:rsidRPr="0088391A">
              <w:rPr>
                <w:sz w:val="16"/>
                <w:szCs w:val="16"/>
              </w:rPr>
              <w:t>Displacement and overturning</w:t>
            </w:r>
          </w:p>
        </w:tc>
        <w:tc>
          <w:tcPr>
            <w:tcW w:w="953" w:type="dxa"/>
            <w:shd w:val="clear" w:color="auto" w:fill="FFFFFF"/>
          </w:tcPr>
          <w:p w14:paraId="2EF61132" w14:textId="6B072A30" w:rsidR="00B43622" w:rsidRPr="0088391A" w:rsidRDefault="00B43622" w:rsidP="00B43622">
            <w:pPr>
              <w:pStyle w:val="CETBodytext"/>
              <w:rPr>
                <w:rFonts w:cs="Arial"/>
                <w:sz w:val="16"/>
                <w:szCs w:val="16"/>
              </w:rPr>
            </w:pPr>
            <w:r w:rsidRPr="0088391A">
              <w:rPr>
                <w:sz w:val="16"/>
                <w:szCs w:val="16"/>
              </w:rPr>
              <w:t>X</w:t>
            </w:r>
          </w:p>
        </w:tc>
        <w:tc>
          <w:tcPr>
            <w:tcW w:w="952" w:type="dxa"/>
            <w:shd w:val="clear" w:color="auto" w:fill="FFFFFF"/>
          </w:tcPr>
          <w:p w14:paraId="30FE6A54" w14:textId="1979CA9F" w:rsidR="00B43622" w:rsidRPr="0088391A" w:rsidRDefault="00B43622" w:rsidP="00B43622">
            <w:pPr>
              <w:pStyle w:val="CETBodytext"/>
              <w:rPr>
                <w:rFonts w:cs="Arial"/>
                <w:sz w:val="16"/>
                <w:szCs w:val="16"/>
              </w:rPr>
            </w:pPr>
            <w:r w:rsidRPr="0088391A">
              <w:rPr>
                <w:sz w:val="16"/>
                <w:szCs w:val="16"/>
              </w:rPr>
              <w:t>X</w:t>
            </w:r>
          </w:p>
        </w:tc>
        <w:tc>
          <w:tcPr>
            <w:tcW w:w="1001" w:type="dxa"/>
            <w:shd w:val="clear" w:color="auto" w:fill="FFFFFF"/>
          </w:tcPr>
          <w:p w14:paraId="2B41F714" w14:textId="705EE856" w:rsidR="00B43622" w:rsidRPr="0088391A" w:rsidRDefault="00B43622" w:rsidP="00B43622">
            <w:pPr>
              <w:pStyle w:val="CETBodytext"/>
              <w:ind w:right="-1"/>
              <w:rPr>
                <w:rFonts w:cs="Arial"/>
                <w:sz w:val="16"/>
                <w:szCs w:val="16"/>
              </w:rPr>
            </w:pPr>
            <w:r w:rsidRPr="0088391A">
              <w:rPr>
                <w:sz w:val="16"/>
                <w:szCs w:val="16"/>
              </w:rPr>
              <w:t>X</w:t>
            </w:r>
          </w:p>
        </w:tc>
        <w:tc>
          <w:tcPr>
            <w:tcW w:w="951" w:type="dxa"/>
            <w:shd w:val="clear" w:color="auto" w:fill="FFFFFF"/>
          </w:tcPr>
          <w:p w14:paraId="1CB07696" w14:textId="040427E4" w:rsidR="00B43622" w:rsidRPr="0088391A" w:rsidRDefault="00B43622" w:rsidP="00B43622">
            <w:pPr>
              <w:pStyle w:val="CETBodytext"/>
              <w:ind w:right="-1"/>
              <w:rPr>
                <w:rFonts w:cs="Arial"/>
                <w:sz w:val="16"/>
                <w:szCs w:val="16"/>
              </w:rPr>
            </w:pPr>
            <w:r w:rsidRPr="0088391A">
              <w:rPr>
                <w:sz w:val="16"/>
                <w:szCs w:val="16"/>
              </w:rPr>
              <w:t>X</w:t>
            </w:r>
          </w:p>
        </w:tc>
        <w:tc>
          <w:tcPr>
            <w:tcW w:w="931" w:type="dxa"/>
            <w:shd w:val="clear" w:color="auto" w:fill="FFFFFF"/>
          </w:tcPr>
          <w:p w14:paraId="38C21470" w14:textId="2E7AFC45" w:rsidR="00B43622" w:rsidRPr="0088391A" w:rsidRDefault="00B43622" w:rsidP="00B43622">
            <w:pPr>
              <w:pStyle w:val="CETBodytext"/>
              <w:ind w:right="-1"/>
              <w:rPr>
                <w:rFonts w:cs="Arial"/>
                <w:sz w:val="16"/>
                <w:szCs w:val="16"/>
              </w:rPr>
            </w:pPr>
            <w:r w:rsidRPr="0088391A">
              <w:rPr>
                <w:sz w:val="16"/>
                <w:szCs w:val="16"/>
              </w:rPr>
              <w:t>X</w:t>
            </w:r>
          </w:p>
        </w:tc>
        <w:tc>
          <w:tcPr>
            <w:tcW w:w="825" w:type="dxa"/>
            <w:shd w:val="clear" w:color="auto" w:fill="FFFFFF"/>
          </w:tcPr>
          <w:p w14:paraId="0896CC28" w14:textId="3F2C9D83" w:rsidR="00B43622" w:rsidRPr="0088391A" w:rsidRDefault="00B43622" w:rsidP="00B43622">
            <w:pPr>
              <w:pStyle w:val="CETBodytext"/>
              <w:ind w:right="-1"/>
              <w:rPr>
                <w:rFonts w:cs="Arial"/>
                <w:sz w:val="16"/>
                <w:szCs w:val="16"/>
              </w:rPr>
            </w:pPr>
            <w:r w:rsidRPr="0088391A">
              <w:rPr>
                <w:sz w:val="16"/>
                <w:szCs w:val="16"/>
              </w:rPr>
              <w:t>X</w:t>
            </w:r>
          </w:p>
        </w:tc>
      </w:tr>
      <w:tr w:rsidR="00B43622" w:rsidRPr="0088391A" w14:paraId="13410C8E" w14:textId="77777777" w:rsidTr="009B2EE0">
        <w:tc>
          <w:tcPr>
            <w:tcW w:w="1923" w:type="dxa"/>
            <w:gridSpan w:val="2"/>
            <w:shd w:val="clear" w:color="auto" w:fill="FFFFFF"/>
          </w:tcPr>
          <w:p w14:paraId="4792CA61" w14:textId="1D370697" w:rsidR="00B43622" w:rsidRPr="0088391A" w:rsidRDefault="00B43622" w:rsidP="00B43622">
            <w:pPr>
              <w:pStyle w:val="CETBodytext"/>
              <w:rPr>
                <w:sz w:val="16"/>
                <w:szCs w:val="16"/>
              </w:rPr>
            </w:pPr>
            <w:r w:rsidRPr="0088391A">
              <w:rPr>
                <w:sz w:val="16"/>
                <w:szCs w:val="16"/>
              </w:rPr>
              <w:t>Puncturing damage</w:t>
            </w:r>
          </w:p>
        </w:tc>
        <w:tc>
          <w:tcPr>
            <w:tcW w:w="953" w:type="dxa"/>
            <w:shd w:val="clear" w:color="auto" w:fill="FFFFFF"/>
          </w:tcPr>
          <w:p w14:paraId="4A0C30A1" w14:textId="706AAD99" w:rsidR="00B43622" w:rsidRPr="0088391A" w:rsidRDefault="00B43622" w:rsidP="00B43622">
            <w:pPr>
              <w:pStyle w:val="CETBodytext"/>
              <w:rPr>
                <w:sz w:val="16"/>
                <w:szCs w:val="16"/>
              </w:rPr>
            </w:pPr>
          </w:p>
        </w:tc>
        <w:tc>
          <w:tcPr>
            <w:tcW w:w="953" w:type="dxa"/>
            <w:shd w:val="clear" w:color="auto" w:fill="FFFFFF"/>
          </w:tcPr>
          <w:p w14:paraId="6DAFBB23" w14:textId="17524420" w:rsidR="00B43622" w:rsidRPr="0088391A" w:rsidRDefault="00B43622" w:rsidP="00B43622">
            <w:pPr>
              <w:pStyle w:val="CETBodytext"/>
              <w:rPr>
                <w:sz w:val="16"/>
                <w:szCs w:val="16"/>
              </w:rPr>
            </w:pPr>
            <w:r w:rsidRPr="0088391A">
              <w:rPr>
                <w:sz w:val="16"/>
                <w:szCs w:val="16"/>
              </w:rPr>
              <w:t>X</w:t>
            </w:r>
          </w:p>
        </w:tc>
        <w:tc>
          <w:tcPr>
            <w:tcW w:w="952" w:type="dxa"/>
            <w:shd w:val="clear" w:color="auto" w:fill="FFFFFF"/>
          </w:tcPr>
          <w:p w14:paraId="09AB1FAF" w14:textId="32F2E72C" w:rsidR="00B43622" w:rsidRPr="0088391A" w:rsidRDefault="00B43622" w:rsidP="00B43622">
            <w:pPr>
              <w:pStyle w:val="CETBodytext"/>
              <w:rPr>
                <w:sz w:val="16"/>
                <w:szCs w:val="16"/>
              </w:rPr>
            </w:pPr>
            <w:r w:rsidRPr="0088391A">
              <w:rPr>
                <w:sz w:val="16"/>
                <w:szCs w:val="16"/>
              </w:rPr>
              <w:t>X</w:t>
            </w:r>
          </w:p>
        </w:tc>
        <w:tc>
          <w:tcPr>
            <w:tcW w:w="1001" w:type="dxa"/>
            <w:shd w:val="clear" w:color="auto" w:fill="FFFFFF"/>
          </w:tcPr>
          <w:p w14:paraId="04EB3AB2" w14:textId="2B9B6092" w:rsidR="00B43622" w:rsidRPr="0088391A" w:rsidRDefault="00B43622" w:rsidP="00B43622">
            <w:pPr>
              <w:pStyle w:val="CETBodytext"/>
              <w:ind w:right="-1"/>
              <w:rPr>
                <w:rFonts w:cs="Arial"/>
                <w:sz w:val="16"/>
                <w:szCs w:val="16"/>
              </w:rPr>
            </w:pPr>
            <w:r w:rsidRPr="0088391A">
              <w:rPr>
                <w:sz w:val="16"/>
                <w:szCs w:val="16"/>
              </w:rPr>
              <w:t>X</w:t>
            </w:r>
          </w:p>
        </w:tc>
        <w:tc>
          <w:tcPr>
            <w:tcW w:w="951" w:type="dxa"/>
            <w:shd w:val="clear" w:color="auto" w:fill="FFFFFF"/>
          </w:tcPr>
          <w:p w14:paraId="4F376208" w14:textId="1FDD70A7" w:rsidR="00B43622" w:rsidRPr="0088391A" w:rsidRDefault="00B43622" w:rsidP="00B43622">
            <w:pPr>
              <w:pStyle w:val="CETBodytext"/>
              <w:ind w:right="-1"/>
              <w:rPr>
                <w:rFonts w:cs="Arial"/>
                <w:sz w:val="16"/>
                <w:szCs w:val="16"/>
              </w:rPr>
            </w:pPr>
          </w:p>
        </w:tc>
        <w:tc>
          <w:tcPr>
            <w:tcW w:w="931" w:type="dxa"/>
            <w:shd w:val="clear" w:color="auto" w:fill="FFFFFF"/>
          </w:tcPr>
          <w:p w14:paraId="1AB89C8F" w14:textId="0E850354" w:rsidR="00B43622" w:rsidRPr="0088391A" w:rsidRDefault="00B43622" w:rsidP="00B43622">
            <w:pPr>
              <w:pStyle w:val="CETBodytext"/>
              <w:ind w:right="-1"/>
              <w:rPr>
                <w:rFonts w:cs="Arial"/>
                <w:sz w:val="16"/>
                <w:szCs w:val="16"/>
              </w:rPr>
            </w:pPr>
          </w:p>
        </w:tc>
        <w:tc>
          <w:tcPr>
            <w:tcW w:w="825" w:type="dxa"/>
            <w:shd w:val="clear" w:color="auto" w:fill="FFFFFF"/>
          </w:tcPr>
          <w:p w14:paraId="375AD0A6" w14:textId="15E50888" w:rsidR="00B43622" w:rsidRPr="0088391A" w:rsidRDefault="00B43622" w:rsidP="00B43622">
            <w:pPr>
              <w:pStyle w:val="CETBodytext"/>
              <w:ind w:right="-1"/>
              <w:rPr>
                <w:rFonts w:cs="Arial"/>
                <w:sz w:val="16"/>
                <w:szCs w:val="16"/>
              </w:rPr>
            </w:pPr>
          </w:p>
        </w:tc>
      </w:tr>
      <w:tr w:rsidR="00B43622" w:rsidRPr="0088391A" w14:paraId="62F80758" w14:textId="77777777" w:rsidTr="009B2EE0">
        <w:tc>
          <w:tcPr>
            <w:tcW w:w="1923" w:type="dxa"/>
            <w:gridSpan w:val="2"/>
            <w:shd w:val="clear" w:color="auto" w:fill="FFFFFF"/>
          </w:tcPr>
          <w:p w14:paraId="4F02C050" w14:textId="45071E1A" w:rsidR="00B43622" w:rsidRPr="0088391A" w:rsidRDefault="00B43622" w:rsidP="00B43622">
            <w:pPr>
              <w:pStyle w:val="CETBodytext"/>
              <w:rPr>
                <w:sz w:val="16"/>
                <w:szCs w:val="16"/>
              </w:rPr>
            </w:pPr>
            <w:r w:rsidRPr="0088391A">
              <w:rPr>
                <w:sz w:val="16"/>
                <w:szCs w:val="16"/>
              </w:rPr>
              <w:t>Ignition and sparking:</w:t>
            </w:r>
          </w:p>
        </w:tc>
        <w:tc>
          <w:tcPr>
            <w:tcW w:w="953" w:type="dxa"/>
            <w:shd w:val="clear" w:color="auto" w:fill="FFFFFF"/>
          </w:tcPr>
          <w:p w14:paraId="667537E5" w14:textId="656AD88F" w:rsidR="00B43622" w:rsidRPr="0088391A" w:rsidRDefault="00B43622" w:rsidP="00B43622">
            <w:pPr>
              <w:pStyle w:val="CETBodytext"/>
              <w:rPr>
                <w:sz w:val="16"/>
                <w:szCs w:val="16"/>
              </w:rPr>
            </w:pPr>
          </w:p>
        </w:tc>
        <w:tc>
          <w:tcPr>
            <w:tcW w:w="953" w:type="dxa"/>
            <w:shd w:val="clear" w:color="auto" w:fill="FFFFFF"/>
          </w:tcPr>
          <w:p w14:paraId="30E9B60B" w14:textId="50B26262" w:rsidR="00B43622" w:rsidRPr="0088391A" w:rsidRDefault="00B43622" w:rsidP="00B43622">
            <w:pPr>
              <w:pStyle w:val="CETBodytext"/>
              <w:rPr>
                <w:sz w:val="16"/>
                <w:szCs w:val="16"/>
              </w:rPr>
            </w:pPr>
            <w:r w:rsidRPr="0088391A">
              <w:rPr>
                <w:sz w:val="16"/>
                <w:szCs w:val="16"/>
              </w:rPr>
              <w:t>X</w:t>
            </w:r>
          </w:p>
        </w:tc>
        <w:tc>
          <w:tcPr>
            <w:tcW w:w="952" w:type="dxa"/>
            <w:shd w:val="clear" w:color="auto" w:fill="FFFFFF"/>
          </w:tcPr>
          <w:p w14:paraId="10F98749" w14:textId="1B8B8DDD" w:rsidR="00B43622" w:rsidRPr="0088391A" w:rsidRDefault="00B43622" w:rsidP="00B43622">
            <w:pPr>
              <w:pStyle w:val="CETBodytext"/>
              <w:rPr>
                <w:sz w:val="16"/>
                <w:szCs w:val="16"/>
              </w:rPr>
            </w:pPr>
            <w:r w:rsidRPr="0088391A">
              <w:rPr>
                <w:sz w:val="16"/>
                <w:szCs w:val="16"/>
              </w:rPr>
              <w:t>X</w:t>
            </w:r>
          </w:p>
        </w:tc>
        <w:tc>
          <w:tcPr>
            <w:tcW w:w="1001" w:type="dxa"/>
            <w:shd w:val="clear" w:color="auto" w:fill="FFFFFF"/>
          </w:tcPr>
          <w:p w14:paraId="4FC7B357" w14:textId="53CE2369" w:rsidR="00B43622" w:rsidRPr="0088391A" w:rsidRDefault="00B43622" w:rsidP="00B43622">
            <w:pPr>
              <w:pStyle w:val="CETBodytext"/>
              <w:ind w:right="-1"/>
              <w:rPr>
                <w:rFonts w:cs="Arial"/>
                <w:sz w:val="16"/>
                <w:szCs w:val="16"/>
              </w:rPr>
            </w:pPr>
            <w:r w:rsidRPr="0088391A">
              <w:rPr>
                <w:sz w:val="16"/>
                <w:szCs w:val="16"/>
              </w:rPr>
              <w:t>X</w:t>
            </w:r>
          </w:p>
        </w:tc>
        <w:tc>
          <w:tcPr>
            <w:tcW w:w="951" w:type="dxa"/>
            <w:shd w:val="clear" w:color="auto" w:fill="FFFFFF"/>
          </w:tcPr>
          <w:p w14:paraId="3B37F6CF" w14:textId="3CD3B152" w:rsidR="00B43622" w:rsidRPr="0088391A" w:rsidRDefault="00B43622" w:rsidP="00B43622">
            <w:pPr>
              <w:pStyle w:val="CETBodytext"/>
              <w:ind w:right="-1"/>
              <w:rPr>
                <w:rFonts w:cs="Arial"/>
                <w:sz w:val="16"/>
                <w:szCs w:val="16"/>
              </w:rPr>
            </w:pPr>
          </w:p>
        </w:tc>
        <w:tc>
          <w:tcPr>
            <w:tcW w:w="931" w:type="dxa"/>
            <w:shd w:val="clear" w:color="auto" w:fill="FFFFFF"/>
          </w:tcPr>
          <w:p w14:paraId="6D0433BF" w14:textId="6F26C154" w:rsidR="00B43622" w:rsidRPr="0088391A" w:rsidRDefault="00B43622" w:rsidP="00B43622">
            <w:pPr>
              <w:pStyle w:val="CETBodytext"/>
              <w:ind w:right="-1"/>
              <w:rPr>
                <w:rFonts w:cs="Arial"/>
                <w:sz w:val="16"/>
                <w:szCs w:val="16"/>
              </w:rPr>
            </w:pPr>
          </w:p>
        </w:tc>
        <w:tc>
          <w:tcPr>
            <w:tcW w:w="825" w:type="dxa"/>
            <w:shd w:val="clear" w:color="auto" w:fill="FFFFFF"/>
          </w:tcPr>
          <w:p w14:paraId="55420A57" w14:textId="76A9E799" w:rsidR="00B43622" w:rsidRPr="0088391A" w:rsidRDefault="00B43622" w:rsidP="00B43622">
            <w:pPr>
              <w:pStyle w:val="CETBodytext"/>
              <w:ind w:right="-1"/>
              <w:rPr>
                <w:rFonts w:cs="Arial"/>
                <w:sz w:val="16"/>
                <w:szCs w:val="16"/>
              </w:rPr>
            </w:pPr>
          </w:p>
        </w:tc>
      </w:tr>
      <w:tr w:rsidR="00B43622" w:rsidRPr="0088391A" w14:paraId="6AAB693F" w14:textId="77777777" w:rsidTr="009B2EE0">
        <w:tc>
          <w:tcPr>
            <w:tcW w:w="970" w:type="dxa"/>
            <w:shd w:val="clear" w:color="auto" w:fill="FFFFFF"/>
          </w:tcPr>
          <w:p w14:paraId="5C9A7277" w14:textId="263161F7" w:rsidR="00B43622" w:rsidRPr="0088391A" w:rsidRDefault="00B43622" w:rsidP="00B43622">
            <w:pPr>
              <w:pStyle w:val="CETBodytext"/>
              <w:jc w:val="left"/>
              <w:rPr>
                <w:sz w:val="16"/>
                <w:szCs w:val="16"/>
              </w:rPr>
            </w:pPr>
            <w:r w:rsidRPr="0088391A">
              <w:rPr>
                <w:sz w:val="16"/>
                <w:szCs w:val="16"/>
              </w:rPr>
              <w:t>Overfilling</w:t>
            </w:r>
          </w:p>
        </w:tc>
        <w:tc>
          <w:tcPr>
            <w:tcW w:w="953" w:type="dxa"/>
            <w:shd w:val="clear" w:color="auto" w:fill="FFFFFF"/>
          </w:tcPr>
          <w:p w14:paraId="743829B5" w14:textId="77777777" w:rsidR="00B43622" w:rsidRPr="0088391A" w:rsidRDefault="00B43622" w:rsidP="00B43622">
            <w:pPr>
              <w:pStyle w:val="CETBodytext"/>
              <w:rPr>
                <w:sz w:val="16"/>
                <w:szCs w:val="16"/>
              </w:rPr>
            </w:pPr>
          </w:p>
        </w:tc>
        <w:tc>
          <w:tcPr>
            <w:tcW w:w="953" w:type="dxa"/>
            <w:shd w:val="clear" w:color="auto" w:fill="FFFFFF"/>
          </w:tcPr>
          <w:p w14:paraId="025DB9C0" w14:textId="37989926" w:rsidR="00B43622" w:rsidRPr="0088391A" w:rsidRDefault="00B43622" w:rsidP="00B43622">
            <w:pPr>
              <w:pStyle w:val="CETBodytext"/>
              <w:rPr>
                <w:sz w:val="16"/>
                <w:szCs w:val="16"/>
              </w:rPr>
            </w:pPr>
          </w:p>
        </w:tc>
        <w:tc>
          <w:tcPr>
            <w:tcW w:w="953" w:type="dxa"/>
            <w:shd w:val="clear" w:color="auto" w:fill="FFFFFF"/>
          </w:tcPr>
          <w:p w14:paraId="2C26194C" w14:textId="39EE346B" w:rsidR="00B43622" w:rsidRPr="0088391A" w:rsidRDefault="00B43622" w:rsidP="00B43622">
            <w:pPr>
              <w:pStyle w:val="CETBodytext"/>
              <w:rPr>
                <w:sz w:val="16"/>
                <w:szCs w:val="16"/>
              </w:rPr>
            </w:pPr>
            <w:r w:rsidRPr="0088391A">
              <w:rPr>
                <w:sz w:val="16"/>
                <w:szCs w:val="16"/>
              </w:rPr>
              <w:t>X</w:t>
            </w:r>
          </w:p>
        </w:tc>
        <w:tc>
          <w:tcPr>
            <w:tcW w:w="952" w:type="dxa"/>
            <w:shd w:val="clear" w:color="auto" w:fill="FFFFFF"/>
          </w:tcPr>
          <w:p w14:paraId="4CA538D3" w14:textId="3167DC1F" w:rsidR="00B43622" w:rsidRPr="0088391A" w:rsidRDefault="00B43622" w:rsidP="00B43622">
            <w:pPr>
              <w:pStyle w:val="CETBodytext"/>
              <w:rPr>
                <w:sz w:val="16"/>
                <w:szCs w:val="16"/>
              </w:rPr>
            </w:pPr>
            <w:r w:rsidRPr="0088391A">
              <w:rPr>
                <w:sz w:val="16"/>
                <w:szCs w:val="16"/>
              </w:rPr>
              <w:t>X</w:t>
            </w:r>
          </w:p>
        </w:tc>
        <w:tc>
          <w:tcPr>
            <w:tcW w:w="1001" w:type="dxa"/>
            <w:shd w:val="clear" w:color="auto" w:fill="FFFFFF"/>
          </w:tcPr>
          <w:p w14:paraId="7981C3AD" w14:textId="7874554B" w:rsidR="00B43622" w:rsidRPr="0088391A" w:rsidRDefault="00B43622" w:rsidP="00B43622">
            <w:pPr>
              <w:pStyle w:val="CETBodytext"/>
              <w:ind w:right="-1"/>
              <w:rPr>
                <w:rFonts w:cs="Arial"/>
                <w:sz w:val="16"/>
                <w:szCs w:val="16"/>
              </w:rPr>
            </w:pPr>
            <w:r w:rsidRPr="0088391A">
              <w:rPr>
                <w:sz w:val="16"/>
                <w:szCs w:val="16"/>
              </w:rPr>
              <w:t>X</w:t>
            </w:r>
          </w:p>
        </w:tc>
        <w:tc>
          <w:tcPr>
            <w:tcW w:w="951" w:type="dxa"/>
            <w:shd w:val="clear" w:color="auto" w:fill="FFFFFF"/>
          </w:tcPr>
          <w:p w14:paraId="023CB990" w14:textId="18E2D644" w:rsidR="00B43622" w:rsidRPr="0088391A" w:rsidRDefault="00B43622" w:rsidP="00B43622">
            <w:pPr>
              <w:pStyle w:val="CETBodytext"/>
              <w:ind w:right="-1"/>
              <w:rPr>
                <w:rFonts w:cs="Arial"/>
                <w:sz w:val="16"/>
                <w:szCs w:val="16"/>
              </w:rPr>
            </w:pPr>
          </w:p>
        </w:tc>
        <w:tc>
          <w:tcPr>
            <w:tcW w:w="931" w:type="dxa"/>
            <w:shd w:val="clear" w:color="auto" w:fill="FFFFFF"/>
          </w:tcPr>
          <w:p w14:paraId="6EA78A93" w14:textId="02EB532F" w:rsidR="00B43622" w:rsidRPr="0088391A" w:rsidRDefault="00B43622" w:rsidP="00B43622">
            <w:pPr>
              <w:pStyle w:val="CETBodytext"/>
              <w:ind w:right="-1"/>
              <w:rPr>
                <w:rFonts w:cs="Arial"/>
                <w:sz w:val="16"/>
                <w:szCs w:val="16"/>
              </w:rPr>
            </w:pPr>
          </w:p>
        </w:tc>
        <w:tc>
          <w:tcPr>
            <w:tcW w:w="825" w:type="dxa"/>
            <w:shd w:val="clear" w:color="auto" w:fill="FFFFFF"/>
          </w:tcPr>
          <w:p w14:paraId="2C7C0B43" w14:textId="7E3CF0B5" w:rsidR="00B43622" w:rsidRPr="0088391A" w:rsidRDefault="00B43622" w:rsidP="00B43622">
            <w:pPr>
              <w:pStyle w:val="CETBodytext"/>
              <w:ind w:right="-1"/>
              <w:rPr>
                <w:rFonts w:cs="Arial"/>
                <w:sz w:val="16"/>
                <w:szCs w:val="16"/>
              </w:rPr>
            </w:pPr>
          </w:p>
        </w:tc>
      </w:tr>
    </w:tbl>
    <w:p w14:paraId="30C6410A" w14:textId="64AB92A5" w:rsidR="00191681" w:rsidRPr="0088391A" w:rsidRDefault="00153865" w:rsidP="000A368C">
      <w:pPr>
        <w:pStyle w:val="CETBodytext"/>
        <w:rPr>
          <w:sz w:val="14"/>
          <w:szCs w:val="14"/>
        </w:rPr>
      </w:pPr>
      <w:r w:rsidRPr="0088391A">
        <w:rPr>
          <w:sz w:val="14"/>
          <w:szCs w:val="14"/>
        </w:rPr>
        <w:t>(1) Slow onset floods such as coastal floods and riverine floods.</w:t>
      </w:r>
      <w:r w:rsidR="008E0FD5" w:rsidRPr="0088391A">
        <w:rPr>
          <w:sz w:val="14"/>
          <w:szCs w:val="14"/>
        </w:rPr>
        <w:t xml:space="preserve"> </w:t>
      </w:r>
      <w:r w:rsidRPr="0088391A">
        <w:rPr>
          <w:sz w:val="14"/>
          <w:szCs w:val="14"/>
        </w:rPr>
        <w:t>(2) Rapid onset flooding, including dam failures and tsunamis.</w:t>
      </w:r>
    </w:p>
    <w:p w14:paraId="38511BB8" w14:textId="77777777" w:rsidR="00191681" w:rsidRPr="0088391A" w:rsidRDefault="00191681" w:rsidP="000A368C">
      <w:pPr>
        <w:pStyle w:val="CETBodytext"/>
      </w:pPr>
    </w:p>
    <w:p w14:paraId="60A7AAF2" w14:textId="055321DF" w:rsidR="00153865" w:rsidRPr="0088391A" w:rsidRDefault="00F8664A" w:rsidP="000A368C">
      <w:pPr>
        <w:pStyle w:val="CETBodytext"/>
      </w:pPr>
      <w:r w:rsidRPr="0088391A">
        <w:t xml:space="preserve">Using </w:t>
      </w:r>
      <w:r w:rsidR="00153865" w:rsidRPr="0088391A">
        <w:t>the</w:t>
      </w:r>
      <w:r w:rsidRPr="0088391A">
        <w:t xml:space="preserve"> data</w:t>
      </w:r>
      <w:r w:rsidR="00153865" w:rsidRPr="0088391A">
        <w:t xml:space="preserve"> above</w:t>
      </w:r>
      <w:r w:rsidR="00F32A6D" w:rsidRPr="0088391A">
        <w:t>,</w:t>
      </w:r>
      <w:r w:rsidRPr="0088391A">
        <w:t xml:space="preserve"> can be determined "I</w:t>
      </w:r>
      <w:r w:rsidRPr="0088391A">
        <w:rPr>
          <w:vertAlign w:val="subscript"/>
        </w:rPr>
        <w:t>Vdm</w:t>
      </w:r>
      <w:r w:rsidRPr="0088391A">
        <w:t>"</w:t>
      </w:r>
      <w:r w:rsidR="00153865" w:rsidRPr="0088391A">
        <w:t xml:space="preserve"> </w:t>
      </w:r>
      <w:r w:rsidRPr="0088391A">
        <w:t>(</w:t>
      </w:r>
      <w:r w:rsidR="00153865" w:rsidRPr="0088391A">
        <w:t>value of vulnerability index</w:t>
      </w:r>
      <w:r w:rsidRPr="0088391A">
        <w:t>)</w:t>
      </w:r>
      <w:r w:rsidR="00153865" w:rsidRPr="0088391A">
        <w:t xml:space="preserve"> of each critical equipment linked to the different damage modes. This value </w:t>
      </w:r>
      <w:r w:rsidR="00F32A6D" w:rsidRPr="0088391A">
        <w:t>considers</w:t>
      </w:r>
      <w:r w:rsidR="00153865" w:rsidRPr="0088391A">
        <w:t xml:space="preserve"> number of different possible failure modes associated with each equipment. </w:t>
      </w:r>
      <w:r w:rsidR="00F32A6D" w:rsidRPr="0088391A">
        <w:t>M</w:t>
      </w:r>
      <w:r w:rsidR="00153865" w:rsidRPr="0088391A">
        <w:t xml:space="preserve">ore numerous the possible failure mechanisms of an equipment, higher the value will be, always in a range from 1 to 4. </w:t>
      </w:r>
      <w:r w:rsidR="00F32A6D" w:rsidRPr="0088391A">
        <w:t>A</w:t>
      </w:r>
      <w:r w:rsidR="00153865" w:rsidRPr="0088391A">
        <w:t>uthors propose for each type of equipment:</w:t>
      </w:r>
    </w:p>
    <w:p w14:paraId="1B55FF13" w14:textId="29E2B569" w:rsidR="00153865" w:rsidRPr="0088391A" w:rsidRDefault="00F32A6D" w:rsidP="001A1738">
      <w:pPr>
        <w:pStyle w:val="CETListbullets"/>
        <w:numPr>
          <w:ilvl w:val="0"/>
          <w:numId w:val="15"/>
        </w:numPr>
        <w:ind w:left="340" w:hanging="227"/>
      </w:pPr>
      <w:r w:rsidRPr="0088391A">
        <w:t>I</w:t>
      </w:r>
      <w:r w:rsidRPr="001A1738">
        <w:rPr>
          <w:vertAlign w:val="subscript"/>
        </w:rPr>
        <w:t>Vdm</w:t>
      </w:r>
      <w:r w:rsidRPr="0088391A">
        <w:t xml:space="preserve"> = 2, </w:t>
      </w:r>
      <w:r w:rsidR="00153865" w:rsidRPr="0088391A">
        <w:t xml:space="preserve">for a number of damage modes up to 4 </w:t>
      </w:r>
    </w:p>
    <w:p w14:paraId="4D274ABA" w14:textId="15127084" w:rsidR="00153865" w:rsidRPr="0088391A" w:rsidRDefault="00F32A6D" w:rsidP="001A1738">
      <w:pPr>
        <w:pStyle w:val="CETListbullets"/>
        <w:numPr>
          <w:ilvl w:val="0"/>
          <w:numId w:val="15"/>
        </w:numPr>
        <w:ind w:left="340" w:hanging="227"/>
      </w:pPr>
      <w:r w:rsidRPr="0088391A">
        <w:t>I</w:t>
      </w:r>
      <w:r w:rsidRPr="001A1738">
        <w:rPr>
          <w:vertAlign w:val="subscript"/>
        </w:rPr>
        <w:t>Vdm</w:t>
      </w:r>
      <w:r w:rsidRPr="0088391A">
        <w:t xml:space="preserve"> = 3, </w:t>
      </w:r>
      <w:r w:rsidR="00153865" w:rsidRPr="0088391A">
        <w:t>for a number of damage modes greater than 4 and up to 6</w:t>
      </w:r>
    </w:p>
    <w:p w14:paraId="776A9EB4" w14:textId="05A699C4" w:rsidR="00153865" w:rsidRPr="0088391A" w:rsidRDefault="00F32A6D" w:rsidP="001A1738">
      <w:pPr>
        <w:pStyle w:val="CETListbullets"/>
        <w:numPr>
          <w:ilvl w:val="0"/>
          <w:numId w:val="15"/>
        </w:numPr>
        <w:ind w:left="340" w:hanging="227"/>
      </w:pPr>
      <w:r w:rsidRPr="0088391A">
        <w:t>I</w:t>
      </w:r>
      <w:r w:rsidRPr="001A1738">
        <w:rPr>
          <w:vertAlign w:val="subscript"/>
        </w:rPr>
        <w:t>Vdm</w:t>
      </w:r>
      <w:r w:rsidRPr="0088391A">
        <w:t xml:space="preserve"> = 4, </w:t>
      </w:r>
      <w:r w:rsidR="00153865" w:rsidRPr="0088391A">
        <w:t xml:space="preserve">for a number of damage modes greater than 6 </w:t>
      </w:r>
    </w:p>
    <w:p w14:paraId="50FAC0B2" w14:textId="64113745" w:rsidR="00153865" w:rsidRPr="0088391A" w:rsidRDefault="00153865" w:rsidP="000A368C">
      <w:pPr>
        <w:pStyle w:val="CETBodytext"/>
      </w:pPr>
      <w:r w:rsidRPr="0088391A">
        <w:t>Once the values of I</w:t>
      </w:r>
      <w:r w:rsidRPr="0088391A">
        <w:rPr>
          <w:vertAlign w:val="subscript"/>
        </w:rPr>
        <w:t>Ves</w:t>
      </w:r>
      <w:r w:rsidRPr="0088391A">
        <w:t xml:space="preserve"> (paragraph 3.1) and I</w:t>
      </w:r>
      <w:r w:rsidRPr="0088391A">
        <w:rPr>
          <w:vertAlign w:val="subscript"/>
        </w:rPr>
        <w:t>Vdm</w:t>
      </w:r>
      <w:r w:rsidRPr="0088391A">
        <w:t xml:space="preserve"> (paragraph 3.2) have been determined, we are able to determine </w:t>
      </w:r>
      <w:r w:rsidR="0028274C" w:rsidRPr="0088391A">
        <w:t>I</w:t>
      </w:r>
      <w:r w:rsidR="0028274C" w:rsidRPr="0088391A">
        <w:rPr>
          <w:vertAlign w:val="subscript"/>
        </w:rPr>
        <w:t>V</w:t>
      </w:r>
      <w:r w:rsidR="0028274C">
        <w:t>,</w:t>
      </w:r>
      <w:r w:rsidRPr="0088391A">
        <w:t xml:space="preserve"> overall flood vulnerability index</w:t>
      </w:r>
      <w:r w:rsidR="0028274C">
        <w:t>,</w:t>
      </w:r>
      <w:r w:rsidRPr="0088391A">
        <w:t xml:space="preserve"> for each critical equipment with </w:t>
      </w:r>
      <w:r w:rsidR="0028274C">
        <w:t>equation (3).</w:t>
      </w:r>
    </w:p>
    <w:p w14:paraId="62F1414E" w14:textId="68D734FD" w:rsidR="00D1605E" w:rsidRPr="0088391A" w:rsidRDefault="00D1605E" w:rsidP="003272F4">
      <w:pPr>
        <w:pStyle w:val="CETHeading1"/>
      </w:pPr>
      <w:r w:rsidRPr="0088391A">
        <w:t>Corrective prevention and mitigation actions for flood events</w:t>
      </w:r>
    </w:p>
    <w:p w14:paraId="07E5C6A5" w14:textId="452664AF" w:rsidR="002D4B15" w:rsidRDefault="002D4B15" w:rsidP="00F77F49">
      <w:pPr>
        <w:pStyle w:val="CETBodytext"/>
      </w:pPr>
      <w:r w:rsidRPr="00F77F49">
        <w:t>Finally, authors report the main corrective actions for the prevention and mitigation of flood events. Among the interventions aimed at this purpose we can distinguish two classes: permanent interventions and</w:t>
      </w:r>
      <w:r w:rsidR="00AF7AE4" w:rsidRPr="00F77F49">
        <w:t xml:space="preserve"> </w:t>
      </w:r>
      <w:r w:rsidRPr="00F77F49">
        <w:t>temporary interventions (Muratore et al., 2023).</w:t>
      </w:r>
    </w:p>
    <w:p w14:paraId="70A81D57" w14:textId="77777777" w:rsidR="00815C8A" w:rsidRPr="0088391A" w:rsidRDefault="00815C8A" w:rsidP="00815C8A">
      <w:pPr>
        <w:pStyle w:val="CETBodytext"/>
      </w:pPr>
      <w:r w:rsidRPr="0088391A">
        <w:rPr>
          <w:b/>
          <w:bCs/>
        </w:rPr>
        <w:t>(i) Permanent interventions</w:t>
      </w:r>
      <w:r w:rsidRPr="0088391A">
        <w:t>, aimed at increasing the resistance of industrial infrastructures with appropriate choices of materials and design solutions:</w:t>
      </w:r>
    </w:p>
    <w:p w14:paraId="7C7A87B7" w14:textId="1EE6E044" w:rsidR="00815C8A" w:rsidRPr="0088391A" w:rsidRDefault="00815C8A" w:rsidP="00815C8A">
      <w:pPr>
        <w:pStyle w:val="CETBodytext"/>
        <w:ind w:left="426" w:hanging="285"/>
      </w:pPr>
      <w:r w:rsidRPr="0088391A">
        <w:t>(a) anchoring at the level of foundations of the equipment under pressure so that they do not float or suffer overturning phenomena</w:t>
      </w:r>
    </w:p>
    <w:p w14:paraId="03B57417" w14:textId="1A365976" w:rsidR="00815C8A" w:rsidRPr="0088391A" w:rsidRDefault="00815C8A" w:rsidP="00815C8A">
      <w:pPr>
        <w:pStyle w:val="CETBodytext"/>
        <w:ind w:left="426" w:hanging="285"/>
      </w:pPr>
      <w:r w:rsidRPr="0088391A">
        <w:t>(b) construction and / or strengthening of containment barriers or protection banks of waterways</w:t>
      </w:r>
    </w:p>
    <w:p w14:paraId="63334C87" w14:textId="3212C5A8" w:rsidR="00815C8A" w:rsidRPr="0088391A" w:rsidRDefault="00815C8A" w:rsidP="00815C8A">
      <w:pPr>
        <w:pStyle w:val="CETBodytext"/>
        <w:ind w:left="426" w:hanging="285"/>
      </w:pPr>
      <w:r w:rsidRPr="0088391A">
        <w:t>(c) development and construction of an effective drainage system that contrasts the rise in the hydrometric level</w:t>
      </w:r>
    </w:p>
    <w:p w14:paraId="420BBD65" w14:textId="153583F1" w:rsidR="00815C8A" w:rsidRPr="0088391A" w:rsidRDefault="00815C8A" w:rsidP="00815C8A">
      <w:pPr>
        <w:pStyle w:val="CETBodytext"/>
        <w:ind w:left="426" w:hanging="285"/>
      </w:pPr>
      <w:r w:rsidRPr="0088391A">
        <w:t>(d) positioning of pressurized and / or cryogenic storage systems above the maximum expected hydrometric level</w:t>
      </w:r>
    </w:p>
    <w:p w14:paraId="576DAA2D" w14:textId="41137A16" w:rsidR="00815C8A" w:rsidRPr="0088391A" w:rsidRDefault="00815C8A" w:rsidP="00815C8A">
      <w:pPr>
        <w:pStyle w:val="CETBodytext"/>
        <w:ind w:left="426" w:hanging="285"/>
      </w:pPr>
      <w:r w:rsidRPr="0088391A">
        <w:t>(e) construction of protective fences for equipment and machinery</w:t>
      </w:r>
    </w:p>
    <w:p w14:paraId="25265C10" w14:textId="748B39B3" w:rsidR="00815C8A" w:rsidRPr="0088391A" w:rsidRDefault="00815C8A" w:rsidP="00815C8A">
      <w:pPr>
        <w:pStyle w:val="CETBodytext"/>
        <w:ind w:left="426" w:hanging="285"/>
      </w:pPr>
      <w:r w:rsidRPr="0088391A">
        <w:t>(f)</w:t>
      </w:r>
      <w:r w:rsidR="001503AF">
        <w:t xml:space="preserve"> </w:t>
      </w:r>
      <w:r w:rsidRPr="0088391A">
        <w:t xml:space="preserve"> movement of electrical machinery, fire extinguishing systems, IT systems and energy distribution above the maximum expected hydrometric level</w:t>
      </w:r>
    </w:p>
    <w:p w14:paraId="4BA691E0" w14:textId="71703C9A" w:rsidR="00815C8A" w:rsidRPr="0088391A" w:rsidRDefault="00815C8A" w:rsidP="00815C8A">
      <w:pPr>
        <w:pStyle w:val="CETBodytext"/>
        <w:ind w:left="426" w:hanging="285"/>
      </w:pPr>
      <w:r w:rsidRPr="0088391A">
        <w:t>(g) preparation of signaling of evacuation routes in the presence of floods</w:t>
      </w:r>
    </w:p>
    <w:p w14:paraId="6E66539B" w14:textId="52611505" w:rsidR="00815C8A" w:rsidRPr="0088391A" w:rsidRDefault="00815C8A" w:rsidP="00815C8A">
      <w:pPr>
        <w:pStyle w:val="CETBodytext"/>
        <w:ind w:left="426" w:hanging="285"/>
      </w:pPr>
      <w:r w:rsidRPr="0088391A">
        <w:t>(h) reinforcement pipes and connections</w:t>
      </w:r>
    </w:p>
    <w:p w14:paraId="66A2481C" w14:textId="1C3186CF" w:rsidR="00815C8A" w:rsidRPr="0088391A" w:rsidRDefault="00815C8A" w:rsidP="00815C8A">
      <w:pPr>
        <w:pStyle w:val="CETBodytext"/>
        <w:ind w:left="426" w:hanging="285"/>
      </w:pPr>
      <w:r w:rsidRPr="0088391A">
        <w:t xml:space="preserve">(i) </w:t>
      </w:r>
      <w:r w:rsidR="001503AF">
        <w:t xml:space="preserve"> </w:t>
      </w:r>
      <w:r w:rsidRPr="0088391A">
        <w:t>provide flexible connections for pipes where possible</w:t>
      </w:r>
    </w:p>
    <w:p w14:paraId="7AB53C1A" w14:textId="330D7390" w:rsidR="00815C8A" w:rsidRPr="0088391A" w:rsidRDefault="00815C8A" w:rsidP="00815C8A">
      <w:pPr>
        <w:pStyle w:val="CETBodytext"/>
        <w:ind w:left="426" w:hanging="285"/>
      </w:pPr>
      <w:r w:rsidRPr="0088391A">
        <w:t xml:space="preserve">(j) </w:t>
      </w:r>
      <w:r w:rsidR="001503AF">
        <w:t xml:space="preserve"> </w:t>
      </w:r>
      <w:r w:rsidRPr="0088391A">
        <w:t>strategic storage and placement of hazardous substances to avoid chemical incompatibility</w:t>
      </w:r>
    </w:p>
    <w:p w14:paraId="15CF9ACC" w14:textId="47496F1C" w:rsidR="00815C8A" w:rsidRPr="0088391A" w:rsidRDefault="00815C8A" w:rsidP="00815C8A">
      <w:pPr>
        <w:pStyle w:val="CETBodytext"/>
      </w:pPr>
      <w:r w:rsidRPr="0088391A">
        <w:rPr>
          <w:b/>
          <w:bCs/>
        </w:rPr>
        <w:t>(ii) Temporary interventions</w:t>
      </w:r>
      <w:r w:rsidR="00F77F49">
        <w:t xml:space="preserve">, </w:t>
      </w:r>
      <w:r w:rsidRPr="0088391A">
        <w:t>strictly linked to the times with which the Authorities are able to disseminate the phase of a possible flood with warnings (public early warnings). The early warning consists of the set of actions, that can be implemented between the moment in which there is a reasonable certainty of the occurrence of a flood event in a given location and, the moment in which the event occurs (in the case of meteorological events, this interval can reach 24/48 hours as opposed to the earthquake which can last only a few seconds). These actions consist of measures to be taken in the event of imminent danger, including:</w:t>
      </w:r>
    </w:p>
    <w:p w14:paraId="58724692" w14:textId="4969C63A" w:rsidR="00815C8A" w:rsidRPr="0088391A" w:rsidRDefault="00815C8A" w:rsidP="00224C3C">
      <w:pPr>
        <w:pStyle w:val="CETBodytext"/>
        <w:ind w:left="426" w:hanging="285"/>
      </w:pPr>
      <w:r w:rsidRPr="0088391A">
        <w:t>(k) interruption and safety of dangerous industrial processes; deactivating parts or subsystems of the system (automatic block or shut-off valves) to prevent the release of dangerous substances</w:t>
      </w:r>
    </w:p>
    <w:p w14:paraId="330A2D4D" w14:textId="2DED5DA5" w:rsidR="00815C8A" w:rsidRPr="0088391A" w:rsidRDefault="00815C8A" w:rsidP="00224C3C">
      <w:pPr>
        <w:pStyle w:val="CETBodytext"/>
        <w:ind w:left="426" w:hanging="285"/>
      </w:pPr>
      <w:r w:rsidRPr="0088391A">
        <w:t xml:space="preserve">(l) </w:t>
      </w:r>
      <w:r w:rsidR="00953A20">
        <w:t xml:space="preserve"> </w:t>
      </w:r>
      <w:r w:rsidRPr="0088391A">
        <w:t>anchoring of the structures most at risk and structurally more fragile with steel cables or similar</w:t>
      </w:r>
    </w:p>
    <w:p w14:paraId="2878A9C8" w14:textId="1C2EE376" w:rsidR="00815C8A" w:rsidRPr="0088391A" w:rsidRDefault="00815C8A" w:rsidP="00224C3C">
      <w:pPr>
        <w:pStyle w:val="CETBodytext"/>
        <w:ind w:left="426" w:hanging="285"/>
      </w:pPr>
      <w:r w:rsidRPr="0088391A">
        <w:lastRenderedPageBreak/>
        <w:t>(m) verification of the tightness of the storage tanks, through the hermetic sealing of the silos and underground storage tanks</w:t>
      </w:r>
    </w:p>
    <w:p w14:paraId="38162A15" w14:textId="4DD8E33C" w:rsidR="00815C8A" w:rsidRPr="0088391A" w:rsidRDefault="00815C8A" w:rsidP="00224C3C">
      <w:pPr>
        <w:pStyle w:val="CETBodytext"/>
        <w:ind w:left="426" w:hanging="285"/>
      </w:pPr>
      <w:r w:rsidRPr="0088391A">
        <w:t>(n) de-location and storage of reactive chemicals and hazardous materials in areas at higher and safer altitudes</w:t>
      </w:r>
    </w:p>
    <w:p w14:paraId="45594BF5" w14:textId="14924593" w:rsidR="00815C8A" w:rsidRPr="0088391A" w:rsidRDefault="00815C8A" w:rsidP="00224C3C">
      <w:pPr>
        <w:pStyle w:val="CETBodytext"/>
        <w:ind w:left="426" w:hanging="285"/>
      </w:pPr>
      <w:r w:rsidRPr="0088391A">
        <w:t>(o) activate autonomous production of electricity or energy saving, so that the control systems are also available during the event</w:t>
      </w:r>
    </w:p>
    <w:p w14:paraId="0DC3D82A" w14:textId="4A83C489" w:rsidR="00815C8A" w:rsidRPr="0088391A" w:rsidRDefault="00815C8A" w:rsidP="00224C3C">
      <w:pPr>
        <w:pStyle w:val="CETBodytext"/>
        <w:ind w:left="426" w:hanging="285"/>
      </w:pPr>
      <w:r w:rsidRPr="0088391A">
        <w:t>(p) evacuation of personnel not essential for emergency operations</w:t>
      </w:r>
    </w:p>
    <w:p w14:paraId="2D4874C9" w14:textId="3ABE80EF" w:rsidR="00815C8A" w:rsidRPr="0088391A" w:rsidRDefault="00815C8A" w:rsidP="00224C3C">
      <w:pPr>
        <w:pStyle w:val="CETBodytext"/>
        <w:ind w:left="426" w:hanging="285"/>
      </w:pPr>
      <w:r w:rsidRPr="0088391A">
        <w:t xml:space="preserve">(q) internal emergency plans (IEP), in order to </w:t>
      </w:r>
      <w:r w:rsidR="00953A20" w:rsidRPr="0088391A">
        <w:t>consider</w:t>
      </w:r>
      <w:r w:rsidRPr="0088391A">
        <w:t xml:space="preserve"> any preventive alert systems that may be present in the plant or in the area where it is located and to ensure that the actions to be implemented in response to early adoptions have been identified and clearly indicated in said documentation warnings issued by such systems.</w:t>
      </w:r>
    </w:p>
    <w:p w14:paraId="4FB51F55" w14:textId="6AB53482" w:rsidR="00815C8A" w:rsidRPr="0088391A" w:rsidRDefault="00F77F49" w:rsidP="00815C8A">
      <w:pPr>
        <w:pStyle w:val="CETBodytext"/>
      </w:pPr>
      <w:r w:rsidRPr="00F77F49">
        <w:rPr>
          <w:b/>
          <w:bCs/>
        </w:rPr>
        <w:t>(iii) Resilience interventions</w:t>
      </w:r>
      <w:r w:rsidRPr="00F77F49">
        <w:t>, in addition to the two classes of interventions (permanent and temporary) identified above in points (i) and (ii), it is now essential to add a further point (iii):</w:t>
      </w:r>
    </w:p>
    <w:p w14:paraId="6FBF343F" w14:textId="24078D05" w:rsidR="00224C3C" w:rsidRPr="0088391A" w:rsidRDefault="00815C8A" w:rsidP="00224C3C">
      <w:pPr>
        <w:pStyle w:val="CETBodytext"/>
        <w:ind w:left="426" w:hanging="284"/>
      </w:pPr>
      <w:r w:rsidRPr="0088391A">
        <w:t>(r) develop organizational resilience in establishment (including those containing pressure equipment) involving all safety actors (primarily workers who interface with the plants).</w:t>
      </w:r>
    </w:p>
    <w:p w14:paraId="5B6DF52C" w14:textId="2E6B7F8F" w:rsidR="00354B59" w:rsidRPr="0088391A" w:rsidRDefault="00354B59" w:rsidP="000A368C">
      <w:pPr>
        <w:pStyle w:val="CETHeading1"/>
        <w:jc w:val="both"/>
      </w:pPr>
      <w:r w:rsidRPr="0088391A">
        <w:t>Conclusions</w:t>
      </w:r>
    </w:p>
    <w:p w14:paraId="77BB1CD0" w14:textId="7ABF2628" w:rsidR="00905397" w:rsidRDefault="00905397" w:rsidP="00905397">
      <w:pPr>
        <w:pStyle w:val="CETnumberingbullets"/>
        <w:numPr>
          <w:ilvl w:val="0"/>
          <w:numId w:val="0"/>
        </w:numPr>
        <w:jc w:val="both"/>
        <w:rPr>
          <w:lang w:val="en-US"/>
        </w:rPr>
      </w:pPr>
      <w:r w:rsidRPr="00905397">
        <w:rPr>
          <w:lang w:val="en-US"/>
        </w:rPr>
        <w:t>Reducing the Natech Risk means intervening on the three factors H (Hazard), V (Vulnerability) and E (Exposure). This can be done on newly located establishments. In the presence of existing establishments, therefore already located in an area, little can be done on the "H" and "E" factors, while it is possible to intervene with physical and procedural measures on the "V" vulnerability factor by reducing it.</w:t>
      </w:r>
    </w:p>
    <w:p w14:paraId="3CAF6429" w14:textId="34493676" w:rsidR="0090046B" w:rsidRDefault="0090046B" w:rsidP="0090046B">
      <w:pPr>
        <w:rPr>
          <w:lang w:val="en-US"/>
        </w:rPr>
      </w:pPr>
      <w:r w:rsidRPr="0090046B">
        <w:rPr>
          <w:lang w:val="en-US"/>
        </w:rPr>
        <w:t xml:space="preserve">Purpose of this article is to identify a method for determination of the vulnerability inherent in flood events involving critical technical systems for primary containment of hazardous substances.  </w:t>
      </w:r>
    </w:p>
    <w:p w14:paraId="636A6D27" w14:textId="2F37795C" w:rsidR="000C3944" w:rsidRDefault="000C3944" w:rsidP="0090046B">
      <w:pPr>
        <w:rPr>
          <w:lang w:val="en-US"/>
        </w:rPr>
      </w:pPr>
      <w:r w:rsidRPr="000C3944">
        <w:rPr>
          <w:lang w:val="en-US"/>
        </w:rPr>
        <w:t>Once the "I</w:t>
      </w:r>
      <w:r w:rsidRPr="000C3944">
        <w:rPr>
          <w:vertAlign w:val="subscript"/>
          <w:lang w:val="en-US"/>
        </w:rPr>
        <w:t>V</w:t>
      </w:r>
      <w:r w:rsidRPr="000C3944">
        <w:rPr>
          <w:lang w:val="en-US"/>
        </w:rPr>
        <w:t>" vulnerability has been determined, the main corrective actions for the prevention and mitigation of flood events are reported. The implementation of these actions determines the reduction of the vulnerability index and consequently of the overall natech risk.</w:t>
      </w:r>
    </w:p>
    <w:p w14:paraId="1F408C41" w14:textId="00B099B6" w:rsidR="00C451AE" w:rsidRDefault="00C451AE" w:rsidP="0090046B">
      <w:pPr>
        <w:rPr>
          <w:lang w:val="en-US"/>
        </w:rPr>
      </w:pPr>
      <w:r w:rsidRPr="00C451AE">
        <w:rPr>
          <w:lang w:val="en-US"/>
        </w:rPr>
        <w:t>Finally, although the work focuses on establishments covered by the European Seveso directive (2012/18/EU), the principles of damage caused by natural flood events on the various technical systems that contain dangerous substances can also be adopted in other industrial sectors excluded by Seveso directive.</w:t>
      </w:r>
    </w:p>
    <w:p w14:paraId="743171A7" w14:textId="77777777" w:rsidR="008C225E" w:rsidRPr="0088391A" w:rsidRDefault="008C225E" w:rsidP="000A368C">
      <w:pPr>
        <w:pStyle w:val="CETReference"/>
        <w:jc w:val="both"/>
        <w:rPr>
          <w:lang w:val="en-US"/>
        </w:rPr>
      </w:pPr>
      <w:r w:rsidRPr="0088391A">
        <w:rPr>
          <w:lang w:val="en-US"/>
        </w:rPr>
        <w:t>References</w:t>
      </w:r>
    </w:p>
    <w:p w14:paraId="27E1FEF8" w14:textId="2245242B" w:rsidR="008C225E" w:rsidRPr="0088391A" w:rsidRDefault="008C225E" w:rsidP="00F553E8">
      <w:pPr>
        <w:pStyle w:val="CETReferencetext"/>
        <w:jc w:val="left"/>
        <w:rPr>
          <w:lang w:val="en-US"/>
        </w:rPr>
      </w:pPr>
      <w:r w:rsidRPr="0088391A">
        <w:rPr>
          <w:lang w:val="en-US"/>
        </w:rPr>
        <w:t>European Union</w:t>
      </w:r>
      <w:r w:rsidR="00D83034">
        <w:rPr>
          <w:lang w:val="en-US"/>
        </w:rPr>
        <w:t xml:space="preserve">, </w:t>
      </w:r>
      <w:r w:rsidRPr="0088391A">
        <w:rPr>
          <w:lang w:val="en-US"/>
        </w:rPr>
        <w:t>2007</w:t>
      </w:r>
      <w:r w:rsidR="00D83034">
        <w:rPr>
          <w:lang w:val="en-US"/>
        </w:rPr>
        <w:t>,</w:t>
      </w:r>
      <w:r w:rsidRPr="0088391A">
        <w:rPr>
          <w:lang w:val="en-US"/>
        </w:rPr>
        <w:t xml:space="preserve"> Directive 2007/60/EC of the European Parliament and of the Council of 23 October 2007 on the assessment and management of flood risks. Official Journal of the European Union L 288, 6.11.2007, p. 27–34.</w:t>
      </w:r>
    </w:p>
    <w:p w14:paraId="23FF27C4" w14:textId="5F18678A" w:rsidR="008C225E" w:rsidRPr="0088391A" w:rsidRDefault="00A70631" w:rsidP="00A70631">
      <w:pPr>
        <w:pStyle w:val="CETReferencetext"/>
        <w:rPr>
          <w:lang w:val="en-US"/>
        </w:rPr>
      </w:pPr>
      <w:r w:rsidRPr="0088391A">
        <w:rPr>
          <w:lang w:val="en-US"/>
        </w:rPr>
        <w:t>Landucci G., Necci A., Tugnoli A., Antonioni G., Cozzani V., 2014, Natech scenarios caused by flooding: evaluation of accident frequency by the use of fragility models, Chemical Engineering Transactions, 36, 427-432. DOI: 10.3303/CET1436072</w:t>
      </w:r>
      <w:r w:rsidR="008C225E" w:rsidRPr="0088391A">
        <w:rPr>
          <w:lang w:val="en-US"/>
        </w:rPr>
        <w:t xml:space="preserve">. </w:t>
      </w:r>
    </w:p>
    <w:p w14:paraId="0EA56279" w14:textId="38338DB7" w:rsidR="008C225E" w:rsidRPr="0088391A" w:rsidRDefault="008C225E" w:rsidP="000A368C">
      <w:pPr>
        <w:pStyle w:val="CETReferencetext"/>
        <w:rPr>
          <w:lang w:val="en-US"/>
        </w:rPr>
      </w:pPr>
      <w:r w:rsidRPr="0088391A">
        <w:rPr>
          <w:lang w:val="en-US"/>
        </w:rPr>
        <w:t>Muratore A., Giannelli G., Nastasi V., Sferruzza G., Grillone G., Delle Site C.</w:t>
      </w:r>
      <w:r w:rsidR="00123A09" w:rsidRPr="0088391A">
        <w:rPr>
          <w:lang w:val="en-US"/>
        </w:rPr>
        <w:t xml:space="preserve">, </w:t>
      </w:r>
      <w:r w:rsidRPr="0088391A">
        <w:rPr>
          <w:lang w:val="en-US"/>
        </w:rPr>
        <w:t>2022</w:t>
      </w:r>
      <w:r w:rsidR="00123A09" w:rsidRPr="0088391A">
        <w:rPr>
          <w:lang w:val="en-US"/>
        </w:rPr>
        <w:t>,</w:t>
      </w:r>
      <w:r w:rsidRPr="0088391A">
        <w:rPr>
          <w:lang w:val="en-US"/>
        </w:rPr>
        <w:t xml:space="preserve"> Flood risk identification and analysis for pressure equipment. Proceedings of </w:t>
      </w:r>
      <w:r w:rsidR="00B57965" w:rsidRPr="0088391A">
        <w:rPr>
          <w:lang w:val="en-US"/>
        </w:rPr>
        <w:t>32nd</w:t>
      </w:r>
      <w:r w:rsidRPr="0088391A">
        <w:rPr>
          <w:lang w:val="en-US"/>
        </w:rPr>
        <w:t xml:space="preserve"> European Safety and Reliability Conference, Dublin, Ireland, 28 August - 1 September</w:t>
      </w:r>
      <w:r w:rsidR="007145B6" w:rsidRPr="0088391A">
        <w:rPr>
          <w:lang w:val="en-US"/>
        </w:rPr>
        <w:t xml:space="preserve"> </w:t>
      </w:r>
      <w:r w:rsidRPr="0088391A">
        <w:rPr>
          <w:lang w:val="en-US"/>
        </w:rPr>
        <w:t>2022, ESREL2022 Organizers, pp. 885-890. Published by Research Publishing, Singapore. ISBN: 978-981-18-5183-4</w:t>
      </w:r>
      <w:r w:rsidR="00A70631" w:rsidRPr="0088391A">
        <w:rPr>
          <w:lang w:val="en-US"/>
        </w:rPr>
        <w:t>.</w:t>
      </w:r>
      <w:r w:rsidRPr="0088391A">
        <w:rPr>
          <w:lang w:val="en-US"/>
        </w:rPr>
        <w:t xml:space="preserve"> DOI: 10.3850/978-981-18-5183-4_R17-03-059-cd.</w:t>
      </w:r>
    </w:p>
    <w:p w14:paraId="79BF6E61" w14:textId="1B9F8B78" w:rsidR="008C225E" w:rsidRPr="0088391A" w:rsidRDefault="008C225E" w:rsidP="000A368C">
      <w:pPr>
        <w:pStyle w:val="CETReferencetext"/>
        <w:rPr>
          <w:lang w:val="en-US"/>
        </w:rPr>
      </w:pPr>
      <w:r w:rsidRPr="0088391A">
        <w:rPr>
          <w:lang w:val="en-US"/>
        </w:rPr>
        <w:t>Muratore A., Giannell</w:t>
      </w:r>
      <w:r w:rsidR="00222C4E" w:rsidRPr="0088391A">
        <w:rPr>
          <w:lang w:val="en-US"/>
        </w:rPr>
        <w:t>i</w:t>
      </w:r>
      <w:r w:rsidRPr="0088391A">
        <w:rPr>
          <w:lang w:val="en-US"/>
        </w:rPr>
        <w:t xml:space="preserve"> G., Nastasi V., Grillone G.</w:t>
      </w:r>
      <w:r w:rsidR="00DE04EE">
        <w:rPr>
          <w:lang w:val="en-US"/>
        </w:rPr>
        <w:t>,</w:t>
      </w:r>
      <w:r w:rsidRPr="0088391A">
        <w:rPr>
          <w:lang w:val="en-US"/>
        </w:rPr>
        <w:t xml:space="preserve"> Delle Site</w:t>
      </w:r>
      <w:r w:rsidR="007145B6" w:rsidRPr="0088391A">
        <w:rPr>
          <w:lang w:val="en-US"/>
        </w:rPr>
        <w:t xml:space="preserve"> C.</w:t>
      </w:r>
      <w:r w:rsidR="00123A09" w:rsidRPr="0088391A">
        <w:rPr>
          <w:lang w:val="en-US"/>
        </w:rPr>
        <w:t xml:space="preserve">, </w:t>
      </w:r>
      <w:r w:rsidRPr="0088391A">
        <w:rPr>
          <w:lang w:val="en-US"/>
        </w:rPr>
        <w:t>2023</w:t>
      </w:r>
      <w:r w:rsidR="00123A09" w:rsidRPr="0088391A">
        <w:rPr>
          <w:lang w:val="en-US"/>
        </w:rPr>
        <w:t>, Flood</w:t>
      </w:r>
      <w:r w:rsidRPr="0088391A">
        <w:rPr>
          <w:lang w:val="en-US"/>
        </w:rPr>
        <w:t xml:space="preserve"> Risk Assessment for Pressure Equipment. Proceedings of 33rd European Safety and Reliability Conference, University of Southampton, United </w:t>
      </w:r>
      <w:r w:rsidR="0042222B" w:rsidRPr="0088391A">
        <w:rPr>
          <w:lang w:val="en-US"/>
        </w:rPr>
        <w:t>Kingdom 3</w:t>
      </w:r>
      <w:r w:rsidRPr="0088391A">
        <w:rPr>
          <w:lang w:val="en-US"/>
        </w:rPr>
        <w:t xml:space="preserve"> – 7 September 2023, ESREL2023 Organizers, pp. 14</w:t>
      </w:r>
      <w:r w:rsidR="007145B6" w:rsidRPr="0088391A">
        <w:rPr>
          <w:lang w:val="en-US"/>
        </w:rPr>
        <w:t>09</w:t>
      </w:r>
      <w:r w:rsidRPr="0088391A">
        <w:rPr>
          <w:lang w:val="en-US"/>
        </w:rPr>
        <w:t>-14</w:t>
      </w:r>
      <w:r w:rsidR="007145B6" w:rsidRPr="0088391A">
        <w:rPr>
          <w:lang w:val="en-US"/>
        </w:rPr>
        <w:t>15</w:t>
      </w:r>
      <w:r w:rsidRPr="0088391A">
        <w:rPr>
          <w:lang w:val="en-US"/>
        </w:rPr>
        <w:t xml:space="preserve">, Edited by Mário P. Brito, Terje Aven, Piero Baraldi, Marko Čepin and Enrico Zio ESREL2023 Organizers. Published by Research Publishing, Singapore. </w:t>
      </w:r>
      <w:r w:rsidR="00A70631" w:rsidRPr="0088391A">
        <w:rPr>
          <w:lang w:val="en-US"/>
        </w:rPr>
        <w:t>DOI</w:t>
      </w:r>
      <w:r w:rsidRPr="0088391A">
        <w:rPr>
          <w:lang w:val="en-US"/>
        </w:rPr>
        <w:t>:</w:t>
      </w:r>
      <w:r w:rsidR="007145B6" w:rsidRPr="0088391A">
        <w:rPr>
          <w:lang w:val="en-US"/>
        </w:rPr>
        <w:t xml:space="preserve"> 10.3850/978-981-18-8071-1_P111-cd</w:t>
      </w:r>
      <w:r w:rsidR="00B57965" w:rsidRPr="0088391A">
        <w:rPr>
          <w:lang w:val="en-US"/>
        </w:rPr>
        <w:t>.</w:t>
      </w:r>
    </w:p>
    <w:p w14:paraId="3FFA88CF" w14:textId="0FAD88F4" w:rsidR="008C225E" w:rsidRPr="009B2EE0" w:rsidRDefault="008C225E" w:rsidP="000A368C">
      <w:pPr>
        <w:pStyle w:val="CETReferencetext"/>
        <w:rPr>
          <w:lang w:val="it-IT"/>
        </w:rPr>
      </w:pPr>
      <w:r w:rsidRPr="0088391A">
        <w:rPr>
          <w:lang w:val="en-US"/>
        </w:rPr>
        <w:t>Necci</w:t>
      </w:r>
      <w:r w:rsidR="000B006F" w:rsidRPr="0088391A">
        <w:rPr>
          <w:lang w:val="en-US"/>
        </w:rPr>
        <w:t xml:space="preserve"> A.</w:t>
      </w:r>
      <w:r w:rsidRPr="0088391A">
        <w:rPr>
          <w:lang w:val="en-US"/>
        </w:rPr>
        <w:t>, Krausmann</w:t>
      </w:r>
      <w:r w:rsidR="000B006F" w:rsidRPr="0088391A">
        <w:rPr>
          <w:lang w:val="en-US"/>
        </w:rPr>
        <w:t xml:space="preserve"> E.</w:t>
      </w:r>
      <w:r w:rsidRPr="0088391A">
        <w:rPr>
          <w:lang w:val="en-US"/>
        </w:rPr>
        <w:t>, Natech risk management – Guidance for operators of hazardous industrial sites and for national authorities, EUR 31122 EN, Publications Office of the European Union, Luxembourg, 2022, ISBN 978-92-76-53493-8</w:t>
      </w:r>
      <w:r w:rsidR="00A70631" w:rsidRPr="0088391A">
        <w:rPr>
          <w:lang w:val="en-US"/>
        </w:rPr>
        <w:t>.</w:t>
      </w:r>
      <w:r w:rsidRPr="0088391A">
        <w:rPr>
          <w:lang w:val="en-US"/>
        </w:rPr>
        <w:t xml:space="preserve"> </w:t>
      </w:r>
      <w:r w:rsidR="00A70631" w:rsidRPr="009B2EE0">
        <w:rPr>
          <w:lang w:val="it-IT"/>
        </w:rPr>
        <w:t>DOI</w:t>
      </w:r>
      <w:r w:rsidRPr="009B2EE0">
        <w:rPr>
          <w:lang w:val="it-IT"/>
        </w:rPr>
        <w:t>:</w:t>
      </w:r>
      <w:r w:rsidR="00886C93">
        <w:rPr>
          <w:lang w:val="it-IT"/>
        </w:rPr>
        <w:t xml:space="preserve"> </w:t>
      </w:r>
      <w:r w:rsidRPr="009B2EE0">
        <w:rPr>
          <w:lang w:val="it-IT"/>
        </w:rPr>
        <w:t>10.2760/666413, JRC129450.</w:t>
      </w:r>
    </w:p>
    <w:p w14:paraId="095F3390" w14:textId="6275BEBD" w:rsidR="008C225E" w:rsidRDefault="008C225E" w:rsidP="000A368C">
      <w:pPr>
        <w:pStyle w:val="CETReferencetext"/>
        <w:rPr>
          <w:lang w:val="it-IT"/>
        </w:rPr>
      </w:pPr>
      <w:r w:rsidRPr="009B2EE0">
        <w:rPr>
          <w:lang w:val="it-IT"/>
        </w:rPr>
        <w:t>UNI 10617:2019 Stabilimenti con pericolo di incidente rilevante</w:t>
      </w:r>
      <w:r w:rsidR="003041B5" w:rsidRPr="009B2EE0">
        <w:rPr>
          <w:lang w:val="it-IT"/>
        </w:rPr>
        <w:t xml:space="preserve"> - </w:t>
      </w:r>
      <w:r w:rsidRPr="009B2EE0">
        <w:rPr>
          <w:lang w:val="it-IT"/>
        </w:rPr>
        <w:t xml:space="preserve">Sistemi di Gestione della Sicurezza </w:t>
      </w:r>
      <w:r w:rsidR="003041B5" w:rsidRPr="009B2EE0">
        <w:rPr>
          <w:lang w:val="it-IT"/>
        </w:rPr>
        <w:t xml:space="preserve">- </w:t>
      </w:r>
      <w:r w:rsidRPr="009B2EE0">
        <w:rPr>
          <w:lang w:val="it-IT"/>
        </w:rPr>
        <w:t>Requisiti essenziali – Appendice B.</w:t>
      </w:r>
    </w:p>
    <w:p w14:paraId="7E75902D" w14:textId="77777777" w:rsidR="00AE2951" w:rsidRDefault="00AE2951" w:rsidP="000A368C">
      <w:pPr>
        <w:pStyle w:val="CETReferencetext"/>
        <w:rPr>
          <w:lang w:val="it-IT"/>
        </w:rPr>
      </w:pPr>
    </w:p>
    <w:sectPr w:rsidR="00AE2951" w:rsidSect="009D47C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8011A" w14:textId="77777777" w:rsidR="008935EA" w:rsidRDefault="008935EA" w:rsidP="004F5E36">
      <w:r>
        <w:separator/>
      </w:r>
    </w:p>
  </w:endnote>
  <w:endnote w:type="continuationSeparator" w:id="0">
    <w:p w14:paraId="48FF70F7" w14:textId="77777777" w:rsidR="008935EA" w:rsidRDefault="008935E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A81B8" w14:textId="77777777" w:rsidR="008935EA" w:rsidRDefault="008935EA" w:rsidP="004F5E36">
      <w:r>
        <w:separator/>
      </w:r>
    </w:p>
  </w:footnote>
  <w:footnote w:type="continuationSeparator" w:id="0">
    <w:p w14:paraId="3115FAED" w14:textId="77777777" w:rsidR="008935EA" w:rsidRDefault="008935E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BA26D44"/>
    <w:multiLevelType w:val="hybridMultilevel"/>
    <w:tmpl w:val="D0AA812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01779F0"/>
    <w:multiLevelType w:val="hybridMultilevel"/>
    <w:tmpl w:val="2A4AA96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C87392"/>
    <w:multiLevelType w:val="hybridMultilevel"/>
    <w:tmpl w:val="5B786DAC"/>
    <w:lvl w:ilvl="0" w:tplc="5C5A3D1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BFEC70F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426"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1929" w:hanging="227"/>
      </w:pPr>
      <w:rPr>
        <w:rFonts w:ascii="Symbol" w:hAnsi="Symbol" w:hint="default"/>
      </w:rPr>
    </w:lvl>
    <w:lvl w:ilvl="1" w:tplc="04100003" w:tentative="1">
      <w:start w:val="1"/>
      <w:numFmt w:val="bullet"/>
      <w:lvlText w:val="o"/>
      <w:lvlJc w:val="left"/>
      <w:pPr>
        <w:ind w:left="3029" w:hanging="360"/>
      </w:pPr>
      <w:rPr>
        <w:rFonts w:ascii="Courier New" w:hAnsi="Courier New" w:cs="Courier New" w:hint="default"/>
      </w:rPr>
    </w:lvl>
    <w:lvl w:ilvl="2" w:tplc="04100005" w:tentative="1">
      <w:start w:val="1"/>
      <w:numFmt w:val="bullet"/>
      <w:lvlText w:val=""/>
      <w:lvlJc w:val="left"/>
      <w:pPr>
        <w:ind w:left="3749" w:hanging="360"/>
      </w:pPr>
      <w:rPr>
        <w:rFonts w:ascii="Wingdings" w:hAnsi="Wingdings" w:hint="default"/>
      </w:rPr>
    </w:lvl>
    <w:lvl w:ilvl="3" w:tplc="04100001" w:tentative="1">
      <w:start w:val="1"/>
      <w:numFmt w:val="bullet"/>
      <w:lvlText w:val=""/>
      <w:lvlJc w:val="left"/>
      <w:pPr>
        <w:ind w:left="4469" w:hanging="360"/>
      </w:pPr>
      <w:rPr>
        <w:rFonts w:ascii="Symbol" w:hAnsi="Symbol" w:hint="default"/>
      </w:rPr>
    </w:lvl>
    <w:lvl w:ilvl="4" w:tplc="04100003" w:tentative="1">
      <w:start w:val="1"/>
      <w:numFmt w:val="bullet"/>
      <w:lvlText w:val="o"/>
      <w:lvlJc w:val="left"/>
      <w:pPr>
        <w:ind w:left="5189" w:hanging="360"/>
      </w:pPr>
      <w:rPr>
        <w:rFonts w:ascii="Courier New" w:hAnsi="Courier New" w:cs="Courier New" w:hint="default"/>
      </w:rPr>
    </w:lvl>
    <w:lvl w:ilvl="5" w:tplc="04100005" w:tentative="1">
      <w:start w:val="1"/>
      <w:numFmt w:val="bullet"/>
      <w:lvlText w:val=""/>
      <w:lvlJc w:val="left"/>
      <w:pPr>
        <w:ind w:left="5909" w:hanging="360"/>
      </w:pPr>
      <w:rPr>
        <w:rFonts w:ascii="Wingdings" w:hAnsi="Wingdings" w:hint="default"/>
      </w:rPr>
    </w:lvl>
    <w:lvl w:ilvl="6" w:tplc="04100001" w:tentative="1">
      <w:start w:val="1"/>
      <w:numFmt w:val="bullet"/>
      <w:lvlText w:val=""/>
      <w:lvlJc w:val="left"/>
      <w:pPr>
        <w:ind w:left="6629" w:hanging="360"/>
      </w:pPr>
      <w:rPr>
        <w:rFonts w:ascii="Symbol" w:hAnsi="Symbol" w:hint="default"/>
      </w:rPr>
    </w:lvl>
    <w:lvl w:ilvl="7" w:tplc="04100003" w:tentative="1">
      <w:start w:val="1"/>
      <w:numFmt w:val="bullet"/>
      <w:lvlText w:val="o"/>
      <w:lvlJc w:val="left"/>
      <w:pPr>
        <w:ind w:left="7349" w:hanging="360"/>
      </w:pPr>
      <w:rPr>
        <w:rFonts w:ascii="Courier New" w:hAnsi="Courier New" w:cs="Courier New" w:hint="default"/>
      </w:rPr>
    </w:lvl>
    <w:lvl w:ilvl="8" w:tplc="04100005" w:tentative="1">
      <w:start w:val="1"/>
      <w:numFmt w:val="bullet"/>
      <w:lvlText w:val=""/>
      <w:lvlJc w:val="left"/>
      <w:pPr>
        <w:ind w:left="8069" w:hanging="360"/>
      </w:pPr>
      <w:rPr>
        <w:rFonts w:ascii="Wingdings" w:hAnsi="Wingdings" w:hint="default"/>
      </w:rPr>
    </w:lvl>
  </w:abstractNum>
  <w:abstractNum w:abstractNumId="15" w15:restartNumberingAfterBreak="0">
    <w:nsid w:val="4C3971E0"/>
    <w:multiLevelType w:val="hybridMultilevel"/>
    <w:tmpl w:val="6C207F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BC622F"/>
    <w:multiLevelType w:val="hybridMultilevel"/>
    <w:tmpl w:val="CCEE82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30305860">
    <w:abstractNumId w:val="13"/>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1573659240">
    <w:abstractNumId w:val="14"/>
  </w:num>
  <w:num w:numId="13" w16cid:durableId="2092192635">
    <w:abstractNumId w:val="16"/>
  </w:num>
  <w:num w:numId="14" w16cid:durableId="1115637783">
    <w:abstractNumId w:val="17"/>
  </w:num>
  <w:num w:numId="15" w16cid:durableId="786317962">
    <w:abstractNumId w:val="18"/>
  </w:num>
  <w:num w:numId="16" w16cid:durableId="765687079">
    <w:abstractNumId w:val="15"/>
  </w:num>
  <w:num w:numId="17" w16cid:durableId="930433692">
    <w:abstractNumId w:val="11"/>
  </w:num>
  <w:num w:numId="18" w16cid:durableId="181208049">
    <w:abstractNumId w:val="10"/>
  </w:num>
  <w:num w:numId="19" w16cid:durableId="201996303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3C1E"/>
    <w:rsid w:val="0003148D"/>
    <w:rsid w:val="00031EEC"/>
    <w:rsid w:val="0005110F"/>
    <w:rsid w:val="00051566"/>
    <w:rsid w:val="00062A9A"/>
    <w:rsid w:val="0006334E"/>
    <w:rsid w:val="00064FB6"/>
    <w:rsid w:val="00065058"/>
    <w:rsid w:val="00071381"/>
    <w:rsid w:val="0008187F"/>
    <w:rsid w:val="00086C39"/>
    <w:rsid w:val="000931D1"/>
    <w:rsid w:val="000A03B2"/>
    <w:rsid w:val="000A368C"/>
    <w:rsid w:val="000B006F"/>
    <w:rsid w:val="000B63C8"/>
    <w:rsid w:val="000C3944"/>
    <w:rsid w:val="000D0268"/>
    <w:rsid w:val="000D34BE"/>
    <w:rsid w:val="000E102F"/>
    <w:rsid w:val="000E36F1"/>
    <w:rsid w:val="000E3A73"/>
    <w:rsid w:val="000E414A"/>
    <w:rsid w:val="000F093C"/>
    <w:rsid w:val="000F787B"/>
    <w:rsid w:val="00106B28"/>
    <w:rsid w:val="0012091F"/>
    <w:rsid w:val="00123A09"/>
    <w:rsid w:val="00126BC2"/>
    <w:rsid w:val="001308B6"/>
    <w:rsid w:val="0013121F"/>
    <w:rsid w:val="00131FE6"/>
    <w:rsid w:val="001323D1"/>
    <w:rsid w:val="0013263F"/>
    <w:rsid w:val="001331DF"/>
    <w:rsid w:val="00134DE4"/>
    <w:rsid w:val="0014034D"/>
    <w:rsid w:val="00142B64"/>
    <w:rsid w:val="00144D16"/>
    <w:rsid w:val="001466DB"/>
    <w:rsid w:val="00147FEF"/>
    <w:rsid w:val="001503AF"/>
    <w:rsid w:val="00150E2A"/>
    <w:rsid w:val="00150E59"/>
    <w:rsid w:val="00152DE3"/>
    <w:rsid w:val="00153865"/>
    <w:rsid w:val="001615BC"/>
    <w:rsid w:val="00164CF9"/>
    <w:rsid w:val="001667A6"/>
    <w:rsid w:val="00181524"/>
    <w:rsid w:val="00181E96"/>
    <w:rsid w:val="00184AD6"/>
    <w:rsid w:val="0018576A"/>
    <w:rsid w:val="001874B2"/>
    <w:rsid w:val="00190080"/>
    <w:rsid w:val="00191681"/>
    <w:rsid w:val="001A1738"/>
    <w:rsid w:val="001A4AF7"/>
    <w:rsid w:val="001B0349"/>
    <w:rsid w:val="001B1E93"/>
    <w:rsid w:val="001B65C1"/>
    <w:rsid w:val="001C334C"/>
    <w:rsid w:val="001C684B"/>
    <w:rsid w:val="001D0CFB"/>
    <w:rsid w:val="001D53FC"/>
    <w:rsid w:val="001F42A5"/>
    <w:rsid w:val="001F7B9D"/>
    <w:rsid w:val="00201C93"/>
    <w:rsid w:val="00206BE1"/>
    <w:rsid w:val="002211E4"/>
    <w:rsid w:val="002224B4"/>
    <w:rsid w:val="00222C4E"/>
    <w:rsid w:val="00224C3C"/>
    <w:rsid w:val="00232406"/>
    <w:rsid w:val="002447EF"/>
    <w:rsid w:val="00251550"/>
    <w:rsid w:val="0025251D"/>
    <w:rsid w:val="00263B05"/>
    <w:rsid w:val="0026457E"/>
    <w:rsid w:val="00265AE9"/>
    <w:rsid w:val="0027221A"/>
    <w:rsid w:val="00273A59"/>
    <w:rsid w:val="00275B61"/>
    <w:rsid w:val="00280FAF"/>
    <w:rsid w:val="00282656"/>
    <w:rsid w:val="0028274C"/>
    <w:rsid w:val="00293A8E"/>
    <w:rsid w:val="00296B83"/>
    <w:rsid w:val="002A1EF8"/>
    <w:rsid w:val="002A5923"/>
    <w:rsid w:val="002B4015"/>
    <w:rsid w:val="002B78CE"/>
    <w:rsid w:val="002C2FB6"/>
    <w:rsid w:val="002D4B15"/>
    <w:rsid w:val="002D7B40"/>
    <w:rsid w:val="002E5FA7"/>
    <w:rsid w:val="002F3309"/>
    <w:rsid w:val="002F457C"/>
    <w:rsid w:val="002F66F0"/>
    <w:rsid w:val="003008CE"/>
    <w:rsid w:val="003009B7"/>
    <w:rsid w:val="00300E56"/>
    <w:rsid w:val="003041B5"/>
    <w:rsid w:val="0030469C"/>
    <w:rsid w:val="00321CA6"/>
    <w:rsid w:val="00323763"/>
    <w:rsid w:val="00323A94"/>
    <w:rsid w:val="0032585D"/>
    <w:rsid w:val="003272F4"/>
    <w:rsid w:val="00334C09"/>
    <w:rsid w:val="00347BAD"/>
    <w:rsid w:val="00354B59"/>
    <w:rsid w:val="0036216B"/>
    <w:rsid w:val="00365103"/>
    <w:rsid w:val="003723D4"/>
    <w:rsid w:val="00381905"/>
    <w:rsid w:val="00384CC8"/>
    <w:rsid w:val="003871FD"/>
    <w:rsid w:val="003A1E30"/>
    <w:rsid w:val="003A2446"/>
    <w:rsid w:val="003A2829"/>
    <w:rsid w:val="003A7173"/>
    <w:rsid w:val="003A7D1C"/>
    <w:rsid w:val="003B304B"/>
    <w:rsid w:val="003B3146"/>
    <w:rsid w:val="003C168C"/>
    <w:rsid w:val="003F015E"/>
    <w:rsid w:val="003F2457"/>
    <w:rsid w:val="00400414"/>
    <w:rsid w:val="0041446B"/>
    <w:rsid w:val="0042222B"/>
    <w:rsid w:val="0044329C"/>
    <w:rsid w:val="00447201"/>
    <w:rsid w:val="00453E24"/>
    <w:rsid w:val="00456D14"/>
    <w:rsid w:val="00457456"/>
    <w:rsid w:val="004577FE"/>
    <w:rsid w:val="00457B9C"/>
    <w:rsid w:val="0046164A"/>
    <w:rsid w:val="004628D2"/>
    <w:rsid w:val="00462DCD"/>
    <w:rsid w:val="004648AD"/>
    <w:rsid w:val="004703A9"/>
    <w:rsid w:val="004760DE"/>
    <w:rsid w:val="004763D7"/>
    <w:rsid w:val="0049462F"/>
    <w:rsid w:val="00496DF0"/>
    <w:rsid w:val="004A004E"/>
    <w:rsid w:val="004A24CF"/>
    <w:rsid w:val="004A7D7F"/>
    <w:rsid w:val="004C3D1D"/>
    <w:rsid w:val="004C6F65"/>
    <w:rsid w:val="004C7913"/>
    <w:rsid w:val="004E099A"/>
    <w:rsid w:val="004E4DD6"/>
    <w:rsid w:val="004F4C4D"/>
    <w:rsid w:val="004F5E36"/>
    <w:rsid w:val="00507B47"/>
    <w:rsid w:val="00507BEF"/>
    <w:rsid w:val="00507CC9"/>
    <w:rsid w:val="005119A5"/>
    <w:rsid w:val="005278B7"/>
    <w:rsid w:val="00530837"/>
    <w:rsid w:val="00532016"/>
    <w:rsid w:val="005346C8"/>
    <w:rsid w:val="00543E7D"/>
    <w:rsid w:val="00547A68"/>
    <w:rsid w:val="005531C9"/>
    <w:rsid w:val="00570C43"/>
    <w:rsid w:val="00571C8A"/>
    <w:rsid w:val="0057229D"/>
    <w:rsid w:val="0058582C"/>
    <w:rsid w:val="005B2110"/>
    <w:rsid w:val="005B61E6"/>
    <w:rsid w:val="005C77E1"/>
    <w:rsid w:val="005D3358"/>
    <w:rsid w:val="005D668A"/>
    <w:rsid w:val="005D6A2F"/>
    <w:rsid w:val="005E1A82"/>
    <w:rsid w:val="005E794C"/>
    <w:rsid w:val="005F0A28"/>
    <w:rsid w:val="005F0E5E"/>
    <w:rsid w:val="005F4661"/>
    <w:rsid w:val="00600535"/>
    <w:rsid w:val="0060069E"/>
    <w:rsid w:val="00610CD6"/>
    <w:rsid w:val="00615756"/>
    <w:rsid w:val="00620DEE"/>
    <w:rsid w:val="00621F92"/>
    <w:rsid w:val="0062280A"/>
    <w:rsid w:val="00625639"/>
    <w:rsid w:val="00631B33"/>
    <w:rsid w:val="0064184D"/>
    <w:rsid w:val="006422CC"/>
    <w:rsid w:val="00643F63"/>
    <w:rsid w:val="006454BB"/>
    <w:rsid w:val="00652B6E"/>
    <w:rsid w:val="00660E3E"/>
    <w:rsid w:val="00662E74"/>
    <w:rsid w:val="00665323"/>
    <w:rsid w:val="0066733B"/>
    <w:rsid w:val="0067422A"/>
    <w:rsid w:val="00680B79"/>
    <w:rsid w:val="00680C23"/>
    <w:rsid w:val="00687071"/>
    <w:rsid w:val="006909A6"/>
    <w:rsid w:val="006929E6"/>
    <w:rsid w:val="00693766"/>
    <w:rsid w:val="006A21BF"/>
    <w:rsid w:val="006A3281"/>
    <w:rsid w:val="006A7585"/>
    <w:rsid w:val="006B4888"/>
    <w:rsid w:val="006C2E45"/>
    <w:rsid w:val="006C359C"/>
    <w:rsid w:val="006C5579"/>
    <w:rsid w:val="006D6E8B"/>
    <w:rsid w:val="006E737D"/>
    <w:rsid w:val="006F0FB2"/>
    <w:rsid w:val="006F478E"/>
    <w:rsid w:val="006F64B5"/>
    <w:rsid w:val="006F7938"/>
    <w:rsid w:val="007116DB"/>
    <w:rsid w:val="00713973"/>
    <w:rsid w:val="007145B6"/>
    <w:rsid w:val="007170F3"/>
    <w:rsid w:val="00720A24"/>
    <w:rsid w:val="007277B6"/>
    <w:rsid w:val="00732386"/>
    <w:rsid w:val="007328C9"/>
    <w:rsid w:val="0073514D"/>
    <w:rsid w:val="007447F3"/>
    <w:rsid w:val="0075499F"/>
    <w:rsid w:val="007652E5"/>
    <w:rsid w:val="007661C8"/>
    <w:rsid w:val="00767B22"/>
    <w:rsid w:val="0077098D"/>
    <w:rsid w:val="007931FA"/>
    <w:rsid w:val="007A2E72"/>
    <w:rsid w:val="007A4861"/>
    <w:rsid w:val="007A7BBA"/>
    <w:rsid w:val="007B0C50"/>
    <w:rsid w:val="007B1572"/>
    <w:rsid w:val="007B48F9"/>
    <w:rsid w:val="007C1A43"/>
    <w:rsid w:val="007E77A8"/>
    <w:rsid w:val="0080013E"/>
    <w:rsid w:val="00813288"/>
    <w:rsid w:val="00815C8A"/>
    <w:rsid w:val="008168FC"/>
    <w:rsid w:val="00825DD9"/>
    <w:rsid w:val="00830996"/>
    <w:rsid w:val="0083104C"/>
    <w:rsid w:val="008345F1"/>
    <w:rsid w:val="00835563"/>
    <w:rsid w:val="008442EB"/>
    <w:rsid w:val="008532FD"/>
    <w:rsid w:val="00865B07"/>
    <w:rsid w:val="008667EA"/>
    <w:rsid w:val="0087637F"/>
    <w:rsid w:val="0088391A"/>
    <w:rsid w:val="00886C93"/>
    <w:rsid w:val="00892AD5"/>
    <w:rsid w:val="008935EA"/>
    <w:rsid w:val="00895CB8"/>
    <w:rsid w:val="008A1512"/>
    <w:rsid w:val="008A4F05"/>
    <w:rsid w:val="008B2AD0"/>
    <w:rsid w:val="008C225E"/>
    <w:rsid w:val="008D32B9"/>
    <w:rsid w:val="008D433B"/>
    <w:rsid w:val="008E0FD5"/>
    <w:rsid w:val="008E566E"/>
    <w:rsid w:val="0090046B"/>
    <w:rsid w:val="0090161A"/>
    <w:rsid w:val="00901EB6"/>
    <w:rsid w:val="00904C62"/>
    <w:rsid w:val="00905397"/>
    <w:rsid w:val="00922BA8"/>
    <w:rsid w:val="00924DAC"/>
    <w:rsid w:val="00927058"/>
    <w:rsid w:val="00942750"/>
    <w:rsid w:val="009450CE"/>
    <w:rsid w:val="00947179"/>
    <w:rsid w:val="0095164B"/>
    <w:rsid w:val="00951872"/>
    <w:rsid w:val="00953A20"/>
    <w:rsid w:val="00954090"/>
    <w:rsid w:val="009573E7"/>
    <w:rsid w:val="00963E05"/>
    <w:rsid w:val="00964A66"/>
    <w:rsid w:val="00967843"/>
    <w:rsid w:val="00967D54"/>
    <w:rsid w:val="00971028"/>
    <w:rsid w:val="00980BB0"/>
    <w:rsid w:val="009820DF"/>
    <w:rsid w:val="00993B84"/>
    <w:rsid w:val="00996483"/>
    <w:rsid w:val="00996F5A"/>
    <w:rsid w:val="009B041A"/>
    <w:rsid w:val="009B2EE0"/>
    <w:rsid w:val="009C37C3"/>
    <w:rsid w:val="009C7C86"/>
    <w:rsid w:val="009D2FF7"/>
    <w:rsid w:val="009D47CF"/>
    <w:rsid w:val="009E7884"/>
    <w:rsid w:val="009E788A"/>
    <w:rsid w:val="009F0E08"/>
    <w:rsid w:val="00A1763D"/>
    <w:rsid w:val="00A17CEC"/>
    <w:rsid w:val="00A214E9"/>
    <w:rsid w:val="00A27EF0"/>
    <w:rsid w:val="00A31551"/>
    <w:rsid w:val="00A42361"/>
    <w:rsid w:val="00A50B20"/>
    <w:rsid w:val="00A51390"/>
    <w:rsid w:val="00A56397"/>
    <w:rsid w:val="00A60D13"/>
    <w:rsid w:val="00A70631"/>
    <w:rsid w:val="00A72745"/>
    <w:rsid w:val="00A72FE2"/>
    <w:rsid w:val="00A76EFC"/>
    <w:rsid w:val="00A87BF3"/>
    <w:rsid w:val="00A91010"/>
    <w:rsid w:val="00A929C5"/>
    <w:rsid w:val="00A93A2F"/>
    <w:rsid w:val="00A97F29"/>
    <w:rsid w:val="00AA1EA6"/>
    <w:rsid w:val="00AA702E"/>
    <w:rsid w:val="00AB0964"/>
    <w:rsid w:val="00AB33A5"/>
    <w:rsid w:val="00AB5011"/>
    <w:rsid w:val="00AC1B28"/>
    <w:rsid w:val="00AC7368"/>
    <w:rsid w:val="00AD16B9"/>
    <w:rsid w:val="00AE1087"/>
    <w:rsid w:val="00AE2951"/>
    <w:rsid w:val="00AE377D"/>
    <w:rsid w:val="00AF0EBA"/>
    <w:rsid w:val="00AF448B"/>
    <w:rsid w:val="00AF7AE4"/>
    <w:rsid w:val="00B02C8A"/>
    <w:rsid w:val="00B16A87"/>
    <w:rsid w:val="00B175C3"/>
    <w:rsid w:val="00B17FBD"/>
    <w:rsid w:val="00B315A6"/>
    <w:rsid w:val="00B31813"/>
    <w:rsid w:val="00B33365"/>
    <w:rsid w:val="00B416DB"/>
    <w:rsid w:val="00B43622"/>
    <w:rsid w:val="00B57965"/>
    <w:rsid w:val="00B57B36"/>
    <w:rsid w:val="00B57E6F"/>
    <w:rsid w:val="00B61038"/>
    <w:rsid w:val="00B85322"/>
    <w:rsid w:val="00B8686D"/>
    <w:rsid w:val="00B91694"/>
    <w:rsid w:val="00B93F69"/>
    <w:rsid w:val="00BA68B7"/>
    <w:rsid w:val="00BB1DDC"/>
    <w:rsid w:val="00BB7651"/>
    <w:rsid w:val="00BC30C9"/>
    <w:rsid w:val="00BD077D"/>
    <w:rsid w:val="00BE3E58"/>
    <w:rsid w:val="00C01616"/>
    <w:rsid w:val="00C0162B"/>
    <w:rsid w:val="00C068ED"/>
    <w:rsid w:val="00C173D8"/>
    <w:rsid w:val="00C22E0C"/>
    <w:rsid w:val="00C323A0"/>
    <w:rsid w:val="00C345B1"/>
    <w:rsid w:val="00C40142"/>
    <w:rsid w:val="00C451AE"/>
    <w:rsid w:val="00C52C3C"/>
    <w:rsid w:val="00C57182"/>
    <w:rsid w:val="00C57863"/>
    <w:rsid w:val="00C655FD"/>
    <w:rsid w:val="00C67F5C"/>
    <w:rsid w:val="00C713B8"/>
    <w:rsid w:val="00C71544"/>
    <w:rsid w:val="00C75407"/>
    <w:rsid w:val="00C870A8"/>
    <w:rsid w:val="00C94434"/>
    <w:rsid w:val="00C974F8"/>
    <w:rsid w:val="00CA0D75"/>
    <w:rsid w:val="00CA1C95"/>
    <w:rsid w:val="00CA5A9C"/>
    <w:rsid w:val="00CC4C20"/>
    <w:rsid w:val="00CC7EF4"/>
    <w:rsid w:val="00CD14C9"/>
    <w:rsid w:val="00CD20BC"/>
    <w:rsid w:val="00CD3517"/>
    <w:rsid w:val="00CD5FE2"/>
    <w:rsid w:val="00CE7C68"/>
    <w:rsid w:val="00D02B4C"/>
    <w:rsid w:val="00D040C4"/>
    <w:rsid w:val="00D1605E"/>
    <w:rsid w:val="00D23730"/>
    <w:rsid w:val="00D320F7"/>
    <w:rsid w:val="00D46B7E"/>
    <w:rsid w:val="00D473D9"/>
    <w:rsid w:val="00D52EDE"/>
    <w:rsid w:val="00D53EFC"/>
    <w:rsid w:val="00D57C84"/>
    <w:rsid w:val="00D6057D"/>
    <w:rsid w:val="00D704D4"/>
    <w:rsid w:val="00D83034"/>
    <w:rsid w:val="00D836C5"/>
    <w:rsid w:val="00D84576"/>
    <w:rsid w:val="00D93387"/>
    <w:rsid w:val="00DA1399"/>
    <w:rsid w:val="00DA24C6"/>
    <w:rsid w:val="00DA4D7B"/>
    <w:rsid w:val="00DE04EE"/>
    <w:rsid w:val="00DE264A"/>
    <w:rsid w:val="00DF5072"/>
    <w:rsid w:val="00E02D18"/>
    <w:rsid w:val="00E041E7"/>
    <w:rsid w:val="00E159D1"/>
    <w:rsid w:val="00E23CA1"/>
    <w:rsid w:val="00E409A8"/>
    <w:rsid w:val="00E50C12"/>
    <w:rsid w:val="00E51C93"/>
    <w:rsid w:val="00E65B91"/>
    <w:rsid w:val="00E704D7"/>
    <w:rsid w:val="00E7209D"/>
    <w:rsid w:val="00E72EAD"/>
    <w:rsid w:val="00E77223"/>
    <w:rsid w:val="00E813C6"/>
    <w:rsid w:val="00E8528B"/>
    <w:rsid w:val="00E85B74"/>
    <w:rsid w:val="00E85B94"/>
    <w:rsid w:val="00E9363B"/>
    <w:rsid w:val="00E978D0"/>
    <w:rsid w:val="00EA1997"/>
    <w:rsid w:val="00EA4613"/>
    <w:rsid w:val="00EA7F91"/>
    <w:rsid w:val="00EB1523"/>
    <w:rsid w:val="00EB2806"/>
    <w:rsid w:val="00EB3F7E"/>
    <w:rsid w:val="00EC0E49"/>
    <w:rsid w:val="00EC101F"/>
    <w:rsid w:val="00EC1D9F"/>
    <w:rsid w:val="00EC6760"/>
    <w:rsid w:val="00EE0131"/>
    <w:rsid w:val="00EE17B0"/>
    <w:rsid w:val="00EF06D9"/>
    <w:rsid w:val="00F12A80"/>
    <w:rsid w:val="00F2370D"/>
    <w:rsid w:val="00F30C64"/>
    <w:rsid w:val="00F32A6D"/>
    <w:rsid w:val="00F32BA2"/>
    <w:rsid w:val="00F32CDB"/>
    <w:rsid w:val="00F553E8"/>
    <w:rsid w:val="00F565FE"/>
    <w:rsid w:val="00F63A70"/>
    <w:rsid w:val="00F75222"/>
    <w:rsid w:val="00F7534E"/>
    <w:rsid w:val="00F77F49"/>
    <w:rsid w:val="00F80B3D"/>
    <w:rsid w:val="00F8664A"/>
    <w:rsid w:val="00F87375"/>
    <w:rsid w:val="00FA21D0"/>
    <w:rsid w:val="00FA5F5F"/>
    <w:rsid w:val="00FB730C"/>
    <w:rsid w:val="00FC2695"/>
    <w:rsid w:val="00FC3E03"/>
    <w:rsid w:val="00FC3FC1"/>
    <w:rsid w:val="00FC4F82"/>
    <w:rsid w:val="00FC7757"/>
    <w:rsid w:val="00FF07C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C713B8"/>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974F8"/>
    <w:pPr>
      <w:keepNext/>
      <w:numPr>
        <w:ilvl w:val="2"/>
        <w:numId w:val="1"/>
      </w:numPr>
      <w:suppressAutoHyphens/>
      <w:spacing w:before="120" w:after="120" w:line="240" w:lineRule="auto"/>
      <w:ind w:left="709" w:hanging="283"/>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974F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3813</Words>
  <Characters>21735</Characters>
  <Application>Microsoft Office Word</Application>
  <DocSecurity>0</DocSecurity>
  <Lines>181</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Rossella Ippolito</cp:lastModifiedBy>
  <cp:revision>11</cp:revision>
  <cp:lastPrinted>2015-05-12T18:31:00Z</cp:lastPrinted>
  <dcterms:created xsi:type="dcterms:W3CDTF">2024-04-08T17:58:00Z</dcterms:created>
  <dcterms:modified xsi:type="dcterms:W3CDTF">2024-05-26T17:08:00Z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