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01B7507F" w:rsidR="00E978D0" w:rsidRPr="00665323" w:rsidRDefault="00D63EBF" w:rsidP="00665323">
      <w:pPr>
        <w:pStyle w:val="CETTitle"/>
      </w:pPr>
      <w:r w:rsidRPr="00D63EBF">
        <w:t xml:space="preserve">Monitoring and Management of Naphthenic Acid Corrosion in Distillation Units of a Petroleum </w:t>
      </w:r>
      <w:r w:rsidR="00081B2E">
        <w:t>Refinery</w:t>
      </w:r>
    </w:p>
    <w:p w14:paraId="0488FED2" w14:textId="5853A963" w:rsidR="00B57E6F" w:rsidRPr="00A248E4" w:rsidRDefault="00D63EBF" w:rsidP="00D63EBF">
      <w:pPr>
        <w:pStyle w:val="CETAuthors"/>
        <w:rPr>
          <w:lang w:val="it-IT"/>
        </w:rPr>
      </w:pPr>
      <w:r w:rsidRPr="00A248E4">
        <w:rPr>
          <w:lang w:val="it-IT"/>
        </w:rPr>
        <w:t>Giuseppe Chiofalo</w:t>
      </w:r>
      <w:r w:rsidRPr="00A248E4">
        <w:rPr>
          <w:vertAlign w:val="superscript"/>
          <w:lang w:val="it-IT"/>
        </w:rPr>
        <w:t>b</w:t>
      </w:r>
      <w:r w:rsidRPr="00A248E4">
        <w:rPr>
          <w:lang w:val="it-IT"/>
        </w:rPr>
        <w:t>, Fabrizio D’Antonio</w:t>
      </w:r>
      <w:r w:rsidRPr="00A248E4">
        <w:rPr>
          <w:vertAlign w:val="superscript"/>
          <w:lang w:val="it-IT"/>
        </w:rPr>
        <w:t>b</w:t>
      </w:r>
      <w:r w:rsidRPr="00A248E4">
        <w:rPr>
          <w:lang w:val="it-IT"/>
        </w:rPr>
        <w:t>, Antonino Giacobbe</w:t>
      </w:r>
      <w:r w:rsidRPr="00A248E4">
        <w:rPr>
          <w:vertAlign w:val="superscript"/>
          <w:lang w:val="it-IT"/>
        </w:rPr>
        <w:t>a,*</w:t>
      </w:r>
      <w:r w:rsidRPr="00A248E4">
        <w:rPr>
          <w:lang w:val="it-IT"/>
        </w:rPr>
        <w:t>, Egnazio Ollà</w:t>
      </w:r>
      <w:r w:rsidRPr="00A248E4">
        <w:rPr>
          <w:vertAlign w:val="superscript"/>
          <w:lang w:val="it-IT"/>
        </w:rPr>
        <w:t>b</w:t>
      </w:r>
      <w:r w:rsidRPr="00A248E4">
        <w:rPr>
          <w:lang w:val="it-IT"/>
        </w:rPr>
        <w:t>, Alessandra Saraceno</w:t>
      </w:r>
      <w:r w:rsidRPr="00A248E4">
        <w:rPr>
          <w:vertAlign w:val="superscript"/>
          <w:lang w:val="it-IT"/>
        </w:rPr>
        <w:t>b</w:t>
      </w:r>
      <w:r w:rsidRPr="00A248E4">
        <w:rPr>
          <w:lang w:val="it-IT"/>
        </w:rPr>
        <w:t>, Nazareno Scarfati</w:t>
      </w:r>
      <w:r w:rsidRPr="00A248E4">
        <w:rPr>
          <w:vertAlign w:val="superscript"/>
          <w:lang w:val="it-IT"/>
        </w:rPr>
        <w:t>b</w:t>
      </w:r>
      <w:r w:rsidR="00081B2E">
        <w:rPr>
          <w:lang w:val="it-IT"/>
        </w:rPr>
        <w:t>, Gaetana Triscari</w:t>
      </w:r>
      <w:r w:rsidR="00081B2E" w:rsidRPr="00A248E4">
        <w:rPr>
          <w:vertAlign w:val="superscript"/>
          <w:lang w:val="it-IT"/>
        </w:rPr>
        <w:t>b</w:t>
      </w:r>
      <w:r w:rsidR="00081B2E">
        <w:rPr>
          <w:lang w:val="it-IT"/>
        </w:rPr>
        <w:t xml:space="preserve"> </w:t>
      </w:r>
    </w:p>
    <w:p w14:paraId="6B2D21B3" w14:textId="4EBB6AB1" w:rsidR="00B57E6F" w:rsidRPr="00B57B36" w:rsidRDefault="00B57E6F" w:rsidP="00B57E6F">
      <w:pPr>
        <w:pStyle w:val="CETAddress"/>
      </w:pPr>
      <w:r w:rsidRPr="00B57B36">
        <w:rPr>
          <w:vertAlign w:val="superscript"/>
        </w:rPr>
        <w:t>a</w:t>
      </w:r>
      <w:r w:rsidR="00D63EBF">
        <w:t>Department of Engineering, University of Messina, Contrada di Dio, 98166 Messina, Italy</w:t>
      </w:r>
      <w:r w:rsidRPr="00B57B36">
        <w:t xml:space="preserve"> </w:t>
      </w:r>
    </w:p>
    <w:p w14:paraId="3D72B0B0" w14:textId="68C233BB" w:rsidR="00B57E6F" w:rsidRPr="00A248E4" w:rsidRDefault="00B57E6F" w:rsidP="00B57E6F">
      <w:pPr>
        <w:pStyle w:val="CETAddress"/>
        <w:rPr>
          <w:lang w:val="it-IT"/>
        </w:rPr>
      </w:pPr>
      <w:r w:rsidRPr="00A248E4">
        <w:rPr>
          <w:vertAlign w:val="superscript"/>
          <w:lang w:val="it-IT"/>
        </w:rPr>
        <w:t>b</w:t>
      </w:r>
      <w:r w:rsidR="00D63EBF" w:rsidRPr="00A248E4">
        <w:rPr>
          <w:lang w:val="it-IT"/>
        </w:rPr>
        <w:t>Raffineria di Milazzo S.C.p.A., Contrada Mangiavacca, 98057 Milazzo (ME), Italy</w:t>
      </w:r>
      <w:r w:rsidRPr="00A248E4">
        <w:rPr>
          <w:lang w:val="it-IT"/>
        </w:rPr>
        <w:t xml:space="preserve"> </w:t>
      </w:r>
    </w:p>
    <w:p w14:paraId="73F1267A" w14:textId="74DF12E9" w:rsidR="00B57E6F" w:rsidRPr="00B57B36" w:rsidRDefault="00B57E6F" w:rsidP="00B57E6F">
      <w:pPr>
        <w:pStyle w:val="CETemail"/>
      </w:pPr>
      <w:r w:rsidRPr="00A248E4">
        <w:rPr>
          <w:lang w:val="it-IT"/>
        </w:rPr>
        <w:t xml:space="preserve"> </w:t>
      </w:r>
      <w:r w:rsidR="00D63EBF">
        <w:t>antonino.giacobbe@studenti.unime.it</w:t>
      </w:r>
    </w:p>
    <w:p w14:paraId="2C3CB693" w14:textId="14EAA61D" w:rsidR="00C82D7E" w:rsidRPr="00C82D7E" w:rsidRDefault="00C82D7E" w:rsidP="00C82D7E">
      <w:pPr>
        <w:pStyle w:val="CETBodytext"/>
      </w:pPr>
      <w:r w:rsidRPr="00C82D7E">
        <w:t xml:space="preserve">The continuous increase in fuel prices at refueling stations and the costs of extraction, refining and supply chain management leads the Companies to purchase low-cost crude oils, characterized by high acidity and high sulphur content. The processing of such crude oils </w:t>
      </w:r>
      <w:r w:rsidR="00350839">
        <w:t>results in a drastic increase in</w:t>
      </w:r>
      <w:r w:rsidRPr="00C82D7E">
        <w:t xml:space="preserve"> corrosion rates, relative to sulfidation and naphthenic acid corrosion mechanisms, thus, it is necessary to take mitigation actions, conducting a cost-benefit assessment and reviewing inspection and maintenance plans. A petroleum refinery has implemented a monitoring system, through ultrasonic corrosion probes, and an inhibitor injection system at specific points in its atmospheric distillation units; the goal is to manage crude oil with TAN (Total Acid Number) value </w:t>
      </w:r>
      <w:r w:rsidR="00350839">
        <w:t xml:space="preserve">that not exceed </w:t>
      </w:r>
      <w:r w:rsidRPr="00C82D7E">
        <w:t>1.5 mg(KOH)/g.</w:t>
      </w:r>
    </w:p>
    <w:p w14:paraId="3034E445" w14:textId="04244474" w:rsidR="00C82D7E" w:rsidRDefault="00C82D7E" w:rsidP="00C82D7E">
      <w:pPr>
        <w:pStyle w:val="CETBodytext"/>
      </w:pPr>
      <w:r w:rsidRPr="00C82D7E">
        <w:t xml:space="preserve">In this </w:t>
      </w:r>
      <w:r w:rsidR="00350839">
        <w:t>report</w:t>
      </w:r>
      <w:r w:rsidRPr="00C82D7E">
        <w:t xml:space="preserve">, the layout and operation of the system are described, with a brief mention of the used inhibitor’s family; the choice of injection and monitoring points and the measured corrosion rate are presented for </w:t>
      </w:r>
      <w:r w:rsidR="00350839">
        <w:t xml:space="preserve">the </w:t>
      </w:r>
      <w:r w:rsidRPr="00C82D7E">
        <w:t>first months in service.</w:t>
      </w:r>
    </w:p>
    <w:p w14:paraId="476B2F2E" w14:textId="77777777" w:rsidR="00600535" w:rsidRPr="00B57B36" w:rsidRDefault="00600535" w:rsidP="00600535">
      <w:pPr>
        <w:pStyle w:val="CETHeading1"/>
        <w:rPr>
          <w:lang w:val="en-GB"/>
        </w:rPr>
      </w:pPr>
      <w:r w:rsidRPr="00B57B36">
        <w:rPr>
          <w:lang w:val="en-GB"/>
        </w:rPr>
        <w:t>Introduction</w:t>
      </w:r>
    </w:p>
    <w:p w14:paraId="1C1A2F56" w14:textId="5F51F79F" w:rsidR="00C82D7E" w:rsidRDefault="00C82D7E" w:rsidP="00600535">
      <w:pPr>
        <w:pStyle w:val="CETBodytext"/>
        <w:rPr>
          <w:lang w:val="en-GB"/>
        </w:rPr>
      </w:pPr>
      <w:r w:rsidRPr="00C82D7E">
        <w:rPr>
          <w:lang w:val="en-GB"/>
        </w:rPr>
        <w:t>The oil and gas industry classifies crude oils according to the API Grade and to the sulphur content</w:t>
      </w:r>
      <w:r w:rsidR="00520E6F">
        <w:rPr>
          <w:lang w:val="en-GB"/>
        </w:rPr>
        <w:t xml:space="preserve"> </w:t>
      </w:r>
      <w:r w:rsidR="00520E6F" w:rsidRPr="00081B2E">
        <w:rPr>
          <w:lang w:val="en-GB"/>
        </w:rPr>
        <w:t>(Al-Moubaraki</w:t>
      </w:r>
      <w:r w:rsidR="0021202A">
        <w:rPr>
          <w:lang w:val="en-GB"/>
        </w:rPr>
        <w:t xml:space="preserve"> and Obot</w:t>
      </w:r>
      <w:r w:rsidR="00520E6F" w:rsidRPr="00081B2E">
        <w:rPr>
          <w:lang w:val="en-GB"/>
        </w:rPr>
        <w:t>, 2021)</w:t>
      </w:r>
      <w:r w:rsidRPr="00C82D7E">
        <w:rPr>
          <w:lang w:val="en-GB"/>
        </w:rPr>
        <w:t xml:space="preserve">. </w:t>
      </w:r>
      <w:r w:rsidR="00520E6F">
        <w:rPr>
          <w:lang w:val="en-GB"/>
        </w:rPr>
        <w:t>T</w:t>
      </w:r>
      <w:r w:rsidRPr="00C82D7E">
        <w:rPr>
          <w:lang w:val="en-GB"/>
        </w:rPr>
        <w:t>he availability of light and sweet crude oils is gradually decreasing and there is an increasing reliance on so-called “tertiary recovery techniques”, by injecting steam, gas or detergent-like surfactants in the reservoir, to lower the surface tension that prevents the oil droplets from moving, or on the extraction of heavier and more acidic crude oils</w:t>
      </w:r>
      <w:r w:rsidR="00520E6F">
        <w:rPr>
          <w:lang w:val="en-GB"/>
        </w:rPr>
        <w:t xml:space="preserve"> (</w:t>
      </w:r>
      <w:r w:rsidR="00520E6F" w:rsidRPr="00081B2E">
        <w:rPr>
          <w:lang w:val="en-GB"/>
        </w:rPr>
        <w:t>US DoE, 2024</w:t>
      </w:r>
      <w:r w:rsidR="00520E6F">
        <w:rPr>
          <w:lang w:val="en-GB"/>
        </w:rPr>
        <w:t>)</w:t>
      </w:r>
      <w:r w:rsidRPr="00C82D7E">
        <w:rPr>
          <w:lang w:val="en-GB"/>
        </w:rPr>
        <w:t>. Acid crude oils are cheap, so they are more profitable, but they have higher quantities of metals, aromatic compounds and sulphur: this implies greater processing difficulty and higher costs</w:t>
      </w:r>
      <w:r w:rsidR="00520E6F">
        <w:rPr>
          <w:lang w:val="en-GB"/>
        </w:rPr>
        <w:t xml:space="preserve"> for ensuring plant integrity (F</w:t>
      </w:r>
      <w:r w:rsidRPr="00C82D7E">
        <w:rPr>
          <w:lang w:val="en-GB"/>
        </w:rPr>
        <w:t>ig</w:t>
      </w:r>
      <w:r w:rsidR="00520E6F">
        <w:rPr>
          <w:lang w:val="en-GB"/>
        </w:rPr>
        <w:t>ure</w:t>
      </w:r>
      <w:r w:rsidRPr="00C82D7E">
        <w:rPr>
          <w:lang w:val="en-GB"/>
        </w:rPr>
        <w:t xml:space="preserve"> 1)</w:t>
      </w:r>
      <w:r>
        <w:rPr>
          <w:lang w:val="en-GB"/>
        </w:rPr>
        <w:t>:</w:t>
      </w:r>
    </w:p>
    <w:p w14:paraId="6E3036AF" w14:textId="77777777" w:rsidR="00C82D7E" w:rsidRDefault="00C82D7E" w:rsidP="00600535">
      <w:pPr>
        <w:pStyle w:val="CETBodytext"/>
        <w:rPr>
          <w:lang w:val="en-GB"/>
        </w:rPr>
      </w:pPr>
    </w:p>
    <w:p w14:paraId="2C882DDB" w14:textId="511EEB2C" w:rsidR="00C82D7E" w:rsidRDefault="0013524D" w:rsidP="00600535">
      <w:pPr>
        <w:pStyle w:val="CETBodytext"/>
        <w:rPr>
          <w:lang w:val="en-GB"/>
        </w:rPr>
      </w:pPr>
      <w:r w:rsidRPr="0013524D">
        <w:rPr>
          <w:noProof/>
          <w:lang w:val="it-IT" w:eastAsia="it-IT"/>
        </w:rPr>
        <w:drawing>
          <wp:inline distT="0" distB="0" distL="0" distR="0" wp14:anchorId="2A30D2D9" wp14:editId="11122106">
            <wp:extent cx="3531600" cy="1980000"/>
            <wp:effectExtent l="0" t="0" r="0" b="1270"/>
            <wp:docPr id="1836357205" name="Immagine 1" descr="Immagine che contiene testo, schermata, Caratter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57205" name="Immagine 1" descr="Immagine che contiene testo, schermata, Carattere, diagramma&#10;&#10;Descrizione generata automaticamente"/>
                    <pic:cNvPicPr/>
                  </pic:nvPicPr>
                  <pic:blipFill>
                    <a:blip r:embed="rId10"/>
                    <a:stretch>
                      <a:fillRect/>
                    </a:stretch>
                  </pic:blipFill>
                  <pic:spPr>
                    <a:xfrm>
                      <a:off x="0" y="0"/>
                      <a:ext cx="3531600" cy="1980000"/>
                    </a:xfrm>
                    <a:prstGeom prst="rect">
                      <a:avLst/>
                    </a:prstGeom>
                  </pic:spPr>
                </pic:pic>
              </a:graphicData>
            </a:graphic>
          </wp:inline>
        </w:drawing>
      </w:r>
    </w:p>
    <w:p w14:paraId="4AE3E7AC" w14:textId="310362BA" w:rsidR="00C82D7E" w:rsidRDefault="00C82D7E" w:rsidP="00C82D7E">
      <w:pPr>
        <w:pStyle w:val="CETCaption"/>
        <w:rPr>
          <w:rStyle w:val="CETCaptionCarattere"/>
          <w:i/>
        </w:rPr>
      </w:pPr>
      <w:r w:rsidRPr="00520E6F">
        <w:rPr>
          <w:rStyle w:val="CETCaptionCarattere"/>
          <w:i/>
        </w:rPr>
        <w:t xml:space="preserve">Figure </w:t>
      </w:r>
      <w:r w:rsidRPr="00520E6F">
        <w:rPr>
          <w:rStyle w:val="CETCaptionCarattere"/>
          <w:i/>
        </w:rPr>
        <w:fldChar w:fldCharType="begin"/>
      </w:r>
      <w:r w:rsidRPr="00520E6F">
        <w:rPr>
          <w:rStyle w:val="CETCaptionCarattere"/>
          <w:i/>
        </w:rPr>
        <w:instrText xml:space="preserve"> SEQ Figura \* ARABIC </w:instrText>
      </w:r>
      <w:r w:rsidRPr="00520E6F">
        <w:rPr>
          <w:rStyle w:val="CETCaptionCarattere"/>
          <w:i/>
        </w:rPr>
        <w:fldChar w:fldCharType="separate"/>
      </w:r>
      <w:r w:rsidRPr="00520E6F">
        <w:rPr>
          <w:rStyle w:val="CETCaptionCarattere"/>
          <w:i/>
        </w:rPr>
        <w:t>1</w:t>
      </w:r>
      <w:r w:rsidRPr="00520E6F">
        <w:rPr>
          <w:rStyle w:val="CETCaptionCarattere"/>
          <w:i/>
        </w:rPr>
        <w:fldChar w:fldCharType="end"/>
      </w:r>
      <w:r w:rsidRPr="00520E6F">
        <w:rPr>
          <w:rStyle w:val="CETCaptionCarattere"/>
          <w:i/>
        </w:rPr>
        <w:t>. Trend of crudes features and integrity costs</w:t>
      </w:r>
    </w:p>
    <w:p w14:paraId="69EF4EFD" w14:textId="375D694F" w:rsidR="00C01FD0" w:rsidRPr="00C01FD0" w:rsidRDefault="00C01FD0" w:rsidP="00C01FD0">
      <w:pPr>
        <w:pStyle w:val="CETBodytext"/>
        <w:rPr>
          <w:rStyle w:val="CETCaptionCarattere"/>
          <w:i w:val="0"/>
          <w:lang w:val="en-US"/>
        </w:rPr>
      </w:pPr>
      <w:r>
        <w:rPr>
          <w:rStyle w:val="CETCaptionCarattere"/>
          <w:i w:val="0"/>
          <w:lang w:val="en-US"/>
        </w:rPr>
        <w:lastRenderedPageBreak/>
        <w:t>To manage crudes with higher acidity, a petroleum refinery has implemented a corrosion monitoring system and an inhibitor injection system in its atmospheric distillation units. The ultrasonic probes allow to monitor the corrosion process continuously, obtaining a snapshot of the current situation, without relying only on corrosion tables or on scheduled inspections to determine the residual life.</w:t>
      </w:r>
    </w:p>
    <w:p w14:paraId="02FABF1B" w14:textId="77777777" w:rsidR="00C82D7E" w:rsidRPr="00C82D7E" w:rsidRDefault="00C82D7E" w:rsidP="00C82D7E">
      <w:pPr>
        <w:pStyle w:val="CETHeading1"/>
        <w:tabs>
          <w:tab w:val="num" w:pos="360"/>
        </w:tabs>
      </w:pPr>
      <w:r w:rsidRPr="00C82D7E">
        <w:rPr>
          <w:lang w:val="en-GB"/>
        </w:rPr>
        <w:t>Damage mechanisms and mitigation methods</w:t>
      </w:r>
    </w:p>
    <w:p w14:paraId="68823038" w14:textId="77777777" w:rsidR="00C82D7E" w:rsidRPr="00C82D7E" w:rsidRDefault="00C82D7E" w:rsidP="00C82D7E">
      <w:pPr>
        <w:pStyle w:val="CETBodytext"/>
      </w:pPr>
      <w:r w:rsidRPr="00C82D7E">
        <w:t>In atmospheric and vacuum distillation units, the main damage mechanisms affecting high service temperature sections are:</w:t>
      </w:r>
    </w:p>
    <w:p w14:paraId="6580C423" w14:textId="31F97DED" w:rsidR="00C82D7E" w:rsidRPr="00C82D7E" w:rsidRDefault="00C82D7E" w:rsidP="00C82D7E">
      <w:pPr>
        <w:pStyle w:val="CETListbullets"/>
        <w:numPr>
          <w:ilvl w:val="0"/>
          <w:numId w:val="13"/>
        </w:numPr>
      </w:pPr>
      <w:r w:rsidRPr="00C82D7E">
        <w:t>Naphthenic acid corrosion. At room temperature naphthenic acids are not corrosive, but they become so for carbon steels at temperatures above 200 °C, reaching peak reactivity around 350 °C and then decreasing again above 400 °</w:t>
      </w:r>
      <w:r w:rsidRPr="00081B2E">
        <w:t>C</w:t>
      </w:r>
      <w:r w:rsidR="00657F13" w:rsidRPr="00081B2E">
        <w:t xml:space="preserve"> (Al-Moubaraki</w:t>
      </w:r>
      <w:r w:rsidR="0021202A">
        <w:t xml:space="preserve"> and Obot</w:t>
      </w:r>
      <w:r w:rsidR="00657F13" w:rsidRPr="00081B2E">
        <w:t>, 2021</w:t>
      </w:r>
      <w:r w:rsidR="00657F13">
        <w:t>)</w:t>
      </w:r>
      <w:r w:rsidRPr="00C82D7E">
        <w:t xml:space="preserve">. Their corrosivity is closely linked to the TAN, which is a measure of acidity determined by the amount of potassium hydroxide (in mg) required to neutralise 1 g of crude. The naphthenic acid risk corrosion depends on acid concentration, sulphur </w:t>
      </w:r>
      <w:r w:rsidR="00657F13">
        <w:t>content</w:t>
      </w:r>
      <w:r w:rsidRPr="00C82D7E">
        <w:t>, operating temperature, equipment metallurgy</w:t>
      </w:r>
      <w:r w:rsidR="00657F13">
        <w:t>,</w:t>
      </w:r>
      <w:r w:rsidRPr="00C82D7E">
        <w:t xml:space="preserve"> flow velocity and surface conditions.</w:t>
      </w:r>
    </w:p>
    <w:p w14:paraId="2290AD0A" w14:textId="67E993B4" w:rsidR="00C82D7E" w:rsidRPr="00C82D7E" w:rsidRDefault="00C82D7E" w:rsidP="00657F13">
      <w:pPr>
        <w:pStyle w:val="CETnumberingbullets"/>
        <w:jc w:val="both"/>
      </w:pPr>
      <w:r w:rsidRPr="00C82D7E">
        <w:t>Sulfidation. Sulfidation is a high temperature corrosion mechanism, occurring without free water in the stream and directly connected with sulphur content and service temperature. It is generally an irreversible corrosion process</w:t>
      </w:r>
      <w:r w:rsidR="00657F13">
        <w:t>,</w:t>
      </w:r>
      <w:r w:rsidRPr="00C82D7E">
        <w:t xml:space="preserve"> in </w:t>
      </w:r>
      <w:r w:rsidR="00657F13">
        <w:t>which</w:t>
      </w:r>
      <w:r w:rsidRPr="00C82D7E">
        <w:t xml:space="preserve"> the sulphur can penetrate the </w:t>
      </w:r>
      <w:r w:rsidR="00657F13">
        <w:t xml:space="preserve">alloy </w:t>
      </w:r>
      <w:r w:rsidRPr="00C82D7E">
        <w:t>substrate along the grain boundaries, thereby affecting the mechanical integrity of structural components</w:t>
      </w:r>
      <w:r w:rsidR="00657F13">
        <w:t xml:space="preserve"> </w:t>
      </w:r>
      <w:r w:rsidR="0021202A">
        <w:t>(</w:t>
      </w:r>
      <w:r w:rsidR="00657F13" w:rsidRPr="00081B2E">
        <w:t>Sanabria Cala</w:t>
      </w:r>
      <w:r w:rsidR="0021202A">
        <w:t xml:space="preserve"> et al.</w:t>
      </w:r>
      <w:r w:rsidR="00657F13" w:rsidRPr="00081B2E">
        <w:t>, 2017)</w:t>
      </w:r>
      <w:r w:rsidRPr="00081B2E">
        <w:t>.</w:t>
      </w:r>
      <w:r w:rsidR="00657F13">
        <w:t xml:space="preserve"> </w:t>
      </w:r>
      <w:r w:rsidRPr="00C82D7E">
        <w:t>Corrosion rate is well described by McConomy curves, plotted for a given S% value and for various types of materials: sulfide corrosion rates are plotted depending on the temperature and they are used to predict the relative corrosivity of crude oil at</w:t>
      </w:r>
      <w:r w:rsidR="00350839">
        <w:t xml:space="preserve"> operating temperatures above 20</w:t>
      </w:r>
      <w:r w:rsidRPr="00C82D7E">
        <w:t>0°C.</w:t>
      </w:r>
    </w:p>
    <w:p w14:paraId="0A50BE25" w14:textId="2CE146F4" w:rsidR="00C82D7E" w:rsidRDefault="00C82D7E" w:rsidP="0073043D">
      <w:pPr>
        <w:pStyle w:val="CETBodytext"/>
      </w:pPr>
      <w:r w:rsidRPr="00C82D7E">
        <w:t>There are different techniques used to mitigate and control the corrosion process:</w:t>
      </w:r>
      <w:r w:rsidR="0073043D">
        <w:t xml:space="preserve"> b</w:t>
      </w:r>
      <w:r w:rsidRPr="00C82D7E">
        <w:t>lending with low-acid crude</w:t>
      </w:r>
      <w:r w:rsidR="0073043D">
        <w:t>, c</w:t>
      </w:r>
      <w:r w:rsidRPr="00C82D7E">
        <w:t>onversion of naphthenic acids through esterification and decarboxylation processes</w:t>
      </w:r>
      <w:r w:rsidR="0073043D">
        <w:t>, s</w:t>
      </w:r>
      <w:r w:rsidRPr="00C82D7E">
        <w:t>urface coating</w:t>
      </w:r>
      <w:r w:rsidR="0073043D">
        <w:t>, c</w:t>
      </w:r>
      <w:r w:rsidRPr="00C82D7E">
        <w:t>athodic protection</w:t>
      </w:r>
      <w:r w:rsidR="0073043D">
        <w:t>, c</w:t>
      </w:r>
      <w:r w:rsidRPr="00C82D7E">
        <w:t>orrosion inhibitors.</w:t>
      </w:r>
    </w:p>
    <w:p w14:paraId="1FD7A437" w14:textId="06D45EF3" w:rsidR="00C82D7E" w:rsidRDefault="00C82D7E" w:rsidP="00C82D7E">
      <w:pPr>
        <w:pStyle w:val="CETBodytext"/>
        <w:rPr>
          <w:rFonts w:eastAsia="SimSun"/>
          <w:szCs w:val="24"/>
          <w:lang w:val="en-GB"/>
        </w:rPr>
      </w:pPr>
      <w:r w:rsidRPr="00C82D7E">
        <w:rPr>
          <w:rFonts w:eastAsia="SimSun"/>
          <w:szCs w:val="24"/>
          <w:lang w:val="en-GB"/>
        </w:rPr>
        <w:t xml:space="preserve">Focusing on corrosion inhibitors, they are substances that, </w:t>
      </w:r>
      <w:r w:rsidR="00350839">
        <w:rPr>
          <w:rFonts w:eastAsia="SimSun"/>
          <w:szCs w:val="24"/>
          <w:lang w:val="en-GB"/>
        </w:rPr>
        <w:t xml:space="preserve">when </w:t>
      </w:r>
      <w:r w:rsidRPr="00C82D7E">
        <w:rPr>
          <w:rFonts w:eastAsia="SimSun"/>
          <w:szCs w:val="24"/>
          <w:lang w:val="en-GB"/>
        </w:rPr>
        <w:t>diluted in small percentages in hydrocarbons, reduce corrosion rate, by forming a protective film on the surface of the base metal: this film prevents the corrosive substance from coming into contact with it. A good inhibitor must be stable, not incline to precipitation and not incline to forming emulsions; it must also possess good solubility in hydrocarbons. At temperatures close to 200 °C, organic inhibitors such as alkyl phenols, polysulphides, acid amines, thiazolidines and thiophosphates are particularly effective: oil refineries use inhibitors based on phosphate esters, injected in small quantities into critical areas of the distillation units</w:t>
      </w:r>
      <w:r w:rsidR="00E4516A">
        <w:rPr>
          <w:rFonts w:eastAsia="SimSun"/>
          <w:szCs w:val="24"/>
          <w:lang w:val="en-GB"/>
        </w:rPr>
        <w:t xml:space="preserve"> </w:t>
      </w:r>
      <w:r w:rsidR="00E4516A" w:rsidRPr="00081B2E">
        <w:rPr>
          <w:rFonts w:eastAsia="SimSun"/>
          <w:szCs w:val="24"/>
          <w:lang w:val="en-GB"/>
        </w:rPr>
        <w:t>(</w:t>
      </w:r>
      <w:r w:rsidR="00656405" w:rsidRPr="00081B2E">
        <w:rPr>
          <w:rFonts w:eastAsia="SimSun"/>
          <w:szCs w:val="24"/>
          <w:lang w:val="en-GB"/>
        </w:rPr>
        <w:t>Bota et al, 2019</w:t>
      </w:r>
      <w:r w:rsidR="00E4516A" w:rsidRPr="00081B2E">
        <w:rPr>
          <w:rFonts w:eastAsia="SimSun"/>
          <w:szCs w:val="24"/>
          <w:lang w:val="en-GB"/>
        </w:rPr>
        <w:t>)</w:t>
      </w:r>
      <w:r w:rsidRPr="00081B2E">
        <w:rPr>
          <w:rFonts w:eastAsia="SimSun"/>
          <w:szCs w:val="24"/>
          <w:lang w:val="en-GB"/>
        </w:rPr>
        <w:t>.</w:t>
      </w:r>
      <w:r w:rsidRPr="00C82D7E">
        <w:rPr>
          <w:rFonts w:eastAsia="SimSun"/>
          <w:szCs w:val="24"/>
          <w:lang w:val="en-GB"/>
        </w:rPr>
        <w:t xml:space="preserve"> </w:t>
      </w:r>
    </w:p>
    <w:p w14:paraId="1781311A" w14:textId="77777777" w:rsidR="00C82D7E" w:rsidRPr="00C82D7E" w:rsidRDefault="00C82D7E" w:rsidP="00C82D7E">
      <w:pPr>
        <w:pStyle w:val="CETHeading1"/>
        <w:tabs>
          <w:tab w:val="num" w:pos="360"/>
        </w:tabs>
        <w:rPr>
          <w:lang w:val="en-GB"/>
        </w:rPr>
      </w:pPr>
      <w:r w:rsidRPr="00C82D7E">
        <w:rPr>
          <w:lang w:val="en-GB"/>
        </w:rPr>
        <w:t>NAP acid crude oil project</w:t>
      </w:r>
    </w:p>
    <w:p w14:paraId="3C6FE513" w14:textId="7F215B0F" w:rsidR="0027675E" w:rsidRDefault="00350839" w:rsidP="00C82D7E">
      <w:pPr>
        <w:pStyle w:val="CETBodytext"/>
      </w:pPr>
      <w:r>
        <w:t>In this report</w:t>
      </w:r>
      <w:r w:rsidR="00C82D7E" w:rsidRPr="00C82D7E">
        <w:t xml:space="preserve">, an experience recently carried out in two Crude Distillation Unit (CDU) of a petroleum refinery will be described, where an inhibitor injection system and an “on line” thickness measurement system have been implemented, with the target of increasing design TAN </w:t>
      </w:r>
      <w:r w:rsidR="0027675E">
        <w:t>limit up to 1.5 mg(KOH)/g.</w:t>
      </w:r>
    </w:p>
    <w:p w14:paraId="4AA908D0" w14:textId="2898B256" w:rsidR="00C82D7E" w:rsidRPr="00C82D7E" w:rsidRDefault="0027675E" w:rsidP="00C82D7E">
      <w:pPr>
        <w:pStyle w:val="CETBodytext"/>
      </w:pPr>
      <w:r>
        <w:t>One of CDU, named CDU_4</w:t>
      </w:r>
      <w:r w:rsidR="00C82D7E" w:rsidRPr="00C82D7E">
        <w:t xml:space="preserve">, accordingly with equipment metallurgy, was addressed to High Sulphur crude processing; the second CDU, named CDU_3, is addressed for low sulphur crude </w:t>
      </w:r>
      <w:r w:rsidRPr="00C82D7E">
        <w:t>processing. The</w:t>
      </w:r>
      <w:r w:rsidR="00C82D7E" w:rsidRPr="00C82D7E">
        <w:t xml:space="preserve"> project was conducted in two stages:</w:t>
      </w:r>
    </w:p>
    <w:p w14:paraId="51C3EC47" w14:textId="77777777" w:rsidR="00C82D7E" w:rsidRPr="00C82D7E" w:rsidRDefault="00C82D7E" w:rsidP="00C82D7E">
      <w:pPr>
        <w:pStyle w:val="CETListbullets"/>
        <w:numPr>
          <w:ilvl w:val="0"/>
          <w:numId w:val="13"/>
        </w:numPr>
      </w:pPr>
      <w:r w:rsidRPr="00C82D7E">
        <w:t>Risk Matrix Definition. Based on the equipment metallurgy, temperature, maximum TAN, maximum S% and flow velocity, circuits exposed to higher risk of naphthenic acid corrosion were identified. The risk matrix highlights three risk categories: Low Risk (CR&lt;0.13 mm/y), Moderate Risk (0.13&lt;CR&lt;0.254 mm/y) and High Risk (CR&gt;0.254 mm/y). The circuits with high risk level are: Preheat train (hot side), Furnace Transfer Line, Medium and Low Pumparounds, Light and Heavy Gasoil and Residue extraction line.</w:t>
      </w:r>
    </w:p>
    <w:p w14:paraId="644C3C07" w14:textId="77777777" w:rsidR="00C82D7E" w:rsidRPr="00C82D7E" w:rsidRDefault="00C82D7E" w:rsidP="00C82D7E">
      <w:pPr>
        <w:pStyle w:val="CETListbullets"/>
        <w:numPr>
          <w:ilvl w:val="0"/>
          <w:numId w:val="13"/>
        </w:numPr>
      </w:pPr>
      <w:r w:rsidRPr="00C82D7E">
        <w:t>Corrosion inhibitor selection, corrosion and monitoring points definition. In this stage, locations and monitoring point are identified.</w:t>
      </w:r>
    </w:p>
    <w:p w14:paraId="4EE5A392" w14:textId="0DE4C888" w:rsidR="00C82D7E" w:rsidRPr="00C82D7E" w:rsidRDefault="00C82D7E" w:rsidP="00C82D7E">
      <w:pPr>
        <w:pStyle w:val="CETheadingx"/>
      </w:pPr>
      <w:r w:rsidRPr="00C82D7E">
        <w:t>Corrosion inhibitor</w:t>
      </w:r>
    </w:p>
    <w:p w14:paraId="5AC0F240" w14:textId="651F2B9E" w:rsidR="00C82D7E" w:rsidRDefault="00C82D7E" w:rsidP="00C82D7E">
      <w:pPr>
        <w:pStyle w:val="CETBodytext"/>
      </w:pPr>
      <w:r w:rsidRPr="00C82D7E">
        <w:t xml:space="preserve">The inhibitor is a chemical compound from thiophosphate ester family, but </w:t>
      </w:r>
      <w:r w:rsidR="00350839">
        <w:t xml:space="preserve">the </w:t>
      </w:r>
      <w:r w:rsidRPr="00C82D7E">
        <w:t xml:space="preserve">detailed formula is not available because it is covered by industrial licence. The anti-corrosive action is based on stabilization of the protective </w:t>
      </w:r>
      <m:oMath>
        <m:sSub>
          <m:sSubPr>
            <m:ctrlPr>
              <w:rPr>
                <w:rFonts w:ascii="Cambria Math" w:hAnsi="Cambria Math"/>
                <w:i/>
              </w:rPr>
            </m:ctrlPr>
          </m:sSubPr>
          <m:e>
            <m:r>
              <w:rPr>
                <w:rFonts w:ascii="Cambria Math" w:hAnsi="Cambria Math"/>
              </w:rPr>
              <m:t>Fe</m:t>
            </m:r>
          </m:e>
          <m:sub>
            <m:r>
              <w:rPr>
                <w:rFonts w:ascii="Cambria Math" w:hAnsi="Cambria Math"/>
              </w:rPr>
              <m:t>x</m:t>
            </m:r>
          </m:sub>
        </m:sSub>
        <m:sSub>
          <m:sSubPr>
            <m:ctrlPr>
              <w:rPr>
                <w:rFonts w:ascii="Cambria Math" w:hAnsi="Cambria Math"/>
                <w:i/>
              </w:rPr>
            </m:ctrlPr>
          </m:sSubPr>
          <m:e>
            <m:r>
              <w:rPr>
                <w:rFonts w:ascii="Cambria Math" w:hAnsi="Cambria Math"/>
              </w:rPr>
              <m:t>O</m:t>
            </m:r>
          </m:e>
          <m:sub>
            <m:r>
              <w:rPr>
                <w:rFonts w:ascii="Cambria Math" w:hAnsi="Cambria Math"/>
              </w:rPr>
              <m:t>x</m:t>
            </m:r>
          </m:sub>
        </m:sSub>
      </m:oMath>
      <w:r w:rsidRPr="00C82D7E">
        <w:t xml:space="preserve"> film in the process side of service equipment, reached with a higher concentration of phosphorus than other </w:t>
      </w:r>
      <w:r w:rsidR="003969A0">
        <w:t xml:space="preserve">commercial </w:t>
      </w:r>
      <w:r w:rsidRPr="00C82D7E">
        <w:t>inhibitors (</w:t>
      </w:r>
      <w:r w:rsidR="00EE41CF">
        <w:t xml:space="preserve">5.0 % vs </w:t>
      </w:r>
      <w:r w:rsidRPr="00C82D7E">
        <w:t xml:space="preserve">2.2 %). Tests carried out by the Manufacturer show that it is very effective at high temperatures, high speed and high acidity. Focusing on the difference between the protective layer obtained with this molecule and the layer obtained with a traditional thiophosphate ester, the film is thicker and more homogenous. </w:t>
      </w:r>
    </w:p>
    <w:p w14:paraId="0D24A4FE" w14:textId="5E082EB1" w:rsidR="00C82D7E" w:rsidRPr="00C82D7E" w:rsidRDefault="00C82D7E" w:rsidP="00C82D7E">
      <w:pPr>
        <w:pStyle w:val="CETheadingx"/>
      </w:pPr>
      <w:r w:rsidRPr="00C82D7E">
        <w:lastRenderedPageBreak/>
        <w:t xml:space="preserve">Injection </w:t>
      </w:r>
      <w:r w:rsidR="00CC4AD9">
        <w:t>and monitoring p</w:t>
      </w:r>
      <w:r w:rsidRPr="00C82D7E">
        <w:t>oints</w:t>
      </w:r>
    </w:p>
    <w:p w14:paraId="51DA4E02" w14:textId="77777777" w:rsidR="00C82D7E" w:rsidRPr="00C82D7E" w:rsidRDefault="00C82D7E" w:rsidP="00C82D7E">
      <w:pPr>
        <w:pStyle w:val="CETBodytext"/>
      </w:pPr>
      <w:r w:rsidRPr="00C82D7E">
        <w:t>The criteria applied for the injection points are:</w:t>
      </w:r>
    </w:p>
    <w:p w14:paraId="058A6CD7" w14:textId="42C358FF" w:rsidR="00C82D7E" w:rsidRPr="00C82D7E" w:rsidRDefault="00350839" w:rsidP="00C82D7E">
      <w:pPr>
        <w:pStyle w:val="CETListbullets"/>
        <w:numPr>
          <w:ilvl w:val="0"/>
          <w:numId w:val="13"/>
        </w:numPr>
      </w:pPr>
      <w:r>
        <w:t>Position</w:t>
      </w:r>
      <w:r w:rsidR="00C82D7E" w:rsidRPr="00C82D7E">
        <w:t xml:space="preserve"> them in the coldest part of the circuits</w:t>
      </w:r>
    </w:p>
    <w:p w14:paraId="2A7E37FE" w14:textId="586EE464" w:rsidR="00C82D7E" w:rsidRPr="00C82D7E" w:rsidRDefault="00C82D7E" w:rsidP="00C82D7E">
      <w:pPr>
        <w:pStyle w:val="CETListbullets"/>
        <w:numPr>
          <w:ilvl w:val="0"/>
          <w:numId w:val="13"/>
        </w:numPr>
      </w:pPr>
      <w:r w:rsidRPr="00C82D7E">
        <w:t xml:space="preserve">Use a dilution stream, called carrier, to guarantee a good distribution; if temperature is below 150 °C, </w:t>
      </w:r>
      <w:r w:rsidR="00350839">
        <w:t>the injection point</w:t>
      </w:r>
      <w:r w:rsidRPr="00C82D7E">
        <w:t xml:space="preserve"> can be avoided</w:t>
      </w:r>
    </w:p>
    <w:p w14:paraId="4736D47A" w14:textId="77777777" w:rsidR="00C82D7E" w:rsidRPr="00C82D7E" w:rsidRDefault="00C82D7E" w:rsidP="00C82D7E">
      <w:pPr>
        <w:pStyle w:val="CETListbullets"/>
        <w:numPr>
          <w:ilvl w:val="0"/>
          <w:numId w:val="13"/>
        </w:numPr>
      </w:pPr>
      <w:r w:rsidRPr="00C82D7E">
        <w:t>For pumparound circuits, the injection points are placed closer to the column, allowing for better protection of the tower internals</w:t>
      </w:r>
    </w:p>
    <w:p w14:paraId="1D8237EB" w14:textId="77777777" w:rsidR="00C82D7E" w:rsidRPr="00C82D7E" w:rsidRDefault="00C82D7E" w:rsidP="00C82D7E">
      <w:pPr>
        <w:pStyle w:val="CETListbullets"/>
        <w:numPr>
          <w:ilvl w:val="0"/>
          <w:numId w:val="13"/>
        </w:numPr>
      </w:pPr>
      <w:r w:rsidRPr="00C82D7E">
        <w:t>The nozzles are oriented to spray co-currently to the stream.</w:t>
      </w:r>
    </w:p>
    <w:p w14:paraId="3DFFD62F" w14:textId="7AF41696" w:rsidR="00C82D7E" w:rsidRDefault="00C82D7E" w:rsidP="003969A0">
      <w:pPr>
        <w:pStyle w:val="CETBodytext"/>
      </w:pPr>
      <w:r w:rsidRPr="003969A0">
        <w:t>State-of-the-art wireless ultrasonic probes were used for monitoring: ultrasonic thickness sensor</w:t>
      </w:r>
      <w:r w:rsidR="003969A0">
        <w:t>s</w:t>
      </w:r>
      <w:r w:rsidRPr="003969A0">
        <w:t xml:space="preserve"> are non-intrusive tools, used for monitoring and providing reliable measurements; they are connected to the remote server to store and process the acquired information.</w:t>
      </w:r>
    </w:p>
    <w:p w14:paraId="2E47022A" w14:textId="514AD865" w:rsidR="00A248E4" w:rsidRPr="00A248E4" w:rsidRDefault="00A248E4" w:rsidP="00A248E4">
      <w:pPr>
        <w:pStyle w:val="CETHeading1"/>
        <w:tabs>
          <w:tab w:val="num" w:pos="360"/>
        </w:tabs>
        <w:rPr>
          <w:lang w:val="en-GB"/>
        </w:rPr>
      </w:pPr>
      <w:r w:rsidRPr="00A248E4">
        <w:rPr>
          <w:lang w:val="en-GB"/>
        </w:rPr>
        <w:t>Layout and injection system</w:t>
      </w:r>
    </w:p>
    <w:p w14:paraId="089275B3" w14:textId="7A6D62DD" w:rsidR="00A248E4" w:rsidRPr="00A248E4" w:rsidRDefault="00A248E4" w:rsidP="00A248E4">
      <w:pPr>
        <w:pStyle w:val="CETBodytext"/>
        <w:rPr>
          <w:lang w:val="en-GB"/>
        </w:rPr>
      </w:pPr>
      <w:r w:rsidRPr="00A248E4">
        <w:t xml:space="preserve">Starting from P&amp;I diagrams, </w:t>
      </w:r>
      <w:r w:rsidR="003969A0">
        <w:t xml:space="preserve">materials and plant </w:t>
      </w:r>
      <w:r w:rsidRPr="00A248E4">
        <w:t>sections subject to corrosion by naphthenic acids were identified</w:t>
      </w:r>
      <w:r w:rsidR="003969A0">
        <w:t xml:space="preserve"> </w:t>
      </w:r>
      <w:r w:rsidR="00E1027E">
        <w:t>(Figure 2, 3</w:t>
      </w:r>
      <w:r w:rsidR="003969A0">
        <w:t>)</w:t>
      </w:r>
      <w:r w:rsidRPr="00A248E4">
        <w:t>:</w:t>
      </w:r>
    </w:p>
    <w:p w14:paraId="75B9F837" w14:textId="5AF755DB" w:rsidR="00A248E4" w:rsidRPr="00A248E4" w:rsidRDefault="00A248E4" w:rsidP="00A248E4">
      <w:pPr>
        <w:pStyle w:val="CETListbullets"/>
        <w:numPr>
          <w:ilvl w:val="0"/>
          <w:numId w:val="13"/>
        </w:numPr>
      </w:pPr>
      <w:r w:rsidRPr="00A248E4">
        <w:t>Pre-heating exchanger train (from exchanger E6 to the furnace). Injection point is at the inlet of the E6 A/D exchangers (A train) and of the E6 E/H exchangers (B train); as the temperature is above 170 °C, a dilution crude flow is required: a crude oil withdrawal is foreseen at the outlet of the P2 A/B/C pumps and the dilution ratio is set at 20:1. For monitoring, two sensors are placed downstream of E8 D and H, in the horizontal pipe after the first bend.</w:t>
      </w:r>
    </w:p>
    <w:p w14:paraId="5A914C9D" w14:textId="774B1495" w:rsidR="00A248E4" w:rsidRPr="00A248E4" w:rsidRDefault="00A248E4" w:rsidP="00A248E4">
      <w:pPr>
        <w:pStyle w:val="CETListbullets"/>
        <w:numPr>
          <w:ilvl w:val="0"/>
          <w:numId w:val="13"/>
        </w:numPr>
      </w:pPr>
      <w:r w:rsidRPr="00A248E4">
        <w:t>Transfer Line. Here there are no injec</w:t>
      </w:r>
      <w:r w:rsidR="003969A0">
        <w:t>tion points because</w:t>
      </w:r>
      <w:r w:rsidRPr="00A248E4">
        <w:t xml:space="preserve"> it is already protected by the injection upstream of the furnace. For monitoring, six sensors are installed at the outputs of the furnace F1.</w:t>
      </w:r>
    </w:p>
    <w:p w14:paraId="733D6A63" w14:textId="476C7C64" w:rsidR="00A248E4" w:rsidRPr="00A248E4" w:rsidRDefault="00A248E4" w:rsidP="00A248E4">
      <w:pPr>
        <w:pStyle w:val="CETListbullets"/>
        <w:numPr>
          <w:ilvl w:val="0"/>
          <w:numId w:val="13"/>
        </w:numPr>
      </w:pPr>
      <w:r w:rsidRPr="00A248E4">
        <w:t xml:space="preserve">Medium Pumparound. The injection point is in the column return, </w:t>
      </w:r>
      <w:r w:rsidR="00350839">
        <w:t xml:space="preserve">as </w:t>
      </w:r>
      <w:r w:rsidR="003969A0">
        <w:t>being</w:t>
      </w:r>
      <w:r w:rsidR="00350839">
        <w:t xml:space="preserve"> </w:t>
      </w:r>
      <w:r w:rsidRPr="00A248E4">
        <w:t>the closest and coldest place; moreover, in this way the column and the GAL circuit will also be protected, without adding additional injection points. Since both P10 A/B pumps are usually in operation, two monitoring sensors were installed in the discharge area, at the first bends before the common line.</w:t>
      </w:r>
    </w:p>
    <w:p w14:paraId="7F207359" w14:textId="03A0B0C1" w:rsidR="00A248E4" w:rsidRPr="00A248E4" w:rsidRDefault="00A248E4" w:rsidP="00A248E4">
      <w:pPr>
        <w:pStyle w:val="CETListbullets"/>
        <w:numPr>
          <w:ilvl w:val="0"/>
          <w:numId w:val="13"/>
        </w:numPr>
      </w:pPr>
      <w:r w:rsidRPr="00A248E4">
        <w:t>Low Pumparound. The low pumparound injection point is in the column return; this protects the GAP extraction without adding additional injection points. The carrier used is the same selected for the RLM circuit. The acquisition point is placed in the common line, at the outlet of pump P9: since this is the hottest recirculation of the whole unit, three sensors have been installed in the horizontal line section.</w:t>
      </w:r>
    </w:p>
    <w:p w14:paraId="314C6220" w14:textId="4F74F82B" w:rsidR="00C82D7E" w:rsidRDefault="00C82D7E" w:rsidP="00600535">
      <w:pPr>
        <w:pStyle w:val="CETBodytext"/>
        <w:rPr>
          <w:lang w:val="en-GB"/>
        </w:rPr>
      </w:pPr>
    </w:p>
    <w:p w14:paraId="5561784A" w14:textId="2112844B" w:rsidR="00A248E4" w:rsidRDefault="000C585B" w:rsidP="00C01FD0">
      <w:pPr>
        <w:pStyle w:val="CETBodytext"/>
        <w:jc w:val="left"/>
        <w:rPr>
          <w:lang w:val="en-GB"/>
        </w:rPr>
      </w:pPr>
      <w:r w:rsidRPr="000C585B">
        <w:rPr>
          <w:noProof/>
          <w:lang w:val="it-IT" w:eastAsia="it-IT"/>
        </w:rPr>
        <w:drawing>
          <wp:inline distT="0" distB="0" distL="0" distR="0" wp14:anchorId="5E69EA44" wp14:editId="05ECBA0B">
            <wp:extent cx="5579745" cy="3090545"/>
            <wp:effectExtent l="0" t="0" r="1905" b="0"/>
            <wp:docPr id="1619452924" name="Immagine 1" descr="Immagine che contiene testo, diagramma, Piano, schema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52924" name="Immagine 1" descr="Immagine che contiene testo, diagramma, Piano, schematico&#10;&#10;Descrizione generata automaticamente"/>
                    <pic:cNvPicPr/>
                  </pic:nvPicPr>
                  <pic:blipFill>
                    <a:blip r:embed="rId11"/>
                    <a:stretch>
                      <a:fillRect/>
                    </a:stretch>
                  </pic:blipFill>
                  <pic:spPr>
                    <a:xfrm>
                      <a:off x="0" y="0"/>
                      <a:ext cx="5579745" cy="3090545"/>
                    </a:xfrm>
                    <a:prstGeom prst="rect">
                      <a:avLst/>
                    </a:prstGeom>
                  </pic:spPr>
                </pic:pic>
              </a:graphicData>
            </a:graphic>
          </wp:inline>
        </w:drawing>
      </w:r>
    </w:p>
    <w:p w14:paraId="70AF38F3" w14:textId="5A073D0C" w:rsidR="00A248E4" w:rsidRDefault="00E1027E" w:rsidP="00A248E4">
      <w:pPr>
        <w:pStyle w:val="CETCaption"/>
        <w:rPr>
          <w:rStyle w:val="CETCaptionCarattere"/>
          <w:i/>
        </w:rPr>
      </w:pPr>
      <w:r w:rsidRPr="00685E78">
        <w:rPr>
          <w:rStyle w:val="CETCaptionCarattere"/>
          <w:i/>
        </w:rPr>
        <w:t>Fig. 2</w:t>
      </w:r>
      <w:r w:rsidR="00A248E4" w:rsidRPr="00685E78">
        <w:rPr>
          <w:rStyle w:val="CETCaptionCarattere"/>
          <w:i/>
        </w:rPr>
        <w:t>. Simplified P&amp;I diagram of the pre-heating section of the low sulphur CDU</w:t>
      </w:r>
    </w:p>
    <w:p w14:paraId="2666AD57" w14:textId="77777777" w:rsidR="00533AEE" w:rsidRPr="00A248E4" w:rsidRDefault="00533AEE" w:rsidP="00533AEE">
      <w:pPr>
        <w:pStyle w:val="CETListbullets"/>
        <w:numPr>
          <w:ilvl w:val="0"/>
          <w:numId w:val="13"/>
        </w:numPr>
      </w:pPr>
      <w:r>
        <w:lastRenderedPageBreak/>
        <w:t>Kero S</w:t>
      </w:r>
      <w:r w:rsidRPr="00A248E4">
        <w:t xml:space="preserve">ide </w:t>
      </w:r>
      <w:r>
        <w:t>C</w:t>
      </w:r>
      <w:r w:rsidRPr="00A248E4">
        <w:t>ut. As the maximum temperature reached in this section is about 190 °C, there is no need to add inhibitor; moreover, as the circuit is low risk, only one sensor is installed in the common line at the P5 A/B outlet.</w:t>
      </w:r>
    </w:p>
    <w:p w14:paraId="4C14A66A" w14:textId="77777777" w:rsidR="00533AEE" w:rsidRPr="00A248E4" w:rsidRDefault="00533AEE" w:rsidP="00533AEE">
      <w:pPr>
        <w:pStyle w:val="CETListbullets"/>
        <w:numPr>
          <w:ilvl w:val="0"/>
          <w:numId w:val="13"/>
        </w:numPr>
      </w:pPr>
      <w:r>
        <w:t>LGO S</w:t>
      </w:r>
      <w:r w:rsidRPr="00A248E4">
        <w:t xml:space="preserve">ide </w:t>
      </w:r>
      <w:r>
        <w:t>C</w:t>
      </w:r>
      <w:r w:rsidRPr="00A248E4">
        <w:t xml:space="preserve">ut. This section is protected by the inhibitor injected into the </w:t>
      </w:r>
      <w:r>
        <w:t xml:space="preserve">Medium Pumparounds </w:t>
      </w:r>
      <w:r w:rsidRPr="00A248E4">
        <w:t>circuit; there are 2 sensors installed, one on the outside of the first bend in the P6 A pump discharge, the second on the outside of the first bend in the common line.</w:t>
      </w:r>
    </w:p>
    <w:p w14:paraId="4F41191B" w14:textId="77777777" w:rsidR="00533AEE" w:rsidRPr="00A248E4" w:rsidRDefault="00533AEE" w:rsidP="00533AEE">
      <w:pPr>
        <w:pStyle w:val="CETListbullets"/>
        <w:numPr>
          <w:ilvl w:val="0"/>
          <w:numId w:val="13"/>
        </w:numPr>
      </w:pPr>
      <w:r>
        <w:t>HGO S</w:t>
      </w:r>
      <w:r w:rsidRPr="00A248E4">
        <w:t xml:space="preserve">ide cut. Here we have the same condition of the </w:t>
      </w:r>
      <w:r>
        <w:t>LGO circuit</w:t>
      </w:r>
      <w:r w:rsidRPr="00A248E4">
        <w:t xml:space="preserve">: the plant section is protected by the inhibitor injected into the </w:t>
      </w:r>
      <w:r>
        <w:t>Low Pumparounds circuit, entering column C</w:t>
      </w:r>
      <w:r w:rsidRPr="00A248E4">
        <w:t>1; two sensors are installed at the discharge of P7 pump, on the outside of the first two bends.</w:t>
      </w:r>
    </w:p>
    <w:p w14:paraId="0F6D1088" w14:textId="77777777" w:rsidR="00533AEE" w:rsidRDefault="00533AEE" w:rsidP="00533AEE">
      <w:pPr>
        <w:pStyle w:val="CETListbullets"/>
        <w:numPr>
          <w:ilvl w:val="0"/>
          <w:numId w:val="13"/>
        </w:numPr>
      </w:pPr>
      <w:r>
        <w:t>Atmospheric R</w:t>
      </w:r>
      <w:r w:rsidRPr="00A248E4">
        <w:t>esidue. Even though this section is subject to extra dosing from the preheating circuit, it is convenient to have a redundant injection point to allow more flexibility in the crude processing. The injection point is located on the common line at the intake of the three P8 pumps; crude or diesel can be used indiscriminately as carriers, with a minimum dilution ratio of 1:50. Since only two of the three P8 pumps are usually in service, two sensors are installed downstream of the pumps, on the two consecutive bends of the common line.</w:t>
      </w:r>
    </w:p>
    <w:p w14:paraId="78F960BC" w14:textId="0164F247" w:rsidR="00A248E4" w:rsidRDefault="000C585B" w:rsidP="000C585B">
      <w:pPr>
        <w:pStyle w:val="CETBodytext"/>
        <w:jc w:val="left"/>
        <w:rPr>
          <w:rStyle w:val="CETCaptionCarattere"/>
          <w:i w:val="0"/>
        </w:rPr>
      </w:pPr>
      <w:r w:rsidRPr="000C585B">
        <w:rPr>
          <w:noProof/>
          <w:lang w:val="it-IT" w:eastAsia="it-IT"/>
        </w:rPr>
        <w:drawing>
          <wp:inline distT="0" distB="0" distL="0" distR="0" wp14:anchorId="0F57D6EA" wp14:editId="41E4CBA3">
            <wp:extent cx="5579745" cy="3061335"/>
            <wp:effectExtent l="0" t="0" r="1905" b="5715"/>
            <wp:docPr id="874345292" name="Immagine 1" descr="Immagine che contiene testo, diagramma, Piano,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45292" name="Immagine 1" descr="Immagine che contiene testo, diagramma, Piano, mappa&#10;&#10;Descrizione generata automaticamente"/>
                    <pic:cNvPicPr/>
                  </pic:nvPicPr>
                  <pic:blipFill>
                    <a:blip r:embed="rId12"/>
                    <a:stretch>
                      <a:fillRect/>
                    </a:stretch>
                  </pic:blipFill>
                  <pic:spPr>
                    <a:xfrm>
                      <a:off x="0" y="0"/>
                      <a:ext cx="5579745" cy="3061335"/>
                    </a:xfrm>
                    <a:prstGeom prst="rect">
                      <a:avLst/>
                    </a:prstGeom>
                  </pic:spPr>
                </pic:pic>
              </a:graphicData>
            </a:graphic>
          </wp:inline>
        </w:drawing>
      </w:r>
      <w:r w:rsidR="00E1027E" w:rsidRPr="00685E78">
        <w:rPr>
          <w:rStyle w:val="CETCaptionCarattere"/>
        </w:rPr>
        <w:t>Fig. 3</w:t>
      </w:r>
      <w:r w:rsidR="00A248E4" w:rsidRPr="00685E78">
        <w:rPr>
          <w:rStyle w:val="CETCaptionCarattere"/>
        </w:rPr>
        <w:t>. Simplified P&amp;I diagram of column, pumparounds and side cuts of the low sulphur CDU</w:t>
      </w:r>
    </w:p>
    <w:p w14:paraId="7AFBF838" w14:textId="77777777" w:rsidR="00A248E4" w:rsidRPr="00AB18D9" w:rsidRDefault="00A248E4" w:rsidP="00AB18D9">
      <w:pPr>
        <w:pStyle w:val="CETHeading1"/>
        <w:tabs>
          <w:tab w:val="num" w:pos="360"/>
        </w:tabs>
        <w:rPr>
          <w:lang w:val="en-GB"/>
        </w:rPr>
      </w:pPr>
      <w:r w:rsidRPr="00AB18D9">
        <w:rPr>
          <w:lang w:val="en-GB"/>
        </w:rPr>
        <w:t>Results</w:t>
      </w:r>
    </w:p>
    <w:p w14:paraId="2F6E77C1" w14:textId="013F54F1" w:rsidR="00A248E4" w:rsidRDefault="00A248E4" w:rsidP="00AB18D9">
      <w:pPr>
        <w:pStyle w:val="CETBodytext"/>
      </w:pPr>
      <w:r w:rsidRPr="000A4BB3">
        <w:t>TAN and sulphur data of the processed blanks</w:t>
      </w:r>
      <w:r>
        <w:t xml:space="preserve">, service temperatures and thicknesses measured by </w:t>
      </w:r>
      <w:r w:rsidRPr="000A4BB3">
        <w:t>sensors were collected</w:t>
      </w:r>
      <w:r>
        <w:t xml:space="preserve">: for the CDU_4 </w:t>
      </w:r>
      <w:r w:rsidR="004B44ED">
        <w:t xml:space="preserve">the reference period is about </w:t>
      </w:r>
      <w:r w:rsidR="00C77D4B">
        <w:t>15</w:t>
      </w:r>
      <w:r>
        <w:t>0</w:t>
      </w:r>
      <w:r w:rsidR="004B44ED">
        <w:t xml:space="preserve"> </w:t>
      </w:r>
      <w:r w:rsidRPr="000A4BB3">
        <w:t>day</w:t>
      </w:r>
      <w:r w:rsidR="004B44ED">
        <w:t xml:space="preserve">s, </w:t>
      </w:r>
      <w:r>
        <w:t xml:space="preserve">for the CDU_3 </w:t>
      </w:r>
      <w:r w:rsidR="004B44ED">
        <w:t>it is only</w:t>
      </w:r>
      <w:r>
        <w:t xml:space="preserve"> 60</w:t>
      </w:r>
      <w:r w:rsidR="004B44ED">
        <w:t xml:space="preserve"> </w:t>
      </w:r>
      <w:r>
        <w:t>day</w:t>
      </w:r>
      <w:r w:rsidR="004B44ED">
        <w:t>s</w:t>
      </w:r>
      <w:r w:rsidRPr="000A4BB3">
        <w:t>.</w:t>
      </w:r>
      <w:r>
        <w:t xml:space="preserve"> </w:t>
      </w:r>
      <w:r w:rsidRPr="00C72445">
        <w:t>Feed’</w:t>
      </w:r>
      <w:r w:rsidR="0086155F">
        <w:t xml:space="preserve">s characteristics </w:t>
      </w:r>
      <w:r w:rsidR="004B44ED">
        <w:t xml:space="preserve">on a monthly basis </w:t>
      </w:r>
      <w:r w:rsidR="0086155F">
        <w:t>are shown in T</w:t>
      </w:r>
      <w:r w:rsidR="001A4151">
        <w:t>able 1</w:t>
      </w:r>
      <w:r w:rsidR="00EF11B2">
        <w:t>.</w:t>
      </w:r>
    </w:p>
    <w:p w14:paraId="21FD05AF" w14:textId="5ADADAD2" w:rsidR="00EF11B2" w:rsidRDefault="00EF11B2" w:rsidP="00EF11B2">
      <w:pPr>
        <w:pStyle w:val="CETBodytext"/>
      </w:pPr>
      <w:r w:rsidRPr="00394971">
        <w:t>The data from the sensors were plotted as a time function and a linear regression was carried out, referred to measurement time, to obtain the equation representing the trend</w:t>
      </w:r>
      <w:r>
        <w:t xml:space="preserve">; </w:t>
      </w:r>
      <w:r w:rsidRPr="00394971">
        <w:t>the slope was calculated to obtain the material lost and the corrosion rate over the operating time range; finally, an extended projection was made to one year of operation, obtaining the annual corrosion rate</w:t>
      </w:r>
      <w:r w:rsidR="00081B2E">
        <w:t xml:space="preserve">. </w:t>
      </w:r>
      <w:r>
        <w:t xml:space="preserve">Figures 4, 5 and 6 show </w:t>
      </w:r>
      <w:r w:rsidRPr="00394971">
        <w:t>thickness trends for the high sulphur distillation unit CDU_4</w:t>
      </w:r>
      <w:r>
        <w:t xml:space="preserve">, Tables 3 and 4 contain </w:t>
      </w:r>
      <w:r w:rsidRPr="00394971">
        <w:t>the</w:t>
      </w:r>
      <w:r>
        <w:t xml:space="preserve"> results obtained:</w:t>
      </w:r>
    </w:p>
    <w:p w14:paraId="07C007BB" w14:textId="717998A5" w:rsidR="004411F4" w:rsidRPr="00B57B36" w:rsidRDefault="004411F4" w:rsidP="004411F4">
      <w:pPr>
        <w:pStyle w:val="CETTabletitle"/>
      </w:pPr>
      <w:r w:rsidRPr="00B57B36">
        <w:t xml:space="preserve">Table </w:t>
      </w:r>
      <w:r w:rsidR="001A4151">
        <w:t>1</w:t>
      </w:r>
      <w:r w:rsidRPr="00B57B36">
        <w:t xml:space="preserve">: </w:t>
      </w:r>
      <w:r w:rsidR="00EF11B2">
        <w:t>Processed crudes’ characteristics from September 2023 to January 2024, on a monthly basis</w:t>
      </w:r>
    </w:p>
    <w:tbl>
      <w:tblPr>
        <w:tblW w:w="4275"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9"/>
        <w:gridCol w:w="820"/>
        <w:gridCol w:w="1702"/>
        <w:gridCol w:w="873"/>
        <w:gridCol w:w="1699"/>
      </w:tblGrid>
      <w:tr w:rsidR="00A13BC3" w:rsidRPr="00B57B36" w14:paraId="167CD66C" w14:textId="527CEE3F" w:rsidTr="00A13BC3">
        <w:tc>
          <w:tcPr>
            <w:tcW w:w="1609" w:type="pct"/>
            <w:tcBorders>
              <w:top w:val="single" w:sz="12" w:space="0" w:color="008000"/>
              <w:bottom w:val="nil"/>
            </w:tcBorders>
            <w:shd w:val="clear" w:color="auto" w:fill="FFFFFF"/>
          </w:tcPr>
          <w:p w14:paraId="1BEB7EE9" w14:textId="34AE82C6" w:rsidR="00A13BC3" w:rsidRPr="00B57B36" w:rsidRDefault="00A13BC3" w:rsidP="00C8550C">
            <w:pPr>
              <w:pStyle w:val="CETBodytext"/>
              <w:rPr>
                <w:lang w:val="en-GB"/>
              </w:rPr>
            </w:pPr>
          </w:p>
        </w:tc>
        <w:tc>
          <w:tcPr>
            <w:tcW w:w="1678" w:type="pct"/>
            <w:gridSpan w:val="2"/>
            <w:tcBorders>
              <w:top w:val="single" w:sz="12" w:space="0" w:color="008000"/>
              <w:bottom w:val="nil"/>
            </w:tcBorders>
            <w:shd w:val="clear" w:color="auto" w:fill="FFFFFF"/>
          </w:tcPr>
          <w:p w14:paraId="56B80B31" w14:textId="7D401D9C" w:rsidR="00A13BC3" w:rsidRPr="00B57B36" w:rsidRDefault="00A13BC3" w:rsidP="0086155F">
            <w:pPr>
              <w:pStyle w:val="CETBodytext"/>
              <w:jc w:val="left"/>
              <w:rPr>
                <w:lang w:val="en-GB"/>
              </w:rPr>
            </w:pPr>
            <w:r>
              <w:rPr>
                <w:lang w:val="en-GB"/>
              </w:rPr>
              <w:t>CDU_3</w:t>
            </w:r>
          </w:p>
        </w:tc>
        <w:tc>
          <w:tcPr>
            <w:tcW w:w="1713" w:type="pct"/>
            <w:gridSpan w:val="2"/>
            <w:tcBorders>
              <w:top w:val="single" w:sz="12" w:space="0" w:color="008000"/>
              <w:bottom w:val="nil"/>
            </w:tcBorders>
            <w:shd w:val="clear" w:color="auto" w:fill="FFFFFF"/>
          </w:tcPr>
          <w:p w14:paraId="1DCCD5EF" w14:textId="5C6CDF51" w:rsidR="00A13BC3" w:rsidRDefault="00A13BC3" w:rsidP="0086155F">
            <w:pPr>
              <w:pStyle w:val="CETBodytext"/>
              <w:jc w:val="left"/>
              <w:rPr>
                <w:lang w:val="en-GB"/>
              </w:rPr>
            </w:pPr>
            <w:r>
              <w:rPr>
                <w:lang w:val="en-GB"/>
              </w:rPr>
              <w:t>CDU_4</w:t>
            </w:r>
          </w:p>
        </w:tc>
      </w:tr>
      <w:tr w:rsidR="00A13BC3" w:rsidRPr="00B57B36" w14:paraId="0DE4CB0F" w14:textId="5637ECA4" w:rsidTr="00685E78">
        <w:tc>
          <w:tcPr>
            <w:tcW w:w="1609" w:type="pct"/>
            <w:tcBorders>
              <w:top w:val="nil"/>
              <w:bottom w:val="single" w:sz="6" w:space="0" w:color="008000"/>
            </w:tcBorders>
            <w:shd w:val="clear" w:color="auto" w:fill="FFFFFF"/>
          </w:tcPr>
          <w:p w14:paraId="0A8EE468" w14:textId="77777777" w:rsidR="00A13BC3" w:rsidRPr="00264842" w:rsidRDefault="00A13BC3" w:rsidP="00A13BC3">
            <w:pPr>
              <w:pStyle w:val="CETBodytext"/>
            </w:pPr>
          </w:p>
        </w:tc>
        <w:tc>
          <w:tcPr>
            <w:tcW w:w="546" w:type="pct"/>
            <w:tcBorders>
              <w:top w:val="nil"/>
              <w:bottom w:val="single" w:sz="6" w:space="0" w:color="008000"/>
            </w:tcBorders>
            <w:shd w:val="clear" w:color="auto" w:fill="FFFFFF"/>
          </w:tcPr>
          <w:p w14:paraId="26DD0F8C" w14:textId="5DAA6D2A" w:rsidR="00A13BC3" w:rsidRPr="00264842" w:rsidRDefault="00A13BC3" w:rsidP="00A13BC3">
            <w:pPr>
              <w:pStyle w:val="CETBodytext"/>
            </w:pPr>
            <w:r>
              <w:t>S [%]</w:t>
            </w:r>
          </w:p>
        </w:tc>
        <w:tc>
          <w:tcPr>
            <w:tcW w:w="1133" w:type="pct"/>
            <w:tcBorders>
              <w:top w:val="nil"/>
              <w:bottom w:val="single" w:sz="6" w:space="0" w:color="008000"/>
            </w:tcBorders>
            <w:shd w:val="clear" w:color="auto" w:fill="FFFFFF"/>
          </w:tcPr>
          <w:p w14:paraId="09AA3652" w14:textId="5D7CFB27" w:rsidR="00A13BC3" w:rsidRPr="00264842" w:rsidRDefault="00A13BC3" w:rsidP="00A13BC3">
            <w:pPr>
              <w:pStyle w:val="CETBodytext"/>
            </w:pPr>
            <w:r>
              <w:t>TAN [mgKOH/g]</w:t>
            </w:r>
          </w:p>
        </w:tc>
        <w:tc>
          <w:tcPr>
            <w:tcW w:w="581" w:type="pct"/>
            <w:tcBorders>
              <w:top w:val="nil"/>
              <w:bottom w:val="single" w:sz="6" w:space="0" w:color="008000"/>
            </w:tcBorders>
            <w:shd w:val="clear" w:color="auto" w:fill="FFFFFF"/>
          </w:tcPr>
          <w:p w14:paraId="361EBCD3" w14:textId="2776EE11" w:rsidR="00A13BC3" w:rsidRDefault="00A13BC3" w:rsidP="00A13BC3">
            <w:pPr>
              <w:pStyle w:val="CETBodytext"/>
            </w:pPr>
            <w:r>
              <w:t>S [%]</w:t>
            </w:r>
          </w:p>
        </w:tc>
        <w:tc>
          <w:tcPr>
            <w:tcW w:w="1132" w:type="pct"/>
            <w:tcBorders>
              <w:top w:val="nil"/>
              <w:bottom w:val="single" w:sz="6" w:space="0" w:color="008000"/>
            </w:tcBorders>
            <w:shd w:val="clear" w:color="auto" w:fill="FFFFFF"/>
          </w:tcPr>
          <w:p w14:paraId="3A7E3FF9" w14:textId="1897DAF8" w:rsidR="00A13BC3" w:rsidRDefault="00A13BC3" w:rsidP="00A13BC3">
            <w:pPr>
              <w:pStyle w:val="CETBodytext"/>
            </w:pPr>
            <w:r>
              <w:t>TAN [mgKOH/g]</w:t>
            </w:r>
          </w:p>
        </w:tc>
      </w:tr>
      <w:tr w:rsidR="00A13BC3" w:rsidRPr="00B57B36" w14:paraId="50F096D9" w14:textId="1868F89E" w:rsidTr="00685E78">
        <w:tc>
          <w:tcPr>
            <w:tcW w:w="1609" w:type="pct"/>
            <w:tcBorders>
              <w:top w:val="single" w:sz="6" w:space="0" w:color="008000"/>
              <w:bottom w:val="nil"/>
            </w:tcBorders>
            <w:shd w:val="clear" w:color="auto" w:fill="FFFFFF"/>
          </w:tcPr>
          <w:p w14:paraId="4E3AA3A2" w14:textId="736C5B22" w:rsidR="00A13BC3" w:rsidRPr="00B57B36" w:rsidRDefault="00A13BC3" w:rsidP="00A13BC3">
            <w:pPr>
              <w:pStyle w:val="CETBodytext"/>
              <w:rPr>
                <w:lang w:val="en-GB"/>
              </w:rPr>
            </w:pPr>
            <w:r>
              <w:rPr>
                <w:lang w:val="en-GB"/>
              </w:rPr>
              <w:t>September 2023</w:t>
            </w:r>
          </w:p>
        </w:tc>
        <w:tc>
          <w:tcPr>
            <w:tcW w:w="546" w:type="pct"/>
            <w:tcBorders>
              <w:top w:val="single" w:sz="6" w:space="0" w:color="008000"/>
              <w:bottom w:val="nil"/>
            </w:tcBorders>
            <w:shd w:val="clear" w:color="auto" w:fill="FFFFFF"/>
            <w:vAlign w:val="center"/>
          </w:tcPr>
          <w:p w14:paraId="3AA452BF" w14:textId="0E20BE0B" w:rsidR="00A13BC3" w:rsidRPr="00B57B36" w:rsidRDefault="00A13BC3" w:rsidP="00A13BC3">
            <w:pPr>
              <w:pStyle w:val="CETBodytext"/>
              <w:rPr>
                <w:lang w:val="en-GB"/>
              </w:rPr>
            </w:pPr>
            <w:r w:rsidRPr="004F1046">
              <w:rPr>
                <w:rFonts w:eastAsia="SimSun"/>
                <w:bCs/>
                <w:szCs w:val="18"/>
                <w:lang w:val="en-GB"/>
              </w:rPr>
              <w:t>0.154</w:t>
            </w:r>
          </w:p>
        </w:tc>
        <w:tc>
          <w:tcPr>
            <w:tcW w:w="1133" w:type="pct"/>
            <w:tcBorders>
              <w:top w:val="single" w:sz="6" w:space="0" w:color="008000"/>
              <w:bottom w:val="nil"/>
            </w:tcBorders>
            <w:shd w:val="clear" w:color="auto" w:fill="FFFFFF"/>
            <w:vAlign w:val="center"/>
          </w:tcPr>
          <w:p w14:paraId="4D073B82" w14:textId="19276DF0" w:rsidR="00A13BC3" w:rsidRPr="00B57B36" w:rsidRDefault="00A13BC3" w:rsidP="00A13BC3">
            <w:pPr>
              <w:pStyle w:val="CETBodytext"/>
              <w:rPr>
                <w:lang w:val="en-GB"/>
              </w:rPr>
            </w:pPr>
            <w:r w:rsidRPr="004F1046">
              <w:rPr>
                <w:rFonts w:eastAsia="SimSun"/>
                <w:bCs/>
                <w:szCs w:val="18"/>
                <w:lang w:val="en-GB"/>
              </w:rPr>
              <w:t>0.097</w:t>
            </w:r>
          </w:p>
        </w:tc>
        <w:tc>
          <w:tcPr>
            <w:tcW w:w="581" w:type="pct"/>
            <w:tcBorders>
              <w:top w:val="single" w:sz="6" w:space="0" w:color="008000"/>
              <w:bottom w:val="nil"/>
            </w:tcBorders>
            <w:shd w:val="clear" w:color="auto" w:fill="FFFFFF"/>
            <w:vAlign w:val="center"/>
          </w:tcPr>
          <w:p w14:paraId="03F9EA7F" w14:textId="44AFF874" w:rsidR="00A13BC3" w:rsidRPr="004F1046" w:rsidRDefault="00A13BC3" w:rsidP="00A13BC3">
            <w:pPr>
              <w:pStyle w:val="CETBodytext"/>
              <w:rPr>
                <w:rFonts w:eastAsia="SimSun"/>
                <w:bCs/>
                <w:szCs w:val="18"/>
                <w:lang w:val="en-GB"/>
              </w:rPr>
            </w:pPr>
            <w:r w:rsidRPr="004F1046">
              <w:rPr>
                <w:rFonts w:eastAsia="SimSun"/>
                <w:bCs/>
                <w:szCs w:val="18"/>
                <w:lang w:val="en-GB"/>
              </w:rPr>
              <w:t>1.947</w:t>
            </w:r>
          </w:p>
        </w:tc>
        <w:tc>
          <w:tcPr>
            <w:tcW w:w="1132" w:type="pct"/>
            <w:tcBorders>
              <w:top w:val="single" w:sz="6" w:space="0" w:color="008000"/>
              <w:bottom w:val="nil"/>
            </w:tcBorders>
            <w:shd w:val="clear" w:color="auto" w:fill="FFFFFF"/>
            <w:vAlign w:val="center"/>
          </w:tcPr>
          <w:p w14:paraId="0E1691FB" w14:textId="2DDB64B1" w:rsidR="00A13BC3" w:rsidRPr="004F1046" w:rsidRDefault="00A13BC3" w:rsidP="00A13BC3">
            <w:pPr>
              <w:pStyle w:val="CETBodytext"/>
              <w:rPr>
                <w:rFonts w:eastAsia="SimSun"/>
                <w:bCs/>
                <w:szCs w:val="18"/>
                <w:lang w:val="en-GB"/>
              </w:rPr>
            </w:pPr>
            <w:r w:rsidRPr="004F1046">
              <w:rPr>
                <w:rFonts w:eastAsia="SimSun"/>
                <w:bCs/>
                <w:szCs w:val="18"/>
                <w:lang w:val="en-GB"/>
              </w:rPr>
              <w:t>0.103</w:t>
            </w:r>
          </w:p>
        </w:tc>
      </w:tr>
      <w:tr w:rsidR="00A13BC3" w:rsidRPr="00B57B36" w14:paraId="673E23BE" w14:textId="12EAEFBA" w:rsidTr="00685E78">
        <w:tc>
          <w:tcPr>
            <w:tcW w:w="1609" w:type="pct"/>
            <w:tcBorders>
              <w:top w:val="nil"/>
            </w:tcBorders>
            <w:shd w:val="clear" w:color="auto" w:fill="FFFFFF"/>
          </w:tcPr>
          <w:p w14:paraId="477CC422" w14:textId="12DD3812" w:rsidR="00A13BC3" w:rsidRPr="00264842" w:rsidRDefault="00A13BC3" w:rsidP="00A13BC3">
            <w:pPr>
              <w:pStyle w:val="CETBodytext"/>
            </w:pPr>
            <w:r>
              <w:t>October 2023</w:t>
            </w:r>
          </w:p>
        </w:tc>
        <w:tc>
          <w:tcPr>
            <w:tcW w:w="546" w:type="pct"/>
            <w:tcBorders>
              <w:top w:val="nil"/>
            </w:tcBorders>
            <w:shd w:val="clear" w:color="auto" w:fill="FFFFFF"/>
            <w:vAlign w:val="center"/>
          </w:tcPr>
          <w:p w14:paraId="187D2BE3" w14:textId="18B13DAC" w:rsidR="00A13BC3" w:rsidRPr="00264842" w:rsidRDefault="00A13BC3" w:rsidP="00A13BC3">
            <w:pPr>
              <w:pStyle w:val="CETBodytext"/>
            </w:pPr>
            <w:r w:rsidRPr="004F1046">
              <w:rPr>
                <w:rFonts w:eastAsia="SimSun"/>
                <w:bCs/>
                <w:szCs w:val="18"/>
                <w:lang w:val="en-GB"/>
              </w:rPr>
              <w:t>0.158</w:t>
            </w:r>
          </w:p>
        </w:tc>
        <w:tc>
          <w:tcPr>
            <w:tcW w:w="1133" w:type="pct"/>
            <w:tcBorders>
              <w:top w:val="nil"/>
            </w:tcBorders>
            <w:shd w:val="clear" w:color="auto" w:fill="FFFFFF"/>
            <w:vAlign w:val="center"/>
          </w:tcPr>
          <w:p w14:paraId="15096DA6" w14:textId="6297ACC6" w:rsidR="00A13BC3" w:rsidRPr="00264842" w:rsidRDefault="00A13BC3" w:rsidP="00A13BC3">
            <w:pPr>
              <w:pStyle w:val="CETBodytext"/>
            </w:pPr>
            <w:r w:rsidRPr="004F1046">
              <w:rPr>
                <w:rFonts w:eastAsia="SimSun"/>
                <w:szCs w:val="18"/>
                <w:lang w:val="en-GB"/>
              </w:rPr>
              <w:t>0.096</w:t>
            </w:r>
          </w:p>
        </w:tc>
        <w:tc>
          <w:tcPr>
            <w:tcW w:w="581" w:type="pct"/>
            <w:tcBorders>
              <w:top w:val="nil"/>
            </w:tcBorders>
            <w:shd w:val="clear" w:color="auto" w:fill="FFFFFF"/>
            <w:vAlign w:val="center"/>
          </w:tcPr>
          <w:p w14:paraId="62FA9B1C" w14:textId="54B29904" w:rsidR="00A13BC3" w:rsidRPr="004F1046" w:rsidRDefault="00A13BC3" w:rsidP="00A13BC3">
            <w:pPr>
              <w:pStyle w:val="CETBodytext"/>
              <w:rPr>
                <w:rFonts w:eastAsia="SimSun"/>
                <w:szCs w:val="18"/>
                <w:lang w:val="en-GB"/>
              </w:rPr>
            </w:pPr>
            <w:r w:rsidRPr="004F1046">
              <w:rPr>
                <w:rFonts w:eastAsia="SimSun"/>
                <w:szCs w:val="18"/>
              </w:rPr>
              <w:t>2.072</w:t>
            </w:r>
          </w:p>
        </w:tc>
        <w:tc>
          <w:tcPr>
            <w:tcW w:w="1132" w:type="pct"/>
            <w:tcBorders>
              <w:top w:val="nil"/>
            </w:tcBorders>
            <w:shd w:val="clear" w:color="auto" w:fill="FFFFFF"/>
            <w:vAlign w:val="center"/>
          </w:tcPr>
          <w:p w14:paraId="59FB661F" w14:textId="62A50990" w:rsidR="00A13BC3" w:rsidRPr="004F1046" w:rsidRDefault="00A13BC3" w:rsidP="00A13BC3">
            <w:pPr>
              <w:pStyle w:val="CETBodytext"/>
              <w:rPr>
                <w:rFonts w:eastAsia="SimSun"/>
                <w:szCs w:val="18"/>
                <w:lang w:val="en-GB"/>
              </w:rPr>
            </w:pPr>
            <w:r w:rsidRPr="004F1046">
              <w:rPr>
                <w:rFonts w:eastAsia="SimSun"/>
                <w:szCs w:val="18"/>
              </w:rPr>
              <w:t>0.112</w:t>
            </w:r>
          </w:p>
        </w:tc>
      </w:tr>
      <w:tr w:rsidR="00A13BC3" w:rsidRPr="00B57B36" w14:paraId="66235307" w14:textId="1C898BE8" w:rsidTr="00A13BC3">
        <w:tc>
          <w:tcPr>
            <w:tcW w:w="1609" w:type="pct"/>
            <w:shd w:val="clear" w:color="auto" w:fill="FFFFFF"/>
          </w:tcPr>
          <w:p w14:paraId="38D7E00B" w14:textId="709AC529" w:rsidR="00A13BC3" w:rsidRPr="00B57B36" w:rsidRDefault="00A13BC3" w:rsidP="00A13BC3">
            <w:pPr>
              <w:pStyle w:val="CETBodytext"/>
              <w:rPr>
                <w:lang w:val="en-GB"/>
              </w:rPr>
            </w:pPr>
            <w:r>
              <w:rPr>
                <w:lang w:val="en-GB"/>
              </w:rPr>
              <w:t>November 2023</w:t>
            </w:r>
          </w:p>
        </w:tc>
        <w:tc>
          <w:tcPr>
            <w:tcW w:w="546" w:type="pct"/>
            <w:shd w:val="clear" w:color="auto" w:fill="FFFFFF"/>
            <w:vAlign w:val="center"/>
          </w:tcPr>
          <w:p w14:paraId="4CBADE56" w14:textId="6FCC1818" w:rsidR="00A13BC3" w:rsidRPr="00B57B36" w:rsidRDefault="00A13BC3" w:rsidP="00A13BC3">
            <w:pPr>
              <w:pStyle w:val="CETBodytext"/>
              <w:rPr>
                <w:lang w:val="en-GB"/>
              </w:rPr>
            </w:pPr>
            <w:r w:rsidRPr="004F1046">
              <w:rPr>
                <w:rFonts w:eastAsia="SimSun"/>
                <w:bCs/>
                <w:szCs w:val="18"/>
              </w:rPr>
              <w:t>0.146</w:t>
            </w:r>
          </w:p>
        </w:tc>
        <w:tc>
          <w:tcPr>
            <w:tcW w:w="1133" w:type="pct"/>
            <w:shd w:val="clear" w:color="auto" w:fill="FFFFFF"/>
            <w:vAlign w:val="center"/>
          </w:tcPr>
          <w:p w14:paraId="37F06900" w14:textId="03C54DB4" w:rsidR="00A13BC3" w:rsidRPr="00B57B36" w:rsidRDefault="00A13BC3" w:rsidP="00A13BC3">
            <w:pPr>
              <w:pStyle w:val="CETBodytext"/>
              <w:rPr>
                <w:lang w:val="en-GB"/>
              </w:rPr>
            </w:pPr>
            <w:r w:rsidRPr="004F1046">
              <w:rPr>
                <w:rFonts w:eastAsia="SimSun"/>
                <w:szCs w:val="18"/>
              </w:rPr>
              <w:t>0.099</w:t>
            </w:r>
          </w:p>
        </w:tc>
        <w:tc>
          <w:tcPr>
            <w:tcW w:w="581" w:type="pct"/>
            <w:shd w:val="clear" w:color="auto" w:fill="FFFFFF"/>
            <w:vAlign w:val="center"/>
          </w:tcPr>
          <w:p w14:paraId="5B279202" w14:textId="706CD4B7" w:rsidR="00A13BC3" w:rsidRPr="004F1046" w:rsidRDefault="00A13BC3" w:rsidP="00A13BC3">
            <w:pPr>
              <w:pStyle w:val="CETBodytext"/>
              <w:rPr>
                <w:rFonts w:eastAsia="SimSun"/>
                <w:szCs w:val="18"/>
              </w:rPr>
            </w:pPr>
            <w:r w:rsidRPr="004F1046">
              <w:rPr>
                <w:rFonts w:eastAsia="SimSun"/>
                <w:szCs w:val="18"/>
              </w:rPr>
              <w:t>2.148</w:t>
            </w:r>
          </w:p>
        </w:tc>
        <w:tc>
          <w:tcPr>
            <w:tcW w:w="1132" w:type="pct"/>
            <w:shd w:val="clear" w:color="auto" w:fill="FFFFFF"/>
            <w:vAlign w:val="center"/>
          </w:tcPr>
          <w:p w14:paraId="63C8F22F" w14:textId="1A2976E8" w:rsidR="00A13BC3" w:rsidRPr="004F1046" w:rsidRDefault="00A13BC3" w:rsidP="00A13BC3">
            <w:pPr>
              <w:pStyle w:val="CETBodytext"/>
              <w:rPr>
                <w:rFonts w:eastAsia="SimSun"/>
                <w:szCs w:val="18"/>
              </w:rPr>
            </w:pPr>
            <w:r w:rsidRPr="004F1046">
              <w:rPr>
                <w:rFonts w:eastAsia="SimSun"/>
                <w:szCs w:val="18"/>
              </w:rPr>
              <w:t>0.124</w:t>
            </w:r>
          </w:p>
        </w:tc>
      </w:tr>
      <w:tr w:rsidR="00A13BC3" w:rsidRPr="00B57B36" w14:paraId="0C1A97B2" w14:textId="2EFFEA0A" w:rsidTr="00A13BC3">
        <w:tc>
          <w:tcPr>
            <w:tcW w:w="1609" w:type="pct"/>
            <w:shd w:val="clear" w:color="auto" w:fill="FFFFFF"/>
          </w:tcPr>
          <w:p w14:paraId="74351BFD" w14:textId="754D5162" w:rsidR="00A13BC3" w:rsidRPr="00B57B36" w:rsidRDefault="00A13BC3" w:rsidP="00A13BC3">
            <w:pPr>
              <w:pStyle w:val="CETBodytext"/>
              <w:rPr>
                <w:lang w:val="en-GB"/>
              </w:rPr>
            </w:pPr>
            <w:r>
              <w:rPr>
                <w:lang w:val="en-GB"/>
              </w:rPr>
              <w:t>December 2023</w:t>
            </w:r>
          </w:p>
        </w:tc>
        <w:tc>
          <w:tcPr>
            <w:tcW w:w="546" w:type="pct"/>
            <w:shd w:val="clear" w:color="auto" w:fill="FFFFFF"/>
            <w:vAlign w:val="center"/>
          </w:tcPr>
          <w:p w14:paraId="347FC10E" w14:textId="4342A4F8" w:rsidR="00A13BC3" w:rsidRPr="00B57B36" w:rsidRDefault="00A13BC3" w:rsidP="00A13BC3">
            <w:pPr>
              <w:pStyle w:val="CETBodytext"/>
              <w:rPr>
                <w:lang w:val="en-GB"/>
              </w:rPr>
            </w:pPr>
            <w:r w:rsidRPr="004F1046">
              <w:rPr>
                <w:rFonts w:eastAsia="SimSun"/>
                <w:bCs/>
                <w:szCs w:val="18"/>
              </w:rPr>
              <w:t>0.148</w:t>
            </w:r>
          </w:p>
        </w:tc>
        <w:tc>
          <w:tcPr>
            <w:tcW w:w="1133" w:type="pct"/>
            <w:shd w:val="clear" w:color="auto" w:fill="FFFFFF"/>
            <w:vAlign w:val="center"/>
          </w:tcPr>
          <w:p w14:paraId="241E1193" w14:textId="6EBF88DF" w:rsidR="00A13BC3" w:rsidRPr="00B57B36" w:rsidRDefault="00A13BC3" w:rsidP="00A13BC3">
            <w:pPr>
              <w:pStyle w:val="CETBodytext"/>
              <w:rPr>
                <w:lang w:val="en-GB"/>
              </w:rPr>
            </w:pPr>
            <w:r w:rsidRPr="004F1046">
              <w:rPr>
                <w:rFonts w:eastAsia="SimSun"/>
                <w:szCs w:val="18"/>
              </w:rPr>
              <w:t>0.125</w:t>
            </w:r>
          </w:p>
        </w:tc>
        <w:tc>
          <w:tcPr>
            <w:tcW w:w="581" w:type="pct"/>
            <w:shd w:val="clear" w:color="auto" w:fill="FFFFFF"/>
            <w:vAlign w:val="center"/>
          </w:tcPr>
          <w:p w14:paraId="19211F95" w14:textId="43C350A9" w:rsidR="00A13BC3" w:rsidRPr="004F1046" w:rsidRDefault="00A13BC3" w:rsidP="00A13BC3">
            <w:pPr>
              <w:pStyle w:val="CETBodytext"/>
              <w:rPr>
                <w:rFonts w:eastAsia="SimSun"/>
                <w:szCs w:val="18"/>
              </w:rPr>
            </w:pPr>
            <w:r w:rsidRPr="004F1046">
              <w:rPr>
                <w:rFonts w:eastAsia="SimSun"/>
                <w:szCs w:val="18"/>
              </w:rPr>
              <w:t>1.872</w:t>
            </w:r>
          </w:p>
        </w:tc>
        <w:tc>
          <w:tcPr>
            <w:tcW w:w="1132" w:type="pct"/>
            <w:shd w:val="clear" w:color="auto" w:fill="FFFFFF"/>
            <w:vAlign w:val="center"/>
          </w:tcPr>
          <w:p w14:paraId="2AC249DE" w14:textId="36FA4DF2" w:rsidR="00A13BC3" w:rsidRPr="004F1046" w:rsidRDefault="00A13BC3" w:rsidP="00A13BC3">
            <w:pPr>
              <w:pStyle w:val="CETBodytext"/>
              <w:rPr>
                <w:rFonts w:eastAsia="SimSun"/>
                <w:szCs w:val="18"/>
              </w:rPr>
            </w:pPr>
            <w:r w:rsidRPr="004F1046">
              <w:rPr>
                <w:rFonts w:eastAsia="SimSun"/>
                <w:szCs w:val="18"/>
              </w:rPr>
              <w:t>0.106</w:t>
            </w:r>
          </w:p>
        </w:tc>
      </w:tr>
      <w:tr w:rsidR="00A13BC3" w:rsidRPr="00B57B36" w14:paraId="251365EF" w14:textId="7A988104" w:rsidTr="00252E92">
        <w:tc>
          <w:tcPr>
            <w:tcW w:w="1609" w:type="pct"/>
            <w:tcBorders>
              <w:bottom w:val="single" w:sz="12" w:space="0" w:color="008000"/>
            </w:tcBorders>
            <w:shd w:val="clear" w:color="auto" w:fill="FFFFFF"/>
          </w:tcPr>
          <w:p w14:paraId="733A2C4D" w14:textId="46CA2524" w:rsidR="00A13BC3" w:rsidRPr="00B57B36" w:rsidRDefault="00A13BC3" w:rsidP="00A13BC3">
            <w:pPr>
              <w:pStyle w:val="CETBodytext"/>
              <w:ind w:right="-1"/>
              <w:rPr>
                <w:rFonts w:cs="Arial"/>
                <w:szCs w:val="18"/>
                <w:lang w:val="en-GB"/>
              </w:rPr>
            </w:pPr>
            <w:r>
              <w:rPr>
                <w:rFonts w:cs="Arial"/>
                <w:szCs w:val="18"/>
                <w:lang w:val="en-GB"/>
              </w:rPr>
              <w:t>January 2024</w:t>
            </w:r>
          </w:p>
        </w:tc>
        <w:tc>
          <w:tcPr>
            <w:tcW w:w="546" w:type="pct"/>
            <w:tcBorders>
              <w:bottom w:val="single" w:sz="12" w:space="0" w:color="008000"/>
            </w:tcBorders>
            <w:shd w:val="clear" w:color="auto" w:fill="FFFFFF"/>
            <w:vAlign w:val="center"/>
          </w:tcPr>
          <w:p w14:paraId="19C27F5C" w14:textId="44F2B77E" w:rsidR="00A13BC3" w:rsidRPr="00B57B36" w:rsidRDefault="00A13BC3" w:rsidP="00A13BC3">
            <w:pPr>
              <w:pStyle w:val="CETBodytext"/>
              <w:ind w:right="-1"/>
              <w:rPr>
                <w:rFonts w:cs="Arial"/>
                <w:szCs w:val="18"/>
                <w:lang w:val="en-GB"/>
              </w:rPr>
            </w:pPr>
            <w:r w:rsidRPr="004F1046">
              <w:rPr>
                <w:rFonts w:eastAsia="SimSun"/>
                <w:bCs/>
                <w:szCs w:val="18"/>
              </w:rPr>
              <w:t>0.131</w:t>
            </w:r>
          </w:p>
        </w:tc>
        <w:tc>
          <w:tcPr>
            <w:tcW w:w="1133" w:type="pct"/>
            <w:tcBorders>
              <w:bottom w:val="single" w:sz="12" w:space="0" w:color="008000"/>
            </w:tcBorders>
            <w:shd w:val="clear" w:color="auto" w:fill="FFFFFF"/>
            <w:vAlign w:val="center"/>
          </w:tcPr>
          <w:p w14:paraId="559CA9CA" w14:textId="2E762694" w:rsidR="00A13BC3" w:rsidRPr="00B57B36" w:rsidRDefault="00A13BC3" w:rsidP="00A13BC3">
            <w:pPr>
              <w:pStyle w:val="CETBodytext"/>
              <w:ind w:right="-1"/>
              <w:rPr>
                <w:rFonts w:cs="Arial"/>
                <w:szCs w:val="18"/>
                <w:lang w:val="en-GB"/>
              </w:rPr>
            </w:pPr>
            <w:r w:rsidRPr="004F1046">
              <w:rPr>
                <w:rFonts w:eastAsia="SimSun"/>
                <w:szCs w:val="18"/>
              </w:rPr>
              <w:t>0.072</w:t>
            </w:r>
          </w:p>
        </w:tc>
        <w:tc>
          <w:tcPr>
            <w:tcW w:w="581" w:type="pct"/>
            <w:tcBorders>
              <w:bottom w:val="single" w:sz="12" w:space="0" w:color="008000"/>
            </w:tcBorders>
            <w:shd w:val="clear" w:color="auto" w:fill="FFFFFF"/>
            <w:vAlign w:val="center"/>
          </w:tcPr>
          <w:p w14:paraId="7DABA15C" w14:textId="3B8CFBA1" w:rsidR="00A13BC3" w:rsidRPr="004F1046" w:rsidRDefault="00A13BC3" w:rsidP="00A13BC3">
            <w:pPr>
              <w:pStyle w:val="CETBodytext"/>
              <w:ind w:right="-1"/>
              <w:rPr>
                <w:rFonts w:eastAsia="SimSun"/>
                <w:szCs w:val="18"/>
              </w:rPr>
            </w:pPr>
            <w:r w:rsidRPr="004F1046">
              <w:rPr>
                <w:rFonts w:eastAsia="SimSun"/>
                <w:szCs w:val="18"/>
              </w:rPr>
              <w:t>2.015</w:t>
            </w:r>
          </w:p>
        </w:tc>
        <w:tc>
          <w:tcPr>
            <w:tcW w:w="1132" w:type="pct"/>
            <w:tcBorders>
              <w:bottom w:val="single" w:sz="12" w:space="0" w:color="008000"/>
            </w:tcBorders>
            <w:shd w:val="clear" w:color="auto" w:fill="FFFFFF"/>
            <w:vAlign w:val="center"/>
          </w:tcPr>
          <w:p w14:paraId="479A7F92" w14:textId="2A9E2A9A" w:rsidR="00A13BC3" w:rsidRPr="004F1046" w:rsidRDefault="00A13BC3" w:rsidP="00A13BC3">
            <w:pPr>
              <w:pStyle w:val="CETBodytext"/>
              <w:ind w:right="-1"/>
              <w:rPr>
                <w:rFonts w:eastAsia="SimSun"/>
                <w:szCs w:val="18"/>
              </w:rPr>
            </w:pPr>
            <w:r w:rsidRPr="004F1046">
              <w:rPr>
                <w:rFonts w:eastAsia="SimSun"/>
                <w:szCs w:val="18"/>
              </w:rPr>
              <w:t>0.118</w:t>
            </w:r>
          </w:p>
        </w:tc>
      </w:tr>
    </w:tbl>
    <w:p w14:paraId="7F8D6C93" w14:textId="2FCCE8BB" w:rsidR="00A248E4" w:rsidRDefault="00A248E4" w:rsidP="00A248E4">
      <w:pPr>
        <w:pStyle w:val="CETBodytext"/>
        <w:jc w:val="left"/>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E25106" w14:paraId="077B4C64" w14:textId="77777777" w:rsidTr="007943EA">
        <w:tc>
          <w:tcPr>
            <w:tcW w:w="4506" w:type="dxa"/>
          </w:tcPr>
          <w:p w14:paraId="6D651559" w14:textId="23C34550" w:rsidR="00E25106" w:rsidRDefault="00AB5F7B" w:rsidP="007943EA">
            <w:pPr>
              <w:spacing w:line="276" w:lineRule="auto"/>
              <w:rPr>
                <w:rFonts w:eastAsia="Calibri"/>
                <w:kern w:val="2"/>
                <w:szCs w:val="24"/>
                <w14:ligatures w14:val="standardContextual"/>
              </w:rPr>
            </w:pPr>
            <w:r>
              <w:rPr>
                <w:rFonts w:eastAsia="Calibri"/>
                <w:noProof/>
                <w:kern w:val="2"/>
                <w:szCs w:val="24"/>
                <w:lang w:val="it-IT" w:eastAsia="it-IT"/>
                <w14:ligatures w14:val="standardContextual"/>
              </w:rPr>
              <w:lastRenderedPageBreak/>
              <w:drawing>
                <wp:inline distT="0" distB="0" distL="0" distR="0" wp14:anchorId="6C28FAE3" wp14:editId="73E61D12">
                  <wp:extent cx="2761200" cy="1656000"/>
                  <wp:effectExtent l="0" t="0" r="1270" b="1905"/>
                  <wp:docPr id="812920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1200" cy="1656000"/>
                          </a:xfrm>
                          <a:prstGeom prst="rect">
                            <a:avLst/>
                          </a:prstGeom>
                          <a:noFill/>
                        </pic:spPr>
                      </pic:pic>
                    </a:graphicData>
                  </a:graphic>
                </wp:inline>
              </w:drawing>
            </w:r>
          </w:p>
        </w:tc>
        <w:tc>
          <w:tcPr>
            <w:tcW w:w="4479" w:type="dxa"/>
          </w:tcPr>
          <w:p w14:paraId="59F0D72A" w14:textId="1DBCCBF1" w:rsidR="00E25106" w:rsidRDefault="00AB5F7B" w:rsidP="007943EA">
            <w:pPr>
              <w:spacing w:line="276" w:lineRule="auto"/>
              <w:jc w:val="left"/>
              <w:rPr>
                <w:rFonts w:eastAsia="Calibri"/>
                <w:kern w:val="2"/>
                <w:szCs w:val="24"/>
                <w14:ligatures w14:val="standardContextual"/>
              </w:rPr>
            </w:pPr>
            <w:r>
              <w:rPr>
                <w:rFonts w:eastAsia="Calibri"/>
                <w:noProof/>
                <w:kern w:val="2"/>
                <w:szCs w:val="24"/>
                <w:lang w:val="it-IT" w:eastAsia="it-IT"/>
                <w14:ligatures w14:val="standardContextual"/>
              </w:rPr>
              <w:drawing>
                <wp:inline distT="0" distB="0" distL="0" distR="0" wp14:anchorId="0D11E1FD" wp14:editId="5DF61FDE">
                  <wp:extent cx="2757600" cy="1656000"/>
                  <wp:effectExtent l="0" t="0" r="5080" b="1905"/>
                  <wp:docPr id="13080267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7600" cy="1656000"/>
                          </a:xfrm>
                          <a:prstGeom prst="rect">
                            <a:avLst/>
                          </a:prstGeom>
                          <a:noFill/>
                        </pic:spPr>
                      </pic:pic>
                    </a:graphicData>
                  </a:graphic>
                </wp:inline>
              </w:drawing>
            </w:r>
          </w:p>
        </w:tc>
      </w:tr>
      <w:tr w:rsidR="00E25106" w14:paraId="63276557" w14:textId="77777777" w:rsidTr="007943EA">
        <w:tc>
          <w:tcPr>
            <w:tcW w:w="4506" w:type="dxa"/>
          </w:tcPr>
          <w:p w14:paraId="202E3B8C" w14:textId="77777777" w:rsidR="00E25106" w:rsidRDefault="00E25106" w:rsidP="007943EA">
            <w:pPr>
              <w:spacing w:line="276" w:lineRule="auto"/>
              <w:rPr>
                <w:rFonts w:eastAsia="Calibri"/>
                <w:kern w:val="2"/>
                <w:szCs w:val="24"/>
                <w14:ligatures w14:val="standardContextual"/>
              </w:rPr>
            </w:pPr>
            <w:r>
              <w:rPr>
                <w:rFonts w:eastAsia="Calibri"/>
                <w:kern w:val="2"/>
                <w:szCs w:val="24"/>
                <w14:ligatures w14:val="standardContextual"/>
              </w:rPr>
              <w:t>(a)</w:t>
            </w:r>
          </w:p>
        </w:tc>
        <w:tc>
          <w:tcPr>
            <w:tcW w:w="4479" w:type="dxa"/>
          </w:tcPr>
          <w:p w14:paraId="28AF2B93" w14:textId="77777777" w:rsidR="00E25106" w:rsidRDefault="00E25106" w:rsidP="007943EA">
            <w:pPr>
              <w:spacing w:line="276" w:lineRule="auto"/>
              <w:rPr>
                <w:rFonts w:eastAsia="Calibri"/>
                <w:kern w:val="2"/>
                <w:szCs w:val="24"/>
                <w14:ligatures w14:val="standardContextual"/>
              </w:rPr>
            </w:pPr>
            <w:r>
              <w:rPr>
                <w:rFonts w:eastAsia="Calibri"/>
                <w:kern w:val="2"/>
                <w:szCs w:val="24"/>
                <w14:ligatures w14:val="standardContextual"/>
              </w:rPr>
              <w:t>(b)</w:t>
            </w:r>
          </w:p>
        </w:tc>
      </w:tr>
    </w:tbl>
    <w:p w14:paraId="3C2D92AC" w14:textId="56B053C9" w:rsidR="00CC2F7C" w:rsidRDefault="00CC2F7C" w:rsidP="00E25106">
      <w:pPr>
        <w:pStyle w:val="CETCaption"/>
        <w:rPr>
          <w:rStyle w:val="CETCaptionCarattere"/>
        </w:rPr>
      </w:pPr>
      <w:r w:rsidRPr="00BD077D">
        <w:rPr>
          <w:rStyle w:val="CETCaptionCarattere"/>
          <w:i/>
        </w:rPr>
        <w:t xml:space="preserve">Figure </w:t>
      </w:r>
      <w:r>
        <w:rPr>
          <w:rStyle w:val="CETCaptionCarattere"/>
          <w:i/>
        </w:rPr>
        <w:t>4 a) b)</w:t>
      </w:r>
      <w:r w:rsidRPr="00BD077D">
        <w:rPr>
          <w:rStyle w:val="CETCaptionCarattere"/>
          <w:i/>
        </w:rPr>
        <w:t xml:space="preserve">: </w:t>
      </w:r>
      <w:r w:rsidRPr="00E25106">
        <w:rPr>
          <w:rStyle w:val="CETCaptionCarattere"/>
        </w:rPr>
        <w:t xml:space="preserve">Thickness </w:t>
      </w:r>
      <w:r w:rsidR="009C5374">
        <w:rPr>
          <w:rStyle w:val="CETCaptionCarattere"/>
        </w:rPr>
        <w:t>measurements</w:t>
      </w:r>
      <w:r w:rsidRPr="00E25106">
        <w:rPr>
          <w:rStyle w:val="CETCaptionCarattere"/>
        </w:rPr>
        <w:t xml:space="preserve"> of pre-heating and transfer line sections of the high sulphur</w:t>
      </w:r>
      <w:r w:rsidR="00AB5F7B">
        <w:rPr>
          <w:rStyle w:val="CETCaptionCarattere"/>
        </w:rPr>
        <w:t xml:space="preserve"> distillation unit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AB5F7B" w14:paraId="24E0FEF5" w14:textId="77777777" w:rsidTr="00946E00">
        <w:tc>
          <w:tcPr>
            <w:tcW w:w="4506" w:type="dxa"/>
          </w:tcPr>
          <w:p w14:paraId="5BB67EE1" w14:textId="064AE917" w:rsidR="00AB5F7B" w:rsidRDefault="00AB5F7B" w:rsidP="00946E00">
            <w:pPr>
              <w:spacing w:line="276" w:lineRule="auto"/>
              <w:rPr>
                <w:rFonts w:eastAsia="Calibri"/>
                <w:kern w:val="2"/>
                <w:szCs w:val="24"/>
                <w14:ligatures w14:val="standardContextual"/>
              </w:rPr>
            </w:pPr>
            <w:r>
              <w:rPr>
                <w:rFonts w:eastAsia="Calibri"/>
                <w:noProof/>
                <w:kern w:val="2"/>
                <w:szCs w:val="24"/>
                <w:lang w:val="it-IT" w:eastAsia="it-IT"/>
                <w14:ligatures w14:val="standardContextual"/>
              </w:rPr>
              <w:drawing>
                <wp:inline distT="0" distB="0" distL="0" distR="0" wp14:anchorId="73992839" wp14:editId="02DCC1EB">
                  <wp:extent cx="2754000" cy="1656000"/>
                  <wp:effectExtent l="0" t="0" r="8255" b="1905"/>
                  <wp:docPr id="20842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4000" cy="1656000"/>
                          </a:xfrm>
                          <a:prstGeom prst="rect">
                            <a:avLst/>
                          </a:prstGeom>
                          <a:noFill/>
                        </pic:spPr>
                      </pic:pic>
                    </a:graphicData>
                  </a:graphic>
                </wp:inline>
              </w:drawing>
            </w:r>
          </w:p>
        </w:tc>
        <w:tc>
          <w:tcPr>
            <w:tcW w:w="4479" w:type="dxa"/>
          </w:tcPr>
          <w:p w14:paraId="032E5E36" w14:textId="4ADA9826" w:rsidR="00AB5F7B" w:rsidRDefault="00D52FEF" w:rsidP="00946E00">
            <w:pPr>
              <w:spacing w:line="276" w:lineRule="auto"/>
              <w:jc w:val="left"/>
              <w:rPr>
                <w:rFonts w:eastAsia="Calibri"/>
                <w:kern w:val="2"/>
                <w:szCs w:val="24"/>
                <w14:ligatures w14:val="standardContextual"/>
              </w:rPr>
            </w:pPr>
            <w:r>
              <w:rPr>
                <w:rFonts w:eastAsia="Calibri"/>
                <w:noProof/>
                <w:kern w:val="2"/>
                <w:szCs w:val="24"/>
                <w:lang w:val="it-IT" w:eastAsia="it-IT"/>
                <w14:ligatures w14:val="standardContextual"/>
              </w:rPr>
              <w:drawing>
                <wp:inline distT="0" distB="0" distL="0" distR="0" wp14:anchorId="53857B41" wp14:editId="3F0BD062">
                  <wp:extent cx="2754000" cy="1656000"/>
                  <wp:effectExtent l="0" t="0" r="8255" b="1905"/>
                  <wp:docPr id="26986136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4000" cy="1656000"/>
                          </a:xfrm>
                          <a:prstGeom prst="rect">
                            <a:avLst/>
                          </a:prstGeom>
                          <a:noFill/>
                        </pic:spPr>
                      </pic:pic>
                    </a:graphicData>
                  </a:graphic>
                </wp:inline>
              </w:drawing>
            </w:r>
          </w:p>
        </w:tc>
      </w:tr>
      <w:tr w:rsidR="00AB5F7B" w14:paraId="074D1EE2" w14:textId="77777777" w:rsidTr="00946E00">
        <w:tc>
          <w:tcPr>
            <w:tcW w:w="4506" w:type="dxa"/>
          </w:tcPr>
          <w:p w14:paraId="66A1BF77" w14:textId="77777777" w:rsidR="00AB5F7B" w:rsidRDefault="00AB5F7B" w:rsidP="00946E00">
            <w:pPr>
              <w:spacing w:line="276" w:lineRule="auto"/>
              <w:rPr>
                <w:rFonts w:eastAsia="Calibri"/>
                <w:kern w:val="2"/>
                <w:szCs w:val="24"/>
                <w14:ligatures w14:val="standardContextual"/>
              </w:rPr>
            </w:pPr>
            <w:r>
              <w:rPr>
                <w:rFonts w:eastAsia="Calibri"/>
                <w:kern w:val="2"/>
                <w:szCs w:val="24"/>
                <w14:ligatures w14:val="standardContextual"/>
              </w:rPr>
              <w:t>(a)</w:t>
            </w:r>
          </w:p>
        </w:tc>
        <w:tc>
          <w:tcPr>
            <w:tcW w:w="4479" w:type="dxa"/>
          </w:tcPr>
          <w:p w14:paraId="663B2D7E" w14:textId="77777777" w:rsidR="00AB5F7B" w:rsidRDefault="00AB5F7B" w:rsidP="00946E00">
            <w:pPr>
              <w:spacing w:line="276" w:lineRule="auto"/>
              <w:rPr>
                <w:rFonts w:eastAsia="Calibri"/>
                <w:kern w:val="2"/>
                <w:szCs w:val="24"/>
                <w14:ligatures w14:val="standardContextual"/>
              </w:rPr>
            </w:pPr>
            <w:r>
              <w:rPr>
                <w:rFonts w:eastAsia="Calibri"/>
                <w:kern w:val="2"/>
                <w:szCs w:val="24"/>
                <w14:ligatures w14:val="standardContextual"/>
              </w:rPr>
              <w:t>(b)</w:t>
            </w:r>
          </w:p>
        </w:tc>
      </w:tr>
    </w:tbl>
    <w:p w14:paraId="0BB5FF87" w14:textId="422517AB" w:rsidR="00CC2F7C" w:rsidRDefault="00CC2F7C" w:rsidP="00CC2F7C">
      <w:pPr>
        <w:pStyle w:val="CETCaption"/>
      </w:pPr>
      <w:r w:rsidRPr="00BD077D">
        <w:rPr>
          <w:rStyle w:val="CETCaptionCarattere"/>
          <w:i/>
        </w:rPr>
        <w:t xml:space="preserve">Figure </w:t>
      </w:r>
      <w:r>
        <w:rPr>
          <w:rStyle w:val="CETCaptionCarattere"/>
          <w:i/>
        </w:rPr>
        <w:t>5 a) b)</w:t>
      </w:r>
      <w:r w:rsidRPr="00BD077D">
        <w:rPr>
          <w:rStyle w:val="CETCaptionCarattere"/>
          <w:i/>
        </w:rPr>
        <w:t xml:space="preserve">: </w:t>
      </w:r>
      <w:r w:rsidRPr="00394971">
        <w:t xml:space="preserve">Thickness </w:t>
      </w:r>
      <w:r w:rsidR="009C5374">
        <w:t>measurements</w:t>
      </w:r>
      <w:r w:rsidRPr="00394971">
        <w:t xml:space="preserve"> of </w:t>
      </w:r>
      <w:r>
        <w:t xml:space="preserve">pumparounds and of the atmospheric residue sections </w:t>
      </w:r>
      <w:r w:rsidR="009C5374">
        <w:t xml:space="preserve">of </w:t>
      </w:r>
      <w:r w:rsidRPr="00394971">
        <w:t>the high sulphur</w:t>
      </w:r>
      <w:r w:rsidR="00AB5F7B">
        <w:t xml:space="preserve"> distillation unit</w:t>
      </w:r>
    </w:p>
    <w:p w14:paraId="1BC96AAC" w14:textId="44B3CC43" w:rsidR="00CC2F7C" w:rsidRDefault="00001BFF" w:rsidP="00CC2F7C">
      <w:pPr>
        <w:pStyle w:val="CETBodytext"/>
        <w:jc w:val="left"/>
      </w:pPr>
      <w:r w:rsidRPr="00001BFF">
        <w:rPr>
          <w:noProof/>
          <w:lang w:val="it-IT" w:eastAsia="it-IT"/>
        </w:rPr>
        <w:drawing>
          <wp:inline distT="0" distB="0" distL="0" distR="0" wp14:anchorId="40B00234" wp14:editId="7073EB87">
            <wp:extent cx="4374000" cy="2343600"/>
            <wp:effectExtent l="0" t="0" r="7620" b="0"/>
            <wp:docPr id="167635294" name="Immagine 1"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5294" name="Immagine 1" descr="Immagine che contiene testo, diagramma, linea, Diagramma&#10;&#10;Descrizione generata automaticamente"/>
                    <pic:cNvPicPr/>
                  </pic:nvPicPr>
                  <pic:blipFill>
                    <a:blip r:embed="rId17"/>
                    <a:stretch>
                      <a:fillRect/>
                    </a:stretch>
                  </pic:blipFill>
                  <pic:spPr>
                    <a:xfrm>
                      <a:off x="0" y="0"/>
                      <a:ext cx="4374000" cy="2343600"/>
                    </a:xfrm>
                    <a:prstGeom prst="rect">
                      <a:avLst/>
                    </a:prstGeom>
                  </pic:spPr>
                </pic:pic>
              </a:graphicData>
            </a:graphic>
          </wp:inline>
        </w:drawing>
      </w:r>
    </w:p>
    <w:p w14:paraId="4B2920F3" w14:textId="56D625C5" w:rsidR="00394971" w:rsidRPr="009C5374" w:rsidRDefault="00EF11B2" w:rsidP="009C5374">
      <w:pPr>
        <w:pStyle w:val="CETCaption"/>
        <w:rPr>
          <w:rStyle w:val="CETCaptionCarattere"/>
          <w:i/>
        </w:rPr>
      </w:pPr>
      <w:r w:rsidRPr="009C5374">
        <w:rPr>
          <w:rStyle w:val="CETCaptionCarattere"/>
          <w:i/>
        </w:rPr>
        <w:t xml:space="preserve">Figure 6: Thickness </w:t>
      </w:r>
      <w:r w:rsidR="009C5374">
        <w:rPr>
          <w:rStyle w:val="CETCaptionCarattere"/>
          <w:i/>
        </w:rPr>
        <w:t>measurements</w:t>
      </w:r>
      <w:r w:rsidRPr="009C5374">
        <w:rPr>
          <w:rStyle w:val="CETCaptionCarattere"/>
          <w:i/>
        </w:rPr>
        <w:t xml:space="preserve"> of the </w:t>
      </w:r>
      <w:r w:rsidR="002474FB" w:rsidRPr="009C5374">
        <w:rPr>
          <w:rStyle w:val="CETCaptionCarattere"/>
          <w:i/>
        </w:rPr>
        <w:t>side cuts</w:t>
      </w:r>
      <w:r w:rsidRPr="009C5374">
        <w:rPr>
          <w:rStyle w:val="CETCaptionCarattere"/>
          <w:i/>
        </w:rPr>
        <w:t xml:space="preserve"> section of the high sulphur</w:t>
      </w:r>
      <w:r w:rsidR="00001BFF" w:rsidRPr="009C5374">
        <w:rPr>
          <w:rStyle w:val="CETCaptionCarattere"/>
          <w:i/>
        </w:rPr>
        <w:t xml:space="preserve"> distillation unit</w:t>
      </w:r>
      <w:r w:rsidR="002474FB" w:rsidRPr="009C5374">
        <w:rPr>
          <w:rStyle w:val="CETCaptionCarattere"/>
          <w:i/>
        </w:rPr>
        <w:t xml:space="preserve"> and zooming during the processing period of the acid </w:t>
      </w:r>
      <w:r w:rsidR="00533AEE" w:rsidRPr="009C5374">
        <w:rPr>
          <w:rStyle w:val="CETCaptionCarattere"/>
          <w:i/>
        </w:rPr>
        <w:t>crudes</w:t>
      </w:r>
    </w:p>
    <w:p w14:paraId="29168943" w14:textId="77777777" w:rsidR="00001BFF" w:rsidRDefault="00001BFF" w:rsidP="00001BFF">
      <w:pPr>
        <w:pStyle w:val="CETBodytext"/>
        <w:rPr>
          <w:lang w:val="en-GB"/>
        </w:rPr>
      </w:pPr>
      <w:r>
        <w:rPr>
          <w:lang w:val="en-GB"/>
        </w:rPr>
        <w:t xml:space="preserve">In </w:t>
      </w:r>
      <w:r w:rsidRPr="00503781">
        <w:rPr>
          <w:lang w:val="en-GB"/>
        </w:rPr>
        <w:t xml:space="preserve">the </w:t>
      </w:r>
      <w:r>
        <w:rPr>
          <w:lang w:val="en-GB"/>
        </w:rPr>
        <w:t xml:space="preserve">examined </w:t>
      </w:r>
      <w:r w:rsidRPr="00503781">
        <w:rPr>
          <w:lang w:val="en-GB"/>
        </w:rPr>
        <w:t>period</w:t>
      </w:r>
      <w:r>
        <w:rPr>
          <w:lang w:val="en-GB"/>
        </w:rPr>
        <w:t>, the feed crudes</w:t>
      </w:r>
      <w:r w:rsidRPr="00503781">
        <w:rPr>
          <w:lang w:val="en-GB"/>
        </w:rPr>
        <w:t xml:space="preserve"> have canonical characteristics, as </w:t>
      </w:r>
      <w:r>
        <w:rPr>
          <w:lang w:val="en-GB"/>
        </w:rPr>
        <w:t>shown in</w:t>
      </w:r>
      <w:r w:rsidRPr="00503781">
        <w:rPr>
          <w:lang w:val="en-GB"/>
        </w:rPr>
        <w:t xml:space="preserve"> th</w:t>
      </w:r>
      <w:r>
        <w:rPr>
          <w:lang w:val="en-GB"/>
        </w:rPr>
        <w:t>e monthly average values in T</w:t>
      </w:r>
      <w:r w:rsidRPr="00503781">
        <w:rPr>
          <w:lang w:val="en-GB"/>
        </w:rPr>
        <w:t>able</w:t>
      </w:r>
      <w:r>
        <w:rPr>
          <w:lang w:val="en-GB"/>
        </w:rPr>
        <w:t xml:space="preserve"> 2</w:t>
      </w:r>
      <w:r w:rsidRPr="00503781">
        <w:rPr>
          <w:lang w:val="en-GB"/>
        </w:rPr>
        <w:t xml:space="preserve">; higher acidity crude oils </w:t>
      </w:r>
      <w:r>
        <w:rPr>
          <w:lang w:val="en-GB"/>
        </w:rPr>
        <w:t xml:space="preserve">were </w:t>
      </w:r>
      <w:r w:rsidRPr="00503781">
        <w:rPr>
          <w:lang w:val="en-GB"/>
        </w:rPr>
        <w:t>treated</w:t>
      </w:r>
      <w:r>
        <w:rPr>
          <w:lang w:val="en-GB"/>
        </w:rPr>
        <w:t xml:space="preserve"> </w:t>
      </w:r>
      <w:r w:rsidRPr="00503781">
        <w:rPr>
          <w:lang w:val="en-GB"/>
        </w:rPr>
        <w:t xml:space="preserve">only in </w:t>
      </w:r>
      <w:r>
        <w:rPr>
          <w:lang w:val="en-GB"/>
        </w:rPr>
        <w:t>a time interval of 29 days, in CDU_</w:t>
      </w:r>
      <w:r w:rsidRPr="00503781">
        <w:rPr>
          <w:lang w:val="en-GB"/>
        </w:rPr>
        <w:t>4, with</w:t>
      </w:r>
      <w:r>
        <w:rPr>
          <w:lang w:val="en-GB"/>
        </w:rPr>
        <w:t xml:space="preserve"> 0.20</w:t>
      </w:r>
      <w:r>
        <w:rPr>
          <w:rFonts w:ascii="Calibri" w:hAnsi="Calibri" w:cs="Calibri"/>
          <w:lang w:val="en-GB"/>
        </w:rPr>
        <w:t>≤</w:t>
      </w:r>
      <w:r>
        <w:rPr>
          <w:lang w:val="en-GB"/>
        </w:rPr>
        <w:t>TAN</w:t>
      </w:r>
      <w:r>
        <w:rPr>
          <w:rFonts w:ascii="Calibri" w:hAnsi="Calibri" w:cs="Calibri"/>
          <w:lang w:val="en-GB"/>
        </w:rPr>
        <w:t>≤</w:t>
      </w:r>
      <w:r>
        <w:rPr>
          <w:lang w:val="en-GB"/>
        </w:rPr>
        <w:t>0.38 and 1.9</w:t>
      </w:r>
      <w:r>
        <w:rPr>
          <w:rFonts w:ascii="Calibri" w:hAnsi="Calibri" w:cs="Calibri"/>
          <w:lang w:val="en-GB"/>
        </w:rPr>
        <w:t>≤</w:t>
      </w:r>
      <w:r>
        <w:rPr>
          <w:lang w:val="en-GB"/>
        </w:rPr>
        <w:t>S%</w:t>
      </w:r>
      <w:r>
        <w:rPr>
          <w:rFonts w:ascii="Calibri" w:hAnsi="Calibri" w:cs="Calibri"/>
          <w:lang w:val="en-GB"/>
        </w:rPr>
        <w:t>≤</w:t>
      </w:r>
      <w:r>
        <w:rPr>
          <w:lang w:val="en-GB"/>
        </w:rPr>
        <w:t>2.9. F</w:t>
      </w:r>
      <w:r w:rsidRPr="00562E42">
        <w:rPr>
          <w:lang w:val="en-GB"/>
        </w:rPr>
        <w:t xml:space="preserve">ocusing attention on heavy </w:t>
      </w:r>
      <w:r>
        <w:rPr>
          <w:lang w:val="en-GB"/>
        </w:rPr>
        <w:t xml:space="preserve">gasoil </w:t>
      </w:r>
      <w:r w:rsidRPr="00562E42">
        <w:rPr>
          <w:lang w:val="en-GB"/>
        </w:rPr>
        <w:t xml:space="preserve">HGO and on the atmospheric residue, where </w:t>
      </w:r>
      <w:r>
        <w:rPr>
          <w:lang w:val="en-GB"/>
        </w:rPr>
        <w:t>products</w:t>
      </w:r>
      <w:r w:rsidRPr="00562E42">
        <w:rPr>
          <w:lang w:val="en-GB"/>
        </w:rPr>
        <w:t xml:space="preserve"> wit</w:t>
      </w:r>
      <w:r>
        <w:rPr>
          <w:lang w:val="en-GB"/>
        </w:rPr>
        <w:t>h highe</w:t>
      </w:r>
      <w:bookmarkStart w:id="0" w:name="_GoBack"/>
      <w:bookmarkEnd w:id="0"/>
      <w:r>
        <w:rPr>
          <w:lang w:val="en-GB"/>
        </w:rPr>
        <w:t>r acidity and higher sulph</w:t>
      </w:r>
      <w:r w:rsidRPr="00562E42">
        <w:rPr>
          <w:lang w:val="en-GB"/>
        </w:rPr>
        <w:t>ur content are concentrated, th</w:t>
      </w:r>
      <w:r>
        <w:rPr>
          <w:lang w:val="en-GB"/>
        </w:rPr>
        <w:t xml:space="preserve">e corrosion rates are </w:t>
      </w:r>
      <w:r>
        <w:rPr>
          <w:lang w:val="en-GB"/>
        </w:rPr>
        <w:lastRenderedPageBreak/>
        <w:t>comparable</w:t>
      </w:r>
      <w:r w:rsidRPr="00562E42">
        <w:rPr>
          <w:lang w:val="en-GB"/>
        </w:rPr>
        <w:t xml:space="preserve"> with the average monthly values</w:t>
      </w:r>
      <w:r>
        <w:rPr>
          <w:lang w:val="en-GB"/>
        </w:rPr>
        <w:t xml:space="preserve"> (Figure 6)</w:t>
      </w:r>
      <w:r w:rsidRPr="00562E42">
        <w:rPr>
          <w:lang w:val="en-GB"/>
        </w:rPr>
        <w:t>: therefore, no increase in the corrosion rate was noted.</w:t>
      </w:r>
    </w:p>
    <w:p w14:paraId="36846581" w14:textId="31D1F8C8" w:rsidR="00E427A7" w:rsidRDefault="00E427A7" w:rsidP="00E427A7">
      <w:pPr>
        <w:pStyle w:val="CETTabletitle"/>
      </w:pPr>
      <w:r w:rsidRPr="00B57B36">
        <w:t xml:space="preserve">Table </w:t>
      </w:r>
      <w:r>
        <w:t>3</w:t>
      </w:r>
      <w:r w:rsidRPr="00B57B36">
        <w:t xml:space="preserve">: </w:t>
      </w:r>
      <w:r w:rsidRPr="00E427A7">
        <w:t xml:space="preserve">Result obtained for CDU_3 on a 60-day reference period and comparison between the average CR measured, McConomy CR and RBI CR </w:t>
      </w:r>
    </w:p>
    <w:tbl>
      <w:tblPr>
        <w:tblStyle w:val="StileCET"/>
        <w:tblW w:w="5000" w:type="pct"/>
        <w:jc w:val="center"/>
        <w:tblBorders>
          <w:top w:val="single" w:sz="12" w:space="0" w:color="00B050"/>
          <w:bottom w:val="single" w:sz="12" w:space="0" w:color="00B050"/>
          <w:insideH w:val="none" w:sz="0" w:space="0" w:color="auto"/>
        </w:tblBorders>
        <w:tblLook w:val="04A0" w:firstRow="1" w:lastRow="0" w:firstColumn="1" w:lastColumn="0" w:noHBand="0" w:noVBand="1"/>
      </w:tblPr>
      <w:tblGrid>
        <w:gridCol w:w="910"/>
        <w:gridCol w:w="1527"/>
        <w:gridCol w:w="1372"/>
        <w:gridCol w:w="949"/>
        <w:gridCol w:w="996"/>
        <w:gridCol w:w="996"/>
        <w:gridCol w:w="1277"/>
        <w:gridCol w:w="976"/>
      </w:tblGrid>
      <w:tr w:rsidR="006048CB" w:rsidRPr="009635B2" w14:paraId="6892DD99" w14:textId="77777777" w:rsidTr="00685E78">
        <w:trPr>
          <w:trHeight w:val="227"/>
          <w:jc w:val="center"/>
        </w:trPr>
        <w:tc>
          <w:tcPr>
            <w:tcW w:w="506" w:type="pct"/>
            <w:vMerge w:val="restart"/>
            <w:tcBorders>
              <w:top w:val="single" w:sz="12" w:space="0" w:color="00B050"/>
            </w:tcBorders>
          </w:tcPr>
          <w:p w14:paraId="4CF4CE8A" w14:textId="77777777" w:rsidR="006048CB" w:rsidRPr="006048CB" w:rsidRDefault="006048CB" w:rsidP="006048CB">
            <w:pPr>
              <w:pStyle w:val="CETBodytext"/>
              <w:rPr>
                <w:lang w:val="en-GB"/>
              </w:rPr>
            </w:pPr>
            <w:r w:rsidRPr="006048CB">
              <w:rPr>
                <w:lang w:val="en-GB"/>
              </w:rPr>
              <w:t>CDU_3</w:t>
            </w:r>
          </w:p>
        </w:tc>
        <w:tc>
          <w:tcPr>
            <w:tcW w:w="848" w:type="pct"/>
            <w:tcBorders>
              <w:top w:val="single" w:sz="12" w:space="0" w:color="00B050"/>
              <w:bottom w:val="single" w:sz="6" w:space="0" w:color="00B050"/>
            </w:tcBorders>
          </w:tcPr>
          <w:p w14:paraId="66A45C52" w14:textId="77777777" w:rsidR="006048CB" w:rsidRPr="006048CB" w:rsidRDefault="006048CB" w:rsidP="006048CB">
            <w:pPr>
              <w:pStyle w:val="CETBodytext"/>
              <w:rPr>
                <w:lang w:val="en-GB"/>
              </w:rPr>
            </w:pPr>
          </w:p>
        </w:tc>
        <w:tc>
          <w:tcPr>
            <w:tcW w:w="762" w:type="pct"/>
            <w:tcBorders>
              <w:top w:val="single" w:sz="12" w:space="0" w:color="00B050"/>
              <w:bottom w:val="single" w:sz="6" w:space="0" w:color="00B050"/>
            </w:tcBorders>
          </w:tcPr>
          <w:p w14:paraId="4A76ADF9" w14:textId="77777777" w:rsidR="006048CB" w:rsidRPr="006048CB" w:rsidRDefault="006048CB" w:rsidP="006048CB">
            <w:pPr>
              <w:pStyle w:val="CETBodytext"/>
              <w:rPr>
                <w:lang w:val="en-GB"/>
              </w:rPr>
            </w:pPr>
            <w:r w:rsidRPr="006048CB">
              <w:rPr>
                <w:lang w:val="en-GB"/>
              </w:rPr>
              <w:t>Material</w:t>
            </w:r>
          </w:p>
        </w:tc>
        <w:tc>
          <w:tcPr>
            <w:tcW w:w="527" w:type="pct"/>
            <w:tcBorders>
              <w:top w:val="single" w:sz="12" w:space="0" w:color="00B050"/>
              <w:bottom w:val="single" w:sz="6" w:space="0" w:color="00B050"/>
            </w:tcBorders>
          </w:tcPr>
          <w:p w14:paraId="45FD10C8" w14:textId="77777777" w:rsidR="006048CB" w:rsidRPr="006048CB" w:rsidRDefault="006048CB" w:rsidP="006048CB">
            <w:pPr>
              <w:pStyle w:val="CETBodytext"/>
              <w:rPr>
                <w:lang w:val="en-GB"/>
              </w:rPr>
            </w:pPr>
            <w:r w:rsidRPr="006048CB">
              <w:rPr>
                <w:lang w:val="en-GB"/>
              </w:rPr>
              <w:t>Design Temp [°C]</w:t>
            </w:r>
          </w:p>
        </w:tc>
        <w:tc>
          <w:tcPr>
            <w:tcW w:w="553" w:type="pct"/>
            <w:tcBorders>
              <w:top w:val="single" w:sz="12" w:space="0" w:color="00B050"/>
              <w:bottom w:val="single" w:sz="6" w:space="0" w:color="00B050"/>
            </w:tcBorders>
          </w:tcPr>
          <w:p w14:paraId="1879B501" w14:textId="77777777" w:rsidR="006048CB" w:rsidRPr="006048CB" w:rsidRDefault="006048CB" w:rsidP="006048CB">
            <w:pPr>
              <w:pStyle w:val="CETBodytext"/>
              <w:rPr>
                <w:lang w:val="en-GB"/>
              </w:rPr>
            </w:pPr>
            <w:r w:rsidRPr="006048CB">
              <w:rPr>
                <w:lang w:val="en-GB"/>
              </w:rPr>
              <w:t>Average ∆s [mm]</w:t>
            </w:r>
          </w:p>
        </w:tc>
        <w:tc>
          <w:tcPr>
            <w:tcW w:w="553" w:type="pct"/>
            <w:tcBorders>
              <w:top w:val="single" w:sz="12" w:space="0" w:color="00B050"/>
              <w:bottom w:val="single" w:sz="6" w:space="0" w:color="00B050"/>
            </w:tcBorders>
          </w:tcPr>
          <w:p w14:paraId="1021B3DE" w14:textId="77777777" w:rsidR="006048CB" w:rsidRPr="006048CB" w:rsidRDefault="006048CB" w:rsidP="006048CB">
            <w:pPr>
              <w:pStyle w:val="CETBodytext"/>
              <w:rPr>
                <w:lang w:val="en-GB"/>
              </w:rPr>
            </w:pPr>
            <w:r w:rsidRPr="006048CB">
              <w:rPr>
                <w:lang w:val="en-GB"/>
              </w:rPr>
              <w:t>Average CR [mm/y]</w:t>
            </w:r>
          </w:p>
        </w:tc>
        <w:tc>
          <w:tcPr>
            <w:tcW w:w="709" w:type="pct"/>
            <w:tcBorders>
              <w:top w:val="single" w:sz="12" w:space="0" w:color="00B050"/>
              <w:bottom w:val="single" w:sz="6" w:space="0" w:color="00B050"/>
            </w:tcBorders>
          </w:tcPr>
          <w:p w14:paraId="77FE1094" w14:textId="77777777" w:rsidR="006048CB" w:rsidRPr="006048CB" w:rsidRDefault="006048CB" w:rsidP="006048CB">
            <w:pPr>
              <w:pStyle w:val="CETBodytext"/>
              <w:rPr>
                <w:lang w:val="en-GB"/>
              </w:rPr>
            </w:pPr>
            <w:r w:rsidRPr="006048CB">
              <w:rPr>
                <w:lang w:val="en-GB"/>
              </w:rPr>
              <w:t>McConomy CR [mm/y]</w:t>
            </w:r>
          </w:p>
        </w:tc>
        <w:tc>
          <w:tcPr>
            <w:tcW w:w="543" w:type="pct"/>
            <w:tcBorders>
              <w:top w:val="single" w:sz="12" w:space="0" w:color="00B050"/>
              <w:bottom w:val="single" w:sz="6" w:space="0" w:color="00B050"/>
            </w:tcBorders>
          </w:tcPr>
          <w:p w14:paraId="68CF0229" w14:textId="77777777" w:rsidR="006048CB" w:rsidRPr="006048CB" w:rsidRDefault="006048CB" w:rsidP="006048CB">
            <w:pPr>
              <w:pStyle w:val="CETBodytext"/>
              <w:rPr>
                <w:lang w:val="en-GB"/>
              </w:rPr>
            </w:pPr>
            <w:r w:rsidRPr="006048CB">
              <w:rPr>
                <w:lang w:val="en-GB"/>
              </w:rPr>
              <w:t>RBI CR [mm/y]</w:t>
            </w:r>
          </w:p>
        </w:tc>
      </w:tr>
      <w:tr w:rsidR="006048CB" w:rsidRPr="009635B2" w14:paraId="2596D99E" w14:textId="77777777" w:rsidTr="00E427A7">
        <w:trPr>
          <w:trHeight w:val="227"/>
          <w:jc w:val="center"/>
        </w:trPr>
        <w:tc>
          <w:tcPr>
            <w:tcW w:w="506" w:type="pct"/>
            <w:vMerge/>
          </w:tcPr>
          <w:p w14:paraId="654C1657" w14:textId="77777777" w:rsidR="006048CB" w:rsidRPr="006048CB" w:rsidRDefault="006048CB" w:rsidP="006048CB">
            <w:pPr>
              <w:pStyle w:val="CETBodytext"/>
              <w:rPr>
                <w:lang w:val="en-GB"/>
              </w:rPr>
            </w:pPr>
          </w:p>
        </w:tc>
        <w:tc>
          <w:tcPr>
            <w:tcW w:w="848" w:type="pct"/>
            <w:tcBorders>
              <w:top w:val="single" w:sz="6" w:space="0" w:color="00B050"/>
            </w:tcBorders>
          </w:tcPr>
          <w:p w14:paraId="3301E6B1" w14:textId="77777777" w:rsidR="006048CB" w:rsidRPr="006048CB" w:rsidRDefault="006048CB" w:rsidP="006048CB">
            <w:pPr>
              <w:pStyle w:val="CETBodytext"/>
              <w:rPr>
                <w:lang w:val="en-GB"/>
              </w:rPr>
            </w:pPr>
            <w:r w:rsidRPr="006048CB">
              <w:rPr>
                <w:lang w:val="en-GB"/>
              </w:rPr>
              <w:t>Pre-heating</w:t>
            </w:r>
          </w:p>
        </w:tc>
        <w:tc>
          <w:tcPr>
            <w:tcW w:w="762" w:type="pct"/>
            <w:tcBorders>
              <w:top w:val="single" w:sz="6" w:space="0" w:color="00B050"/>
            </w:tcBorders>
          </w:tcPr>
          <w:p w14:paraId="6AFBDB08" w14:textId="77777777" w:rsidR="006048CB" w:rsidRPr="006048CB" w:rsidRDefault="006048CB" w:rsidP="006048CB">
            <w:pPr>
              <w:pStyle w:val="CETBodytext"/>
              <w:rPr>
                <w:lang w:val="en-GB"/>
              </w:rPr>
            </w:pPr>
            <w:r w:rsidRPr="006048CB">
              <w:rPr>
                <w:lang w:val="en-GB"/>
              </w:rPr>
              <w:t>A335 P5</w:t>
            </w:r>
          </w:p>
        </w:tc>
        <w:tc>
          <w:tcPr>
            <w:tcW w:w="527" w:type="pct"/>
            <w:tcBorders>
              <w:top w:val="single" w:sz="6" w:space="0" w:color="00B050"/>
            </w:tcBorders>
          </w:tcPr>
          <w:p w14:paraId="5B0EADBA" w14:textId="77777777" w:rsidR="006048CB" w:rsidRPr="006048CB" w:rsidRDefault="006048CB" w:rsidP="006048CB">
            <w:pPr>
              <w:pStyle w:val="CETBodytext"/>
              <w:rPr>
                <w:lang w:val="en-GB"/>
              </w:rPr>
            </w:pPr>
            <w:r w:rsidRPr="006048CB">
              <w:rPr>
                <w:lang w:val="en-GB"/>
              </w:rPr>
              <w:t>260</w:t>
            </w:r>
          </w:p>
        </w:tc>
        <w:tc>
          <w:tcPr>
            <w:tcW w:w="553" w:type="pct"/>
            <w:tcBorders>
              <w:top w:val="single" w:sz="6" w:space="0" w:color="00B050"/>
            </w:tcBorders>
          </w:tcPr>
          <w:p w14:paraId="5D2BA118" w14:textId="77777777" w:rsidR="006048CB" w:rsidRPr="006048CB" w:rsidRDefault="006048CB" w:rsidP="006048CB">
            <w:pPr>
              <w:pStyle w:val="CETBodytext"/>
              <w:rPr>
                <w:lang w:val="en-GB"/>
              </w:rPr>
            </w:pPr>
            <w:r w:rsidRPr="006048CB">
              <w:rPr>
                <w:lang w:val="en-GB"/>
              </w:rPr>
              <w:t>0.004</w:t>
            </w:r>
          </w:p>
        </w:tc>
        <w:tc>
          <w:tcPr>
            <w:tcW w:w="553" w:type="pct"/>
            <w:tcBorders>
              <w:top w:val="single" w:sz="6" w:space="0" w:color="00B050"/>
            </w:tcBorders>
          </w:tcPr>
          <w:p w14:paraId="6DCFFE77" w14:textId="77777777" w:rsidR="006048CB" w:rsidRPr="006048CB" w:rsidRDefault="006048CB" w:rsidP="006048CB">
            <w:pPr>
              <w:pStyle w:val="CETBodytext"/>
              <w:rPr>
                <w:lang w:val="en-GB"/>
              </w:rPr>
            </w:pPr>
            <w:r w:rsidRPr="006048CB">
              <w:rPr>
                <w:lang w:val="en-GB"/>
              </w:rPr>
              <w:t>0.016</w:t>
            </w:r>
          </w:p>
        </w:tc>
        <w:tc>
          <w:tcPr>
            <w:tcW w:w="709" w:type="pct"/>
            <w:tcBorders>
              <w:top w:val="single" w:sz="6" w:space="0" w:color="00B050"/>
            </w:tcBorders>
          </w:tcPr>
          <w:p w14:paraId="5F6218E2" w14:textId="77777777" w:rsidR="006048CB" w:rsidRPr="006048CB" w:rsidRDefault="006048CB" w:rsidP="006048CB">
            <w:pPr>
              <w:pStyle w:val="CETBodytext"/>
              <w:rPr>
                <w:lang w:val="en-GB"/>
              </w:rPr>
            </w:pPr>
            <w:r w:rsidRPr="006048CB">
              <w:rPr>
                <w:lang w:val="en-GB"/>
              </w:rPr>
              <w:t>0.030</w:t>
            </w:r>
          </w:p>
        </w:tc>
        <w:tc>
          <w:tcPr>
            <w:tcW w:w="543" w:type="pct"/>
            <w:tcBorders>
              <w:top w:val="single" w:sz="6" w:space="0" w:color="00B050"/>
            </w:tcBorders>
          </w:tcPr>
          <w:p w14:paraId="51618778" w14:textId="77777777" w:rsidR="006048CB" w:rsidRPr="006048CB" w:rsidRDefault="006048CB" w:rsidP="006048CB">
            <w:pPr>
              <w:pStyle w:val="CETBodytext"/>
              <w:rPr>
                <w:lang w:val="en-GB"/>
              </w:rPr>
            </w:pPr>
            <w:r w:rsidRPr="006048CB">
              <w:rPr>
                <w:lang w:val="en-GB"/>
              </w:rPr>
              <w:t>0.060</w:t>
            </w:r>
          </w:p>
        </w:tc>
      </w:tr>
      <w:tr w:rsidR="006048CB" w:rsidRPr="009635B2" w14:paraId="6A7BF764" w14:textId="77777777" w:rsidTr="00E427A7">
        <w:trPr>
          <w:trHeight w:val="227"/>
          <w:jc w:val="center"/>
        </w:trPr>
        <w:tc>
          <w:tcPr>
            <w:tcW w:w="506" w:type="pct"/>
            <w:vMerge/>
          </w:tcPr>
          <w:p w14:paraId="27273FC4" w14:textId="77777777" w:rsidR="006048CB" w:rsidRPr="006048CB" w:rsidRDefault="006048CB" w:rsidP="006048CB">
            <w:pPr>
              <w:pStyle w:val="CETBodytext"/>
              <w:rPr>
                <w:lang w:val="en-GB"/>
              </w:rPr>
            </w:pPr>
          </w:p>
        </w:tc>
        <w:tc>
          <w:tcPr>
            <w:tcW w:w="848" w:type="pct"/>
          </w:tcPr>
          <w:p w14:paraId="27C612FA" w14:textId="77777777" w:rsidR="006048CB" w:rsidRPr="006048CB" w:rsidRDefault="006048CB" w:rsidP="006048CB">
            <w:pPr>
              <w:pStyle w:val="CETBodytext"/>
              <w:rPr>
                <w:lang w:val="en-GB"/>
              </w:rPr>
            </w:pPr>
            <w:r w:rsidRPr="006048CB">
              <w:rPr>
                <w:lang w:val="en-GB"/>
              </w:rPr>
              <w:t>Transfer Line</w:t>
            </w:r>
          </w:p>
        </w:tc>
        <w:tc>
          <w:tcPr>
            <w:tcW w:w="762" w:type="pct"/>
          </w:tcPr>
          <w:p w14:paraId="74D2D350" w14:textId="77777777" w:rsidR="006048CB" w:rsidRPr="006048CB" w:rsidRDefault="006048CB" w:rsidP="006048CB">
            <w:pPr>
              <w:pStyle w:val="CETBodytext"/>
              <w:rPr>
                <w:lang w:val="en-GB"/>
              </w:rPr>
            </w:pPr>
            <w:r w:rsidRPr="006048CB">
              <w:rPr>
                <w:lang w:val="en-GB"/>
              </w:rPr>
              <w:t>A335 P5</w:t>
            </w:r>
          </w:p>
        </w:tc>
        <w:tc>
          <w:tcPr>
            <w:tcW w:w="527" w:type="pct"/>
          </w:tcPr>
          <w:p w14:paraId="5701A3BD" w14:textId="77777777" w:rsidR="006048CB" w:rsidRPr="006048CB" w:rsidRDefault="006048CB" w:rsidP="006048CB">
            <w:pPr>
              <w:pStyle w:val="CETBodytext"/>
              <w:rPr>
                <w:lang w:val="en-GB"/>
              </w:rPr>
            </w:pPr>
            <w:r w:rsidRPr="006048CB">
              <w:rPr>
                <w:lang w:val="en-GB"/>
              </w:rPr>
              <w:t>360</w:t>
            </w:r>
          </w:p>
        </w:tc>
        <w:tc>
          <w:tcPr>
            <w:tcW w:w="553" w:type="pct"/>
          </w:tcPr>
          <w:p w14:paraId="74F37747" w14:textId="77777777" w:rsidR="006048CB" w:rsidRPr="006048CB" w:rsidRDefault="006048CB" w:rsidP="006048CB">
            <w:pPr>
              <w:pStyle w:val="CETBodytext"/>
              <w:rPr>
                <w:lang w:val="en-GB"/>
              </w:rPr>
            </w:pPr>
            <w:r w:rsidRPr="006048CB">
              <w:rPr>
                <w:lang w:val="en-GB"/>
              </w:rPr>
              <w:t>0.003</w:t>
            </w:r>
          </w:p>
        </w:tc>
        <w:tc>
          <w:tcPr>
            <w:tcW w:w="553" w:type="pct"/>
          </w:tcPr>
          <w:p w14:paraId="3B33D508" w14:textId="77777777" w:rsidR="006048CB" w:rsidRPr="006048CB" w:rsidRDefault="006048CB" w:rsidP="006048CB">
            <w:pPr>
              <w:pStyle w:val="CETBodytext"/>
              <w:rPr>
                <w:lang w:val="en-GB"/>
              </w:rPr>
            </w:pPr>
            <w:r w:rsidRPr="006048CB">
              <w:rPr>
                <w:lang w:val="en-GB"/>
              </w:rPr>
              <w:t>0.019</w:t>
            </w:r>
          </w:p>
        </w:tc>
        <w:tc>
          <w:tcPr>
            <w:tcW w:w="709" w:type="pct"/>
          </w:tcPr>
          <w:p w14:paraId="4E805FA8" w14:textId="77777777" w:rsidR="006048CB" w:rsidRPr="006048CB" w:rsidRDefault="006048CB" w:rsidP="006048CB">
            <w:pPr>
              <w:pStyle w:val="CETBodytext"/>
              <w:rPr>
                <w:lang w:val="en-GB"/>
              </w:rPr>
            </w:pPr>
            <w:r w:rsidRPr="006048CB">
              <w:rPr>
                <w:lang w:val="en-GB"/>
              </w:rPr>
              <w:t>0.200</w:t>
            </w:r>
          </w:p>
        </w:tc>
        <w:tc>
          <w:tcPr>
            <w:tcW w:w="543" w:type="pct"/>
          </w:tcPr>
          <w:p w14:paraId="2DE2A260" w14:textId="77777777" w:rsidR="006048CB" w:rsidRPr="006048CB" w:rsidRDefault="006048CB" w:rsidP="006048CB">
            <w:pPr>
              <w:pStyle w:val="CETBodytext"/>
              <w:rPr>
                <w:lang w:val="en-GB"/>
              </w:rPr>
            </w:pPr>
            <w:r w:rsidRPr="006048CB">
              <w:rPr>
                <w:lang w:val="en-GB"/>
              </w:rPr>
              <w:t>0.100</w:t>
            </w:r>
          </w:p>
        </w:tc>
      </w:tr>
      <w:tr w:rsidR="006048CB" w:rsidRPr="009635B2" w14:paraId="0F6B3563" w14:textId="77777777" w:rsidTr="00E427A7">
        <w:trPr>
          <w:trHeight w:val="227"/>
          <w:jc w:val="center"/>
        </w:trPr>
        <w:tc>
          <w:tcPr>
            <w:tcW w:w="506" w:type="pct"/>
            <w:vMerge/>
          </w:tcPr>
          <w:p w14:paraId="30CEB236" w14:textId="77777777" w:rsidR="006048CB" w:rsidRPr="006048CB" w:rsidRDefault="006048CB" w:rsidP="006048CB">
            <w:pPr>
              <w:pStyle w:val="CETBodytext"/>
              <w:rPr>
                <w:lang w:val="en-GB"/>
              </w:rPr>
            </w:pPr>
          </w:p>
        </w:tc>
        <w:tc>
          <w:tcPr>
            <w:tcW w:w="848" w:type="pct"/>
          </w:tcPr>
          <w:p w14:paraId="04979744" w14:textId="77777777" w:rsidR="006048CB" w:rsidRPr="006048CB" w:rsidRDefault="006048CB" w:rsidP="006048CB">
            <w:pPr>
              <w:pStyle w:val="CETBodytext"/>
              <w:rPr>
                <w:lang w:val="en-GB"/>
              </w:rPr>
            </w:pPr>
            <w:r w:rsidRPr="006048CB">
              <w:rPr>
                <w:lang w:val="en-GB"/>
              </w:rPr>
              <w:t>Medium P</w:t>
            </w:r>
          </w:p>
        </w:tc>
        <w:tc>
          <w:tcPr>
            <w:tcW w:w="762" w:type="pct"/>
          </w:tcPr>
          <w:p w14:paraId="4692B06B" w14:textId="77777777" w:rsidR="006048CB" w:rsidRPr="006048CB" w:rsidRDefault="006048CB" w:rsidP="006048CB">
            <w:pPr>
              <w:pStyle w:val="CETBodytext"/>
              <w:rPr>
                <w:lang w:val="en-GB"/>
              </w:rPr>
            </w:pPr>
            <w:r w:rsidRPr="006048CB">
              <w:rPr>
                <w:lang w:val="en-GB"/>
              </w:rPr>
              <w:t>API 5L Gr. B</w:t>
            </w:r>
          </w:p>
        </w:tc>
        <w:tc>
          <w:tcPr>
            <w:tcW w:w="527" w:type="pct"/>
          </w:tcPr>
          <w:p w14:paraId="0486D2DD" w14:textId="77777777" w:rsidR="006048CB" w:rsidRPr="006048CB" w:rsidRDefault="006048CB" w:rsidP="006048CB">
            <w:pPr>
              <w:pStyle w:val="CETBodytext"/>
              <w:rPr>
                <w:lang w:val="en-GB"/>
              </w:rPr>
            </w:pPr>
            <w:r w:rsidRPr="006048CB">
              <w:rPr>
                <w:lang w:val="en-GB"/>
              </w:rPr>
              <w:t>200</w:t>
            </w:r>
          </w:p>
        </w:tc>
        <w:tc>
          <w:tcPr>
            <w:tcW w:w="553" w:type="pct"/>
          </w:tcPr>
          <w:p w14:paraId="43542188" w14:textId="77777777" w:rsidR="006048CB" w:rsidRPr="006048CB" w:rsidRDefault="006048CB" w:rsidP="006048CB">
            <w:pPr>
              <w:pStyle w:val="CETBodytext"/>
              <w:rPr>
                <w:lang w:val="en-GB"/>
              </w:rPr>
            </w:pPr>
            <w:r w:rsidRPr="006048CB">
              <w:rPr>
                <w:lang w:val="en-GB"/>
              </w:rPr>
              <w:t>0.012</w:t>
            </w:r>
          </w:p>
        </w:tc>
        <w:tc>
          <w:tcPr>
            <w:tcW w:w="553" w:type="pct"/>
          </w:tcPr>
          <w:p w14:paraId="0D972F8F" w14:textId="77777777" w:rsidR="006048CB" w:rsidRPr="006048CB" w:rsidRDefault="006048CB" w:rsidP="006048CB">
            <w:pPr>
              <w:pStyle w:val="CETBodytext"/>
              <w:rPr>
                <w:lang w:val="en-GB"/>
              </w:rPr>
            </w:pPr>
            <w:r w:rsidRPr="006048CB">
              <w:rPr>
                <w:lang w:val="en-GB"/>
              </w:rPr>
              <w:t>0.067</w:t>
            </w:r>
          </w:p>
        </w:tc>
        <w:tc>
          <w:tcPr>
            <w:tcW w:w="709" w:type="pct"/>
          </w:tcPr>
          <w:p w14:paraId="7C08298F" w14:textId="77777777" w:rsidR="006048CB" w:rsidRPr="006048CB" w:rsidRDefault="006048CB" w:rsidP="006048CB">
            <w:pPr>
              <w:pStyle w:val="CETBodytext"/>
              <w:rPr>
                <w:lang w:val="en-GB"/>
              </w:rPr>
            </w:pPr>
            <w:r w:rsidRPr="006048CB">
              <w:rPr>
                <w:lang w:val="en-GB"/>
              </w:rPr>
              <w:t>0.030</w:t>
            </w:r>
          </w:p>
        </w:tc>
        <w:tc>
          <w:tcPr>
            <w:tcW w:w="543" w:type="pct"/>
          </w:tcPr>
          <w:p w14:paraId="602F3E05" w14:textId="77777777" w:rsidR="006048CB" w:rsidRPr="006048CB" w:rsidRDefault="006048CB" w:rsidP="006048CB">
            <w:pPr>
              <w:pStyle w:val="CETBodytext"/>
              <w:rPr>
                <w:lang w:val="en-GB"/>
              </w:rPr>
            </w:pPr>
            <w:r w:rsidRPr="006048CB">
              <w:rPr>
                <w:lang w:val="en-GB"/>
              </w:rPr>
              <w:t>0.060</w:t>
            </w:r>
          </w:p>
        </w:tc>
      </w:tr>
      <w:tr w:rsidR="006048CB" w:rsidRPr="009635B2" w14:paraId="5FB77569" w14:textId="77777777" w:rsidTr="00E427A7">
        <w:trPr>
          <w:trHeight w:val="227"/>
          <w:jc w:val="center"/>
        </w:trPr>
        <w:tc>
          <w:tcPr>
            <w:tcW w:w="506" w:type="pct"/>
            <w:vMerge/>
          </w:tcPr>
          <w:p w14:paraId="1EEBDC33" w14:textId="77777777" w:rsidR="006048CB" w:rsidRPr="006048CB" w:rsidRDefault="006048CB" w:rsidP="006048CB">
            <w:pPr>
              <w:pStyle w:val="CETBodytext"/>
              <w:rPr>
                <w:lang w:val="en-GB"/>
              </w:rPr>
            </w:pPr>
          </w:p>
        </w:tc>
        <w:tc>
          <w:tcPr>
            <w:tcW w:w="848" w:type="pct"/>
          </w:tcPr>
          <w:p w14:paraId="596B6412" w14:textId="77777777" w:rsidR="006048CB" w:rsidRPr="006048CB" w:rsidRDefault="006048CB" w:rsidP="006048CB">
            <w:pPr>
              <w:pStyle w:val="CETBodytext"/>
              <w:rPr>
                <w:lang w:val="en-GB"/>
              </w:rPr>
            </w:pPr>
            <w:r w:rsidRPr="006048CB">
              <w:rPr>
                <w:lang w:val="en-GB"/>
              </w:rPr>
              <w:t>Low P</w:t>
            </w:r>
          </w:p>
        </w:tc>
        <w:tc>
          <w:tcPr>
            <w:tcW w:w="762" w:type="pct"/>
          </w:tcPr>
          <w:p w14:paraId="07EAF4B0" w14:textId="77777777" w:rsidR="006048CB" w:rsidRPr="006048CB" w:rsidRDefault="006048CB" w:rsidP="006048CB">
            <w:pPr>
              <w:pStyle w:val="CETBodytext"/>
              <w:rPr>
                <w:lang w:val="en-GB"/>
              </w:rPr>
            </w:pPr>
            <w:r w:rsidRPr="006048CB">
              <w:rPr>
                <w:lang w:val="en-GB"/>
              </w:rPr>
              <w:t>API 5L Gr. B</w:t>
            </w:r>
          </w:p>
        </w:tc>
        <w:tc>
          <w:tcPr>
            <w:tcW w:w="527" w:type="pct"/>
          </w:tcPr>
          <w:p w14:paraId="5BB9B7DD" w14:textId="77777777" w:rsidR="006048CB" w:rsidRPr="006048CB" w:rsidRDefault="006048CB" w:rsidP="006048CB">
            <w:pPr>
              <w:pStyle w:val="CETBodytext"/>
              <w:rPr>
                <w:lang w:val="en-GB"/>
              </w:rPr>
            </w:pPr>
            <w:r w:rsidRPr="006048CB">
              <w:rPr>
                <w:lang w:val="en-GB"/>
              </w:rPr>
              <w:t>283</w:t>
            </w:r>
          </w:p>
        </w:tc>
        <w:tc>
          <w:tcPr>
            <w:tcW w:w="553" w:type="pct"/>
          </w:tcPr>
          <w:p w14:paraId="7ECF6E66" w14:textId="77777777" w:rsidR="006048CB" w:rsidRPr="006048CB" w:rsidRDefault="006048CB" w:rsidP="006048CB">
            <w:pPr>
              <w:pStyle w:val="CETBodytext"/>
              <w:rPr>
                <w:lang w:val="en-GB"/>
              </w:rPr>
            </w:pPr>
            <w:r w:rsidRPr="006048CB">
              <w:rPr>
                <w:lang w:val="en-GB"/>
              </w:rPr>
              <w:t>0.009</w:t>
            </w:r>
          </w:p>
        </w:tc>
        <w:tc>
          <w:tcPr>
            <w:tcW w:w="553" w:type="pct"/>
          </w:tcPr>
          <w:p w14:paraId="76CB4C71" w14:textId="77777777" w:rsidR="006048CB" w:rsidRPr="006048CB" w:rsidRDefault="006048CB" w:rsidP="006048CB">
            <w:pPr>
              <w:pStyle w:val="CETBodytext"/>
              <w:rPr>
                <w:lang w:val="en-GB"/>
              </w:rPr>
            </w:pPr>
            <w:r w:rsidRPr="006048CB">
              <w:rPr>
                <w:lang w:val="en-GB"/>
              </w:rPr>
              <w:t>0.054</w:t>
            </w:r>
          </w:p>
        </w:tc>
        <w:tc>
          <w:tcPr>
            <w:tcW w:w="709" w:type="pct"/>
          </w:tcPr>
          <w:p w14:paraId="704081F6" w14:textId="77777777" w:rsidR="006048CB" w:rsidRPr="006048CB" w:rsidRDefault="006048CB" w:rsidP="006048CB">
            <w:pPr>
              <w:pStyle w:val="CETBodytext"/>
              <w:rPr>
                <w:lang w:val="en-GB"/>
              </w:rPr>
            </w:pPr>
            <w:r w:rsidRPr="006048CB">
              <w:rPr>
                <w:lang w:val="en-GB"/>
              </w:rPr>
              <w:t>0.180</w:t>
            </w:r>
          </w:p>
        </w:tc>
        <w:tc>
          <w:tcPr>
            <w:tcW w:w="543" w:type="pct"/>
          </w:tcPr>
          <w:p w14:paraId="75C69E65" w14:textId="77777777" w:rsidR="006048CB" w:rsidRPr="006048CB" w:rsidRDefault="006048CB" w:rsidP="006048CB">
            <w:pPr>
              <w:pStyle w:val="CETBodytext"/>
              <w:rPr>
                <w:lang w:val="en-GB"/>
              </w:rPr>
            </w:pPr>
            <w:r w:rsidRPr="006048CB">
              <w:rPr>
                <w:lang w:val="en-GB"/>
              </w:rPr>
              <w:t>0.150</w:t>
            </w:r>
          </w:p>
        </w:tc>
      </w:tr>
      <w:tr w:rsidR="006048CB" w:rsidRPr="009635B2" w14:paraId="0D4F18C8" w14:textId="77777777" w:rsidTr="00E427A7">
        <w:trPr>
          <w:trHeight w:val="227"/>
          <w:jc w:val="center"/>
        </w:trPr>
        <w:tc>
          <w:tcPr>
            <w:tcW w:w="506" w:type="pct"/>
            <w:vMerge/>
          </w:tcPr>
          <w:p w14:paraId="1C202C91" w14:textId="77777777" w:rsidR="006048CB" w:rsidRPr="006048CB" w:rsidRDefault="006048CB" w:rsidP="006048CB">
            <w:pPr>
              <w:pStyle w:val="CETBodytext"/>
              <w:rPr>
                <w:lang w:val="en-GB"/>
              </w:rPr>
            </w:pPr>
          </w:p>
        </w:tc>
        <w:tc>
          <w:tcPr>
            <w:tcW w:w="848" w:type="pct"/>
          </w:tcPr>
          <w:p w14:paraId="195A6DFA" w14:textId="77777777" w:rsidR="006048CB" w:rsidRPr="006048CB" w:rsidRDefault="006048CB" w:rsidP="006048CB">
            <w:pPr>
              <w:pStyle w:val="CETBodytext"/>
              <w:rPr>
                <w:lang w:val="en-GB"/>
              </w:rPr>
            </w:pPr>
            <w:r w:rsidRPr="006048CB">
              <w:rPr>
                <w:lang w:val="en-GB"/>
              </w:rPr>
              <w:t>LGO</w:t>
            </w:r>
          </w:p>
        </w:tc>
        <w:tc>
          <w:tcPr>
            <w:tcW w:w="762" w:type="pct"/>
          </w:tcPr>
          <w:p w14:paraId="3D39C53F" w14:textId="77777777" w:rsidR="006048CB" w:rsidRPr="006048CB" w:rsidRDefault="006048CB" w:rsidP="006048CB">
            <w:pPr>
              <w:pStyle w:val="CETBodytext"/>
              <w:rPr>
                <w:lang w:val="en-GB"/>
              </w:rPr>
            </w:pPr>
            <w:r w:rsidRPr="006048CB">
              <w:rPr>
                <w:lang w:val="en-GB"/>
              </w:rPr>
              <w:t>API 5L Gr. B</w:t>
            </w:r>
          </w:p>
        </w:tc>
        <w:tc>
          <w:tcPr>
            <w:tcW w:w="527" w:type="pct"/>
          </w:tcPr>
          <w:p w14:paraId="6C50C8EB" w14:textId="77777777" w:rsidR="006048CB" w:rsidRPr="006048CB" w:rsidRDefault="006048CB" w:rsidP="006048CB">
            <w:pPr>
              <w:pStyle w:val="CETBodytext"/>
              <w:rPr>
                <w:lang w:val="en-GB"/>
              </w:rPr>
            </w:pPr>
            <w:r w:rsidRPr="006048CB">
              <w:rPr>
                <w:lang w:val="en-GB"/>
              </w:rPr>
              <w:t>265</w:t>
            </w:r>
          </w:p>
        </w:tc>
        <w:tc>
          <w:tcPr>
            <w:tcW w:w="553" w:type="pct"/>
          </w:tcPr>
          <w:p w14:paraId="7238C0B3" w14:textId="77777777" w:rsidR="006048CB" w:rsidRPr="006048CB" w:rsidRDefault="006048CB" w:rsidP="006048CB">
            <w:pPr>
              <w:pStyle w:val="CETBodytext"/>
              <w:rPr>
                <w:lang w:val="en-GB"/>
              </w:rPr>
            </w:pPr>
            <w:r w:rsidRPr="006048CB">
              <w:rPr>
                <w:lang w:val="en-GB"/>
              </w:rPr>
              <w:t>0.007</w:t>
            </w:r>
          </w:p>
        </w:tc>
        <w:tc>
          <w:tcPr>
            <w:tcW w:w="553" w:type="pct"/>
          </w:tcPr>
          <w:p w14:paraId="0645916F" w14:textId="77777777" w:rsidR="006048CB" w:rsidRPr="006048CB" w:rsidRDefault="006048CB" w:rsidP="006048CB">
            <w:pPr>
              <w:pStyle w:val="CETBodytext"/>
              <w:rPr>
                <w:lang w:val="en-GB"/>
              </w:rPr>
            </w:pPr>
            <w:r w:rsidRPr="006048CB">
              <w:rPr>
                <w:lang w:val="en-GB"/>
              </w:rPr>
              <w:t>0.038</w:t>
            </w:r>
          </w:p>
        </w:tc>
        <w:tc>
          <w:tcPr>
            <w:tcW w:w="709" w:type="pct"/>
          </w:tcPr>
          <w:p w14:paraId="35E91349" w14:textId="77777777" w:rsidR="006048CB" w:rsidRPr="006048CB" w:rsidRDefault="006048CB" w:rsidP="006048CB">
            <w:pPr>
              <w:pStyle w:val="CETBodytext"/>
              <w:rPr>
                <w:lang w:val="en-GB"/>
              </w:rPr>
            </w:pPr>
            <w:r w:rsidRPr="006048CB">
              <w:rPr>
                <w:lang w:val="en-GB"/>
              </w:rPr>
              <w:t>0.080</w:t>
            </w:r>
          </w:p>
        </w:tc>
        <w:tc>
          <w:tcPr>
            <w:tcW w:w="543" w:type="pct"/>
          </w:tcPr>
          <w:p w14:paraId="4995A7B1" w14:textId="77777777" w:rsidR="006048CB" w:rsidRPr="006048CB" w:rsidRDefault="006048CB" w:rsidP="006048CB">
            <w:pPr>
              <w:pStyle w:val="CETBodytext"/>
              <w:rPr>
                <w:lang w:val="en-GB"/>
              </w:rPr>
            </w:pPr>
            <w:r w:rsidRPr="006048CB">
              <w:rPr>
                <w:lang w:val="en-GB"/>
              </w:rPr>
              <w:t>0.095</w:t>
            </w:r>
          </w:p>
        </w:tc>
      </w:tr>
      <w:tr w:rsidR="006048CB" w:rsidRPr="009635B2" w14:paraId="6269EDAB" w14:textId="77777777" w:rsidTr="00E427A7">
        <w:trPr>
          <w:trHeight w:val="227"/>
          <w:jc w:val="center"/>
        </w:trPr>
        <w:tc>
          <w:tcPr>
            <w:tcW w:w="506" w:type="pct"/>
            <w:vMerge/>
          </w:tcPr>
          <w:p w14:paraId="2E765E37" w14:textId="77777777" w:rsidR="006048CB" w:rsidRPr="006048CB" w:rsidRDefault="006048CB" w:rsidP="006048CB">
            <w:pPr>
              <w:pStyle w:val="CETBodytext"/>
              <w:rPr>
                <w:lang w:val="en-GB"/>
              </w:rPr>
            </w:pPr>
          </w:p>
        </w:tc>
        <w:tc>
          <w:tcPr>
            <w:tcW w:w="848" w:type="pct"/>
          </w:tcPr>
          <w:p w14:paraId="0E09283E" w14:textId="77777777" w:rsidR="006048CB" w:rsidRPr="006048CB" w:rsidRDefault="006048CB" w:rsidP="006048CB">
            <w:pPr>
              <w:pStyle w:val="CETBodytext"/>
              <w:rPr>
                <w:lang w:val="en-GB"/>
              </w:rPr>
            </w:pPr>
            <w:r w:rsidRPr="006048CB">
              <w:rPr>
                <w:lang w:val="en-GB"/>
              </w:rPr>
              <w:t>HGO</w:t>
            </w:r>
          </w:p>
        </w:tc>
        <w:tc>
          <w:tcPr>
            <w:tcW w:w="762" w:type="pct"/>
          </w:tcPr>
          <w:p w14:paraId="10599836" w14:textId="77777777" w:rsidR="006048CB" w:rsidRPr="006048CB" w:rsidRDefault="006048CB" w:rsidP="006048CB">
            <w:pPr>
              <w:pStyle w:val="CETBodytext"/>
              <w:rPr>
                <w:lang w:val="en-GB"/>
              </w:rPr>
            </w:pPr>
            <w:r w:rsidRPr="006048CB">
              <w:rPr>
                <w:lang w:val="en-GB"/>
              </w:rPr>
              <w:t>AISI 316L</w:t>
            </w:r>
          </w:p>
        </w:tc>
        <w:tc>
          <w:tcPr>
            <w:tcW w:w="527" w:type="pct"/>
          </w:tcPr>
          <w:p w14:paraId="5831003F" w14:textId="77777777" w:rsidR="006048CB" w:rsidRPr="006048CB" w:rsidRDefault="006048CB" w:rsidP="006048CB">
            <w:pPr>
              <w:pStyle w:val="CETBodytext"/>
              <w:rPr>
                <w:lang w:val="en-GB"/>
              </w:rPr>
            </w:pPr>
            <w:r w:rsidRPr="006048CB">
              <w:rPr>
                <w:lang w:val="en-GB"/>
              </w:rPr>
              <w:t>350</w:t>
            </w:r>
          </w:p>
        </w:tc>
        <w:tc>
          <w:tcPr>
            <w:tcW w:w="553" w:type="pct"/>
          </w:tcPr>
          <w:p w14:paraId="6AE3464D" w14:textId="77777777" w:rsidR="006048CB" w:rsidRPr="006048CB" w:rsidRDefault="006048CB" w:rsidP="006048CB">
            <w:pPr>
              <w:pStyle w:val="CETBodytext"/>
              <w:rPr>
                <w:lang w:val="en-GB"/>
              </w:rPr>
            </w:pPr>
            <w:r w:rsidRPr="006048CB">
              <w:rPr>
                <w:lang w:val="en-GB"/>
              </w:rPr>
              <w:t>0.001</w:t>
            </w:r>
          </w:p>
        </w:tc>
        <w:tc>
          <w:tcPr>
            <w:tcW w:w="553" w:type="pct"/>
          </w:tcPr>
          <w:p w14:paraId="2C0CFAE0" w14:textId="77777777" w:rsidR="006048CB" w:rsidRPr="006048CB" w:rsidRDefault="006048CB" w:rsidP="006048CB">
            <w:pPr>
              <w:pStyle w:val="CETBodytext"/>
              <w:rPr>
                <w:lang w:val="en-GB"/>
              </w:rPr>
            </w:pPr>
            <w:r w:rsidRPr="006048CB">
              <w:rPr>
                <w:lang w:val="en-GB"/>
              </w:rPr>
              <w:t>0.006</w:t>
            </w:r>
          </w:p>
        </w:tc>
        <w:tc>
          <w:tcPr>
            <w:tcW w:w="709" w:type="pct"/>
          </w:tcPr>
          <w:p w14:paraId="09012371" w14:textId="77777777" w:rsidR="006048CB" w:rsidRPr="006048CB" w:rsidRDefault="006048CB" w:rsidP="006048CB">
            <w:pPr>
              <w:pStyle w:val="CETBodytext"/>
              <w:rPr>
                <w:lang w:val="en-GB"/>
              </w:rPr>
            </w:pPr>
            <w:r w:rsidRPr="006048CB">
              <w:rPr>
                <w:lang w:val="en-GB"/>
              </w:rPr>
              <w:t>0.030</w:t>
            </w:r>
          </w:p>
        </w:tc>
        <w:tc>
          <w:tcPr>
            <w:tcW w:w="543" w:type="pct"/>
          </w:tcPr>
          <w:p w14:paraId="0BB96525" w14:textId="77777777" w:rsidR="006048CB" w:rsidRPr="006048CB" w:rsidRDefault="006048CB" w:rsidP="006048CB">
            <w:pPr>
              <w:pStyle w:val="CETBodytext"/>
              <w:rPr>
                <w:lang w:val="en-GB"/>
              </w:rPr>
            </w:pPr>
            <w:r w:rsidRPr="006048CB">
              <w:rPr>
                <w:lang w:val="en-GB"/>
              </w:rPr>
              <w:t>0.029</w:t>
            </w:r>
          </w:p>
        </w:tc>
      </w:tr>
      <w:tr w:rsidR="006048CB" w:rsidRPr="009635B2" w14:paraId="11AF920D" w14:textId="77777777" w:rsidTr="00252E92">
        <w:trPr>
          <w:trHeight w:val="227"/>
          <w:jc w:val="center"/>
        </w:trPr>
        <w:tc>
          <w:tcPr>
            <w:tcW w:w="506" w:type="pct"/>
            <w:vMerge/>
            <w:tcBorders>
              <w:bottom w:val="single" w:sz="12" w:space="0" w:color="00B050"/>
            </w:tcBorders>
          </w:tcPr>
          <w:p w14:paraId="14CF9FED" w14:textId="77777777" w:rsidR="006048CB" w:rsidRPr="006048CB" w:rsidRDefault="006048CB" w:rsidP="006048CB">
            <w:pPr>
              <w:pStyle w:val="CETBodytext"/>
              <w:rPr>
                <w:lang w:val="en-GB"/>
              </w:rPr>
            </w:pPr>
          </w:p>
        </w:tc>
        <w:tc>
          <w:tcPr>
            <w:tcW w:w="848" w:type="pct"/>
            <w:tcBorders>
              <w:bottom w:val="single" w:sz="12" w:space="0" w:color="00B050"/>
            </w:tcBorders>
          </w:tcPr>
          <w:p w14:paraId="7C3702AA" w14:textId="77777777" w:rsidR="006048CB" w:rsidRPr="006048CB" w:rsidRDefault="006048CB" w:rsidP="006048CB">
            <w:pPr>
              <w:pStyle w:val="CETBodytext"/>
              <w:rPr>
                <w:lang w:val="en-GB"/>
              </w:rPr>
            </w:pPr>
            <w:r w:rsidRPr="006048CB">
              <w:rPr>
                <w:lang w:val="en-GB"/>
              </w:rPr>
              <w:t>Atm Residue</w:t>
            </w:r>
          </w:p>
        </w:tc>
        <w:tc>
          <w:tcPr>
            <w:tcW w:w="762" w:type="pct"/>
            <w:tcBorders>
              <w:bottom w:val="single" w:sz="12" w:space="0" w:color="00B050"/>
            </w:tcBorders>
          </w:tcPr>
          <w:p w14:paraId="656E1D1B" w14:textId="77777777" w:rsidR="006048CB" w:rsidRPr="006048CB" w:rsidRDefault="006048CB" w:rsidP="006048CB">
            <w:pPr>
              <w:pStyle w:val="CETBodytext"/>
              <w:rPr>
                <w:lang w:val="en-GB"/>
              </w:rPr>
            </w:pPr>
            <w:r w:rsidRPr="006048CB">
              <w:rPr>
                <w:lang w:val="en-GB"/>
              </w:rPr>
              <w:t>A335 P5</w:t>
            </w:r>
          </w:p>
        </w:tc>
        <w:tc>
          <w:tcPr>
            <w:tcW w:w="527" w:type="pct"/>
            <w:tcBorders>
              <w:bottom w:val="single" w:sz="12" w:space="0" w:color="00B050"/>
            </w:tcBorders>
          </w:tcPr>
          <w:p w14:paraId="4C5F7DA2" w14:textId="77777777" w:rsidR="006048CB" w:rsidRPr="006048CB" w:rsidRDefault="006048CB" w:rsidP="006048CB">
            <w:pPr>
              <w:pStyle w:val="CETBodytext"/>
              <w:rPr>
                <w:lang w:val="en-GB"/>
              </w:rPr>
            </w:pPr>
            <w:r w:rsidRPr="006048CB">
              <w:rPr>
                <w:lang w:val="en-GB"/>
              </w:rPr>
              <w:t>354</w:t>
            </w:r>
          </w:p>
        </w:tc>
        <w:tc>
          <w:tcPr>
            <w:tcW w:w="553" w:type="pct"/>
            <w:tcBorders>
              <w:bottom w:val="single" w:sz="12" w:space="0" w:color="00B050"/>
            </w:tcBorders>
          </w:tcPr>
          <w:p w14:paraId="06638E1D" w14:textId="77777777" w:rsidR="006048CB" w:rsidRPr="006048CB" w:rsidRDefault="006048CB" w:rsidP="006048CB">
            <w:pPr>
              <w:pStyle w:val="CETBodytext"/>
              <w:rPr>
                <w:lang w:val="en-GB"/>
              </w:rPr>
            </w:pPr>
            <w:r w:rsidRPr="006048CB">
              <w:rPr>
                <w:lang w:val="en-GB"/>
              </w:rPr>
              <w:t>0.004</w:t>
            </w:r>
          </w:p>
        </w:tc>
        <w:tc>
          <w:tcPr>
            <w:tcW w:w="553" w:type="pct"/>
            <w:tcBorders>
              <w:bottom w:val="single" w:sz="12" w:space="0" w:color="00B050"/>
            </w:tcBorders>
          </w:tcPr>
          <w:p w14:paraId="344FB558" w14:textId="77777777" w:rsidR="006048CB" w:rsidRPr="006048CB" w:rsidRDefault="006048CB" w:rsidP="006048CB">
            <w:pPr>
              <w:pStyle w:val="CETBodytext"/>
              <w:rPr>
                <w:lang w:val="en-GB"/>
              </w:rPr>
            </w:pPr>
            <w:r w:rsidRPr="006048CB">
              <w:rPr>
                <w:lang w:val="en-GB"/>
              </w:rPr>
              <w:t>0.024</w:t>
            </w:r>
          </w:p>
        </w:tc>
        <w:tc>
          <w:tcPr>
            <w:tcW w:w="709" w:type="pct"/>
            <w:tcBorders>
              <w:bottom w:val="single" w:sz="12" w:space="0" w:color="00B050"/>
            </w:tcBorders>
          </w:tcPr>
          <w:p w14:paraId="70ECBD65" w14:textId="77777777" w:rsidR="006048CB" w:rsidRPr="006048CB" w:rsidRDefault="006048CB" w:rsidP="006048CB">
            <w:pPr>
              <w:pStyle w:val="CETBodytext"/>
              <w:rPr>
                <w:lang w:val="en-GB"/>
              </w:rPr>
            </w:pPr>
            <w:r w:rsidRPr="006048CB">
              <w:rPr>
                <w:lang w:val="en-GB"/>
              </w:rPr>
              <w:t>0.200</w:t>
            </w:r>
          </w:p>
        </w:tc>
        <w:tc>
          <w:tcPr>
            <w:tcW w:w="543" w:type="pct"/>
            <w:tcBorders>
              <w:bottom w:val="single" w:sz="12" w:space="0" w:color="00B050"/>
            </w:tcBorders>
          </w:tcPr>
          <w:p w14:paraId="452AB005" w14:textId="77777777" w:rsidR="006048CB" w:rsidRPr="006048CB" w:rsidRDefault="006048CB" w:rsidP="006048CB">
            <w:pPr>
              <w:pStyle w:val="CETBodytext"/>
              <w:rPr>
                <w:lang w:val="en-GB"/>
              </w:rPr>
            </w:pPr>
            <w:r w:rsidRPr="006048CB">
              <w:rPr>
                <w:lang w:val="en-GB"/>
              </w:rPr>
              <w:t>0.060</w:t>
            </w:r>
          </w:p>
        </w:tc>
      </w:tr>
    </w:tbl>
    <w:p w14:paraId="25BB82EB" w14:textId="6196137E" w:rsidR="00E427A7" w:rsidRDefault="00E427A7" w:rsidP="00E427A7">
      <w:pPr>
        <w:pStyle w:val="CETTabletitle"/>
      </w:pPr>
      <w:r w:rsidRPr="00B57B36">
        <w:t xml:space="preserve">Table </w:t>
      </w:r>
      <w:r>
        <w:t>4</w:t>
      </w:r>
      <w:r w:rsidRPr="00B57B36">
        <w:t xml:space="preserve">: </w:t>
      </w:r>
      <w:r w:rsidRPr="00E427A7">
        <w:t>Results obtained for CDU_4 on a 150-day reference period and comparison between the average CR m</w:t>
      </w:r>
      <w:r w:rsidR="00455857">
        <w:t>easured, McConomy CR and RBI CR</w:t>
      </w:r>
    </w:p>
    <w:tbl>
      <w:tblPr>
        <w:tblStyle w:val="StileCET"/>
        <w:tblW w:w="5000" w:type="pct"/>
        <w:jc w:val="center"/>
        <w:tblBorders>
          <w:top w:val="single" w:sz="12" w:space="0" w:color="00B050"/>
          <w:bottom w:val="single" w:sz="12" w:space="0" w:color="00B050"/>
          <w:insideH w:val="none" w:sz="0" w:space="0" w:color="auto"/>
        </w:tblBorders>
        <w:tblLook w:val="04A0" w:firstRow="1" w:lastRow="0" w:firstColumn="1" w:lastColumn="0" w:noHBand="0" w:noVBand="1"/>
      </w:tblPr>
      <w:tblGrid>
        <w:gridCol w:w="910"/>
        <w:gridCol w:w="1527"/>
        <w:gridCol w:w="1372"/>
        <w:gridCol w:w="949"/>
        <w:gridCol w:w="996"/>
        <w:gridCol w:w="996"/>
        <w:gridCol w:w="1277"/>
        <w:gridCol w:w="976"/>
      </w:tblGrid>
      <w:tr w:rsidR="00E427A7" w:rsidRPr="009635B2" w14:paraId="7393A88C" w14:textId="77777777" w:rsidTr="00E427A7">
        <w:trPr>
          <w:trHeight w:val="227"/>
          <w:jc w:val="center"/>
        </w:trPr>
        <w:tc>
          <w:tcPr>
            <w:tcW w:w="505" w:type="pct"/>
            <w:vMerge w:val="restart"/>
          </w:tcPr>
          <w:p w14:paraId="259A30D6" w14:textId="44D4A513" w:rsidR="00E427A7" w:rsidRPr="006048CB" w:rsidRDefault="00E427A7" w:rsidP="0015516C">
            <w:pPr>
              <w:pStyle w:val="CETBodytext"/>
              <w:rPr>
                <w:lang w:val="en-GB"/>
              </w:rPr>
            </w:pPr>
            <w:r w:rsidRPr="006048CB">
              <w:rPr>
                <w:lang w:val="en-GB"/>
              </w:rPr>
              <w:t>CDU_</w:t>
            </w:r>
            <w:r>
              <w:rPr>
                <w:lang w:val="en-GB"/>
              </w:rPr>
              <w:t>4</w:t>
            </w:r>
          </w:p>
        </w:tc>
        <w:tc>
          <w:tcPr>
            <w:tcW w:w="848" w:type="pct"/>
            <w:tcBorders>
              <w:top w:val="single" w:sz="12" w:space="0" w:color="00B050"/>
              <w:bottom w:val="single" w:sz="6" w:space="0" w:color="00B050"/>
            </w:tcBorders>
          </w:tcPr>
          <w:p w14:paraId="275055D0" w14:textId="77777777" w:rsidR="00E427A7" w:rsidRPr="006048CB" w:rsidRDefault="00E427A7" w:rsidP="0015516C">
            <w:pPr>
              <w:pStyle w:val="CETBodytext"/>
              <w:rPr>
                <w:lang w:val="en-GB"/>
              </w:rPr>
            </w:pPr>
          </w:p>
        </w:tc>
        <w:tc>
          <w:tcPr>
            <w:tcW w:w="762" w:type="pct"/>
            <w:tcBorders>
              <w:top w:val="single" w:sz="12" w:space="0" w:color="00B050"/>
              <w:bottom w:val="single" w:sz="6" w:space="0" w:color="00B050"/>
            </w:tcBorders>
          </w:tcPr>
          <w:p w14:paraId="4FF8DEC2" w14:textId="77777777" w:rsidR="00E427A7" w:rsidRPr="006048CB" w:rsidRDefault="00E427A7" w:rsidP="0015516C">
            <w:pPr>
              <w:pStyle w:val="CETBodytext"/>
              <w:rPr>
                <w:lang w:val="en-GB"/>
              </w:rPr>
            </w:pPr>
            <w:r w:rsidRPr="006048CB">
              <w:rPr>
                <w:lang w:val="en-GB"/>
              </w:rPr>
              <w:t>Material</w:t>
            </w:r>
          </w:p>
        </w:tc>
        <w:tc>
          <w:tcPr>
            <w:tcW w:w="527" w:type="pct"/>
            <w:tcBorders>
              <w:top w:val="single" w:sz="12" w:space="0" w:color="00B050"/>
              <w:bottom w:val="single" w:sz="6" w:space="0" w:color="00B050"/>
            </w:tcBorders>
          </w:tcPr>
          <w:p w14:paraId="19869C49" w14:textId="77777777" w:rsidR="00E427A7" w:rsidRPr="006048CB" w:rsidRDefault="00E427A7" w:rsidP="0015516C">
            <w:pPr>
              <w:pStyle w:val="CETBodytext"/>
              <w:rPr>
                <w:lang w:val="en-GB"/>
              </w:rPr>
            </w:pPr>
            <w:r w:rsidRPr="006048CB">
              <w:rPr>
                <w:lang w:val="en-GB"/>
              </w:rPr>
              <w:t>Design Temp [°C]</w:t>
            </w:r>
          </w:p>
        </w:tc>
        <w:tc>
          <w:tcPr>
            <w:tcW w:w="553" w:type="pct"/>
            <w:tcBorders>
              <w:top w:val="single" w:sz="12" w:space="0" w:color="00B050"/>
              <w:bottom w:val="single" w:sz="6" w:space="0" w:color="00B050"/>
            </w:tcBorders>
          </w:tcPr>
          <w:p w14:paraId="5C264DE5" w14:textId="77777777" w:rsidR="00E427A7" w:rsidRPr="006048CB" w:rsidRDefault="00E427A7" w:rsidP="0015516C">
            <w:pPr>
              <w:pStyle w:val="CETBodytext"/>
              <w:rPr>
                <w:lang w:val="en-GB"/>
              </w:rPr>
            </w:pPr>
            <w:r w:rsidRPr="006048CB">
              <w:rPr>
                <w:lang w:val="en-GB"/>
              </w:rPr>
              <w:t>Average ∆s [mm]</w:t>
            </w:r>
          </w:p>
        </w:tc>
        <w:tc>
          <w:tcPr>
            <w:tcW w:w="553" w:type="pct"/>
            <w:tcBorders>
              <w:top w:val="single" w:sz="12" w:space="0" w:color="00B050"/>
              <w:bottom w:val="single" w:sz="6" w:space="0" w:color="00B050"/>
            </w:tcBorders>
          </w:tcPr>
          <w:p w14:paraId="44873EEE" w14:textId="77777777" w:rsidR="00E427A7" w:rsidRPr="006048CB" w:rsidRDefault="00E427A7" w:rsidP="0015516C">
            <w:pPr>
              <w:pStyle w:val="CETBodytext"/>
              <w:rPr>
                <w:lang w:val="en-GB"/>
              </w:rPr>
            </w:pPr>
            <w:r w:rsidRPr="006048CB">
              <w:rPr>
                <w:lang w:val="en-GB"/>
              </w:rPr>
              <w:t>Average CR [mm/y]</w:t>
            </w:r>
          </w:p>
        </w:tc>
        <w:tc>
          <w:tcPr>
            <w:tcW w:w="709" w:type="pct"/>
            <w:tcBorders>
              <w:top w:val="single" w:sz="12" w:space="0" w:color="00B050"/>
              <w:bottom w:val="single" w:sz="6" w:space="0" w:color="00B050"/>
            </w:tcBorders>
          </w:tcPr>
          <w:p w14:paraId="13860A27" w14:textId="77777777" w:rsidR="00E427A7" w:rsidRPr="006048CB" w:rsidRDefault="00E427A7" w:rsidP="0015516C">
            <w:pPr>
              <w:pStyle w:val="CETBodytext"/>
              <w:rPr>
                <w:lang w:val="en-GB"/>
              </w:rPr>
            </w:pPr>
            <w:r w:rsidRPr="006048CB">
              <w:rPr>
                <w:lang w:val="en-GB"/>
              </w:rPr>
              <w:t>McConomy CR [mm/y]</w:t>
            </w:r>
          </w:p>
        </w:tc>
        <w:tc>
          <w:tcPr>
            <w:tcW w:w="542" w:type="pct"/>
            <w:tcBorders>
              <w:top w:val="single" w:sz="12" w:space="0" w:color="00B050"/>
              <w:bottom w:val="single" w:sz="6" w:space="0" w:color="00B050"/>
            </w:tcBorders>
          </w:tcPr>
          <w:p w14:paraId="18403DE8" w14:textId="77777777" w:rsidR="00E427A7" w:rsidRPr="006048CB" w:rsidRDefault="00E427A7" w:rsidP="0015516C">
            <w:pPr>
              <w:pStyle w:val="CETBodytext"/>
              <w:rPr>
                <w:lang w:val="en-GB"/>
              </w:rPr>
            </w:pPr>
            <w:r w:rsidRPr="006048CB">
              <w:rPr>
                <w:lang w:val="en-GB"/>
              </w:rPr>
              <w:t>RBI CR [mm/y]</w:t>
            </w:r>
          </w:p>
        </w:tc>
      </w:tr>
      <w:tr w:rsidR="00E427A7" w:rsidRPr="009635B2" w14:paraId="6A89AAF7" w14:textId="77777777" w:rsidTr="00E427A7">
        <w:trPr>
          <w:trHeight w:val="227"/>
          <w:jc w:val="center"/>
        </w:trPr>
        <w:tc>
          <w:tcPr>
            <w:tcW w:w="505" w:type="pct"/>
            <w:vMerge/>
          </w:tcPr>
          <w:p w14:paraId="02B5F6B4" w14:textId="77777777" w:rsidR="00E427A7" w:rsidRPr="006048CB" w:rsidRDefault="00E427A7" w:rsidP="00E427A7">
            <w:pPr>
              <w:pStyle w:val="CETBodytext"/>
              <w:rPr>
                <w:lang w:val="en-GB"/>
              </w:rPr>
            </w:pPr>
          </w:p>
        </w:tc>
        <w:tc>
          <w:tcPr>
            <w:tcW w:w="848" w:type="pct"/>
            <w:tcBorders>
              <w:top w:val="single" w:sz="6" w:space="0" w:color="00B050"/>
            </w:tcBorders>
          </w:tcPr>
          <w:p w14:paraId="19C603FA" w14:textId="77777777" w:rsidR="00E427A7" w:rsidRPr="006048CB" w:rsidRDefault="00E427A7" w:rsidP="00E427A7">
            <w:pPr>
              <w:pStyle w:val="CETBodytext"/>
              <w:rPr>
                <w:lang w:val="en-GB"/>
              </w:rPr>
            </w:pPr>
            <w:r w:rsidRPr="006048CB">
              <w:rPr>
                <w:lang w:val="en-GB"/>
              </w:rPr>
              <w:t>Pre-heating</w:t>
            </w:r>
          </w:p>
        </w:tc>
        <w:tc>
          <w:tcPr>
            <w:tcW w:w="762" w:type="pct"/>
            <w:tcBorders>
              <w:top w:val="single" w:sz="6" w:space="0" w:color="00B050"/>
            </w:tcBorders>
          </w:tcPr>
          <w:p w14:paraId="5C934438" w14:textId="52281C64" w:rsidR="00E427A7" w:rsidRPr="006048CB" w:rsidRDefault="00E427A7" w:rsidP="00E427A7">
            <w:pPr>
              <w:pStyle w:val="CETBodytext"/>
              <w:rPr>
                <w:lang w:val="en-GB"/>
              </w:rPr>
            </w:pPr>
            <w:r w:rsidRPr="00C2797E">
              <w:rPr>
                <w:rFonts w:eastAsia="SimSun"/>
                <w:szCs w:val="18"/>
                <w:lang w:val="en-GB"/>
              </w:rPr>
              <w:t>A335 P5</w:t>
            </w:r>
          </w:p>
        </w:tc>
        <w:tc>
          <w:tcPr>
            <w:tcW w:w="527" w:type="pct"/>
            <w:tcBorders>
              <w:top w:val="single" w:sz="6" w:space="0" w:color="00B050"/>
            </w:tcBorders>
          </w:tcPr>
          <w:p w14:paraId="18AD043E" w14:textId="16749070" w:rsidR="00E427A7" w:rsidRPr="006048CB" w:rsidRDefault="00E427A7" w:rsidP="00E427A7">
            <w:pPr>
              <w:pStyle w:val="CETBodytext"/>
              <w:rPr>
                <w:lang w:val="en-GB"/>
              </w:rPr>
            </w:pPr>
            <w:r w:rsidRPr="00C2797E">
              <w:rPr>
                <w:rFonts w:eastAsia="SimSun"/>
                <w:szCs w:val="18"/>
                <w:lang w:val="en-GB"/>
              </w:rPr>
              <w:t>270</w:t>
            </w:r>
          </w:p>
        </w:tc>
        <w:tc>
          <w:tcPr>
            <w:tcW w:w="553" w:type="pct"/>
            <w:tcBorders>
              <w:top w:val="single" w:sz="6" w:space="0" w:color="00B050"/>
            </w:tcBorders>
          </w:tcPr>
          <w:p w14:paraId="40888794" w14:textId="745F806D" w:rsidR="00E427A7" w:rsidRPr="006048CB" w:rsidRDefault="00E427A7" w:rsidP="00E427A7">
            <w:pPr>
              <w:pStyle w:val="CETBodytext"/>
              <w:rPr>
                <w:lang w:val="en-GB"/>
              </w:rPr>
            </w:pPr>
            <w:r w:rsidRPr="00C2797E">
              <w:rPr>
                <w:rFonts w:eastAsia="SimSun"/>
                <w:szCs w:val="18"/>
                <w:lang w:val="en-GB"/>
              </w:rPr>
              <w:t>0.051</w:t>
            </w:r>
          </w:p>
        </w:tc>
        <w:tc>
          <w:tcPr>
            <w:tcW w:w="553" w:type="pct"/>
            <w:tcBorders>
              <w:top w:val="single" w:sz="6" w:space="0" w:color="00B050"/>
            </w:tcBorders>
          </w:tcPr>
          <w:p w14:paraId="50C6166D" w14:textId="312EDCBC" w:rsidR="00E427A7" w:rsidRPr="006048CB" w:rsidRDefault="00E427A7" w:rsidP="00E427A7">
            <w:pPr>
              <w:pStyle w:val="CETBodytext"/>
              <w:rPr>
                <w:lang w:val="en-GB"/>
              </w:rPr>
            </w:pPr>
            <w:r w:rsidRPr="00C2797E">
              <w:rPr>
                <w:rFonts w:eastAsia="SimSun"/>
                <w:szCs w:val="18"/>
                <w:lang w:val="en-GB"/>
              </w:rPr>
              <w:t>0.120</w:t>
            </w:r>
          </w:p>
        </w:tc>
        <w:tc>
          <w:tcPr>
            <w:tcW w:w="709" w:type="pct"/>
            <w:tcBorders>
              <w:top w:val="single" w:sz="6" w:space="0" w:color="00B050"/>
            </w:tcBorders>
          </w:tcPr>
          <w:p w14:paraId="5A572F62" w14:textId="6AE01134" w:rsidR="00E427A7" w:rsidRPr="006048CB" w:rsidRDefault="00E427A7" w:rsidP="00E427A7">
            <w:pPr>
              <w:pStyle w:val="CETBodytext"/>
              <w:rPr>
                <w:lang w:val="en-GB"/>
              </w:rPr>
            </w:pPr>
            <w:r w:rsidRPr="00C2797E">
              <w:rPr>
                <w:rFonts w:eastAsia="SimSun"/>
                <w:szCs w:val="18"/>
                <w:lang w:val="en-GB"/>
              </w:rPr>
              <w:t>0.150</w:t>
            </w:r>
          </w:p>
        </w:tc>
        <w:tc>
          <w:tcPr>
            <w:tcW w:w="542" w:type="pct"/>
            <w:tcBorders>
              <w:top w:val="single" w:sz="6" w:space="0" w:color="00B050"/>
            </w:tcBorders>
          </w:tcPr>
          <w:p w14:paraId="5DC1AFFF" w14:textId="10D40EF7" w:rsidR="00E427A7" w:rsidRPr="006048CB" w:rsidRDefault="00000377" w:rsidP="00000377">
            <w:pPr>
              <w:pStyle w:val="CETBodytext"/>
              <w:jc w:val="left"/>
              <w:rPr>
                <w:lang w:val="en-GB"/>
              </w:rPr>
            </w:pPr>
            <w:r>
              <w:rPr>
                <w:lang w:val="en-GB"/>
              </w:rPr>
              <w:t>-</w:t>
            </w:r>
          </w:p>
        </w:tc>
      </w:tr>
      <w:tr w:rsidR="00E427A7" w:rsidRPr="009635B2" w14:paraId="2843E0AE" w14:textId="77777777" w:rsidTr="00E427A7">
        <w:trPr>
          <w:trHeight w:val="227"/>
          <w:jc w:val="center"/>
        </w:trPr>
        <w:tc>
          <w:tcPr>
            <w:tcW w:w="505" w:type="pct"/>
            <w:vMerge/>
          </w:tcPr>
          <w:p w14:paraId="3E70C40F" w14:textId="77777777" w:rsidR="00E427A7" w:rsidRPr="006048CB" w:rsidRDefault="00E427A7" w:rsidP="00E427A7">
            <w:pPr>
              <w:pStyle w:val="CETBodytext"/>
              <w:rPr>
                <w:lang w:val="en-GB"/>
              </w:rPr>
            </w:pPr>
          </w:p>
        </w:tc>
        <w:tc>
          <w:tcPr>
            <w:tcW w:w="848" w:type="pct"/>
          </w:tcPr>
          <w:p w14:paraId="071E56BC" w14:textId="77777777" w:rsidR="00E427A7" w:rsidRPr="006048CB" w:rsidRDefault="00E427A7" w:rsidP="00E427A7">
            <w:pPr>
              <w:pStyle w:val="CETBodytext"/>
              <w:rPr>
                <w:lang w:val="en-GB"/>
              </w:rPr>
            </w:pPr>
            <w:r w:rsidRPr="006048CB">
              <w:rPr>
                <w:lang w:val="en-GB"/>
              </w:rPr>
              <w:t>Transfer Line</w:t>
            </w:r>
          </w:p>
        </w:tc>
        <w:tc>
          <w:tcPr>
            <w:tcW w:w="762" w:type="pct"/>
          </w:tcPr>
          <w:p w14:paraId="31F21143" w14:textId="2B01173C" w:rsidR="00E427A7" w:rsidRPr="006048CB" w:rsidRDefault="00E427A7" w:rsidP="00E427A7">
            <w:pPr>
              <w:pStyle w:val="CETBodytext"/>
              <w:rPr>
                <w:lang w:val="en-GB"/>
              </w:rPr>
            </w:pPr>
            <w:r w:rsidRPr="00C2797E">
              <w:rPr>
                <w:rFonts w:eastAsia="SimSun"/>
                <w:szCs w:val="18"/>
              </w:rPr>
              <w:t>A335 P5</w:t>
            </w:r>
          </w:p>
        </w:tc>
        <w:tc>
          <w:tcPr>
            <w:tcW w:w="527" w:type="pct"/>
          </w:tcPr>
          <w:p w14:paraId="2E8CFC33" w14:textId="676A9033" w:rsidR="00E427A7" w:rsidRPr="006048CB" w:rsidRDefault="00E427A7" w:rsidP="00E427A7">
            <w:pPr>
              <w:pStyle w:val="CETBodytext"/>
              <w:rPr>
                <w:lang w:val="en-GB"/>
              </w:rPr>
            </w:pPr>
            <w:r w:rsidRPr="00C2797E">
              <w:rPr>
                <w:rFonts w:eastAsia="SimSun"/>
                <w:szCs w:val="18"/>
              </w:rPr>
              <w:t>365</w:t>
            </w:r>
          </w:p>
        </w:tc>
        <w:tc>
          <w:tcPr>
            <w:tcW w:w="553" w:type="pct"/>
          </w:tcPr>
          <w:p w14:paraId="71B40797" w14:textId="4EF05324" w:rsidR="00E427A7" w:rsidRPr="006048CB" w:rsidRDefault="00E427A7" w:rsidP="00E427A7">
            <w:pPr>
              <w:pStyle w:val="CETBodytext"/>
              <w:rPr>
                <w:lang w:val="en-GB"/>
              </w:rPr>
            </w:pPr>
            <w:r w:rsidRPr="00C2797E">
              <w:rPr>
                <w:rFonts w:eastAsia="SimSun"/>
                <w:szCs w:val="18"/>
              </w:rPr>
              <w:t>0.086</w:t>
            </w:r>
          </w:p>
        </w:tc>
        <w:tc>
          <w:tcPr>
            <w:tcW w:w="553" w:type="pct"/>
          </w:tcPr>
          <w:p w14:paraId="22942E9C" w14:textId="7E161658" w:rsidR="00E427A7" w:rsidRPr="006048CB" w:rsidRDefault="00E427A7" w:rsidP="00E427A7">
            <w:pPr>
              <w:pStyle w:val="CETBodytext"/>
              <w:rPr>
                <w:lang w:val="en-GB"/>
              </w:rPr>
            </w:pPr>
            <w:r w:rsidRPr="00C2797E">
              <w:rPr>
                <w:rFonts w:eastAsia="SimSun"/>
                <w:szCs w:val="18"/>
              </w:rPr>
              <w:t>0.202</w:t>
            </w:r>
          </w:p>
        </w:tc>
        <w:tc>
          <w:tcPr>
            <w:tcW w:w="709" w:type="pct"/>
          </w:tcPr>
          <w:p w14:paraId="29CCC8CD" w14:textId="104608F9" w:rsidR="00E427A7" w:rsidRPr="006048CB" w:rsidRDefault="00E427A7" w:rsidP="00E427A7">
            <w:pPr>
              <w:pStyle w:val="CETBodytext"/>
              <w:rPr>
                <w:lang w:val="en-GB"/>
              </w:rPr>
            </w:pPr>
            <w:r w:rsidRPr="00C2797E">
              <w:rPr>
                <w:rFonts w:eastAsia="SimSun"/>
                <w:szCs w:val="18"/>
              </w:rPr>
              <w:t>0.510</w:t>
            </w:r>
          </w:p>
        </w:tc>
        <w:tc>
          <w:tcPr>
            <w:tcW w:w="542" w:type="pct"/>
          </w:tcPr>
          <w:p w14:paraId="304027CE" w14:textId="5D361009" w:rsidR="00E427A7" w:rsidRPr="006048CB" w:rsidRDefault="00E427A7" w:rsidP="00E427A7">
            <w:pPr>
              <w:pStyle w:val="CETBodytext"/>
              <w:rPr>
                <w:lang w:val="en-GB"/>
              </w:rPr>
            </w:pPr>
            <w:r w:rsidRPr="00C2797E">
              <w:rPr>
                <w:rFonts w:eastAsia="SimSun"/>
                <w:szCs w:val="18"/>
              </w:rPr>
              <w:t>0.250</w:t>
            </w:r>
          </w:p>
        </w:tc>
      </w:tr>
      <w:tr w:rsidR="00E427A7" w:rsidRPr="009635B2" w14:paraId="1B4A4536" w14:textId="77777777" w:rsidTr="00E427A7">
        <w:trPr>
          <w:trHeight w:val="227"/>
          <w:jc w:val="center"/>
        </w:trPr>
        <w:tc>
          <w:tcPr>
            <w:tcW w:w="505" w:type="pct"/>
            <w:vMerge/>
          </w:tcPr>
          <w:p w14:paraId="4F0F3AB1" w14:textId="77777777" w:rsidR="00E427A7" w:rsidRPr="006048CB" w:rsidRDefault="00E427A7" w:rsidP="00E427A7">
            <w:pPr>
              <w:pStyle w:val="CETBodytext"/>
              <w:rPr>
                <w:lang w:val="en-GB"/>
              </w:rPr>
            </w:pPr>
          </w:p>
        </w:tc>
        <w:tc>
          <w:tcPr>
            <w:tcW w:w="848" w:type="pct"/>
          </w:tcPr>
          <w:p w14:paraId="164B7D15" w14:textId="77777777" w:rsidR="00E427A7" w:rsidRPr="006048CB" w:rsidRDefault="00E427A7" w:rsidP="00E427A7">
            <w:pPr>
              <w:pStyle w:val="CETBodytext"/>
              <w:rPr>
                <w:lang w:val="en-GB"/>
              </w:rPr>
            </w:pPr>
            <w:r w:rsidRPr="006048CB">
              <w:rPr>
                <w:lang w:val="en-GB"/>
              </w:rPr>
              <w:t>Medium P</w:t>
            </w:r>
          </w:p>
        </w:tc>
        <w:tc>
          <w:tcPr>
            <w:tcW w:w="762" w:type="pct"/>
          </w:tcPr>
          <w:p w14:paraId="690A4DDE" w14:textId="16D9DAA5" w:rsidR="00E427A7" w:rsidRPr="006048CB" w:rsidRDefault="00E427A7" w:rsidP="00E427A7">
            <w:pPr>
              <w:pStyle w:val="CETBodytext"/>
              <w:rPr>
                <w:lang w:val="en-GB"/>
              </w:rPr>
            </w:pPr>
            <w:r w:rsidRPr="00C2797E">
              <w:rPr>
                <w:rFonts w:eastAsia="SimSun"/>
                <w:szCs w:val="18"/>
              </w:rPr>
              <w:t>API 5L Gr. B</w:t>
            </w:r>
          </w:p>
        </w:tc>
        <w:tc>
          <w:tcPr>
            <w:tcW w:w="527" w:type="pct"/>
          </w:tcPr>
          <w:p w14:paraId="4B5A232D" w14:textId="74460D81" w:rsidR="00E427A7" w:rsidRPr="006048CB" w:rsidRDefault="00E427A7" w:rsidP="00E427A7">
            <w:pPr>
              <w:pStyle w:val="CETBodytext"/>
              <w:rPr>
                <w:lang w:val="en-GB"/>
              </w:rPr>
            </w:pPr>
            <w:r w:rsidRPr="00C2797E">
              <w:rPr>
                <w:rFonts w:eastAsia="SimSun"/>
                <w:szCs w:val="18"/>
              </w:rPr>
              <w:t>210</w:t>
            </w:r>
          </w:p>
        </w:tc>
        <w:tc>
          <w:tcPr>
            <w:tcW w:w="553" w:type="pct"/>
          </w:tcPr>
          <w:p w14:paraId="5C0453E8" w14:textId="761CC9E8" w:rsidR="00E427A7" w:rsidRPr="006048CB" w:rsidRDefault="00E427A7" w:rsidP="00E427A7">
            <w:pPr>
              <w:pStyle w:val="CETBodytext"/>
              <w:rPr>
                <w:lang w:val="en-GB"/>
              </w:rPr>
            </w:pPr>
            <w:r w:rsidRPr="00C2797E">
              <w:rPr>
                <w:rFonts w:eastAsia="SimSun"/>
                <w:szCs w:val="18"/>
              </w:rPr>
              <w:t>0.056</w:t>
            </w:r>
          </w:p>
        </w:tc>
        <w:tc>
          <w:tcPr>
            <w:tcW w:w="553" w:type="pct"/>
          </w:tcPr>
          <w:p w14:paraId="2D13CDF7" w14:textId="034BF15B" w:rsidR="00E427A7" w:rsidRPr="006048CB" w:rsidRDefault="00E427A7" w:rsidP="00E427A7">
            <w:pPr>
              <w:pStyle w:val="CETBodytext"/>
              <w:rPr>
                <w:lang w:val="en-GB"/>
              </w:rPr>
            </w:pPr>
            <w:r w:rsidRPr="00C2797E">
              <w:rPr>
                <w:rFonts w:eastAsia="SimSun"/>
                <w:szCs w:val="18"/>
              </w:rPr>
              <w:t>0.132</w:t>
            </w:r>
          </w:p>
        </w:tc>
        <w:tc>
          <w:tcPr>
            <w:tcW w:w="709" w:type="pct"/>
          </w:tcPr>
          <w:p w14:paraId="6BD138AC" w14:textId="5470E005" w:rsidR="00E427A7" w:rsidRPr="006048CB" w:rsidRDefault="00E427A7" w:rsidP="00E427A7">
            <w:pPr>
              <w:pStyle w:val="CETBodytext"/>
              <w:rPr>
                <w:lang w:val="en-GB"/>
              </w:rPr>
            </w:pPr>
            <w:r w:rsidRPr="00C2797E">
              <w:rPr>
                <w:rFonts w:eastAsia="SimSun"/>
                <w:szCs w:val="18"/>
              </w:rPr>
              <w:t>0.050</w:t>
            </w:r>
          </w:p>
        </w:tc>
        <w:tc>
          <w:tcPr>
            <w:tcW w:w="542" w:type="pct"/>
          </w:tcPr>
          <w:p w14:paraId="54780450" w14:textId="357BF753" w:rsidR="00E427A7" w:rsidRPr="006048CB" w:rsidRDefault="00E427A7" w:rsidP="00E427A7">
            <w:pPr>
              <w:pStyle w:val="CETBodytext"/>
              <w:rPr>
                <w:lang w:val="en-GB"/>
              </w:rPr>
            </w:pPr>
            <w:r w:rsidRPr="00C2797E">
              <w:rPr>
                <w:rFonts w:eastAsia="SimSun"/>
                <w:szCs w:val="18"/>
              </w:rPr>
              <w:t>0.093</w:t>
            </w:r>
          </w:p>
        </w:tc>
      </w:tr>
      <w:tr w:rsidR="00E427A7" w:rsidRPr="009635B2" w14:paraId="536B32B5" w14:textId="77777777" w:rsidTr="00E427A7">
        <w:trPr>
          <w:trHeight w:val="227"/>
          <w:jc w:val="center"/>
        </w:trPr>
        <w:tc>
          <w:tcPr>
            <w:tcW w:w="505" w:type="pct"/>
            <w:vMerge/>
          </w:tcPr>
          <w:p w14:paraId="0B4DDB6C" w14:textId="77777777" w:rsidR="00E427A7" w:rsidRPr="006048CB" w:rsidRDefault="00E427A7" w:rsidP="00E427A7">
            <w:pPr>
              <w:pStyle w:val="CETBodytext"/>
              <w:rPr>
                <w:lang w:val="en-GB"/>
              </w:rPr>
            </w:pPr>
          </w:p>
        </w:tc>
        <w:tc>
          <w:tcPr>
            <w:tcW w:w="848" w:type="pct"/>
          </w:tcPr>
          <w:p w14:paraId="44E7778E" w14:textId="77777777" w:rsidR="00E427A7" w:rsidRPr="006048CB" w:rsidRDefault="00E427A7" w:rsidP="00E427A7">
            <w:pPr>
              <w:pStyle w:val="CETBodytext"/>
              <w:rPr>
                <w:lang w:val="en-GB"/>
              </w:rPr>
            </w:pPr>
            <w:r w:rsidRPr="006048CB">
              <w:rPr>
                <w:lang w:val="en-GB"/>
              </w:rPr>
              <w:t>Low P</w:t>
            </w:r>
          </w:p>
        </w:tc>
        <w:tc>
          <w:tcPr>
            <w:tcW w:w="762" w:type="pct"/>
          </w:tcPr>
          <w:p w14:paraId="7EE25AB3" w14:textId="00E29635" w:rsidR="00E427A7" w:rsidRPr="006048CB" w:rsidRDefault="00E427A7" w:rsidP="00E427A7">
            <w:pPr>
              <w:pStyle w:val="CETBodytext"/>
              <w:rPr>
                <w:lang w:val="en-GB"/>
              </w:rPr>
            </w:pPr>
            <w:r w:rsidRPr="00C2797E">
              <w:rPr>
                <w:rFonts w:eastAsia="SimSun"/>
                <w:szCs w:val="18"/>
              </w:rPr>
              <w:t>API 5L Gr. B</w:t>
            </w:r>
          </w:p>
        </w:tc>
        <w:tc>
          <w:tcPr>
            <w:tcW w:w="527" w:type="pct"/>
          </w:tcPr>
          <w:p w14:paraId="4CBE763E" w14:textId="67D12428" w:rsidR="00E427A7" w:rsidRPr="006048CB" w:rsidRDefault="00E427A7" w:rsidP="00E427A7">
            <w:pPr>
              <w:pStyle w:val="CETBodytext"/>
              <w:rPr>
                <w:lang w:val="en-GB"/>
              </w:rPr>
            </w:pPr>
            <w:r w:rsidRPr="00C2797E">
              <w:rPr>
                <w:rFonts w:eastAsia="SimSun"/>
                <w:szCs w:val="18"/>
              </w:rPr>
              <w:t>250</w:t>
            </w:r>
          </w:p>
        </w:tc>
        <w:tc>
          <w:tcPr>
            <w:tcW w:w="553" w:type="pct"/>
          </w:tcPr>
          <w:p w14:paraId="41CB140C" w14:textId="0477D288" w:rsidR="00E427A7" w:rsidRPr="006048CB" w:rsidRDefault="00E427A7" w:rsidP="00E427A7">
            <w:pPr>
              <w:pStyle w:val="CETBodytext"/>
              <w:rPr>
                <w:lang w:val="en-GB"/>
              </w:rPr>
            </w:pPr>
            <w:r w:rsidRPr="00C2797E">
              <w:rPr>
                <w:rFonts w:eastAsia="SimSun"/>
                <w:szCs w:val="18"/>
              </w:rPr>
              <w:t>0.089</w:t>
            </w:r>
          </w:p>
        </w:tc>
        <w:tc>
          <w:tcPr>
            <w:tcW w:w="553" w:type="pct"/>
          </w:tcPr>
          <w:p w14:paraId="26CCDCF0" w14:textId="037CEA78" w:rsidR="00E427A7" w:rsidRPr="006048CB" w:rsidRDefault="00E427A7" w:rsidP="00E427A7">
            <w:pPr>
              <w:pStyle w:val="CETBodytext"/>
              <w:rPr>
                <w:lang w:val="en-GB"/>
              </w:rPr>
            </w:pPr>
            <w:r w:rsidRPr="00C2797E">
              <w:rPr>
                <w:rFonts w:eastAsia="SimSun"/>
                <w:szCs w:val="18"/>
              </w:rPr>
              <w:t>0.209</w:t>
            </w:r>
          </w:p>
        </w:tc>
        <w:tc>
          <w:tcPr>
            <w:tcW w:w="709" w:type="pct"/>
          </w:tcPr>
          <w:p w14:paraId="1C44AF18" w14:textId="10078593" w:rsidR="00E427A7" w:rsidRPr="006048CB" w:rsidRDefault="00E427A7" w:rsidP="00E427A7">
            <w:pPr>
              <w:pStyle w:val="CETBodytext"/>
              <w:rPr>
                <w:lang w:val="en-GB"/>
              </w:rPr>
            </w:pPr>
            <w:r w:rsidRPr="00C2797E">
              <w:rPr>
                <w:rFonts w:eastAsia="SimSun"/>
                <w:szCs w:val="18"/>
              </w:rPr>
              <w:t>0.180</w:t>
            </w:r>
          </w:p>
        </w:tc>
        <w:tc>
          <w:tcPr>
            <w:tcW w:w="542" w:type="pct"/>
          </w:tcPr>
          <w:p w14:paraId="11FDDF46" w14:textId="7E57F332" w:rsidR="00E427A7" w:rsidRPr="006048CB" w:rsidRDefault="00E427A7" w:rsidP="00E427A7">
            <w:pPr>
              <w:pStyle w:val="CETBodytext"/>
              <w:rPr>
                <w:lang w:val="en-GB"/>
              </w:rPr>
            </w:pPr>
            <w:r w:rsidRPr="00C2797E">
              <w:rPr>
                <w:rFonts w:eastAsia="SimSun"/>
                <w:szCs w:val="18"/>
              </w:rPr>
              <w:t>0.120</w:t>
            </w:r>
          </w:p>
        </w:tc>
      </w:tr>
      <w:tr w:rsidR="00E427A7" w:rsidRPr="009635B2" w14:paraId="11CA0F3F" w14:textId="77777777" w:rsidTr="00E427A7">
        <w:trPr>
          <w:trHeight w:val="227"/>
          <w:jc w:val="center"/>
        </w:trPr>
        <w:tc>
          <w:tcPr>
            <w:tcW w:w="505" w:type="pct"/>
            <w:vMerge/>
          </w:tcPr>
          <w:p w14:paraId="52851F06" w14:textId="77777777" w:rsidR="00E427A7" w:rsidRPr="006048CB" w:rsidRDefault="00E427A7" w:rsidP="00E427A7">
            <w:pPr>
              <w:pStyle w:val="CETBodytext"/>
              <w:rPr>
                <w:lang w:val="en-GB"/>
              </w:rPr>
            </w:pPr>
          </w:p>
        </w:tc>
        <w:tc>
          <w:tcPr>
            <w:tcW w:w="848" w:type="pct"/>
          </w:tcPr>
          <w:p w14:paraId="5803F7C7" w14:textId="77777777" w:rsidR="00E427A7" w:rsidRPr="006048CB" w:rsidRDefault="00E427A7" w:rsidP="00E427A7">
            <w:pPr>
              <w:pStyle w:val="CETBodytext"/>
              <w:rPr>
                <w:lang w:val="en-GB"/>
              </w:rPr>
            </w:pPr>
            <w:r w:rsidRPr="006048CB">
              <w:rPr>
                <w:lang w:val="en-GB"/>
              </w:rPr>
              <w:t>LGO</w:t>
            </w:r>
          </w:p>
        </w:tc>
        <w:tc>
          <w:tcPr>
            <w:tcW w:w="762" w:type="pct"/>
          </w:tcPr>
          <w:p w14:paraId="2B457BE4" w14:textId="6CD7A052" w:rsidR="00E427A7" w:rsidRPr="006048CB" w:rsidRDefault="00E427A7" w:rsidP="00E427A7">
            <w:pPr>
              <w:pStyle w:val="CETBodytext"/>
              <w:rPr>
                <w:lang w:val="en-GB"/>
              </w:rPr>
            </w:pPr>
            <w:r w:rsidRPr="00C2797E">
              <w:rPr>
                <w:rFonts w:eastAsia="SimSun"/>
                <w:szCs w:val="18"/>
              </w:rPr>
              <w:t>API 5L Gr. B</w:t>
            </w:r>
          </w:p>
        </w:tc>
        <w:tc>
          <w:tcPr>
            <w:tcW w:w="527" w:type="pct"/>
          </w:tcPr>
          <w:p w14:paraId="23AE9134" w14:textId="394376DA" w:rsidR="00E427A7" w:rsidRPr="006048CB" w:rsidRDefault="00E427A7" w:rsidP="00E427A7">
            <w:pPr>
              <w:pStyle w:val="CETBodytext"/>
              <w:rPr>
                <w:lang w:val="en-GB"/>
              </w:rPr>
            </w:pPr>
            <w:r w:rsidRPr="00C2797E">
              <w:rPr>
                <w:rFonts w:eastAsia="SimSun"/>
                <w:szCs w:val="18"/>
              </w:rPr>
              <w:t>258</w:t>
            </w:r>
          </w:p>
        </w:tc>
        <w:tc>
          <w:tcPr>
            <w:tcW w:w="553" w:type="pct"/>
          </w:tcPr>
          <w:p w14:paraId="7B053448" w14:textId="0B9334A0" w:rsidR="00E427A7" w:rsidRPr="006048CB" w:rsidRDefault="00E427A7" w:rsidP="00E427A7">
            <w:pPr>
              <w:pStyle w:val="CETBodytext"/>
              <w:rPr>
                <w:lang w:val="en-GB"/>
              </w:rPr>
            </w:pPr>
            <w:r w:rsidRPr="00C2797E">
              <w:rPr>
                <w:rFonts w:eastAsia="SimSun"/>
                <w:szCs w:val="18"/>
              </w:rPr>
              <w:t>0.063</w:t>
            </w:r>
          </w:p>
        </w:tc>
        <w:tc>
          <w:tcPr>
            <w:tcW w:w="553" w:type="pct"/>
          </w:tcPr>
          <w:p w14:paraId="11B3976F" w14:textId="78AF5787" w:rsidR="00E427A7" w:rsidRPr="006048CB" w:rsidRDefault="00E427A7" w:rsidP="00E427A7">
            <w:pPr>
              <w:pStyle w:val="CETBodytext"/>
              <w:rPr>
                <w:lang w:val="en-GB"/>
              </w:rPr>
            </w:pPr>
            <w:r w:rsidRPr="00C2797E">
              <w:rPr>
                <w:rFonts w:eastAsia="SimSun"/>
                <w:szCs w:val="18"/>
              </w:rPr>
              <w:t>0.150</w:t>
            </w:r>
          </w:p>
        </w:tc>
        <w:tc>
          <w:tcPr>
            <w:tcW w:w="709" w:type="pct"/>
          </w:tcPr>
          <w:p w14:paraId="31C538BE" w14:textId="03387BFB" w:rsidR="00E427A7" w:rsidRPr="006048CB" w:rsidRDefault="00E427A7" w:rsidP="00E427A7">
            <w:pPr>
              <w:pStyle w:val="CETBodytext"/>
              <w:rPr>
                <w:lang w:val="en-GB"/>
              </w:rPr>
            </w:pPr>
            <w:r w:rsidRPr="00C2797E">
              <w:rPr>
                <w:rFonts w:eastAsia="SimSun"/>
                <w:szCs w:val="18"/>
              </w:rPr>
              <w:t>0.180</w:t>
            </w:r>
          </w:p>
        </w:tc>
        <w:tc>
          <w:tcPr>
            <w:tcW w:w="542" w:type="pct"/>
          </w:tcPr>
          <w:p w14:paraId="761EAC6F" w14:textId="753533E4" w:rsidR="00E427A7" w:rsidRPr="006048CB" w:rsidRDefault="00E427A7" w:rsidP="00E427A7">
            <w:pPr>
              <w:pStyle w:val="CETBodytext"/>
              <w:rPr>
                <w:lang w:val="en-GB"/>
              </w:rPr>
            </w:pPr>
            <w:r w:rsidRPr="00C2797E">
              <w:rPr>
                <w:rFonts w:eastAsia="SimSun"/>
                <w:szCs w:val="18"/>
              </w:rPr>
              <w:t>0.085</w:t>
            </w:r>
          </w:p>
        </w:tc>
      </w:tr>
      <w:tr w:rsidR="00E427A7" w:rsidRPr="009635B2" w14:paraId="2C7EA99D" w14:textId="77777777" w:rsidTr="00E427A7">
        <w:trPr>
          <w:trHeight w:val="227"/>
          <w:jc w:val="center"/>
        </w:trPr>
        <w:tc>
          <w:tcPr>
            <w:tcW w:w="505" w:type="pct"/>
            <w:vMerge/>
          </w:tcPr>
          <w:p w14:paraId="0FB78D2D" w14:textId="77777777" w:rsidR="00E427A7" w:rsidRPr="006048CB" w:rsidRDefault="00E427A7" w:rsidP="00E427A7">
            <w:pPr>
              <w:pStyle w:val="CETBodytext"/>
              <w:rPr>
                <w:lang w:val="en-GB"/>
              </w:rPr>
            </w:pPr>
          </w:p>
        </w:tc>
        <w:tc>
          <w:tcPr>
            <w:tcW w:w="848" w:type="pct"/>
          </w:tcPr>
          <w:p w14:paraId="0FAFAE0C" w14:textId="77777777" w:rsidR="00E427A7" w:rsidRPr="006048CB" w:rsidRDefault="00E427A7" w:rsidP="00E427A7">
            <w:pPr>
              <w:pStyle w:val="CETBodytext"/>
              <w:rPr>
                <w:lang w:val="en-GB"/>
              </w:rPr>
            </w:pPr>
            <w:r w:rsidRPr="006048CB">
              <w:rPr>
                <w:lang w:val="en-GB"/>
              </w:rPr>
              <w:t>HGO</w:t>
            </w:r>
          </w:p>
        </w:tc>
        <w:tc>
          <w:tcPr>
            <w:tcW w:w="762" w:type="pct"/>
          </w:tcPr>
          <w:p w14:paraId="61B4CCC3" w14:textId="550499D4" w:rsidR="00E427A7" w:rsidRPr="006048CB" w:rsidRDefault="00E427A7" w:rsidP="00E427A7">
            <w:pPr>
              <w:pStyle w:val="CETBodytext"/>
              <w:rPr>
                <w:lang w:val="en-GB"/>
              </w:rPr>
            </w:pPr>
            <w:r w:rsidRPr="00C2797E">
              <w:rPr>
                <w:rFonts w:eastAsia="SimSun"/>
                <w:bCs/>
                <w:szCs w:val="18"/>
              </w:rPr>
              <w:t>A335 P5</w:t>
            </w:r>
          </w:p>
        </w:tc>
        <w:tc>
          <w:tcPr>
            <w:tcW w:w="527" w:type="pct"/>
          </w:tcPr>
          <w:p w14:paraId="70203CD6" w14:textId="6853B41D" w:rsidR="00E427A7" w:rsidRPr="006048CB" w:rsidRDefault="00E427A7" w:rsidP="00E427A7">
            <w:pPr>
              <w:pStyle w:val="CETBodytext"/>
              <w:rPr>
                <w:lang w:val="en-GB"/>
              </w:rPr>
            </w:pPr>
            <w:r w:rsidRPr="00C2797E">
              <w:rPr>
                <w:rFonts w:eastAsia="SimSun"/>
                <w:bCs/>
                <w:szCs w:val="18"/>
              </w:rPr>
              <w:t>350</w:t>
            </w:r>
          </w:p>
        </w:tc>
        <w:tc>
          <w:tcPr>
            <w:tcW w:w="553" w:type="pct"/>
          </w:tcPr>
          <w:p w14:paraId="1FCAE271" w14:textId="02F1E98E" w:rsidR="00E427A7" w:rsidRPr="006048CB" w:rsidRDefault="00E427A7" w:rsidP="00E427A7">
            <w:pPr>
              <w:pStyle w:val="CETBodytext"/>
              <w:rPr>
                <w:lang w:val="en-GB"/>
              </w:rPr>
            </w:pPr>
            <w:r w:rsidRPr="00C2797E">
              <w:rPr>
                <w:rFonts w:eastAsia="SimSun"/>
                <w:bCs/>
                <w:szCs w:val="18"/>
              </w:rPr>
              <w:t>0.039</w:t>
            </w:r>
          </w:p>
        </w:tc>
        <w:tc>
          <w:tcPr>
            <w:tcW w:w="553" w:type="pct"/>
          </w:tcPr>
          <w:p w14:paraId="455DD6E7" w14:textId="41425BA0" w:rsidR="00E427A7" w:rsidRPr="006048CB" w:rsidRDefault="00E427A7" w:rsidP="00E427A7">
            <w:pPr>
              <w:pStyle w:val="CETBodytext"/>
              <w:rPr>
                <w:lang w:val="en-GB"/>
              </w:rPr>
            </w:pPr>
            <w:r w:rsidRPr="00C2797E">
              <w:rPr>
                <w:rFonts w:eastAsia="SimSun"/>
                <w:bCs/>
                <w:szCs w:val="18"/>
              </w:rPr>
              <w:t>0.091</w:t>
            </w:r>
          </w:p>
        </w:tc>
        <w:tc>
          <w:tcPr>
            <w:tcW w:w="709" w:type="pct"/>
          </w:tcPr>
          <w:p w14:paraId="3C0A2B31" w14:textId="0E524DB9" w:rsidR="00E427A7" w:rsidRPr="006048CB" w:rsidRDefault="00E427A7" w:rsidP="00E427A7">
            <w:pPr>
              <w:pStyle w:val="CETBodytext"/>
              <w:rPr>
                <w:lang w:val="en-GB"/>
              </w:rPr>
            </w:pPr>
            <w:r w:rsidRPr="00C2797E">
              <w:rPr>
                <w:rFonts w:eastAsia="SimSun"/>
                <w:szCs w:val="18"/>
              </w:rPr>
              <w:t>0.510</w:t>
            </w:r>
          </w:p>
        </w:tc>
        <w:tc>
          <w:tcPr>
            <w:tcW w:w="542" w:type="pct"/>
          </w:tcPr>
          <w:p w14:paraId="6D27D762" w14:textId="70BCB50F" w:rsidR="00E427A7" w:rsidRPr="006048CB" w:rsidRDefault="00E427A7" w:rsidP="00E427A7">
            <w:pPr>
              <w:pStyle w:val="CETBodytext"/>
              <w:rPr>
                <w:lang w:val="en-GB"/>
              </w:rPr>
            </w:pPr>
            <w:r w:rsidRPr="00C2797E">
              <w:rPr>
                <w:rFonts w:eastAsia="SimSun"/>
                <w:szCs w:val="18"/>
              </w:rPr>
              <w:t>0.100</w:t>
            </w:r>
          </w:p>
        </w:tc>
      </w:tr>
      <w:tr w:rsidR="00E427A7" w:rsidRPr="009635B2" w14:paraId="5270D4A7" w14:textId="77777777" w:rsidTr="00E427A7">
        <w:trPr>
          <w:trHeight w:val="227"/>
          <w:jc w:val="center"/>
        </w:trPr>
        <w:tc>
          <w:tcPr>
            <w:tcW w:w="505" w:type="pct"/>
            <w:vMerge/>
          </w:tcPr>
          <w:p w14:paraId="123DABCD" w14:textId="77777777" w:rsidR="00E427A7" w:rsidRPr="006048CB" w:rsidRDefault="00E427A7" w:rsidP="00E427A7">
            <w:pPr>
              <w:pStyle w:val="CETBodytext"/>
              <w:rPr>
                <w:lang w:val="en-GB"/>
              </w:rPr>
            </w:pPr>
          </w:p>
        </w:tc>
        <w:tc>
          <w:tcPr>
            <w:tcW w:w="848" w:type="pct"/>
          </w:tcPr>
          <w:p w14:paraId="62F4A10D" w14:textId="77777777" w:rsidR="00E427A7" w:rsidRPr="006048CB" w:rsidRDefault="00E427A7" w:rsidP="00E427A7">
            <w:pPr>
              <w:pStyle w:val="CETBodytext"/>
              <w:rPr>
                <w:lang w:val="en-GB"/>
              </w:rPr>
            </w:pPr>
            <w:r w:rsidRPr="006048CB">
              <w:rPr>
                <w:lang w:val="en-GB"/>
              </w:rPr>
              <w:t>Atm Residue</w:t>
            </w:r>
          </w:p>
        </w:tc>
        <w:tc>
          <w:tcPr>
            <w:tcW w:w="762" w:type="pct"/>
          </w:tcPr>
          <w:p w14:paraId="5DD357CC" w14:textId="109BDD76" w:rsidR="00E427A7" w:rsidRPr="006048CB" w:rsidRDefault="00E427A7" w:rsidP="00E427A7">
            <w:pPr>
              <w:pStyle w:val="CETBodytext"/>
              <w:rPr>
                <w:lang w:val="en-GB"/>
              </w:rPr>
            </w:pPr>
            <w:r w:rsidRPr="00C2797E">
              <w:rPr>
                <w:rFonts w:eastAsia="SimSun"/>
                <w:szCs w:val="18"/>
              </w:rPr>
              <w:t>A335 P9</w:t>
            </w:r>
          </w:p>
        </w:tc>
        <w:tc>
          <w:tcPr>
            <w:tcW w:w="527" w:type="pct"/>
          </w:tcPr>
          <w:p w14:paraId="0FDC126A" w14:textId="762DCCAA" w:rsidR="00E427A7" w:rsidRPr="006048CB" w:rsidRDefault="00E427A7" w:rsidP="00E427A7">
            <w:pPr>
              <w:pStyle w:val="CETBodytext"/>
              <w:rPr>
                <w:lang w:val="en-GB"/>
              </w:rPr>
            </w:pPr>
            <w:r w:rsidRPr="00C2797E">
              <w:rPr>
                <w:rFonts w:eastAsia="SimSun"/>
                <w:szCs w:val="18"/>
              </w:rPr>
              <w:t>358</w:t>
            </w:r>
          </w:p>
        </w:tc>
        <w:tc>
          <w:tcPr>
            <w:tcW w:w="553" w:type="pct"/>
          </w:tcPr>
          <w:p w14:paraId="08BB362B" w14:textId="7B933175" w:rsidR="00E427A7" w:rsidRPr="006048CB" w:rsidRDefault="00E427A7" w:rsidP="00E427A7">
            <w:pPr>
              <w:pStyle w:val="CETBodytext"/>
              <w:rPr>
                <w:lang w:val="en-GB"/>
              </w:rPr>
            </w:pPr>
            <w:r w:rsidRPr="00C2797E">
              <w:rPr>
                <w:rFonts w:eastAsia="SimSun"/>
                <w:szCs w:val="18"/>
              </w:rPr>
              <w:t>0.041</w:t>
            </w:r>
          </w:p>
        </w:tc>
        <w:tc>
          <w:tcPr>
            <w:tcW w:w="553" w:type="pct"/>
          </w:tcPr>
          <w:p w14:paraId="1119B1F1" w14:textId="3F27E753" w:rsidR="00E427A7" w:rsidRPr="006048CB" w:rsidRDefault="00E427A7" w:rsidP="00E427A7">
            <w:pPr>
              <w:pStyle w:val="CETBodytext"/>
              <w:rPr>
                <w:lang w:val="en-GB"/>
              </w:rPr>
            </w:pPr>
            <w:r w:rsidRPr="00C2797E">
              <w:rPr>
                <w:rFonts w:eastAsia="SimSun"/>
                <w:szCs w:val="18"/>
              </w:rPr>
              <w:t>0.096</w:t>
            </w:r>
          </w:p>
        </w:tc>
        <w:tc>
          <w:tcPr>
            <w:tcW w:w="709" w:type="pct"/>
          </w:tcPr>
          <w:p w14:paraId="21CC255F" w14:textId="1920658F" w:rsidR="00E427A7" w:rsidRPr="006048CB" w:rsidRDefault="00E427A7" w:rsidP="00E427A7">
            <w:pPr>
              <w:pStyle w:val="CETBodytext"/>
              <w:rPr>
                <w:lang w:val="en-GB"/>
              </w:rPr>
            </w:pPr>
            <w:r w:rsidRPr="00C2797E">
              <w:rPr>
                <w:rFonts w:eastAsia="SimSun"/>
                <w:szCs w:val="18"/>
              </w:rPr>
              <w:t>0.250</w:t>
            </w:r>
          </w:p>
        </w:tc>
        <w:tc>
          <w:tcPr>
            <w:tcW w:w="542" w:type="pct"/>
          </w:tcPr>
          <w:p w14:paraId="2FC2778B" w14:textId="0B40850B" w:rsidR="00E427A7" w:rsidRPr="006048CB" w:rsidRDefault="00E427A7" w:rsidP="00E427A7">
            <w:pPr>
              <w:pStyle w:val="CETBodytext"/>
              <w:rPr>
                <w:lang w:val="en-GB"/>
              </w:rPr>
            </w:pPr>
            <w:r w:rsidRPr="00C2797E">
              <w:rPr>
                <w:rFonts w:eastAsia="SimSun"/>
                <w:szCs w:val="18"/>
              </w:rPr>
              <w:t>0.040</w:t>
            </w:r>
          </w:p>
        </w:tc>
      </w:tr>
    </w:tbl>
    <w:p w14:paraId="0AA5AD04" w14:textId="77777777" w:rsidR="00E427A7" w:rsidRPr="00E427A7" w:rsidRDefault="00E427A7" w:rsidP="00E427A7">
      <w:pPr>
        <w:pStyle w:val="CETHeading1"/>
        <w:tabs>
          <w:tab w:val="num" w:pos="360"/>
        </w:tabs>
        <w:rPr>
          <w:lang w:val="en-GB"/>
        </w:rPr>
      </w:pPr>
      <w:r w:rsidRPr="00E427A7">
        <w:rPr>
          <w:lang w:val="en-GB"/>
        </w:rPr>
        <w:t>Conclusions</w:t>
      </w:r>
    </w:p>
    <w:p w14:paraId="2923613D" w14:textId="491E550E" w:rsidR="00E427A7" w:rsidRPr="00E427A7" w:rsidRDefault="00E427A7" w:rsidP="00E427A7">
      <w:pPr>
        <w:pStyle w:val="CETBodytext"/>
      </w:pPr>
      <w:r w:rsidRPr="00E427A7">
        <w:t>During these few months in operation, the thickness losses due to corrosion have been negligible: given the sulphur content and acidity of the processed crudes, the corrosion rates are much lower than those estimated from the McConomy curves. The</w:t>
      </w:r>
      <w:r w:rsidR="003552E5">
        <w:t>re are different</w:t>
      </w:r>
      <w:r w:rsidRPr="00E427A7">
        <w:t xml:space="preserve"> reasons for this: </w:t>
      </w:r>
      <w:r w:rsidR="00000377" w:rsidRPr="00E427A7">
        <w:t>the corrosion inhibitor injected actually made it possible to control the corrosion attacks</w:t>
      </w:r>
      <w:r w:rsidR="00000377">
        <w:t xml:space="preserve">; </w:t>
      </w:r>
      <w:r w:rsidRPr="00E427A7">
        <w:t xml:space="preserve">the McConomy curves are very conservative and they take into account worst-case scenarios; </w:t>
      </w:r>
      <w:r w:rsidR="00000377" w:rsidRPr="00000377">
        <w:t xml:space="preserve">the period </w:t>
      </w:r>
      <w:r w:rsidR="00000377">
        <w:t>in</w:t>
      </w:r>
      <w:r w:rsidR="00000377" w:rsidRPr="00000377">
        <w:t xml:space="preserve"> which the acidic crude was treated was </w:t>
      </w:r>
      <w:r w:rsidR="003552E5">
        <w:t>quite short</w:t>
      </w:r>
      <w:r w:rsidR="00000377" w:rsidRPr="00000377">
        <w:t xml:space="preserve"> to see any significant effect on the corrosion rate</w:t>
      </w:r>
      <w:r w:rsidR="00B509F8">
        <w:t>.</w:t>
      </w:r>
    </w:p>
    <w:p w14:paraId="4D5618AE" w14:textId="4BA186D6" w:rsidR="00E427A7" w:rsidRDefault="00E427A7" w:rsidP="00E427A7">
      <w:pPr>
        <w:pStyle w:val="CETBodytext"/>
      </w:pPr>
      <w:r w:rsidRPr="00E427A7">
        <w:t>The experimental campaign will continue in the next months with the processing of more and more acidic oils</w:t>
      </w:r>
      <w:r w:rsidR="00081B2E">
        <w:t xml:space="preserve"> and for longer periods</w:t>
      </w:r>
      <w:r w:rsidRPr="00E427A7">
        <w:t>, which will make it possible to determine more precise corrosion rates and to detect the gap between actual and expected rates.</w:t>
      </w:r>
    </w:p>
    <w:p w14:paraId="6ABC82A7" w14:textId="4998AB41" w:rsidR="00E427A7" w:rsidRPr="00E427A7" w:rsidRDefault="00E427A7" w:rsidP="00B47698">
      <w:pPr>
        <w:pStyle w:val="CETReference"/>
      </w:pPr>
      <w:r w:rsidRPr="00E427A7">
        <w:t>References</w:t>
      </w:r>
    </w:p>
    <w:p w14:paraId="66187072" w14:textId="0F293A82" w:rsidR="00E427A7" w:rsidRPr="00E427A7" w:rsidRDefault="008C6EA4" w:rsidP="00E427A7">
      <w:pPr>
        <w:pStyle w:val="CETReferencetext"/>
      </w:pPr>
      <w:r w:rsidRPr="008C6EA4">
        <w:t>Al-Moubaraki A.H., Obot I.B.</w:t>
      </w:r>
      <w:r w:rsidR="00392C3A" w:rsidRPr="008C6EA4">
        <w:t xml:space="preserve">, </w:t>
      </w:r>
      <w:r w:rsidR="00E427A7" w:rsidRPr="008C6EA4">
        <w:t xml:space="preserve">2021. </w:t>
      </w:r>
      <w:r w:rsidR="00E427A7" w:rsidRPr="00E427A7">
        <w:t>Corrosion challenges in petroleum refinery operations: Sources, mechanisms</w:t>
      </w:r>
      <w:r w:rsidR="00C42F6F">
        <w:t>, mitigation and future outlook,</w:t>
      </w:r>
      <w:r w:rsidR="00E427A7" w:rsidRPr="00E427A7">
        <w:t xml:space="preserve"> Journal of Saudi Chemical Society</w:t>
      </w:r>
      <w:r w:rsidR="00C26974">
        <w:t xml:space="preserve">, 25, </w:t>
      </w:r>
      <w:r>
        <w:t>10-14.</w:t>
      </w:r>
    </w:p>
    <w:p w14:paraId="2A72D0BC" w14:textId="6EF393C2" w:rsidR="00E427A7" w:rsidRDefault="006325E4" w:rsidP="00E427A7">
      <w:pPr>
        <w:pStyle w:val="CETReferencetext"/>
      </w:pPr>
      <w:r>
        <w:t>Johnson</w:t>
      </w:r>
      <w:r w:rsidR="008C6EA4">
        <w:t xml:space="preserve"> D.W., Hils J.E.</w:t>
      </w:r>
      <w:r w:rsidR="00392C3A">
        <w:t xml:space="preserve">, </w:t>
      </w:r>
      <w:r w:rsidR="00E427A7" w:rsidRPr="00E427A7">
        <w:t>2013. Phosphate Esters, Thiophosphate Esters and Metal Thiophosphat</w:t>
      </w:r>
      <w:r w:rsidR="00C42F6F">
        <w:t xml:space="preserve">es as Lubricant Additives. </w:t>
      </w:r>
      <w:r w:rsidR="00C42F6F" w:rsidRPr="00FD5C17">
        <w:t xml:space="preserve">MDPI, Lubricants 1(4), </w:t>
      </w:r>
      <w:r w:rsidR="008C6EA4">
        <w:t>132-148.</w:t>
      </w:r>
    </w:p>
    <w:p w14:paraId="6FEAC37A" w14:textId="25D97B3B" w:rsidR="00656405" w:rsidRPr="00FD5C17" w:rsidRDefault="00656405" w:rsidP="00656405">
      <w:pPr>
        <w:pStyle w:val="CETReferencetext"/>
      </w:pPr>
      <w:r w:rsidRPr="008C6EA4">
        <w:t>Bota</w:t>
      </w:r>
      <w:r w:rsidR="008C6EA4" w:rsidRPr="008C6EA4">
        <w:t xml:space="preserve"> G., Jin P., Farelas F., Robbins W.</w:t>
      </w:r>
      <w:r w:rsidR="00392C3A" w:rsidRPr="008C6EA4">
        <w:t xml:space="preserve">, </w:t>
      </w:r>
      <w:r w:rsidRPr="008C6EA4">
        <w:t xml:space="preserve">2019. </w:t>
      </w:r>
      <w:r w:rsidRPr="00656405">
        <w:t>Phosphate Esters Inhibitors in Naphthenic Acid Corrosi</w:t>
      </w:r>
      <w:r>
        <w:t>on – An Experimental Evaluation, Corrosion Conference Expo,</w:t>
      </w:r>
      <w:r w:rsidR="00BB530E">
        <w:t xml:space="preserve"> Paper N</w:t>
      </w:r>
      <w:r w:rsidRPr="00656405">
        <w:t>. 13491</w:t>
      </w:r>
      <w:r>
        <w:t>, Nashville</w:t>
      </w:r>
      <w:r w:rsidR="00C26974">
        <w:t xml:space="preserve"> (USA)</w:t>
      </w:r>
      <w:r w:rsidR="00BB530E">
        <w:t>.</w:t>
      </w:r>
    </w:p>
    <w:p w14:paraId="55D7E24D" w14:textId="3753CC31" w:rsidR="00E427A7" w:rsidRPr="00E427A7" w:rsidRDefault="006325E4" w:rsidP="00E427A7">
      <w:pPr>
        <w:pStyle w:val="CETReferencetext"/>
      </w:pPr>
      <w:r>
        <w:rPr>
          <w:lang w:val="it-IT"/>
        </w:rPr>
        <w:t xml:space="preserve">Sanabria Cala </w:t>
      </w:r>
      <w:r w:rsidR="00BB530E">
        <w:rPr>
          <w:lang w:val="it-IT"/>
        </w:rPr>
        <w:t xml:space="preserve">J., Laverde Catano D., Pena Ballesteros D., Merchan Arenas D., </w:t>
      </w:r>
      <w:r w:rsidR="00E427A7" w:rsidRPr="00656405">
        <w:rPr>
          <w:lang w:val="it-IT"/>
        </w:rPr>
        <w:t xml:space="preserve">2017. </w:t>
      </w:r>
      <w:r w:rsidR="00E427A7" w:rsidRPr="00E427A7">
        <w:t xml:space="preserve">Influence of Temperature and Time on the Corrosion by Sulfidation of AISI-316 Steel exposed under Transfer Line., </w:t>
      </w:r>
      <w:r w:rsidR="00C26974">
        <w:t xml:space="preserve">CET, 57, </w:t>
      </w:r>
      <w:r w:rsidR="00FD5C17">
        <w:t>715-720</w:t>
      </w:r>
      <w:r w:rsidR="00E427A7" w:rsidRPr="00E427A7">
        <w:t>.</w:t>
      </w:r>
    </w:p>
    <w:p w14:paraId="56119231" w14:textId="3E409BD6" w:rsidR="00E427A7" w:rsidRPr="00E427A7" w:rsidRDefault="00BB530E" w:rsidP="00E427A7">
      <w:pPr>
        <w:pStyle w:val="CETReferencetext"/>
      </w:pPr>
      <w:r>
        <w:t>Ramirez</w:t>
      </w:r>
      <w:r w:rsidR="00E427A7" w:rsidRPr="00E427A7">
        <w:t xml:space="preserve"> C.</w:t>
      </w:r>
      <w:r w:rsidR="00392C3A">
        <w:t xml:space="preserve">, </w:t>
      </w:r>
      <w:r w:rsidR="00E427A7" w:rsidRPr="00E427A7">
        <w:t>2017. The Science and Technolog</w:t>
      </w:r>
      <w:r w:rsidR="00D06F80">
        <w:t xml:space="preserve">y of Unconventional Oil, 1st Edition, </w:t>
      </w:r>
      <w:r w:rsidR="00D06F80" w:rsidRPr="00D06F80">
        <w:t>Publisher: Elsevier, Amsterdam</w:t>
      </w:r>
      <w:r>
        <w:t>.</w:t>
      </w:r>
    </w:p>
    <w:p w14:paraId="7B22430E" w14:textId="2404A300" w:rsidR="00E427A7" w:rsidRPr="00E427A7" w:rsidRDefault="00E427A7" w:rsidP="00E427A7">
      <w:pPr>
        <w:pStyle w:val="CETReferencetext"/>
      </w:pPr>
      <w:r w:rsidRPr="00E427A7">
        <w:t>Sotoodeh, K.</w:t>
      </w:r>
      <w:r w:rsidR="00392C3A">
        <w:t xml:space="preserve">, </w:t>
      </w:r>
      <w:r w:rsidRPr="00E427A7">
        <w:t>2021. Subsea Valves and Actuator</w:t>
      </w:r>
      <w:r w:rsidR="00D06F80">
        <w:t xml:space="preserve">s for the Oil and Gas Industry, </w:t>
      </w:r>
      <w:r w:rsidR="00D06F80" w:rsidRPr="00D06F80">
        <w:t>Publisher: Elsevier, Gulf Professional Publishing</w:t>
      </w:r>
      <w:r w:rsidR="00D06F80">
        <w:t xml:space="preserve">, </w:t>
      </w:r>
      <w:r w:rsidR="00D06F80" w:rsidRPr="00D06F80">
        <w:t>ISBN: 9780323906050</w:t>
      </w:r>
      <w:r w:rsidR="00BB530E">
        <w:t>.</w:t>
      </w:r>
    </w:p>
    <w:p w14:paraId="7E790234" w14:textId="609CA1AF" w:rsidR="00E427A7" w:rsidRDefault="00D06F80" w:rsidP="00001BFF">
      <w:pPr>
        <w:pStyle w:val="CETReferencetext"/>
      </w:pPr>
      <w:r>
        <w:t>U.S. DoE</w:t>
      </w:r>
      <w:r w:rsidR="00E427A7" w:rsidRPr="00E427A7">
        <w:t xml:space="preserve">, </w:t>
      </w:r>
      <w:r>
        <w:t xml:space="preserve">2023, Enhanced Oil Recovery, </w:t>
      </w:r>
      <w:r w:rsidRPr="00D06F80">
        <w:t>Office of Fossil Energy and Carbon Management</w:t>
      </w:r>
      <w:r w:rsidR="003A64FC">
        <w:t xml:space="preserve">, </w:t>
      </w:r>
      <w:hyperlink r:id="rId18" w:history="1">
        <w:r w:rsidR="00252E92" w:rsidRPr="00252E92">
          <w:t>&lt;</w:t>
        </w:r>
        <w:r w:rsidR="003A64FC" w:rsidRPr="00252E92">
          <w:t>energy.gov/fecm/enhanced-oil-recovery</w:t>
        </w:r>
      </w:hyperlink>
      <w:r w:rsidR="00252E92">
        <w:t>&gt;</w:t>
      </w:r>
      <w:r w:rsidR="003A64FC">
        <w:t xml:space="preserve"> accessed 29.02.2024.</w:t>
      </w:r>
    </w:p>
    <w:sectPr w:rsidR="00E427A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6A5F5" w14:textId="77777777" w:rsidR="00106B28" w:rsidRDefault="00106B28" w:rsidP="004F5E36">
      <w:r>
        <w:separator/>
      </w:r>
    </w:p>
  </w:endnote>
  <w:endnote w:type="continuationSeparator" w:id="0">
    <w:p w14:paraId="730A5055" w14:textId="77777777" w:rsidR="00106B28" w:rsidRDefault="00106B2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FAF75" w14:textId="77777777" w:rsidR="00106B28" w:rsidRDefault="00106B28" w:rsidP="004F5E36">
      <w:r>
        <w:separator/>
      </w:r>
    </w:p>
  </w:footnote>
  <w:footnote w:type="continuationSeparator" w:id="0">
    <w:p w14:paraId="7DD71754" w14:textId="77777777" w:rsidR="00106B28" w:rsidRDefault="00106B2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315370"/>
    <w:multiLevelType w:val="hybridMultilevel"/>
    <w:tmpl w:val="89169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A672EB"/>
    <w:multiLevelType w:val="hybridMultilevel"/>
    <w:tmpl w:val="0638F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AB282A"/>
    <w:multiLevelType w:val="hybridMultilevel"/>
    <w:tmpl w:val="2B782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0304F9"/>
    <w:multiLevelType w:val="hybridMultilevel"/>
    <w:tmpl w:val="CD92D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C47954"/>
    <w:multiLevelType w:val="multilevel"/>
    <w:tmpl w:val="04EAD064"/>
    <w:lvl w:ilvl="0">
      <w:start w:val="1"/>
      <w:numFmt w:val="decimal"/>
      <w:lvlText w:val="%1."/>
      <w:lvlJc w:val="left"/>
      <w:pPr>
        <w:ind w:left="284" w:hanging="22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D21DB2"/>
    <w:multiLevelType w:val="multilevel"/>
    <w:tmpl w:val="04EAD064"/>
    <w:lvl w:ilvl="0">
      <w:start w:val="1"/>
      <w:numFmt w:val="decimal"/>
      <w:lvlText w:val="%1."/>
      <w:lvlJc w:val="left"/>
      <w:pPr>
        <w:ind w:left="284" w:hanging="22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5"/>
  </w:num>
  <w:num w:numId="14">
    <w:abstractNumId w:val="23"/>
  </w:num>
  <w:num w:numId="15">
    <w:abstractNumId w:val="26"/>
  </w:num>
  <w:num w:numId="16">
    <w:abstractNumId w:val="25"/>
  </w:num>
  <w:num w:numId="17">
    <w:abstractNumId w:val="14"/>
  </w:num>
  <w:num w:numId="18">
    <w:abstractNumId w:val="15"/>
    <w:lvlOverride w:ilvl="0">
      <w:startOverride w:val="1"/>
    </w:lvlOverride>
  </w:num>
  <w:num w:numId="19">
    <w:abstractNumId w:val="20"/>
  </w:num>
  <w:num w:numId="20">
    <w:abstractNumId w:val="18"/>
  </w:num>
  <w:num w:numId="21">
    <w:abstractNumId w:val="17"/>
  </w:num>
  <w:num w:numId="22">
    <w:abstractNumId w:val="16"/>
  </w:num>
  <w:num w:numId="23">
    <w:abstractNumId w:val="21"/>
  </w:num>
  <w:num w:numId="24">
    <w:abstractNumId w:val="10"/>
  </w:num>
  <w:num w:numId="25">
    <w:abstractNumId w:val="19"/>
  </w:num>
  <w:num w:numId="26">
    <w:abstractNumId w:val="13"/>
  </w:num>
  <w:num w:numId="27">
    <w:abstractNumId w:val="12"/>
  </w:num>
  <w:num w:numId="28">
    <w:abstractNumId w:val="11"/>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24"/>
  </w:num>
  <w:num w:numId="37">
    <w:abstractNumId w:val="13"/>
  </w:num>
  <w:num w:numId="38">
    <w:abstractNumId w:val="13"/>
  </w:num>
  <w:num w:numId="39">
    <w:abstractNumId w:val="1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377"/>
    <w:rsid w:val="00001BFF"/>
    <w:rsid w:val="000027C0"/>
    <w:rsid w:val="000052FB"/>
    <w:rsid w:val="000117CB"/>
    <w:rsid w:val="000240C1"/>
    <w:rsid w:val="0003148D"/>
    <w:rsid w:val="00031A0B"/>
    <w:rsid w:val="00031EEC"/>
    <w:rsid w:val="00051566"/>
    <w:rsid w:val="00062A9A"/>
    <w:rsid w:val="00065058"/>
    <w:rsid w:val="00081B2E"/>
    <w:rsid w:val="00086C39"/>
    <w:rsid w:val="000A03B2"/>
    <w:rsid w:val="000B6EAD"/>
    <w:rsid w:val="000C585B"/>
    <w:rsid w:val="000D0268"/>
    <w:rsid w:val="000D34BE"/>
    <w:rsid w:val="000E102F"/>
    <w:rsid w:val="000E36F1"/>
    <w:rsid w:val="000E3A73"/>
    <w:rsid w:val="000E414A"/>
    <w:rsid w:val="000F093C"/>
    <w:rsid w:val="000F787B"/>
    <w:rsid w:val="00106B28"/>
    <w:rsid w:val="0012091F"/>
    <w:rsid w:val="00124AB7"/>
    <w:rsid w:val="00126BC2"/>
    <w:rsid w:val="001308B6"/>
    <w:rsid w:val="0013121F"/>
    <w:rsid w:val="00131FE6"/>
    <w:rsid w:val="0013263F"/>
    <w:rsid w:val="001331DF"/>
    <w:rsid w:val="00134DE4"/>
    <w:rsid w:val="0013524D"/>
    <w:rsid w:val="0014034D"/>
    <w:rsid w:val="00143AF6"/>
    <w:rsid w:val="00144D16"/>
    <w:rsid w:val="00150E59"/>
    <w:rsid w:val="00152DE3"/>
    <w:rsid w:val="00164CF9"/>
    <w:rsid w:val="001667A6"/>
    <w:rsid w:val="00182650"/>
    <w:rsid w:val="00184AD6"/>
    <w:rsid w:val="001A4151"/>
    <w:rsid w:val="001A4AF7"/>
    <w:rsid w:val="001B0349"/>
    <w:rsid w:val="001B1E93"/>
    <w:rsid w:val="001B65C1"/>
    <w:rsid w:val="001C684B"/>
    <w:rsid w:val="001D0CFB"/>
    <w:rsid w:val="001D53FC"/>
    <w:rsid w:val="001F42A5"/>
    <w:rsid w:val="001F7B9D"/>
    <w:rsid w:val="00201C93"/>
    <w:rsid w:val="0021202A"/>
    <w:rsid w:val="002224B4"/>
    <w:rsid w:val="00230F60"/>
    <w:rsid w:val="002447EF"/>
    <w:rsid w:val="002474FB"/>
    <w:rsid w:val="00251550"/>
    <w:rsid w:val="00252E92"/>
    <w:rsid w:val="00263B05"/>
    <w:rsid w:val="0027221A"/>
    <w:rsid w:val="00275B61"/>
    <w:rsid w:val="0027675E"/>
    <w:rsid w:val="00280FAF"/>
    <w:rsid w:val="00282656"/>
    <w:rsid w:val="00296B83"/>
    <w:rsid w:val="002A7AA9"/>
    <w:rsid w:val="002B4015"/>
    <w:rsid w:val="002B78CE"/>
    <w:rsid w:val="002C2FB6"/>
    <w:rsid w:val="002E5FA7"/>
    <w:rsid w:val="002F3309"/>
    <w:rsid w:val="003008CE"/>
    <w:rsid w:val="003009B7"/>
    <w:rsid w:val="00300E56"/>
    <w:rsid w:val="0030469C"/>
    <w:rsid w:val="00321CA6"/>
    <w:rsid w:val="00323763"/>
    <w:rsid w:val="00334C09"/>
    <w:rsid w:val="00350839"/>
    <w:rsid w:val="003552E5"/>
    <w:rsid w:val="003723D4"/>
    <w:rsid w:val="00381905"/>
    <w:rsid w:val="00384CC8"/>
    <w:rsid w:val="003871FD"/>
    <w:rsid w:val="00392C3A"/>
    <w:rsid w:val="00394971"/>
    <w:rsid w:val="003969A0"/>
    <w:rsid w:val="003A1E30"/>
    <w:rsid w:val="003A2829"/>
    <w:rsid w:val="003A64FC"/>
    <w:rsid w:val="003A7D1C"/>
    <w:rsid w:val="003B304B"/>
    <w:rsid w:val="003B3146"/>
    <w:rsid w:val="003F015E"/>
    <w:rsid w:val="00400414"/>
    <w:rsid w:val="0041446B"/>
    <w:rsid w:val="004411F4"/>
    <w:rsid w:val="0044329C"/>
    <w:rsid w:val="00453E24"/>
    <w:rsid w:val="00455857"/>
    <w:rsid w:val="00457456"/>
    <w:rsid w:val="004577FE"/>
    <w:rsid w:val="00457B9C"/>
    <w:rsid w:val="0046164A"/>
    <w:rsid w:val="004628D2"/>
    <w:rsid w:val="00462DCD"/>
    <w:rsid w:val="004648AD"/>
    <w:rsid w:val="004703A9"/>
    <w:rsid w:val="004760DE"/>
    <w:rsid w:val="004763D7"/>
    <w:rsid w:val="004A004E"/>
    <w:rsid w:val="004A24CF"/>
    <w:rsid w:val="004B44ED"/>
    <w:rsid w:val="004C3D1D"/>
    <w:rsid w:val="004C7913"/>
    <w:rsid w:val="004E4DD6"/>
    <w:rsid w:val="004F5E36"/>
    <w:rsid w:val="00503781"/>
    <w:rsid w:val="00507B47"/>
    <w:rsid w:val="00507BEF"/>
    <w:rsid w:val="00507CC9"/>
    <w:rsid w:val="005119A5"/>
    <w:rsid w:val="00520E6F"/>
    <w:rsid w:val="005278B7"/>
    <w:rsid w:val="00532016"/>
    <w:rsid w:val="00533AEE"/>
    <w:rsid w:val="005346C8"/>
    <w:rsid w:val="00543E7D"/>
    <w:rsid w:val="00547A68"/>
    <w:rsid w:val="005531C9"/>
    <w:rsid w:val="00562E42"/>
    <w:rsid w:val="00570C43"/>
    <w:rsid w:val="005B2110"/>
    <w:rsid w:val="005B61E6"/>
    <w:rsid w:val="005C77E1"/>
    <w:rsid w:val="005D668A"/>
    <w:rsid w:val="005D6A2F"/>
    <w:rsid w:val="005E1A82"/>
    <w:rsid w:val="005E794C"/>
    <w:rsid w:val="005F0A28"/>
    <w:rsid w:val="005F0E5E"/>
    <w:rsid w:val="005F4661"/>
    <w:rsid w:val="00600535"/>
    <w:rsid w:val="00603DF8"/>
    <w:rsid w:val="006048CB"/>
    <w:rsid w:val="00610CD6"/>
    <w:rsid w:val="00620DEE"/>
    <w:rsid w:val="00621F92"/>
    <w:rsid w:val="0062280A"/>
    <w:rsid w:val="00625639"/>
    <w:rsid w:val="00631B33"/>
    <w:rsid w:val="006325E4"/>
    <w:rsid w:val="00636E4B"/>
    <w:rsid w:val="0064184D"/>
    <w:rsid w:val="006422CC"/>
    <w:rsid w:val="00656405"/>
    <w:rsid w:val="00657F13"/>
    <w:rsid w:val="00660E3E"/>
    <w:rsid w:val="00662E74"/>
    <w:rsid w:val="00665323"/>
    <w:rsid w:val="00680C23"/>
    <w:rsid w:val="00685E78"/>
    <w:rsid w:val="00693766"/>
    <w:rsid w:val="006A3281"/>
    <w:rsid w:val="006B4888"/>
    <w:rsid w:val="006C2E45"/>
    <w:rsid w:val="006C359C"/>
    <w:rsid w:val="006C39BF"/>
    <w:rsid w:val="006C5579"/>
    <w:rsid w:val="006D2A61"/>
    <w:rsid w:val="006D6E8B"/>
    <w:rsid w:val="006E737D"/>
    <w:rsid w:val="00713973"/>
    <w:rsid w:val="00720A24"/>
    <w:rsid w:val="0073043D"/>
    <w:rsid w:val="00732386"/>
    <w:rsid w:val="0073514D"/>
    <w:rsid w:val="007447F3"/>
    <w:rsid w:val="0075499F"/>
    <w:rsid w:val="007661C8"/>
    <w:rsid w:val="0077098D"/>
    <w:rsid w:val="00776B1A"/>
    <w:rsid w:val="007931FA"/>
    <w:rsid w:val="007979CC"/>
    <w:rsid w:val="007A4861"/>
    <w:rsid w:val="007A7BBA"/>
    <w:rsid w:val="007A7DE2"/>
    <w:rsid w:val="007B0C50"/>
    <w:rsid w:val="007B48F9"/>
    <w:rsid w:val="007C1A43"/>
    <w:rsid w:val="0080013E"/>
    <w:rsid w:val="00813288"/>
    <w:rsid w:val="008168FC"/>
    <w:rsid w:val="00825DD9"/>
    <w:rsid w:val="00830996"/>
    <w:rsid w:val="008345F1"/>
    <w:rsid w:val="0086155F"/>
    <w:rsid w:val="00865B07"/>
    <w:rsid w:val="008667EA"/>
    <w:rsid w:val="0087637F"/>
    <w:rsid w:val="00892AD5"/>
    <w:rsid w:val="008A1512"/>
    <w:rsid w:val="008C6EA4"/>
    <w:rsid w:val="008D32B9"/>
    <w:rsid w:val="008D433B"/>
    <w:rsid w:val="008E566E"/>
    <w:rsid w:val="0090161A"/>
    <w:rsid w:val="00901EB6"/>
    <w:rsid w:val="00904C62"/>
    <w:rsid w:val="00922BA8"/>
    <w:rsid w:val="00924DAC"/>
    <w:rsid w:val="00925C6B"/>
    <w:rsid w:val="00927058"/>
    <w:rsid w:val="00942750"/>
    <w:rsid w:val="009450CE"/>
    <w:rsid w:val="00947179"/>
    <w:rsid w:val="0095164B"/>
    <w:rsid w:val="00954090"/>
    <w:rsid w:val="009573E7"/>
    <w:rsid w:val="00963E05"/>
    <w:rsid w:val="00967843"/>
    <w:rsid w:val="00967D54"/>
    <w:rsid w:val="00971028"/>
    <w:rsid w:val="00993B84"/>
    <w:rsid w:val="00996483"/>
    <w:rsid w:val="00996F5A"/>
    <w:rsid w:val="009B041A"/>
    <w:rsid w:val="009B6815"/>
    <w:rsid w:val="009C37C3"/>
    <w:rsid w:val="009C5374"/>
    <w:rsid w:val="009C7C86"/>
    <w:rsid w:val="009D2FF7"/>
    <w:rsid w:val="009E7884"/>
    <w:rsid w:val="009E788A"/>
    <w:rsid w:val="009F0E08"/>
    <w:rsid w:val="00A13BC3"/>
    <w:rsid w:val="00A1763D"/>
    <w:rsid w:val="00A17CEC"/>
    <w:rsid w:val="00A248E4"/>
    <w:rsid w:val="00A27EF0"/>
    <w:rsid w:val="00A42361"/>
    <w:rsid w:val="00A50B20"/>
    <w:rsid w:val="00A51390"/>
    <w:rsid w:val="00A60D13"/>
    <w:rsid w:val="00A72745"/>
    <w:rsid w:val="00A76EFC"/>
    <w:rsid w:val="00A91010"/>
    <w:rsid w:val="00A97F29"/>
    <w:rsid w:val="00AA702E"/>
    <w:rsid w:val="00AB0964"/>
    <w:rsid w:val="00AB18D9"/>
    <w:rsid w:val="00AB5011"/>
    <w:rsid w:val="00AB5F7B"/>
    <w:rsid w:val="00AC7368"/>
    <w:rsid w:val="00AD16B9"/>
    <w:rsid w:val="00AE377D"/>
    <w:rsid w:val="00AF0EBA"/>
    <w:rsid w:val="00B02C8A"/>
    <w:rsid w:val="00B064AB"/>
    <w:rsid w:val="00B17FBD"/>
    <w:rsid w:val="00B315A6"/>
    <w:rsid w:val="00B31813"/>
    <w:rsid w:val="00B33365"/>
    <w:rsid w:val="00B47698"/>
    <w:rsid w:val="00B509F8"/>
    <w:rsid w:val="00B57B36"/>
    <w:rsid w:val="00B57E6F"/>
    <w:rsid w:val="00B8686D"/>
    <w:rsid w:val="00B93F69"/>
    <w:rsid w:val="00BB1DDC"/>
    <w:rsid w:val="00BB530E"/>
    <w:rsid w:val="00BC30C9"/>
    <w:rsid w:val="00BD077D"/>
    <w:rsid w:val="00BE3E58"/>
    <w:rsid w:val="00C01616"/>
    <w:rsid w:val="00C0162B"/>
    <w:rsid w:val="00C01FD0"/>
    <w:rsid w:val="00C068ED"/>
    <w:rsid w:val="00C177E4"/>
    <w:rsid w:val="00C22E0C"/>
    <w:rsid w:val="00C26974"/>
    <w:rsid w:val="00C345B1"/>
    <w:rsid w:val="00C40142"/>
    <w:rsid w:val="00C42F6F"/>
    <w:rsid w:val="00C52C3C"/>
    <w:rsid w:val="00C57182"/>
    <w:rsid w:val="00C57863"/>
    <w:rsid w:val="00C655FD"/>
    <w:rsid w:val="00C75407"/>
    <w:rsid w:val="00C77D4B"/>
    <w:rsid w:val="00C82D7E"/>
    <w:rsid w:val="00C870A8"/>
    <w:rsid w:val="00C94434"/>
    <w:rsid w:val="00CA0D75"/>
    <w:rsid w:val="00CA1C95"/>
    <w:rsid w:val="00CA5A9C"/>
    <w:rsid w:val="00CC2F7C"/>
    <w:rsid w:val="00CC4AD9"/>
    <w:rsid w:val="00CC4C20"/>
    <w:rsid w:val="00CC688D"/>
    <w:rsid w:val="00CD3517"/>
    <w:rsid w:val="00CD5FE2"/>
    <w:rsid w:val="00CE7C68"/>
    <w:rsid w:val="00D02B4C"/>
    <w:rsid w:val="00D040C4"/>
    <w:rsid w:val="00D06F80"/>
    <w:rsid w:val="00D372B9"/>
    <w:rsid w:val="00D46B7E"/>
    <w:rsid w:val="00D52FEF"/>
    <w:rsid w:val="00D57C84"/>
    <w:rsid w:val="00D6057D"/>
    <w:rsid w:val="00D63EBF"/>
    <w:rsid w:val="00D77DF1"/>
    <w:rsid w:val="00D836C5"/>
    <w:rsid w:val="00D84576"/>
    <w:rsid w:val="00DA1399"/>
    <w:rsid w:val="00DA24C6"/>
    <w:rsid w:val="00DA4D7B"/>
    <w:rsid w:val="00DE264A"/>
    <w:rsid w:val="00DF5072"/>
    <w:rsid w:val="00E02D18"/>
    <w:rsid w:val="00E041E7"/>
    <w:rsid w:val="00E1027E"/>
    <w:rsid w:val="00E139B2"/>
    <w:rsid w:val="00E23CA1"/>
    <w:rsid w:val="00E25106"/>
    <w:rsid w:val="00E409A8"/>
    <w:rsid w:val="00E427A7"/>
    <w:rsid w:val="00E4516A"/>
    <w:rsid w:val="00E50C12"/>
    <w:rsid w:val="00E65B91"/>
    <w:rsid w:val="00E7209D"/>
    <w:rsid w:val="00E72EAD"/>
    <w:rsid w:val="00E77223"/>
    <w:rsid w:val="00E8528B"/>
    <w:rsid w:val="00E85B94"/>
    <w:rsid w:val="00E8610A"/>
    <w:rsid w:val="00E93497"/>
    <w:rsid w:val="00E978D0"/>
    <w:rsid w:val="00EA4613"/>
    <w:rsid w:val="00EA7F91"/>
    <w:rsid w:val="00EB1523"/>
    <w:rsid w:val="00EC0E49"/>
    <w:rsid w:val="00EC101F"/>
    <w:rsid w:val="00EC1D9F"/>
    <w:rsid w:val="00ED5B0B"/>
    <w:rsid w:val="00EE0131"/>
    <w:rsid w:val="00EE17B0"/>
    <w:rsid w:val="00EE41CF"/>
    <w:rsid w:val="00EF06D9"/>
    <w:rsid w:val="00EF11B2"/>
    <w:rsid w:val="00F30C64"/>
    <w:rsid w:val="00F32BA2"/>
    <w:rsid w:val="00F32CDB"/>
    <w:rsid w:val="00F565FE"/>
    <w:rsid w:val="00F63A70"/>
    <w:rsid w:val="00F7534E"/>
    <w:rsid w:val="00FA21D0"/>
    <w:rsid w:val="00FA5F5F"/>
    <w:rsid w:val="00FB730C"/>
    <w:rsid w:val="00FC2695"/>
    <w:rsid w:val="00FC3E03"/>
    <w:rsid w:val="00FC3FC1"/>
    <w:rsid w:val="00FD5C17"/>
    <w:rsid w:val="00FE1BB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table" w:styleId="Tabellagriglia2-colore3">
    <w:name w:val="Grid Table 2 Accent 3"/>
    <w:basedOn w:val="Tabellanormale"/>
    <w:uiPriority w:val="47"/>
    <w:rsid w:val="00C82D7E"/>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tileCET">
    <w:name w:val="StileCET"/>
    <w:basedOn w:val="Tabellanormale"/>
    <w:uiPriority w:val="99"/>
    <w:rsid w:val="006048CB"/>
    <w:pPr>
      <w:spacing w:after="0" w:line="240" w:lineRule="auto"/>
      <w:jc w:val="center"/>
    </w:pPr>
    <w:rPr>
      <w:rFonts w:ascii="Arial" w:hAnsi="Arial"/>
      <w:sz w:val="18"/>
    </w:rPr>
    <w:tblPr>
      <w:tblBorders>
        <w:top w:val="single" w:sz="6" w:space="0" w:color="70AD47"/>
        <w:bottom w:val="single" w:sz="4" w:space="0" w:color="70AD47"/>
        <w:insideH w:val="single" w:sz="6" w:space="0" w:color="70AD47"/>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72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energy.gov/fecm/enhanced-oil-recove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Ais21</b:Tag>
    <b:SourceType>JournalArticle</b:SourceType>
    <b:Guid>{89C27DBC-AC76-43E9-9527-8FECB50187D2}</b:Guid>
    <b:Title>Corrosion challenges in petroleum refinery operations: Sources, mechanisms, mitigation and future outlook</b:Title>
    <b:Year>2021</b:Year>
    <b:Author>
      <b:Author>
        <b:NameList>
          <b:Person>
            <b:Last>Aisha H. Al-Moubaraki</b:Last>
            <b:First>Ime</b:First>
            <b:Middle>Bassey Obot</b:Middle>
          </b:Person>
        </b:NameList>
      </b:Author>
    </b:Author>
    <b:JournalName>Journal of Saudi Chemical Society</b:JournalName>
    <b:RefOrder>1</b:RefOrder>
  </b:Source>
  <b:Source>
    <b:Tag>Jav17</b:Tag>
    <b:SourceType>ConferenceProceedings</b:SourceType>
    <b:Guid>{3B8C40AE-2DDA-4684-9B9A-4E50A9D028B8}</b:Guid>
    <b:Author>
      <b:Author>
        <b:NameList>
          <b:Person>
            <b:Last>Javier Sanabria Cala</b:Last>
            <b:First>Dionisio</b:First>
            <b:Middle>Laverde Cataño, Darío Peña Ballesteros, Diego Merchan Arenas</b:Middle>
          </b:Person>
        </b:NameList>
      </b:Author>
    </b:Author>
    <b:Title>Influence of Temperature and Time on the Corrosion by Sulfidation of AISI-316 Steel exposed under Transfer Line</b:Title>
    <b:Pages>Vol 57</b:Pages>
    <b:Year>2017</b:Year>
    <b:RefOrder>2</b:RefOrder>
  </b:Source>
</b:Sources>
</file>

<file path=customXml/itemProps1.xml><?xml version="1.0" encoding="utf-8"?>
<ds:datastoreItem xmlns:ds="http://schemas.openxmlformats.org/officeDocument/2006/customXml" ds:itemID="{57AA130D-8549-4457-BFC6-31233C00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2479</Words>
  <Characters>14133</Characters>
  <Application>Microsoft Office Word</Application>
  <DocSecurity>0</DocSecurity>
  <Lines>117</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RAM</cp:lastModifiedBy>
  <cp:revision>3</cp:revision>
  <cp:lastPrinted>2015-05-12T18:31:00Z</cp:lastPrinted>
  <dcterms:created xsi:type="dcterms:W3CDTF">2024-05-14T14:12:00Z</dcterms:created>
  <dcterms:modified xsi:type="dcterms:W3CDTF">2024-05-14T14:17:00Z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